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F17" w14:textId="1BF981D4" w:rsidR="008E4E6C" w:rsidRDefault="009B1812" w:rsidP="009B1812">
      <w:pPr>
        <w:pStyle w:val="Pagedecouverture"/>
        <w:rPr>
          <w:noProof/>
        </w:rPr>
      </w:pPr>
      <w:bookmarkStart w:id="0" w:name="LW_BM_COVERPAGE"/>
      <w:r>
        <w:rPr>
          <w:noProof/>
        </w:rPr>
        <w:pict w14:anchorId="1C96CD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95280E1F-8D75-4302-9369-44B6E99091D7" style="width:455.25pt;height:402.75pt">
            <v:imagedata r:id="rId7" o:title=""/>
          </v:shape>
        </w:pict>
      </w:r>
    </w:p>
    <w:bookmarkEnd w:id="0"/>
    <w:p w14:paraId="63260D17" w14:textId="70B3ABF9" w:rsidR="00BA217C" w:rsidRPr="005A3F47" w:rsidRDefault="00BA217C" w:rsidP="00BA217C">
      <w:pPr>
        <w:rPr>
          <w:noProof/>
        </w:rPr>
        <w:sectPr w:rsidR="00BA217C" w:rsidRPr="005A3F47" w:rsidSect="009B1812">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1"/>
          <w:cols w:space="720"/>
          <w:docGrid w:linePitch="326"/>
        </w:sectPr>
      </w:pPr>
    </w:p>
    <w:p w14:paraId="681829D3" w14:textId="77777777" w:rsidR="002A5326" w:rsidRPr="005A3F47" w:rsidRDefault="002A5326" w:rsidP="002A5326">
      <w:pPr>
        <w:pStyle w:val="TOCHeading"/>
        <w:rPr>
          <w:noProof/>
        </w:rPr>
      </w:pPr>
      <w:bookmarkStart w:id="1" w:name="_GoBack"/>
      <w:bookmarkEnd w:id="1"/>
      <w:r w:rsidRPr="005A3F47">
        <w:rPr>
          <w:noProof/>
        </w:rPr>
        <w:lastRenderedPageBreak/>
        <w:t>Table of contents</w:t>
      </w:r>
    </w:p>
    <w:p w14:paraId="2B4352A0" w14:textId="75917A9A" w:rsidR="00FF29B2" w:rsidRPr="005A3F47" w:rsidRDefault="00F717A0">
      <w:pPr>
        <w:pStyle w:val="TOC1"/>
        <w:rPr>
          <w:rFonts w:asciiTheme="minorHAnsi" w:eastAsiaTheme="minorEastAsia" w:hAnsiTheme="minorHAnsi" w:cstheme="minorBidi"/>
          <w:caps w:val="0"/>
          <w:noProof/>
          <w:kern w:val="2"/>
          <w:sz w:val="24"/>
          <w:szCs w:val="24"/>
          <w:lang w:val="en-IE" w:eastAsia="en-IE"/>
          <w14:ligatures w14:val="standardContextual"/>
        </w:rPr>
      </w:pPr>
      <w:r w:rsidRPr="005A3F47">
        <w:rPr>
          <w:noProof/>
        </w:rPr>
        <w:fldChar w:fldCharType="begin"/>
      </w:r>
      <w:r w:rsidRPr="005A3F47">
        <w:rPr>
          <w:noProof/>
        </w:rPr>
        <w:instrText xml:space="preserve"> TOC \o "1-1" \h \z \t "Heading 2;2;Heading 3;3;Annex Title;1" </w:instrText>
      </w:r>
      <w:r w:rsidRPr="005A3F47">
        <w:rPr>
          <w:noProof/>
        </w:rPr>
        <w:fldChar w:fldCharType="separate"/>
      </w:r>
      <w:hyperlink w:anchor="_Toc230258040" w:history="1">
        <w:r w:rsidR="00FF29B2" w:rsidRPr="005A3F47">
          <w:rPr>
            <w:rStyle w:val="Hyperlink"/>
            <w:noProof/>
          </w:rPr>
          <w:t>1.</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Introduction: Political and legal context</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_Toc230258040 \h </w:instrText>
        </w:r>
        <w:r w:rsidR="00FF29B2" w:rsidRPr="005A3F47">
          <w:rPr>
            <w:noProof/>
            <w:webHidden/>
          </w:rPr>
        </w:r>
        <w:r w:rsidR="00FF29B2" w:rsidRPr="005A3F47">
          <w:rPr>
            <w:noProof/>
            <w:webHidden/>
          </w:rPr>
          <w:fldChar w:fldCharType="separate"/>
        </w:r>
        <w:r w:rsidR="00CF3380">
          <w:rPr>
            <w:noProof/>
            <w:webHidden/>
          </w:rPr>
          <w:t>1</w:t>
        </w:r>
        <w:r w:rsidR="00FF29B2" w:rsidRPr="005A3F47">
          <w:rPr>
            <w:noProof/>
            <w:webHidden/>
          </w:rPr>
          <w:fldChar w:fldCharType="end"/>
        </w:r>
      </w:hyperlink>
    </w:p>
    <w:p w14:paraId="50C584DD" w14:textId="09D6D4DB"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41" w:history="1">
        <w:r w:rsidR="00FF29B2" w:rsidRPr="005A3F47">
          <w:rPr>
            <w:rStyle w:val="Hyperlink"/>
            <w:noProof/>
          </w:rPr>
          <w:t>2.</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Problem definition</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_Toc230258041 \h </w:instrText>
        </w:r>
        <w:r w:rsidR="00FF29B2" w:rsidRPr="005A3F47">
          <w:rPr>
            <w:noProof/>
            <w:webHidden/>
          </w:rPr>
        </w:r>
        <w:r w:rsidR="00FF29B2" w:rsidRPr="005A3F47">
          <w:rPr>
            <w:noProof/>
            <w:webHidden/>
          </w:rPr>
          <w:fldChar w:fldCharType="separate"/>
        </w:r>
        <w:r w:rsidR="00CF3380">
          <w:rPr>
            <w:noProof/>
            <w:webHidden/>
          </w:rPr>
          <w:t>2</w:t>
        </w:r>
        <w:r w:rsidR="00FF29B2" w:rsidRPr="005A3F47">
          <w:rPr>
            <w:noProof/>
            <w:webHidden/>
          </w:rPr>
          <w:fldChar w:fldCharType="end"/>
        </w:r>
      </w:hyperlink>
    </w:p>
    <w:p w14:paraId="4486E9BA" w14:textId="3C972F2A"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42" w:history="1">
        <w:r w:rsidR="00FF29B2" w:rsidRPr="005A3F47">
          <w:rPr>
            <w:rStyle w:val="Hyperlink"/>
            <w:noProof/>
          </w:rPr>
          <w:t>3.</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Why should the EU act?</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_Toc230258042 \h </w:instrText>
        </w:r>
        <w:r w:rsidR="00FF29B2" w:rsidRPr="005A3F47">
          <w:rPr>
            <w:noProof/>
            <w:webHidden/>
          </w:rPr>
        </w:r>
        <w:r w:rsidR="00FF29B2" w:rsidRPr="005A3F47">
          <w:rPr>
            <w:noProof/>
            <w:webHidden/>
          </w:rPr>
          <w:fldChar w:fldCharType="separate"/>
        </w:r>
        <w:r w:rsidR="00CF3380">
          <w:rPr>
            <w:noProof/>
            <w:webHidden/>
          </w:rPr>
          <w:t>13</w:t>
        </w:r>
        <w:r w:rsidR="00FF29B2" w:rsidRPr="005A3F47">
          <w:rPr>
            <w:noProof/>
            <w:webHidden/>
          </w:rPr>
          <w:fldChar w:fldCharType="end"/>
        </w:r>
      </w:hyperlink>
    </w:p>
    <w:p w14:paraId="06C15D70" w14:textId="0BE3D1FF"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43" w:history="1">
        <w:r w:rsidR="00FF29B2" w:rsidRPr="005A3F47">
          <w:rPr>
            <w:rStyle w:val="Hyperlink"/>
            <w:noProof/>
          </w:rPr>
          <w:t>4.</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Objectives: What is to be achieved?</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_Toc230258043 \h </w:instrText>
        </w:r>
        <w:r w:rsidR="00FF29B2" w:rsidRPr="005A3F47">
          <w:rPr>
            <w:noProof/>
            <w:webHidden/>
          </w:rPr>
        </w:r>
        <w:r w:rsidR="00FF29B2" w:rsidRPr="005A3F47">
          <w:rPr>
            <w:noProof/>
            <w:webHidden/>
          </w:rPr>
          <w:fldChar w:fldCharType="separate"/>
        </w:r>
        <w:r w:rsidR="00CF3380">
          <w:rPr>
            <w:noProof/>
            <w:webHidden/>
          </w:rPr>
          <w:t>15</w:t>
        </w:r>
        <w:r w:rsidR="00FF29B2" w:rsidRPr="005A3F47">
          <w:rPr>
            <w:noProof/>
            <w:webHidden/>
          </w:rPr>
          <w:fldChar w:fldCharType="end"/>
        </w:r>
      </w:hyperlink>
    </w:p>
    <w:p w14:paraId="432A557F" w14:textId="01F0FFC8"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45" w:history="1">
        <w:r w:rsidR="00FF29B2" w:rsidRPr="005A3F47">
          <w:rPr>
            <w:rStyle w:val="Hyperlink"/>
            <w:noProof/>
          </w:rPr>
          <w:t>5.</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What are the available policy options?</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_Toc230258045 \h </w:instrText>
        </w:r>
        <w:r w:rsidR="00FF29B2" w:rsidRPr="005A3F47">
          <w:rPr>
            <w:noProof/>
            <w:webHidden/>
          </w:rPr>
        </w:r>
        <w:r w:rsidR="00FF29B2" w:rsidRPr="005A3F47">
          <w:rPr>
            <w:noProof/>
            <w:webHidden/>
          </w:rPr>
          <w:fldChar w:fldCharType="separate"/>
        </w:r>
        <w:r w:rsidR="00CF3380">
          <w:rPr>
            <w:noProof/>
            <w:webHidden/>
          </w:rPr>
          <w:t>17</w:t>
        </w:r>
        <w:r w:rsidR="00FF29B2" w:rsidRPr="005A3F47">
          <w:rPr>
            <w:noProof/>
            <w:webHidden/>
          </w:rPr>
          <w:fldChar w:fldCharType="end"/>
        </w:r>
      </w:hyperlink>
    </w:p>
    <w:p w14:paraId="4A1ED1BC" w14:textId="7F933FAE"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46" w:history="1">
        <w:r w:rsidR="00FF29B2" w:rsidRPr="005A3F47">
          <w:rPr>
            <w:rStyle w:val="Hyperlink"/>
            <w:noProof/>
          </w:rPr>
          <w:t>6.</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What are the impacts of the policy options?</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_Toc230258046 \h </w:instrText>
        </w:r>
        <w:r w:rsidR="00FF29B2" w:rsidRPr="005A3F47">
          <w:rPr>
            <w:noProof/>
            <w:webHidden/>
          </w:rPr>
        </w:r>
        <w:r w:rsidR="00FF29B2" w:rsidRPr="005A3F47">
          <w:rPr>
            <w:noProof/>
            <w:webHidden/>
          </w:rPr>
          <w:fldChar w:fldCharType="separate"/>
        </w:r>
        <w:r w:rsidR="00CF3380">
          <w:rPr>
            <w:noProof/>
            <w:webHidden/>
          </w:rPr>
          <w:t>39</w:t>
        </w:r>
        <w:r w:rsidR="00FF29B2" w:rsidRPr="005A3F47">
          <w:rPr>
            <w:noProof/>
            <w:webHidden/>
          </w:rPr>
          <w:fldChar w:fldCharType="end"/>
        </w:r>
      </w:hyperlink>
    </w:p>
    <w:p w14:paraId="1B610904" w14:textId="286AD939"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47" w:history="1">
        <w:r w:rsidR="00FF29B2" w:rsidRPr="005A3F47">
          <w:rPr>
            <w:rStyle w:val="Hyperlink"/>
            <w:noProof/>
          </w:rPr>
          <w:t>7.  How do the options compare?</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_Toc230258047 \h </w:instrText>
        </w:r>
        <w:r w:rsidR="00FF29B2" w:rsidRPr="005A3F47">
          <w:rPr>
            <w:noProof/>
            <w:webHidden/>
          </w:rPr>
        </w:r>
        <w:r w:rsidR="00FF29B2" w:rsidRPr="005A3F47">
          <w:rPr>
            <w:noProof/>
            <w:webHidden/>
          </w:rPr>
          <w:fldChar w:fldCharType="separate"/>
        </w:r>
        <w:r w:rsidR="00CF3380">
          <w:rPr>
            <w:noProof/>
            <w:webHidden/>
          </w:rPr>
          <w:t>62</w:t>
        </w:r>
        <w:r w:rsidR="00FF29B2" w:rsidRPr="005A3F47">
          <w:rPr>
            <w:noProof/>
            <w:webHidden/>
          </w:rPr>
          <w:fldChar w:fldCharType="end"/>
        </w:r>
      </w:hyperlink>
    </w:p>
    <w:p w14:paraId="74A3B19F" w14:textId="1F9152CF"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79" w:history="1">
        <w:r w:rsidR="00FF29B2" w:rsidRPr="005A3F47">
          <w:rPr>
            <w:rStyle w:val="Hyperlink"/>
            <w:noProof/>
          </w:rPr>
          <w:t>8.</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Preferred option</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_Toc230258079 \h </w:instrText>
        </w:r>
        <w:r w:rsidR="00FF29B2" w:rsidRPr="005A3F47">
          <w:rPr>
            <w:noProof/>
            <w:webHidden/>
          </w:rPr>
        </w:r>
        <w:r w:rsidR="00FF29B2" w:rsidRPr="005A3F47">
          <w:rPr>
            <w:noProof/>
            <w:webHidden/>
          </w:rPr>
          <w:fldChar w:fldCharType="separate"/>
        </w:r>
        <w:r w:rsidR="00CF3380">
          <w:rPr>
            <w:noProof/>
            <w:webHidden/>
          </w:rPr>
          <w:t>68</w:t>
        </w:r>
        <w:r w:rsidR="00FF29B2" w:rsidRPr="005A3F47">
          <w:rPr>
            <w:noProof/>
            <w:webHidden/>
          </w:rPr>
          <w:fldChar w:fldCharType="end"/>
        </w:r>
      </w:hyperlink>
    </w:p>
    <w:p w14:paraId="46E2126E" w14:textId="37805E15"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0" w:history="1">
        <w:r w:rsidR="00FF29B2" w:rsidRPr="005A3F47">
          <w:rPr>
            <w:rStyle w:val="Hyperlink"/>
            <w:noProof/>
          </w:rPr>
          <w:t>9.</w:t>
        </w:r>
        <w:r w:rsidR="00FF29B2" w:rsidRPr="005A3F47">
          <w:rPr>
            <w:rFonts w:asciiTheme="minorHAnsi" w:eastAsiaTheme="minorEastAsia" w:hAnsiTheme="minorHAnsi" w:cstheme="minorBidi"/>
            <w:caps w:val="0"/>
            <w:noProof/>
            <w:kern w:val="2"/>
            <w:sz w:val="24"/>
            <w:szCs w:val="24"/>
            <w:lang w:val="en-IE" w:eastAsia="en-IE"/>
            <w14:ligatures w14:val="standardContextual"/>
          </w:rPr>
          <w:tab/>
        </w:r>
        <w:r w:rsidR="00FF29B2" w:rsidRPr="005A3F47">
          <w:rPr>
            <w:rStyle w:val="Hyperlink"/>
            <w:noProof/>
          </w:rPr>
          <w:t>How will actual impacts be monitored and evaluated?</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_Toc230258080 \h </w:instrText>
        </w:r>
        <w:r w:rsidR="00FF29B2" w:rsidRPr="005A3F47">
          <w:rPr>
            <w:noProof/>
            <w:webHidden/>
          </w:rPr>
        </w:r>
        <w:r w:rsidR="00FF29B2" w:rsidRPr="005A3F47">
          <w:rPr>
            <w:noProof/>
            <w:webHidden/>
          </w:rPr>
          <w:fldChar w:fldCharType="separate"/>
        </w:r>
        <w:r w:rsidR="00CF3380">
          <w:rPr>
            <w:noProof/>
            <w:webHidden/>
          </w:rPr>
          <w:t>73</w:t>
        </w:r>
        <w:r w:rsidR="00FF29B2" w:rsidRPr="005A3F47">
          <w:rPr>
            <w:noProof/>
            <w:webHidden/>
          </w:rPr>
          <w:fldChar w:fldCharType="end"/>
        </w:r>
      </w:hyperlink>
    </w:p>
    <w:p w14:paraId="69E9CE90" w14:textId="48B67843"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1" w:history="1">
        <w:r w:rsidR="00FF29B2" w:rsidRPr="005A3F47">
          <w:rPr>
            <w:rStyle w:val="Hyperlink"/>
            <w:noProof/>
          </w:rPr>
          <w:t>Annex 1: Procedural information</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_Toc230258081 \h </w:instrText>
        </w:r>
        <w:r w:rsidR="00FF29B2" w:rsidRPr="005A3F47">
          <w:rPr>
            <w:noProof/>
            <w:webHidden/>
          </w:rPr>
        </w:r>
        <w:r w:rsidR="00FF29B2" w:rsidRPr="005A3F47">
          <w:rPr>
            <w:noProof/>
            <w:webHidden/>
          </w:rPr>
          <w:fldChar w:fldCharType="separate"/>
        </w:r>
        <w:r w:rsidR="00CF3380">
          <w:rPr>
            <w:noProof/>
            <w:webHidden/>
          </w:rPr>
          <w:t>76</w:t>
        </w:r>
        <w:r w:rsidR="00FF29B2" w:rsidRPr="005A3F47">
          <w:rPr>
            <w:noProof/>
            <w:webHidden/>
          </w:rPr>
          <w:fldChar w:fldCharType="end"/>
        </w:r>
      </w:hyperlink>
    </w:p>
    <w:p w14:paraId="49A66AE4" w14:textId="2BAEBE30"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2" w:history="1">
        <w:r w:rsidR="00FF29B2" w:rsidRPr="005A3F47">
          <w:rPr>
            <w:rStyle w:val="Hyperlink"/>
            <w:noProof/>
          </w:rPr>
          <w:t>Annex 2: Stakeholder consultation (Synopsis report)</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_Toc230258082 \h </w:instrText>
        </w:r>
        <w:r w:rsidR="00FF29B2" w:rsidRPr="005A3F47">
          <w:rPr>
            <w:noProof/>
            <w:webHidden/>
          </w:rPr>
        </w:r>
        <w:r w:rsidR="00FF29B2" w:rsidRPr="005A3F47">
          <w:rPr>
            <w:noProof/>
            <w:webHidden/>
          </w:rPr>
          <w:fldChar w:fldCharType="separate"/>
        </w:r>
        <w:r w:rsidR="00CF3380">
          <w:rPr>
            <w:noProof/>
            <w:webHidden/>
          </w:rPr>
          <w:t>80</w:t>
        </w:r>
        <w:r w:rsidR="00FF29B2" w:rsidRPr="005A3F47">
          <w:rPr>
            <w:noProof/>
            <w:webHidden/>
          </w:rPr>
          <w:fldChar w:fldCharType="end"/>
        </w:r>
      </w:hyperlink>
    </w:p>
    <w:p w14:paraId="105F7AFB" w14:textId="7BF63CE7"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3" w:history="1">
        <w:r w:rsidR="00FF29B2" w:rsidRPr="005A3F47">
          <w:rPr>
            <w:rStyle w:val="Hyperlink"/>
            <w:noProof/>
          </w:rPr>
          <w:t>Annex 3: Who is affected and how?</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_Toc230258083 \h </w:instrText>
        </w:r>
        <w:r w:rsidR="00FF29B2" w:rsidRPr="005A3F47">
          <w:rPr>
            <w:noProof/>
            <w:webHidden/>
          </w:rPr>
        </w:r>
        <w:r w:rsidR="00FF29B2" w:rsidRPr="005A3F47">
          <w:rPr>
            <w:noProof/>
            <w:webHidden/>
          </w:rPr>
          <w:fldChar w:fldCharType="separate"/>
        </w:r>
        <w:r w:rsidR="00CF3380">
          <w:rPr>
            <w:noProof/>
            <w:webHidden/>
          </w:rPr>
          <w:t>85</w:t>
        </w:r>
        <w:r w:rsidR="00FF29B2" w:rsidRPr="005A3F47">
          <w:rPr>
            <w:noProof/>
            <w:webHidden/>
          </w:rPr>
          <w:fldChar w:fldCharType="end"/>
        </w:r>
      </w:hyperlink>
    </w:p>
    <w:p w14:paraId="39FDB3F8" w14:textId="6BD282B4"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4" w:history="1">
        <w:r w:rsidR="00FF29B2" w:rsidRPr="005A3F47">
          <w:rPr>
            <w:rStyle w:val="Hyperlink"/>
            <w:noProof/>
          </w:rPr>
          <w:t>Annex 4: Analytical methods</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_Toc230258084 \h </w:instrText>
        </w:r>
        <w:r w:rsidR="00FF29B2" w:rsidRPr="005A3F47">
          <w:rPr>
            <w:noProof/>
            <w:webHidden/>
          </w:rPr>
        </w:r>
        <w:r w:rsidR="00FF29B2" w:rsidRPr="005A3F47">
          <w:rPr>
            <w:noProof/>
            <w:webHidden/>
          </w:rPr>
          <w:fldChar w:fldCharType="separate"/>
        </w:r>
        <w:r w:rsidR="00CF3380">
          <w:rPr>
            <w:noProof/>
            <w:webHidden/>
          </w:rPr>
          <w:t>90</w:t>
        </w:r>
        <w:r w:rsidR="00FF29B2" w:rsidRPr="005A3F47">
          <w:rPr>
            <w:noProof/>
            <w:webHidden/>
          </w:rPr>
          <w:fldChar w:fldCharType="end"/>
        </w:r>
      </w:hyperlink>
    </w:p>
    <w:p w14:paraId="54EE0131" w14:textId="761254DC"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5" w:history="1">
        <w:r w:rsidR="00FF29B2" w:rsidRPr="005A3F47">
          <w:rPr>
            <w:rStyle w:val="Hyperlink"/>
            <w:noProof/>
          </w:rPr>
          <w:t>Annex 5: Competitiveness check</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_Toc230258085 \h </w:instrText>
        </w:r>
        <w:r w:rsidR="00FF29B2" w:rsidRPr="005A3F47">
          <w:rPr>
            <w:noProof/>
            <w:webHidden/>
          </w:rPr>
        </w:r>
        <w:r w:rsidR="00FF29B2" w:rsidRPr="005A3F47">
          <w:rPr>
            <w:noProof/>
            <w:webHidden/>
          </w:rPr>
          <w:fldChar w:fldCharType="separate"/>
        </w:r>
        <w:r w:rsidR="00CF3380">
          <w:rPr>
            <w:noProof/>
            <w:webHidden/>
          </w:rPr>
          <w:t>106</w:t>
        </w:r>
        <w:r w:rsidR="00FF29B2" w:rsidRPr="005A3F47">
          <w:rPr>
            <w:noProof/>
            <w:webHidden/>
          </w:rPr>
          <w:fldChar w:fldCharType="end"/>
        </w:r>
      </w:hyperlink>
    </w:p>
    <w:p w14:paraId="49B0954F" w14:textId="33F460DB"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6" w:history="1">
        <w:r w:rsidR="00FF29B2" w:rsidRPr="005A3F47">
          <w:rPr>
            <w:rStyle w:val="Hyperlink"/>
            <w:noProof/>
          </w:rPr>
          <w:t>Annex 6: SME check</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_Toc230258086 \h </w:instrText>
        </w:r>
        <w:r w:rsidR="00FF29B2" w:rsidRPr="005A3F47">
          <w:rPr>
            <w:noProof/>
            <w:webHidden/>
          </w:rPr>
        </w:r>
        <w:r w:rsidR="00FF29B2" w:rsidRPr="005A3F47">
          <w:rPr>
            <w:noProof/>
            <w:webHidden/>
          </w:rPr>
          <w:fldChar w:fldCharType="separate"/>
        </w:r>
        <w:r w:rsidR="00CF3380">
          <w:rPr>
            <w:noProof/>
            <w:webHidden/>
          </w:rPr>
          <w:t>107</w:t>
        </w:r>
        <w:r w:rsidR="00FF29B2" w:rsidRPr="005A3F47">
          <w:rPr>
            <w:noProof/>
            <w:webHidden/>
          </w:rPr>
          <w:fldChar w:fldCharType="end"/>
        </w:r>
      </w:hyperlink>
    </w:p>
    <w:p w14:paraId="165CCFBE" w14:textId="16A6C74F" w:rsidR="00FF29B2" w:rsidRPr="005A3F47" w:rsidRDefault="009B1812">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258087" w:history="1">
        <w:r w:rsidR="00FF29B2" w:rsidRPr="005A3F47">
          <w:rPr>
            <w:rStyle w:val="Hyperlink"/>
            <w:noProof/>
            <w:lang w:val="en-IE"/>
          </w:rPr>
          <w:t>Annex 7:  Timeline of EU Directives in Direct Taxation</w:t>
        </w:r>
        <w:r w:rsidR="00FF29B2" w:rsidRPr="005A3F47">
          <w:rPr>
            <w:noProof/>
            <w:webHidden/>
          </w:rPr>
          <w:tab/>
        </w:r>
        <w:r w:rsidR="00FF29B2" w:rsidRPr="005A3F47">
          <w:rPr>
            <w:noProof/>
            <w:webHidden/>
          </w:rPr>
          <w:fldChar w:fldCharType="begin"/>
        </w:r>
        <w:r w:rsidR="00FF29B2" w:rsidRPr="005A3F47">
          <w:rPr>
            <w:noProof/>
            <w:webHidden/>
          </w:rPr>
          <w:instrText xml:space="preserve"> PAGEREF _Toc230258087 \h </w:instrText>
        </w:r>
        <w:r w:rsidR="00FF29B2" w:rsidRPr="005A3F47">
          <w:rPr>
            <w:noProof/>
            <w:webHidden/>
          </w:rPr>
        </w:r>
        <w:r w:rsidR="00FF29B2" w:rsidRPr="005A3F47">
          <w:rPr>
            <w:noProof/>
            <w:webHidden/>
          </w:rPr>
          <w:fldChar w:fldCharType="separate"/>
        </w:r>
        <w:r w:rsidR="00CF3380">
          <w:rPr>
            <w:noProof/>
            <w:webHidden/>
          </w:rPr>
          <w:t>110</w:t>
        </w:r>
        <w:r w:rsidR="00FF29B2" w:rsidRPr="005A3F47">
          <w:rPr>
            <w:noProof/>
            <w:webHidden/>
          </w:rPr>
          <w:fldChar w:fldCharType="end"/>
        </w:r>
      </w:hyperlink>
    </w:p>
    <w:p w14:paraId="71F90928" w14:textId="019A6FEA" w:rsidR="0096545C" w:rsidRPr="005A3F47" w:rsidRDefault="00F717A0" w:rsidP="00F717A0">
      <w:pPr>
        <w:pStyle w:val="TOCHeading"/>
        <w:jc w:val="both"/>
        <w:rPr>
          <w:noProof/>
        </w:rPr>
      </w:pPr>
      <w:r w:rsidRPr="005A3F47">
        <w:rPr>
          <w:noProof/>
        </w:rPr>
        <w:fldChar w:fldCharType="end"/>
      </w:r>
    </w:p>
    <w:p w14:paraId="4E52CC53" w14:textId="77777777" w:rsidR="0096545C" w:rsidRPr="005A3F47" w:rsidRDefault="0096545C">
      <w:pPr>
        <w:spacing w:after="200" w:line="276" w:lineRule="auto"/>
        <w:jc w:val="left"/>
        <w:rPr>
          <w:rFonts w:eastAsia="Times New Roman"/>
          <w:b/>
          <w:noProof/>
          <w:szCs w:val="20"/>
        </w:rPr>
      </w:pPr>
      <w:r w:rsidRPr="005A3F47">
        <w:rPr>
          <w:noProof/>
        </w:rPr>
        <w:br w:type="page"/>
      </w:r>
    </w:p>
    <w:p w14:paraId="6F8771C2" w14:textId="79E12B9B" w:rsidR="006B087E" w:rsidRPr="005A3F47" w:rsidRDefault="006B087E" w:rsidP="00F717A0">
      <w:pPr>
        <w:pStyle w:val="TOCHeading"/>
        <w:jc w:val="both"/>
        <w:rPr>
          <w:noProof/>
        </w:rPr>
      </w:pPr>
      <w:r w:rsidRPr="005A3F47">
        <w:rPr>
          <w:noProof/>
        </w:rPr>
        <w:t>Glossary</w:t>
      </w:r>
    </w:p>
    <w:tbl>
      <w:tblPr>
        <w:tblStyle w:val="TableGrid"/>
        <w:tblW w:w="0" w:type="auto"/>
        <w:tblLook w:val="04A0" w:firstRow="1" w:lastRow="0" w:firstColumn="1" w:lastColumn="0" w:noHBand="0" w:noVBand="1"/>
      </w:tblPr>
      <w:tblGrid>
        <w:gridCol w:w="3227"/>
        <w:gridCol w:w="5607"/>
      </w:tblGrid>
      <w:tr w:rsidR="006B087E" w:rsidRPr="005A3F47" w14:paraId="22BF0E77" w14:textId="77777777" w:rsidTr="004C0683">
        <w:tc>
          <w:tcPr>
            <w:tcW w:w="3227" w:type="dxa"/>
            <w:tcBorders>
              <w:bottom w:val="double" w:sz="4" w:space="0" w:color="auto"/>
            </w:tcBorders>
            <w:shd w:val="clear" w:color="auto" w:fill="F2F2F2" w:themeFill="background1" w:themeFillShade="F2"/>
            <w:vAlign w:val="center"/>
          </w:tcPr>
          <w:p w14:paraId="3A241B69" w14:textId="77777777" w:rsidR="006B087E" w:rsidRPr="005A3F47" w:rsidRDefault="006B087E" w:rsidP="009E5120">
            <w:pPr>
              <w:spacing w:before="120" w:after="120"/>
              <w:jc w:val="left"/>
              <w:rPr>
                <w:noProof/>
              </w:rPr>
            </w:pPr>
            <w:r w:rsidRPr="005A3F47">
              <w:rPr>
                <w:noProof/>
              </w:rPr>
              <w:t>Term or acronym</w:t>
            </w:r>
          </w:p>
        </w:tc>
        <w:tc>
          <w:tcPr>
            <w:tcW w:w="5607" w:type="dxa"/>
            <w:tcBorders>
              <w:bottom w:val="double" w:sz="4" w:space="0" w:color="auto"/>
            </w:tcBorders>
            <w:shd w:val="clear" w:color="auto" w:fill="F2F2F2" w:themeFill="background1" w:themeFillShade="F2"/>
            <w:vAlign w:val="center"/>
          </w:tcPr>
          <w:p w14:paraId="163C4F68" w14:textId="77777777" w:rsidR="006B087E" w:rsidRPr="005A3F47" w:rsidRDefault="006B087E" w:rsidP="009E5120">
            <w:pPr>
              <w:spacing w:before="120" w:after="120"/>
              <w:jc w:val="left"/>
              <w:rPr>
                <w:noProof/>
              </w:rPr>
            </w:pPr>
            <w:r w:rsidRPr="005A3F47">
              <w:rPr>
                <w:noProof/>
              </w:rPr>
              <w:t>Meaning or definition</w:t>
            </w:r>
          </w:p>
        </w:tc>
      </w:tr>
      <w:tr w:rsidR="006B087E" w:rsidRPr="005A3F47" w14:paraId="5CD1DA29" w14:textId="77777777" w:rsidTr="004C0683">
        <w:tc>
          <w:tcPr>
            <w:tcW w:w="3227" w:type="dxa"/>
            <w:tcBorders>
              <w:top w:val="double" w:sz="4" w:space="0" w:color="auto"/>
              <w:bottom w:val="single" w:sz="4" w:space="0" w:color="auto"/>
            </w:tcBorders>
            <w:tcMar>
              <w:top w:w="85" w:type="dxa"/>
              <w:left w:w="57" w:type="dxa"/>
              <w:bottom w:w="85" w:type="dxa"/>
              <w:right w:w="57" w:type="dxa"/>
            </w:tcMar>
          </w:tcPr>
          <w:p w14:paraId="169AC23A" w14:textId="6B5229C1" w:rsidR="006B087E" w:rsidRPr="005A3F47" w:rsidRDefault="005F617B" w:rsidP="000E3086">
            <w:pPr>
              <w:rPr>
                <w:noProof/>
              </w:rPr>
            </w:pPr>
            <w:r w:rsidRPr="005A3F47">
              <w:rPr>
                <w:noProof/>
              </w:rPr>
              <w:t>ATAD</w:t>
            </w:r>
          </w:p>
        </w:tc>
        <w:tc>
          <w:tcPr>
            <w:tcW w:w="5607" w:type="dxa"/>
            <w:tcBorders>
              <w:top w:val="double" w:sz="4" w:space="0" w:color="auto"/>
              <w:bottom w:val="single" w:sz="4" w:space="0" w:color="auto"/>
            </w:tcBorders>
            <w:tcMar>
              <w:top w:w="85" w:type="dxa"/>
              <w:left w:w="57" w:type="dxa"/>
              <w:bottom w:w="85" w:type="dxa"/>
              <w:right w:w="57" w:type="dxa"/>
            </w:tcMar>
          </w:tcPr>
          <w:p w14:paraId="4A19DA20" w14:textId="02E0ACAB" w:rsidR="006B087E" w:rsidRPr="005A3F47" w:rsidRDefault="005F617B" w:rsidP="000E3086">
            <w:pPr>
              <w:rPr>
                <w:noProof/>
              </w:rPr>
            </w:pPr>
            <w:r w:rsidRPr="005A3F47">
              <w:rPr>
                <w:noProof/>
              </w:rPr>
              <w:t>Anti-Tax Avoidance Directive</w:t>
            </w:r>
          </w:p>
        </w:tc>
      </w:tr>
      <w:tr w:rsidR="00E76361" w:rsidRPr="005A3F47" w14:paraId="1EBF9495" w14:textId="77777777" w:rsidTr="004C0683">
        <w:tc>
          <w:tcPr>
            <w:tcW w:w="3227" w:type="dxa"/>
            <w:tcBorders>
              <w:top w:val="single" w:sz="4" w:space="0" w:color="auto"/>
              <w:bottom w:val="single" w:sz="4" w:space="0" w:color="auto"/>
            </w:tcBorders>
            <w:tcMar>
              <w:top w:w="85" w:type="dxa"/>
              <w:left w:w="57" w:type="dxa"/>
              <w:bottom w:w="85" w:type="dxa"/>
              <w:right w:w="57" w:type="dxa"/>
            </w:tcMar>
          </w:tcPr>
          <w:p w14:paraId="57CD69AB" w14:textId="33A54C62" w:rsidR="00E76361" w:rsidRPr="005A3F47" w:rsidRDefault="00E76361" w:rsidP="000E3086">
            <w:pPr>
              <w:rPr>
                <w:noProof/>
              </w:rPr>
            </w:pPr>
            <w:r w:rsidRPr="005A3F47">
              <w:rPr>
                <w:noProof/>
              </w:rPr>
              <w:t>BEPS</w:t>
            </w:r>
          </w:p>
        </w:tc>
        <w:tc>
          <w:tcPr>
            <w:tcW w:w="5607" w:type="dxa"/>
            <w:tcBorders>
              <w:top w:val="single" w:sz="4" w:space="0" w:color="auto"/>
              <w:bottom w:val="single" w:sz="4" w:space="0" w:color="auto"/>
            </w:tcBorders>
            <w:tcMar>
              <w:top w:w="85" w:type="dxa"/>
              <w:left w:w="57" w:type="dxa"/>
              <w:bottom w:w="85" w:type="dxa"/>
              <w:right w:w="57" w:type="dxa"/>
            </w:tcMar>
          </w:tcPr>
          <w:p w14:paraId="7E5BB1C3" w14:textId="3DEDF8EA" w:rsidR="00E76361" w:rsidRPr="005A3F47" w:rsidRDefault="00E76361" w:rsidP="000E3086">
            <w:pPr>
              <w:rPr>
                <w:noProof/>
              </w:rPr>
            </w:pPr>
            <w:r w:rsidRPr="005A3F47">
              <w:rPr>
                <w:noProof/>
              </w:rPr>
              <w:t>Base Erosion and Profit Shifting</w:t>
            </w:r>
          </w:p>
        </w:tc>
      </w:tr>
      <w:tr w:rsidR="00037E4F" w:rsidRPr="005A3F47" w14:paraId="50AA6769" w14:textId="77777777" w:rsidTr="004C0683">
        <w:tc>
          <w:tcPr>
            <w:tcW w:w="3227" w:type="dxa"/>
            <w:tcBorders>
              <w:top w:val="single" w:sz="4" w:space="0" w:color="auto"/>
            </w:tcBorders>
            <w:tcMar>
              <w:top w:w="85" w:type="dxa"/>
              <w:left w:w="57" w:type="dxa"/>
              <w:bottom w:w="85" w:type="dxa"/>
              <w:right w:w="57" w:type="dxa"/>
            </w:tcMar>
          </w:tcPr>
          <w:p w14:paraId="758F90E9" w14:textId="4A3A5542" w:rsidR="00037E4F" w:rsidRPr="005A3F47" w:rsidRDefault="00037E4F" w:rsidP="000E3086">
            <w:pPr>
              <w:rPr>
                <w:noProof/>
              </w:rPr>
            </w:pPr>
            <w:r w:rsidRPr="005A3F47">
              <w:rPr>
                <w:noProof/>
              </w:rPr>
              <w:t>CJEU</w:t>
            </w:r>
          </w:p>
        </w:tc>
        <w:tc>
          <w:tcPr>
            <w:tcW w:w="5607" w:type="dxa"/>
            <w:tcBorders>
              <w:top w:val="single" w:sz="4" w:space="0" w:color="auto"/>
            </w:tcBorders>
            <w:tcMar>
              <w:top w:w="85" w:type="dxa"/>
              <w:left w:w="57" w:type="dxa"/>
              <w:bottom w:w="85" w:type="dxa"/>
              <w:right w:w="57" w:type="dxa"/>
            </w:tcMar>
          </w:tcPr>
          <w:p w14:paraId="1FB728F1" w14:textId="046FEF27" w:rsidR="00037E4F" w:rsidRPr="005A3F47" w:rsidRDefault="00037E4F" w:rsidP="000E3086">
            <w:pPr>
              <w:rPr>
                <w:noProof/>
              </w:rPr>
            </w:pPr>
            <w:r w:rsidRPr="005A3F47">
              <w:rPr>
                <w:noProof/>
              </w:rPr>
              <w:t>Court of Justice of the European Union</w:t>
            </w:r>
          </w:p>
        </w:tc>
      </w:tr>
      <w:tr w:rsidR="006B087E" w:rsidRPr="005A3F47" w14:paraId="386BB04D" w14:textId="77777777" w:rsidTr="004C0683">
        <w:tc>
          <w:tcPr>
            <w:tcW w:w="3227" w:type="dxa"/>
            <w:tcMar>
              <w:top w:w="85" w:type="dxa"/>
              <w:left w:w="57" w:type="dxa"/>
              <w:bottom w:w="85" w:type="dxa"/>
              <w:right w:w="57" w:type="dxa"/>
            </w:tcMar>
          </w:tcPr>
          <w:p w14:paraId="79AB3D3E" w14:textId="63B0B87F" w:rsidR="006B087E" w:rsidRPr="005A3F47" w:rsidRDefault="00BA380B" w:rsidP="000E3086">
            <w:pPr>
              <w:rPr>
                <w:noProof/>
              </w:rPr>
            </w:pPr>
            <w:r w:rsidRPr="005A3F47">
              <w:rPr>
                <w:noProof/>
              </w:rPr>
              <w:t>CFC</w:t>
            </w:r>
          </w:p>
        </w:tc>
        <w:tc>
          <w:tcPr>
            <w:tcW w:w="5607" w:type="dxa"/>
            <w:tcMar>
              <w:top w:w="85" w:type="dxa"/>
              <w:left w:w="57" w:type="dxa"/>
              <w:bottom w:w="85" w:type="dxa"/>
              <w:right w:w="57" w:type="dxa"/>
            </w:tcMar>
          </w:tcPr>
          <w:p w14:paraId="3959785F" w14:textId="36DBDEAD" w:rsidR="006B087E" w:rsidRPr="005A3F47" w:rsidRDefault="00BA380B" w:rsidP="000E3086">
            <w:pPr>
              <w:rPr>
                <w:noProof/>
              </w:rPr>
            </w:pPr>
            <w:r w:rsidRPr="005A3F47">
              <w:rPr>
                <w:noProof/>
              </w:rPr>
              <w:t>Controlled Foreign Company</w:t>
            </w:r>
          </w:p>
        </w:tc>
      </w:tr>
      <w:tr w:rsidR="003E04CB" w:rsidRPr="005A3F47" w14:paraId="14466103" w14:textId="77777777" w:rsidTr="004C0683">
        <w:tc>
          <w:tcPr>
            <w:tcW w:w="3227" w:type="dxa"/>
            <w:tcMar>
              <w:top w:w="85" w:type="dxa"/>
              <w:left w:w="57" w:type="dxa"/>
              <w:bottom w:w="85" w:type="dxa"/>
              <w:right w:w="57" w:type="dxa"/>
            </w:tcMar>
          </w:tcPr>
          <w:p w14:paraId="254FFEAD" w14:textId="6608B1E9" w:rsidR="003E04CB" w:rsidRPr="005A3F47" w:rsidRDefault="003E04CB" w:rsidP="000E3086">
            <w:pPr>
              <w:rPr>
                <w:noProof/>
              </w:rPr>
            </w:pPr>
            <w:r w:rsidRPr="005A3F47">
              <w:rPr>
                <w:noProof/>
              </w:rPr>
              <w:t>CIT</w:t>
            </w:r>
          </w:p>
        </w:tc>
        <w:tc>
          <w:tcPr>
            <w:tcW w:w="5607" w:type="dxa"/>
            <w:tcMar>
              <w:top w:w="85" w:type="dxa"/>
              <w:left w:w="57" w:type="dxa"/>
              <w:bottom w:w="85" w:type="dxa"/>
              <w:right w:w="57" w:type="dxa"/>
            </w:tcMar>
          </w:tcPr>
          <w:p w14:paraId="08EA0173" w14:textId="2477EF92" w:rsidR="003E04CB" w:rsidRPr="005A3F47" w:rsidRDefault="00C64324" w:rsidP="000E3086">
            <w:pPr>
              <w:rPr>
                <w:noProof/>
              </w:rPr>
            </w:pPr>
            <w:r w:rsidRPr="005A3F47">
              <w:rPr>
                <w:noProof/>
              </w:rPr>
              <w:t>Corporate Income Tax</w:t>
            </w:r>
          </w:p>
        </w:tc>
      </w:tr>
      <w:tr w:rsidR="009465B4" w:rsidRPr="005A3F47" w14:paraId="75548F59" w14:textId="77777777" w:rsidTr="004C0683">
        <w:tc>
          <w:tcPr>
            <w:tcW w:w="3227" w:type="dxa"/>
            <w:tcMar>
              <w:top w:w="85" w:type="dxa"/>
              <w:left w:w="57" w:type="dxa"/>
              <w:bottom w:w="85" w:type="dxa"/>
              <w:right w:w="57" w:type="dxa"/>
            </w:tcMar>
          </w:tcPr>
          <w:p w14:paraId="06CAACC2" w14:textId="40C964FE" w:rsidR="009465B4" w:rsidRPr="005A3F47" w:rsidRDefault="009465B4" w:rsidP="000E3086">
            <w:pPr>
              <w:rPr>
                <w:noProof/>
              </w:rPr>
            </w:pPr>
            <w:r w:rsidRPr="005A3F47">
              <w:rPr>
                <w:noProof/>
              </w:rPr>
              <w:t>DAC</w:t>
            </w:r>
          </w:p>
        </w:tc>
        <w:tc>
          <w:tcPr>
            <w:tcW w:w="5607" w:type="dxa"/>
            <w:tcMar>
              <w:top w:w="85" w:type="dxa"/>
              <w:left w:w="57" w:type="dxa"/>
              <w:bottom w:w="85" w:type="dxa"/>
              <w:right w:w="57" w:type="dxa"/>
            </w:tcMar>
          </w:tcPr>
          <w:p w14:paraId="285238AA" w14:textId="7967F625" w:rsidR="009465B4" w:rsidRPr="005A3F47" w:rsidRDefault="00F52923" w:rsidP="000E3086">
            <w:pPr>
              <w:rPr>
                <w:noProof/>
              </w:rPr>
            </w:pPr>
            <w:r w:rsidRPr="005A3F47">
              <w:rPr>
                <w:noProof/>
              </w:rPr>
              <w:t>Directive on Administrative Cooperation</w:t>
            </w:r>
          </w:p>
        </w:tc>
      </w:tr>
      <w:tr w:rsidR="002B51A4" w:rsidRPr="005A3F47" w14:paraId="2A7CF8AC" w14:textId="77777777" w:rsidTr="004C0683">
        <w:tc>
          <w:tcPr>
            <w:tcW w:w="3227" w:type="dxa"/>
            <w:tcMar>
              <w:top w:w="85" w:type="dxa"/>
              <w:left w:w="57" w:type="dxa"/>
              <w:bottom w:w="85" w:type="dxa"/>
              <w:right w:w="57" w:type="dxa"/>
            </w:tcMar>
          </w:tcPr>
          <w:p w14:paraId="6A5027E2" w14:textId="4C2207E6" w:rsidR="002B51A4" w:rsidRPr="005A3F47" w:rsidRDefault="002B51A4" w:rsidP="000E3086">
            <w:pPr>
              <w:rPr>
                <w:noProof/>
              </w:rPr>
            </w:pPr>
            <w:r w:rsidRPr="005A3F47">
              <w:rPr>
                <w:noProof/>
              </w:rPr>
              <w:t>Direct taxation</w:t>
            </w:r>
          </w:p>
        </w:tc>
        <w:tc>
          <w:tcPr>
            <w:tcW w:w="5607" w:type="dxa"/>
            <w:tcMar>
              <w:top w:w="85" w:type="dxa"/>
              <w:left w:w="57" w:type="dxa"/>
              <w:bottom w:w="85" w:type="dxa"/>
              <w:right w:w="57" w:type="dxa"/>
            </w:tcMar>
          </w:tcPr>
          <w:p w14:paraId="2016EC89" w14:textId="0B76EE88" w:rsidR="002B51A4" w:rsidRPr="005A3F47" w:rsidRDefault="000A64A1" w:rsidP="000E3086">
            <w:pPr>
              <w:rPr>
                <w:noProof/>
              </w:rPr>
            </w:pPr>
            <w:r w:rsidRPr="005A3F47">
              <w:rPr>
                <w:noProof/>
              </w:rPr>
              <w:t>Tax concept where taxes are imposed directly on</w:t>
            </w:r>
            <w:r w:rsidR="00D73F78" w:rsidRPr="005A3F47">
              <w:rPr>
                <w:noProof/>
              </w:rPr>
              <w:t xml:space="preserve"> the taxpayer, e.g., a business</w:t>
            </w:r>
            <w:r w:rsidR="003762DF" w:rsidRPr="005A3F47">
              <w:rPr>
                <w:noProof/>
              </w:rPr>
              <w:t xml:space="preserve">, </w:t>
            </w:r>
            <w:r w:rsidR="003A1BE7" w:rsidRPr="005A3F47">
              <w:rPr>
                <w:noProof/>
              </w:rPr>
              <w:t>and cannot be shifted to others</w:t>
            </w:r>
          </w:p>
        </w:tc>
      </w:tr>
      <w:tr w:rsidR="00983C5B" w:rsidRPr="005A3F47" w14:paraId="07BF1255" w14:textId="77777777" w:rsidTr="004C0683">
        <w:tc>
          <w:tcPr>
            <w:tcW w:w="3227" w:type="dxa"/>
            <w:tcMar>
              <w:top w:w="85" w:type="dxa"/>
              <w:left w:w="57" w:type="dxa"/>
              <w:bottom w:w="85" w:type="dxa"/>
              <w:right w:w="57" w:type="dxa"/>
            </w:tcMar>
          </w:tcPr>
          <w:p w14:paraId="617CD293" w14:textId="3C7E66EB" w:rsidR="00983C5B" w:rsidRPr="005A3F47" w:rsidRDefault="00983C5B" w:rsidP="000E3086">
            <w:pPr>
              <w:rPr>
                <w:noProof/>
              </w:rPr>
            </w:pPr>
            <w:r w:rsidRPr="005A3F47">
              <w:rPr>
                <w:noProof/>
              </w:rPr>
              <w:t>DTA</w:t>
            </w:r>
          </w:p>
        </w:tc>
        <w:tc>
          <w:tcPr>
            <w:tcW w:w="5607" w:type="dxa"/>
            <w:tcMar>
              <w:top w:w="85" w:type="dxa"/>
              <w:left w:w="57" w:type="dxa"/>
              <w:bottom w:w="85" w:type="dxa"/>
              <w:right w:w="57" w:type="dxa"/>
            </w:tcMar>
          </w:tcPr>
          <w:p w14:paraId="0CA742EC" w14:textId="50BE4943" w:rsidR="00983C5B" w:rsidRPr="005A3F47" w:rsidRDefault="00983C5B" w:rsidP="000E3086">
            <w:pPr>
              <w:rPr>
                <w:noProof/>
              </w:rPr>
            </w:pPr>
            <w:r w:rsidRPr="005A3F47">
              <w:rPr>
                <w:noProof/>
              </w:rPr>
              <w:t>Double Tax Agreement</w:t>
            </w:r>
          </w:p>
        </w:tc>
      </w:tr>
      <w:tr w:rsidR="008D1EA3" w:rsidRPr="005A3F47" w14:paraId="170852D4" w14:textId="77777777" w:rsidTr="004C0683">
        <w:tc>
          <w:tcPr>
            <w:tcW w:w="3227" w:type="dxa"/>
            <w:tcMar>
              <w:top w:w="85" w:type="dxa"/>
              <w:left w:w="57" w:type="dxa"/>
              <w:bottom w:w="85" w:type="dxa"/>
              <w:right w:w="57" w:type="dxa"/>
            </w:tcMar>
          </w:tcPr>
          <w:p w14:paraId="70DA1514" w14:textId="13407EA2" w:rsidR="008D1EA3" w:rsidRPr="005A3F47" w:rsidRDefault="008D1EA3" w:rsidP="000E3086">
            <w:pPr>
              <w:rPr>
                <w:noProof/>
              </w:rPr>
            </w:pPr>
            <w:r w:rsidRPr="005A3F47">
              <w:rPr>
                <w:noProof/>
              </w:rPr>
              <w:t>DRM</w:t>
            </w:r>
          </w:p>
        </w:tc>
        <w:tc>
          <w:tcPr>
            <w:tcW w:w="5607" w:type="dxa"/>
            <w:tcMar>
              <w:top w:w="85" w:type="dxa"/>
              <w:left w:w="57" w:type="dxa"/>
              <w:bottom w:w="85" w:type="dxa"/>
              <w:right w:w="57" w:type="dxa"/>
            </w:tcMar>
          </w:tcPr>
          <w:p w14:paraId="79679D3E" w14:textId="47E27BDB" w:rsidR="008D1EA3" w:rsidRPr="005A3F47" w:rsidRDefault="008D1EA3" w:rsidP="000E3086">
            <w:pPr>
              <w:rPr>
                <w:noProof/>
              </w:rPr>
            </w:pPr>
            <w:r w:rsidRPr="005A3F47">
              <w:rPr>
                <w:noProof/>
              </w:rPr>
              <w:t>Dispute Resolution Mechanism</w:t>
            </w:r>
            <w:r w:rsidR="004F026F" w:rsidRPr="005A3F47">
              <w:rPr>
                <w:noProof/>
              </w:rPr>
              <w:t>s</w:t>
            </w:r>
            <w:r w:rsidR="003C1641" w:rsidRPr="005A3F47">
              <w:rPr>
                <w:noProof/>
              </w:rPr>
              <w:t xml:space="preserve"> Directive</w:t>
            </w:r>
          </w:p>
        </w:tc>
      </w:tr>
      <w:tr w:rsidR="00A164A1" w:rsidRPr="005A3F47" w14:paraId="20A2FFFF" w14:textId="77777777" w:rsidTr="004C0683">
        <w:tc>
          <w:tcPr>
            <w:tcW w:w="3227" w:type="dxa"/>
            <w:tcMar>
              <w:top w:w="85" w:type="dxa"/>
              <w:left w:w="57" w:type="dxa"/>
              <w:bottom w:w="85" w:type="dxa"/>
              <w:right w:w="57" w:type="dxa"/>
            </w:tcMar>
          </w:tcPr>
          <w:p w14:paraId="5D782FCD" w14:textId="28899711" w:rsidR="00A164A1" w:rsidRPr="005A3F47" w:rsidRDefault="00A164A1" w:rsidP="000E3086">
            <w:pPr>
              <w:rPr>
                <w:noProof/>
              </w:rPr>
            </w:pPr>
            <w:r w:rsidRPr="005A3F47">
              <w:rPr>
                <w:noProof/>
              </w:rPr>
              <w:t>EBITDA</w:t>
            </w:r>
          </w:p>
        </w:tc>
        <w:tc>
          <w:tcPr>
            <w:tcW w:w="5607" w:type="dxa"/>
            <w:tcMar>
              <w:top w:w="85" w:type="dxa"/>
              <w:left w:w="57" w:type="dxa"/>
              <w:bottom w:w="85" w:type="dxa"/>
              <w:right w:w="57" w:type="dxa"/>
            </w:tcMar>
          </w:tcPr>
          <w:p w14:paraId="66CEA529" w14:textId="3BFE0F41" w:rsidR="00A164A1" w:rsidRPr="005A3F47" w:rsidRDefault="00A164A1" w:rsidP="000E3086">
            <w:pPr>
              <w:rPr>
                <w:noProof/>
              </w:rPr>
            </w:pPr>
            <w:r w:rsidRPr="005A3F47">
              <w:rPr>
                <w:noProof/>
              </w:rPr>
              <w:t>Earnings before interest, tax, depreciation and amortisation</w:t>
            </w:r>
          </w:p>
        </w:tc>
      </w:tr>
      <w:tr w:rsidR="001318A0" w:rsidRPr="005A3F47" w14:paraId="66D3BD03" w14:textId="77777777" w:rsidTr="004C0683">
        <w:tc>
          <w:tcPr>
            <w:tcW w:w="3227" w:type="dxa"/>
            <w:tcMar>
              <w:top w:w="85" w:type="dxa"/>
              <w:left w:w="57" w:type="dxa"/>
              <w:bottom w:w="85" w:type="dxa"/>
              <w:right w:w="57" w:type="dxa"/>
            </w:tcMar>
          </w:tcPr>
          <w:p w14:paraId="2E8A9302" w14:textId="382E3D60" w:rsidR="001318A0" w:rsidRPr="005A3F47" w:rsidRDefault="001318A0" w:rsidP="000E3086">
            <w:pPr>
              <w:rPr>
                <w:noProof/>
              </w:rPr>
            </w:pPr>
            <w:r w:rsidRPr="005A3F47">
              <w:rPr>
                <w:noProof/>
              </w:rPr>
              <w:t>EFTA</w:t>
            </w:r>
          </w:p>
        </w:tc>
        <w:tc>
          <w:tcPr>
            <w:tcW w:w="5607" w:type="dxa"/>
            <w:tcMar>
              <w:top w:w="85" w:type="dxa"/>
              <w:left w:w="57" w:type="dxa"/>
              <w:bottom w:w="85" w:type="dxa"/>
              <w:right w:w="57" w:type="dxa"/>
            </w:tcMar>
          </w:tcPr>
          <w:p w14:paraId="15367FDB" w14:textId="081A0B85" w:rsidR="001318A0" w:rsidRPr="005A3F47" w:rsidRDefault="00ED76B5" w:rsidP="000E3086">
            <w:pPr>
              <w:rPr>
                <w:noProof/>
              </w:rPr>
            </w:pPr>
            <w:r w:rsidRPr="005A3F47">
              <w:rPr>
                <w:noProof/>
              </w:rPr>
              <w:t>The European Free Trade Association</w:t>
            </w:r>
          </w:p>
        </w:tc>
      </w:tr>
      <w:tr w:rsidR="0059262D" w:rsidRPr="005A3F47" w14:paraId="16AA423E" w14:textId="77777777" w:rsidTr="004C0683">
        <w:tc>
          <w:tcPr>
            <w:tcW w:w="3227" w:type="dxa"/>
            <w:tcMar>
              <w:top w:w="85" w:type="dxa"/>
              <w:left w:w="57" w:type="dxa"/>
              <w:bottom w:w="85" w:type="dxa"/>
              <w:right w:w="57" w:type="dxa"/>
            </w:tcMar>
          </w:tcPr>
          <w:p w14:paraId="74FA4681" w14:textId="276FD290" w:rsidR="0059262D" w:rsidRPr="005A3F47" w:rsidRDefault="0059262D" w:rsidP="000E3086">
            <w:pPr>
              <w:rPr>
                <w:noProof/>
              </w:rPr>
            </w:pPr>
            <w:r w:rsidRPr="005A3F47">
              <w:rPr>
                <w:noProof/>
              </w:rPr>
              <w:t>ETR</w:t>
            </w:r>
          </w:p>
        </w:tc>
        <w:tc>
          <w:tcPr>
            <w:tcW w:w="5607" w:type="dxa"/>
            <w:tcMar>
              <w:top w:w="85" w:type="dxa"/>
              <w:left w:w="57" w:type="dxa"/>
              <w:bottom w:w="85" w:type="dxa"/>
              <w:right w:w="57" w:type="dxa"/>
            </w:tcMar>
          </w:tcPr>
          <w:p w14:paraId="406FA8C4" w14:textId="01227AA8" w:rsidR="0059262D" w:rsidRPr="005A3F47" w:rsidRDefault="0059262D" w:rsidP="000E3086">
            <w:pPr>
              <w:rPr>
                <w:noProof/>
              </w:rPr>
            </w:pPr>
            <w:r w:rsidRPr="005A3F47">
              <w:rPr>
                <w:noProof/>
              </w:rPr>
              <w:t>Effective tax rate</w:t>
            </w:r>
          </w:p>
        </w:tc>
      </w:tr>
      <w:tr w:rsidR="001318A0" w:rsidRPr="005A3F47" w14:paraId="53EA34FB" w14:textId="77777777" w:rsidTr="004C0683">
        <w:tc>
          <w:tcPr>
            <w:tcW w:w="3227" w:type="dxa"/>
            <w:tcMar>
              <w:top w:w="85" w:type="dxa"/>
              <w:left w:w="57" w:type="dxa"/>
              <w:bottom w:w="85" w:type="dxa"/>
              <w:right w:w="57" w:type="dxa"/>
            </w:tcMar>
          </w:tcPr>
          <w:p w14:paraId="38015105" w14:textId="71005635" w:rsidR="001318A0" w:rsidRPr="005A3F47" w:rsidRDefault="001318A0" w:rsidP="000E3086">
            <w:pPr>
              <w:rPr>
                <w:noProof/>
              </w:rPr>
            </w:pPr>
            <w:r w:rsidRPr="005A3F47">
              <w:rPr>
                <w:noProof/>
              </w:rPr>
              <w:t>EU</w:t>
            </w:r>
          </w:p>
        </w:tc>
        <w:tc>
          <w:tcPr>
            <w:tcW w:w="5607" w:type="dxa"/>
            <w:tcMar>
              <w:top w:w="85" w:type="dxa"/>
              <w:left w:w="57" w:type="dxa"/>
              <w:bottom w:w="85" w:type="dxa"/>
              <w:right w:w="57" w:type="dxa"/>
            </w:tcMar>
          </w:tcPr>
          <w:p w14:paraId="258E01DD" w14:textId="1F8E78C2" w:rsidR="001318A0" w:rsidRPr="005A3F47" w:rsidRDefault="00436258" w:rsidP="000E3086">
            <w:pPr>
              <w:rPr>
                <w:noProof/>
              </w:rPr>
            </w:pPr>
            <w:r w:rsidRPr="005A3F47">
              <w:rPr>
                <w:noProof/>
              </w:rPr>
              <w:t>The European Union</w:t>
            </w:r>
          </w:p>
        </w:tc>
      </w:tr>
      <w:tr w:rsidR="0036246B" w:rsidRPr="005A3F47" w14:paraId="37C3C2CB" w14:textId="77777777" w:rsidTr="004C0683">
        <w:tc>
          <w:tcPr>
            <w:tcW w:w="3227" w:type="dxa"/>
            <w:tcMar>
              <w:top w:w="85" w:type="dxa"/>
              <w:left w:w="57" w:type="dxa"/>
              <w:bottom w:w="85" w:type="dxa"/>
              <w:right w:w="57" w:type="dxa"/>
            </w:tcMar>
          </w:tcPr>
          <w:p w14:paraId="3287142F" w14:textId="3E76B5A7" w:rsidR="0036246B" w:rsidRPr="005A3F47" w:rsidRDefault="0036246B" w:rsidP="000E3086">
            <w:pPr>
              <w:rPr>
                <w:noProof/>
              </w:rPr>
            </w:pPr>
            <w:r w:rsidRPr="005A3F47">
              <w:rPr>
                <w:noProof/>
              </w:rPr>
              <w:t>EU tax rules</w:t>
            </w:r>
          </w:p>
        </w:tc>
        <w:tc>
          <w:tcPr>
            <w:tcW w:w="5607" w:type="dxa"/>
            <w:tcMar>
              <w:top w:w="85" w:type="dxa"/>
              <w:left w:w="57" w:type="dxa"/>
              <w:bottom w:w="85" w:type="dxa"/>
              <w:right w:w="57" w:type="dxa"/>
            </w:tcMar>
          </w:tcPr>
          <w:p w14:paraId="031E2D7D" w14:textId="7CE1E797" w:rsidR="0036246B" w:rsidRPr="005A3F47" w:rsidRDefault="00B45551" w:rsidP="000E3086">
            <w:pPr>
              <w:rPr>
                <w:noProof/>
              </w:rPr>
            </w:pPr>
            <w:r w:rsidRPr="005A3F47">
              <w:rPr>
                <w:noProof/>
              </w:rPr>
              <w:t>Rules de</w:t>
            </w:r>
            <w:r w:rsidR="00116DAB" w:rsidRPr="005A3F47">
              <w:rPr>
                <w:noProof/>
              </w:rPr>
              <w:t>riving from the</w:t>
            </w:r>
            <w:r w:rsidR="00944319" w:rsidRPr="005A3F47">
              <w:rPr>
                <w:noProof/>
              </w:rPr>
              <w:t xml:space="preserve"> Directives </w:t>
            </w:r>
            <w:r w:rsidR="002B51A4" w:rsidRPr="005A3F47">
              <w:rPr>
                <w:noProof/>
              </w:rPr>
              <w:t>adopted by the Council of the European Union in the area of direct taxation</w:t>
            </w:r>
          </w:p>
        </w:tc>
      </w:tr>
      <w:tr w:rsidR="00436258" w:rsidRPr="005A3F47" w14:paraId="19E9E3CE" w14:textId="77777777" w:rsidTr="004C0683">
        <w:tc>
          <w:tcPr>
            <w:tcW w:w="3227" w:type="dxa"/>
            <w:tcMar>
              <w:top w:w="85" w:type="dxa"/>
              <w:left w:w="57" w:type="dxa"/>
              <w:bottom w:w="85" w:type="dxa"/>
              <w:right w:w="57" w:type="dxa"/>
            </w:tcMar>
          </w:tcPr>
          <w:p w14:paraId="1E3AC86C" w14:textId="5FE419EC" w:rsidR="00436258" w:rsidRPr="005A3F47" w:rsidRDefault="00436258" w:rsidP="000E3086">
            <w:pPr>
              <w:rPr>
                <w:noProof/>
              </w:rPr>
            </w:pPr>
            <w:r w:rsidRPr="005A3F47">
              <w:rPr>
                <w:noProof/>
              </w:rPr>
              <w:t>Existing Directives</w:t>
            </w:r>
          </w:p>
        </w:tc>
        <w:tc>
          <w:tcPr>
            <w:tcW w:w="5607" w:type="dxa"/>
            <w:tcMar>
              <w:top w:w="85" w:type="dxa"/>
              <w:left w:w="57" w:type="dxa"/>
              <w:bottom w:w="85" w:type="dxa"/>
              <w:right w:w="57" w:type="dxa"/>
            </w:tcMar>
          </w:tcPr>
          <w:p w14:paraId="50279772" w14:textId="7228AC4C" w:rsidR="00436258" w:rsidRPr="005A3F47" w:rsidRDefault="00D53E72" w:rsidP="000E3086">
            <w:pPr>
              <w:rPr>
                <w:noProof/>
              </w:rPr>
            </w:pPr>
            <w:r w:rsidRPr="005A3F47">
              <w:rPr>
                <w:noProof/>
              </w:rPr>
              <w:t>Directives adopted by the Council of the European Union in the area of direct taxation</w:t>
            </w:r>
          </w:p>
        </w:tc>
      </w:tr>
      <w:tr w:rsidR="00283BD2" w:rsidRPr="005A3F47" w14:paraId="4FA38B03" w14:textId="77777777" w:rsidTr="004C0683">
        <w:tc>
          <w:tcPr>
            <w:tcW w:w="3227" w:type="dxa"/>
            <w:tcMar>
              <w:top w:w="85" w:type="dxa"/>
              <w:left w:w="57" w:type="dxa"/>
              <w:bottom w:w="85" w:type="dxa"/>
              <w:right w:w="57" w:type="dxa"/>
            </w:tcMar>
          </w:tcPr>
          <w:p w14:paraId="01E5554F" w14:textId="2FEE96E1" w:rsidR="00283BD2" w:rsidRPr="005A3F47" w:rsidRDefault="00283BD2" w:rsidP="000E3086">
            <w:pPr>
              <w:rPr>
                <w:noProof/>
              </w:rPr>
            </w:pPr>
            <w:r w:rsidRPr="005A3F47">
              <w:rPr>
                <w:noProof/>
              </w:rPr>
              <w:t>FASTER</w:t>
            </w:r>
          </w:p>
        </w:tc>
        <w:tc>
          <w:tcPr>
            <w:tcW w:w="5607" w:type="dxa"/>
            <w:tcMar>
              <w:top w:w="85" w:type="dxa"/>
              <w:left w:w="57" w:type="dxa"/>
              <w:bottom w:w="85" w:type="dxa"/>
              <w:right w:w="57" w:type="dxa"/>
            </w:tcMar>
          </w:tcPr>
          <w:p w14:paraId="56066D7F" w14:textId="7C12EC3D" w:rsidR="00283BD2" w:rsidRPr="005A3F47" w:rsidRDefault="00186C5F" w:rsidP="000E3086">
            <w:pPr>
              <w:rPr>
                <w:noProof/>
              </w:rPr>
            </w:pPr>
            <w:r w:rsidRPr="005A3F47">
              <w:rPr>
                <w:noProof/>
              </w:rPr>
              <w:t>Directive on faster and safer relief of excess withholding taxes</w:t>
            </w:r>
          </w:p>
        </w:tc>
      </w:tr>
      <w:tr w:rsidR="00AB2CF9" w:rsidRPr="005A3F47" w14:paraId="256B6678" w14:textId="77777777" w:rsidTr="004C0683">
        <w:tc>
          <w:tcPr>
            <w:tcW w:w="3227" w:type="dxa"/>
            <w:tcMar>
              <w:top w:w="85" w:type="dxa"/>
              <w:left w:w="57" w:type="dxa"/>
              <w:bottom w:w="85" w:type="dxa"/>
              <w:right w:w="57" w:type="dxa"/>
            </w:tcMar>
          </w:tcPr>
          <w:p w14:paraId="39AA3BEE" w14:textId="1AC76A04" w:rsidR="00AB2CF9" w:rsidRPr="005A3F47" w:rsidRDefault="00AB2CF9" w:rsidP="000E3086">
            <w:pPr>
              <w:rPr>
                <w:noProof/>
              </w:rPr>
            </w:pPr>
            <w:r w:rsidRPr="005A3F47">
              <w:rPr>
                <w:noProof/>
              </w:rPr>
              <w:t>FDI</w:t>
            </w:r>
          </w:p>
        </w:tc>
        <w:tc>
          <w:tcPr>
            <w:tcW w:w="5607" w:type="dxa"/>
            <w:tcMar>
              <w:top w:w="85" w:type="dxa"/>
              <w:left w:w="57" w:type="dxa"/>
              <w:bottom w:w="85" w:type="dxa"/>
              <w:right w:w="57" w:type="dxa"/>
            </w:tcMar>
          </w:tcPr>
          <w:p w14:paraId="52C9DE8B" w14:textId="36F469C0" w:rsidR="00AB2CF9" w:rsidRPr="005A3F47" w:rsidRDefault="00AB2CF9" w:rsidP="000E3086">
            <w:pPr>
              <w:rPr>
                <w:noProof/>
              </w:rPr>
            </w:pPr>
            <w:r w:rsidRPr="005A3F47">
              <w:rPr>
                <w:noProof/>
              </w:rPr>
              <w:t>Foreign direct inve</w:t>
            </w:r>
            <w:r w:rsidR="00B75912" w:rsidRPr="005A3F47">
              <w:rPr>
                <w:noProof/>
              </w:rPr>
              <w:t>s</w:t>
            </w:r>
            <w:r w:rsidRPr="005A3F47">
              <w:rPr>
                <w:noProof/>
              </w:rPr>
              <w:t>tment(s)</w:t>
            </w:r>
          </w:p>
        </w:tc>
      </w:tr>
      <w:tr w:rsidR="00057B8C" w:rsidRPr="005A3F47" w14:paraId="7EE47D87" w14:textId="77777777" w:rsidTr="004C0683">
        <w:tc>
          <w:tcPr>
            <w:tcW w:w="3227" w:type="dxa"/>
            <w:tcMar>
              <w:top w:w="85" w:type="dxa"/>
              <w:left w:w="57" w:type="dxa"/>
              <w:bottom w:w="85" w:type="dxa"/>
              <w:right w:w="57" w:type="dxa"/>
            </w:tcMar>
          </w:tcPr>
          <w:p w14:paraId="75037AE6" w14:textId="2551B37E" w:rsidR="00057B8C" w:rsidRPr="005A3F47" w:rsidRDefault="00057B8C" w:rsidP="000E3086">
            <w:pPr>
              <w:rPr>
                <w:noProof/>
              </w:rPr>
            </w:pPr>
            <w:r w:rsidRPr="005A3F47">
              <w:rPr>
                <w:noProof/>
              </w:rPr>
              <w:t>GDP</w:t>
            </w:r>
          </w:p>
        </w:tc>
        <w:tc>
          <w:tcPr>
            <w:tcW w:w="5607" w:type="dxa"/>
            <w:tcMar>
              <w:top w:w="85" w:type="dxa"/>
              <w:left w:w="57" w:type="dxa"/>
              <w:bottom w:w="85" w:type="dxa"/>
              <w:right w:w="57" w:type="dxa"/>
            </w:tcMar>
          </w:tcPr>
          <w:p w14:paraId="218ED094" w14:textId="403C40B5" w:rsidR="00057B8C" w:rsidRPr="005A3F47" w:rsidRDefault="00365B9E" w:rsidP="000E3086">
            <w:pPr>
              <w:rPr>
                <w:noProof/>
              </w:rPr>
            </w:pPr>
            <w:r w:rsidRPr="005A3F47">
              <w:rPr>
                <w:noProof/>
              </w:rPr>
              <w:t>Gr</w:t>
            </w:r>
            <w:r w:rsidR="002F5E09" w:rsidRPr="005A3F47">
              <w:rPr>
                <w:noProof/>
              </w:rPr>
              <w:t>o</w:t>
            </w:r>
            <w:r w:rsidRPr="005A3F47">
              <w:rPr>
                <w:noProof/>
              </w:rPr>
              <w:t xml:space="preserve">ss Domestic Product </w:t>
            </w:r>
          </w:p>
        </w:tc>
      </w:tr>
      <w:tr w:rsidR="00534FBF" w:rsidRPr="005A3F47" w14:paraId="5D0B1AF3" w14:textId="77777777" w:rsidTr="004C0683">
        <w:tc>
          <w:tcPr>
            <w:tcW w:w="3227" w:type="dxa"/>
            <w:tcMar>
              <w:top w:w="85" w:type="dxa"/>
              <w:left w:w="57" w:type="dxa"/>
              <w:bottom w:w="85" w:type="dxa"/>
              <w:right w:w="57" w:type="dxa"/>
            </w:tcMar>
          </w:tcPr>
          <w:p w14:paraId="315AC3A8" w14:textId="326CBDB6" w:rsidR="00534FBF" w:rsidRPr="005A3F47" w:rsidRDefault="00534FBF" w:rsidP="000E3086">
            <w:pPr>
              <w:rPr>
                <w:noProof/>
              </w:rPr>
            </w:pPr>
            <w:r w:rsidRPr="005A3F47">
              <w:rPr>
                <w:noProof/>
              </w:rPr>
              <w:t>HOT</w:t>
            </w:r>
          </w:p>
        </w:tc>
        <w:tc>
          <w:tcPr>
            <w:tcW w:w="5607" w:type="dxa"/>
            <w:tcMar>
              <w:top w:w="85" w:type="dxa"/>
              <w:left w:w="57" w:type="dxa"/>
              <w:bottom w:w="85" w:type="dxa"/>
              <w:right w:w="57" w:type="dxa"/>
            </w:tcMar>
          </w:tcPr>
          <w:p w14:paraId="0210E418" w14:textId="4621E196" w:rsidR="00534FBF" w:rsidRPr="005A3F47" w:rsidRDefault="00AA7417" w:rsidP="000E3086">
            <w:pPr>
              <w:rPr>
                <w:noProof/>
              </w:rPr>
            </w:pPr>
            <w:r w:rsidRPr="005A3F47">
              <w:rPr>
                <w:noProof/>
              </w:rPr>
              <w:t>Head Office Taxation</w:t>
            </w:r>
          </w:p>
        </w:tc>
      </w:tr>
      <w:tr w:rsidR="00CE556C" w:rsidRPr="005A3F47" w14:paraId="4EA86BD4" w14:textId="77777777" w:rsidTr="004C0683">
        <w:tc>
          <w:tcPr>
            <w:tcW w:w="3227" w:type="dxa"/>
            <w:tcMar>
              <w:top w:w="85" w:type="dxa"/>
              <w:left w:w="57" w:type="dxa"/>
              <w:bottom w:w="85" w:type="dxa"/>
              <w:right w:w="57" w:type="dxa"/>
            </w:tcMar>
          </w:tcPr>
          <w:p w14:paraId="7DAD5B6A" w14:textId="146BFE2A" w:rsidR="00CE556C" w:rsidRPr="005A3F47" w:rsidRDefault="00CE556C" w:rsidP="000E3086">
            <w:pPr>
              <w:rPr>
                <w:noProof/>
              </w:rPr>
            </w:pPr>
            <w:r w:rsidRPr="005A3F47">
              <w:rPr>
                <w:noProof/>
              </w:rPr>
              <w:t>IIR</w:t>
            </w:r>
          </w:p>
        </w:tc>
        <w:tc>
          <w:tcPr>
            <w:tcW w:w="5607" w:type="dxa"/>
            <w:tcMar>
              <w:top w:w="85" w:type="dxa"/>
              <w:left w:w="57" w:type="dxa"/>
              <w:bottom w:w="85" w:type="dxa"/>
              <w:right w:w="57" w:type="dxa"/>
            </w:tcMar>
          </w:tcPr>
          <w:p w14:paraId="7E99002B" w14:textId="31C0EDF4" w:rsidR="00CE556C" w:rsidRPr="005A3F47" w:rsidRDefault="00CE556C" w:rsidP="000E3086">
            <w:pPr>
              <w:rPr>
                <w:noProof/>
              </w:rPr>
            </w:pPr>
            <w:r w:rsidRPr="005A3F47">
              <w:rPr>
                <w:noProof/>
              </w:rPr>
              <w:t>Income Inclusion Rule under Pillar 2</w:t>
            </w:r>
          </w:p>
        </w:tc>
      </w:tr>
      <w:tr w:rsidR="00E374D5" w:rsidRPr="005A3F47" w14:paraId="76D993D4" w14:textId="77777777" w:rsidTr="004C0683">
        <w:tc>
          <w:tcPr>
            <w:tcW w:w="3227" w:type="dxa"/>
            <w:tcMar>
              <w:top w:w="85" w:type="dxa"/>
              <w:left w:w="57" w:type="dxa"/>
              <w:bottom w:w="85" w:type="dxa"/>
              <w:right w:w="57" w:type="dxa"/>
            </w:tcMar>
          </w:tcPr>
          <w:p w14:paraId="598FAC6B" w14:textId="5DEFD032" w:rsidR="00E374D5" w:rsidRPr="005A3F47" w:rsidRDefault="00E374D5" w:rsidP="000E3086">
            <w:pPr>
              <w:rPr>
                <w:noProof/>
              </w:rPr>
            </w:pPr>
            <w:r w:rsidRPr="005A3F47">
              <w:rPr>
                <w:noProof/>
              </w:rPr>
              <w:t>ILR</w:t>
            </w:r>
          </w:p>
        </w:tc>
        <w:tc>
          <w:tcPr>
            <w:tcW w:w="5607" w:type="dxa"/>
            <w:tcMar>
              <w:top w:w="85" w:type="dxa"/>
              <w:left w:w="57" w:type="dxa"/>
              <w:bottom w:w="85" w:type="dxa"/>
              <w:right w:w="57" w:type="dxa"/>
            </w:tcMar>
          </w:tcPr>
          <w:p w14:paraId="77D6647A" w14:textId="0204AA85" w:rsidR="00E374D5" w:rsidRPr="005A3F47" w:rsidRDefault="00E374D5" w:rsidP="000E3086">
            <w:pPr>
              <w:rPr>
                <w:noProof/>
              </w:rPr>
            </w:pPr>
            <w:r w:rsidRPr="005A3F47">
              <w:rPr>
                <w:noProof/>
              </w:rPr>
              <w:t>Interest Limitation Rule</w:t>
            </w:r>
          </w:p>
        </w:tc>
      </w:tr>
      <w:tr w:rsidR="006B087E" w:rsidRPr="005A3F47" w14:paraId="78DDB30C" w14:textId="77777777" w:rsidTr="004C0683">
        <w:tc>
          <w:tcPr>
            <w:tcW w:w="3227" w:type="dxa"/>
            <w:tcMar>
              <w:top w:w="85" w:type="dxa"/>
              <w:left w:w="57" w:type="dxa"/>
              <w:bottom w:w="85" w:type="dxa"/>
              <w:right w:w="57" w:type="dxa"/>
            </w:tcMar>
          </w:tcPr>
          <w:p w14:paraId="17F9BBC5" w14:textId="2D3D23FF" w:rsidR="006B087E" w:rsidRPr="005A3F47" w:rsidRDefault="00AA4EDF" w:rsidP="000E3086">
            <w:pPr>
              <w:rPr>
                <w:noProof/>
              </w:rPr>
            </w:pPr>
            <w:r w:rsidRPr="005A3F47">
              <w:rPr>
                <w:noProof/>
              </w:rPr>
              <w:t>IRD</w:t>
            </w:r>
          </w:p>
        </w:tc>
        <w:tc>
          <w:tcPr>
            <w:tcW w:w="5607" w:type="dxa"/>
            <w:tcMar>
              <w:top w:w="85" w:type="dxa"/>
              <w:left w:w="57" w:type="dxa"/>
              <w:bottom w:w="85" w:type="dxa"/>
              <w:right w:w="57" w:type="dxa"/>
            </w:tcMar>
          </w:tcPr>
          <w:p w14:paraId="62A541E4" w14:textId="5CED5123" w:rsidR="006B087E" w:rsidRPr="005A3F47" w:rsidRDefault="00AA4EDF" w:rsidP="000E3086">
            <w:pPr>
              <w:rPr>
                <w:noProof/>
              </w:rPr>
            </w:pPr>
            <w:r w:rsidRPr="005A3F47">
              <w:rPr>
                <w:noProof/>
              </w:rPr>
              <w:t>Interest and Royalties Directive</w:t>
            </w:r>
          </w:p>
        </w:tc>
      </w:tr>
      <w:tr w:rsidR="00C95FE7" w:rsidRPr="005A3F47" w14:paraId="1688CA6A" w14:textId="77777777" w:rsidTr="004C0683">
        <w:tc>
          <w:tcPr>
            <w:tcW w:w="3227" w:type="dxa"/>
            <w:tcMar>
              <w:top w:w="85" w:type="dxa"/>
              <w:left w:w="57" w:type="dxa"/>
              <w:bottom w:w="85" w:type="dxa"/>
              <w:right w:w="57" w:type="dxa"/>
            </w:tcMar>
          </w:tcPr>
          <w:p w14:paraId="720DBDF6" w14:textId="4B56DC09" w:rsidR="00C95FE7" w:rsidRPr="005A3F47" w:rsidRDefault="00C95FE7" w:rsidP="000E3086">
            <w:pPr>
              <w:rPr>
                <w:noProof/>
              </w:rPr>
            </w:pPr>
            <w:r w:rsidRPr="005A3F47">
              <w:rPr>
                <w:noProof/>
              </w:rPr>
              <w:t>JRC</w:t>
            </w:r>
          </w:p>
        </w:tc>
        <w:tc>
          <w:tcPr>
            <w:tcW w:w="5607" w:type="dxa"/>
            <w:tcMar>
              <w:top w:w="85" w:type="dxa"/>
              <w:left w:w="57" w:type="dxa"/>
              <w:bottom w:w="85" w:type="dxa"/>
              <w:right w:w="57" w:type="dxa"/>
            </w:tcMar>
          </w:tcPr>
          <w:p w14:paraId="143D80F4" w14:textId="0CDCFE37" w:rsidR="00C95FE7" w:rsidRPr="005A3F47" w:rsidRDefault="00C95FE7" w:rsidP="000E3086">
            <w:pPr>
              <w:rPr>
                <w:noProof/>
              </w:rPr>
            </w:pPr>
            <w:r w:rsidRPr="005A3F47">
              <w:rPr>
                <w:noProof/>
              </w:rPr>
              <w:t>The Joint Research Centre</w:t>
            </w:r>
          </w:p>
        </w:tc>
      </w:tr>
      <w:tr w:rsidR="00811FC2" w:rsidRPr="005A3F47" w14:paraId="5DFAC93B" w14:textId="77777777" w:rsidTr="004C0683">
        <w:tc>
          <w:tcPr>
            <w:tcW w:w="3227" w:type="dxa"/>
            <w:tcMar>
              <w:top w:w="85" w:type="dxa"/>
              <w:left w:w="57" w:type="dxa"/>
              <w:bottom w:w="85" w:type="dxa"/>
              <w:right w:w="57" w:type="dxa"/>
            </w:tcMar>
          </w:tcPr>
          <w:p w14:paraId="5C01B158" w14:textId="52012E0D" w:rsidR="00811FC2" w:rsidRPr="005A3F47" w:rsidRDefault="00811FC2" w:rsidP="000E3086">
            <w:pPr>
              <w:rPr>
                <w:noProof/>
              </w:rPr>
            </w:pPr>
            <w:r w:rsidRPr="005A3F47">
              <w:rPr>
                <w:noProof/>
              </w:rPr>
              <w:t>MAP</w:t>
            </w:r>
          </w:p>
        </w:tc>
        <w:tc>
          <w:tcPr>
            <w:tcW w:w="5607" w:type="dxa"/>
            <w:tcMar>
              <w:top w:w="85" w:type="dxa"/>
              <w:left w:w="57" w:type="dxa"/>
              <w:bottom w:w="85" w:type="dxa"/>
              <w:right w:w="57" w:type="dxa"/>
            </w:tcMar>
          </w:tcPr>
          <w:p w14:paraId="47FD5D8D" w14:textId="2280A783" w:rsidR="00811FC2" w:rsidRPr="005A3F47" w:rsidRDefault="00811FC2" w:rsidP="000E3086">
            <w:pPr>
              <w:rPr>
                <w:noProof/>
              </w:rPr>
            </w:pPr>
            <w:r w:rsidRPr="005A3F47">
              <w:rPr>
                <w:noProof/>
              </w:rPr>
              <w:t>Mutual Agreement Procedure</w:t>
            </w:r>
          </w:p>
        </w:tc>
      </w:tr>
      <w:tr w:rsidR="006B087E" w:rsidRPr="005A3F47" w14:paraId="2052359F" w14:textId="77777777" w:rsidTr="004C0683">
        <w:tc>
          <w:tcPr>
            <w:tcW w:w="3227" w:type="dxa"/>
            <w:tcMar>
              <w:top w:w="85" w:type="dxa"/>
              <w:left w:w="57" w:type="dxa"/>
              <w:bottom w:w="85" w:type="dxa"/>
              <w:right w:w="57" w:type="dxa"/>
            </w:tcMar>
          </w:tcPr>
          <w:p w14:paraId="7F2448C6" w14:textId="32EC8020" w:rsidR="006B087E" w:rsidRPr="005A3F47" w:rsidRDefault="002C621D" w:rsidP="000E3086">
            <w:pPr>
              <w:rPr>
                <w:noProof/>
              </w:rPr>
            </w:pPr>
            <w:r w:rsidRPr="005A3F47">
              <w:rPr>
                <w:noProof/>
              </w:rPr>
              <w:t>MNE</w:t>
            </w:r>
            <w:r w:rsidR="00091E47" w:rsidRPr="005A3F47">
              <w:rPr>
                <w:noProof/>
              </w:rPr>
              <w:t>(s)</w:t>
            </w:r>
          </w:p>
        </w:tc>
        <w:tc>
          <w:tcPr>
            <w:tcW w:w="5607" w:type="dxa"/>
            <w:tcMar>
              <w:top w:w="85" w:type="dxa"/>
              <w:left w:w="57" w:type="dxa"/>
              <w:bottom w:w="85" w:type="dxa"/>
              <w:right w:w="57" w:type="dxa"/>
            </w:tcMar>
          </w:tcPr>
          <w:p w14:paraId="2E08BD48" w14:textId="089C8677" w:rsidR="006B087E" w:rsidRPr="005A3F47" w:rsidRDefault="002C621D" w:rsidP="000E3086">
            <w:pPr>
              <w:rPr>
                <w:noProof/>
              </w:rPr>
            </w:pPr>
            <w:r w:rsidRPr="005A3F47">
              <w:rPr>
                <w:noProof/>
              </w:rPr>
              <w:t>Multi</w:t>
            </w:r>
            <w:r w:rsidR="00BE081B" w:rsidRPr="005A3F47">
              <w:rPr>
                <w:noProof/>
              </w:rPr>
              <w:t>national Enterprise</w:t>
            </w:r>
            <w:r w:rsidR="00091E47" w:rsidRPr="005A3F47">
              <w:rPr>
                <w:noProof/>
              </w:rPr>
              <w:t>(s)</w:t>
            </w:r>
          </w:p>
        </w:tc>
      </w:tr>
      <w:tr w:rsidR="006B087E" w:rsidRPr="005A3F47" w14:paraId="31D11F94" w14:textId="77777777" w:rsidTr="004C0683">
        <w:tc>
          <w:tcPr>
            <w:tcW w:w="3227" w:type="dxa"/>
            <w:tcMar>
              <w:top w:w="85" w:type="dxa"/>
              <w:left w:w="57" w:type="dxa"/>
              <w:bottom w:w="85" w:type="dxa"/>
              <w:right w:w="57" w:type="dxa"/>
            </w:tcMar>
          </w:tcPr>
          <w:p w14:paraId="73CA96F2" w14:textId="73D402F5" w:rsidR="006B087E" w:rsidRPr="005A3F47" w:rsidRDefault="00B76BF9" w:rsidP="000E3086">
            <w:pPr>
              <w:rPr>
                <w:noProof/>
              </w:rPr>
            </w:pPr>
            <w:r w:rsidRPr="005A3F47">
              <w:rPr>
                <w:noProof/>
              </w:rPr>
              <w:t>OECD</w:t>
            </w:r>
          </w:p>
        </w:tc>
        <w:tc>
          <w:tcPr>
            <w:tcW w:w="5607" w:type="dxa"/>
            <w:tcMar>
              <w:top w:w="85" w:type="dxa"/>
              <w:left w:w="57" w:type="dxa"/>
              <w:bottom w:w="85" w:type="dxa"/>
              <w:right w:w="57" w:type="dxa"/>
            </w:tcMar>
          </w:tcPr>
          <w:p w14:paraId="3E0DC87C" w14:textId="4CD32998" w:rsidR="006B087E" w:rsidRPr="005A3F47" w:rsidRDefault="00ED608E" w:rsidP="000E3086">
            <w:pPr>
              <w:rPr>
                <w:noProof/>
              </w:rPr>
            </w:pPr>
            <w:r w:rsidRPr="005A3F47">
              <w:rPr>
                <w:noProof/>
              </w:rPr>
              <w:t xml:space="preserve">The Organisation for Economic Co-operation and </w:t>
            </w:r>
            <w:r w:rsidR="002A5A3C" w:rsidRPr="005A3F47">
              <w:rPr>
                <w:noProof/>
              </w:rPr>
              <w:t>Development</w:t>
            </w:r>
          </w:p>
        </w:tc>
      </w:tr>
      <w:tr w:rsidR="00633921" w:rsidRPr="005A3F47" w14:paraId="58D6AC44" w14:textId="77777777" w:rsidTr="004C0683">
        <w:tc>
          <w:tcPr>
            <w:tcW w:w="3227" w:type="dxa"/>
            <w:tcMar>
              <w:top w:w="85" w:type="dxa"/>
              <w:left w:w="57" w:type="dxa"/>
              <w:bottom w:w="85" w:type="dxa"/>
              <w:right w:w="57" w:type="dxa"/>
            </w:tcMar>
          </w:tcPr>
          <w:p w14:paraId="3BEDF063" w14:textId="4D8336AB" w:rsidR="00633921" w:rsidRPr="005A3F47" w:rsidRDefault="00633921" w:rsidP="000E3086">
            <w:pPr>
              <w:rPr>
                <w:noProof/>
              </w:rPr>
            </w:pPr>
            <w:r w:rsidRPr="005A3F47">
              <w:rPr>
                <w:noProof/>
              </w:rPr>
              <w:t xml:space="preserve">Pillar 2 </w:t>
            </w:r>
          </w:p>
        </w:tc>
        <w:tc>
          <w:tcPr>
            <w:tcW w:w="5607" w:type="dxa"/>
            <w:tcMar>
              <w:top w:w="85" w:type="dxa"/>
              <w:left w:w="57" w:type="dxa"/>
              <w:bottom w:w="85" w:type="dxa"/>
              <w:right w:w="57" w:type="dxa"/>
            </w:tcMar>
          </w:tcPr>
          <w:p w14:paraId="322BE400" w14:textId="7C22B70F" w:rsidR="00633921" w:rsidRPr="005A3F47" w:rsidRDefault="000977E6" w:rsidP="000E3086">
            <w:pPr>
              <w:rPr>
                <w:noProof/>
              </w:rPr>
            </w:pPr>
            <w:r w:rsidRPr="005A3F47">
              <w:rPr>
                <w:rFonts w:cs="Arial"/>
                <w:noProof/>
                <w:lang w:eastAsia="da-DK"/>
              </w:rPr>
              <w:t xml:space="preserve">OECD </w:t>
            </w:r>
            <w:r w:rsidR="00E71945" w:rsidRPr="005A3F47">
              <w:rPr>
                <w:rFonts w:cs="Arial"/>
                <w:noProof/>
                <w:lang w:eastAsia="da-DK"/>
              </w:rPr>
              <w:t>f</w:t>
            </w:r>
            <w:r w:rsidRPr="005A3F47">
              <w:rPr>
                <w:rFonts w:cs="Arial"/>
                <w:noProof/>
                <w:lang w:eastAsia="da-DK"/>
              </w:rPr>
              <w:t xml:space="preserve">ramework aiming at establishing a global minimum effective tax rate for </w:t>
            </w:r>
            <w:r w:rsidR="00E71945" w:rsidRPr="005A3F47">
              <w:rPr>
                <w:rFonts w:cs="Arial"/>
                <w:noProof/>
                <w:lang w:eastAsia="da-DK"/>
              </w:rPr>
              <w:t>multinational enterprises</w:t>
            </w:r>
            <w:r w:rsidR="00633921" w:rsidRPr="005A3F47">
              <w:rPr>
                <w:rFonts w:cs="Arial"/>
                <w:noProof/>
                <w:lang w:eastAsia="da-DK"/>
              </w:rPr>
              <w:t xml:space="preserve"> </w:t>
            </w:r>
          </w:p>
        </w:tc>
      </w:tr>
      <w:tr w:rsidR="00633921" w:rsidRPr="005A3F47" w14:paraId="213719F0" w14:textId="77777777" w:rsidTr="004C0683">
        <w:tc>
          <w:tcPr>
            <w:tcW w:w="3227" w:type="dxa"/>
            <w:tcMar>
              <w:top w:w="85" w:type="dxa"/>
              <w:left w:w="57" w:type="dxa"/>
              <w:bottom w:w="85" w:type="dxa"/>
              <w:right w:w="57" w:type="dxa"/>
            </w:tcMar>
          </w:tcPr>
          <w:p w14:paraId="786A7A47" w14:textId="58776410" w:rsidR="00633921" w:rsidRPr="005A3F47" w:rsidRDefault="00633921" w:rsidP="000E3086">
            <w:pPr>
              <w:rPr>
                <w:noProof/>
              </w:rPr>
            </w:pPr>
            <w:r w:rsidRPr="005A3F47">
              <w:rPr>
                <w:noProof/>
              </w:rPr>
              <w:t>Pillar 2 Directive</w:t>
            </w:r>
          </w:p>
        </w:tc>
        <w:tc>
          <w:tcPr>
            <w:tcW w:w="5607" w:type="dxa"/>
            <w:tcMar>
              <w:top w:w="85" w:type="dxa"/>
              <w:left w:w="57" w:type="dxa"/>
              <w:bottom w:w="85" w:type="dxa"/>
              <w:right w:w="57" w:type="dxa"/>
            </w:tcMar>
          </w:tcPr>
          <w:p w14:paraId="27E1EC68" w14:textId="6599CC83" w:rsidR="00633921" w:rsidRPr="005A3F47" w:rsidRDefault="00F17612" w:rsidP="000E3086">
            <w:pPr>
              <w:rPr>
                <w:noProof/>
              </w:rPr>
            </w:pPr>
            <w:r w:rsidRPr="005A3F47">
              <w:rPr>
                <w:noProof/>
              </w:rPr>
              <w:t>Directive on ensuring a global minimum level of taxation for multinational enterprise groups and large-scale domestic groups in the Union</w:t>
            </w:r>
          </w:p>
        </w:tc>
      </w:tr>
      <w:tr w:rsidR="006B087E" w:rsidRPr="005A3F47" w14:paraId="28D15D8E" w14:textId="77777777" w:rsidTr="004C0683">
        <w:tc>
          <w:tcPr>
            <w:tcW w:w="3227" w:type="dxa"/>
            <w:tcMar>
              <w:top w:w="85" w:type="dxa"/>
              <w:left w:w="57" w:type="dxa"/>
              <w:bottom w:w="85" w:type="dxa"/>
              <w:right w:w="57" w:type="dxa"/>
            </w:tcMar>
          </w:tcPr>
          <w:p w14:paraId="3EB54523" w14:textId="2B5C6021" w:rsidR="006B087E" w:rsidRPr="005A3F47" w:rsidRDefault="005F617B" w:rsidP="000E3086">
            <w:pPr>
              <w:rPr>
                <w:noProof/>
              </w:rPr>
            </w:pPr>
            <w:r w:rsidRPr="005A3F47">
              <w:rPr>
                <w:noProof/>
              </w:rPr>
              <w:t>PSD</w:t>
            </w:r>
          </w:p>
        </w:tc>
        <w:tc>
          <w:tcPr>
            <w:tcW w:w="5607" w:type="dxa"/>
            <w:tcMar>
              <w:top w:w="85" w:type="dxa"/>
              <w:left w:w="57" w:type="dxa"/>
              <w:bottom w:w="85" w:type="dxa"/>
              <w:right w:w="57" w:type="dxa"/>
            </w:tcMar>
          </w:tcPr>
          <w:p w14:paraId="4B2A176C" w14:textId="21C1C165" w:rsidR="006B087E" w:rsidRPr="005A3F47" w:rsidRDefault="005F617B" w:rsidP="000E3086">
            <w:pPr>
              <w:rPr>
                <w:noProof/>
              </w:rPr>
            </w:pPr>
            <w:r w:rsidRPr="005A3F47">
              <w:rPr>
                <w:noProof/>
              </w:rPr>
              <w:t>Parent-Subsidiary Directive</w:t>
            </w:r>
          </w:p>
        </w:tc>
      </w:tr>
      <w:tr w:rsidR="00864572" w:rsidRPr="005A3F47" w14:paraId="3DF1439B" w14:textId="77777777" w:rsidTr="004C0683">
        <w:tc>
          <w:tcPr>
            <w:tcW w:w="3227" w:type="dxa"/>
            <w:tcMar>
              <w:top w:w="85" w:type="dxa"/>
              <w:left w:w="57" w:type="dxa"/>
              <w:bottom w:w="85" w:type="dxa"/>
              <w:right w:w="57" w:type="dxa"/>
            </w:tcMar>
          </w:tcPr>
          <w:p w14:paraId="6B949DE2" w14:textId="5422ED8A" w:rsidR="00864572" w:rsidRPr="005A3F47" w:rsidRDefault="00864572" w:rsidP="000E3086">
            <w:pPr>
              <w:rPr>
                <w:noProof/>
              </w:rPr>
            </w:pPr>
            <w:r w:rsidRPr="005A3F47">
              <w:rPr>
                <w:noProof/>
              </w:rPr>
              <w:t>QDMTT</w:t>
            </w:r>
          </w:p>
        </w:tc>
        <w:tc>
          <w:tcPr>
            <w:tcW w:w="5607" w:type="dxa"/>
            <w:tcMar>
              <w:top w:w="85" w:type="dxa"/>
              <w:left w:w="57" w:type="dxa"/>
              <w:bottom w:w="85" w:type="dxa"/>
              <w:right w:w="57" w:type="dxa"/>
            </w:tcMar>
          </w:tcPr>
          <w:p w14:paraId="3F79C7C2" w14:textId="435D90A6" w:rsidR="00864572" w:rsidRPr="005A3F47" w:rsidRDefault="00864572" w:rsidP="000E3086">
            <w:pPr>
              <w:rPr>
                <w:noProof/>
              </w:rPr>
            </w:pPr>
            <w:r w:rsidRPr="005A3F47">
              <w:rPr>
                <w:noProof/>
              </w:rPr>
              <w:t xml:space="preserve">Qualified Domestic </w:t>
            </w:r>
            <w:r w:rsidR="00487E24" w:rsidRPr="005A3F47">
              <w:rPr>
                <w:noProof/>
              </w:rPr>
              <w:t xml:space="preserve">Minimum </w:t>
            </w:r>
            <w:r w:rsidRPr="005A3F47">
              <w:rPr>
                <w:noProof/>
              </w:rPr>
              <w:t>Top-up Tax</w:t>
            </w:r>
            <w:r w:rsidR="00CE556C" w:rsidRPr="005A3F47">
              <w:rPr>
                <w:noProof/>
              </w:rPr>
              <w:t xml:space="preserve"> under Pillar 2</w:t>
            </w:r>
          </w:p>
        </w:tc>
      </w:tr>
      <w:tr w:rsidR="003F35C1" w:rsidRPr="005A3F47" w14:paraId="2E81024E" w14:textId="77777777" w:rsidTr="004C0683">
        <w:tc>
          <w:tcPr>
            <w:tcW w:w="3227" w:type="dxa"/>
            <w:tcMar>
              <w:top w:w="85" w:type="dxa"/>
              <w:left w:w="57" w:type="dxa"/>
              <w:bottom w:w="85" w:type="dxa"/>
              <w:right w:w="57" w:type="dxa"/>
            </w:tcMar>
          </w:tcPr>
          <w:p w14:paraId="42C632EB" w14:textId="40B182F3" w:rsidR="003F35C1" w:rsidRPr="005A3F47" w:rsidRDefault="004C758B" w:rsidP="000E3086">
            <w:pPr>
              <w:rPr>
                <w:noProof/>
              </w:rPr>
            </w:pPr>
            <w:r w:rsidRPr="005A3F47">
              <w:rPr>
                <w:noProof/>
              </w:rPr>
              <w:t>R&amp;D</w:t>
            </w:r>
          </w:p>
        </w:tc>
        <w:tc>
          <w:tcPr>
            <w:tcW w:w="5607" w:type="dxa"/>
            <w:tcMar>
              <w:top w:w="85" w:type="dxa"/>
              <w:left w:w="57" w:type="dxa"/>
              <w:bottom w:w="85" w:type="dxa"/>
              <w:right w:w="57" w:type="dxa"/>
            </w:tcMar>
          </w:tcPr>
          <w:p w14:paraId="489C47F3" w14:textId="0500839A" w:rsidR="003F35C1" w:rsidRPr="005A3F47" w:rsidRDefault="004C758B" w:rsidP="000E3086">
            <w:pPr>
              <w:rPr>
                <w:noProof/>
              </w:rPr>
            </w:pPr>
            <w:r w:rsidRPr="005A3F47">
              <w:rPr>
                <w:noProof/>
              </w:rPr>
              <w:t>Research and Development</w:t>
            </w:r>
          </w:p>
        </w:tc>
      </w:tr>
      <w:tr w:rsidR="00E30F4E" w:rsidRPr="005A3F47" w14:paraId="35BD6C9F" w14:textId="77777777" w:rsidTr="00EC79EC">
        <w:tc>
          <w:tcPr>
            <w:tcW w:w="3227" w:type="dxa"/>
            <w:tcMar>
              <w:top w:w="85" w:type="dxa"/>
              <w:left w:w="57" w:type="dxa"/>
              <w:bottom w:w="85" w:type="dxa"/>
              <w:right w:w="57" w:type="dxa"/>
            </w:tcMar>
          </w:tcPr>
          <w:p w14:paraId="1A46786C" w14:textId="71C7E197" w:rsidR="005935D2" w:rsidRPr="005A3F47" w:rsidRDefault="005935D2" w:rsidP="000E3086">
            <w:pPr>
              <w:rPr>
                <w:noProof/>
              </w:rPr>
            </w:pPr>
            <w:r w:rsidRPr="005A3F47">
              <w:rPr>
                <w:noProof/>
              </w:rPr>
              <w:t>SbS</w:t>
            </w:r>
          </w:p>
        </w:tc>
        <w:tc>
          <w:tcPr>
            <w:tcW w:w="5607" w:type="dxa"/>
            <w:tcMar>
              <w:top w:w="85" w:type="dxa"/>
              <w:left w:w="57" w:type="dxa"/>
              <w:bottom w:w="85" w:type="dxa"/>
              <w:right w:w="57" w:type="dxa"/>
            </w:tcMar>
          </w:tcPr>
          <w:p w14:paraId="1C8696A9" w14:textId="7A0CEB1E" w:rsidR="005935D2" w:rsidRPr="005A3F47" w:rsidRDefault="005935D2" w:rsidP="000E3086">
            <w:pPr>
              <w:rPr>
                <w:noProof/>
              </w:rPr>
            </w:pPr>
            <w:r w:rsidRPr="005A3F47">
              <w:rPr>
                <w:noProof/>
              </w:rPr>
              <w:t>Side-by-Side</w:t>
            </w:r>
            <w:r w:rsidR="00F57629" w:rsidRPr="005A3F47">
              <w:rPr>
                <w:noProof/>
              </w:rPr>
              <w:t xml:space="preserve"> system under Pillar 2</w:t>
            </w:r>
            <w:r w:rsidR="00F33163" w:rsidRPr="005A3F47">
              <w:rPr>
                <w:noProof/>
              </w:rPr>
              <w:t xml:space="preserve"> that introduces safe-harbours </w:t>
            </w:r>
            <w:r w:rsidR="008F2550" w:rsidRPr="005A3F47">
              <w:rPr>
                <w:noProof/>
              </w:rPr>
              <w:t>to reduce compliance burdens for MNEs in jurisdictions with qualifying domestic tax regimes</w:t>
            </w:r>
            <w:r w:rsidR="00C26AB6" w:rsidRPr="005A3F47">
              <w:rPr>
                <w:noProof/>
              </w:rPr>
              <w:t xml:space="preserve"> as of 1 January 2026.</w:t>
            </w:r>
          </w:p>
        </w:tc>
      </w:tr>
      <w:tr w:rsidR="006B087E" w:rsidRPr="005A3F47" w14:paraId="792CC654" w14:textId="77777777" w:rsidTr="004C0683">
        <w:tc>
          <w:tcPr>
            <w:tcW w:w="3227" w:type="dxa"/>
            <w:tcMar>
              <w:top w:w="85" w:type="dxa"/>
              <w:left w:w="57" w:type="dxa"/>
              <w:bottom w:w="85" w:type="dxa"/>
              <w:right w:w="57" w:type="dxa"/>
            </w:tcMar>
          </w:tcPr>
          <w:p w14:paraId="02FEE9D4" w14:textId="62EA93F5" w:rsidR="006B087E" w:rsidRPr="005A3F47" w:rsidRDefault="00200DA6" w:rsidP="000E3086">
            <w:pPr>
              <w:rPr>
                <w:noProof/>
              </w:rPr>
            </w:pPr>
            <w:r w:rsidRPr="005A3F47">
              <w:rPr>
                <w:noProof/>
              </w:rPr>
              <w:t>SME</w:t>
            </w:r>
            <w:r w:rsidR="00091E47" w:rsidRPr="005A3F47">
              <w:rPr>
                <w:noProof/>
              </w:rPr>
              <w:t>(s)</w:t>
            </w:r>
          </w:p>
        </w:tc>
        <w:tc>
          <w:tcPr>
            <w:tcW w:w="5607" w:type="dxa"/>
            <w:tcMar>
              <w:top w:w="85" w:type="dxa"/>
              <w:left w:w="57" w:type="dxa"/>
              <w:bottom w:w="85" w:type="dxa"/>
              <w:right w:w="57" w:type="dxa"/>
            </w:tcMar>
          </w:tcPr>
          <w:p w14:paraId="085D2A4F" w14:textId="523BB62B" w:rsidR="006B087E" w:rsidRPr="005A3F47" w:rsidRDefault="00200DA6" w:rsidP="000E3086">
            <w:pPr>
              <w:rPr>
                <w:noProof/>
              </w:rPr>
            </w:pPr>
            <w:r w:rsidRPr="005A3F47">
              <w:rPr>
                <w:noProof/>
              </w:rPr>
              <w:t>Small and Medium-sized Enterprise</w:t>
            </w:r>
            <w:r w:rsidR="00091E47" w:rsidRPr="005A3F47">
              <w:rPr>
                <w:noProof/>
              </w:rPr>
              <w:t>(</w:t>
            </w:r>
            <w:r w:rsidRPr="005A3F47">
              <w:rPr>
                <w:noProof/>
              </w:rPr>
              <w:t>s</w:t>
            </w:r>
            <w:r w:rsidR="00091E47" w:rsidRPr="005A3F47">
              <w:rPr>
                <w:noProof/>
              </w:rPr>
              <w:t>)</w:t>
            </w:r>
          </w:p>
        </w:tc>
      </w:tr>
      <w:tr w:rsidR="009948BD" w:rsidRPr="005A3F47" w14:paraId="5111E172" w14:textId="77777777" w:rsidTr="004C0683">
        <w:tc>
          <w:tcPr>
            <w:tcW w:w="3227" w:type="dxa"/>
            <w:tcMar>
              <w:top w:w="85" w:type="dxa"/>
              <w:left w:w="57" w:type="dxa"/>
              <w:bottom w:w="85" w:type="dxa"/>
              <w:right w:w="57" w:type="dxa"/>
            </w:tcMar>
          </w:tcPr>
          <w:p w14:paraId="601C6699" w14:textId="1A2C297E" w:rsidR="009948BD" w:rsidRPr="005A3F47" w:rsidRDefault="009948BD" w:rsidP="000E3086">
            <w:pPr>
              <w:rPr>
                <w:noProof/>
              </w:rPr>
            </w:pPr>
            <w:r w:rsidRPr="005A3F47">
              <w:rPr>
                <w:noProof/>
              </w:rPr>
              <w:t>TEC</w:t>
            </w:r>
          </w:p>
        </w:tc>
        <w:tc>
          <w:tcPr>
            <w:tcW w:w="5607" w:type="dxa"/>
            <w:tcMar>
              <w:top w:w="85" w:type="dxa"/>
              <w:left w:w="57" w:type="dxa"/>
              <w:bottom w:w="85" w:type="dxa"/>
              <w:right w:w="57" w:type="dxa"/>
            </w:tcMar>
          </w:tcPr>
          <w:p w14:paraId="3C98E83B" w14:textId="7C6B045F" w:rsidR="009948BD" w:rsidRPr="005A3F47" w:rsidRDefault="009948BD" w:rsidP="000E3086">
            <w:pPr>
              <w:rPr>
                <w:noProof/>
              </w:rPr>
            </w:pPr>
            <w:r w:rsidRPr="005A3F47">
              <w:rPr>
                <w:noProof/>
              </w:rPr>
              <w:t xml:space="preserve">Treaty </w:t>
            </w:r>
            <w:r w:rsidR="00133354" w:rsidRPr="005A3F47">
              <w:rPr>
                <w:noProof/>
              </w:rPr>
              <w:t>establishing the European Community</w:t>
            </w:r>
          </w:p>
        </w:tc>
      </w:tr>
      <w:tr w:rsidR="006B087E" w:rsidRPr="005A3F47" w14:paraId="4810EBC8" w14:textId="77777777" w:rsidTr="004C0683">
        <w:tc>
          <w:tcPr>
            <w:tcW w:w="3227" w:type="dxa"/>
            <w:tcMar>
              <w:top w:w="85" w:type="dxa"/>
              <w:left w:w="57" w:type="dxa"/>
              <w:bottom w:w="85" w:type="dxa"/>
              <w:right w:w="57" w:type="dxa"/>
            </w:tcMar>
          </w:tcPr>
          <w:p w14:paraId="45C18D1A" w14:textId="208E2483" w:rsidR="006B087E" w:rsidRPr="005A3F47" w:rsidRDefault="00AA1086" w:rsidP="000E3086">
            <w:pPr>
              <w:rPr>
                <w:noProof/>
              </w:rPr>
            </w:pPr>
            <w:r w:rsidRPr="005A3F47">
              <w:rPr>
                <w:noProof/>
              </w:rPr>
              <w:t>TEU</w:t>
            </w:r>
          </w:p>
        </w:tc>
        <w:tc>
          <w:tcPr>
            <w:tcW w:w="5607" w:type="dxa"/>
            <w:tcMar>
              <w:top w:w="85" w:type="dxa"/>
              <w:left w:w="57" w:type="dxa"/>
              <w:bottom w:w="85" w:type="dxa"/>
              <w:right w:w="57" w:type="dxa"/>
            </w:tcMar>
          </w:tcPr>
          <w:p w14:paraId="2D4EEE18" w14:textId="2577EF15" w:rsidR="006B087E" w:rsidRPr="005A3F47" w:rsidRDefault="00AA1086" w:rsidP="000E3086">
            <w:pPr>
              <w:rPr>
                <w:noProof/>
              </w:rPr>
            </w:pPr>
            <w:r w:rsidRPr="005A3F47">
              <w:rPr>
                <w:noProof/>
              </w:rPr>
              <w:t>Treaty o</w:t>
            </w:r>
            <w:r w:rsidR="00C84515" w:rsidRPr="005A3F47">
              <w:rPr>
                <w:noProof/>
              </w:rPr>
              <w:t>n</w:t>
            </w:r>
            <w:r w:rsidRPr="005A3F47">
              <w:rPr>
                <w:noProof/>
              </w:rPr>
              <w:t xml:space="preserve"> the Eu</w:t>
            </w:r>
            <w:r w:rsidR="00C164A0" w:rsidRPr="005A3F47">
              <w:rPr>
                <w:noProof/>
              </w:rPr>
              <w:t>ropean Union</w:t>
            </w:r>
          </w:p>
        </w:tc>
      </w:tr>
      <w:tr w:rsidR="006B087E" w:rsidRPr="005A3F47" w14:paraId="63DFF71C" w14:textId="77777777" w:rsidTr="004C0683">
        <w:tc>
          <w:tcPr>
            <w:tcW w:w="3227" w:type="dxa"/>
            <w:tcMar>
              <w:top w:w="85" w:type="dxa"/>
              <w:left w:w="57" w:type="dxa"/>
              <w:bottom w:w="85" w:type="dxa"/>
              <w:right w:w="57" w:type="dxa"/>
            </w:tcMar>
          </w:tcPr>
          <w:p w14:paraId="4C32220F" w14:textId="6B1CCE0E" w:rsidR="006B087E" w:rsidRPr="005A3F47" w:rsidRDefault="00087830" w:rsidP="000E3086">
            <w:pPr>
              <w:rPr>
                <w:noProof/>
              </w:rPr>
            </w:pPr>
            <w:r w:rsidRPr="005A3F47">
              <w:rPr>
                <w:noProof/>
              </w:rPr>
              <w:t>TFEU</w:t>
            </w:r>
          </w:p>
        </w:tc>
        <w:tc>
          <w:tcPr>
            <w:tcW w:w="5607" w:type="dxa"/>
            <w:tcMar>
              <w:top w:w="85" w:type="dxa"/>
              <w:left w:w="57" w:type="dxa"/>
              <w:bottom w:w="85" w:type="dxa"/>
              <w:right w:w="57" w:type="dxa"/>
            </w:tcMar>
          </w:tcPr>
          <w:p w14:paraId="3A518173" w14:textId="4295A894" w:rsidR="006B087E" w:rsidRPr="005A3F47" w:rsidRDefault="00087830" w:rsidP="000E3086">
            <w:pPr>
              <w:rPr>
                <w:noProof/>
              </w:rPr>
            </w:pPr>
            <w:r w:rsidRPr="005A3F47">
              <w:rPr>
                <w:noProof/>
              </w:rPr>
              <w:t>Treaty o</w:t>
            </w:r>
            <w:r w:rsidR="002B0534" w:rsidRPr="005A3F47">
              <w:rPr>
                <w:noProof/>
              </w:rPr>
              <w:t>n</w:t>
            </w:r>
            <w:r w:rsidRPr="005A3F47">
              <w:rPr>
                <w:noProof/>
              </w:rPr>
              <w:t xml:space="preserve"> the Functioning of the E</w:t>
            </w:r>
            <w:r w:rsidR="002B0534" w:rsidRPr="005A3F47">
              <w:rPr>
                <w:noProof/>
              </w:rPr>
              <w:t>uropean Union</w:t>
            </w:r>
          </w:p>
        </w:tc>
      </w:tr>
      <w:tr w:rsidR="009E2BE6" w:rsidRPr="005A3F47" w14:paraId="3530F6F3" w14:textId="77777777" w:rsidTr="004C0683">
        <w:tc>
          <w:tcPr>
            <w:tcW w:w="3227" w:type="dxa"/>
            <w:tcMar>
              <w:top w:w="85" w:type="dxa"/>
              <w:left w:w="57" w:type="dxa"/>
              <w:bottom w:w="85" w:type="dxa"/>
              <w:right w:w="57" w:type="dxa"/>
            </w:tcMar>
          </w:tcPr>
          <w:p w14:paraId="42C95D80" w14:textId="0D70B208" w:rsidR="009E2BE6" w:rsidRPr="005A3F47" w:rsidRDefault="009E2BE6" w:rsidP="000E3086">
            <w:pPr>
              <w:rPr>
                <w:noProof/>
              </w:rPr>
            </w:pPr>
            <w:r w:rsidRPr="005A3F47">
              <w:rPr>
                <w:noProof/>
              </w:rPr>
              <w:t>Third-party</w:t>
            </w:r>
            <w:r w:rsidR="00D32F6D" w:rsidRPr="005A3F47">
              <w:rPr>
                <w:noProof/>
              </w:rPr>
              <w:t xml:space="preserve"> loan</w:t>
            </w:r>
          </w:p>
        </w:tc>
        <w:tc>
          <w:tcPr>
            <w:tcW w:w="5607" w:type="dxa"/>
            <w:tcMar>
              <w:top w:w="85" w:type="dxa"/>
              <w:left w:w="57" w:type="dxa"/>
              <w:bottom w:w="85" w:type="dxa"/>
              <w:right w:w="57" w:type="dxa"/>
            </w:tcMar>
          </w:tcPr>
          <w:p w14:paraId="4214DB61" w14:textId="064F7B02" w:rsidR="009E2BE6" w:rsidRPr="005A3F47" w:rsidRDefault="0000617F" w:rsidP="000E3086">
            <w:pPr>
              <w:rPr>
                <w:noProof/>
              </w:rPr>
            </w:pPr>
            <w:r w:rsidRPr="005A3F47">
              <w:rPr>
                <w:noProof/>
              </w:rPr>
              <w:t>A loan provided by an external lender who is not directly involved in the ownership or operations of the borrower’s business or personal finances</w:t>
            </w:r>
          </w:p>
        </w:tc>
      </w:tr>
      <w:tr w:rsidR="006B087E" w:rsidRPr="005A3F47" w14:paraId="653534DA" w14:textId="77777777" w:rsidTr="004C0683">
        <w:tc>
          <w:tcPr>
            <w:tcW w:w="3227" w:type="dxa"/>
            <w:tcMar>
              <w:top w:w="85" w:type="dxa"/>
              <w:left w:w="57" w:type="dxa"/>
              <w:bottom w:w="85" w:type="dxa"/>
              <w:right w:w="57" w:type="dxa"/>
            </w:tcMar>
          </w:tcPr>
          <w:p w14:paraId="2217E150" w14:textId="53C6D166" w:rsidR="006B087E" w:rsidRPr="005A3F47" w:rsidRDefault="0029100B" w:rsidP="000E3086">
            <w:pPr>
              <w:rPr>
                <w:noProof/>
              </w:rPr>
            </w:pPr>
            <w:r w:rsidRPr="005A3F47">
              <w:rPr>
                <w:noProof/>
              </w:rPr>
              <w:t>TMD</w:t>
            </w:r>
          </w:p>
        </w:tc>
        <w:tc>
          <w:tcPr>
            <w:tcW w:w="5607" w:type="dxa"/>
            <w:tcMar>
              <w:top w:w="85" w:type="dxa"/>
              <w:left w:w="57" w:type="dxa"/>
              <w:bottom w:w="85" w:type="dxa"/>
              <w:right w:w="57" w:type="dxa"/>
            </w:tcMar>
          </w:tcPr>
          <w:p w14:paraId="092B825F" w14:textId="5C8B8589" w:rsidR="006B087E" w:rsidRPr="005A3F47" w:rsidRDefault="0029100B" w:rsidP="000E3086">
            <w:pPr>
              <w:rPr>
                <w:noProof/>
              </w:rPr>
            </w:pPr>
            <w:r w:rsidRPr="005A3F47">
              <w:rPr>
                <w:noProof/>
              </w:rPr>
              <w:t>Tax Merger Dire</w:t>
            </w:r>
            <w:r w:rsidR="00B90A80" w:rsidRPr="005A3F47">
              <w:rPr>
                <w:noProof/>
              </w:rPr>
              <w:t>c</w:t>
            </w:r>
            <w:r w:rsidRPr="005A3F47">
              <w:rPr>
                <w:noProof/>
              </w:rPr>
              <w:t>tive</w:t>
            </w:r>
          </w:p>
        </w:tc>
      </w:tr>
      <w:tr w:rsidR="009D70E1" w:rsidRPr="005A3F47" w14:paraId="0FE79486" w14:textId="77777777" w:rsidTr="004C0683">
        <w:tc>
          <w:tcPr>
            <w:tcW w:w="3227" w:type="dxa"/>
            <w:tcMar>
              <w:top w:w="85" w:type="dxa"/>
              <w:left w:w="57" w:type="dxa"/>
              <w:bottom w:w="85" w:type="dxa"/>
              <w:right w:w="57" w:type="dxa"/>
            </w:tcMar>
          </w:tcPr>
          <w:p w14:paraId="3A134434" w14:textId="352A278C" w:rsidR="009D70E1" w:rsidRPr="005A3F47" w:rsidRDefault="009D70E1" w:rsidP="000E3086">
            <w:pPr>
              <w:rPr>
                <w:noProof/>
              </w:rPr>
            </w:pPr>
            <w:r w:rsidRPr="005A3F47">
              <w:rPr>
                <w:noProof/>
              </w:rPr>
              <w:t>UN</w:t>
            </w:r>
          </w:p>
        </w:tc>
        <w:tc>
          <w:tcPr>
            <w:tcW w:w="5607" w:type="dxa"/>
            <w:tcMar>
              <w:top w:w="85" w:type="dxa"/>
              <w:left w:w="57" w:type="dxa"/>
              <w:bottom w:w="85" w:type="dxa"/>
              <w:right w:w="57" w:type="dxa"/>
            </w:tcMar>
          </w:tcPr>
          <w:p w14:paraId="102C55E3" w14:textId="3CEC2A62" w:rsidR="009D70E1" w:rsidRPr="005A3F47" w:rsidRDefault="00ED608E" w:rsidP="000E3086">
            <w:pPr>
              <w:rPr>
                <w:noProof/>
              </w:rPr>
            </w:pPr>
            <w:r w:rsidRPr="005A3F47">
              <w:rPr>
                <w:noProof/>
              </w:rPr>
              <w:t xml:space="preserve">The </w:t>
            </w:r>
            <w:r w:rsidR="009D70E1" w:rsidRPr="005A3F47">
              <w:rPr>
                <w:noProof/>
              </w:rPr>
              <w:t>United Nations</w:t>
            </w:r>
          </w:p>
        </w:tc>
      </w:tr>
      <w:tr w:rsidR="00CE556C" w:rsidRPr="005A3F47" w14:paraId="0B2F3B05" w14:textId="77777777" w:rsidTr="00F508F7">
        <w:tc>
          <w:tcPr>
            <w:tcW w:w="3227" w:type="dxa"/>
            <w:tcMar>
              <w:top w:w="85" w:type="dxa"/>
              <w:left w:w="57" w:type="dxa"/>
              <w:bottom w:w="85" w:type="dxa"/>
              <w:right w:w="57" w:type="dxa"/>
            </w:tcMar>
          </w:tcPr>
          <w:p w14:paraId="0A2938CA" w14:textId="427D337B" w:rsidR="00CE556C" w:rsidRPr="005A3F47" w:rsidRDefault="00CE556C" w:rsidP="000E3086">
            <w:pPr>
              <w:rPr>
                <w:noProof/>
              </w:rPr>
            </w:pPr>
            <w:r w:rsidRPr="005A3F47">
              <w:rPr>
                <w:noProof/>
              </w:rPr>
              <w:t>UTPR</w:t>
            </w:r>
          </w:p>
        </w:tc>
        <w:tc>
          <w:tcPr>
            <w:tcW w:w="5607" w:type="dxa"/>
            <w:tcMar>
              <w:top w:w="85" w:type="dxa"/>
              <w:left w:w="57" w:type="dxa"/>
              <w:bottom w:w="85" w:type="dxa"/>
              <w:right w:w="57" w:type="dxa"/>
            </w:tcMar>
          </w:tcPr>
          <w:p w14:paraId="6A745008" w14:textId="2AAE8250" w:rsidR="00CE556C" w:rsidRPr="005A3F47" w:rsidRDefault="00CE556C" w:rsidP="000E3086">
            <w:pPr>
              <w:rPr>
                <w:noProof/>
              </w:rPr>
            </w:pPr>
            <w:r w:rsidRPr="005A3F47">
              <w:rPr>
                <w:noProof/>
              </w:rPr>
              <w:t>Under-Taxed P</w:t>
            </w:r>
            <w:r w:rsidR="492D4DDB" w:rsidRPr="005A3F47">
              <w:rPr>
                <w:noProof/>
              </w:rPr>
              <w:t>rofit</w:t>
            </w:r>
            <w:r w:rsidRPr="005A3F47">
              <w:rPr>
                <w:noProof/>
              </w:rPr>
              <w:t xml:space="preserve"> Rule under Pillar 2</w:t>
            </w:r>
          </w:p>
        </w:tc>
      </w:tr>
      <w:tr w:rsidR="00A4377F" w:rsidRPr="005A3F47" w14:paraId="3EE3826B" w14:textId="77777777" w:rsidTr="004C0683">
        <w:tc>
          <w:tcPr>
            <w:tcW w:w="3227" w:type="dxa"/>
            <w:tcMar>
              <w:top w:w="85" w:type="dxa"/>
              <w:left w:w="57" w:type="dxa"/>
              <w:bottom w:w="85" w:type="dxa"/>
              <w:right w:w="57" w:type="dxa"/>
            </w:tcMar>
          </w:tcPr>
          <w:p w14:paraId="5F8B57B6" w14:textId="7D89E31E" w:rsidR="00A4377F" w:rsidRPr="005A3F47" w:rsidRDefault="00A4377F" w:rsidP="000E3086">
            <w:pPr>
              <w:rPr>
                <w:noProof/>
              </w:rPr>
            </w:pPr>
            <w:r w:rsidRPr="005A3F47">
              <w:rPr>
                <w:noProof/>
              </w:rPr>
              <w:t>WHT</w:t>
            </w:r>
          </w:p>
        </w:tc>
        <w:tc>
          <w:tcPr>
            <w:tcW w:w="5607" w:type="dxa"/>
            <w:tcMar>
              <w:top w:w="85" w:type="dxa"/>
              <w:left w:w="57" w:type="dxa"/>
              <w:bottom w:w="85" w:type="dxa"/>
              <w:right w:w="57" w:type="dxa"/>
            </w:tcMar>
          </w:tcPr>
          <w:p w14:paraId="7FB0DB8C" w14:textId="10A461AE" w:rsidR="00A4377F" w:rsidRPr="005A3F47" w:rsidRDefault="00F15FBD" w:rsidP="000E3086">
            <w:pPr>
              <w:rPr>
                <w:noProof/>
              </w:rPr>
            </w:pPr>
            <w:r w:rsidRPr="005A3F47">
              <w:rPr>
                <w:noProof/>
              </w:rPr>
              <w:t>Withholding tax(es)</w:t>
            </w:r>
          </w:p>
        </w:tc>
      </w:tr>
      <w:tr w:rsidR="002C63E6" w:rsidRPr="005A3F47" w14:paraId="4BD83C18" w14:textId="77777777" w:rsidTr="004C0683">
        <w:tc>
          <w:tcPr>
            <w:tcW w:w="3227" w:type="dxa"/>
            <w:tcMar>
              <w:top w:w="85" w:type="dxa"/>
              <w:left w:w="57" w:type="dxa"/>
              <w:bottom w:w="85" w:type="dxa"/>
              <w:right w:w="57" w:type="dxa"/>
            </w:tcMar>
          </w:tcPr>
          <w:p w14:paraId="5E74AB03" w14:textId="0D011BFE" w:rsidR="002C63E6" w:rsidRPr="005A3F47" w:rsidRDefault="002C63E6" w:rsidP="000E3086">
            <w:pPr>
              <w:rPr>
                <w:noProof/>
              </w:rPr>
            </w:pPr>
            <w:r w:rsidRPr="005A3F47">
              <w:rPr>
                <w:noProof/>
              </w:rPr>
              <w:t>Zero-tax jurisdiction</w:t>
            </w:r>
          </w:p>
        </w:tc>
        <w:tc>
          <w:tcPr>
            <w:tcW w:w="5607" w:type="dxa"/>
            <w:tcMar>
              <w:top w:w="85" w:type="dxa"/>
              <w:left w:w="57" w:type="dxa"/>
              <w:bottom w:w="85" w:type="dxa"/>
              <w:right w:w="57" w:type="dxa"/>
            </w:tcMar>
          </w:tcPr>
          <w:p w14:paraId="3CD17DEA" w14:textId="479C5018" w:rsidR="002C63E6" w:rsidRPr="005A3F47" w:rsidRDefault="002C63E6" w:rsidP="000E3086">
            <w:pPr>
              <w:rPr>
                <w:noProof/>
              </w:rPr>
            </w:pPr>
            <w:r w:rsidRPr="005A3F47">
              <w:rPr>
                <w:noProof/>
              </w:rPr>
              <w:t>Third country that does not levy corporate income tax or applies a zero corporate income tax rate</w:t>
            </w:r>
          </w:p>
        </w:tc>
      </w:tr>
    </w:tbl>
    <w:p w14:paraId="4CA7C5F3" w14:textId="372E269A" w:rsidR="007A2C06" w:rsidRPr="005A3F47" w:rsidRDefault="006B087E">
      <w:pPr>
        <w:spacing w:after="200" w:line="276" w:lineRule="auto"/>
        <w:jc w:val="left"/>
        <w:rPr>
          <w:noProof/>
        </w:rPr>
        <w:sectPr w:rsidR="007A2C06" w:rsidRPr="005A3F47" w:rsidSect="008E6E28">
          <w:headerReference w:type="even" r:id="rId14"/>
          <w:headerReference w:type="default" r:id="rId15"/>
          <w:footerReference w:type="even" r:id="rId16"/>
          <w:footerReference w:type="default" r:id="rId17"/>
          <w:headerReference w:type="first" r:id="rId18"/>
          <w:footerReference w:type="first" r:id="rId19"/>
          <w:pgSz w:w="11906" w:h="16838"/>
          <w:pgMar w:top="1021" w:right="709" w:bottom="1021" w:left="1588" w:header="601" w:footer="1077" w:gutter="0"/>
          <w:pgNumType w:start="1"/>
          <w:cols w:space="720"/>
          <w:docGrid w:linePitch="326"/>
        </w:sectPr>
      </w:pPr>
      <w:r w:rsidRPr="005A3F47">
        <w:rPr>
          <w:noProof/>
        </w:rPr>
        <w:br w:type="page"/>
      </w:r>
    </w:p>
    <w:p w14:paraId="473747AA" w14:textId="4C86E99B" w:rsidR="006B087E" w:rsidRPr="005A3F47" w:rsidRDefault="006B087E" w:rsidP="00A620A5">
      <w:pPr>
        <w:pStyle w:val="Heading1"/>
        <w:numPr>
          <w:ilvl w:val="0"/>
          <w:numId w:val="185"/>
        </w:numPr>
        <w:rPr>
          <w:noProof/>
        </w:rPr>
      </w:pPr>
      <w:bookmarkStart w:id="2" w:name="_Toc226466597"/>
      <w:bookmarkStart w:id="3" w:name="_Toc226466800"/>
      <w:bookmarkStart w:id="4" w:name="_Toc226467161"/>
      <w:bookmarkStart w:id="5" w:name="_Toc226467261"/>
      <w:bookmarkStart w:id="6" w:name="_Toc226467480"/>
      <w:bookmarkStart w:id="7" w:name="_Toc230258040"/>
      <w:r w:rsidRPr="005A3F47">
        <w:rPr>
          <w:noProof/>
        </w:rPr>
        <w:t>Introduction: Political and legal context</w:t>
      </w:r>
      <w:bookmarkEnd w:id="2"/>
      <w:bookmarkEnd w:id="3"/>
      <w:bookmarkEnd w:id="4"/>
      <w:bookmarkEnd w:id="5"/>
      <w:bookmarkEnd w:id="6"/>
      <w:bookmarkEnd w:id="7"/>
    </w:p>
    <w:p w14:paraId="3AF9DCE0" w14:textId="4359B34C" w:rsidR="0098719F" w:rsidRPr="005A3F47" w:rsidRDefault="0073506C" w:rsidP="00E718B0">
      <w:pPr>
        <w:spacing w:after="200"/>
        <w:rPr>
          <w:noProof/>
        </w:rPr>
      </w:pPr>
      <w:r w:rsidRPr="005A3F47">
        <w:rPr>
          <w:noProof/>
        </w:rPr>
        <w:t>In the Political Guidelines for the European Commission</w:t>
      </w:r>
      <w:r w:rsidRPr="005A3F47">
        <w:rPr>
          <w:rStyle w:val="FootnoteReference"/>
          <w:noProof/>
        </w:rPr>
        <w:footnoteReference w:id="2"/>
      </w:r>
      <w:r w:rsidRPr="005A3F47">
        <w:rPr>
          <w:noProof/>
        </w:rPr>
        <w:t xml:space="preserve">, President </w:t>
      </w:r>
      <w:r w:rsidR="00E173C2" w:rsidRPr="005A3F47">
        <w:rPr>
          <w:noProof/>
        </w:rPr>
        <w:t>V</w:t>
      </w:r>
      <w:r w:rsidRPr="005A3F47">
        <w:rPr>
          <w:noProof/>
        </w:rPr>
        <w:t xml:space="preserve">on der Leyen stressed the Commission’s commitment to make business easier and faster in Europe. Simplification of EU policies and laws, and ensuring their better implementation is essential to attaining these objectives and </w:t>
      </w:r>
      <w:r w:rsidR="00003E7A" w:rsidRPr="005A3F47">
        <w:rPr>
          <w:noProof/>
        </w:rPr>
        <w:t xml:space="preserve">to </w:t>
      </w:r>
      <w:r w:rsidRPr="005A3F47">
        <w:rPr>
          <w:noProof/>
        </w:rPr>
        <w:t>strengthening European competitiveness.</w:t>
      </w:r>
      <w:r w:rsidR="003E3831" w:rsidRPr="005A3F47">
        <w:rPr>
          <w:noProof/>
        </w:rPr>
        <w:t xml:space="preserve"> </w:t>
      </w:r>
    </w:p>
    <w:p w14:paraId="5DB38FE1" w14:textId="19A06F26" w:rsidR="003A2676" w:rsidRPr="005A3F47" w:rsidRDefault="00E173C2" w:rsidP="004C29B0">
      <w:pPr>
        <w:rPr>
          <w:noProof/>
        </w:rPr>
      </w:pPr>
      <w:r w:rsidRPr="005A3F47">
        <w:rPr>
          <w:noProof/>
        </w:rPr>
        <w:t xml:space="preserve">Accordingly, </w:t>
      </w:r>
      <w:r w:rsidR="008069D5" w:rsidRPr="005A3F47" w:rsidDel="00E173C2">
        <w:rPr>
          <w:noProof/>
        </w:rPr>
        <w:t xml:space="preserve">the </w:t>
      </w:r>
      <w:r w:rsidR="008069D5" w:rsidRPr="005A3F47">
        <w:rPr>
          <w:noProof/>
        </w:rPr>
        <w:t>President</w:t>
      </w:r>
      <w:r w:rsidR="008069D5" w:rsidRPr="005A3F47" w:rsidDel="00E173C2">
        <w:rPr>
          <w:noProof/>
        </w:rPr>
        <w:t xml:space="preserve"> </w:t>
      </w:r>
      <w:r w:rsidR="008069D5" w:rsidRPr="005A3F47">
        <w:rPr>
          <w:noProof/>
        </w:rPr>
        <w:t>has tasked each Commissioner</w:t>
      </w:r>
      <w:r w:rsidR="00283147" w:rsidRPr="005A3F47">
        <w:rPr>
          <w:noProof/>
        </w:rPr>
        <w:t xml:space="preserve"> to focus on </w:t>
      </w:r>
      <w:r w:rsidR="004807DA" w:rsidRPr="005A3F47">
        <w:rPr>
          <w:noProof/>
        </w:rPr>
        <w:t>simplification</w:t>
      </w:r>
      <w:r w:rsidR="003268AB" w:rsidRPr="005A3F47">
        <w:rPr>
          <w:noProof/>
        </w:rPr>
        <w:t xml:space="preserve">, i.e., </w:t>
      </w:r>
      <w:r w:rsidR="004807DA" w:rsidRPr="005A3F47">
        <w:rPr>
          <w:noProof/>
        </w:rPr>
        <w:t>less red tape, more trust, better enforcement,</w:t>
      </w:r>
      <w:r w:rsidR="003268AB" w:rsidRPr="005A3F47">
        <w:rPr>
          <w:noProof/>
        </w:rPr>
        <w:t xml:space="preserve"> and</w:t>
      </w:r>
      <w:r w:rsidR="004807DA" w:rsidRPr="005A3F47">
        <w:rPr>
          <w:noProof/>
        </w:rPr>
        <w:t xml:space="preserve"> faster permitting.</w:t>
      </w:r>
      <w:r w:rsidR="004C29B0" w:rsidRPr="005A3F47">
        <w:rPr>
          <w:noProof/>
        </w:rPr>
        <w:t xml:space="preserve"> </w:t>
      </w:r>
      <w:r w:rsidR="003A2676" w:rsidRPr="005A3F47">
        <w:rPr>
          <w:noProof/>
        </w:rPr>
        <w:t>Concretely, the Commission has set a target of reducing administrative burden by at least 25% for all businesses, and by at least 35% for SMEs, by the end of the mandate, without undermining the policy objectives of the</w:t>
      </w:r>
      <w:r w:rsidR="0092232F" w:rsidRPr="005A3F47">
        <w:rPr>
          <w:noProof/>
        </w:rPr>
        <w:t xml:space="preserve"> revisited</w:t>
      </w:r>
      <w:r w:rsidR="003A2676" w:rsidRPr="005A3F47">
        <w:rPr>
          <w:noProof/>
        </w:rPr>
        <w:t xml:space="preserve"> initiatives.</w:t>
      </w:r>
    </w:p>
    <w:p w14:paraId="3BA3B5B7" w14:textId="1926D52B" w:rsidR="00126624" w:rsidRPr="005A3F47" w:rsidRDefault="004C29B0" w:rsidP="004C29B0">
      <w:pPr>
        <w:rPr>
          <w:noProof/>
        </w:rPr>
      </w:pPr>
      <w:r w:rsidRPr="005A3F47">
        <w:rPr>
          <w:noProof/>
        </w:rPr>
        <w:t xml:space="preserve">On this basis, </w:t>
      </w:r>
      <w:r w:rsidR="00B667E1" w:rsidRPr="005A3F47">
        <w:rPr>
          <w:noProof/>
        </w:rPr>
        <w:t>the Commission</w:t>
      </w:r>
      <w:r w:rsidRPr="005A3F47">
        <w:rPr>
          <w:noProof/>
        </w:rPr>
        <w:t xml:space="preserve"> </w:t>
      </w:r>
      <w:r w:rsidR="006B1B82" w:rsidRPr="005A3F47">
        <w:rPr>
          <w:noProof/>
        </w:rPr>
        <w:t>committed</w:t>
      </w:r>
      <w:r w:rsidR="000F54E2" w:rsidRPr="005A3F47">
        <w:rPr>
          <w:noProof/>
        </w:rPr>
        <w:t xml:space="preserve"> to</w:t>
      </w:r>
      <w:r w:rsidRPr="005A3F47">
        <w:rPr>
          <w:noProof/>
        </w:rPr>
        <w:t xml:space="preserve"> make proposals to simplify, consolidate and codify legislation to eliminate any overlaps and contradictions</w:t>
      </w:r>
      <w:r w:rsidR="00D92606" w:rsidRPr="005A3F47">
        <w:rPr>
          <w:noProof/>
        </w:rPr>
        <w:t>,</w:t>
      </w:r>
      <w:r w:rsidRPr="005A3F47">
        <w:rPr>
          <w:noProof/>
        </w:rPr>
        <w:t xml:space="preserve"> while maintaining high standards.</w:t>
      </w:r>
      <w:r w:rsidR="00904433" w:rsidRPr="005A3F47">
        <w:rPr>
          <w:rStyle w:val="FootnoteReference"/>
          <w:noProof/>
        </w:rPr>
        <w:footnoteReference w:id="3"/>
      </w:r>
      <w:r w:rsidR="00C31F09" w:rsidRPr="005A3F47">
        <w:rPr>
          <w:noProof/>
        </w:rPr>
        <w:t xml:space="preserve"> Already in 2025, the Commission proposed ten omnibus proposals</w:t>
      </w:r>
      <w:r w:rsidR="009C7138" w:rsidRPr="005A3F47">
        <w:rPr>
          <w:noProof/>
        </w:rPr>
        <w:t>, e.g., in the area of</w:t>
      </w:r>
      <w:r w:rsidR="00AF1D88" w:rsidRPr="005A3F47">
        <w:rPr>
          <w:noProof/>
        </w:rPr>
        <w:t xml:space="preserve"> environment, investment</w:t>
      </w:r>
      <w:r w:rsidR="000D155E" w:rsidRPr="005A3F47">
        <w:rPr>
          <w:noProof/>
        </w:rPr>
        <w:t>, and digi</w:t>
      </w:r>
      <w:r w:rsidR="007E1E4A" w:rsidRPr="005A3F47">
        <w:rPr>
          <w:noProof/>
        </w:rPr>
        <w:t>talisation,</w:t>
      </w:r>
      <w:r w:rsidR="009C7138" w:rsidRPr="005A3F47">
        <w:rPr>
          <w:noProof/>
        </w:rPr>
        <w:t xml:space="preserve"> </w:t>
      </w:r>
      <w:r w:rsidR="00C31F09" w:rsidRPr="005A3F47">
        <w:rPr>
          <w:noProof/>
        </w:rPr>
        <w:t>that reduce recurrent administrative costs by EUR 11.9 billion.</w:t>
      </w:r>
      <w:r w:rsidR="007E1E4A" w:rsidRPr="005A3F47">
        <w:rPr>
          <w:rStyle w:val="FootnoteReference"/>
          <w:noProof/>
        </w:rPr>
        <w:footnoteReference w:id="4"/>
      </w:r>
    </w:p>
    <w:p w14:paraId="7C8138D6" w14:textId="0C783365" w:rsidR="00DA158B" w:rsidRPr="005A3F47" w:rsidRDefault="001D387C" w:rsidP="004C29B0">
      <w:pPr>
        <w:rPr>
          <w:noProof/>
        </w:rPr>
      </w:pPr>
      <w:r w:rsidRPr="005A3F47">
        <w:rPr>
          <w:noProof/>
        </w:rPr>
        <w:t>In accordance with the mission letter to the Commissioner for Climate, Net Zero and Clean Growth, Wopke Hoekstra</w:t>
      </w:r>
      <w:r w:rsidR="004E25DB" w:rsidRPr="005A3F47">
        <w:rPr>
          <w:noProof/>
        </w:rPr>
        <w:t>,</w:t>
      </w:r>
      <w:r w:rsidR="004E25DB" w:rsidRPr="005A3F47">
        <w:rPr>
          <w:rStyle w:val="FootnoteReference"/>
          <w:noProof/>
        </w:rPr>
        <w:footnoteReference w:id="5"/>
      </w:r>
      <w:r w:rsidRPr="005A3F47">
        <w:rPr>
          <w:noProof/>
        </w:rPr>
        <w:t xml:space="preserve"> and as </w:t>
      </w:r>
      <w:r w:rsidR="007A68FE" w:rsidRPr="005A3F47">
        <w:rPr>
          <w:noProof/>
        </w:rPr>
        <w:t xml:space="preserve">outlined in </w:t>
      </w:r>
      <w:r w:rsidR="008D4E5E" w:rsidRPr="005A3F47">
        <w:rPr>
          <w:noProof/>
        </w:rPr>
        <w:t>the 2026 Commission Work Programme</w:t>
      </w:r>
      <w:r w:rsidR="00637F46" w:rsidRPr="005A3F47">
        <w:rPr>
          <w:rStyle w:val="FootnoteReference"/>
          <w:noProof/>
        </w:rPr>
        <w:footnoteReference w:id="6"/>
      </w:r>
      <w:r w:rsidR="008D4E5E" w:rsidRPr="005A3F47">
        <w:rPr>
          <w:noProof/>
        </w:rPr>
        <w:t xml:space="preserve">, </w:t>
      </w:r>
      <w:r w:rsidR="00842502" w:rsidRPr="005A3F47">
        <w:rPr>
          <w:noProof/>
        </w:rPr>
        <w:t>the present</w:t>
      </w:r>
      <w:r w:rsidR="00B421F2" w:rsidRPr="005A3F47">
        <w:rPr>
          <w:noProof/>
        </w:rPr>
        <w:t xml:space="preserve"> </w:t>
      </w:r>
      <w:r w:rsidR="00842502" w:rsidRPr="005A3F47">
        <w:rPr>
          <w:noProof/>
        </w:rPr>
        <w:t xml:space="preserve">proposal </w:t>
      </w:r>
      <w:r w:rsidR="00BE1737" w:rsidRPr="005A3F47">
        <w:rPr>
          <w:noProof/>
        </w:rPr>
        <w:t>for an</w:t>
      </w:r>
      <w:r w:rsidR="00B421F2" w:rsidRPr="005A3F47">
        <w:rPr>
          <w:noProof/>
        </w:rPr>
        <w:t xml:space="preserve"> </w:t>
      </w:r>
      <w:r w:rsidR="00BE1737" w:rsidRPr="005A3F47">
        <w:rPr>
          <w:noProof/>
        </w:rPr>
        <w:t>O</w:t>
      </w:r>
      <w:r w:rsidR="00B421F2" w:rsidRPr="005A3F47">
        <w:rPr>
          <w:noProof/>
        </w:rPr>
        <w:t>mnibus</w:t>
      </w:r>
      <w:r w:rsidR="00BE1737" w:rsidRPr="005A3F47">
        <w:rPr>
          <w:noProof/>
        </w:rPr>
        <w:t xml:space="preserve"> </w:t>
      </w:r>
      <w:r w:rsidR="00B421F2" w:rsidRPr="005A3F47">
        <w:rPr>
          <w:noProof/>
        </w:rPr>
        <w:t xml:space="preserve">on </w:t>
      </w:r>
      <w:r w:rsidR="00BE1737" w:rsidRPr="005A3F47">
        <w:rPr>
          <w:noProof/>
        </w:rPr>
        <w:t>T</w:t>
      </w:r>
      <w:r w:rsidR="00B421F2" w:rsidRPr="005A3F47">
        <w:rPr>
          <w:noProof/>
        </w:rPr>
        <w:t>axation</w:t>
      </w:r>
      <w:r w:rsidR="00842502" w:rsidRPr="005A3F47">
        <w:rPr>
          <w:noProof/>
        </w:rPr>
        <w:t xml:space="preserve"> aims</w:t>
      </w:r>
      <w:r w:rsidR="00633DB1" w:rsidRPr="005A3F47">
        <w:rPr>
          <w:noProof/>
        </w:rPr>
        <w:t xml:space="preserve"> to simplify, streamline and clarify existing directives in the area of direct taxation: the Interest and Royalties Directive (IRD)</w:t>
      </w:r>
      <w:r w:rsidR="00633DB1" w:rsidRPr="005A3F47">
        <w:rPr>
          <w:rStyle w:val="FootnoteReference"/>
          <w:noProof/>
        </w:rPr>
        <w:footnoteReference w:id="7"/>
      </w:r>
      <w:r w:rsidR="00633DB1" w:rsidRPr="005A3F47">
        <w:rPr>
          <w:noProof/>
        </w:rPr>
        <w:t>, the Parent-Subsidiary Directive (PSD)</w:t>
      </w:r>
      <w:r w:rsidR="00633DB1" w:rsidRPr="005A3F47">
        <w:rPr>
          <w:rStyle w:val="FootnoteReference"/>
          <w:noProof/>
        </w:rPr>
        <w:footnoteReference w:id="8"/>
      </w:r>
      <w:r w:rsidR="00633DB1" w:rsidRPr="005A3F47">
        <w:rPr>
          <w:noProof/>
        </w:rPr>
        <w:t>, the Tax Merger Directive (TMD)</w:t>
      </w:r>
      <w:r w:rsidR="00633DB1" w:rsidRPr="005A3F47">
        <w:rPr>
          <w:rStyle w:val="FootnoteReference"/>
          <w:noProof/>
        </w:rPr>
        <w:footnoteReference w:id="9"/>
      </w:r>
      <w:r w:rsidR="00633DB1" w:rsidRPr="005A3F47">
        <w:rPr>
          <w:noProof/>
        </w:rPr>
        <w:t>, the Anti-Tax Avoidance Directive (ATAD)</w:t>
      </w:r>
      <w:r w:rsidR="00633DB1" w:rsidRPr="005A3F47">
        <w:rPr>
          <w:rStyle w:val="FootnoteReference"/>
          <w:noProof/>
        </w:rPr>
        <w:footnoteReference w:id="10"/>
      </w:r>
      <w:r w:rsidR="00633DB1" w:rsidRPr="005A3F47">
        <w:rPr>
          <w:noProof/>
        </w:rPr>
        <w:t xml:space="preserve">, </w:t>
      </w:r>
      <w:r w:rsidR="00BF523C" w:rsidRPr="005A3F47">
        <w:rPr>
          <w:noProof/>
        </w:rPr>
        <w:t xml:space="preserve">and </w:t>
      </w:r>
      <w:r w:rsidR="00633DB1" w:rsidRPr="005A3F47">
        <w:rPr>
          <w:noProof/>
        </w:rPr>
        <w:t>the Dispute Resolution Mechanisms Directive (DRM)</w:t>
      </w:r>
      <w:r w:rsidR="00633DB1" w:rsidRPr="005A3F47">
        <w:rPr>
          <w:rStyle w:val="FootnoteReference"/>
          <w:noProof/>
        </w:rPr>
        <w:footnoteReference w:id="11"/>
      </w:r>
      <w:r w:rsidR="009D5B88" w:rsidRPr="005A3F47">
        <w:rPr>
          <w:noProof/>
        </w:rPr>
        <w:t xml:space="preserve"> </w:t>
      </w:r>
      <w:r w:rsidR="1F3CDADD" w:rsidRPr="005A3F47">
        <w:rPr>
          <w:noProof/>
        </w:rPr>
        <w:t xml:space="preserve">(collectively </w:t>
      </w:r>
      <w:r w:rsidR="009D5B88" w:rsidRPr="005A3F47">
        <w:rPr>
          <w:noProof/>
        </w:rPr>
        <w:t xml:space="preserve">the </w:t>
      </w:r>
      <w:r w:rsidR="00A90F77" w:rsidRPr="005A3F47">
        <w:rPr>
          <w:noProof/>
        </w:rPr>
        <w:t>‘</w:t>
      </w:r>
      <w:r w:rsidR="1F3CDADD" w:rsidRPr="005A3F47">
        <w:rPr>
          <w:noProof/>
        </w:rPr>
        <w:t>Directives</w:t>
      </w:r>
      <w:r w:rsidR="00A90F77" w:rsidRPr="005A3F47">
        <w:rPr>
          <w:noProof/>
        </w:rPr>
        <w:t>’</w:t>
      </w:r>
      <w:r w:rsidR="1F3CDADD" w:rsidRPr="005A3F47">
        <w:rPr>
          <w:noProof/>
        </w:rPr>
        <w:t>).</w:t>
      </w:r>
      <w:r w:rsidR="00180E3C" w:rsidRPr="005A3F47">
        <w:rPr>
          <w:noProof/>
        </w:rPr>
        <w:t xml:space="preserve"> </w:t>
      </w:r>
    </w:p>
    <w:p w14:paraId="555E262E" w14:textId="4238A994" w:rsidR="00B36A72" w:rsidRPr="005A3F47" w:rsidRDefault="002F6C1B" w:rsidP="004C29B0">
      <w:pPr>
        <w:rPr>
          <w:noProof/>
        </w:rPr>
      </w:pPr>
      <w:r w:rsidRPr="005A3F47">
        <w:rPr>
          <w:noProof/>
        </w:rPr>
        <w:t xml:space="preserve">The corporate tax directives </w:t>
      </w:r>
      <w:r w:rsidR="00E769AD" w:rsidRPr="005A3F47">
        <w:rPr>
          <w:noProof/>
        </w:rPr>
        <w:t xml:space="preserve">(IRD, PSD and TMD) </w:t>
      </w:r>
      <w:r w:rsidRPr="005A3F47">
        <w:rPr>
          <w:noProof/>
        </w:rPr>
        <w:t xml:space="preserve">aim to eliminate double taxation on cross-border dividend, interest and royalty payments and to ensure tax neutrality for cross-border corporate reorganisations. The </w:t>
      </w:r>
      <w:r w:rsidR="001951AE" w:rsidRPr="005A3F47">
        <w:rPr>
          <w:noProof/>
        </w:rPr>
        <w:t>ATAD</w:t>
      </w:r>
      <w:r w:rsidRPr="005A3F47">
        <w:rPr>
          <w:noProof/>
        </w:rPr>
        <w:t xml:space="preserve"> seeks to prevent aggressive tax planning within the EU, and, in turn, the </w:t>
      </w:r>
      <w:r w:rsidR="001951AE" w:rsidRPr="005A3F47">
        <w:rPr>
          <w:noProof/>
        </w:rPr>
        <w:t>DRM</w:t>
      </w:r>
      <w:r w:rsidRPr="005A3F47">
        <w:rPr>
          <w:noProof/>
        </w:rPr>
        <w:t xml:space="preserve"> aims to ensure effective resolution of cross-border tax disputes</w:t>
      </w:r>
      <w:r w:rsidR="00865FFD" w:rsidRPr="005A3F47">
        <w:rPr>
          <w:noProof/>
        </w:rPr>
        <w:t xml:space="preserve"> that involve double taxation or arising from double taxation conventions</w:t>
      </w:r>
      <w:r w:rsidRPr="005A3F47">
        <w:rPr>
          <w:noProof/>
        </w:rPr>
        <w:t>. The broad objectives of these critical Directives remain valid, although the means and detailed rules through which these objectives are to be met require adjustments to adapt to a changing tax landscape, as well as economic and market developments.</w:t>
      </w:r>
      <w:r w:rsidR="00827433" w:rsidRPr="005A3F47">
        <w:rPr>
          <w:noProof/>
        </w:rPr>
        <w:t xml:space="preserve"> </w:t>
      </w:r>
      <w:r w:rsidR="00D04A5A" w:rsidRPr="005A3F47">
        <w:rPr>
          <w:noProof/>
        </w:rPr>
        <w:t xml:space="preserve">In preparation of </w:t>
      </w:r>
      <w:r w:rsidR="00FD2B3D" w:rsidRPr="005A3F47">
        <w:rPr>
          <w:noProof/>
        </w:rPr>
        <w:t>th</w:t>
      </w:r>
      <w:r w:rsidR="00D67B57" w:rsidRPr="005A3F47">
        <w:rPr>
          <w:noProof/>
        </w:rPr>
        <w:t>is</w:t>
      </w:r>
      <w:r w:rsidR="00FD2B3D" w:rsidRPr="005A3F47">
        <w:rPr>
          <w:noProof/>
        </w:rPr>
        <w:t xml:space="preserve"> </w:t>
      </w:r>
      <w:r w:rsidR="00D04A5A" w:rsidRPr="005A3F47">
        <w:rPr>
          <w:noProof/>
        </w:rPr>
        <w:t>proposal</w:t>
      </w:r>
      <w:r w:rsidR="009F06A4" w:rsidRPr="005A3F47">
        <w:rPr>
          <w:noProof/>
        </w:rPr>
        <w:t>, this impact assessment</w:t>
      </w:r>
      <w:r w:rsidR="009F1EEB" w:rsidRPr="005A3F47">
        <w:rPr>
          <w:noProof/>
        </w:rPr>
        <w:t xml:space="preserve"> report</w:t>
      </w:r>
      <w:r w:rsidR="009F06A4" w:rsidRPr="005A3F47">
        <w:rPr>
          <w:noProof/>
        </w:rPr>
        <w:t xml:space="preserve"> </w:t>
      </w:r>
      <w:r w:rsidR="000A7AB7" w:rsidRPr="005A3F47">
        <w:rPr>
          <w:noProof/>
        </w:rPr>
        <w:t>consider</w:t>
      </w:r>
      <w:r w:rsidR="00E55415" w:rsidRPr="005A3F47">
        <w:rPr>
          <w:noProof/>
        </w:rPr>
        <w:t>s</w:t>
      </w:r>
      <w:r w:rsidR="000A7AB7" w:rsidRPr="005A3F47">
        <w:rPr>
          <w:noProof/>
        </w:rPr>
        <w:t xml:space="preserve"> the issues</w:t>
      </w:r>
      <w:r w:rsidR="005B45C5" w:rsidRPr="005A3F47">
        <w:rPr>
          <w:noProof/>
        </w:rPr>
        <w:t xml:space="preserve"> at stake</w:t>
      </w:r>
      <w:r w:rsidR="000A7AB7" w:rsidRPr="005A3F47">
        <w:rPr>
          <w:noProof/>
        </w:rPr>
        <w:t xml:space="preserve"> and </w:t>
      </w:r>
      <w:r w:rsidR="00AF39F9" w:rsidRPr="005A3F47">
        <w:rPr>
          <w:noProof/>
        </w:rPr>
        <w:t xml:space="preserve">different </w:t>
      </w:r>
      <w:r w:rsidR="00192471" w:rsidRPr="005A3F47">
        <w:rPr>
          <w:noProof/>
        </w:rPr>
        <w:t>policy options</w:t>
      </w:r>
      <w:r w:rsidR="00D67B57" w:rsidRPr="005A3F47">
        <w:rPr>
          <w:noProof/>
        </w:rPr>
        <w:t>.</w:t>
      </w:r>
      <w:r w:rsidR="00192471" w:rsidRPr="005A3F47">
        <w:rPr>
          <w:noProof/>
        </w:rPr>
        <w:t xml:space="preserve"> </w:t>
      </w:r>
      <w:r w:rsidR="00AF39F9" w:rsidRPr="005A3F47">
        <w:rPr>
          <w:noProof/>
        </w:rPr>
        <w:t>This</w:t>
      </w:r>
      <w:r w:rsidR="00D67B57" w:rsidRPr="005A3F47">
        <w:rPr>
          <w:noProof/>
        </w:rPr>
        <w:t xml:space="preserve"> analysis </w:t>
      </w:r>
      <w:r w:rsidR="00AF39F9" w:rsidRPr="005A3F47">
        <w:rPr>
          <w:noProof/>
        </w:rPr>
        <w:t>is</w:t>
      </w:r>
      <w:r w:rsidR="00D67B57" w:rsidRPr="005A3F47">
        <w:rPr>
          <w:noProof/>
        </w:rPr>
        <w:t xml:space="preserve"> mainly based</w:t>
      </w:r>
      <w:r w:rsidR="00493300" w:rsidRPr="005A3F47">
        <w:rPr>
          <w:noProof/>
        </w:rPr>
        <w:t xml:space="preserve"> </w:t>
      </w:r>
      <w:r w:rsidR="00D67B57" w:rsidRPr="005A3F47">
        <w:rPr>
          <w:noProof/>
        </w:rPr>
        <w:t>on</w:t>
      </w:r>
      <w:r w:rsidR="009E1C89" w:rsidRPr="005A3F47">
        <w:rPr>
          <w:noProof/>
        </w:rPr>
        <w:t xml:space="preserve"> the</w:t>
      </w:r>
      <w:r w:rsidR="007D5675" w:rsidRPr="005A3F47">
        <w:rPr>
          <w:noProof/>
        </w:rPr>
        <w:t xml:space="preserve"> experience</w:t>
      </w:r>
      <w:r w:rsidR="00765775" w:rsidRPr="005A3F47">
        <w:rPr>
          <w:noProof/>
        </w:rPr>
        <w:t xml:space="preserve"> and challenges</w:t>
      </w:r>
      <w:r w:rsidR="007D5675" w:rsidRPr="005A3F47">
        <w:rPr>
          <w:noProof/>
        </w:rPr>
        <w:t xml:space="preserve"> from</w:t>
      </w:r>
      <w:r w:rsidR="00A25A85" w:rsidRPr="005A3F47">
        <w:rPr>
          <w:noProof/>
        </w:rPr>
        <w:t xml:space="preserve"> </w:t>
      </w:r>
      <w:r w:rsidR="007D5675" w:rsidRPr="005A3F47">
        <w:rPr>
          <w:noProof/>
        </w:rPr>
        <w:t xml:space="preserve">applying these </w:t>
      </w:r>
      <w:r w:rsidR="413FFC63" w:rsidRPr="005A3F47">
        <w:rPr>
          <w:noProof/>
        </w:rPr>
        <w:t>D</w:t>
      </w:r>
      <w:r w:rsidR="007D5675" w:rsidRPr="005A3F47">
        <w:rPr>
          <w:noProof/>
        </w:rPr>
        <w:t>irectives</w:t>
      </w:r>
      <w:r w:rsidR="00765775" w:rsidRPr="005A3F47">
        <w:rPr>
          <w:noProof/>
        </w:rPr>
        <w:t xml:space="preserve"> in practice</w:t>
      </w:r>
      <w:r w:rsidR="007D5675" w:rsidRPr="005A3F47">
        <w:rPr>
          <w:noProof/>
        </w:rPr>
        <w:t xml:space="preserve">, as well as </w:t>
      </w:r>
      <w:r w:rsidR="001667FE" w:rsidRPr="005A3F47">
        <w:rPr>
          <w:noProof/>
        </w:rPr>
        <w:t xml:space="preserve">their </w:t>
      </w:r>
      <w:r w:rsidR="007D5675" w:rsidRPr="005A3F47">
        <w:rPr>
          <w:noProof/>
        </w:rPr>
        <w:t>interaction with</w:t>
      </w:r>
      <w:r w:rsidR="001667FE" w:rsidRPr="005A3F47">
        <w:rPr>
          <w:noProof/>
        </w:rPr>
        <w:t xml:space="preserve"> more</w:t>
      </w:r>
      <w:r w:rsidR="007D5675" w:rsidRPr="005A3F47">
        <w:rPr>
          <w:noProof/>
        </w:rPr>
        <w:t xml:space="preserve"> </w:t>
      </w:r>
      <w:r w:rsidR="001667FE" w:rsidRPr="005A3F47">
        <w:rPr>
          <w:noProof/>
        </w:rPr>
        <w:t xml:space="preserve">recent EU and international tax developments, such as the newly adopted </w:t>
      </w:r>
      <w:r w:rsidR="007D5675" w:rsidRPr="005A3F47">
        <w:rPr>
          <w:noProof/>
        </w:rPr>
        <w:t>Pillar 2 Directive</w:t>
      </w:r>
      <w:r w:rsidR="001667FE" w:rsidRPr="005A3F47">
        <w:rPr>
          <w:rStyle w:val="FootnoteReference"/>
          <w:noProof/>
        </w:rPr>
        <w:footnoteReference w:id="12"/>
      </w:r>
      <w:r w:rsidR="009E1C89" w:rsidRPr="005A3F47">
        <w:rPr>
          <w:noProof/>
        </w:rPr>
        <w:t>.</w:t>
      </w:r>
    </w:p>
    <w:p w14:paraId="6303EF1F" w14:textId="3FC9BB57" w:rsidR="00827433" w:rsidRPr="005A3F47" w:rsidRDefault="004C3F5D" w:rsidP="004C29B0">
      <w:pPr>
        <w:rPr>
          <w:noProof/>
        </w:rPr>
      </w:pPr>
      <w:r w:rsidRPr="005A3F47">
        <w:rPr>
          <w:noProof/>
        </w:rPr>
        <w:t>S</w:t>
      </w:r>
      <w:r w:rsidR="00827433" w:rsidRPr="005A3F47">
        <w:rPr>
          <w:noProof/>
        </w:rPr>
        <w:t>implification efforts in the area of taxation do not only include the Omnibus on Taxation</w:t>
      </w:r>
      <w:r w:rsidR="00B36A72" w:rsidRPr="005A3F47">
        <w:rPr>
          <w:noProof/>
        </w:rPr>
        <w:t xml:space="preserve">, on which this impact </w:t>
      </w:r>
      <w:r w:rsidR="00FB3F7F" w:rsidRPr="005A3F47">
        <w:rPr>
          <w:noProof/>
        </w:rPr>
        <w:t xml:space="preserve">assessment </w:t>
      </w:r>
      <w:r w:rsidR="00B36A72" w:rsidRPr="005A3F47">
        <w:rPr>
          <w:noProof/>
        </w:rPr>
        <w:t xml:space="preserve">focuses; they also include a </w:t>
      </w:r>
      <w:r w:rsidR="00827433" w:rsidRPr="005A3F47">
        <w:rPr>
          <w:noProof/>
        </w:rPr>
        <w:t xml:space="preserve">separate proposal amending </w:t>
      </w:r>
      <w:r w:rsidR="0058294B" w:rsidRPr="005A3F47">
        <w:rPr>
          <w:noProof/>
        </w:rPr>
        <w:t xml:space="preserve">and recasting </w:t>
      </w:r>
      <w:r w:rsidR="00827433" w:rsidRPr="005A3F47">
        <w:rPr>
          <w:noProof/>
        </w:rPr>
        <w:t>all the Directives on Administrative Cooperation (DAC 1-9)</w:t>
      </w:r>
      <w:r w:rsidR="00091AA9" w:rsidRPr="005A3F47">
        <w:rPr>
          <w:noProof/>
        </w:rPr>
        <w:t>, which is</w:t>
      </w:r>
      <w:r w:rsidR="00827433" w:rsidRPr="005A3F47">
        <w:rPr>
          <w:noProof/>
        </w:rPr>
        <w:t xml:space="preserve"> prepared in parallel</w:t>
      </w:r>
      <w:r w:rsidR="00393FFE" w:rsidRPr="005A3F47">
        <w:rPr>
          <w:noProof/>
        </w:rPr>
        <w:t>.</w:t>
      </w:r>
      <w:r w:rsidR="00827433" w:rsidRPr="005A3F47">
        <w:rPr>
          <w:noProof/>
        </w:rPr>
        <w:t xml:space="preserve"> The proposal for a DAC Recast aims to simplify the administrative framework in tax matters and to enhance clarity and effectiveness in administrative tax cooperation among EU Member States.</w:t>
      </w:r>
      <w:r w:rsidR="00393FFE" w:rsidRPr="005A3F47">
        <w:rPr>
          <w:noProof/>
        </w:rPr>
        <w:t xml:space="preserve"> A</w:t>
      </w:r>
      <w:r w:rsidR="009559E6" w:rsidRPr="005A3F47">
        <w:rPr>
          <w:noProof/>
        </w:rPr>
        <w:t xml:space="preserve">n individual impact assessment report </w:t>
      </w:r>
      <w:r w:rsidR="0096305E" w:rsidRPr="005A3F47">
        <w:rPr>
          <w:noProof/>
        </w:rPr>
        <w:t>has been</w:t>
      </w:r>
      <w:r w:rsidR="009559E6" w:rsidRPr="005A3F47">
        <w:rPr>
          <w:noProof/>
        </w:rPr>
        <w:t xml:space="preserve"> prepared for the DAC Recast.</w:t>
      </w:r>
    </w:p>
    <w:p w14:paraId="4774EBBF" w14:textId="3B6E9F88" w:rsidR="00A745F5" w:rsidRPr="005A3F47" w:rsidRDefault="00A745F5" w:rsidP="004C29B0">
      <w:pPr>
        <w:rPr>
          <w:noProof/>
        </w:rPr>
      </w:pPr>
      <w:r w:rsidRPr="005A3F47">
        <w:rPr>
          <w:noProof/>
        </w:rPr>
        <w:t>The importance of the work in this area has been confirmed by the Council of the European Union</w:t>
      </w:r>
      <w:r w:rsidR="002E3162" w:rsidRPr="005A3F47">
        <w:rPr>
          <w:noProof/>
        </w:rPr>
        <w:t xml:space="preserve"> in its conclusions on a tax decluttering and simplification agenda</w:t>
      </w:r>
      <w:r w:rsidR="00D35A79" w:rsidRPr="005A3F47">
        <w:rPr>
          <w:noProof/>
        </w:rPr>
        <w:t>,</w:t>
      </w:r>
      <w:r w:rsidR="002E3162" w:rsidRPr="005A3F47">
        <w:rPr>
          <w:noProof/>
        </w:rPr>
        <w:t xml:space="preserve"> which contributes to the EU’s competitiveness.</w:t>
      </w:r>
      <w:r w:rsidR="009146F9" w:rsidRPr="005A3F47">
        <w:rPr>
          <w:rStyle w:val="FootnoteReference"/>
          <w:noProof/>
        </w:rPr>
        <w:footnoteReference w:id="13"/>
      </w:r>
    </w:p>
    <w:p w14:paraId="5BDA5DC0" w14:textId="78C54B44" w:rsidR="006B087E" w:rsidRPr="005A3F47" w:rsidRDefault="006B087E" w:rsidP="00A620A5">
      <w:pPr>
        <w:pStyle w:val="Heading1"/>
        <w:numPr>
          <w:ilvl w:val="0"/>
          <w:numId w:val="185"/>
        </w:numPr>
        <w:rPr>
          <w:noProof/>
        </w:rPr>
      </w:pPr>
      <w:bookmarkStart w:id="8" w:name="_Toc226466598"/>
      <w:bookmarkStart w:id="9" w:name="_Toc226466801"/>
      <w:bookmarkStart w:id="10" w:name="_Toc226467162"/>
      <w:bookmarkStart w:id="11" w:name="_Toc226467262"/>
      <w:bookmarkStart w:id="12" w:name="_Toc226467481"/>
      <w:bookmarkStart w:id="13" w:name="_Ref226473911"/>
      <w:bookmarkStart w:id="14" w:name="_Toc230258041"/>
      <w:r w:rsidRPr="005A3F47">
        <w:rPr>
          <w:noProof/>
        </w:rPr>
        <w:t>Problem definition</w:t>
      </w:r>
      <w:bookmarkEnd w:id="8"/>
      <w:bookmarkEnd w:id="9"/>
      <w:bookmarkEnd w:id="10"/>
      <w:bookmarkEnd w:id="11"/>
      <w:bookmarkEnd w:id="12"/>
      <w:bookmarkEnd w:id="13"/>
      <w:bookmarkEnd w:id="14"/>
    </w:p>
    <w:p w14:paraId="26C63E0C" w14:textId="087BB26E" w:rsidR="00C429FB" w:rsidRPr="005A3F47" w:rsidRDefault="00C429FB" w:rsidP="00C429FB">
      <w:pPr>
        <w:pStyle w:val="Text1"/>
        <w:ind w:left="0"/>
        <w:rPr>
          <w:noProof/>
        </w:rPr>
      </w:pPr>
      <w:r w:rsidRPr="005A3F47">
        <w:rPr>
          <w:noProof/>
        </w:rPr>
        <w:t xml:space="preserve">This section defines and analyses the problems and their drivers and assesses the evolution of </w:t>
      </w:r>
      <w:r w:rsidR="00C10762" w:rsidRPr="005A3F47">
        <w:rPr>
          <w:noProof/>
        </w:rPr>
        <w:t xml:space="preserve">such </w:t>
      </w:r>
      <w:r w:rsidRPr="005A3F47">
        <w:rPr>
          <w:noProof/>
        </w:rPr>
        <w:t xml:space="preserve">problems in the absence of EU policy intervention. The ‘Problem tree’ in </w:t>
      </w:r>
      <w:r w:rsidR="00AB4128" w:rsidRPr="005A3F47">
        <w:rPr>
          <w:noProof/>
        </w:rPr>
        <w:fldChar w:fldCharType="begin"/>
      </w:r>
      <w:r w:rsidR="00AB4128" w:rsidRPr="005A3F47">
        <w:rPr>
          <w:noProof/>
        </w:rPr>
        <w:instrText xml:space="preserve"> REF _Ref229067777 \h </w:instrText>
      </w:r>
      <w:r w:rsidR="005A3F47">
        <w:rPr>
          <w:noProof/>
        </w:rPr>
        <w:instrText xml:space="preserve"> \* MERGEFORMAT </w:instrText>
      </w:r>
      <w:r w:rsidR="00AB4128" w:rsidRPr="005A3F47">
        <w:rPr>
          <w:noProof/>
        </w:rPr>
      </w:r>
      <w:r w:rsidR="00AB4128" w:rsidRPr="005A3F47">
        <w:rPr>
          <w:noProof/>
        </w:rPr>
        <w:fldChar w:fldCharType="separate"/>
      </w:r>
      <w:r w:rsidR="00CF3380" w:rsidRPr="005A3F47">
        <w:rPr>
          <w:noProof/>
          <w:color w:val="000000" w:themeColor="text1"/>
        </w:rPr>
        <w:t xml:space="preserve">Figure </w:t>
      </w:r>
      <w:r w:rsidR="00CF3380">
        <w:rPr>
          <w:noProof/>
          <w:color w:val="000000" w:themeColor="text1"/>
        </w:rPr>
        <w:t>1</w:t>
      </w:r>
      <w:r w:rsidR="00AB4128" w:rsidRPr="005A3F47">
        <w:rPr>
          <w:noProof/>
        </w:rPr>
        <w:fldChar w:fldCharType="end"/>
      </w:r>
      <w:r w:rsidR="00AB4128" w:rsidRPr="005A3F47">
        <w:rPr>
          <w:noProof/>
        </w:rPr>
        <w:t xml:space="preserve"> </w:t>
      </w:r>
      <w:r w:rsidRPr="005A3F47">
        <w:rPr>
          <w:noProof/>
        </w:rPr>
        <w:t>presents the context, the drivers, the problem</w:t>
      </w:r>
      <w:r w:rsidR="001E168C" w:rsidRPr="005A3F47">
        <w:rPr>
          <w:noProof/>
        </w:rPr>
        <w:t>s</w:t>
      </w:r>
      <w:r w:rsidRPr="005A3F47">
        <w:rPr>
          <w:noProof/>
        </w:rPr>
        <w:t xml:space="preserve"> and the </w:t>
      </w:r>
      <w:r w:rsidR="00A44373" w:rsidRPr="005A3F47">
        <w:rPr>
          <w:noProof/>
        </w:rPr>
        <w:t>negative</w:t>
      </w:r>
      <w:r w:rsidRPr="005A3F47">
        <w:rPr>
          <w:noProof/>
        </w:rPr>
        <w:t xml:space="preserve"> consequences that the </w:t>
      </w:r>
      <w:r w:rsidR="00FE0158" w:rsidRPr="005A3F47">
        <w:rPr>
          <w:noProof/>
        </w:rPr>
        <w:t>Omnibus on Taxation</w:t>
      </w:r>
      <w:r w:rsidRPr="005A3F47">
        <w:rPr>
          <w:noProof/>
        </w:rPr>
        <w:t xml:space="preserve"> will </w:t>
      </w:r>
      <w:r w:rsidR="005A23D6" w:rsidRPr="005A3F47">
        <w:rPr>
          <w:noProof/>
        </w:rPr>
        <w:t>aim</w:t>
      </w:r>
      <w:r w:rsidRPr="005A3F47">
        <w:rPr>
          <w:noProof/>
        </w:rPr>
        <w:t xml:space="preserve"> to address.</w:t>
      </w:r>
    </w:p>
    <w:p w14:paraId="7DF476C5" w14:textId="2479244B" w:rsidR="006F5C69" w:rsidRPr="005A3F47" w:rsidRDefault="2236F527" w:rsidP="006F5C69">
      <w:pPr>
        <w:pStyle w:val="Caption"/>
        <w:keepNext/>
        <w:rPr>
          <w:noProof/>
          <w:color w:val="000000" w:themeColor="text1"/>
        </w:rPr>
      </w:pPr>
      <w:bookmarkStart w:id="15" w:name="_Ref229067777"/>
      <w:r w:rsidRPr="005A3F47">
        <w:rPr>
          <w:noProof/>
          <w:color w:val="000000" w:themeColor="text1"/>
        </w:rPr>
        <w:t xml:space="preserve">Figure </w:t>
      </w:r>
      <w:r w:rsidR="006F5C69" w:rsidRPr="005A3F47">
        <w:rPr>
          <w:noProof/>
          <w:color w:val="000000" w:themeColor="text1"/>
        </w:rPr>
        <w:fldChar w:fldCharType="begin"/>
      </w:r>
      <w:r w:rsidR="006F5C69" w:rsidRPr="005A3F47">
        <w:rPr>
          <w:noProof/>
          <w:color w:val="000000" w:themeColor="text1"/>
        </w:rPr>
        <w:instrText xml:space="preserve"> SEQ Figure \* ARABIC </w:instrText>
      </w:r>
      <w:r w:rsidR="006F5C69" w:rsidRPr="005A3F47">
        <w:rPr>
          <w:noProof/>
          <w:color w:val="000000" w:themeColor="text1"/>
        </w:rPr>
        <w:fldChar w:fldCharType="separate"/>
      </w:r>
      <w:r w:rsidR="00CF3380">
        <w:rPr>
          <w:noProof/>
          <w:color w:val="000000" w:themeColor="text1"/>
        </w:rPr>
        <w:t>1</w:t>
      </w:r>
      <w:r w:rsidR="006F5C69" w:rsidRPr="005A3F47">
        <w:rPr>
          <w:noProof/>
          <w:color w:val="000000" w:themeColor="text1"/>
        </w:rPr>
        <w:fldChar w:fldCharType="end"/>
      </w:r>
      <w:bookmarkEnd w:id="15"/>
      <w:r w:rsidRPr="005A3F47">
        <w:rPr>
          <w:noProof/>
          <w:color w:val="000000" w:themeColor="text1"/>
        </w:rPr>
        <w:t>: Problem Tree</w:t>
      </w:r>
    </w:p>
    <w:p w14:paraId="107A393D" w14:textId="361490D6" w:rsidR="00342119" w:rsidRPr="005A3F47" w:rsidRDefault="00D65680" w:rsidP="00C429FB">
      <w:pPr>
        <w:pStyle w:val="Text1"/>
        <w:ind w:left="0"/>
        <w:rPr>
          <w:noProof/>
        </w:rPr>
      </w:pPr>
      <w:r w:rsidRPr="005A3F47">
        <w:rPr>
          <w:noProof/>
          <w:lang w:eastAsia="en-GB"/>
        </w:rPr>
        <w:drawing>
          <wp:inline distT="0" distB="0" distL="0" distR="0" wp14:anchorId="002D3A6C" wp14:editId="7B244FF1">
            <wp:extent cx="6101715" cy="2609850"/>
            <wp:effectExtent l="0" t="0" r="0" b="0"/>
            <wp:docPr id="194932791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27919" name="Picture 1" descr="A screenshot of a computer screen&#10;&#10;AI-generated content may be incorrect."/>
                    <pic:cNvPicPr/>
                  </pic:nvPicPr>
                  <pic:blipFill>
                    <a:blip r:embed="rId20"/>
                    <a:stretch>
                      <a:fillRect/>
                    </a:stretch>
                  </pic:blipFill>
                  <pic:spPr>
                    <a:xfrm>
                      <a:off x="0" y="0"/>
                      <a:ext cx="6101715" cy="2609850"/>
                    </a:xfrm>
                    <a:prstGeom prst="rect">
                      <a:avLst/>
                    </a:prstGeom>
                  </pic:spPr>
                </pic:pic>
              </a:graphicData>
            </a:graphic>
          </wp:inline>
        </w:drawing>
      </w:r>
    </w:p>
    <w:p w14:paraId="634B85A9" w14:textId="5BC05451" w:rsidR="006B087E" w:rsidRPr="005A3F47" w:rsidRDefault="00E1162C" w:rsidP="00A620A5">
      <w:pPr>
        <w:pStyle w:val="Heading2"/>
        <w:numPr>
          <w:ilvl w:val="1"/>
          <w:numId w:val="185"/>
        </w:numPr>
        <w:rPr>
          <w:noProof/>
        </w:rPr>
      </w:pPr>
      <w:bookmarkStart w:id="16" w:name="_Toc226466802"/>
      <w:bookmarkStart w:id="17" w:name="_Toc226467163"/>
      <w:bookmarkStart w:id="18" w:name="_Toc226467263"/>
      <w:bookmarkStart w:id="19" w:name="_Toc226467482"/>
      <w:r w:rsidRPr="005A3F47">
        <w:rPr>
          <w:noProof/>
        </w:rPr>
        <w:t xml:space="preserve"> </w:t>
      </w:r>
      <w:r w:rsidR="006B087E" w:rsidRPr="005A3F47">
        <w:rPr>
          <w:noProof/>
        </w:rPr>
        <w:t>What are the problems?</w:t>
      </w:r>
      <w:bookmarkEnd w:id="16"/>
      <w:bookmarkEnd w:id="17"/>
      <w:bookmarkEnd w:id="18"/>
      <w:bookmarkEnd w:id="19"/>
    </w:p>
    <w:p w14:paraId="72E78352" w14:textId="4B23AAE4" w:rsidR="00C04F8F" w:rsidRPr="005A3F47" w:rsidRDefault="001A62BD" w:rsidP="00C04F8F">
      <w:pPr>
        <w:spacing w:line="259" w:lineRule="auto"/>
        <w:rPr>
          <w:noProof/>
        </w:rPr>
      </w:pPr>
      <w:r w:rsidRPr="005A3F47">
        <w:rPr>
          <w:noProof/>
        </w:rPr>
        <w:t>Tax systems in the Member States</w:t>
      </w:r>
      <w:r w:rsidR="00F14AAA" w:rsidRPr="005A3F47">
        <w:rPr>
          <w:noProof/>
        </w:rPr>
        <w:t xml:space="preserve"> </w:t>
      </w:r>
      <w:r w:rsidR="00B46BA5" w:rsidRPr="005A3F47">
        <w:rPr>
          <w:noProof/>
        </w:rPr>
        <w:t xml:space="preserve">consist of </w:t>
      </w:r>
      <w:r w:rsidR="00E731FE" w:rsidRPr="005A3F47">
        <w:rPr>
          <w:noProof/>
        </w:rPr>
        <w:t>national rules</w:t>
      </w:r>
      <w:r w:rsidR="00E506A9" w:rsidRPr="005A3F47">
        <w:rPr>
          <w:noProof/>
        </w:rPr>
        <w:t xml:space="preserve">. </w:t>
      </w:r>
      <w:r w:rsidR="004A5BE8" w:rsidRPr="005A3F47">
        <w:rPr>
          <w:noProof/>
        </w:rPr>
        <w:t xml:space="preserve">In specific fields of a primarily cross-border nature, these national rules are juxtaposed with </w:t>
      </w:r>
      <w:r w:rsidR="006569B5" w:rsidRPr="005A3F47">
        <w:rPr>
          <w:noProof/>
        </w:rPr>
        <w:t xml:space="preserve">tax </w:t>
      </w:r>
      <w:r w:rsidR="007876BA" w:rsidRPr="005A3F47">
        <w:rPr>
          <w:noProof/>
        </w:rPr>
        <w:t xml:space="preserve">measures that </w:t>
      </w:r>
      <w:r w:rsidR="0058056C" w:rsidRPr="005A3F47">
        <w:rPr>
          <w:noProof/>
        </w:rPr>
        <w:t xml:space="preserve">transpose </w:t>
      </w:r>
      <w:r w:rsidR="000B7F0A" w:rsidRPr="005A3F47">
        <w:rPr>
          <w:noProof/>
        </w:rPr>
        <w:t>EU directives.</w:t>
      </w:r>
      <w:r w:rsidR="00CA69C5" w:rsidRPr="005A3F47">
        <w:rPr>
          <w:noProof/>
        </w:rPr>
        <w:t xml:space="preserve"> </w:t>
      </w:r>
      <w:r w:rsidR="00C04F8F" w:rsidRPr="005A3F47">
        <w:rPr>
          <w:noProof/>
        </w:rPr>
        <w:t xml:space="preserve">The </w:t>
      </w:r>
      <w:r w:rsidR="000554A2" w:rsidRPr="005A3F47">
        <w:rPr>
          <w:noProof/>
        </w:rPr>
        <w:t>EU</w:t>
      </w:r>
      <w:r w:rsidR="00324640" w:rsidRPr="005A3F47">
        <w:rPr>
          <w:noProof/>
        </w:rPr>
        <w:t xml:space="preserve"> </w:t>
      </w:r>
      <w:r w:rsidR="00B32C2A" w:rsidRPr="005A3F47">
        <w:rPr>
          <w:noProof/>
        </w:rPr>
        <w:t xml:space="preserve">acquis in </w:t>
      </w:r>
      <w:r w:rsidR="00324640" w:rsidRPr="005A3F47">
        <w:rPr>
          <w:noProof/>
        </w:rPr>
        <w:t>direct taxation</w:t>
      </w:r>
      <w:r w:rsidR="00C04F8F" w:rsidRPr="005A3F47">
        <w:rPr>
          <w:noProof/>
        </w:rPr>
        <w:t xml:space="preserve"> </w:t>
      </w:r>
      <w:r w:rsidR="00C22CFA" w:rsidRPr="005A3F47">
        <w:rPr>
          <w:noProof/>
        </w:rPr>
        <w:t>represent</w:t>
      </w:r>
      <w:r w:rsidR="00B32C2A" w:rsidRPr="005A3F47">
        <w:rPr>
          <w:noProof/>
        </w:rPr>
        <w:t>s</w:t>
      </w:r>
      <w:r w:rsidR="00C04F8F" w:rsidRPr="005A3F47">
        <w:rPr>
          <w:noProof/>
        </w:rPr>
        <w:t xml:space="preserve"> a significant achievement for the EU. The </w:t>
      </w:r>
      <w:r w:rsidR="00B32C2A" w:rsidRPr="005A3F47">
        <w:rPr>
          <w:noProof/>
        </w:rPr>
        <w:t>relevant</w:t>
      </w:r>
      <w:r w:rsidR="00C04F8F" w:rsidRPr="005A3F47">
        <w:rPr>
          <w:noProof/>
        </w:rPr>
        <w:t xml:space="preserve"> </w:t>
      </w:r>
      <w:r w:rsidR="743DF8FC" w:rsidRPr="005A3F47">
        <w:rPr>
          <w:noProof/>
        </w:rPr>
        <w:t>D</w:t>
      </w:r>
      <w:r w:rsidR="003B51C2" w:rsidRPr="005A3F47">
        <w:rPr>
          <w:noProof/>
        </w:rPr>
        <w:t>irectives</w:t>
      </w:r>
      <w:r w:rsidR="00C04F8F" w:rsidRPr="005A3F47">
        <w:rPr>
          <w:noProof/>
        </w:rPr>
        <w:t> </w:t>
      </w:r>
      <w:r w:rsidR="000D455A" w:rsidRPr="005A3F47">
        <w:rPr>
          <w:noProof/>
        </w:rPr>
        <w:t xml:space="preserve">have </w:t>
      </w:r>
      <w:r w:rsidR="000554A2" w:rsidRPr="005A3F47">
        <w:rPr>
          <w:noProof/>
        </w:rPr>
        <w:t xml:space="preserve">successfully facilitated the EU internal market by </w:t>
      </w:r>
      <w:r w:rsidR="00C04F8F" w:rsidRPr="005A3F47">
        <w:rPr>
          <w:noProof/>
        </w:rPr>
        <w:t>establish</w:t>
      </w:r>
      <w:r w:rsidR="000554A2" w:rsidRPr="005A3F47">
        <w:rPr>
          <w:noProof/>
        </w:rPr>
        <w:t>ing</w:t>
      </w:r>
      <w:r w:rsidR="00C04F8F" w:rsidRPr="005A3F47">
        <w:rPr>
          <w:noProof/>
        </w:rPr>
        <w:t> common rules at EU level</w:t>
      </w:r>
      <w:r w:rsidR="000554A2" w:rsidRPr="005A3F47">
        <w:rPr>
          <w:noProof/>
        </w:rPr>
        <w:t>.</w:t>
      </w:r>
      <w:r w:rsidR="00C04F8F" w:rsidRPr="005A3F47" w:rsidDel="000554A2">
        <w:rPr>
          <w:noProof/>
        </w:rPr>
        <w:t xml:space="preserve"> </w:t>
      </w:r>
      <w:r w:rsidR="000554A2" w:rsidRPr="005A3F47">
        <w:rPr>
          <w:noProof/>
        </w:rPr>
        <w:t>These</w:t>
      </w:r>
      <w:r w:rsidR="005D267F" w:rsidRPr="005A3F47">
        <w:rPr>
          <w:noProof/>
        </w:rPr>
        <w:t xml:space="preserve"> common</w:t>
      </w:r>
      <w:r w:rsidR="000554A2" w:rsidRPr="005A3F47">
        <w:rPr>
          <w:noProof/>
        </w:rPr>
        <w:t xml:space="preserve"> rules</w:t>
      </w:r>
      <w:r w:rsidR="00C04F8F" w:rsidRPr="005A3F47" w:rsidDel="000E109F">
        <w:rPr>
          <w:noProof/>
        </w:rPr>
        <w:t xml:space="preserve"> </w:t>
      </w:r>
      <w:r w:rsidR="000E109F" w:rsidRPr="005A3F47">
        <w:rPr>
          <w:noProof/>
        </w:rPr>
        <w:t xml:space="preserve">help </w:t>
      </w:r>
      <w:r w:rsidR="00C04F8F" w:rsidRPr="005A3F47">
        <w:rPr>
          <w:noProof/>
        </w:rPr>
        <w:t>taxpayers</w:t>
      </w:r>
      <w:r w:rsidR="00870E78" w:rsidRPr="005A3F47">
        <w:rPr>
          <w:noProof/>
        </w:rPr>
        <w:t xml:space="preserve"> </w:t>
      </w:r>
      <w:r w:rsidR="00B912FE" w:rsidRPr="005A3F47">
        <w:rPr>
          <w:noProof/>
        </w:rPr>
        <w:t xml:space="preserve">expand </w:t>
      </w:r>
      <w:r w:rsidR="00F206FD" w:rsidRPr="005A3F47">
        <w:rPr>
          <w:noProof/>
        </w:rPr>
        <w:t xml:space="preserve">their commercial activity </w:t>
      </w:r>
      <w:r w:rsidR="00B912FE" w:rsidRPr="005A3F47">
        <w:rPr>
          <w:noProof/>
        </w:rPr>
        <w:t>across</w:t>
      </w:r>
      <w:r w:rsidR="00C04F8F" w:rsidRPr="005A3F47">
        <w:rPr>
          <w:noProof/>
        </w:rPr>
        <w:t xml:space="preserve"> </w:t>
      </w:r>
      <w:r w:rsidR="00C96D75" w:rsidRPr="005A3F47">
        <w:rPr>
          <w:noProof/>
        </w:rPr>
        <w:t xml:space="preserve">borders in </w:t>
      </w:r>
      <w:r w:rsidR="00C04F8F" w:rsidRPr="005A3F47">
        <w:rPr>
          <w:noProof/>
        </w:rPr>
        <w:t xml:space="preserve">the </w:t>
      </w:r>
      <w:r w:rsidR="006B69C4" w:rsidRPr="005A3F47">
        <w:rPr>
          <w:noProof/>
        </w:rPr>
        <w:t>i</w:t>
      </w:r>
      <w:r w:rsidR="00C04F8F" w:rsidRPr="005A3F47">
        <w:rPr>
          <w:noProof/>
        </w:rPr>
        <w:t xml:space="preserve">nternal </w:t>
      </w:r>
      <w:r w:rsidR="006B69C4" w:rsidRPr="005A3F47">
        <w:rPr>
          <w:noProof/>
        </w:rPr>
        <w:t>m</w:t>
      </w:r>
      <w:r w:rsidR="00C04F8F" w:rsidRPr="005A3F47">
        <w:rPr>
          <w:noProof/>
        </w:rPr>
        <w:t>arket</w:t>
      </w:r>
      <w:r w:rsidR="005D267F" w:rsidRPr="005A3F47">
        <w:rPr>
          <w:noProof/>
        </w:rPr>
        <w:t>.</w:t>
      </w:r>
      <w:r w:rsidR="00C04F8F" w:rsidRPr="005A3F47">
        <w:rPr>
          <w:noProof/>
        </w:rPr>
        <w:t xml:space="preserve"> </w:t>
      </w:r>
      <w:r w:rsidR="00C30617" w:rsidRPr="005A3F47">
        <w:rPr>
          <w:noProof/>
        </w:rPr>
        <w:t>C</w:t>
      </w:r>
      <w:r w:rsidR="00E22A57" w:rsidRPr="005A3F47">
        <w:rPr>
          <w:noProof/>
        </w:rPr>
        <w:t>ross-border</w:t>
      </w:r>
      <w:r w:rsidR="00C72046" w:rsidRPr="005A3F47">
        <w:rPr>
          <w:noProof/>
        </w:rPr>
        <w:t xml:space="preserve"> </w:t>
      </w:r>
      <w:r w:rsidR="00D56F77" w:rsidRPr="005A3F47">
        <w:rPr>
          <w:noProof/>
        </w:rPr>
        <w:t>operations</w:t>
      </w:r>
      <w:r w:rsidR="00E22A57" w:rsidRPr="005A3F47">
        <w:rPr>
          <w:noProof/>
        </w:rPr>
        <w:t xml:space="preserve"> </w:t>
      </w:r>
      <w:r w:rsidR="002568BB" w:rsidRPr="005A3F47">
        <w:rPr>
          <w:noProof/>
        </w:rPr>
        <w:t>have been</w:t>
      </w:r>
      <w:r w:rsidR="00E22A57" w:rsidRPr="005A3F47">
        <w:rPr>
          <w:noProof/>
        </w:rPr>
        <w:t xml:space="preserve"> </w:t>
      </w:r>
      <w:r w:rsidR="007A08E8" w:rsidRPr="005A3F47">
        <w:rPr>
          <w:noProof/>
        </w:rPr>
        <w:t>facilitated</w:t>
      </w:r>
      <w:r w:rsidR="00E22A57" w:rsidRPr="005A3F47">
        <w:rPr>
          <w:noProof/>
        </w:rPr>
        <w:t xml:space="preserve"> </w:t>
      </w:r>
      <w:r w:rsidR="00C30617" w:rsidRPr="005A3F47">
        <w:rPr>
          <w:noProof/>
        </w:rPr>
        <w:t>in many ways, notably by</w:t>
      </w:r>
      <w:r w:rsidR="00E22A57" w:rsidRPr="005A3F47">
        <w:rPr>
          <w:noProof/>
        </w:rPr>
        <w:t xml:space="preserve"> </w:t>
      </w:r>
      <w:r w:rsidR="007A08E8" w:rsidRPr="005A3F47">
        <w:rPr>
          <w:noProof/>
        </w:rPr>
        <w:t xml:space="preserve">eliminating </w:t>
      </w:r>
      <w:r w:rsidR="00E22A57" w:rsidRPr="005A3F47">
        <w:rPr>
          <w:noProof/>
        </w:rPr>
        <w:t>withholding taxes</w:t>
      </w:r>
      <w:r w:rsidR="00C30617" w:rsidRPr="005A3F47" w:rsidDel="00CD719F">
        <w:rPr>
          <w:noProof/>
        </w:rPr>
        <w:t xml:space="preserve"> </w:t>
      </w:r>
      <w:r w:rsidR="00CD719F" w:rsidRPr="005A3F47">
        <w:rPr>
          <w:noProof/>
        </w:rPr>
        <w:t>and</w:t>
      </w:r>
      <w:r w:rsidR="00D56F77" w:rsidRPr="005A3F47">
        <w:rPr>
          <w:noProof/>
        </w:rPr>
        <w:t xml:space="preserve"> </w:t>
      </w:r>
      <w:r w:rsidR="002568BB" w:rsidRPr="005A3F47">
        <w:rPr>
          <w:noProof/>
        </w:rPr>
        <w:t>relieving</w:t>
      </w:r>
      <w:r w:rsidR="00C30617" w:rsidRPr="005A3F47">
        <w:rPr>
          <w:noProof/>
        </w:rPr>
        <w:t xml:space="preserve"> </w:t>
      </w:r>
      <w:r w:rsidR="00C04F8F" w:rsidRPr="005A3F47">
        <w:rPr>
          <w:noProof/>
        </w:rPr>
        <w:t>double taxation</w:t>
      </w:r>
      <w:r w:rsidR="00C30617" w:rsidRPr="005A3F47">
        <w:rPr>
          <w:noProof/>
        </w:rPr>
        <w:t xml:space="preserve"> </w:t>
      </w:r>
      <w:r w:rsidR="00CD719F" w:rsidRPr="005A3F47">
        <w:rPr>
          <w:noProof/>
        </w:rPr>
        <w:t xml:space="preserve">on </w:t>
      </w:r>
      <w:r w:rsidR="00C30617" w:rsidRPr="005A3F47">
        <w:rPr>
          <w:noProof/>
        </w:rPr>
        <w:t xml:space="preserve">cross-border </w:t>
      </w:r>
      <w:r w:rsidR="00F90F59" w:rsidRPr="005A3F47">
        <w:rPr>
          <w:noProof/>
        </w:rPr>
        <w:t xml:space="preserve">intra-group transactions, </w:t>
      </w:r>
      <w:r w:rsidR="00A913E9" w:rsidRPr="005A3F47">
        <w:rPr>
          <w:noProof/>
        </w:rPr>
        <w:t xml:space="preserve">deferring </w:t>
      </w:r>
      <w:r w:rsidR="00CB527C" w:rsidRPr="005A3F47">
        <w:rPr>
          <w:noProof/>
        </w:rPr>
        <w:t xml:space="preserve">the tax liability </w:t>
      </w:r>
      <w:r w:rsidR="00840A34" w:rsidRPr="005A3F47">
        <w:rPr>
          <w:noProof/>
        </w:rPr>
        <w:t xml:space="preserve">on </w:t>
      </w:r>
      <w:r w:rsidR="00C05FB6" w:rsidRPr="005A3F47">
        <w:rPr>
          <w:noProof/>
        </w:rPr>
        <w:t xml:space="preserve">capital gains </w:t>
      </w:r>
      <w:r w:rsidR="00502176" w:rsidRPr="005A3F47">
        <w:rPr>
          <w:noProof/>
        </w:rPr>
        <w:t>in the case of</w:t>
      </w:r>
      <w:r w:rsidR="00F90F59" w:rsidRPr="005A3F47">
        <w:rPr>
          <w:noProof/>
        </w:rPr>
        <w:t xml:space="preserve"> </w:t>
      </w:r>
      <w:r w:rsidR="00C30617" w:rsidRPr="005A3F47">
        <w:rPr>
          <w:noProof/>
        </w:rPr>
        <w:t>restructurings</w:t>
      </w:r>
      <w:r w:rsidR="00565E1F" w:rsidRPr="005A3F47">
        <w:rPr>
          <w:noProof/>
        </w:rPr>
        <w:t>,</w:t>
      </w:r>
      <w:r w:rsidR="00C04F8F" w:rsidRPr="005A3F47">
        <w:rPr>
          <w:noProof/>
        </w:rPr>
        <w:t xml:space="preserve"> </w:t>
      </w:r>
      <w:r w:rsidR="00A663F4" w:rsidRPr="005A3F47">
        <w:rPr>
          <w:noProof/>
        </w:rPr>
        <w:t xml:space="preserve">and </w:t>
      </w:r>
      <w:r w:rsidR="00C30617" w:rsidRPr="005A3F47">
        <w:rPr>
          <w:noProof/>
        </w:rPr>
        <w:t xml:space="preserve">ensuring a </w:t>
      </w:r>
      <w:r w:rsidR="00DC7DB1" w:rsidRPr="005A3F47">
        <w:rPr>
          <w:noProof/>
        </w:rPr>
        <w:t xml:space="preserve">more </w:t>
      </w:r>
      <w:r w:rsidR="00C30617" w:rsidRPr="005A3F47">
        <w:rPr>
          <w:noProof/>
        </w:rPr>
        <w:t>consistent anti-tax avoidance framework</w:t>
      </w:r>
      <w:r w:rsidR="00681326" w:rsidRPr="005A3F47">
        <w:rPr>
          <w:noProof/>
        </w:rPr>
        <w:t xml:space="preserve"> as opposed to </w:t>
      </w:r>
      <w:r w:rsidR="00C04F8F" w:rsidRPr="005A3F47">
        <w:rPr>
          <w:noProof/>
        </w:rPr>
        <w:t xml:space="preserve">disparities and mismatches amongst national </w:t>
      </w:r>
      <w:r w:rsidR="006B69C4" w:rsidRPr="005A3F47">
        <w:rPr>
          <w:noProof/>
        </w:rPr>
        <w:t xml:space="preserve">tax </w:t>
      </w:r>
      <w:r w:rsidR="00C04F8F" w:rsidRPr="005A3F47">
        <w:rPr>
          <w:noProof/>
        </w:rPr>
        <w:t>systems</w:t>
      </w:r>
      <w:r w:rsidR="00582B4F" w:rsidRPr="005A3F47">
        <w:rPr>
          <w:noProof/>
        </w:rPr>
        <w:t xml:space="preserve"> in the Member States</w:t>
      </w:r>
      <w:r w:rsidR="00C04F8F" w:rsidRPr="005A3F47">
        <w:rPr>
          <w:noProof/>
        </w:rPr>
        <w:t xml:space="preserve">. </w:t>
      </w:r>
    </w:p>
    <w:p w14:paraId="5443668A" w14:textId="202161EB" w:rsidR="00DC491B" w:rsidRPr="005A3F47" w:rsidRDefault="00472900" w:rsidP="00C04F8F">
      <w:pPr>
        <w:spacing w:line="259" w:lineRule="auto"/>
        <w:rPr>
          <w:noProof/>
        </w:rPr>
      </w:pPr>
      <w:r w:rsidRPr="005A3F47">
        <w:rPr>
          <w:noProof/>
        </w:rPr>
        <w:t>S</w:t>
      </w:r>
      <w:r w:rsidR="00C04F8F" w:rsidRPr="005A3F47">
        <w:rPr>
          <w:noProof/>
        </w:rPr>
        <w:t xml:space="preserve">ince the adoption of these </w:t>
      </w:r>
      <w:r w:rsidR="36D5C015" w:rsidRPr="005A3F47">
        <w:rPr>
          <w:noProof/>
        </w:rPr>
        <w:t>D</w:t>
      </w:r>
      <w:r w:rsidR="00C04F8F" w:rsidRPr="005A3F47">
        <w:rPr>
          <w:noProof/>
        </w:rPr>
        <w:t>irectives, the legal</w:t>
      </w:r>
      <w:r w:rsidR="000D5D71" w:rsidRPr="005A3F47">
        <w:rPr>
          <w:noProof/>
        </w:rPr>
        <w:t>,</w:t>
      </w:r>
      <w:r w:rsidR="00C04F8F" w:rsidRPr="005A3F47">
        <w:rPr>
          <w:noProof/>
        </w:rPr>
        <w:t xml:space="preserve"> economic</w:t>
      </w:r>
      <w:r w:rsidR="000D5D71" w:rsidRPr="005A3F47">
        <w:rPr>
          <w:noProof/>
        </w:rPr>
        <w:t xml:space="preserve"> and geopolitical</w:t>
      </w:r>
      <w:r w:rsidR="00C04F8F" w:rsidRPr="005A3F47">
        <w:rPr>
          <w:noProof/>
        </w:rPr>
        <w:t xml:space="preserve"> landscape has significantly evolved</w:t>
      </w:r>
      <w:r w:rsidR="009D09E2" w:rsidRPr="005A3F47">
        <w:rPr>
          <w:noProof/>
        </w:rPr>
        <w:t>.</w:t>
      </w:r>
      <w:r w:rsidR="00C04F8F" w:rsidRPr="005A3F47">
        <w:rPr>
          <w:noProof/>
        </w:rPr>
        <w:t xml:space="preserve"> </w:t>
      </w:r>
      <w:r w:rsidR="00C83274" w:rsidRPr="005A3F47">
        <w:rPr>
          <w:noProof/>
        </w:rPr>
        <w:t xml:space="preserve">Among others, </w:t>
      </w:r>
      <w:r w:rsidR="00F70650" w:rsidRPr="005A3F47">
        <w:rPr>
          <w:noProof/>
        </w:rPr>
        <w:t xml:space="preserve">globalisation and digitalisation have </w:t>
      </w:r>
      <w:r w:rsidR="0014345B" w:rsidRPr="005A3F47">
        <w:rPr>
          <w:noProof/>
        </w:rPr>
        <w:t xml:space="preserve">further </w:t>
      </w:r>
      <w:r w:rsidR="00A8009E" w:rsidRPr="005A3F47">
        <w:rPr>
          <w:noProof/>
        </w:rPr>
        <w:t xml:space="preserve">materialised </w:t>
      </w:r>
      <w:r w:rsidR="0089676A" w:rsidRPr="005A3F47">
        <w:rPr>
          <w:noProof/>
        </w:rPr>
        <w:t xml:space="preserve">and </w:t>
      </w:r>
      <w:r w:rsidR="00613CE5" w:rsidRPr="005A3F47">
        <w:rPr>
          <w:noProof/>
        </w:rPr>
        <w:t xml:space="preserve">inevitably, </w:t>
      </w:r>
      <w:r w:rsidR="00592051" w:rsidRPr="005A3F47">
        <w:rPr>
          <w:noProof/>
        </w:rPr>
        <w:t xml:space="preserve">resulted in rendering </w:t>
      </w:r>
      <w:r w:rsidR="00613CE5" w:rsidRPr="005A3F47">
        <w:rPr>
          <w:noProof/>
        </w:rPr>
        <w:t xml:space="preserve">some of the older rules outdated. Additionally, </w:t>
      </w:r>
      <w:r w:rsidR="00A8009E" w:rsidRPr="005A3F47">
        <w:rPr>
          <w:noProof/>
        </w:rPr>
        <w:t xml:space="preserve">increasing </w:t>
      </w:r>
      <w:r w:rsidR="008061E6" w:rsidRPr="005A3F47">
        <w:rPr>
          <w:noProof/>
        </w:rPr>
        <w:t>external</w:t>
      </w:r>
      <w:r w:rsidR="005C16EC" w:rsidRPr="005A3F47">
        <w:rPr>
          <w:noProof/>
        </w:rPr>
        <w:t xml:space="preserve"> </w:t>
      </w:r>
      <w:r w:rsidR="003820B3" w:rsidRPr="005A3F47">
        <w:rPr>
          <w:noProof/>
        </w:rPr>
        <w:t xml:space="preserve">competition </w:t>
      </w:r>
      <w:r w:rsidR="00A8009E" w:rsidRPr="005A3F47">
        <w:rPr>
          <w:noProof/>
        </w:rPr>
        <w:t>is</w:t>
      </w:r>
      <w:r w:rsidR="003820B3" w:rsidRPr="005A3F47">
        <w:rPr>
          <w:noProof/>
        </w:rPr>
        <w:t xml:space="preserve"> putting pressure on Europe’s </w:t>
      </w:r>
      <w:r w:rsidR="00854ADB" w:rsidRPr="005A3F47">
        <w:rPr>
          <w:noProof/>
        </w:rPr>
        <w:t>tax base</w:t>
      </w:r>
      <w:r w:rsidR="00E8095A" w:rsidRPr="005A3F47">
        <w:rPr>
          <w:noProof/>
        </w:rPr>
        <w:t xml:space="preserve"> and </w:t>
      </w:r>
      <w:r w:rsidR="001D38FB" w:rsidRPr="005A3F47">
        <w:rPr>
          <w:noProof/>
        </w:rPr>
        <w:t xml:space="preserve">the </w:t>
      </w:r>
      <w:r w:rsidR="00E8095A" w:rsidRPr="005A3F47">
        <w:rPr>
          <w:noProof/>
        </w:rPr>
        <w:t>attractiveness</w:t>
      </w:r>
      <w:r w:rsidR="001D38FB" w:rsidRPr="005A3F47">
        <w:rPr>
          <w:noProof/>
        </w:rPr>
        <w:t xml:space="preserve"> of the </w:t>
      </w:r>
      <w:r w:rsidR="00D763D9" w:rsidRPr="005A3F47">
        <w:rPr>
          <w:noProof/>
        </w:rPr>
        <w:t>internal market</w:t>
      </w:r>
      <w:r w:rsidR="002E28CB" w:rsidRPr="005A3F47">
        <w:rPr>
          <w:noProof/>
        </w:rPr>
        <w:t xml:space="preserve"> is </w:t>
      </w:r>
      <w:r w:rsidR="00F27CA1" w:rsidRPr="005A3F47">
        <w:rPr>
          <w:noProof/>
        </w:rPr>
        <w:t xml:space="preserve">being </w:t>
      </w:r>
      <w:r w:rsidR="00CD4324" w:rsidRPr="005A3F47">
        <w:rPr>
          <w:noProof/>
        </w:rPr>
        <w:t>jeopardised</w:t>
      </w:r>
      <w:r w:rsidR="0089676A" w:rsidRPr="005A3F47">
        <w:rPr>
          <w:noProof/>
        </w:rPr>
        <w:t>.</w:t>
      </w:r>
      <w:r w:rsidR="00F70650" w:rsidRPr="005A3F47">
        <w:rPr>
          <w:noProof/>
        </w:rPr>
        <w:t xml:space="preserve"> </w:t>
      </w:r>
      <w:r w:rsidR="00E7596B" w:rsidRPr="005A3F47">
        <w:rPr>
          <w:noProof/>
        </w:rPr>
        <w:t>In this context</w:t>
      </w:r>
      <w:r w:rsidR="000C7F3D" w:rsidRPr="005A3F47">
        <w:rPr>
          <w:noProof/>
        </w:rPr>
        <w:t xml:space="preserve">, </w:t>
      </w:r>
      <w:r w:rsidR="00B92466" w:rsidRPr="005A3F47">
        <w:rPr>
          <w:noProof/>
        </w:rPr>
        <w:t>the EU and</w:t>
      </w:r>
      <w:r w:rsidR="000A127A" w:rsidRPr="005A3F47">
        <w:rPr>
          <w:noProof/>
        </w:rPr>
        <w:t xml:space="preserve"> more than thirty</w:t>
      </w:r>
      <w:r w:rsidR="00B92466" w:rsidRPr="005A3F47">
        <w:rPr>
          <w:noProof/>
        </w:rPr>
        <w:t xml:space="preserve"> other countries </w:t>
      </w:r>
      <w:r w:rsidR="000411D7" w:rsidRPr="005A3F47">
        <w:rPr>
          <w:noProof/>
        </w:rPr>
        <w:t xml:space="preserve">worldwide </w:t>
      </w:r>
      <w:r w:rsidR="00B92466" w:rsidRPr="005A3F47">
        <w:rPr>
          <w:noProof/>
        </w:rPr>
        <w:t>have</w:t>
      </w:r>
      <w:r w:rsidR="00C04F8F" w:rsidRPr="005A3F47">
        <w:rPr>
          <w:noProof/>
        </w:rPr>
        <w:t xml:space="preserve"> implement</w:t>
      </w:r>
      <w:r w:rsidR="00B92466" w:rsidRPr="005A3F47">
        <w:rPr>
          <w:noProof/>
        </w:rPr>
        <w:t>ed</w:t>
      </w:r>
      <w:r w:rsidR="00C04F8F" w:rsidRPr="005A3F47" w:rsidDel="00A320A9">
        <w:rPr>
          <w:noProof/>
        </w:rPr>
        <w:t xml:space="preserve"> </w:t>
      </w:r>
      <w:r w:rsidR="00C04F8F" w:rsidRPr="005A3F47">
        <w:rPr>
          <w:noProof/>
        </w:rPr>
        <w:t>global minimum tax</w:t>
      </w:r>
      <w:r w:rsidR="00A320A9" w:rsidRPr="005A3F47">
        <w:rPr>
          <w:noProof/>
        </w:rPr>
        <w:t>ation</w:t>
      </w:r>
      <w:r w:rsidR="00DD1992" w:rsidRPr="005A3F47">
        <w:rPr>
          <w:noProof/>
        </w:rPr>
        <w:t xml:space="preserve"> (Pillar 2)</w:t>
      </w:r>
      <w:r w:rsidR="009C4E13" w:rsidRPr="005A3F47">
        <w:rPr>
          <w:noProof/>
        </w:rPr>
        <w:t>, based on a</w:t>
      </w:r>
      <w:r w:rsidR="00B563B8" w:rsidRPr="005A3F47">
        <w:rPr>
          <w:noProof/>
        </w:rPr>
        <w:t>n internationally agreed</w:t>
      </w:r>
      <w:r w:rsidR="009C4E13" w:rsidRPr="005A3F47">
        <w:rPr>
          <w:noProof/>
        </w:rPr>
        <w:t xml:space="preserve"> common approach</w:t>
      </w:r>
      <w:r w:rsidR="00B563B8" w:rsidRPr="005A3F47">
        <w:rPr>
          <w:noProof/>
        </w:rPr>
        <w:t xml:space="preserve"> </w:t>
      </w:r>
      <w:r w:rsidR="00DD1992" w:rsidRPr="005A3F47">
        <w:rPr>
          <w:noProof/>
        </w:rPr>
        <w:t xml:space="preserve">within the </w:t>
      </w:r>
      <w:r w:rsidR="00C63AD5" w:rsidRPr="005A3F47">
        <w:rPr>
          <w:noProof/>
        </w:rPr>
        <w:t>OECD/G20 Inclusive Framework</w:t>
      </w:r>
      <w:r w:rsidR="00C04F8F" w:rsidRPr="005A3F47">
        <w:rPr>
          <w:noProof/>
        </w:rPr>
        <w:t xml:space="preserve">. </w:t>
      </w:r>
      <w:r w:rsidR="009B5FCC" w:rsidRPr="005A3F47">
        <w:rPr>
          <w:noProof/>
        </w:rPr>
        <w:t xml:space="preserve">Pillar 2 </w:t>
      </w:r>
      <w:r w:rsidR="00BA23D8" w:rsidRPr="005A3F47">
        <w:rPr>
          <w:noProof/>
        </w:rPr>
        <w:t>creates a necessary safe</w:t>
      </w:r>
      <w:r w:rsidR="00BB5E63" w:rsidRPr="005A3F47">
        <w:rPr>
          <w:noProof/>
        </w:rPr>
        <w:t>ty net</w:t>
      </w:r>
      <w:r w:rsidR="00673B03" w:rsidRPr="005A3F47">
        <w:rPr>
          <w:noProof/>
        </w:rPr>
        <w:t xml:space="preserve">, but </w:t>
      </w:r>
      <w:r w:rsidR="003E0426" w:rsidRPr="005A3F47">
        <w:rPr>
          <w:noProof/>
        </w:rPr>
        <w:t xml:space="preserve">adds an additional layer </w:t>
      </w:r>
      <w:r w:rsidR="001A6F7C" w:rsidRPr="005A3F47">
        <w:rPr>
          <w:noProof/>
        </w:rPr>
        <w:t>of</w:t>
      </w:r>
      <w:r w:rsidR="00BA2AA2" w:rsidRPr="005A3F47">
        <w:rPr>
          <w:noProof/>
        </w:rPr>
        <w:t xml:space="preserve"> rules</w:t>
      </w:r>
      <w:r w:rsidR="00F40FFC" w:rsidRPr="005A3F47">
        <w:rPr>
          <w:noProof/>
        </w:rPr>
        <w:t xml:space="preserve"> for businesses and tax </w:t>
      </w:r>
      <w:r w:rsidR="008256FD" w:rsidRPr="005A3F47">
        <w:rPr>
          <w:noProof/>
        </w:rPr>
        <w:t>administrators to apply.</w:t>
      </w:r>
    </w:p>
    <w:p w14:paraId="139711D5" w14:textId="78054A18" w:rsidR="00171E0F" w:rsidRPr="005A3F47" w:rsidRDefault="005779C7" w:rsidP="00C04F8F">
      <w:pPr>
        <w:spacing w:line="259" w:lineRule="auto"/>
        <w:rPr>
          <w:noProof/>
        </w:rPr>
      </w:pPr>
      <w:r w:rsidRPr="005A3F47">
        <w:rPr>
          <w:noProof/>
        </w:rPr>
        <w:t xml:space="preserve">The Omnibus on Taxation </w:t>
      </w:r>
      <w:r w:rsidR="002D54BC" w:rsidRPr="005A3F47">
        <w:rPr>
          <w:noProof/>
        </w:rPr>
        <w:t>must</w:t>
      </w:r>
      <w:r w:rsidR="00140C28" w:rsidRPr="005A3F47">
        <w:rPr>
          <w:noProof/>
        </w:rPr>
        <w:t xml:space="preserve"> be</w:t>
      </w:r>
      <w:r w:rsidR="005A3342" w:rsidRPr="005A3F47">
        <w:rPr>
          <w:noProof/>
        </w:rPr>
        <w:t xml:space="preserve"> considered in this context</w:t>
      </w:r>
      <w:r w:rsidR="00B669D2" w:rsidRPr="005A3F47">
        <w:rPr>
          <w:noProof/>
        </w:rPr>
        <w:t xml:space="preserve"> where f</w:t>
      </w:r>
      <w:r w:rsidR="004F5CDD" w:rsidRPr="005A3F47">
        <w:rPr>
          <w:noProof/>
        </w:rPr>
        <w:t>our main</w:t>
      </w:r>
      <w:r w:rsidR="00E537A3" w:rsidRPr="005A3F47">
        <w:rPr>
          <w:noProof/>
        </w:rPr>
        <w:t xml:space="preserve"> </w:t>
      </w:r>
      <w:r w:rsidR="00171E0F" w:rsidRPr="005A3F47">
        <w:rPr>
          <w:noProof/>
        </w:rPr>
        <w:t>problems</w:t>
      </w:r>
      <w:r w:rsidR="00E537A3" w:rsidRPr="005A3F47">
        <w:rPr>
          <w:noProof/>
        </w:rPr>
        <w:t xml:space="preserve"> have been </w:t>
      </w:r>
      <w:r w:rsidR="00171E0F" w:rsidRPr="005A3F47">
        <w:rPr>
          <w:noProof/>
        </w:rPr>
        <w:t xml:space="preserve">identified </w:t>
      </w:r>
      <w:r w:rsidR="00D06A5D" w:rsidRPr="005A3F47">
        <w:rPr>
          <w:noProof/>
        </w:rPr>
        <w:t xml:space="preserve">on the basis of </w:t>
      </w:r>
      <w:r w:rsidR="00171E0F" w:rsidRPr="005A3F47">
        <w:rPr>
          <w:noProof/>
        </w:rPr>
        <w:t>extensive consultations with Member States</w:t>
      </w:r>
      <w:r w:rsidR="002E0C17" w:rsidRPr="005A3F47">
        <w:rPr>
          <w:noProof/>
        </w:rPr>
        <w:t>,</w:t>
      </w:r>
      <w:r w:rsidR="00171E0F" w:rsidRPr="005A3F47">
        <w:rPr>
          <w:noProof/>
        </w:rPr>
        <w:t xml:space="preserve"> private stakeholders</w:t>
      </w:r>
      <w:r w:rsidR="002E0C17" w:rsidRPr="005A3F47">
        <w:rPr>
          <w:noProof/>
        </w:rPr>
        <w:t>,</w:t>
      </w:r>
      <w:r w:rsidR="00171E0F" w:rsidRPr="005A3F47">
        <w:rPr>
          <w:b/>
          <w:bCs/>
          <w:noProof/>
        </w:rPr>
        <w:t xml:space="preserve"> </w:t>
      </w:r>
      <w:r w:rsidR="00171E0F" w:rsidRPr="005A3F47">
        <w:rPr>
          <w:noProof/>
        </w:rPr>
        <w:t xml:space="preserve">and the results of the ATAD </w:t>
      </w:r>
      <w:bookmarkStart w:id="20" w:name="_Hlk225414422"/>
      <w:r w:rsidR="00171E0F" w:rsidRPr="005A3F47">
        <w:rPr>
          <w:noProof/>
        </w:rPr>
        <w:t>evaluation</w:t>
      </w:r>
      <w:bookmarkEnd w:id="20"/>
      <w:r w:rsidR="00633E90" w:rsidRPr="005A3F47">
        <w:rPr>
          <w:rStyle w:val="FootnoteReference"/>
          <w:noProof/>
        </w:rPr>
        <w:footnoteReference w:id="14"/>
      </w:r>
      <w:r w:rsidR="00B669D2" w:rsidRPr="005A3F47">
        <w:rPr>
          <w:noProof/>
        </w:rPr>
        <w:t>:</w:t>
      </w:r>
    </w:p>
    <w:p w14:paraId="2A97A16F" w14:textId="210D1D22" w:rsidR="005F45FD" w:rsidRPr="005A3F47" w:rsidRDefault="00BC6DE1" w:rsidP="00C14629">
      <w:pPr>
        <w:pStyle w:val="ListParagraph"/>
        <w:numPr>
          <w:ilvl w:val="2"/>
          <w:numId w:val="185"/>
        </w:numPr>
        <w:spacing w:line="259" w:lineRule="auto"/>
        <w:rPr>
          <w:i/>
          <w:noProof/>
        </w:rPr>
      </w:pPr>
      <w:r w:rsidRPr="005A3F47">
        <w:rPr>
          <w:i/>
          <w:noProof/>
        </w:rPr>
        <w:t>Tax compliance requirements that are disproportionate</w:t>
      </w:r>
    </w:p>
    <w:p w14:paraId="1B193359" w14:textId="34AF8DD7" w:rsidR="00074987" w:rsidRPr="005A3F47" w:rsidRDefault="00370710" w:rsidP="00C04F8F">
      <w:pPr>
        <w:spacing w:line="259" w:lineRule="auto"/>
        <w:rPr>
          <w:noProof/>
        </w:rPr>
      </w:pPr>
      <w:r w:rsidRPr="005A3F47">
        <w:rPr>
          <w:noProof/>
        </w:rPr>
        <w:t>T</w:t>
      </w:r>
      <w:r w:rsidR="00737BE8" w:rsidRPr="005A3F47" w:rsidDel="00CF7438">
        <w:rPr>
          <w:noProof/>
        </w:rPr>
        <w:t xml:space="preserve">he </w:t>
      </w:r>
      <w:r w:rsidR="0002212F" w:rsidRPr="005A3F47">
        <w:rPr>
          <w:noProof/>
        </w:rPr>
        <w:t>multi</w:t>
      </w:r>
      <w:r w:rsidR="00CF7438" w:rsidRPr="005A3F47">
        <w:rPr>
          <w:noProof/>
        </w:rPr>
        <w:t>layered</w:t>
      </w:r>
      <w:r w:rsidR="00737BE8" w:rsidRPr="005A3F47">
        <w:rPr>
          <w:noProof/>
        </w:rPr>
        <w:t xml:space="preserve"> tax landscape</w:t>
      </w:r>
      <w:r w:rsidR="00707C7A" w:rsidRPr="005A3F47">
        <w:rPr>
          <w:noProof/>
        </w:rPr>
        <w:t>,</w:t>
      </w:r>
      <w:r w:rsidR="00FB6783" w:rsidRPr="005A3F47">
        <w:rPr>
          <w:noProof/>
        </w:rPr>
        <w:t xml:space="preserve"> </w:t>
      </w:r>
      <w:r w:rsidR="00D817EA" w:rsidRPr="005A3F47">
        <w:rPr>
          <w:noProof/>
        </w:rPr>
        <w:t xml:space="preserve">combined with </w:t>
      </w:r>
      <w:r w:rsidR="00FB6783" w:rsidRPr="005A3F47">
        <w:rPr>
          <w:noProof/>
        </w:rPr>
        <w:t>recent developments</w:t>
      </w:r>
      <w:r w:rsidR="00707C7A" w:rsidRPr="005A3F47">
        <w:rPr>
          <w:noProof/>
        </w:rPr>
        <w:t>,</w:t>
      </w:r>
      <w:r w:rsidR="00737BE8" w:rsidRPr="005A3F47">
        <w:rPr>
          <w:noProof/>
        </w:rPr>
        <w:t xml:space="preserve"> </w:t>
      </w:r>
      <w:r w:rsidR="00996AD4" w:rsidRPr="005A3F47">
        <w:rPr>
          <w:noProof/>
        </w:rPr>
        <w:t xml:space="preserve">have </w:t>
      </w:r>
      <w:r w:rsidR="001F426E" w:rsidRPr="005A3F47">
        <w:rPr>
          <w:noProof/>
        </w:rPr>
        <w:t>led to</w:t>
      </w:r>
      <w:r w:rsidR="007A4F02" w:rsidRPr="005A3F47">
        <w:rPr>
          <w:noProof/>
        </w:rPr>
        <w:t xml:space="preserve"> </w:t>
      </w:r>
      <w:r w:rsidR="00B9587D" w:rsidRPr="005A3F47">
        <w:rPr>
          <w:noProof/>
        </w:rPr>
        <w:t xml:space="preserve">significant </w:t>
      </w:r>
      <w:r w:rsidR="00085E78" w:rsidRPr="005A3F47">
        <w:rPr>
          <w:bCs/>
          <w:noProof/>
        </w:rPr>
        <w:t>complexity</w:t>
      </w:r>
      <w:r w:rsidR="00C04913" w:rsidRPr="005A3F47">
        <w:rPr>
          <w:noProof/>
        </w:rPr>
        <w:t>.</w:t>
      </w:r>
      <w:r w:rsidR="009D7D0F" w:rsidRPr="005A3F47">
        <w:rPr>
          <w:noProof/>
        </w:rPr>
        <w:t xml:space="preserve"> </w:t>
      </w:r>
      <w:r w:rsidR="00545C2F" w:rsidRPr="005A3F47">
        <w:rPr>
          <w:noProof/>
        </w:rPr>
        <w:t xml:space="preserve">The </w:t>
      </w:r>
      <w:r w:rsidR="0086128A" w:rsidRPr="005A3F47">
        <w:rPr>
          <w:noProof/>
        </w:rPr>
        <w:t xml:space="preserve">amount of applicable </w:t>
      </w:r>
      <w:r w:rsidR="000507C2" w:rsidRPr="005A3F47">
        <w:rPr>
          <w:noProof/>
        </w:rPr>
        <w:t xml:space="preserve">tax </w:t>
      </w:r>
      <w:r w:rsidR="009D7D0F" w:rsidRPr="005A3F47">
        <w:rPr>
          <w:noProof/>
        </w:rPr>
        <w:t>rules</w:t>
      </w:r>
      <w:r w:rsidR="00652A8E" w:rsidRPr="005A3F47">
        <w:rPr>
          <w:noProof/>
        </w:rPr>
        <w:t xml:space="preserve"> </w:t>
      </w:r>
      <w:r w:rsidR="0086128A" w:rsidRPr="005A3F47">
        <w:rPr>
          <w:noProof/>
        </w:rPr>
        <w:t>has accumulated</w:t>
      </w:r>
      <w:r w:rsidR="00626609" w:rsidRPr="005A3F47">
        <w:rPr>
          <w:noProof/>
        </w:rPr>
        <w:t xml:space="preserve">, making </w:t>
      </w:r>
      <w:r w:rsidR="00500EA9" w:rsidRPr="005A3F47">
        <w:rPr>
          <w:noProof/>
        </w:rPr>
        <w:t>tax compliance</w:t>
      </w:r>
      <w:r w:rsidR="009D7D0F" w:rsidRPr="005A3F47">
        <w:rPr>
          <w:noProof/>
        </w:rPr>
        <w:t xml:space="preserve"> </w:t>
      </w:r>
      <w:r w:rsidR="000507C2" w:rsidRPr="005A3F47">
        <w:rPr>
          <w:noProof/>
        </w:rPr>
        <w:t>more</w:t>
      </w:r>
      <w:r w:rsidR="00705583" w:rsidRPr="005A3F47">
        <w:rPr>
          <w:noProof/>
        </w:rPr>
        <w:t xml:space="preserve"> </w:t>
      </w:r>
      <w:r w:rsidR="006673D8" w:rsidRPr="005A3F47">
        <w:rPr>
          <w:noProof/>
        </w:rPr>
        <w:t>comp</w:t>
      </w:r>
      <w:r w:rsidR="00F25F8A" w:rsidRPr="005A3F47">
        <w:rPr>
          <w:noProof/>
        </w:rPr>
        <w:t>licated</w:t>
      </w:r>
      <w:r w:rsidR="00500EA9" w:rsidRPr="005A3F47">
        <w:rPr>
          <w:noProof/>
        </w:rPr>
        <w:t xml:space="preserve"> than necessary</w:t>
      </w:r>
      <w:r w:rsidR="003136ED" w:rsidRPr="005A3F47">
        <w:rPr>
          <w:noProof/>
        </w:rPr>
        <w:t>.</w:t>
      </w:r>
      <w:r w:rsidR="00647FDA" w:rsidRPr="005A3F47">
        <w:rPr>
          <w:noProof/>
        </w:rPr>
        <w:t xml:space="preserve"> </w:t>
      </w:r>
      <w:r w:rsidR="00A204D7" w:rsidRPr="005A3F47">
        <w:rPr>
          <w:bCs/>
          <w:noProof/>
        </w:rPr>
        <w:t>Research</w:t>
      </w:r>
      <w:r w:rsidR="00A204D7" w:rsidRPr="005A3F47">
        <w:rPr>
          <w:noProof/>
        </w:rPr>
        <w:t xml:space="preserve"> done by or for other EU institutions, such as the European Parliament, </w:t>
      </w:r>
      <w:r w:rsidR="00A204D7" w:rsidRPr="005A3F47">
        <w:rPr>
          <w:iCs/>
          <w:noProof/>
        </w:rPr>
        <w:t>points</w:t>
      </w:r>
      <w:r w:rsidR="00A204D7" w:rsidRPr="005A3F47">
        <w:rPr>
          <w:noProof/>
        </w:rPr>
        <w:t xml:space="preserve"> out that the tax compliance costs have more than doubled since 2014, and that corporate tax </w:t>
      </w:r>
      <w:r w:rsidR="00675DC8" w:rsidRPr="005A3F47">
        <w:rPr>
          <w:noProof/>
        </w:rPr>
        <w:t>has been</w:t>
      </w:r>
      <w:r w:rsidR="00A204D7" w:rsidRPr="005A3F47">
        <w:rPr>
          <w:noProof/>
        </w:rPr>
        <w:t xml:space="preserve"> identified amongst those areas with the highest compliance burden.</w:t>
      </w:r>
      <w:r w:rsidR="00A204D7" w:rsidRPr="005A3F47">
        <w:rPr>
          <w:rStyle w:val="FootnoteReference"/>
          <w:noProof/>
        </w:rPr>
        <w:footnoteReference w:id="15"/>
      </w:r>
      <w:r w:rsidR="00A204D7" w:rsidRPr="005A3F47">
        <w:rPr>
          <w:noProof/>
        </w:rPr>
        <w:t xml:space="preserve"> </w:t>
      </w:r>
      <w:r w:rsidR="00074987" w:rsidRPr="005A3F47">
        <w:rPr>
          <w:noProof/>
        </w:rPr>
        <w:t xml:space="preserve">On average, </w:t>
      </w:r>
      <w:r w:rsidR="00981A15" w:rsidRPr="005A3F47">
        <w:rPr>
          <w:noProof/>
        </w:rPr>
        <w:t xml:space="preserve">EU </w:t>
      </w:r>
      <w:r w:rsidR="249466BF" w:rsidRPr="005A3F47">
        <w:rPr>
          <w:noProof/>
        </w:rPr>
        <w:t xml:space="preserve">businesses </w:t>
      </w:r>
      <w:r w:rsidR="00074987" w:rsidRPr="005A3F47">
        <w:rPr>
          <w:noProof/>
        </w:rPr>
        <w:t xml:space="preserve">incur annual costs in meeting their tax compliance obligations equivalent to </w:t>
      </w:r>
      <w:r w:rsidR="00AA26F5" w:rsidRPr="005A3F47">
        <w:rPr>
          <w:noProof/>
        </w:rPr>
        <w:t xml:space="preserve">almost </w:t>
      </w:r>
      <w:r w:rsidR="00074987" w:rsidRPr="005A3F47">
        <w:rPr>
          <w:noProof/>
        </w:rPr>
        <w:t>2% of their total turnover</w:t>
      </w:r>
      <w:r w:rsidR="0082679E" w:rsidRPr="005A3F47">
        <w:rPr>
          <w:noProof/>
        </w:rPr>
        <w:t xml:space="preserve">, </w:t>
      </w:r>
      <w:r w:rsidR="00D42B3D" w:rsidRPr="005A3F47">
        <w:rPr>
          <w:noProof/>
        </w:rPr>
        <w:t>placing</w:t>
      </w:r>
      <w:r w:rsidR="0082679E" w:rsidRPr="005A3F47">
        <w:rPr>
          <w:noProof/>
        </w:rPr>
        <w:t xml:space="preserve"> a</w:t>
      </w:r>
      <w:r w:rsidR="00593A68" w:rsidRPr="005A3F47">
        <w:rPr>
          <w:noProof/>
        </w:rPr>
        <w:t xml:space="preserve"> particularly heavy </w:t>
      </w:r>
      <w:r w:rsidR="007A1608" w:rsidRPr="005A3F47">
        <w:rPr>
          <w:noProof/>
        </w:rPr>
        <w:t xml:space="preserve">burden </w:t>
      </w:r>
      <w:r w:rsidR="005807AE" w:rsidRPr="005A3F47">
        <w:rPr>
          <w:noProof/>
        </w:rPr>
        <w:t>on</w:t>
      </w:r>
      <w:r w:rsidR="00593A68" w:rsidRPr="005A3F47">
        <w:rPr>
          <w:noProof/>
        </w:rPr>
        <w:t xml:space="preserve"> smaller </w:t>
      </w:r>
      <w:r w:rsidR="1C23D6C8" w:rsidRPr="005A3F47">
        <w:rPr>
          <w:noProof/>
        </w:rPr>
        <w:t>businesses</w:t>
      </w:r>
      <w:r w:rsidR="0045292A" w:rsidRPr="005A3F47">
        <w:rPr>
          <w:noProof/>
        </w:rPr>
        <w:t>.</w:t>
      </w:r>
      <w:r w:rsidR="007152D5" w:rsidRPr="005A3F47">
        <w:rPr>
          <w:rStyle w:val="FootnoteReference"/>
          <w:noProof/>
        </w:rPr>
        <w:footnoteReference w:id="16"/>
      </w:r>
      <w:r w:rsidR="00593A68" w:rsidRPr="005A3F47">
        <w:rPr>
          <w:noProof/>
        </w:rPr>
        <w:t xml:space="preserve"> </w:t>
      </w:r>
      <w:r w:rsidR="00547926" w:rsidRPr="005A3F47">
        <w:rPr>
          <w:noProof/>
        </w:rPr>
        <w:t>It has been estimated the current corporate tax compliance cost for companies with cross-border activities are annually EUR 3,308 for SMEs and EUR 8,266 for larger businesses.</w:t>
      </w:r>
      <w:r w:rsidR="00547926" w:rsidRPr="005A3F47">
        <w:rPr>
          <w:rStyle w:val="FootnoteReference"/>
          <w:noProof/>
        </w:rPr>
        <w:footnoteReference w:id="17"/>
      </w:r>
    </w:p>
    <w:p w14:paraId="0EE71CC0" w14:textId="462AF6FF" w:rsidR="00CE5740" w:rsidRPr="005A3F47" w:rsidRDefault="001F79D5" w:rsidP="00C04F8F">
      <w:pPr>
        <w:spacing w:line="259" w:lineRule="auto"/>
        <w:rPr>
          <w:noProof/>
        </w:rPr>
      </w:pPr>
      <w:r w:rsidRPr="005A3F47">
        <w:rPr>
          <w:noProof/>
        </w:rPr>
        <w:t>I</w:t>
      </w:r>
      <w:r w:rsidR="00B527AC" w:rsidRPr="005A3F47">
        <w:rPr>
          <w:noProof/>
        </w:rPr>
        <w:t>n</w:t>
      </w:r>
      <w:r w:rsidR="00C77448" w:rsidRPr="005A3F47">
        <w:rPr>
          <w:noProof/>
        </w:rPr>
        <w:t xml:space="preserve"> the Call for Evidence</w:t>
      </w:r>
      <w:r w:rsidR="00BE7F87" w:rsidRPr="005A3F47">
        <w:rPr>
          <w:noProof/>
        </w:rPr>
        <w:t>,</w:t>
      </w:r>
      <w:r w:rsidR="00C77448" w:rsidRPr="005A3F47">
        <w:rPr>
          <w:noProof/>
        </w:rPr>
        <w:t xml:space="preserve"> it was</w:t>
      </w:r>
      <w:r w:rsidR="00A77179" w:rsidRPr="005A3F47">
        <w:rPr>
          <w:noProof/>
        </w:rPr>
        <w:t xml:space="preserve"> pointe</w:t>
      </w:r>
      <w:r w:rsidR="004C6EF6" w:rsidRPr="005A3F47">
        <w:rPr>
          <w:noProof/>
        </w:rPr>
        <w:t xml:space="preserve">d out by </w:t>
      </w:r>
      <w:r w:rsidR="00B75D44" w:rsidRPr="005A3F47">
        <w:rPr>
          <w:noProof/>
        </w:rPr>
        <w:t xml:space="preserve">approximately </w:t>
      </w:r>
      <w:r w:rsidR="004C6EF6" w:rsidRPr="005A3F47">
        <w:rPr>
          <w:noProof/>
        </w:rPr>
        <w:t xml:space="preserve">68% of the </w:t>
      </w:r>
      <w:r w:rsidR="00D44DB0" w:rsidRPr="005A3F47">
        <w:rPr>
          <w:noProof/>
        </w:rPr>
        <w:t xml:space="preserve">117 </w:t>
      </w:r>
      <w:r w:rsidR="004C6EF6" w:rsidRPr="005A3F47">
        <w:rPr>
          <w:noProof/>
        </w:rPr>
        <w:t>respondent</w:t>
      </w:r>
      <w:r w:rsidR="002629EC" w:rsidRPr="005A3F47">
        <w:rPr>
          <w:noProof/>
        </w:rPr>
        <w:t>s</w:t>
      </w:r>
      <w:r w:rsidR="003B00F3" w:rsidRPr="005A3F47">
        <w:rPr>
          <w:noProof/>
        </w:rPr>
        <w:t xml:space="preserve">, including </w:t>
      </w:r>
      <w:r w:rsidR="00326C73" w:rsidRPr="005A3F47">
        <w:rPr>
          <w:noProof/>
        </w:rPr>
        <w:t>all businesses and business associations</w:t>
      </w:r>
      <w:r w:rsidR="003B00F3" w:rsidRPr="005A3F47">
        <w:rPr>
          <w:noProof/>
        </w:rPr>
        <w:t>,</w:t>
      </w:r>
      <w:r w:rsidR="002629EC" w:rsidRPr="005A3F47">
        <w:rPr>
          <w:noProof/>
        </w:rPr>
        <w:t xml:space="preserve"> that tax compliance requirements</w:t>
      </w:r>
      <w:r w:rsidR="00680B7F" w:rsidRPr="005A3F47">
        <w:rPr>
          <w:noProof/>
        </w:rPr>
        <w:t xml:space="preserve"> </w:t>
      </w:r>
      <w:r w:rsidR="0035186D" w:rsidRPr="005A3F47">
        <w:rPr>
          <w:noProof/>
        </w:rPr>
        <w:t>in the EU</w:t>
      </w:r>
      <w:r w:rsidR="00680B7F" w:rsidRPr="005A3F47">
        <w:rPr>
          <w:noProof/>
        </w:rPr>
        <w:t xml:space="preserve"> have become disproportionate.</w:t>
      </w:r>
      <w:r w:rsidR="0042545F" w:rsidRPr="005A3F47">
        <w:rPr>
          <w:rStyle w:val="FootnoteReference"/>
          <w:noProof/>
        </w:rPr>
        <w:footnoteReference w:id="18"/>
      </w:r>
      <w:r w:rsidR="002328DB" w:rsidRPr="005A3F47">
        <w:rPr>
          <w:noProof/>
        </w:rPr>
        <w:t xml:space="preserve"> </w:t>
      </w:r>
      <w:r w:rsidR="00705583" w:rsidRPr="005A3F47">
        <w:rPr>
          <w:noProof/>
        </w:rPr>
        <w:t xml:space="preserve">For example, </w:t>
      </w:r>
      <w:r w:rsidR="003324F3" w:rsidRPr="005A3F47">
        <w:rPr>
          <w:noProof/>
        </w:rPr>
        <w:t xml:space="preserve">while </w:t>
      </w:r>
      <w:r w:rsidR="00DD7484" w:rsidRPr="005A3F47">
        <w:rPr>
          <w:noProof/>
        </w:rPr>
        <w:t>the IRD and the PSD</w:t>
      </w:r>
      <w:r w:rsidR="007D47C8" w:rsidRPr="005A3F47">
        <w:rPr>
          <w:noProof/>
        </w:rPr>
        <w:t xml:space="preserve"> </w:t>
      </w:r>
      <w:r w:rsidR="00BA0232" w:rsidRPr="005A3F47">
        <w:rPr>
          <w:noProof/>
        </w:rPr>
        <w:t xml:space="preserve">harmonise the tax treatment of </w:t>
      </w:r>
      <w:r w:rsidR="00693F6D" w:rsidRPr="005A3F47">
        <w:rPr>
          <w:noProof/>
        </w:rPr>
        <w:t xml:space="preserve">interest, </w:t>
      </w:r>
      <w:r w:rsidR="006F3A1B" w:rsidRPr="005A3F47">
        <w:rPr>
          <w:noProof/>
        </w:rPr>
        <w:t>royalty</w:t>
      </w:r>
      <w:r w:rsidR="00693F6D" w:rsidRPr="005A3F47">
        <w:rPr>
          <w:noProof/>
        </w:rPr>
        <w:t>, and dividend</w:t>
      </w:r>
      <w:r w:rsidR="00206285" w:rsidRPr="005A3F47">
        <w:rPr>
          <w:noProof/>
        </w:rPr>
        <w:t xml:space="preserve"> payment</w:t>
      </w:r>
      <w:r w:rsidR="008A3F9C" w:rsidRPr="005A3F47">
        <w:rPr>
          <w:noProof/>
        </w:rPr>
        <w:t>s</w:t>
      </w:r>
      <w:r w:rsidR="003D307B" w:rsidRPr="005A3F47">
        <w:rPr>
          <w:noProof/>
        </w:rPr>
        <w:t xml:space="preserve"> within the EU</w:t>
      </w:r>
      <w:r w:rsidR="003C1631" w:rsidRPr="005A3F47">
        <w:rPr>
          <w:noProof/>
        </w:rPr>
        <w:t xml:space="preserve">, the procedures for </w:t>
      </w:r>
      <w:r w:rsidR="00800A3C" w:rsidRPr="005A3F47">
        <w:rPr>
          <w:noProof/>
        </w:rPr>
        <w:t>obtaining the tax</w:t>
      </w:r>
      <w:r w:rsidR="007660EC" w:rsidRPr="005A3F47">
        <w:rPr>
          <w:noProof/>
        </w:rPr>
        <w:t xml:space="preserve"> exemption </w:t>
      </w:r>
      <w:r w:rsidR="00A2236B" w:rsidRPr="005A3F47">
        <w:rPr>
          <w:noProof/>
        </w:rPr>
        <w:t xml:space="preserve">are </w:t>
      </w:r>
      <w:r w:rsidR="00E74E81" w:rsidRPr="005A3F47">
        <w:rPr>
          <w:noProof/>
        </w:rPr>
        <w:t>mainly determined by the Member States</w:t>
      </w:r>
      <w:r w:rsidR="000453EC" w:rsidRPr="005A3F47">
        <w:rPr>
          <w:noProof/>
        </w:rPr>
        <w:t xml:space="preserve"> (</w:t>
      </w:r>
      <w:r w:rsidR="009448BA" w:rsidRPr="005A3F47">
        <w:rPr>
          <w:noProof/>
        </w:rPr>
        <w:fldChar w:fldCharType="begin"/>
      </w:r>
      <w:r w:rsidR="009448BA" w:rsidRPr="005A3F47">
        <w:rPr>
          <w:noProof/>
        </w:rPr>
        <w:instrText xml:space="preserve"> REF _Ref228962234 \h </w:instrText>
      </w:r>
      <w:r w:rsidR="005A3F47">
        <w:rPr>
          <w:noProof/>
        </w:rPr>
        <w:instrText xml:space="preserve"> \* MERGEFORMAT </w:instrText>
      </w:r>
      <w:r w:rsidR="009448BA" w:rsidRPr="005A3F47">
        <w:rPr>
          <w:noProof/>
        </w:rPr>
      </w:r>
      <w:r w:rsidR="009448BA" w:rsidRPr="005A3F47">
        <w:rPr>
          <w:noProof/>
        </w:rPr>
        <w:fldChar w:fldCharType="separate"/>
      </w:r>
      <w:r w:rsidR="00CF3380" w:rsidRPr="005A3F47">
        <w:rPr>
          <w:noProof/>
        </w:rPr>
        <w:t xml:space="preserve">Box </w:t>
      </w:r>
      <w:r w:rsidR="00CF3380">
        <w:rPr>
          <w:noProof/>
        </w:rPr>
        <w:t>1</w:t>
      </w:r>
      <w:r w:rsidR="009448BA" w:rsidRPr="005A3F47">
        <w:rPr>
          <w:noProof/>
        </w:rPr>
        <w:fldChar w:fldCharType="end"/>
      </w:r>
      <w:r w:rsidR="000453EC" w:rsidRPr="005A3F47">
        <w:rPr>
          <w:noProof/>
        </w:rPr>
        <w:t>)</w:t>
      </w:r>
      <w:r w:rsidR="00E74E81" w:rsidRPr="005A3F47">
        <w:rPr>
          <w:noProof/>
        </w:rPr>
        <w:t>.</w:t>
      </w:r>
      <w:r w:rsidR="00E44FCB" w:rsidRPr="005A3F47">
        <w:rPr>
          <w:noProof/>
        </w:rPr>
        <w:t xml:space="preserve"> </w:t>
      </w:r>
      <w:r w:rsidR="00602D3C" w:rsidRPr="005A3F47">
        <w:rPr>
          <w:noProof/>
        </w:rPr>
        <w:t xml:space="preserve">During the </w:t>
      </w:r>
      <w:r w:rsidR="0005357A" w:rsidRPr="005A3F47">
        <w:rPr>
          <w:noProof/>
        </w:rPr>
        <w:t>targeted</w:t>
      </w:r>
      <w:r w:rsidR="00602D3C" w:rsidRPr="005A3F47">
        <w:rPr>
          <w:noProof/>
        </w:rPr>
        <w:t xml:space="preserve"> consultation</w:t>
      </w:r>
      <w:r w:rsidR="00D343A9" w:rsidRPr="005A3F47">
        <w:rPr>
          <w:noProof/>
        </w:rPr>
        <w:t>s</w:t>
      </w:r>
      <w:r w:rsidR="00602D3C" w:rsidRPr="005A3F47">
        <w:rPr>
          <w:noProof/>
        </w:rPr>
        <w:t>, m</w:t>
      </w:r>
      <w:r w:rsidR="00007AA2" w:rsidRPr="005A3F47">
        <w:rPr>
          <w:noProof/>
        </w:rPr>
        <w:t xml:space="preserve">any </w:t>
      </w:r>
      <w:r w:rsidR="00471C66" w:rsidRPr="005A3F47">
        <w:rPr>
          <w:noProof/>
        </w:rPr>
        <w:t>business</w:t>
      </w:r>
      <w:r w:rsidR="00697316" w:rsidRPr="005A3F47">
        <w:rPr>
          <w:noProof/>
        </w:rPr>
        <w:t>es</w:t>
      </w:r>
      <w:r w:rsidR="00007AA2" w:rsidRPr="005A3F47">
        <w:rPr>
          <w:noProof/>
        </w:rPr>
        <w:t xml:space="preserve"> voiced concerns about the </w:t>
      </w:r>
      <w:r w:rsidR="00E5035D" w:rsidRPr="005A3F47">
        <w:rPr>
          <w:noProof/>
        </w:rPr>
        <w:t xml:space="preserve">complexity </w:t>
      </w:r>
      <w:r w:rsidR="00E03DAD" w:rsidRPr="005A3F47">
        <w:rPr>
          <w:noProof/>
        </w:rPr>
        <w:t xml:space="preserve">and, consequently, </w:t>
      </w:r>
      <w:r w:rsidR="003B5502" w:rsidRPr="005A3F47">
        <w:rPr>
          <w:noProof/>
        </w:rPr>
        <w:t>the</w:t>
      </w:r>
      <w:r w:rsidR="00CF799B" w:rsidRPr="005A3F47">
        <w:rPr>
          <w:noProof/>
        </w:rPr>
        <w:t xml:space="preserve"> significant </w:t>
      </w:r>
      <w:r w:rsidR="00007AA2" w:rsidRPr="005A3F47">
        <w:rPr>
          <w:noProof/>
        </w:rPr>
        <w:t xml:space="preserve">compliance burden they face </w:t>
      </w:r>
      <w:r w:rsidR="00D343A9" w:rsidRPr="005A3F47">
        <w:rPr>
          <w:noProof/>
        </w:rPr>
        <w:t>when</w:t>
      </w:r>
      <w:r w:rsidR="004C0E59" w:rsidRPr="005A3F47">
        <w:rPr>
          <w:noProof/>
        </w:rPr>
        <w:t xml:space="preserve"> operat</w:t>
      </w:r>
      <w:r w:rsidR="00D343A9" w:rsidRPr="005A3F47">
        <w:rPr>
          <w:noProof/>
        </w:rPr>
        <w:t>ing</w:t>
      </w:r>
      <w:r w:rsidR="004C0E59" w:rsidRPr="005A3F47">
        <w:rPr>
          <w:noProof/>
        </w:rPr>
        <w:t xml:space="preserve"> cross-border</w:t>
      </w:r>
      <w:r w:rsidR="005F468F" w:rsidRPr="005A3F47">
        <w:rPr>
          <w:noProof/>
        </w:rPr>
        <w:t xml:space="preserve">. </w:t>
      </w:r>
      <w:r w:rsidR="00C02F79" w:rsidRPr="005A3F47">
        <w:rPr>
          <w:noProof/>
        </w:rPr>
        <w:t xml:space="preserve">It was </w:t>
      </w:r>
      <w:r w:rsidR="00165F73" w:rsidRPr="005A3F47">
        <w:rPr>
          <w:noProof/>
        </w:rPr>
        <w:t>noted</w:t>
      </w:r>
      <w:r w:rsidR="00C02F79" w:rsidRPr="005A3F47">
        <w:rPr>
          <w:noProof/>
        </w:rPr>
        <w:t xml:space="preserve"> that</w:t>
      </w:r>
      <w:r w:rsidR="008D6B77" w:rsidRPr="005A3F47">
        <w:rPr>
          <w:noProof/>
        </w:rPr>
        <w:t xml:space="preserve"> unwieldy</w:t>
      </w:r>
      <w:r w:rsidR="00C02F79" w:rsidRPr="005A3F47">
        <w:rPr>
          <w:noProof/>
        </w:rPr>
        <w:t xml:space="preserve"> p</w:t>
      </w:r>
      <w:r w:rsidR="005F468F" w:rsidRPr="005A3F47">
        <w:rPr>
          <w:noProof/>
        </w:rPr>
        <w:t>rocedures for o</w:t>
      </w:r>
      <w:r w:rsidR="00D31D94" w:rsidRPr="005A3F47">
        <w:rPr>
          <w:noProof/>
        </w:rPr>
        <w:t>btain</w:t>
      </w:r>
      <w:r w:rsidR="005F468F" w:rsidRPr="005A3F47">
        <w:rPr>
          <w:noProof/>
        </w:rPr>
        <w:t>ing</w:t>
      </w:r>
      <w:r w:rsidR="00D31D94" w:rsidRPr="005A3F47">
        <w:rPr>
          <w:noProof/>
        </w:rPr>
        <w:t xml:space="preserve"> the tax exemption in </w:t>
      </w:r>
      <w:r w:rsidR="00007AA2" w:rsidRPr="005A3F47">
        <w:rPr>
          <w:noProof/>
        </w:rPr>
        <w:t>certain Member States</w:t>
      </w:r>
      <w:r w:rsidR="005F468F" w:rsidRPr="005A3F47">
        <w:rPr>
          <w:noProof/>
        </w:rPr>
        <w:t xml:space="preserve"> </w:t>
      </w:r>
      <w:r w:rsidR="00C02F79" w:rsidRPr="005A3F47">
        <w:rPr>
          <w:noProof/>
        </w:rPr>
        <w:t>may</w:t>
      </w:r>
      <w:r w:rsidR="00A84F15" w:rsidRPr="005A3F47">
        <w:rPr>
          <w:noProof/>
        </w:rPr>
        <w:t xml:space="preserve"> </w:t>
      </w:r>
      <w:r w:rsidR="00C94E2F" w:rsidRPr="005A3F47">
        <w:rPr>
          <w:noProof/>
        </w:rPr>
        <w:t xml:space="preserve">often </w:t>
      </w:r>
      <w:r w:rsidR="00243147" w:rsidRPr="005A3F47">
        <w:rPr>
          <w:noProof/>
        </w:rPr>
        <w:t>discourag</w:t>
      </w:r>
      <w:r w:rsidR="00C02F79" w:rsidRPr="005A3F47">
        <w:rPr>
          <w:noProof/>
        </w:rPr>
        <w:t>e</w:t>
      </w:r>
      <w:r w:rsidR="00243147" w:rsidRPr="005A3F47">
        <w:rPr>
          <w:noProof/>
        </w:rPr>
        <w:t xml:space="preserve"> companies </w:t>
      </w:r>
      <w:r w:rsidR="00C02F79" w:rsidRPr="005A3F47">
        <w:rPr>
          <w:noProof/>
        </w:rPr>
        <w:t>from applying</w:t>
      </w:r>
      <w:r w:rsidR="00007AA2" w:rsidRPr="005A3F47">
        <w:rPr>
          <w:noProof/>
        </w:rPr>
        <w:t xml:space="preserve"> </w:t>
      </w:r>
      <w:r w:rsidR="00E72E98" w:rsidRPr="005A3F47">
        <w:rPr>
          <w:noProof/>
        </w:rPr>
        <w:t>the</w:t>
      </w:r>
      <w:r w:rsidR="00BC0634" w:rsidRPr="005A3F47">
        <w:rPr>
          <w:noProof/>
        </w:rPr>
        <w:t xml:space="preserve"> </w:t>
      </w:r>
      <w:r w:rsidR="09E0BBDC" w:rsidRPr="005A3F47">
        <w:rPr>
          <w:noProof/>
        </w:rPr>
        <w:t>IRD and PSD</w:t>
      </w:r>
      <w:r w:rsidR="00F043BE" w:rsidRPr="005A3F47">
        <w:rPr>
          <w:noProof/>
        </w:rPr>
        <w:t>,</w:t>
      </w:r>
      <w:r w:rsidR="09E0BBDC" w:rsidRPr="005A3F47">
        <w:rPr>
          <w:noProof/>
        </w:rPr>
        <w:t xml:space="preserve"> </w:t>
      </w:r>
      <w:r w:rsidR="008D6B77" w:rsidRPr="005A3F47">
        <w:rPr>
          <w:noProof/>
        </w:rPr>
        <w:t>as the burdens outweigh the benefits</w:t>
      </w:r>
      <w:r w:rsidR="00007AA2" w:rsidRPr="005A3F47">
        <w:rPr>
          <w:noProof/>
        </w:rPr>
        <w:t xml:space="preserve">. </w:t>
      </w:r>
      <w:r w:rsidR="00C73EF6" w:rsidRPr="005A3F47">
        <w:rPr>
          <w:noProof/>
        </w:rPr>
        <w:t xml:space="preserve">Similar views were expressed in the Call for Evidence where approximately </w:t>
      </w:r>
      <w:r w:rsidR="0062194B" w:rsidRPr="005A3F47">
        <w:rPr>
          <w:noProof/>
        </w:rPr>
        <w:t xml:space="preserve">67% of the </w:t>
      </w:r>
      <w:r w:rsidR="00D44DB0" w:rsidRPr="005A3F47">
        <w:rPr>
          <w:noProof/>
        </w:rPr>
        <w:t xml:space="preserve">117 </w:t>
      </w:r>
      <w:r w:rsidR="00233ADA" w:rsidRPr="005A3F47">
        <w:rPr>
          <w:noProof/>
        </w:rPr>
        <w:t>respondents</w:t>
      </w:r>
      <w:r w:rsidR="0062194B" w:rsidRPr="005A3F47">
        <w:rPr>
          <w:noProof/>
        </w:rPr>
        <w:t xml:space="preserve"> </w:t>
      </w:r>
      <w:r w:rsidR="00346FB6" w:rsidRPr="005A3F47">
        <w:rPr>
          <w:noProof/>
        </w:rPr>
        <w:t>identified issues</w:t>
      </w:r>
      <w:r w:rsidR="00A07598" w:rsidRPr="005A3F47">
        <w:rPr>
          <w:noProof/>
        </w:rPr>
        <w:t xml:space="preserve"> related to the withholding tax relief</w:t>
      </w:r>
      <w:r w:rsidR="00981010" w:rsidRPr="005A3F47">
        <w:rPr>
          <w:noProof/>
        </w:rPr>
        <w:t>, including the procedures, under the IRD and PSD</w:t>
      </w:r>
      <w:r w:rsidR="00370BBF" w:rsidRPr="005A3F47">
        <w:rPr>
          <w:rStyle w:val="FootnoteReference"/>
          <w:noProof/>
        </w:rPr>
        <w:footnoteReference w:id="19"/>
      </w:r>
      <w:r w:rsidR="00981010" w:rsidRPr="005A3F47">
        <w:rPr>
          <w:noProof/>
        </w:rPr>
        <w:t>.</w:t>
      </w:r>
    </w:p>
    <w:p w14:paraId="67457779" w14:textId="6A067E23" w:rsidR="002415F6" w:rsidRPr="005A3F47" w:rsidRDefault="002415F6" w:rsidP="00302233">
      <w:pPr>
        <w:pStyle w:val="Caption"/>
        <w:keepNext/>
        <w:rPr>
          <w:noProof/>
        </w:rPr>
      </w:pPr>
      <w:bookmarkStart w:id="21" w:name="_Ref228962234"/>
      <w:r w:rsidRPr="005A3F47">
        <w:rPr>
          <w:noProof/>
          <w:color w:val="auto"/>
        </w:rPr>
        <w:t xml:space="preserve">Box </w:t>
      </w:r>
      <w:r w:rsidRPr="005A3F47">
        <w:rPr>
          <w:noProof/>
          <w:color w:val="auto"/>
        </w:rPr>
        <w:fldChar w:fldCharType="begin"/>
      </w:r>
      <w:r w:rsidRPr="005A3F47">
        <w:rPr>
          <w:noProof/>
          <w:color w:val="auto"/>
        </w:rPr>
        <w:instrText xml:space="preserve"> SEQ Box \* ARABIC </w:instrText>
      </w:r>
      <w:r w:rsidRPr="005A3F47">
        <w:rPr>
          <w:noProof/>
          <w:color w:val="auto"/>
        </w:rPr>
        <w:fldChar w:fldCharType="separate"/>
      </w:r>
      <w:r w:rsidR="00CF3380">
        <w:rPr>
          <w:noProof/>
          <w:color w:val="auto"/>
        </w:rPr>
        <w:t>1</w:t>
      </w:r>
      <w:r w:rsidRPr="005A3F47">
        <w:rPr>
          <w:noProof/>
          <w:color w:val="auto"/>
        </w:rPr>
        <w:fldChar w:fldCharType="end"/>
      </w:r>
      <w:bookmarkEnd w:id="21"/>
      <w:r w:rsidRPr="005A3F47">
        <w:rPr>
          <w:noProof/>
          <w:color w:val="auto"/>
        </w:rPr>
        <w:t>: Withholding taxes on interests, royalties, and dividends</w:t>
      </w:r>
    </w:p>
    <w:tbl>
      <w:tblPr>
        <w:tblStyle w:val="TableGrid"/>
        <w:tblW w:w="0" w:type="auto"/>
        <w:tblInd w:w="108" w:type="dxa"/>
        <w:tblLook w:val="04A0" w:firstRow="1" w:lastRow="0" w:firstColumn="1" w:lastColumn="0" w:noHBand="0" w:noVBand="1"/>
      </w:tblPr>
      <w:tblGrid>
        <w:gridCol w:w="9435"/>
      </w:tblGrid>
      <w:tr w:rsidR="00727CB1" w:rsidRPr="005A3F47" w14:paraId="51BECB62" w14:textId="77777777" w:rsidTr="004610CE">
        <w:trPr>
          <w:trHeight w:val="335"/>
        </w:trPr>
        <w:tc>
          <w:tcPr>
            <w:tcW w:w="9435" w:type="dxa"/>
          </w:tcPr>
          <w:p w14:paraId="004427FD" w14:textId="1BFC0F0E" w:rsidR="00CE5740" w:rsidRPr="005A3F47" w:rsidRDefault="00E5631A" w:rsidP="00302233">
            <w:pPr>
              <w:spacing w:before="120" w:after="120" w:line="259" w:lineRule="auto"/>
              <w:ind w:left="284" w:right="284"/>
              <w:rPr>
                <w:rFonts w:eastAsiaTheme="minorEastAsia"/>
                <w:noProof/>
                <w:lang w:eastAsia="en-US"/>
              </w:rPr>
            </w:pPr>
            <w:r w:rsidRPr="005A3F47">
              <w:rPr>
                <w:noProof/>
              </w:rPr>
              <w:t>As a general rule</w:t>
            </w:r>
            <w:r w:rsidR="005C01E6" w:rsidRPr="005A3F47">
              <w:rPr>
                <w:noProof/>
              </w:rPr>
              <w:t xml:space="preserve">, </w:t>
            </w:r>
            <w:r w:rsidR="00483DEB" w:rsidRPr="005A3F47">
              <w:rPr>
                <w:noProof/>
              </w:rPr>
              <w:t>a company</w:t>
            </w:r>
            <w:r w:rsidR="008F2E8D" w:rsidRPr="005A3F47">
              <w:rPr>
                <w:noProof/>
              </w:rPr>
              <w:t xml:space="preserve"> located in one </w:t>
            </w:r>
            <w:r w:rsidR="005B4FA6" w:rsidRPr="005A3F47">
              <w:rPr>
                <w:noProof/>
              </w:rPr>
              <w:t>s</w:t>
            </w:r>
            <w:r w:rsidR="008F2E8D" w:rsidRPr="005A3F47">
              <w:rPr>
                <w:noProof/>
              </w:rPr>
              <w:t>tate</w:t>
            </w:r>
            <w:r w:rsidRPr="005A3F47">
              <w:rPr>
                <w:noProof/>
              </w:rPr>
              <w:t>,</w:t>
            </w:r>
            <w:r w:rsidR="00C01054" w:rsidRPr="005A3F47">
              <w:rPr>
                <w:noProof/>
              </w:rPr>
              <w:t xml:space="preserve"> which makes a</w:t>
            </w:r>
            <w:r w:rsidRPr="005A3F47">
              <w:rPr>
                <w:noProof/>
              </w:rPr>
              <w:t>n</w:t>
            </w:r>
            <w:r w:rsidR="00016A33" w:rsidRPr="005A3F47">
              <w:rPr>
                <w:noProof/>
              </w:rPr>
              <w:t xml:space="preserve"> interest, </w:t>
            </w:r>
            <w:r w:rsidRPr="005A3F47">
              <w:rPr>
                <w:noProof/>
              </w:rPr>
              <w:t xml:space="preserve">a </w:t>
            </w:r>
            <w:r w:rsidR="00016A33" w:rsidRPr="005A3F47">
              <w:rPr>
                <w:noProof/>
              </w:rPr>
              <w:t xml:space="preserve">royalty, or </w:t>
            </w:r>
            <w:r w:rsidRPr="005A3F47">
              <w:rPr>
                <w:noProof/>
              </w:rPr>
              <w:t xml:space="preserve">a </w:t>
            </w:r>
            <w:r w:rsidR="00016A33" w:rsidRPr="005A3F47">
              <w:rPr>
                <w:noProof/>
              </w:rPr>
              <w:t>dividend payment to a</w:t>
            </w:r>
            <w:r w:rsidR="00976964" w:rsidRPr="005A3F47">
              <w:rPr>
                <w:noProof/>
              </w:rPr>
              <w:t>n</w:t>
            </w:r>
            <w:r w:rsidR="00016A33" w:rsidRPr="005A3F47">
              <w:rPr>
                <w:noProof/>
              </w:rPr>
              <w:t xml:space="preserve"> </w:t>
            </w:r>
            <w:r w:rsidR="00DF7667" w:rsidRPr="005A3F47">
              <w:rPr>
                <w:noProof/>
              </w:rPr>
              <w:t>ass</w:t>
            </w:r>
            <w:r w:rsidR="00E173DF" w:rsidRPr="005A3F47">
              <w:rPr>
                <w:noProof/>
              </w:rPr>
              <w:t xml:space="preserve">ociated </w:t>
            </w:r>
            <w:r w:rsidR="00016A33" w:rsidRPr="005A3F47">
              <w:rPr>
                <w:noProof/>
              </w:rPr>
              <w:t>company</w:t>
            </w:r>
            <w:r w:rsidR="006C618E" w:rsidRPr="005A3F47">
              <w:rPr>
                <w:noProof/>
              </w:rPr>
              <w:t xml:space="preserve">, i.e., </w:t>
            </w:r>
            <w:r w:rsidR="0044177B" w:rsidRPr="005A3F47">
              <w:rPr>
                <w:noProof/>
              </w:rPr>
              <w:t xml:space="preserve">another company where it holds a significant degree of influence, control, or ownership, </w:t>
            </w:r>
            <w:r w:rsidR="00016A33" w:rsidRPr="005A3F47">
              <w:rPr>
                <w:noProof/>
              </w:rPr>
              <w:t>in another state</w:t>
            </w:r>
            <w:r w:rsidR="00AF1A82" w:rsidRPr="005A3F47">
              <w:rPr>
                <w:noProof/>
              </w:rPr>
              <w:t>,</w:t>
            </w:r>
            <w:r w:rsidR="00016A33" w:rsidRPr="005A3F47">
              <w:rPr>
                <w:noProof/>
              </w:rPr>
              <w:t xml:space="preserve"> would</w:t>
            </w:r>
            <w:r w:rsidR="00AF1A82" w:rsidRPr="005A3F47">
              <w:rPr>
                <w:noProof/>
              </w:rPr>
              <w:t xml:space="preserve"> </w:t>
            </w:r>
            <w:r w:rsidR="00C230BF" w:rsidRPr="005A3F47">
              <w:rPr>
                <w:noProof/>
              </w:rPr>
              <w:t>pay a withholding tax</w:t>
            </w:r>
            <w:r w:rsidR="00662966" w:rsidRPr="005A3F47">
              <w:rPr>
                <w:noProof/>
              </w:rPr>
              <w:t xml:space="preserve"> on the transaction </w:t>
            </w:r>
            <w:r w:rsidR="00AF1A82" w:rsidRPr="005A3F47">
              <w:rPr>
                <w:noProof/>
              </w:rPr>
              <w:t xml:space="preserve">in the </w:t>
            </w:r>
            <w:r w:rsidR="005B4FA6" w:rsidRPr="005A3F47">
              <w:rPr>
                <w:noProof/>
              </w:rPr>
              <w:t>s</w:t>
            </w:r>
            <w:r w:rsidR="00D76EBE" w:rsidRPr="005A3F47">
              <w:rPr>
                <w:noProof/>
              </w:rPr>
              <w:t xml:space="preserve">tate where </w:t>
            </w:r>
            <w:r w:rsidR="0005285C" w:rsidRPr="005A3F47">
              <w:rPr>
                <w:noProof/>
              </w:rPr>
              <w:t>the</w:t>
            </w:r>
            <w:r w:rsidR="00D76EBE" w:rsidRPr="005A3F47">
              <w:rPr>
                <w:noProof/>
              </w:rPr>
              <w:t xml:space="preserve"> </w:t>
            </w:r>
            <w:r w:rsidR="6363EA9D" w:rsidRPr="005A3F47">
              <w:rPr>
                <w:noProof/>
              </w:rPr>
              <w:t>payor</w:t>
            </w:r>
            <w:r w:rsidR="00D76EBE" w:rsidRPr="005A3F47">
              <w:rPr>
                <w:noProof/>
              </w:rPr>
              <w:t xml:space="preserve"> is located (</w:t>
            </w:r>
            <w:r w:rsidR="00AE29CF" w:rsidRPr="005A3F47">
              <w:rPr>
                <w:noProof/>
              </w:rPr>
              <w:t xml:space="preserve">taxation at source). </w:t>
            </w:r>
            <w:r w:rsidR="00370DA1" w:rsidRPr="005A3F47">
              <w:rPr>
                <w:noProof/>
              </w:rPr>
              <w:t xml:space="preserve">In some cases, the </w:t>
            </w:r>
            <w:r w:rsidR="00E054A3" w:rsidRPr="005A3F47">
              <w:rPr>
                <w:noProof/>
              </w:rPr>
              <w:t>transaction</w:t>
            </w:r>
            <w:r w:rsidR="001E582B" w:rsidRPr="005A3F47">
              <w:rPr>
                <w:noProof/>
              </w:rPr>
              <w:t xml:space="preserve"> would also be taxable </w:t>
            </w:r>
            <w:r w:rsidR="005B4FA6" w:rsidRPr="005A3F47">
              <w:rPr>
                <w:noProof/>
              </w:rPr>
              <w:t>as income in the state of the receiving company.</w:t>
            </w:r>
            <w:r w:rsidR="00941FB9" w:rsidRPr="005A3F47">
              <w:rPr>
                <w:noProof/>
              </w:rPr>
              <w:t xml:space="preserve"> The IRD and the PSD</w:t>
            </w:r>
            <w:r w:rsidR="0068039A" w:rsidRPr="005A3F47">
              <w:rPr>
                <w:noProof/>
              </w:rPr>
              <w:t xml:space="preserve"> exempt these payments </w:t>
            </w:r>
            <w:r w:rsidR="00F87C32" w:rsidRPr="005A3F47">
              <w:rPr>
                <w:noProof/>
              </w:rPr>
              <w:t xml:space="preserve">between </w:t>
            </w:r>
            <w:r w:rsidR="00DF7667" w:rsidRPr="005A3F47">
              <w:rPr>
                <w:noProof/>
              </w:rPr>
              <w:t>associated</w:t>
            </w:r>
            <w:r w:rsidR="00F87C32" w:rsidRPr="005A3F47">
              <w:rPr>
                <w:noProof/>
              </w:rPr>
              <w:t xml:space="preserve"> companies in the EU</w:t>
            </w:r>
            <w:r w:rsidR="0068039A" w:rsidRPr="005A3F47">
              <w:rPr>
                <w:noProof/>
              </w:rPr>
              <w:t xml:space="preserve"> from withholding tax</w:t>
            </w:r>
            <w:r w:rsidR="00B85A9E" w:rsidRPr="005A3F47">
              <w:rPr>
                <w:noProof/>
              </w:rPr>
              <w:t>es</w:t>
            </w:r>
            <w:r w:rsidR="0068039A" w:rsidRPr="005A3F47">
              <w:rPr>
                <w:noProof/>
              </w:rPr>
              <w:t xml:space="preserve"> and </w:t>
            </w:r>
            <w:r w:rsidR="00943721" w:rsidRPr="005A3F47">
              <w:rPr>
                <w:noProof/>
              </w:rPr>
              <w:t>eliminate double</w:t>
            </w:r>
            <w:r w:rsidR="00BF40E0" w:rsidRPr="005A3F47">
              <w:rPr>
                <w:noProof/>
              </w:rPr>
              <w:t xml:space="preserve"> </w:t>
            </w:r>
            <w:r w:rsidR="00943721" w:rsidRPr="005A3F47">
              <w:rPr>
                <w:noProof/>
              </w:rPr>
              <w:t>taxation.</w:t>
            </w:r>
            <w:r w:rsidR="00976964" w:rsidRPr="005A3F47">
              <w:rPr>
                <w:noProof/>
              </w:rPr>
              <w:t xml:space="preserve"> </w:t>
            </w:r>
            <w:r w:rsidR="00E66F82" w:rsidRPr="005A3F47">
              <w:rPr>
                <w:noProof/>
              </w:rPr>
              <w:t xml:space="preserve">Although the </w:t>
            </w:r>
            <w:r w:rsidR="291EC0C0" w:rsidRPr="005A3F47">
              <w:rPr>
                <w:noProof/>
              </w:rPr>
              <w:t xml:space="preserve">IRD and PSD </w:t>
            </w:r>
            <w:r w:rsidR="00F073FE" w:rsidRPr="005A3F47">
              <w:rPr>
                <w:noProof/>
              </w:rPr>
              <w:t xml:space="preserve">pursue similar objectives, the requirements for applying </w:t>
            </w:r>
            <w:r w:rsidR="70B38A19" w:rsidRPr="005A3F47">
              <w:rPr>
                <w:noProof/>
              </w:rPr>
              <w:t>the</w:t>
            </w:r>
            <w:r w:rsidR="00F073FE" w:rsidRPr="005A3F47">
              <w:rPr>
                <w:noProof/>
              </w:rPr>
              <w:t xml:space="preserve"> Directive</w:t>
            </w:r>
            <w:r w:rsidR="000C22D2" w:rsidRPr="005A3F47">
              <w:rPr>
                <w:noProof/>
              </w:rPr>
              <w:t>s</w:t>
            </w:r>
            <w:r w:rsidR="00F073FE" w:rsidRPr="005A3F47">
              <w:rPr>
                <w:noProof/>
              </w:rPr>
              <w:t xml:space="preserve"> differ, </w:t>
            </w:r>
            <w:r w:rsidR="00F46746" w:rsidRPr="005A3F47">
              <w:rPr>
                <w:noProof/>
              </w:rPr>
              <w:t xml:space="preserve">as explained in </w:t>
            </w:r>
            <w:r w:rsidR="008739AD" w:rsidRPr="005A3F47">
              <w:rPr>
                <w:noProof/>
              </w:rPr>
              <w:t>Section</w:t>
            </w:r>
            <w:r w:rsidR="00F46746" w:rsidRPr="005A3F47">
              <w:rPr>
                <w:noProof/>
              </w:rPr>
              <w:t xml:space="preserve"> </w:t>
            </w:r>
            <w:r w:rsidR="008739AD" w:rsidRPr="005A3F47">
              <w:rPr>
                <w:noProof/>
              </w:rPr>
              <w:fldChar w:fldCharType="begin"/>
            </w:r>
            <w:r w:rsidR="008739AD" w:rsidRPr="005A3F47">
              <w:rPr>
                <w:noProof/>
              </w:rPr>
              <w:instrText xml:space="preserve"> REF _Ref226463057 \r \h </w:instrText>
            </w:r>
            <w:r w:rsidR="005A3F47">
              <w:rPr>
                <w:noProof/>
              </w:rPr>
              <w:instrText xml:space="preserve"> \* MERGEFORMAT </w:instrText>
            </w:r>
            <w:r w:rsidR="008739AD" w:rsidRPr="005A3F47">
              <w:rPr>
                <w:noProof/>
              </w:rPr>
            </w:r>
            <w:r w:rsidR="008739AD" w:rsidRPr="005A3F47">
              <w:rPr>
                <w:noProof/>
              </w:rPr>
              <w:fldChar w:fldCharType="separate"/>
            </w:r>
            <w:r w:rsidR="00CF3380">
              <w:rPr>
                <w:noProof/>
              </w:rPr>
              <w:t>5.1</w:t>
            </w:r>
            <w:r w:rsidR="008739AD" w:rsidRPr="005A3F47">
              <w:rPr>
                <w:noProof/>
              </w:rPr>
              <w:fldChar w:fldCharType="end"/>
            </w:r>
            <w:r w:rsidR="00F46746" w:rsidRPr="005A3F47">
              <w:rPr>
                <w:noProof/>
              </w:rPr>
              <w:t>,</w:t>
            </w:r>
            <w:r w:rsidR="00F073FE" w:rsidRPr="005A3F47">
              <w:rPr>
                <w:noProof/>
              </w:rPr>
              <w:t xml:space="preserve"> and t</w:t>
            </w:r>
            <w:r w:rsidR="00976964" w:rsidRPr="005A3F47">
              <w:rPr>
                <w:noProof/>
              </w:rPr>
              <w:t>he procedures for</w:t>
            </w:r>
            <w:r w:rsidR="00BB1DE3" w:rsidRPr="005A3F47">
              <w:rPr>
                <w:noProof/>
              </w:rPr>
              <w:t xml:space="preserve"> enforcing the wi</w:t>
            </w:r>
            <w:r w:rsidR="007E36B8" w:rsidRPr="005A3F47">
              <w:rPr>
                <w:noProof/>
              </w:rPr>
              <w:t xml:space="preserve">thholding tax exemption are broadly left </w:t>
            </w:r>
            <w:r w:rsidR="00D70AF8" w:rsidRPr="005A3F47">
              <w:rPr>
                <w:noProof/>
              </w:rPr>
              <w:t>for</w:t>
            </w:r>
            <w:r w:rsidR="008F4D2B" w:rsidRPr="005A3F47">
              <w:rPr>
                <w:noProof/>
              </w:rPr>
              <w:t xml:space="preserve"> the Member S</w:t>
            </w:r>
            <w:r w:rsidR="00D70AF8" w:rsidRPr="005A3F47">
              <w:rPr>
                <w:noProof/>
              </w:rPr>
              <w:t>tates to decide</w:t>
            </w:r>
            <w:r w:rsidR="009258DC" w:rsidRPr="005A3F47">
              <w:rPr>
                <w:noProof/>
              </w:rPr>
              <w:t>.</w:t>
            </w:r>
            <w:r w:rsidR="00F06678" w:rsidRPr="005A3F47">
              <w:rPr>
                <w:noProof/>
              </w:rPr>
              <w:t xml:space="preserve"> While </w:t>
            </w:r>
            <w:r w:rsidR="004F04CD" w:rsidRPr="005A3F47">
              <w:rPr>
                <w:noProof/>
              </w:rPr>
              <w:t xml:space="preserve">the </w:t>
            </w:r>
            <w:r w:rsidR="000A3CF8" w:rsidRPr="005A3F47">
              <w:rPr>
                <w:noProof/>
              </w:rPr>
              <w:t xml:space="preserve">FASTER Directive </w:t>
            </w:r>
            <w:r w:rsidR="00A07D93" w:rsidRPr="005A3F47">
              <w:rPr>
                <w:noProof/>
              </w:rPr>
              <w:t>streamlined</w:t>
            </w:r>
            <w:r w:rsidR="000C7960" w:rsidRPr="005A3F47">
              <w:rPr>
                <w:noProof/>
              </w:rPr>
              <w:t xml:space="preserve"> withholding tax procedures </w:t>
            </w:r>
            <w:r w:rsidR="000A0382" w:rsidRPr="005A3F47">
              <w:rPr>
                <w:noProof/>
              </w:rPr>
              <w:t xml:space="preserve">for </w:t>
            </w:r>
            <w:r w:rsidR="00B14B43" w:rsidRPr="005A3F47">
              <w:rPr>
                <w:noProof/>
              </w:rPr>
              <w:t xml:space="preserve">certain </w:t>
            </w:r>
            <w:r w:rsidR="000A0382" w:rsidRPr="005A3F47">
              <w:rPr>
                <w:noProof/>
              </w:rPr>
              <w:t xml:space="preserve">cross-border </w:t>
            </w:r>
            <w:r w:rsidR="0048525B" w:rsidRPr="005A3F47">
              <w:rPr>
                <w:noProof/>
              </w:rPr>
              <w:t>portfolio</w:t>
            </w:r>
            <w:r w:rsidR="000A0382" w:rsidRPr="005A3F47">
              <w:rPr>
                <w:noProof/>
              </w:rPr>
              <w:t xml:space="preserve"> investments</w:t>
            </w:r>
            <w:r w:rsidR="000A3CF8" w:rsidRPr="005A3F47">
              <w:rPr>
                <w:noProof/>
              </w:rPr>
              <w:t xml:space="preserve">, its scope </w:t>
            </w:r>
            <w:r w:rsidR="000A2E2D" w:rsidRPr="005A3F47">
              <w:rPr>
                <w:noProof/>
              </w:rPr>
              <w:t>is limited</w:t>
            </w:r>
            <w:r w:rsidR="008D1CDD" w:rsidRPr="005A3F47">
              <w:rPr>
                <w:noProof/>
              </w:rPr>
              <w:t xml:space="preserve"> to </w:t>
            </w:r>
            <w:r w:rsidR="00BE1676" w:rsidRPr="005A3F47">
              <w:rPr>
                <w:noProof/>
              </w:rPr>
              <w:t>publicly traded securities</w:t>
            </w:r>
            <w:r w:rsidR="00811EE4" w:rsidRPr="005A3F47">
              <w:rPr>
                <w:noProof/>
              </w:rPr>
              <w:t xml:space="preserve"> and does not extend</w:t>
            </w:r>
            <w:r w:rsidR="00990BD0" w:rsidRPr="005A3F47">
              <w:rPr>
                <w:noProof/>
              </w:rPr>
              <w:t xml:space="preserve"> to </w:t>
            </w:r>
            <w:r w:rsidR="009A1D46" w:rsidRPr="005A3F47">
              <w:rPr>
                <w:noProof/>
              </w:rPr>
              <w:t>all</w:t>
            </w:r>
            <w:r w:rsidR="00990BD0" w:rsidRPr="005A3F47">
              <w:rPr>
                <w:noProof/>
              </w:rPr>
              <w:t xml:space="preserve"> payments covered by the </w:t>
            </w:r>
            <w:r w:rsidR="00CF7E2C" w:rsidRPr="005A3F47">
              <w:rPr>
                <w:noProof/>
              </w:rPr>
              <w:t xml:space="preserve">IRD and </w:t>
            </w:r>
            <w:r w:rsidR="005B581B" w:rsidRPr="005A3F47">
              <w:rPr>
                <w:noProof/>
              </w:rPr>
              <w:t xml:space="preserve">the </w:t>
            </w:r>
            <w:r w:rsidR="00CF7E2C" w:rsidRPr="005A3F47">
              <w:rPr>
                <w:noProof/>
              </w:rPr>
              <w:t xml:space="preserve">PSD. </w:t>
            </w:r>
          </w:p>
        </w:tc>
      </w:tr>
    </w:tbl>
    <w:p w14:paraId="0CDB9E61" w14:textId="77777777" w:rsidR="00CE5740" w:rsidRPr="005A3F47" w:rsidRDefault="00CE5740" w:rsidP="00654118">
      <w:pPr>
        <w:spacing w:after="0" w:line="259" w:lineRule="auto"/>
        <w:rPr>
          <w:noProof/>
        </w:rPr>
      </w:pPr>
    </w:p>
    <w:p w14:paraId="37180AE6" w14:textId="74256654" w:rsidR="00C13B2F" w:rsidRPr="005A3F47" w:rsidRDefault="00BC2446" w:rsidP="006E54C6">
      <w:pPr>
        <w:spacing w:line="259" w:lineRule="auto"/>
        <w:rPr>
          <w:noProof/>
        </w:rPr>
      </w:pPr>
      <w:r w:rsidRPr="005A3F47">
        <w:rPr>
          <w:noProof/>
        </w:rPr>
        <w:t>Furthermore</w:t>
      </w:r>
      <w:r w:rsidR="007A159F" w:rsidRPr="005A3F47">
        <w:rPr>
          <w:noProof/>
        </w:rPr>
        <w:t xml:space="preserve">, the </w:t>
      </w:r>
      <w:r w:rsidR="001A1701" w:rsidRPr="005A3F47">
        <w:rPr>
          <w:noProof/>
        </w:rPr>
        <w:t>adoption</w:t>
      </w:r>
      <w:r w:rsidR="007A159F" w:rsidRPr="005A3F47">
        <w:rPr>
          <w:noProof/>
        </w:rPr>
        <w:t xml:space="preserve"> of </w:t>
      </w:r>
      <w:r w:rsidR="009E5FBB" w:rsidRPr="005A3F47">
        <w:rPr>
          <w:noProof/>
        </w:rPr>
        <w:t>the</w:t>
      </w:r>
      <w:r w:rsidR="007A159F" w:rsidRPr="005A3F47">
        <w:rPr>
          <w:noProof/>
        </w:rPr>
        <w:t xml:space="preserve"> Pillar 2</w:t>
      </w:r>
      <w:r w:rsidR="009E5FBB" w:rsidRPr="005A3F47">
        <w:rPr>
          <w:noProof/>
        </w:rPr>
        <w:t xml:space="preserve"> Directive</w:t>
      </w:r>
      <w:r w:rsidR="00BC0634" w:rsidRPr="005A3F47">
        <w:rPr>
          <w:noProof/>
        </w:rPr>
        <w:t>,</w:t>
      </w:r>
      <w:r w:rsidR="007A159F" w:rsidRPr="005A3F47">
        <w:rPr>
          <w:noProof/>
        </w:rPr>
        <w:t xml:space="preserve"> which </w:t>
      </w:r>
      <w:r w:rsidR="001A1701" w:rsidRPr="005A3F47">
        <w:rPr>
          <w:noProof/>
        </w:rPr>
        <w:t>introduces</w:t>
      </w:r>
      <w:r w:rsidR="007A159F" w:rsidRPr="005A3F47">
        <w:rPr>
          <w:noProof/>
        </w:rPr>
        <w:t xml:space="preserve"> a </w:t>
      </w:r>
      <w:r w:rsidR="001A1701" w:rsidRPr="005A3F47">
        <w:rPr>
          <w:noProof/>
        </w:rPr>
        <w:t>global minimum corporate</w:t>
      </w:r>
      <w:r w:rsidR="007A159F" w:rsidRPr="005A3F47">
        <w:rPr>
          <w:noProof/>
        </w:rPr>
        <w:t xml:space="preserve"> tax rate</w:t>
      </w:r>
      <w:r w:rsidR="0061642F" w:rsidRPr="005A3F47">
        <w:rPr>
          <w:noProof/>
        </w:rPr>
        <w:t xml:space="preserve"> </w:t>
      </w:r>
      <w:r w:rsidR="006273E6" w:rsidRPr="005A3F47">
        <w:rPr>
          <w:noProof/>
        </w:rPr>
        <w:t>of</w:t>
      </w:r>
      <w:r w:rsidR="00F8792D" w:rsidRPr="005A3F47">
        <w:rPr>
          <w:noProof/>
        </w:rPr>
        <w:t xml:space="preserve"> </w:t>
      </w:r>
      <w:r w:rsidR="001A1701" w:rsidRPr="005A3F47">
        <w:rPr>
          <w:noProof/>
        </w:rPr>
        <w:t>15% for MNE</w:t>
      </w:r>
      <w:r w:rsidR="00E63424" w:rsidRPr="005A3F47">
        <w:rPr>
          <w:noProof/>
        </w:rPr>
        <w:t>s</w:t>
      </w:r>
      <w:r w:rsidR="00762942" w:rsidRPr="005A3F47">
        <w:rPr>
          <w:noProof/>
        </w:rPr>
        <w:t xml:space="preserve"> t</w:t>
      </w:r>
      <w:r w:rsidR="003628FB" w:rsidRPr="005A3F47">
        <w:rPr>
          <w:noProof/>
        </w:rPr>
        <w:t xml:space="preserve">o ensure </w:t>
      </w:r>
      <w:r w:rsidR="00F17320" w:rsidRPr="005A3F47">
        <w:rPr>
          <w:noProof/>
        </w:rPr>
        <w:t xml:space="preserve">a level playing </w:t>
      </w:r>
      <w:r w:rsidR="00A224AE" w:rsidRPr="005A3F47">
        <w:rPr>
          <w:noProof/>
        </w:rPr>
        <w:t>field</w:t>
      </w:r>
      <w:r w:rsidR="003628FB" w:rsidRPr="005A3F47">
        <w:rPr>
          <w:noProof/>
        </w:rPr>
        <w:t xml:space="preserve"> across jurisdictions</w:t>
      </w:r>
      <w:r w:rsidR="00BC0634" w:rsidRPr="005A3F47">
        <w:rPr>
          <w:noProof/>
        </w:rPr>
        <w:t>,</w:t>
      </w:r>
      <w:r w:rsidR="0061642F" w:rsidRPr="005A3F47">
        <w:rPr>
          <w:noProof/>
        </w:rPr>
        <w:t xml:space="preserve"> </w:t>
      </w:r>
      <w:r w:rsidR="001E3E86" w:rsidRPr="005A3F47">
        <w:rPr>
          <w:noProof/>
        </w:rPr>
        <w:t xml:space="preserve">is </w:t>
      </w:r>
      <w:r w:rsidR="00C857CD" w:rsidRPr="005A3F47">
        <w:rPr>
          <w:noProof/>
        </w:rPr>
        <w:t xml:space="preserve">an </w:t>
      </w:r>
      <w:r w:rsidR="001E3E86" w:rsidRPr="005A3F47">
        <w:rPr>
          <w:noProof/>
        </w:rPr>
        <w:t>addition of a new system of international tax rules</w:t>
      </w:r>
      <w:r w:rsidR="00700FA5" w:rsidRPr="005A3F47">
        <w:rPr>
          <w:noProof/>
        </w:rPr>
        <w:t xml:space="preserve"> layered on top of the existing rules</w:t>
      </w:r>
      <w:r w:rsidR="001E3E86" w:rsidRPr="005A3F47">
        <w:rPr>
          <w:noProof/>
        </w:rPr>
        <w:t>.</w:t>
      </w:r>
      <w:r w:rsidR="00C97986" w:rsidRPr="005A3F47">
        <w:rPr>
          <w:noProof/>
        </w:rPr>
        <w:t xml:space="preserve"> </w:t>
      </w:r>
      <w:r w:rsidR="005B6A30" w:rsidRPr="005A3F47">
        <w:rPr>
          <w:noProof/>
        </w:rPr>
        <w:t xml:space="preserve">A recent study estimates that the </w:t>
      </w:r>
      <w:r w:rsidR="00B51AE0" w:rsidRPr="005A3F47">
        <w:rPr>
          <w:noProof/>
        </w:rPr>
        <w:t xml:space="preserve">total </w:t>
      </w:r>
      <w:r w:rsidR="005B6A30" w:rsidRPr="005A3F47">
        <w:rPr>
          <w:noProof/>
        </w:rPr>
        <w:t xml:space="preserve">aggregate one-off compliance costs related to Pillar 2 are about EUR 1.2 billion and recurring annual costs </w:t>
      </w:r>
      <w:r w:rsidR="00762FBF" w:rsidRPr="005A3F47">
        <w:rPr>
          <w:noProof/>
        </w:rPr>
        <w:t xml:space="preserve">for the companies in scope </w:t>
      </w:r>
      <w:r w:rsidR="005B6A30" w:rsidRPr="005A3F47">
        <w:rPr>
          <w:noProof/>
        </w:rPr>
        <w:t>of about EUR 517 million.</w:t>
      </w:r>
      <w:r w:rsidR="00B51AE0" w:rsidRPr="005A3F47">
        <w:rPr>
          <w:rStyle w:val="FootnoteReference"/>
          <w:noProof/>
        </w:rPr>
        <w:footnoteReference w:id="20"/>
      </w:r>
      <w:r w:rsidR="005B6A30" w:rsidRPr="005A3F47">
        <w:rPr>
          <w:noProof/>
        </w:rPr>
        <w:t xml:space="preserve"> </w:t>
      </w:r>
    </w:p>
    <w:p w14:paraId="5446035F" w14:textId="30638212" w:rsidR="00B170D1" w:rsidRPr="005A3F47" w:rsidRDefault="00C97986" w:rsidP="006E54C6">
      <w:pPr>
        <w:spacing w:line="259" w:lineRule="auto"/>
        <w:rPr>
          <w:noProof/>
        </w:rPr>
      </w:pPr>
      <w:r w:rsidRPr="005A3F47">
        <w:rPr>
          <w:noProof/>
        </w:rPr>
        <w:t xml:space="preserve">While the </w:t>
      </w:r>
      <w:r w:rsidR="00E63424" w:rsidRPr="005A3F47">
        <w:rPr>
          <w:noProof/>
        </w:rPr>
        <w:t>importance</w:t>
      </w:r>
      <w:r w:rsidRPr="005A3F47">
        <w:rPr>
          <w:noProof/>
        </w:rPr>
        <w:t xml:space="preserve"> of Pillar 2</w:t>
      </w:r>
      <w:r w:rsidR="0060058D" w:rsidRPr="005A3F47">
        <w:rPr>
          <w:noProof/>
        </w:rPr>
        <w:t xml:space="preserve"> </w:t>
      </w:r>
      <w:r w:rsidR="00E63424" w:rsidRPr="005A3F47">
        <w:rPr>
          <w:noProof/>
        </w:rPr>
        <w:t>is indisputable</w:t>
      </w:r>
      <w:r w:rsidR="0051386A" w:rsidRPr="005A3F47">
        <w:rPr>
          <w:noProof/>
        </w:rPr>
        <w:t xml:space="preserve">, </w:t>
      </w:r>
      <w:r w:rsidR="00B655E0" w:rsidRPr="005A3F47">
        <w:rPr>
          <w:noProof/>
        </w:rPr>
        <w:t>it has</w:t>
      </w:r>
      <w:r w:rsidR="005A09A5" w:rsidRPr="005A3F47">
        <w:rPr>
          <w:noProof/>
        </w:rPr>
        <w:t xml:space="preserve"> </w:t>
      </w:r>
      <w:r w:rsidR="00B93AFC" w:rsidRPr="005A3F47">
        <w:rPr>
          <w:noProof/>
        </w:rPr>
        <w:t xml:space="preserve">inevitably increased the </w:t>
      </w:r>
      <w:r w:rsidR="003939F3" w:rsidRPr="005A3F47">
        <w:rPr>
          <w:noProof/>
        </w:rPr>
        <w:t xml:space="preserve">density </w:t>
      </w:r>
      <w:r w:rsidR="007A737A" w:rsidRPr="005A3F47">
        <w:rPr>
          <w:noProof/>
        </w:rPr>
        <w:t>of the tax architecture</w:t>
      </w:r>
      <w:r w:rsidR="00C13B2F" w:rsidRPr="005A3F47">
        <w:rPr>
          <w:noProof/>
        </w:rPr>
        <w:t>.</w:t>
      </w:r>
      <w:r w:rsidR="00955342" w:rsidRPr="005A3F47">
        <w:rPr>
          <w:noProof/>
        </w:rPr>
        <w:t xml:space="preserve"> </w:t>
      </w:r>
      <w:r w:rsidR="009506A9" w:rsidRPr="005A3F47">
        <w:rPr>
          <w:noProof/>
        </w:rPr>
        <w:t>Therefore, it is necessary</w:t>
      </w:r>
      <w:r w:rsidR="00955342" w:rsidRPr="005A3F47">
        <w:rPr>
          <w:noProof/>
        </w:rPr>
        <w:t xml:space="preserve"> to consider whether other pre-existing rules on tackling tax avoidance behaviour</w:t>
      </w:r>
      <w:r w:rsidR="009506A9" w:rsidRPr="005A3F47">
        <w:rPr>
          <w:noProof/>
        </w:rPr>
        <w:t>s</w:t>
      </w:r>
      <w:r w:rsidR="00955342" w:rsidRPr="005A3F47">
        <w:rPr>
          <w:noProof/>
        </w:rPr>
        <w:t xml:space="preserve"> remain relevant, or whether their objectives are effectively achieved by Pillar 2. </w:t>
      </w:r>
      <w:r w:rsidR="008D197E" w:rsidRPr="005A3F47">
        <w:rPr>
          <w:noProof/>
        </w:rPr>
        <w:t xml:space="preserve">For instance, </w:t>
      </w:r>
      <w:r w:rsidR="008B5F60" w:rsidRPr="005A3F47">
        <w:rPr>
          <w:noProof/>
        </w:rPr>
        <w:t xml:space="preserve">in the Call for Evidence, </w:t>
      </w:r>
      <w:r w:rsidR="00E9409F" w:rsidRPr="005A3F47">
        <w:rPr>
          <w:noProof/>
        </w:rPr>
        <w:t xml:space="preserve">approximately </w:t>
      </w:r>
      <w:r w:rsidR="008B5F60" w:rsidRPr="005A3F47">
        <w:rPr>
          <w:noProof/>
        </w:rPr>
        <w:t>68% of the respondents found that</w:t>
      </w:r>
      <w:r w:rsidR="00B6366C" w:rsidRPr="005A3F47" w:rsidDel="0064497A">
        <w:rPr>
          <w:noProof/>
        </w:rPr>
        <w:t xml:space="preserve"> Pillar 2 and </w:t>
      </w:r>
      <w:r w:rsidR="00BF7292" w:rsidRPr="005A3F47">
        <w:rPr>
          <w:noProof/>
        </w:rPr>
        <w:t>the C</w:t>
      </w:r>
      <w:r w:rsidR="00893DDC" w:rsidRPr="005A3F47">
        <w:rPr>
          <w:noProof/>
        </w:rPr>
        <w:t xml:space="preserve">ontrolled </w:t>
      </w:r>
      <w:r w:rsidR="00BF7292" w:rsidRPr="005A3F47">
        <w:rPr>
          <w:noProof/>
        </w:rPr>
        <w:t>F</w:t>
      </w:r>
      <w:r w:rsidR="00893DDC" w:rsidRPr="005A3F47">
        <w:rPr>
          <w:noProof/>
        </w:rPr>
        <w:t xml:space="preserve">oreign </w:t>
      </w:r>
      <w:r w:rsidR="00BF7292" w:rsidRPr="005A3F47">
        <w:rPr>
          <w:noProof/>
        </w:rPr>
        <w:t>C</w:t>
      </w:r>
      <w:r w:rsidR="00893DDC" w:rsidRPr="005A3F47">
        <w:rPr>
          <w:noProof/>
        </w:rPr>
        <w:t>ompany (CFC)</w:t>
      </w:r>
      <w:r w:rsidR="00BF7292" w:rsidRPr="005A3F47">
        <w:rPr>
          <w:noProof/>
        </w:rPr>
        <w:t xml:space="preserve"> rules in </w:t>
      </w:r>
      <w:r w:rsidR="00B6366C" w:rsidRPr="005A3F47" w:rsidDel="0064497A">
        <w:rPr>
          <w:noProof/>
        </w:rPr>
        <w:t xml:space="preserve">ATAD pursue, to a certain extent, similar objectives in ensuring that multinational groups pay a fair level of tax. Although the rules differ in mechanism and scope, this dual effort may cause some degree of overlap </w:t>
      </w:r>
      <w:r w:rsidR="00242F67" w:rsidRPr="005A3F47">
        <w:rPr>
          <w:noProof/>
        </w:rPr>
        <w:t>(</w:t>
      </w:r>
      <w:r w:rsidR="00307290" w:rsidRPr="005A3F47">
        <w:rPr>
          <w:noProof/>
        </w:rPr>
        <w:t>Box 2</w:t>
      </w:r>
      <w:r w:rsidR="00D8347D" w:rsidRPr="005A3F47">
        <w:rPr>
          <w:noProof/>
        </w:rPr>
        <w:fldChar w:fldCharType="begin"/>
      </w:r>
      <w:r w:rsidR="00D8347D" w:rsidRPr="005A3F47">
        <w:rPr>
          <w:noProof/>
        </w:rPr>
        <w:instrText xml:space="preserve"> REF _Ref229146509 \h </w:instrText>
      </w:r>
      <w:r w:rsidR="005A3F47">
        <w:rPr>
          <w:noProof/>
        </w:rPr>
        <w:instrText xml:space="preserve"> \* MERGEFORMAT </w:instrText>
      </w:r>
      <w:r w:rsidR="00D8347D" w:rsidRPr="005A3F47">
        <w:rPr>
          <w:noProof/>
        </w:rPr>
      </w:r>
      <w:r w:rsidR="00D8347D" w:rsidRPr="005A3F47">
        <w:rPr>
          <w:noProof/>
        </w:rPr>
        <w:fldChar w:fldCharType="separate"/>
      </w:r>
      <w:r w:rsidR="00CF3380" w:rsidRPr="005A3F47">
        <w:rPr>
          <w:noProof/>
        </w:rPr>
        <w:t xml:space="preserve">Box </w:t>
      </w:r>
      <w:r w:rsidR="00CF3380">
        <w:rPr>
          <w:noProof/>
        </w:rPr>
        <w:t>2</w:t>
      </w:r>
      <w:r w:rsidR="00D8347D" w:rsidRPr="005A3F47">
        <w:rPr>
          <w:noProof/>
        </w:rPr>
        <w:fldChar w:fldCharType="end"/>
      </w:r>
      <w:r w:rsidR="00242F67" w:rsidRPr="005A3F47">
        <w:rPr>
          <w:noProof/>
        </w:rPr>
        <w:t>)</w:t>
      </w:r>
      <w:r w:rsidR="00B6366C" w:rsidRPr="005A3F47" w:rsidDel="0064497A">
        <w:rPr>
          <w:noProof/>
        </w:rPr>
        <w:t>. This</w:t>
      </w:r>
      <w:r w:rsidR="00FE1EB3" w:rsidRPr="005A3F47">
        <w:rPr>
          <w:noProof/>
        </w:rPr>
        <w:t xml:space="preserve"> issue was</w:t>
      </w:r>
      <w:r w:rsidR="005F787C" w:rsidRPr="005A3F47">
        <w:rPr>
          <w:noProof/>
        </w:rPr>
        <w:t xml:space="preserve"> also</w:t>
      </w:r>
      <w:r w:rsidR="00FE1EB3" w:rsidRPr="005A3F47">
        <w:rPr>
          <w:noProof/>
        </w:rPr>
        <w:t xml:space="preserve"> emphasised in the </w:t>
      </w:r>
      <w:r w:rsidR="00B6366C" w:rsidRPr="005A3F47" w:rsidDel="0064497A">
        <w:rPr>
          <w:noProof/>
        </w:rPr>
        <w:t xml:space="preserve">ATAD evaluation, </w:t>
      </w:r>
      <w:r w:rsidR="005F787C" w:rsidRPr="005A3F47">
        <w:rPr>
          <w:noProof/>
        </w:rPr>
        <w:t>as</w:t>
      </w:r>
      <w:r w:rsidR="00B6366C" w:rsidRPr="005A3F47" w:rsidDel="0064497A">
        <w:rPr>
          <w:rFonts w:cs="Arial"/>
          <w:noProof/>
          <w:lang w:eastAsia="da-DK"/>
        </w:rPr>
        <w:t xml:space="preserve"> businesses often regard the </w:t>
      </w:r>
      <w:r w:rsidR="00E922B6" w:rsidRPr="005A3F47">
        <w:rPr>
          <w:rFonts w:cs="Arial"/>
          <w:noProof/>
          <w:lang w:eastAsia="da-DK"/>
        </w:rPr>
        <w:t>CFC</w:t>
      </w:r>
      <w:r w:rsidR="00FE1EB3" w:rsidRPr="005A3F47" w:rsidDel="000839FF">
        <w:rPr>
          <w:rFonts w:cs="Arial"/>
          <w:noProof/>
          <w:lang w:eastAsia="da-DK"/>
        </w:rPr>
        <w:t xml:space="preserve"> </w:t>
      </w:r>
      <w:r w:rsidR="00B6366C" w:rsidRPr="005A3F47" w:rsidDel="0064497A">
        <w:rPr>
          <w:rFonts w:cs="Arial"/>
          <w:noProof/>
          <w:lang w:eastAsia="da-DK"/>
        </w:rPr>
        <w:t xml:space="preserve">rules as </w:t>
      </w:r>
      <w:r w:rsidR="00FE1EB3" w:rsidRPr="005A3F47" w:rsidDel="0064497A">
        <w:rPr>
          <w:rFonts w:cs="Arial"/>
          <w:noProof/>
          <w:lang w:eastAsia="da-DK"/>
        </w:rPr>
        <w:t>b</w:t>
      </w:r>
      <w:r w:rsidR="00FE1EB3" w:rsidRPr="005A3F47">
        <w:rPr>
          <w:rFonts w:cs="Arial"/>
          <w:noProof/>
          <w:lang w:eastAsia="da-DK"/>
        </w:rPr>
        <w:t>eing</w:t>
      </w:r>
      <w:r w:rsidR="00FE1EB3" w:rsidRPr="005A3F47" w:rsidDel="0064497A">
        <w:rPr>
          <w:rFonts w:cs="Arial"/>
          <w:noProof/>
          <w:lang w:eastAsia="da-DK"/>
        </w:rPr>
        <w:t xml:space="preserve"> </w:t>
      </w:r>
      <w:r w:rsidR="00B6366C" w:rsidRPr="005A3F47" w:rsidDel="0064497A">
        <w:rPr>
          <w:rFonts w:cs="Arial"/>
          <w:noProof/>
          <w:lang w:eastAsia="da-DK"/>
        </w:rPr>
        <w:t xml:space="preserve">obsolete </w:t>
      </w:r>
      <w:r w:rsidR="00D8347D" w:rsidRPr="005A3F47">
        <w:rPr>
          <w:rFonts w:cs="Arial"/>
          <w:noProof/>
          <w:lang w:eastAsia="da-DK"/>
        </w:rPr>
        <w:t>for companies in scope</w:t>
      </w:r>
      <w:r w:rsidR="00B6366C" w:rsidRPr="005A3F47" w:rsidDel="0064497A">
        <w:rPr>
          <w:rFonts w:cs="Arial"/>
          <w:noProof/>
          <w:lang w:eastAsia="da-DK"/>
        </w:rPr>
        <w:t xml:space="preserve"> of Pillar 2.</w:t>
      </w:r>
      <w:r w:rsidR="00B6366C" w:rsidRPr="005A3F47" w:rsidDel="0064497A">
        <w:rPr>
          <w:rStyle w:val="FootnoteReference"/>
          <w:rFonts w:cs="Arial"/>
          <w:noProof/>
          <w:lang w:eastAsia="da-DK"/>
        </w:rPr>
        <w:footnoteReference w:id="21"/>
      </w:r>
    </w:p>
    <w:p w14:paraId="73D3E84C" w14:textId="3BFC5EAB" w:rsidR="001578FC" w:rsidRPr="005A3F47" w:rsidRDefault="001578FC" w:rsidP="00302233">
      <w:pPr>
        <w:pStyle w:val="Caption"/>
        <w:keepNext/>
        <w:rPr>
          <w:noProof/>
        </w:rPr>
      </w:pPr>
      <w:bookmarkStart w:id="22" w:name="_Ref229146509"/>
      <w:r w:rsidRPr="005A3F47">
        <w:rPr>
          <w:noProof/>
          <w:color w:val="auto"/>
        </w:rPr>
        <w:t xml:space="preserve">Box </w:t>
      </w:r>
      <w:r w:rsidRPr="005A3F47">
        <w:rPr>
          <w:noProof/>
          <w:color w:val="auto"/>
        </w:rPr>
        <w:fldChar w:fldCharType="begin"/>
      </w:r>
      <w:r w:rsidRPr="005A3F47">
        <w:rPr>
          <w:noProof/>
          <w:color w:val="auto"/>
        </w:rPr>
        <w:instrText xml:space="preserve"> SEQ Box \* ARABIC </w:instrText>
      </w:r>
      <w:r w:rsidRPr="005A3F47">
        <w:rPr>
          <w:noProof/>
          <w:color w:val="auto"/>
        </w:rPr>
        <w:fldChar w:fldCharType="separate"/>
      </w:r>
      <w:r w:rsidR="00CF3380">
        <w:rPr>
          <w:noProof/>
          <w:color w:val="auto"/>
        </w:rPr>
        <w:t>2</w:t>
      </w:r>
      <w:r w:rsidRPr="005A3F47">
        <w:rPr>
          <w:noProof/>
          <w:color w:val="auto"/>
        </w:rPr>
        <w:fldChar w:fldCharType="end"/>
      </w:r>
      <w:bookmarkEnd w:id="22"/>
      <w:r w:rsidRPr="005A3F47">
        <w:rPr>
          <w:noProof/>
          <w:color w:val="auto"/>
        </w:rPr>
        <w:t>: Taxation of low-taxed</w:t>
      </w:r>
      <w:r w:rsidR="00534C6E" w:rsidRPr="005A3F47">
        <w:rPr>
          <w:noProof/>
          <w:color w:val="auto"/>
        </w:rPr>
        <w:t xml:space="preserve"> foreign</w:t>
      </w:r>
      <w:r w:rsidRPr="005A3F47">
        <w:rPr>
          <w:noProof/>
          <w:color w:val="auto"/>
        </w:rPr>
        <w:t xml:space="preserve"> entities</w:t>
      </w:r>
      <w:r w:rsidR="00403E78" w:rsidRPr="005A3F47">
        <w:rPr>
          <w:noProof/>
          <w:color w:val="auto"/>
        </w:rPr>
        <w:t xml:space="preserve"> </w:t>
      </w:r>
    </w:p>
    <w:tbl>
      <w:tblPr>
        <w:tblStyle w:val="TableGrid"/>
        <w:tblW w:w="0" w:type="auto"/>
        <w:tblLook w:val="04A0" w:firstRow="1" w:lastRow="0" w:firstColumn="1" w:lastColumn="0" w:noHBand="0" w:noVBand="1"/>
      </w:tblPr>
      <w:tblGrid>
        <w:gridCol w:w="9825"/>
      </w:tblGrid>
      <w:tr w:rsidR="00727CB1" w:rsidRPr="005A3F47" w14:paraId="44530E78" w14:textId="77777777" w:rsidTr="00964CF6">
        <w:tc>
          <w:tcPr>
            <w:tcW w:w="9828" w:type="dxa"/>
          </w:tcPr>
          <w:p w14:paraId="7F503D78" w14:textId="0C8CBDF1" w:rsidR="00964CF6" w:rsidRPr="005A3F47" w:rsidRDefault="00A1467D" w:rsidP="00302233">
            <w:pPr>
              <w:spacing w:before="120" w:after="120" w:line="259" w:lineRule="auto"/>
              <w:ind w:left="284" w:right="284"/>
              <w:rPr>
                <w:noProof/>
              </w:rPr>
            </w:pPr>
            <w:r w:rsidRPr="005A3F47">
              <w:rPr>
                <w:noProof/>
              </w:rPr>
              <w:t>CFC</w:t>
            </w:r>
            <w:r w:rsidR="00851337" w:rsidRPr="005A3F47">
              <w:rPr>
                <w:noProof/>
              </w:rPr>
              <w:t xml:space="preserve"> rules</w:t>
            </w:r>
            <w:r w:rsidR="00C50747" w:rsidRPr="005A3F47">
              <w:rPr>
                <w:noProof/>
              </w:rPr>
              <w:t xml:space="preserve"> are designed to prevent companies from using foreign subsidiaries in low-tax jurisdictions to avoid paying taxes in their home </w:t>
            </w:r>
            <w:r w:rsidR="00614B75" w:rsidRPr="005A3F47">
              <w:rPr>
                <w:noProof/>
              </w:rPr>
              <w:t>country</w:t>
            </w:r>
            <w:r w:rsidR="00C50747" w:rsidRPr="005A3F47">
              <w:rPr>
                <w:noProof/>
              </w:rPr>
              <w:t>.</w:t>
            </w:r>
            <w:r w:rsidR="00D814EA" w:rsidRPr="005A3F47">
              <w:rPr>
                <w:noProof/>
              </w:rPr>
              <w:t xml:space="preserve"> Under CFC rules, </w:t>
            </w:r>
            <w:r w:rsidR="00B97152" w:rsidRPr="005A3F47">
              <w:rPr>
                <w:noProof/>
              </w:rPr>
              <w:t>if the</w:t>
            </w:r>
            <w:r w:rsidR="00DB04A2" w:rsidRPr="005A3F47">
              <w:rPr>
                <w:noProof/>
              </w:rPr>
              <w:t xml:space="preserve"> undistributed</w:t>
            </w:r>
            <w:r w:rsidR="00F94B43" w:rsidRPr="005A3F47">
              <w:rPr>
                <w:noProof/>
              </w:rPr>
              <w:t xml:space="preserve"> </w:t>
            </w:r>
            <w:r w:rsidR="00B96347" w:rsidRPr="005A3F47">
              <w:rPr>
                <w:noProof/>
              </w:rPr>
              <w:t xml:space="preserve">profits </w:t>
            </w:r>
            <w:r w:rsidR="00B97152" w:rsidRPr="005A3F47">
              <w:rPr>
                <w:noProof/>
              </w:rPr>
              <w:t>of</w:t>
            </w:r>
            <w:r w:rsidR="008130F2" w:rsidRPr="005A3F47">
              <w:rPr>
                <w:noProof/>
              </w:rPr>
              <w:t xml:space="preserve"> a foreign </w:t>
            </w:r>
            <w:r w:rsidR="00B97152" w:rsidRPr="005A3F47">
              <w:rPr>
                <w:noProof/>
              </w:rPr>
              <w:t>subsidiary</w:t>
            </w:r>
            <w:r w:rsidR="00B96347" w:rsidRPr="005A3F47">
              <w:rPr>
                <w:noProof/>
              </w:rPr>
              <w:t xml:space="preserve"> are </w:t>
            </w:r>
            <w:r w:rsidR="00B97152" w:rsidRPr="005A3F47">
              <w:rPr>
                <w:noProof/>
              </w:rPr>
              <w:t xml:space="preserve">low-taxed (usually </w:t>
            </w:r>
            <w:r w:rsidR="00BD2E92" w:rsidRPr="005A3F47">
              <w:rPr>
                <w:noProof/>
              </w:rPr>
              <w:t xml:space="preserve">less than half of the applicable national statutory rate), </w:t>
            </w:r>
            <w:r w:rsidR="008130F2" w:rsidRPr="005A3F47">
              <w:rPr>
                <w:noProof/>
              </w:rPr>
              <w:t xml:space="preserve">the </w:t>
            </w:r>
            <w:r w:rsidR="00BD2E92" w:rsidRPr="005A3F47">
              <w:rPr>
                <w:noProof/>
              </w:rPr>
              <w:t xml:space="preserve">EU </w:t>
            </w:r>
            <w:r w:rsidR="008130F2" w:rsidRPr="005A3F47">
              <w:rPr>
                <w:noProof/>
              </w:rPr>
              <w:t>par</w:t>
            </w:r>
            <w:r w:rsidR="00A31E44" w:rsidRPr="005A3F47">
              <w:rPr>
                <w:noProof/>
              </w:rPr>
              <w:t>ent company</w:t>
            </w:r>
            <w:r w:rsidR="00B83036" w:rsidRPr="005A3F47">
              <w:rPr>
                <w:noProof/>
              </w:rPr>
              <w:t xml:space="preserve"> </w:t>
            </w:r>
            <w:r w:rsidR="00BD2E92" w:rsidRPr="005A3F47">
              <w:rPr>
                <w:noProof/>
              </w:rPr>
              <w:t xml:space="preserve">of </w:t>
            </w:r>
            <w:r w:rsidR="00447F8B" w:rsidRPr="005A3F47">
              <w:rPr>
                <w:noProof/>
              </w:rPr>
              <w:t xml:space="preserve">the </w:t>
            </w:r>
            <w:r w:rsidR="00BD2E92" w:rsidRPr="005A3F47">
              <w:rPr>
                <w:noProof/>
              </w:rPr>
              <w:t>subsidiary will be additionally</w:t>
            </w:r>
            <w:r w:rsidR="00B83036" w:rsidRPr="005A3F47">
              <w:rPr>
                <w:noProof/>
              </w:rPr>
              <w:t xml:space="preserve"> taxed </w:t>
            </w:r>
            <w:r w:rsidR="00BD2E92" w:rsidRPr="005A3F47">
              <w:rPr>
                <w:noProof/>
              </w:rPr>
              <w:t xml:space="preserve">on this income </w:t>
            </w:r>
            <w:r w:rsidR="00B83036" w:rsidRPr="005A3F47">
              <w:rPr>
                <w:noProof/>
              </w:rPr>
              <w:t xml:space="preserve">at an appropriate level </w:t>
            </w:r>
            <w:r w:rsidR="00470605" w:rsidRPr="005A3F47">
              <w:rPr>
                <w:noProof/>
              </w:rPr>
              <w:t>(usually</w:t>
            </w:r>
            <w:r w:rsidR="00B83036" w:rsidRPr="005A3F47">
              <w:rPr>
                <w:noProof/>
              </w:rPr>
              <w:t xml:space="preserve"> the </w:t>
            </w:r>
            <w:r w:rsidR="00470605" w:rsidRPr="005A3F47">
              <w:rPr>
                <w:noProof/>
              </w:rPr>
              <w:t xml:space="preserve">national </w:t>
            </w:r>
            <w:r w:rsidR="0003088E" w:rsidRPr="005A3F47">
              <w:rPr>
                <w:noProof/>
              </w:rPr>
              <w:t xml:space="preserve">statutory </w:t>
            </w:r>
            <w:r w:rsidR="00470605" w:rsidRPr="005A3F47">
              <w:rPr>
                <w:noProof/>
              </w:rPr>
              <w:t>rate</w:t>
            </w:r>
            <w:r w:rsidR="00B83036" w:rsidRPr="005A3F47">
              <w:rPr>
                <w:noProof/>
              </w:rPr>
              <w:t xml:space="preserve"> of </w:t>
            </w:r>
            <w:r w:rsidR="00B10A2A" w:rsidRPr="005A3F47">
              <w:rPr>
                <w:noProof/>
              </w:rPr>
              <w:t>its Member State</w:t>
            </w:r>
            <w:r w:rsidR="00470605" w:rsidRPr="005A3F47">
              <w:rPr>
                <w:noProof/>
              </w:rPr>
              <w:t>)</w:t>
            </w:r>
            <w:r w:rsidR="00B83036" w:rsidRPr="005A3F47">
              <w:rPr>
                <w:noProof/>
              </w:rPr>
              <w:t>.</w:t>
            </w:r>
            <w:r w:rsidR="00F23D2D" w:rsidRPr="005A3F47">
              <w:rPr>
                <w:noProof/>
              </w:rPr>
              <w:t xml:space="preserve"> </w:t>
            </w:r>
            <w:r w:rsidR="00DC4D80" w:rsidRPr="005A3F47">
              <w:rPr>
                <w:noProof/>
              </w:rPr>
              <w:t xml:space="preserve">Undistributed profits which are taxed under </w:t>
            </w:r>
            <w:r w:rsidR="00F63881" w:rsidRPr="005A3F47">
              <w:rPr>
                <w:noProof/>
              </w:rPr>
              <w:t xml:space="preserve">CFC rules often </w:t>
            </w:r>
            <w:r w:rsidR="00DC4D80" w:rsidRPr="005A3F47">
              <w:rPr>
                <w:noProof/>
              </w:rPr>
              <w:t>relate to</w:t>
            </w:r>
            <w:r w:rsidR="00F63881" w:rsidRPr="005A3F47">
              <w:rPr>
                <w:noProof/>
              </w:rPr>
              <w:t xml:space="preserve"> passive income. </w:t>
            </w:r>
            <w:r w:rsidR="00DA34B3" w:rsidRPr="005A3F47">
              <w:rPr>
                <w:noProof/>
              </w:rPr>
              <w:t>Pillar 2 rules ensure tha</w:t>
            </w:r>
            <w:r w:rsidR="005F2CB5" w:rsidRPr="005A3F47">
              <w:rPr>
                <w:noProof/>
              </w:rPr>
              <w:t xml:space="preserve">t multinational </w:t>
            </w:r>
            <w:r w:rsidR="14DBC9CF" w:rsidRPr="005A3F47">
              <w:rPr>
                <w:noProof/>
              </w:rPr>
              <w:t>enterprises (MNEs)</w:t>
            </w:r>
            <w:r w:rsidR="00447F8B" w:rsidRPr="005A3F47">
              <w:rPr>
                <w:noProof/>
              </w:rPr>
              <w:t xml:space="preserve"> in scope </w:t>
            </w:r>
            <w:r w:rsidR="005F2CB5" w:rsidRPr="005A3F47">
              <w:rPr>
                <w:noProof/>
              </w:rPr>
              <w:t>pay</w:t>
            </w:r>
            <w:r w:rsidR="000D4976" w:rsidRPr="005A3F47">
              <w:rPr>
                <w:noProof/>
              </w:rPr>
              <w:t xml:space="preserve"> a</w:t>
            </w:r>
            <w:r w:rsidR="003F0F29" w:rsidRPr="005A3F47">
              <w:rPr>
                <w:noProof/>
              </w:rPr>
              <w:t xml:space="preserve"> minimum level </w:t>
            </w:r>
            <w:r w:rsidR="00B6572A" w:rsidRPr="005A3F47">
              <w:rPr>
                <w:noProof/>
              </w:rPr>
              <w:t>of tax in each juri</w:t>
            </w:r>
            <w:r w:rsidR="006B67B0" w:rsidRPr="005A3F47">
              <w:rPr>
                <w:noProof/>
              </w:rPr>
              <w:t>sdiction where they operate</w:t>
            </w:r>
            <w:r w:rsidR="31A58D8E" w:rsidRPr="005A3F47">
              <w:rPr>
                <w:noProof/>
                <w:color w:val="000000" w:themeColor="text1"/>
              </w:rPr>
              <w:t xml:space="preserve"> at an effective rate of 15% on a broader tax base comprising passive and active income. </w:t>
            </w:r>
            <w:r w:rsidR="3A6CE623" w:rsidRPr="005A3F47">
              <w:rPr>
                <w:noProof/>
                <w:color w:val="000000" w:themeColor="text1"/>
              </w:rPr>
              <w:t xml:space="preserve">This tax can apply at the level of the shareholder under the income inclusion rule or at the level of the CFC under the qualified domestic top-up tax. </w:t>
            </w:r>
            <w:r w:rsidR="31A58D8E" w:rsidRPr="005A3F47">
              <w:rPr>
                <w:noProof/>
                <w:color w:val="000000" w:themeColor="text1"/>
              </w:rPr>
              <w:t xml:space="preserve">The parallel application of CFC rules and the Pillar </w:t>
            </w:r>
            <w:r w:rsidR="00C97E66" w:rsidRPr="005A3F47">
              <w:rPr>
                <w:noProof/>
                <w:color w:val="000000" w:themeColor="text1"/>
              </w:rPr>
              <w:t>2</w:t>
            </w:r>
            <w:r w:rsidR="31A58D8E" w:rsidRPr="005A3F47">
              <w:rPr>
                <w:noProof/>
                <w:color w:val="000000" w:themeColor="text1"/>
              </w:rPr>
              <w:t xml:space="preserve"> framework may result not only in economic double taxation but also duplicative and complex compliance obligations for MNE groups, which are required to perform overlapping calculations and reporting under both sets of rules.</w:t>
            </w:r>
            <w:r w:rsidR="31A58D8E" w:rsidRPr="005A3F47">
              <w:rPr>
                <w:noProof/>
              </w:rPr>
              <w:t xml:space="preserve"> </w:t>
            </w:r>
          </w:p>
        </w:tc>
      </w:tr>
    </w:tbl>
    <w:p w14:paraId="3B1B358C" w14:textId="77777777" w:rsidR="00F77DA8" w:rsidRPr="005A3F47" w:rsidRDefault="00F77DA8" w:rsidP="00654118">
      <w:pPr>
        <w:spacing w:after="0" w:line="259" w:lineRule="auto"/>
        <w:rPr>
          <w:noProof/>
        </w:rPr>
      </w:pPr>
    </w:p>
    <w:p w14:paraId="1AEB8B6B" w14:textId="061A2E90" w:rsidR="00D014C1" w:rsidRPr="005A3F47" w:rsidRDefault="00A44561" w:rsidP="00654118">
      <w:pPr>
        <w:spacing w:after="0" w:line="259" w:lineRule="auto"/>
        <w:rPr>
          <w:noProof/>
        </w:rPr>
      </w:pPr>
      <w:r w:rsidRPr="005A3F47">
        <w:rPr>
          <w:noProof/>
        </w:rPr>
        <w:t xml:space="preserve">In the Call for Evidence, it has also been pointed </w:t>
      </w:r>
      <w:r w:rsidR="00D73260" w:rsidRPr="005A3F47">
        <w:rPr>
          <w:noProof/>
        </w:rPr>
        <w:t xml:space="preserve">out </w:t>
      </w:r>
      <w:r w:rsidR="008441C6" w:rsidRPr="005A3F47">
        <w:rPr>
          <w:noProof/>
        </w:rPr>
        <w:t xml:space="preserve">by approximately 45% of the respondents </w:t>
      </w:r>
      <w:r w:rsidRPr="005A3F47">
        <w:rPr>
          <w:noProof/>
        </w:rPr>
        <w:t>that the CFC rules, and other rules in ATAD, such as the Interest Limitation Rule</w:t>
      </w:r>
      <w:r w:rsidR="00F127BC" w:rsidRPr="005A3F47">
        <w:rPr>
          <w:noProof/>
        </w:rPr>
        <w:t xml:space="preserve"> and the Hybrid Mismatch Rules</w:t>
      </w:r>
      <w:r w:rsidRPr="005A3F47">
        <w:rPr>
          <w:noProof/>
        </w:rPr>
        <w:t>, are insufficiently targeted</w:t>
      </w:r>
      <w:r w:rsidR="00E32B51" w:rsidRPr="005A3F47">
        <w:rPr>
          <w:noProof/>
        </w:rPr>
        <w:t xml:space="preserve"> </w:t>
      </w:r>
      <w:r w:rsidR="00571336" w:rsidRPr="005A3F47">
        <w:rPr>
          <w:noProof/>
        </w:rPr>
        <w:t xml:space="preserve">leading to </w:t>
      </w:r>
      <w:r w:rsidR="0006650E" w:rsidRPr="005A3F47">
        <w:rPr>
          <w:noProof/>
        </w:rPr>
        <w:t>heavy</w:t>
      </w:r>
      <w:r w:rsidR="00571336" w:rsidRPr="005A3F47">
        <w:rPr>
          <w:noProof/>
        </w:rPr>
        <w:t xml:space="preserve"> compliance burdens</w:t>
      </w:r>
      <w:r w:rsidR="00934BB8" w:rsidRPr="005A3F47">
        <w:rPr>
          <w:noProof/>
        </w:rPr>
        <w:t>, particularly for</w:t>
      </w:r>
      <w:r w:rsidR="00571336" w:rsidRPr="005A3F47">
        <w:rPr>
          <w:noProof/>
        </w:rPr>
        <w:t xml:space="preserve"> SMEs</w:t>
      </w:r>
      <w:r w:rsidR="00934BB8" w:rsidRPr="005A3F47">
        <w:rPr>
          <w:rStyle w:val="FootnoteReference"/>
          <w:noProof/>
        </w:rPr>
        <w:footnoteReference w:id="22"/>
      </w:r>
      <w:r w:rsidR="005D009E" w:rsidRPr="005A3F47">
        <w:rPr>
          <w:noProof/>
        </w:rPr>
        <w:t>.</w:t>
      </w:r>
      <w:r w:rsidR="00E3203B" w:rsidRPr="005A3F47">
        <w:rPr>
          <w:noProof/>
        </w:rPr>
        <w:t xml:space="preserve"> </w:t>
      </w:r>
      <w:r w:rsidR="009B2C1D" w:rsidRPr="005A3F47">
        <w:rPr>
          <w:noProof/>
        </w:rPr>
        <w:t xml:space="preserve">This burden </w:t>
      </w:r>
      <w:r w:rsidR="00442A89" w:rsidRPr="005A3F47">
        <w:rPr>
          <w:noProof/>
        </w:rPr>
        <w:t xml:space="preserve">related to </w:t>
      </w:r>
      <w:r w:rsidR="00B300CD" w:rsidRPr="005A3F47">
        <w:rPr>
          <w:noProof/>
        </w:rPr>
        <w:t xml:space="preserve">CFC rules and the Interest Limitation </w:t>
      </w:r>
      <w:r w:rsidR="00F72A6E" w:rsidRPr="005A3F47">
        <w:rPr>
          <w:noProof/>
        </w:rPr>
        <w:t>R</w:t>
      </w:r>
      <w:r w:rsidR="00B300CD" w:rsidRPr="005A3F47">
        <w:rPr>
          <w:noProof/>
        </w:rPr>
        <w:t xml:space="preserve">ule </w:t>
      </w:r>
      <w:r w:rsidR="00754BD6" w:rsidRPr="005A3F47">
        <w:rPr>
          <w:noProof/>
        </w:rPr>
        <w:t>can be</w:t>
      </w:r>
      <w:r w:rsidR="00B300CD" w:rsidRPr="005A3F47">
        <w:rPr>
          <w:noProof/>
        </w:rPr>
        <w:t xml:space="preserve"> considered disproportionate</w:t>
      </w:r>
      <w:r w:rsidR="004B6E36" w:rsidRPr="005A3F47">
        <w:rPr>
          <w:noProof/>
        </w:rPr>
        <w:t xml:space="preserve"> for SMEs as these businesses</w:t>
      </w:r>
      <w:r w:rsidR="009C4BD1" w:rsidRPr="005A3F47">
        <w:rPr>
          <w:noProof/>
        </w:rPr>
        <w:t xml:space="preserve"> face</w:t>
      </w:r>
      <w:r w:rsidR="00F54500" w:rsidRPr="005A3F47">
        <w:rPr>
          <w:noProof/>
        </w:rPr>
        <w:t xml:space="preserve"> </w:t>
      </w:r>
      <w:r w:rsidR="00BA00C1" w:rsidRPr="005A3F47">
        <w:rPr>
          <w:noProof/>
        </w:rPr>
        <w:t>high</w:t>
      </w:r>
      <w:r w:rsidR="00F54500" w:rsidRPr="005A3F47">
        <w:rPr>
          <w:noProof/>
        </w:rPr>
        <w:t xml:space="preserve"> </w:t>
      </w:r>
      <w:r w:rsidR="00F54500" w:rsidRPr="005A3F47">
        <w:rPr>
          <w:rFonts w:cs="Arial"/>
          <w:noProof/>
          <w:lang w:eastAsia="da-DK"/>
        </w:rPr>
        <w:t>administrative costs associated with applying the rules</w:t>
      </w:r>
      <w:r w:rsidR="004A7270" w:rsidRPr="005A3F47">
        <w:rPr>
          <w:rFonts w:cs="Arial"/>
          <w:noProof/>
          <w:lang w:eastAsia="da-DK"/>
        </w:rPr>
        <w:t xml:space="preserve">, although </w:t>
      </w:r>
      <w:r w:rsidR="00884111" w:rsidRPr="005A3F47">
        <w:rPr>
          <w:rFonts w:cs="Arial"/>
          <w:noProof/>
          <w:lang w:eastAsia="da-DK"/>
        </w:rPr>
        <w:t>they</w:t>
      </w:r>
      <w:r w:rsidR="004B6E36" w:rsidRPr="005A3F47">
        <w:rPr>
          <w:noProof/>
        </w:rPr>
        <w:t xml:space="preserve"> are less likely to engage in aggressive </w:t>
      </w:r>
      <w:r w:rsidR="006A19E1" w:rsidRPr="005A3F47">
        <w:rPr>
          <w:noProof/>
        </w:rPr>
        <w:t xml:space="preserve">tax </w:t>
      </w:r>
      <w:r w:rsidR="004B6E36" w:rsidRPr="005A3F47">
        <w:rPr>
          <w:noProof/>
        </w:rPr>
        <w:t>planning practices</w:t>
      </w:r>
      <w:r w:rsidR="004B6E36" w:rsidRPr="005A3F47">
        <w:rPr>
          <w:rFonts w:cs="Arial"/>
          <w:noProof/>
          <w:lang w:eastAsia="da-DK"/>
        </w:rPr>
        <w:t>.</w:t>
      </w:r>
      <w:r w:rsidR="004B6E36" w:rsidRPr="005A3F47">
        <w:rPr>
          <w:rStyle w:val="FootnoteReference"/>
          <w:rFonts w:cs="Arial"/>
          <w:noProof/>
          <w:lang w:eastAsia="da-DK"/>
        </w:rPr>
        <w:footnoteReference w:id="23"/>
      </w:r>
      <w:r w:rsidR="004B6E36" w:rsidRPr="005A3F47">
        <w:rPr>
          <w:rFonts w:cs="Arial"/>
          <w:noProof/>
          <w:lang w:eastAsia="da-DK"/>
        </w:rPr>
        <w:t xml:space="preserve"> For</w:t>
      </w:r>
      <w:r w:rsidR="0006032B" w:rsidRPr="005A3F47">
        <w:rPr>
          <w:rFonts w:cs="Arial"/>
          <w:noProof/>
          <w:lang w:eastAsia="da-DK"/>
        </w:rPr>
        <w:t xml:space="preserve"> the Hybrid Mismatch Rules</w:t>
      </w:r>
      <w:r w:rsidR="00766C51" w:rsidRPr="005A3F47">
        <w:rPr>
          <w:rFonts w:cs="Arial"/>
          <w:noProof/>
          <w:lang w:eastAsia="da-DK"/>
        </w:rPr>
        <w:t>,</w:t>
      </w:r>
      <w:r w:rsidR="00942846" w:rsidRPr="005A3F47">
        <w:rPr>
          <w:rFonts w:cs="Arial"/>
          <w:noProof/>
          <w:lang w:eastAsia="da-DK"/>
        </w:rPr>
        <w:t xml:space="preserve"> and particularly</w:t>
      </w:r>
      <w:r w:rsidR="0003316B" w:rsidRPr="005A3F47">
        <w:rPr>
          <w:rFonts w:cs="Arial"/>
          <w:noProof/>
          <w:lang w:eastAsia="da-DK"/>
        </w:rPr>
        <w:t xml:space="preserve"> the</w:t>
      </w:r>
      <w:r w:rsidR="00F625C1" w:rsidRPr="005A3F47">
        <w:rPr>
          <w:rFonts w:cs="Arial"/>
          <w:noProof/>
          <w:lang w:eastAsia="da-DK"/>
        </w:rPr>
        <w:t xml:space="preserve"> rules on imported mismatches,</w:t>
      </w:r>
      <w:r w:rsidR="00497585" w:rsidRPr="005A3F47">
        <w:rPr>
          <w:rFonts w:cs="Arial"/>
          <w:noProof/>
          <w:lang w:eastAsia="da-DK"/>
        </w:rPr>
        <w:t xml:space="preserve"> i</w:t>
      </w:r>
      <w:r w:rsidR="00766C51" w:rsidRPr="005A3F47">
        <w:rPr>
          <w:rFonts w:cs="Arial"/>
          <w:noProof/>
          <w:lang w:eastAsia="da-DK"/>
        </w:rPr>
        <w:t>t was</w:t>
      </w:r>
      <w:r w:rsidR="00F625C1" w:rsidRPr="005A3F47">
        <w:rPr>
          <w:rFonts w:cs="Arial"/>
          <w:noProof/>
          <w:lang w:eastAsia="da-DK"/>
        </w:rPr>
        <w:t xml:space="preserve"> highlighted by</w:t>
      </w:r>
      <w:r w:rsidR="00F955F5" w:rsidRPr="005A3F47">
        <w:rPr>
          <w:rFonts w:cs="Arial"/>
          <w:noProof/>
          <w:lang w:eastAsia="da-DK"/>
        </w:rPr>
        <w:t xml:space="preserve"> approximately 43% of the respondents in the</w:t>
      </w:r>
      <w:r w:rsidR="005B5DE7" w:rsidRPr="005A3F47">
        <w:rPr>
          <w:rFonts w:cs="Arial"/>
          <w:noProof/>
          <w:lang w:eastAsia="da-DK"/>
        </w:rPr>
        <w:t xml:space="preserve"> Call for Evidence </w:t>
      </w:r>
      <w:r w:rsidR="00467E5A" w:rsidRPr="005A3F47">
        <w:rPr>
          <w:rFonts w:cs="Arial"/>
          <w:noProof/>
          <w:lang w:eastAsia="da-DK"/>
        </w:rPr>
        <w:t>that the rules are</w:t>
      </w:r>
      <w:r w:rsidR="005B5DE7" w:rsidRPr="005A3F47">
        <w:rPr>
          <w:rFonts w:cs="Arial"/>
          <w:noProof/>
          <w:lang w:eastAsia="da-DK"/>
        </w:rPr>
        <w:t xml:space="preserve"> overly complex</w:t>
      </w:r>
      <w:r w:rsidR="00CE5F7E" w:rsidRPr="005A3F47">
        <w:rPr>
          <w:rFonts w:cs="Arial"/>
          <w:noProof/>
          <w:lang w:eastAsia="da-DK"/>
        </w:rPr>
        <w:t>.</w:t>
      </w:r>
      <w:r w:rsidR="00CD3765" w:rsidRPr="005A3F47">
        <w:rPr>
          <w:rStyle w:val="FootnoteReference"/>
          <w:rFonts w:cs="Arial"/>
          <w:noProof/>
          <w:lang w:eastAsia="da-DK"/>
        </w:rPr>
        <w:footnoteReference w:id="24"/>
      </w:r>
      <w:r w:rsidR="00CE5F7E" w:rsidRPr="005A3F47">
        <w:rPr>
          <w:rFonts w:cs="Arial"/>
          <w:noProof/>
          <w:lang w:eastAsia="da-DK"/>
        </w:rPr>
        <w:t xml:space="preserve"> This was identified </w:t>
      </w:r>
      <w:r w:rsidR="00607D33" w:rsidRPr="005A3F47">
        <w:rPr>
          <w:rFonts w:cs="Arial"/>
          <w:noProof/>
          <w:lang w:eastAsia="da-DK"/>
        </w:rPr>
        <w:t xml:space="preserve">in the ATAD evaluation as </w:t>
      </w:r>
      <w:r w:rsidR="009C4320" w:rsidRPr="005A3F47">
        <w:rPr>
          <w:rFonts w:cs="Arial"/>
          <w:noProof/>
          <w:lang w:eastAsia="da-DK"/>
        </w:rPr>
        <w:t>a</w:t>
      </w:r>
      <w:r w:rsidR="00445E76" w:rsidRPr="005A3F47">
        <w:rPr>
          <w:rFonts w:cs="Arial"/>
          <w:noProof/>
          <w:lang w:eastAsia="da-DK"/>
        </w:rPr>
        <w:t xml:space="preserve"> cause</w:t>
      </w:r>
      <w:r w:rsidR="00DF7470" w:rsidRPr="005A3F47">
        <w:rPr>
          <w:rFonts w:cs="Arial"/>
          <w:noProof/>
          <w:lang w:eastAsia="da-DK"/>
        </w:rPr>
        <w:t xml:space="preserve"> of</w:t>
      </w:r>
      <w:r w:rsidR="00EC6C98" w:rsidRPr="005A3F47">
        <w:rPr>
          <w:rFonts w:cs="Arial"/>
          <w:noProof/>
          <w:lang w:eastAsia="da-DK"/>
        </w:rPr>
        <w:t xml:space="preserve"> </w:t>
      </w:r>
      <w:r w:rsidR="003A57FA" w:rsidRPr="005A3F47">
        <w:rPr>
          <w:rFonts w:cs="Arial"/>
          <w:noProof/>
          <w:lang w:eastAsia="da-DK"/>
        </w:rPr>
        <w:t xml:space="preserve">heavy </w:t>
      </w:r>
      <w:r w:rsidR="00EC6C98" w:rsidRPr="005A3F47">
        <w:rPr>
          <w:noProof/>
        </w:rPr>
        <w:t>administrative</w:t>
      </w:r>
      <w:r w:rsidR="00EC6C98" w:rsidRPr="005A3F47">
        <w:rPr>
          <w:rFonts w:cs="Arial"/>
          <w:noProof/>
          <w:lang w:eastAsia="da-DK"/>
        </w:rPr>
        <w:t xml:space="preserve"> </w:t>
      </w:r>
      <w:r w:rsidR="003A57FA" w:rsidRPr="005A3F47">
        <w:rPr>
          <w:rFonts w:cs="Arial"/>
          <w:noProof/>
          <w:lang w:eastAsia="da-DK"/>
        </w:rPr>
        <w:t>and</w:t>
      </w:r>
      <w:r w:rsidR="00EC6C98" w:rsidRPr="005A3F47">
        <w:rPr>
          <w:rFonts w:cs="Arial"/>
          <w:noProof/>
          <w:lang w:eastAsia="da-DK"/>
        </w:rPr>
        <w:t xml:space="preserve"> compliance </w:t>
      </w:r>
      <w:r w:rsidR="00EC6C98" w:rsidRPr="005A3F47">
        <w:rPr>
          <w:noProof/>
        </w:rPr>
        <w:t>burden</w:t>
      </w:r>
      <w:r w:rsidR="00EC6C98" w:rsidRPr="005A3F47">
        <w:rPr>
          <w:rFonts w:cs="Arial"/>
          <w:noProof/>
          <w:lang w:eastAsia="da-DK"/>
        </w:rPr>
        <w:t xml:space="preserve">s for </w:t>
      </w:r>
      <w:r w:rsidR="00EC6C98" w:rsidRPr="005A3F47">
        <w:rPr>
          <w:noProof/>
        </w:rPr>
        <w:t xml:space="preserve">both </w:t>
      </w:r>
      <w:r w:rsidR="00EC6C98" w:rsidRPr="005A3F47">
        <w:rPr>
          <w:rFonts w:cs="Arial"/>
          <w:noProof/>
          <w:lang w:eastAsia="da-DK"/>
        </w:rPr>
        <w:t>businesses</w:t>
      </w:r>
      <w:r w:rsidR="00EC6C98" w:rsidRPr="005A3F47">
        <w:rPr>
          <w:noProof/>
        </w:rPr>
        <w:t xml:space="preserve"> and tax authorities</w:t>
      </w:r>
      <w:r w:rsidR="00495DBC" w:rsidRPr="005A3F47">
        <w:rPr>
          <w:noProof/>
        </w:rPr>
        <w:t>.</w:t>
      </w:r>
      <w:r w:rsidR="00445E76" w:rsidRPr="005A3F47">
        <w:rPr>
          <w:rStyle w:val="FootnoteReference"/>
          <w:noProof/>
        </w:rPr>
        <w:footnoteReference w:id="25"/>
      </w:r>
      <w:r w:rsidR="001E6BDD" w:rsidRPr="005A3F47">
        <w:rPr>
          <w:noProof/>
        </w:rPr>
        <w:t xml:space="preserve"> </w:t>
      </w:r>
      <w:r w:rsidR="002A3EF6" w:rsidRPr="005A3F47">
        <w:rPr>
          <w:noProof/>
        </w:rPr>
        <w:t>Overall</w:t>
      </w:r>
      <w:r w:rsidR="008840A4" w:rsidRPr="005A3F47">
        <w:rPr>
          <w:noProof/>
        </w:rPr>
        <w:t>, it has been found that MNE</w:t>
      </w:r>
      <w:r w:rsidR="00AF149D" w:rsidRPr="005A3F47">
        <w:rPr>
          <w:noProof/>
        </w:rPr>
        <w:t xml:space="preserve">s’ </w:t>
      </w:r>
      <w:r w:rsidR="00690E01" w:rsidRPr="005A3F47">
        <w:rPr>
          <w:noProof/>
        </w:rPr>
        <w:t xml:space="preserve">compliance with ATAD rules </w:t>
      </w:r>
      <w:r w:rsidR="00F46581" w:rsidRPr="005A3F47">
        <w:rPr>
          <w:noProof/>
        </w:rPr>
        <w:t xml:space="preserve">may </w:t>
      </w:r>
      <w:r w:rsidR="00690E01" w:rsidRPr="005A3F47">
        <w:rPr>
          <w:noProof/>
        </w:rPr>
        <w:t>annual</w:t>
      </w:r>
      <w:r w:rsidR="006C6EA6" w:rsidRPr="005A3F47">
        <w:rPr>
          <w:noProof/>
        </w:rPr>
        <w:t>ly</w:t>
      </w:r>
      <w:r w:rsidR="00690E01" w:rsidRPr="005A3F47">
        <w:rPr>
          <w:noProof/>
        </w:rPr>
        <w:t xml:space="preserve"> </w:t>
      </w:r>
      <w:r w:rsidR="00F46581" w:rsidRPr="005A3F47">
        <w:rPr>
          <w:noProof/>
        </w:rPr>
        <w:t>amount to</w:t>
      </w:r>
      <w:r w:rsidR="00690E01" w:rsidRPr="005A3F47">
        <w:rPr>
          <w:noProof/>
        </w:rPr>
        <w:t xml:space="preserve"> </w:t>
      </w:r>
      <w:r w:rsidR="0051286A" w:rsidRPr="005A3F47">
        <w:rPr>
          <w:noProof/>
        </w:rPr>
        <w:t>up to</w:t>
      </w:r>
      <w:r w:rsidR="00690E01" w:rsidRPr="005A3F47">
        <w:rPr>
          <w:noProof/>
        </w:rPr>
        <w:t xml:space="preserve"> EUR 100,000</w:t>
      </w:r>
      <w:r w:rsidR="00236B1D" w:rsidRPr="005A3F47">
        <w:rPr>
          <w:noProof/>
        </w:rPr>
        <w:t xml:space="preserve"> per</w:t>
      </w:r>
      <w:r w:rsidR="00624A9F" w:rsidRPr="005A3F47">
        <w:rPr>
          <w:noProof/>
        </w:rPr>
        <w:t xml:space="preserve"> company</w:t>
      </w:r>
      <w:r w:rsidR="0051286A" w:rsidRPr="005A3F47">
        <w:rPr>
          <w:noProof/>
        </w:rPr>
        <w:t xml:space="preserve"> depending on the size and corporate complexity</w:t>
      </w:r>
      <w:r w:rsidR="00690E01" w:rsidRPr="005A3F47">
        <w:rPr>
          <w:noProof/>
        </w:rPr>
        <w:t>.</w:t>
      </w:r>
      <w:r w:rsidR="00A64A85" w:rsidRPr="005A3F47">
        <w:rPr>
          <w:rStyle w:val="FootnoteReference"/>
          <w:noProof/>
        </w:rPr>
        <w:footnoteReference w:id="26"/>
      </w:r>
    </w:p>
    <w:p w14:paraId="7B6D9364" w14:textId="77777777" w:rsidR="00DF31EA" w:rsidRPr="005A3F47" w:rsidRDefault="00DF31EA" w:rsidP="00654118">
      <w:pPr>
        <w:spacing w:after="0" w:line="259" w:lineRule="auto"/>
        <w:rPr>
          <w:noProof/>
        </w:rPr>
      </w:pPr>
    </w:p>
    <w:p w14:paraId="3212DC01" w14:textId="7AEDB092" w:rsidR="009F3D6E" w:rsidRPr="005A3F47" w:rsidRDefault="00B035BA" w:rsidP="00307290">
      <w:pPr>
        <w:pStyle w:val="ListParagraph"/>
        <w:numPr>
          <w:ilvl w:val="2"/>
          <w:numId w:val="185"/>
        </w:numPr>
        <w:spacing w:line="259" w:lineRule="auto"/>
        <w:rPr>
          <w:i/>
          <w:iCs/>
          <w:noProof/>
        </w:rPr>
      </w:pPr>
      <w:r w:rsidRPr="005A3F47">
        <w:rPr>
          <w:i/>
          <w:iCs/>
          <w:noProof/>
        </w:rPr>
        <w:t xml:space="preserve">Legal uncertainty </w:t>
      </w:r>
      <w:r w:rsidR="00E44499" w:rsidRPr="005A3F47">
        <w:rPr>
          <w:i/>
          <w:iCs/>
          <w:noProof/>
        </w:rPr>
        <w:t>due to unclear tax rules and terms</w:t>
      </w:r>
    </w:p>
    <w:p w14:paraId="6F1588EF" w14:textId="730EF834" w:rsidR="00271BB5" w:rsidRPr="005A3F47" w:rsidRDefault="00BD56BE" w:rsidP="00C04F8F">
      <w:pPr>
        <w:spacing w:line="259" w:lineRule="auto"/>
        <w:rPr>
          <w:noProof/>
        </w:rPr>
      </w:pPr>
      <w:r w:rsidRPr="005A3F47">
        <w:rPr>
          <w:noProof/>
        </w:rPr>
        <w:t>Ambi</w:t>
      </w:r>
      <w:r w:rsidR="00644BD9" w:rsidRPr="005A3F47">
        <w:rPr>
          <w:noProof/>
        </w:rPr>
        <w:t xml:space="preserve">guity in the </w:t>
      </w:r>
      <w:r w:rsidR="00BB2E99" w:rsidRPr="005A3F47">
        <w:rPr>
          <w:noProof/>
        </w:rPr>
        <w:t xml:space="preserve">legal </w:t>
      </w:r>
      <w:r w:rsidR="00644BD9" w:rsidRPr="005A3F47">
        <w:rPr>
          <w:noProof/>
        </w:rPr>
        <w:t>wording</w:t>
      </w:r>
      <w:r w:rsidR="00787654" w:rsidRPr="005A3F47">
        <w:rPr>
          <w:noProof/>
        </w:rPr>
        <w:t xml:space="preserve"> </w:t>
      </w:r>
      <w:r w:rsidR="00467D8A" w:rsidRPr="005A3F47">
        <w:rPr>
          <w:noProof/>
        </w:rPr>
        <w:t>can cause</w:t>
      </w:r>
      <w:r w:rsidR="00AE4FCF" w:rsidRPr="005A3F47">
        <w:rPr>
          <w:noProof/>
        </w:rPr>
        <w:t xml:space="preserve"> </w:t>
      </w:r>
      <w:r w:rsidR="00935757" w:rsidRPr="005A3F47">
        <w:rPr>
          <w:noProof/>
        </w:rPr>
        <w:t xml:space="preserve">lingering doubt on </w:t>
      </w:r>
      <w:r w:rsidR="001C7445" w:rsidRPr="005A3F47">
        <w:rPr>
          <w:noProof/>
        </w:rPr>
        <w:t>the</w:t>
      </w:r>
      <w:r w:rsidR="00935757" w:rsidRPr="005A3F47">
        <w:rPr>
          <w:noProof/>
        </w:rPr>
        <w:t xml:space="preserve"> meaning</w:t>
      </w:r>
      <w:r w:rsidR="001C7445" w:rsidRPr="005A3F47">
        <w:rPr>
          <w:noProof/>
        </w:rPr>
        <w:t xml:space="preserve"> of </w:t>
      </w:r>
      <w:r w:rsidR="00572BBE" w:rsidRPr="005A3F47">
        <w:rPr>
          <w:noProof/>
        </w:rPr>
        <w:t xml:space="preserve">certain </w:t>
      </w:r>
      <w:r w:rsidR="00393EC1" w:rsidRPr="005A3F47">
        <w:rPr>
          <w:noProof/>
        </w:rPr>
        <w:t xml:space="preserve">EU tax </w:t>
      </w:r>
      <w:r w:rsidR="00572BBE" w:rsidRPr="005A3F47">
        <w:rPr>
          <w:noProof/>
        </w:rPr>
        <w:t>rules</w:t>
      </w:r>
      <w:r w:rsidR="00744EF3" w:rsidRPr="005A3F47">
        <w:rPr>
          <w:noProof/>
        </w:rPr>
        <w:t xml:space="preserve">, leading to </w:t>
      </w:r>
      <w:r w:rsidR="00052878" w:rsidRPr="005A3F47">
        <w:rPr>
          <w:noProof/>
        </w:rPr>
        <w:t xml:space="preserve">legal </w:t>
      </w:r>
      <w:r w:rsidR="00DD6ACB" w:rsidRPr="005A3F47">
        <w:rPr>
          <w:noProof/>
        </w:rPr>
        <w:t xml:space="preserve">uncertainty which way pointed out </w:t>
      </w:r>
      <w:r w:rsidR="00862C68" w:rsidRPr="005A3F47">
        <w:rPr>
          <w:noProof/>
        </w:rPr>
        <w:t>as a problem</w:t>
      </w:r>
      <w:r w:rsidR="00DD6ACB" w:rsidRPr="005A3F47">
        <w:rPr>
          <w:noProof/>
        </w:rPr>
        <w:t xml:space="preserve"> by</w:t>
      </w:r>
      <w:r w:rsidR="000B2815" w:rsidRPr="005A3F47">
        <w:rPr>
          <w:noProof/>
        </w:rPr>
        <w:t xml:space="preserve"> approximately 73% of the respondents in the Call for Evidence</w:t>
      </w:r>
      <w:r w:rsidR="004B63AE" w:rsidRPr="005A3F47">
        <w:rPr>
          <w:noProof/>
        </w:rPr>
        <w:t>. Legal uncertainty and an increased risk of disputes</w:t>
      </w:r>
      <w:r w:rsidR="00670D5D" w:rsidRPr="005A3F47">
        <w:rPr>
          <w:noProof/>
        </w:rPr>
        <w:t xml:space="preserve"> </w:t>
      </w:r>
      <w:r w:rsidR="00441F04" w:rsidRPr="005A3F47">
        <w:rPr>
          <w:noProof/>
          <w:lang w:val="en-IE"/>
        </w:rPr>
        <w:t>distort</w:t>
      </w:r>
      <w:r w:rsidR="00670D5D" w:rsidRPr="005A3F47">
        <w:rPr>
          <w:noProof/>
          <w:lang w:val="en-IE"/>
        </w:rPr>
        <w:t xml:space="preserve"> investment decisions and</w:t>
      </w:r>
      <w:r w:rsidR="4442A33B" w:rsidRPr="005A3F47">
        <w:rPr>
          <w:noProof/>
        </w:rPr>
        <w:t xml:space="preserve"> </w:t>
      </w:r>
      <w:r w:rsidR="5D73679E" w:rsidRPr="005A3F47">
        <w:rPr>
          <w:noProof/>
        </w:rPr>
        <w:t>make</w:t>
      </w:r>
      <w:r w:rsidR="32F86F28" w:rsidRPr="005A3F47">
        <w:rPr>
          <w:noProof/>
        </w:rPr>
        <w:t>s</w:t>
      </w:r>
      <w:r w:rsidR="5D73679E" w:rsidRPr="005A3F47">
        <w:rPr>
          <w:noProof/>
        </w:rPr>
        <w:t xml:space="preserve"> it </w:t>
      </w:r>
      <w:r w:rsidR="33B51DE3" w:rsidRPr="005A3F47">
        <w:rPr>
          <w:noProof/>
        </w:rPr>
        <w:t>difficult</w:t>
      </w:r>
      <w:r w:rsidR="5D73679E" w:rsidRPr="005A3F47">
        <w:rPr>
          <w:noProof/>
        </w:rPr>
        <w:t xml:space="preserve"> for EU companies to na</w:t>
      </w:r>
      <w:r w:rsidR="3EE16D76" w:rsidRPr="005A3F47">
        <w:rPr>
          <w:noProof/>
        </w:rPr>
        <w:t xml:space="preserve">vigate </w:t>
      </w:r>
      <w:r w:rsidR="124596FF" w:rsidRPr="005A3F47">
        <w:rPr>
          <w:noProof/>
        </w:rPr>
        <w:t>their tax obligations across the EU.</w:t>
      </w:r>
      <w:r w:rsidR="3EE16D76" w:rsidRPr="005A3F47">
        <w:rPr>
          <w:noProof/>
        </w:rPr>
        <w:t xml:space="preserve"> </w:t>
      </w:r>
    </w:p>
    <w:p w14:paraId="70C8ECF0" w14:textId="17B58372" w:rsidR="00D712DD" w:rsidRPr="005A3F47" w:rsidRDefault="2C3D3DF5" w:rsidP="00C04F8F">
      <w:pPr>
        <w:spacing w:line="259" w:lineRule="auto"/>
        <w:rPr>
          <w:noProof/>
        </w:rPr>
      </w:pPr>
      <w:r w:rsidRPr="005A3F47">
        <w:rPr>
          <w:noProof/>
        </w:rPr>
        <w:t>F</w:t>
      </w:r>
      <w:r w:rsidR="2A616BBA" w:rsidRPr="005A3F47">
        <w:rPr>
          <w:noProof/>
        </w:rPr>
        <w:t>or example</w:t>
      </w:r>
      <w:r w:rsidRPr="005A3F47">
        <w:rPr>
          <w:noProof/>
        </w:rPr>
        <w:t>,</w:t>
      </w:r>
      <w:r w:rsidR="2A616BBA" w:rsidRPr="005A3F47">
        <w:rPr>
          <w:noProof/>
        </w:rPr>
        <w:t xml:space="preserve"> </w:t>
      </w:r>
      <w:r w:rsidR="2C0AAD2D" w:rsidRPr="005A3F47">
        <w:rPr>
          <w:noProof/>
        </w:rPr>
        <w:t>as the</w:t>
      </w:r>
      <w:r w:rsidR="2A616BBA" w:rsidRPr="005A3F47">
        <w:rPr>
          <w:noProof/>
        </w:rPr>
        <w:t xml:space="preserve"> holding requirements in the PSD and IRD</w:t>
      </w:r>
      <w:r w:rsidR="2C0AAD2D" w:rsidRPr="005A3F47">
        <w:rPr>
          <w:noProof/>
        </w:rPr>
        <w:t xml:space="preserve"> are not interpreted in the same way in all Member States</w:t>
      </w:r>
      <w:r w:rsidR="00736A65" w:rsidRPr="005A3F47">
        <w:rPr>
          <w:noProof/>
        </w:rPr>
        <w:t xml:space="preserve"> (</w:t>
      </w:r>
      <w:r w:rsidR="00484BAB" w:rsidRPr="005A3F47">
        <w:rPr>
          <w:noProof/>
        </w:rPr>
        <w:fldChar w:fldCharType="begin"/>
      </w:r>
      <w:r w:rsidR="00484BAB" w:rsidRPr="005A3F47">
        <w:rPr>
          <w:noProof/>
        </w:rPr>
        <w:instrText xml:space="preserve"> REF _Ref229066759 \h </w:instrText>
      </w:r>
      <w:r w:rsidR="005A3F47">
        <w:rPr>
          <w:noProof/>
        </w:rPr>
        <w:instrText xml:space="preserve"> \* MERGEFORMAT </w:instrText>
      </w:r>
      <w:r w:rsidR="00484BAB" w:rsidRPr="005A3F47">
        <w:rPr>
          <w:noProof/>
        </w:rPr>
      </w:r>
      <w:r w:rsidR="00484BAB" w:rsidRPr="005A3F47">
        <w:rPr>
          <w:noProof/>
        </w:rPr>
        <w:fldChar w:fldCharType="separate"/>
      </w:r>
      <w:r w:rsidR="00CF3380" w:rsidRPr="005A3F47">
        <w:rPr>
          <w:noProof/>
        </w:rPr>
        <w:t xml:space="preserve">Box </w:t>
      </w:r>
      <w:r w:rsidR="00CF3380">
        <w:rPr>
          <w:noProof/>
        </w:rPr>
        <w:t>3</w:t>
      </w:r>
      <w:r w:rsidR="00484BAB" w:rsidRPr="005A3F47">
        <w:rPr>
          <w:noProof/>
        </w:rPr>
        <w:fldChar w:fldCharType="end"/>
      </w:r>
      <w:r w:rsidR="009E4091" w:rsidRPr="005A3F47">
        <w:rPr>
          <w:noProof/>
        </w:rPr>
        <w:t>3</w:t>
      </w:r>
      <w:r w:rsidR="00736A65" w:rsidRPr="005A3F47">
        <w:rPr>
          <w:noProof/>
        </w:rPr>
        <w:t>)</w:t>
      </w:r>
      <w:r w:rsidR="2A616BBA" w:rsidRPr="005A3F47">
        <w:rPr>
          <w:noProof/>
        </w:rPr>
        <w:t xml:space="preserve">, </w:t>
      </w:r>
      <w:r w:rsidR="52B13571" w:rsidRPr="005A3F47">
        <w:rPr>
          <w:noProof/>
        </w:rPr>
        <w:t>companies</w:t>
      </w:r>
      <w:r w:rsidR="2C0AAD2D" w:rsidRPr="005A3F47">
        <w:rPr>
          <w:noProof/>
        </w:rPr>
        <w:t xml:space="preserve"> </w:t>
      </w:r>
      <w:r w:rsidR="62B6D1FA" w:rsidRPr="005A3F47">
        <w:rPr>
          <w:noProof/>
        </w:rPr>
        <w:t xml:space="preserve">may be left uncertain about whether they will be able to avail </w:t>
      </w:r>
      <w:r w:rsidR="25F42731" w:rsidRPr="005A3F47">
        <w:rPr>
          <w:noProof/>
        </w:rPr>
        <w:t xml:space="preserve">of the </w:t>
      </w:r>
      <w:r w:rsidR="0ECBDD12" w:rsidRPr="005A3F47">
        <w:rPr>
          <w:noProof/>
        </w:rPr>
        <w:t xml:space="preserve">tax </w:t>
      </w:r>
      <w:r w:rsidR="25F42731" w:rsidRPr="005A3F47">
        <w:rPr>
          <w:noProof/>
        </w:rPr>
        <w:t>exemption in one country or another</w:t>
      </w:r>
      <w:r w:rsidR="71ED9FE1" w:rsidRPr="005A3F47">
        <w:rPr>
          <w:noProof/>
        </w:rPr>
        <w:t xml:space="preserve">. </w:t>
      </w:r>
      <w:r w:rsidR="4C5C5D14" w:rsidRPr="005A3F47">
        <w:rPr>
          <w:noProof/>
        </w:rPr>
        <w:t>Consequently,</w:t>
      </w:r>
      <w:r w:rsidR="7A42A7EF" w:rsidRPr="005A3F47">
        <w:rPr>
          <w:noProof/>
        </w:rPr>
        <w:t xml:space="preserve"> companies</w:t>
      </w:r>
      <w:r w:rsidR="27DC7B65" w:rsidRPr="005A3F47">
        <w:rPr>
          <w:noProof/>
        </w:rPr>
        <w:t xml:space="preserve"> </w:t>
      </w:r>
      <w:r w:rsidR="4C5C5D14" w:rsidRPr="005A3F47">
        <w:rPr>
          <w:noProof/>
        </w:rPr>
        <w:t>are required</w:t>
      </w:r>
      <w:r w:rsidR="52B13571" w:rsidRPr="005A3F47">
        <w:rPr>
          <w:noProof/>
        </w:rPr>
        <w:t xml:space="preserve"> to </w:t>
      </w:r>
      <w:r w:rsidR="050328B2" w:rsidRPr="005A3F47">
        <w:rPr>
          <w:noProof/>
        </w:rPr>
        <w:t xml:space="preserve">acquire </w:t>
      </w:r>
      <w:r w:rsidR="52B13571" w:rsidRPr="005A3F47">
        <w:rPr>
          <w:noProof/>
        </w:rPr>
        <w:t>country</w:t>
      </w:r>
      <w:r w:rsidR="2C0AAD2D" w:rsidRPr="005A3F47">
        <w:rPr>
          <w:noProof/>
        </w:rPr>
        <w:t>-</w:t>
      </w:r>
      <w:r w:rsidR="52B13571" w:rsidRPr="005A3F47">
        <w:rPr>
          <w:noProof/>
        </w:rPr>
        <w:t xml:space="preserve">specific knowledge </w:t>
      </w:r>
      <w:r w:rsidR="3905251E" w:rsidRPr="005A3F47">
        <w:rPr>
          <w:noProof/>
        </w:rPr>
        <w:t>when</w:t>
      </w:r>
      <w:r w:rsidR="641E045C" w:rsidRPr="005A3F47">
        <w:rPr>
          <w:noProof/>
        </w:rPr>
        <w:t xml:space="preserve"> </w:t>
      </w:r>
      <w:r w:rsidR="4C5C5D14" w:rsidRPr="005A3F47">
        <w:rPr>
          <w:noProof/>
        </w:rPr>
        <w:t>they</w:t>
      </w:r>
      <w:r w:rsidR="27DC7B65" w:rsidRPr="005A3F47">
        <w:rPr>
          <w:noProof/>
        </w:rPr>
        <w:t xml:space="preserve"> </w:t>
      </w:r>
      <w:r w:rsidR="4C5C5D14" w:rsidRPr="005A3F47">
        <w:rPr>
          <w:noProof/>
        </w:rPr>
        <w:t>intend</w:t>
      </w:r>
      <w:r w:rsidR="641E045C" w:rsidRPr="005A3F47">
        <w:rPr>
          <w:noProof/>
        </w:rPr>
        <w:t xml:space="preserve"> to establish entities </w:t>
      </w:r>
      <w:r w:rsidR="71ED9FE1" w:rsidRPr="005A3F47">
        <w:rPr>
          <w:noProof/>
        </w:rPr>
        <w:t>or carry ou</w:t>
      </w:r>
      <w:r w:rsidR="21FB9267" w:rsidRPr="005A3F47">
        <w:rPr>
          <w:noProof/>
        </w:rPr>
        <w:t>t</w:t>
      </w:r>
      <w:r w:rsidR="71ED9FE1" w:rsidRPr="005A3F47">
        <w:rPr>
          <w:noProof/>
        </w:rPr>
        <w:t xml:space="preserve"> business activities</w:t>
      </w:r>
      <w:r w:rsidR="3905251E" w:rsidRPr="005A3F47">
        <w:rPr>
          <w:noProof/>
        </w:rPr>
        <w:t xml:space="preserve"> across borders</w:t>
      </w:r>
      <w:r w:rsidR="27DC7B65" w:rsidRPr="005A3F47">
        <w:rPr>
          <w:noProof/>
        </w:rPr>
        <w:t xml:space="preserve">. </w:t>
      </w:r>
    </w:p>
    <w:p w14:paraId="37021A54" w14:textId="7728029A" w:rsidR="006A6239" w:rsidRPr="005A3F47" w:rsidRDefault="00B55DB2" w:rsidP="00307290">
      <w:pPr>
        <w:pStyle w:val="Caption"/>
        <w:keepNext/>
        <w:rPr>
          <w:noProof/>
        </w:rPr>
      </w:pPr>
      <w:bookmarkStart w:id="23" w:name="_Ref229066759"/>
      <w:r w:rsidRPr="005A3F47">
        <w:rPr>
          <w:noProof/>
          <w:color w:val="auto"/>
        </w:rPr>
        <w:t xml:space="preserve">Box </w:t>
      </w:r>
      <w:r w:rsidRPr="005A3F47">
        <w:rPr>
          <w:i w:val="0"/>
          <w:noProof/>
        </w:rPr>
        <w:fldChar w:fldCharType="begin"/>
      </w:r>
      <w:r w:rsidRPr="005A3F47">
        <w:rPr>
          <w:noProof/>
          <w:color w:val="auto"/>
        </w:rPr>
        <w:instrText xml:space="preserve"> SEQ Box \* ARABIC </w:instrText>
      </w:r>
      <w:r w:rsidRPr="005A3F47">
        <w:rPr>
          <w:i w:val="0"/>
          <w:noProof/>
        </w:rPr>
        <w:fldChar w:fldCharType="separate"/>
      </w:r>
      <w:r w:rsidR="00CF3380">
        <w:rPr>
          <w:noProof/>
          <w:color w:val="auto"/>
        </w:rPr>
        <w:t>3</w:t>
      </w:r>
      <w:r w:rsidRPr="005A3F47">
        <w:rPr>
          <w:i w:val="0"/>
          <w:noProof/>
        </w:rPr>
        <w:fldChar w:fldCharType="end"/>
      </w:r>
      <w:bookmarkEnd w:id="23"/>
      <w:r w:rsidRPr="005A3F47">
        <w:rPr>
          <w:noProof/>
          <w:color w:val="auto"/>
        </w:rPr>
        <w:t>: Holding requirements under IRD and PSD</w:t>
      </w:r>
    </w:p>
    <w:tbl>
      <w:tblPr>
        <w:tblStyle w:val="TableGrid"/>
        <w:tblW w:w="0" w:type="auto"/>
        <w:tblLook w:val="04A0" w:firstRow="1" w:lastRow="0" w:firstColumn="1" w:lastColumn="0" w:noHBand="0" w:noVBand="1"/>
      </w:tblPr>
      <w:tblGrid>
        <w:gridCol w:w="9825"/>
      </w:tblGrid>
      <w:tr w:rsidR="00FD5E38" w:rsidRPr="005A3F47" w14:paraId="7B2E4852" w14:textId="77777777" w:rsidTr="00307290">
        <w:tc>
          <w:tcPr>
            <w:tcW w:w="9828" w:type="dxa"/>
          </w:tcPr>
          <w:p w14:paraId="5E1232A8" w14:textId="52AC637C" w:rsidR="00A00E69" w:rsidRPr="005A3F47" w:rsidRDefault="0067782F" w:rsidP="00302233">
            <w:pPr>
              <w:spacing w:before="120" w:after="120" w:line="259" w:lineRule="auto"/>
              <w:ind w:left="284" w:right="284"/>
              <w:rPr>
                <w:noProof/>
              </w:rPr>
            </w:pPr>
            <w:r w:rsidRPr="005A3F47">
              <w:rPr>
                <w:noProof/>
              </w:rPr>
              <w:t xml:space="preserve">The IRD is applicable to </w:t>
            </w:r>
            <w:r w:rsidR="00F14147" w:rsidRPr="005A3F47">
              <w:rPr>
                <w:noProof/>
              </w:rPr>
              <w:t>interest and royalty payments between associated companies</w:t>
            </w:r>
            <w:r w:rsidR="00E26296" w:rsidRPr="005A3F47">
              <w:rPr>
                <w:noProof/>
              </w:rPr>
              <w:t xml:space="preserve"> in the EU</w:t>
            </w:r>
            <w:r w:rsidR="00F14147" w:rsidRPr="005A3F47">
              <w:rPr>
                <w:noProof/>
              </w:rPr>
              <w:t xml:space="preserve">. For companies to be </w:t>
            </w:r>
            <w:r w:rsidR="006D3FB4" w:rsidRPr="005A3F47">
              <w:rPr>
                <w:noProof/>
              </w:rPr>
              <w:t xml:space="preserve">associated, the </w:t>
            </w:r>
            <w:r w:rsidR="67ED8AFD" w:rsidRPr="005A3F47">
              <w:rPr>
                <w:noProof/>
              </w:rPr>
              <w:t xml:space="preserve">IRD </w:t>
            </w:r>
            <w:r w:rsidR="006D3FB4" w:rsidRPr="005A3F47">
              <w:rPr>
                <w:noProof/>
              </w:rPr>
              <w:t>require</w:t>
            </w:r>
            <w:r w:rsidR="49E7E169" w:rsidRPr="005A3F47">
              <w:rPr>
                <w:noProof/>
              </w:rPr>
              <w:t>s</w:t>
            </w:r>
            <w:r w:rsidR="006D3FB4" w:rsidRPr="005A3F47">
              <w:rPr>
                <w:noProof/>
              </w:rPr>
              <w:t xml:space="preserve"> that </w:t>
            </w:r>
            <w:r w:rsidR="003B623D" w:rsidRPr="005A3F47">
              <w:rPr>
                <w:noProof/>
              </w:rPr>
              <w:t xml:space="preserve">a company </w:t>
            </w:r>
            <w:r w:rsidR="00733F16" w:rsidRPr="005A3F47">
              <w:rPr>
                <w:noProof/>
              </w:rPr>
              <w:t>has a holding of</w:t>
            </w:r>
            <w:r w:rsidR="00D62F9A" w:rsidRPr="005A3F47">
              <w:rPr>
                <w:noProof/>
              </w:rPr>
              <w:t xml:space="preserve"> </w:t>
            </w:r>
            <w:r w:rsidR="00D149A5" w:rsidRPr="005A3F47">
              <w:rPr>
                <w:noProof/>
              </w:rPr>
              <w:t xml:space="preserve">minimum 25% </w:t>
            </w:r>
            <w:r w:rsidR="009406F0" w:rsidRPr="005A3F47">
              <w:rPr>
                <w:noProof/>
              </w:rPr>
              <w:t>in</w:t>
            </w:r>
            <w:r w:rsidR="00D149A5" w:rsidRPr="005A3F47">
              <w:rPr>
                <w:noProof/>
              </w:rPr>
              <w:t xml:space="preserve"> capital or voting rights</w:t>
            </w:r>
            <w:r w:rsidR="003B623D" w:rsidRPr="005A3F47">
              <w:rPr>
                <w:noProof/>
              </w:rPr>
              <w:t xml:space="preserve"> of another company.</w:t>
            </w:r>
            <w:r w:rsidR="00391B88" w:rsidRPr="005A3F47">
              <w:rPr>
                <w:noProof/>
              </w:rPr>
              <w:t xml:space="preserve"> As the </w:t>
            </w:r>
            <w:r w:rsidR="2DABB8C2" w:rsidRPr="005A3F47">
              <w:rPr>
                <w:noProof/>
              </w:rPr>
              <w:t>IRD</w:t>
            </w:r>
            <w:r w:rsidR="00391B88" w:rsidRPr="005A3F47">
              <w:rPr>
                <w:noProof/>
              </w:rPr>
              <w:t xml:space="preserve"> does not specify whether the</w:t>
            </w:r>
            <w:r w:rsidR="00EF3ECA" w:rsidRPr="005A3F47">
              <w:rPr>
                <w:noProof/>
              </w:rPr>
              <w:t xml:space="preserve"> minimum</w:t>
            </w:r>
            <w:r w:rsidR="00391B88" w:rsidRPr="005A3F47">
              <w:rPr>
                <w:noProof/>
              </w:rPr>
              <w:t xml:space="preserve"> holding has to be direct or in</w:t>
            </w:r>
            <w:r w:rsidR="00FF0F35" w:rsidRPr="005A3F47">
              <w:rPr>
                <w:noProof/>
              </w:rPr>
              <w:t>direct</w:t>
            </w:r>
            <w:r w:rsidR="008315D9" w:rsidRPr="005A3F47">
              <w:rPr>
                <w:noProof/>
              </w:rPr>
              <w:t>, the requirement has been interpretated differently in the Member States.</w:t>
            </w:r>
            <w:r w:rsidR="003B623D" w:rsidRPr="005A3F47">
              <w:rPr>
                <w:noProof/>
              </w:rPr>
              <w:t xml:space="preserve"> </w:t>
            </w:r>
            <w:r w:rsidR="006008AD" w:rsidRPr="005A3F47">
              <w:rPr>
                <w:noProof/>
              </w:rPr>
              <w:t>In addition</w:t>
            </w:r>
            <w:r w:rsidR="00D72BCC" w:rsidRPr="005A3F47">
              <w:rPr>
                <w:noProof/>
              </w:rPr>
              <w:t>, the PSD</w:t>
            </w:r>
            <w:r w:rsidR="0099714C" w:rsidRPr="005A3F47">
              <w:rPr>
                <w:noProof/>
              </w:rPr>
              <w:t xml:space="preserve"> </w:t>
            </w:r>
            <w:r w:rsidR="00FC7A40" w:rsidRPr="005A3F47">
              <w:rPr>
                <w:noProof/>
              </w:rPr>
              <w:t>contains a similar requirement</w:t>
            </w:r>
            <w:r w:rsidR="00A76772" w:rsidRPr="005A3F47">
              <w:rPr>
                <w:noProof/>
              </w:rPr>
              <w:t xml:space="preserve"> as the </w:t>
            </w:r>
            <w:r w:rsidR="5E2DE4F0" w:rsidRPr="005A3F47">
              <w:rPr>
                <w:noProof/>
              </w:rPr>
              <w:t xml:space="preserve">PSD </w:t>
            </w:r>
            <w:r w:rsidR="00D72BCC" w:rsidRPr="005A3F47">
              <w:rPr>
                <w:noProof/>
              </w:rPr>
              <w:t xml:space="preserve">is applicable to </w:t>
            </w:r>
            <w:r w:rsidR="004023C0" w:rsidRPr="005A3F47">
              <w:rPr>
                <w:noProof/>
              </w:rPr>
              <w:t>dividend payments between associated companies</w:t>
            </w:r>
            <w:r w:rsidR="00B441AB" w:rsidRPr="005A3F47">
              <w:rPr>
                <w:noProof/>
              </w:rPr>
              <w:t xml:space="preserve">, i.e., </w:t>
            </w:r>
            <w:r w:rsidR="001A3E3E" w:rsidRPr="005A3F47">
              <w:rPr>
                <w:noProof/>
              </w:rPr>
              <w:t>parent companies and subsidiaries</w:t>
            </w:r>
            <w:r w:rsidR="00D85C2D" w:rsidRPr="005A3F47">
              <w:rPr>
                <w:noProof/>
              </w:rPr>
              <w:t>, in the EU</w:t>
            </w:r>
            <w:r w:rsidR="00460DF4" w:rsidRPr="005A3F47">
              <w:rPr>
                <w:noProof/>
              </w:rPr>
              <w:t xml:space="preserve">. </w:t>
            </w:r>
            <w:r w:rsidR="00A76772" w:rsidRPr="005A3F47">
              <w:rPr>
                <w:noProof/>
              </w:rPr>
              <w:t>However, f</w:t>
            </w:r>
            <w:r w:rsidR="00460DF4" w:rsidRPr="005A3F47">
              <w:rPr>
                <w:noProof/>
              </w:rPr>
              <w:t xml:space="preserve">or companies to be associated </w:t>
            </w:r>
            <w:r w:rsidR="00D76711" w:rsidRPr="005A3F47">
              <w:rPr>
                <w:noProof/>
              </w:rPr>
              <w:t>in this regard, a company must have</w:t>
            </w:r>
            <w:r w:rsidR="009E431E" w:rsidRPr="005A3F47">
              <w:rPr>
                <w:noProof/>
              </w:rPr>
              <w:t xml:space="preserve"> a direct or indirect minimum holding of 10 % in</w:t>
            </w:r>
            <w:r w:rsidR="00DB3694" w:rsidRPr="005A3F47">
              <w:rPr>
                <w:noProof/>
              </w:rPr>
              <w:t xml:space="preserve"> </w:t>
            </w:r>
            <w:r w:rsidR="009E431E" w:rsidRPr="005A3F47">
              <w:rPr>
                <w:noProof/>
              </w:rPr>
              <w:t>capital</w:t>
            </w:r>
            <w:r w:rsidR="00411B02" w:rsidRPr="005A3F47">
              <w:rPr>
                <w:noProof/>
              </w:rPr>
              <w:t xml:space="preserve"> or</w:t>
            </w:r>
            <w:r w:rsidR="009E431E" w:rsidRPr="005A3F47">
              <w:rPr>
                <w:noProof/>
              </w:rPr>
              <w:t xml:space="preserve"> </w:t>
            </w:r>
            <w:r w:rsidR="00DB3694" w:rsidRPr="005A3F47">
              <w:rPr>
                <w:noProof/>
              </w:rPr>
              <w:t xml:space="preserve">voting rights </w:t>
            </w:r>
            <w:r w:rsidR="009E431E" w:rsidRPr="005A3F47">
              <w:rPr>
                <w:noProof/>
              </w:rPr>
              <w:t>of a</w:t>
            </w:r>
            <w:r w:rsidR="00411B02" w:rsidRPr="005A3F47">
              <w:rPr>
                <w:noProof/>
              </w:rPr>
              <w:t>nother</w:t>
            </w:r>
            <w:r w:rsidR="009E431E" w:rsidRPr="005A3F47">
              <w:rPr>
                <w:noProof/>
              </w:rPr>
              <w:t xml:space="preserve"> company</w:t>
            </w:r>
            <w:r w:rsidR="00411B02" w:rsidRPr="005A3F47">
              <w:rPr>
                <w:noProof/>
              </w:rPr>
              <w:t>.</w:t>
            </w:r>
            <w:r w:rsidR="00970346" w:rsidRPr="005A3F47">
              <w:rPr>
                <w:noProof/>
              </w:rPr>
              <w:t xml:space="preserve"> </w:t>
            </w:r>
          </w:p>
        </w:tc>
      </w:tr>
    </w:tbl>
    <w:p w14:paraId="20FDC0CE" w14:textId="77777777" w:rsidR="003049AF" w:rsidRPr="005A3F47" w:rsidRDefault="003049AF" w:rsidP="00654118">
      <w:pPr>
        <w:spacing w:after="0" w:line="259" w:lineRule="auto"/>
        <w:rPr>
          <w:noProof/>
        </w:rPr>
      </w:pPr>
    </w:p>
    <w:p w14:paraId="61FD16FD" w14:textId="650BF026" w:rsidR="00794531" w:rsidRPr="005A3F47" w:rsidRDefault="00B107B8" w:rsidP="00654118">
      <w:pPr>
        <w:spacing w:after="0" w:line="259" w:lineRule="auto"/>
        <w:rPr>
          <w:noProof/>
        </w:rPr>
      </w:pPr>
      <w:r w:rsidRPr="005A3F47">
        <w:rPr>
          <w:noProof/>
        </w:rPr>
        <w:t xml:space="preserve">Legal uncertainty </w:t>
      </w:r>
      <w:r w:rsidR="00442802" w:rsidRPr="005A3F47">
        <w:rPr>
          <w:noProof/>
        </w:rPr>
        <w:t>has</w:t>
      </w:r>
      <w:r w:rsidRPr="005A3F47">
        <w:rPr>
          <w:noProof/>
        </w:rPr>
        <w:t xml:space="preserve"> also </w:t>
      </w:r>
      <w:r w:rsidR="00442802" w:rsidRPr="005A3F47">
        <w:rPr>
          <w:noProof/>
        </w:rPr>
        <w:t xml:space="preserve">been </w:t>
      </w:r>
      <w:r w:rsidRPr="005A3F47">
        <w:rPr>
          <w:noProof/>
        </w:rPr>
        <w:t xml:space="preserve">identified </w:t>
      </w:r>
      <w:r w:rsidR="00BC06DB" w:rsidRPr="005A3F47">
        <w:rPr>
          <w:noProof/>
        </w:rPr>
        <w:t>in relation</w:t>
      </w:r>
      <w:r w:rsidRPr="005A3F47">
        <w:rPr>
          <w:noProof/>
        </w:rPr>
        <w:t xml:space="preserve"> to the DRM.</w:t>
      </w:r>
      <w:r w:rsidR="00B67E23" w:rsidRPr="005A3F47">
        <w:rPr>
          <w:noProof/>
        </w:rPr>
        <w:t xml:space="preserve"> The lack of clear terms and requirements, e.g., </w:t>
      </w:r>
      <w:r w:rsidR="00E131F0" w:rsidRPr="005A3F47">
        <w:rPr>
          <w:noProof/>
        </w:rPr>
        <w:t>with regard</w:t>
      </w:r>
      <w:r w:rsidR="00B67E23" w:rsidRPr="005A3F47">
        <w:rPr>
          <w:noProof/>
        </w:rPr>
        <w:t xml:space="preserve"> to the admission criteria and deadlines,</w:t>
      </w:r>
      <w:r w:rsidR="00870D2D" w:rsidRPr="005A3F47">
        <w:rPr>
          <w:noProof/>
        </w:rPr>
        <w:t xml:space="preserve"> was </w:t>
      </w:r>
      <w:r w:rsidR="00FC5903" w:rsidRPr="005A3F47">
        <w:rPr>
          <w:noProof/>
        </w:rPr>
        <w:t>criticised</w:t>
      </w:r>
      <w:r w:rsidR="00870D2D" w:rsidRPr="005A3F47">
        <w:rPr>
          <w:noProof/>
        </w:rPr>
        <w:t xml:space="preserve"> by </w:t>
      </w:r>
      <w:r w:rsidR="008C1A0F" w:rsidRPr="005A3F47">
        <w:rPr>
          <w:noProof/>
        </w:rPr>
        <w:t>approximately 38% of the re</w:t>
      </w:r>
      <w:r w:rsidR="00FC5903" w:rsidRPr="005A3F47">
        <w:rPr>
          <w:noProof/>
        </w:rPr>
        <w:t>spondents</w:t>
      </w:r>
      <w:r w:rsidR="00870D2D" w:rsidRPr="005A3F47">
        <w:rPr>
          <w:noProof/>
        </w:rPr>
        <w:t xml:space="preserve"> in </w:t>
      </w:r>
      <w:r w:rsidR="008C1A0F" w:rsidRPr="005A3F47">
        <w:rPr>
          <w:noProof/>
        </w:rPr>
        <w:t>the Call</w:t>
      </w:r>
      <w:r w:rsidR="00870D2D" w:rsidRPr="005A3F47">
        <w:rPr>
          <w:noProof/>
        </w:rPr>
        <w:t xml:space="preserve"> for </w:t>
      </w:r>
      <w:r w:rsidR="008C1A0F" w:rsidRPr="005A3F47">
        <w:rPr>
          <w:noProof/>
        </w:rPr>
        <w:t>Evidence</w:t>
      </w:r>
      <w:r w:rsidR="0028030F" w:rsidRPr="005A3F47">
        <w:rPr>
          <w:noProof/>
        </w:rPr>
        <w:t xml:space="preserve"> who found that dispute resolution in the EU remain too slow and complex</w:t>
      </w:r>
      <w:r w:rsidR="00013144" w:rsidRPr="005A3F47">
        <w:rPr>
          <w:noProof/>
        </w:rPr>
        <w:t>, leading to high compliance costs</w:t>
      </w:r>
      <w:r w:rsidR="00A55126" w:rsidRPr="005A3F47">
        <w:rPr>
          <w:noProof/>
        </w:rPr>
        <w:t xml:space="preserve"> and underuse of the internal market.</w:t>
      </w:r>
      <w:r w:rsidR="00D51ABB" w:rsidRPr="005A3F47">
        <w:rPr>
          <w:rStyle w:val="FootnoteReference"/>
          <w:noProof/>
        </w:rPr>
        <w:footnoteReference w:id="27"/>
      </w:r>
    </w:p>
    <w:p w14:paraId="70709832" w14:textId="77777777" w:rsidR="00DF31EA" w:rsidRPr="005A3F47" w:rsidRDefault="00DF31EA" w:rsidP="00654118">
      <w:pPr>
        <w:spacing w:after="0" w:line="259" w:lineRule="auto"/>
        <w:rPr>
          <w:noProof/>
        </w:rPr>
      </w:pPr>
    </w:p>
    <w:p w14:paraId="5E8A3B3D" w14:textId="0405C680" w:rsidR="00DF31EA" w:rsidRPr="005A3F47" w:rsidRDefault="00DF31EA" w:rsidP="00441F04">
      <w:pPr>
        <w:pStyle w:val="ListParagraph"/>
        <w:numPr>
          <w:ilvl w:val="2"/>
          <w:numId w:val="185"/>
        </w:numPr>
        <w:spacing w:line="259" w:lineRule="auto"/>
        <w:rPr>
          <w:i/>
          <w:iCs/>
          <w:noProof/>
        </w:rPr>
      </w:pPr>
      <w:r w:rsidRPr="005A3F47">
        <w:rPr>
          <w:i/>
          <w:iCs/>
          <w:noProof/>
        </w:rPr>
        <w:t>Different tax treatment depending on national specificities</w:t>
      </w:r>
    </w:p>
    <w:p w14:paraId="780F857F" w14:textId="56859B20" w:rsidR="00DF31EA" w:rsidRPr="005A3F47" w:rsidRDefault="00DF31EA" w:rsidP="00DF31EA">
      <w:pPr>
        <w:spacing w:line="259" w:lineRule="auto"/>
        <w:rPr>
          <w:noProof/>
        </w:rPr>
      </w:pPr>
      <w:r w:rsidRPr="005A3F47">
        <w:rPr>
          <w:noProof/>
        </w:rPr>
        <w:t>Not all existing Directives have been implemented consistently due to various options or differing interpretations of the same rules and terms. This has led to different tax treatment of businesses depending on the national approach to specific EU tax provisions and has been identified as a problem by approximately 73% of the respondents in the Call for Evidence.</w:t>
      </w:r>
      <w:r w:rsidRPr="005A3F47">
        <w:rPr>
          <w:rStyle w:val="FootnoteReference"/>
          <w:noProof/>
        </w:rPr>
        <w:footnoteReference w:id="28"/>
      </w:r>
    </w:p>
    <w:p w14:paraId="06816063" w14:textId="37656A9F" w:rsidR="00DF31EA" w:rsidRPr="005A3F47" w:rsidRDefault="00DF31EA" w:rsidP="00DF31EA">
      <w:pPr>
        <w:spacing w:line="259" w:lineRule="auto"/>
        <w:rPr>
          <w:noProof/>
        </w:rPr>
      </w:pPr>
      <w:r w:rsidRPr="005A3F47">
        <w:rPr>
          <w:noProof/>
        </w:rPr>
        <w:t>The ‘minimum standard’ approach to ATAD</w:t>
      </w:r>
      <w:r w:rsidR="00396A7A" w:rsidRPr="005A3F47">
        <w:rPr>
          <w:noProof/>
        </w:rPr>
        <w:t>,</w:t>
      </w:r>
      <w:r w:rsidRPr="005A3F47">
        <w:rPr>
          <w:noProof/>
        </w:rPr>
        <w:t xml:space="preserve"> leaving a wide range of national discretion to Member States in their implementation of the Directive</w:t>
      </w:r>
      <w:r w:rsidR="00396A7A" w:rsidRPr="005A3F47">
        <w:rPr>
          <w:noProof/>
        </w:rPr>
        <w:t>,</w:t>
      </w:r>
      <w:r w:rsidRPr="005A3F47">
        <w:rPr>
          <w:noProof/>
        </w:rPr>
        <w:t xml:space="preserve"> was criticised by approximately 67% of the respondents in the Call for Evidence. Similar findings are presented in the ATAD evaluation.</w:t>
      </w:r>
      <w:r w:rsidRPr="005A3F47">
        <w:rPr>
          <w:rStyle w:val="FootnoteReference"/>
          <w:noProof/>
        </w:rPr>
        <w:footnoteReference w:id="29"/>
      </w:r>
      <w:r w:rsidRPr="005A3F47">
        <w:rPr>
          <w:noProof/>
        </w:rPr>
        <w:t xml:space="preserve"> For example, CFC rules, which are applicable to EU businesses with certain low-taxed subsidiaries, are implemented differently across the EU based on two different ‘models’ which are presented ATAD. This is also the case for the Interest Limitation Rule in the ATAD which, according to the ATAD evaluation, has been considered as offering </w:t>
      </w:r>
      <w:r w:rsidRPr="005A3F47">
        <w:rPr>
          <w:rFonts w:cs="Arial"/>
          <w:noProof/>
          <w:lang w:eastAsia="da-DK"/>
        </w:rPr>
        <w:t>extensive flexibility that has resulted in fragmented implementation across the EU</w:t>
      </w:r>
      <w:r w:rsidRPr="005A3F47">
        <w:rPr>
          <w:rStyle w:val="FootnoteReference"/>
          <w:rFonts w:cs="Arial"/>
          <w:noProof/>
          <w:lang w:eastAsia="da-DK"/>
        </w:rPr>
        <w:footnoteReference w:id="30"/>
      </w:r>
      <w:r w:rsidRPr="005A3F47">
        <w:rPr>
          <w:noProof/>
        </w:rPr>
        <w:t xml:space="preserve"> </w:t>
      </w:r>
      <w:r w:rsidRPr="005A3F47">
        <w:rPr>
          <w:rFonts w:cs="Arial"/>
          <w:noProof/>
          <w:lang w:eastAsia="da-DK"/>
        </w:rPr>
        <w:t>(</w:t>
      </w:r>
      <w:r w:rsidRPr="005A3F47">
        <w:rPr>
          <w:rFonts w:cs="Arial"/>
          <w:noProof/>
          <w:lang w:eastAsia="da-DK"/>
        </w:rPr>
        <w:fldChar w:fldCharType="begin"/>
      </w:r>
      <w:r w:rsidRPr="005A3F47">
        <w:rPr>
          <w:rFonts w:cs="Arial"/>
          <w:noProof/>
          <w:lang w:eastAsia="da-DK"/>
        </w:rPr>
        <w:instrText xml:space="preserve"> REF _Ref229051457 \h </w:instrText>
      </w:r>
      <w:r w:rsidR="005A3F47">
        <w:rPr>
          <w:rFonts w:cs="Arial"/>
          <w:noProof/>
          <w:lang w:eastAsia="da-DK"/>
        </w:rPr>
        <w:instrText xml:space="preserve"> \* MERGEFORMAT </w:instrText>
      </w:r>
      <w:r w:rsidRPr="005A3F47">
        <w:rPr>
          <w:rFonts w:cs="Arial"/>
          <w:noProof/>
          <w:lang w:eastAsia="da-DK"/>
        </w:rPr>
      </w:r>
      <w:r w:rsidRPr="005A3F47">
        <w:rPr>
          <w:rFonts w:cs="Arial"/>
          <w:noProof/>
          <w:lang w:eastAsia="da-DK"/>
        </w:rPr>
        <w:fldChar w:fldCharType="separate"/>
      </w:r>
      <w:r w:rsidR="00CF3380" w:rsidRPr="005A3F47">
        <w:rPr>
          <w:noProof/>
        </w:rPr>
        <w:t xml:space="preserve">Box </w:t>
      </w:r>
      <w:r w:rsidR="00CF3380">
        <w:rPr>
          <w:noProof/>
        </w:rPr>
        <w:t>4</w:t>
      </w:r>
      <w:r w:rsidRPr="005A3F47">
        <w:rPr>
          <w:rFonts w:cs="Arial"/>
          <w:noProof/>
          <w:lang w:eastAsia="da-DK"/>
        </w:rPr>
        <w:fldChar w:fldCharType="end"/>
      </w:r>
      <w:r w:rsidR="009E4091" w:rsidRPr="005A3F47">
        <w:rPr>
          <w:rFonts w:cs="Arial"/>
          <w:noProof/>
          <w:lang w:eastAsia="da-DK"/>
        </w:rPr>
        <w:t>4</w:t>
      </w:r>
      <w:r w:rsidRPr="005A3F47">
        <w:rPr>
          <w:rFonts w:cs="Arial"/>
          <w:noProof/>
          <w:lang w:eastAsia="da-DK"/>
        </w:rPr>
        <w:t>) causing high compliance costs and underuse of the internal market.</w:t>
      </w:r>
    </w:p>
    <w:p w14:paraId="491FAEC6" w14:textId="26E79834" w:rsidR="00DF31EA" w:rsidRPr="005A3F47" w:rsidRDefault="00DF31EA" w:rsidP="00DF31EA">
      <w:pPr>
        <w:pStyle w:val="Caption"/>
        <w:keepNext/>
        <w:rPr>
          <w:noProof/>
        </w:rPr>
      </w:pPr>
      <w:bookmarkStart w:id="24" w:name="_Ref229051457"/>
      <w:r w:rsidRPr="005A3F47">
        <w:rPr>
          <w:noProof/>
          <w:color w:val="auto"/>
        </w:rPr>
        <w:t xml:space="preserve">Box </w:t>
      </w:r>
      <w:r w:rsidRPr="005A3F47">
        <w:rPr>
          <w:noProof/>
          <w:color w:val="auto"/>
        </w:rPr>
        <w:fldChar w:fldCharType="begin"/>
      </w:r>
      <w:r w:rsidRPr="005A3F47">
        <w:rPr>
          <w:noProof/>
          <w:color w:val="auto"/>
        </w:rPr>
        <w:instrText xml:space="preserve"> SEQ Box \* ARABIC </w:instrText>
      </w:r>
      <w:r w:rsidRPr="005A3F47">
        <w:rPr>
          <w:noProof/>
          <w:color w:val="auto"/>
        </w:rPr>
        <w:fldChar w:fldCharType="separate"/>
      </w:r>
      <w:r w:rsidR="00CF3380">
        <w:rPr>
          <w:noProof/>
          <w:color w:val="auto"/>
        </w:rPr>
        <w:t>4</w:t>
      </w:r>
      <w:r w:rsidRPr="005A3F47">
        <w:rPr>
          <w:noProof/>
          <w:color w:val="auto"/>
        </w:rPr>
        <w:fldChar w:fldCharType="end"/>
      </w:r>
      <w:bookmarkEnd w:id="24"/>
      <w:r w:rsidRPr="005A3F47">
        <w:rPr>
          <w:noProof/>
          <w:color w:val="auto"/>
        </w:rPr>
        <w:t>: Interest Limitation Rule in ATAD</w:t>
      </w:r>
    </w:p>
    <w:tbl>
      <w:tblPr>
        <w:tblStyle w:val="TableGrid"/>
        <w:tblW w:w="0" w:type="auto"/>
        <w:tblLook w:val="04A0" w:firstRow="1" w:lastRow="0" w:firstColumn="1" w:lastColumn="0" w:noHBand="0" w:noVBand="1"/>
      </w:tblPr>
      <w:tblGrid>
        <w:gridCol w:w="9825"/>
      </w:tblGrid>
      <w:tr w:rsidR="00DF31EA" w:rsidRPr="005A3F47" w14:paraId="6B9BA49C" w14:textId="77777777">
        <w:tc>
          <w:tcPr>
            <w:tcW w:w="9828" w:type="dxa"/>
          </w:tcPr>
          <w:p w14:paraId="5F80CF40" w14:textId="2C22F5CC" w:rsidR="00DF31EA" w:rsidRPr="005A3F47" w:rsidRDefault="00DF31EA">
            <w:pPr>
              <w:spacing w:before="120" w:after="120" w:line="259" w:lineRule="auto"/>
              <w:ind w:left="284" w:right="284"/>
              <w:rPr>
                <w:noProof/>
              </w:rPr>
            </w:pPr>
            <w:r w:rsidRPr="005A3F47">
              <w:rPr>
                <w:noProof/>
              </w:rPr>
              <w:t>The I</w:t>
            </w:r>
            <w:r w:rsidR="003046CD" w:rsidRPr="005A3F47">
              <w:rPr>
                <w:noProof/>
              </w:rPr>
              <w:t xml:space="preserve">nterest </w:t>
            </w:r>
            <w:r w:rsidRPr="005A3F47">
              <w:rPr>
                <w:noProof/>
              </w:rPr>
              <w:t>L</w:t>
            </w:r>
            <w:r w:rsidR="003046CD" w:rsidRPr="005A3F47">
              <w:rPr>
                <w:noProof/>
              </w:rPr>
              <w:t xml:space="preserve">imitation </w:t>
            </w:r>
            <w:r w:rsidRPr="005A3F47">
              <w:rPr>
                <w:noProof/>
              </w:rPr>
              <w:t>R</w:t>
            </w:r>
            <w:r w:rsidR="003046CD" w:rsidRPr="005A3F47">
              <w:rPr>
                <w:noProof/>
              </w:rPr>
              <w:t>ule</w:t>
            </w:r>
            <w:r w:rsidRPr="005A3F47">
              <w:rPr>
                <w:noProof/>
              </w:rPr>
              <w:t xml:space="preserve"> caps the amount of interest that corporate taxpayers are entitled to deduct in a tax year. The purpose of this rule is to limit deductible interest expenses which can be strategically used by taxpayers to place excessive debt in high-tax jurisdictions in order to reduce their tax liability. However, this rule has not put an end to the fragmentation in the internal market as its transposition varies strongly from one Member State to another. This is a result of the ATAD</w:t>
            </w:r>
            <w:r w:rsidRPr="005A3F47" w:rsidDel="00F37D6C">
              <w:rPr>
                <w:noProof/>
              </w:rPr>
              <w:t xml:space="preserve"> </w:t>
            </w:r>
            <w:r w:rsidRPr="005A3F47">
              <w:rPr>
                <w:noProof/>
              </w:rPr>
              <w:t>offering a number of transposition options related to</w:t>
            </w:r>
            <w:r w:rsidR="0084692A" w:rsidRPr="005A3F47">
              <w:rPr>
                <w:noProof/>
              </w:rPr>
              <w:t>:</w:t>
            </w:r>
            <w:r w:rsidRPr="005A3F47">
              <w:rPr>
                <w:noProof/>
              </w:rPr>
              <w:t xml:space="preserve"> i) the deductibility limit, ii) a de minimis safe harbour, iii) a standalone entity exemption, iv) a grandfathering clause, v) an infrastructure exemption, vi) a group escape, vii) carry forward and carry back options, and viii) an exclusion of financial undertakings. According to the ATAD evaluation, the various options have led to excessive fragmentation. </w:t>
            </w:r>
            <w:r w:rsidRPr="005A3F47">
              <w:rPr>
                <w:rFonts w:cs="Arial"/>
                <w:noProof/>
                <w:lang w:eastAsia="da-DK"/>
              </w:rPr>
              <w:t xml:space="preserve">For instance, </w:t>
            </w:r>
            <w:r w:rsidR="1EE715D8" w:rsidRPr="005A3F47">
              <w:rPr>
                <w:rFonts w:cs="Arial"/>
                <w:noProof/>
                <w:lang w:eastAsia="da-DK"/>
              </w:rPr>
              <w:t>6</w:t>
            </w:r>
            <w:r w:rsidRPr="005A3F47">
              <w:rPr>
                <w:rFonts w:cs="Arial"/>
                <w:noProof/>
                <w:lang w:eastAsia="da-DK"/>
              </w:rPr>
              <w:t xml:space="preserve"> Member States adopted safe harbours lower than the minimum standard of EUR 3 million established in the ATAD, and 7 did not exclude the application of the rule to loans used to fund long-term public infrastructure projects.</w:t>
            </w:r>
            <w:r w:rsidRPr="005A3F47">
              <w:rPr>
                <w:rStyle w:val="FootnoteReference"/>
                <w:rFonts w:cs="Arial"/>
                <w:noProof/>
                <w:lang w:eastAsia="da-DK"/>
              </w:rPr>
              <w:footnoteReference w:id="31"/>
            </w:r>
            <w:r w:rsidRPr="005A3F47">
              <w:rPr>
                <w:rFonts w:cs="Arial"/>
                <w:noProof/>
                <w:lang w:eastAsia="da-DK"/>
              </w:rPr>
              <w:t xml:space="preserve"> </w:t>
            </w:r>
          </w:p>
        </w:tc>
      </w:tr>
    </w:tbl>
    <w:p w14:paraId="4D06F71F" w14:textId="77777777" w:rsidR="00DF31EA" w:rsidRPr="005A3F47" w:rsidRDefault="00DF31EA" w:rsidP="00DF31EA">
      <w:pPr>
        <w:spacing w:after="0" w:line="259" w:lineRule="auto"/>
        <w:rPr>
          <w:noProof/>
        </w:rPr>
      </w:pPr>
    </w:p>
    <w:p w14:paraId="3B3F4840" w14:textId="543C550C" w:rsidR="008C1A0F" w:rsidRPr="005A3F47" w:rsidRDefault="00DF31EA" w:rsidP="00DF31EA">
      <w:pPr>
        <w:spacing w:line="259" w:lineRule="auto"/>
        <w:rPr>
          <w:noProof/>
        </w:rPr>
      </w:pPr>
      <w:r w:rsidRPr="005A3F47">
        <w:rPr>
          <w:noProof/>
        </w:rPr>
        <w:t>In addition, for a variety of reasons that may have been justified at the time, some legal texts were not sufficiently aligned with other legal acts when the Directives were drafted or negotiated. Such lack of consistency is, for example, the case for the definitions of eligible companies in the PSD, IRD, and TMD. These differences in eligibility requirements create problems</w:t>
      </w:r>
      <w:r w:rsidR="00073B41" w:rsidRPr="005A3F47">
        <w:rPr>
          <w:noProof/>
        </w:rPr>
        <w:t>,</w:t>
      </w:r>
      <w:r w:rsidRPr="005A3F47">
        <w:rPr>
          <w:noProof/>
        </w:rPr>
        <w:t xml:space="preserve"> as they entail inconsistent access for businesses to the benefits of</w:t>
      </w:r>
      <w:r w:rsidRPr="005A3F47" w:rsidDel="00952C7A">
        <w:rPr>
          <w:noProof/>
        </w:rPr>
        <w:t xml:space="preserve"> </w:t>
      </w:r>
      <w:r w:rsidRPr="005A3F47">
        <w:rPr>
          <w:noProof/>
        </w:rPr>
        <w:t>the IRD, PSD and TMD. This results in increased risks of disputes, competitiveness concerns and, ultimately, underuse of the potential of internal market.</w:t>
      </w:r>
    </w:p>
    <w:p w14:paraId="3B206A2A" w14:textId="00C95C35" w:rsidR="00AE165E" w:rsidRPr="005A3F47" w:rsidRDefault="003F6B95" w:rsidP="00441F04">
      <w:pPr>
        <w:pStyle w:val="ListParagraph"/>
        <w:numPr>
          <w:ilvl w:val="2"/>
          <w:numId w:val="185"/>
        </w:numPr>
        <w:spacing w:line="259" w:lineRule="auto"/>
        <w:rPr>
          <w:i/>
          <w:iCs/>
          <w:noProof/>
        </w:rPr>
      </w:pPr>
      <w:r w:rsidRPr="005A3F47">
        <w:rPr>
          <w:i/>
          <w:iCs/>
          <w:noProof/>
        </w:rPr>
        <w:t>Tax barriers on cross-border</w:t>
      </w:r>
      <w:r w:rsidR="004954DF" w:rsidRPr="005A3F47">
        <w:rPr>
          <w:i/>
          <w:iCs/>
          <w:noProof/>
        </w:rPr>
        <w:t xml:space="preserve"> business </w:t>
      </w:r>
      <w:r w:rsidR="00DA5513" w:rsidRPr="005A3F47">
        <w:rPr>
          <w:i/>
          <w:iCs/>
          <w:noProof/>
        </w:rPr>
        <w:t>activities</w:t>
      </w:r>
    </w:p>
    <w:p w14:paraId="0E1CDE4F" w14:textId="22E78340" w:rsidR="002B343F" w:rsidRPr="005A3F47" w:rsidRDefault="00122C17" w:rsidP="00C04F8F">
      <w:pPr>
        <w:spacing w:line="259" w:lineRule="auto"/>
        <w:rPr>
          <w:noProof/>
        </w:rPr>
      </w:pPr>
      <w:r w:rsidRPr="005A3F47">
        <w:rPr>
          <w:noProof/>
        </w:rPr>
        <w:t>While</w:t>
      </w:r>
      <w:r w:rsidR="00834BE6" w:rsidRPr="005A3F47">
        <w:rPr>
          <w:noProof/>
        </w:rPr>
        <w:t xml:space="preserve"> </w:t>
      </w:r>
      <w:r w:rsidR="265E2FF5" w:rsidRPr="005A3F47">
        <w:rPr>
          <w:noProof/>
        </w:rPr>
        <w:t xml:space="preserve">the </w:t>
      </w:r>
      <w:r w:rsidR="00412A8C" w:rsidRPr="005A3F47">
        <w:rPr>
          <w:noProof/>
        </w:rPr>
        <w:t>existing</w:t>
      </w:r>
      <w:r w:rsidR="265E2FF5" w:rsidRPr="005A3F47">
        <w:rPr>
          <w:noProof/>
        </w:rPr>
        <w:t xml:space="preserve"> </w:t>
      </w:r>
      <w:r w:rsidR="38506627" w:rsidRPr="005A3F47">
        <w:rPr>
          <w:noProof/>
        </w:rPr>
        <w:t>D</w:t>
      </w:r>
      <w:r w:rsidR="265E2FF5" w:rsidRPr="005A3F47">
        <w:rPr>
          <w:noProof/>
        </w:rPr>
        <w:t xml:space="preserve">irectives have </w:t>
      </w:r>
      <w:r w:rsidR="5DD30BC2" w:rsidRPr="005A3F47">
        <w:rPr>
          <w:noProof/>
        </w:rPr>
        <w:t>improved the functioning of the internal market</w:t>
      </w:r>
      <w:r w:rsidR="4E6658CC" w:rsidRPr="005A3F47">
        <w:rPr>
          <w:noProof/>
        </w:rPr>
        <w:t xml:space="preserve"> by removing </w:t>
      </w:r>
      <w:r w:rsidR="0FB84C35" w:rsidRPr="005A3F47">
        <w:rPr>
          <w:noProof/>
        </w:rPr>
        <w:t xml:space="preserve">certain </w:t>
      </w:r>
      <w:r w:rsidR="00412A8C" w:rsidRPr="005A3F47">
        <w:rPr>
          <w:noProof/>
        </w:rPr>
        <w:t>distortions</w:t>
      </w:r>
      <w:r w:rsidR="63F9CFE8" w:rsidRPr="005A3F47">
        <w:rPr>
          <w:noProof/>
        </w:rPr>
        <w:t xml:space="preserve"> caused by </w:t>
      </w:r>
      <w:r w:rsidR="1DBA91FE" w:rsidRPr="005A3F47">
        <w:rPr>
          <w:noProof/>
        </w:rPr>
        <w:t xml:space="preserve">diverging national </w:t>
      </w:r>
      <w:r w:rsidR="00A30F5E" w:rsidRPr="005A3F47">
        <w:rPr>
          <w:noProof/>
        </w:rPr>
        <w:t xml:space="preserve">tax </w:t>
      </w:r>
      <w:r w:rsidR="1DBA91FE" w:rsidRPr="005A3F47">
        <w:rPr>
          <w:noProof/>
        </w:rPr>
        <w:t>treatments</w:t>
      </w:r>
      <w:r w:rsidR="008720DB" w:rsidRPr="005A3F47">
        <w:rPr>
          <w:noProof/>
        </w:rPr>
        <w:t>,</w:t>
      </w:r>
      <w:r w:rsidR="00EC66C9" w:rsidRPr="005A3F47">
        <w:rPr>
          <w:noProof/>
        </w:rPr>
        <w:t xml:space="preserve"> approximately 70% of the respondents in the Call for Evidence </w:t>
      </w:r>
      <w:r w:rsidR="00EF2788" w:rsidRPr="005A3F47">
        <w:rPr>
          <w:noProof/>
        </w:rPr>
        <w:t xml:space="preserve">still </w:t>
      </w:r>
      <w:r w:rsidR="00EC66C9" w:rsidRPr="005A3F47">
        <w:rPr>
          <w:noProof/>
        </w:rPr>
        <w:t>identified</w:t>
      </w:r>
      <w:r w:rsidR="0FB84C35" w:rsidRPr="005A3F47">
        <w:rPr>
          <w:noProof/>
        </w:rPr>
        <w:t xml:space="preserve"> </w:t>
      </w:r>
      <w:r w:rsidR="22C91AA2" w:rsidRPr="005A3F47">
        <w:rPr>
          <w:noProof/>
        </w:rPr>
        <w:t xml:space="preserve">tax </w:t>
      </w:r>
      <w:r w:rsidR="0FB84C35" w:rsidRPr="005A3F47">
        <w:rPr>
          <w:noProof/>
        </w:rPr>
        <w:t xml:space="preserve">barriers </w:t>
      </w:r>
      <w:r w:rsidR="00D63B45" w:rsidRPr="005A3F47">
        <w:rPr>
          <w:noProof/>
        </w:rPr>
        <w:t>in the internal market</w:t>
      </w:r>
      <w:r w:rsidR="0FB84C35" w:rsidRPr="005A3F47">
        <w:rPr>
          <w:noProof/>
        </w:rPr>
        <w:t xml:space="preserve"> </w:t>
      </w:r>
      <w:r w:rsidR="006C137E" w:rsidRPr="005A3F47">
        <w:rPr>
          <w:noProof/>
        </w:rPr>
        <w:t xml:space="preserve">as a factor </w:t>
      </w:r>
      <w:r w:rsidR="000C1644" w:rsidRPr="005A3F47">
        <w:rPr>
          <w:noProof/>
        </w:rPr>
        <w:t xml:space="preserve">for </w:t>
      </w:r>
      <w:r w:rsidR="274855A8" w:rsidRPr="005A3F47">
        <w:rPr>
          <w:noProof/>
        </w:rPr>
        <w:t>preventing business</w:t>
      </w:r>
      <w:r w:rsidR="00AC623B" w:rsidRPr="005A3F47">
        <w:rPr>
          <w:noProof/>
        </w:rPr>
        <w:t>es</w:t>
      </w:r>
      <w:r w:rsidR="274855A8" w:rsidRPr="005A3F47">
        <w:rPr>
          <w:noProof/>
        </w:rPr>
        <w:t xml:space="preserve"> to </w:t>
      </w:r>
      <w:r w:rsidR="70C1E79C" w:rsidRPr="005A3F47">
        <w:rPr>
          <w:noProof/>
        </w:rPr>
        <w:t>engage more extensively in</w:t>
      </w:r>
      <w:r w:rsidR="274855A8" w:rsidRPr="005A3F47">
        <w:rPr>
          <w:noProof/>
        </w:rPr>
        <w:t xml:space="preserve"> cross-border </w:t>
      </w:r>
      <w:r w:rsidR="00931859" w:rsidRPr="005A3F47">
        <w:rPr>
          <w:noProof/>
        </w:rPr>
        <w:t>activities</w:t>
      </w:r>
      <w:r w:rsidR="0FB84C35" w:rsidRPr="005A3F47">
        <w:rPr>
          <w:noProof/>
        </w:rPr>
        <w:t>.</w:t>
      </w:r>
      <w:r w:rsidR="00C6275B" w:rsidRPr="005A3F47">
        <w:rPr>
          <w:rStyle w:val="FootnoteReference"/>
          <w:noProof/>
        </w:rPr>
        <w:footnoteReference w:id="32"/>
      </w:r>
      <w:r w:rsidR="5DD30BC2" w:rsidRPr="005A3F47">
        <w:rPr>
          <w:noProof/>
        </w:rPr>
        <w:t xml:space="preserve"> </w:t>
      </w:r>
    </w:p>
    <w:p w14:paraId="63E8814E" w14:textId="6E7FA13C" w:rsidR="00731027" w:rsidRPr="005A3F47" w:rsidRDefault="00080A3A" w:rsidP="00E030F6">
      <w:pPr>
        <w:spacing w:line="259" w:lineRule="auto"/>
        <w:rPr>
          <w:noProof/>
        </w:rPr>
      </w:pPr>
      <w:r w:rsidRPr="005A3F47">
        <w:rPr>
          <w:noProof/>
        </w:rPr>
        <w:t>In this regard, s</w:t>
      </w:r>
      <w:r w:rsidR="00981BED" w:rsidRPr="005A3F47">
        <w:rPr>
          <w:noProof/>
        </w:rPr>
        <w:t>tudies do</w:t>
      </w:r>
      <w:r w:rsidRPr="005A3F47">
        <w:rPr>
          <w:noProof/>
        </w:rPr>
        <w:t>ne by or for the European Parliament</w:t>
      </w:r>
      <w:r w:rsidR="00981BED" w:rsidRPr="005A3F47">
        <w:rPr>
          <w:noProof/>
        </w:rPr>
        <w:t xml:space="preserve"> have criticised Member States for finding it much easier to agree on curbing international tax planning, including implementing rules agreed at OECD level,</w:t>
      </w:r>
      <w:r w:rsidR="00D22D96" w:rsidRPr="005A3F47">
        <w:rPr>
          <w:noProof/>
        </w:rPr>
        <w:t xml:space="preserve"> such as ATAD and Pillar 2,</w:t>
      </w:r>
      <w:r w:rsidR="00981BED" w:rsidRPr="005A3F47">
        <w:rPr>
          <w:noProof/>
        </w:rPr>
        <w:t xml:space="preserve"> than on reducing tax and administrative barriers in the internal market, resulting in </w:t>
      </w:r>
      <w:r w:rsidR="0083773B" w:rsidRPr="005A3F47">
        <w:rPr>
          <w:noProof/>
        </w:rPr>
        <w:t>what one study</w:t>
      </w:r>
      <w:r w:rsidR="004239F7" w:rsidRPr="005A3F47">
        <w:rPr>
          <w:noProof/>
        </w:rPr>
        <w:t>,</w:t>
      </w:r>
      <w:r w:rsidR="0083773B" w:rsidRPr="005A3F47">
        <w:rPr>
          <w:noProof/>
        </w:rPr>
        <w:t xml:space="preserve"> </w:t>
      </w:r>
      <w:r w:rsidR="00EE3B7A" w:rsidRPr="005A3F47">
        <w:rPr>
          <w:noProof/>
        </w:rPr>
        <w:t>for instance</w:t>
      </w:r>
      <w:r w:rsidR="004239F7" w:rsidRPr="005A3F47">
        <w:rPr>
          <w:noProof/>
        </w:rPr>
        <w:t>,</w:t>
      </w:r>
      <w:r w:rsidR="00EE3B7A" w:rsidRPr="005A3F47">
        <w:rPr>
          <w:noProof/>
        </w:rPr>
        <w:t xml:space="preserve"> </w:t>
      </w:r>
      <w:r w:rsidR="0083773B" w:rsidRPr="005A3F47">
        <w:rPr>
          <w:noProof/>
        </w:rPr>
        <w:t xml:space="preserve">calls </w:t>
      </w:r>
      <w:r w:rsidR="00981BED" w:rsidRPr="005A3F47">
        <w:rPr>
          <w:noProof/>
        </w:rPr>
        <w:t>a ‘complexity explosion’.</w:t>
      </w:r>
      <w:r w:rsidR="00981BED" w:rsidRPr="005A3F47">
        <w:rPr>
          <w:rStyle w:val="FootnoteReference"/>
          <w:iCs/>
          <w:noProof/>
        </w:rPr>
        <w:footnoteReference w:id="33"/>
      </w:r>
      <w:r w:rsidR="00E030F6" w:rsidRPr="005A3F47">
        <w:rPr>
          <w:noProof/>
        </w:rPr>
        <w:t xml:space="preserve"> According to the Tax Complexity Index, tax rules and procedures are generally more complex in the EU than in other big economies, such as the U</w:t>
      </w:r>
      <w:r w:rsidR="0076570F" w:rsidRPr="005A3F47">
        <w:rPr>
          <w:noProof/>
        </w:rPr>
        <w:t xml:space="preserve">nited </w:t>
      </w:r>
      <w:r w:rsidR="00E030F6" w:rsidRPr="005A3F47">
        <w:rPr>
          <w:noProof/>
        </w:rPr>
        <w:t>S</w:t>
      </w:r>
      <w:r w:rsidR="0076570F" w:rsidRPr="005A3F47">
        <w:rPr>
          <w:noProof/>
        </w:rPr>
        <w:t>tates</w:t>
      </w:r>
      <w:r w:rsidR="00E030F6" w:rsidRPr="005A3F47">
        <w:rPr>
          <w:noProof/>
        </w:rPr>
        <w:t xml:space="preserve"> and China</w:t>
      </w:r>
      <w:r w:rsidR="005D385C" w:rsidRPr="005A3F47">
        <w:rPr>
          <w:noProof/>
        </w:rPr>
        <w:t>.</w:t>
      </w:r>
      <w:r w:rsidR="009A15BA" w:rsidRPr="005A3F47">
        <w:rPr>
          <w:rStyle w:val="FootnoteReference"/>
          <w:noProof/>
        </w:rPr>
        <w:footnoteReference w:id="34"/>
      </w:r>
      <w:r w:rsidR="00640B43" w:rsidRPr="005A3F47">
        <w:rPr>
          <w:noProof/>
        </w:rPr>
        <w:t xml:space="preserve"> </w:t>
      </w:r>
    </w:p>
    <w:p w14:paraId="758738DE" w14:textId="182F3F40" w:rsidR="00B41B98" w:rsidRPr="005A3F47" w:rsidRDefault="00455F2C" w:rsidP="00C04F8F">
      <w:pPr>
        <w:spacing w:line="259" w:lineRule="auto"/>
        <w:rPr>
          <w:noProof/>
        </w:rPr>
      </w:pPr>
      <w:r w:rsidRPr="005A3F47">
        <w:rPr>
          <w:noProof/>
        </w:rPr>
        <w:t xml:space="preserve">Tax </w:t>
      </w:r>
      <w:r w:rsidR="00E0769A" w:rsidRPr="005A3F47">
        <w:rPr>
          <w:noProof/>
        </w:rPr>
        <w:t xml:space="preserve">obstacles, including </w:t>
      </w:r>
      <w:r w:rsidRPr="005A3F47">
        <w:rPr>
          <w:noProof/>
        </w:rPr>
        <w:t>c</w:t>
      </w:r>
      <w:r w:rsidR="004A6BE1" w:rsidRPr="005A3F47">
        <w:rPr>
          <w:noProof/>
        </w:rPr>
        <w:t>omplexity</w:t>
      </w:r>
      <w:r w:rsidR="00E0769A" w:rsidRPr="005A3F47">
        <w:rPr>
          <w:noProof/>
        </w:rPr>
        <w:t>,</w:t>
      </w:r>
      <w:r w:rsidR="002068EE" w:rsidRPr="005A3F47">
        <w:rPr>
          <w:noProof/>
        </w:rPr>
        <w:t xml:space="preserve"> </w:t>
      </w:r>
      <w:r w:rsidR="00EA1D73" w:rsidRPr="005A3F47">
        <w:rPr>
          <w:noProof/>
        </w:rPr>
        <w:t>cause</w:t>
      </w:r>
      <w:r w:rsidR="00E45AD6" w:rsidRPr="005A3F47">
        <w:rPr>
          <w:noProof/>
        </w:rPr>
        <w:t xml:space="preserve"> </w:t>
      </w:r>
      <w:r w:rsidR="00C809D6" w:rsidRPr="005A3F47">
        <w:rPr>
          <w:noProof/>
        </w:rPr>
        <w:t>underuse of the</w:t>
      </w:r>
      <w:r w:rsidR="006222FD" w:rsidRPr="005A3F47">
        <w:rPr>
          <w:noProof/>
        </w:rPr>
        <w:t xml:space="preserve"> potential of</w:t>
      </w:r>
      <w:r w:rsidR="00C809D6" w:rsidRPr="005A3F47">
        <w:rPr>
          <w:noProof/>
        </w:rPr>
        <w:t xml:space="preserve"> internal market and competitiveness concerns.</w:t>
      </w:r>
      <w:r w:rsidR="00731027" w:rsidRPr="005A3F47">
        <w:rPr>
          <w:noProof/>
        </w:rPr>
        <w:t xml:space="preserve"> </w:t>
      </w:r>
      <w:r w:rsidR="5A770C5A" w:rsidRPr="005A3F47">
        <w:rPr>
          <w:noProof/>
        </w:rPr>
        <w:t>For instance</w:t>
      </w:r>
      <w:r w:rsidR="213A615A" w:rsidRPr="005A3F47">
        <w:rPr>
          <w:noProof/>
        </w:rPr>
        <w:t>,</w:t>
      </w:r>
      <w:r w:rsidR="599D496D" w:rsidRPr="005A3F47">
        <w:rPr>
          <w:noProof/>
        </w:rPr>
        <w:t xml:space="preserve"> the</w:t>
      </w:r>
      <w:r w:rsidR="0B890B22" w:rsidRPr="005A3F47">
        <w:rPr>
          <w:noProof/>
        </w:rPr>
        <w:t xml:space="preserve"> IRD and PSD</w:t>
      </w:r>
      <w:r w:rsidR="560BDD36" w:rsidRPr="005A3F47">
        <w:rPr>
          <w:noProof/>
        </w:rPr>
        <w:t xml:space="preserve"> only exempt </w:t>
      </w:r>
      <w:r w:rsidR="3743E360" w:rsidRPr="005A3F47">
        <w:rPr>
          <w:noProof/>
        </w:rPr>
        <w:t xml:space="preserve">certain </w:t>
      </w:r>
      <w:r w:rsidR="0CB5977C" w:rsidRPr="005A3F47">
        <w:rPr>
          <w:noProof/>
        </w:rPr>
        <w:t>intra-group</w:t>
      </w:r>
      <w:r w:rsidR="3743E360" w:rsidRPr="005A3F47">
        <w:rPr>
          <w:noProof/>
        </w:rPr>
        <w:t xml:space="preserve"> payments</w:t>
      </w:r>
      <w:r w:rsidR="52DFC037" w:rsidRPr="005A3F47">
        <w:rPr>
          <w:noProof/>
        </w:rPr>
        <w:t xml:space="preserve"> </w:t>
      </w:r>
      <w:r w:rsidR="23DEF920" w:rsidRPr="005A3F47">
        <w:rPr>
          <w:noProof/>
        </w:rPr>
        <w:t>from withholding tax</w:t>
      </w:r>
      <w:r w:rsidR="5E55F909" w:rsidRPr="005A3F47">
        <w:rPr>
          <w:noProof/>
        </w:rPr>
        <w:t>,</w:t>
      </w:r>
      <w:r w:rsidR="4A2EBA8C" w:rsidRPr="005A3F47">
        <w:rPr>
          <w:noProof/>
        </w:rPr>
        <w:t xml:space="preserve"> subject to specific conditions and procedural </w:t>
      </w:r>
      <w:r w:rsidR="12AB4371" w:rsidRPr="005A3F47">
        <w:rPr>
          <w:noProof/>
        </w:rPr>
        <w:t>restrictions</w:t>
      </w:r>
      <w:r w:rsidR="00604BB7" w:rsidRPr="005A3F47">
        <w:rPr>
          <w:noProof/>
        </w:rPr>
        <w:t xml:space="preserve"> (Box 5)</w:t>
      </w:r>
      <w:r w:rsidR="4A2EBA8C" w:rsidRPr="005A3F47">
        <w:rPr>
          <w:noProof/>
        </w:rPr>
        <w:t>.</w:t>
      </w:r>
      <w:r w:rsidR="0B890B22" w:rsidRPr="005A3F47">
        <w:rPr>
          <w:noProof/>
        </w:rPr>
        <w:t xml:space="preserve"> </w:t>
      </w:r>
      <w:r w:rsidR="316C7673" w:rsidRPr="005A3F47">
        <w:rPr>
          <w:noProof/>
        </w:rPr>
        <w:t xml:space="preserve">This means that </w:t>
      </w:r>
      <w:r w:rsidR="5654411F" w:rsidRPr="005A3F47">
        <w:rPr>
          <w:noProof/>
        </w:rPr>
        <w:t xml:space="preserve">national </w:t>
      </w:r>
      <w:r w:rsidR="316C7673" w:rsidRPr="005A3F47">
        <w:rPr>
          <w:noProof/>
        </w:rPr>
        <w:t>withholding taxes</w:t>
      </w:r>
      <w:r w:rsidR="30CA966B" w:rsidRPr="005A3F47">
        <w:rPr>
          <w:noProof/>
        </w:rPr>
        <w:t xml:space="preserve"> </w:t>
      </w:r>
      <w:r w:rsidR="316C7673" w:rsidRPr="005A3F47">
        <w:rPr>
          <w:noProof/>
        </w:rPr>
        <w:t>still apply</w:t>
      </w:r>
      <w:r w:rsidR="67F0FE8A" w:rsidRPr="005A3F47">
        <w:rPr>
          <w:noProof/>
        </w:rPr>
        <w:t xml:space="preserve"> to many cross-border business transactions in the EU</w:t>
      </w:r>
      <w:r w:rsidR="22E1557E" w:rsidRPr="005A3F47">
        <w:rPr>
          <w:noProof/>
        </w:rPr>
        <w:t xml:space="preserve"> and are coupled</w:t>
      </w:r>
      <w:r w:rsidR="7DFF19D5" w:rsidRPr="005A3F47">
        <w:rPr>
          <w:noProof/>
        </w:rPr>
        <w:t xml:space="preserve"> </w:t>
      </w:r>
      <w:r w:rsidR="36491059" w:rsidRPr="005A3F47">
        <w:rPr>
          <w:noProof/>
        </w:rPr>
        <w:t xml:space="preserve">with different procedures </w:t>
      </w:r>
      <w:r w:rsidR="4B248CA6" w:rsidRPr="005A3F47">
        <w:rPr>
          <w:noProof/>
        </w:rPr>
        <w:t xml:space="preserve">while </w:t>
      </w:r>
      <w:r w:rsidR="2F18AE9F" w:rsidRPr="005A3F47">
        <w:rPr>
          <w:noProof/>
        </w:rPr>
        <w:t>interacting with</w:t>
      </w:r>
      <w:r w:rsidR="4B248CA6" w:rsidRPr="005A3F47">
        <w:rPr>
          <w:noProof/>
        </w:rPr>
        <w:t xml:space="preserve"> </w:t>
      </w:r>
      <w:r w:rsidR="36491059" w:rsidRPr="005A3F47">
        <w:rPr>
          <w:noProof/>
        </w:rPr>
        <w:t>applicable tax treat</w:t>
      </w:r>
      <w:r w:rsidR="77222CCB" w:rsidRPr="005A3F47">
        <w:rPr>
          <w:noProof/>
        </w:rPr>
        <w:t>ies</w:t>
      </w:r>
      <w:r w:rsidR="29730165" w:rsidRPr="005A3F47">
        <w:rPr>
          <w:noProof/>
        </w:rPr>
        <w:t>.</w:t>
      </w:r>
      <w:r w:rsidR="3A65B00C" w:rsidRPr="005A3F47">
        <w:rPr>
          <w:noProof/>
        </w:rPr>
        <w:t xml:space="preserve"> </w:t>
      </w:r>
      <w:r w:rsidR="771DF3EC" w:rsidRPr="005A3F47">
        <w:rPr>
          <w:noProof/>
        </w:rPr>
        <w:t>As a result,</w:t>
      </w:r>
      <w:r w:rsidR="4DF85CCD" w:rsidRPr="005A3F47">
        <w:rPr>
          <w:noProof/>
        </w:rPr>
        <w:t xml:space="preserve"> </w:t>
      </w:r>
      <w:r w:rsidR="6F3B3C6D" w:rsidRPr="005A3F47">
        <w:rPr>
          <w:noProof/>
        </w:rPr>
        <w:t>businesses</w:t>
      </w:r>
      <w:r w:rsidR="4DF85CCD" w:rsidRPr="005A3F47">
        <w:rPr>
          <w:noProof/>
        </w:rPr>
        <w:t xml:space="preserve"> operating across borders generally </w:t>
      </w:r>
      <w:r w:rsidR="19243363" w:rsidRPr="005A3F47">
        <w:rPr>
          <w:noProof/>
        </w:rPr>
        <w:t>face</w:t>
      </w:r>
      <w:r w:rsidR="4DF85CCD" w:rsidRPr="005A3F47">
        <w:rPr>
          <w:noProof/>
        </w:rPr>
        <w:t xml:space="preserve"> more cumbersome </w:t>
      </w:r>
      <w:r w:rsidR="003377CF" w:rsidRPr="005A3F47">
        <w:rPr>
          <w:noProof/>
        </w:rPr>
        <w:t xml:space="preserve">rules </w:t>
      </w:r>
      <w:r w:rsidR="6F3B3C6D" w:rsidRPr="005A3F47">
        <w:rPr>
          <w:noProof/>
        </w:rPr>
        <w:t>than purely domestic companies</w:t>
      </w:r>
      <w:r w:rsidR="6E1B1E88" w:rsidRPr="005A3F47">
        <w:rPr>
          <w:noProof/>
        </w:rPr>
        <w:t xml:space="preserve">. This </w:t>
      </w:r>
      <w:r w:rsidR="2948EB59" w:rsidRPr="005A3F47">
        <w:rPr>
          <w:noProof/>
        </w:rPr>
        <w:t>limits business prospect</w:t>
      </w:r>
      <w:r w:rsidR="6735EC42" w:rsidRPr="005A3F47">
        <w:rPr>
          <w:noProof/>
        </w:rPr>
        <w:t>s</w:t>
      </w:r>
      <w:r w:rsidR="2948EB59" w:rsidRPr="005A3F47">
        <w:rPr>
          <w:noProof/>
        </w:rPr>
        <w:t xml:space="preserve"> </w:t>
      </w:r>
      <w:r w:rsidR="6735EC42" w:rsidRPr="005A3F47">
        <w:rPr>
          <w:noProof/>
        </w:rPr>
        <w:t xml:space="preserve">for expansion within </w:t>
      </w:r>
      <w:r w:rsidR="2948EB59" w:rsidRPr="005A3F47">
        <w:rPr>
          <w:noProof/>
        </w:rPr>
        <w:t>the internal market</w:t>
      </w:r>
      <w:r w:rsidR="6E1B1E88" w:rsidRPr="005A3F47">
        <w:rPr>
          <w:noProof/>
        </w:rPr>
        <w:t xml:space="preserve"> and</w:t>
      </w:r>
      <w:r w:rsidR="1340967F" w:rsidRPr="005A3F47">
        <w:rPr>
          <w:noProof/>
        </w:rPr>
        <w:t>,</w:t>
      </w:r>
      <w:r w:rsidR="6E1B1E88" w:rsidRPr="005A3F47">
        <w:rPr>
          <w:noProof/>
        </w:rPr>
        <w:t xml:space="preserve"> </w:t>
      </w:r>
      <w:r w:rsidR="1F803370" w:rsidRPr="005A3F47">
        <w:rPr>
          <w:noProof/>
        </w:rPr>
        <w:t>consequently</w:t>
      </w:r>
      <w:r w:rsidR="6735EC42" w:rsidRPr="005A3F47">
        <w:rPr>
          <w:noProof/>
        </w:rPr>
        <w:t xml:space="preserve">, </w:t>
      </w:r>
      <w:r w:rsidR="5C4036B8" w:rsidRPr="005A3F47">
        <w:rPr>
          <w:noProof/>
        </w:rPr>
        <w:t>economic growth.</w:t>
      </w:r>
      <w:r w:rsidR="00A9277C" w:rsidRPr="005A3F47">
        <w:rPr>
          <w:noProof/>
        </w:rPr>
        <w:t xml:space="preserve"> </w:t>
      </w:r>
    </w:p>
    <w:p w14:paraId="5414E59F" w14:textId="01A64F1F" w:rsidR="00EA3EE7" w:rsidRPr="005A3F47" w:rsidRDefault="00EA3EE7" w:rsidP="00302233">
      <w:pPr>
        <w:pStyle w:val="Caption"/>
        <w:keepNext/>
        <w:rPr>
          <w:noProof/>
        </w:rPr>
      </w:pPr>
      <w:r w:rsidRPr="005A3F47">
        <w:rPr>
          <w:noProof/>
          <w:color w:val="auto"/>
        </w:rPr>
        <w:t xml:space="preserve">Box </w:t>
      </w:r>
      <w:r w:rsidRPr="005A3F47">
        <w:rPr>
          <w:noProof/>
          <w:color w:val="auto"/>
        </w:rPr>
        <w:fldChar w:fldCharType="begin"/>
      </w:r>
      <w:r w:rsidRPr="005A3F47">
        <w:rPr>
          <w:noProof/>
          <w:color w:val="auto"/>
        </w:rPr>
        <w:instrText xml:space="preserve"> SEQ Box \* ARABIC </w:instrText>
      </w:r>
      <w:r w:rsidRPr="005A3F47">
        <w:rPr>
          <w:noProof/>
          <w:color w:val="auto"/>
        </w:rPr>
        <w:fldChar w:fldCharType="separate"/>
      </w:r>
      <w:r w:rsidR="00CF3380">
        <w:rPr>
          <w:noProof/>
          <w:color w:val="auto"/>
        </w:rPr>
        <w:t>5</w:t>
      </w:r>
      <w:r w:rsidRPr="005A3F47">
        <w:rPr>
          <w:noProof/>
          <w:color w:val="auto"/>
        </w:rPr>
        <w:fldChar w:fldCharType="end"/>
      </w:r>
      <w:r w:rsidRPr="005A3F47">
        <w:rPr>
          <w:noProof/>
          <w:color w:val="auto"/>
        </w:rPr>
        <w:t>: Scope of IRD and PSD</w:t>
      </w:r>
    </w:p>
    <w:tbl>
      <w:tblPr>
        <w:tblStyle w:val="TableGrid"/>
        <w:tblW w:w="0" w:type="auto"/>
        <w:tblLook w:val="04A0" w:firstRow="1" w:lastRow="0" w:firstColumn="1" w:lastColumn="0" w:noHBand="0" w:noVBand="1"/>
      </w:tblPr>
      <w:tblGrid>
        <w:gridCol w:w="9825"/>
      </w:tblGrid>
      <w:tr w:rsidR="00E96589" w:rsidRPr="005A3F47" w14:paraId="7B095A24" w14:textId="77777777" w:rsidTr="00441F04">
        <w:tc>
          <w:tcPr>
            <w:tcW w:w="9828" w:type="dxa"/>
          </w:tcPr>
          <w:p w14:paraId="30745C65" w14:textId="6516B61C" w:rsidR="000329ED" w:rsidRPr="005A3F47" w:rsidRDefault="00460BC7" w:rsidP="00302233">
            <w:pPr>
              <w:spacing w:before="120" w:after="120"/>
              <w:ind w:left="284" w:right="284"/>
              <w:rPr>
                <w:noProof/>
              </w:rPr>
            </w:pPr>
            <w:r w:rsidRPr="005A3F47">
              <w:rPr>
                <w:noProof/>
              </w:rPr>
              <w:t>T</w:t>
            </w:r>
            <w:r w:rsidR="00C11DD7" w:rsidRPr="005A3F47">
              <w:rPr>
                <w:noProof/>
              </w:rPr>
              <w:t xml:space="preserve">he IRD does not cover interest and royalty payments made between companies of different Member States that directly hold less than 25% in the capital or voting rights. The PSD, on the other hand, does not cover profit distributions paid to companies that hold less than 10% of the capital or voting rights. </w:t>
            </w:r>
            <w:r w:rsidR="00F600E5" w:rsidRPr="005A3F47">
              <w:rPr>
                <w:noProof/>
              </w:rPr>
              <w:t xml:space="preserve">In addition, payments of interests, royalties, and dividends, which are made to a company that takes a form which is not explicitly covered by each Annex respectively, are not entitled to benefit from the tax exemptions provided by the </w:t>
            </w:r>
            <w:r w:rsidR="6BE81350" w:rsidRPr="005A3F47">
              <w:rPr>
                <w:noProof/>
              </w:rPr>
              <w:t xml:space="preserve">IRD and PSD </w:t>
            </w:r>
            <w:r w:rsidR="005860AB" w:rsidRPr="005A3F47">
              <w:rPr>
                <w:noProof/>
              </w:rPr>
              <w:t>(the European Court of Justice (CJEU) has ruled that the Annex to the PSD provides for an exhaustive list of companies</w:t>
            </w:r>
            <w:r w:rsidR="005860AB" w:rsidRPr="005A3F47">
              <w:rPr>
                <w:noProof/>
                <w:vertAlign w:val="superscript"/>
              </w:rPr>
              <w:footnoteReference w:id="35"/>
            </w:r>
            <w:r w:rsidR="005860AB" w:rsidRPr="005A3F47">
              <w:rPr>
                <w:noProof/>
              </w:rPr>
              <w:t>). Accordingly, many cross-border payments remain subject to withholding taxation, insofar they are not already exempt by bilateral tax treaties between EU Member States.</w:t>
            </w:r>
          </w:p>
        </w:tc>
      </w:tr>
    </w:tbl>
    <w:p w14:paraId="74CD8DA9" w14:textId="77777777" w:rsidR="00E96589" w:rsidRPr="005A3F47" w:rsidRDefault="00E96589" w:rsidP="00654118">
      <w:pPr>
        <w:spacing w:after="0" w:line="259" w:lineRule="auto"/>
        <w:rPr>
          <w:noProof/>
        </w:rPr>
      </w:pPr>
    </w:p>
    <w:p w14:paraId="245F002F" w14:textId="783E359D" w:rsidR="00FC0BB3" w:rsidRPr="005A3F47" w:rsidRDefault="000850F0" w:rsidP="00A34975">
      <w:pPr>
        <w:rPr>
          <w:noProof/>
        </w:rPr>
      </w:pPr>
      <w:r w:rsidRPr="005A3F47">
        <w:rPr>
          <w:noProof/>
        </w:rPr>
        <w:t>Another remaining barrier</w:t>
      </w:r>
      <w:r w:rsidR="003A4344" w:rsidRPr="005A3F47">
        <w:rPr>
          <w:noProof/>
        </w:rPr>
        <w:t>, which</w:t>
      </w:r>
      <w:r w:rsidRPr="005A3F47">
        <w:rPr>
          <w:noProof/>
        </w:rPr>
        <w:t xml:space="preserve"> </w:t>
      </w:r>
      <w:r w:rsidR="00395C58" w:rsidRPr="005A3F47">
        <w:rPr>
          <w:noProof/>
        </w:rPr>
        <w:t>was pointed out by businesses in the targeted consultations</w:t>
      </w:r>
      <w:r w:rsidR="009B46EE" w:rsidRPr="005A3F47">
        <w:rPr>
          <w:noProof/>
        </w:rPr>
        <w:t>, was</w:t>
      </w:r>
      <w:r w:rsidR="00FC0BB3" w:rsidRPr="005A3F47">
        <w:rPr>
          <w:noProof/>
        </w:rPr>
        <w:t xml:space="preserve"> d</w:t>
      </w:r>
      <w:r w:rsidR="00395C58" w:rsidRPr="005A3F47">
        <w:rPr>
          <w:noProof/>
        </w:rPr>
        <w:t>isparities in the scope of the TMD and Company Law Merger Directive as amended by the Mobility Directive</w:t>
      </w:r>
      <w:r w:rsidR="00172E90" w:rsidRPr="005A3F47">
        <w:rPr>
          <w:noProof/>
        </w:rPr>
        <w:t xml:space="preserve">. As </w:t>
      </w:r>
      <w:r w:rsidR="009445C5" w:rsidRPr="005A3F47">
        <w:rPr>
          <w:noProof/>
        </w:rPr>
        <w:t xml:space="preserve">the type of restructurings that are </w:t>
      </w:r>
      <w:r w:rsidR="00797984" w:rsidRPr="005A3F47">
        <w:rPr>
          <w:noProof/>
        </w:rPr>
        <w:t>recognised</w:t>
      </w:r>
      <w:r w:rsidR="009445C5" w:rsidRPr="005A3F47">
        <w:rPr>
          <w:noProof/>
        </w:rPr>
        <w:t xml:space="preserve"> </w:t>
      </w:r>
      <w:r w:rsidR="00F57EBE" w:rsidRPr="005A3F47">
        <w:rPr>
          <w:noProof/>
        </w:rPr>
        <w:t>under EU company law are broader than the ones recognised in the TMD, there is a</w:t>
      </w:r>
      <w:r w:rsidR="001B1F55" w:rsidRPr="005A3F47">
        <w:rPr>
          <w:noProof/>
        </w:rPr>
        <w:t xml:space="preserve"> </w:t>
      </w:r>
      <w:r w:rsidR="00CA5DFC" w:rsidRPr="005A3F47">
        <w:rPr>
          <w:noProof/>
        </w:rPr>
        <w:t>mismatch</w:t>
      </w:r>
      <w:r w:rsidR="00395C58" w:rsidRPr="005A3F47">
        <w:rPr>
          <w:noProof/>
        </w:rPr>
        <w:t xml:space="preserve"> </w:t>
      </w:r>
      <w:r w:rsidR="00797984" w:rsidRPr="005A3F47">
        <w:rPr>
          <w:noProof/>
        </w:rPr>
        <w:t>in the EU acquis which</w:t>
      </w:r>
      <w:r w:rsidR="00395C58" w:rsidRPr="005A3F47">
        <w:rPr>
          <w:noProof/>
        </w:rPr>
        <w:t xml:space="preserve"> </w:t>
      </w:r>
      <w:r w:rsidR="00FC0BB3" w:rsidRPr="005A3F47">
        <w:rPr>
          <w:noProof/>
        </w:rPr>
        <w:t>limit</w:t>
      </w:r>
      <w:r w:rsidR="00797984" w:rsidRPr="005A3F47">
        <w:rPr>
          <w:noProof/>
        </w:rPr>
        <w:t>s</w:t>
      </w:r>
      <w:r w:rsidR="00FC0BB3" w:rsidRPr="005A3F47">
        <w:rPr>
          <w:noProof/>
        </w:rPr>
        <w:t xml:space="preserve"> the possibilities of </w:t>
      </w:r>
      <w:r w:rsidR="001D387B" w:rsidRPr="005A3F47">
        <w:rPr>
          <w:noProof/>
        </w:rPr>
        <w:t xml:space="preserve">carrying out </w:t>
      </w:r>
      <w:r w:rsidR="002A456D" w:rsidRPr="005A3F47">
        <w:rPr>
          <w:noProof/>
        </w:rPr>
        <w:t xml:space="preserve">restructurings </w:t>
      </w:r>
      <w:r w:rsidR="003203F2" w:rsidRPr="005A3F47">
        <w:rPr>
          <w:noProof/>
        </w:rPr>
        <w:t>in the internal market without triggering immediate capital gains or other tax liabilities.</w:t>
      </w:r>
      <w:r w:rsidR="00210A31" w:rsidRPr="005A3F47">
        <w:rPr>
          <w:noProof/>
        </w:rPr>
        <w:t xml:space="preserve"> </w:t>
      </w:r>
      <w:r w:rsidR="00485AB2" w:rsidRPr="005A3F47">
        <w:rPr>
          <w:noProof/>
        </w:rPr>
        <w:t>This issue was also identified by approximately 38% of the respondents in the Call for Evidence</w:t>
      </w:r>
      <w:r w:rsidR="00120F2F" w:rsidRPr="005A3F47">
        <w:rPr>
          <w:rStyle w:val="FootnoteReference"/>
          <w:noProof/>
        </w:rPr>
        <w:footnoteReference w:id="36"/>
      </w:r>
      <w:r w:rsidR="0016121E" w:rsidRPr="005A3F47">
        <w:rPr>
          <w:noProof/>
        </w:rPr>
        <w:t xml:space="preserve"> causing </w:t>
      </w:r>
      <w:r w:rsidR="002C0715" w:rsidRPr="005A3F47">
        <w:rPr>
          <w:noProof/>
        </w:rPr>
        <w:t>competitiveness concerns and underuse of the internal market.</w:t>
      </w:r>
    </w:p>
    <w:p w14:paraId="385A7D76" w14:textId="29978135" w:rsidR="005F2865" w:rsidRPr="005A3F47" w:rsidRDefault="008678B9" w:rsidP="005F2865">
      <w:pPr>
        <w:spacing w:line="259" w:lineRule="auto"/>
        <w:rPr>
          <w:noProof/>
        </w:rPr>
      </w:pPr>
      <w:r w:rsidRPr="005A3F47">
        <w:rPr>
          <w:noProof/>
        </w:rPr>
        <w:t xml:space="preserve">However, </w:t>
      </w:r>
      <w:r w:rsidR="00334F87" w:rsidRPr="005A3F47">
        <w:rPr>
          <w:noProof/>
        </w:rPr>
        <w:t xml:space="preserve">tax barriers do not only </w:t>
      </w:r>
      <w:r w:rsidR="008D2ED6" w:rsidRPr="005A3F47">
        <w:rPr>
          <w:noProof/>
        </w:rPr>
        <w:t>exist due to limited scopes of existing Directives</w:t>
      </w:r>
      <w:r w:rsidR="00275F50" w:rsidRPr="005A3F47">
        <w:rPr>
          <w:noProof/>
        </w:rPr>
        <w:t>. Other research indicate</w:t>
      </w:r>
      <w:r w:rsidR="00334F87" w:rsidRPr="005A3F47">
        <w:rPr>
          <w:noProof/>
        </w:rPr>
        <w:t>s</w:t>
      </w:r>
      <w:r w:rsidR="00275F50" w:rsidRPr="005A3F47">
        <w:rPr>
          <w:noProof/>
        </w:rPr>
        <w:t xml:space="preserve"> that a comprehensive harmonisation of Member States’ tax systems by way of positive integration</w:t>
      </w:r>
      <w:r w:rsidR="00334F87" w:rsidRPr="005A3F47">
        <w:rPr>
          <w:noProof/>
        </w:rPr>
        <w:t xml:space="preserve"> </w:t>
      </w:r>
      <w:r w:rsidR="00275F50" w:rsidRPr="005A3F47">
        <w:rPr>
          <w:noProof/>
        </w:rPr>
        <w:t>would be necessary to sustainably eliminate tax obstacles to cross border business activities.</w:t>
      </w:r>
      <w:r w:rsidR="00E9675A" w:rsidRPr="005A3F47">
        <w:rPr>
          <w:rStyle w:val="FootnoteReference"/>
          <w:noProof/>
        </w:rPr>
        <w:footnoteReference w:id="37"/>
      </w:r>
      <w:r w:rsidR="00275F50" w:rsidRPr="005A3F47">
        <w:rPr>
          <w:noProof/>
        </w:rPr>
        <w:t xml:space="preserve"> </w:t>
      </w:r>
      <w:r w:rsidR="66E514EB" w:rsidRPr="005A3F47">
        <w:rPr>
          <w:noProof/>
        </w:rPr>
        <w:t>I</w:t>
      </w:r>
      <w:r w:rsidR="002222CD" w:rsidRPr="005A3F47">
        <w:rPr>
          <w:noProof/>
        </w:rPr>
        <w:t>n addition, i</w:t>
      </w:r>
      <w:r w:rsidR="0010040B" w:rsidRPr="005A3F47">
        <w:rPr>
          <w:noProof/>
        </w:rPr>
        <w:t xml:space="preserve">n </w:t>
      </w:r>
      <w:r w:rsidR="002379B4" w:rsidRPr="005A3F47">
        <w:rPr>
          <w:noProof/>
        </w:rPr>
        <w:t xml:space="preserve">the Call for Evidence, </w:t>
      </w:r>
      <w:r w:rsidR="00E5222D" w:rsidRPr="005A3F47">
        <w:rPr>
          <w:noProof/>
        </w:rPr>
        <w:t>approximately 61% of the respondents call</w:t>
      </w:r>
      <w:r w:rsidR="002B1642" w:rsidRPr="005A3F47">
        <w:rPr>
          <w:noProof/>
        </w:rPr>
        <w:t>ed</w:t>
      </w:r>
      <w:r w:rsidR="00E5222D" w:rsidRPr="005A3F47">
        <w:rPr>
          <w:noProof/>
        </w:rPr>
        <w:t xml:space="preserve"> for simplification beyond the existing Directives</w:t>
      </w:r>
      <w:r w:rsidR="0E71A1EB" w:rsidRPr="005A3F47">
        <w:rPr>
          <w:noProof/>
        </w:rPr>
        <w:t>,</w:t>
      </w:r>
      <w:r w:rsidR="0055375C" w:rsidRPr="005A3F47">
        <w:rPr>
          <w:rStyle w:val="FootnoteReference"/>
          <w:noProof/>
        </w:rPr>
        <w:footnoteReference w:id="38"/>
      </w:r>
      <w:r w:rsidR="0E71A1EB" w:rsidRPr="005A3F47">
        <w:rPr>
          <w:noProof/>
        </w:rPr>
        <w:t xml:space="preserve"> </w:t>
      </w:r>
      <w:r w:rsidR="0E71A1EB" w:rsidRPr="005A3F47">
        <w:rPr>
          <w:rFonts w:eastAsia="Times New Roman"/>
          <w:noProof/>
        </w:rPr>
        <w:t xml:space="preserve">a clear signal that the current landscape of fragmented national </w:t>
      </w:r>
      <w:r w:rsidR="2C00F7FC" w:rsidRPr="005A3F47">
        <w:rPr>
          <w:rFonts w:eastAsia="Times New Roman"/>
          <w:noProof/>
        </w:rPr>
        <w:t xml:space="preserve">tax </w:t>
      </w:r>
      <w:r w:rsidR="0E71A1EB" w:rsidRPr="005A3F47">
        <w:rPr>
          <w:rFonts w:eastAsia="Times New Roman"/>
          <w:noProof/>
        </w:rPr>
        <w:t>rules imposes unnecessary complexity on businesses operating across borders</w:t>
      </w:r>
      <w:r w:rsidR="008B6DE0" w:rsidRPr="005A3F47">
        <w:rPr>
          <w:rFonts w:eastAsia="Times New Roman"/>
          <w:noProof/>
        </w:rPr>
        <w:t xml:space="preserve"> and restricts cross-border investments</w:t>
      </w:r>
      <w:r w:rsidR="674F9624" w:rsidRPr="005A3F47">
        <w:rPr>
          <w:noProof/>
        </w:rPr>
        <w:t>.</w:t>
      </w:r>
    </w:p>
    <w:p w14:paraId="5F3F1D12" w14:textId="3B61D6D1" w:rsidR="005F2865" w:rsidRPr="005A3F47" w:rsidRDefault="34497DC7" w:rsidP="00D373FE">
      <w:pPr>
        <w:spacing w:line="259" w:lineRule="auto"/>
        <w:rPr>
          <w:rFonts w:eastAsia="Times New Roman"/>
          <w:noProof/>
        </w:rPr>
      </w:pPr>
      <w:r w:rsidRPr="005A3F47">
        <w:rPr>
          <w:noProof/>
        </w:rPr>
        <w:t>A</w:t>
      </w:r>
      <w:r w:rsidR="00113D26" w:rsidRPr="005A3F47">
        <w:rPr>
          <w:noProof/>
        </w:rPr>
        <w:t>n easily identi</w:t>
      </w:r>
      <w:r w:rsidR="00F6785F" w:rsidRPr="005A3F47">
        <w:rPr>
          <w:noProof/>
        </w:rPr>
        <w:t xml:space="preserve">fiable </w:t>
      </w:r>
      <w:r w:rsidR="00A22C23" w:rsidRPr="005A3F47">
        <w:rPr>
          <w:noProof/>
        </w:rPr>
        <w:t xml:space="preserve">tax barrier </w:t>
      </w:r>
      <w:r w:rsidR="00883CA8" w:rsidRPr="005A3F47">
        <w:rPr>
          <w:noProof/>
        </w:rPr>
        <w:t>is the</w:t>
      </w:r>
      <w:r w:rsidR="00F6785F" w:rsidRPr="005A3F47">
        <w:rPr>
          <w:noProof/>
        </w:rPr>
        <w:t xml:space="preserve"> </w:t>
      </w:r>
      <w:r w:rsidR="00F320BA" w:rsidRPr="005A3F47">
        <w:rPr>
          <w:noProof/>
        </w:rPr>
        <w:t>divergent approach to</w:t>
      </w:r>
      <w:r w:rsidR="00C83780" w:rsidRPr="005A3F47">
        <w:rPr>
          <w:noProof/>
        </w:rPr>
        <w:t xml:space="preserve"> the</w:t>
      </w:r>
      <w:r w:rsidR="00F320BA" w:rsidRPr="005A3F47">
        <w:rPr>
          <w:noProof/>
        </w:rPr>
        <w:t xml:space="preserve"> </w:t>
      </w:r>
      <w:r w:rsidR="007B480B" w:rsidRPr="005A3F47">
        <w:rPr>
          <w:noProof/>
        </w:rPr>
        <w:t>tax</w:t>
      </w:r>
      <w:r w:rsidR="00C83780" w:rsidRPr="005A3F47">
        <w:rPr>
          <w:noProof/>
        </w:rPr>
        <w:t xml:space="preserve"> treatment</w:t>
      </w:r>
      <w:r w:rsidR="007B480B" w:rsidRPr="005A3F47">
        <w:rPr>
          <w:noProof/>
        </w:rPr>
        <w:t xml:space="preserve"> of </w:t>
      </w:r>
      <w:r w:rsidR="00DC0740" w:rsidRPr="005A3F47">
        <w:rPr>
          <w:noProof/>
        </w:rPr>
        <w:t>research and development (R&amp;D)</w:t>
      </w:r>
      <w:r w:rsidR="007B480B" w:rsidRPr="005A3F47">
        <w:rPr>
          <w:noProof/>
        </w:rPr>
        <w:t xml:space="preserve"> activities</w:t>
      </w:r>
      <w:r w:rsidR="001361AC" w:rsidRPr="005A3F47">
        <w:rPr>
          <w:noProof/>
        </w:rPr>
        <w:t xml:space="preserve">. </w:t>
      </w:r>
      <w:r w:rsidR="098B5A14" w:rsidRPr="005A3F47">
        <w:rPr>
          <w:rFonts w:eastAsia="Times New Roman"/>
          <w:noProof/>
        </w:rPr>
        <w:t xml:space="preserve">Businesses investing in R&amp;D across the </w:t>
      </w:r>
      <w:r w:rsidR="00296B7B" w:rsidRPr="005A3F47">
        <w:rPr>
          <w:rFonts w:eastAsia="Times New Roman"/>
          <w:noProof/>
        </w:rPr>
        <w:t>internal market</w:t>
      </w:r>
      <w:r w:rsidR="098B5A14" w:rsidRPr="005A3F47">
        <w:rPr>
          <w:rFonts w:eastAsia="Times New Roman"/>
          <w:noProof/>
        </w:rPr>
        <w:t xml:space="preserve"> face a fragmented landscape of national regimes</w:t>
      </w:r>
      <w:r w:rsidR="008F7F8F" w:rsidRPr="005A3F47">
        <w:rPr>
          <w:rFonts w:eastAsia="Times New Roman"/>
          <w:noProof/>
        </w:rPr>
        <w:t xml:space="preserve">, </w:t>
      </w:r>
      <w:r w:rsidR="098B5A14" w:rsidRPr="005A3F47">
        <w:rPr>
          <w:rFonts w:eastAsia="Times New Roman"/>
          <w:noProof/>
        </w:rPr>
        <w:t>e.g.</w:t>
      </w:r>
      <w:r w:rsidR="00987FB1" w:rsidRPr="005A3F47">
        <w:rPr>
          <w:rFonts w:eastAsia="Times New Roman"/>
          <w:noProof/>
        </w:rPr>
        <w:t>,</w:t>
      </w:r>
      <w:r w:rsidR="098B5A14" w:rsidRPr="005A3F47">
        <w:rPr>
          <w:rFonts w:eastAsia="Times New Roman"/>
          <w:noProof/>
        </w:rPr>
        <w:t xml:space="preserve"> divergent eligibility criteria, definitions of qualifying expenditure, incentive rates, deductibility rules and periods</w:t>
      </w:r>
      <w:r w:rsidR="00421AB0" w:rsidRPr="005A3F47">
        <w:rPr>
          <w:rFonts w:eastAsia="Times New Roman"/>
          <w:noProof/>
        </w:rPr>
        <w:t>; all of which</w:t>
      </w:r>
      <w:r w:rsidR="098B5A14" w:rsidRPr="005A3F47">
        <w:rPr>
          <w:rFonts w:eastAsia="Times New Roman"/>
          <w:noProof/>
        </w:rPr>
        <w:t xml:space="preserve"> complicates cross-border investment decisions, raises compliance costs, </w:t>
      </w:r>
      <w:r w:rsidR="00CA6DE0" w:rsidRPr="005A3F47">
        <w:rPr>
          <w:rFonts w:eastAsia="Times New Roman"/>
          <w:noProof/>
        </w:rPr>
        <w:t xml:space="preserve">and </w:t>
      </w:r>
      <w:r w:rsidR="098B5A14" w:rsidRPr="005A3F47">
        <w:rPr>
          <w:rFonts w:eastAsia="Times New Roman"/>
          <w:noProof/>
        </w:rPr>
        <w:t xml:space="preserve">makes it harder to plan and </w:t>
      </w:r>
      <w:r w:rsidR="2A0A1A87" w:rsidRPr="005A3F47">
        <w:rPr>
          <w:noProof/>
        </w:rPr>
        <w:t>develop</w:t>
      </w:r>
      <w:r w:rsidR="098B5A14" w:rsidRPr="005A3F47">
        <w:rPr>
          <w:rFonts w:eastAsia="Times New Roman"/>
          <w:noProof/>
        </w:rPr>
        <w:t xml:space="preserve"> R&amp;D activities across the </w:t>
      </w:r>
      <w:r w:rsidR="00C20B88" w:rsidRPr="005A3F47">
        <w:rPr>
          <w:rFonts w:eastAsia="Times New Roman"/>
          <w:noProof/>
        </w:rPr>
        <w:t>internal market</w:t>
      </w:r>
      <w:r w:rsidR="00D44829" w:rsidRPr="005A3F47">
        <w:rPr>
          <w:rFonts w:eastAsia="Times New Roman"/>
          <w:noProof/>
        </w:rPr>
        <w:t xml:space="preserve">. </w:t>
      </w:r>
      <w:r w:rsidR="197144CD" w:rsidRPr="005A3F47">
        <w:rPr>
          <w:rFonts w:eastAsia="Times New Roman"/>
          <w:noProof/>
        </w:rPr>
        <w:t>Stakeholder</w:t>
      </w:r>
      <w:r w:rsidR="6584479F" w:rsidRPr="005A3F47">
        <w:rPr>
          <w:rFonts w:eastAsia="Times New Roman"/>
          <w:noProof/>
        </w:rPr>
        <w:t>s</w:t>
      </w:r>
      <w:r w:rsidR="197144CD" w:rsidRPr="005A3F47">
        <w:rPr>
          <w:rFonts w:eastAsia="Times New Roman"/>
          <w:noProof/>
        </w:rPr>
        <w:t xml:space="preserve"> have noted that this fragment</w:t>
      </w:r>
      <w:r w:rsidR="5DACB45B" w:rsidRPr="005A3F47">
        <w:rPr>
          <w:rFonts w:eastAsia="Times New Roman"/>
          <w:noProof/>
        </w:rPr>
        <w:t>ation</w:t>
      </w:r>
      <w:r w:rsidR="197144CD" w:rsidRPr="005A3F47">
        <w:rPr>
          <w:rFonts w:eastAsia="Times New Roman"/>
          <w:noProof/>
        </w:rPr>
        <w:t xml:space="preserve"> creates a major </w:t>
      </w:r>
      <w:r w:rsidR="72C16D6E" w:rsidRPr="005A3F47">
        <w:rPr>
          <w:rFonts w:eastAsia="Times New Roman"/>
          <w:noProof/>
        </w:rPr>
        <w:t>barrier</w:t>
      </w:r>
      <w:r w:rsidR="197144CD" w:rsidRPr="005A3F47">
        <w:rPr>
          <w:rFonts w:eastAsia="Times New Roman"/>
          <w:noProof/>
        </w:rPr>
        <w:t xml:space="preserve"> for scaling</w:t>
      </w:r>
      <w:r w:rsidRPr="005A3F47">
        <w:rPr>
          <w:rFonts w:eastAsia="Times New Roman"/>
          <w:noProof/>
          <w:vertAlign w:val="superscript"/>
        </w:rPr>
        <w:footnoteReference w:id="39"/>
      </w:r>
      <w:r w:rsidR="7C592057" w:rsidRPr="005A3F47">
        <w:rPr>
          <w:rFonts w:eastAsia="Times New Roman"/>
          <w:noProof/>
        </w:rPr>
        <w:t>.</w:t>
      </w:r>
      <w:r w:rsidR="197144CD" w:rsidRPr="005A3F47">
        <w:rPr>
          <w:rFonts w:eastAsia="Times New Roman"/>
          <w:noProof/>
        </w:rPr>
        <w:t xml:space="preserve"> </w:t>
      </w:r>
      <w:r w:rsidR="295D5335" w:rsidRPr="005A3F47">
        <w:rPr>
          <w:rFonts w:eastAsia="Times New Roman"/>
          <w:noProof/>
        </w:rPr>
        <w:t>Accordingly</w:t>
      </w:r>
      <w:r w:rsidR="3767CDB6" w:rsidRPr="005A3F47">
        <w:rPr>
          <w:rFonts w:eastAsia="Times New Roman"/>
          <w:noProof/>
        </w:rPr>
        <w:t xml:space="preserve">, </w:t>
      </w:r>
      <w:r w:rsidR="3CF58483" w:rsidRPr="005A3F47">
        <w:rPr>
          <w:rFonts w:eastAsia="Times New Roman"/>
          <w:noProof/>
        </w:rPr>
        <w:t>t</w:t>
      </w:r>
      <w:r w:rsidR="00D44829" w:rsidRPr="005A3F47">
        <w:rPr>
          <w:rFonts w:eastAsia="Times New Roman"/>
          <w:noProof/>
        </w:rPr>
        <w:t>his</w:t>
      </w:r>
      <w:r w:rsidR="098B5A14" w:rsidRPr="005A3F47">
        <w:rPr>
          <w:rFonts w:eastAsia="Times New Roman"/>
          <w:noProof/>
        </w:rPr>
        <w:t xml:space="preserve"> </w:t>
      </w:r>
      <w:r w:rsidR="4F29B082" w:rsidRPr="005A3F47">
        <w:rPr>
          <w:rFonts w:eastAsia="Times New Roman"/>
          <w:noProof/>
        </w:rPr>
        <w:t>also</w:t>
      </w:r>
      <w:r w:rsidR="098B5A14" w:rsidRPr="005A3F47">
        <w:rPr>
          <w:rFonts w:eastAsia="Times New Roman"/>
          <w:noProof/>
        </w:rPr>
        <w:t xml:space="preserve"> undermines the EU</w:t>
      </w:r>
      <w:r w:rsidR="00A81D71" w:rsidRPr="005A3F47">
        <w:rPr>
          <w:rFonts w:eastAsia="Times New Roman"/>
          <w:noProof/>
        </w:rPr>
        <w:t>’</w:t>
      </w:r>
      <w:r w:rsidR="098B5A14" w:rsidRPr="005A3F47">
        <w:rPr>
          <w:rFonts w:eastAsia="Times New Roman"/>
          <w:noProof/>
        </w:rPr>
        <w:t>s attractiveness as a location for innovation-driven investment vis-à-vis major international competitors</w:t>
      </w:r>
      <w:r w:rsidR="00A17E5C" w:rsidRPr="005A3F47">
        <w:rPr>
          <w:rFonts w:eastAsia="Times New Roman"/>
          <w:noProof/>
        </w:rPr>
        <w:t>,</w:t>
      </w:r>
      <w:r w:rsidR="098B5A14" w:rsidRPr="005A3F47">
        <w:rPr>
          <w:rFonts w:eastAsia="Times New Roman"/>
          <w:noProof/>
        </w:rPr>
        <w:t xml:space="preserve"> such as the United States.</w:t>
      </w:r>
    </w:p>
    <w:p w14:paraId="0A227C1D" w14:textId="10E3AC35" w:rsidR="45D70844" w:rsidRPr="005A3F47" w:rsidRDefault="45D70844">
      <w:pPr>
        <w:rPr>
          <w:noProof/>
        </w:rPr>
      </w:pPr>
      <w:r w:rsidRPr="005A3F47">
        <w:rPr>
          <w:rFonts w:eastAsia="Times New Roman"/>
          <w:noProof/>
        </w:rPr>
        <w:t>The growing regulatory fragmentation and administrative complexity across Member States is a structural factor contributing to the EU’s widening innovation gap. As highlighted in the Draghi Report</w:t>
      </w:r>
      <w:r w:rsidRPr="005A3F47">
        <w:rPr>
          <w:rFonts w:eastAsia="Times New Roman"/>
          <w:noProof/>
          <w:vertAlign w:val="superscript"/>
        </w:rPr>
        <w:footnoteReference w:id="40"/>
      </w:r>
      <w:r w:rsidRPr="005A3F47">
        <w:rPr>
          <w:rFonts w:eastAsia="Times New Roman"/>
          <w:noProof/>
        </w:rPr>
        <w:t>, Europe’s current R&amp;I framework is not sufficiently coordinated to support breakthrough innovation, resulting in firms concentrating on mature technologies with limited disruptive potential.</w:t>
      </w:r>
    </w:p>
    <w:p w14:paraId="6B5E7348" w14:textId="6DE22E10" w:rsidR="6B5DE07B" w:rsidRPr="005A3F47" w:rsidRDefault="45D70844" w:rsidP="006121D7">
      <w:pPr>
        <w:rPr>
          <w:noProof/>
        </w:rPr>
      </w:pPr>
      <w:r w:rsidRPr="005A3F47">
        <w:rPr>
          <w:rFonts w:eastAsia="Times New Roman"/>
          <w:noProof/>
        </w:rPr>
        <w:t>This is reflected in the persistent underinvestment in research and innovation</w:t>
      </w:r>
      <w:r w:rsidR="6708732C" w:rsidRPr="005A3F47">
        <w:rPr>
          <w:rFonts w:eastAsia="Times New Roman"/>
          <w:noProof/>
        </w:rPr>
        <w:t xml:space="preserve">. </w:t>
      </w:r>
      <w:r w:rsidRPr="005A3F47">
        <w:rPr>
          <w:rFonts w:eastAsia="Times New Roman"/>
          <w:noProof/>
        </w:rPr>
        <w:t xml:space="preserve">EU companies spent approximately </w:t>
      </w:r>
      <w:r w:rsidR="3E77339A" w:rsidRPr="005A3F47">
        <w:rPr>
          <w:rFonts w:eastAsia="Times New Roman"/>
          <w:noProof/>
        </w:rPr>
        <w:t xml:space="preserve">EUR </w:t>
      </w:r>
      <w:r w:rsidRPr="005A3F47">
        <w:rPr>
          <w:rFonts w:eastAsia="Times New Roman"/>
          <w:noProof/>
        </w:rPr>
        <w:t>270 billion less than their US counterparts in 2021</w:t>
      </w:r>
      <w:r w:rsidRPr="005A3F47">
        <w:rPr>
          <w:rFonts w:eastAsia="Times New Roman"/>
          <w:noProof/>
          <w:vertAlign w:val="superscript"/>
        </w:rPr>
        <w:footnoteReference w:id="41"/>
      </w:r>
      <w:r w:rsidRPr="005A3F47">
        <w:rPr>
          <w:rFonts w:eastAsia="Times New Roman"/>
          <w:noProof/>
        </w:rPr>
        <w:t>. The lack of a genuinely integrated approach weakens scale effects, slows diffusion of innovation, and limits the ability to translate research into globally competitive technologies.</w:t>
      </w:r>
    </w:p>
    <w:p w14:paraId="7B8691F1" w14:textId="13D5446E" w:rsidR="77DCEEDF" w:rsidRPr="005A3F47" w:rsidRDefault="77DCEEDF" w:rsidP="006121D7">
      <w:pPr>
        <w:rPr>
          <w:rFonts w:eastAsia="Times New Roman"/>
          <w:noProof/>
        </w:rPr>
      </w:pPr>
      <w:r w:rsidRPr="005A3F47">
        <w:rPr>
          <w:rFonts w:eastAsia="Times New Roman"/>
          <w:noProof/>
        </w:rPr>
        <w:t>In addition, divergent national definitions of qualifying R&amp;D expenditure across Member States create a specific and identifiable compliance cost burden for cross-border operators</w:t>
      </w:r>
      <w:r w:rsidRPr="005A3F47">
        <w:rPr>
          <w:rFonts w:eastAsia="Times New Roman"/>
          <w:noProof/>
          <w:vertAlign w:val="superscript"/>
        </w:rPr>
        <w:footnoteReference w:id="42"/>
      </w:r>
      <w:r w:rsidR="0F40B531" w:rsidRPr="005A3F47">
        <w:rPr>
          <w:rFonts w:eastAsia="Times New Roman"/>
          <w:noProof/>
        </w:rPr>
        <w:t xml:space="preserve"> and the </w:t>
      </w:r>
      <w:r w:rsidR="4E56A03E" w:rsidRPr="005A3F47">
        <w:rPr>
          <w:rFonts w:eastAsia="Times New Roman"/>
          <w:noProof/>
        </w:rPr>
        <w:t>absence of greater coordination in the tax treatment of R&amp;D across the EU risks undermin</w:t>
      </w:r>
      <w:r w:rsidR="001C35AB" w:rsidRPr="005A3F47">
        <w:rPr>
          <w:rFonts w:eastAsia="Times New Roman"/>
          <w:noProof/>
        </w:rPr>
        <w:t>es</w:t>
      </w:r>
      <w:r w:rsidR="222C8EF3" w:rsidRPr="005A3F47">
        <w:rPr>
          <w:rFonts w:eastAsia="Times New Roman"/>
          <w:noProof/>
        </w:rPr>
        <w:t xml:space="preserve"> the common market</w:t>
      </w:r>
      <w:r w:rsidRPr="005A3F47">
        <w:rPr>
          <w:rFonts w:eastAsia="Times New Roman"/>
          <w:noProof/>
          <w:vertAlign w:val="superscript"/>
        </w:rPr>
        <w:footnoteReference w:id="43"/>
      </w:r>
      <w:r w:rsidR="4E56A03E" w:rsidRPr="005A3F47">
        <w:rPr>
          <w:rFonts w:eastAsia="Times New Roman"/>
          <w:noProof/>
        </w:rPr>
        <w:t>.</w:t>
      </w:r>
      <w:r w:rsidRPr="005A3F47">
        <w:rPr>
          <w:rFonts w:eastAsia="Times New Roman"/>
          <w:noProof/>
        </w:rPr>
        <w:t xml:space="preserve"> This makes the tax treatment of R&amp;D expenditure a particular issue that a common EU approach would be well-placed to address.</w:t>
      </w:r>
    </w:p>
    <w:p w14:paraId="122288DC" w14:textId="34448B8C" w:rsidR="005F2865" w:rsidRPr="005A3F47" w:rsidRDefault="009075E3" w:rsidP="005F2865">
      <w:pPr>
        <w:spacing w:line="259" w:lineRule="auto"/>
        <w:rPr>
          <w:noProof/>
        </w:rPr>
      </w:pPr>
      <w:r w:rsidRPr="005A3F47">
        <w:rPr>
          <w:rFonts w:eastAsia="Aptos"/>
          <w:noProof/>
        </w:rPr>
        <w:t>R&amp;D is critical for innovation</w:t>
      </w:r>
      <w:r w:rsidR="00C16F59" w:rsidRPr="005A3F47">
        <w:rPr>
          <w:rFonts w:eastAsia="Aptos"/>
          <w:noProof/>
        </w:rPr>
        <w:t>;</w:t>
      </w:r>
      <w:r w:rsidRPr="005A3F47">
        <w:rPr>
          <w:rFonts w:eastAsia="Aptos"/>
          <w:noProof/>
        </w:rPr>
        <w:t xml:space="preserve"> yet the EU falls behind its key global trading partners. </w:t>
      </w:r>
      <w:r w:rsidR="00E81B4F" w:rsidRPr="005A3F47">
        <w:rPr>
          <w:rFonts w:eastAsia="Aptos"/>
          <w:noProof/>
        </w:rPr>
        <w:t xml:space="preserve">Based on 2024 figures in purchasing power parity–adjusted terms, R&amp;D expenditure in the </w:t>
      </w:r>
      <w:r w:rsidR="00C86E48" w:rsidRPr="005A3F47">
        <w:rPr>
          <w:rFonts w:eastAsia="Aptos"/>
          <w:noProof/>
        </w:rPr>
        <w:t>U</w:t>
      </w:r>
      <w:r w:rsidR="003E2173" w:rsidRPr="005A3F47">
        <w:rPr>
          <w:rFonts w:eastAsia="Aptos"/>
          <w:noProof/>
        </w:rPr>
        <w:t xml:space="preserve">nited </w:t>
      </w:r>
      <w:r w:rsidR="00C86E48" w:rsidRPr="005A3F47">
        <w:rPr>
          <w:rFonts w:eastAsia="Aptos"/>
          <w:noProof/>
        </w:rPr>
        <w:t>S</w:t>
      </w:r>
      <w:r w:rsidR="003E2173" w:rsidRPr="005A3F47">
        <w:rPr>
          <w:rFonts w:eastAsia="Aptos"/>
          <w:noProof/>
        </w:rPr>
        <w:t>tates</w:t>
      </w:r>
      <w:r w:rsidR="00E81B4F" w:rsidRPr="005A3F47">
        <w:rPr>
          <w:rFonts w:eastAsia="Aptos"/>
          <w:noProof/>
        </w:rPr>
        <w:t xml:space="preserve"> and China amounted to approximately USD 1 trillion, compared to roughly USD 600 billion in the EU (thus about 60% of the United States’ level, marking a 10 percentage point decrease from 70% in 2014).</w:t>
      </w:r>
      <w:r w:rsidR="003303F7" w:rsidRPr="005A3F47">
        <w:rPr>
          <w:rStyle w:val="FootnoteReference"/>
          <w:rFonts w:eastAsia="Aptos"/>
          <w:noProof/>
        </w:rPr>
        <w:footnoteReference w:id="44"/>
      </w:r>
      <w:r w:rsidR="00E81B4F" w:rsidRPr="005A3F47">
        <w:rPr>
          <w:rFonts w:eastAsia="Aptos"/>
          <w:noProof/>
          <w:sz w:val="22"/>
          <w:szCs w:val="22"/>
        </w:rPr>
        <w:t xml:space="preserve"> </w:t>
      </w:r>
    </w:p>
    <w:p w14:paraId="1EA13FB9" w14:textId="70A16D1A" w:rsidR="005F2865" w:rsidRPr="005A3F47" w:rsidRDefault="0FADCC63" w:rsidP="00391316">
      <w:pPr>
        <w:spacing w:line="259" w:lineRule="auto"/>
        <w:rPr>
          <w:rFonts w:eastAsia="Times New Roman"/>
          <w:noProof/>
        </w:rPr>
      </w:pPr>
      <w:r w:rsidRPr="005A3F47">
        <w:rPr>
          <w:rFonts w:eastAsia="Times New Roman"/>
          <w:noProof/>
        </w:rPr>
        <w:t>More specifically, the EU’s R&amp;D intensity gap relative to its main global competitors is primarily driven by lower levels of private-sector investment. In 2020, China surpassed the EU for the first time in R&amp;D intensity (2.4%), while the EU’s R&amp;D intensity stood at 2.3% in 2021 and declined further to 2.2% in 2022, remaining well below that of the United States (3.5%), Japan (3.3%), and South Korea (4.9%).</w:t>
      </w:r>
    </w:p>
    <w:p w14:paraId="59F57365" w14:textId="5EE2212C" w:rsidR="005F2865" w:rsidRPr="005A3F47" w:rsidRDefault="395CB5CC" w:rsidP="00391316">
      <w:pPr>
        <w:spacing w:line="259" w:lineRule="auto"/>
        <w:rPr>
          <w:rFonts w:eastAsia="Times New Roman"/>
          <w:noProof/>
        </w:rPr>
      </w:pPr>
      <w:r w:rsidRPr="005A3F47">
        <w:rPr>
          <w:rFonts w:eastAsia="Times New Roman"/>
          <w:noProof/>
        </w:rPr>
        <w:t>Although the EU has increased its R&amp;D investment over the past two decades, a significant gap persists compared with its principal international competitors, and its relative share of global R&amp;D activity continues to decline. Furthermore, evidence suggests that the overall reduction in government support for private R&amp;D within the EU has been partly driven by a decline in tax-based support measures</w:t>
      </w:r>
      <w:r w:rsidR="00C619D6" w:rsidRPr="005A3F47">
        <w:rPr>
          <w:rFonts w:eastAsia="Times New Roman"/>
          <w:noProof/>
        </w:rPr>
        <w:t>.</w:t>
      </w:r>
      <w:r w:rsidR="009075E3" w:rsidRPr="005A3F47">
        <w:rPr>
          <w:rFonts w:eastAsia="Times New Roman"/>
          <w:noProof/>
          <w:vertAlign w:val="superscript"/>
        </w:rPr>
        <w:footnoteReference w:id="45"/>
      </w:r>
    </w:p>
    <w:p w14:paraId="7E36217A" w14:textId="1093535D" w:rsidR="005F2865" w:rsidRPr="005A3F47" w:rsidRDefault="395CB5CC" w:rsidP="00391316">
      <w:pPr>
        <w:spacing w:line="259" w:lineRule="auto"/>
        <w:rPr>
          <w:rFonts w:eastAsia="Times New Roman"/>
          <w:noProof/>
        </w:rPr>
      </w:pPr>
      <w:r w:rsidRPr="005A3F47">
        <w:rPr>
          <w:rFonts w:eastAsia="Times New Roman"/>
          <w:noProof/>
        </w:rPr>
        <w:t>While taxation is not the sole determinant of R&amp;D investment decisions, it plays an important enabling role. It is therefore closely linked to the objectives of reducing tax-related barriers within the internal market, promoting simplification, and strengthening competitiveness.</w:t>
      </w:r>
    </w:p>
    <w:p w14:paraId="16A2A403" w14:textId="557CE4F1" w:rsidR="006B087E" w:rsidRPr="005A3F47" w:rsidRDefault="00AE1C73" w:rsidP="00A620A5">
      <w:pPr>
        <w:pStyle w:val="Heading2"/>
        <w:numPr>
          <w:ilvl w:val="1"/>
          <w:numId w:val="185"/>
        </w:numPr>
        <w:rPr>
          <w:noProof/>
        </w:rPr>
      </w:pPr>
      <w:bookmarkStart w:id="25" w:name="_Toc226466803"/>
      <w:bookmarkStart w:id="26" w:name="_Toc226467164"/>
      <w:bookmarkStart w:id="27" w:name="_Toc226467264"/>
      <w:bookmarkStart w:id="28" w:name="_Toc226467483"/>
      <w:r w:rsidRPr="005A3F47">
        <w:rPr>
          <w:noProof/>
        </w:rPr>
        <w:t xml:space="preserve"> </w:t>
      </w:r>
      <w:r w:rsidR="006B087E" w:rsidRPr="005A3F47">
        <w:rPr>
          <w:noProof/>
        </w:rPr>
        <w:t>What are the problem drivers?</w:t>
      </w:r>
      <w:bookmarkEnd w:id="25"/>
      <w:bookmarkEnd w:id="26"/>
      <w:bookmarkEnd w:id="27"/>
      <w:bookmarkEnd w:id="28"/>
    </w:p>
    <w:p w14:paraId="787ACD38" w14:textId="176B08F3" w:rsidR="006B087E" w:rsidRPr="005A3F47" w:rsidRDefault="00884E1A" w:rsidP="000E3086">
      <w:pPr>
        <w:rPr>
          <w:noProof/>
        </w:rPr>
      </w:pPr>
      <w:r w:rsidRPr="005A3F47">
        <w:rPr>
          <w:noProof/>
        </w:rPr>
        <w:t>T</w:t>
      </w:r>
      <w:r w:rsidR="001671F3" w:rsidRPr="005A3F47">
        <w:rPr>
          <w:noProof/>
        </w:rPr>
        <w:t>he</w:t>
      </w:r>
      <w:r w:rsidR="000D065B" w:rsidRPr="005A3F47">
        <w:rPr>
          <w:noProof/>
        </w:rPr>
        <w:t xml:space="preserve"> problems identified in the previous section have two</w:t>
      </w:r>
      <w:r w:rsidRPr="005A3F47">
        <w:rPr>
          <w:noProof/>
        </w:rPr>
        <w:t xml:space="preserve"> </w:t>
      </w:r>
      <w:r w:rsidR="00B21970" w:rsidRPr="005A3F47">
        <w:rPr>
          <w:noProof/>
        </w:rPr>
        <w:t xml:space="preserve">main </w:t>
      </w:r>
      <w:r w:rsidRPr="005A3F47">
        <w:rPr>
          <w:noProof/>
        </w:rPr>
        <w:t>drivers</w:t>
      </w:r>
      <w:r w:rsidR="001D277F" w:rsidRPr="005A3F47">
        <w:rPr>
          <w:noProof/>
        </w:rPr>
        <w:t>:</w:t>
      </w:r>
      <w:r w:rsidR="001D277F" w:rsidRPr="005A3F47" w:rsidDel="000D065B">
        <w:rPr>
          <w:noProof/>
        </w:rPr>
        <w:t xml:space="preserve"> </w:t>
      </w:r>
      <w:r w:rsidR="000D065B" w:rsidRPr="005A3F47">
        <w:rPr>
          <w:noProof/>
        </w:rPr>
        <w:t>T</w:t>
      </w:r>
      <w:r w:rsidR="00965C89" w:rsidRPr="005A3F47">
        <w:rPr>
          <w:noProof/>
        </w:rPr>
        <w:t xml:space="preserve">he first </w:t>
      </w:r>
      <w:r w:rsidR="001E677B" w:rsidRPr="005A3F47">
        <w:rPr>
          <w:noProof/>
        </w:rPr>
        <w:t xml:space="preserve">driver </w:t>
      </w:r>
      <w:r w:rsidR="00C04168" w:rsidRPr="005A3F47">
        <w:rPr>
          <w:noProof/>
        </w:rPr>
        <w:t>is the</w:t>
      </w:r>
      <w:r w:rsidR="000D065B" w:rsidRPr="005A3F47">
        <w:rPr>
          <w:noProof/>
        </w:rPr>
        <w:t xml:space="preserve"> </w:t>
      </w:r>
      <w:r w:rsidR="00965C89" w:rsidRPr="005A3F47">
        <w:rPr>
          <w:noProof/>
        </w:rPr>
        <w:t>i</w:t>
      </w:r>
      <w:r w:rsidR="00AC4B4E" w:rsidRPr="005A3F47">
        <w:rPr>
          <w:noProof/>
        </w:rPr>
        <w:t xml:space="preserve">nconsistent application of </w:t>
      </w:r>
      <w:r w:rsidR="00724D3F" w:rsidRPr="005A3F47">
        <w:rPr>
          <w:noProof/>
        </w:rPr>
        <w:t>the</w:t>
      </w:r>
      <w:r w:rsidR="0063132F" w:rsidRPr="005A3F47">
        <w:rPr>
          <w:noProof/>
        </w:rPr>
        <w:t xml:space="preserve"> </w:t>
      </w:r>
      <w:r w:rsidR="001F5281" w:rsidRPr="005A3F47">
        <w:rPr>
          <w:noProof/>
        </w:rPr>
        <w:t xml:space="preserve">EU </w:t>
      </w:r>
      <w:r w:rsidR="00DA47E2" w:rsidRPr="005A3F47">
        <w:rPr>
          <w:noProof/>
        </w:rPr>
        <w:t xml:space="preserve">direct tax </w:t>
      </w:r>
      <w:r w:rsidR="007E3C46" w:rsidRPr="005A3F47">
        <w:rPr>
          <w:noProof/>
        </w:rPr>
        <w:t>acquis</w:t>
      </w:r>
      <w:r w:rsidR="00965C89" w:rsidRPr="005A3F47">
        <w:rPr>
          <w:noProof/>
        </w:rPr>
        <w:t>.</w:t>
      </w:r>
      <w:r w:rsidR="00724D3F" w:rsidRPr="005A3F47">
        <w:rPr>
          <w:noProof/>
        </w:rPr>
        <w:t xml:space="preserve"> The second </w:t>
      </w:r>
      <w:r w:rsidR="008B266F" w:rsidRPr="005A3F47">
        <w:rPr>
          <w:noProof/>
        </w:rPr>
        <w:t>is the existence of outdated and overlapping rules</w:t>
      </w:r>
      <w:r w:rsidR="004C7C9C" w:rsidRPr="005A3F47">
        <w:rPr>
          <w:noProof/>
        </w:rPr>
        <w:t>.</w:t>
      </w:r>
    </w:p>
    <w:p w14:paraId="19951A96" w14:textId="7ABB3452" w:rsidR="00D83F24" w:rsidRPr="005A3F47" w:rsidRDefault="004E0F76" w:rsidP="000E3086">
      <w:pPr>
        <w:rPr>
          <w:b/>
          <w:noProof/>
        </w:rPr>
      </w:pPr>
      <w:r w:rsidRPr="005A3F47">
        <w:rPr>
          <w:noProof/>
        </w:rPr>
        <w:t>T</w:t>
      </w:r>
      <w:r w:rsidR="00453663" w:rsidRPr="005A3F47">
        <w:rPr>
          <w:noProof/>
        </w:rPr>
        <w:t xml:space="preserve">he </w:t>
      </w:r>
      <w:r w:rsidR="00453663" w:rsidRPr="005A3F47">
        <w:rPr>
          <w:b/>
          <w:noProof/>
        </w:rPr>
        <w:t xml:space="preserve">inconsistent </w:t>
      </w:r>
      <w:r w:rsidR="00DD05D6" w:rsidRPr="005A3F47">
        <w:rPr>
          <w:b/>
          <w:noProof/>
        </w:rPr>
        <w:t xml:space="preserve">implementation and </w:t>
      </w:r>
      <w:r w:rsidR="00453663" w:rsidRPr="005A3F47">
        <w:rPr>
          <w:b/>
          <w:noProof/>
        </w:rPr>
        <w:t xml:space="preserve">application of the EU </w:t>
      </w:r>
      <w:r w:rsidR="00043297" w:rsidRPr="005A3F47">
        <w:rPr>
          <w:b/>
          <w:noProof/>
        </w:rPr>
        <w:t>direct tax acquis</w:t>
      </w:r>
      <w:r w:rsidR="006C4204" w:rsidRPr="005A3F47">
        <w:rPr>
          <w:b/>
          <w:noProof/>
        </w:rPr>
        <w:t xml:space="preserve"> </w:t>
      </w:r>
      <w:r w:rsidR="007814F4" w:rsidRPr="005A3F47">
        <w:rPr>
          <w:noProof/>
        </w:rPr>
        <w:t>relate</w:t>
      </w:r>
      <w:r w:rsidR="006C4204" w:rsidRPr="005A3F47">
        <w:rPr>
          <w:noProof/>
        </w:rPr>
        <w:t xml:space="preserve"> to the current fragmentation of the internal market. The EU tax framework has grown over decades and while old directives remain in place, new anti-abuse layers were added. Member States have also implemented EU rules differently and added additional rules or obligations.</w:t>
      </w:r>
      <w:r w:rsidR="007814F4" w:rsidRPr="005A3F47">
        <w:rPr>
          <w:b/>
          <w:noProof/>
        </w:rPr>
        <w:t xml:space="preserve"> </w:t>
      </w:r>
      <w:r w:rsidR="007601E0" w:rsidRPr="005A3F47">
        <w:rPr>
          <w:bCs/>
          <w:noProof/>
        </w:rPr>
        <w:t>Inconsistency and</w:t>
      </w:r>
      <w:r w:rsidR="0064709D" w:rsidRPr="005A3F47">
        <w:rPr>
          <w:bCs/>
          <w:noProof/>
        </w:rPr>
        <w:t xml:space="preserve"> </w:t>
      </w:r>
      <w:r w:rsidR="007601E0" w:rsidRPr="005A3F47">
        <w:rPr>
          <w:bCs/>
          <w:noProof/>
        </w:rPr>
        <w:t xml:space="preserve">fragmentation </w:t>
      </w:r>
      <w:r w:rsidR="0064709D" w:rsidRPr="005A3F47">
        <w:rPr>
          <w:bCs/>
          <w:noProof/>
        </w:rPr>
        <w:t>were</w:t>
      </w:r>
      <w:r w:rsidR="007601E0" w:rsidRPr="005A3F47">
        <w:rPr>
          <w:bCs/>
          <w:noProof/>
        </w:rPr>
        <w:t xml:space="preserve"> pointed </w:t>
      </w:r>
      <w:r w:rsidR="002A5309" w:rsidRPr="005A3F47">
        <w:rPr>
          <w:bCs/>
          <w:noProof/>
        </w:rPr>
        <w:t xml:space="preserve">to </w:t>
      </w:r>
      <w:r w:rsidR="00154958" w:rsidRPr="005A3F47">
        <w:rPr>
          <w:bCs/>
          <w:noProof/>
        </w:rPr>
        <w:t xml:space="preserve">as the root of the identified problems by 77% of the respondents in the Call for Evidence. </w:t>
      </w:r>
      <w:r w:rsidR="007814F4" w:rsidRPr="005A3F47">
        <w:rPr>
          <w:bCs/>
          <w:noProof/>
        </w:rPr>
        <w:t>The inconsistency</w:t>
      </w:r>
      <w:r w:rsidR="007814F4" w:rsidRPr="005A3F47">
        <w:rPr>
          <w:b/>
          <w:noProof/>
        </w:rPr>
        <w:t xml:space="preserve"> </w:t>
      </w:r>
      <w:r w:rsidR="00E96D1D" w:rsidRPr="005A3F47">
        <w:rPr>
          <w:noProof/>
        </w:rPr>
        <w:t>c</w:t>
      </w:r>
      <w:r w:rsidR="005F52C5" w:rsidRPr="005A3F47">
        <w:rPr>
          <w:noProof/>
        </w:rPr>
        <w:t>annot</w:t>
      </w:r>
      <w:r w:rsidR="00E96D1D" w:rsidRPr="005A3F47">
        <w:rPr>
          <w:noProof/>
        </w:rPr>
        <w:t xml:space="preserve"> be solved </w:t>
      </w:r>
      <w:r w:rsidR="001D40EE" w:rsidRPr="005A3F47">
        <w:rPr>
          <w:noProof/>
        </w:rPr>
        <w:t xml:space="preserve">by infringement procedures, guidance or other tools, since </w:t>
      </w:r>
      <w:r w:rsidR="00FC1D77" w:rsidRPr="005A3F47">
        <w:rPr>
          <w:noProof/>
        </w:rPr>
        <w:t xml:space="preserve">the existing Directives </w:t>
      </w:r>
      <w:r w:rsidR="001D40EE" w:rsidRPr="005A3F47">
        <w:rPr>
          <w:noProof/>
        </w:rPr>
        <w:t xml:space="preserve">themselves </w:t>
      </w:r>
      <w:r w:rsidR="007123F3" w:rsidRPr="005A3F47">
        <w:rPr>
          <w:noProof/>
        </w:rPr>
        <w:t xml:space="preserve">provide </w:t>
      </w:r>
      <w:r w:rsidR="00C43E21" w:rsidRPr="005A3F47">
        <w:rPr>
          <w:noProof/>
        </w:rPr>
        <w:t xml:space="preserve">for </w:t>
      </w:r>
      <w:r w:rsidR="007123F3" w:rsidRPr="005A3F47">
        <w:rPr>
          <w:noProof/>
        </w:rPr>
        <w:t>several options, and include undefined terms or constructively ambiguous wording</w:t>
      </w:r>
      <w:r w:rsidR="00FC1D77" w:rsidRPr="005A3F47">
        <w:rPr>
          <w:noProof/>
        </w:rPr>
        <w:t xml:space="preserve">. Hence, </w:t>
      </w:r>
      <w:r w:rsidR="00336B5C" w:rsidRPr="005A3F47">
        <w:rPr>
          <w:noProof/>
        </w:rPr>
        <w:t>there are several</w:t>
      </w:r>
      <w:r w:rsidR="00B62972" w:rsidRPr="005A3F47">
        <w:rPr>
          <w:noProof/>
        </w:rPr>
        <w:t xml:space="preserve"> inconsistencies that can only be</w:t>
      </w:r>
      <w:r w:rsidR="00FC1D77" w:rsidRPr="005A3F47">
        <w:rPr>
          <w:noProof/>
        </w:rPr>
        <w:t xml:space="preserve"> sufficiently </w:t>
      </w:r>
      <w:r w:rsidR="00B62972" w:rsidRPr="005A3F47" w:rsidDel="00656EA8">
        <w:rPr>
          <w:noProof/>
        </w:rPr>
        <w:t>address</w:t>
      </w:r>
      <w:r w:rsidR="00C43E21" w:rsidRPr="005A3F47">
        <w:rPr>
          <w:noProof/>
        </w:rPr>
        <w:t>ed</w:t>
      </w:r>
      <w:r w:rsidR="00B62972" w:rsidRPr="005A3F47">
        <w:rPr>
          <w:noProof/>
        </w:rPr>
        <w:t xml:space="preserve"> by legislative action</w:t>
      </w:r>
      <w:r w:rsidR="00A5294F" w:rsidRPr="005A3F47">
        <w:rPr>
          <w:noProof/>
        </w:rPr>
        <w:t>. First</w:t>
      </w:r>
      <w:r w:rsidR="00B215B9" w:rsidRPr="005A3F47">
        <w:rPr>
          <w:noProof/>
        </w:rPr>
        <w:t>ly</w:t>
      </w:r>
      <w:r w:rsidR="00A5294F" w:rsidRPr="005A3F47">
        <w:rPr>
          <w:noProof/>
        </w:rPr>
        <w:t>, c</w:t>
      </w:r>
      <w:r w:rsidR="00592375" w:rsidRPr="005A3F47">
        <w:rPr>
          <w:noProof/>
        </w:rPr>
        <w:t xml:space="preserve">ertain provisions </w:t>
      </w:r>
      <w:r w:rsidR="00B215B9" w:rsidRPr="005A3F47">
        <w:rPr>
          <w:noProof/>
        </w:rPr>
        <w:t>provide</w:t>
      </w:r>
      <w:r w:rsidR="00B215B9" w:rsidRPr="005A3F47" w:rsidDel="00D81407">
        <w:rPr>
          <w:noProof/>
        </w:rPr>
        <w:t xml:space="preserve"> </w:t>
      </w:r>
      <w:r w:rsidR="00FC1456" w:rsidRPr="005A3F47">
        <w:rPr>
          <w:noProof/>
        </w:rPr>
        <w:t xml:space="preserve">options </w:t>
      </w:r>
      <w:r w:rsidR="00A13691" w:rsidRPr="005A3F47">
        <w:rPr>
          <w:noProof/>
        </w:rPr>
        <w:t xml:space="preserve">to </w:t>
      </w:r>
      <w:r w:rsidR="00FC1456" w:rsidRPr="005A3F47">
        <w:rPr>
          <w:noProof/>
        </w:rPr>
        <w:t>Member States</w:t>
      </w:r>
      <w:r w:rsidR="00A13691" w:rsidRPr="005A3F47">
        <w:rPr>
          <w:noProof/>
        </w:rPr>
        <w:t>,</w:t>
      </w:r>
      <w:r w:rsidR="00FC1456" w:rsidRPr="005A3F47">
        <w:rPr>
          <w:noProof/>
        </w:rPr>
        <w:t xml:space="preserve"> to choose the most </w:t>
      </w:r>
      <w:r w:rsidR="003D2606" w:rsidRPr="005A3F47">
        <w:rPr>
          <w:noProof/>
        </w:rPr>
        <w:t>appropriate</w:t>
      </w:r>
      <w:r w:rsidR="00FC1456" w:rsidRPr="005A3F47">
        <w:rPr>
          <w:noProof/>
        </w:rPr>
        <w:t xml:space="preserve"> implementation at national level.</w:t>
      </w:r>
      <w:r w:rsidR="00B0232B" w:rsidRPr="005A3F47">
        <w:rPr>
          <w:noProof/>
        </w:rPr>
        <w:t xml:space="preserve"> </w:t>
      </w:r>
      <w:r w:rsidR="009F791F" w:rsidRPr="005A3F47">
        <w:rPr>
          <w:noProof/>
        </w:rPr>
        <w:t xml:space="preserve">ATAD, </w:t>
      </w:r>
      <w:r w:rsidR="00B215B9" w:rsidRPr="005A3F47">
        <w:rPr>
          <w:noProof/>
        </w:rPr>
        <w:t xml:space="preserve">for example, </w:t>
      </w:r>
      <w:r w:rsidR="00AE250C" w:rsidRPr="005A3F47">
        <w:rPr>
          <w:noProof/>
        </w:rPr>
        <w:t>allows Member States to choose</w:t>
      </w:r>
      <w:r w:rsidR="00054204" w:rsidRPr="005A3F47">
        <w:rPr>
          <w:noProof/>
        </w:rPr>
        <w:t xml:space="preserve"> between several options for the application of the </w:t>
      </w:r>
      <w:r w:rsidR="00FF1007" w:rsidRPr="005A3F47">
        <w:rPr>
          <w:noProof/>
        </w:rPr>
        <w:t xml:space="preserve">Interest Limitation Rule </w:t>
      </w:r>
      <w:r w:rsidR="004D4CA8" w:rsidRPr="005A3F47">
        <w:rPr>
          <w:noProof/>
        </w:rPr>
        <w:t xml:space="preserve">and </w:t>
      </w:r>
      <w:r w:rsidR="006E7134" w:rsidRPr="005A3F47">
        <w:rPr>
          <w:noProof/>
        </w:rPr>
        <w:t xml:space="preserve">CFC </w:t>
      </w:r>
      <w:r w:rsidR="00815F4A" w:rsidRPr="005A3F47">
        <w:rPr>
          <w:noProof/>
        </w:rPr>
        <w:t>taxation</w:t>
      </w:r>
      <w:r w:rsidR="004D4CA8" w:rsidRPr="005A3F47">
        <w:rPr>
          <w:noProof/>
        </w:rPr>
        <w:t>.</w:t>
      </w:r>
      <w:r w:rsidR="005F377A" w:rsidRPr="005A3F47">
        <w:rPr>
          <w:noProof/>
        </w:rPr>
        <w:t xml:space="preserve"> </w:t>
      </w:r>
      <w:r w:rsidR="00D307AC" w:rsidRPr="005A3F47">
        <w:rPr>
          <w:noProof/>
        </w:rPr>
        <w:t>Consequently</w:t>
      </w:r>
      <w:r w:rsidR="00956244" w:rsidRPr="005A3F47">
        <w:rPr>
          <w:noProof/>
        </w:rPr>
        <w:t xml:space="preserve">, </w:t>
      </w:r>
      <w:r w:rsidR="00FC0BCB" w:rsidRPr="005A3F47">
        <w:rPr>
          <w:noProof/>
        </w:rPr>
        <w:t xml:space="preserve">the limited degree of </w:t>
      </w:r>
      <w:r w:rsidR="00956244" w:rsidRPr="005A3F47">
        <w:rPr>
          <w:noProof/>
        </w:rPr>
        <w:t>harmonisation</w:t>
      </w:r>
      <w:r w:rsidR="00B62AC5" w:rsidRPr="005A3F47">
        <w:rPr>
          <w:noProof/>
        </w:rPr>
        <w:t xml:space="preserve"> has proven insufficient</w:t>
      </w:r>
      <w:r w:rsidR="00AF7CD6" w:rsidRPr="005A3F47">
        <w:rPr>
          <w:noProof/>
        </w:rPr>
        <w:t>,</w:t>
      </w:r>
      <w:r w:rsidR="00BF1BA8" w:rsidRPr="005A3F47">
        <w:rPr>
          <w:noProof/>
        </w:rPr>
        <w:t xml:space="preserve"> and the EU </w:t>
      </w:r>
      <w:r w:rsidR="001225E5" w:rsidRPr="005A3F47">
        <w:rPr>
          <w:noProof/>
        </w:rPr>
        <w:t xml:space="preserve">framework </w:t>
      </w:r>
      <w:r w:rsidR="00BF2F31" w:rsidRPr="005A3F47">
        <w:rPr>
          <w:noProof/>
        </w:rPr>
        <w:t xml:space="preserve">remains fragmented, </w:t>
      </w:r>
      <w:r w:rsidR="00AF7CD6" w:rsidRPr="005A3F47">
        <w:rPr>
          <w:noProof/>
        </w:rPr>
        <w:t xml:space="preserve">with </w:t>
      </w:r>
      <w:r w:rsidR="00BF2F31" w:rsidRPr="005A3F47">
        <w:rPr>
          <w:noProof/>
        </w:rPr>
        <w:t>a costly compliance burden</w:t>
      </w:r>
      <w:r w:rsidR="008D2F04" w:rsidRPr="005A3F47">
        <w:rPr>
          <w:noProof/>
        </w:rPr>
        <w:t>, legal uncertainty</w:t>
      </w:r>
      <w:r w:rsidR="004B59F2" w:rsidRPr="005A3F47">
        <w:rPr>
          <w:noProof/>
        </w:rPr>
        <w:t>,</w:t>
      </w:r>
      <w:r w:rsidR="008D2F04" w:rsidRPr="005A3F47">
        <w:rPr>
          <w:noProof/>
        </w:rPr>
        <w:t xml:space="preserve"> different tax treatment</w:t>
      </w:r>
      <w:r w:rsidR="004B59F2" w:rsidRPr="005A3F47">
        <w:rPr>
          <w:noProof/>
        </w:rPr>
        <w:t xml:space="preserve"> and tax barriers</w:t>
      </w:r>
      <w:r w:rsidR="00BF2F31" w:rsidRPr="005A3F47">
        <w:rPr>
          <w:noProof/>
        </w:rPr>
        <w:t xml:space="preserve"> for taxpayers as a result. </w:t>
      </w:r>
      <w:r w:rsidR="00A452FF" w:rsidRPr="005A3F47">
        <w:rPr>
          <w:noProof/>
        </w:rPr>
        <w:t>T</w:t>
      </w:r>
      <w:r w:rsidR="005F377A" w:rsidRPr="005A3F47">
        <w:rPr>
          <w:noProof/>
        </w:rPr>
        <w:t>he</w:t>
      </w:r>
      <w:r w:rsidR="002110F3" w:rsidRPr="005A3F47">
        <w:rPr>
          <w:noProof/>
        </w:rPr>
        <w:t xml:space="preserve">se findings </w:t>
      </w:r>
      <w:r w:rsidR="00B41528" w:rsidRPr="005A3F47">
        <w:rPr>
          <w:noProof/>
        </w:rPr>
        <w:t>reflect the conclusion in</w:t>
      </w:r>
      <w:r w:rsidR="005F377A" w:rsidRPr="005A3F47">
        <w:rPr>
          <w:noProof/>
        </w:rPr>
        <w:t xml:space="preserve"> </w:t>
      </w:r>
      <w:r w:rsidR="00613340" w:rsidRPr="005A3F47">
        <w:rPr>
          <w:noProof/>
        </w:rPr>
        <w:t xml:space="preserve">the </w:t>
      </w:r>
      <w:r w:rsidR="00214873" w:rsidRPr="005A3F47">
        <w:rPr>
          <w:noProof/>
        </w:rPr>
        <w:t xml:space="preserve">ATAD </w:t>
      </w:r>
      <w:r w:rsidR="005F377A" w:rsidRPr="005A3F47">
        <w:rPr>
          <w:noProof/>
        </w:rPr>
        <w:t>evaluation</w:t>
      </w:r>
      <w:r w:rsidR="00A452FF" w:rsidRPr="005A3F47">
        <w:rPr>
          <w:noProof/>
        </w:rPr>
        <w:t xml:space="preserve"> </w:t>
      </w:r>
      <w:r w:rsidR="00FB3546" w:rsidRPr="005A3F47">
        <w:rPr>
          <w:noProof/>
        </w:rPr>
        <w:t>which</w:t>
      </w:r>
      <w:r w:rsidR="00B41528" w:rsidRPr="005A3F47">
        <w:rPr>
          <w:noProof/>
        </w:rPr>
        <w:t xml:space="preserve"> </w:t>
      </w:r>
      <w:r w:rsidR="00AA4E59" w:rsidRPr="005A3F47">
        <w:rPr>
          <w:noProof/>
        </w:rPr>
        <w:t>indicates</w:t>
      </w:r>
      <w:r w:rsidR="00A452FF" w:rsidRPr="005A3F47">
        <w:rPr>
          <w:noProof/>
        </w:rPr>
        <w:t xml:space="preserve"> that</w:t>
      </w:r>
      <w:r w:rsidR="002A5AA1" w:rsidRPr="005A3F47" w:rsidDel="00BB610C">
        <w:rPr>
          <w:noProof/>
        </w:rPr>
        <w:t xml:space="preserve"> </w:t>
      </w:r>
      <w:r w:rsidR="00B215B9" w:rsidRPr="005A3F47">
        <w:rPr>
          <w:noProof/>
        </w:rPr>
        <w:t>the</w:t>
      </w:r>
      <w:r w:rsidR="00ED2EE3" w:rsidRPr="005A3F47">
        <w:rPr>
          <w:noProof/>
        </w:rPr>
        <w:t xml:space="preserve"> excessi</w:t>
      </w:r>
      <w:r w:rsidR="00493168" w:rsidRPr="005A3F47">
        <w:rPr>
          <w:noProof/>
        </w:rPr>
        <w:t>ve</w:t>
      </w:r>
      <w:r w:rsidR="00B215B9" w:rsidRPr="005A3F47">
        <w:rPr>
          <w:noProof/>
        </w:rPr>
        <w:t xml:space="preserve"> </w:t>
      </w:r>
      <w:r w:rsidR="002A5AA1" w:rsidRPr="005A3F47">
        <w:rPr>
          <w:noProof/>
        </w:rPr>
        <w:t>flexibility</w:t>
      </w:r>
      <w:r w:rsidR="00E869AC" w:rsidRPr="005A3F47">
        <w:rPr>
          <w:noProof/>
        </w:rPr>
        <w:t xml:space="preserve"> of the rules</w:t>
      </w:r>
      <w:r w:rsidR="002A5AA1" w:rsidRPr="005A3F47">
        <w:rPr>
          <w:noProof/>
        </w:rPr>
        <w:t xml:space="preserve"> </w:t>
      </w:r>
      <w:r w:rsidR="00B41528" w:rsidRPr="005A3F47">
        <w:rPr>
          <w:noProof/>
        </w:rPr>
        <w:t>cause</w:t>
      </w:r>
      <w:r w:rsidR="0082024C" w:rsidRPr="005A3F47">
        <w:rPr>
          <w:noProof/>
        </w:rPr>
        <w:t>s</w:t>
      </w:r>
      <w:r w:rsidR="00B41528" w:rsidRPr="005A3F47">
        <w:rPr>
          <w:noProof/>
        </w:rPr>
        <w:t xml:space="preserve"> problems</w:t>
      </w:r>
      <w:r w:rsidR="00506985" w:rsidRPr="005A3F47">
        <w:rPr>
          <w:noProof/>
        </w:rPr>
        <w:t xml:space="preserve">, </w:t>
      </w:r>
      <w:r w:rsidR="00506985" w:rsidRPr="005A3F47">
        <w:rPr>
          <w:rFonts w:cs="Arial"/>
          <w:noProof/>
          <w:lang w:eastAsia="da-DK"/>
        </w:rPr>
        <w:t xml:space="preserve">despite the overall positive assessment </w:t>
      </w:r>
      <w:r w:rsidR="003A0DB8" w:rsidRPr="005A3F47">
        <w:rPr>
          <w:rFonts w:cs="Arial"/>
          <w:noProof/>
          <w:lang w:eastAsia="da-DK"/>
        </w:rPr>
        <w:t xml:space="preserve">that </w:t>
      </w:r>
      <w:r w:rsidR="00397AAE" w:rsidRPr="005A3F47">
        <w:rPr>
          <w:rFonts w:cs="Arial"/>
          <w:noProof/>
          <w:lang w:eastAsia="da-DK"/>
        </w:rPr>
        <w:t xml:space="preserve">the </w:t>
      </w:r>
      <w:r w:rsidR="00506985" w:rsidRPr="005A3F47">
        <w:rPr>
          <w:rFonts w:cs="Arial"/>
          <w:noProof/>
          <w:lang w:eastAsia="da-DK"/>
        </w:rPr>
        <w:t>ATAD</w:t>
      </w:r>
      <w:r w:rsidR="003A0DB8" w:rsidRPr="005A3F47">
        <w:rPr>
          <w:rFonts w:cs="Arial"/>
          <w:noProof/>
          <w:lang w:eastAsia="da-DK"/>
        </w:rPr>
        <w:t xml:space="preserve"> remains</w:t>
      </w:r>
      <w:r w:rsidR="00506985" w:rsidRPr="005A3F47">
        <w:rPr>
          <w:rFonts w:cs="Arial"/>
          <w:noProof/>
          <w:lang w:eastAsia="da-DK"/>
        </w:rPr>
        <w:t xml:space="preserve"> fit for purpose.</w:t>
      </w:r>
      <w:r w:rsidR="00BB7EA0" w:rsidRPr="005A3F47">
        <w:rPr>
          <w:rStyle w:val="FootnoteReference"/>
          <w:rFonts w:cs="Arial"/>
          <w:noProof/>
          <w:lang w:eastAsia="da-DK"/>
        </w:rPr>
        <w:footnoteReference w:id="46"/>
      </w:r>
    </w:p>
    <w:p w14:paraId="6A091C0F" w14:textId="3E7A2AF7" w:rsidR="00E5559C" w:rsidRPr="005A3F47" w:rsidRDefault="00C90871" w:rsidP="000E3086">
      <w:pPr>
        <w:rPr>
          <w:noProof/>
        </w:rPr>
      </w:pPr>
      <w:r w:rsidRPr="005A3F47">
        <w:rPr>
          <w:noProof/>
        </w:rPr>
        <w:t xml:space="preserve">Moreover, </w:t>
      </w:r>
      <w:r w:rsidR="00C07B37" w:rsidRPr="005A3F47">
        <w:rPr>
          <w:noProof/>
        </w:rPr>
        <w:t>inconsistent application</w:t>
      </w:r>
      <w:r w:rsidR="00630257" w:rsidRPr="005A3F47">
        <w:rPr>
          <w:noProof/>
        </w:rPr>
        <w:t>s</w:t>
      </w:r>
      <w:r w:rsidR="00C07B37" w:rsidRPr="005A3F47">
        <w:rPr>
          <w:noProof/>
        </w:rPr>
        <w:t xml:space="preserve"> have</w:t>
      </w:r>
      <w:r w:rsidRPr="005A3F47">
        <w:rPr>
          <w:noProof/>
        </w:rPr>
        <w:t xml:space="preserve"> </w:t>
      </w:r>
      <w:r w:rsidR="004B709D" w:rsidRPr="005A3F47">
        <w:rPr>
          <w:noProof/>
        </w:rPr>
        <w:t>even</w:t>
      </w:r>
      <w:r w:rsidR="007A079E" w:rsidRPr="005A3F47">
        <w:rPr>
          <w:noProof/>
        </w:rPr>
        <w:t xml:space="preserve"> occasionally </w:t>
      </w:r>
      <w:r w:rsidR="00017194" w:rsidRPr="005A3F47">
        <w:rPr>
          <w:noProof/>
        </w:rPr>
        <w:t xml:space="preserve">lead to problems </w:t>
      </w:r>
      <w:r w:rsidR="007C058B" w:rsidRPr="005A3F47">
        <w:rPr>
          <w:noProof/>
        </w:rPr>
        <w:t>concerning</w:t>
      </w:r>
      <w:r w:rsidR="004B709D" w:rsidRPr="005A3F47">
        <w:rPr>
          <w:noProof/>
        </w:rPr>
        <w:t xml:space="preserve"> </w:t>
      </w:r>
      <w:r w:rsidR="00E5559C" w:rsidRPr="005A3F47">
        <w:rPr>
          <w:noProof/>
        </w:rPr>
        <w:t>provisions</w:t>
      </w:r>
      <w:r w:rsidR="007A59CA" w:rsidRPr="005A3F47">
        <w:rPr>
          <w:noProof/>
        </w:rPr>
        <w:t xml:space="preserve"> that</w:t>
      </w:r>
      <w:r w:rsidR="00686460" w:rsidRPr="005A3F47">
        <w:rPr>
          <w:noProof/>
        </w:rPr>
        <w:t xml:space="preserve"> do not </w:t>
      </w:r>
      <w:r w:rsidR="00AD12C8" w:rsidRPr="005A3F47">
        <w:rPr>
          <w:noProof/>
        </w:rPr>
        <w:t>include</w:t>
      </w:r>
      <w:r w:rsidR="00686460" w:rsidRPr="005A3F47">
        <w:rPr>
          <w:noProof/>
        </w:rPr>
        <w:t xml:space="preserve"> options</w:t>
      </w:r>
      <w:r w:rsidR="00AD12C8" w:rsidRPr="005A3F47">
        <w:rPr>
          <w:noProof/>
        </w:rPr>
        <w:t xml:space="preserve"> for implementation</w:t>
      </w:r>
      <w:r w:rsidR="00A662A3" w:rsidRPr="005A3F47">
        <w:rPr>
          <w:noProof/>
        </w:rPr>
        <w:t>.</w:t>
      </w:r>
      <w:r w:rsidR="00D12BAF" w:rsidRPr="005A3F47">
        <w:rPr>
          <w:noProof/>
        </w:rPr>
        <w:t xml:space="preserve"> </w:t>
      </w:r>
      <w:r w:rsidR="00AA53F5" w:rsidRPr="005A3F47">
        <w:rPr>
          <w:noProof/>
        </w:rPr>
        <w:t xml:space="preserve">This has occurred </w:t>
      </w:r>
      <w:r w:rsidR="00793783" w:rsidRPr="005A3F47">
        <w:rPr>
          <w:noProof/>
        </w:rPr>
        <w:t xml:space="preserve">in some instances </w:t>
      </w:r>
      <w:r w:rsidR="00AA53F5" w:rsidRPr="005A3F47">
        <w:rPr>
          <w:noProof/>
        </w:rPr>
        <w:t>whe</w:t>
      </w:r>
      <w:r w:rsidR="00D32018" w:rsidRPr="005A3F47">
        <w:rPr>
          <w:noProof/>
        </w:rPr>
        <w:t>re</w:t>
      </w:r>
      <w:r w:rsidR="00D12BAF" w:rsidRPr="005A3F47">
        <w:rPr>
          <w:noProof/>
        </w:rPr>
        <w:t xml:space="preserve"> the</w:t>
      </w:r>
      <w:r w:rsidR="00252EAD" w:rsidRPr="005A3F47">
        <w:rPr>
          <w:noProof/>
        </w:rPr>
        <w:t xml:space="preserve"> legal texts are not fully aligned. </w:t>
      </w:r>
      <w:r w:rsidR="004E4B3E" w:rsidRPr="005A3F47">
        <w:rPr>
          <w:noProof/>
        </w:rPr>
        <w:t>For example,</w:t>
      </w:r>
      <w:r w:rsidR="00270376" w:rsidRPr="005A3F47">
        <w:rPr>
          <w:noProof/>
        </w:rPr>
        <w:t xml:space="preserve"> the</w:t>
      </w:r>
      <w:r w:rsidR="00CE0962" w:rsidRPr="005A3F47">
        <w:rPr>
          <w:noProof/>
        </w:rPr>
        <w:t>re are differences in the</w:t>
      </w:r>
      <w:r w:rsidR="00270376" w:rsidRPr="005A3F47">
        <w:rPr>
          <w:noProof/>
        </w:rPr>
        <w:t xml:space="preserve"> </w:t>
      </w:r>
      <w:r w:rsidR="00480B39" w:rsidRPr="005A3F47">
        <w:rPr>
          <w:noProof/>
        </w:rPr>
        <w:t xml:space="preserve">holding requirements </w:t>
      </w:r>
      <w:r w:rsidR="005B5DBF" w:rsidRPr="005A3F47">
        <w:rPr>
          <w:noProof/>
        </w:rPr>
        <w:t>for entitlement to</w:t>
      </w:r>
      <w:r w:rsidR="00270376" w:rsidRPr="005A3F47">
        <w:rPr>
          <w:noProof/>
        </w:rPr>
        <w:t xml:space="preserve"> the IRD and PSD. </w:t>
      </w:r>
      <w:r w:rsidR="00252EAD" w:rsidRPr="005A3F47">
        <w:rPr>
          <w:noProof/>
        </w:rPr>
        <w:t xml:space="preserve">In others, a lack of precision or the </w:t>
      </w:r>
      <w:r w:rsidR="00FE3EE4" w:rsidRPr="005A3F47">
        <w:rPr>
          <w:noProof/>
        </w:rPr>
        <w:t>flexible</w:t>
      </w:r>
      <w:r w:rsidR="00252EAD" w:rsidRPr="005A3F47">
        <w:rPr>
          <w:noProof/>
        </w:rPr>
        <w:t xml:space="preserve"> nature of certain rules has led to divergent interpretation</w:t>
      </w:r>
      <w:r w:rsidR="00BC6946" w:rsidRPr="005A3F47">
        <w:rPr>
          <w:noProof/>
        </w:rPr>
        <w:t>s</w:t>
      </w:r>
      <w:r w:rsidR="00252EAD" w:rsidRPr="005A3F47">
        <w:rPr>
          <w:noProof/>
        </w:rPr>
        <w:t xml:space="preserve"> of the Directives, </w:t>
      </w:r>
      <w:r w:rsidR="00BD4A24" w:rsidRPr="005A3F47">
        <w:rPr>
          <w:noProof/>
        </w:rPr>
        <w:t>fuelled by</w:t>
      </w:r>
      <w:r w:rsidR="00252EAD" w:rsidRPr="005A3F47">
        <w:rPr>
          <w:noProof/>
        </w:rPr>
        <w:t xml:space="preserve"> unintended inconsistencies.</w:t>
      </w:r>
      <w:r w:rsidR="00F53B4D" w:rsidRPr="005A3F47">
        <w:rPr>
          <w:noProof/>
        </w:rPr>
        <w:t xml:space="preserve"> </w:t>
      </w:r>
      <w:r w:rsidR="00D352C3" w:rsidRPr="005A3F47">
        <w:rPr>
          <w:noProof/>
        </w:rPr>
        <w:t>By way of example</w:t>
      </w:r>
      <w:r w:rsidR="00F53B4D" w:rsidRPr="005A3F47" w:rsidDel="00D352C3">
        <w:rPr>
          <w:noProof/>
        </w:rPr>
        <w:t xml:space="preserve">, </w:t>
      </w:r>
      <w:r w:rsidR="002D2CA1" w:rsidRPr="005A3F47">
        <w:rPr>
          <w:noProof/>
        </w:rPr>
        <w:t>where</w:t>
      </w:r>
      <w:r w:rsidR="00F53B4D" w:rsidRPr="005A3F47" w:rsidDel="00D352C3">
        <w:rPr>
          <w:noProof/>
        </w:rPr>
        <w:t xml:space="preserve"> </w:t>
      </w:r>
      <w:r w:rsidR="00F53B4D" w:rsidRPr="005A3F47">
        <w:rPr>
          <w:rFonts w:cs="Arial"/>
          <w:noProof/>
          <w:lang w:eastAsia="da-DK"/>
        </w:rPr>
        <w:t xml:space="preserve">variations in the interpretation of certain </w:t>
      </w:r>
      <w:r w:rsidR="00032F50" w:rsidRPr="005A3F47">
        <w:rPr>
          <w:rFonts w:cs="Arial"/>
          <w:noProof/>
          <w:lang w:eastAsia="da-DK"/>
        </w:rPr>
        <w:t xml:space="preserve">provisions </w:t>
      </w:r>
      <w:r w:rsidR="00D352C3" w:rsidRPr="005A3F47">
        <w:rPr>
          <w:rFonts w:cs="Arial"/>
          <w:noProof/>
          <w:lang w:eastAsia="da-DK"/>
        </w:rPr>
        <w:t xml:space="preserve">of the </w:t>
      </w:r>
      <w:r w:rsidR="005A151D" w:rsidRPr="005A3F47">
        <w:rPr>
          <w:rFonts w:cs="Arial"/>
          <w:noProof/>
          <w:lang w:eastAsia="da-DK"/>
        </w:rPr>
        <w:t>DRM</w:t>
      </w:r>
      <w:r w:rsidR="009A43AA" w:rsidRPr="005A3F47">
        <w:rPr>
          <w:rFonts w:cs="Arial"/>
          <w:noProof/>
          <w:lang w:eastAsia="da-DK"/>
        </w:rPr>
        <w:t xml:space="preserve"> exist</w:t>
      </w:r>
      <w:r w:rsidR="00734E48" w:rsidRPr="005A3F47">
        <w:rPr>
          <w:rFonts w:cs="Arial"/>
          <w:noProof/>
          <w:lang w:eastAsia="da-DK"/>
        </w:rPr>
        <w:t xml:space="preserve"> –</w:t>
      </w:r>
      <w:r w:rsidR="00F53B4D" w:rsidRPr="005A3F47">
        <w:rPr>
          <w:rFonts w:cs="Arial"/>
          <w:noProof/>
          <w:lang w:eastAsia="da-DK"/>
        </w:rPr>
        <w:t xml:space="preserve"> such </w:t>
      </w:r>
      <w:r w:rsidR="009A43AA" w:rsidRPr="005A3F47">
        <w:rPr>
          <w:rFonts w:cs="Arial"/>
          <w:noProof/>
          <w:lang w:eastAsia="da-DK"/>
        </w:rPr>
        <w:t xml:space="preserve">as </w:t>
      </w:r>
      <w:r w:rsidR="00F608A3" w:rsidRPr="005A3F47">
        <w:rPr>
          <w:rFonts w:cs="Arial"/>
          <w:noProof/>
          <w:lang w:eastAsia="da-DK"/>
        </w:rPr>
        <w:t xml:space="preserve">the </w:t>
      </w:r>
      <w:r w:rsidR="008241F9" w:rsidRPr="005A3F47">
        <w:rPr>
          <w:rFonts w:cs="Arial"/>
          <w:noProof/>
          <w:lang w:eastAsia="da-DK"/>
        </w:rPr>
        <w:t>a</w:t>
      </w:r>
      <w:r w:rsidR="00D60898" w:rsidRPr="005A3F47">
        <w:rPr>
          <w:rFonts w:cs="Arial"/>
          <w:noProof/>
          <w:lang w:eastAsia="da-DK"/>
        </w:rPr>
        <w:t>dmission criteria</w:t>
      </w:r>
      <w:r w:rsidR="003A6002" w:rsidRPr="005A3F47">
        <w:rPr>
          <w:rFonts w:cs="Arial"/>
          <w:noProof/>
          <w:lang w:eastAsia="da-DK"/>
        </w:rPr>
        <w:t xml:space="preserve"> and imposed deadlines</w:t>
      </w:r>
      <w:r w:rsidR="00734E48" w:rsidRPr="005A3F47">
        <w:rPr>
          <w:rFonts w:cs="Arial"/>
          <w:noProof/>
          <w:lang w:eastAsia="da-DK"/>
        </w:rPr>
        <w:t xml:space="preserve"> –</w:t>
      </w:r>
      <w:r w:rsidR="00F53B4D" w:rsidRPr="005A3F47">
        <w:rPr>
          <w:rFonts w:cs="Arial"/>
          <w:noProof/>
          <w:lang w:eastAsia="da-DK"/>
        </w:rPr>
        <w:t xml:space="preserve"> have </w:t>
      </w:r>
      <w:r w:rsidR="00906DC0" w:rsidRPr="005A3F47">
        <w:rPr>
          <w:rFonts w:cs="Arial"/>
          <w:noProof/>
          <w:lang w:eastAsia="da-DK"/>
        </w:rPr>
        <w:t xml:space="preserve">been </w:t>
      </w:r>
      <w:r w:rsidR="002D2CA1" w:rsidRPr="005A3F47">
        <w:rPr>
          <w:rFonts w:cs="Arial"/>
          <w:noProof/>
          <w:lang w:eastAsia="da-DK"/>
        </w:rPr>
        <w:t>demonstrated</w:t>
      </w:r>
      <w:r w:rsidR="00260CBF" w:rsidRPr="005A3F47">
        <w:rPr>
          <w:rFonts w:cs="Arial"/>
          <w:noProof/>
          <w:lang w:eastAsia="da-DK"/>
        </w:rPr>
        <w:t xml:space="preserve"> </w:t>
      </w:r>
      <w:r w:rsidR="005D7D97" w:rsidRPr="005A3F47">
        <w:rPr>
          <w:rFonts w:cs="Arial"/>
          <w:noProof/>
          <w:lang w:eastAsia="da-DK"/>
        </w:rPr>
        <w:t xml:space="preserve">to </w:t>
      </w:r>
      <w:r w:rsidR="00F53B4D" w:rsidRPr="005A3F47">
        <w:rPr>
          <w:rFonts w:cs="Arial"/>
          <w:noProof/>
          <w:lang w:eastAsia="da-DK"/>
        </w:rPr>
        <w:t>contribute to legal uncertainty.</w:t>
      </w:r>
      <w:r w:rsidR="00AF7609" w:rsidRPr="005A3F47">
        <w:rPr>
          <w:rStyle w:val="FootnoteReference"/>
          <w:rFonts w:cs="Arial"/>
          <w:noProof/>
          <w:lang w:eastAsia="da-DK"/>
        </w:rPr>
        <w:footnoteReference w:id="47"/>
      </w:r>
      <w:r w:rsidR="00252EAD" w:rsidRPr="005A3F47">
        <w:rPr>
          <w:noProof/>
        </w:rPr>
        <w:t xml:space="preserve"> </w:t>
      </w:r>
    </w:p>
    <w:p w14:paraId="795F4C06" w14:textId="2AAF82F4" w:rsidR="00982CA5" w:rsidRPr="005A3F47" w:rsidRDefault="000C522C" w:rsidP="000E3086">
      <w:pPr>
        <w:rPr>
          <w:noProof/>
        </w:rPr>
      </w:pPr>
      <w:r w:rsidRPr="005A3F47">
        <w:rPr>
          <w:noProof/>
        </w:rPr>
        <w:t>T</w:t>
      </w:r>
      <w:r w:rsidR="00E147A1" w:rsidRPr="005A3F47">
        <w:rPr>
          <w:noProof/>
        </w:rPr>
        <w:t xml:space="preserve">he existing </w:t>
      </w:r>
      <w:r w:rsidR="0098036A" w:rsidRPr="005A3F47">
        <w:rPr>
          <w:noProof/>
        </w:rPr>
        <w:t xml:space="preserve">direct taxation </w:t>
      </w:r>
      <w:r w:rsidR="26E83C16" w:rsidRPr="005A3F47">
        <w:rPr>
          <w:noProof/>
        </w:rPr>
        <w:t>D</w:t>
      </w:r>
      <w:r w:rsidR="0098036A" w:rsidRPr="005A3F47">
        <w:rPr>
          <w:noProof/>
        </w:rPr>
        <w:t>irectives have been adopted</w:t>
      </w:r>
      <w:r w:rsidR="00177D56" w:rsidRPr="005A3F47">
        <w:rPr>
          <w:noProof/>
        </w:rPr>
        <w:t xml:space="preserve"> over the past </w:t>
      </w:r>
      <w:r w:rsidR="007871BD" w:rsidRPr="005A3F47">
        <w:rPr>
          <w:noProof/>
        </w:rPr>
        <w:t>35</w:t>
      </w:r>
      <w:r w:rsidR="007D2E77" w:rsidRPr="005A3F47">
        <w:rPr>
          <w:noProof/>
        </w:rPr>
        <w:t xml:space="preserve"> years</w:t>
      </w:r>
      <w:r w:rsidR="0041388B" w:rsidRPr="005A3F47">
        <w:rPr>
          <w:noProof/>
        </w:rPr>
        <w:t xml:space="preserve"> (Annex 7)</w:t>
      </w:r>
      <w:r w:rsidR="00F37AAD" w:rsidRPr="005A3F47">
        <w:rPr>
          <w:noProof/>
        </w:rPr>
        <w:t xml:space="preserve"> and m</w:t>
      </w:r>
      <w:r w:rsidR="001E6613" w:rsidRPr="005A3F47">
        <w:rPr>
          <w:noProof/>
        </w:rPr>
        <w:t>ost of the</w:t>
      </w:r>
      <w:r w:rsidR="00E57ACB" w:rsidRPr="005A3F47">
        <w:rPr>
          <w:noProof/>
        </w:rPr>
        <w:t xml:space="preserve">se </w:t>
      </w:r>
      <w:r w:rsidR="3F1BC8E0" w:rsidRPr="005A3F47">
        <w:rPr>
          <w:noProof/>
        </w:rPr>
        <w:t>D</w:t>
      </w:r>
      <w:r w:rsidR="00E57ACB" w:rsidRPr="005A3F47">
        <w:rPr>
          <w:noProof/>
        </w:rPr>
        <w:t>irectives</w:t>
      </w:r>
      <w:r w:rsidR="00712638" w:rsidRPr="005A3F47">
        <w:rPr>
          <w:noProof/>
        </w:rPr>
        <w:t xml:space="preserve"> have</w:t>
      </w:r>
      <w:r w:rsidR="00EB12BE" w:rsidRPr="005A3F47">
        <w:rPr>
          <w:noProof/>
        </w:rPr>
        <w:t xml:space="preserve"> undergone only very limited amendments </w:t>
      </w:r>
      <w:r w:rsidR="00990589" w:rsidRPr="005A3F47">
        <w:rPr>
          <w:noProof/>
        </w:rPr>
        <w:t>since</w:t>
      </w:r>
      <w:r w:rsidR="00F37AAD" w:rsidRPr="005A3F47">
        <w:rPr>
          <w:noProof/>
        </w:rPr>
        <w:t>. Consequently,</w:t>
      </w:r>
      <w:r w:rsidR="00EF0D24" w:rsidRPr="005A3F47" w:rsidDel="00AD1981">
        <w:rPr>
          <w:noProof/>
        </w:rPr>
        <w:t xml:space="preserve"> </w:t>
      </w:r>
      <w:r w:rsidR="00EF0D24" w:rsidRPr="005A3F47">
        <w:rPr>
          <w:b/>
          <w:noProof/>
        </w:rPr>
        <w:t>outdated and overlapping rules</w:t>
      </w:r>
      <w:r w:rsidR="00EF0D24" w:rsidRPr="005A3F47">
        <w:rPr>
          <w:noProof/>
        </w:rPr>
        <w:t xml:space="preserve"> </w:t>
      </w:r>
      <w:r w:rsidR="00A32092" w:rsidRPr="005A3F47">
        <w:rPr>
          <w:noProof/>
        </w:rPr>
        <w:t>cause problems in the internal market</w:t>
      </w:r>
      <w:r w:rsidR="00082983" w:rsidRPr="005A3F47">
        <w:rPr>
          <w:noProof/>
        </w:rPr>
        <w:t xml:space="preserve">. </w:t>
      </w:r>
      <w:r w:rsidR="00BB0812" w:rsidRPr="005A3F47">
        <w:rPr>
          <w:noProof/>
        </w:rPr>
        <w:t xml:space="preserve">Attempts </w:t>
      </w:r>
      <w:r w:rsidR="00BD741C" w:rsidRPr="005A3F47">
        <w:rPr>
          <w:noProof/>
        </w:rPr>
        <w:t xml:space="preserve">to revisit their content </w:t>
      </w:r>
      <w:r w:rsidR="00BB0812" w:rsidRPr="005A3F47">
        <w:rPr>
          <w:noProof/>
        </w:rPr>
        <w:t xml:space="preserve">have previously been made, </w:t>
      </w:r>
      <w:r w:rsidR="00F22881" w:rsidRPr="005A3F47">
        <w:rPr>
          <w:noProof/>
        </w:rPr>
        <w:t>for example,</w:t>
      </w:r>
      <w:r w:rsidR="00BB0812" w:rsidRPr="005A3F47">
        <w:rPr>
          <w:noProof/>
        </w:rPr>
        <w:t xml:space="preserve"> with the IRD recast in 2011</w:t>
      </w:r>
      <w:r w:rsidR="00C47277" w:rsidRPr="005A3F47">
        <w:rPr>
          <w:noProof/>
        </w:rPr>
        <w:t xml:space="preserve">, but </w:t>
      </w:r>
      <w:r w:rsidR="00754F6C" w:rsidRPr="005A3F47">
        <w:rPr>
          <w:noProof/>
        </w:rPr>
        <w:t>this attempt did not advance in</w:t>
      </w:r>
      <w:r w:rsidR="00277300" w:rsidRPr="005A3F47" w:rsidDel="00754F6C">
        <w:rPr>
          <w:noProof/>
        </w:rPr>
        <w:t xml:space="preserve"> </w:t>
      </w:r>
      <w:r w:rsidR="00277300" w:rsidRPr="005A3F47">
        <w:rPr>
          <w:noProof/>
        </w:rPr>
        <w:t xml:space="preserve">Council. </w:t>
      </w:r>
      <w:r w:rsidR="00342916" w:rsidRPr="005A3F47">
        <w:rPr>
          <w:noProof/>
        </w:rPr>
        <w:t>As a result</w:t>
      </w:r>
      <w:r w:rsidR="00082983" w:rsidRPr="005A3F47">
        <w:rPr>
          <w:noProof/>
        </w:rPr>
        <w:t xml:space="preserve">, certain provisions </w:t>
      </w:r>
      <w:r w:rsidR="00342916" w:rsidRPr="005A3F47">
        <w:rPr>
          <w:noProof/>
        </w:rPr>
        <w:t xml:space="preserve">in the existing direct taxation </w:t>
      </w:r>
      <w:r w:rsidR="0CF3CBBE" w:rsidRPr="005A3F47">
        <w:rPr>
          <w:noProof/>
        </w:rPr>
        <w:t>D</w:t>
      </w:r>
      <w:r w:rsidR="00342916" w:rsidRPr="005A3F47">
        <w:rPr>
          <w:noProof/>
        </w:rPr>
        <w:t xml:space="preserve">irectives </w:t>
      </w:r>
      <w:r w:rsidR="00A8522D" w:rsidRPr="005A3F47">
        <w:rPr>
          <w:noProof/>
        </w:rPr>
        <w:t xml:space="preserve">do not </w:t>
      </w:r>
      <w:r w:rsidR="00634D88" w:rsidRPr="005A3F47">
        <w:rPr>
          <w:noProof/>
        </w:rPr>
        <w:t>sufficiently</w:t>
      </w:r>
      <w:r w:rsidR="00A8522D" w:rsidRPr="005A3F47">
        <w:rPr>
          <w:noProof/>
        </w:rPr>
        <w:t xml:space="preserve"> reflect </w:t>
      </w:r>
      <w:r w:rsidR="004237CE" w:rsidRPr="005A3F47">
        <w:rPr>
          <w:noProof/>
        </w:rPr>
        <w:t>economic reality.</w:t>
      </w:r>
      <w:r w:rsidR="00AE6038" w:rsidRPr="005A3F47">
        <w:rPr>
          <w:noProof/>
        </w:rPr>
        <w:t xml:space="preserve"> </w:t>
      </w:r>
      <w:r w:rsidR="00C327A8" w:rsidRPr="005A3F47">
        <w:rPr>
          <w:noProof/>
        </w:rPr>
        <w:t xml:space="preserve">In the Call for Evidence, </w:t>
      </w:r>
      <w:r w:rsidR="00E732D1" w:rsidRPr="005A3F47">
        <w:rPr>
          <w:noProof/>
        </w:rPr>
        <w:t>i</w:t>
      </w:r>
      <w:r w:rsidR="008168DF" w:rsidRPr="005A3F47">
        <w:rPr>
          <w:noProof/>
        </w:rPr>
        <w:t>ssues related to</w:t>
      </w:r>
      <w:r w:rsidR="00D6081E" w:rsidRPr="005A3F47">
        <w:rPr>
          <w:noProof/>
        </w:rPr>
        <w:t xml:space="preserve"> the IRD and the PSD</w:t>
      </w:r>
      <w:r w:rsidR="0012558F" w:rsidRPr="005A3F47">
        <w:rPr>
          <w:noProof/>
        </w:rPr>
        <w:t xml:space="preserve"> were pointed out by approximately 67% of the respondents who</w:t>
      </w:r>
      <w:r w:rsidR="00CB417C" w:rsidRPr="005A3F47">
        <w:rPr>
          <w:noProof/>
        </w:rPr>
        <w:t xml:space="preserve"> inter alia </w:t>
      </w:r>
      <w:r w:rsidR="00DB19D5" w:rsidRPr="005A3F47">
        <w:rPr>
          <w:noProof/>
        </w:rPr>
        <w:t>identified outdated requirements</w:t>
      </w:r>
      <w:r w:rsidR="00374042" w:rsidRPr="005A3F47">
        <w:rPr>
          <w:noProof/>
        </w:rPr>
        <w:t>,</w:t>
      </w:r>
      <w:r w:rsidR="00A15840" w:rsidRPr="005A3F47">
        <w:rPr>
          <w:noProof/>
        </w:rPr>
        <w:t xml:space="preserve"> </w:t>
      </w:r>
      <w:r w:rsidR="003550C6" w:rsidRPr="005A3F47">
        <w:rPr>
          <w:noProof/>
        </w:rPr>
        <w:t xml:space="preserve">which are not flexible enough to </w:t>
      </w:r>
      <w:r w:rsidR="00D66688" w:rsidRPr="005A3F47">
        <w:rPr>
          <w:noProof/>
        </w:rPr>
        <w:t>include new company forms</w:t>
      </w:r>
      <w:r w:rsidR="00374042" w:rsidRPr="005A3F47">
        <w:rPr>
          <w:noProof/>
        </w:rPr>
        <w:t>, as a cause</w:t>
      </w:r>
      <w:r w:rsidR="00DB19D5" w:rsidRPr="005A3F47">
        <w:rPr>
          <w:noProof/>
        </w:rPr>
        <w:t>.</w:t>
      </w:r>
      <w:r w:rsidR="00EC65F8" w:rsidRPr="005A3F47">
        <w:rPr>
          <w:noProof/>
        </w:rPr>
        <w:t xml:space="preserve"> </w:t>
      </w:r>
      <w:r w:rsidR="00FA64EC" w:rsidRPr="005A3F47">
        <w:rPr>
          <w:noProof/>
        </w:rPr>
        <w:t>Concerning</w:t>
      </w:r>
      <w:r w:rsidR="00DB19D5" w:rsidRPr="005A3F47">
        <w:rPr>
          <w:noProof/>
        </w:rPr>
        <w:t xml:space="preserve"> the </w:t>
      </w:r>
      <w:r w:rsidR="000E2946" w:rsidRPr="005A3F47">
        <w:rPr>
          <w:noProof/>
        </w:rPr>
        <w:t>ATAD</w:t>
      </w:r>
      <w:r w:rsidR="00967BA9" w:rsidRPr="005A3F47">
        <w:rPr>
          <w:noProof/>
        </w:rPr>
        <w:t xml:space="preserve"> </w:t>
      </w:r>
      <w:r w:rsidR="00DB19D5" w:rsidRPr="005A3F47">
        <w:rPr>
          <w:noProof/>
        </w:rPr>
        <w:t>Interest Limitation Rule</w:t>
      </w:r>
      <w:r w:rsidR="00321822" w:rsidRPr="005A3F47">
        <w:rPr>
          <w:noProof/>
        </w:rPr>
        <w:t>,</w:t>
      </w:r>
      <w:r w:rsidR="00E950E5" w:rsidRPr="005A3F47">
        <w:rPr>
          <w:noProof/>
        </w:rPr>
        <w:t xml:space="preserve"> approximately 52% of the </w:t>
      </w:r>
      <w:r w:rsidR="00F30726" w:rsidRPr="005A3F47">
        <w:rPr>
          <w:noProof/>
        </w:rPr>
        <w:t>respondents in th</w:t>
      </w:r>
      <w:r w:rsidR="00F00AFA" w:rsidRPr="005A3F47">
        <w:rPr>
          <w:noProof/>
        </w:rPr>
        <w:t xml:space="preserve">e Call for Evidence </w:t>
      </w:r>
      <w:r w:rsidR="00507D67" w:rsidRPr="005A3F47">
        <w:rPr>
          <w:noProof/>
        </w:rPr>
        <w:t>noted</w:t>
      </w:r>
      <w:r w:rsidR="002B092D" w:rsidRPr="005A3F47">
        <w:rPr>
          <w:noProof/>
        </w:rPr>
        <w:t xml:space="preserve"> problems</w:t>
      </w:r>
      <w:r w:rsidR="0026769B" w:rsidRPr="005A3F47">
        <w:rPr>
          <w:noProof/>
        </w:rPr>
        <w:t>, e.g., because the rule</w:t>
      </w:r>
      <w:r w:rsidR="00AF528E" w:rsidRPr="005A3F47">
        <w:rPr>
          <w:noProof/>
        </w:rPr>
        <w:t xml:space="preserve"> was designed at</w:t>
      </w:r>
      <w:r w:rsidR="00ED447B" w:rsidRPr="005A3F47">
        <w:rPr>
          <w:noProof/>
        </w:rPr>
        <w:t xml:space="preserve"> </w:t>
      </w:r>
      <w:r w:rsidR="009C366B" w:rsidRPr="005A3F47">
        <w:rPr>
          <w:noProof/>
        </w:rPr>
        <w:t xml:space="preserve">a time where </w:t>
      </w:r>
      <w:r w:rsidR="00EE48CA" w:rsidRPr="005A3F47">
        <w:rPr>
          <w:noProof/>
        </w:rPr>
        <w:t>the</w:t>
      </w:r>
      <w:r w:rsidR="009C366B" w:rsidRPr="005A3F47" w:rsidDel="00EE48CA">
        <w:rPr>
          <w:noProof/>
        </w:rPr>
        <w:t xml:space="preserve"> </w:t>
      </w:r>
      <w:r w:rsidR="00237D28" w:rsidRPr="005A3F47">
        <w:rPr>
          <w:noProof/>
        </w:rPr>
        <w:t xml:space="preserve">macroeconomic environment </w:t>
      </w:r>
      <w:r w:rsidR="00EE48CA" w:rsidRPr="005A3F47">
        <w:rPr>
          <w:noProof/>
        </w:rPr>
        <w:t xml:space="preserve">was </w:t>
      </w:r>
      <w:r w:rsidR="00237D28" w:rsidRPr="005A3F47">
        <w:rPr>
          <w:noProof/>
        </w:rPr>
        <w:t>characterised by a prolonged period of historically low interest rates, before the significant changes observed in more recent years.</w:t>
      </w:r>
      <w:r w:rsidR="00583ED8" w:rsidRPr="005A3F47">
        <w:rPr>
          <w:rStyle w:val="FootnoteReference"/>
          <w:noProof/>
        </w:rPr>
        <w:footnoteReference w:id="48"/>
      </w:r>
      <w:r w:rsidR="00BF4530" w:rsidRPr="005A3F47">
        <w:rPr>
          <w:noProof/>
        </w:rPr>
        <w:t xml:space="preserve"> </w:t>
      </w:r>
    </w:p>
    <w:p w14:paraId="24924E28" w14:textId="5B4235F2" w:rsidR="0064533E" w:rsidRPr="005A3F47" w:rsidRDefault="00FB7DEC" w:rsidP="000E3086">
      <w:pPr>
        <w:rPr>
          <w:noProof/>
        </w:rPr>
      </w:pPr>
      <w:r w:rsidRPr="005A3F47">
        <w:rPr>
          <w:noProof/>
        </w:rPr>
        <w:t>It is important to also</w:t>
      </w:r>
      <w:r w:rsidR="00C5356A" w:rsidRPr="005A3F47">
        <w:rPr>
          <w:noProof/>
        </w:rPr>
        <w:t xml:space="preserve"> consider that</w:t>
      </w:r>
      <w:r w:rsidR="0081215C" w:rsidRPr="005A3F47" w:rsidDel="00781B1C">
        <w:rPr>
          <w:noProof/>
        </w:rPr>
        <w:t xml:space="preserve"> </w:t>
      </w:r>
      <w:r w:rsidR="00033FA2" w:rsidRPr="005A3F47">
        <w:rPr>
          <w:noProof/>
        </w:rPr>
        <w:t>subsequent</w:t>
      </w:r>
      <w:r w:rsidR="0081215C" w:rsidRPr="005A3F47">
        <w:rPr>
          <w:noProof/>
        </w:rPr>
        <w:t xml:space="preserve"> </w:t>
      </w:r>
      <w:r w:rsidR="00FF569F" w:rsidRPr="005A3F47">
        <w:rPr>
          <w:noProof/>
        </w:rPr>
        <w:t>global</w:t>
      </w:r>
      <w:r w:rsidR="0081215C" w:rsidRPr="005A3F47">
        <w:rPr>
          <w:noProof/>
        </w:rPr>
        <w:t xml:space="preserve"> and EU tax </w:t>
      </w:r>
      <w:r w:rsidR="00236AD6" w:rsidRPr="005A3F47">
        <w:rPr>
          <w:noProof/>
        </w:rPr>
        <w:t>developments</w:t>
      </w:r>
      <w:r w:rsidR="00236AD6" w:rsidRPr="005A3F47" w:rsidDel="00D608C6">
        <w:rPr>
          <w:noProof/>
        </w:rPr>
        <w:t xml:space="preserve"> </w:t>
      </w:r>
      <w:r w:rsidR="006964BE" w:rsidRPr="005A3F47">
        <w:rPr>
          <w:noProof/>
        </w:rPr>
        <w:t>have</w:t>
      </w:r>
      <w:r w:rsidR="005927C7" w:rsidRPr="005A3F47">
        <w:rPr>
          <w:noProof/>
        </w:rPr>
        <w:t xml:space="preserve"> </w:t>
      </w:r>
      <w:r w:rsidR="00130B60" w:rsidRPr="005A3F47">
        <w:rPr>
          <w:noProof/>
        </w:rPr>
        <w:t>resulted in</w:t>
      </w:r>
      <w:r w:rsidR="005927C7" w:rsidRPr="005A3F47">
        <w:rPr>
          <w:noProof/>
        </w:rPr>
        <w:t xml:space="preserve"> </w:t>
      </w:r>
      <w:r w:rsidRPr="005A3F47">
        <w:rPr>
          <w:noProof/>
        </w:rPr>
        <w:t>the further extension of a</w:t>
      </w:r>
      <w:r w:rsidR="005927C7" w:rsidRPr="005A3F47">
        <w:rPr>
          <w:noProof/>
        </w:rPr>
        <w:t xml:space="preserve"> </w:t>
      </w:r>
      <w:r w:rsidR="00EB168E" w:rsidRPr="005A3F47">
        <w:rPr>
          <w:noProof/>
        </w:rPr>
        <w:t xml:space="preserve">complex </w:t>
      </w:r>
      <w:r w:rsidR="004D5996" w:rsidRPr="005A3F47">
        <w:rPr>
          <w:noProof/>
        </w:rPr>
        <w:t>international tax architecture</w:t>
      </w:r>
      <w:r w:rsidR="00D608C6" w:rsidRPr="005A3F47">
        <w:rPr>
          <w:noProof/>
        </w:rPr>
        <w:t xml:space="preserve"> over time</w:t>
      </w:r>
      <w:r w:rsidR="00EE305C" w:rsidRPr="005A3F47">
        <w:rPr>
          <w:noProof/>
        </w:rPr>
        <w:t>.</w:t>
      </w:r>
      <w:r w:rsidR="004D5996" w:rsidRPr="005A3F47">
        <w:rPr>
          <w:noProof/>
        </w:rPr>
        <w:t xml:space="preserve"> </w:t>
      </w:r>
      <w:r w:rsidR="00EE305C" w:rsidRPr="005A3F47">
        <w:rPr>
          <w:noProof/>
        </w:rPr>
        <w:t>This has inevitably</w:t>
      </w:r>
      <w:r w:rsidR="009C6C8B" w:rsidRPr="005A3F47">
        <w:rPr>
          <w:noProof/>
        </w:rPr>
        <w:t xml:space="preserve"> created</w:t>
      </w:r>
      <w:r w:rsidR="00D37F4E" w:rsidRPr="005A3F47">
        <w:rPr>
          <w:noProof/>
        </w:rPr>
        <w:t xml:space="preserve"> </w:t>
      </w:r>
      <w:r w:rsidR="007B3D02" w:rsidRPr="005A3F47">
        <w:rPr>
          <w:noProof/>
        </w:rPr>
        <w:t xml:space="preserve">some overlaps between different </w:t>
      </w:r>
      <w:r w:rsidR="00C30402" w:rsidRPr="005A3F47">
        <w:rPr>
          <w:noProof/>
        </w:rPr>
        <w:t xml:space="preserve">sets of </w:t>
      </w:r>
      <w:r w:rsidR="00E23B71" w:rsidRPr="005A3F47">
        <w:rPr>
          <w:noProof/>
        </w:rPr>
        <w:t>rules</w:t>
      </w:r>
      <w:r w:rsidR="00EE305C" w:rsidRPr="005A3F47">
        <w:rPr>
          <w:noProof/>
        </w:rPr>
        <w:t xml:space="preserve">, which </w:t>
      </w:r>
      <w:r w:rsidR="005D6B07" w:rsidRPr="005A3F47">
        <w:rPr>
          <w:noProof/>
        </w:rPr>
        <w:t>pursue similar objectives</w:t>
      </w:r>
      <w:r w:rsidR="00455880" w:rsidRPr="005A3F47">
        <w:rPr>
          <w:noProof/>
        </w:rPr>
        <w:t xml:space="preserve"> or have a comparable scope</w:t>
      </w:r>
      <w:r w:rsidR="006979D7" w:rsidRPr="005A3F47">
        <w:rPr>
          <w:noProof/>
        </w:rPr>
        <w:t>,</w:t>
      </w:r>
      <w:r w:rsidR="00C11700" w:rsidRPr="005A3F47">
        <w:rPr>
          <w:noProof/>
        </w:rPr>
        <w:t xml:space="preserve"> as </w:t>
      </w:r>
      <w:r w:rsidR="006979D7" w:rsidRPr="005A3F47">
        <w:rPr>
          <w:noProof/>
        </w:rPr>
        <w:t xml:space="preserve">it is </w:t>
      </w:r>
      <w:r w:rsidR="00C11700" w:rsidRPr="005A3F47">
        <w:rPr>
          <w:noProof/>
        </w:rPr>
        <w:t>further explained below</w:t>
      </w:r>
      <w:r w:rsidR="00455880" w:rsidRPr="005A3F47">
        <w:rPr>
          <w:noProof/>
        </w:rPr>
        <w:t>.</w:t>
      </w:r>
      <w:r w:rsidR="00F044A0" w:rsidRPr="005A3F47">
        <w:rPr>
          <w:noProof/>
        </w:rPr>
        <w:t xml:space="preserve"> </w:t>
      </w:r>
      <w:r w:rsidR="00986BAA" w:rsidRPr="005A3F47">
        <w:rPr>
          <w:noProof/>
        </w:rPr>
        <w:t>Such duplications</w:t>
      </w:r>
      <w:r w:rsidR="00E84046" w:rsidRPr="005A3F47">
        <w:rPr>
          <w:noProof/>
        </w:rPr>
        <w:t>,</w:t>
      </w:r>
      <w:r w:rsidR="00986BAA" w:rsidRPr="005A3F47">
        <w:rPr>
          <w:noProof/>
        </w:rPr>
        <w:t xml:space="preserve"> or layering</w:t>
      </w:r>
      <w:r w:rsidR="00E84046" w:rsidRPr="005A3F47">
        <w:rPr>
          <w:noProof/>
        </w:rPr>
        <w:t>,</w:t>
      </w:r>
      <w:r w:rsidR="00986BAA" w:rsidRPr="005A3F47">
        <w:rPr>
          <w:noProof/>
        </w:rPr>
        <w:t xml:space="preserve"> </w:t>
      </w:r>
      <w:r w:rsidR="00F044A0" w:rsidRPr="005A3F47">
        <w:rPr>
          <w:noProof/>
        </w:rPr>
        <w:t>mak</w:t>
      </w:r>
      <w:r w:rsidR="00986BAA" w:rsidRPr="005A3F47">
        <w:rPr>
          <w:noProof/>
        </w:rPr>
        <w:t>e</w:t>
      </w:r>
      <w:r w:rsidR="00F044A0" w:rsidRPr="005A3F47" w:rsidDel="00F33517">
        <w:rPr>
          <w:noProof/>
        </w:rPr>
        <w:t xml:space="preserve"> </w:t>
      </w:r>
      <w:r w:rsidR="00F33517" w:rsidRPr="005A3F47">
        <w:rPr>
          <w:noProof/>
        </w:rPr>
        <w:t xml:space="preserve">tax compliance more </w:t>
      </w:r>
      <w:r w:rsidR="007C3FB8" w:rsidRPr="005A3F47">
        <w:rPr>
          <w:noProof/>
        </w:rPr>
        <w:t xml:space="preserve">burdensome </w:t>
      </w:r>
      <w:r w:rsidR="00F33517" w:rsidRPr="005A3F47">
        <w:rPr>
          <w:noProof/>
        </w:rPr>
        <w:t xml:space="preserve">than necessary </w:t>
      </w:r>
      <w:r w:rsidR="00E1673D" w:rsidRPr="005A3F47">
        <w:rPr>
          <w:noProof/>
        </w:rPr>
        <w:t>for businesses</w:t>
      </w:r>
      <w:r w:rsidR="00DC1A45" w:rsidRPr="005A3F47">
        <w:rPr>
          <w:noProof/>
        </w:rPr>
        <w:t>.</w:t>
      </w:r>
      <w:r w:rsidR="002D0CBD" w:rsidRPr="005A3F47">
        <w:rPr>
          <w:noProof/>
        </w:rPr>
        <w:t xml:space="preserve"> In the Call for Evidence, approximately 68% of respondents identified overlaps, especially between ATAD and Pillar 2, as a problem driver.</w:t>
      </w:r>
      <w:r w:rsidR="002D0CBD" w:rsidRPr="005A3F47">
        <w:rPr>
          <w:rStyle w:val="FootnoteReference"/>
          <w:noProof/>
        </w:rPr>
        <w:footnoteReference w:id="49"/>
      </w:r>
    </w:p>
    <w:p w14:paraId="1A1FDE26" w14:textId="404FBCE3" w:rsidR="006B087E" w:rsidRPr="005A3F47" w:rsidRDefault="00AE1C73" w:rsidP="00A620A5">
      <w:pPr>
        <w:pStyle w:val="Heading2"/>
        <w:numPr>
          <w:ilvl w:val="1"/>
          <w:numId w:val="185"/>
        </w:numPr>
        <w:rPr>
          <w:noProof/>
        </w:rPr>
      </w:pPr>
      <w:bookmarkStart w:id="29" w:name="_Toc226466804"/>
      <w:bookmarkStart w:id="30" w:name="_Toc226467165"/>
      <w:bookmarkStart w:id="31" w:name="_Toc226467265"/>
      <w:bookmarkStart w:id="32" w:name="_Toc226467484"/>
      <w:r w:rsidRPr="005A3F47">
        <w:rPr>
          <w:noProof/>
        </w:rPr>
        <w:t xml:space="preserve"> </w:t>
      </w:r>
      <w:r w:rsidR="006B087E" w:rsidRPr="005A3F47">
        <w:rPr>
          <w:noProof/>
        </w:rPr>
        <w:t xml:space="preserve">How </w:t>
      </w:r>
      <w:r w:rsidR="00CC3AAC" w:rsidRPr="005A3F47">
        <w:rPr>
          <w:noProof/>
        </w:rPr>
        <w:t>likely is the problem to persist?</w:t>
      </w:r>
      <w:bookmarkEnd w:id="29"/>
      <w:bookmarkEnd w:id="30"/>
      <w:bookmarkEnd w:id="31"/>
      <w:bookmarkEnd w:id="32"/>
    </w:p>
    <w:p w14:paraId="3ADFD6E7" w14:textId="228A9CA7" w:rsidR="001E3D0A" w:rsidRPr="005A3F47" w:rsidRDefault="002527D1" w:rsidP="002527D1">
      <w:pPr>
        <w:rPr>
          <w:noProof/>
        </w:rPr>
      </w:pPr>
      <w:r w:rsidRPr="005A3F47">
        <w:rPr>
          <w:noProof/>
        </w:rPr>
        <w:t xml:space="preserve">In the absence of EU policy action, businesses operating across the EU internal market will continue to face </w:t>
      </w:r>
      <w:r w:rsidR="00C53533" w:rsidRPr="005A3F47">
        <w:rPr>
          <w:noProof/>
        </w:rPr>
        <w:t xml:space="preserve">high compliance costs, </w:t>
      </w:r>
      <w:r w:rsidR="00791EB4" w:rsidRPr="005A3F47">
        <w:rPr>
          <w:noProof/>
        </w:rPr>
        <w:t>increased risks of disputes</w:t>
      </w:r>
      <w:r w:rsidR="00A36820" w:rsidRPr="005A3F47">
        <w:rPr>
          <w:noProof/>
        </w:rPr>
        <w:t>,</w:t>
      </w:r>
      <w:r w:rsidR="00230C52" w:rsidRPr="005A3F47">
        <w:rPr>
          <w:noProof/>
        </w:rPr>
        <w:t xml:space="preserve"> and it will be more difficult for EU businesses</w:t>
      </w:r>
      <w:r w:rsidR="009C1F79" w:rsidRPr="005A3F47">
        <w:rPr>
          <w:noProof/>
        </w:rPr>
        <w:t xml:space="preserve"> to make use of the opportunities of the internal market and</w:t>
      </w:r>
      <w:r w:rsidR="00230C52" w:rsidRPr="005A3F47" w:rsidDel="009416B2">
        <w:rPr>
          <w:noProof/>
        </w:rPr>
        <w:t xml:space="preserve"> </w:t>
      </w:r>
      <w:r w:rsidR="00230C52" w:rsidRPr="005A3F47">
        <w:rPr>
          <w:noProof/>
        </w:rPr>
        <w:t xml:space="preserve">compete </w:t>
      </w:r>
      <w:r w:rsidR="009C1F79" w:rsidRPr="005A3F47">
        <w:rPr>
          <w:noProof/>
        </w:rPr>
        <w:t xml:space="preserve">globally. </w:t>
      </w:r>
    </w:p>
    <w:p w14:paraId="5096DDE1" w14:textId="072FA666" w:rsidR="00FC4A57" w:rsidRPr="005A3F47" w:rsidRDefault="004024BF" w:rsidP="00640B99">
      <w:pPr>
        <w:rPr>
          <w:noProof/>
        </w:rPr>
      </w:pPr>
      <w:r w:rsidRPr="005A3F47">
        <w:rPr>
          <w:noProof/>
        </w:rPr>
        <w:t xml:space="preserve">During </w:t>
      </w:r>
      <w:r w:rsidR="005D341A" w:rsidRPr="005A3F47">
        <w:rPr>
          <w:noProof/>
        </w:rPr>
        <w:t>targeted</w:t>
      </w:r>
      <w:r w:rsidRPr="005A3F47">
        <w:rPr>
          <w:noProof/>
        </w:rPr>
        <w:t xml:space="preserve"> consultations, </w:t>
      </w:r>
      <w:r w:rsidR="00811617" w:rsidRPr="005A3F47">
        <w:rPr>
          <w:noProof/>
        </w:rPr>
        <w:t xml:space="preserve">many </w:t>
      </w:r>
      <w:r w:rsidR="00133371" w:rsidRPr="005A3F47">
        <w:rPr>
          <w:noProof/>
        </w:rPr>
        <w:t>key</w:t>
      </w:r>
      <w:r w:rsidR="00811617" w:rsidRPr="005A3F47">
        <w:rPr>
          <w:noProof/>
        </w:rPr>
        <w:t xml:space="preserve"> stakeholders</w:t>
      </w:r>
      <w:r w:rsidR="00CE6A84" w:rsidRPr="005A3F47">
        <w:rPr>
          <w:noProof/>
        </w:rPr>
        <w:t xml:space="preserve"> </w:t>
      </w:r>
      <w:r w:rsidR="00751E09" w:rsidRPr="005A3F47">
        <w:rPr>
          <w:noProof/>
        </w:rPr>
        <w:t>voiced</w:t>
      </w:r>
      <w:r w:rsidR="00811617" w:rsidRPr="005A3F47">
        <w:rPr>
          <w:noProof/>
        </w:rPr>
        <w:t xml:space="preserve"> concerns about the significant </w:t>
      </w:r>
      <w:r w:rsidR="00751E09" w:rsidRPr="005A3F47">
        <w:rPr>
          <w:noProof/>
        </w:rPr>
        <w:t xml:space="preserve">and growing </w:t>
      </w:r>
      <w:r w:rsidR="00811617" w:rsidRPr="005A3F47">
        <w:rPr>
          <w:noProof/>
        </w:rPr>
        <w:t>compliance burden they face</w:t>
      </w:r>
      <w:r w:rsidR="004B7F95" w:rsidRPr="005A3F47">
        <w:rPr>
          <w:noProof/>
        </w:rPr>
        <w:t xml:space="preserve"> when operating</w:t>
      </w:r>
      <w:r w:rsidR="00811617" w:rsidRPr="005A3F47">
        <w:rPr>
          <w:noProof/>
        </w:rPr>
        <w:t xml:space="preserve"> in </w:t>
      </w:r>
      <w:r w:rsidR="007B6DD3" w:rsidRPr="005A3F47">
        <w:rPr>
          <w:noProof/>
        </w:rPr>
        <w:t>the internal market</w:t>
      </w:r>
      <w:r w:rsidR="00DD104E" w:rsidRPr="005A3F47">
        <w:rPr>
          <w:noProof/>
        </w:rPr>
        <w:t xml:space="preserve"> and called for </w:t>
      </w:r>
      <w:r w:rsidR="00090074" w:rsidRPr="005A3F47">
        <w:rPr>
          <w:noProof/>
        </w:rPr>
        <w:t xml:space="preserve">enhanced clarity and </w:t>
      </w:r>
      <w:r w:rsidR="004E74C4" w:rsidRPr="005A3F47">
        <w:rPr>
          <w:noProof/>
        </w:rPr>
        <w:t>certainty around</w:t>
      </w:r>
      <w:r w:rsidR="00B30FE6" w:rsidRPr="005A3F47">
        <w:rPr>
          <w:noProof/>
        </w:rPr>
        <w:t xml:space="preserve"> different</w:t>
      </w:r>
      <w:r w:rsidR="004E74C4" w:rsidRPr="005A3F47">
        <w:rPr>
          <w:noProof/>
        </w:rPr>
        <w:t xml:space="preserve"> concepts a</w:t>
      </w:r>
      <w:r w:rsidR="00ED6E25" w:rsidRPr="005A3F47">
        <w:rPr>
          <w:noProof/>
        </w:rPr>
        <w:t xml:space="preserve">s well as for simplifying </w:t>
      </w:r>
      <w:r w:rsidR="004E74C4" w:rsidRPr="005A3F47">
        <w:rPr>
          <w:noProof/>
        </w:rPr>
        <w:t>procedures</w:t>
      </w:r>
      <w:r w:rsidR="00751E09" w:rsidRPr="005A3F47">
        <w:rPr>
          <w:noProof/>
        </w:rPr>
        <w:t xml:space="preserve"> going forward.</w:t>
      </w:r>
      <w:r w:rsidR="004E74C4" w:rsidRPr="005A3F47">
        <w:rPr>
          <w:noProof/>
        </w:rPr>
        <w:t xml:space="preserve"> </w:t>
      </w:r>
      <w:r w:rsidR="000C54DC" w:rsidRPr="005A3F47">
        <w:rPr>
          <w:noProof/>
        </w:rPr>
        <w:t xml:space="preserve">While there is significant progress </w:t>
      </w:r>
      <w:r w:rsidR="00403481" w:rsidRPr="005A3F47">
        <w:rPr>
          <w:noProof/>
        </w:rPr>
        <w:t xml:space="preserve">on </w:t>
      </w:r>
      <w:r w:rsidR="000C54DC" w:rsidRPr="005A3F47">
        <w:rPr>
          <w:noProof/>
        </w:rPr>
        <w:t>simplify</w:t>
      </w:r>
      <w:r w:rsidR="00403481" w:rsidRPr="005A3F47">
        <w:rPr>
          <w:noProof/>
        </w:rPr>
        <w:t>ing</w:t>
      </w:r>
      <w:r w:rsidR="000C54DC" w:rsidRPr="005A3F47">
        <w:rPr>
          <w:noProof/>
        </w:rPr>
        <w:t xml:space="preserve"> rules and procedures in some other areas, complexity and fragmentation remain very </w:t>
      </w:r>
      <w:r w:rsidR="09A6D6B3" w:rsidRPr="005A3F47">
        <w:rPr>
          <w:noProof/>
        </w:rPr>
        <w:t xml:space="preserve">substantial </w:t>
      </w:r>
      <w:r w:rsidR="000C54DC" w:rsidRPr="005A3F47">
        <w:rPr>
          <w:noProof/>
        </w:rPr>
        <w:t>in direct taxation.</w:t>
      </w:r>
      <w:r w:rsidR="00640B99" w:rsidRPr="005A3F47">
        <w:rPr>
          <w:noProof/>
        </w:rPr>
        <w:t xml:space="preserve"> </w:t>
      </w:r>
    </w:p>
    <w:p w14:paraId="17936C51" w14:textId="23B0F93E" w:rsidR="00F67A20" w:rsidRPr="005A3F47" w:rsidRDefault="00876D1C" w:rsidP="000C54DC">
      <w:pPr>
        <w:rPr>
          <w:noProof/>
        </w:rPr>
      </w:pPr>
      <w:r w:rsidRPr="005A3F47">
        <w:rPr>
          <w:noProof/>
        </w:rPr>
        <w:t xml:space="preserve">If no action is taken at EU level, the </w:t>
      </w:r>
      <w:r w:rsidR="00357EFC" w:rsidRPr="005A3F47">
        <w:rPr>
          <w:noProof/>
        </w:rPr>
        <w:t>identified</w:t>
      </w:r>
      <w:r w:rsidR="002B649D" w:rsidRPr="005A3F47">
        <w:rPr>
          <w:noProof/>
        </w:rPr>
        <w:t xml:space="preserve"> problems </w:t>
      </w:r>
      <w:r w:rsidR="008A090F" w:rsidRPr="005A3F47">
        <w:rPr>
          <w:noProof/>
        </w:rPr>
        <w:t>are</w:t>
      </w:r>
      <w:r w:rsidR="00BF256F" w:rsidRPr="005A3F47">
        <w:rPr>
          <w:noProof/>
        </w:rPr>
        <w:t xml:space="preserve"> expected to persist</w:t>
      </w:r>
      <w:r w:rsidR="00F25074" w:rsidRPr="005A3F47">
        <w:rPr>
          <w:noProof/>
        </w:rPr>
        <w:t xml:space="preserve"> and worsen</w:t>
      </w:r>
      <w:r w:rsidR="003E2929" w:rsidRPr="005A3F47">
        <w:rPr>
          <w:noProof/>
        </w:rPr>
        <w:t xml:space="preserve"> as long as tax rules are added, but not revised, replaced or repealed</w:t>
      </w:r>
      <w:r w:rsidR="00BF256F" w:rsidRPr="005A3F47">
        <w:rPr>
          <w:noProof/>
        </w:rPr>
        <w:t>.</w:t>
      </w:r>
      <w:r w:rsidR="00095286" w:rsidRPr="005A3F47">
        <w:rPr>
          <w:noProof/>
        </w:rPr>
        <w:t xml:space="preserve"> </w:t>
      </w:r>
      <w:r w:rsidR="00416534" w:rsidRPr="005A3F47">
        <w:rPr>
          <w:noProof/>
        </w:rPr>
        <w:t>Research done by or for other EU institutions, such as the European Parliament, also conclude that some of the fundamental tax obstacles and distortions</w:t>
      </w:r>
      <w:r w:rsidR="00B05656" w:rsidRPr="005A3F47">
        <w:rPr>
          <w:noProof/>
        </w:rPr>
        <w:t>, such as complexity,</w:t>
      </w:r>
      <w:r w:rsidR="00416534" w:rsidRPr="005A3F47">
        <w:rPr>
          <w:noProof/>
        </w:rPr>
        <w:t xml:space="preserve"> in the internal market can only be addressed by a substantial harmonisation of corporate taxation in the EU.</w:t>
      </w:r>
      <w:r w:rsidR="00416534" w:rsidRPr="005A3F47">
        <w:rPr>
          <w:rStyle w:val="FootnoteReference"/>
          <w:noProof/>
        </w:rPr>
        <w:footnoteReference w:id="50"/>
      </w:r>
      <w:r w:rsidR="00416534" w:rsidRPr="005A3F47">
        <w:rPr>
          <w:noProof/>
        </w:rPr>
        <w:t xml:space="preserve"> </w:t>
      </w:r>
      <w:r w:rsidR="00C5000E" w:rsidRPr="005A3F47">
        <w:rPr>
          <w:noProof/>
        </w:rPr>
        <w:t>Similar views were expressed by</w:t>
      </w:r>
      <w:r w:rsidR="00790B28" w:rsidRPr="005A3F47">
        <w:rPr>
          <w:noProof/>
        </w:rPr>
        <w:t xml:space="preserve"> approximately 77% of respondents in the Call for Evidence</w:t>
      </w:r>
      <w:r w:rsidR="00F35472" w:rsidRPr="005A3F47">
        <w:rPr>
          <w:noProof/>
        </w:rPr>
        <w:t xml:space="preserve"> who call</w:t>
      </w:r>
      <w:r w:rsidR="004465A6" w:rsidRPr="005A3F47">
        <w:rPr>
          <w:noProof/>
        </w:rPr>
        <w:t>ed</w:t>
      </w:r>
      <w:r w:rsidR="00F35472" w:rsidRPr="005A3F47">
        <w:rPr>
          <w:noProof/>
        </w:rPr>
        <w:t xml:space="preserve"> for enhanced </w:t>
      </w:r>
      <w:r w:rsidR="004465A6" w:rsidRPr="005A3F47">
        <w:rPr>
          <w:noProof/>
        </w:rPr>
        <w:t xml:space="preserve">tax </w:t>
      </w:r>
      <w:r w:rsidR="00F35472" w:rsidRPr="005A3F47">
        <w:rPr>
          <w:noProof/>
        </w:rPr>
        <w:t>harmonisation at EU level.</w:t>
      </w:r>
      <w:r w:rsidR="00763538" w:rsidRPr="005A3F47">
        <w:rPr>
          <w:rStyle w:val="FootnoteReference"/>
          <w:noProof/>
        </w:rPr>
        <w:footnoteReference w:id="51"/>
      </w:r>
    </w:p>
    <w:p w14:paraId="033320E9" w14:textId="7BF8EC70" w:rsidR="000C54DC" w:rsidRPr="005A3F47" w:rsidRDefault="004B0A85" w:rsidP="000C54DC">
      <w:pPr>
        <w:rPr>
          <w:noProof/>
        </w:rPr>
      </w:pPr>
      <w:r w:rsidRPr="005A3F47">
        <w:rPr>
          <w:noProof/>
        </w:rPr>
        <w:t xml:space="preserve">While Member States </w:t>
      </w:r>
      <w:r w:rsidR="00CC20C2" w:rsidRPr="005A3F47">
        <w:rPr>
          <w:noProof/>
        </w:rPr>
        <w:t>can</w:t>
      </w:r>
      <w:r w:rsidR="001754D5" w:rsidRPr="005A3F47">
        <w:rPr>
          <w:noProof/>
        </w:rPr>
        <w:t xml:space="preserve"> </w:t>
      </w:r>
      <w:r w:rsidR="00061157" w:rsidRPr="005A3F47">
        <w:rPr>
          <w:noProof/>
        </w:rPr>
        <w:t>embark on</w:t>
      </w:r>
      <w:r w:rsidR="0081357F" w:rsidRPr="005A3F47">
        <w:rPr>
          <w:noProof/>
        </w:rPr>
        <w:t xml:space="preserve"> </w:t>
      </w:r>
      <w:r w:rsidR="00EC7F1F" w:rsidRPr="005A3F47">
        <w:rPr>
          <w:noProof/>
        </w:rPr>
        <w:t xml:space="preserve">initiatives to simplify their national tax rules, </w:t>
      </w:r>
      <w:r w:rsidR="00AD6E67" w:rsidRPr="005A3F47">
        <w:rPr>
          <w:noProof/>
        </w:rPr>
        <w:t xml:space="preserve">unilateral actions </w:t>
      </w:r>
      <w:r w:rsidR="00336AFD" w:rsidRPr="005A3F47">
        <w:rPr>
          <w:noProof/>
        </w:rPr>
        <w:t>c</w:t>
      </w:r>
      <w:r w:rsidR="00037C5B" w:rsidRPr="005A3F47">
        <w:rPr>
          <w:noProof/>
        </w:rPr>
        <w:t xml:space="preserve">annot </w:t>
      </w:r>
      <w:r w:rsidR="00AD6E67" w:rsidRPr="005A3F47">
        <w:rPr>
          <w:noProof/>
        </w:rPr>
        <w:t xml:space="preserve">achieve </w:t>
      </w:r>
      <w:r w:rsidR="000041C1" w:rsidRPr="005A3F47">
        <w:rPr>
          <w:noProof/>
        </w:rPr>
        <w:t xml:space="preserve">the </w:t>
      </w:r>
      <w:r w:rsidR="00AD6E67" w:rsidRPr="005A3F47">
        <w:rPr>
          <w:noProof/>
        </w:rPr>
        <w:t>general interest objectives </w:t>
      </w:r>
      <w:r w:rsidR="001C7B76" w:rsidRPr="005A3F47">
        <w:rPr>
          <w:noProof/>
        </w:rPr>
        <w:t>o</w:t>
      </w:r>
      <w:r w:rsidR="00B77799" w:rsidRPr="005A3F47">
        <w:rPr>
          <w:noProof/>
        </w:rPr>
        <w:t>f</w:t>
      </w:r>
      <w:r w:rsidR="000041C1" w:rsidRPr="005A3F47">
        <w:rPr>
          <w:noProof/>
        </w:rPr>
        <w:t xml:space="preserve"> </w:t>
      </w:r>
      <w:r w:rsidR="00BF22D9" w:rsidRPr="005A3F47">
        <w:rPr>
          <w:noProof/>
        </w:rPr>
        <w:t>ensur</w:t>
      </w:r>
      <w:r w:rsidR="001C7B76" w:rsidRPr="005A3F47">
        <w:rPr>
          <w:noProof/>
        </w:rPr>
        <w:t>ing</w:t>
      </w:r>
      <w:r w:rsidR="0086035C" w:rsidRPr="005A3F47">
        <w:rPr>
          <w:noProof/>
        </w:rPr>
        <w:t xml:space="preserve"> that</w:t>
      </w:r>
      <w:r w:rsidR="00EE7B3E" w:rsidRPr="005A3F47">
        <w:rPr>
          <w:noProof/>
        </w:rPr>
        <w:t xml:space="preserve"> </w:t>
      </w:r>
      <w:r w:rsidR="005838AC" w:rsidRPr="005A3F47">
        <w:rPr>
          <w:noProof/>
        </w:rPr>
        <w:t xml:space="preserve">obstacles do not restrict businesses </w:t>
      </w:r>
      <w:r w:rsidR="00012615" w:rsidRPr="005A3F47">
        <w:rPr>
          <w:noProof/>
        </w:rPr>
        <w:t xml:space="preserve">activities in the internal </w:t>
      </w:r>
      <w:r w:rsidR="00CC20C2" w:rsidRPr="005A3F47">
        <w:rPr>
          <w:noProof/>
        </w:rPr>
        <w:t>market</w:t>
      </w:r>
      <w:r w:rsidR="006E71F9" w:rsidRPr="005A3F47">
        <w:rPr>
          <w:noProof/>
        </w:rPr>
        <w:t xml:space="preserve">, facilitate </w:t>
      </w:r>
      <w:r w:rsidR="00D009A6" w:rsidRPr="005A3F47">
        <w:rPr>
          <w:noProof/>
        </w:rPr>
        <w:t>more efficient operations and compliance, particularly in a cross-border context,</w:t>
      </w:r>
      <w:r w:rsidR="00B614DE" w:rsidRPr="005A3F47">
        <w:rPr>
          <w:noProof/>
        </w:rPr>
        <w:t xml:space="preserve"> or</w:t>
      </w:r>
      <w:r w:rsidR="00226178" w:rsidRPr="005A3F47">
        <w:rPr>
          <w:noProof/>
        </w:rPr>
        <w:t xml:space="preserve"> </w:t>
      </w:r>
      <w:r w:rsidR="00B614DE" w:rsidRPr="005A3F47">
        <w:rPr>
          <w:noProof/>
        </w:rPr>
        <w:t>im</w:t>
      </w:r>
      <w:r w:rsidR="00326AAA" w:rsidRPr="005A3F47">
        <w:rPr>
          <w:noProof/>
        </w:rPr>
        <w:t xml:space="preserve">pose </w:t>
      </w:r>
      <w:r w:rsidR="004D112E" w:rsidRPr="005A3F47">
        <w:rPr>
          <w:noProof/>
        </w:rPr>
        <w:t>heavy</w:t>
      </w:r>
      <w:r w:rsidR="00326AAA" w:rsidRPr="005A3F47">
        <w:rPr>
          <w:noProof/>
        </w:rPr>
        <w:t xml:space="preserve"> </w:t>
      </w:r>
      <w:r w:rsidR="00397BF9" w:rsidRPr="005A3F47">
        <w:rPr>
          <w:noProof/>
        </w:rPr>
        <w:t>administrative burdens on the tax administrations</w:t>
      </w:r>
      <w:r w:rsidR="0071269E" w:rsidRPr="005A3F47">
        <w:rPr>
          <w:noProof/>
        </w:rPr>
        <w:t xml:space="preserve">. In addition, </w:t>
      </w:r>
      <w:r w:rsidR="000E2AC0" w:rsidRPr="005A3F47">
        <w:rPr>
          <w:noProof/>
        </w:rPr>
        <w:t xml:space="preserve">it should be recalled that </w:t>
      </w:r>
      <w:r w:rsidR="0071269E" w:rsidRPr="005A3F47">
        <w:rPr>
          <w:noProof/>
        </w:rPr>
        <w:t xml:space="preserve">some problems </w:t>
      </w:r>
      <w:r w:rsidR="003A23D9" w:rsidRPr="005A3F47">
        <w:rPr>
          <w:noProof/>
        </w:rPr>
        <w:t>are related to</w:t>
      </w:r>
      <w:r w:rsidR="00E44117" w:rsidRPr="005A3F47">
        <w:rPr>
          <w:noProof/>
        </w:rPr>
        <w:t xml:space="preserve"> </w:t>
      </w:r>
      <w:r w:rsidR="0033400E" w:rsidRPr="005A3F47">
        <w:rPr>
          <w:noProof/>
        </w:rPr>
        <w:t>complexity and fragmentation</w:t>
      </w:r>
      <w:r w:rsidR="00821EAE" w:rsidRPr="005A3F47">
        <w:rPr>
          <w:noProof/>
        </w:rPr>
        <w:t xml:space="preserve"> in the area of direct taxation</w:t>
      </w:r>
      <w:r w:rsidR="00BC7F44" w:rsidRPr="005A3F47">
        <w:rPr>
          <w:noProof/>
        </w:rPr>
        <w:t xml:space="preserve">. </w:t>
      </w:r>
      <w:r w:rsidR="0097043C" w:rsidRPr="005A3F47">
        <w:rPr>
          <w:noProof/>
        </w:rPr>
        <w:t>Action at the individual Member State level would only aggravate the complexity in adhering to and applying</w:t>
      </w:r>
      <w:r w:rsidR="000F0ADC" w:rsidRPr="005A3F47">
        <w:rPr>
          <w:noProof/>
        </w:rPr>
        <w:t xml:space="preserve"> EU</w:t>
      </w:r>
      <w:r w:rsidR="0097043C" w:rsidRPr="005A3F47">
        <w:rPr>
          <w:noProof/>
        </w:rPr>
        <w:t xml:space="preserve"> tax rules. Such individual actions would cause impediments to cross-border operations, increase the compliance burden on taxpayers, and undermine the level playing field. </w:t>
      </w:r>
      <w:r w:rsidR="00BC7F44" w:rsidRPr="005A3F47">
        <w:rPr>
          <w:noProof/>
        </w:rPr>
        <w:t xml:space="preserve">As the tax landscape </w:t>
      </w:r>
      <w:r w:rsidR="00771A09" w:rsidRPr="005A3F47">
        <w:rPr>
          <w:noProof/>
        </w:rPr>
        <w:t xml:space="preserve">keeps on </w:t>
      </w:r>
      <w:r w:rsidR="005C4EB0" w:rsidRPr="005A3F47">
        <w:rPr>
          <w:noProof/>
        </w:rPr>
        <w:t>evolving</w:t>
      </w:r>
      <w:r w:rsidR="00BC7F44" w:rsidRPr="005A3F47">
        <w:rPr>
          <w:noProof/>
        </w:rPr>
        <w:t>, th</w:t>
      </w:r>
      <w:r w:rsidR="00382603" w:rsidRPr="005A3F47">
        <w:rPr>
          <w:noProof/>
        </w:rPr>
        <w:t xml:space="preserve">e </w:t>
      </w:r>
      <w:r w:rsidR="00BC7F44" w:rsidRPr="005A3F47">
        <w:rPr>
          <w:noProof/>
        </w:rPr>
        <w:t>problem</w:t>
      </w:r>
      <w:r w:rsidR="00382603" w:rsidRPr="005A3F47">
        <w:rPr>
          <w:noProof/>
        </w:rPr>
        <w:t xml:space="preserve">s are </w:t>
      </w:r>
      <w:r w:rsidR="00E751FD" w:rsidRPr="005A3F47">
        <w:rPr>
          <w:noProof/>
        </w:rPr>
        <w:t xml:space="preserve">only expected to </w:t>
      </w:r>
      <w:r w:rsidR="003D6EA9" w:rsidRPr="005A3F47">
        <w:rPr>
          <w:noProof/>
        </w:rPr>
        <w:t>grow</w:t>
      </w:r>
      <w:r w:rsidR="00C33092" w:rsidRPr="005A3F47">
        <w:rPr>
          <w:noProof/>
        </w:rPr>
        <w:t>,</w:t>
      </w:r>
      <w:r w:rsidR="003D6EA9" w:rsidRPr="005A3F47">
        <w:rPr>
          <w:noProof/>
        </w:rPr>
        <w:t xml:space="preserve"> and</w:t>
      </w:r>
      <w:r w:rsidR="00E751FD" w:rsidRPr="005A3F47" w:rsidDel="003D6EA9">
        <w:rPr>
          <w:noProof/>
        </w:rPr>
        <w:t xml:space="preserve"> </w:t>
      </w:r>
      <w:r w:rsidR="003D6EA9" w:rsidRPr="005A3F47">
        <w:rPr>
          <w:noProof/>
        </w:rPr>
        <w:t xml:space="preserve">the current state of play will be </w:t>
      </w:r>
      <w:r w:rsidR="00F040AE" w:rsidRPr="005A3F47">
        <w:rPr>
          <w:noProof/>
        </w:rPr>
        <w:t>aggravated over the years to come.</w:t>
      </w:r>
      <w:r w:rsidR="0086035C" w:rsidRPr="005A3F47">
        <w:rPr>
          <w:noProof/>
        </w:rPr>
        <w:t xml:space="preserve"> </w:t>
      </w:r>
    </w:p>
    <w:p w14:paraId="59140ACA" w14:textId="77777777" w:rsidR="006B087E" w:rsidRPr="005A3F47" w:rsidRDefault="006B087E" w:rsidP="00A620A5">
      <w:pPr>
        <w:pStyle w:val="Heading1"/>
        <w:numPr>
          <w:ilvl w:val="0"/>
          <w:numId w:val="185"/>
        </w:numPr>
        <w:rPr>
          <w:noProof/>
        </w:rPr>
      </w:pPr>
      <w:bookmarkStart w:id="33" w:name="_Toc226466599"/>
      <w:bookmarkStart w:id="34" w:name="_Toc226466805"/>
      <w:bookmarkStart w:id="35" w:name="_Toc226467166"/>
      <w:bookmarkStart w:id="36" w:name="_Toc226467266"/>
      <w:bookmarkStart w:id="37" w:name="_Toc226467485"/>
      <w:bookmarkStart w:id="38" w:name="_Toc230258042"/>
      <w:r w:rsidRPr="005A3F47">
        <w:rPr>
          <w:noProof/>
        </w:rPr>
        <w:t>Why should the EU act?</w:t>
      </w:r>
      <w:bookmarkEnd w:id="33"/>
      <w:bookmarkEnd w:id="34"/>
      <w:bookmarkEnd w:id="35"/>
      <w:bookmarkEnd w:id="36"/>
      <w:bookmarkEnd w:id="37"/>
      <w:bookmarkEnd w:id="38"/>
    </w:p>
    <w:p w14:paraId="3671FC7D" w14:textId="1B3D2183" w:rsidR="003C3E76" w:rsidRPr="005A3F47" w:rsidRDefault="006C5A94" w:rsidP="003C3E76">
      <w:pPr>
        <w:pStyle w:val="Text1"/>
        <w:ind w:left="0"/>
        <w:rPr>
          <w:noProof/>
        </w:rPr>
      </w:pPr>
      <w:r w:rsidRPr="005A3F47">
        <w:rPr>
          <w:noProof/>
        </w:rPr>
        <w:t>The Union can only act in areas where</w:t>
      </w:r>
      <w:r w:rsidR="00E879CB" w:rsidRPr="005A3F47">
        <w:rPr>
          <w:noProof/>
        </w:rPr>
        <w:t xml:space="preserve"> the </w:t>
      </w:r>
      <w:r w:rsidRPr="005A3F47">
        <w:rPr>
          <w:noProof/>
        </w:rPr>
        <w:t xml:space="preserve">Treaties confer competence to it. In areas not falling under its exclusive competence, </w:t>
      </w:r>
      <w:r w:rsidR="0033010E" w:rsidRPr="005A3F47">
        <w:rPr>
          <w:noProof/>
        </w:rPr>
        <w:t xml:space="preserve">it must be </w:t>
      </w:r>
      <w:r w:rsidR="00907865" w:rsidRPr="005A3F47">
        <w:rPr>
          <w:noProof/>
        </w:rPr>
        <w:t>established</w:t>
      </w:r>
      <w:r w:rsidR="0033010E" w:rsidRPr="005A3F47">
        <w:rPr>
          <w:noProof/>
        </w:rPr>
        <w:t xml:space="preserve"> that </w:t>
      </w:r>
      <w:r w:rsidR="00AA4886" w:rsidRPr="005A3F47">
        <w:rPr>
          <w:noProof/>
        </w:rPr>
        <w:t xml:space="preserve">the objectives of a Union action cannot be </w:t>
      </w:r>
      <w:r w:rsidR="00794043" w:rsidRPr="005A3F47">
        <w:rPr>
          <w:noProof/>
        </w:rPr>
        <w:t xml:space="preserve">sufficiently </w:t>
      </w:r>
      <w:r w:rsidR="0015077B" w:rsidRPr="005A3F47">
        <w:rPr>
          <w:noProof/>
        </w:rPr>
        <w:t>achieved by</w:t>
      </w:r>
      <w:r w:rsidR="0033010E" w:rsidRPr="005A3F47">
        <w:rPr>
          <w:noProof/>
        </w:rPr>
        <w:t xml:space="preserve"> </w:t>
      </w:r>
      <w:r w:rsidR="004404A0" w:rsidRPr="005A3F47">
        <w:rPr>
          <w:noProof/>
        </w:rPr>
        <w:t>independent action of individual countries without equal action by other Member States (</w:t>
      </w:r>
      <w:r w:rsidR="00B319C1" w:rsidRPr="005A3F47">
        <w:rPr>
          <w:noProof/>
        </w:rPr>
        <w:t>prin</w:t>
      </w:r>
      <w:r w:rsidR="00AA4886" w:rsidRPr="005A3F47">
        <w:rPr>
          <w:noProof/>
        </w:rPr>
        <w:t>ciple of subsidiarity)</w:t>
      </w:r>
      <w:r w:rsidRPr="005A3F47">
        <w:rPr>
          <w:noProof/>
        </w:rPr>
        <w:t>.</w:t>
      </w:r>
      <w:r w:rsidR="00795ED0" w:rsidRPr="005A3F47">
        <w:rPr>
          <w:noProof/>
        </w:rPr>
        <w:t xml:space="preserve"> Consequently, this section will</w:t>
      </w:r>
      <w:r w:rsidR="0043739C" w:rsidRPr="005A3F47">
        <w:rPr>
          <w:noProof/>
        </w:rPr>
        <w:t xml:space="preserve"> scrutinise</w:t>
      </w:r>
      <w:r w:rsidR="00795ED0" w:rsidRPr="005A3F47">
        <w:rPr>
          <w:noProof/>
        </w:rPr>
        <w:t xml:space="preserve"> the legal basis and the principle of subsidiarity </w:t>
      </w:r>
      <w:r w:rsidR="00E45C1E" w:rsidRPr="005A3F47">
        <w:rPr>
          <w:noProof/>
        </w:rPr>
        <w:t>regarding</w:t>
      </w:r>
      <w:r w:rsidR="00795ED0" w:rsidRPr="005A3F47">
        <w:rPr>
          <w:noProof/>
        </w:rPr>
        <w:t xml:space="preserve"> the Omnibus </w:t>
      </w:r>
      <w:r w:rsidR="5A8BBCAB" w:rsidRPr="005A3F47">
        <w:rPr>
          <w:noProof/>
        </w:rPr>
        <w:t>o</w:t>
      </w:r>
      <w:r w:rsidR="00784D48" w:rsidRPr="005A3F47">
        <w:rPr>
          <w:noProof/>
        </w:rPr>
        <w:t>n</w:t>
      </w:r>
      <w:r w:rsidR="00795ED0" w:rsidRPr="005A3F47">
        <w:rPr>
          <w:noProof/>
        </w:rPr>
        <w:t xml:space="preserve"> </w:t>
      </w:r>
      <w:r w:rsidR="2910D7BE" w:rsidRPr="005A3F47">
        <w:rPr>
          <w:noProof/>
        </w:rPr>
        <w:t>T</w:t>
      </w:r>
      <w:r w:rsidR="00795ED0" w:rsidRPr="005A3F47">
        <w:rPr>
          <w:noProof/>
        </w:rPr>
        <w:t>axation.</w:t>
      </w:r>
    </w:p>
    <w:p w14:paraId="70EEDAD8" w14:textId="0422A63A" w:rsidR="006B087E" w:rsidRPr="005A3F47" w:rsidRDefault="00AE1C73" w:rsidP="00A620A5">
      <w:pPr>
        <w:pStyle w:val="Heading2"/>
        <w:numPr>
          <w:ilvl w:val="1"/>
          <w:numId w:val="185"/>
        </w:numPr>
        <w:rPr>
          <w:noProof/>
        </w:rPr>
      </w:pPr>
      <w:bookmarkStart w:id="39" w:name="_Toc226466806"/>
      <w:bookmarkStart w:id="40" w:name="_Toc226467167"/>
      <w:bookmarkStart w:id="41" w:name="_Toc226467267"/>
      <w:bookmarkStart w:id="42" w:name="_Toc226467486"/>
      <w:r w:rsidRPr="005A3F47">
        <w:rPr>
          <w:noProof/>
        </w:rPr>
        <w:t xml:space="preserve"> </w:t>
      </w:r>
      <w:r w:rsidR="006B087E" w:rsidRPr="005A3F47">
        <w:rPr>
          <w:noProof/>
        </w:rPr>
        <w:t>Legal basis</w:t>
      </w:r>
      <w:bookmarkEnd w:id="39"/>
      <w:bookmarkEnd w:id="40"/>
      <w:bookmarkEnd w:id="41"/>
      <w:bookmarkEnd w:id="42"/>
    </w:p>
    <w:p w14:paraId="0DF6F22C" w14:textId="0E521A33" w:rsidR="00A6446D" w:rsidRPr="005A3F47" w:rsidRDefault="001D0300" w:rsidP="00F0480B">
      <w:pPr>
        <w:rPr>
          <w:noProof/>
        </w:rPr>
      </w:pPr>
      <w:r w:rsidRPr="005A3F47">
        <w:rPr>
          <w:noProof/>
        </w:rPr>
        <w:t xml:space="preserve">The </w:t>
      </w:r>
      <w:r w:rsidR="0078305C" w:rsidRPr="005A3F47">
        <w:rPr>
          <w:noProof/>
        </w:rPr>
        <w:t xml:space="preserve">proposal for an </w:t>
      </w:r>
      <w:r w:rsidR="00DE2E3F" w:rsidRPr="005A3F47">
        <w:rPr>
          <w:noProof/>
        </w:rPr>
        <w:t xml:space="preserve">Omnibus </w:t>
      </w:r>
      <w:r w:rsidR="66C2EE6C" w:rsidRPr="005A3F47">
        <w:rPr>
          <w:noProof/>
        </w:rPr>
        <w:t>o</w:t>
      </w:r>
      <w:r w:rsidR="0078305C" w:rsidRPr="005A3F47">
        <w:rPr>
          <w:noProof/>
        </w:rPr>
        <w:t xml:space="preserve">n </w:t>
      </w:r>
      <w:r w:rsidR="5FE25276" w:rsidRPr="005A3F47">
        <w:rPr>
          <w:noProof/>
        </w:rPr>
        <w:t>T</w:t>
      </w:r>
      <w:r w:rsidR="00DE2E3F" w:rsidRPr="005A3F47">
        <w:rPr>
          <w:noProof/>
        </w:rPr>
        <w:t xml:space="preserve">axation </w:t>
      </w:r>
      <w:r w:rsidR="004D3AC5" w:rsidRPr="005A3F47">
        <w:rPr>
          <w:noProof/>
        </w:rPr>
        <w:t xml:space="preserve">is intended to amend existing </w:t>
      </w:r>
      <w:r w:rsidR="00174127" w:rsidRPr="005A3F47">
        <w:rPr>
          <w:noProof/>
        </w:rPr>
        <w:t>EU</w:t>
      </w:r>
      <w:r w:rsidR="00076D4A" w:rsidRPr="005A3F47">
        <w:rPr>
          <w:noProof/>
        </w:rPr>
        <w:t xml:space="preserve"> direct</w:t>
      </w:r>
      <w:r w:rsidR="00174127" w:rsidRPr="005A3F47">
        <w:rPr>
          <w:noProof/>
        </w:rPr>
        <w:t xml:space="preserve"> tax</w:t>
      </w:r>
      <w:r w:rsidR="00E23FDE" w:rsidRPr="005A3F47">
        <w:rPr>
          <w:noProof/>
        </w:rPr>
        <w:t>ation</w:t>
      </w:r>
      <w:r w:rsidR="00174127" w:rsidRPr="005A3F47">
        <w:rPr>
          <w:noProof/>
        </w:rPr>
        <w:t xml:space="preserve"> </w:t>
      </w:r>
      <w:r w:rsidR="3CB47903" w:rsidRPr="005A3F47">
        <w:rPr>
          <w:noProof/>
        </w:rPr>
        <w:t>D</w:t>
      </w:r>
      <w:r w:rsidR="00FE7797" w:rsidRPr="005A3F47">
        <w:rPr>
          <w:noProof/>
        </w:rPr>
        <w:t>irectiv</w:t>
      </w:r>
      <w:r w:rsidR="00695119" w:rsidRPr="005A3F47">
        <w:rPr>
          <w:noProof/>
        </w:rPr>
        <w:t>es which have been adopted</w:t>
      </w:r>
      <w:r w:rsidR="00F226CC" w:rsidRPr="005A3F47">
        <w:rPr>
          <w:noProof/>
        </w:rPr>
        <w:t xml:space="preserve"> over the last </w:t>
      </w:r>
      <w:r w:rsidR="00390C10" w:rsidRPr="005A3F47">
        <w:rPr>
          <w:noProof/>
        </w:rPr>
        <w:t>35</w:t>
      </w:r>
      <w:r w:rsidR="00F226CC" w:rsidRPr="005A3F47">
        <w:rPr>
          <w:noProof/>
        </w:rPr>
        <w:t xml:space="preserve"> years</w:t>
      </w:r>
      <w:r w:rsidR="00314A49" w:rsidRPr="005A3F47">
        <w:rPr>
          <w:noProof/>
        </w:rPr>
        <w:t xml:space="preserve"> (Annex 7)</w:t>
      </w:r>
      <w:r w:rsidR="00695119" w:rsidRPr="005A3F47">
        <w:rPr>
          <w:noProof/>
        </w:rPr>
        <w:t xml:space="preserve"> on the basis on Article 115 TFEU</w:t>
      </w:r>
      <w:r w:rsidR="00012AF1" w:rsidRPr="005A3F47">
        <w:rPr>
          <w:noProof/>
        </w:rPr>
        <w:t xml:space="preserve"> (ex Art</w:t>
      </w:r>
      <w:r w:rsidR="00EA45F8" w:rsidRPr="005A3F47">
        <w:rPr>
          <w:noProof/>
        </w:rPr>
        <w:t xml:space="preserve">icle </w:t>
      </w:r>
      <w:r w:rsidR="009F3C14" w:rsidRPr="005A3F47">
        <w:rPr>
          <w:noProof/>
        </w:rPr>
        <w:t>94 TEC)</w:t>
      </w:r>
      <w:r w:rsidR="00695119" w:rsidRPr="005A3F47">
        <w:rPr>
          <w:noProof/>
        </w:rPr>
        <w:t xml:space="preserve">. </w:t>
      </w:r>
      <w:r w:rsidR="00FA6F30" w:rsidRPr="005A3F47">
        <w:rPr>
          <w:noProof/>
        </w:rPr>
        <w:t xml:space="preserve">This provision allows for the approximation of laws of the Member States, which directly affect the establishment or functioning of the internal market. </w:t>
      </w:r>
      <w:r w:rsidR="001C0FC8" w:rsidRPr="005A3F47">
        <w:rPr>
          <w:noProof/>
        </w:rPr>
        <w:t>On this basis, t</w:t>
      </w:r>
      <w:r w:rsidR="0001173B" w:rsidRPr="005A3F47">
        <w:rPr>
          <w:noProof/>
        </w:rPr>
        <w:t xml:space="preserve">he overall objective of the existing </w:t>
      </w:r>
      <w:r w:rsidR="32ACF64C" w:rsidRPr="005A3F47">
        <w:rPr>
          <w:noProof/>
        </w:rPr>
        <w:t>D</w:t>
      </w:r>
      <w:r w:rsidR="0001173B" w:rsidRPr="005A3F47">
        <w:rPr>
          <w:noProof/>
        </w:rPr>
        <w:t>i</w:t>
      </w:r>
      <w:r w:rsidR="001D198E" w:rsidRPr="005A3F47">
        <w:rPr>
          <w:noProof/>
        </w:rPr>
        <w:t>rective</w:t>
      </w:r>
      <w:r w:rsidR="00A007F8" w:rsidRPr="005A3F47">
        <w:rPr>
          <w:noProof/>
        </w:rPr>
        <w:t>s</w:t>
      </w:r>
      <w:r w:rsidR="001D198E" w:rsidRPr="005A3F47">
        <w:rPr>
          <w:noProof/>
        </w:rPr>
        <w:t xml:space="preserve"> is to ensure that </w:t>
      </w:r>
      <w:r w:rsidR="00704E97" w:rsidRPr="005A3F47">
        <w:rPr>
          <w:noProof/>
        </w:rPr>
        <w:t>business activit</w:t>
      </w:r>
      <w:r w:rsidR="00826F7F" w:rsidRPr="005A3F47">
        <w:rPr>
          <w:noProof/>
        </w:rPr>
        <w:t>ies</w:t>
      </w:r>
      <w:r w:rsidR="00DF10F7" w:rsidRPr="005A3F47">
        <w:rPr>
          <w:noProof/>
        </w:rPr>
        <w:t>,</w:t>
      </w:r>
      <w:r w:rsidR="00826F7F" w:rsidRPr="005A3F47">
        <w:rPr>
          <w:noProof/>
        </w:rPr>
        <w:t xml:space="preserve"> </w:t>
      </w:r>
      <w:r w:rsidR="007F737D" w:rsidRPr="005A3F47">
        <w:rPr>
          <w:noProof/>
        </w:rPr>
        <w:t>which are carried out between taxpayers of different Member States</w:t>
      </w:r>
      <w:r w:rsidR="00DF10F7" w:rsidRPr="005A3F47">
        <w:rPr>
          <w:noProof/>
        </w:rPr>
        <w:t>,</w:t>
      </w:r>
      <w:r w:rsidR="007F737D" w:rsidRPr="005A3F47">
        <w:rPr>
          <w:noProof/>
        </w:rPr>
        <w:t xml:space="preserve"> </w:t>
      </w:r>
      <w:r w:rsidR="009621AA" w:rsidRPr="005A3F47">
        <w:rPr>
          <w:noProof/>
        </w:rPr>
        <w:t>are not</w:t>
      </w:r>
      <w:r w:rsidR="007851FC" w:rsidRPr="005A3F47">
        <w:rPr>
          <w:noProof/>
        </w:rPr>
        <w:t xml:space="preserve"> subject to </w:t>
      </w:r>
      <w:r w:rsidR="00687AC8" w:rsidRPr="005A3F47">
        <w:rPr>
          <w:noProof/>
        </w:rPr>
        <w:t>more</w:t>
      </w:r>
      <w:r w:rsidR="004F4B43" w:rsidRPr="005A3F47">
        <w:rPr>
          <w:noProof/>
        </w:rPr>
        <w:t>,</w:t>
      </w:r>
      <w:r w:rsidR="00687AC8" w:rsidRPr="005A3F47">
        <w:rPr>
          <w:noProof/>
        </w:rPr>
        <w:t xml:space="preserve"> or less</w:t>
      </w:r>
      <w:r w:rsidR="004F4B43" w:rsidRPr="005A3F47">
        <w:rPr>
          <w:noProof/>
        </w:rPr>
        <w:t>,</w:t>
      </w:r>
      <w:r w:rsidR="00687AC8" w:rsidRPr="005A3F47">
        <w:rPr>
          <w:noProof/>
        </w:rPr>
        <w:t xml:space="preserve"> fa</w:t>
      </w:r>
      <w:r w:rsidR="003F7159" w:rsidRPr="005A3F47">
        <w:rPr>
          <w:noProof/>
        </w:rPr>
        <w:t>vourable tax conditions</w:t>
      </w:r>
      <w:r w:rsidR="0078672F" w:rsidRPr="005A3F47">
        <w:rPr>
          <w:noProof/>
        </w:rPr>
        <w:t xml:space="preserve"> than those applied to</w:t>
      </w:r>
      <w:r w:rsidR="00321DDD" w:rsidRPr="005A3F47">
        <w:rPr>
          <w:noProof/>
        </w:rPr>
        <w:t xml:space="preserve"> business activities carrie</w:t>
      </w:r>
      <w:r w:rsidR="00E75DA3" w:rsidRPr="005A3F47">
        <w:rPr>
          <w:noProof/>
        </w:rPr>
        <w:t>d</w:t>
      </w:r>
      <w:r w:rsidR="00321DDD" w:rsidRPr="005A3F47">
        <w:rPr>
          <w:noProof/>
        </w:rPr>
        <w:t xml:space="preserve"> out between companies of the same Member State.</w:t>
      </w:r>
      <w:r w:rsidR="00734687" w:rsidRPr="005A3F47">
        <w:rPr>
          <w:noProof/>
        </w:rPr>
        <w:t xml:space="preserve"> </w:t>
      </w:r>
    </w:p>
    <w:p w14:paraId="164E8D27" w14:textId="75E9CAFD" w:rsidR="006B087E" w:rsidRPr="005A3F47" w:rsidRDefault="00F02B59" w:rsidP="00F0480B">
      <w:pPr>
        <w:rPr>
          <w:noProof/>
        </w:rPr>
      </w:pPr>
      <w:r w:rsidRPr="005A3F47">
        <w:rPr>
          <w:noProof/>
        </w:rPr>
        <w:t xml:space="preserve">Article 115 TFEU </w:t>
      </w:r>
      <w:r w:rsidR="00945287" w:rsidRPr="005A3F47">
        <w:rPr>
          <w:noProof/>
        </w:rPr>
        <w:t xml:space="preserve">will also </w:t>
      </w:r>
      <w:r w:rsidR="00BE6DF8" w:rsidRPr="005A3F47">
        <w:rPr>
          <w:noProof/>
        </w:rPr>
        <w:t xml:space="preserve">be </w:t>
      </w:r>
      <w:r w:rsidR="00945287" w:rsidRPr="005A3F47">
        <w:rPr>
          <w:noProof/>
        </w:rPr>
        <w:t>the</w:t>
      </w:r>
      <w:r w:rsidR="00BE6DF8" w:rsidRPr="005A3F47">
        <w:rPr>
          <w:noProof/>
        </w:rPr>
        <w:t xml:space="preserve"> legal</w:t>
      </w:r>
      <w:r w:rsidR="00945287" w:rsidRPr="005A3F47">
        <w:rPr>
          <w:noProof/>
        </w:rPr>
        <w:t xml:space="preserve"> </w:t>
      </w:r>
      <w:r w:rsidR="0082090C" w:rsidRPr="005A3F47">
        <w:rPr>
          <w:noProof/>
        </w:rPr>
        <w:t xml:space="preserve">basis for </w:t>
      </w:r>
      <w:r w:rsidR="00337C69" w:rsidRPr="005A3F47">
        <w:rPr>
          <w:noProof/>
        </w:rPr>
        <w:t>t</w:t>
      </w:r>
      <w:r w:rsidR="0082090C" w:rsidRPr="005A3F47">
        <w:rPr>
          <w:noProof/>
        </w:rPr>
        <w:t xml:space="preserve">he Omnibus </w:t>
      </w:r>
      <w:r w:rsidR="68C7F11B" w:rsidRPr="005A3F47">
        <w:rPr>
          <w:noProof/>
        </w:rPr>
        <w:t xml:space="preserve">on Taxation </w:t>
      </w:r>
      <w:r w:rsidR="00774F5C" w:rsidRPr="005A3F47">
        <w:rPr>
          <w:noProof/>
        </w:rPr>
        <w:t>proposal</w:t>
      </w:r>
      <w:r w:rsidR="00AC19A7" w:rsidRPr="005A3F47">
        <w:rPr>
          <w:noProof/>
        </w:rPr>
        <w:t xml:space="preserve"> </w:t>
      </w:r>
      <w:r w:rsidR="00FC2BE8" w:rsidRPr="005A3F47">
        <w:rPr>
          <w:noProof/>
        </w:rPr>
        <w:t xml:space="preserve">that entail </w:t>
      </w:r>
      <w:r w:rsidR="00A102A4" w:rsidRPr="005A3F47">
        <w:rPr>
          <w:noProof/>
        </w:rPr>
        <w:t xml:space="preserve">adoption through </w:t>
      </w:r>
      <w:r w:rsidR="00AC19A7" w:rsidRPr="005A3F47">
        <w:rPr>
          <w:noProof/>
        </w:rPr>
        <w:t>the special legislative procedure, requiring</w:t>
      </w:r>
      <w:r w:rsidR="00AC19A7" w:rsidRPr="005A3F47" w:rsidDel="00283787">
        <w:rPr>
          <w:noProof/>
        </w:rPr>
        <w:t xml:space="preserve"> </w:t>
      </w:r>
      <w:r w:rsidR="00AC19A7" w:rsidRPr="005A3F47">
        <w:rPr>
          <w:noProof/>
        </w:rPr>
        <w:t>unanimous vote in Council and consultation of the European Parliament and Economic and Social Committee</w:t>
      </w:r>
      <w:r w:rsidR="00A3518B" w:rsidRPr="005A3F47">
        <w:rPr>
          <w:noProof/>
        </w:rPr>
        <w:t xml:space="preserve">. </w:t>
      </w:r>
      <w:r w:rsidR="00ED0263" w:rsidRPr="005A3F47">
        <w:rPr>
          <w:noProof/>
        </w:rPr>
        <w:t xml:space="preserve">The Omnibus </w:t>
      </w:r>
      <w:r w:rsidR="7F0D2B1C" w:rsidRPr="005A3F47">
        <w:rPr>
          <w:noProof/>
        </w:rPr>
        <w:t>on Taxation</w:t>
      </w:r>
      <w:r w:rsidR="00ED0263" w:rsidRPr="005A3F47">
        <w:rPr>
          <w:noProof/>
        </w:rPr>
        <w:t xml:space="preserve"> </w:t>
      </w:r>
      <w:r w:rsidRPr="005A3F47">
        <w:rPr>
          <w:noProof/>
        </w:rPr>
        <w:t xml:space="preserve">will, </w:t>
      </w:r>
      <w:r w:rsidR="007237F5" w:rsidRPr="005A3F47">
        <w:rPr>
          <w:noProof/>
        </w:rPr>
        <w:t xml:space="preserve">by amending existing EU </w:t>
      </w:r>
      <w:r w:rsidR="2D0718A6" w:rsidRPr="005A3F47">
        <w:rPr>
          <w:noProof/>
        </w:rPr>
        <w:t>D</w:t>
      </w:r>
      <w:r w:rsidR="00136BA7" w:rsidRPr="005A3F47">
        <w:rPr>
          <w:noProof/>
        </w:rPr>
        <w:t>irectives</w:t>
      </w:r>
      <w:r w:rsidR="00B83E5F" w:rsidRPr="005A3F47">
        <w:rPr>
          <w:noProof/>
        </w:rPr>
        <w:t>, have an impact on</w:t>
      </w:r>
      <w:r w:rsidR="00FA6F30" w:rsidRPr="005A3F47">
        <w:rPr>
          <w:noProof/>
        </w:rPr>
        <w:t xml:space="preserve"> cross-border </w:t>
      </w:r>
      <w:r w:rsidR="00A17DF5" w:rsidRPr="005A3F47">
        <w:rPr>
          <w:noProof/>
        </w:rPr>
        <w:t>business activities</w:t>
      </w:r>
      <w:r w:rsidR="003D6F9C" w:rsidRPr="005A3F47">
        <w:rPr>
          <w:noProof/>
        </w:rPr>
        <w:t xml:space="preserve"> with a view to </w:t>
      </w:r>
      <w:r w:rsidR="009948BD" w:rsidRPr="005A3F47">
        <w:rPr>
          <w:noProof/>
        </w:rPr>
        <w:t>enhance the functioning of the internal market</w:t>
      </w:r>
      <w:r w:rsidR="00B83E5F" w:rsidRPr="005A3F47">
        <w:rPr>
          <w:noProof/>
        </w:rPr>
        <w:t xml:space="preserve"> by making the </w:t>
      </w:r>
      <w:r w:rsidR="00B42E21" w:rsidRPr="005A3F47">
        <w:rPr>
          <w:noProof/>
        </w:rPr>
        <w:t xml:space="preserve">common rules </w:t>
      </w:r>
      <w:r w:rsidR="006D239A" w:rsidRPr="005A3F47">
        <w:rPr>
          <w:noProof/>
        </w:rPr>
        <w:t xml:space="preserve">on direct taxation </w:t>
      </w:r>
      <w:r w:rsidR="00B42E21" w:rsidRPr="005A3F47">
        <w:rPr>
          <w:noProof/>
        </w:rPr>
        <w:t xml:space="preserve">clearer, simpler and </w:t>
      </w:r>
      <w:r w:rsidR="00025768" w:rsidRPr="005A3F47">
        <w:rPr>
          <w:noProof/>
        </w:rPr>
        <w:t>up</w:t>
      </w:r>
      <w:r w:rsidR="237829E3" w:rsidRPr="005A3F47">
        <w:rPr>
          <w:noProof/>
        </w:rPr>
        <w:t xml:space="preserve"> </w:t>
      </w:r>
      <w:r w:rsidR="00025768" w:rsidRPr="005A3F47">
        <w:rPr>
          <w:noProof/>
        </w:rPr>
        <w:t>to</w:t>
      </w:r>
      <w:r w:rsidR="237829E3" w:rsidRPr="005A3F47">
        <w:rPr>
          <w:noProof/>
        </w:rPr>
        <w:t xml:space="preserve"> </w:t>
      </w:r>
      <w:r w:rsidR="00025768" w:rsidRPr="005A3F47">
        <w:rPr>
          <w:noProof/>
        </w:rPr>
        <w:t>date</w:t>
      </w:r>
      <w:r w:rsidR="006D239A" w:rsidRPr="005A3F47">
        <w:rPr>
          <w:noProof/>
        </w:rPr>
        <w:t>.</w:t>
      </w:r>
    </w:p>
    <w:p w14:paraId="5E89CE3C" w14:textId="38E6AA5E" w:rsidR="006B087E" w:rsidRPr="005A3F47" w:rsidRDefault="00AE1C73" w:rsidP="00A620A5">
      <w:pPr>
        <w:pStyle w:val="Heading2"/>
        <w:numPr>
          <w:ilvl w:val="1"/>
          <w:numId w:val="185"/>
        </w:numPr>
        <w:rPr>
          <w:noProof/>
        </w:rPr>
      </w:pPr>
      <w:bookmarkStart w:id="43" w:name="_Toc226466807"/>
      <w:bookmarkStart w:id="44" w:name="_Toc226467168"/>
      <w:bookmarkStart w:id="45" w:name="_Toc226467268"/>
      <w:bookmarkStart w:id="46" w:name="_Toc226467487"/>
      <w:r w:rsidRPr="005A3F47">
        <w:rPr>
          <w:noProof/>
        </w:rPr>
        <w:t xml:space="preserve"> </w:t>
      </w:r>
      <w:r w:rsidR="006B087E" w:rsidRPr="005A3F47">
        <w:rPr>
          <w:noProof/>
        </w:rPr>
        <w:t>Subsidiarity: Necessity of EU action</w:t>
      </w:r>
      <w:bookmarkEnd w:id="43"/>
      <w:bookmarkEnd w:id="44"/>
      <w:bookmarkEnd w:id="45"/>
      <w:bookmarkEnd w:id="46"/>
    </w:p>
    <w:p w14:paraId="67B9AF0F" w14:textId="7F4FAC82" w:rsidR="006B087E" w:rsidRPr="005A3F47" w:rsidRDefault="007A7148" w:rsidP="004E5A07">
      <w:pPr>
        <w:rPr>
          <w:noProof/>
        </w:rPr>
      </w:pPr>
      <w:r w:rsidRPr="005A3F47">
        <w:rPr>
          <w:noProof/>
        </w:rPr>
        <w:t>EU</w:t>
      </w:r>
      <w:r w:rsidR="00FF58C3" w:rsidRPr="005A3F47">
        <w:rPr>
          <w:noProof/>
        </w:rPr>
        <w:t xml:space="preserve"> com</w:t>
      </w:r>
      <w:r w:rsidR="008A7BB3" w:rsidRPr="005A3F47">
        <w:rPr>
          <w:noProof/>
        </w:rPr>
        <w:t xml:space="preserve">petence in the area of direct taxation </w:t>
      </w:r>
      <w:r w:rsidR="001E26EF" w:rsidRPr="005A3F47">
        <w:rPr>
          <w:noProof/>
        </w:rPr>
        <w:t xml:space="preserve">is shared with the Member States </w:t>
      </w:r>
      <w:r w:rsidR="00212380" w:rsidRPr="005A3F47">
        <w:rPr>
          <w:noProof/>
        </w:rPr>
        <w:t>on the basis of Article 115</w:t>
      </w:r>
      <w:r w:rsidR="00C7240F" w:rsidRPr="005A3F47">
        <w:rPr>
          <w:noProof/>
        </w:rPr>
        <w:t xml:space="preserve"> TFEU. </w:t>
      </w:r>
      <w:r w:rsidR="004E5A07" w:rsidRPr="005A3F47">
        <w:rPr>
          <w:noProof/>
        </w:rPr>
        <w:t>In accordance with the subsidiarity principle laid down in Article 5(3) TFEU, action at EU level should be taken only when the envisaged</w:t>
      </w:r>
      <w:r w:rsidR="000F65FA" w:rsidRPr="005A3F47">
        <w:rPr>
          <w:noProof/>
        </w:rPr>
        <w:t xml:space="preserve"> objectives</w:t>
      </w:r>
      <w:r w:rsidR="004E5A07" w:rsidRPr="005A3F47">
        <w:rPr>
          <w:noProof/>
        </w:rPr>
        <w:t xml:space="preserve"> cannot be achieved sufficiently by Member States acting alone and in addition, by reason of the scale or effects of the proposed action, can be better</w:t>
      </w:r>
      <w:r w:rsidR="00CC71AA" w:rsidRPr="005A3F47">
        <w:rPr>
          <w:noProof/>
        </w:rPr>
        <w:t xml:space="preserve"> </w:t>
      </w:r>
      <w:r w:rsidR="004E5A07" w:rsidRPr="005A3F47">
        <w:rPr>
          <w:noProof/>
        </w:rPr>
        <w:t>achieved by the EU.</w:t>
      </w:r>
    </w:p>
    <w:p w14:paraId="7E17840B" w14:textId="4BF16B12" w:rsidR="001E6201" w:rsidRPr="005A3F47" w:rsidRDefault="00224903" w:rsidP="008E379D">
      <w:pPr>
        <w:rPr>
          <w:noProof/>
        </w:rPr>
      </w:pPr>
      <w:r w:rsidRPr="005A3F47">
        <w:rPr>
          <w:noProof/>
        </w:rPr>
        <w:t>On this basis</w:t>
      </w:r>
      <w:r w:rsidR="005A1B09" w:rsidRPr="005A3F47">
        <w:rPr>
          <w:noProof/>
        </w:rPr>
        <w:t xml:space="preserve">, </w:t>
      </w:r>
      <w:r w:rsidRPr="005A3F47">
        <w:rPr>
          <w:noProof/>
        </w:rPr>
        <w:t>a</w:t>
      </w:r>
      <w:r w:rsidR="000B248F" w:rsidRPr="005A3F47">
        <w:rPr>
          <w:noProof/>
        </w:rPr>
        <w:t>ll Member States have</w:t>
      </w:r>
      <w:r w:rsidR="00797F5B" w:rsidRPr="005A3F47">
        <w:rPr>
          <w:noProof/>
        </w:rPr>
        <w:t xml:space="preserve"> their own domestic tax systems</w:t>
      </w:r>
      <w:r w:rsidR="00E331D0" w:rsidRPr="005A3F47">
        <w:rPr>
          <w:noProof/>
        </w:rPr>
        <w:t xml:space="preserve"> which are determined by</w:t>
      </w:r>
      <w:r w:rsidR="00494AE4" w:rsidRPr="005A3F47">
        <w:rPr>
          <w:noProof/>
        </w:rPr>
        <w:t xml:space="preserve"> different</w:t>
      </w:r>
      <w:r w:rsidR="00195BF6" w:rsidRPr="005A3F47">
        <w:rPr>
          <w:noProof/>
        </w:rPr>
        <w:t xml:space="preserve"> economic approaches,</w:t>
      </w:r>
      <w:r w:rsidR="00494AE4" w:rsidRPr="005A3F47">
        <w:rPr>
          <w:noProof/>
        </w:rPr>
        <w:t xml:space="preserve"> </w:t>
      </w:r>
      <w:r w:rsidR="00F569E0" w:rsidRPr="005A3F47">
        <w:rPr>
          <w:noProof/>
        </w:rPr>
        <w:t>financial</w:t>
      </w:r>
      <w:r w:rsidR="002C5950" w:rsidRPr="005A3F47">
        <w:rPr>
          <w:noProof/>
        </w:rPr>
        <w:t xml:space="preserve"> needs</w:t>
      </w:r>
      <w:r w:rsidR="00494AE4" w:rsidRPr="005A3F47">
        <w:rPr>
          <w:noProof/>
        </w:rPr>
        <w:t xml:space="preserve"> and</w:t>
      </w:r>
      <w:r w:rsidR="00A91D78" w:rsidRPr="005A3F47">
        <w:rPr>
          <w:noProof/>
        </w:rPr>
        <w:t xml:space="preserve"> </w:t>
      </w:r>
      <w:r w:rsidR="00494AE4" w:rsidRPr="005A3F47">
        <w:rPr>
          <w:noProof/>
        </w:rPr>
        <w:t>policy choices</w:t>
      </w:r>
      <w:r w:rsidR="00195BF6" w:rsidRPr="005A3F47">
        <w:rPr>
          <w:noProof/>
        </w:rPr>
        <w:t>.</w:t>
      </w:r>
      <w:r w:rsidR="002A7298" w:rsidRPr="005A3F47">
        <w:rPr>
          <w:noProof/>
        </w:rPr>
        <w:t xml:space="preserve"> However, in some cases, it has</w:t>
      </w:r>
      <w:r w:rsidR="004F1D59" w:rsidRPr="005A3F47">
        <w:rPr>
          <w:noProof/>
        </w:rPr>
        <w:t xml:space="preserve"> </w:t>
      </w:r>
      <w:r w:rsidR="00891D1E" w:rsidRPr="005A3F47">
        <w:rPr>
          <w:noProof/>
        </w:rPr>
        <w:t>become apparent that EU action</w:t>
      </w:r>
      <w:r w:rsidR="002B0143" w:rsidRPr="005A3F47">
        <w:rPr>
          <w:noProof/>
        </w:rPr>
        <w:t xml:space="preserve"> </w:t>
      </w:r>
      <w:r w:rsidR="00F11B6A" w:rsidRPr="005A3F47">
        <w:rPr>
          <w:noProof/>
        </w:rPr>
        <w:t>is</w:t>
      </w:r>
      <w:r w:rsidR="002B0143" w:rsidRPr="005A3F47">
        <w:rPr>
          <w:noProof/>
        </w:rPr>
        <w:t xml:space="preserve"> necessary to ensure the functioning of the internal market and the</w:t>
      </w:r>
      <w:r w:rsidR="00581A9E" w:rsidRPr="005A3F47">
        <w:rPr>
          <w:noProof/>
        </w:rPr>
        <w:t xml:space="preserve"> effectiveness of the</w:t>
      </w:r>
      <w:r w:rsidR="002B0143" w:rsidRPr="005A3F47">
        <w:rPr>
          <w:noProof/>
        </w:rPr>
        <w:t xml:space="preserve"> fundamental freedoms.</w:t>
      </w:r>
      <w:r w:rsidR="00A903F4" w:rsidRPr="005A3F47">
        <w:rPr>
          <w:noProof/>
        </w:rPr>
        <w:t xml:space="preserve"> This </w:t>
      </w:r>
      <w:r w:rsidR="00BF56AF" w:rsidRPr="005A3F47">
        <w:rPr>
          <w:noProof/>
        </w:rPr>
        <w:t>is</w:t>
      </w:r>
      <w:r w:rsidR="00A903F4" w:rsidRPr="005A3F47">
        <w:rPr>
          <w:noProof/>
        </w:rPr>
        <w:t>, for example, the case with the IRD and PSD</w:t>
      </w:r>
      <w:r w:rsidR="005C6A3D" w:rsidRPr="005A3F47">
        <w:rPr>
          <w:noProof/>
        </w:rPr>
        <w:t xml:space="preserve"> which were adopted to ensure </w:t>
      </w:r>
      <w:r w:rsidR="001E469E" w:rsidRPr="005A3F47">
        <w:rPr>
          <w:noProof/>
        </w:rPr>
        <w:t>equal tax treatment of dividends, royalties and interests</w:t>
      </w:r>
      <w:r w:rsidR="009D4BEE" w:rsidRPr="005A3F47">
        <w:rPr>
          <w:noProof/>
        </w:rPr>
        <w:t xml:space="preserve"> when </w:t>
      </w:r>
      <w:r w:rsidR="003E59D1" w:rsidRPr="005A3F47">
        <w:rPr>
          <w:noProof/>
        </w:rPr>
        <w:t>the</w:t>
      </w:r>
      <w:r w:rsidR="006D773C" w:rsidRPr="005A3F47">
        <w:rPr>
          <w:noProof/>
        </w:rPr>
        <w:t>se</w:t>
      </w:r>
      <w:r w:rsidR="003E59D1" w:rsidRPr="005A3F47">
        <w:rPr>
          <w:noProof/>
        </w:rPr>
        <w:t xml:space="preserve"> payments</w:t>
      </w:r>
      <w:r w:rsidR="009D4BEE" w:rsidRPr="005A3F47">
        <w:rPr>
          <w:noProof/>
        </w:rPr>
        <w:t xml:space="preserve"> are carried out between taxpayers in different Member States.</w:t>
      </w:r>
      <w:r w:rsidR="0006104A" w:rsidRPr="005A3F47">
        <w:rPr>
          <w:noProof/>
        </w:rPr>
        <w:t xml:space="preserve"> </w:t>
      </w:r>
      <w:r w:rsidR="00D02B6F" w:rsidRPr="005A3F47">
        <w:rPr>
          <w:noProof/>
        </w:rPr>
        <w:t xml:space="preserve">In the same vein, </w:t>
      </w:r>
      <w:r w:rsidR="0006104A" w:rsidRPr="005A3F47">
        <w:rPr>
          <w:noProof/>
        </w:rPr>
        <w:t>the TMD</w:t>
      </w:r>
      <w:r w:rsidR="00983C21" w:rsidRPr="005A3F47">
        <w:rPr>
          <w:noProof/>
        </w:rPr>
        <w:t xml:space="preserve">, </w:t>
      </w:r>
      <w:r w:rsidR="00D02B6F" w:rsidRPr="005A3F47">
        <w:rPr>
          <w:noProof/>
        </w:rPr>
        <w:t xml:space="preserve">ensures </w:t>
      </w:r>
      <w:r w:rsidR="0054220A" w:rsidRPr="005A3F47">
        <w:rPr>
          <w:noProof/>
        </w:rPr>
        <w:t xml:space="preserve">that </w:t>
      </w:r>
      <w:r w:rsidR="008D2DB0" w:rsidRPr="005A3F47">
        <w:rPr>
          <w:noProof/>
        </w:rPr>
        <w:t xml:space="preserve">tax rules applicable to </w:t>
      </w:r>
      <w:r w:rsidR="0054220A" w:rsidRPr="005A3F47">
        <w:rPr>
          <w:noProof/>
        </w:rPr>
        <w:t xml:space="preserve">business operations, like </w:t>
      </w:r>
      <w:r w:rsidR="00DD2719" w:rsidRPr="005A3F47">
        <w:rPr>
          <w:noProof/>
        </w:rPr>
        <w:t>mergers, divisions, transfers of assets</w:t>
      </w:r>
      <w:r w:rsidR="0068723A" w:rsidRPr="005A3F47">
        <w:rPr>
          <w:noProof/>
        </w:rPr>
        <w:t>,</w:t>
      </w:r>
      <w:r w:rsidR="00DD2719" w:rsidRPr="005A3F47">
        <w:rPr>
          <w:noProof/>
        </w:rPr>
        <w:t xml:space="preserve"> and exchange of shares</w:t>
      </w:r>
      <w:r w:rsidR="00956EAD" w:rsidRPr="005A3F47">
        <w:rPr>
          <w:noProof/>
        </w:rPr>
        <w:t xml:space="preserve">, concerning taxpayers </w:t>
      </w:r>
      <w:r w:rsidR="0068723A" w:rsidRPr="005A3F47">
        <w:rPr>
          <w:noProof/>
        </w:rPr>
        <w:t>of different Member States</w:t>
      </w:r>
      <w:r w:rsidR="00E271B7" w:rsidRPr="005A3F47">
        <w:rPr>
          <w:noProof/>
        </w:rPr>
        <w:t xml:space="preserve"> are neutral</w:t>
      </w:r>
      <w:r w:rsidR="00120AF0" w:rsidRPr="005A3F47">
        <w:rPr>
          <w:noProof/>
        </w:rPr>
        <w:t xml:space="preserve"> </w:t>
      </w:r>
      <w:r w:rsidR="00EC2647" w:rsidRPr="005A3F47">
        <w:rPr>
          <w:noProof/>
        </w:rPr>
        <w:t>and non</w:t>
      </w:r>
      <w:r w:rsidR="0006233C" w:rsidRPr="005A3F47">
        <w:rPr>
          <w:noProof/>
        </w:rPr>
        <w:t>-</w:t>
      </w:r>
      <w:r w:rsidR="00EC2647" w:rsidRPr="005A3F47">
        <w:rPr>
          <w:noProof/>
        </w:rPr>
        <w:t>decisive for business decisions</w:t>
      </w:r>
      <w:r w:rsidR="003E169F" w:rsidRPr="005A3F47">
        <w:rPr>
          <w:noProof/>
        </w:rPr>
        <w:t xml:space="preserve"> in the internal market</w:t>
      </w:r>
      <w:r w:rsidR="00EC2647" w:rsidRPr="005A3F47">
        <w:rPr>
          <w:noProof/>
        </w:rPr>
        <w:t xml:space="preserve">. </w:t>
      </w:r>
      <w:r w:rsidR="00CF6A16" w:rsidRPr="005A3F47">
        <w:rPr>
          <w:noProof/>
        </w:rPr>
        <w:t>ATAD introduce</w:t>
      </w:r>
      <w:r w:rsidR="006D3148" w:rsidRPr="005A3F47">
        <w:rPr>
          <w:noProof/>
        </w:rPr>
        <w:t>d</w:t>
      </w:r>
      <w:r w:rsidR="00CF6A16" w:rsidRPr="005A3F47">
        <w:rPr>
          <w:noProof/>
        </w:rPr>
        <w:t xml:space="preserve"> </w:t>
      </w:r>
      <w:r w:rsidR="002613DB" w:rsidRPr="005A3F47">
        <w:rPr>
          <w:noProof/>
        </w:rPr>
        <w:t xml:space="preserve">a </w:t>
      </w:r>
      <w:r w:rsidR="00835D56" w:rsidRPr="005A3F47">
        <w:rPr>
          <w:noProof/>
        </w:rPr>
        <w:t>set of</w:t>
      </w:r>
      <w:r w:rsidR="006D3148" w:rsidRPr="005A3F47">
        <w:rPr>
          <w:noProof/>
        </w:rPr>
        <w:t xml:space="preserve"> common</w:t>
      </w:r>
      <w:r w:rsidR="00835D56" w:rsidRPr="005A3F47">
        <w:rPr>
          <w:noProof/>
        </w:rPr>
        <w:t xml:space="preserve"> anti-tax avoidance rules </w:t>
      </w:r>
      <w:r w:rsidR="00864B30" w:rsidRPr="005A3F47">
        <w:rPr>
          <w:noProof/>
        </w:rPr>
        <w:t>to</w:t>
      </w:r>
      <w:r w:rsidR="006D3148" w:rsidRPr="005A3F47">
        <w:rPr>
          <w:noProof/>
        </w:rPr>
        <w:t xml:space="preserve"> </w:t>
      </w:r>
      <w:r w:rsidR="00DC008D" w:rsidRPr="005A3F47">
        <w:rPr>
          <w:noProof/>
        </w:rPr>
        <w:t xml:space="preserve">address </w:t>
      </w:r>
      <w:r w:rsidR="002F7E31" w:rsidRPr="005A3F47">
        <w:rPr>
          <w:noProof/>
        </w:rPr>
        <w:t>base erosion and profit shifting</w:t>
      </w:r>
      <w:r w:rsidR="00835114" w:rsidRPr="005A3F47">
        <w:rPr>
          <w:noProof/>
        </w:rPr>
        <w:t>, often</w:t>
      </w:r>
      <w:r w:rsidR="002F7E31" w:rsidRPr="005A3F47">
        <w:rPr>
          <w:noProof/>
        </w:rPr>
        <w:t xml:space="preserve"> caused </w:t>
      </w:r>
      <w:r w:rsidR="006B6074" w:rsidRPr="005A3F47">
        <w:rPr>
          <w:noProof/>
        </w:rPr>
        <w:t xml:space="preserve">or aggravated </w:t>
      </w:r>
      <w:r w:rsidR="002F7E31" w:rsidRPr="005A3F47">
        <w:rPr>
          <w:noProof/>
        </w:rPr>
        <w:t>by</w:t>
      </w:r>
      <w:r w:rsidR="00CA5F02" w:rsidRPr="005A3F47">
        <w:rPr>
          <w:noProof/>
        </w:rPr>
        <w:t xml:space="preserve"> mismatches </w:t>
      </w:r>
      <w:r w:rsidR="00835114" w:rsidRPr="005A3F47">
        <w:rPr>
          <w:noProof/>
        </w:rPr>
        <w:t xml:space="preserve">or </w:t>
      </w:r>
      <w:r w:rsidR="00E23910" w:rsidRPr="005A3F47">
        <w:rPr>
          <w:noProof/>
        </w:rPr>
        <w:t xml:space="preserve">fragmentation between </w:t>
      </w:r>
      <w:r w:rsidR="00056BFD" w:rsidRPr="005A3F47">
        <w:rPr>
          <w:noProof/>
        </w:rPr>
        <w:t>the tax systems of the Member States.</w:t>
      </w:r>
      <w:r w:rsidR="009A6D65" w:rsidRPr="005A3F47">
        <w:rPr>
          <w:noProof/>
        </w:rPr>
        <w:t xml:space="preserve"> </w:t>
      </w:r>
      <w:bookmarkStart w:id="47" w:name="_Hlk220913845"/>
      <w:r w:rsidR="008E379D" w:rsidRPr="005A3F47">
        <w:rPr>
          <w:noProof/>
        </w:rPr>
        <w:t>The DRM</w:t>
      </w:r>
      <w:r w:rsidR="00754E8A" w:rsidRPr="005A3F47">
        <w:rPr>
          <w:noProof/>
        </w:rPr>
        <w:t xml:space="preserve"> </w:t>
      </w:r>
      <w:r w:rsidR="008E379D" w:rsidRPr="005A3F47">
        <w:rPr>
          <w:noProof/>
        </w:rPr>
        <w:t xml:space="preserve">establishes rules for resolving disputes that arise from the interpretation and application of </w:t>
      </w:r>
      <w:r w:rsidR="00754E8A" w:rsidRPr="005A3F47">
        <w:rPr>
          <w:noProof/>
        </w:rPr>
        <w:t>double tax treaties</w:t>
      </w:r>
      <w:r w:rsidR="008E379D" w:rsidRPr="005A3F47">
        <w:rPr>
          <w:noProof/>
        </w:rPr>
        <w:t xml:space="preserve"> among EU </w:t>
      </w:r>
      <w:bookmarkEnd w:id="47"/>
      <w:r w:rsidR="00882D51" w:rsidRPr="005A3F47">
        <w:rPr>
          <w:noProof/>
        </w:rPr>
        <w:t>M</w:t>
      </w:r>
      <w:r w:rsidR="008E379D" w:rsidRPr="005A3F47">
        <w:rPr>
          <w:noProof/>
        </w:rPr>
        <w:t xml:space="preserve">ember </w:t>
      </w:r>
      <w:r w:rsidR="00882D51" w:rsidRPr="005A3F47">
        <w:rPr>
          <w:noProof/>
        </w:rPr>
        <w:t>S</w:t>
      </w:r>
      <w:r w:rsidR="008E379D" w:rsidRPr="005A3F47">
        <w:rPr>
          <w:noProof/>
        </w:rPr>
        <w:t xml:space="preserve">tates. </w:t>
      </w:r>
    </w:p>
    <w:p w14:paraId="50A14E1A" w14:textId="1BC16500" w:rsidR="00D11472" w:rsidRPr="005A3F47" w:rsidRDefault="000E1B13" w:rsidP="00D11472">
      <w:pPr>
        <w:rPr>
          <w:noProof/>
        </w:rPr>
      </w:pPr>
      <w:r w:rsidRPr="005A3F47">
        <w:rPr>
          <w:noProof/>
        </w:rPr>
        <w:t xml:space="preserve">Although the application </w:t>
      </w:r>
      <w:r w:rsidR="0037287F" w:rsidRPr="005A3F47">
        <w:rPr>
          <w:noProof/>
        </w:rPr>
        <w:t xml:space="preserve">of these </w:t>
      </w:r>
      <w:r w:rsidR="53DDDAE5" w:rsidRPr="005A3F47">
        <w:rPr>
          <w:noProof/>
        </w:rPr>
        <w:t>D</w:t>
      </w:r>
      <w:r w:rsidR="0037287F" w:rsidRPr="005A3F47">
        <w:rPr>
          <w:noProof/>
        </w:rPr>
        <w:t xml:space="preserve">irectives </w:t>
      </w:r>
      <w:r w:rsidRPr="005A3F47">
        <w:rPr>
          <w:noProof/>
        </w:rPr>
        <w:t xml:space="preserve">remains crucial for the </w:t>
      </w:r>
      <w:r w:rsidR="002476B2" w:rsidRPr="005A3F47">
        <w:rPr>
          <w:noProof/>
        </w:rPr>
        <w:t xml:space="preserve">good </w:t>
      </w:r>
      <w:r w:rsidRPr="005A3F47">
        <w:rPr>
          <w:noProof/>
        </w:rPr>
        <w:t xml:space="preserve">functioning of the internal market, </w:t>
      </w:r>
      <w:r w:rsidR="003B6A5C" w:rsidRPr="005A3F47">
        <w:rPr>
          <w:noProof/>
        </w:rPr>
        <w:t>the EU faces new challenges. E</w:t>
      </w:r>
      <w:r w:rsidR="001E36B4" w:rsidRPr="005A3F47">
        <w:rPr>
          <w:noProof/>
        </w:rPr>
        <w:t>nhanced</w:t>
      </w:r>
      <w:r w:rsidR="0096215F" w:rsidRPr="005A3F47">
        <w:rPr>
          <w:noProof/>
        </w:rPr>
        <w:t xml:space="preserve"> globalisation</w:t>
      </w:r>
      <w:r w:rsidR="00A12BBD" w:rsidRPr="005A3F47">
        <w:rPr>
          <w:noProof/>
        </w:rPr>
        <w:t>,</w:t>
      </w:r>
      <w:r w:rsidR="0096215F" w:rsidRPr="005A3F47">
        <w:rPr>
          <w:noProof/>
        </w:rPr>
        <w:t xml:space="preserve"> </w:t>
      </w:r>
      <w:r w:rsidR="00887314" w:rsidRPr="005A3F47">
        <w:rPr>
          <w:noProof/>
        </w:rPr>
        <w:t>economic</w:t>
      </w:r>
      <w:r w:rsidR="0096215F" w:rsidRPr="005A3F47">
        <w:rPr>
          <w:noProof/>
        </w:rPr>
        <w:t xml:space="preserve"> developments</w:t>
      </w:r>
      <w:r w:rsidR="00A12BBD" w:rsidRPr="005A3F47">
        <w:rPr>
          <w:noProof/>
        </w:rPr>
        <w:t>, and a</w:t>
      </w:r>
      <w:r w:rsidR="00A364C0" w:rsidRPr="005A3F47">
        <w:rPr>
          <w:noProof/>
        </w:rPr>
        <w:t>n</w:t>
      </w:r>
      <w:r w:rsidR="00A12BBD" w:rsidRPr="005A3F47">
        <w:rPr>
          <w:noProof/>
        </w:rPr>
        <w:t xml:space="preserve"> </w:t>
      </w:r>
      <w:r w:rsidR="00A76B54" w:rsidRPr="005A3F47">
        <w:rPr>
          <w:noProof/>
        </w:rPr>
        <w:t xml:space="preserve">increasingly complex </w:t>
      </w:r>
      <w:r w:rsidR="00A364C0" w:rsidRPr="005A3F47">
        <w:rPr>
          <w:noProof/>
        </w:rPr>
        <w:t>international tax architecture</w:t>
      </w:r>
      <w:r w:rsidR="0096215F" w:rsidRPr="005A3F47">
        <w:rPr>
          <w:noProof/>
        </w:rPr>
        <w:t xml:space="preserve"> </w:t>
      </w:r>
      <w:r w:rsidR="000C2ACA" w:rsidRPr="005A3F47">
        <w:rPr>
          <w:noProof/>
        </w:rPr>
        <w:t>have made it necessary</w:t>
      </w:r>
      <w:r w:rsidR="00887314" w:rsidRPr="005A3F47">
        <w:rPr>
          <w:noProof/>
        </w:rPr>
        <w:t xml:space="preserve"> </w:t>
      </w:r>
      <w:r w:rsidR="009F415F" w:rsidRPr="005A3F47">
        <w:rPr>
          <w:noProof/>
        </w:rPr>
        <w:t xml:space="preserve">to </w:t>
      </w:r>
      <w:r w:rsidR="00B53F9D" w:rsidRPr="005A3F47">
        <w:rPr>
          <w:noProof/>
        </w:rPr>
        <w:t>re</w:t>
      </w:r>
      <w:r w:rsidR="00D718D3" w:rsidRPr="005A3F47">
        <w:rPr>
          <w:noProof/>
        </w:rPr>
        <w:t>visit</w:t>
      </w:r>
      <w:r w:rsidR="00B53F9D" w:rsidRPr="005A3F47">
        <w:rPr>
          <w:noProof/>
        </w:rPr>
        <w:t xml:space="preserve"> </w:t>
      </w:r>
      <w:r w:rsidR="005624BA" w:rsidRPr="005A3F47">
        <w:rPr>
          <w:noProof/>
        </w:rPr>
        <w:t xml:space="preserve">the </w:t>
      </w:r>
      <w:r w:rsidR="0047348C" w:rsidRPr="005A3F47">
        <w:rPr>
          <w:noProof/>
        </w:rPr>
        <w:t>functioning</w:t>
      </w:r>
      <w:r w:rsidR="00CF42E2" w:rsidRPr="005A3F47">
        <w:rPr>
          <w:noProof/>
        </w:rPr>
        <w:t xml:space="preserve"> </w:t>
      </w:r>
      <w:r w:rsidR="002A682A" w:rsidRPr="005A3F47">
        <w:rPr>
          <w:noProof/>
        </w:rPr>
        <w:t>of established rules.</w:t>
      </w:r>
      <w:r w:rsidR="00422A05" w:rsidRPr="005A3F47">
        <w:rPr>
          <w:noProof/>
        </w:rPr>
        <w:t xml:space="preserve"> </w:t>
      </w:r>
      <w:r w:rsidR="0037070E" w:rsidRPr="005A3F47">
        <w:rPr>
          <w:noProof/>
        </w:rPr>
        <w:t>This</w:t>
      </w:r>
      <w:r w:rsidR="00923968" w:rsidRPr="005A3F47">
        <w:rPr>
          <w:noProof/>
        </w:rPr>
        <w:t xml:space="preserve"> issue</w:t>
      </w:r>
      <w:r w:rsidR="0037070E" w:rsidRPr="005A3F47">
        <w:rPr>
          <w:noProof/>
        </w:rPr>
        <w:t xml:space="preserve"> is not </w:t>
      </w:r>
      <w:r w:rsidR="00F62CCA" w:rsidRPr="005A3F47">
        <w:rPr>
          <w:noProof/>
        </w:rPr>
        <w:t xml:space="preserve">specific </w:t>
      </w:r>
      <w:r w:rsidR="00923968" w:rsidRPr="005A3F47">
        <w:rPr>
          <w:noProof/>
        </w:rPr>
        <w:t>to the EU</w:t>
      </w:r>
      <w:r w:rsidR="001E2416" w:rsidRPr="005A3F47">
        <w:rPr>
          <w:noProof/>
        </w:rPr>
        <w:t xml:space="preserve">, </w:t>
      </w:r>
      <w:r w:rsidR="003D4235" w:rsidRPr="005A3F47">
        <w:rPr>
          <w:noProof/>
        </w:rPr>
        <w:t xml:space="preserve">but </w:t>
      </w:r>
      <w:r w:rsidR="001E2416" w:rsidRPr="005A3F47">
        <w:rPr>
          <w:noProof/>
        </w:rPr>
        <w:t>b</w:t>
      </w:r>
      <w:r w:rsidR="00CE510C" w:rsidRPr="005A3F47">
        <w:rPr>
          <w:noProof/>
        </w:rPr>
        <w:t>urdensome</w:t>
      </w:r>
      <w:r w:rsidR="00D11472" w:rsidRPr="005A3F47">
        <w:rPr>
          <w:noProof/>
        </w:rPr>
        <w:t xml:space="preserve"> regulation and administration </w:t>
      </w:r>
      <w:r w:rsidR="0011585E" w:rsidRPr="005A3F47">
        <w:rPr>
          <w:noProof/>
        </w:rPr>
        <w:t>are</w:t>
      </w:r>
      <w:r w:rsidR="00D11472" w:rsidRPr="005A3F47">
        <w:rPr>
          <w:noProof/>
        </w:rPr>
        <w:t xml:space="preserve"> a clog on EU </w:t>
      </w:r>
      <w:r w:rsidR="00777CE7" w:rsidRPr="005A3F47">
        <w:rPr>
          <w:noProof/>
        </w:rPr>
        <w:t xml:space="preserve">growth and </w:t>
      </w:r>
      <w:r w:rsidR="00F5379D" w:rsidRPr="005A3F47">
        <w:rPr>
          <w:noProof/>
        </w:rPr>
        <w:t xml:space="preserve">EU </w:t>
      </w:r>
      <w:r w:rsidR="00D11472" w:rsidRPr="005A3F47">
        <w:rPr>
          <w:noProof/>
        </w:rPr>
        <w:t>competitiveness vis-à-vis third countries. While i</w:t>
      </w:r>
      <w:r w:rsidR="00B0771D" w:rsidRPr="005A3F47">
        <w:rPr>
          <w:noProof/>
        </w:rPr>
        <w:t>t</w:t>
      </w:r>
      <w:r w:rsidR="00D11472" w:rsidRPr="005A3F47">
        <w:rPr>
          <w:noProof/>
        </w:rPr>
        <w:t xml:space="preserve"> would be for the Member States to simplify domestic tax rules, only an EU action can amend the existing </w:t>
      </w:r>
      <w:r w:rsidR="0048150B" w:rsidRPr="005A3F47">
        <w:rPr>
          <w:noProof/>
        </w:rPr>
        <w:t xml:space="preserve">EU direct </w:t>
      </w:r>
      <w:r w:rsidR="00777C4F" w:rsidRPr="005A3F47">
        <w:rPr>
          <w:noProof/>
        </w:rPr>
        <w:t>tax</w:t>
      </w:r>
      <w:r w:rsidR="0048150B" w:rsidRPr="005A3F47">
        <w:rPr>
          <w:noProof/>
        </w:rPr>
        <w:t xml:space="preserve"> acquis </w:t>
      </w:r>
      <w:r w:rsidR="00D11472" w:rsidRPr="005A3F47">
        <w:rPr>
          <w:noProof/>
        </w:rPr>
        <w:t>in accordance with the Treaties</w:t>
      </w:r>
      <w:r w:rsidR="00786A40" w:rsidRPr="005A3F47">
        <w:rPr>
          <w:noProof/>
        </w:rPr>
        <w:t>,</w:t>
      </w:r>
      <w:r w:rsidR="001A5978" w:rsidRPr="005A3F47">
        <w:rPr>
          <w:noProof/>
        </w:rPr>
        <w:t xml:space="preserve"> to simplify and clarify the common rules</w:t>
      </w:r>
      <w:r w:rsidR="00E73984" w:rsidRPr="005A3F47">
        <w:rPr>
          <w:noProof/>
        </w:rPr>
        <w:t xml:space="preserve">, </w:t>
      </w:r>
      <w:r w:rsidR="001A5978" w:rsidRPr="005A3F47">
        <w:rPr>
          <w:noProof/>
        </w:rPr>
        <w:t xml:space="preserve">address </w:t>
      </w:r>
      <w:r w:rsidR="00DF6393" w:rsidRPr="005A3F47">
        <w:rPr>
          <w:noProof/>
        </w:rPr>
        <w:t xml:space="preserve">identified </w:t>
      </w:r>
      <w:r w:rsidR="00504F06" w:rsidRPr="005A3F47">
        <w:rPr>
          <w:noProof/>
        </w:rPr>
        <w:t>challenges</w:t>
      </w:r>
      <w:r w:rsidR="00E73984" w:rsidRPr="005A3F47">
        <w:rPr>
          <w:noProof/>
        </w:rPr>
        <w:t>,</w:t>
      </w:r>
      <w:r w:rsidR="00504F06" w:rsidRPr="005A3F47">
        <w:rPr>
          <w:noProof/>
        </w:rPr>
        <w:t xml:space="preserve"> and </w:t>
      </w:r>
      <w:r w:rsidR="00FB462B" w:rsidRPr="005A3F47">
        <w:rPr>
          <w:noProof/>
        </w:rPr>
        <w:t xml:space="preserve">thus </w:t>
      </w:r>
      <w:r w:rsidR="001A5978" w:rsidRPr="005A3F47">
        <w:rPr>
          <w:noProof/>
        </w:rPr>
        <w:t>enhanc</w:t>
      </w:r>
      <w:r w:rsidR="00E73984" w:rsidRPr="005A3F47">
        <w:rPr>
          <w:noProof/>
        </w:rPr>
        <w:t>e</w:t>
      </w:r>
      <w:r w:rsidR="001A5978" w:rsidRPr="005A3F47">
        <w:rPr>
          <w:noProof/>
        </w:rPr>
        <w:t xml:space="preserve"> the competitiveness of EU </w:t>
      </w:r>
      <w:r w:rsidR="000568F2" w:rsidRPr="005A3F47">
        <w:rPr>
          <w:noProof/>
        </w:rPr>
        <w:t>businesses</w:t>
      </w:r>
      <w:r w:rsidR="00D11472" w:rsidRPr="005A3F47">
        <w:rPr>
          <w:noProof/>
        </w:rPr>
        <w:t>. As a result, the objectives of the Omnibus on Taxation cannot be achieved sufficiently by the Member States acting alone.</w:t>
      </w:r>
    </w:p>
    <w:p w14:paraId="6ACE5DB8" w14:textId="0241D589" w:rsidR="000A794E" w:rsidRPr="005A3F47" w:rsidRDefault="00ED7F27" w:rsidP="00D11472">
      <w:pPr>
        <w:rPr>
          <w:noProof/>
        </w:rPr>
      </w:pPr>
      <w:r w:rsidRPr="005A3F47">
        <w:rPr>
          <w:noProof/>
        </w:rPr>
        <w:t>Finally, in accordance with</w:t>
      </w:r>
      <w:r w:rsidR="005C0DE6" w:rsidRPr="005A3F47">
        <w:rPr>
          <w:noProof/>
        </w:rPr>
        <w:t xml:space="preserve"> the </w:t>
      </w:r>
      <w:r w:rsidRPr="005A3F47">
        <w:rPr>
          <w:noProof/>
        </w:rPr>
        <w:t>principle of proportional</w:t>
      </w:r>
      <w:r w:rsidR="00F048BE" w:rsidRPr="005A3F47">
        <w:rPr>
          <w:noProof/>
        </w:rPr>
        <w:t>ity, t</w:t>
      </w:r>
      <w:r w:rsidR="00422D89" w:rsidRPr="005A3F47">
        <w:rPr>
          <w:noProof/>
        </w:rPr>
        <w:t xml:space="preserve">he Omnibus on Taxation </w:t>
      </w:r>
      <w:r w:rsidR="004C6535" w:rsidRPr="005A3F47">
        <w:rPr>
          <w:noProof/>
        </w:rPr>
        <w:t>will</w:t>
      </w:r>
      <w:r w:rsidR="000A794E" w:rsidRPr="005A3F47">
        <w:rPr>
          <w:noProof/>
        </w:rPr>
        <w:t xml:space="preserve"> focus on the </w:t>
      </w:r>
      <w:r w:rsidR="00A3102D" w:rsidRPr="005A3F47">
        <w:rPr>
          <w:noProof/>
        </w:rPr>
        <w:t xml:space="preserve">simplification of </w:t>
      </w:r>
      <w:r w:rsidR="00210210" w:rsidRPr="005A3F47">
        <w:rPr>
          <w:noProof/>
        </w:rPr>
        <w:t>existing</w:t>
      </w:r>
      <w:r w:rsidR="000A794E" w:rsidRPr="005A3F47">
        <w:rPr>
          <w:noProof/>
        </w:rPr>
        <w:t xml:space="preserve"> </w:t>
      </w:r>
      <w:r w:rsidR="00F825B2" w:rsidRPr="005A3F47">
        <w:rPr>
          <w:noProof/>
        </w:rPr>
        <w:t xml:space="preserve">EU </w:t>
      </w:r>
      <w:r w:rsidR="000A794E" w:rsidRPr="005A3F47">
        <w:rPr>
          <w:noProof/>
        </w:rPr>
        <w:t xml:space="preserve">rules that are linked to identified problems </w:t>
      </w:r>
      <w:r w:rsidR="00414536" w:rsidRPr="005A3F47">
        <w:rPr>
          <w:noProof/>
        </w:rPr>
        <w:t>(Section 2.1)</w:t>
      </w:r>
      <w:r w:rsidR="000A794E" w:rsidRPr="005A3F47">
        <w:rPr>
          <w:noProof/>
        </w:rPr>
        <w:t xml:space="preserve"> which could only be addressed by legislative action. Other problems that have been identified in the stakeholder consultations or in the ATAD evaluation, </w:t>
      </w:r>
      <w:r w:rsidR="00EC1667" w:rsidRPr="005A3F47">
        <w:rPr>
          <w:noProof/>
        </w:rPr>
        <w:t>e.g., related to Exit Taxation Rules</w:t>
      </w:r>
      <w:r w:rsidR="000A794E" w:rsidRPr="005A3F47">
        <w:rPr>
          <w:noProof/>
        </w:rPr>
        <w:t xml:space="preserve"> </w:t>
      </w:r>
      <w:r w:rsidR="00A73A17" w:rsidRPr="005A3F47">
        <w:rPr>
          <w:noProof/>
        </w:rPr>
        <w:t>or the General-Anti Abuse Rule (GAAR) in ATAD,</w:t>
      </w:r>
      <w:r w:rsidR="002E65B6" w:rsidRPr="005A3F47">
        <w:rPr>
          <w:rStyle w:val="FootnoteReference"/>
          <w:noProof/>
        </w:rPr>
        <w:footnoteReference w:id="52"/>
      </w:r>
      <w:r w:rsidR="000A794E" w:rsidRPr="005A3F47">
        <w:rPr>
          <w:noProof/>
        </w:rPr>
        <w:t xml:space="preserve"> </w:t>
      </w:r>
      <w:r w:rsidR="00A73A17" w:rsidRPr="005A3F47">
        <w:rPr>
          <w:noProof/>
        </w:rPr>
        <w:t>which</w:t>
      </w:r>
      <w:r w:rsidR="000A794E" w:rsidRPr="005A3F47">
        <w:rPr>
          <w:noProof/>
        </w:rPr>
        <w:t xml:space="preserve"> could be addressed by soft law initiatives, such as administrative guidance, will not </w:t>
      </w:r>
      <w:r w:rsidR="00A73A17" w:rsidRPr="005A3F47">
        <w:rPr>
          <w:noProof/>
        </w:rPr>
        <w:t xml:space="preserve">be considered </w:t>
      </w:r>
      <w:r w:rsidR="00D14F2D" w:rsidRPr="005A3F47">
        <w:rPr>
          <w:noProof/>
        </w:rPr>
        <w:t>further</w:t>
      </w:r>
      <w:r w:rsidR="00D1292E" w:rsidRPr="005A3F47">
        <w:rPr>
          <w:noProof/>
        </w:rPr>
        <w:t xml:space="preserve"> in this respect</w:t>
      </w:r>
      <w:r w:rsidR="000A794E" w:rsidRPr="005A3F47">
        <w:rPr>
          <w:noProof/>
        </w:rPr>
        <w:t xml:space="preserve">. </w:t>
      </w:r>
      <w:r w:rsidR="006F064E" w:rsidRPr="005A3F47">
        <w:rPr>
          <w:noProof/>
        </w:rPr>
        <w:t xml:space="preserve">EU action will thus be limited to </w:t>
      </w:r>
      <w:r w:rsidR="00F357A3" w:rsidRPr="005A3F47">
        <w:rPr>
          <w:noProof/>
        </w:rPr>
        <w:t>what is necessary to ensure the functioning of the internal market.</w:t>
      </w:r>
    </w:p>
    <w:p w14:paraId="597DB56E" w14:textId="0E42EF65" w:rsidR="006B087E" w:rsidRPr="005A3F47" w:rsidRDefault="00AE1C73" w:rsidP="00E1727D">
      <w:pPr>
        <w:pStyle w:val="Heading2"/>
        <w:numPr>
          <w:ilvl w:val="1"/>
          <w:numId w:val="185"/>
        </w:numPr>
        <w:rPr>
          <w:noProof/>
        </w:rPr>
      </w:pPr>
      <w:bookmarkStart w:id="48" w:name="_Toc226466808"/>
      <w:bookmarkStart w:id="49" w:name="_Toc226467169"/>
      <w:bookmarkStart w:id="50" w:name="_Toc226467269"/>
      <w:bookmarkStart w:id="51" w:name="_Toc226467488"/>
      <w:r w:rsidRPr="005A3F47">
        <w:rPr>
          <w:noProof/>
        </w:rPr>
        <w:t xml:space="preserve"> </w:t>
      </w:r>
      <w:r w:rsidR="006B087E" w:rsidRPr="005A3F47">
        <w:rPr>
          <w:noProof/>
        </w:rPr>
        <w:t>Subsidiarity: Added value of EU action</w:t>
      </w:r>
      <w:bookmarkEnd w:id="48"/>
      <w:bookmarkEnd w:id="49"/>
      <w:bookmarkEnd w:id="50"/>
      <w:bookmarkEnd w:id="51"/>
    </w:p>
    <w:p w14:paraId="7341BB95" w14:textId="6C8E86AC" w:rsidR="00E66C5F" w:rsidRPr="005A3F47" w:rsidRDefault="002330E8" w:rsidP="00E66C5F">
      <w:pPr>
        <w:rPr>
          <w:noProof/>
        </w:rPr>
      </w:pPr>
      <w:r w:rsidRPr="005A3F47">
        <w:rPr>
          <w:noProof/>
        </w:rPr>
        <w:t xml:space="preserve">Action at the EU level would bring significant benefits to both businesses and tax administrations. </w:t>
      </w:r>
      <w:r w:rsidR="00D5043D" w:rsidRPr="005A3F47">
        <w:rPr>
          <w:noProof/>
        </w:rPr>
        <w:t xml:space="preserve">The Omnibus </w:t>
      </w:r>
      <w:r w:rsidR="797C9058" w:rsidRPr="005A3F47">
        <w:rPr>
          <w:noProof/>
        </w:rPr>
        <w:t>o</w:t>
      </w:r>
      <w:r w:rsidR="006C4F59" w:rsidRPr="005A3F47">
        <w:rPr>
          <w:noProof/>
        </w:rPr>
        <w:t xml:space="preserve">n </w:t>
      </w:r>
      <w:r w:rsidR="757A842A" w:rsidRPr="005A3F47">
        <w:rPr>
          <w:noProof/>
        </w:rPr>
        <w:t>T</w:t>
      </w:r>
      <w:r w:rsidR="00D5043D" w:rsidRPr="005A3F47">
        <w:rPr>
          <w:noProof/>
        </w:rPr>
        <w:t xml:space="preserve">axation </w:t>
      </w:r>
      <w:r w:rsidR="00636953" w:rsidRPr="005A3F47">
        <w:rPr>
          <w:noProof/>
        </w:rPr>
        <w:t>will be designed to tackle problems</w:t>
      </w:r>
      <w:r w:rsidR="00A374E7" w:rsidRPr="005A3F47">
        <w:rPr>
          <w:noProof/>
        </w:rPr>
        <w:t xml:space="preserve"> with the existing </w:t>
      </w:r>
      <w:r w:rsidR="0041079B" w:rsidRPr="005A3F47">
        <w:rPr>
          <w:noProof/>
        </w:rPr>
        <w:t xml:space="preserve">direct taxation </w:t>
      </w:r>
      <w:r w:rsidR="552A0B38" w:rsidRPr="005A3F47">
        <w:rPr>
          <w:noProof/>
        </w:rPr>
        <w:t>D</w:t>
      </w:r>
      <w:r w:rsidR="0041079B" w:rsidRPr="005A3F47">
        <w:rPr>
          <w:noProof/>
        </w:rPr>
        <w:t>irectives</w:t>
      </w:r>
      <w:r w:rsidR="00636953" w:rsidRPr="005A3F47">
        <w:rPr>
          <w:noProof/>
        </w:rPr>
        <w:t xml:space="preserve"> which were identified in extensive consultations with Member States and private stakeholders</w:t>
      </w:r>
      <w:r w:rsidR="003328D9" w:rsidRPr="005A3F47">
        <w:rPr>
          <w:noProof/>
        </w:rPr>
        <w:t>,</w:t>
      </w:r>
      <w:r w:rsidR="00636953" w:rsidRPr="005A3F47">
        <w:rPr>
          <w:b/>
          <w:bCs/>
          <w:noProof/>
        </w:rPr>
        <w:t xml:space="preserve"> </w:t>
      </w:r>
      <w:r w:rsidR="00636953" w:rsidRPr="005A3F47">
        <w:rPr>
          <w:noProof/>
        </w:rPr>
        <w:t xml:space="preserve">and </w:t>
      </w:r>
      <w:r w:rsidR="003328D9" w:rsidRPr="005A3F47">
        <w:rPr>
          <w:noProof/>
        </w:rPr>
        <w:t xml:space="preserve">it will </w:t>
      </w:r>
      <w:r w:rsidR="00636953" w:rsidRPr="005A3F47">
        <w:rPr>
          <w:noProof/>
        </w:rPr>
        <w:t>build on the results of ATAD evaluation</w:t>
      </w:r>
      <w:r w:rsidR="00CF4331" w:rsidRPr="005A3F47">
        <w:rPr>
          <w:rStyle w:val="FootnoteReference"/>
          <w:noProof/>
        </w:rPr>
        <w:footnoteReference w:id="53"/>
      </w:r>
      <w:r w:rsidR="00636953" w:rsidRPr="005A3F47">
        <w:rPr>
          <w:noProof/>
        </w:rPr>
        <w:t xml:space="preserve">. </w:t>
      </w:r>
      <w:r w:rsidR="00FA4FF0" w:rsidRPr="005A3F47">
        <w:rPr>
          <w:noProof/>
        </w:rPr>
        <w:t xml:space="preserve">The </w:t>
      </w:r>
      <w:r w:rsidR="00636953" w:rsidRPr="005A3F47">
        <w:rPr>
          <w:noProof/>
        </w:rPr>
        <w:t>inten</w:t>
      </w:r>
      <w:r w:rsidR="00FA4FF0" w:rsidRPr="005A3F47">
        <w:rPr>
          <w:noProof/>
        </w:rPr>
        <w:t>tion is</w:t>
      </w:r>
      <w:r w:rsidR="00636953" w:rsidRPr="005A3F47">
        <w:rPr>
          <w:noProof/>
        </w:rPr>
        <w:t xml:space="preserve"> to remove overlapping or potentially now superfluous rules</w:t>
      </w:r>
      <w:r w:rsidR="00FF0179" w:rsidRPr="005A3F47">
        <w:rPr>
          <w:noProof/>
        </w:rPr>
        <w:t>, streamline procedures</w:t>
      </w:r>
      <w:r w:rsidR="00636953" w:rsidRPr="005A3F47">
        <w:rPr>
          <w:noProof/>
        </w:rPr>
        <w:t xml:space="preserve">, further prevent </w:t>
      </w:r>
      <w:r w:rsidR="238796B9" w:rsidRPr="005A3F47">
        <w:rPr>
          <w:noProof/>
        </w:rPr>
        <w:t xml:space="preserve">and </w:t>
      </w:r>
      <w:r w:rsidR="00636953" w:rsidRPr="005A3F47">
        <w:rPr>
          <w:noProof/>
        </w:rPr>
        <w:t xml:space="preserve">address instances of double taxation and distortions, clarify concepts, eliminate outdated provisions, and address the inconsistent or divergent application of certain tax rules across </w:t>
      </w:r>
      <w:r w:rsidR="00065A5E" w:rsidRPr="005A3F47">
        <w:rPr>
          <w:noProof/>
        </w:rPr>
        <w:t xml:space="preserve">the </w:t>
      </w:r>
      <w:r w:rsidR="00636953" w:rsidRPr="005A3F47">
        <w:rPr>
          <w:noProof/>
        </w:rPr>
        <w:t>Member States.</w:t>
      </w:r>
    </w:p>
    <w:p w14:paraId="3D9DA34A" w14:textId="073F3A4B" w:rsidR="00C279D8" w:rsidRPr="005A3F47" w:rsidRDefault="00977A7B" w:rsidP="00E66C5F">
      <w:pPr>
        <w:rPr>
          <w:noProof/>
        </w:rPr>
      </w:pPr>
      <w:r w:rsidRPr="005A3F47">
        <w:rPr>
          <w:noProof/>
        </w:rPr>
        <w:t xml:space="preserve">On the basis of the Omnibus </w:t>
      </w:r>
      <w:r w:rsidR="306B8A7C" w:rsidRPr="005A3F47">
        <w:rPr>
          <w:noProof/>
        </w:rPr>
        <w:t>on Taxation</w:t>
      </w:r>
      <w:r w:rsidRPr="005A3F47">
        <w:rPr>
          <w:noProof/>
        </w:rPr>
        <w:t xml:space="preserve"> </w:t>
      </w:r>
      <w:r w:rsidR="00FC48E8" w:rsidRPr="005A3F47">
        <w:rPr>
          <w:noProof/>
        </w:rPr>
        <w:t>proposal</w:t>
      </w:r>
      <w:r w:rsidR="00FC1278" w:rsidRPr="005A3F47">
        <w:rPr>
          <w:noProof/>
        </w:rPr>
        <w:t xml:space="preserve">, </w:t>
      </w:r>
      <w:r w:rsidR="00362421" w:rsidRPr="005A3F47">
        <w:rPr>
          <w:noProof/>
        </w:rPr>
        <w:t xml:space="preserve">EU tax rules </w:t>
      </w:r>
      <w:r w:rsidR="00766F83" w:rsidRPr="005A3F47">
        <w:rPr>
          <w:noProof/>
        </w:rPr>
        <w:t>and procedures</w:t>
      </w:r>
      <w:r w:rsidR="00362421" w:rsidRPr="005A3F47">
        <w:rPr>
          <w:noProof/>
        </w:rPr>
        <w:t xml:space="preserve"> should become c</w:t>
      </w:r>
      <w:r w:rsidR="002B52D5" w:rsidRPr="005A3F47">
        <w:rPr>
          <w:noProof/>
        </w:rPr>
        <w:t xml:space="preserve">learer and </w:t>
      </w:r>
      <w:r w:rsidR="00362421" w:rsidRPr="005A3F47">
        <w:rPr>
          <w:noProof/>
        </w:rPr>
        <w:t xml:space="preserve">simpler making it </w:t>
      </w:r>
      <w:r w:rsidR="00E45265" w:rsidRPr="005A3F47">
        <w:rPr>
          <w:noProof/>
        </w:rPr>
        <w:t xml:space="preserve">easier </w:t>
      </w:r>
      <w:r w:rsidR="009B2536" w:rsidRPr="005A3F47">
        <w:rPr>
          <w:noProof/>
        </w:rPr>
        <w:t>and</w:t>
      </w:r>
      <w:r w:rsidR="0092343E" w:rsidRPr="005A3F47">
        <w:rPr>
          <w:noProof/>
        </w:rPr>
        <w:t>,</w:t>
      </w:r>
      <w:r w:rsidR="009B2536" w:rsidRPr="005A3F47">
        <w:rPr>
          <w:noProof/>
        </w:rPr>
        <w:t xml:space="preserve"> thereby, less costly </w:t>
      </w:r>
      <w:r w:rsidR="007D4044" w:rsidRPr="005A3F47">
        <w:rPr>
          <w:noProof/>
        </w:rPr>
        <w:t xml:space="preserve">for businesses to operate </w:t>
      </w:r>
      <w:r w:rsidR="00023255" w:rsidRPr="005A3F47">
        <w:rPr>
          <w:noProof/>
        </w:rPr>
        <w:t>or expand</w:t>
      </w:r>
      <w:r w:rsidR="007D4044" w:rsidRPr="005A3F47">
        <w:rPr>
          <w:noProof/>
        </w:rPr>
        <w:t xml:space="preserve"> </w:t>
      </w:r>
      <w:r w:rsidR="00906161" w:rsidRPr="005A3F47">
        <w:rPr>
          <w:noProof/>
        </w:rPr>
        <w:t>cross-border</w:t>
      </w:r>
      <w:r w:rsidR="00BA1C4F" w:rsidRPr="005A3F47">
        <w:rPr>
          <w:noProof/>
        </w:rPr>
        <w:t xml:space="preserve">. </w:t>
      </w:r>
      <w:r w:rsidR="00513B4B" w:rsidRPr="005A3F47">
        <w:rPr>
          <w:noProof/>
        </w:rPr>
        <w:t>T</w:t>
      </w:r>
      <w:r w:rsidR="00BA1C4F" w:rsidRPr="005A3F47">
        <w:rPr>
          <w:noProof/>
        </w:rPr>
        <w:t>his</w:t>
      </w:r>
      <w:r w:rsidR="00021929" w:rsidRPr="005A3F47">
        <w:rPr>
          <w:noProof/>
        </w:rPr>
        <w:t xml:space="preserve"> </w:t>
      </w:r>
      <w:r w:rsidR="00D67A8E" w:rsidRPr="005A3F47">
        <w:rPr>
          <w:noProof/>
        </w:rPr>
        <w:t xml:space="preserve">would allow </w:t>
      </w:r>
      <w:r w:rsidR="009F7B75" w:rsidRPr="005A3F47">
        <w:rPr>
          <w:noProof/>
        </w:rPr>
        <w:t xml:space="preserve">for </w:t>
      </w:r>
      <w:r w:rsidR="00E32F75" w:rsidRPr="005A3F47">
        <w:rPr>
          <w:noProof/>
        </w:rPr>
        <w:t>a better</w:t>
      </w:r>
      <w:r w:rsidR="009F7B75" w:rsidRPr="005A3F47">
        <w:rPr>
          <w:noProof/>
        </w:rPr>
        <w:t xml:space="preserve"> </w:t>
      </w:r>
      <w:r w:rsidR="00CB7FB4" w:rsidRPr="005A3F47">
        <w:rPr>
          <w:noProof/>
        </w:rPr>
        <w:t>utilisation</w:t>
      </w:r>
      <w:r w:rsidR="00240AE7" w:rsidRPr="005A3F47">
        <w:rPr>
          <w:noProof/>
        </w:rPr>
        <w:t xml:space="preserve"> of the </w:t>
      </w:r>
      <w:r w:rsidR="00864E2F" w:rsidRPr="005A3F47">
        <w:rPr>
          <w:noProof/>
        </w:rPr>
        <w:t>potential of the internal market</w:t>
      </w:r>
      <w:r w:rsidR="00BA1C4F" w:rsidRPr="005A3F47">
        <w:rPr>
          <w:noProof/>
        </w:rPr>
        <w:t xml:space="preserve"> and</w:t>
      </w:r>
      <w:r w:rsidR="00864E2F" w:rsidRPr="005A3F47">
        <w:rPr>
          <w:noProof/>
        </w:rPr>
        <w:t xml:space="preserve"> sho</w:t>
      </w:r>
      <w:r w:rsidR="00797743" w:rsidRPr="005A3F47">
        <w:rPr>
          <w:noProof/>
        </w:rPr>
        <w:t xml:space="preserve">uld also make it </w:t>
      </w:r>
      <w:r w:rsidR="00743349" w:rsidRPr="005A3F47">
        <w:rPr>
          <w:noProof/>
        </w:rPr>
        <w:t xml:space="preserve">more attractive to establish </w:t>
      </w:r>
      <w:r w:rsidR="008A65C9" w:rsidRPr="005A3F47">
        <w:rPr>
          <w:noProof/>
        </w:rPr>
        <w:t xml:space="preserve">businesses </w:t>
      </w:r>
      <w:r w:rsidR="00797743" w:rsidRPr="005A3F47">
        <w:rPr>
          <w:noProof/>
        </w:rPr>
        <w:t xml:space="preserve">and invest in businesses </w:t>
      </w:r>
      <w:r w:rsidR="00001B34" w:rsidRPr="005A3F47">
        <w:rPr>
          <w:noProof/>
        </w:rPr>
        <w:t>in the internal market</w:t>
      </w:r>
      <w:r w:rsidR="00B561AC" w:rsidRPr="005A3F47">
        <w:rPr>
          <w:noProof/>
        </w:rPr>
        <w:t>.</w:t>
      </w:r>
      <w:r w:rsidR="00B30908" w:rsidRPr="005A3F47">
        <w:rPr>
          <w:noProof/>
        </w:rPr>
        <w:t xml:space="preserve"> </w:t>
      </w:r>
      <w:r w:rsidR="00705148" w:rsidRPr="005A3F47">
        <w:rPr>
          <w:noProof/>
        </w:rPr>
        <w:t>F</w:t>
      </w:r>
      <w:r w:rsidR="00906161" w:rsidRPr="005A3F47">
        <w:rPr>
          <w:noProof/>
        </w:rPr>
        <w:t>or tax administrations</w:t>
      </w:r>
      <w:r w:rsidR="00705148" w:rsidRPr="005A3F47">
        <w:rPr>
          <w:noProof/>
        </w:rPr>
        <w:t>,</w:t>
      </w:r>
      <w:r w:rsidR="00906161" w:rsidRPr="005A3F47">
        <w:rPr>
          <w:noProof/>
        </w:rPr>
        <w:t xml:space="preserve"> </w:t>
      </w:r>
      <w:r w:rsidR="00FF43E7" w:rsidRPr="005A3F47">
        <w:rPr>
          <w:noProof/>
        </w:rPr>
        <w:t xml:space="preserve">simpler rules </w:t>
      </w:r>
      <w:r w:rsidR="00104C7E" w:rsidRPr="005A3F47">
        <w:rPr>
          <w:noProof/>
        </w:rPr>
        <w:t xml:space="preserve">and streamlined procedures should </w:t>
      </w:r>
      <w:r w:rsidR="00131401" w:rsidRPr="005A3F47">
        <w:rPr>
          <w:noProof/>
        </w:rPr>
        <w:t xml:space="preserve">ease </w:t>
      </w:r>
      <w:r w:rsidR="009D0081" w:rsidRPr="005A3F47">
        <w:rPr>
          <w:noProof/>
        </w:rPr>
        <w:t>the</w:t>
      </w:r>
      <w:r w:rsidR="00541117" w:rsidRPr="005A3F47">
        <w:rPr>
          <w:noProof/>
        </w:rPr>
        <w:t>ir</w:t>
      </w:r>
      <w:r w:rsidR="009D0081" w:rsidRPr="005A3F47">
        <w:rPr>
          <w:noProof/>
        </w:rPr>
        <w:t xml:space="preserve"> work related to </w:t>
      </w:r>
      <w:r w:rsidR="002A05B4" w:rsidRPr="005A3F47">
        <w:rPr>
          <w:noProof/>
        </w:rPr>
        <w:t xml:space="preserve">tax </w:t>
      </w:r>
      <w:r w:rsidR="000445C0" w:rsidRPr="005A3F47">
        <w:rPr>
          <w:noProof/>
        </w:rPr>
        <w:t>control</w:t>
      </w:r>
      <w:r w:rsidR="00F41D5C" w:rsidRPr="005A3F47">
        <w:rPr>
          <w:noProof/>
        </w:rPr>
        <w:t>s and audits</w:t>
      </w:r>
      <w:r w:rsidR="009D0081" w:rsidRPr="005A3F47">
        <w:rPr>
          <w:noProof/>
        </w:rPr>
        <w:t xml:space="preserve"> and</w:t>
      </w:r>
      <w:r w:rsidR="007E4BC2" w:rsidRPr="005A3F47">
        <w:rPr>
          <w:noProof/>
        </w:rPr>
        <w:t>, ultimately, lead to fewer disputes</w:t>
      </w:r>
      <w:r w:rsidR="00B30908" w:rsidRPr="005A3F47">
        <w:rPr>
          <w:noProof/>
        </w:rPr>
        <w:t xml:space="preserve"> and a reduction in </w:t>
      </w:r>
      <w:r w:rsidR="006E1CDA" w:rsidRPr="005A3F47">
        <w:rPr>
          <w:noProof/>
        </w:rPr>
        <w:t xml:space="preserve">administrative </w:t>
      </w:r>
      <w:r w:rsidR="00B30908" w:rsidRPr="005A3F47">
        <w:rPr>
          <w:noProof/>
        </w:rPr>
        <w:t>costs.</w:t>
      </w:r>
    </w:p>
    <w:p w14:paraId="46A614C7" w14:textId="32D153B8" w:rsidR="006B087E" w:rsidRPr="005A3F47" w:rsidRDefault="00513B4B" w:rsidP="000E3086">
      <w:pPr>
        <w:rPr>
          <w:noProof/>
        </w:rPr>
      </w:pPr>
      <w:r w:rsidRPr="005A3F47">
        <w:rPr>
          <w:noProof/>
        </w:rPr>
        <w:t xml:space="preserve">The Omnibus </w:t>
      </w:r>
      <w:r w:rsidR="67636283" w:rsidRPr="005A3F47">
        <w:rPr>
          <w:noProof/>
        </w:rPr>
        <w:t>on Taxation</w:t>
      </w:r>
      <w:r w:rsidRPr="005A3F47">
        <w:rPr>
          <w:noProof/>
        </w:rPr>
        <w:t xml:space="preserve"> </w:t>
      </w:r>
      <w:r w:rsidR="00832BA0" w:rsidRPr="005A3F47">
        <w:rPr>
          <w:noProof/>
        </w:rPr>
        <w:t>proposal</w:t>
      </w:r>
      <w:r w:rsidRPr="005A3F47">
        <w:rPr>
          <w:noProof/>
        </w:rPr>
        <w:t xml:space="preserve"> should also be seen in conjunction with the DAC </w:t>
      </w:r>
      <w:r w:rsidR="004A1A85" w:rsidRPr="005A3F47">
        <w:rPr>
          <w:noProof/>
        </w:rPr>
        <w:t>R</w:t>
      </w:r>
      <w:r w:rsidRPr="005A3F47">
        <w:rPr>
          <w:noProof/>
        </w:rPr>
        <w:t>ecast</w:t>
      </w:r>
      <w:r w:rsidR="00FC351A" w:rsidRPr="005A3F47">
        <w:rPr>
          <w:noProof/>
        </w:rPr>
        <w:t>,</w:t>
      </w:r>
      <w:r w:rsidRPr="005A3F47">
        <w:rPr>
          <w:noProof/>
        </w:rPr>
        <w:t xml:space="preserve"> which entails simplification of certain reporting obligations and procedures</w:t>
      </w:r>
      <w:r w:rsidR="00C96E6E" w:rsidRPr="005A3F47">
        <w:rPr>
          <w:noProof/>
        </w:rPr>
        <w:t>. Altogether</w:t>
      </w:r>
      <w:r w:rsidR="00787217" w:rsidRPr="005A3F47">
        <w:rPr>
          <w:noProof/>
        </w:rPr>
        <w:t>,</w:t>
      </w:r>
      <w:r w:rsidR="00C96E6E" w:rsidRPr="005A3F47">
        <w:rPr>
          <w:noProof/>
        </w:rPr>
        <w:t xml:space="preserve"> the </w:t>
      </w:r>
      <w:r w:rsidR="00B308E5" w:rsidRPr="005A3F47">
        <w:rPr>
          <w:noProof/>
        </w:rPr>
        <w:t>initiative</w:t>
      </w:r>
      <w:r w:rsidR="00111D6E" w:rsidRPr="005A3F47">
        <w:rPr>
          <w:noProof/>
        </w:rPr>
        <w:t>s</w:t>
      </w:r>
      <w:r w:rsidR="005F3B2C" w:rsidRPr="005A3F47">
        <w:rPr>
          <w:noProof/>
        </w:rPr>
        <w:t xml:space="preserve"> would </w:t>
      </w:r>
      <w:r w:rsidR="00121A4F" w:rsidRPr="005A3F47">
        <w:rPr>
          <w:noProof/>
        </w:rPr>
        <w:t>entail</w:t>
      </w:r>
      <w:r w:rsidR="00B308E5" w:rsidRPr="005A3F47">
        <w:rPr>
          <w:noProof/>
        </w:rPr>
        <w:t xml:space="preserve"> </w:t>
      </w:r>
      <w:r w:rsidR="00121A4F" w:rsidRPr="005A3F47">
        <w:rPr>
          <w:noProof/>
        </w:rPr>
        <w:t xml:space="preserve">coordinated and </w:t>
      </w:r>
      <w:r w:rsidR="00B308E5" w:rsidRPr="005A3F47">
        <w:rPr>
          <w:noProof/>
        </w:rPr>
        <w:t>comprehensive action</w:t>
      </w:r>
      <w:r w:rsidR="00121A4F" w:rsidRPr="005A3F47">
        <w:rPr>
          <w:noProof/>
        </w:rPr>
        <w:t>s</w:t>
      </w:r>
      <w:r w:rsidR="00947D47" w:rsidRPr="005A3F47">
        <w:rPr>
          <w:noProof/>
        </w:rPr>
        <w:t xml:space="preserve"> </w:t>
      </w:r>
      <w:r w:rsidR="00121A4F" w:rsidRPr="005A3F47">
        <w:rPr>
          <w:noProof/>
        </w:rPr>
        <w:t>ensuring that</w:t>
      </w:r>
      <w:r w:rsidR="005F3B2C" w:rsidRPr="005A3F47">
        <w:rPr>
          <w:noProof/>
        </w:rPr>
        <w:t xml:space="preserve"> both</w:t>
      </w:r>
      <w:r w:rsidR="00D31C2F" w:rsidRPr="005A3F47">
        <w:rPr>
          <w:noProof/>
        </w:rPr>
        <w:t xml:space="preserve"> material tax rules and </w:t>
      </w:r>
      <w:r w:rsidR="00BA34E7" w:rsidRPr="005A3F47">
        <w:rPr>
          <w:noProof/>
        </w:rPr>
        <w:t xml:space="preserve">the exchange of information framework </w:t>
      </w:r>
      <w:r w:rsidR="00D4367A" w:rsidRPr="005A3F47">
        <w:rPr>
          <w:noProof/>
        </w:rPr>
        <w:t>are</w:t>
      </w:r>
      <w:r w:rsidR="00BA34E7" w:rsidRPr="005A3F47">
        <w:rPr>
          <w:noProof/>
        </w:rPr>
        <w:t xml:space="preserve"> up-to-date and fit for purpose</w:t>
      </w:r>
      <w:r w:rsidRPr="005A3F47">
        <w:rPr>
          <w:noProof/>
        </w:rPr>
        <w:t>.</w:t>
      </w:r>
    </w:p>
    <w:p w14:paraId="6C77EBA2" w14:textId="29EBBBA5" w:rsidR="006B087E" w:rsidRPr="005A3F47" w:rsidRDefault="006B087E" w:rsidP="00FD7621">
      <w:pPr>
        <w:pStyle w:val="Heading1"/>
        <w:numPr>
          <w:ilvl w:val="0"/>
          <w:numId w:val="185"/>
        </w:numPr>
        <w:rPr>
          <w:noProof/>
        </w:rPr>
      </w:pPr>
      <w:bookmarkStart w:id="52" w:name="_Ref226464278"/>
      <w:bookmarkStart w:id="53" w:name="_Toc226466600"/>
      <w:bookmarkStart w:id="54" w:name="_Toc226466809"/>
      <w:bookmarkStart w:id="55" w:name="_Toc226467170"/>
      <w:bookmarkStart w:id="56" w:name="_Toc226467270"/>
      <w:bookmarkStart w:id="57" w:name="_Toc226467489"/>
      <w:bookmarkStart w:id="58" w:name="_Toc230258043"/>
      <w:r w:rsidRPr="005A3F47">
        <w:rPr>
          <w:noProof/>
        </w:rPr>
        <w:t>Objectives: What is to be achieved?</w:t>
      </w:r>
      <w:bookmarkEnd w:id="52"/>
      <w:bookmarkEnd w:id="53"/>
      <w:bookmarkEnd w:id="54"/>
      <w:bookmarkEnd w:id="55"/>
      <w:bookmarkEnd w:id="56"/>
      <w:bookmarkEnd w:id="57"/>
      <w:bookmarkEnd w:id="58"/>
    </w:p>
    <w:p w14:paraId="1C7CBBF0" w14:textId="4D529BD1" w:rsidR="00876C72" w:rsidRPr="005A3F47" w:rsidRDefault="00876C72" w:rsidP="00EB29DB">
      <w:pPr>
        <w:rPr>
          <w:noProof/>
        </w:rPr>
      </w:pPr>
      <w:r w:rsidRPr="005A3F47">
        <w:rPr>
          <w:noProof/>
        </w:rPr>
        <w:t xml:space="preserve">This section outlines the general </w:t>
      </w:r>
      <w:r w:rsidR="00EB29DB" w:rsidRPr="005A3F47">
        <w:rPr>
          <w:noProof/>
        </w:rPr>
        <w:t>objectives, which are the</w:t>
      </w:r>
      <w:r w:rsidR="006E0AFA" w:rsidRPr="005A3F47">
        <w:rPr>
          <w:noProof/>
        </w:rPr>
        <w:t xml:space="preserve"> </w:t>
      </w:r>
      <w:r w:rsidR="004B6054" w:rsidRPr="005A3F47">
        <w:rPr>
          <w:noProof/>
        </w:rPr>
        <w:t xml:space="preserve">treaty and </w:t>
      </w:r>
      <w:r w:rsidR="006E0AFA" w:rsidRPr="005A3F47">
        <w:rPr>
          <w:noProof/>
        </w:rPr>
        <w:t>policy</w:t>
      </w:r>
      <w:r w:rsidR="00EB29DB" w:rsidRPr="005A3F47">
        <w:rPr>
          <w:noProof/>
        </w:rPr>
        <w:t xml:space="preserve">-based objectives that the Omnibus on Taxation aims to contribute to, </w:t>
      </w:r>
      <w:r w:rsidRPr="005A3F47">
        <w:rPr>
          <w:noProof/>
        </w:rPr>
        <w:t xml:space="preserve">and </w:t>
      </w:r>
      <w:r w:rsidR="00EB29DB" w:rsidRPr="005A3F47">
        <w:rPr>
          <w:noProof/>
        </w:rPr>
        <w:t xml:space="preserve">the </w:t>
      </w:r>
      <w:r w:rsidRPr="005A3F47">
        <w:rPr>
          <w:noProof/>
        </w:rPr>
        <w:t>specific objectives</w:t>
      </w:r>
      <w:r w:rsidR="00EB29DB" w:rsidRPr="005A3F47">
        <w:rPr>
          <w:noProof/>
        </w:rPr>
        <w:t xml:space="preserve">, which set out concretely what the </w:t>
      </w:r>
      <w:r w:rsidR="00C2022A" w:rsidRPr="005A3F47">
        <w:rPr>
          <w:noProof/>
        </w:rPr>
        <w:t>initiative</w:t>
      </w:r>
      <w:r w:rsidR="00EB29DB" w:rsidRPr="005A3F47">
        <w:rPr>
          <w:noProof/>
        </w:rPr>
        <w:t xml:space="preserve"> is meant to achieve.</w:t>
      </w:r>
      <w:r w:rsidRPr="005A3F47">
        <w:rPr>
          <w:noProof/>
        </w:rPr>
        <w:t xml:space="preserve"> The ‘Intervention Logic’ in Figure </w:t>
      </w:r>
      <w:r w:rsidR="00D004B9" w:rsidRPr="005A3F47">
        <w:rPr>
          <w:noProof/>
        </w:rPr>
        <w:t>2</w:t>
      </w:r>
      <w:r w:rsidRPr="005A3F47">
        <w:rPr>
          <w:noProof/>
        </w:rPr>
        <w:t xml:space="preserve"> presents these objectives jointly with the drivers and </w:t>
      </w:r>
      <w:r w:rsidR="009C1B8F" w:rsidRPr="005A3F47">
        <w:rPr>
          <w:noProof/>
        </w:rPr>
        <w:t xml:space="preserve">the </w:t>
      </w:r>
      <w:r w:rsidRPr="005A3F47">
        <w:rPr>
          <w:noProof/>
        </w:rPr>
        <w:t xml:space="preserve">problems that the </w:t>
      </w:r>
      <w:r w:rsidR="00002922" w:rsidRPr="005A3F47">
        <w:rPr>
          <w:noProof/>
        </w:rPr>
        <w:t>Omnibus on Taxation</w:t>
      </w:r>
      <w:r w:rsidRPr="005A3F47">
        <w:rPr>
          <w:noProof/>
        </w:rPr>
        <w:t xml:space="preserve"> aims to address.</w:t>
      </w:r>
    </w:p>
    <w:p w14:paraId="2E13DE84" w14:textId="5594273E" w:rsidR="001B66D2" w:rsidRPr="005A3F47" w:rsidRDefault="001B66D2" w:rsidP="001B66D2">
      <w:pPr>
        <w:pStyle w:val="Caption"/>
        <w:keepNex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2</w:t>
      </w:r>
      <w:r w:rsidRPr="005A3F47">
        <w:rPr>
          <w:noProof/>
          <w:color w:val="auto"/>
        </w:rPr>
        <w:fldChar w:fldCharType="end"/>
      </w:r>
      <w:r w:rsidRPr="005A3F47">
        <w:rPr>
          <w:noProof/>
          <w:color w:val="auto"/>
        </w:rPr>
        <w:t xml:space="preserve">: </w:t>
      </w:r>
      <w:r w:rsidR="00765B74" w:rsidRPr="005A3F47">
        <w:rPr>
          <w:noProof/>
          <w:color w:val="auto"/>
        </w:rPr>
        <w:t>Intervention Logic</w:t>
      </w:r>
    </w:p>
    <w:p w14:paraId="4F97A1C8" w14:textId="6FF26C9B" w:rsidR="006B087E" w:rsidRPr="005A3F47" w:rsidRDefault="00BC5C30" w:rsidP="000E3086">
      <w:pPr>
        <w:rPr>
          <w:noProof/>
        </w:rPr>
      </w:pPr>
      <w:r w:rsidRPr="005A3F47">
        <w:rPr>
          <w:noProof/>
          <w:lang w:eastAsia="en-GB"/>
        </w:rPr>
        <w:drawing>
          <wp:inline distT="0" distB="0" distL="0" distR="0" wp14:anchorId="51049F3F" wp14:editId="0A486FC6">
            <wp:extent cx="6007395" cy="3699817"/>
            <wp:effectExtent l="0" t="0" r="0" b="0"/>
            <wp:docPr id="1827783909" name="Picture 1"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83909" name="Picture 1" descr="A diagram of a problem&#10;&#10;AI-generated content may be incorrect."/>
                    <pic:cNvPicPr/>
                  </pic:nvPicPr>
                  <pic:blipFill>
                    <a:blip r:embed="rId21"/>
                    <a:stretch>
                      <a:fillRect/>
                    </a:stretch>
                  </pic:blipFill>
                  <pic:spPr>
                    <a:xfrm>
                      <a:off x="0" y="0"/>
                      <a:ext cx="6022953" cy="3709399"/>
                    </a:xfrm>
                    <a:prstGeom prst="rect">
                      <a:avLst/>
                    </a:prstGeom>
                  </pic:spPr>
                </pic:pic>
              </a:graphicData>
            </a:graphic>
          </wp:inline>
        </w:drawing>
      </w:r>
    </w:p>
    <w:p w14:paraId="07266048" w14:textId="46C4FDA1" w:rsidR="006B087E" w:rsidRPr="005A3F47" w:rsidRDefault="00AE1C73" w:rsidP="00FD7621">
      <w:pPr>
        <w:pStyle w:val="Heading2"/>
        <w:numPr>
          <w:ilvl w:val="1"/>
          <w:numId w:val="185"/>
        </w:numPr>
        <w:rPr>
          <w:noProof/>
        </w:rPr>
      </w:pPr>
      <w:bookmarkStart w:id="59" w:name="_Ref226464093"/>
      <w:bookmarkStart w:id="60" w:name="_Toc226466810"/>
      <w:bookmarkStart w:id="61" w:name="_Toc226467171"/>
      <w:bookmarkStart w:id="62" w:name="_Toc226467271"/>
      <w:bookmarkStart w:id="63" w:name="_Toc226467490"/>
      <w:r w:rsidRPr="005A3F47">
        <w:rPr>
          <w:noProof/>
        </w:rPr>
        <w:t xml:space="preserve"> </w:t>
      </w:r>
      <w:r w:rsidR="006B087E" w:rsidRPr="005A3F47">
        <w:rPr>
          <w:noProof/>
        </w:rPr>
        <w:t>General objectives</w:t>
      </w:r>
      <w:bookmarkEnd w:id="59"/>
      <w:bookmarkEnd w:id="60"/>
      <w:bookmarkEnd w:id="61"/>
      <w:bookmarkEnd w:id="62"/>
      <w:bookmarkEnd w:id="63"/>
    </w:p>
    <w:p w14:paraId="79EA00D5" w14:textId="2D18C338" w:rsidR="00F66D63" w:rsidRPr="005A3F47" w:rsidRDefault="00BB4E0C" w:rsidP="000E3086">
      <w:pPr>
        <w:rPr>
          <w:noProof/>
        </w:rPr>
      </w:pPr>
      <w:r w:rsidRPr="005A3F47">
        <w:rPr>
          <w:noProof/>
        </w:rPr>
        <w:t>T</w:t>
      </w:r>
      <w:r w:rsidR="009B5119" w:rsidRPr="005A3F47">
        <w:rPr>
          <w:noProof/>
        </w:rPr>
        <w:t xml:space="preserve">he </w:t>
      </w:r>
      <w:r w:rsidRPr="005A3F47">
        <w:rPr>
          <w:noProof/>
        </w:rPr>
        <w:t xml:space="preserve">general objectives of the </w:t>
      </w:r>
      <w:r w:rsidR="009B5119" w:rsidRPr="005A3F47">
        <w:rPr>
          <w:noProof/>
        </w:rPr>
        <w:t xml:space="preserve">Omnibus on Taxation </w:t>
      </w:r>
      <w:r w:rsidR="00112765" w:rsidRPr="005A3F47">
        <w:rPr>
          <w:noProof/>
        </w:rPr>
        <w:t xml:space="preserve">must </w:t>
      </w:r>
      <w:r w:rsidRPr="005A3F47">
        <w:rPr>
          <w:noProof/>
        </w:rPr>
        <w:t>be</w:t>
      </w:r>
      <w:r w:rsidR="00112765" w:rsidRPr="005A3F47">
        <w:rPr>
          <w:noProof/>
        </w:rPr>
        <w:t xml:space="preserve"> seen in the light of the </w:t>
      </w:r>
      <w:r w:rsidR="00C71080" w:rsidRPr="005A3F47">
        <w:rPr>
          <w:noProof/>
        </w:rPr>
        <w:t>simplification agenda set by the Commission</w:t>
      </w:r>
      <w:r w:rsidRPr="005A3F47">
        <w:rPr>
          <w:noProof/>
        </w:rPr>
        <w:t xml:space="preserve"> which </w:t>
      </w:r>
      <w:r w:rsidR="00F64ED6" w:rsidRPr="005A3F47">
        <w:rPr>
          <w:noProof/>
        </w:rPr>
        <w:t>is generally linked to improving the functioning of the internal market</w:t>
      </w:r>
      <w:r w:rsidR="00C71080" w:rsidRPr="005A3F47">
        <w:rPr>
          <w:noProof/>
        </w:rPr>
        <w:t xml:space="preserve">. </w:t>
      </w:r>
    </w:p>
    <w:p w14:paraId="73062F26" w14:textId="2541DC4D" w:rsidR="006F22B6" w:rsidRPr="005A3F47" w:rsidRDefault="00BB4E0C" w:rsidP="000E3086">
      <w:pPr>
        <w:rPr>
          <w:noProof/>
        </w:rPr>
      </w:pPr>
      <w:r w:rsidRPr="005A3F47">
        <w:rPr>
          <w:noProof/>
        </w:rPr>
        <w:t xml:space="preserve">Firstly, </w:t>
      </w:r>
      <w:r w:rsidR="00F66D63" w:rsidRPr="005A3F47">
        <w:rPr>
          <w:noProof/>
        </w:rPr>
        <w:t xml:space="preserve">the Omnibus </w:t>
      </w:r>
      <w:r w:rsidR="7FB16556" w:rsidRPr="005A3F47">
        <w:rPr>
          <w:noProof/>
        </w:rPr>
        <w:t>on Taxation</w:t>
      </w:r>
      <w:r w:rsidR="00F66D63" w:rsidRPr="005A3F47">
        <w:rPr>
          <w:noProof/>
        </w:rPr>
        <w:t xml:space="preserve"> </w:t>
      </w:r>
      <w:r w:rsidR="00C550AA" w:rsidRPr="005A3F47">
        <w:rPr>
          <w:noProof/>
        </w:rPr>
        <w:t xml:space="preserve">will </w:t>
      </w:r>
      <w:r w:rsidR="00D6356A" w:rsidRPr="005A3F47">
        <w:rPr>
          <w:noProof/>
        </w:rPr>
        <w:t>seek</w:t>
      </w:r>
      <w:r w:rsidR="00F55E9E" w:rsidRPr="005A3F47">
        <w:rPr>
          <w:noProof/>
        </w:rPr>
        <w:t xml:space="preserve"> to </w:t>
      </w:r>
      <w:r w:rsidR="00F55E9E" w:rsidRPr="005A3F47">
        <w:rPr>
          <w:b/>
          <w:bCs/>
          <w:noProof/>
        </w:rPr>
        <w:t>simpl</w:t>
      </w:r>
      <w:r w:rsidR="00D6177C" w:rsidRPr="005A3F47">
        <w:rPr>
          <w:b/>
          <w:bCs/>
          <w:noProof/>
        </w:rPr>
        <w:t xml:space="preserve">ify existing EU </w:t>
      </w:r>
      <w:r w:rsidR="006401E3" w:rsidRPr="005A3F47">
        <w:rPr>
          <w:b/>
          <w:bCs/>
          <w:noProof/>
        </w:rPr>
        <w:t>direct tax rules with a view to</w:t>
      </w:r>
      <w:r w:rsidR="004F7E15" w:rsidRPr="005A3F47">
        <w:rPr>
          <w:b/>
          <w:bCs/>
          <w:noProof/>
        </w:rPr>
        <w:t xml:space="preserve"> boost EU </w:t>
      </w:r>
      <w:r w:rsidR="000D3349" w:rsidRPr="005A3F47">
        <w:rPr>
          <w:b/>
          <w:bCs/>
          <w:noProof/>
        </w:rPr>
        <w:t>competitiveness</w:t>
      </w:r>
      <w:r w:rsidR="000D025D" w:rsidRPr="005A3F47">
        <w:rPr>
          <w:noProof/>
        </w:rPr>
        <w:t xml:space="preserve"> and, thereby, mak</w:t>
      </w:r>
      <w:r w:rsidR="00C71080" w:rsidRPr="005A3F47">
        <w:rPr>
          <w:noProof/>
        </w:rPr>
        <w:t>ing</w:t>
      </w:r>
      <w:r w:rsidR="000D025D" w:rsidRPr="005A3F47">
        <w:rPr>
          <w:noProof/>
        </w:rPr>
        <w:t xml:space="preserve"> </w:t>
      </w:r>
      <w:r w:rsidR="00EF08AB" w:rsidRPr="005A3F47">
        <w:rPr>
          <w:noProof/>
        </w:rPr>
        <w:t xml:space="preserve">the environment for doing business in the EU more attractive. </w:t>
      </w:r>
      <w:r w:rsidR="0065116B" w:rsidRPr="005A3F47">
        <w:rPr>
          <w:noProof/>
        </w:rPr>
        <w:t>The Draghi Report on EU Competitiveness</w:t>
      </w:r>
      <w:r w:rsidR="0065116B" w:rsidRPr="005A3F47">
        <w:rPr>
          <w:rStyle w:val="FootnoteReference"/>
          <w:noProof/>
        </w:rPr>
        <w:footnoteReference w:id="54"/>
      </w:r>
      <w:r w:rsidR="0065116B" w:rsidRPr="005A3F47">
        <w:rPr>
          <w:noProof/>
        </w:rPr>
        <w:t xml:space="preserve"> pointed out that internal barriers and lack of coordination between different rules and policies constitute an obstacle to EU competitiveness. </w:t>
      </w:r>
      <w:r w:rsidR="001E2007" w:rsidRPr="005A3F47">
        <w:rPr>
          <w:noProof/>
        </w:rPr>
        <w:t>Consequently, c</w:t>
      </w:r>
      <w:r w:rsidR="00EF08AB" w:rsidRPr="005A3F47">
        <w:rPr>
          <w:noProof/>
        </w:rPr>
        <w:t>omplexity, uncertainty, fragmentation</w:t>
      </w:r>
      <w:r w:rsidR="00F04538" w:rsidRPr="005A3F47">
        <w:rPr>
          <w:noProof/>
        </w:rPr>
        <w:t>,</w:t>
      </w:r>
      <w:r w:rsidR="00EF08AB" w:rsidRPr="005A3F47">
        <w:rPr>
          <w:noProof/>
        </w:rPr>
        <w:t xml:space="preserve"> and trade barriers impede the proper functioning of the internal market and hamper the prospect for achieving its full potential.</w:t>
      </w:r>
      <w:r w:rsidR="00126EB7" w:rsidRPr="005A3F47">
        <w:rPr>
          <w:noProof/>
        </w:rPr>
        <w:t xml:space="preserve"> </w:t>
      </w:r>
      <w:r w:rsidR="007C6940" w:rsidRPr="005A3F47">
        <w:rPr>
          <w:noProof/>
        </w:rPr>
        <w:t xml:space="preserve">In this </w:t>
      </w:r>
      <w:r w:rsidR="00351D4E" w:rsidRPr="005A3F47">
        <w:rPr>
          <w:noProof/>
        </w:rPr>
        <w:t>regard</w:t>
      </w:r>
      <w:r w:rsidR="007C6940" w:rsidRPr="005A3F47">
        <w:rPr>
          <w:noProof/>
        </w:rPr>
        <w:t xml:space="preserve">, the Omnibus </w:t>
      </w:r>
      <w:r w:rsidR="0B619138" w:rsidRPr="005A3F47">
        <w:rPr>
          <w:noProof/>
        </w:rPr>
        <w:t>on Taxation</w:t>
      </w:r>
      <w:r w:rsidR="007C6940" w:rsidRPr="005A3F47">
        <w:rPr>
          <w:noProof/>
        </w:rPr>
        <w:t xml:space="preserve"> should contribute </w:t>
      </w:r>
      <w:r w:rsidR="00F33170" w:rsidRPr="005A3F47">
        <w:rPr>
          <w:noProof/>
        </w:rPr>
        <w:t xml:space="preserve">to the Commission’s overall target of </w:t>
      </w:r>
      <w:r w:rsidR="007C6940" w:rsidRPr="005A3F47">
        <w:rPr>
          <w:noProof/>
        </w:rPr>
        <w:t>reducing administrative burden</w:t>
      </w:r>
      <w:r w:rsidR="00E11FFE" w:rsidRPr="005A3F47">
        <w:rPr>
          <w:noProof/>
        </w:rPr>
        <w:t>s</w:t>
      </w:r>
      <w:r w:rsidR="007C6940" w:rsidRPr="005A3F47">
        <w:rPr>
          <w:noProof/>
        </w:rPr>
        <w:t xml:space="preserve"> by at least 25% for all businesses, and by at least 35% for SMEs</w:t>
      </w:r>
      <w:r w:rsidR="00F33170" w:rsidRPr="005A3F47">
        <w:rPr>
          <w:noProof/>
        </w:rPr>
        <w:t xml:space="preserve">. </w:t>
      </w:r>
    </w:p>
    <w:p w14:paraId="37440160" w14:textId="118A45CB" w:rsidR="00867C01" w:rsidRPr="005A3F47" w:rsidRDefault="0054631A" w:rsidP="000E3086">
      <w:pPr>
        <w:rPr>
          <w:noProof/>
        </w:rPr>
      </w:pPr>
      <w:r w:rsidRPr="005A3F47">
        <w:rPr>
          <w:noProof/>
        </w:rPr>
        <w:t>Secondly, t</w:t>
      </w:r>
      <w:r w:rsidR="001A67B5" w:rsidRPr="005A3F47">
        <w:rPr>
          <w:noProof/>
        </w:rPr>
        <w:t xml:space="preserve">he </w:t>
      </w:r>
      <w:r w:rsidR="00EA54CD" w:rsidRPr="005A3F47">
        <w:rPr>
          <w:noProof/>
        </w:rPr>
        <w:t xml:space="preserve">Omnibus </w:t>
      </w:r>
      <w:r w:rsidR="4C2ADDB8" w:rsidRPr="005A3F47">
        <w:rPr>
          <w:noProof/>
        </w:rPr>
        <w:t>on Taxation</w:t>
      </w:r>
      <w:r w:rsidR="00EA54CD" w:rsidRPr="005A3F47" w:rsidDel="006F22B6">
        <w:rPr>
          <w:noProof/>
        </w:rPr>
        <w:t xml:space="preserve"> </w:t>
      </w:r>
      <w:r w:rsidR="00C550AA" w:rsidRPr="005A3F47">
        <w:rPr>
          <w:noProof/>
        </w:rPr>
        <w:t>will</w:t>
      </w:r>
      <w:r w:rsidR="00867C01" w:rsidRPr="005A3F47">
        <w:rPr>
          <w:noProof/>
        </w:rPr>
        <w:t xml:space="preserve"> </w:t>
      </w:r>
      <w:r w:rsidR="00867C01" w:rsidRPr="005A3F47">
        <w:rPr>
          <w:b/>
          <w:bCs/>
          <w:noProof/>
        </w:rPr>
        <w:t>ensure that</w:t>
      </w:r>
      <w:r w:rsidR="00867C01" w:rsidRPr="005A3F47">
        <w:rPr>
          <w:noProof/>
        </w:rPr>
        <w:t xml:space="preserve"> </w:t>
      </w:r>
      <w:r w:rsidR="0065116B" w:rsidRPr="005A3F47">
        <w:rPr>
          <w:b/>
          <w:bCs/>
          <w:noProof/>
        </w:rPr>
        <w:t xml:space="preserve">high </w:t>
      </w:r>
      <w:r w:rsidR="00143D13" w:rsidRPr="005A3F47">
        <w:rPr>
          <w:b/>
          <w:bCs/>
          <w:noProof/>
        </w:rPr>
        <w:t xml:space="preserve">tax </w:t>
      </w:r>
      <w:r w:rsidR="0065116B" w:rsidRPr="005A3F47">
        <w:rPr>
          <w:b/>
          <w:bCs/>
          <w:noProof/>
        </w:rPr>
        <w:t>standards in the EU are maintained</w:t>
      </w:r>
      <w:r w:rsidR="004E4CA8" w:rsidRPr="005A3F47">
        <w:rPr>
          <w:b/>
          <w:bCs/>
          <w:noProof/>
        </w:rPr>
        <w:t>.</w:t>
      </w:r>
      <w:r w:rsidR="00794B39" w:rsidRPr="005A3F47">
        <w:rPr>
          <w:b/>
          <w:bCs/>
          <w:noProof/>
        </w:rPr>
        <w:t xml:space="preserve"> </w:t>
      </w:r>
      <w:r w:rsidR="00335329" w:rsidRPr="005A3F47">
        <w:rPr>
          <w:noProof/>
        </w:rPr>
        <w:t>Th</w:t>
      </w:r>
      <w:r w:rsidR="00AF047D" w:rsidRPr="005A3F47">
        <w:rPr>
          <w:noProof/>
        </w:rPr>
        <w:t>e</w:t>
      </w:r>
      <w:r w:rsidR="00E675FA" w:rsidRPr="005A3F47">
        <w:rPr>
          <w:noProof/>
        </w:rPr>
        <w:t xml:space="preserve"> original</w:t>
      </w:r>
      <w:r w:rsidR="00AF047D" w:rsidRPr="005A3F47">
        <w:rPr>
          <w:noProof/>
        </w:rPr>
        <w:t xml:space="preserve"> objectives of the existing Directives</w:t>
      </w:r>
      <w:r w:rsidR="00241D7F" w:rsidRPr="005A3F47">
        <w:rPr>
          <w:noProof/>
        </w:rPr>
        <w:t>, such as removing double taxation, ensuring tax neutrality, establishing a common framework for dispute resolution, and tackling tax avoidance and evasion in the internal market,</w:t>
      </w:r>
      <w:r w:rsidR="00AF047D" w:rsidRPr="005A3F47">
        <w:rPr>
          <w:noProof/>
        </w:rPr>
        <w:t xml:space="preserve"> </w:t>
      </w:r>
      <w:r w:rsidR="00211151" w:rsidRPr="005A3F47">
        <w:rPr>
          <w:noProof/>
        </w:rPr>
        <w:t xml:space="preserve">remain valid </w:t>
      </w:r>
      <w:r w:rsidR="0008164E" w:rsidRPr="005A3F47">
        <w:rPr>
          <w:noProof/>
        </w:rPr>
        <w:t xml:space="preserve">today </w:t>
      </w:r>
      <w:r w:rsidR="00211151" w:rsidRPr="005A3F47">
        <w:rPr>
          <w:noProof/>
        </w:rPr>
        <w:t>and</w:t>
      </w:r>
      <w:r w:rsidR="00A65181" w:rsidRPr="005A3F47">
        <w:rPr>
          <w:noProof/>
        </w:rPr>
        <w:t xml:space="preserve"> </w:t>
      </w:r>
      <w:r w:rsidR="0008164E" w:rsidRPr="005A3F47">
        <w:rPr>
          <w:noProof/>
        </w:rPr>
        <w:t xml:space="preserve">should not be substantially affected by the Omnibus on Taxation. </w:t>
      </w:r>
      <w:r w:rsidR="00285845" w:rsidRPr="005A3F47">
        <w:rPr>
          <w:noProof/>
        </w:rPr>
        <w:t>Therefore</w:t>
      </w:r>
      <w:r w:rsidR="00B852B2" w:rsidRPr="005A3F47">
        <w:rPr>
          <w:noProof/>
        </w:rPr>
        <w:t xml:space="preserve">, </w:t>
      </w:r>
      <w:r w:rsidR="00852210" w:rsidRPr="005A3F47">
        <w:rPr>
          <w:noProof/>
        </w:rPr>
        <w:t xml:space="preserve">the Omnibus on Taxation </w:t>
      </w:r>
      <w:r w:rsidR="00B852B2" w:rsidRPr="005A3F47">
        <w:rPr>
          <w:noProof/>
        </w:rPr>
        <w:t xml:space="preserve">should </w:t>
      </w:r>
      <w:r w:rsidR="00852210" w:rsidRPr="005A3F47">
        <w:rPr>
          <w:noProof/>
        </w:rPr>
        <w:t xml:space="preserve">seek to improve the effectiveness </w:t>
      </w:r>
      <w:r w:rsidR="00254576" w:rsidRPr="005A3F47">
        <w:rPr>
          <w:noProof/>
        </w:rPr>
        <w:t xml:space="preserve">and </w:t>
      </w:r>
      <w:r w:rsidR="008171DE" w:rsidRPr="005A3F47">
        <w:rPr>
          <w:noProof/>
        </w:rPr>
        <w:t xml:space="preserve">efficiency </w:t>
      </w:r>
      <w:r w:rsidR="00852210" w:rsidRPr="005A3F47">
        <w:rPr>
          <w:noProof/>
        </w:rPr>
        <w:t xml:space="preserve">of the existing Directives </w:t>
      </w:r>
      <w:r w:rsidR="00B005CA" w:rsidRPr="005A3F47">
        <w:rPr>
          <w:noProof/>
        </w:rPr>
        <w:t>without</w:t>
      </w:r>
      <w:r w:rsidR="00335329" w:rsidRPr="005A3F47">
        <w:rPr>
          <w:noProof/>
        </w:rPr>
        <w:t xml:space="preserve"> deregulating or recreating loopholes</w:t>
      </w:r>
      <w:r w:rsidR="000E7D6C" w:rsidRPr="005A3F47">
        <w:rPr>
          <w:noProof/>
        </w:rPr>
        <w:t>, which can be used</w:t>
      </w:r>
      <w:r w:rsidR="00335329" w:rsidRPr="005A3F47">
        <w:rPr>
          <w:noProof/>
        </w:rPr>
        <w:t xml:space="preserve"> for tax avoidance </w:t>
      </w:r>
      <w:r w:rsidR="00BB3179" w:rsidRPr="005A3F47">
        <w:rPr>
          <w:noProof/>
        </w:rPr>
        <w:t>and evasion</w:t>
      </w:r>
      <w:r w:rsidR="008171DE" w:rsidRPr="005A3F47">
        <w:rPr>
          <w:noProof/>
        </w:rPr>
        <w:t>,</w:t>
      </w:r>
      <w:r w:rsidR="00335329" w:rsidRPr="005A3F47">
        <w:rPr>
          <w:noProof/>
        </w:rPr>
        <w:t xml:space="preserve"> </w:t>
      </w:r>
      <w:r w:rsidR="003F05E4" w:rsidRPr="005A3F47">
        <w:rPr>
          <w:noProof/>
        </w:rPr>
        <w:t>or</w:t>
      </w:r>
      <w:r w:rsidR="002A7F33" w:rsidRPr="005A3F47">
        <w:rPr>
          <w:noProof/>
        </w:rPr>
        <w:t xml:space="preserve"> </w:t>
      </w:r>
      <w:r w:rsidR="00335329" w:rsidRPr="005A3F47">
        <w:rPr>
          <w:noProof/>
        </w:rPr>
        <w:t xml:space="preserve">in any </w:t>
      </w:r>
      <w:r w:rsidR="004E7462" w:rsidRPr="005A3F47">
        <w:rPr>
          <w:noProof/>
        </w:rPr>
        <w:t xml:space="preserve">other </w:t>
      </w:r>
      <w:r w:rsidR="00335329" w:rsidRPr="005A3F47">
        <w:rPr>
          <w:noProof/>
        </w:rPr>
        <w:t>way undermine the achievements</w:t>
      </w:r>
      <w:r w:rsidR="00335329" w:rsidRPr="005A3F47" w:rsidDel="00531189">
        <w:rPr>
          <w:noProof/>
        </w:rPr>
        <w:t xml:space="preserve"> </w:t>
      </w:r>
      <w:r w:rsidR="00335329" w:rsidRPr="005A3F47">
        <w:rPr>
          <w:noProof/>
        </w:rPr>
        <w:t xml:space="preserve">at EU and international level in the area of </w:t>
      </w:r>
      <w:r w:rsidR="007E16E7" w:rsidRPr="005A3F47">
        <w:rPr>
          <w:noProof/>
        </w:rPr>
        <w:t>taxation</w:t>
      </w:r>
      <w:r w:rsidR="00335329" w:rsidRPr="005A3F47">
        <w:rPr>
          <w:noProof/>
        </w:rPr>
        <w:t>.</w:t>
      </w:r>
      <w:r w:rsidR="005558D1" w:rsidRPr="005A3F47">
        <w:rPr>
          <w:noProof/>
        </w:rPr>
        <w:t xml:space="preserve"> Such actions would </w:t>
      </w:r>
      <w:r w:rsidR="00C06CB8" w:rsidRPr="005A3F47">
        <w:rPr>
          <w:noProof/>
        </w:rPr>
        <w:t>deteriorate</w:t>
      </w:r>
      <w:r w:rsidR="007E3A3F" w:rsidRPr="005A3F47">
        <w:rPr>
          <w:noProof/>
        </w:rPr>
        <w:t xml:space="preserve"> the functioning of the internal market rather than improve it</w:t>
      </w:r>
      <w:r w:rsidR="00C06CB8" w:rsidRPr="005A3F47">
        <w:rPr>
          <w:noProof/>
        </w:rPr>
        <w:t xml:space="preserve"> and, thereby, be contrary to the </w:t>
      </w:r>
      <w:r w:rsidR="00990B2C" w:rsidRPr="005A3F47">
        <w:rPr>
          <w:noProof/>
        </w:rPr>
        <w:t>EU simplification policy</w:t>
      </w:r>
      <w:r w:rsidR="007E3A3F" w:rsidRPr="005A3F47">
        <w:rPr>
          <w:noProof/>
        </w:rPr>
        <w:t>.</w:t>
      </w:r>
      <w:r w:rsidR="00AC0ECA" w:rsidRPr="005A3F47">
        <w:rPr>
          <w:noProof/>
        </w:rPr>
        <w:t xml:space="preserve"> </w:t>
      </w:r>
    </w:p>
    <w:p w14:paraId="03F7621A" w14:textId="56E5BE5E" w:rsidR="006B087E" w:rsidRPr="005A3F47" w:rsidRDefault="00AE1C73" w:rsidP="00FD7621">
      <w:pPr>
        <w:pStyle w:val="Heading2"/>
        <w:numPr>
          <w:ilvl w:val="1"/>
          <w:numId w:val="185"/>
        </w:numPr>
        <w:rPr>
          <w:noProof/>
        </w:rPr>
      </w:pPr>
      <w:bookmarkStart w:id="64" w:name="_Toc226466811"/>
      <w:bookmarkStart w:id="65" w:name="_Toc226467172"/>
      <w:bookmarkStart w:id="66" w:name="_Toc226467272"/>
      <w:bookmarkStart w:id="67" w:name="_Toc226467491"/>
      <w:r w:rsidRPr="005A3F47">
        <w:rPr>
          <w:noProof/>
        </w:rPr>
        <w:t xml:space="preserve"> </w:t>
      </w:r>
      <w:r w:rsidR="006B087E" w:rsidRPr="005A3F47">
        <w:rPr>
          <w:noProof/>
        </w:rPr>
        <w:t>Specific objectives</w:t>
      </w:r>
      <w:bookmarkEnd w:id="64"/>
      <w:bookmarkEnd w:id="65"/>
      <w:bookmarkEnd w:id="66"/>
      <w:bookmarkEnd w:id="67"/>
    </w:p>
    <w:p w14:paraId="74C3833A" w14:textId="170867C3" w:rsidR="00321D93" w:rsidRPr="005A3F47" w:rsidRDefault="00321D93" w:rsidP="000E3086">
      <w:pPr>
        <w:rPr>
          <w:noProof/>
        </w:rPr>
      </w:pPr>
      <w:r w:rsidRPr="005A3F47">
        <w:rPr>
          <w:noProof/>
        </w:rPr>
        <w:t xml:space="preserve">The specific objectives of the initiative contribute to achieving the general objectives. </w:t>
      </w:r>
    </w:p>
    <w:p w14:paraId="7537D4EC" w14:textId="405C0058" w:rsidR="00285AAA" w:rsidRPr="005A3F47" w:rsidRDefault="00772DCD" w:rsidP="00682CA0">
      <w:pPr>
        <w:rPr>
          <w:noProof/>
        </w:rPr>
      </w:pPr>
      <w:r w:rsidRPr="005A3F47">
        <w:rPr>
          <w:noProof/>
        </w:rPr>
        <w:t xml:space="preserve">Firstly, </w:t>
      </w:r>
      <w:r w:rsidR="00285AAA" w:rsidRPr="005A3F47">
        <w:rPr>
          <w:noProof/>
        </w:rPr>
        <w:t>in line with the Commission’s target to reduce red tape, the</w:t>
      </w:r>
      <w:r w:rsidR="00285AAA" w:rsidRPr="005A3F47" w:rsidDel="00106AA6">
        <w:rPr>
          <w:noProof/>
        </w:rPr>
        <w:t xml:space="preserve"> </w:t>
      </w:r>
      <w:r w:rsidR="00285AAA" w:rsidRPr="005A3F47">
        <w:rPr>
          <w:noProof/>
        </w:rPr>
        <w:t xml:space="preserve">Omnibus on Taxation purposefully aims to </w:t>
      </w:r>
      <w:r w:rsidR="00285AAA" w:rsidRPr="005A3F47">
        <w:rPr>
          <w:b/>
          <w:noProof/>
        </w:rPr>
        <w:t xml:space="preserve">eliminate </w:t>
      </w:r>
      <w:r w:rsidR="00EE281D" w:rsidRPr="005A3F47">
        <w:rPr>
          <w:b/>
          <w:noProof/>
        </w:rPr>
        <w:t>disproportionate</w:t>
      </w:r>
      <w:r w:rsidR="00285AAA" w:rsidRPr="005A3F47">
        <w:rPr>
          <w:b/>
          <w:noProof/>
        </w:rPr>
        <w:t xml:space="preserve"> EU tax compliance burdens</w:t>
      </w:r>
      <w:r w:rsidR="00285AAA" w:rsidRPr="005A3F47">
        <w:rPr>
          <w:noProof/>
        </w:rPr>
        <w:t xml:space="preserve">. The current cumulative effect of </w:t>
      </w:r>
      <w:r w:rsidR="00734203" w:rsidRPr="005A3F47">
        <w:rPr>
          <w:noProof/>
        </w:rPr>
        <w:t xml:space="preserve">application of </w:t>
      </w:r>
      <w:r w:rsidR="00A472D5" w:rsidRPr="005A3F47">
        <w:rPr>
          <w:noProof/>
        </w:rPr>
        <w:t>EU tax rules</w:t>
      </w:r>
      <w:r w:rsidR="0090688F" w:rsidRPr="005A3F47">
        <w:rPr>
          <w:noProof/>
        </w:rPr>
        <w:t xml:space="preserve"> </w:t>
      </w:r>
      <w:r w:rsidR="00285AAA" w:rsidRPr="005A3F47">
        <w:rPr>
          <w:noProof/>
        </w:rPr>
        <w:t>imposes disproportionate compliance costs for EU businesses</w:t>
      </w:r>
      <w:r w:rsidR="00B16753" w:rsidRPr="005A3F47">
        <w:rPr>
          <w:noProof/>
        </w:rPr>
        <w:t xml:space="preserve"> to the detriment of their competi</w:t>
      </w:r>
      <w:r w:rsidR="00DF17BD" w:rsidRPr="005A3F47">
        <w:rPr>
          <w:noProof/>
        </w:rPr>
        <w:t>tiveness</w:t>
      </w:r>
      <w:r w:rsidR="00285AAA" w:rsidRPr="005A3F47">
        <w:rPr>
          <w:noProof/>
        </w:rPr>
        <w:t xml:space="preserve">. </w:t>
      </w:r>
    </w:p>
    <w:p w14:paraId="447B2E80" w14:textId="1115FD5A" w:rsidR="006B087E" w:rsidRPr="005A3F47" w:rsidRDefault="00285AAA" w:rsidP="00682CA0">
      <w:pPr>
        <w:rPr>
          <w:noProof/>
        </w:rPr>
      </w:pPr>
      <w:r w:rsidRPr="005A3F47">
        <w:rPr>
          <w:noProof/>
        </w:rPr>
        <w:t xml:space="preserve">Secondly, </w:t>
      </w:r>
      <w:r w:rsidR="00772DCD" w:rsidRPr="005A3F47">
        <w:rPr>
          <w:noProof/>
        </w:rPr>
        <w:t>t</w:t>
      </w:r>
      <w:r w:rsidR="00B35558" w:rsidRPr="005A3F47">
        <w:rPr>
          <w:noProof/>
        </w:rPr>
        <w:t>he</w:t>
      </w:r>
      <w:r w:rsidR="00B35558" w:rsidRPr="005A3F47" w:rsidDel="00106AA6">
        <w:rPr>
          <w:noProof/>
        </w:rPr>
        <w:t xml:space="preserve"> </w:t>
      </w:r>
      <w:r w:rsidR="00106AA6" w:rsidRPr="005A3F47">
        <w:rPr>
          <w:noProof/>
        </w:rPr>
        <w:t xml:space="preserve">Omnibus on Taxation </w:t>
      </w:r>
      <w:r w:rsidR="00B35558" w:rsidRPr="005A3F47">
        <w:rPr>
          <w:noProof/>
        </w:rPr>
        <w:t xml:space="preserve">aims to </w:t>
      </w:r>
      <w:r w:rsidR="00D854A5" w:rsidRPr="005A3F47">
        <w:rPr>
          <w:b/>
          <w:bCs/>
          <w:noProof/>
        </w:rPr>
        <w:t>introduce</w:t>
      </w:r>
      <w:r w:rsidR="003E1D08" w:rsidRPr="005A3F47">
        <w:rPr>
          <w:b/>
          <w:bCs/>
          <w:noProof/>
        </w:rPr>
        <w:t xml:space="preserve"> clear and predictable EU tax </w:t>
      </w:r>
      <w:r w:rsidR="004C22C0" w:rsidRPr="005A3F47">
        <w:rPr>
          <w:b/>
          <w:bCs/>
          <w:noProof/>
        </w:rPr>
        <w:t>rules and terms</w:t>
      </w:r>
      <w:r w:rsidR="004C22C0" w:rsidRPr="005A3F47">
        <w:rPr>
          <w:noProof/>
        </w:rPr>
        <w:t xml:space="preserve"> </w:t>
      </w:r>
      <w:r w:rsidR="00D854A5" w:rsidRPr="005A3F47">
        <w:rPr>
          <w:noProof/>
        </w:rPr>
        <w:t>where needed</w:t>
      </w:r>
      <w:r w:rsidR="00B35558" w:rsidRPr="005A3F47">
        <w:rPr>
          <w:noProof/>
        </w:rPr>
        <w:t>.</w:t>
      </w:r>
      <w:r w:rsidR="00201507" w:rsidRPr="005A3F47">
        <w:rPr>
          <w:noProof/>
        </w:rPr>
        <w:t xml:space="preserve"> Ambiguities in legal drafting lead to divergent national interpretations</w:t>
      </w:r>
      <w:r w:rsidR="00B517C8" w:rsidRPr="005A3F47">
        <w:rPr>
          <w:noProof/>
        </w:rPr>
        <w:t xml:space="preserve">, </w:t>
      </w:r>
      <w:r w:rsidR="13624845" w:rsidRPr="005A3F47">
        <w:rPr>
          <w:noProof/>
        </w:rPr>
        <w:t xml:space="preserve">complex </w:t>
      </w:r>
      <w:r w:rsidR="00B517C8" w:rsidRPr="005A3F47">
        <w:rPr>
          <w:noProof/>
        </w:rPr>
        <w:t>heterogeneous administrative practice,</w:t>
      </w:r>
      <w:r w:rsidR="00201507" w:rsidRPr="005A3F47">
        <w:rPr>
          <w:noProof/>
        </w:rPr>
        <w:t xml:space="preserve"> </w:t>
      </w:r>
      <w:r w:rsidR="1880D677" w:rsidRPr="005A3F47">
        <w:rPr>
          <w:noProof/>
        </w:rPr>
        <w:t xml:space="preserve">double taxation, </w:t>
      </w:r>
      <w:r w:rsidR="00201507" w:rsidRPr="005A3F47">
        <w:rPr>
          <w:noProof/>
        </w:rPr>
        <w:t>increased litigation</w:t>
      </w:r>
      <w:r w:rsidR="00B517C8" w:rsidRPr="005A3F47">
        <w:rPr>
          <w:noProof/>
        </w:rPr>
        <w:t xml:space="preserve"> risks, and precautionary over-documentation</w:t>
      </w:r>
      <w:r w:rsidR="006F7C15" w:rsidRPr="005A3F47">
        <w:rPr>
          <w:noProof/>
        </w:rPr>
        <w:t xml:space="preserve">, causing </w:t>
      </w:r>
      <w:r w:rsidR="00BB5CEC" w:rsidRPr="005A3F47">
        <w:rPr>
          <w:noProof/>
        </w:rPr>
        <w:t xml:space="preserve">legal </w:t>
      </w:r>
      <w:r w:rsidR="006F7C15" w:rsidRPr="005A3F47">
        <w:rPr>
          <w:noProof/>
        </w:rPr>
        <w:t>un</w:t>
      </w:r>
      <w:r w:rsidR="00BB5CEC" w:rsidRPr="005A3F47">
        <w:rPr>
          <w:noProof/>
        </w:rPr>
        <w:t>certainty</w:t>
      </w:r>
      <w:r w:rsidR="00EA6DCE" w:rsidRPr="005A3F47">
        <w:rPr>
          <w:noProof/>
        </w:rPr>
        <w:t xml:space="preserve"> which </w:t>
      </w:r>
      <w:r w:rsidR="00790F77" w:rsidRPr="005A3F47">
        <w:rPr>
          <w:noProof/>
        </w:rPr>
        <w:t xml:space="preserve">adversely affect </w:t>
      </w:r>
      <w:r w:rsidR="00615E2B" w:rsidRPr="005A3F47">
        <w:rPr>
          <w:noProof/>
        </w:rPr>
        <w:t>tax standards and</w:t>
      </w:r>
      <w:r w:rsidR="00790F77" w:rsidRPr="005A3F47">
        <w:rPr>
          <w:noProof/>
        </w:rPr>
        <w:t xml:space="preserve"> </w:t>
      </w:r>
      <w:r w:rsidR="00EA6DCE" w:rsidRPr="005A3F47">
        <w:rPr>
          <w:noProof/>
        </w:rPr>
        <w:t>business decisions</w:t>
      </w:r>
      <w:r w:rsidR="00156764" w:rsidRPr="005A3F47">
        <w:rPr>
          <w:noProof/>
        </w:rPr>
        <w:t xml:space="preserve"> in the internal market</w:t>
      </w:r>
      <w:r w:rsidR="00EA6DCE" w:rsidRPr="005A3F47">
        <w:rPr>
          <w:noProof/>
        </w:rPr>
        <w:t>.</w:t>
      </w:r>
    </w:p>
    <w:p w14:paraId="592C7A60" w14:textId="309F7B34" w:rsidR="00900FD4" w:rsidRPr="005A3F47" w:rsidRDefault="00285AAA" w:rsidP="000E3086">
      <w:pPr>
        <w:rPr>
          <w:noProof/>
        </w:rPr>
      </w:pPr>
      <w:r w:rsidRPr="005A3F47">
        <w:rPr>
          <w:noProof/>
        </w:rPr>
        <w:t xml:space="preserve">Thirdly, </w:t>
      </w:r>
      <w:r w:rsidR="00772DCD" w:rsidRPr="005A3F47">
        <w:rPr>
          <w:noProof/>
        </w:rPr>
        <w:t>t</w:t>
      </w:r>
      <w:r w:rsidR="00900FD4" w:rsidRPr="005A3F47">
        <w:rPr>
          <w:noProof/>
        </w:rPr>
        <w:t xml:space="preserve">he initiative also aims to </w:t>
      </w:r>
      <w:r w:rsidR="007A7A12" w:rsidRPr="005A3F47">
        <w:rPr>
          <w:b/>
          <w:noProof/>
        </w:rPr>
        <w:t>improve consistency</w:t>
      </w:r>
      <w:r w:rsidR="008215CB" w:rsidRPr="005A3F47">
        <w:rPr>
          <w:b/>
          <w:noProof/>
        </w:rPr>
        <w:t xml:space="preserve"> in the</w:t>
      </w:r>
      <w:r w:rsidR="00F2313D" w:rsidRPr="005A3F47">
        <w:rPr>
          <w:b/>
          <w:noProof/>
        </w:rPr>
        <w:t xml:space="preserve"> application </w:t>
      </w:r>
      <w:r w:rsidR="00A62B0F" w:rsidRPr="005A3F47">
        <w:rPr>
          <w:b/>
          <w:noProof/>
        </w:rPr>
        <w:t xml:space="preserve">of </w:t>
      </w:r>
      <w:r w:rsidR="00F2313D" w:rsidRPr="005A3F47">
        <w:rPr>
          <w:b/>
          <w:noProof/>
        </w:rPr>
        <w:t xml:space="preserve">the </w:t>
      </w:r>
      <w:r w:rsidR="00E925A2" w:rsidRPr="005A3F47">
        <w:rPr>
          <w:b/>
          <w:noProof/>
        </w:rPr>
        <w:t>existing tax</w:t>
      </w:r>
      <w:r w:rsidR="00F2313D" w:rsidRPr="005A3F47">
        <w:rPr>
          <w:b/>
          <w:noProof/>
        </w:rPr>
        <w:t xml:space="preserve"> Directives</w:t>
      </w:r>
      <w:r w:rsidR="00352952" w:rsidRPr="005A3F47">
        <w:rPr>
          <w:bCs/>
          <w:noProof/>
        </w:rPr>
        <w:t>.</w:t>
      </w:r>
      <w:r w:rsidR="00900FD4" w:rsidRPr="005A3F47">
        <w:rPr>
          <w:noProof/>
        </w:rPr>
        <w:t xml:space="preserve"> </w:t>
      </w:r>
      <w:r w:rsidR="00E70196" w:rsidRPr="005A3F47">
        <w:rPr>
          <w:noProof/>
        </w:rPr>
        <w:t>D</w:t>
      </w:r>
      <w:r w:rsidR="00682CA0" w:rsidRPr="005A3F47">
        <w:rPr>
          <w:noProof/>
        </w:rPr>
        <w:t xml:space="preserve">iscretionary implementation </w:t>
      </w:r>
      <w:r w:rsidR="006E23DE" w:rsidRPr="005A3F47">
        <w:rPr>
          <w:noProof/>
        </w:rPr>
        <w:t>has resulted in significant</w:t>
      </w:r>
      <w:r w:rsidR="00E70196" w:rsidRPr="005A3F47">
        <w:rPr>
          <w:noProof/>
        </w:rPr>
        <w:t xml:space="preserve"> fragmentation </w:t>
      </w:r>
      <w:r w:rsidR="006E23DE" w:rsidRPr="005A3F47">
        <w:rPr>
          <w:noProof/>
        </w:rPr>
        <w:t xml:space="preserve">in </w:t>
      </w:r>
      <w:r w:rsidR="00470A3E" w:rsidRPr="005A3F47">
        <w:rPr>
          <w:noProof/>
        </w:rPr>
        <w:t xml:space="preserve">the </w:t>
      </w:r>
      <w:r w:rsidR="006E23DE" w:rsidRPr="005A3F47">
        <w:rPr>
          <w:noProof/>
        </w:rPr>
        <w:t>application</w:t>
      </w:r>
      <w:r w:rsidR="002F1083" w:rsidRPr="005A3F47">
        <w:rPr>
          <w:noProof/>
        </w:rPr>
        <w:t xml:space="preserve"> of the </w:t>
      </w:r>
      <w:r w:rsidR="00092EF2" w:rsidRPr="005A3F47">
        <w:rPr>
          <w:noProof/>
        </w:rPr>
        <w:t>EU tax</w:t>
      </w:r>
      <w:r w:rsidR="002F1083" w:rsidRPr="005A3F47">
        <w:rPr>
          <w:noProof/>
        </w:rPr>
        <w:t xml:space="preserve"> rules</w:t>
      </w:r>
      <w:r w:rsidR="006E23DE" w:rsidRPr="005A3F47">
        <w:rPr>
          <w:noProof/>
        </w:rPr>
        <w:t xml:space="preserve">, undermining </w:t>
      </w:r>
      <w:r w:rsidR="0092735F" w:rsidRPr="005A3F47">
        <w:rPr>
          <w:noProof/>
        </w:rPr>
        <w:t xml:space="preserve">the </w:t>
      </w:r>
      <w:r w:rsidR="008331E7" w:rsidRPr="005A3F47">
        <w:rPr>
          <w:noProof/>
        </w:rPr>
        <w:t>original</w:t>
      </w:r>
      <w:r w:rsidR="0092735F" w:rsidRPr="005A3F47">
        <w:rPr>
          <w:noProof/>
        </w:rPr>
        <w:t xml:space="preserve"> objectives for having the </w:t>
      </w:r>
      <w:r w:rsidR="00116FF3" w:rsidRPr="005A3F47">
        <w:rPr>
          <w:noProof/>
        </w:rPr>
        <w:t xml:space="preserve">existing </w:t>
      </w:r>
      <w:r w:rsidR="0092735F" w:rsidRPr="005A3F47">
        <w:rPr>
          <w:noProof/>
        </w:rPr>
        <w:t>Directives</w:t>
      </w:r>
      <w:r w:rsidR="008B6557" w:rsidRPr="005A3F47">
        <w:rPr>
          <w:noProof/>
        </w:rPr>
        <w:t>, such as equal tax treatment</w:t>
      </w:r>
      <w:r w:rsidR="00307E75" w:rsidRPr="005A3F47">
        <w:rPr>
          <w:noProof/>
        </w:rPr>
        <w:t xml:space="preserve"> across the EU</w:t>
      </w:r>
      <w:r w:rsidR="006C7B08" w:rsidRPr="005A3F47">
        <w:rPr>
          <w:noProof/>
        </w:rPr>
        <w:t>.</w:t>
      </w:r>
      <w:r w:rsidR="001E13BC" w:rsidRPr="005A3F47">
        <w:rPr>
          <w:noProof/>
        </w:rPr>
        <w:t xml:space="preserve"> Substantial and procedural inconsistencies in the application of different Directives also hinder their effective application. </w:t>
      </w:r>
    </w:p>
    <w:p w14:paraId="47F15931" w14:textId="53C1D8C5" w:rsidR="00772DCD" w:rsidRPr="005A3F47" w:rsidRDefault="00285AAA" w:rsidP="000E3086">
      <w:pPr>
        <w:rPr>
          <w:noProof/>
        </w:rPr>
      </w:pPr>
      <w:r w:rsidRPr="005A3F47">
        <w:rPr>
          <w:noProof/>
        </w:rPr>
        <w:t>Finally</w:t>
      </w:r>
      <w:r w:rsidR="00772DCD" w:rsidRPr="005A3F47">
        <w:rPr>
          <w:noProof/>
        </w:rPr>
        <w:t xml:space="preserve">, the initiative </w:t>
      </w:r>
      <w:r w:rsidR="0022382B" w:rsidRPr="005A3F47">
        <w:rPr>
          <w:noProof/>
        </w:rPr>
        <w:t>should</w:t>
      </w:r>
      <w:r w:rsidR="00772DCD" w:rsidRPr="005A3F47">
        <w:rPr>
          <w:noProof/>
        </w:rPr>
        <w:t xml:space="preserve"> </w:t>
      </w:r>
      <w:r w:rsidR="00EE7C55" w:rsidRPr="005A3F47">
        <w:rPr>
          <w:b/>
          <w:noProof/>
        </w:rPr>
        <w:t>reduce remaining tax obstacles to cross-border investment and commercial activity</w:t>
      </w:r>
      <w:r w:rsidR="00772DCD" w:rsidRPr="005A3F47">
        <w:rPr>
          <w:b/>
          <w:noProof/>
        </w:rPr>
        <w:t>.</w:t>
      </w:r>
      <w:r w:rsidR="0022382B" w:rsidRPr="005A3F47">
        <w:rPr>
          <w:noProof/>
        </w:rPr>
        <w:t xml:space="preserve"> </w:t>
      </w:r>
      <w:r w:rsidR="00BD545E" w:rsidRPr="005A3F47">
        <w:rPr>
          <w:noProof/>
        </w:rPr>
        <w:t xml:space="preserve">Limitations </w:t>
      </w:r>
      <w:r w:rsidR="00364CFD" w:rsidRPr="005A3F47">
        <w:rPr>
          <w:noProof/>
        </w:rPr>
        <w:t>in</w:t>
      </w:r>
      <w:r w:rsidR="00BD545E" w:rsidRPr="005A3F47">
        <w:rPr>
          <w:noProof/>
        </w:rPr>
        <w:t xml:space="preserve"> the current </w:t>
      </w:r>
      <w:r w:rsidR="00EB7CEE" w:rsidRPr="005A3F47">
        <w:rPr>
          <w:noProof/>
        </w:rPr>
        <w:t xml:space="preserve">level of harmonisation of the EU tax </w:t>
      </w:r>
      <w:r w:rsidR="00364CFD" w:rsidRPr="005A3F47">
        <w:rPr>
          <w:noProof/>
        </w:rPr>
        <w:t>rules</w:t>
      </w:r>
      <w:r w:rsidR="00EC343E" w:rsidRPr="005A3F47">
        <w:rPr>
          <w:noProof/>
        </w:rPr>
        <w:t xml:space="preserve"> </w:t>
      </w:r>
      <w:r w:rsidR="00117D8D" w:rsidRPr="005A3F47">
        <w:rPr>
          <w:noProof/>
        </w:rPr>
        <w:t xml:space="preserve">are </w:t>
      </w:r>
      <w:r w:rsidR="00402C50" w:rsidRPr="005A3F47">
        <w:rPr>
          <w:noProof/>
        </w:rPr>
        <w:t>counterproductive for making business in the EU easier</w:t>
      </w:r>
      <w:r w:rsidR="00A75305" w:rsidRPr="005A3F47">
        <w:rPr>
          <w:noProof/>
        </w:rPr>
        <w:t>. Lack of coordination in the Member States</w:t>
      </w:r>
      <w:r w:rsidR="00CA1615" w:rsidRPr="005A3F47">
        <w:rPr>
          <w:noProof/>
        </w:rPr>
        <w:t xml:space="preserve"> put</w:t>
      </w:r>
      <w:r w:rsidR="00DD2DD0" w:rsidRPr="005A3F47">
        <w:rPr>
          <w:noProof/>
        </w:rPr>
        <w:t>s</w:t>
      </w:r>
      <w:r w:rsidR="00CA1615" w:rsidRPr="005A3F47">
        <w:rPr>
          <w:noProof/>
        </w:rPr>
        <w:t xml:space="preserve"> </w:t>
      </w:r>
      <w:r w:rsidR="000B014D" w:rsidRPr="005A3F47">
        <w:rPr>
          <w:noProof/>
        </w:rPr>
        <w:t xml:space="preserve">EU businesses in a worse </w:t>
      </w:r>
      <w:r w:rsidR="00087E78" w:rsidRPr="005A3F47">
        <w:rPr>
          <w:noProof/>
        </w:rPr>
        <w:t xml:space="preserve">competitive </w:t>
      </w:r>
      <w:r w:rsidR="000B014D" w:rsidRPr="005A3F47">
        <w:rPr>
          <w:noProof/>
        </w:rPr>
        <w:t>position than other businesses operating in big</w:t>
      </w:r>
      <w:r w:rsidR="00B90280" w:rsidRPr="005A3F47">
        <w:rPr>
          <w:noProof/>
        </w:rPr>
        <w:t>, comparable</w:t>
      </w:r>
      <w:r w:rsidR="000B014D" w:rsidRPr="005A3F47">
        <w:rPr>
          <w:noProof/>
        </w:rPr>
        <w:t xml:space="preserve"> market jurisdictions</w:t>
      </w:r>
      <w:r w:rsidR="009C5E18" w:rsidRPr="005A3F47">
        <w:rPr>
          <w:noProof/>
        </w:rPr>
        <w:t xml:space="preserve"> and </w:t>
      </w:r>
      <w:r w:rsidR="008A152F" w:rsidRPr="005A3F47">
        <w:rPr>
          <w:noProof/>
        </w:rPr>
        <w:t>weakens</w:t>
      </w:r>
      <w:r w:rsidR="009C5E18" w:rsidRPr="005A3F47">
        <w:rPr>
          <w:noProof/>
        </w:rPr>
        <w:t xml:space="preserve"> </w:t>
      </w:r>
      <w:r w:rsidR="00837EAA" w:rsidRPr="005A3F47">
        <w:rPr>
          <w:noProof/>
        </w:rPr>
        <w:t xml:space="preserve">the </w:t>
      </w:r>
      <w:r w:rsidR="009513ED" w:rsidRPr="005A3F47">
        <w:rPr>
          <w:noProof/>
        </w:rPr>
        <w:t xml:space="preserve">growth </w:t>
      </w:r>
      <w:r w:rsidR="008A152F" w:rsidRPr="005A3F47">
        <w:rPr>
          <w:noProof/>
        </w:rPr>
        <w:t>prospects</w:t>
      </w:r>
      <w:r w:rsidR="009513ED" w:rsidRPr="005A3F47">
        <w:rPr>
          <w:noProof/>
        </w:rPr>
        <w:t xml:space="preserve"> </w:t>
      </w:r>
      <w:r w:rsidR="00B90280" w:rsidRPr="005A3F47">
        <w:rPr>
          <w:noProof/>
        </w:rPr>
        <w:t xml:space="preserve">of </w:t>
      </w:r>
      <w:r w:rsidR="00837EAA" w:rsidRPr="005A3F47">
        <w:rPr>
          <w:noProof/>
        </w:rPr>
        <w:t xml:space="preserve">the </w:t>
      </w:r>
      <w:r w:rsidR="008F2FB2" w:rsidRPr="005A3F47">
        <w:rPr>
          <w:noProof/>
        </w:rPr>
        <w:t>internal market</w:t>
      </w:r>
      <w:r w:rsidR="00B90280" w:rsidRPr="005A3F47">
        <w:rPr>
          <w:noProof/>
        </w:rPr>
        <w:t>,</w:t>
      </w:r>
      <w:r w:rsidR="00837EAA" w:rsidRPr="005A3F47">
        <w:rPr>
          <w:noProof/>
        </w:rPr>
        <w:t xml:space="preserve"> </w:t>
      </w:r>
      <w:r w:rsidR="008D2F5B" w:rsidRPr="005A3F47">
        <w:rPr>
          <w:noProof/>
        </w:rPr>
        <w:t xml:space="preserve">which makes it </w:t>
      </w:r>
      <w:r w:rsidR="00837EAA" w:rsidRPr="005A3F47">
        <w:rPr>
          <w:noProof/>
        </w:rPr>
        <w:t xml:space="preserve">less attractive </w:t>
      </w:r>
      <w:r w:rsidR="008F2FB2" w:rsidRPr="005A3F47">
        <w:rPr>
          <w:noProof/>
        </w:rPr>
        <w:t xml:space="preserve">to </w:t>
      </w:r>
      <w:r w:rsidR="00920366" w:rsidRPr="005A3F47">
        <w:rPr>
          <w:noProof/>
        </w:rPr>
        <w:t>inv</w:t>
      </w:r>
      <w:r w:rsidR="007226F6" w:rsidRPr="005A3F47">
        <w:rPr>
          <w:noProof/>
        </w:rPr>
        <w:t>estment</w:t>
      </w:r>
      <w:r w:rsidR="008F2FB2" w:rsidRPr="005A3F47">
        <w:rPr>
          <w:noProof/>
        </w:rPr>
        <w:t xml:space="preserve"> in the EU.</w:t>
      </w:r>
    </w:p>
    <w:p w14:paraId="44B3C109" w14:textId="77777777" w:rsidR="006B087E" w:rsidRPr="005A3F47" w:rsidRDefault="006B087E" w:rsidP="00FD7621">
      <w:pPr>
        <w:pStyle w:val="Heading1"/>
        <w:numPr>
          <w:ilvl w:val="0"/>
          <w:numId w:val="185"/>
        </w:numPr>
        <w:rPr>
          <w:noProof/>
        </w:rPr>
      </w:pPr>
      <w:bookmarkStart w:id="68" w:name="_Toc226466601"/>
      <w:bookmarkStart w:id="69" w:name="_Toc226466812"/>
      <w:bookmarkStart w:id="70" w:name="_Toc226467173"/>
      <w:bookmarkStart w:id="71" w:name="_Toc226467273"/>
      <w:bookmarkStart w:id="72" w:name="_Toc226467492"/>
      <w:bookmarkStart w:id="73" w:name="_Ref226473863"/>
      <w:bookmarkStart w:id="74" w:name="_Ref226473885"/>
      <w:bookmarkStart w:id="75" w:name="_Ref226473898"/>
      <w:bookmarkStart w:id="76" w:name="_Toc230258045"/>
      <w:r w:rsidRPr="005A3F47">
        <w:rPr>
          <w:noProof/>
        </w:rPr>
        <w:t>What are the available policy options?</w:t>
      </w:r>
      <w:bookmarkEnd w:id="68"/>
      <w:bookmarkEnd w:id="69"/>
      <w:bookmarkEnd w:id="70"/>
      <w:bookmarkEnd w:id="71"/>
      <w:bookmarkEnd w:id="72"/>
      <w:bookmarkEnd w:id="73"/>
      <w:bookmarkEnd w:id="74"/>
      <w:bookmarkEnd w:id="75"/>
      <w:bookmarkEnd w:id="76"/>
    </w:p>
    <w:p w14:paraId="5B63EA95" w14:textId="3ACDEFD4" w:rsidR="006B087E" w:rsidRPr="005A3F47" w:rsidRDefault="00C95F5D" w:rsidP="000E3086">
      <w:pPr>
        <w:rPr>
          <w:noProof/>
        </w:rPr>
      </w:pPr>
      <w:r w:rsidRPr="005A3F47">
        <w:rPr>
          <w:noProof/>
        </w:rPr>
        <w:t>This section outlines</w:t>
      </w:r>
      <w:r w:rsidR="00F61351" w:rsidRPr="005A3F47">
        <w:rPr>
          <w:noProof/>
        </w:rPr>
        <w:t xml:space="preserve"> the </w:t>
      </w:r>
      <w:r w:rsidR="000357DD" w:rsidRPr="005A3F47">
        <w:rPr>
          <w:noProof/>
        </w:rPr>
        <w:t>EU acquis in the area of direct taxation f</w:t>
      </w:r>
      <w:r w:rsidR="00241E2E" w:rsidRPr="005A3F47">
        <w:rPr>
          <w:noProof/>
        </w:rPr>
        <w:t>ocusing on</w:t>
      </w:r>
      <w:r w:rsidRPr="005A3F47">
        <w:rPr>
          <w:noProof/>
        </w:rPr>
        <w:t xml:space="preserve"> a number of existing rules </w:t>
      </w:r>
      <w:r w:rsidR="001A16BF" w:rsidRPr="005A3F47">
        <w:rPr>
          <w:noProof/>
        </w:rPr>
        <w:t>that</w:t>
      </w:r>
      <w:r w:rsidRPr="005A3F47">
        <w:rPr>
          <w:noProof/>
        </w:rPr>
        <w:t xml:space="preserve"> can be linked to the problem drivers, i.e., inconsistent application and outdated or overlapping</w:t>
      </w:r>
      <w:r w:rsidR="0091575A" w:rsidRPr="005A3F47">
        <w:rPr>
          <w:noProof/>
        </w:rPr>
        <w:t xml:space="preserve"> rules</w:t>
      </w:r>
      <w:r w:rsidRPr="005A3F47">
        <w:rPr>
          <w:noProof/>
        </w:rPr>
        <w:t>, which the Omnibus on Taxation seeks to address. The rules</w:t>
      </w:r>
      <w:r w:rsidR="008B1841" w:rsidRPr="005A3F47">
        <w:rPr>
          <w:noProof/>
        </w:rPr>
        <w:t xml:space="preserve"> in question</w:t>
      </w:r>
      <w:r w:rsidRPr="005A3F47">
        <w:rPr>
          <w:noProof/>
        </w:rPr>
        <w:t xml:space="preserve"> have been selected on the basis of </w:t>
      </w:r>
      <w:r w:rsidR="000255F4" w:rsidRPr="005A3F47">
        <w:rPr>
          <w:noProof/>
        </w:rPr>
        <w:t>th</w:t>
      </w:r>
      <w:r w:rsidR="57DA750B" w:rsidRPr="005A3F47">
        <w:rPr>
          <w:noProof/>
        </w:rPr>
        <w:t>o</w:t>
      </w:r>
      <w:r w:rsidR="000255F4" w:rsidRPr="005A3F47">
        <w:rPr>
          <w:noProof/>
        </w:rPr>
        <w:t>rough</w:t>
      </w:r>
      <w:r w:rsidRPr="005A3F47">
        <w:rPr>
          <w:noProof/>
        </w:rPr>
        <w:t xml:space="preserve"> analysis</w:t>
      </w:r>
      <w:r w:rsidR="00C12F6D" w:rsidRPr="005A3F47">
        <w:rPr>
          <w:noProof/>
        </w:rPr>
        <w:t>, positions shared by Member States,</w:t>
      </w:r>
      <w:r w:rsidRPr="005A3F47">
        <w:rPr>
          <w:noProof/>
        </w:rPr>
        <w:t xml:space="preserve"> </w:t>
      </w:r>
      <w:r w:rsidR="000255F4" w:rsidRPr="005A3F47">
        <w:rPr>
          <w:noProof/>
        </w:rPr>
        <w:t xml:space="preserve">a dedicated </w:t>
      </w:r>
      <w:r w:rsidR="0062038A" w:rsidRPr="005A3F47">
        <w:rPr>
          <w:noProof/>
        </w:rPr>
        <w:t>evaluation</w:t>
      </w:r>
      <w:r w:rsidR="000255F4" w:rsidRPr="005A3F47">
        <w:rPr>
          <w:noProof/>
        </w:rPr>
        <w:t xml:space="preserve">, </w:t>
      </w:r>
      <w:r w:rsidRPr="005A3F47">
        <w:rPr>
          <w:noProof/>
        </w:rPr>
        <w:t xml:space="preserve">and feedback gathered through </w:t>
      </w:r>
      <w:r w:rsidR="00C12F6D" w:rsidRPr="005A3F47">
        <w:rPr>
          <w:noProof/>
        </w:rPr>
        <w:t>different</w:t>
      </w:r>
      <w:r w:rsidRPr="005A3F47">
        <w:rPr>
          <w:noProof/>
        </w:rPr>
        <w:t xml:space="preserve"> stakeholder consultations, including the main business associations.</w:t>
      </w:r>
      <w:r w:rsidR="00C70C19" w:rsidRPr="005A3F47">
        <w:rPr>
          <w:noProof/>
        </w:rPr>
        <w:t xml:space="preserve"> </w:t>
      </w:r>
      <w:r w:rsidR="00F514C4" w:rsidRPr="005A3F47">
        <w:rPr>
          <w:noProof/>
        </w:rPr>
        <w:t>Consequently, t</w:t>
      </w:r>
      <w:r w:rsidR="00087BA4" w:rsidRPr="005A3F47">
        <w:rPr>
          <w:noProof/>
        </w:rPr>
        <w:t>h</w:t>
      </w:r>
      <w:r w:rsidR="00F514C4" w:rsidRPr="005A3F47">
        <w:rPr>
          <w:noProof/>
        </w:rPr>
        <w:t>is</w:t>
      </w:r>
      <w:r w:rsidR="00F11BF8" w:rsidRPr="005A3F47">
        <w:rPr>
          <w:noProof/>
        </w:rPr>
        <w:t xml:space="preserve"> </w:t>
      </w:r>
      <w:r w:rsidR="00AB0959" w:rsidRPr="005A3F47">
        <w:rPr>
          <w:noProof/>
        </w:rPr>
        <w:t>section</w:t>
      </w:r>
      <w:r w:rsidR="00F11BF8" w:rsidRPr="005A3F47">
        <w:rPr>
          <w:noProof/>
        </w:rPr>
        <w:t xml:space="preserve"> will</w:t>
      </w:r>
      <w:r w:rsidR="001D0FFB" w:rsidRPr="005A3F47">
        <w:rPr>
          <w:noProof/>
        </w:rPr>
        <w:t xml:space="preserve"> </w:t>
      </w:r>
      <w:r w:rsidR="00F514C4" w:rsidRPr="005A3F47">
        <w:rPr>
          <w:noProof/>
        </w:rPr>
        <w:t>focus on</w:t>
      </w:r>
      <w:r w:rsidR="007A519B" w:rsidRPr="005A3F47">
        <w:rPr>
          <w:noProof/>
        </w:rPr>
        <w:t xml:space="preserve"> </w:t>
      </w:r>
      <w:r w:rsidR="00A07095" w:rsidRPr="005A3F47">
        <w:rPr>
          <w:noProof/>
        </w:rPr>
        <w:t>the</w:t>
      </w:r>
      <w:r w:rsidR="007E174D" w:rsidRPr="005A3F47">
        <w:rPr>
          <w:noProof/>
        </w:rPr>
        <w:t xml:space="preserve"> current rules</w:t>
      </w:r>
      <w:r w:rsidR="00EF4E47" w:rsidRPr="005A3F47">
        <w:rPr>
          <w:noProof/>
        </w:rPr>
        <w:t xml:space="preserve"> </w:t>
      </w:r>
      <w:r w:rsidR="007E174D" w:rsidRPr="005A3F47">
        <w:rPr>
          <w:noProof/>
        </w:rPr>
        <w:t xml:space="preserve">that </w:t>
      </w:r>
      <w:r w:rsidR="0062038A" w:rsidRPr="005A3F47">
        <w:rPr>
          <w:noProof/>
        </w:rPr>
        <w:t>are linked to identified problems</w:t>
      </w:r>
      <w:r w:rsidR="00443487" w:rsidRPr="005A3F47">
        <w:rPr>
          <w:noProof/>
        </w:rPr>
        <w:t xml:space="preserve"> </w:t>
      </w:r>
      <w:r w:rsidR="0062038A" w:rsidRPr="005A3F47">
        <w:rPr>
          <w:noProof/>
        </w:rPr>
        <w:t xml:space="preserve">which </w:t>
      </w:r>
      <w:r w:rsidR="00E5140C" w:rsidRPr="005A3F47">
        <w:rPr>
          <w:noProof/>
        </w:rPr>
        <w:t xml:space="preserve">could </w:t>
      </w:r>
      <w:r w:rsidR="00A07095" w:rsidRPr="005A3F47">
        <w:rPr>
          <w:noProof/>
        </w:rPr>
        <w:t>only</w:t>
      </w:r>
      <w:r w:rsidR="00E5140C" w:rsidRPr="005A3F47">
        <w:rPr>
          <w:noProof/>
        </w:rPr>
        <w:t xml:space="preserve"> be add</w:t>
      </w:r>
      <w:r w:rsidR="00B66B82" w:rsidRPr="005A3F47">
        <w:rPr>
          <w:noProof/>
        </w:rPr>
        <w:t xml:space="preserve">ressed by legislative action. Other problems </w:t>
      </w:r>
      <w:r w:rsidR="00AB0959" w:rsidRPr="005A3F47">
        <w:rPr>
          <w:noProof/>
        </w:rPr>
        <w:t>that</w:t>
      </w:r>
      <w:r w:rsidR="00004596" w:rsidRPr="005A3F47">
        <w:rPr>
          <w:noProof/>
        </w:rPr>
        <w:t xml:space="preserve"> </w:t>
      </w:r>
      <w:r w:rsidR="00B66B82" w:rsidRPr="005A3F47">
        <w:rPr>
          <w:noProof/>
        </w:rPr>
        <w:t xml:space="preserve">have been identified e.g., in the stakeholder </w:t>
      </w:r>
      <w:r w:rsidR="00B309D5" w:rsidRPr="005A3F47">
        <w:rPr>
          <w:noProof/>
        </w:rPr>
        <w:t>cons</w:t>
      </w:r>
      <w:r w:rsidR="00AB0959" w:rsidRPr="005A3F47">
        <w:rPr>
          <w:noProof/>
        </w:rPr>
        <w:t>ulta</w:t>
      </w:r>
      <w:r w:rsidR="00B309D5" w:rsidRPr="005A3F47">
        <w:rPr>
          <w:noProof/>
        </w:rPr>
        <w:t>tions</w:t>
      </w:r>
      <w:r w:rsidR="00B66B82" w:rsidRPr="005A3F47">
        <w:rPr>
          <w:noProof/>
        </w:rPr>
        <w:t xml:space="preserve"> or in the ATAD evaluation, </w:t>
      </w:r>
      <w:r w:rsidR="00004596" w:rsidRPr="005A3F47">
        <w:rPr>
          <w:noProof/>
        </w:rPr>
        <w:t xml:space="preserve">that could be addressed by soft law initiatives, such as </w:t>
      </w:r>
      <w:r w:rsidR="0049687F" w:rsidRPr="005A3F47">
        <w:rPr>
          <w:noProof/>
        </w:rPr>
        <w:t xml:space="preserve">administrative </w:t>
      </w:r>
      <w:r w:rsidR="00004596" w:rsidRPr="005A3F47">
        <w:rPr>
          <w:noProof/>
        </w:rPr>
        <w:t xml:space="preserve">guidance, </w:t>
      </w:r>
      <w:r w:rsidR="0049687F" w:rsidRPr="005A3F47">
        <w:rPr>
          <w:noProof/>
        </w:rPr>
        <w:t>will</w:t>
      </w:r>
      <w:r w:rsidR="00A07095" w:rsidRPr="005A3F47">
        <w:rPr>
          <w:noProof/>
        </w:rPr>
        <w:t xml:space="preserve"> not feature in the report. </w:t>
      </w:r>
      <w:r w:rsidR="00594D8C" w:rsidRPr="005A3F47">
        <w:rPr>
          <w:noProof/>
        </w:rPr>
        <w:t>After</w:t>
      </w:r>
      <w:r w:rsidR="008D414F" w:rsidRPr="005A3F47">
        <w:rPr>
          <w:noProof/>
        </w:rPr>
        <w:t xml:space="preserve"> </w:t>
      </w:r>
      <w:r w:rsidR="005F12F5" w:rsidRPr="005A3F47">
        <w:rPr>
          <w:noProof/>
        </w:rPr>
        <w:t xml:space="preserve">the presentation of the current rules </w:t>
      </w:r>
      <w:r w:rsidR="00594D8C" w:rsidRPr="005A3F47">
        <w:rPr>
          <w:noProof/>
        </w:rPr>
        <w:t xml:space="preserve">linked to the </w:t>
      </w:r>
      <w:r w:rsidR="005F12F5" w:rsidRPr="005A3F47">
        <w:rPr>
          <w:noProof/>
        </w:rPr>
        <w:t>identified problems</w:t>
      </w:r>
      <w:r w:rsidR="00594D8C" w:rsidRPr="005A3F47">
        <w:rPr>
          <w:noProof/>
        </w:rPr>
        <w:t xml:space="preserve"> (the baseline)</w:t>
      </w:r>
      <w:r w:rsidR="00D76C3A" w:rsidRPr="005A3F47">
        <w:rPr>
          <w:noProof/>
        </w:rPr>
        <w:t xml:space="preserve">, different options for simplification of the rules will be </w:t>
      </w:r>
      <w:r w:rsidR="00212019" w:rsidRPr="005A3F47">
        <w:rPr>
          <w:noProof/>
        </w:rPr>
        <w:t>presented</w:t>
      </w:r>
      <w:r w:rsidR="00D76C3A" w:rsidRPr="005A3F47">
        <w:rPr>
          <w:noProof/>
        </w:rPr>
        <w:t>.</w:t>
      </w:r>
      <w:r w:rsidR="00C26452" w:rsidRPr="005A3F47">
        <w:rPr>
          <w:noProof/>
        </w:rPr>
        <w:t xml:space="preserve"> </w:t>
      </w:r>
    </w:p>
    <w:p w14:paraId="324B1E3F" w14:textId="1F13D52C" w:rsidR="006B087E" w:rsidRPr="005A3F47" w:rsidRDefault="00AE1C73" w:rsidP="00FD7621">
      <w:pPr>
        <w:pStyle w:val="Heading2"/>
        <w:numPr>
          <w:ilvl w:val="1"/>
          <w:numId w:val="185"/>
        </w:numPr>
        <w:rPr>
          <w:noProof/>
        </w:rPr>
      </w:pPr>
      <w:bookmarkStart w:id="77" w:name="_Ref226463057"/>
      <w:bookmarkStart w:id="78" w:name="_Toc226466813"/>
      <w:bookmarkStart w:id="79" w:name="_Toc226467174"/>
      <w:bookmarkStart w:id="80" w:name="_Toc226467274"/>
      <w:bookmarkStart w:id="81" w:name="_Toc226467493"/>
      <w:r w:rsidRPr="005A3F47">
        <w:rPr>
          <w:noProof/>
        </w:rPr>
        <w:t xml:space="preserve"> </w:t>
      </w:r>
      <w:r w:rsidR="006B087E" w:rsidRPr="005A3F47">
        <w:rPr>
          <w:noProof/>
        </w:rPr>
        <w:t>What is the baseline from which options are assessed?</w:t>
      </w:r>
      <w:bookmarkEnd w:id="77"/>
      <w:bookmarkEnd w:id="78"/>
      <w:bookmarkEnd w:id="79"/>
      <w:bookmarkEnd w:id="80"/>
      <w:bookmarkEnd w:id="81"/>
    </w:p>
    <w:p w14:paraId="3A17A2A1" w14:textId="4EC5D6FC" w:rsidR="00BE7FA5" w:rsidRPr="005A3F47" w:rsidRDefault="00BE7FA5" w:rsidP="00874072">
      <w:pPr>
        <w:pStyle w:val="Heading3"/>
        <w:numPr>
          <w:ilvl w:val="2"/>
          <w:numId w:val="185"/>
        </w:numPr>
        <w:rPr>
          <w:noProof/>
        </w:rPr>
      </w:pPr>
      <w:r w:rsidRPr="005A3F47">
        <w:rPr>
          <w:noProof/>
        </w:rPr>
        <w:t>Withholding tax exemption for payments of interests, royalties and dividends</w:t>
      </w:r>
    </w:p>
    <w:p w14:paraId="37C6D394" w14:textId="77777777" w:rsidR="00BE7FA5" w:rsidRPr="005A3F47" w:rsidRDefault="00BE7FA5" w:rsidP="00BE7FA5">
      <w:pPr>
        <w:rPr>
          <w:noProof/>
        </w:rPr>
      </w:pPr>
      <w:r w:rsidRPr="005A3F47" w:rsidDel="00B2749C">
        <w:rPr>
          <w:noProof/>
        </w:rPr>
        <w:t xml:space="preserve">According to the IRD, interest and royalty payments arising in one Member State are exempt from taxes imposed in that </w:t>
      </w:r>
      <w:r w:rsidRPr="005A3F47">
        <w:rPr>
          <w:noProof/>
        </w:rPr>
        <w:t>S</w:t>
      </w:r>
      <w:r w:rsidRPr="005A3F47" w:rsidDel="00B2749C">
        <w:rPr>
          <w:noProof/>
        </w:rPr>
        <w:t>tate provided that the beneficial owner is a</w:t>
      </w:r>
      <w:r w:rsidRPr="005A3F47">
        <w:rPr>
          <w:noProof/>
        </w:rPr>
        <w:t>n associated</w:t>
      </w:r>
      <w:r w:rsidRPr="005A3F47" w:rsidDel="00B2749C">
        <w:rPr>
          <w:noProof/>
        </w:rPr>
        <w:t xml:space="preserve"> company from another Member State or a permanent establishment situated in another Member State. </w:t>
      </w:r>
    </w:p>
    <w:p w14:paraId="61AFAD7B" w14:textId="77777777" w:rsidR="00BE7FA5" w:rsidRPr="005A3F47" w:rsidDel="00B2749C" w:rsidRDefault="00BE7FA5" w:rsidP="00BE7FA5">
      <w:pPr>
        <w:rPr>
          <w:noProof/>
        </w:rPr>
      </w:pPr>
      <w:r w:rsidRPr="005A3F47">
        <w:rPr>
          <w:noProof/>
        </w:rPr>
        <w:t>T</w:t>
      </w:r>
      <w:r w:rsidRPr="005A3F47" w:rsidDel="00B2749C">
        <w:rPr>
          <w:noProof/>
        </w:rPr>
        <w:t>he PSD</w:t>
      </w:r>
      <w:r w:rsidRPr="005A3F47">
        <w:rPr>
          <w:noProof/>
        </w:rPr>
        <w:t xml:space="preserve"> also</w:t>
      </w:r>
      <w:r w:rsidRPr="005A3F47" w:rsidDel="00B2749C">
        <w:rPr>
          <w:noProof/>
        </w:rPr>
        <w:t xml:space="preserve"> exempts dividends and other profit distributions paid by subsidiaries to parent companies in different Member States from withholding taxes at source and eliminates double taxation of such income at the level of the parent company</w:t>
      </w:r>
      <w:r w:rsidRPr="005A3F47">
        <w:rPr>
          <w:noProof/>
        </w:rPr>
        <w:t xml:space="preserve"> (participation exemption or relief by credit)</w:t>
      </w:r>
      <w:r w:rsidRPr="005A3F47" w:rsidDel="00B2749C">
        <w:rPr>
          <w:noProof/>
        </w:rPr>
        <w:t>.</w:t>
      </w:r>
      <w:r w:rsidRPr="005A3F47">
        <w:rPr>
          <w:noProof/>
        </w:rPr>
        <w:t xml:space="preserve"> </w:t>
      </w:r>
    </w:p>
    <w:p w14:paraId="7C673F32" w14:textId="77777777" w:rsidR="00BE7FA5" w:rsidRPr="005A3F47" w:rsidDel="00EC5B85" w:rsidRDefault="00BE7FA5" w:rsidP="00E823DC">
      <w:pPr>
        <w:pStyle w:val="Heading3"/>
        <w:numPr>
          <w:ilvl w:val="3"/>
          <w:numId w:val="185"/>
        </w:numPr>
        <w:rPr>
          <w:i w:val="0"/>
          <w:noProof/>
        </w:rPr>
      </w:pPr>
      <w:r w:rsidRPr="005A3F47" w:rsidDel="00EC5B85">
        <w:rPr>
          <w:i w:val="0"/>
          <w:noProof/>
        </w:rPr>
        <w:t xml:space="preserve"> Eligible companies</w:t>
      </w:r>
    </w:p>
    <w:p w14:paraId="1331DF37" w14:textId="77777777" w:rsidR="00BE7FA5" w:rsidRPr="005A3F47" w:rsidDel="00EC5B85" w:rsidRDefault="00BE7FA5" w:rsidP="00BE7FA5">
      <w:pPr>
        <w:rPr>
          <w:noProof/>
        </w:rPr>
      </w:pPr>
      <w:r w:rsidRPr="005A3F47">
        <w:rPr>
          <w:noProof/>
        </w:rPr>
        <w:t>T</w:t>
      </w:r>
      <w:r w:rsidRPr="005A3F47" w:rsidDel="00EC5B85">
        <w:rPr>
          <w:noProof/>
        </w:rPr>
        <w:t xml:space="preserve">he </w:t>
      </w:r>
      <w:r w:rsidRPr="005A3F47">
        <w:rPr>
          <w:noProof/>
        </w:rPr>
        <w:t xml:space="preserve">IRD and PSD </w:t>
      </w:r>
      <w:r w:rsidRPr="005A3F47" w:rsidDel="00EC5B85">
        <w:rPr>
          <w:noProof/>
        </w:rPr>
        <w:t xml:space="preserve">only apply to companies of a Member State. To be considered a ‘company of a Member State’, three cumulative conditions have to be fulfilled: (i) the company must take one of the legal forms which are listed in the Annex to each Directive, (ii) the company must be tax resident in a Member State, and (iii) the company must be subject to corporate tax in a Member State. </w:t>
      </w:r>
    </w:p>
    <w:p w14:paraId="7B4D0995" w14:textId="5FF1A275" w:rsidR="00BE7FA5" w:rsidRPr="005A3F47" w:rsidDel="00F600E5" w:rsidRDefault="00BE7FA5" w:rsidP="00BE7FA5">
      <w:pPr>
        <w:rPr>
          <w:noProof/>
        </w:rPr>
      </w:pPr>
      <w:r w:rsidRPr="005A3F47" w:rsidDel="00F600E5">
        <w:rPr>
          <w:noProof/>
        </w:rPr>
        <w:t>Regarding the eligible forms of companies listed in the Annexes</w:t>
      </w:r>
      <w:r w:rsidRPr="005A3F47">
        <w:rPr>
          <w:noProof/>
        </w:rPr>
        <w:t xml:space="preserve"> </w:t>
      </w:r>
      <w:r w:rsidRPr="005A3F47" w:rsidDel="00F600E5">
        <w:rPr>
          <w:noProof/>
        </w:rPr>
        <w:t>of the PSD, the European Court of Justice (CJEU) has ruled that the Annex to the PSD provides for an exhaustive list of companies.</w:t>
      </w:r>
      <w:r w:rsidRPr="005A3F47" w:rsidDel="00F600E5">
        <w:rPr>
          <w:noProof/>
          <w:vertAlign w:val="superscript"/>
        </w:rPr>
        <w:footnoteReference w:id="55"/>
      </w:r>
      <w:r w:rsidRPr="005A3F47" w:rsidDel="00F600E5">
        <w:rPr>
          <w:noProof/>
        </w:rPr>
        <w:t xml:space="preserve"> Considering the similarity of requirements, this interpretation has been extended to the IRD. Consequently, payments of interests, royalties, and dividends, which are made to a company that takes a form which is not explicitly covered by each Annex respectively, are not entitled to benefit from the tax exemptions provided by the IRD and PSD. This limits the scope of the IRD and the PSD and make</w:t>
      </w:r>
      <w:r w:rsidRPr="005A3F47">
        <w:rPr>
          <w:noProof/>
        </w:rPr>
        <w:t>s</w:t>
      </w:r>
      <w:r w:rsidRPr="005A3F47" w:rsidDel="00F600E5">
        <w:rPr>
          <w:noProof/>
        </w:rPr>
        <w:t xml:space="preserve"> the application non-flexible and outdated as there is currently opportunity to include new legal forms of companies constituted under the laws of the Member States.</w:t>
      </w:r>
    </w:p>
    <w:p w14:paraId="557599B4" w14:textId="5DA6E186" w:rsidR="00BE7FA5" w:rsidRPr="005A3F47" w:rsidDel="00AB66B6" w:rsidRDefault="00BE7FA5" w:rsidP="00BE7FA5">
      <w:pPr>
        <w:rPr>
          <w:noProof/>
        </w:rPr>
      </w:pPr>
      <w:r w:rsidRPr="005A3F47" w:rsidDel="00AB66B6">
        <w:rPr>
          <w:noProof/>
        </w:rPr>
        <w:t xml:space="preserve">Although these requirements seem alike in the IRD and the PSD, </w:t>
      </w:r>
      <w:r w:rsidRPr="005A3F47">
        <w:rPr>
          <w:noProof/>
        </w:rPr>
        <w:t>they</w:t>
      </w:r>
      <w:r w:rsidRPr="005A3F47" w:rsidDel="00AB66B6">
        <w:rPr>
          <w:noProof/>
        </w:rPr>
        <w:t xml:space="preserve"> differ in substance as the company forms listed in the Annex to each Directive are not aligned. Inconsistencies can, for example, be found concerning the European Company (EC) and the European Cooperative Society (ECS)</w:t>
      </w:r>
      <w:r w:rsidRPr="005A3F47" w:rsidDel="00AB66B6">
        <w:rPr>
          <w:noProof/>
          <w:vertAlign w:val="superscript"/>
        </w:rPr>
        <w:footnoteReference w:id="56"/>
      </w:r>
      <w:r w:rsidRPr="005A3F47" w:rsidDel="00AB66B6">
        <w:rPr>
          <w:noProof/>
        </w:rPr>
        <w:t xml:space="preserve">, as well as for some company forms in certain Member States, which makes the application of the Directives complex. </w:t>
      </w:r>
      <w:r w:rsidR="00BE2688" w:rsidRPr="005A3F47">
        <w:rPr>
          <w:noProof/>
        </w:rPr>
        <w:t xml:space="preserve">These differences in eligibility requirements </w:t>
      </w:r>
      <w:r w:rsidR="00FA24F0" w:rsidRPr="005A3F47">
        <w:rPr>
          <w:noProof/>
        </w:rPr>
        <w:t xml:space="preserve">would continue to </w:t>
      </w:r>
      <w:r w:rsidR="00BE2688" w:rsidRPr="005A3F47">
        <w:rPr>
          <w:noProof/>
        </w:rPr>
        <w:t xml:space="preserve">create problems, as they entail inconsistent access for businesses to the benefits </w:t>
      </w:r>
      <w:r w:rsidR="009772DC" w:rsidRPr="005A3F47">
        <w:rPr>
          <w:noProof/>
        </w:rPr>
        <w:t xml:space="preserve">provided for in </w:t>
      </w:r>
      <w:r w:rsidR="00943529" w:rsidRPr="005A3F47">
        <w:rPr>
          <w:noProof/>
        </w:rPr>
        <w:t xml:space="preserve">the </w:t>
      </w:r>
      <w:r w:rsidR="00BE2688" w:rsidRPr="005A3F47">
        <w:rPr>
          <w:noProof/>
        </w:rPr>
        <w:t>Directives</w:t>
      </w:r>
      <w:r w:rsidR="00D77C94" w:rsidRPr="005A3F47">
        <w:rPr>
          <w:noProof/>
        </w:rPr>
        <w:t xml:space="preserve">. </w:t>
      </w:r>
      <w:r w:rsidRPr="005A3F47" w:rsidDel="00AB66B6">
        <w:rPr>
          <w:noProof/>
        </w:rPr>
        <w:t xml:space="preserve">It should also be mentioned that the TMD </w:t>
      </w:r>
      <w:r w:rsidR="001616D8" w:rsidRPr="005A3F47">
        <w:rPr>
          <w:noProof/>
        </w:rPr>
        <w:t>also</w:t>
      </w:r>
      <w:r w:rsidRPr="005A3F47" w:rsidDel="00AB66B6">
        <w:rPr>
          <w:noProof/>
        </w:rPr>
        <w:t xml:space="preserve"> </w:t>
      </w:r>
      <w:r w:rsidRPr="005A3F47">
        <w:rPr>
          <w:noProof/>
        </w:rPr>
        <w:t>includes</w:t>
      </w:r>
      <w:r w:rsidRPr="005A3F47" w:rsidDel="00AB66B6">
        <w:rPr>
          <w:noProof/>
        </w:rPr>
        <w:t xml:space="preserve"> a </w:t>
      </w:r>
      <w:r w:rsidR="00820068" w:rsidRPr="005A3F47">
        <w:rPr>
          <w:noProof/>
        </w:rPr>
        <w:t>definition of ‘eligible companies’</w:t>
      </w:r>
      <w:r w:rsidRPr="005A3F47" w:rsidDel="00AB66B6">
        <w:rPr>
          <w:noProof/>
        </w:rPr>
        <w:t xml:space="preserve"> which differ</w:t>
      </w:r>
      <w:r w:rsidRPr="005A3F47">
        <w:rPr>
          <w:noProof/>
        </w:rPr>
        <w:t>s</w:t>
      </w:r>
      <w:r w:rsidRPr="005A3F47" w:rsidDel="00AB66B6">
        <w:rPr>
          <w:noProof/>
        </w:rPr>
        <w:t xml:space="preserve"> in substance </w:t>
      </w:r>
      <w:r w:rsidR="00820068" w:rsidRPr="005A3F47">
        <w:rPr>
          <w:noProof/>
        </w:rPr>
        <w:t>from the IRD and PSD</w:t>
      </w:r>
      <w:r w:rsidRPr="005A3F47" w:rsidDel="00AB66B6">
        <w:rPr>
          <w:noProof/>
        </w:rPr>
        <w:t xml:space="preserve"> and creates further complexity. </w:t>
      </w:r>
      <w:r w:rsidR="003B19BF" w:rsidRPr="005A3F47">
        <w:rPr>
          <w:noProof/>
        </w:rPr>
        <w:t>Without actio</w:t>
      </w:r>
      <w:r w:rsidR="00EE1160" w:rsidRPr="005A3F47">
        <w:rPr>
          <w:noProof/>
        </w:rPr>
        <w:t>n, t</w:t>
      </w:r>
      <w:r w:rsidR="003B19BF" w:rsidRPr="005A3F47">
        <w:rPr>
          <w:noProof/>
        </w:rPr>
        <w:t>he inconsistency in the application of the Directi</w:t>
      </w:r>
      <w:r w:rsidR="00DE5215" w:rsidRPr="005A3F47">
        <w:rPr>
          <w:noProof/>
        </w:rPr>
        <w:t xml:space="preserve">ves </w:t>
      </w:r>
      <w:r w:rsidR="00DC764E" w:rsidRPr="005A3F47">
        <w:rPr>
          <w:noProof/>
        </w:rPr>
        <w:t xml:space="preserve">may increase as </w:t>
      </w:r>
      <w:r w:rsidR="00027FED" w:rsidRPr="005A3F47">
        <w:rPr>
          <w:noProof/>
        </w:rPr>
        <w:t>the list of eligible companies are not d</w:t>
      </w:r>
      <w:r w:rsidR="00772F44" w:rsidRPr="005A3F47">
        <w:rPr>
          <w:noProof/>
        </w:rPr>
        <w:t xml:space="preserve">rafted in a dynamic way. While </w:t>
      </w:r>
      <w:r w:rsidR="00ED260E" w:rsidRPr="005A3F47">
        <w:rPr>
          <w:noProof/>
        </w:rPr>
        <w:t>company legal forms may continue to develop, in most cases, the scope of the Directives remain the same.</w:t>
      </w:r>
    </w:p>
    <w:p w14:paraId="1B9682E8" w14:textId="53EF6AC2" w:rsidR="00BE7FA5" w:rsidRPr="005A3F47" w:rsidDel="00EC5B85" w:rsidRDefault="00BE7FA5" w:rsidP="00C80C05">
      <w:pPr>
        <w:pStyle w:val="Heading3"/>
        <w:numPr>
          <w:ilvl w:val="3"/>
          <w:numId w:val="185"/>
        </w:numPr>
        <w:rPr>
          <w:i w:val="0"/>
          <w:noProof/>
        </w:rPr>
      </w:pPr>
      <w:r w:rsidRPr="005A3F47" w:rsidDel="00C82816">
        <w:rPr>
          <w:i w:val="0"/>
          <w:noProof/>
        </w:rPr>
        <w:t xml:space="preserve"> </w:t>
      </w:r>
      <w:r w:rsidRPr="005A3F47" w:rsidDel="00EC5B85">
        <w:rPr>
          <w:i w:val="0"/>
          <w:noProof/>
        </w:rPr>
        <w:t>Material scope</w:t>
      </w:r>
    </w:p>
    <w:p w14:paraId="7828C310" w14:textId="77777777" w:rsidR="00BE7FA5" w:rsidRPr="005A3F47" w:rsidDel="009779EA" w:rsidRDefault="00BE7FA5" w:rsidP="00BE7FA5">
      <w:pPr>
        <w:rPr>
          <w:noProof/>
        </w:rPr>
      </w:pPr>
      <w:r w:rsidRPr="005A3F47">
        <w:rPr>
          <w:noProof/>
        </w:rPr>
        <w:t>T</w:t>
      </w:r>
      <w:r w:rsidRPr="005A3F47" w:rsidDel="00FC6192">
        <w:rPr>
          <w:noProof/>
        </w:rPr>
        <w:t xml:space="preserve">he </w:t>
      </w:r>
      <w:r w:rsidRPr="005A3F47">
        <w:rPr>
          <w:noProof/>
        </w:rPr>
        <w:t xml:space="preserve">IRD and PSD </w:t>
      </w:r>
      <w:r w:rsidRPr="005A3F47" w:rsidDel="00B91F0A">
        <w:rPr>
          <w:noProof/>
        </w:rPr>
        <w:t xml:space="preserve">only apply to associated companies, i.e., businesses linked through significant ownership or common corporate control. The </w:t>
      </w:r>
      <w:r w:rsidRPr="005A3F47" w:rsidDel="00FC6192">
        <w:rPr>
          <w:noProof/>
        </w:rPr>
        <w:t xml:space="preserve">IRD </w:t>
      </w:r>
      <w:r w:rsidRPr="005A3F47" w:rsidDel="00030B57">
        <w:rPr>
          <w:noProof/>
        </w:rPr>
        <w:t>is only applicable to</w:t>
      </w:r>
      <w:r w:rsidRPr="005A3F47" w:rsidDel="00FC6192">
        <w:rPr>
          <w:noProof/>
        </w:rPr>
        <w:t xml:space="preserve"> interest and royalty payments made between </w:t>
      </w:r>
      <w:r w:rsidRPr="005A3F47" w:rsidDel="00030B57">
        <w:rPr>
          <w:noProof/>
        </w:rPr>
        <w:t xml:space="preserve">associated </w:t>
      </w:r>
      <w:r w:rsidRPr="005A3F47" w:rsidDel="00FC6192">
        <w:rPr>
          <w:noProof/>
        </w:rPr>
        <w:t>companies of different Member States</w:t>
      </w:r>
      <w:r w:rsidRPr="005A3F47" w:rsidDel="00030B57">
        <w:rPr>
          <w:noProof/>
        </w:rPr>
        <w:t>. The concept of an ‘associated company’ requires a direct minimum holding of</w:t>
      </w:r>
      <w:r w:rsidRPr="005A3F47" w:rsidDel="00FC6192">
        <w:rPr>
          <w:noProof/>
        </w:rPr>
        <w:t xml:space="preserve"> 25% </w:t>
      </w:r>
      <w:r w:rsidRPr="005A3F47">
        <w:rPr>
          <w:noProof/>
        </w:rPr>
        <w:t>of</w:t>
      </w:r>
      <w:r w:rsidRPr="005A3F47" w:rsidDel="00FC6192">
        <w:rPr>
          <w:noProof/>
        </w:rPr>
        <w:t xml:space="preserve"> the capital</w:t>
      </w:r>
      <w:r w:rsidRPr="005A3F47" w:rsidDel="00962C29">
        <w:rPr>
          <w:noProof/>
        </w:rPr>
        <w:t>,</w:t>
      </w:r>
      <w:r w:rsidRPr="005A3F47" w:rsidDel="00FC6192">
        <w:rPr>
          <w:noProof/>
        </w:rPr>
        <w:t xml:space="preserve"> or </w:t>
      </w:r>
      <w:r w:rsidRPr="005A3F47" w:rsidDel="00962C29">
        <w:rPr>
          <w:noProof/>
        </w:rPr>
        <w:t xml:space="preserve">a minimum holding of 25% of the </w:t>
      </w:r>
      <w:r w:rsidRPr="005A3F47" w:rsidDel="00FC6192">
        <w:rPr>
          <w:noProof/>
        </w:rPr>
        <w:t xml:space="preserve">voting rights. The PSD </w:t>
      </w:r>
      <w:r w:rsidRPr="005A3F47" w:rsidDel="006C5B9D">
        <w:rPr>
          <w:noProof/>
        </w:rPr>
        <w:t>is applicable to</w:t>
      </w:r>
      <w:r w:rsidRPr="005A3F47" w:rsidDel="00FC6192">
        <w:rPr>
          <w:noProof/>
        </w:rPr>
        <w:t xml:space="preserve"> profit distributions paid </w:t>
      </w:r>
      <w:r w:rsidRPr="005A3F47" w:rsidDel="00AF4853">
        <w:rPr>
          <w:noProof/>
        </w:rPr>
        <w:t xml:space="preserve">by subsidiary </w:t>
      </w:r>
      <w:r w:rsidRPr="005A3F47" w:rsidDel="00FC6192">
        <w:rPr>
          <w:noProof/>
        </w:rPr>
        <w:t xml:space="preserve">companies </w:t>
      </w:r>
      <w:r w:rsidRPr="005A3F47" w:rsidDel="00AF4853">
        <w:rPr>
          <w:noProof/>
        </w:rPr>
        <w:t xml:space="preserve">to their parent company. The concept of ‘parent company’ requires a minimum </w:t>
      </w:r>
      <w:r w:rsidRPr="005A3F47" w:rsidDel="00FC6192">
        <w:rPr>
          <w:noProof/>
        </w:rPr>
        <w:t>hold</w:t>
      </w:r>
      <w:r w:rsidRPr="005A3F47" w:rsidDel="00AF4853">
        <w:rPr>
          <w:noProof/>
        </w:rPr>
        <w:t>ing</w:t>
      </w:r>
      <w:r w:rsidRPr="005A3F47" w:rsidDel="00893F60">
        <w:rPr>
          <w:noProof/>
        </w:rPr>
        <w:t>, either direct or indirect,</w:t>
      </w:r>
      <w:r w:rsidRPr="005A3F47" w:rsidDel="00FC6192">
        <w:rPr>
          <w:noProof/>
        </w:rPr>
        <w:t xml:space="preserve"> </w:t>
      </w:r>
      <w:r w:rsidRPr="005A3F47" w:rsidDel="00B44A3E">
        <w:rPr>
          <w:noProof/>
        </w:rPr>
        <w:t>of</w:t>
      </w:r>
      <w:r w:rsidRPr="005A3F47" w:rsidDel="00FC6192">
        <w:rPr>
          <w:noProof/>
        </w:rPr>
        <w:t xml:space="preserve"> 10% </w:t>
      </w:r>
      <w:r w:rsidRPr="005A3F47" w:rsidDel="00B44A3E">
        <w:rPr>
          <w:noProof/>
        </w:rPr>
        <w:t xml:space="preserve">in </w:t>
      </w:r>
      <w:r w:rsidRPr="005A3F47" w:rsidDel="00FC6192">
        <w:rPr>
          <w:noProof/>
        </w:rPr>
        <w:t>capital</w:t>
      </w:r>
      <w:r w:rsidRPr="005A3F47" w:rsidDel="00B44A3E">
        <w:rPr>
          <w:noProof/>
        </w:rPr>
        <w:t>, with the option to replace it, by means of bilateral agreements, with that of a minimum holding of</w:t>
      </w:r>
      <w:r w:rsidRPr="005A3F47" w:rsidDel="00FC6192">
        <w:rPr>
          <w:noProof/>
        </w:rPr>
        <w:t xml:space="preserve"> voting rights. </w:t>
      </w:r>
    </w:p>
    <w:p w14:paraId="4ED03346" w14:textId="77777777" w:rsidR="00BE7FA5" w:rsidRPr="005A3F47" w:rsidDel="00C00AA9" w:rsidRDefault="00BE7FA5" w:rsidP="00BE7FA5">
      <w:pPr>
        <w:rPr>
          <w:noProof/>
        </w:rPr>
      </w:pPr>
      <w:r w:rsidRPr="005A3F47" w:rsidDel="00C00AA9">
        <w:rPr>
          <w:noProof/>
        </w:rPr>
        <w:t xml:space="preserve">Accordingly, </w:t>
      </w:r>
      <w:r w:rsidRPr="005A3F47" w:rsidDel="00750DC7">
        <w:rPr>
          <w:noProof/>
        </w:rPr>
        <w:t xml:space="preserve">the material scope of the IRD and the PSD differ. </w:t>
      </w:r>
      <w:r w:rsidRPr="005A3F47" w:rsidDel="00C00AA9">
        <w:rPr>
          <w:noProof/>
        </w:rPr>
        <w:t xml:space="preserve">While the benefits of the IRD apply only to direct holdings of 25% in capital or voting rights, the benefits of the PSD apply to holdings, either direct or indirect, of 10% in capital or voting rights. Therefore, not only the percentage of holding differs, but also the nature of the holding (direct vs. indirect). </w:t>
      </w:r>
    </w:p>
    <w:p w14:paraId="244BE504" w14:textId="2B9A7BB8" w:rsidR="00BE7FA5" w:rsidRPr="005A3F47" w:rsidDel="00FC6192" w:rsidRDefault="00BE7FA5" w:rsidP="00BE7FA5">
      <w:pPr>
        <w:rPr>
          <w:noProof/>
        </w:rPr>
      </w:pPr>
      <w:r w:rsidRPr="005A3F47" w:rsidDel="002E42A4">
        <w:rPr>
          <w:noProof/>
        </w:rPr>
        <w:t>In 2011, the Commission presented a report on the functioning of the IRD which inter alia concluded that the</w:t>
      </w:r>
      <w:r w:rsidRPr="005A3F47" w:rsidDel="00FC6192">
        <w:rPr>
          <w:noProof/>
        </w:rPr>
        <w:t xml:space="preserve"> holding requirement </w:t>
      </w:r>
      <w:r w:rsidRPr="005A3F47" w:rsidDel="002E42A4">
        <w:rPr>
          <w:noProof/>
        </w:rPr>
        <w:t xml:space="preserve">had been implemented </w:t>
      </w:r>
      <w:r w:rsidRPr="005A3F47" w:rsidDel="00FC6192">
        <w:rPr>
          <w:noProof/>
        </w:rPr>
        <w:t>in different ways</w:t>
      </w:r>
      <w:r w:rsidRPr="005A3F47" w:rsidDel="002E42A4">
        <w:rPr>
          <w:noProof/>
        </w:rPr>
        <w:t xml:space="preserve"> in the Member States</w:t>
      </w:r>
      <w:r w:rsidRPr="005A3F47" w:rsidDel="00CD5DF5">
        <w:rPr>
          <w:noProof/>
        </w:rPr>
        <w:t>.</w:t>
      </w:r>
      <w:r w:rsidRPr="005A3F47" w:rsidDel="008D1C2D">
        <w:rPr>
          <w:noProof/>
          <w:vertAlign w:val="superscript"/>
        </w:rPr>
        <w:footnoteReference w:id="57"/>
      </w:r>
      <w:r w:rsidRPr="005A3F47" w:rsidDel="00FC6192">
        <w:rPr>
          <w:noProof/>
        </w:rPr>
        <w:t xml:space="preserve"> </w:t>
      </w:r>
      <w:r w:rsidRPr="005A3F47" w:rsidDel="008D1C2D">
        <w:rPr>
          <w:noProof/>
        </w:rPr>
        <w:t>Some allowed for indirect holdings</w:t>
      </w:r>
      <w:r w:rsidRPr="005A3F47">
        <w:rPr>
          <w:noProof/>
        </w:rPr>
        <w:t xml:space="preserve"> to be taken into account in determining eligibility</w:t>
      </w:r>
      <w:r w:rsidRPr="005A3F47" w:rsidDel="008D1C2D">
        <w:rPr>
          <w:noProof/>
        </w:rPr>
        <w:t xml:space="preserve">, while others limited the application to direct holdings. </w:t>
      </w:r>
      <w:r w:rsidR="005918CC" w:rsidRPr="005A3F47">
        <w:rPr>
          <w:noProof/>
        </w:rPr>
        <w:t xml:space="preserve">This leaves companies uncertain about whether they will be able to avail </w:t>
      </w:r>
      <w:r w:rsidR="00C358A4" w:rsidRPr="005A3F47">
        <w:rPr>
          <w:noProof/>
        </w:rPr>
        <w:t xml:space="preserve">themselves </w:t>
      </w:r>
      <w:r w:rsidR="005918CC" w:rsidRPr="005A3F47">
        <w:rPr>
          <w:noProof/>
        </w:rPr>
        <w:t xml:space="preserve">of the tax exemption in one country or another and can constitute a tax obstacle to cross-border activities. </w:t>
      </w:r>
      <w:r w:rsidR="00835A9D" w:rsidRPr="005A3F47">
        <w:rPr>
          <w:noProof/>
        </w:rPr>
        <w:t>M</w:t>
      </w:r>
      <w:r w:rsidRPr="005A3F47" w:rsidDel="008D1C2D">
        <w:rPr>
          <w:noProof/>
        </w:rPr>
        <w:t>issing</w:t>
      </w:r>
      <w:r w:rsidRPr="005A3F47" w:rsidDel="00FC6192">
        <w:rPr>
          <w:noProof/>
        </w:rPr>
        <w:t xml:space="preserve"> alignment </w:t>
      </w:r>
      <w:r w:rsidRPr="005A3F47" w:rsidDel="008D1C2D">
        <w:rPr>
          <w:noProof/>
        </w:rPr>
        <w:t xml:space="preserve">between the IRD and PSD regarding holding requirements </w:t>
      </w:r>
      <w:r w:rsidR="004A7AD0" w:rsidRPr="005A3F47">
        <w:rPr>
          <w:noProof/>
        </w:rPr>
        <w:t>will also continue to result in</w:t>
      </w:r>
      <w:r w:rsidR="00894F75" w:rsidRPr="005A3F47" w:rsidDel="00FC6192">
        <w:rPr>
          <w:noProof/>
        </w:rPr>
        <w:t xml:space="preserve"> </w:t>
      </w:r>
      <w:r w:rsidR="004A7AD0" w:rsidRPr="005A3F47">
        <w:rPr>
          <w:noProof/>
        </w:rPr>
        <w:t>higher than necessary</w:t>
      </w:r>
      <w:r w:rsidR="004A7AD0" w:rsidRPr="005A3F47" w:rsidDel="00FC6192">
        <w:rPr>
          <w:noProof/>
        </w:rPr>
        <w:t xml:space="preserve"> </w:t>
      </w:r>
      <w:r w:rsidRPr="005A3F47" w:rsidDel="00FC6192">
        <w:rPr>
          <w:noProof/>
        </w:rPr>
        <w:t>compliance costs for companies involved in cross-border operations</w:t>
      </w:r>
      <w:r w:rsidR="004A7AD0" w:rsidRPr="005A3F47">
        <w:rPr>
          <w:noProof/>
        </w:rPr>
        <w:t>.</w:t>
      </w:r>
      <w:r w:rsidR="00304650" w:rsidRPr="005A3F47">
        <w:rPr>
          <w:noProof/>
        </w:rPr>
        <w:t xml:space="preserve"> </w:t>
      </w:r>
      <w:r w:rsidR="004A7AD0" w:rsidRPr="005A3F47">
        <w:rPr>
          <w:noProof/>
        </w:rPr>
        <w:t xml:space="preserve">This will continue to </w:t>
      </w:r>
      <w:r w:rsidRPr="005A3F47" w:rsidDel="00FC6192">
        <w:rPr>
          <w:noProof/>
        </w:rPr>
        <w:t xml:space="preserve">produce incongruous results. </w:t>
      </w:r>
    </w:p>
    <w:p w14:paraId="0E9D831A" w14:textId="77316D04" w:rsidR="00BE7FA5" w:rsidRPr="005A3F47" w:rsidRDefault="00C82816" w:rsidP="00E823DC">
      <w:pPr>
        <w:pStyle w:val="Heading3"/>
        <w:numPr>
          <w:ilvl w:val="3"/>
          <w:numId w:val="185"/>
        </w:numPr>
        <w:rPr>
          <w:i w:val="0"/>
          <w:noProof/>
        </w:rPr>
      </w:pPr>
      <w:r w:rsidRPr="005A3F47">
        <w:rPr>
          <w:i w:val="0"/>
          <w:noProof/>
        </w:rPr>
        <w:t xml:space="preserve"> </w:t>
      </w:r>
      <w:r w:rsidR="00BE7FA5" w:rsidRPr="005A3F47">
        <w:rPr>
          <w:i w:val="0"/>
          <w:noProof/>
        </w:rPr>
        <w:t xml:space="preserve">Procedural aspects </w:t>
      </w:r>
    </w:p>
    <w:p w14:paraId="4BBB3C35" w14:textId="77777777" w:rsidR="00BE7FA5" w:rsidRPr="005A3F47" w:rsidRDefault="00BE7FA5" w:rsidP="00BE7FA5">
      <w:pPr>
        <w:rPr>
          <w:noProof/>
        </w:rPr>
      </w:pPr>
      <w:r w:rsidRPr="005A3F47">
        <w:rPr>
          <w:noProof/>
        </w:rPr>
        <w:t xml:space="preserve">Under the IRD, the procedures to obtain the tax exemption in the Member States can either be designed on the basis of the attestation procedure, which is laid down directly in the IRD, or as a fully national procedure. Irrespective of the procedure, the source Member State must repay any excess tax withheld within one year. The PSD does not include any procedural rules for entitlement to the benefits. Each Member State may establish its own procedure to ensure that eligible companies can benefit from the rules. </w:t>
      </w:r>
    </w:p>
    <w:p w14:paraId="6901AD32" w14:textId="77777777" w:rsidR="00BE7FA5" w:rsidRPr="005A3F47" w:rsidRDefault="00BE7FA5" w:rsidP="00BE7FA5">
      <w:pPr>
        <w:rPr>
          <w:noProof/>
        </w:rPr>
      </w:pPr>
      <w:r w:rsidRPr="005A3F47">
        <w:rPr>
          <w:noProof/>
        </w:rPr>
        <w:t xml:space="preserve">In practice, the majority of Member States have not implemented any upfront requirement or procedure for companies to benefit from the tax exemptions under the IRD and the PSD, although some Member States have chosen to apply a variation of the attestation procedure. </w:t>
      </w:r>
    </w:p>
    <w:p w14:paraId="005E3F3E" w14:textId="77777777" w:rsidR="00BE7FA5" w:rsidRPr="005A3F47" w:rsidRDefault="00BE7FA5" w:rsidP="00BE7FA5">
      <w:pPr>
        <w:rPr>
          <w:noProof/>
        </w:rPr>
      </w:pPr>
      <w:r w:rsidRPr="005A3F47">
        <w:rPr>
          <w:noProof/>
        </w:rPr>
        <w:t xml:space="preserve">During targeted consultations, many private stakeholders voiced concerns about the excessive procedural complexity in certain Member States in order to gain entitlement to the withholding tax exemption of dividends, interests and royalties under the IRD and the PSD. In this regard, it was pointed out that the length of the administrative procedures, sometimes up to 24 months, and complex procedural requirements for obtaining the benefit usually cause delays. In certain cases, the procedures even have a deterrent effect as it may be more cost-efficient for the companies to pay the withholding tax than claiming the exemption. </w:t>
      </w:r>
    </w:p>
    <w:p w14:paraId="3AACEC77" w14:textId="77777777" w:rsidR="00BE7FA5" w:rsidRPr="005A3F47" w:rsidRDefault="00BE7FA5" w:rsidP="00BE7FA5">
      <w:pPr>
        <w:rPr>
          <w:noProof/>
        </w:rPr>
      </w:pPr>
      <w:r w:rsidRPr="005A3F47">
        <w:rPr>
          <w:noProof/>
        </w:rPr>
        <w:t xml:space="preserve">More recently, to address such issues, the EU adopted the FASTER Directive, which, among other measures, introduces standardised fast-track procedures. These procedures can take the form of relief at source, quick refund, or a combination of both, as determined by each Member State. The scope of these fast-track procedures is limited to dividends on publicly traded shares, while relief for interest on publicly traded bonds remains optional for Member States. Additionally, the Directive allows Member States to deny, completely or partially, the application of these standardised fast-track procedures where an exemption from withholding tax is claimed. As a result, Member States may exclude payments exempted under the IRD and PSD from the benefit of these fast-track procedures. </w:t>
      </w:r>
    </w:p>
    <w:p w14:paraId="16F85AE4" w14:textId="27E43E82" w:rsidR="00BE7FA5" w:rsidRPr="005A3F47" w:rsidRDefault="00BE7FA5" w:rsidP="00C80C05">
      <w:pPr>
        <w:pStyle w:val="Heading3"/>
        <w:numPr>
          <w:ilvl w:val="2"/>
          <w:numId w:val="185"/>
        </w:numPr>
        <w:rPr>
          <w:noProof/>
        </w:rPr>
      </w:pPr>
      <w:r w:rsidRPr="005A3F47">
        <w:rPr>
          <w:noProof/>
        </w:rPr>
        <w:t>Taxation of Controlled Foreign Companies</w:t>
      </w:r>
    </w:p>
    <w:p w14:paraId="50C38D88" w14:textId="51A1CF1A" w:rsidR="00BE7FA5" w:rsidRPr="005A3F47" w:rsidRDefault="00E22897" w:rsidP="00BE7FA5">
      <w:pPr>
        <w:rPr>
          <w:noProof/>
        </w:rPr>
      </w:pPr>
      <w:r w:rsidRPr="005A3F47">
        <w:rPr>
          <w:noProof/>
        </w:rPr>
        <w:t>The</w:t>
      </w:r>
      <w:r w:rsidR="00BE7FA5" w:rsidRPr="005A3F47">
        <w:rPr>
          <w:noProof/>
        </w:rPr>
        <w:t xml:space="preserve"> ATAD provides for rules on the taxation of controlled foreign companies (CFCs) which aim to tackle profit shifting towards lower tax jurisdictions within a multinational group. These tax avoidance practices erode the tax base of the jurisdiction of origin of these flows, typically the one of residence of the parent company, through the transfer of profit to a CFC, i.e. subsidiary or a permanent establishment in another jurisdiction. The CFC rules generally attribute certain income from a CFC to be included in the parent company’s taxable base when the tax imposed on the CFC is significantly lower, i.e., the tax paid in the entity jurisdiction is less than 50% of what would be paid in the parent jurisdictions. </w:t>
      </w:r>
    </w:p>
    <w:p w14:paraId="791976CA" w14:textId="1B837690" w:rsidR="00BE7FA5" w:rsidRPr="005A3F47" w:rsidRDefault="00C71324" w:rsidP="00E823DC">
      <w:pPr>
        <w:pStyle w:val="Heading3"/>
        <w:numPr>
          <w:ilvl w:val="3"/>
          <w:numId w:val="185"/>
        </w:numPr>
        <w:rPr>
          <w:i w:val="0"/>
          <w:noProof/>
        </w:rPr>
      </w:pPr>
      <w:r w:rsidRPr="005A3F47">
        <w:rPr>
          <w:i w:val="0"/>
          <w:noProof/>
        </w:rPr>
        <w:t xml:space="preserve"> </w:t>
      </w:r>
      <w:r w:rsidR="00BE7FA5" w:rsidRPr="005A3F47">
        <w:rPr>
          <w:i w:val="0"/>
          <w:noProof/>
        </w:rPr>
        <w:t>Implementation options</w:t>
      </w:r>
    </w:p>
    <w:p w14:paraId="60EF2229" w14:textId="608907C0" w:rsidR="00BE7FA5" w:rsidRPr="005A3F47" w:rsidRDefault="00BE7FA5" w:rsidP="00BE7FA5">
      <w:pPr>
        <w:rPr>
          <w:noProof/>
        </w:rPr>
      </w:pPr>
      <w:r w:rsidRPr="005A3F47">
        <w:rPr>
          <w:noProof/>
        </w:rPr>
        <w:t xml:space="preserve">When transposing the CFC rules, Member States </w:t>
      </w:r>
      <w:r w:rsidR="000C55DA" w:rsidRPr="005A3F47">
        <w:rPr>
          <w:noProof/>
        </w:rPr>
        <w:t>are offered</w:t>
      </w:r>
      <w:r w:rsidR="008876A8" w:rsidRPr="005A3F47">
        <w:rPr>
          <w:noProof/>
        </w:rPr>
        <w:t xml:space="preserve"> </w:t>
      </w:r>
      <w:r w:rsidR="00965778" w:rsidRPr="005A3F47">
        <w:rPr>
          <w:noProof/>
        </w:rPr>
        <w:t xml:space="preserve">different </w:t>
      </w:r>
      <w:r w:rsidR="000C55DA" w:rsidRPr="005A3F47">
        <w:rPr>
          <w:noProof/>
        </w:rPr>
        <w:t>options to</w:t>
      </w:r>
      <w:r w:rsidR="00915C7C" w:rsidRPr="005A3F47">
        <w:rPr>
          <w:noProof/>
        </w:rPr>
        <w:t xml:space="preserve"> mitigat</w:t>
      </w:r>
      <w:r w:rsidR="000C55DA" w:rsidRPr="005A3F47">
        <w:rPr>
          <w:noProof/>
        </w:rPr>
        <w:t>e</w:t>
      </w:r>
      <w:r w:rsidR="00915C7C" w:rsidRPr="005A3F47">
        <w:rPr>
          <w:noProof/>
        </w:rPr>
        <w:t xml:space="preserve"> the differing Member State views and legal traditions and </w:t>
      </w:r>
      <w:r w:rsidR="00C52B3A" w:rsidRPr="005A3F47">
        <w:rPr>
          <w:noProof/>
        </w:rPr>
        <w:t>is</w:t>
      </w:r>
      <w:r w:rsidR="00915C7C" w:rsidRPr="005A3F47">
        <w:rPr>
          <w:noProof/>
        </w:rPr>
        <w:t xml:space="preserve"> accommodated due to the Directive’s design as a minimum standard. </w:t>
      </w:r>
      <w:r w:rsidR="00C52B3A" w:rsidRPr="005A3F47">
        <w:rPr>
          <w:noProof/>
        </w:rPr>
        <w:t>F</w:t>
      </w:r>
      <w:r w:rsidR="008C35F8" w:rsidRPr="005A3F47">
        <w:rPr>
          <w:noProof/>
        </w:rPr>
        <w:t xml:space="preserve">or example, Member States </w:t>
      </w:r>
      <w:r w:rsidRPr="005A3F47">
        <w:rPr>
          <w:noProof/>
        </w:rPr>
        <w:t>may choose between two different approaches to define what income of a CFC is subject to tax: </w:t>
      </w:r>
    </w:p>
    <w:p w14:paraId="50FE659F" w14:textId="77777777" w:rsidR="00BE7FA5" w:rsidRPr="005A3F47" w:rsidRDefault="00BE7FA5" w:rsidP="00BE7FA5">
      <w:pPr>
        <w:rPr>
          <w:noProof/>
        </w:rPr>
      </w:pPr>
      <w:r w:rsidRPr="005A3F47">
        <w:rPr>
          <w:noProof/>
        </w:rPr>
        <w:t>Model A targets non-distributed passive income of a CFC, such as interest, royalties and dividends, if the CFC is in a low-tax jurisdiction. While relatively mechanical in its application, the CJEU has ruled that Model A includes a substance clause limiting the scope of application of the CFC rule to wholly artificial arrangements within the EU.</w:t>
      </w:r>
      <w:r w:rsidRPr="005A3F47">
        <w:rPr>
          <w:rStyle w:val="FootnoteReference"/>
          <w:noProof/>
        </w:rPr>
        <w:footnoteReference w:id="58"/>
      </w:r>
    </w:p>
    <w:p w14:paraId="4A8D5FB9" w14:textId="77777777" w:rsidR="00BE7FA5" w:rsidRPr="005A3F47" w:rsidRDefault="00BE7FA5" w:rsidP="00BE7FA5">
      <w:pPr>
        <w:rPr>
          <w:noProof/>
        </w:rPr>
      </w:pPr>
      <w:r w:rsidRPr="005A3F47">
        <w:rPr>
          <w:noProof/>
        </w:rPr>
        <w:t xml:space="preserve">Model B targets non-distributed income arising from non-genuine arrangements specifically designed to obtain a tax advantage to be calculated in accordance with the arm’s length principle. To reduce the compliance burden under Model B, Member States may adopt de minimis thresholds to exclude lower-risk entities with limited accounting profits and non-trading income from the rule. </w:t>
      </w:r>
    </w:p>
    <w:p w14:paraId="298DADEE" w14:textId="6CA7896A" w:rsidR="00E1198A" w:rsidRPr="005A3F47" w:rsidRDefault="00BE7FA5" w:rsidP="00BE7FA5">
      <w:pPr>
        <w:rPr>
          <w:noProof/>
        </w:rPr>
      </w:pPr>
      <w:r w:rsidRPr="005A3F47">
        <w:rPr>
          <w:noProof/>
        </w:rPr>
        <w:t>According to the ATAD evaluation, 17 Member States opted</w:t>
      </w:r>
      <w:r w:rsidRPr="005A3F47" w:rsidDel="00EC4CFF">
        <w:rPr>
          <w:noProof/>
        </w:rPr>
        <w:t xml:space="preserve"> </w:t>
      </w:r>
      <w:r w:rsidRPr="005A3F47">
        <w:rPr>
          <w:noProof/>
        </w:rPr>
        <w:t>to implement Model A, while 8 chose Model B, including one or both de minimis thresholds. Additionally, 2 Member States decided to adopt a variant of the rule that encompasses both models.</w:t>
      </w:r>
      <w:r w:rsidR="009E5223" w:rsidRPr="005A3F47">
        <w:rPr>
          <w:rStyle w:val="FootnoteReference"/>
          <w:noProof/>
        </w:rPr>
        <w:footnoteReference w:id="59"/>
      </w:r>
      <w:r w:rsidR="009E5223" w:rsidRPr="005A3F47">
        <w:rPr>
          <w:noProof/>
        </w:rPr>
        <w:t xml:space="preserve"> </w:t>
      </w:r>
      <w:r w:rsidRPr="005A3F47">
        <w:rPr>
          <w:noProof/>
        </w:rPr>
        <w:t xml:space="preserve"> Consequently, the implementation of the ATAD varies widely across Member States</w:t>
      </w:r>
      <w:r w:rsidR="00F511A6" w:rsidRPr="005A3F47">
        <w:rPr>
          <w:noProof/>
        </w:rPr>
        <w:t>. If not addressed</w:t>
      </w:r>
      <w:r w:rsidRPr="005A3F47">
        <w:rPr>
          <w:noProof/>
        </w:rPr>
        <w:t>,</w:t>
      </w:r>
      <w:r w:rsidR="00F511A6" w:rsidRPr="005A3F47">
        <w:rPr>
          <w:noProof/>
        </w:rPr>
        <w:t xml:space="preserve"> this will continue to</w:t>
      </w:r>
      <w:r w:rsidRPr="005A3F47">
        <w:rPr>
          <w:noProof/>
        </w:rPr>
        <w:t xml:space="preserve"> result in fragmentation and inconsistent compliance requirements</w:t>
      </w:r>
      <w:r w:rsidR="00F511A6" w:rsidRPr="005A3F47">
        <w:rPr>
          <w:noProof/>
        </w:rPr>
        <w:t>.</w:t>
      </w:r>
      <w:r w:rsidRPr="005A3F47">
        <w:rPr>
          <w:noProof/>
        </w:rPr>
        <w:t xml:space="preserve"> </w:t>
      </w:r>
      <w:r w:rsidR="00F511A6" w:rsidRPr="005A3F47">
        <w:rPr>
          <w:noProof/>
        </w:rPr>
        <w:t xml:space="preserve">This would then continue to </w:t>
      </w:r>
      <w:r w:rsidRPr="005A3F47">
        <w:rPr>
          <w:noProof/>
        </w:rPr>
        <w:t xml:space="preserve">contribute to legal uncertainty for businesses operating across borders. </w:t>
      </w:r>
      <w:r w:rsidR="00DF6DD3" w:rsidRPr="005A3F47">
        <w:rPr>
          <w:noProof/>
        </w:rPr>
        <w:t>Retaining d</w:t>
      </w:r>
      <w:r w:rsidRPr="005A3F47">
        <w:rPr>
          <w:noProof/>
        </w:rPr>
        <w:t xml:space="preserve">ifferences in key elements, such as the criteria for CFC status, </w:t>
      </w:r>
      <w:r w:rsidR="00DF6DD3" w:rsidRPr="005A3F47">
        <w:rPr>
          <w:noProof/>
        </w:rPr>
        <w:t xml:space="preserve">would uphold the </w:t>
      </w:r>
      <w:r w:rsidRPr="005A3F47">
        <w:rPr>
          <w:noProof/>
        </w:rPr>
        <w:t xml:space="preserve">additional administrative burdens and related costs. </w:t>
      </w:r>
    </w:p>
    <w:p w14:paraId="2C9E29AE" w14:textId="28679A0D" w:rsidR="00BE7FA5" w:rsidRPr="005A3F47" w:rsidRDefault="00BE7FA5" w:rsidP="00BE7FA5">
      <w:pPr>
        <w:rPr>
          <w:noProof/>
        </w:rPr>
      </w:pPr>
      <w:r w:rsidRPr="005A3F47">
        <w:rPr>
          <w:noProof/>
        </w:rPr>
        <w:t xml:space="preserve">This </w:t>
      </w:r>
      <w:r w:rsidR="000A5CA8" w:rsidRPr="005A3F47">
        <w:rPr>
          <w:noProof/>
        </w:rPr>
        <w:t>is consistent with findings of the Draghi report</w:t>
      </w:r>
      <w:r w:rsidR="004F10F4" w:rsidRPr="005A3F47">
        <w:rPr>
          <w:rStyle w:val="FootnoteReference"/>
          <w:noProof/>
        </w:rPr>
        <w:footnoteReference w:id="60"/>
      </w:r>
      <w:r w:rsidR="004F10F4" w:rsidRPr="005A3F47">
        <w:rPr>
          <w:noProof/>
        </w:rPr>
        <w:t xml:space="preserve"> and it</w:t>
      </w:r>
      <w:r w:rsidRPr="005A3F47">
        <w:rPr>
          <w:noProof/>
        </w:rPr>
        <w:t xml:space="preserve"> was confirmed by stakeholders who, in the targeted consultations, expressed that the CFC rules generate a significant administrative burden in compliance, while their impact on Member States’ tax bases is considered to be rather modest. </w:t>
      </w:r>
    </w:p>
    <w:p w14:paraId="4AB1BA26" w14:textId="08BBA340" w:rsidR="00BE7FA5" w:rsidRPr="005A3F47" w:rsidRDefault="00BE7FA5" w:rsidP="00E823DC">
      <w:pPr>
        <w:pStyle w:val="Heading3"/>
        <w:numPr>
          <w:ilvl w:val="3"/>
          <w:numId w:val="185"/>
        </w:numPr>
        <w:rPr>
          <w:i w:val="0"/>
          <w:noProof/>
        </w:rPr>
      </w:pPr>
      <w:r w:rsidRPr="005A3F47" w:rsidDel="00C71324">
        <w:rPr>
          <w:i w:val="0"/>
          <w:noProof/>
        </w:rPr>
        <w:t xml:space="preserve"> </w:t>
      </w:r>
      <w:r w:rsidRPr="005A3F47">
        <w:rPr>
          <w:i w:val="0"/>
          <w:noProof/>
        </w:rPr>
        <w:t>Interaction with Pillar 2</w:t>
      </w:r>
    </w:p>
    <w:p w14:paraId="1F3F17A7" w14:textId="77777777" w:rsidR="00BE7FA5" w:rsidRPr="005A3F47" w:rsidRDefault="00BE7FA5" w:rsidP="00BE7FA5">
      <w:pPr>
        <w:rPr>
          <w:rFonts w:cs="Arial"/>
          <w:noProof/>
          <w:lang w:eastAsia="da-DK"/>
        </w:rPr>
      </w:pPr>
      <w:r w:rsidRPr="005A3F47">
        <w:rPr>
          <w:rFonts w:cs="Arial"/>
          <w:noProof/>
          <w:lang w:eastAsia="da-DK"/>
        </w:rPr>
        <w:t xml:space="preserve">Since the adoption of the ATAD, the legal environment at both the EU and international level has evolved significantly, particularly as a result of the OECD global minimum tax for MNEs (Pillar 2) which has been implemented in the EU through a Pillar 2 Directive. </w:t>
      </w:r>
    </w:p>
    <w:p w14:paraId="2DF50345" w14:textId="27C4EC91" w:rsidR="001A48BB" w:rsidRPr="005A3F47" w:rsidRDefault="00BE7FA5" w:rsidP="00BE7FA5">
      <w:pPr>
        <w:rPr>
          <w:rFonts w:cs="Arial"/>
          <w:noProof/>
          <w:lang w:eastAsia="da-DK"/>
        </w:rPr>
      </w:pPr>
      <w:r w:rsidRPr="005A3F47">
        <w:rPr>
          <w:rFonts w:cs="Arial"/>
          <w:noProof/>
          <w:lang w:eastAsia="da-DK"/>
        </w:rPr>
        <w:t xml:space="preserve">By using some of the same mechanisms as the CFC rules, i.e., attributing low-taxed income of a subsidiary to the taxable base of a parent company, Pillar 2 ensures that large MNEs pay at least a 15% tax on profits in each jurisdiction they operate. </w:t>
      </w:r>
      <w:r w:rsidR="001A48BB" w:rsidRPr="005A3F47">
        <w:rPr>
          <w:noProof/>
        </w:rPr>
        <w:t>Member States agreed at the OECD/G20 Inclusive Framework to the Pillar 2 rules</w:t>
      </w:r>
      <w:r w:rsidR="00304650" w:rsidRPr="005A3F47">
        <w:rPr>
          <w:noProof/>
        </w:rPr>
        <w:t>,</w:t>
      </w:r>
      <w:r w:rsidR="001A48BB" w:rsidRPr="005A3F47">
        <w:rPr>
          <w:noProof/>
        </w:rPr>
        <w:t xml:space="preserve"> which </w:t>
      </w:r>
      <w:r w:rsidR="004B557E" w:rsidRPr="005A3F47">
        <w:rPr>
          <w:noProof/>
        </w:rPr>
        <w:t>accommodate</w:t>
      </w:r>
      <w:r w:rsidR="001A48BB" w:rsidRPr="005A3F47">
        <w:rPr>
          <w:noProof/>
        </w:rPr>
        <w:t xml:space="preserve"> CFC legislation </w:t>
      </w:r>
      <w:r w:rsidR="00671B92" w:rsidRPr="005A3F47">
        <w:rPr>
          <w:noProof/>
        </w:rPr>
        <w:t>by</w:t>
      </w:r>
      <w:r w:rsidR="001A48BB" w:rsidRPr="005A3F47">
        <w:rPr>
          <w:noProof/>
        </w:rPr>
        <w:t xml:space="preserve"> tak</w:t>
      </w:r>
      <w:r w:rsidR="00671B92" w:rsidRPr="005A3F47">
        <w:rPr>
          <w:noProof/>
        </w:rPr>
        <w:t>ing</w:t>
      </w:r>
      <w:r w:rsidR="001A48BB" w:rsidRPr="005A3F47">
        <w:rPr>
          <w:noProof/>
        </w:rPr>
        <w:t xml:space="preserve"> </w:t>
      </w:r>
      <w:r w:rsidR="00671B92" w:rsidRPr="005A3F47">
        <w:rPr>
          <w:noProof/>
        </w:rPr>
        <w:t>the relevant</w:t>
      </w:r>
      <w:r w:rsidR="001A48BB" w:rsidRPr="005A3F47">
        <w:rPr>
          <w:noProof/>
        </w:rPr>
        <w:t xml:space="preserve"> tax charges into account in the design of the global minimum tax. </w:t>
      </w:r>
      <w:r w:rsidR="008C2975" w:rsidRPr="005A3F47">
        <w:rPr>
          <w:noProof/>
        </w:rPr>
        <w:t xml:space="preserve">Yet, this </w:t>
      </w:r>
      <w:r w:rsidR="00B21437" w:rsidRPr="005A3F47">
        <w:rPr>
          <w:noProof/>
        </w:rPr>
        <w:t xml:space="preserve">does not change the fact that </w:t>
      </w:r>
      <w:r w:rsidR="00363B2D" w:rsidRPr="005A3F47">
        <w:rPr>
          <w:noProof/>
        </w:rPr>
        <w:t>CFC rules share similar objectives to Pillar 2</w:t>
      </w:r>
      <w:r w:rsidR="007B75D3" w:rsidRPr="005A3F47">
        <w:rPr>
          <w:noProof/>
        </w:rPr>
        <w:t xml:space="preserve"> and in practice, the interaction </w:t>
      </w:r>
      <w:r w:rsidR="00CF2DAC" w:rsidRPr="005A3F47">
        <w:rPr>
          <w:noProof/>
        </w:rPr>
        <w:t xml:space="preserve">between the two sets of rules </w:t>
      </w:r>
      <w:r w:rsidR="0005535A" w:rsidRPr="005A3F47">
        <w:rPr>
          <w:noProof/>
        </w:rPr>
        <w:t xml:space="preserve">leads to duplication. </w:t>
      </w:r>
      <w:r w:rsidR="001A48BB" w:rsidRPr="005A3F47">
        <w:rPr>
          <w:noProof/>
        </w:rPr>
        <w:t>It is now clear that this approach may create</w:t>
      </w:r>
      <w:r w:rsidR="002E655F" w:rsidRPr="005A3F47">
        <w:rPr>
          <w:noProof/>
        </w:rPr>
        <w:t xml:space="preserve"> </w:t>
      </w:r>
      <w:r w:rsidR="001A48BB" w:rsidRPr="005A3F47">
        <w:rPr>
          <w:noProof/>
        </w:rPr>
        <w:t>a risk of over-taxation</w:t>
      </w:r>
      <w:r w:rsidR="00D1233B" w:rsidRPr="005A3F47">
        <w:rPr>
          <w:noProof/>
        </w:rPr>
        <w:t>.</w:t>
      </w:r>
      <w:r w:rsidR="001A48BB" w:rsidRPr="005A3F47">
        <w:rPr>
          <w:noProof/>
        </w:rPr>
        <w:t xml:space="preserve"> </w:t>
      </w:r>
    </w:p>
    <w:p w14:paraId="527B1EF5" w14:textId="2B85254F" w:rsidR="00BE7FA5" w:rsidRPr="005A3F47" w:rsidRDefault="00BE7FA5" w:rsidP="00BE7FA5">
      <w:pPr>
        <w:rPr>
          <w:rFonts w:cs="Arial"/>
          <w:noProof/>
          <w:lang w:eastAsia="da-DK"/>
        </w:rPr>
      </w:pPr>
      <w:r w:rsidRPr="005A3F47">
        <w:rPr>
          <w:rFonts w:cs="Arial"/>
          <w:noProof/>
          <w:lang w:eastAsia="da-DK"/>
        </w:rPr>
        <w:t>As Pillar 2 was recently transposed</w:t>
      </w:r>
      <w:r w:rsidRPr="005A3F47" w:rsidDel="00CA1756">
        <w:rPr>
          <w:rFonts w:cs="Arial"/>
          <w:noProof/>
          <w:lang w:eastAsia="da-DK"/>
        </w:rPr>
        <w:t xml:space="preserve"> </w:t>
      </w:r>
      <w:r w:rsidRPr="005A3F47">
        <w:rPr>
          <w:rFonts w:cs="Arial"/>
          <w:noProof/>
          <w:lang w:eastAsia="da-DK"/>
        </w:rPr>
        <w:t xml:space="preserve">by the Member States, the actual effects of the interaction between the two sets of rules are not yet possible to assess in a reliable manner. However, the theoretical consequences of applying Pillar 2 and CFC rules in parallel, i.e., the application of a Qualified Domestic Minimum Top-up Tax (QDMTT) at the level of a low-taxed CFC and the CFC tax imposed at the level of its shareholders, would be likely to result in economic double taxation, which is not in line with the intent of ATAD. </w:t>
      </w:r>
    </w:p>
    <w:p w14:paraId="585F8D2C" w14:textId="4C44C57A" w:rsidR="00BE7FA5" w:rsidRPr="005A3F47" w:rsidRDefault="00BE7FA5" w:rsidP="00BE7FA5">
      <w:pPr>
        <w:rPr>
          <w:rFonts w:cs="Arial"/>
          <w:noProof/>
          <w:lang w:eastAsia="da-DK"/>
        </w:rPr>
      </w:pPr>
      <w:r w:rsidRPr="005A3F47">
        <w:rPr>
          <w:rFonts w:cs="Arial"/>
          <w:noProof/>
          <w:lang w:eastAsia="da-DK"/>
        </w:rPr>
        <w:t>On this basis, businesses generally regard the two sets of rules as overlapping, causing double taxation and creating unnecessary administrative burden. During the targeted consultations, businesses overwhelmingly argued that the CFC rules have become redundant for MNEs in scope of Pillar 2. These views find support in the ATAD evaluation, which concludes that the implementation of the Pillar 2 Directive addresses similar risks through a global minimum tax and has weakened the rationale for maintaining the CFC rule for MNEs in scope of Pillar 2.</w:t>
      </w:r>
      <w:r w:rsidRPr="005A3F47">
        <w:rPr>
          <w:rStyle w:val="FootnoteReference"/>
          <w:rFonts w:cs="Arial"/>
          <w:noProof/>
          <w:lang w:eastAsia="da-DK"/>
        </w:rPr>
        <w:footnoteReference w:id="61"/>
      </w:r>
      <w:r w:rsidR="00F11591" w:rsidRPr="005A3F47">
        <w:rPr>
          <w:rFonts w:cs="Arial"/>
          <w:noProof/>
          <w:lang w:eastAsia="da-DK"/>
        </w:rPr>
        <w:t xml:space="preserve"> As such, upholding both sets of rules in parallel risks entailing future compliance costs above what is needed.</w:t>
      </w:r>
    </w:p>
    <w:p w14:paraId="64B7A799" w14:textId="4DF9422E" w:rsidR="00BE7FA5" w:rsidRPr="005A3F47" w:rsidRDefault="000644BC" w:rsidP="00E823DC">
      <w:pPr>
        <w:pStyle w:val="Heading3"/>
        <w:numPr>
          <w:ilvl w:val="3"/>
          <w:numId w:val="185"/>
        </w:numPr>
        <w:rPr>
          <w:i w:val="0"/>
          <w:noProof/>
        </w:rPr>
      </w:pPr>
      <w:r w:rsidRPr="005A3F47">
        <w:rPr>
          <w:i w:val="0"/>
          <w:noProof/>
        </w:rPr>
        <w:t xml:space="preserve"> </w:t>
      </w:r>
      <w:r w:rsidR="00BE7FA5" w:rsidRPr="005A3F47">
        <w:rPr>
          <w:i w:val="0"/>
          <w:noProof/>
        </w:rPr>
        <w:t>Application to SMEs</w:t>
      </w:r>
    </w:p>
    <w:p w14:paraId="74A597E2" w14:textId="77777777" w:rsidR="00BE7FA5" w:rsidRPr="005A3F47" w:rsidRDefault="00BE7FA5" w:rsidP="00BE7FA5">
      <w:pPr>
        <w:rPr>
          <w:rFonts w:cs="Arial"/>
          <w:noProof/>
          <w:lang w:eastAsia="da-DK"/>
        </w:rPr>
      </w:pPr>
      <w:r w:rsidRPr="005A3F47">
        <w:rPr>
          <w:rFonts w:cs="Arial"/>
          <w:noProof/>
          <w:lang w:eastAsia="da-DK"/>
        </w:rPr>
        <w:t>The CFC rules apply to all taxpayers that are subject to corporate tax in one or more Member State(s), including permanent establishments in one or more Member State(s) of entities resident for tax purposes in a third country, irrespective of their size.</w:t>
      </w:r>
    </w:p>
    <w:p w14:paraId="6D4FF126" w14:textId="1C479FD6" w:rsidR="00BE7FA5" w:rsidRPr="005A3F47" w:rsidRDefault="00BE7FA5" w:rsidP="00BE7FA5">
      <w:pPr>
        <w:rPr>
          <w:rFonts w:cs="Arial"/>
          <w:noProof/>
          <w:lang w:eastAsia="da-DK"/>
        </w:rPr>
      </w:pPr>
      <w:r w:rsidRPr="005A3F47">
        <w:rPr>
          <w:rFonts w:cs="Arial"/>
          <w:noProof/>
          <w:lang w:eastAsia="da-DK"/>
        </w:rPr>
        <w:t>In the EU, 99.8% of businesses are SMEs. However, only (i) 10% of them have cross-border activities, and (ii) 2% have subsidiaries outside of the EU. 42% of SMEs are standalone entities, i.e. not part of a group and without associated enterprises.</w:t>
      </w:r>
      <w:r w:rsidRPr="005A3F47">
        <w:rPr>
          <w:rStyle w:val="FootnoteReference"/>
          <w:noProof/>
        </w:rPr>
        <w:footnoteReference w:id="62"/>
      </w:r>
      <w:r w:rsidR="009016E8" w:rsidRPr="005A3F47">
        <w:rPr>
          <w:rFonts w:cs="Arial"/>
          <w:noProof/>
          <w:lang w:eastAsia="da-DK"/>
        </w:rPr>
        <w:t xml:space="preserve"> </w:t>
      </w:r>
      <w:r w:rsidR="4F214F56" w:rsidRPr="005A3F47">
        <w:rPr>
          <w:rFonts w:cs="Arial"/>
          <w:noProof/>
          <w:lang w:eastAsia="da-DK"/>
        </w:rPr>
        <w:t>T</w:t>
      </w:r>
      <w:r w:rsidRPr="005A3F47">
        <w:rPr>
          <w:rFonts w:cs="Arial"/>
          <w:noProof/>
          <w:lang w:eastAsia="da-DK"/>
        </w:rPr>
        <w:t>he ATAD evaluation finds that CFC rules are costly</w:t>
      </w:r>
      <w:r w:rsidR="00E5732C" w:rsidRPr="005A3F47">
        <w:rPr>
          <w:rFonts w:cs="Arial"/>
          <w:noProof/>
          <w:lang w:eastAsia="da-DK"/>
        </w:rPr>
        <w:t>.</w:t>
      </w:r>
      <w:r w:rsidR="004A6022" w:rsidRPr="005A3F47">
        <w:rPr>
          <w:rStyle w:val="FootnoteReference"/>
          <w:rFonts w:cs="Arial"/>
          <w:noProof/>
          <w:lang w:eastAsia="da-DK"/>
        </w:rPr>
        <w:footnoteReference w:id="63"/>
      </w:r>
      <w:r w:rsidR="00920333" w:rsidRPr="005A3F47">
        <w:rPr>
          <w:rFonts w:cs="Arial"/>
          <w:noProof/>
          <w:lang w:eastAsia="da-DK"/>
        </w:rPr>
        <w:t xml:space="preserve"> </w:t>
      </w:r>
      <w:r w:rsidRPr="005A3F47">
        <w:rPr>
          <w:rFonts w:cs="Arial"/>
          <w:noProof/>
          <w:lang w:eastAsia="da-DK"/>
        </w:rPr>
        <w:t xml:space="preserve">Certain businesses may need to conduct an analysis or tick a box for internal control purposes even when they are effectively not affected by the rules. </w:t>
      </w:r>
      <w:r w:rsidR="00A420F9" w:rsidRPr="005A3F47">
        <w:rPr>
          <w:rFonts w:cs="Arial"/>
          <w:noProof/>
          <w:lang w:eastAsia="da-DK"/>
        </w:rPr>
        <w:t>This may put a disproportionate administrative burden on smaller corporate taxpayers, as they need to rely on</w:t>
      </w:r>
      <w:r w:rsidR="00F104DA" w:rsidRPr="005A3F47">
        <w:rPr>
          <w:rFonts w:cs="Arial"/>
          <w:noProof/>
          <w:lang w:eastAsia="da-DK"/>
        </w:rPr>
        <w:t xml:space="preserve"> external expertise,</w:t>
      </w:r>
      <w:r w:rsidR="00A420F9" w:rsidRPr="005A3F47">
        <w:rPr>
          <w:rFonts w:cs="Arial"/>
          <w:noProof/>
          <w:lang w:eastAsia="da-DK"/>
        </w:rPr>
        <w:t xml:space="preserve"> even in the absence of risky arrangements. </w:t>
      </w:r>
      <w:r w:rsidRPr="005A3F47">
        <w:rPr>
          <w:rFonts w:cs="Arial"/>
          <w:noProof/>
          <w:lang w:eastAsia="da-DK"/>
        </w:rPr>
        <w:t>Consequently, while relatively few SMEs are in a position to engage in cross-border aggressive tax planning, they nonetheless face an administrative burden associated with applying CFC rules.</w:t>
      </w:r>
      <w:r w:rsidR="005300F3" w:rsidRPr="005A3F47">
        <w:rPr>
          <w:rFonts w:cs="Arial"/>
          <w:noProof/>
          <w:lang w:eastAsia="da-DK"/>
        </w:rPr>
        <w:t xml:space="preserve"> If not addressed, this will continue to act as a barrier on SME growth. </w:t>
      </w:r>
    </w:p>
    <w:p w14:paraId="2EE33CD6" w14:textId="63509831" w:rsidR="00BE7FA5" w:rsidRPr="005A3F47" w:rsidRDefault="00BE7FA5" w:rsidP="00786026">
      <w:pPr>
        <w:pStyle w:val="Heading3"/>
        <w:numPr>
          <w:ilvl w:val="2"/>
          <w:numId w:val="185"/>
        </w:numPr>
        <w:rPr>
          <w:noProof/>
        </w:rPr>
      </w:pPr>
      <w:r w:rsidRPr="005A3F47">
        <w:rPr>
          <w:noProof/>
        </w:rPr>
        <w:t>Expensing of assets related to research and development (R&amp;D)</w:t>
      </w:r>
    </w:p>
    <w:p w14:paraId="019F2816" w14:textId="05383CB6" w:rsidR="00BE7FA5" w:rsidRPr="005A3F47" w:rsidRDefault="00BE7FA5" w:rsidP="2F9AF9B5">
      <w:pPr>
        <w:rPr>
          <w:noProof/>
        </w:rPr>
      </w:pPr>
      <w:r w:rsidRPr="005A3F47">
        <w:rPr>
          <w:noProof/>
        </w:rPr>
        <w:t xml:space="preserve">As </w:t>
      </w:r>
      <w:r w:rsidR="00CB7CE5" w:rsidRPr="005A3F47">
        <w:rPr>
          <w:noProof/>
        </w:rPr>
        <w:t xml:space="preserve">set out in Section </w:t>
      </w:r>
      <w:r w:rsidR="005D27D1" w:rsidRPr="005A3F47">
        <w:rPr>
          <w:noProof/>
        </w:rPr>
        <w:t>2.1.4</w:t>
      </w:r>
      <w:r w:rsidRPr="005A3F47">
        <w:rPr>
          <w:noProof/>
        </w:rPr>
        <w:t xml:space="preserve">, </w:t>
      </w:r>
      <w:r w:rsidR="001863A4" w:rsidRPr="005A3F47">
        <w:rPr>
          <w:noProof/>
        </w:rPr>
        <w:t>not all tax barriers have been removed for</w:t>
      </w:r>
      <w:r w:rsidRPr="005A3F47">
        <w:rPr>
          <w:noProof/>
        </w:rPr>
        <w:t xml:space="preserve"> EU businesses </w:t>
      </w:r>
      <w:r w:rsidR="00E7000E" w:rsidRPr="005A3F47">
        <w:rPr>
          <w:noProof/>
        </w:rPr>
        <w:t>operating</w:t>
      </w:r>
      <w:r w:rsidRPr="005A3F47">
        <w:rPr>
          <w:noProof/>
        </w:rPr>
        <w:t xml:space="preserve"> </w:t>
      </w:r>
      <w:r w:rsidR="00391A33" w:rsidRPr="005A3F47">
        <w:rPr>
          <w:noProof/>
        </w:rPr>
        <w:t>in</w:t>
      </w:r>
      <w:r w:rsidRPr="005A3F47">
        <w:rPr>
          <w:noProof/>
        </w:rPr>
        <w:t xml:space="preserve"> the </w:t>
      </w:r>
      <w:r w:rsidR="00391A33" w:rsidRPr="005A3F47">
        <w:rPr>
          <w:noProof/>
        </w:rPr>
        <w:t>internal market</w:t>
      </w:r>
      <w:r w:rsidRPr="005A3F47">
        <w:rPr>
          <w:noProof/>
        </w:rPr>
        <w:t>. One such issue</w:t>
      </w:r>
      <w:r w:rsidR="009C7065" w:rsidRPr="005A3F47">
        <w:rPr>
          <w:noProof/>
        </w:rPr>
        <w:t>,</w:t>
      </w:r>
      <w:r w:rsidRPr="005A3F47">
        <w:rPr>
          <w:noProof/>
        </w:rPr>
        <w:t xml:space="preserve"> which has </w:t>
      </w:r>
      <w:r w:rsidR="4281BEF7" w:rsidRPr="005A3F47">
        <w:rPr>
          <w:noProof/>
        </w:rPr>
        <w:t xml:space="preserve">come into sharper focus </w:t>
      </w:r>
      <w:r w:rsidRPr="005A3F47">
        <w:rPr>
          <w:noProof/>
        </w:rPr>
        <w:t>in recent years as a result of the</w:t>
      </w:r>
      <w:r w:rsidRPr="005A3F47" w:rsidDel="00CA1756">
        <w:rPr>
          <w:noProof/>
        </w:rPr>
        <w:t xml:space="preserve"> </w:t>
      </w:r>
      <w:r w:rsidRPr="005A3F47">
        <w:rPr>
          <w:noProof/>
        </w:rPr>
        <w:t xml:space="preserve">EU and global implementation of Pillar 2, </w:t>
      </w:r>
      <w:r w:rsidR="008111F2" w:rsidRPr="005A3F47">
        <w:rPr>
          <w:noProof/>
        </w:rPr>
        <w:t>is</w:t>
      </w:r>
      <w:r w:rsidRPr="005A3F47">
        <w:rPr>
          <w:noProof/>
        </w:rPr>
        <w:t xml:space="preserve"> the treatment of R&amp;D assets for tax depreciation purposes. </w:t>
      </w:r>
    </w:p>
    <w:p w14:paraId="7401B714" w14:textId="0BF40B25" w:rsidR="00BE7FA5" w:rsidRPr="005A3F47" w:rsidRDefault="00BE7FA5" w:rsidP="00BE7FA5">
      <w:pPr>
        <w:rPr>
          <w:noProof/>
        </w:rPr>
      </w:pPr>
      <w:r w:rsidRPr="005A3F47">
        <w:rPr>
          <w:noProof/>
        </w:rPr>
        <w:t>While the UK and the U</w:t>
      </w:r>
      <w:r w:rsidR="002914FF" w:rsidRPr="005A3F47">
        <w:rPr>
          <w:noProof/>
        </w:rPr>
        <w:t xml:space="preserve">nited </w:t>
      </w:r>
      <w:r w:rsidRPr="005A3F47">
        <w:rPr>
          <w:noProof/>
        </w:rPr>
        <w:t>S</w:t>
      </w:r>
      <w:r w:rsidR="002914FF" w:rsidRPr="005A3F47">
        <w:rPr>
          <w:noProof/>
        </w:rPr>
        <w:t>tates</w:t>
      </w:r>
      <w:r w:rsidR="4D6CDD37" w:rsidRPr="005A3F47">
        <w:rPr>
          <w:rFonts w:eastAsia="Times New Roman"/>
          <w:noProof/>
        </w:rPr>
        <w:t xml:space="preserve"> generally allow the full cost of R&amp;D assets to be deducted in the year </w:t>
      </w:r>
      <w:r w:rsidR="009C7065" w:rsidRPr="005A3F47">
        <w:rPr>
          <w:rFonts w:eastAsia="Times New Roman"/>
          <w:noProof/>
        </w:rPr>
        <w:t xml:space="preserve">an </w:t>
      </w:r>
      <w:r w:rsidR="4D6CDD37" w:rsidRPr="005A3F47">
        <w:rPr>
          <w:rFonts w:eastAsia="Times New Roman"/>
          <w:noProof/>
        </w:rPr>
        <w:t xml:space="preserve">investment is made </w:t>
      </w:r>
      <w:r w:rsidR="002F45AB" w:rsidRPr="005A3F47">
        <w:rPr>
          <w:rFonts w:eastAsia="Times New Roman"/>
          <w:noProof/>
        </w:rPr>
        <w:t xml:space="preserve">– </w:t>
      </w:r>
      <w:r w:rsidR="4D6CDD37" w:rsidRPr="005A3F47">
        <w:rPr>
          <w:rFonts w:eastAsia="Times New Roman"/>
          <w:noProof/>
        </w:rPr>
        <w:t xml:space="preserve">so-called immediate expensing </w:t>
      </w:r>
      <w:r w:rsidR="002F45AB" w:rsidRPr="005A3F47">
        <w:rPr>
          <w:rFonts w:eastAsia="Times New Roman"/>
          <w:noProof/>
        </w:rPr>
        <w:t xml:space="preserve">– </w:t>
      </w:r>
      <w:r w:rsidR="4D6CDD37" w:rsidRPr="005A3F47">
        <w:rPr>
          <w:rFonts w:eastAsia="Times New Roman"/>
          <w:noProof/>
        </w:rPr>
        <w:t>this is not the general rule in EU Member States</w:t>
      </w:r>
      <w:r w:rsidRPr="005A3F47">
        <w:rPr>
          <w:noProof/>
        </w:rPr>
        <w:t xml:space="preserve">. This is regrettable, because, as the Commission already stated in its Recommendation of 2 July 2025 on tax incentives to support the Clean Industrial Deal, </w:t>
      </w:r>
      <w:r w:rsidR="42C912E8" w:rsidRPr="005A3F47">
        <w:rPr>
          <w:rFonts w:eastAsia="Times New Roman"/>
          <w:noProof/>
        </w:rPr>
        <w:t>immediate expensing carries important benefits for investment decisions by allowing taxpayers to recognise the full depreciable amount as a deduction in the tax year in which the investment is made</w:t>
      </w:r>
      <w:r w:rsidRPr="005A3F47">
        <w:rPr>
          <w:noProof/>
        </w:rPr>
        <w:t>.</w:t>
      </w:r>
    </w:p>
    <w:p w14:paraId="7A4F405A" w14:textId="7832CB15" w:rsidR="00BE7FA5" w:rsidRPr="005A3F47" w:rsidRDefault="00BE7FA5" w:rsidP="00BE7FA5">
      <w:pPr>
        <w:rPr>
          <w:noProof/>
        </w:rPr>
      </w:pPr>
      <w:r w:rsidRPr="005A3F47">
        <w:rPr>
          <w:noProof/>
        </w:rPr>
        <w:t>The introduction of Pillar 2 has emphasised the need for a harmonised EU tax policy in this area. While the global minimum tax will generally improve the level playing field for EU businesses globally,</w:t>
      </w:r>
      <w:r w:rsidR="7B7BDE18" w:rsidRPr="005A3F47">
        <w:rPr>
          <w:rFonts w:eastAsia="Times New Roman"/>
          <w:noProof/>
        </w:rPr>
        <w:t xml:space="preserve"> it does not address differences of this kind, as Pillar 2 does not take into account temporary book–tax timing differences</w:t>
      </w:r>
      <w:r w:rsidR="6B49B08B" w:rsidRPr="005A3F47">
        <w:rPr>
          <w:rFonts w:eastAsia="Times New Roman"/>
          <w:noProof/>
        </w:rPr>
        <w:t xml:space="preserve"> that</w:t>
      </w:r>
      <w:r w:rsidR="7B7BDE18" w:rsidRPr="005A3F47">
        <w:rPr>
          <w:rFonts w:eastAsia="Times New Roman"/>
          <w:noProof/>
        </w:rPr>
        <w:t xml:space="preserve"> </w:t>
      </w:r>
      <w:r w:rsidR="00462A3D" w:rsidRPr="005A3F47">
        <w:rPr>
          <w:rFonts w:eastAsia="Times New Roman"/>
          <w:noProof/>
        </w:rPr>
        <w:t>aris</w:t>
      </w:r>
      <w:r w:rsidR="004A08AD" w:rsidRPr="005A3F47">
        <w:rPr>
          <w:rFonts w:eastAsia="Times New Roman"/>
          <w:noProof/>
        </w:rPr>
        <w:t>e</w:t>
      </w:r>
      <w:r w:rsidR="7B7BDE18" w:rsidRPr="005A3F47">
        <w:rPr>
          <w:rFonts w:eastAsia="Times New Roman"/>
          <w:noProof/>
        </w:rPr>
        <w:t xml:space="preserve"> from immediate expensing.</w:t>
      </w:r>
      <w:r w:rsidR="0733B9D0" w:rsidRPr="005A3F47">
        <w:rPr>
          <w:rFonts w:eastAsia="Times New Roman"/>
          <w:noProof/>
        </w:rPr>
        <w:t xml:space="preserve"> As a result, divergences in the timing and design of R&amp;D tax incentives remain outside its scope</w:t>
      </w:r>
      <w:r w:rsidRPr="005A3F47">
        <w:rPr>
          <w:noProof/>
        </w:rPr>
        <w:t xml:space="preserve">. </w:t>
      </w:r>
      <w:r w:rsidR="004A233F" w:rsidRPr="005A3F47">
        <w:rPr>
          <w:noProof/>
        </w:rPr>
        <w:t>Th</w:t>
      </w:r>
      <w:r w:rsidR="000C17C1" w:rsidRPr="005A3F47">
        <w:rPr>
          <w:noProof/>
        </w:rPr>
        <w:t>ese</w:t>
      </w:r>
      <w:r w:rsidR="00E523DA" w:rsidRPr="005A3F47">
        <w:rPr>
          <w:noProof/>
        </w:rPr>
        <w:t xml:space="preserve"> national</w:t>
      </w:r>
      <w:r w:rsidR="000C17C1" w:rsidRPr="005A3F47">
        <w:rPr>
          <w:noProof/>
        </w:rPr>
        <w:t xml:space="preserve"> </w:t>
      </w:r>
      <w:r w:rsidR="004A233F" w:rsidRPr="005A3F47">
        <w:rPr>
          <w:noProof/>
        </w:rPr>
        <w:t>distortion</w:t>
      </w:r>
      <w:r w:rsidR="0082261E" w:rsidRPr="005A3F47">
        <w:rPr>
          <w:noProof/>
        </w:rPr>
        <w:t>s</w:t>
      </w:r>
      <w:r w:rsidR="005930DE" w:rsidRPr="005A3F47">
        <w:rPr>
          <w:noProof/>
        </w:rPr>
        <w:t xml:space="preserve"> </w:t>
      </w:r>
      <w:r w:rsidR="00F96D67" w:rsidRPr="005A3F47">
        <w:rPr>
          <w:noProof/>
        </w:rPr>
        <w:t>put</w:t>
      </w:r>
      <w:r w:rsidRPr="005A3F47">
        <w:rPr>
          <w:noProof/>
        </w:rPr>
        <w:t xml:space="preserve"> EU </w:t>
      </w:r>
      <w:r w:rsidR="00F96D67" w:rsidRPr="005A3F47">
        <w:rPr>
          <w:noProof/>
        </w:rPr>
        <w:t xml:space="preserve">businesses </w:t>
      </w:r>
      <w:r w:rsidR="00FB5E7C" w:rsidRPr="005A3F47">
        <w:rPr>
          <w:noProof/>
        </w:rPr>
        <w:t xml:space="preserve">at a competitive disadvantage </w:t>
      </w:r>
      <w:r w:rsidR="00630EE8" w:rsidRPr="005A3F47">
        <w:rPr>
          <w:noProof/>
        </w:rPr>
        <w:t>when p</w:t>
      </w:r>
      <w:r w:rsidR="00213692" w:rsidRPr="005A3F47">
        <w:rPr>
          <w:noProof/>
        </w:rPr>
        <w:t>er</w:t>
      </w:r>
      <w:r w:rsidR="00630EE8" w:rsidRPr="005A3F47">
        <w:rPr>
          <w:noProof/>
        </w:rPr>
        <w:t>forming</w:t>
      </w:r>
      <w:r w:rsidR="001C2C2B" w:rsidRPr="005A3F47">
        <w:rPr>
          <w:noProof/>
        </w:rPr>
        <w:t xml:space="preserve"> </w:t>
      </w:r>
      <w:r w:rsidR="18EC7A07" w:rsidRPr="005A3F47">
        <w:rPr>
          <w:rFonts w:eastAsia="Times New Roman"/>
          <w:noProof/>
        </w:rPr>
        <w:t xml:space="preserve">an activity that is inherently </w:t>
      </w:r>
      <w:r w:rsidRPr="005A3F47">
        <w:rPr>
          <w:noProof/>
        </w:rPr>
        <w:t xml:space="preserve">international in nature, </w:t>
      </w:r>
      <w:r w:rsidR="001C2C2B" w:rsidRPr="005A3F47">
        <w:rPr>
          <w:noProof/>
        </w:rPr>
        <w:t>and makes the internal market less attractive</w:t>
      </w:r>
      <w:r w:rsidRPr="005A3F47">
        <w:rPr>
          <w:noProof/>
        </w:rPr>
        <w:t xml:space="preserve"> for </w:t>
      </w:r>
      <w:r w:rsidR="001C2C2B" w:rsidRPr="005A3F47">
        <w:rPr>
          <w:noProof/>
        </w:rPr>
        <w:t>investments</w:t>
      </w:r>
      <w:r w:rsidRPr="005A3F47">
        <w:rPr>
          <w:noProof/>
        </w:rPr>
        <w:t>, as opposed to, for instance, research</w:t>
      </w:r>
      <w:r w:rsidR="002914FF" w:rsidRPr="005A3F47">
        <w:rPr>
          <w:noProof/>
        </w:rPr>
        <w:t xml:space="preserve"> carried out in </w:t>
      </w:r>
      <w:r w:rsidR="00AB4498" w:rsidRPr="005A3F47">
        <w:rPr>
          <w:noProof/>
        </w:rPr>
        <w:t>bigger markets with more growth potential, such as</w:t>
      </w:r>
      <w:r w:rsidR="002914FF" w:rsidRPr="005A3F47">
        <w:rPr>
          <w:noProof/>
        </w:rPr>
        <w:t xml:space="preserve"> the United States</w:t>
      </w:r>
      <w:r w:rsidRPr="005A3F47">
        <w:rPr>
          <w:noProof/>
        </w:rPr>
        <w:t xml:space="preserve">.  </w:t>
      </w:r>
    </w:p>
    <w:p w14:paraId="4D64C48A" w14:textId="3339D966" w:rsidR="00BE7FA5" w:rsidRPr="005A3F47" w:rsidRDefault="00BE7FA5" w:rsidP="00C80C05">
      <w:pPr>
        <w:pStyle w:val="Heading3"/>
        <w:numPr>
          <w:ilvl w:val="2"/>
          <w:numId w:val="185"/>
        </w:numPr>
        <w:rPr>
          <w:noProof/>
        </w:rPr>
      </w:pPr>
      <w:r w:rsidRPr="005A3F47">
        <w:rPr>
          <w:noProof/>
        </w:rPr>
        <w:t xml:space="preserve">Interest </w:t>
      </w:r>
      <w:r w:rsidR="005C261C" w:rsidRPr="005A3F47">
        <w:rPr>
          <w:noProof/>
        </w:rPr>
        <w:t>L</w:t>
      </w:r>
      <w:r w:rsidRPr="005A3F47">
        <w:rPr>
          <w:noProof/>
        </w:rPr>
        <w:t xml:space="preserve">imitation </w:t>
      </w:r>
      <w:r w:rsidR="005C261C" w:rsidRPr="005A3F47">
        <w:rPr>
          <w:noProof/>
        </w:rPr>
        <w:t>R</w:t>
      </w:r>
      <w:r w:rsidRPr="005A3F47">
        <w:rPr>
          <w:noProof/>
        </w:rPr>
        <w:t xml:space="preserve">ule </w:t>
      </w:r>
    </w:p>
    <w:p w14:paraId="2DD4C81D" w14:textId="09AA6CF6" w:rsidR="00BE7FA5" w:rsidRPr="005A3F47" w:rsidRDefault="00BE7FA5" w:rsidP="00BE7FA5">
      <w:pPr>
        <w:rPr>
          <w:noProof/>
        </w:rPr>
      </w:pPr>
      <w:r w:rsidRPr="005A3F47">
        <w:rPr>
          <w:noProof/>
        </w:rPr>
        <w:t>As a general rule, expenses incurred by a company in the context of its economic activity are tax-deductible. However, certain expenses may be disallowed or have a partial deduction, particularly if they can be linked to risks of abuse. Article 4 of the ATAD introduces an I</w:t>
      </w:r>
      <w:r w:rsidR="005C261C" w:rsidRPr="005A3F47">
        <w:rPr>
          <w:noProof/>
        </w:rPr>
        <w:t xml:space="preserve">nterest </w:t>
      </w:r>
      <w:r w:rsidRPr="005A3F47">
        <w:rPr>
          <w:noProof/>
        </w:rPr>
        <w:t>L</w:t>
      </w:r>
      <w:r w:rsidR="005C261C" w:rsidRPr="005A3F47">
        <w:rPr>
          <w:noProof/>
        </w:rPr>
        <w:t xml:space="preserve">imitation </w:t>
      </w:r>
      <w:r w:rsidRPr="005A3F47">
        <w:rPr>
          <w:noProof/>
        </w:rPr>
        <w:t>R</w:t>
      </w:r>
      <w:r w:rsidR="005C261C" w:rsidRPr="005A3F47">
        <w:rPr>
          <w:noProof/>
        </w:rPr>
        <w:t>ule</w:t>
      </w:r>
      <w:r w:rsidRPr="005A3F47">
        <w:rPr>
          <w:noProof/>
        </w:rPr>
        <w:t xml:space="preserve"> in the EU which restricts the deductibility of a company’s interest expenses. The purpose of the rule is to limit the extent to which companies in high-tax jurisdictions with excessive debt can benefit from tax deductions for interest payments which can significantly erode their tax base.</w:t>
      </w:r>
    </w:p>
    <w:p w14:paraId="570DBC2D" w14:textId="777E6256" w:rsidR="00BE7FA5" w:rsidRPr="005A3F47" w:rsidRDefault="00BE7FA5" w:rsidP="00BE7FA5">
      <w:pPr>
        <w:rPr>
          <w:noProof/>
        </w:rPr>
      </w:pPr>
      <w:r w:rsidRPr="005A3F47">
        <w:rPr>
          <w:noProof/>
        </w:rPr>
        <w:t>Under the I</w:t>
      </w:r>
      <w:r w:rsidR="005C261C" w:rsidRPr="005A3F47">
        <w:rPr>
          <w:noProof/>
        </w:rPr>
        <w:t xml:space="preserve">nterest </w:t>
      </w:r>
      <w:r w:rsidRPr="005A3F47">
        <w:rPr>
          <w:noProof/>
        </w:rPr>
        <w:t>L</w:t>
      </w:r>
      <w:r w:rsidR="005C261C" w:rsidRPr="005A3F47">
        <w:rPr>
          <w:noProof/>
        </w:rPr>
        <w:t xml:space="preserve">imitation </w:t>
      </w:r>
      <w:r w:rsidRPr="005A3F47">
        <w:rPr>
          <w:noProof/>
        </w:rPr>
        <w:t>R</w:t>
      </w:r>
      <w:r w:rsidR="005C261C" w:rsidRPr="005A3F47">
        <w:rPr>
          <w:noProof/>
        </w:rPr>
        <w:t>ule</w:t>
      </w:r>
      <w:r w:rsidRPr="005A3F47">
        <w:rPr>
          <w:noProof/>
        </w:rPr>
        <w:t xml:space="preserve">, businesses are generally entitled to deduct net borrowing costs, i.e., net interest expenses, up to 30% of their earnings before interest, tax, depreciation and amortisation (‘EBITDA’). Nonetheless, Member States are permitted to adopt lower deductibility limits when transposing the rule. The ATAD also allows Member States to choose from several options regarding safe harbours, carve-outs, and exceptions, thus allowing for significant flexibility in the implementation. </w:t>
      </w:r>
    </w:p>
    <w:p w14:paraId="44F8FAAA" w14:textId="45CBA9F7" w:rsidR="00BE7FA5" w:rsidRPr="005A3F47" w:rsidRDefault="00BE7FA5" w:rsidP="00BE7FA5">
      <w:pPr>
        <w:rPr>
          <w:noProof/>
        </w:rPr>
      </w:pPr>
      <w:r w:rsidRPr="005A3F47">
        <w:rPr>
          <w:noProof/>
        </w:rPr>
        <w:t>According to the ATAD evaluation, the I</w:t>
      </w:r>
      <w:r w:rsidR="005C261C" w:rsidRPr="005A3F47">
        <w:rPr>
          <w:noProof/>
        </w:rPr>
        <w:t xml:space="preserve">nterest </w:t>
      </w:r>
      <w:r w:rsidRPr="005A3F47">
        <w:rPr>
          <w:noProof/>
        </w:rPr>
        <w:t>L</w:t>
      </w:r>
      <w:r w:rsidR="005C261C" w:rsidRPr="005A3F47">
        <w:rPr>
          <w:noProof/>
        </w:rPr>
        <w:t xml:space="preserve">imitation </w:t>
      </w:r>
      <w:r w:rsidRPr="005A3F47">
        <w:rPr>
          <w:noProof/>
        </w:rPr>
        <w:t>R</w:t>
      </w:r>
      <w:r w:rsidR="005C261C" w:rsidRPr="005A3F47">
        <w:rPr>
          <w:noProof/>
        </w:rPr>
        <w:t>ule</w:t>
      </w:r>
      <w:r w:rsidRPr="005A3F47">
        <w:rPr>
          <w:noProof/>
        </w:rPr>
        <w:t xml:space="preserve"> is widely considered to be the ATAD provision that has had the most impact. Not only is it affecting the largest number of companies, but it also emerge</w:t>
      </w:r>
      <w:r w:rsidR="00D70911" w:rsidRPr="005A3F47">
        <w:rPr>
          <w:noProof/>
        </w:rPr>
        <w:t>s</w:t>
      </w:r>
      <w:r w:rsidRPr="005A3F47">
        <w:rPr>
          <w:noProof/>
        </w:rPr>
        <w:t xml:space="preserve"> as the rule generating the strongest effects on taxpayer behaviour and on protecting Member States’ tax bases. At the same time, it is often viewed as insufficiently targeted and the extensive flexibility afforded to Member States has created an excessive fragmentation in the implementation of the rule. </w:t>
      </w:r>
      <w:r w:rsidR="00860FFD" w:rsidRPr="005A3F47">
        <w:rPr>
          <w:rFonts w:cs="Arial"/>
          <w:noProof/>
          <w:lang w:eastAsia="da-DK"/>
        </w:rPr>
        <w:t xml:space="preserve">While </w:t>
      </w:r>
      <w:r w:rsidR="0074175F" w:rsidRPr="005A3F47">
        <w:rPr>
          <w:rFonts w:cs="Arial"/>
          <w:noProof/>
          <w:lang w:eastAsia="da-DK"/>
        </w:rPr>
        <w:t>the minimum standard in ATAD leaves room for Member States</w:t>
      </w:r>
      <w:r w:rsidR="006958A4" w:rsidRPr="005A3F47">
        <w:rPr>
          <w:rFonts w:cs="Arial"/>
          <w:noProof/>
          <w:lang w:eastAsia="da-DK"/>
        </w:rPr>
        <w:t xml:space="preserve"> to</w:t>
      </w:r>
      <w:r w:rsidR="003B2A42" w:rsidRPr="005A3F47">
        <w:rPr>
          <w:rFonts w:cs="Arial"/>
          <w:noProof/>
          <w:lang w:eastAsia="da-DK"/>
        </w:rPr>
        <w:t xml:space="preserve"> choose different options and</w:t>
      </w:r>
      <w:r w:rsidR="006958A4" w:rsidRPr="005A3F47">
        <w:rPr>
          <w:rFonts w:cs="Arial"/>
          <w:noProof/>
          <w:lang w:eastAsia="da-DK"/>
        </w:rPr>
        <w:t xml:space="preserve"> apply supplementary rules</w:t>
      </w:r>
      <w:r w:rsidR="00C276E1" w:rsidRPr="005A3F47">
        <w:rPr>
          <w:rFonts w:cs="Arial"/>
          <w:noProof/>
          <w:lang w:eastAsia="da-DK"/>
        </w:rPr>
        <w:t xml:space="preserve"> </w:t>
      </w:r>
      <w:r w:rsidR="003B2A42" w:rsidRPr="005A3F47">
        <w:rPr>
          <w:rFonts w:cs="Arial"/>
          <w:noProof/>
          <w:lang w:eastAsia="da-DK"/>
        </w:rPr>
        <w:t>to</w:t>
      </w:r>
      <w:r w:rsidR="00C276E1" w:rsidRPr="005A3F47">
        <w:rPr>
          <w:rFonts w:cs="Arial"/>
          <w:noProof/>
          <w:lang w:eastAsia="da-DK"/>
        </w:rPr>
        <w:t xml:space="preserve"> support domestic policy goals</w:t>
      </w:r>
      <w:r w:rsidR="006958A4" w:rsidRPr="005A3F47">
        <w:rPr>
          <w:rFonts w:cs="Arial"/>
          <w:noProof/>
          <w:lang w:eastAsia="da-DK"/>
        </w:rPr>
        <w:t>,</w:t>
      </w:r>
      <w:r w:rsidR="00C276E1" w:rsidRPr="005A3F47">
        <w:rPr>
          <w:rFonts w:cs="Arial"/>
          <w:noProof/>
          <w:lang w:eastAsia="da-DK"/>
        </w:rPr>
        <w:t xml:space="preserve"> such practices cause</w:t>
      </w:r>
      <w:r w:rsidR="00371195" w:rsidRPr="005A3F47">
        <w:rPr>
          <w:rFonts w:cs="Arial"/>
          <w:noProof/>
          <w:lang w:eastAsia="da-DK"/>
        </w:rPr>
        <w:t xml:space="preserve"> additional and avoidable regulatory</w:t>
      </w:r>
      <w:r w:rsidR="00E247F3" w:rsidRPr="005A3F47">
        <w:rPr>
          <w:rFonts w:cs="Arial"/>
          <w:noProof/>
          <w:lang w:eastAsia="da-DK"/>
        </w:rPr>
        <w:t xml:space="preserve"> and compliance</w:t>
      </w:r>
      <w:r w:rsidR="00371195" w:rsidRPr="005A3F47">
        <w:rPr>
          <w:rFonts w:cs="Arial"/>
          <w:noProof/>
          <w:lang w:eastAsia="da-DK"/>
        </w:rPr>
        <w:t xml:space="preserve"> cost.</w:t>
      </w:r>
      <w:r w:rsidR="00371195" w:rsidRPr="005A3F47">
        <w:rPr>
          <w:rStyle w:val="FootnoteReference"/>
          <w:rFonts w:cs="Arial"/>
          <w:noProof/>
          <w:lang w:eastAsia="da-DK"/>
        </w:rPr>
        <w:footnoteReference w:id="64"/>
      </w:r>
      <w:r w:rsidR="00C276E1" w:rsidRPr="005A3F47">
        <w:rPr>
          <w:rFonts w:cs="Arial"/>
          <w:noProof/>
          <w:lang w:eastAsia="da-DK"/>
        </w:rPr>
        <w:t xml:space="preserve"> </w:t>
      </w:r>
      <w:r w:rsidR="008E0DC2" w:rsidRPr="005A3F47">
        <w:rPr>
          <w:rFonts w:cs="Arial"/>
          <w:noProof/>
          <w:lang w:eastAsia="da-DK"/>
        </w:rPr>
        <w:t>Moreover, i</w:t>
      </w:r>
      <w:r w:rsidR="0035264D" w:rsidRPr="005A3F47">
        <w:rPr>
          <w:rFonts w:cs="Arial"/>
          <w:noProof/>
          <w:lang w:eastAsia="da-DK"/>
        </w:rPr>
        <w:t>n line with t</w:t>
      </w:r>
      <w:r w:rsidRPr="005A3F47">
        <w:rPr>
          <w:rFonts w:cs="Arial"/>
          <w:noProof/>
          <w:lang w:eastAsia="da-DK"/>
        </w:rPr>
        <w:t xml:space="preserve">he </w:t>
      </w:r>
      <w:r w:rsidR="0035264D" w:rsidRPr="005A3F47">
        <w:rPr>
          <w:rFonts w:cs="Arial"/>
          <w:noProof/>
          <w:lang w:eastAsia="da-DK"/>
        </w:rPr>
        <w:t xml:space="preserve">findings of the </w:t>
      </w:r>
      <w:r w:rsidRPr="005A3F47">
        <w:rPr>
          <w:rFonts w:cs="Arial"/>
          <w:noProof/>
          <w:lang w:eastAsia="da-DK"/>
        </w:rPr>
        <w:t>evaluation</w:t>
      </w:r>
      <w:r w:rsidR="0035264D" w:rsidRPr="005A3F47">
        <w:rPr>
          <w:rFonts w:cs="Arial"/>
          <w:noProof/>
          <w:lang w:eastAsia="da-DK"/>
        </w:rPr>
        <w:t>,</w:t>
      </w:r>
      <w:r w:rsidRPr="005A3F47">
        <w:rPr>
          <w:rFonts w:cs="Arial"/>
          <w:noProof/>
          <w:lang w:eastAsia="da-DK"/>
        </w:rPr>
        <w:t xml:space="preserve"> </w:t>
      </w:r>
      <w:r w:rsidR="0035264D" w:rsidRPr="005A3F47">
        <w:rPr>
          <w:rFonts w:cs="Arial"/>
          <w:noProof/>
          <w:lang w:eastAsia="da-DK"/>
        </w:rPr>
        <w:t xml:space="preserve">it appears </w:t>
      </w:r>
      <w:r w:rsidRPr="005A3F47">
        <w:rPr>
          <w:rFonts w:cs="Arial"/>
          <w:noProof/>
          <w:lang w:eastAsia="da-DK"/>
        </w:rPr>
        <w:t>that the I</w:t>
      </w:r>
      <w:r w:rsidR="00DA1D2C" w:rsidRPr="005A3F47">
        <w:rPr>
          <w:rFonts w:cs="Arial"/>
          <w:noProof/>
          <w:lang w:eastAsia="da-DK"/>
        </w:rPr>
        <w:t xml:space="preserve">nterest </w:t>
      </w:r>
      <w:r w:rsidRPr="005A3F47">
        <w:rPr>
          <w:rFonts w:cs="Arial"/>
          <w:noProof/>
          <w:lang w:eastAsia="da-DK"/>
        </w:rPr>
        <w:t>L</w:t>
      </w:r>
      <w:r w:rsidR="00DA1D2C" w:rsidRPr="005A3F47">
        <w:rPr>
          <w:rFonts w:cs="Arial"/>
          <w:noProof/>
          <w:lang w:eastAsia="da-DK"/>
        </w:rPr>
        <w:t xml:space="preserve">imitation </w:t>
      </w:r>
      <w:r w:rsidRPr="005A3F47">
        <w:rPr>
          <w:rFonts w:cs="Arial"/>
          <w:noProof/>
          <w:lang w:eastAsia="da-DK"/>
        </w:rPr>
        <w:t>R</w:t>
      </w:r>
      <w:r w:rsidR="00DA1D2C" w:rsidRPr="005A3F47">
        <w:rPr>
          <w:rFonts w:cs="Arial"/>
          <w:noProof/>
          <w:lang w:eastAsia="da-DK"/>
        </w:rPr>
        <w:t>ule</w:t>
      </w:r>
      <w:r w:rsidRPr="005A3F47">
        <w:rPr>
          <w:rFonts w:cs="Arial"/>
          <w:noProof/>
          <w:lang w:eastAsia="da-DK"/>
        </w:rPr>
        <w:t xml:space="preserve"> </w:t>
      </w:r>
      <w:r w:rsidR="0035264D" w:rsidRPr="005A3F47">
        <w:rPr>
          <w:rFonts w:cs="Arial"/>
          <w:noProof/>
          <w:lang w:eastAsia="da-DK"/>
        </w:rPr>
        <w:t xml:space="preserve">may continue to </w:t>
      </w:r>
      <w:r w:rsidRPr="005A3F47">
        <w:rPr>
          <w:rFonts w:cs="Arial"/>
          <w:noProof/>
          <w:lang w:eastAsia="da-DK"/>
        </w:rPr>
        <w:t>disadvantage capital-intensive sectors such as real estate, infrastructure, and innovative start-ups that rely on long-term debt financing, as it fails to acknowledge changes in the economic environment, particularly in a context of increasing interest rates.</w:t>
      </w:r>
      <w:r w:rsidRPr="005A3F47">
        <w:rPr>
          <w:rStyle w:val="FootnoteReference"/>
          <w:rFonts w:cs="Arial"/>
          <w:noProof/>
          <w:lang w:eastAsia="da-DK"/>
        </w:rPr>
        <w:footnoteReference w:id="65"/>
      </w:r>
      <w:r w:rsidRPr="005A3F47">
        <w:rPr>
          <w:rFonts w:cs="Arial"/>
          <w:noProof/>
          <w:lang w:eastAsia="da-DK"/>
        </w:rPr>
        <w:t xml:space="preserve"> </w:t>
      </w:r>
      <w:r w:rsidR="0025669A" w:rsidRPr="005A3F47">
        <w:rPr>
          <w:rFonts w:cs="Arial"/>
          <w:noProof/>
          <w:lang w:eastAsia="da-DK"/>
        </w:rPr>
        <w:t xml:space="preserve"> </w:t>
      </w:r>
    </w:p>
    <w:p w14:paraId="1EB53050" w14:textId="3360BD51" w:rsidR="00BE7FA5" w:rsidRPr="005A3F47" w:rsidRDefault="00BE7FA5" w:rsidP="00C80C05">
      <w:pPr>
        <w:pStyle w:val="Heading3"/>
        <w:numPr>
          <w:ilvl w:val="2"/>
          <w:numId w:val="185"/>
        </w:numPr>
        <w:rPr>
          <w:noProof/>
        </w:rPr>
      </w:pPr>
      <w:r w:rsidRPr="005A3F47">
        <w:rPr>
          <w:noProof/>
        </w:rPr>
        <w:t>Hybrid mismatches</w:t>
      </w:r>
    </w:p>
    <w:p w14:paraId="280B3DC3" w14:textId="19A8B86B" w:rsidR="00BE7FA5" w:rsidRPr="005A3F47" w:rsidRDefault="00746B69" w:rsidP="00BE7FA5">
      <w:pPr>
        <w:rPr>
          <w:noProof/>
        </w:rPr>
      </w:pPr>
      <w:r w:rsidRPr="005A3F47">
        <w:rPr>
          <w:noProof/>
        </w:rPr>
        <w:t>T</w:t>
      </w:r>
      <w:r w:rsidR="00BE7FA5" w:rsidRPr="005A3F47">
        <w:rPr>
          <w:noProof/>
        </w:rPr>
        <w:t xml:space="preserve">he ATAD establishes rules to neutralise hybrid mismatches, i.e., situations where the  qualification of a cross-border transaction </w:t>
      </w:r>
      <w:r w:rsidR="635EF066" w:rsidRPr="005A3F47">
        <w:rPr>
          <w:noProof/>
        </w:rPr>
        <w:t>between associated enterprises</w:t>
      </w:r>
      <w:r w:rsidR="00BE7FA5" w:rsidRPr="005A3F47">
        <w:rPr>
          <w:noProof/>
        </w:rPr>
        <w:t xml:space="preserve"> differs between the relevant jurisdictions, resulting in a tax treatment that creates double non-taxation: (i) a double deduction</w:t>
      </w:r>
      <w:r w:rsidR="0A89A12C" w:rsidRPr="005A3F47">
        <w:rPr>
          <w:noProof/>
        </w:rPr>
        <w:t xml:space="preserve"> or</w:t>
      </w:r>
      <w:r w:rsidR="00BE7FA5" w:rsidRPr="005A3F47">
        <w:rPr>
          <w:noProof/>
        </w:rPr>
        <w:t xml:space="preserve"> (ii) a deduction without inclusion. In its current form, ATAD addresses different types of mismatches, including both intra-EU arrangements and structures involving third countries.</w:t>
      </w:r>
    </w:p>
    <w:p w14:paraId="6F225F7F" w14:textId="77777777" w:rsidR="004C7829" w:rsidRPr="005A3F47" w:rsidRDefault="00BE7FA5" w:rsidP="004C7829">
      <w:pPr>
        <w:spacing w:after="120"/>
        <w:rPr>
          <w:noProof/>
        </w:rPr>
      </w:pPr>
      <w:r w:rsidRPr="005A3F47">
        <w:rPr>
          <w:noProof/>
        </w:rPr>
        <w:t xml:space="preserve">According to the ATAD evaluation, </w:t>
      </w:r>
      <w:r w:rsidRPr="005A3F47">
        <w:rPr>
          <w:rFonts w:cs="Arial"/>
          <w:noProof/>
          <w:lang w:eastAsia="da-DK"/>
        </w:rPr>
        <w:t xml:space="preserve">rules on hybrid mismatches reinforce tax base protection, although they remain complex and highly technical, posing challenges for both tax authorities and smaller companies. </w:t>
      </w:r>
      <w:r w:rsidRPr="005A3F47">
        <w:rPr>
          <w:noProof/>
        </w:rPr>
        <w:t>The rules include intricate definitions, e.g., imported mismatches, structured arrangements, and layered compliance requirements, e.g., tracing multi-tier supply chains, that create excessive complexity and generate burdens for both taxpayers and tax authorities.</w:t>
      </w:r>
      <w:r w:rsidRPr="005A3F47">
        <w:rPr>
          <w:rStyle w:val="FootnoteReference"/>
          <w:rFonts w:cs="Arial"/>
          <w:noProof/>
          <w:lang w:eastAsia="da-DK"/>
        </w:rPr>
        <w:footnoteReference w:id="66"/>
      </w:r>
      <w:r w:rsidRPr="005A3F47">
        <w:rPr>
          <w:noProof/>
        </w:rPr>
        <w:t xml:space="preserve"> This is particularly the case of imported mismatches. </w:t>
      </w:r>
    </w:p>
    <w:p w14:paraId="524D2D5E" w14:textId="0C15D6F3" w:rsidR="00BE7FA5" w:rsidRPr="005A3F47" w:rsidRDefault="07641D89" w:rsidP="00F9505B">
      <w:pPr>
        <w:spacing w:after="120"/>
        <w:rPr>
          <w:noProof/>
          <w:lang w:val="en-IE"/>
        </w:rPr>
      </w:pPr>
      <w:r w:rsidRPr="005A3F47">
        <w:rPr>
          <w:noProof/>
        </w:rPr>
        <w:t>S</w:t>
      </w:r>
      <w:r w:rsidR="004C7829" w:rsidRPr="005A3F47">
        <w:rPr>
          <w:noProof/>
          <w:lang w:val="en-IE"/>
        </w:rPr>
        <w:t>tandard hybrid mismatches arise</w:t>
      </w:r>
      <w:r w:rsidR="45B63582" w:rsidRPr="005A3F47">
        <w:rPr>
          <w:noProof/>
          <w:lang w:val="en-IE"/>
        </w:rPr>
        <w:t xml:space="preserve"> </w:t>
      </w:r>
      <w:r w:rsidR="004C7829" w:rsidRPr="005A3F47">
        <w:rPr>
          <w:noProof/>
          <w:lang w:val="en-IE"/>
        </w:rPr>
        <w:t xml:space="preserve">from </w:t>
      </w:r>
      <w:r w:rsidR="00EF579C" w:rsidRPr="005A3F47">
        <w:rPr>
          <w:noProof/>
          <w:lang w:val="en-IE"/>
        </w:rPr>
        <w:t xml:space="preserve">a </w:t>
      </w:r>
      <w:r w:rsidR="004C7829" w:rsidRPr="005A3F47">
        <w:rPr>
          <w:noProof/>
          <w:lang w:val="en-IE"/>
        </w:rPr>
        <w:t>direct inconsistency in the legal treatment of a certain transaction between two jurisdictions</w:t>
      </w:r>
      <w:r w:rsidR="2B119A5C" w:rsidRPr="005A3F47">
        <w:rPr>
          <w:noProof/>
          <w:lang w:val="en-IE"/>
        </w:rPr>
        <w:t>.</w:t>
      </w:r>
      <w:r w:rsidR="004C7829" w:rsidRPr="005A3F47">
        <w:rPr>
          <w:noProof/>
          <w:lang w:val="en-IE"/>
        </w:rPr>
        <w:t xml:space="preserve"> </w:t>
      </w:r>
      <w:r w:rsidR="135F957E" w:rsidRPr="005A3F47">
        <w:rPr>
          <w:noProof/>
          <w:lang w:val="en-IE"/>
        </w:rPr>
        <w:t>A</w:t>
      </w:r>
      <w:r w:rsidR="004C7829" w:rsidRPr="005A3F47">
        <w:rPr>
          <w:noProof/>
          <w:lang w:val="en-IE"/>
        </w:rPr>
        <w:t xml:space="preserve">n imported mismatch arises where an EU company </w:t>
      </w:r>
      <w:r w:rsidR="38BE6E52" w:rsidRPr="005A3F47">
        <w:rPr>
          <w:noProof/>
          <w:lang w:val="en-IE"/>
        </w:rPr>
        <w:t xml:space="preserve">makes a </w:t>
      </w:r>
      <w:r w:rsidR="4E3B9E01" w:rsidRPr="005A3F47">
        <w:rPr>
          <w:noProof/>
          <w:lang w:val="en-IE"/>
        </w:rPr>
        <w:t xml:space="preserve">regular non-hybrid </w:t>
      </w:r>
      <w:r w:rsidR="38BE6E52" w:rsidRPr="005A3F47">
        <w:rPr>
          <w:noProof/>
          <w:lang w:val="en-IE"/>
        </w:rPr>
        <w:t>payment to a group company</w:t>
      </w:r>
      <w:r w:rsidR="43CE036F" w:rsidRPr="005A3F47">
        <w:rPr>
          <w:noProof/>
          <w:lang w:val="en-IE"/>
        </w:rPr>
        <w:t>,</w:t>
      </w:r>
      <w:r w:rsidR="38BE6E52" w:rsidRPr="005A3F47">
        <w:rPr>
          <w:noProof/>
          <w:lang w:val="en-IE"/>
        </w:rPr>
        <w:t xml:space="preserve"> or under a structured arrangement</w:t>
      </w:r>
      <w:r w:rsidR="142FC433" w:rsidRPr="005A3F47">
        <w:rPr>
          <w:noProof/>
          <w:lang w:val="en-IE"/>
        </w:rPr>
        <w:t>,</w:t>
      </w:r>
      <w:r w:rsidR="38BE6E52" w:rsidRPr="005A3F47">
        <w:rPr>
          <w:noProof/>
          <w:lang w:val="en-IE"/>
        </w:rPr>
        <w:t xml:space="preserve"> and that payment funds a hybrid mismatch </w:t>
      </w:r>
      <w:r w:rsidR="71CE577E" w:rsidRPr="005A3F47">
        <w:rPr>
          <w:noProof/>
          <w:lang w:val="en-IE"/>
        </w:rPr>
        <w:t xml:space="preserve">that occurs </w:t>
      </w:r>
      <w:r w:rsidR="38BE6E52" w:rsidRPr="005A3F47">
        <w:rPr>
          <w:noProof/>
          <w:lang w:val="en-IE"/>
        </w:rPr>
        <w:t>outside o</w:t>
      </w:r>
      <w:r w:rsidR="6656B10C" w:rsidRPr="005A3F47">
        <w:rPr>
          <w:noProof/>
          <w:lang w:val="en-IE"/>
        </w:rPr>
        <w:t xml:space="preserve">f the </w:t>
      </w:r>
      <w:r w:rsidR="5FC40E7B" w:rsidRPr="005A3F47">
        <w:rPr>
          <w:noProof/>
          <w:lang w:val="en-IE"/>
        </w:rPr>
        <w:t>EU</w:t>
      </w:r>
      <w:r w:rsidR="2973CD14" w:rsidRPr="005A3F47">
        <w:rPr>
          <w:noProof/>
          <w:lang w:val="en-IE"/>
        </w:rPr>
        <w:t>. In that case, double non-taxation is the result of the lack of hybrid rules in third</w:t>
      </w:r>
      <w:r w:rsidR="001108D3" w:rsidRPr="005A3F47">
        <w:rPr>
          <w:noProof/>
          <w:lang w:val="en-IE"/>
        </w:rPr>
        <w:t xml:space="preserve"> </w:t>
      </w:r>
      <w:r w:rsidR="2973CD14" w:rsidRPr="005A3F47">
        <w:rPr>
          <w:noProof/>
          <w:lang w:val="en-IE"/>
        </w:rPr>
        <w:t xml:space="preserve">states and takes place outside of the EU. </w:t>
      </w:r>
      <w:r w:rsidR="004C7829" w:rsidRPr="005A3F47">
        <w:rPr>
          <w:noProof/>
          <w:lang w:val="en-IE"/>
        </w:rPr>
        <w:t xml:space="preserve">As a result, the EU company is not directly implicated in the mismatch. </w:t>
      </w:r>
      <w:r w:rsidR="00986C92" w:rsidRPr="005A3F47">
        <w:rPr>
          <w:noProof/>
          <w:lang w:val="en-IE"/>
        </w:rPr>
        <w:t>Based on the e</w:t>
      </w:r>
      <w:r w:rsidR="004C7829" w:rsidRPr="005A3F47">
        <w:rPr>
          <w:noProof/>
          <w:lang w:val="en-IE"/>
        </w:rPr>
        <w:t>vidence from the extensive stakeholder consultations</w:t>
      </w:r>
      <w:r w:rsidR="00986C92" w:rsidRPr="005A3F47">
        <w:rPr>
          <w:noProof/>
          <w:lang w:val="en-IE"/>
        </w:rPr>
        <w:t>, it</w:t>
      </w:r>
      <w:r w:rsidR="004C7829" w:rsidRPr="005A3F47">
        <w:rPr>
          <w:noProof/>
          <w:lang w:val="en-IE"/>
        </w:rPr>
        <w:t xml:space="preserve"> </w:t>
      </w:r>
      <w:r w:rsidR="00B9451B" w:rsidRPr="005A3F47">
        <w:rPr>
          <w:noProof/>
          <w:lang w:val="en-IE"/>
        </w:rPr>
        <w:t>appears</w:t>
      </w:r>
      <w:r w:rsidR="004C7829" w:rsidRPr="005A3F47">
        <w:rPr>
          <w:noProof/>
          <w:lang w:val="en-IE"/>
        </w:rPr>
        <w:t xml:space="preserve"> that </w:t>
      </w:r>
      <w:r w:rsidR="00AA433C" w:rsidRPr="005A3F47">
        <w:rPr>
          <w:noProof/>
        </w:rPr>
        <w:t>t</w:t>
      </w:r>
      <w:r w:rsidR="00BE7FA5" w:rsidRPr="005A3F47">
        <w:rPr>
          <w:noProof/>
        </w:rPr>
        <w:t xml:space="preserve">hese arrangements </w:t>
      </w:r>
      <w:r w:rsidR="00B9451B" w:rsidRPr="005A3F47">
        <w:rPr>
          <w:noProof/>
        </w:rPr>
        <w:t xml:space="preserve">are causing </w:t>
      </w:r>
      <w:r w:rsidR="00BE7FA5" w:rsidRPr="005A3F47">
        <w:rPr>
          <w:noProof/>
        </w:rPr>
        <w:t xml:space="preserve">severe difficulties </w:t>
      </w:r>
      <w:r w:rsidR="002B46AE" w:rsidRPr="005A3F47">
        <w:rPr>
          <w:noProof/>
        </w:rPr>
        <w:t>for</w:t>
      </w:r>
      <w:r w:rsidR="00BE7FA5" w:rsidRPr="005A3F47">
        <w:rPr>
          <w:noProof/>
        </w:rPr>
        <w:t xml:space="preserve"> tax authorities, given that their EU footprint is a subsidiary that is normally deprived of the necessary information which would allow identification of the </w:t>
      </w:r>
      <w:r w:rsidR="18BC1DBA" w:rsidRPr="005A3F47">
        <w:rPr>
          <w:noProof/>
        </w:rPr>
        <w:t>i</w:t>
      </w:r>
      <w:r w:rsidR="00BE7FA5" w:rsidRPr="005A3F47">
        <w:rPr>
          <w:noProof/>
        </w:rPr>
        <w:t>m</w:t>
      </w:r>
      <w:r w:rsidR="18BC1DBA" w:rsidRPr="005A3F47">
        <w:rPr>
          <w:noProof/>
        </w:rPr>
        <w:t xml:space="preserve">ported </w:t>
      </w:r>
      <w:r w:rsidR="00BE7FA5" w:rsidRPr="005A3F47">
        <w:rPr>
          <w:noProof/>
        </w:rPr>
        <w:t>mismatch.</w:t>
      </w:r>
      <w:r w:rsidR="00F9505B" w:rsidRPr="005A3F47">
        <w:rPr>
          <w:rStyle w:val="FootnoteReference"/>
          <w:noProof/>
        </w:rPr>
        <w:footnoteReference w:id="67"/>
      </w:r>
      <w:r w:rsidR="00BE7FA5" w:rsidRPr="005A3F47">
        <w:rPr>
          <w:noProof/>
        </w:rPr>
        <w:t xml:space="preserve"> </w:t>
      </w:r>
      <w:r w:rsidR="00FB34A5" w:rsidRPr="005A3F47">
        <w:rPr>
          <w:noProof/>
        </w:rPr>
        <w:t>Identifying</w:t>
      </w:r>
      <w:r w:rsidR="002B46AE" w:rsidRPr="005A3F47">
        <w:rPr>
          <w:noProof/>
        </w:rPr>
        <w:t xml:space="preserve"> imported hybrid mismatches </w:t>
      </w:r>
      <w:r w:rsidR="00FB34A5" w:rsidRPr="005A3F47">
        <w:rPr>
          <w:noProof/>
        </w:rPr>
        <w:t xml:space="preserve">thus </w:t>
      </w:r>
      <w:r w:rsidR="002B46AE" w:rsidRPr="005A3F47">
        <w:rPr>
          <w:noProof/>
        </w:rPr>
        <w:t xml:space="preserve">requires </w:t>
      </w:r>
      <w:r w:rsidR="00FB34A5" w:rsidRPr="005A3F47">
        <w:rPr>
          <w:noProof/>
        </w:rPr>
        <w:t>information and</w:t>
      </w:r>
      <w:r w:rsidR="00BE7FA5" w:rsidRPr="005A3F47">
        <w:rPr>
          <w:noProof/>
        </w:rPr>
        <w:t xml:space="preserve"> evidence of </w:t>
      </w:r>
      <w:r w:rsidR="00FB34A5" w:rsidRPr="005A3F47">
        <w:rPr>
          <w:noProof/>
        </w:rPr>
        <w:t xml:space="preserve">aggressive tax schemes </w:t>
      </w:r>
      <w:r w:rsidR="00256222" w:rsidRPr="005A3F47">
        <w:rPr>
          <w:noProof/>
        </w:rPr>
        <w:t>enacted</w:t>
      </w:r>
      <w:r w:rsidR="00BE7FA5" w:rsidRPr="005A3F47">
        <w:rPr>
          <w:noProof/>
        </w:rPr>
        <w:t xml:space="preserve"> in jurisdictions outside the EU</w:t>
      </w:r>
      <w:r w:rsidR="00256222" w:rsidRPr="005A3F47">
        <w:rPr>
          <w:noProof/>
        </w:rPr>
        <w:t xml:space="preserve"> to which national tax administrations do not have ready or easy access</w:t>
      </w:r>
      <w:r w:rsidR="00BC47FB" w:rsidRPr="005A3F47">
        <w:rPr>
          <w:noProof/>
        </w:rPr>
        <w:t>.</w:t>
      </w:r>
      <w:r w:rsidR="00440FF3" w:rsidRPr="005A3F47">
        <w:rPr>
          <w:noProof/>
        </w:rPr>
        <w:t xml:space="preserve"> </w:t>
      </w:r>
      <w:r w:rsidR="00BC47FB" w:rsidRPr="005A3F47">
        <w:rPr>
          <w:noProof/>
          <w:lang w:val="en-IE"/>
        </w:rPr>
        <w:t xml:space="preserve">This </w:t>
      </w:r>
      <w:r w:rsidR="0095549D" w:rsidRPr="005A3F47">
        <w:rPr>
          <w:noProof/>
          <w:lang w:val="en-IE"/>
        </w:rPr>
        <w:t>would</w:t>
      </w:r>
      <w:r w:rsidR="00BC47FB" w:rsidRPr="005A3F47">
        <w:rPr>
          <w:noProof/>
          <w:lang w:val="en-IE"/>
        </w:rPr>
        <w:t xml:space="preserve"> continue to </w:t>
      </w:r>
      <w:r w:rsidR="00E44842" w:rsidRPr="005A3F47">
        <w:rPr>
          <w:noProof/>
          <w:lang w:val="en-IE"/>
        </w:rPr>
        <w:t>consi</w:t>
      </w:r>
      <w:r w:rsidR="003F7D23" w:rsidRPr="005A3F47">
        <w:rPr>
          <w:noProof/>
          <w:lang w:val="en-IE"/>
        </w:rPr>
        <w:t xml:space="preserve">derably </w:t>
      </w:r>
      <w:r w:rsidR="00F9505B" w:rsidRPr="005A3F47">
        <w:rPr>
          <w:noProof/>
          <w:lang w:val="en-IE"/>
        </w:rPr>
        <w:t>limit effective enforcement</w:t>
      </w:r>
      <w:r w:rsidR="00BC47FB" w:rsidRPr="005A3F47">
        <w:rPr>
          <w:noProof/>
          <w:lang w:val="en-IE"/>
        </w:rPr>
        <w:t xml:space="preserve"> in the future</w:t>
      </w:r>
      <w:r w:rsidR="00F9505B" w:rsidRPr="005A3F47">
        <w:rPr>
          <w:noProof/>
          <w:lang w:val="en-IE"/>
        </w:rPr>
        <w:t>.</w:t>
      </w:r>
    </w:p>
    <w:p w14:paraId="75D24C95" w14:textId="2E72B96E" w:rsidR="00BE7FA5" w:rsidRPr="005A3F47" w:rsidRDefault="00BE7FA5" w:rsidP="00C80C05">
      <w:pPr>
        <w:pStyle w:val="Heading3"/>
        <w:numPr>
          <w:ilvl w:val="2"/>
          <w:numId w:val="185"/>
        </w:numPr>
        <w:rPr>
          <w:noProof/>
        </w:rPr>
      </w:pPr>
      <w:r w:rsidRPr="005A3F47">
        <w:rPr>
          <w:noProof/>
        </w:rPr>
        <w:t>Tax mergers</w:t>
      </w:r>
    </w:p>
    <w:p w14:paraId="1FD0DD60" w14:textId="77777777" w:rsidR="00BE7FA5" w:rsidRPr="005A3F47" w:rsidRDefault="00BE7FA5" w:rsidP="00BE7FA5">
      <w:pPr>
        <w:rPr>
          <w:noProof/>
        </w:rPr>
      </w:pPr>
      <w:r w:rsidRPr="005A3F47">
        <w:rPr>
          <w:noProof/>
        </w:rPr>
        <w:t>Under the TMD, companies engaging in cross-border mergers or reorganisations within the EU can defer taxation on capital gains resulting from restructuring transactions, until the actual disposal of the underlying assets. The TMD applies to companies listed in the annex to the TMD and covers a number of pre-defined restructuring transactions, such as mergers, divisions, partial divisions, and transfers of assets.</w:t>
      </w:r>
    </w:p>
    <w:p w14:paraId="2AC97F6C" w14:textId="77777777" w:rsidR="00BE7FA5" w:rsidRPr="005A3F47" w:rsidRDefault="00BE7FA5" w:rsidP="00BE7FA5">
      <w:pPr>
        <w:rPr>
          <w:noProof/>
        </w:rPr>
      </w:pPr>
      <w:r w:rsidRPr="005A3F47">
        <w:rPr>
          <w:noProof/>
        </w:rPr>
        <w:t>In addition, the Company Law Merger Directive</w:t>
      </w:r>
      <w:r w:rsidRPr="005A3F47">
        <w:rPr>
          <w:rStyle w:val="FootnoteReference"/>
          <w:noProof/>
        </w:rPr>
        <w:footnoteReference w:id="68"/>
      </w:r>
      <w:r w:rsidRPr="005A3F47">
        <w:rPr>
          <w:noProof/>
        </w:rPr>
        <w:t xml:space="preserve"> contains a section on cross-border mergers of limited liability companies. The scope and definitions of this part are generally aligned (with possible slight wording differences) with content of the TMD. However, since its update through the so-called ‘Mobility Directive’ in 2019</w:t>
      </w:r>
      <w:r w:rsidRPr="005A3F47">
        <w:rPr>
          <w:rStyle w:val="FootnoteReference"/>
          <w:noProof/>
        </w:rPr>
        <w:footnoteReference w:id="69"/>
      </w:r>
      <w:r w:rsidRPr="005A3F47">
        <w:rPr>
          <w:noProof/>
        </w:rPr>
        <w:t xml:space="preserve">, the Company Law Merger Directive introduced additional transactions which are not covered by, or differ from, the TMD, namely: (i) simplified mergers, (ii) divisions by separation, and (iii) cross-border conversions. As simplified mergers and divisions by separation are not mentioned in the TMD, the tax treatment of these restructuring operations is not covered therein, leaving it to Member States to decide how they should be taxed. With respect to the cross-border conversion, the TMD only covers transfers of registered offices of a European Company (Societas Europaea) or European Cooperative Society (Societas Cooperativa Europaea). Consequently, the transfer of registered office following a conversion is not covered by the TMD, leaving it also to Member States to decide how they should be taxed. </w:t>
      </w:r>
    </w:p>
    <w:p w14:paraId="5D34E5BE" w14:textId="47ECE5FF" w:rsidR="00BE7FA5" w:rsidRPr="005A3F47" w:rsidRDefault="00BE7FA5" w:rsidP="00C80C05">
      <w:pPr>
        <w:pStyle w:val="Heading3"/>
        <w:numPr>
          <w:ilvl w:val="2"/>
          <w:numId w:val="185"/>
        </w:numPr>
        <w:rPr>
          <w:noProof/>
        </w:rPr>
      </w:pPr>
      <w:r w:rsidRPr="005A3F47">
        <w:rPr>
          <w:noProof/>
        </w:rPr>
        <w:t>Dispute resolution mechanisms</w:t>
      </w:r>
    </w:p>
    <w:p w14:paraId="515E7F24" w14:textId="77777777" w:rsidR="00BE7FA5" w:rsidRPr="005A3F47" w:rsidRDefault="00BE7FA5" w:rsidP="00BE7FA5">
      <w:pPr>
        <w:spacing w:before="240"/>
        <w:rPr>
          <w:rFonts w:eastAsia="Times New Roman"/>
          <w:noProof/>
        </w:rPr>
      </w:pPr>
      <w:r w:rsidRPr="005A3F47">
        <w:rPr>
          <w:rFonts w:eastAsia="Times New Roman"/>
          <w:noProof/>
        </w:rPr>
        <w:t>Economic double taxation constitutes an important obstacle to the proper functioning of the EU internal market, as it increases the tax burden on cross-border activities and creates uncertainty for businesses operating in more than one Member State. Economic double taxation arises when the same economic profit is taxed in two jurisdictions without a corresponding relief, for example where a transfer pricing adjustment made by one tax administration is not matched by a corresponding adjustment in the other jurisdiction.</w:t>
      </w:r>
    </w:p>
    <w:p w14:paraId="31406F1B" w14:textId="77777777" w:rsidR="00BE7FA5" w:rsidRPr="005A3F47" w:rsidRDefault="00BE7FA5" w:rsidP="00BE7FA5">
      <w:pPr>
        <w:spacing w:before="240"/>
        <w:rPr>
          <w:rFonts w:eastAsia="Times New Roman"/>
          <w:noProof/>
        </w:rPr>
      </w:pPr>
      <w:r w:rsidRPr="005A3F47">
        <w:rPr>
          <w:rFonts w:eastAsia="Times New Roman"/>
          <w:noProof/>
        </w:rPr>
        <w:t>To eliminate double taxation, taxpayers may rely on the Mutual Agreement Procedure (MAP), a dispute resolution mechanism provided for in bilateral Double Tax Agreements (DTAs) on the basis of Article 25 of the OECD Model Tax Convention</w:t>
      </w:r>
      <w:r w:rsidRPr="005A3F47">
        <w:rPr>
          <w:rStyle w:val="FootnoteReference"/>
          <w:rFonts w:eastAsia="Times New Roman"/>
          <w:noProof/>
        </w:rPr>
        <w:footnoteReference w:id="70"/>
      </w:r>
      <w:r w:rsidRPr="005A3F47">
        <w:rPr>
          <w:rFonts w:eastAsia="Times New Roman"/>
          <w:noProof/>
        </w:rPr>
        <w:t>, under which the competent authorities of the countries concerned seek to resolve the dispute by mutual agreement. Within the EU, taxpayers also have access to two additional instruments: the EU Arbitration Convention and the DRM.</w:t>
      </w:r>
    </w:p>
    <w:p w14:paraId="0FF32F49" w14:textId="77777777" w:rsidR="00BE7FA5" w:rsidRPr="005A3F47" w:rsidRDefault="00BE7FA5" w:rsidP="00BE7FA5">
      <w:pPr>
        <w:spacing w:before="240"/>
        <w:rPr>
          <w:rFonts w:eastAsia="Times New Roman"/>
          <w:noProof/>
        </w:rPr>
      </w:pPr>
      <w:r w:rsidRPr="005A3F47">
        <w:rPr>
          <w:rFonts w:eastAsia="Times New Roman"/>
          <w:noProof/>
        </w:rPr>
        <w:t>The</w:t>
      </w:r>
      <w:r w:rsidRPr="005A3F47" w:rsidDel="00BD5FE3">
        <w:rPr>
          <w:rFonts w:eastAsia="Times New Roman"/>
          <w:noProof/>
        </w:rPr>
        <w:t xml:space="preserve"> </w:t>
      </w:r>
      <w:r w:rsidRPr="005A3F47">
        <w:rPr>
          <w:rFonts w:eastAsia="Times New Roman"/>
          <w:noProof/>
        </w:rPr>
        <w:t xml:space="preserve">DRM was introduced to implement OECD BEPS action 14 and to address the limitations of the Arbitration Convention by expanding the scope of covered disputes and strengthening the role of taxpayers in the procedure. In particular, it allows taxpayers to trigger the arbitration phase where tax administrations fail to reach an agreement within the prescribed timeframe, thereby helping to prevent cases of double taxation from remaining unresolved due to administrative inertia. </w:t>
      </w:r>
    </w:p>
    <w:p w14:paraId="7F69BA24" w14:textId="77777777" w:rsidR="00BE7FA5" w:rsidRPr="005A3F47" w:rsidRDefault="00BE7FA5" w:rsidP="00BE7FA5">
      <w:pPr>
        <w:spacing w:before="240"/>
        <w:rPr>
          <w:rFonts w:eastAsia="Times New Roman"/>
          <w:noProof/>
        </w:rPr>
      </w:pPr>
      <w:r w:rsidRPr="005A3F47">
        <w:rPr>
          <w:rFonts w:eastAsia="Times New Roman"/>
          <w:noProof/>
        </w:rPr>
        <w:t>Experience with the DRM remains relatively limited. This is partly because the DRM only applies to complaints submitted from 1 July 2019 onwards and concerns disputes relating to income or capital earned in tax years starting on 1 January 2018. In addition, tax disputes typically arise several years after the relevant tax year, following audits and the completion of domestic administrative procedures. Nonetheless, available figures suggest that the uptake of the DRM has been slower than initially expected. In 2024, for example, 761 new complaints were filed under the EU Arbitration Convention compared to 192 under the DRM, indicating that taxpayers still tend to rely more frequently on the Arbitration Convention than the DRM.</w:t>
      </w:r>
    </w:p>
    <w:p w14:paraId="1616E0E1" w14:textId="77777777" w:rsidR="00BE7FA5" w:rsidRPr="005A3F47" w:rsidRDefault="00BE7FA5" w:rsidP="00BE7FA5">
      <w:pPr>
        <w:spacing w:before="240"/>
        <w:rPr>
          <w:noProof/>
        </w:rPr>
      </w:pPr>
      <w:r w:rsidRPr="005A3F47">
        <w:rPr>
          <w:rFonts w:eastAsia="Times New Roman"/>
          <w:noProof/>
        </w:rPr>
        <w:t>A targeted public consultation conducted in 2024, together with extensive consultations with Member States and private stakeholders, suggests that interpretative divergences may be contributing to the limited use of the mechanism. For example, the DRM requires taxpayers to submit the complaint simultaneously to all relevant competent authorities, but the text does not define what ‘simultaneously’ means. As a result, some tax administrations interpret this requirement strictly, i.e., requiring submission on the same day, while others accept complaints submitted within a shorter time span, such as within the same week or month. This divergence creates uncertainty for taxpayers that may discourage the use of the mechanism.</w:t>
      </w:r>
    </w:p>
    <w:p w14:paraId="15A5FE03" w14:textId="4F7D9040" w:rsidR="006B087E" w:rsidRPr="005A3F47" w:rsidRDefault="00AE1C73" w:rsidP="00FD7621">
      <w:pPr>
        <w:pStyle w:val="Heading2"/>
        <w:numPr>
          <w:ilvl w:val="1"/>
          <w:numId w:val="185"/>
        </w:numPr>
        <w:rPr>
          <w:noProof/>
        </w:rPr>
      </w:pPr>
      <w:bookmarkStart w:id="82" w:name="_Ref226464110"/>
      <w:bookmarkStart w:id="83" w:name="_Toc226466814"/>
      <w:bookmarkStart w:id="84" w:name="_Toc226467175"/>
      <w:bookmarkStart w:id="85" w:name="_Toc226467275"/>
      <w:bookmarkStart w:id="86" w:name="_Toc226467494"/>
      <w:r w:rsidRPr="005A3F47">
        <w:rPr>
          <w:noProof/>
        </w:rPr>
        <w:t xml:space="preserve"> </w:t>
      </w:r>
      <w:r w:rsidR="006B087E" w:rsidRPr="005A3F47">
        <w:rPr>
          <w:noProof/>
        </w:rPr>
        <w:t>Description of the policy options</w:t>
      </w:r>
      <w:bookmarkEnd w:id="82"/>
      <w:bookmarkEnd w:id="83"/>
      <w:bookmarkEnd w:id="84"/>
      <w:bookmarkEnd w:id="85"/>
      <w:bookmarkEnd w:id="86"/>
    </w:p>
    <w:p w14:paraId="1A605528" w14:textId="7C0EC55C" w:rsidR="0084329B" w:rsidRPr="005A3F47" w:rsidRDefault="00346E1E" w:rsidP="002A51E4">
      <w:pPr>
        <w:rPr>
          <w:noProof/>
        </w:rPr>
      </w:pPr>
      <w:r w:rsidRPr="005A3F47">
        <w:rPr>
          <w:noProof/>
        </w:rPr>
        <w:t xml:space="preserve">As the Omnibus on Taxation </w:t>
      </w:r>
      <w:r w:rsidR="00B55D07" w:rsidRPr="005A3F47">
        <w:rPr>
          <w:noProof/>
        </w:rPr>
        <w:t xml:space="preserve">has a singular overarching objective – i.e., simplification </w:t>
      </w:r>
      <w:r w:rsidR="0036496E" w:rsidRPr="005A3F47">
        <w:rPr>
          <w:noProof/>
        </w:rPr>
        <w:t xml:space="preserve">– </w:t>
      </w:r>
      <w:r w:rsidRPr="005A3F47">
        <w:rPr>
          <w:noProof/>
        </w:rPr>
        <w:t>t</w:t>
      </w:r>
      <w:r w:rsidR="0021075B" w:rsidRPr="005A3F47">
        <w:rPr>
          <w:noProof/>
        </w:rPr>
        <w:t xml:space="preserve">he options </w:t>
      </w:r>
      <w:r w:rsidR="0036496E" w:rsidRPr="005A3F47">
        <w:rPr>
          <w:noProof/>
        </w:rPr>
        <w:t xml:space="preserve">analysed below </w:t>
      </w:r>
      <w:r w:rsidR="0021075B" w:rsidRPr="005A3F47">
        <w:rPr>
          <w:noProof/>
        </w:rPr>
        <w:t xml:space="preserve">represent different </w:t>
      </w:r>
      <w:r w:rsidR="0036496E" w:rsidRPr="005A3F47">
        <w:rPr>
          <w:noProof/>
        </w:rPr>
        <w:t>means or ways of achieving the</w:t>
      </w:r>
      <w:r w:rsidR="00307793" w:rsidRPr="005A3F47">
        <w:rPr>
          <w:noProof/>
        </w:rPr>
        <w:t xml:space="preserve"> </w:t>
      </w:r>
      <w:r w:rsidR="00C32E3C" w:rsidRPr="005A3F47">
        <w:rPr>
          <w:noProof/>
        </w:rPr>
        <w:t>goal</w:t>
      </w:r>
      <w:r w:rsidR="00281791" w:rsidRPr="005A3F47">
        <w:rPr>
          <w:noProof/>
        </w:rPr>
        <w:t xml:space="preserve">. </w:t>
      </w:r>
      <w:r w:rsidR="001E5D7A" w:rsidRPr="005A3F47">
        <w:rPr>
          <w:noProof/>
        </w:rPr>
        <w:t xml:space="preserve">Some of the </w:t>
      </w:r>
      <w:r w:rsidR="00D64551" w:rsidRPr="005A3F47">
        <w:rPr>
          <w:noProof/>
        </w:rPr>
        <w:t xml:space="preserve">policy </w:t>
      </w:r>
      <w:r w:rsidR="001E5D7A" w:rsidRPr="005A3F47">
        <w:rPr>
          <w:noProof/>
        </w:rPr>
        <w:t xml:space="preserve">options </w:t>
      </w:r>
      <w:r w:rsidR="00D64551" w:rsidRPr="005A3F47">
        <w:rPr>
          <w:noProof/>
        </w:rPr>
        <w:t xml:space="preserve">thus </w:t>
      </w:r>
      <w:r w:rsidR="008A1F7F" w:rsidRPr="005A3F47">
        <w:rPr>
          <w:noProof/>
        </w:rPr>
        <w:t>feature</w:t>
      </w:r>
      <w:r w:rsidR="00300EBF" w:rsidRPr="005A3F47">
        <w:rPr>
          <w:noProof/>
        </w:rPr>
        <w:t xml:space="preserve"> </w:t>
      </w:r>
      <w:r w:rsidR="001E5D7A" w:rsidRPr="005A3F47">
        <w:rPr>
          <w:noProof/>
        </w:rPr>
        <w:t>a</w:t>
      </w:r>
      <w:r w:rsidR="00FA2306" w:rsidRPr="005A3F47">
        <w:rPr>
          <w:noProof/>
        </w:rPr>
        <w:t xml:space="preserve">lternative </w:t>
      </w:r>
      <w:r w:rsidR="00F13E43" w:rsidRPr="005A3F47">
        <w:rPr>
          <w:noProof/>
        </w:rPr>
        <w:t>measures</w:t>
      </w:r>
      <w:r w:rsidR="009D271B" w:rsidRPr="005A3F47">
        <w:rPr>
          <w:noProof/>
        </w:rPr>
        <w:t xml:space="preserve">, i.e., </w:t>
      </w:r>
      <w:r w:rsidR="00ED3E6C" w:rsidRPr="005A3F47">
        <w:rPr>
          <w:noProof/>
        </w:rPr>
        <w:t xml:space="preserve">where </w:t>
      </w:r>
      <w:r w:rsidR="00B67400" w:rsidRPr="005A3F47">
        <w:rPr>
          <w:noProof/>
        </w:rPr>
        <w:t>a choice can be made between t</w:t>
      </w:r>
      <w:r w:rsidR="00330FF2" w:rsidRPr="005A3F47">
        <w:rPr>
          <w:noProof/>
        </w:rPr>
        <w:t>w</w:t>
      </w:r>
      <w:r w:rsidR="00B67400" w:rsidRPr="005A3F47">
        <w:rPr>
          <w:noProof/>
        </w:rPr>
        <w:t>o options</w:t>
      </w:r>
      <w:r w:rsidR="001F29E6" w:rsidRPr="005A3F47">
        <w:rPr>
          <w:noProof/>
        </w:rPr>
        <w:t>.</w:t>
      </w:r>
      <w:r w:rsidR="00ED3E6C" w:rsidRPr="005A3F47">
        <w:rPr>
          <w:noProof/>
        </w:rPr>
        <w:t xml:space="preserve"> In other cases</w:t>
      </w:r>
      <w:r w:rsidR="00E65004" w:rsidRPr="005A3F47">
        <w:rPr>
          <w:noProof/>
        </w:rPr>
        <w:t xml:space="preserve">, there </w:t>
      </w:r>
      <w:r w:rsidR="004368C3" w:rsidRPr="005A3F47">
        <w:rPr>
          <w:noProof/>
        </w:rPr>
        <w:t>is only</w:t>
      </w:r>
      <w:r w:rsidR="00926276" w:rsidRPr="005A3F47">
        <w:rPr>
          <w:noProof/>
        </w:rPr>
        <w:t xml:space="preserve"> one option </w:t>
      </w:r>
      <w:r w:rsidR="00774E02" w:rsidRPr="005A3F47">
        <w:rPr>
          <w:noProof/>
        </w:rPr>
        <w:t xml:space="preserve">which serves </w:t>
      </w:r>
      <w:r w:rsidR="00926276" w:rsidRPr="005A3F47">
        <w:rPr>
          <w:noProof/>
        </w:rPr>
        <w:t>to</w:t>
      </w:r>
      <w:r w:rsidR="000F2ABF" w:rsidRPr="005A3F47">
        <w:rPr>
          <w:noProof/>
        </w:rPr>
        <w:t xml:space="preserve"> achiev</w:t>
      </w:r>
      <w:r w:rsidR="00021270" w:rsidRPr="005A3F47">
        <w:rPr>
          <w:noProof/>
        </w:rPr>
        <w:t>e</w:t>
      </w:r>
      <w:r w:rsidR="000F2ABF" w:rsidRPr="005A3F47">
        <w:rPr>
          <w:noProof/>
        </w:rPr>
        <w:t xml:space="preserve"> </w:t>
      </w:r>
      <w:r w:rsidR="001E5927" w:rsidRPr="005A3F47">
        <w:rPr>
          <w:noProof/>
        </w:rPr>
        <w:t>simplification</w:t>
      </w:r>
      <w:r w:rsidR="000A345B" w:rsidRPr="005A3F47">
        <w:rPr>
          <w:noProof/>
        </w:rPr>
        <w:t xml:space="preserve">. </w:t>
      </w:r>
      <w:r w:rsidR="00AE27DB" w:rsidRPr="005A3F47">
        <w:rPr>
          <w:noProof/>
        </w:rPr>
        <w:t>In this case, t</w:t>
      </w:r>
      <w:r w:rsidR="000A345B" w:rsidRPr="005A3F47">
        <w:rPr>
          <w:noProof/>
        </w:rPr>
        <w:t xml:space="preserve">he alternative </w:t>
      </w:r>
      <w:r w:rsidR="008C16E4" w:rsidRPr="005A3F47">
        <w:rPr>
          <w:noProof/>
        </w:rPr>
        <w:t>would</w:t>
      </w:r>
      <w:r w:rsidR="000A345B" w:rsidRPr="005A3F47">
        <w:rPr>
          <w:noProof/>
        </w:rPr>
        <w:t xml:space="preserve"> be to uphold </w:t>
      </w:r>
      <w:r w:rsidR="00EF29F4" w:rsidRPr="005A3F47">
        <w:rPr>
          <w:noProof/>
        </w:rPr>
        <w:t xml:space="preserve">the </w:t>
      </w:r>
      <w:r w:rsidR="000A345B" w:rsidRPr="005A3F47">
        <w:rPr>
          <w:noProof/>
        </w:rPr>
        <w:t xml:space="preserve">status quo as described in the </w:t>
      </w:r>
      <w:r w:rsidR="00AD2451" w:rsidRPr="005A3F47">
        <w:rPr>
          <w:noProof/>
        </w:rPr>
        <w:t>baseline.</w:t>
      </w:r>
    </w:p>
    <w:p w14:paraId="7FCC7C6D" w14:textId="08E0CB0D" w:rsidR="006F664A" w:rsidRPr="005A3F47" w:rsidRDefault="0072473E" w:rsidP="00612878">
      <w:pPr>
        <w:pStyle w:val="Heading3"/>
        <w:numPr>
          <w:ilvl w:val="2"/>
          <w:numId w:val="185"/>
        </w:numPr>
        <w:rPr>
          <w:noProof/>
        </w:rPr>
      </w:pPr>
      <w:bookmarkStart w:id="87" w:name="_Toc226466815"/>
      <w:bookmarkStart w:id="88" w:name="_Toc226467176"/>
      <w:bookmarkStart w:id="89" w:name="_Toc226467276"/>
      <w:bookmarkStart w:id="90" w:name="_Toc226467495"/>
      <w:r w:rsidRPr="005A3F47">
        <w:rPr>
          <w:noProof/>
        </w:rPr>
        <w:t xml:space="preserve">Withholding </w:t>
      </w:r>
      <w:r w:rsidR="00835649" w:rsidRPr="005A3F47">
        <w:rPr>
          <w:noProof/>
        </w:rPr>
        <w:t xml:space="preserve">tax </w:t>
      </w:r>
      <w:r w:rsidR="006F664A" w:rsidRPr="005A3F47">
        <w:rPr>
          <w:noProof/>
        </w:rPr>
        <w:t>exemption for payments of interests, royalties and dividends</w:t>
      </w:r>
      <w:bookmarkEnd w:id="87"/>
      <w:bookmarkEnd w:id="88"/>
      <w:bookmarkEnd w:id="89"/>
      <w:bookmarkEnd w:id="90"/>
    </w:p>
    <w:p w14:paraId="672B7E18" w14:textId="662879A1" w:rsidR="00593412" w:rsidRPr="005A3F47" w:rsidRDefault="007B0E46" w:rsidP="009E1C29">
      <w:pPr>
        <w:rPr>
          <w:noProof/>
        </w:rPr>
      </w:pPr>
      <w:r w:rsidRPr="005A3F47">
        <w:rPr>
          <w:noProof/>
        </w:rPr>
        <w:t>To address the issues related to</w:t>
      </w:r>
      <w:r w:rsidR="00A200FA" w:rsidRPr="005A3F47">
        <w:rPr>
          <w:noProof/>
        </w:rPr>
        <w:t xml:space="preserve"> </w:t>
      </w:r>
      <w:r w:rsidR="00CA3928" w:rsidRPr="005A3F47">
        <w:rPr>
          <w:noProof/>
        </w:rPr>
        <w:t>the application of the IRD and the PSD</w:t>
      </w:r>
      <w:r w:rsidR="00CD6731" w:rsidRPr="005A3F47">
        <w:rPr>
          <w:noProof/>
        </w:rPr>
        <w:t xml:space="preserve">, particularly </w:t>
      </w:r>
      <w:r w:rsidR="008169DC" w:rsidRPr="005A3F47">
        <w:rPr>
          <w:noProof/>
        </w:rPr>
        <w:t>as regards</w:t>
      </w:r>
      <w:r w:rsidR="00CD6731" w:rsidRPr="005A3F47">
        <w:rPr>
          <w:noProof/>
        </w:rPr>
        <w:t xml:space="preserve"> eligible companies, the material scope, and the procedural aspects </w:t>
      </w:r>
      <w:r w:rsidR="00E0038D" w:rsidRPr="005A3F47">
        <w:rPr>
          <w:noProof/>
        </w:rPr>
        <w:t xml:space="preserve">as outlined </w:t>
      </w:r>
      <w:r w:rsidR="00235731" w:rsidRPr="005A3F47">
        <w:rPr>
          <w:noProof/>
        </w:rPr>
        <w:t xml:space="preserve">in </w:t>
      </w:r>
      <w:r w:rsidR="007B7B1F" w:rsidRPr="005A3F47">
        <w:rPr>
          <w:noProof/>
        </w:rPr>
        <w:t>S</w:t>
      </w:r>
      <w:r w:rsidR="00CD6731" w:rsidRPr="005A3F47">
        <w:rPr>
          <w:noProof/>
        </w:rPr>
        <w:t xml:space="preserve">ection </w:t>
      </w:r>
      <w:r w:rsidR="00A81130" w:rsidRPr="005A3F47">
        <w:rPr>
          <w:noProof/>
        </w:rPr>
        <w:fldChar w:fldCharType="begin"/>
      </w:r>
      <w:r w:rsidR="00A81130" w:rsidRPr="005A3F47">
        <w:rPr>
          <w:noProof/>
        </w:rPr>
        <w:instrText xml:space="preserve"> REF _Ref226463057 \r \h </w:instrText>
      </w:r>
      <w:r w:rsidR="005A3F47">
        <w:rPr>
          <w:noProof/>
        </w:rPr>
        <w:instrText xml:space="preserve"> \* MERGEFORMAT </w:instrText>
      </w:r>
      <w:r w:rsidR="00A81130" w:rsidRPr="005A3F47">
        <w:rPr>
          <w:noProof/>
        </w:rPr>
      </w:r>
      <w:r w:rsidR="00A81130" w:rsidRPr="005A3F47">
        <w:rPr>
          <w:noProof/>
        </w:rPr>
        <w:fldChar w:fldCharType="separate"/>
      </w:r>
      <w:r w:rsidR="00CF3380">
        <w:rPr>
          <w:noProof/>
        </w:rPr>
        <w:t>5.1</w:t>
      </w:r>
      <w:r w:rsidR="00A81130" w:rsidRPr="005A3F47">
        <w:rPr>
          <w:noProof/>
        </w:rPr>
        <w:fldChar w:fldCharType="end"/>
      </w:r>
      <w:r w:rsidR="64DD4DCC" w:rsidRPr="005A3F47">
        <w:rPr>
          <w:noProof/>
        </w:rPr>
        <w:t>,</w:t>
      </w:r>
      <w:r w:rsidR="00235731" w:rsidRPr="005A3F47">
        <w:rPr>
          <w:noProof/>
        </w:rPr>
        <w:t xml:space="preserve"> </w:t>
      </w:r>
      <w:r w:rsidR="00992E0C" w:rsidRPr="005A3F47">
        <w:rPr>
          <w:noProof/>
        </w:rPr>
        <w:t>two alternative options</w:t>
      </w:r>
      <w:r w:rsidR="00BF2B79" w:rsidRPr="005A3F47">
        <w:rPr>
          <w:noProof/>
        </w:rPr>
        <w:t xml:space="preserve"> should be considered.</w:t>
      </w:r>
      <w:r w:rsidR="003D4B33" w:rsidRPr="005A3F47">
        <w:rPr>
          <w:noProof/>
        </w:rPr>
        <w:t xml:space="preserve"> </w:t>
      </w:r>
      <w:r w:rsidR="4EC0522F" w:rsidRPr="005A3F47">
        <w:rPr>
          <w:noProof/>
        </w:rPr>
        <w:t>O</w:t>
      </w:r>
      <w:r w:rsidR="005B581B" w:rsidRPr="005A3F47">
        <w:rPr>
          <w:noProof/>
        </w:rPr>
        <w:t>ption</w:t>
      </w:r>
      <w:r w:rsidR="1E50FF17" w:rsidRPr="005A3F47">
        <w:rPr>
          <w:noProof/>
        </w:rPr>
        <w:t xml:space="preserve"> 1A</w:t>
      </w:r>
      <w:r w:rsidR="005B581B" w:rsidRPr="005A3F47">
        <w:rPr>
          <w:noProof/>
        </w:rPr>
        <w:t xml:space="preserve"> regarding</w:t>
      </w:r>
      <w:r w:rsidR="003D4B33" w:rsidRPr="005A3F47">
        <w:rPr>
          <w:noProof/>
        </w:rPr>
        <w:t xml:space="preserve"> procedural aspects</w:t>
      </w:r>
      <w:r w:rsidR="005B581B" w:rsidRPr="005A3F47">
        <w:rPr>
          <w:noProof/>
        </w:rPr>
        <w:t xml:space="preserve"> </w:t>
      </w:r>
      <w:r w:rsidR="0079319D" w:rsidRPr="005A3F47">
        <w:rPr>
          <w:noProof/>
        </w:rPr>
        <w:t xml:space="preserve">would </w:t>
      </w:r>
      <w:r w:rsidR="005B581B" w:rsidRPr="005A3F47">
        <w:rPr>
          <w:noProof/>
        </w:rPr>
        <w:t xml:space="preserve">not only </w:t>
      </w:r>
      <w:r w:rsidR="003D4B33" w:rsidRPr="005A3F47">
        <w:rPr>
          <w:noProof/>
        </w:rPr>
        <w:t>require amendment</w:t>
      </w:r>
      <w:r w:rsidR="00940E63" w:rsidRPr="005A3F47">
        <w:rPr>
          <w:noProof/>
        </w:rPr>
        <w:t>s</w:t>
      </w:r>
      <w:r w:rsidR="003D4B33" w:rsidRPr="005A3F47">
        <w:rPr>
          <w:noProof/>
        </w:rPr>
        <w:t xml:space="preserve"> </w:t>
      </w:r>
      <w:r w:rsidR="2187FF18" w:rsidRPr="005A3F47">
        <w:rPr>
          <w:noProof/>
        </w:rPr>
        <w:t>to</w:t>
      </w:r>
      <w:r w:rsidR="003D4B33" w:rsidRPr="005A3F47">
        <w:rPr>
          <w:noProof/>
        </w:rPr>
        <w:t xml:space="preserve"> the </w:t>
      </w:r>
      <w:r w:rsidR="005B581B" w:rsidRPr="005A3F47">
        <w:rPr>
          <w:noProof/>
        </w:rPr>
        <w:t xml:space="preserve">IRD and PSD, but also </w:t>
      </w:r>
      <w:r w:rsidR="5BB2BFC6" w:rsidRPr="005A3F47">
        <w:rPr>
          <w:noProof/>
        </w:rPr>
        <w:t>to</w:t>
      </w:r>
      <w:r w:rsidR="003D4B33" w:rsidRPr="005A3F47">
        <w:rPr>
          <w:noProof/>
        </w:rPr>
        <w:t xml:space="preserve"> the FASTER Directive</w:t>
      </w:r>
      <w:r w:rsidR="008841CB" w:rsidRPr="005A3F47">
        <w:rPr>
          <w:noProof/>
        </w:rPr>
        <w:t>,</w:t>
      </w:r>
      <w:r w:rsidR="00FF2BD2" w:rsidRPr="005A3F47">
        <w:rPr>
          <w:noProof/>
        </w:rPr>
        <w:t xml:space="preserve"> </w:t>
      </w:r>
      <w:r w:rsidR="00574C89" w:rsidRPr="005A3F47">
        <w:rPr>
          <w:noProof/>
        </w:rPr>
        <w:t>in order</w:t>
      </w:r>
      <w:r w:rsidR="00973418" w:rsidRPr="005A3F47">
        <w:rPr>
          <w:noProof/>
        </w:rPr>
        <w:t xml:space="preserve"> to facilitate the </w:t>
      </w:r>
      <w:r w:rsidR="00C15623" w:rsidRPr="005A3F47">
        <w:rPr>
          <w:noProof/>
        </w:rPr>
        <w:t>functioning of the IRD and PSD</w:t>
      </w:r>
      <w:r w:rsidR="003D4B33" w:rsidRPr="005A3F47">
        <w:rPr>
          <w:noProof/>
        </w:rPr>
        <w:t xml:space="preserve">.  </w:t>
      </w:r>
    </w:p>
    <w:p w14:paraId="1C04A3C9" w14:textId="35F345D8" w:rsidR="00475E6B" w:rsidRPr="005A3F47" w:rsidRDefault="00475E6B" w:rsidP="00DB77C7">
      <w:pPr>
        <w:pStyle w:val="Caption"/>
        <w:keepNext/>
        <w:rPr>
          <w:noProof/>
          <w:color w:val="000000" w:themeColor="text1"/>
        </w:rPr>
      </w:pPr>
      <w:r w:rsidRPr="005A3F47">
        <w:rPr>
          <w:noProof/>
          <w:color w:val="000000" w:themeColor="text1"/>
        </w:rPr>
        <w:t xml:space="preserve">Figure </w:t>
      </w:r>
      <w:r w:rsidRPr="005A3F47">
        <w:rPr>
          <w:noProof/>
          <w:color w:val="000000" w:themeColor="text1"/>
        </w:rPr>
        <w:fldChar w:fldCharType="begin"/>
      </w:r>
      <w:r w:rsidRPr="005A3F47">
        <w:rPr>
          <w:noProof/>
          <w:color w:val="000000" w:themeColor="text1"/>
        </w:rPr>
        <w:instrText xml:space="preserve"> SEQ Figure \* ARABIC </w:instrText>
      </w:r>
      <w:r w:rsidRPr="005A3F47">
        <w:rPr>
          <w:noProof/>
          <w:color w:val="000000" w:themeColor="text1"/>
        </w:rPr>
        <w:fldChar w:fldCharType="separate"/>
      </w:r>
      <w:r w:rsidR="00CF3380">
        <w:rPr>
          <w:noProof/>
          <w:color w:val="000000" w:themeColor="text1"/>
        </w:rPr>
        <w:t>3</w:t>
      </w:r>
      <w:r w:rsidRPr="005A3F47">
        <w:rPr>
          <w:noProof/>
          <w:color w:val="000000" w:themeColor="text1"/>
        </w:rPr>
        <w:fldChar w:fldCharType="end"/>
      </w:r>
      <w:r w:rsidRPr="005A3F47">
        <w:rPr>
          <w:noProof/>
          <w:color w:val="000000" w:themeColor="text1"/>
        </w:rPr>
        <w:t>: Simplification options for IRD and PSD</w:t>
      </w:r>
    </w:p>
    <w:p w14:paraId="553F9E3D" w14:textId="1D4AEE0A" w:rsidR="00EE2244" w:rsidRPr="005A3F47" w:rsidRDefault="00695B9A" w:rsidP="009E1C29">
      <w:pPr>
        <w:rPr>
          <w:noProof/>
        </w:rPr>
      </w:pPr>
      <w:r w:rsidRPr="005A3F47">
        <w:rPr>
          <w:noProof/>
          <w:lang w:eastAsia="en-GB"/>
        </w:rPr>
        <w:drawing>
          <wp:inline distT="0" distB="0" distL="0" distR="0" wp14:anchorId="0B016401" wp14:editId="202E2ABF">
            <wp:extent cx="5955738" cy="1552754"/>
            <wp:effectExtent l="0" t="0" r="0" b="0"/>
            <wp:docPr id="14880106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10629" name="Picture 1" descr="A screenshot of a computer&#10;&#10;AI-generated content may be incorrect."/>
                    <pic:cNvPicPr/>
                  </pic:nvPicPr>
                  <pic:blipFill>
                    <a:blip r:embed="rId22"/>
                    <a:stretch>
                      <a:fillRect/>
                    </a:stretch>
                  </pic:blipFill>
                  <pic:spPr>
                    <a:xfrm>
                      <a:off x="0" y="0"/>
                      <a:ext cx="6007973" cy="1566373"/>
                    </a:xfrm>
                    <a:prstGeom prst="rect">
                      <a:avLst/>
                    </a:prstGeom>
                  </pic:spPr>
                </pic:pic>
              </a:graphicData>
            </a:graphic>
          </wp:inline>
        </w:drawing>
      </w:r>
    </w:p>
    <w:p w14:paraId="0641C752" w14:textId="529A5DD4" w:rsidR="003E7224" w:rsidRPr="005A3F47" w:rsidRDefault="008E33CD" w:rsidP="00431143">
      <w:pPr>
        <w:pStyle w:val="Heading4"/>
        <w:numPr>
          <w:ilvl w:val="3"/>
          <w:numId w:val="185"/>
        </w:numPr>
        <w:rPr>
          <w:noProof/>
        </w:rPr>
      </w:pPr>
      <w:r w:rsidRPr="005A3F47">
        <w:rPr>
          <w:noProof/>
        </w:rPr>
        <w:t xml:space="preserve"> </w:t>
      </w:r>
      <w:r w:rsidR="00EE48B8" w:rsidRPr="005A3F47">
        <w:rPr>
          <w:noProof/>
        </w:rPr>
        <w:t xml:space="preserve">Option </w:t>
      </w:r>
      <w:r w:rsidR="00DF57FD" w:rsidRPr="005A3F47">
        <w:rPr>
          <w:noProof/>
        </w:rPr>
        <w:t>1</w:t>
      </w:r>
      <w:r w:rsidR="00F879C2" w:rsidRPr="005A3F47">
        <w:rPr>
          <w:noProof/>
        </w:rPr>
        <w:t>A</w:t>
      </w:r>
      <w:r w:rsidR="00EE48B8" w:rsidRPr="005A3F47">
        <w:rPr>
          <w:noProof/>
        </w:rPr>
        <w:t xml:space="preserve">: </w:t>
      </w:r>
      <w:r w:rsidR="003E7224" w:rsidRPr="005A3F47">
        <w:rPr>
          <w:noProof/>
        </w:rPr>
        <w:t>Full tax exemption</w:t>
      </w:r>
      <w:r w:rsidR="008D0047" w:rsidRPr="005A3F47">
        <w:rPr>
          <w:noProof/>
        </w:rPr>
        <w:t xml:space="preserve"> accompanied </w:t>
      </w:r>
      <w:r w:rsidR="00B60C85" w:rsidRPr="005A3F47">
        <w:rPr>
          <w:noProof/>
        </w:rPr>
        <w:t xml:space="preserve">by </w:t>
      </w:r>
      <w:r w:rsidR="00612DE1" w:rsidRPr="005A3F47">
        <w:rPr>
          <w:noProof/>
        </w:rPr>
        <w:t xml:space="preserve">procedural </w:t>
      </w:r>
      <w:r w:rsidR="002E0B7C" w:rsidRPr="005A3F47">
        <w:rPr>
          <w:noProof/>
        </w:rPr>
        <w:t>adjustments</w:t>
      </w:r>
    </w:p>
    <w:p w14:paraId="2B64F848" w14:textId="6597B1A8" w:rsidR="002C7EB8" w:rsidRPr="005A3F47" w:rsidRDefault="00612DE1" w:rsidP="0012601A">
      <w:pPr>
        <w:rPr>
          <w:noProof/>
        </w:rPr>
      </w:pPr>
      <w:r w:rsidRPr="005A3F47">
        <w:rPr>
          <w:noProof/>
        </w:rPr>
        <w:t>This Option</w:t>
      </w:r>
      <w:r w:rsidR="00236989" w:rsidRPr="005A3F47">
        <w:rPr>
          <w:noProof/>
        </w:rPr>
        <w:t xml:space="preserve"> aims to extend the material scope of the IRD and PSD by providing an</w:t>
      </w:r>
      <w:r w:rsidR="00236989" w:rsidRPr="005A3F47" w:rsidDel="00672213">
        <w:rPr>
          <w:noProof/>
        </w:rPr>
        <w:t xml:space="preserve"> </w:t>
      </w:r>
      <w:r w:rsidR="00236989" w:rsidRPr="005A3F47">
        <w:rPr>
          <w:noProof/>
        </w:rPr>
        <w:t xml:space="preserve">exemption from </w:t>
      </w:r>
      <w:r w:rsidR="006A47B5" w:rsidRPr="005A3F47">
        <w:rPr>
          <w:noProof/>
        </w:rPr>
        <w:t xml:space="preserve">withholding tax </w:t>
      </w:r>
      <w:r w:rsidR="00236989" w:rsidRPr="005A3F47">
        <w:rPr>
          <w:noProof/>
        </w:rPr>
        <w:t>for payments of interest, royalties and dividends, regardless of holding percentage, between companies within the EU</w:t>
      </w:r>
      <w:r w:rsidR="00A24C8C" w:rsidRPr="005A3F47">
        <w:rPr>
          <w:noProof/>
        </w:rPr>
        <w:t>.</w:t>
      </w:r>
      <w:r w:rsidR="00614B2A" w:rsidRPr="005A3F47">
        <w:rPr>
          <w:noProof/>
          <w:vertAlign w:val="superscript"/>
        </w:rPr>
        <w:footnoteReference w:id="71"/>
      </w:r>
    </w:p>
    <w:p w14:paraId="2B883CAF" w14:textId="2E81FE8E" w:rsidR="00020263" w:rsidRPr="005A3F47" w:rsidRDefault="00020263" w:rsidP="00020263">
      <w:pPr>
        <w:rPr>
          <w:noProof/>
        </w:rPr>
      </w:pPr>
      <w:r w:rsidRPr="005A3F47">
        <w:rPr>
          <w:noProof/>
        </w:rPr>
        <w:t xml:space="preserve">In parallel, the Annexes to each Directive listing eligible companies </w:t>
      </w:r>
      <w:r w:rsidR="004B336C" w:rsidRPr="005A3F47">
        <w:rPr>
          <w:noProof/>
        </w:rPr>
        <w:t xml:space="preserve">would </w:t>
      </w:r>
      <w:r w:rsidRPr="005A3F47">
        <w:rPr>
          <w:noProof/>
        </w:rPr>
        <w:t xml:space="preserve">be updated </w:t>
      </w:r>
      <w:r w:rsidR="003C5176" w:rsidRPr="005A3F47">
        <w:rPr>
          <w:noProof/>
        </w:rPr>
        <w:t>and aligned</w:t>
      </w:r>
      <w:r w:rsidR="007E5E19" w:rsidRPr="005A3F47">
        <w:rPr>
          <w:noProof/>
        </w:rPr>
        <w:t>. Ideally</w:t>
      </w:r>
      <w:r w:rsidR="00AB6AAA" w:rsidRPr="005A3F47">
        <w:rPr>
          <w:noProof/>
        </w:rPr>
        <w:t>,</w:t>
      </w:r>
      <w:r w:rsidRPr="005A3F47">
        <w:rPr>
          <w:noProof/>
        </w:rPr>
        <w:t xml:space="preserve"> </w:t>
      </w:r>
      <w:r w:rsidR="007E5E19" w:rsidRPr="005A3F47">
        <w:rPr>
          <w:noProof/>
        </w:rPr>
        <w:t>the</w:t>
      </w:r>
      <w:r w:rsidRPr="005A3F47">
        <w:rPr>
          <w:noProof/>
        </w:rPr>
        <w:t xml:space="preserve"> wording </w:t>
      </w:r>
      <w:r w:rsidR="00326588" w:rsidRPr="005A3F47">
        <w:rPr>
          <w:noProof/>
        </w:rPr>
        <w:t>should</w:t>
      </w:r>
      <w:r w:rsidRPr="005A3F47">
        <w:rPr>
          <w:noProof/>
        </w:rPr>
        <w:t xml:space="preserve"> accommodate future forms </w:t>
      </w:r>
      <w:r w:rsidR="003C5176" w:rsidRPr="005A3F47">
        <w:rPr>
          <w:noProof/>
        </w:rPr>
        <w:t>an</w:t>
      </w:r>
      <w:r w:rsidR="00B70431" w:rsidRPr="005A3F47">
        <w:rPr>
          <w:noProof/>
        </w:rPr>
        <w:t>d</w:t>
      </w:r>
      <w:r w:rsidRPr="005A3F47">
        <w:rPr>
          <w:noProof/>
        </w:rPr>
        <w:t xml:space="preserve"> make it easier for businesses to determine whether they fall in or out of the scope of the Directives. This would be a direct response to many private stakeholders who </w:t>
      </w:r>
      <w:r w:rsidR="005A68EC" w:rsidRPr="005A3F47">
        <w:rPr>
          <w:noProof/>
        </w:rPr>
        <w:t>emphasised</w:t>
      </w:r>
      <w:r w:rsidRPr="005A3F47">
        <w:rPr>
          <w:noProof/>
        </w:rPr>
        <w:t xml:space="preserve"> the need for consistency on entitlement</w:t>
      </w:r>
      <w:r w:rsidR="003A50D3" w:rsidRPr="005A3F47">
        <w:rPr>
          <w:noProof/>
        </w:rPr>
        <w:t xml:space="preserve"> and </w:t>
      </w:r>
      <w:r w:rsidRPr="005A3F47">
        <w:rPr>
          <w:noProof/>
        </w:rPr>
        <w:t>explicitly referr</w:t>
      </w:r>
      <w:r w:rsidR="003A50D3" w:rsidRPr="005A3F47">
        <w:rPr>
          <w:noProof/>
        </w:rPr>
        <w:t>ed</w:t>
      </w:r>
      <w:r w:rsidRPr="005A3F47">
        <w:rPr>
          <w:noProof/>
        </w:rPr>
        <w:t xml:space="preserve"> to certain </w:t>
      </w:r>
      <w:r w:rsidR="00D72E75" w:rsidRPr="005A3F47">
        <w:rPr>
          <w:noProof/>
        </w:rPr>
        <w:t>busine</w:t>
      </w:r>
      <w:r w:rsidR="003B1797" w:rsidRPr="005A3F47">
        <w:rPr>
          <w:noProof/>
        </w:rPr>
        <w:t>ss</w:t>
      </w:r>
      <w:r w:rsidR="00795F58" w:rsidRPr="005A3F47">
        <w:rPr>
          <w:noProof/>
        </w:rPr>
        <w:t xml:space="preserve"> </w:t>
      </w:r>
      <w:r w:rsidRPr="005A3F47">
        <w:rPr>
          <w:noProof/>
        </w:rPr>
        <w:t>forms which are currently not covered by all Directives</w:t>
      </w:r>
      <w:r w:rsidR="003B1797" w:rsidRPr="005A3F47">
        <w:rPr>
          <w:noProof/>
        </w:rPr>
        <w:t>. S</w:t>
      </w:r>
      <w:r w:rsidRPr="005A3F47">
        <w:rPr>
          <w:noProof/>
        </w:rPr>
        <w:t>everal Member States also agreed that additional forms should be included</w:t>
      </w:r>
      <w:r w:rsidR="003B1797" w:rsidRPr="005A3F47">
        <w:rPr>
          <w:noProof/>
        </w:rPr>
        <w:t xml:space="preserve"> in the Annexes</w:t>
      </w:r>
      <w:r w:rsidRPr="005A3F47">
        <w:rPr>
          <w:noProof/>
        </w:rPr>
        <w:t>.</w:t>
      </w:r>
    </w:p>
    <w:p w14:paraId="50BFB7BC" w14:textId="005F096F" w:rsidR="002059DC" w:rsidRPr="005A3F47" w:rsidRDefault="00F359C8" w:rsidP="0012601A">
      <w:pPr>
        <w:rPr>
          <w:noProof/>
        </w:rPr>
      </w:pPr>
      <w:r w:rsidRPr="005A3F47">
        <w:rPr>
          <w:noProof/>
        </w:rPr>
        <w:t xml:space="preserve">In this way, </w:t>
      </w:r>
      <w:r w:rsidR="003A50D3" w:rsidRPr="005A3F47">
        <w:rPr>
          <w:noProof/>
        </w:rPr>
        <w:t xml:space="preserve">cross-border </w:t>
      </w:r>
      <w:r w:rsidR="00B16AD5" w:rsidRPr="005A3F47">
        <w:rPr>
          <w:noProof/>
        </w:rPr>
        <w:t xml:space="preserve">payments of </w:t>
      </w:r>
      <w:r w:rsidR="000A40D5" w:rsidRPr="005A3F47">
        <w:rPr>
          <w:noProof/>
        </w:rPr>
        <w:t xml:space="preserve">interest, royalties and dividends </w:t>
      </w:r>
      <w:r w:rsidR="003A50D3" w:rsidRPr="005A3F47">
        <w:rPr>
          <w:noProof/>
        </w:rPr>
        <w:t xml:space="preserve">within the EU </w:t>
      </w:r>
      <w:r w:rsidR="000A40D5" w:rsidRPr="005A3F47">
        <w:rPr>
          <w:noProof/>
        </w:rPr>
        <w:t xml:space="preserve">would be </w:t>
      </w:r>
      <w:r w:rsidR="00D139D8" w:rsidRPr="005A3F47">
        <w:rPr>
          <w:noProof/>
        </w:rPr>
        <w:t xml:space="preserve">more attractive and the compliance burden </w:t>
      </w:r>
      <w:r w:rsidR="004B041F" w:rsidRPr="005A3F47">
        <w:rPr>
          <w:noProof/>
        </w:rPr>
        <w:t xml:space="preserve">for businesses </w:t>
      </w:r>
      <w:r w:rsidR="00D139D8" w:rsidRPr="005A3F47">
        <w:rPr>
          <w:noProof/>
        </w:rPr>
        <w:t>would be reduced by</w:t>
      </w:r>
      <w:r w:rsidR="0068678A" w:rsidRPr="005A3F47">
        <w:rPr>
          <w:noProof/>
        </w:rPr>
        <w:t xml:space="preserve"> </w:t>
      </w:r>
      <w:r w:rsidR="00B45FA8" w:rsidRPr="005A3F47">
        <w:rPr>
          <w:noProof/>
        </w:rPr>
        <w:t xml:space="preserve">eliminating </w:t>
      </w:r>
      <w:r w:rsidR="002E2088" w:rsidRPr="005A3F47">
        <w:rPr>
          <w:noProof/>
        </w:rPr>
        <w:t>some of the</w:t>
      </w:r>
      <w:r w:rsidR="0068678A" w:rsidRPr="005A3F47">
        <w:rPr>
          <w:noProof/>
        </w:rPr>
        <w:t xml:space="preserve"> existing</w:t>
      </w:r>
      <w:r w:rsidR="002E2088" w:rsidRPr="005A3F47">
        <w:rPr>
          <w:noProof/>
        </w:rPr>
        <w:t xml:space="preserve"> requirements</w:t>
      </w:r>
      <w:r w:rsidR="0068678A" w:rsidRPr="005A3F47">
        <w:rPr>
          <w:noProof/>
        </w:rPr>
        <w:t xml:space="preserve">, </w:t>
      </w:r>
      <w:r w:rsidR="00DE01A6" w:rsidRPr="005A3F47">
        <w:rPr>
          <w:noProof/>
        </w:rPr>
        <w:t>notably the</w:t>
      </w:r>
      <w:r w:rsidR="0068678A" w:rsidRPr="005A3F47">
        <w:rPr>
          <w:noProof/>
        </w:rPr>
        <w:t xml:space="preserve"> holding percentage</w:t>
      </w:r>
      <w:r w:rsidR="00422866" w:rsidRPr="005A3F47">
        <w:rPr>
          <w:rStyle w:val="FootnoteReference"/>
          <w:noProof/>
        </w:rPr>
        <w:footnoteReference w:id="72"/>
      </w:r>
      <w:r w:rsidR="002E2088" w:rsidRPr="005A3F47">
        <w:rPr>
          <w:noProof/>
        </w:rPr>
        <w:t xml:space="preserve">. </w:t>
      </w:r>
    </w:p>
    <w:p w14:paraId="0F9555B3" w14:textId="3DD0DBA6" w:rsidR="00B60C58" w:rsidRPr="005A3F47" w:rsidRDefault="00663972" w:rsidP="0012601A">
      <w:pPr>
        <w:rPr>
          <w:noProof/>
        </w:rPr>
      </w:pPr>
      <w:r w:rsidRPr="005A3F47">
        <w:rPr>
          <w:noProof/>
        </w:rPr>
        <w:t xml:space="preserve">Option </w:t>
      </w:r>
      <w:r w:rsidR="00013C1C" w:rsidRPr="005A3F47">
        <w:rPr>
          <w:noProof/>
        </w:rPr>
        <w:t>1</w:t>
      </w:r>
      <w:r w:rsidRPr="005A3F47">
        <w:rPr>
          <w:noProof/>
        </w:rPr>
        <w:t>A</w:t>
      </w:r>
      <w:r w:rsidR="00236989" w:rsidRPr="005A3F47">
        <w:rPr>
          <w:noProof/>
        </w:rPr>
        <w:t xml:space="preserve"> would be paired with a protective measure </w:t>
      </w:r>
      <w:r w:rsidR="7745E1C8" w:rsidRPr="005A3F47">
        <w:rPr>
          <w:noProof/>
        </w:rPr>
        <w:t xml:space="preserve">aimed </w:t>
      </w:r>
      <w:r w:rsidR="003C0381" w:rsidRPr="005A3F47">
        <w:rPr>
          <w:noProof/>
        </w:rPr>
        <w:t>to</w:t>
      </w:r>
      <w:r w:rsidR="7745E1C8" w:rsidRPr="005A3F47">
        <w:rPr>
          <w:noProof/>
        </w:rPr>
        <w:t xml:space="preserve"> prevent </w:t>
      </w:r>
      <w:r w:rsidR="00F94B56" w:rsidRPr="005A3F47">
        <w:rPr>
          <w:noProof/>
        </w:rPr>
        <w:t>instances of</w:t>
      </w:r>
      <w:r w:rsidR="00F2658F" w:rsidRPr="005A3F47">
        <w:rPr>
          <w:noProof/>
        </w:rPr>
        <w:t xml:space="preserve"> double non-taxation </w:t>
      </w:r>
      <w:r w:rsidR="003C0381" w:rsidRPr="005A3F47">
        <w:rPr>
          <w:noProof/>
        </w:rPr>
        <w:t>on</w:t>
      </w:r>
      <w:r w:rsidR="297709CF" w:rsidRPr="005A3F47">
        <w:rPr>
          <w:noProof/>
        </w:rPr>
        <w:t xml:space="preserve"> interest and royalty payments made </w:t>
      </w:r>
      <w:r w:rsidR="00D601AC" w:rsidRPr="005A3F47">
        <w:rPr>
          <w:noProof/>
        </w:rPr>
        <w:t xml:space="preserve">outside of the Union, i.e., </w:t>
      </w:r>
      <w:r w:rsidR="297709CF" w:rsidRPr="005A3F47">
        <w:rPr>
          <w:noProof/>
        </w:rPr>
        <w:t>from a</w:t>
      </w:r>
      <w:r w:rsidR="003C0381" w:rsidRPr="005A3F47">
        <w:rPr>
          <w:noProof/>
        </w:rPr>
        <w:t>n EU</w:t>
      </w:r>
      <w:r w:rsidR="297709CF" w:rsidRPr="005A3F47">
        <w:rPr>
          <w:noProof/>
        </w:rPr>
        <w:t xml:space="preserve"> Member State to a third country</w:t>
      </w:r>
      <w:r w:rsidR="009755C7" w:rsidRPr="005A3F47">
        <w:rPr>
          <w:noProof/>
        </w:rPr>
        <w:t xml:space="preserve">. </w:t>
      </w:r>
      <w:r w:rsidR="00BD7FDE" w:rsidRPr="005A3F47">
        <w:rPr>
          <w:noProof/>
        </w:rPr>
        <w:t>As a matter of principle</w:t>
      </w:r>
      <w:r w:rsidR="4CC5C6A8" w:rsidRPr="005A3F47">
        <w:rPr>
          <w:noProof/>
        </w:rPr>
        <w:t xml:space="preserve">, </w:t>
      </w:r>
      <w:r w:rsidR="00B3218E" w:rsidRPr="005A3F47">
        <w:rPr>
          <w:noProof/>
        </w:rPr>
        <w:t>Member States would continue to apply their national rules</w:t>
      </w:r>
      <w:r w:rsidR="1AFBBCF3" w:rsidRPr="005A3F47">
        <w:rPr>
          <w:noProof/>
        </w:rPr>
        <w:t xml:space="preserve">, including those resulting from </w:t>
      </w:r>
      <w:r w:rsidR="00B3218E" w:rsidRPr="005A3F47">
        <w:rPr>
          <w:noProof/>
        </w:rPr>
        <w:t>applicable</w:t>
      </w:r>
      <w:r w:rsidR="1AFBBCF3" w:rsidRPr="005A3F47">
        <w:rPr>
          <w:noProof/>
        </w:rPr>
        <w:t xml:space="preserve"> tax treaties</w:t>
      </w:r>
      <w:r w:rsidR="00B3218E" w:rsidRPr="005A3F47">
        <w:rPr>
          <w:noProof/>
        </w:rPr>
        <w:t xml:space="preserve">, to interest and royalty payments made to third countries. </w:t>
      </w:r>
      <w:r w:rsidR="39316582" w:rsidRPr="005A3F47">
        <w:rPr>
          <w:noProof/>
        </w:rPr>
        <w:t xml:space="preserve">However, </w:t>
      </w:r>
      <w:r w:rsidR="00371C27" w:rsidRPr="005A3F47">
        <w:rPr>
          <w:noProof/>
        </w:rPr>
        <w:t>the protective measure would be triggered</w:t>
      </w:r>
      <w:r w:rsidR="39316582" w:rsidRPr="005A3F47">
        <w:rPr>
          <w:noProof/>
        </w:rPr>
        <w:t xml:space="preserve"> where </w:t>
      </w:r>
      <w:r w:rsidR="305B12F2" w:rsidRPr="005A3F47">
        <w:rPr>
          <w:noProof/>
        </w:rPr>
        <w:t>the third country in which the recipient is established does not levy corporate income tax or applies a zero corporate income tax rate</w:t>
      </w:r>
      <w:r w:rsidR="39316582" w:rsidRPr="005A3F47">
        <w:rPr>
          <w:noProof/>
        </w:rPr>
        <w:t xml:space="preserve"> </w:t>
      </w:r>
      <w:r w:rsidR="00353A9C" w:rsidRPr="005A3F47">
        <w:rPr>
          <w:noProof/>
        </w:rPr>
        <w:t>(‘zero-tax jurisdiction’)</w:t>
      </w:r>
      <w:r w:rsidR="39316582" w:rsidRPr="005A3F47">
        <w:rPr>
          <w:noProof/>
        </w:rPr>
        <w:t xml:space="preserve"> </w:t>
      </w:r>
      <w:r w:rsidR="009D0A8D" w:rsidRPr="005A3F47">
        <w:rPr>
          <w:noProof/>
        </w:rPr>
        <w:t xml:space="preserve">and </w:t>
      </w:r>
      <w:r w:rsidR="00B53E15" w:rsidRPr="005A3F47">
        <w:rPr>
          <w:noProof/>
        </w:rPr>
        <w:t xml:space="preserve">in addition, </w:t>
      </w:r>
      <w:r w:rsidR="00FE05FB" w:rsidRPr="005A3F47">
        <w:rPr>
          <w:noProof/>
        </w:rPr>
        <w:t xml:space="preserve">no </w:t>
      </w:r>
      <w:r w:rsidR="00D577FC" w:rsidRPr="005A3F47">
        <w:rPr>
          <w:noProof/>
        </w:rPr>
        <w:t>withholding tax</w:t>
      </w:r>
      <w:r w:rsidR="00FE05FB" w:rsidRPr="005A3F47">
        <w:rPr>
          <w:noProof/>
        </w:rPr>
        <w:t xml:space="preserve"> is levied </w:t>
      </w:r>
      <w:r w:rsidR="00B53E15" w:rsidRPr="005A3F47">
        <w:rPr>
          <w:noProof/>
        </w:rPr>
        <w:t>in the EU</w:t>
      </w:r>
      <w:r w:rsidR="00FE05FB" w:rsidRPr="005A3F47">
        <w:rPr>
          <w:noProof/>
        </w:rPr>
        <w:t xml:space="preserve"> Member State</w:t>
      </w:r>
      <w:r w:rsidR="35FC297B" w:rsidRPr="005A3F47">
        <w:rPr>
          <w:noProof/>
        </w:rPr>
        <w:t xml:space="preserve">. </w:t>
      </w:r>
    </w:p>
    <w:p w14:paraId="57380997" w14:textId="73D9059C" w:rsidR="00B95ED1" w:rsidRPr="005A3F47" w:rsidRDefault="35FC297B" w:rsidP="0012601A">
      <w:pPr>
        <w:rPr>
          <w:noProof/>
        </w:rPr>
      </w:pPr>
      <w:r w:rsidRPr="005A3F47">
        <w:rPr>
          <w:noProof/>
        </w:rPr>
        <w:t xml:space="preserve">The objective of this measure would be to </w:t>
      </w:r>
      <w:r w:rsidR="00AA794A" w:rsidRPr="005A3F47">
        <w:rPr>
          <w:noProof/>
        </w:rPr>
        <w:t xml:space="preserve">ensure that </w:t>
      </w:r>
      <w:r w:rsidR="5E5FED6E" w:rsidRPr="005A3F47">
        <w:rPr>
          <w:noProof/>
        </w:rPr>
        <w:t>i</w:t>
      </w:r>
      <w:r w:rsidR="00AA794A" w:rsidRPr="005A3F47">
        <w:rPr>
          <w:noProof/>
        </w:rPr>
        <w:t xml:space="preserve">nterest and royalties </w:t>
      </w:r>
      <w:r w:rsidR="6DAC5AC0" w:rsidRPr="005A3F47">
        <w:rPr>
          <w:noProof/>
        </w:rPr>
        <w:t xml:space="preserve">are subject to taxation </w:t>
      </w:r>
      <w:r w:rsidR="00AA794A" w:rsidRPr="005A3F47">
        <w:rPr>
          <w:noProof/>
        </w:rPr>
        <w:t>at least once</w:t>
      </w:r>
      <w:r w:rsidR="005C6B37" w:rsidRPr="005A3F47">
        <w:rPr>
          <w:noProof/>
        </w:rPr>
        <w:t xml:space="preserve">. </w:t>
      </w:r>
      <w:r w:rsidR="00116B8B" w:rsidRPr="005A3F47">
        <w:rPr>
          <w:noProof/>
        </w:rPr>
        <w:t xml:space="preserve">The measure </w:t>
      </w:r>
      <w:r w:rsidR="00AA794A" w:rsidRPr="005A3F47">
        <w:rPr>
          <w:noProof/>
        </w:rPr>
        <w:t>w</w:t>
      </w:r>
      <w:r w:rsidR="61DCF698" w:rsidRPr="005A3F47">
        <w:rPr>
          <w:noProof/>
        </w:rPr>
        <w:t xml:space="preserve">ould </w:t>
      </w:r>
      <w:r w:rsidR="00236989" w:rsidRPr="005A3F47">
        <w:rPr>
          <w:noProof/>
        </w:rPr>
        <w:t xml:space="preserve">take the form of </w:t>
      </w:r>
      <w:r w:rsidR="00372BA8" w:rsidRPr="005A3F47">
        <w:rPr>
          <w:noProof/>
        </w:rPr>
        <w:t>either</w:t>
      </w:r>
      <w:r w:rsidR="3B14DBA3" w:rsidRPr="005A3F47">
        <w:rPr>
          <w:noProof/>
        </w:rPr>
        <w:t xml:space="preserve"> a</w:t>
      </w:r>
      <w:r w:rsidR="0292CC43" w:rsidRPr="005A3F47">
        <w:rPr>
          <w:noProof/>
        </w:rPr>
        <w:t xml:space="preserve"> mandatory </w:t>
      </w:r>
      <w:r w:rsidR="002654D4" w:rsidRPr="005A3F47">
        <w:rPr>
          <w:noProof/>
        </w:rPr>
        <w:t>withholding tax</w:t>
      </w:r>
      <w:r w:rsidR="0292CC43" w:rsidRPr="005A3F47">
        <w:rPr>
          <w:noProof/>
        </w:rPr>
        <w:t xml:space="preserve"> on such payments at a rate chosen by each Member State </w:t>
      </w:r>
      <w:r w:rsidR="047FB652" w:rsidRPr="005A3F47">
        <w:rPr>
          <w:noProof/>
        </w:rPr>
        <w:t xml:space="preserve">individually or the denial of deductibility for tax purposes at source. </w:t>
      </w:r>
      <w:r w:rsidR="00ED1038" w:rsidRPr="005A3F47">
        <w:rPr>
          <w:noProof/>
        </w:rPr>
        <w:t>N</w:t>
      </w:r>
      <w:r w:rsidR="00E85CD1" w:rsidRPr="005A3F47">
        <w:rPr>
          <w:noProof/>
        </w:rPr>
        <w:t xml:space="preserve">o similar measure would be necessary to address </w:t>
      </w:r>
      <w:r w:rsidR="008D55D7" w:rsidRPr="005A3F47">
        <w:rPr>
          <w:noProof/>
        </w:rPr>
        <w:t xml:space="preserve">risks of double non-taxation as regards </w:t>
      </w:r>
      <w:r w:rsidR="00E85CD1" w:rsidRPr="005A3F47">
        <w:rPr>
          <w:noProof/>
        </w:rPr>
        <w:t xml:space="preserve">profit distributions (dividends), as these </w:t>
      </w:r>
      <w:r w:rsidR="577F0858" w:rsidRPr="005A3F47">
        <w:rPr>
          <w:noProof/>
        </w:rPr>
        <w:t xml:space="preserve">are </w:t>
      </w:r>
      <w:r w:rsidR="008D55D7" w:rsidRPr="005A3F47">
        <w:rPr>
          <w:noProof/>
        </w:rPr>
        <w:t xml:space="preserve">already </w:t>
      </w:r>
      <w:r w:rsidR="0F099A24" w:rsidRPr="005A3F47">
        <w:rPr>
          <w:noProof/>
        </w:rPr>
        <w:t>taxed</w:t>
      </w:r>
      <w:r w:rsidR="00E85CD1" w:rsidRPr="005A3F47">
        <w:rPr>
          <w:noProof/>
        </w:rPr>
        <w:t xml:space="preserve"> </w:t>
      </w:r>
      <w:r w:rsidR="18CC5F9E" w:rsidRPr="005A3F47">
        <w:rPr>
          <w:noProof/>
        </w:rPr>
        <w:t>within the EU</w:t>
      </w:r>
      <w:r w:rsidR="00E85CD1" w:rsidRPr="005A3F47">
        <w:rPr>
          <w:noProof/>
        </w:rPr>
        <w:t>.</w:t>
      </w:r>
      <w:r w:rsidR="00EA3CF1" w:rsidRPr="005A3F47">
        <w:rPr>
          <w:noProof/>
        </w:rPr>
        <w:t xml:space="preserve"> </w:t>
      </w:r>
      <w:r w:rsidR="00455B8E" w:rsidRPr="00266412">
        <w:rPr>
          <w:noProof/>
        </w:rPr>
        <w:t>A</w:t>
      </w:r>
      <w:r w:rsidR="00D30682" w:rsidRPr="00266412">
        <w:rPr>
          <w:noProof/>
        </w:rPr>
        <w:t xml:space="preserve"> more consistent system of withholding taxes on royalties and interest payments </w:t>
      </w:r>
      <w:r w:rsidR="00455B8E" w:rsidRPr="00266412">
        <w:rPr>
          <w:noProof/>
        </w:rPr>
        <w:t xml:space="preserve">towards low-tax jurisdictions </w:t>
      </w:r>
      <w:r w:rsidR="003E4538" w:rsidRPr="00266412">
        <w:rPr>
          <w:noProof/>
        </w:rPr>
        <w:t xml:space="preserve">will lower the likelihood of profit shifting by MNEs. </w:t>
      </w:r>
    </w:p>
    <w:p w14:paraId="724D1B57" w14:textId="0866FF3D" w:rsidR="00CB5283" w:rsidRPr="005A3F47" w:rsidRDefault="00F5032E" w:rsidP="00F565CF">
      <w:pPr>
        <w:rPr>
          <w:noProof/>
        </w:rPr>
      </w:pPr>
      <w:r w:rsidRPr="005A3F47">
        <w:rPr>
          <w:noProof/>
        </w:rPr>
        <w:t xml:space="preserve">Compliance </w:t>
      </w:r>
      <w:r w:rsidR="2C82CFBB" w:rsidRPr="005A3F47">
        <w:rPr>
          <w:noProof/>
        </w:rPr>
        <w:t xml:space="preserve">rules </w:t>
      </w:r>
      <w:r w:rsidR="00E50B9F" w:rsidRPr="005A3F47">
        <w:rPr>
          <w:noProof/>
        </w:rPr>
        <w:t>would</w:t>
      </w:r>
      <w:r w:rsidR="00042826" w:rsidRPr="005A3F47">
        <w:rPr>
          <w:noProof/>
        </w:rPr>
        <w:t xml:space="preserve"> also</w:t>
      </w:r>
      <w:r w:rsidR="00236989" w:rsidRPr="005A3F47">
        <w:rPr>
          <w:noProof/>
        </w:rPr>
        <w:t xml:space="preserve"> be put in place to ensure that </w:t>
      </w:r>
      <w:r w:rsidR="0009165F" w:rsidRPr="005A3F47">
        <w:rPr>
          <w:noProof/>
        </w:rPr>
        <w:t xml:space="preserve">the exemption </w:t>
      </w:r>
      <w:r w:rsidR="00E56E96" w:rsidRPr="005A3F47">
        <w:rPr>
          <w:noProof/>
        </w:rPr>
        <w:t xml:space="preserve">does not require any unnecessary compliance. </w:t>
      </w:r>
      <w:r w:rsidR="0088765B" w:rsidRPr="005A3F47">
        <w:rPr>
          <w:noProof/>
        </w:rPr>
        <w:t xml:space="preserve">Currently, </w:t>
      </w:r>
      <w:r w:rsidR="00236989" w:rsidRPr="005A3F47">
        <w:rPr>
          <w:noProof/>
        </w:rPr>
        <w:t xml:space="preserve">Member States </w:t>
      </w:r>
      <w:r w:rsidR="0088765B" w:rsidRPr="005A3F47">
        <w:rPr>
          <w:noProof/>
        </w:rPr>
        <w:t xml:space="preserve">often </w:t>
      </w:r>
      <w:r w:rsidR="00236989" w:rsidRPr="005A3F47">
        <w:rPr>
          <w:noProof/>
        </w:rPr>
        <w:t xml:space="preserve">impose </w:t>
      </w:r>
      <w:r w:rsidR="00572A1B" w:rsidRPr="005A3F47">
        <w:rPr>
          <w:noProof/>
        </w:rPr>
        <w:t xml:space="preserve">burdensome </w:t>
      </w:r>
      <w:r w:rsidR="00236989" w:rsidRPr="005A3F47">
        <w:rPr>
          <w:noProof/>
        </w:rPr>
        <w:t xml:space="preserve">upfront procedures as a condition for accessing the </w:t>
      </w:r>
      <w:r w:rsidR="00532B1A" w:rsidRPr="005A3F47">
        <w:rPr>
          <w:noProof/>
        </w:rPr>
        <w:t xml:space="preserve">benefits of </w:t>
      </w:r>
      <w:r w:rsidR="00DD57F1" w:rsidRPr="005A3F47">
        <w:rPr>
          <w:noProof/>
        </w:rPr>
        <w:t>the IRD and PSD</w:t>
      </w:r>
      <w:r w:rsidR="007D2543" w:rsidRPr="005A3F47">
        <w:rPr>
          <w:noProof/>
        </w:rPr>
        <w:t>. The extension of the scope of the IRD and the PSD should therefore be accompanied by a prohibition for Member States to impose any upfront procedures</w:t>
      </w:r>
      <w:r w:rsidR="005818EF" w:rsidRPr="005A3F47">
        <w:rPr>
          <w:noProof/>
        </w:rPr>
        <w:t xml:space="preserve">. </w:t>
      </w:r>
      <w:r w:rsidR="00780121" w:rsidRPr="005A3F47">
        <w:rPr>
          <w:noProof/>
        </w:rPr>
        <w:t>The paying company w</w:t>
      </w:r>
      <w:r w:rsidR="001C31E4" w:rsidRPr="005A3F47">
        <w:rPr>
          <w:noProof/>
        </w:rPr>
        <w:t>ould</w:t>
      </w:r>
      <w:r w:rsidR="00780121" w:rsidRPr="005A3F47">
        <w:rPr>
          <w:noProof/>
        </w:rPr>
        <w:t xml:space="preserve"> have to assess </w:t>
      </w:r>
      <w:r w:rsidR="00CC2D35" w:rsidRPr="005A3F47">
        <w:rPr>
          <w:noProof/>
        </w:rPr>
        <w:t>whether the conditions to benefit from the exemption are fulfilled by the beneficiary</w:t>
      </w:r>
      <w:r w:rsidR="001C31E4" w:rsidRPr="005A3F47">
        <w:rPr>
          <w:noProof/>
        </w:rPr>
        <w:t>,</w:t>
      </w:r>
      <w:r w:rsidR="00335CEA" w:rsidRPr="005A3F47">
        <w:rPr>
          <w:noProof/>
        </w:rPr>
        <w:t xml:space="preserve"> and tax authorities w</w:t>
      </w:r>
      <w:r w:rsidR="001C31E4" w:rsidRPr="005A3F47">
        <w:rPr>
          <w:noProof/>
        </w:rPr>
        <w:t>ould</w:t>
      </w:r>
      <w:r w:rsidR="00335CEA" w:rsidRPr="005A3F47">
        <w:rPr>
          <w:noProof/>
        </w:rPr>
        <w:t xml:space="preserve"> </w:t>
      </w:r>
      <w:r w:rsidR="00721357" w:rsidRPr="005A3F47">
        <w:rPr>
          <w:noProof/>
        </w:rPr>
        <w:t>control</w:t>
      </w:r>
      <w:r w:rsidR="00CF2C15" w:rsidRPr="005A3F47">
        <w:rPr>
          <w:noProof/>
        </w:rPr>
        <w:t xml:space="preserve"> a posteriori whether such conditions </w:t>
      </w:r>
      <w:r w:rsidR="001C31E4" w:rsidRPr="005A3F47">
        <w:rPr>
          <w:noProof/>
        </w:rPr>
        <w:t>are</w:t>
      </w:r>
      <w:r w:rsidR="00CF2C15" w:rsidRPr="005A3F47">
        <w:rPr>
          <w:noProof/>
        </w:rPr>
        <w:t xml:space="preserve"> </w:t>
      </w:r>
      <w:r w:rsidR="00572A1B" w:rsidRPr="005A3F47">
        <w:rPr>
          <w:noProof/>
        </w:rPr>
        <w:t xml:space="preserve">actually </w:t>
      </w:r>
      <w:r w:rsidR="00CF2C15" w:rsidRPr="005A3F47">
        <w:rPr>
          <w:noProof/>
        </w:rPr>
        <w:t xml:space="preserve">met. </w:t>
      </w:r>
      <w:r w:rsidR="00560058" w:rsidRPr="005A3F47">
        <w:rPr>
          <w:noProof/>
        </w:rPr>
        <w:t>However, f</w:t>
      </w:r>
      <w:r w:rsidR="00E67FF3" w:rsidRPr="005A3F47">
        <w:rPr>
          <w:noProof/>
        </w:rPr>
        <w:t>or publicly traded securities,</w:t>
      </w:r>
      <w:r w:rsidR="005818EF" w:rsidRPr="005A3F47">
        <w:rPr>
          <w:noProof/>
        </w:rPr>
        <w:t xml:space="preserve"> portfolio investors </w:t>
      </w:r>
      <w:r w:rsidR="00572A1B" w:rsidRPr="005A3F47">
        <w:rPr>
          <w:noProof/>
        </w:rPr>
        <w:t>whose ownership of the paying company is below 5% are usually unknown to the paying company because shares are commonly held in nominee-registered accounts</w:t>
      </w:r>
      <w:r w:rsidR="0097044B" w:rsidRPr="005A3F47">
        <w:rPr>
          <w:noProof/>
        </w:rPr>
        <w:t xml:space="preserve"> (investors are only required to disclose ownership above 5%). As a result, the paying company </w:t>
      </w:r>
      <w:r w:rsidR="003B5074" w:rsidRPr="005A3F47">
        <w:rPr>
          <w:noProof/>
        </w:rPr>
        <w:t>w</w:t>
      </w:r>
      <w:r w:rsidR="0087572B" w:rsidRPr="005A3F47">
        <w:rPr>
          <w:noProof/>
        </w:rPr>
        <w:t>ould</w:t>
      </w:r>
      <w:r w:rsidR="003B5074" w:rsidRPr="005A3F47">
        <w:rPr>
          <w:noProof/>
        </w:rPr>
        <w:t xml:space="preserve"> not be able to assess whether the conditions of the PSD and IRD are met by the </w:t>
      </w:r>
      <w:r w:rsidR="00256E1A" w:rsidRPr="005A3F47">
        <w:rPr>
          <w:noProof/>
        </w:rPr>
        <w:t>investor,</w:t>
      </w:r>
      <w:r w:rsidR="00230C6A" w:rsidRPr="005A3F47">
        <w:rPr>
          <w:noProof/>
        </w:rPr>
        <w:t xml:space="preserve"> and the exemption cannot be applied upfront. </w:t>
      </w:r>
      <w:r w:rsidR="00EA217C" w:rsidRPr="005A3F47">
        <w:rPr>
          <w:noProof/>
        </w:rPr>
        <w:t xml:space="preserve">In such cases, the FASTER </w:t>
      </w:r>
      <w:r w:rsidR="7F044D2B" w:rsidRPr="005A3F47">
        <w:rPr>
          <w:noProof/>
        </w:rPr>
        <w:t>D</w:t>
      </w:r>
      <w:r w:rsidR="00EA217C" w:rsidRPr="005A3F47">
        <w:rPr>
          <w:noProof/>
        </w:rPr>
        <w:t xml:space="preserve">irective </w:t>
      </w:r>
      <w:r w:rsidR="00256E1A" w:rsidRPr="005A3F47">
        <w:rPr>
          <w:noProof/>
        </w:rPr>
        <w:t xml:space="preserve">could bring simplification through its standardised fast-track procedures. </w:t>
      </w:r>
      <w:r w:rsidR="00E40C77" w:rsidRPr="005A3F47">
        <w:rPr>
          <w:noProof/>
        </w:rPr>
        <w:t>(i.e.,</w:t>
      </w:r>
      <w:r w:rsidR="00DA3D94" w:rsidRPr="005A3F47">
        <w:rPr>
          <w:noProof/>
        </w:rPr>
        <w:t xml:space="preserve"> ‘relief at source’ procedure or ‘quick refund’ procedure)</w:t>
      </w:r>
      <w:r w:rsidR="005317F4" w:rsidRPr="005A3F47">
        <w:rPr>
          <w:noProof/>
        </w:rPr>
        <w:t xml:space="preserve">. </w:t>
      </w:r>
      <w:r w:rsidR="00F546BE" w:rsidRPr="005A3F47">
        <w:rPr>
          <w:noProof/>
        </w:rPr>
        <w:t xml:space="preserve">Yet, </w:t>
      </w:r>
      <w:r w:rsidR="005317F4" w:rsidRPr="005A3F47">
        <w:rPr>
          <w:noProof/>
        </w:rPr>
        <w:t>in its current wording</w:t>
      </w:r>
      <w:r w:rsidR="00F546BE" w:rsidRPr="005A3F47">
        <w:rPr>
          <w:noProof/>
        </w:rPr>
        <w:t xml:space="preserve">, the FASTER Directive allows Member States to </w:t>
      </w:r>
      <w:r w:rsidR="008552B8" w:rsidRPr="005A3F47">
        <w:rPr>
          <w:noProof/>
        </w:rPr>
        <w:t>deny</w:t>
      </w:r>
      <w:r w:rsidR="00F546BE" w:rsidRPr="005A3F47">
        <w:rPr>
          <w:noProof/>
        </w:rPr>
        <w:t xml:space="preserve">, completely or partially, </w:t>
      </w:r>
      <w:r w:rsidR="0048549D" w:rsidRPr="005A3F47">
        <w:rPr>
          <w:noProof/>
        </w:rPr>
        <w:t>the application of the</w:t>
      </w:r>
      <w:r w:rsidR="00A23E2E" w:rsidRPr="005A3F47">
        <w:rPr>
          <w:noProof/>
        </w:rPr>
        <w:t xml:space="preserve"> </w:t>
      </w:r>
      <w:r w:rsidR="00391A2B" w:rsidRPr="005A3F47">
        <w:rPr>
          <w:noProof/>
        </w:rPr>
        <w:t xml:space="preserve">standardised </w:t>
      </w:r>
      <w:r w:rsidR="00A23E2E" w:rsidRPr="005A3F47">
        <w:rPr>
          <w:noProof/>
        </w:rPr>
        <w:t>fast-track</w:t>
      </w:r>
      <w:r w:rsidR="0048549D" w:rsidRPr="005A3F47">
        <w:rPr>
          <w:noProof/>
        </w:rPr>
        <w:t xml:space="preserve"> procedures </w:t>
      </w:r>
      <w:r w:rsidR="00F546BE" w:rsidRPr="005A3F47">
        <w:rPr>
          <w:noProof/>
        </w:rPr>
        <w:t xml:space="preserve">where an exemption </w:t>
      </w:r>
      <w:r w:rsidR="00B73402" w:rsidRPr="005A3F47">
        <w:rPr>
          <w:noProof/>
        </w:rPr>
        <w:t>from</w:t>
      </w:r>
      <w:r w:rsidR="00F546BE" w:rsidRPr="005A3F47">
        <w:rPr>
          <w:noProof/>
        </w:rPr>
        <w:t xml:space="preserve"> withholding tax is claimed. </w:t>
      </w:r>
      <w:r w:rsidR="00DC3244" w:rsidRPr="005A3F47">
        <w:rPr>
          <w:noProof/>
        </w:rPr>
        <w:t xml:space="preserve">This wording would, de facto, prevent </w:t>
      </w:r>
      <w:r w:rsidR="003E7EFD" w:rsidRPr="005A3F47">
        <w:rPr>
          <w:noProof/>
        </w:rPr>
        <w:t>the benefit</w:t>
      </w:r>
      <w:r w:rsidR="00DC3244" w:rsidRPr="005A3F47">
        <w:rPr>
          <w:noProof/>
        </w:rPr>
        <w:t xml:space="preserve"> of </w:t>
      </w:r>
      <w:r w:rsidR="002228C9" w:rsidRPr="005A3F47">
        <w:rPr>
          <w:noProof/>
        </w:rPr>
        <w:t xml:space="preserve">these fast-track procedures to </w:t>
      </w:r>
      <w:r w:rsidR="00AD7EDA" w:rsidRPr="005A3F47">
        <w:rPr>
          <w:noProof/>
        </w:rPr>
        <w:t xml:space="preserve">eligible </w:t>
      </w:r>
      <w:r w:rsidR="00256E1A" w:rsidRPr="005A3F47">
        <w:rPr>
          <w:noProof/>
        </w:rPr>
        <w:t>payments</w:t>
      </w:r>
      <w:r w:rsidR="001C4440" w:rsidRPr="005A3F47">
        <w:rPr>
          <w:noProof/>
        </w:rPr>
        <w:t xml:space="preserve"> exempted</w:t>
      </w:r>
      <w:r w:rsidR="002228C9" w:rsidRPr="005A3F47">
        <w:rPr>
          <w:noProof/>
        </w:rPr>
        <w:t xml:space="preserve"> under the IRD and PSD. </w:t>
      </w:r>
      <w:r w:rsidR="001C4440" w:rsidRPr="005A3F47">
        <w:rPr>
          <w:noProof/>
        </w:rPr>
        <w:t xml:space="preserve">Therefore, </w:t>
      </w:r>
      <w:r w:rsidR="00916CD1" w:rsidRPr="005A3F47">
        <w:rPr>
          <w:noProof/>
        </w:rPr>
        <w:t xml:space="preserve">the changes to the IRD and PSD </w:t>
      </w:r>
      <w:r w:rsidR="006C76E5" w:rsidRPr="005A3F47">
        <w:rPr>
          <w:noProof/>
        </w:rPr>
        <w:t>would</w:t>
      </w:r>
      <w:r w:rsidR="00916CD1" w:rsidRPr="005A3F47">
        <w:rPr>
          <w:noProof/>
        </w:rPr>
        <w:t xml:space="preserve"> also be accompanied by an extension of the scope of the FASTER </w:t>
      </w:r>
      <w:r w:rsidR="3CE15D22" w:rsidRPr="005A3F47">
        <w:rPr>
          <w:noProof/>
        </w:rPr>
        <w:t>D</w:t>
      </w:r>
      <w:r w:rsidR="00916CD1" w:rsidRPr="005A3F47">
        <w:rPr>
          <w:noProof/>
        </w:rPr>
        <w:t xml:space="preserve">irective </w:t>
      </w:r>
      <w:r w:rsidR="00C66161" w:rsidRPr="005A3F47">
        <w:rPr>
          <w:noProof/>
        </w:rPr>
        <w:t>to the latter.</w:t>
      </w:r>
      <w:r w:rsidR="006C76E5" w:rsidRPr="005A3F47">
        <w:rPr>
          <w:noProof/>
        </w:rPr>
        <w:t xml:space="preserve"> </w:t>
      </w:r>
      <w:r w:rsidR="00373A29" w:rsidRPr="005A3F47">
        <w:rPr>
          <w:noProof/>
        </w:rPr>
        <w:t>Other</w:t>
      </w:r>
      <w:r w:rsidR="0041023B" w:rsidRPr="005A3F47">
        <w:rPr>
          <w:noProof/>
        </w:rPr>
        <w:t>wise</w:t>
      </w:r>
      <w:r w:rsidR="00FB1485" w:rsidRPr="005A3F47">
        <w:rPr>
          <w:noProof/>
        </w:rPr>
        <w:t xml:space="preserve">, </w:t>
      </w:r>
      <w:r w:rsidR="00DC11FA" w:rsidRPr="005A3F47">
        <w:rPr>
          <w:noProof/>
        </w:rPr>
        <w:t>registered</w:t>
      </w:r>
      <w:r w:rsidR="0042196A" w:rsidRPr="005A3F47">
        <w:rPr>
          <w:noProof/>
        </w:rPr>
        <w:t xml:space="preserve"> </w:t>
      </w:r>
      <w:r w:rsidR="00FB1485" w:rsidRPr="005A3F47">
        <w:rPr>
          <w:noProof/>
        </w:rPr>
        <w:t xml:space="preserve">investors </w:t>
      </w:r>
      <w:r w:rsidR="005D71F9" w:rsidRPr="005A3F47">
        <w:rPr>
          <w:noProof/>
        </w:rPr>
        <w:t xml:space="preserve">will not </w:t>
      </w:r>
      <w:r w:rsidR="00F565CF" w:rsidRPr="005A3F47">
        <w:rPr>
          <w:noProof/>
        </w:rPr>
        <w:t xml:space="preserve">always </w:t>
      </w:r>
      <w:r w:rsidR="005D71F9" w:rsidRPr="005A3F47">
        <w:rPr>
          <w:noProof/>
        </w:rPr>
        <w:t xml:space="preserve">be able to rely on </w:t>
      </w:r>
      <w:r w:rsidR="00F565CF" w:rsidRPr="005A3F47">
        <w:rPr>
          <w:noProof/>
        </w:rPr>
        <w:t>the</w:t>
      </w:r>
      <w:r w:rsidR="005D71F9" w:rsidRPr="005A3F47">
        <w:rPr>
          <w:noProof/>
        </w:rPr>
        <w:t xml:space="preserve"> procedures</w:t>
      </w:r>
      <w:r w:rsidR="00F565CF" w:rsidRPr="005A3F47">
        <w:rPr>
          <w:noProof/>
        </w:rPr>
        <w:t xml:space="preserve"> provided under </w:t>
      </w:r>
      <w:r w:rsidR="00E66DFF" w:rsidRPr="005A3F47">
        <w:rPr>
          <w:noProof/>
        </w:rPr>
        <w:t xml:space="preserve">the </w:t>
      </w:r>
      <w:r w:rsidR="00F565CF" w:rsidRPr="005A3F47">
        <w:rPr>
          <w:noProof/>
        </w:rPr>
        <w:t>FASTER</w:t>
      </w:r>
      <w:r w:rsidR="00E66DFF" w:rsidRPr="005A3F47">
        <w:rPr>
          <w:noProof/>
        </w:rPr>
        <w:t xml:space="preserve"> Directive</w:t>
      </w:r>
      <w:r w:rsidR="005D71F9" w:rsidRPr="005A3F47">
        <w:rPr>
          <w:noProof/>
        </w:rPr>
        <w:t xml:space="preserve">. </w:t>
      </w:r>
      <w:r w:rsidR="00061FB0" w:rsidRPr="005A3F47">
        <w:rPr>
          <w:noProof/>
        </w:rPr>
        <w:t>The</w:t>
      </w:r>
      <w:r w:rsidR="00D2273E" w:rsidRPr="005A3F47">
        <w:rPr>
          <w:noProof/>
        </w:rPr>
        <w:t xml:space="preserve"> </w:t>
      </w:r>
      <w:r w:rsidR="006361E5" w:rsidRPr="005A3F47">
        <w:rPr>
          <w:noProof/>
        </w:rPr>
        <w:t xml:space="preserve">existing </w:t>
      </w:r>
      <w:r w:rsidR="00D2273E" w:rsidRPr="005A3F47">
        <w:rPr>
          <w:noProof/>
        </w:rPr>
        <w:t>option</w:t>
      </w:r>
      <w:r w:rsidR="006361E5" w:rsidRPr="005A3F47">
        <w:rPr>
          <w:noProof/>
        </w:rPr>
        <w:t xml:space="preserve"> in the </w:t>
      </w:r>
      <w:r w:rsidR="008734FA" w:rsidRPr="005A3F47">
        <w:rPr>
          <w:noProof/>
        </w:rPr>
        <w:t xml:space="preserve">PSD </w:t>
      </w:r>
      <w:r w:rsidR="00D05A63" w:rsidRPr="005A3F47">
        <w:rPr>
          <w:noProof/>
        </w:rPr>
        <w:t>which allows Member States to limit the participation exemption to 95%</w:t>
      </w:r>
      <w:r w:rsidR="00105BCA" w:rsidRPr="005A3F47">
        <w:rPr>
          <w:noProof/>
        </w:rPr>
        <w:t xml:space="preserve"> </w:t>
      </w:r>
      <w:r w:rsidR="005D7EBC" w:rsidRPr="005A3F47">
        <w:rPr>
          <w:noProof/>
        </w:rPr>
        <w:t xml:space="preserve">would be limited to </w:t>
      </w:r>
      <w:r w:rsidR="00AE401B" w:rsidRPr="005A3F47">
        <w:rPr>
          <w:noProof/>
        </w:rPr>
        <w:t>holdings</w:t>
      </w:r>
      <w:r w:rsidR="00116E8E" w:rsidRPr="005A3F47">
        <w:rPr>
          <w:noProof/>
        </w:rPr>
        <w:t xml:space="preserve"> exceeding 10% of the capital. </w:t>
      </w:r>
      <w:r w:rsidR="00BD6225" w:rsidRPr="005A3F47">
        <w:rPr>
          <w:noProof/>
        </w:rPr>
        <w:t xml:space="preserve">The reason for this 10% holding condition is that management costs related to the holding of shares would mostly be incurred in </w:t>
      </w:r>
      <w:r w:rsidR="009156BE" w:rsidRPr="005A3F47">
        <w:rPr>
          <w:noProof/>
        </w:rPr>
        <w:t>cas</w:t>
      </w:r>
      <w:r w:rsidR="00252E91" w:rsidRPr="005A3F47">
        <w:rPr>
          <w:noProof/>
        </w:rPr>
        <w:t>es where</w:t>
      </w:r>
      <w:r w:rsidR="0082348C" w:rsidRPr="005A3F47">
        <w:rPr>
          <w:noProof/>
        </w:rPr>
        <w:t xml:space="preserve"> the</w:t>
      </w:r>
      <w:r w:rsidR="00BD6225" w:rsidRPr="005A3F47">
        <w:rPr>
          <w:noProof/>
        </w:rPr>
        <w:t xml:space="preserve"> participation </w:t>
      </w:r>
      <w:r w:rsidR="0082348C" w:rsidRPr="005A3F47">
        <w:rPr>
          <w:noProof/>
        </w:rPr>
        <w:t xml:space="preserve">is </w:t>
      </w:r>
      <w:r w:rsidR="00BD6225" w:rsidRPr="005A3F47">
        <w:rPr>
          <w:noProof/>
        </w:rPr>
        <w:t>substantive</w:t>
      </w:r>
      <w:r w:rsidR="0082348C" w:rsidRPr="005A3F47">
        <w:rPr>
          <w:noProof/>
        </w:rPr>
        <w:t xml:space="preserve">, </w:t>
      </w:r>
      <w:r w:rsidR="0020467A" w:rsidRPr="005A3F47">
        <w:rPr>
          <w:noProof/>
        </w:rPr>
        <w:t>not for</w:t>
      </w:r>
      <w:r w:rsidR="00BD6225" w:rsidRPr="005A3F47">
        <w:rPr>
          <w:noProof/>
        </w:rPr>
        <w:t xml:space="preserve"> portfolio investments. </w:t>
      </w:r>
      <w:r w:rsidR="008F039C" w:rsidRPr="005A3F47">
        <w:rPr>
          <w:noProof/>
        </w:rPr>
        <w:t xml:space="preserve">It follows that the participation exemption </w:t>
      </w:r>
      <w:r w:rsidR="005C167E" w:rsidRPr="005A3F47">
        <w:rPr>
          <w:noProof/>
        </w:rPr>
        <w:t xml:space="preserve">would be full (100%) </w:t>
      </w:r>
      <w:r w:rsidR="00F94EE5" w:rsidRPr="005A3F47">
        <w:rPr>
          <w:noProof/>
        </w:rPr>
        <w:t xml:space="preserve">for </w:t>
      </w:r>
      <w:r w:rsidR="00AE401B" w:rsidRPr="005A3F47">
        <w:rPr>
          <w:noProof/>
        </w:rPr>
        <w:t>holdings</w:t>
      </w:r>
      <w:r w:rsidR="00F94EE5" w:rsidRPr="005A3F47">
        <w:rPr>
          <w:noProof/>
        </w:rPr>
        <w:t xml:space="preserve"> below 10%.</w:t>
      </w:r>
    </w:p>
    <w:p w14:paraId="51DEF4EC" w14:textId="29A50458" w:rsidR="00EF710F" w:rsidRPr="005A3F47" w:rsidRDefault="00EF710F" w:rsidP="00F565CF">
      <w:pPr>
        <w:rPr>
          <w:noProof/>
        </w:rPr>
      </w:pPr>
      <w:r w:rsidRPr="005A3F47">
        <w:rPr>
          <w:noProof/>
        </w:rPr>
        <w:t xml:space="preserve">All in all, this option would </w:t>
      </w:r>
      <w:r w:rsidR="00105C33" w:rsidRPr="005A3F47">
        <w:rPr>
          <w:noProof/>
        </w:rPr>
        <w:t>provide for</w:t>
      </w:r>
      <w:r w:rsidR="00446422" w:rsidRPr="005A3F47">
        <w:rPr>
          <w:noProof/>
        </w:rPr>
        <w:t xml:space="preserve"> a more facile</w:t>
      </w:r>
      <w:r w:rsidRPr="005A3F47">
        <w:rPr>
          <w:noProof/>
        </w:rPr>
        <w:t xml:space="preserve"> </w:t>
      </w:r>
      <w:r w:rsidR="00855ACA" w:rsidRPr="005A3F47">
        <w:rPr>
          <w:noProof/>
        </w:rPr>
        <w:t>treatment of interest, royalties and dividends in the internal market</w:t>
      </w:r>
      <w:r w:rsidR="00446422" w:rsidRPr="005A3F47">
        <w:rPr>
          <w:noProof/>
        </w:rPr>
        <w:t xml:space="preserve">, supporting </w:t>
      </w:r>
      <w:r w:rsidR="00105C33" w:rsidRPr="005A3F47">
        <w:rPr>
          <w:noProof/>
        </w:rPr>
        <w:t xml:space="preserve">investment and </w:t>
      </w:r>
      <w:r w:rsidR="005D6E23" w:rsidRPr="005A3F47">
        <w:rPr>
          <w:noProof/>
        </w:rPr>
        <w:t>helping</w:t>
      </w:r>
      <w:r w:rsidR="003061BB" w:rsidRPr="005A3F47">
        <w:rPr>
          <w:noProof/>
        </w:rPr>
        <w:t xml:space="preserve"> </w:t>
      </w:r>
      <w:r w:rsidR="000A7DB2" w:rsidRPr="005A3F47">
        <w:rPr>
          <w:noProof/>
        </w:rPr>
        <w:t>advance</w:t>
      </w:r>
      <w:r w:rsidR="003061BB" w:rsidRPr="005A3F47">
        <w:rPr>
          <w:noProof/>
        </w:rPr>
        <w:t xml:space="preserve"> </w:t>
      </w:r>
      <w:r w:rsidR="0024656C" w:rsidRPr="005A3F47">
        <w:rPr>
          <w:noProof/>
        </w:rPr>
        <w:t xml:space="preserve">key </w:t>
      </w:r>
      <w:r w:rsidR="00105C33" w:rsidRPr="005A3F47">
        <w:rPr>
          <w:noProof/>
        </w:rPr>
        <w:t>objectives of the Savings and Investment Union</w:t>
      </w:r>
      <w:r w:rsidR="009A116B" w:rsidRPr="005A3F47">
        <w:rPr>
          <w:noProof/>
        </w:rPr>
        <w:t>.</w:t>
      </w:r>
      <w:r w:rsidR="00105C33" w:rsidRPr="005A3F47">
        <w:rPr>
          <w:rStyle w:val="FootnoteReference"/>
          <w:noProof/>
        </w:rPr>
        <w:footnoteReference w:id="73"/>
      </w:r>
      <w:r w:rsidR="00446422" w:rsidRPr="005A3F47">
        <w:rPr>
          <w:noProof/>
        </w:rPr>
        <w:t xml:space="preserve"> </w:t>
      </w:r>
    </w:p>
    <w:p w14:paraId="01F46FBD" w14:textId="2364076C" w:rsidR="00CC36D3" w:rsidRPr="005A3F47" w:rsidRDefault="00AE1C73" w:rsidP="00431143">
      <w:pPr>
        <w:pStyle w:val="Heading4"/>
        <w:numPr>
          <w:ilvl w:val="3"/>
          <w:numId w:val="185"/>
        </w:numPr>
        <w:rPr>
          <w:noProof/>
        </w:rPr>
      </w:pPr>
      <w:r w:rsidRPr="005A3F47">
        <w:rPr>
          <w:noProof/>
        </w:rPr>
        <w:t xml:space="preserve"> </w:t>
      </w:r>
      <w:r w:rsidR="00EE48B8" w:rsidRPr="005A3F47">
        <w:rPr>
          <w:noProof/>
        </w:rPr>
        <w:t xml:space="preserve">Option </w:t>
      </w:r>
      <w:r w:rsidR="00DF57FD" w:rsidRPr="005A3F47">
        <w:rPr>
          <w:noProof/>
        </w:rPr>
        <w:t>1</w:t>
      </w:r>
      <w:r w:rsidR="00F879C2" w:rsidRPr="005A3F47">
        <w:rPr>
          <w:noProof/>
        </w:rPr>
        <w:t>B</w:t>
      </w:r>
      <w:r w:rsidR="00EE48B8" w:rsidRPr="005A3F47">
        <w:rPr>
          <w:noProof/>
        </w:rPr>
        <w:t xml:space="preserve">: </w:t>
      </w:r>
      <w:r w:rsidR="00A96A47" w:rsidRPr="005A3F47">
        <w:rPr>
          <w:noProof/>
        </w:rPr>
        <w:t>A</w:t>
      </w:r>
      <w:r w:rsidR="00C246F2" w:rsidRPr="005A3F47">
        <w:rPr>
          <w:noProof/>
        </w:rPr>
        <w:t>lignment of</w:t>
      </w:r>
      <w:r w:rsidR="00501319" w:rsidRPr="005A3F47">
        <w:rPr>
          <w:noProof/>
        </w:rPr>
        <w:t xml:space="preserve"> scope and</w:t>
      </w:r>
      <w:r w:rsidR="00C246F2" w:rsidRPr="005A3F47">
        <w:rPr>
          <w:noProof/>
        </w:rPr>
        <w:t xml:space="preserve"> procedures</w:t>
      </w:r>
    </w:p>
    <w:p w14:paraId="6B961AA0" w14:textId="0C563F21" w:rsidR="0084074C" w:rsidRPr="005A3F47" w:rsidRDefault="6D28114C" w:rsidP="00236989">
      <w:pPr>
        <w:rPr>
          <w:noProof/>
        </w:rPr>
      </w:pPr>
      <w:r w:rsidRPr="005A3F47">
        <w:rPr>
          <w:noProof/>
        </w:rPr>
        <w:t xml:space="preserve">Under </w:t>
      </w:r>
      <w:r w:rsidR="000B1305" w:rsidRPr="005A3F47">
        <w:rPr>
          <w:noProof/>
        </w:rPr>
        <w:t xml:space="preserve">Option </w:t>
      </w:r>
      <w:r w:rsidR="10E13A59" w:rsidRPr="005A3F47">
        <w:rPr>
          <w:noProof/>
        </w:rPr>
        <w:t>1B</w:t>
      </w:r>
      <w:r w:rsidR="00855C86" w:rsidRPr="005A3F47">
        <w:rPr>
          <w:noProof/>
        </w:rPr>
        <w:t>,</w:t>
      </w:r>
      <w:r w:rsidR="003E331F" w:rsidRPr="005A3F47">
        <w:rPr>
          <w:noProof/>
        </w:rPr>
        <w:t xml:space="preserve"> the corporate tax directives would maintain </w:t>
      </w:r>
      <w:r w:rsidR="001E79F2" w:rsidRPr="005A3F47">
        <w:rPr>
          <w:noProof/>
        </w:rPr>
        <w:t xml:space="preserve">minimum holding requirements for the benefit of withholding tax exemptions. However, </w:t>
      </w:r>
      <w:r w:rsidR="00143E45" w:rsidRPr="005A3F47">
        <w:rPr>
          <w:noProof/>
        </w:rPr>
        <w:t>to improve consistency</w:t>
      </w:r>
      <w:r w:rsidR="001E79F2" w:rsidRPr="005A3F47">
        <w:rPr>
          <w:noProof/>
        </w:rPr>
        <w:t xml:space="preserve">, </w:t>
      </w:r>
      <w:r w:rsidR="006A1AD1" w:rsidRPr="005A3F47">
        <w:rPr>
          <w:noProof/>
        </w:rPr>
        <w:t xml:space="preserve">the </w:t>
      </w:r>
      <w:r w:rsidR="00855C86" w:rsidRPr="005A3F47">
        <w:rPr>
          <w:noProof/>
        </w:rPr>
        <w:t xml:space="preserve">holding requirement </w:t>
      </w:r>
      <w:r w:rsidR="00600939" w:rsidRPr="005A3F47">
        <w:rPr>
          <w:noProof/>
        </w:rPr>
        <w:t xml:space="preserve">of the IRD </w:t>
      </w:r>
      <w:r w:rsidR="36F1707C" w:rsidRPr="005A3F47">
        <w:rPr>
          <w:noProof/>
        </w:rPr>
        <w:t xml:space="preserve">would be aligned </w:t>
      </w:r>
      <w:r w:rsidR="00855C86" w:rsidRPr="005A3F47">
        <w:rPr>
          <w:noProof/>
        </w:rPr>
        <w:t>with that of the</w:t>
      </w:r>
      <w:r w:rsidR="000B1305" w:rsidRPr="005A3F47">
        <w:rPr>
          <w:noProof/>
        </w:rPr>
        <w:t xml:space="preserve"> </w:t>
      </w:r>
      <w:r w:rsidR="00600939" w:rsidRPr="005A3F47">
        <w:rPr>
          <w:noProof/>
        </w:rPr>
        <w:t>PSD</w:t>
      </w:r>
      <w:r w:rsidR="00855C86" w:rsidRPr="005A3F47">
        <w:rPr>
          <w:noProof/>
        </w:rPr>
        <w:t>, i.e., the holding percentages would be adjusted to 10% and the IRD would be extended to include indirect holdings</w:t>
      </w:r>
      <w:r w:rsidR="7F11DE77" w:rsidRPr="005A3F47">
        <w:rPr>
          <w:noProof/>
        </w:rPr>
        <w:t>.</w:t>
      </w:r>
      <w:r w:rsidR="000B1305" w:rsidRPr="005A3F47" w:rsidDel="005D6336">
        <w:rPr>
          <w:noProof/>
        </w:rPr>
        <w:t xml:space="preserve"> </w:t>
      </w:r>
      <w:r w:rsidR="005D6336" w:rsidRPr="005A3F47">
        <w:rPr>
          <w:noProof/>
        </w:rPr>
        <w:t xml:space="preserve">In addition, and similar to Option 1A, the Annexes </w:t>
      </w:r>
      <w:r w:rsidR="00143E45" w:rsidRPr="005A3F47">
        <w:rPr>
          <w:noProof/>
        </w:rPr>
        <w:t>of both directives</w:t>
      </w:r>
      <w:r w:rsidR="005D6336" w:rsidRPr="005A3F47">
        <w:rPr>
          <w:noProof/>
        </w:rPr>
        <w:t xml:space="preserve"> listing eligible companies would be updated </w:t>
      </w:r>
      <w:r w:rsidR="00894394" w:rsidRPr="005A3F47">
        <w:rPr>
          <w:noProof/>
        </w:rPr>
        <w:t>and aligned</w:t>
      </w:r>
      <w:r w:rsidR="000B1305" w:rsidRPr="005A3F47">
        <w:rPr>
          <w:noProof/>
        </w:rPr>
        <w:t>.</w:t>
      </w:r>
      <w:r w:rsidR="006F3919" w:rsidRPr="005A3F47">
        <w:rPr>
          <w:noProof/>
        </w:rPr>
        <w:t xml:space="preserve"> </w:t>
      </w:r>
      <w:r w:rsidR="00087450" w:rsidRPr="005A3F47">
        <w:rPr>
          <w:noProof/>
        </w:rPr>
        <w:t>In this</w:t>
      </w:r>
      <w:r w:rsidR="00D97485" w:rsidRPr="005A3F47">
        <w:rPr>
          <w:noProof/>
        </w:rPr>
        <w:t xml:space="preserve"> way, corporate tax directives would have a common and consistent approach to companies that can benefit from </w:t>
      </w:r>
      <w:r w:rsidR="00CF347E" w:rsidRPr="005A3F47">
        <w:rPr>
          <w:noProof/>
        </w:rPr>
        <w:t xml:space="preserve">the </w:t>
      </w:r>
      <w:r w:rsidR="00D97485" w:rsidRPr="005A3F47">
        <w:rPr>
          <w:noProof/>
        </w:rPr>
        <w:t xml:space="preserve">withholding tax exemption. </w:t>
      </w:r>
    </w:p>
    <w:p w14:paraId="3146FFC5" w14:textId="3781E1DB" w:rsidR="002E0494" w:rsidRPr="005A3F47" w:rsidRDefault="002E0494" w:rsidP="000B1305">
      <w:pPr>
        <w:rPr>
          <w:noProof/>
        </w:rPr>
      </w:pPr>
      <w:r w:rsidRPr="005A3F47">
        <w:rPr>
          <w:noProof/>
        </w:rPr>
        <w:t>Similarly</w:t>
      </w:r>
      <w:r w:rsidR="00AD4744" w:rsidRPr="005A3F47">
        <w:rPr>
          <w:noProof/>
        </w:rPr>
        <w:t xml:space="preserve"> to</w:t>
      </w:r>
      <w:r w:rsidR="00FB6E31" w:rsidRPr="005A3F47">
        <w:rPr>
          <w:noProof/>
        </w:rPr>
        <w:t xml:space="preserve"> Option 1A,</w:t>
      </w:r>
      <w:r w:rsidR="0084074C" w:rsidRPr="005A3F47">
        <w:rPr>
          <w:noProof/>
        </w:rPr>
        <w:t xml:space="preserve"> the </w:t>
      </w:r>
      <w:r w:rsidR="003E331F" w:rsidRPr="005A3F47">
        <w:rPr>
          <w:noProof/>
        </w:rPr>
        <w:t>procedural rule</w:t>
      </w:r>
      <w:r w:rsidR="000B1305" w:rsidRPr="005A3F47">
        <w:rPr>
          <w:noProof/>
        </w:rPr>
        <w:t>s</w:t>
      </w:r>
      <w:r w:rsidR="0043084D" w:rsidRPr="005A3F47">
        <w:rPr>
          <w:noProof/>
        </w:rPr>
        <w:t xml:space="preserve"> for obtaining the tax exemption under the IRD and PSD</w:t>
      </w:r>
      <w:r w:rsidR="00D44BD2" w:rsidRPr="005A3F47">
        <w:rPr>
          <w:noProof/>
        </w:rPr>
        <w:t xml:space="preserve"> </w:t>
      </w:r>
      <w:r w:rsidR="009E171F" w:rsidRPr="005A3F47">
        <w:rPr>
          <w:noProof/>
        </w:rPr>
        <w:t>would</w:t>
      </w:r>
      <w:r w:rsidR="00D44BD2" w:rsidRPr="005A3F47">
        <w:rPr>
          <w:noProof/>
        </w:rPr>
        <w:t xml:space="preserve"> be adjusted</w:t>
      </w:r>
      <w:r w:rsidR="0012402C" w:rsidRPr="005A3F47">
        <w:rPr>
          <w:noProof/>
        </w:rPr>
        <w:t xml:space="preserve"> </w:t>
      </w:r>
      <w:r w:rsidR="543165D3" w:rsidRPr="005A3F47">
        <w:rPr>
          <w:noProof/>
        </w:rPr>
        <w:t>to ensure that Member States do not impose any upfront procedures as a condition for accessing the exemption from withholding taxes</w:t>
      </w:r>
      <w:r w:rsidR="00B81AC3" w:rsidRPr="005A3F47">
        <w:rPr>
          <w:noProof/>
        </w:rPr>
        <w:t>. Here again,</w:t>
      </w:r>
      <w:r w:rsidR="009E2E3F" w:rsidRPr="005A3F47">
        <w:rPr>
          <w:noProof/>
        </w:rPr>
        <w:t xml:space="preserve"> the taxpayers </w:t>
      </w:r>
      <w:r w:rsidR="00B81AC3" w:rsidRPr="005A3F47">
        <w:rPr>
          <w:noProof/>
        </w:rPr>
        <w:t xml:space="preserve">would </w:t>
      </w:r>
      <w:r w:rsidR="009E2E3F" w:rsidRPr="005A3F47">
        <w:rPr>
          <w:noProof/>
        </w:rPr>
        <w:t>self-</w:t>
      </w:r>
      <w:r w:rsidR="002B2008" w:rsidRPr="005A3F47">
        <w:rPr>
          <w:noProof/>
        </w:rPr>
        <w:t>assess</w:t>
      </w:r>
      <w:r w:rsidR="009E2E3F" w:rsidRPr="005A3F47">
        <w:rPr>
          <w:noProof/>
        </w:rPr>
        <w:t xml:space="preserve"> that it is within the scope and meets the conditions </w:t>
      </w:r>
      <w:r w:rsidR="002B2008" w:rsidRPr="005A3F47">
        <w:rPr>
          <w:noProof/>
        </w:rPr>
        <w:t>of the PSD and IRD</w:t>
      </w:r>
      <w:r w:rsidR="00B81AC3" w:rsidRPr="005A3F47">
        <w:rPr>
          <w:noProof/>
        </w:rPr>
        <w:t xml:space="preserve"> and </w:t>
      </w:r>
      <w:r w:rsidR="002B2008" w:rsidRPr="005A3F47">
        <w:rPr>
          <w:noProof/>
        </w:rPr>
        <w:t>would apply</w:t>
      </w:r>
      <w:r w:rsidR="009E2E3F" w:rsidRPr="005A3F47">
        <w:rPr>
          <w:noProof/>
        </w:rPr>
        <w:t xml:space="preserve"> the exemption</w:t>
      </w:r>
      <w:r w:rsidR="002B2008" w:rsidRPr="005A3F47">
        <w:rPr>
          <w:noProof/>
        </w:rPr>
        <w:t xml:space="preserve"> directly, as the case may be.</w:t>
      </w:r>
      <w:r w:rsidR="009E2E3F" w:rsidRPr="005A3F47">
        <w:rPr>
          <w:noProof/>
        </w:rPr>
        <w:t xml:space="preserve"> </w:t>
      </w:r>
      <w:r w:rsidR="00361EB6" w:rsidRPr="005A3F47">
        <w:rPr>
          <w:noProof/>
        </w:rPr>
        <w:t>U</w:t>
      </w:r>
      <w:r w:rsidR="007B0FB3" w:rsidRPr="005A3F47">
        <w:rPr>
          <w:noProof/>
        </w:rPr>
        <w:t xml:space="preserve">nder this option, </w:t>
      </w:r>
      <w:r w:rsidR="00361EB6" w:rsidRPr="005A3F47">
        <w:rPr>
          <w:noProof/>
        </w:rPr>
        <w:t>however</w:t>
      </w:r>
      <w:r w:rsidR="007B0FB3" w:rsidRPr="005A3F47">
        <w:rPr>
          <w:noProof/>
        </w:rPr>
        <w:t xml:space="preserve">, </w:t>
      </w:r>
      <w:r w:rsidR="00F82B75" w:rsidRPr="005A3F47">
        <w:rPr>
          <w:noProof/>
        </w:rPr>
        <w:t>the FASTER Directive would no</w:t>
      </w:r>
      <w:r w:rsidR="00E044C3" w:rsidRPr="005A3F47">
        <w:rPr>
          <w:noProof/>
        </w:rPr>
        <w:t>t</w:t>
      </w:r>
      <w:r w:rsidR="00F82B75" w:rsidRPr="005A3F47">
        <w:rPr>
          <w:noProof/>
        </w:rPr>
        <w:t xml:space="preserve"> </w:t>
      </w:r>
      <w:r w:rsidR="00834D05" w:rsidRPr="005A3F47">
        <w:rPr>
          <w:noProof/>
        </w:rPr>
        <w:t>be</w:t>
      </w:r>
      <w:r w:rsidR="00F82B75" w:rsidRPr="005A3F47">
        <w:rPr>
          <w:noProof/>
        </w:rPr>
        <w:t xml:space="preserve"> amended</w:t>
      </w:r>
      <w:r w:rsidR="00875401" w:rsidRPr="005A3F47">
        <w:rPr>
          <w:noProof/>
        </w:rPr>
        <w:t xml:space="preserve">, </w:t>
      </w:r>
      <w:r w:rsidR="00C97162" w:rsidRPr="005A3F47">
        <w:rPr>
          <w:noProof/>
        </w:rPr>
        <w:t>since</w:t>
      </w:r>
      <w:r w:rsidR="00875401" w:rsidRPr="005A3F47">
        <w:rPr>
          <w:noProof/>
        </w:rPr>
        <w:t xml:space="preserve"> the withholding tax exemptions </w:t>
      </w:r>
      <w:r w:rsidR="00C97162" w:rsidRPr="005A3F47">
        <w:rPr>
          <w:noProof/>
        </w:rPr>
        <w:t>set out in</w:t>
      </w:r>
      <w:r w:rsidR="00E044C3" w:rsidRPr="005A3F47">
        <w:rPr>
          <w:noProof/>
        </w:rPr>
        <w:t xml:space="preserve"> the IRD and PSD</w:t>
      </w:r>
      <w:r w:rsidR="00875401" w:rsidRPr="005A3F47">
        <w:rPr>
          <w:noProof/>
        </w:rPr>
        <w:t xml:space="preserve"> would not </w:t>
      </w:r>
      <w:r w:rsidR="00C97162" w:rsidRPr="005A3F47">
        <w:rPr>
          <w:noProof/>
        </w:rPr>
        <w:t>extend</w:t>
      </w:r>
      <w:r w:rsidR="00875401" w:rsidRPr="005A3F47">
        <w:rPr>
          <w:noProof/>
        </w:rPr>
        <w:t xml:space="preserve"> to investors holding </w:t>
      </w:r>
      <w:r w:rsidR="005E021E" w:rsidRPr="005A3F47">
        <w:rPr>
          <w:noProof/>
        </w:rPr>
        <w:t xml:space="preserve">less than 5% </w:t>
      </w:r>
      <w:r w:rsidR="00736BDD" w:rsidRPr="005A3F47">
        <w:rPr>
          <w:noProof/>
        </w:rPr>
        <w:t>of</w:t>
      </w:r>
      <w:r w:rsidR="005E021E" w:rsidRPr="005A3F47">
        <w:rPr>
          <w:noProof/>
        </w:rPr>
        <w:t xml:space="preserve"> publicly traded securities. </w:t>
      </w:r>
    </w:p>
    <w:p w14:paraId="4836FB1C" w14:textId="13F858EE" w:rsidR="00852DFD" w:rsidRPr="005A3F47" w:rsidRDefault="00852DFD" w:rsidP="00612878">
      <w:pPr>
        <w:pStyle w:val="Heading3"/>
        <w:numPr>
          <w:ilvl w:val="2"/>
          <w:numId w:val="185"/>
        </w:numPr>
        <w:rPr>
          <w:noProof/>
        </w:rPr>
      </w:pPr>
      <w:bookmarkStart w:id="91" w:name="_Toc226466816"/>
      <w:bookmarkStart w:id="92" w:name="_Toc226467177"/>
      <w:bookmarkStart w:id="93" w:name="_Toc226467277"/>
      <w:bookmarkStart w:id="94" w:name="_Toc226467496"/>
      <w:r w:rsidRPr="005A3F47">
        <w:rPr>
          <w:noProof/>
        </w:rPr>
        <w:t>Taxation of Controlled Foreign Companies</w:t>
      </w:r>
      <w:r w:rsidR="61985128" w:rsidRPr="005A3F47">
        <w:rPr>
          <w:noProof/>
        </w:rPr>
        <w:t xml:space="preserve"> (CFCs)</w:t>
      </w:r>
      <w:bookmarkEnd w:id="91"/>
      <w:bookmarkEnd w:id="92"/>
      <w:bookmarkEnd w:id="93"/>
      <w:bookmarkEnd w:id="94"/>
    </w:p>
    <w:p w14:paraId="65F62BCF" w14:textId="231B5E1D" w:rsidR="008323FD" w:rsidRPr="005A3F47" w:rsidRDefault="008323FD" w:rsidP="008323FD">
      <w:pPr>
        <w:rPr>
          <w:noProof/>
        </w:rPr>
      </w:pPr>
      <w:r w:rsidRPr="005A3F47">
        <w:rPr>
          <w:noProof/>
        </w:rPr>
        <w:t xml:space="preserve">To address the issues related to the application of the CFC rules in the ATAD, </w:t>
      </w:r>
      <w:r w:rsidR="00451FE4" w:rsidRPr="005A3F47">
        <w:rPr>
          <w:noProof/>
        </w:rPr>
        <w:t>which are o</w:t>
      </w:r>
      <w:r w:rsidR="000C1932" w:rsidRPr="005A3F47">
        <w:rPr>
          <w:noProof/>
        </w:rPr>
        <w:t xml:space="preserve">utlined in Section </w:t>
      </w:r>
      <w:r w:rsidR="004F375D" w:rsidRPr="005A3F47">
        <w:rPr>
          <w:noProof/>
        </w:rPr>
        <w:fldChar w:fldCharType="begin"/>
      </w:r>
      <w:r w:rsidR="004F375D" w:rsidRPr="005A3F47">
        <w:rPr>
          <w:noProof/>
        </w:rPr>
        <w:instrText xml:space="preserve"> REF _Ref226463057 \r \h </w:instrText>
      </w:r>
      <w:r w:rsidR="005A3F47">
        <w:rPr>
          <w:noProof/>
        </w:rPr>
        <w:instrText xml:space="preserve"> \* MERGEFORMAT </w:instrText>
      </w:r>
      <w:r w:rsidR="004F375D" w:rsidRPr="005A3F47">
        <w:rPr>
          <w:noProof/>
        </w:rPr>
      </w:r>
      <w:r w:rsidR="004F375D" w:rsidRPr="005A3F47">
        <w:rPr>
          <w:noProof/>
        </w:rPr>
        <w:fldChar w:fldCharType="separate"/>
      </w:r>
      <w:r w:rsidR="00CF3380">
        <w:rPr>
          <w:noProof/>
        </w:rPr>
        <w:t>5.1</w:t>
      </w:r>
      <w:r w:rsidR="004F375D" w:rsidRPr="005A3F47">
        <w:rPr>
          <w:noProof/>
        </w:rPr>
        <w:fldChar w:fldCharType="end"/>
      </w:r>
      <w:r w:rsidRPr="005A3F47">
        <w:rPr>
          <w:noProof/>
        </w:rPr>
        <w:t xml:space="preserve">, </w:t>
      </w:r>
      <w:r w:rsidR="00E80A6E" w:rsidRPr="005A3F47">
        <w:rPr>
          <w:noProof/>
        </w:rPr>
        <w:t xml:space="preserve">several options </w:t>
      </w:r>
      <w:r w:rsidR="004B2A54" w:rsidRPr="005A3F47">
        <w:rPr>
          <w:noProof/>
        </w:rPr>
        <w:t xml:space="preserve">could </w:t>
      </w:r>
      <w:r w:rsidR="00E80A6E" w:rsidRPr="005A3F47">
        <w:rPr>
          <w:noProof/>
        </w:rPr>
        <w:t>be considered.</w:t>
      </w:r>
      <w:r w:rsidRPr="005A3F47">
        <w:rPr>
          <w:noProof/>
        </w:rPr>
        <w:t xml:space="preserve"> </w:t>
      </w:r>
    </w:p>
    <w:p w14:paraId="22A4B67C" w14:textId="353F6DD8" w:rsidR="00CD62EE" w:rsidRPr="005A3F47" w:rsidRDefault="00CD62EE" w:rsidP="00FA5980">
      <w:pPr>
        <w:pStyle w:val="Caption"/>
        <w:keepNext/>
        <w:rPr>
          <w:noProof/>
          <w:color w:val="000000" w:themeColor="text1"/>
        </w:rPr>
      </w:pPr>
      <w:r w:rsidRPr="005A3F47">
        <w:rPr>
          <w:noProof/>
          <w:color w:val="000000" w:themeColor="text1"/>
        </w:rPr>
        <w:t xml:space="preserve">Figure </w:t>
      </w:r>
      <w:r w:rsidRPr="005A3F47">
        <w:rPr>
          <w:noProof/>
          <w:color w:val="000000" w:themeColor="text1"/>
        </w:rPr>
        <w:fldChar w:fldCharType="begin"/>
      </w:r>
      <w:r w:rsidRPr="005A3F47">
        <w:rPr>
          <w:noProof/>
          <w:color w:val="000000" w:themeColor="text1"/>
        </w:rPr>
        <w:instrText xml:space="preserve"> SEQ Figure \* ARABIC </w:instrText>
      </w:r>
      <w:r w:rsidRPr="005A3F47">
        <w:rPr>
          <w:noProof/>
          <w:color w:val="000000" w:themeColor="text1"/>
        </w:rPr>
        <w:fldChar w:fldCharType="separate"/>
      </w:r>
      <w:r w:rsidR="00CF3380">
        <w:rPr>
          <w:noProof/>
          <w:color w:val="000000" w:themeColor="text1"/>
        </w:rPr>
        <w:t>4</w:t>
      </w:r>
      <w:r w:rsidRPr="005A3F47">
        <w:rPr>
          <w:noProof/>
          <w:color w:val="000000" w:themeColor="text1"/>
        </w:rPr>
        <w:fldChar w:fldCharType="end"/>
      </w:r>
      <w:r w:rsidRPr="005A3F47">
        <w:rPr>
          <w:noProof/>
          <w:color w:val="000000" w:themeColor="text1"/>
        </w:rPr>
        <w:t>: Simplification options for CFC rules in ATAD</w:t>
      </w:r>
    </w:p>
    <w:p w14:paraId="528EB11B" w14:textId="3D255DDD" w:rsidR="00904CE2" w:rsidRPr="005A3F47" w:rsidRDefault="004F6AC5" w:rsidP="00FA5980">
      <w:pPr>
        <w:rPr>
          <w:noProof/>
        </w:rPr>
      </w:pPr>
      <w:r w:rsidRPr="005A3F47">
        <w:rPr>
          <w:noProof/>
          <w:lang w:eastAsia="en-GB"/>
        </w:rPr>
        <w:drawing>
          <wp:inline distT="0" distB="0" distL="0" distR="0" wp14:anchorId="224759F2" wp14:editId="14EE1F01">
            <wp:extent cx="6092659" cy="1570007"/>
            <wp:effectExtent l="0" t="0" r="0" b="0"/>
            <wp:docPr id="132847635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76350" name="Picture 1" descr="A screenshot of a computer&#10;&#10;AI-generated content may be incorrect."/>
                    <pic:cNvPicPr/>
                  </pic:nvPicPr>
                  <pic:blipFill>
                    <a:blip r:embed="rId23"/>
                    <a:stretch>
                      <a:fillRect/>
                    </a:stretch>
                  </pic:blipFill>
                  <pic:spPr>
                    <a:xfrm>
                      <a:off x="0" y="0"/>
                      <a:ext cx="6191968" cy="1595598"/>
                    </a:xfrm>
                    <a:prstGeom prst="rect">
                      <a:avLst/>
                    </a:prstGeom>
                  </pic:spPr>
                </pic:pic>
              </a:graphicData>
            </a:graphic>
          </wp:inline>
        </w:drawing>
      </w:r>
    </w:p>
    <w:p w14:paraId="2E6FD04F" w14:textId="08B404E3" w:rsidR="003C1A93" w:rsidRPr="005A3F47" w:rsidRDefault="00776054" w:rsidP="00522920">
      <w:pPr>
        <w:pStyle w:val="Heading4"/>
        <w:numPr>
          <w:ilvl w:val="3"/>
          <w:numId w:val="185"/>
        </w:numPr>
        <w:rPr>
          <w:noProof/>
        </w:rPr>
      </w:pPr>
      <w:r w:rsidRPr="005A3F47">
        <w:rPr>
          <w:noProof/>
        </w:rPr>
        <w:t xml:space="preserve"> </w:t>
      </w:r>
      <w:bookmarkStart w:id="95" w:name="_Ref226463565"/>
      <w:r w:rsidR="00347FE9" w:rsidRPr="005A3F47">
        <w:rPr>
          <w:noProof/>
        </w:rPr>
        <w:t>Option 1: Reduce implementation options</w:t>
      </w:r>
      <w:bookmarkEnd w:id="95"/>
    </w:p>
    <w:p w14:paraId="6E861E03" w14:textId="3E10F0BC" w:rsidR="00EB684F" w:rsidRPr="005A3F47" w:rsidRDefault="00EB684F" w:rsidP="00EB684F">
      <w:pPr>
        <w:rPr>
          <w:noProof/>
        </w:rPr>
      </w:pPr>
      <w:r w:rsidRPr="005A3F47">
        <w:rPr>
          <w:noProof/>
        </w:rPr>
        <w:t xml:space="preserve">In the transposition of the CFC rules in the ATAD, Member States can choose between Models A </w:t>
      </w:r>
      <w:r w:rsidR="00BD4E30" w:rsidRPr="005A3F47">
        <w:rPr>
          <w:noProof/>
        </w:rPr>
        <w:t>or</w:t>
      </w:r>
      <w:r w:rsidRPr="005A3F47">
        <w:rPr>
          <w:noProof/>
        </w:rPr>
        <w:t xml:space="preserve"> B</w:t>
      </w:r>
      <w:r w:rsidR="00BD4E30" w:rsidRPr="005A3F47">
        <w:rPr>
          <w:noProof/>
        </w:rPr>
        <w:t xml:space="preserve">, or a combination of </w:t>
      </w:r>
      <w:r w:rsidR="00F550CB" w:rsidRPr="005A3F47">
        <w:rPr>
          <w:noProof/>
        </w:rPr>
        <w:t xml:space="preserve">Models </w:t>
      </w:r>
      <w:r w:rsidR="00BD4E30" w:rsidRPr="005A3F47">
        <w:rPr>
          <w:noProof/>
        </w:rPr>
        <w:t xml:space="preserve">A and B, </w:t>
      </w:r>
      <w:r w:rsidRPr="005A3F47">
        <w:rPr>
          <w:noProof/>
        </w:rPr>
        <w:t xml:space="preserve">to determine </w:t>
      </w:r>
      <w:r w:rsidR="00BD4E30" w:rsidRPr="005A3F47">
        <w:rPr>
          <w:noProof/>
        </w:rPr>
        <w:t>what</w:t>
      </w:r>
      <w:r w:rsidRPr="005A3F47">
        <w:rPr>
          <w:noProof/>
        </w:rPr>
        <w:t xml:space="preserve"> type of low-taxed CFC income should be attributed to the parent company. </w:t>
      </w:r>
    </w:p>
    <w:p w14:paraId="2AE49CF4" w14:textId="7DB182D3" w:rsidR="00821D75" w:rsidRPr="005A3F47" w:rsidRDefault="00EB684F" w:rsidP="00821D75">
      <w:pPr>
        <w:rPr>
          <w:noProof/>
        </w:rPr>
      </w:pPr>
      <w:r w:rsidRPr="005A3F47">
        <w:rPr>
          <w:noProof/>
        </w:rPr>
        <w:t>Overall, Model A is generally more stringent and seen as providing greater legal certainty, while Model B is criticised by civil society organisations for being easier to circumvent, less legally certain and more complex. In addition, Model B</w:t>
      </w:r>
      <w:r w:rsidR="002059CA" w:rsidRPr="005A3F47">
        <w:rPr>
          <w:noProof/>
        </w:rPr>
        <w:t>,</w:t>
      </w:r>
      <w:r w:rsidRPr="005A3F47">
        <w:rPr>
          <w:noProof/>
        </w:rPr>
        <w:t xml:space="preserve"> b</w:t>
      </w:r>
      <w:r w:rsidR="45ABDD93" w:rsidRPr="005A3F47">
        <w:rPr>
          <w:noProof/>
        </w:rPr>
        <w:t xml:space="preserve">y </w:t>
      </w:r>
      <w:r w:rsidR="002059CA" w:rsidRPr="005A3F47">
        <w:rPr>
          <w:noProof/>
        </w:rPr>
        <w:t xml:space="preserve">and </w:t>
      </w:r>
      <w:r w:rsidR="45ABDD93" w:rsidRPr="005A3F47">
        <w:rPr>
          <w:noProof/>
        </w:rPr>
        <w:t>large</w:t>
      </w:r>
      <w:r w:rsidR="002059CA" w:rsidRPr="005A3F47">
        <w:rPr>
          <w:noProof/>
        </w:rPr>
        <w:t>,</w:t>
      </w:r>
      <w:r w:rsidR="00FA5980" w:rsidRPr="005A3F47">
        <w:rPr>
          <w:noProof/>
        </w:rPr>
        <w:t xml:space="preserve"> </w:t>
      </w:r>
      <w:r w:rsidR="002059CA" w:rsidRPr="005A3F47">
        <w:rPr>
          <w:noProof/>
        </w:rPr>
        <w:t>b</w:t>
      </w:r>
      <w:r w:rsidRPr="005A3F47">
        <w:rPr>
          <w:noProof/>
        </w:rPr>
        <w:t>asicall</w:t>
      </w:r>
      <w:r w:rsidR="002059CA" w:rsidRPr="005A3F47">
        <w:rPr>
          <w:noProof/>
        </w:rPr>
        <w:t>y</w:t>
      </w:r>
      <w:r w:rsidRPr="005A3F47">
        <w:rPr>
          <w:noProof/>
        </w:rPr>
        <w:t xml:space="preserve"> applies transfer pricing adjustments. It therefore has little added value, considering that Member States already apply transfer pricing</w:t>
      </w:r>
      <w:r w:rsidR="001E756A" w:rsidRPr="005A3F47">
        <w:rPr>
          <w:noProof/>
        </w:rPr>
        <w:t>,</w:t>
      </w:r>
      <w:r w:rsidR="00F80BF9" w:rsidRPr="005A3F47">
        <w:rPr>
          <w:noProof/>
        </w:rPr>
        <w:t xml:space="preserve"> </w:t>
      </w:r>
      <w:r w:rsidRPr="005A3F47">
        <w:rPr>
          <w:noProof/>
        </w:rPr>
        <w:t xml:space="preserve">and </w:t>
      </w:r>
      <w:r w:rsidR="00812A38" w:rsidRPr="005A3F47">
        <w:rPr>
          <w:noProof/>
        </w:rPr>
        <w:t>it</w:t>
      </w:r>
      <w:r w:rsidR="3892E192" w:rsidRPr="005A3F47">
        <w:rPr>
          <w:noProof/>
        </w:rPr>
        <w:t>s effectiveness</w:t>
      </w:r>
      <w:r w:rsidRPr="005A3F47">
        <w:rPr>
          <w:noProof/>
        </w:rPr>
        <w:t xml:space="preserve"> is highly dependent on the features of the (diverging) national transfer pricing norms and practices of application.</w:t>
      </w:r>
      <w:r w:rsidR="0071716B" w:rsidRPr="005A3F47">
        <w:rPr>
          <w:noProof/>
        </w:rPr>
        <w:t xml:space="preserve"> </w:t>
      </w:r>
      <w:r w:rsidR="00F80BF9" w:rsidRPr="005A3F47">
        <w:rPr>
          <w:noProof/>
        </w:rPr>
        <w:t>This was observed in Belgium which</w:t>
      </w:r>
      <w:r w:rsidR="00C27B59" w:rsidRPr="005A3F47">
        <w:rPr>
          <w:noProof/>
        </w:rPr>
        <w:t xml:space="preserve"> had</w:t>
      </w:r>
      <w:r w:rsidR="00F80BF9" w:rsidRPr="005A3F47">
        <w:rPr>
          <w:noProof/>
        </w:rPr>
        <w:t xml:space="preserve"> implemented Model B in 2017</w:t>
      </w:r>
      <w:r w:rsidR="000F51EC" w:rsidRPr="005A3F47">
        <w:rPr>
          <w:noProof/>
        </w:rPr>
        <w:t xml:space="preserve"> but found it inefficient</w:t>
      </w:r>
      <w:r w:rsidR="00F80BF9" w:rsidRPr="005A3F47">
        <w:rPr>
          <w:noProof/>
        </w:rPr>
        <w:t xml:space="preserve"> </w:t>
      </w:r>
      <w:r w:rsidR="00F957E3" w:rsidRPr="005A3F47">
        <w:rPr>
          <w:noProof/>
        </w:rPr>
        <w:t>as it did not add much to the transfer pricing rules. Belgium</w:t>
      </w:r>
      <w:r w:rsidR="001E756A" w:rsidRPr="005A3F47">
        <w:rPr>
          <w:noProof/>
        </w:rPr>
        <w:t xml:space="preserve"> then</w:t>
      </w:r>
      <w:r w:rsidR="00F957E3" w:rsidRPr="005A3F47">
        <w:rPr>
          <w:noProof/>
        </w:rPr>
        <w:t xml:space="preserve"> </w:t>
      </w:r>
      <w:r w:rsidR="00F80BF9" w:rsidRPr="005A3F47">
        <w:rPr>
          <w:noProof/>
        </w:rPr>
        <w:t xml:space="preserve">switched </w:t>
      </w:r>
      <w:r w:rsidR="006D68FA" w:rsidRPr="005A3F47">
        <w:rPr>
          <w:noProof/>
        </w:rPr>
        <w:t>over to Model A in 2019</w:t>
      </w:r>
      <w:r w:rsidR="0071716B" w:rsidRPr="005A3F47">
        <w:rPr>
          <w:noProof/>
        </w:rPr>
        <w:t>.</w:t>
      </w:r>
      <w:r w:rsidR="005A3357" w:rsidRPr="005A3F47">
        <w:rPr>
          <w:rStyle w:val="FootnoteReference"/>
          <w:noProof/>
        </w:rPr>
        <w:footnoteReference w:id="74"/>
      </w:r>
    </w:p>
    <w:p w14:paraId="35D2B7AB" w14:textId="3CA90870" w:rsidR="00845432" w:rsidRPr="005A3F47" w:rsidRDefault="00D45BDB" w:rsidP="00EB684F">
      <w:pPr>
        <w:rPr>
          <w:noProof/>
        </w:rPr>
      </w:pPr>
      <w:r w:rsidRPr="005A3F47">
        <w:rPr>
          <w:noProof/>
        </w:rPr>
        <w:t xml:space="preserve">On this basis, Option </w:t>
      </w:r>
      <w:r w:rsidR="0058027C" w:rsidRPr="005A3F47">
        <w:rPr>
          <w:noProof/>
        </w:rPr>
        <w:t xml:space="preserve">1 </w:t>
      </w:r>
      <w:r w:rsidRPr="005A3F47">
        <w:rPr>
          <w:noProof/>
        </w:rPr>
        <w:t xml:space="preserve">entails </w:t>
      </w:r>
      <w:r w:rsidR="006F6EC6" w:rsidRPr="005A3F47">
        <w:rPr>
          <w:noProof/>
        </w:rPr>
        <w:t xml:space="preserve">making </w:t>
      </w:r>
      <w:r w:rsidR="00F21B09" w:rsidRPr="005A3F47">
        <w:rPr>
          <w:noProof/>
        </w:rPr>
        <w:t xml:space="preserve">CFC rules based on </w:t>
      </w:r>
      <w:r w:rsidR="00127003" w:rsidRPr="005A3F47">
        <w:rPr>
          <w:noProof/>
        </w:rPr>
        <w:t>Model A mandatory</w:t>
      </w:r>
      <w:r w:rsidR="00F21B09" w:rsidRPr="005A3F47">
        <w:rPr>
          <w:noProof/>
        </w:rPr>
        <w:t xml:space="preserve">, </w:t>
      </w:r>
      <w:r w:rsidR="0080157C" w:rsidRPr="005A3F47">
        <w:rPr>
          <w:noProof/>
        </w:rPr>
        <w:t xml:space="preserve">meaning </w:t>
      </w:r>
      <w:r w:rsidR="65EA1168" w:rsidRPr="005A3F47">
        <w:rPr>
          <w:noProof/>
        </w:rPr>
        <w:t xml:space="preserve">Member States </w:t>
      </w:r>
      <w:r w:rsidR="00F21B09" w:rsidRPr="005A3F47">
        <w:rPr>
          <w:noProof/>
        </w:rPr>
        <w:t>w</w:t>
      </w:r>
      <w:r w:rsidR="4A0E96AC" w:rsidRPr="005A3F47">
        <w:rPr>
          <w:noProof/>
        </w:rPr>
        <w:t xml:space="preserve">ill no longer be </w:t>
      </w:r>
      <w:r w:rsidR="65EA1168" w:rsidRPr="005A3F47">
        <w:rPr>
          <w:noProof/>
        </w:rPr>
        <w:t xml:space="preserve">able to apply </w:t>
      </w:r>
      <w:r w:rsidR="00F21B09" w:rsidRPr="005A3F47">
        <w:rPr>
          <w:noProof/>
        </w:rPr>
        <w:t xml:space="preserve">Model B </w:t>
      </w:r>
      <w:r w:rsidR="7D81988C" w:rsidRPr="005A3F47">
        <w:rPr>
          <w:noProof/>
        </w:rPr>
        <w:t xml:space="preserve">for </w:t>
      </w:r>
      <w:r w:rsidR="4A0E96AC" w:rsidRPr="005A3F47">
        <w:rPr>
          <w:noProof/>
        </w:rPr>
        <w:t xml:space="preserve">CFC </w:t>
      </w:r>
      <w:r w:rsidR="7D81988C" w:rsidRPr="005A3F47">
        <w:rPr>
          <w:noProof/>
        </w:rPr>
        <w:t>purposes</w:t>
      </w:r>
      <w:r w:rsidR="0025177A" w:rsidRPr="005A3F47">
        <w:rPr>
          <w:noProof/>
        </w:rPr>
        <w:t>.</w:t>
      </w:r>
      <w:r w:rsidR="009E30E7" w:rsidRPr="005A3F47">
        <w:rPr>
          <w:noProof/>
        </w:rPr>
        <w:t xml:space="preserve"> This option would </w:t>
      </w:r>
      <w:r w:rsidR="005F0FD3" w:rsidRPr="005A3F47">
        <w:rPr>
          <w:noProof/>
        </w:rPr>
        <w:t xml:space="preserve">provide simplification in the application of CFC rules </w:t>
      </w:r>
      <w:r w:rsidR="00BF398D" w:rsidRPr="005A3F47">
        <w:rPr>
          <w:noProof/>
        </w:rPr>
        <w:t xml:space="preserve">within the EU </w:t>
      </w:r>
      <w:r w:rsidR="005F0FD3" w:rsidRPr="005A3F47">
        <w:rPr>
          <w:noProof/>
        </w:rPr>
        <w:t>while still ensuring to maintain the high</w:t>
      </w:r>
      <w:r w:rsidR="009C4BC4" w:rsidRPr="005A3F47">
        <w:rPr>
          <w:noProof/>
        </w:rPr>
        <w:t>est</w:t>
      </w:r>
      <w:r w:rsidR="005F0FD3" w:rsidRPr="005A3F47">
        <w:rPr>
          <w:noProof/>
        </w:rPr>
        <w:t xml:space="preserve"> level of protection</w:t>
      </w:r>
      <w:r w:rsidR="0087515C" w:rsidRPr="005A3F47">
        <w:rPr>
          <w:noProof/>
        </w:rPr>
        <w:t xml:space="preserve"> for EU Member States. </w:t>
      </w:r>
    </w:p>
    <w:p w14:paraId="4FA16D6C" w14:textId="143DD6BF" w:rsidR="00C14245" w:rsidRPr="005A3F47" w:rsidRDefault="00AE1C73" w:rsidP="00522920">
      <w:pPr>
        <w:pStyle w:val="Heading4"/>
        <w:numPr>
          <w:ilvl w:val="3"/>
          <w:numId w:val="185"/>
        </w:numPr>
        <w:rPr>
          <w:noProof/>
        </w:rPr>
      </w:pPr>
      <w:bookmarkStart w:id="96" w:name="_Ref226463702"/>
      <w:r w:rsidRPr="005A3F47">
        <w:rPr>
          <w:noProof/>
        </w:rPr>
        <w:t xml:space="preserve"> </w:t>
      </w:r>
      <w:r w:rsidR="007C0A83" w:rsidRPr="005A3F47">
        <w:rPr>
          <w:noProof/>
        </w:rPr>
        <w:t xml:space="preserve">Option </w:t>
      </w:r>
      <w:r w:rsidR="00C14245" w:rsidRPr="005A3F47">
        <w:rPr>
          <w:noProof/>
        </w:rPr>
        <w:t>2</w:t>
      </w:r>
      <w:r w:rsidR="00D47979" w:rsidRPr="005A3F47">
        <w:rPr>
          <w:noProof/>
        </w:rPr>
        <w:t xml:space="preserve">: Address </w:t>
      </w:r>
      <w:r w:rsidR="00AD7930" w:rsidRPr="005A3F47">
        <w:rPr>
          <w:noProof/>
        </w:rPr>
        <w:t xml:space="preserve">overlap </w:t>
      </w:r>
      <w:r w:rsidR="00014BCF" w:rsidRPr="005A3F47">
        <w:rPr>
          <w:noProof/>
        </w:rPr>
        <w:t>with</w:t>
      </w:r>
      <w:r w:rsidR="00AD7930" w:rsidRPr="005A3F47">
        <w:rPr>
          <w:noProof/>
        </w:rPr>
        <w:t xml:space="preserve"> Pillar</w:t>
      </w:r>
      <w:r w:rsidR="00014BCF" w:rsidRPr="005A3F47">
        <w:rPr>
          <w:noProof/>
        </w:rPr>
        <w:t xml:space="preserve"> 2 rules</w:t>
      </w:r>
      <w:bookmarkEnd w:id="96"/>
    </w:p>
    <w:p w14:paraId="14E9B0CF" w14:textId="5EBBEA86" w:rsidR="00AB1122" w:rsidRPr="005A3F47" w:rsidRDefault="00456928" w:rsidP="00515A81">
      <w:pPr>
        <w:rPr>
          <w:noProof/>
        </w:rPr>
      </w:pPr>
      <w:r w:rsidRPr="005A3F47">
        <w:rPr>
          <w:rFonts w:cs="Arial"/>
          <w:noProof/>
          <w:lang w:eastAsia="da-DK"/>
        </w:rPr>
        <w:t xml:space="preserve">As </w:t>
      </w:r>
      <w:r w:rsidR="00643045" w:rsidRPr="005A3F47">
        <w:rPr>
          <w:rFonts w:cs="Arial"/>
          <w:noProof/>
          <w:lang w:eastAsia="da-DK"/>
        </w:rPr>
        <w:t>described in Box 2</w:t>
      </w:r>
      <w:r w:rsidR="00A00CED" w:rsidRPr="005A3F47">
        <w:rPr>
          <w:rFonts w:cs="Arial"/>
          <w:noProof/>
          <w:lang w:eastAsia="da-DK"/>
        </w:rPr>
        <w:t xml:space="preserve"> and Section 5.</w:t>
      </w:r>
      <w:r w:rsidR="00301C21" w:rsidRPr="005A3F47">
        <w:rPr>
          <w:rFonts w:cs="Arial"/>
          <w:noProof/>
          <w:lang w:eastAsia="da-DK"/>
        </w:rPr>
        <w:t>1.</w:t>
      </w:r>
      <w:r w:rsidR="00A01184" w:rsidRPr="005A3F47">
        <w:rPr>
          <w:rFonts w:cs="Arial"/>
          <w:noProof/>
          <w:lang w:eastAsia="da-DK"/>
        </w:rPr>
        <w:t>2.2</w:t>
      </w:r>
      <w:r w:rsidR="00643045" w:rsidRPr="005A3F47">
        <w:rPr>
          <w:rFonts w:cs="Arial"/>
          <w:noProof/>
          <w:lang w:eastAsia="da-DK"/>
        </w:rPr>
        <w:t>, CFC rules and Pillar 2 use</w:t>
      </w:r>
      <w:r w:rsidRPr="005A3F47">
        <w:rPr>
          <w:rFonts w:cs="Arial"/>
          <w:noProof/>
          <w:lang w:eastAsia="da-DK"/>
        </w:rPr>
        <w:t xml:space="preserve"> </w:t>
      </w:r>
      <w:r w:rsidR="00683652" w:rsidRPr="005A3F47">
        <w:rPr>
          <w:rFonts w:cs="Arial"/>
          <w:noProof/>
          <w:lang w:eastAsia="da-DK"/>
        </w:rPr>
        <w:t>similar</w:t>
      </w:r>
      <w:r w:rsidRPr="005A3F47">
        <w:rPr>
          <w:rFonts w:cs="Arial"/>
          <w:noProof/>
          <w:lang w:eastAsia="da-DK"/>
        </w:rPr>
        <w:t xml:space="preserve"> mechanisms </w:t>
      </w:r>
      <w:r w:rsidR="00643045" w:rsidRPr="005A3F47">
        <w:rPr>
          <w:rFonts w:cs="Arial"/>
          <w:noProof/>
          <w:lang w:eastAsia="da-DK"/>
        </w:rPr>
        <w:t>to</w:t>
      </w:r>
      <w:r w:rsidR="004D0F73" w:rsidRPr="005A3F47">
        <w:rPr>
          <w:rFonts w:cs="Arial"/>
          <w:noProof/>
          <w:lang w:eastAsia="da-DK"/>
        </w:rPr>
        <w:t xml:space="preserve"> </w:t>
      </w:r>
      <w:r w:rsidR="00683652" w:rsidRPr="005A3F47">
        <w:rPr>
          <w:rFonts w:cs="Arial"/>
          <w:noProof/>
          <w:lang w:eastAsia="da-DK"/>
        </w:rPr>
        <w:t>capture</w:t>
      </w:r>
      <w:r w:rsidR="004D0F73" w:rsidRPr="005A3F47">
        <w:rPr>
          <w:rFonts w:cs="Arial"/>
          <w:noProof/>
          <w:lang w:eastAsia="da-DK"/>
        </w:rPr>
        <w:t xml:space="preserve"> and tax low-taxed profits</w:t>
      </w:r>
      <w:r w:rsidR="009555A7" w:rsidRPr="005A3F47">
        <w:rPr>
          <w:rFonts w:cs="Arial"/>
          <w:noProof/>
          <w:lang w:eastAsia="da-DK"/>
        </w:rPr>
        <w:t xml:space="preserve"> within company group structures</w:t>
      </w:r>
      <w:r w:rsidR="00CA4698" w:rsidRPr="005A3F47">
        <w:rPr>
          <w:rFonts w:cs="Arial"/>
          <w:noProof/>
          <w:lang w:eastAsia="da-DK"/>
        </w:rPr>
        <w:t>. A</w:t>
      </w:r>
      <w:r w:rsidR="00201B1A" w:rsidRPr="005A3F47">
        <w:rPr>
          <w:rFonts w:cs="Arial"/>
          <w:noProof/>
          <w:lang w:eastAsia="da-DK"/>
        </w:rPr>
        <w:t>lthough the</w:t>
      </w:r>
      <w:r w:rsidR="00D71E36" w:rsidRPr="005A3F47">
        <w:rPr>
          <w:rFonts w:cs="Arial"/>
          <w:noProof/>
          <w:lang w:eastAsia="da-DK"/>
        </w:rPr>
        <w:t>ir</w:t>
      </w:r>
      <w:r w:rsidR="00201B1A" w:rsidRPr="005A3F47">
        <w:rPr>
          <w:rFonts w:cs="Arial"/>
          <w:noProof/>
          <w:lang w:eastAsia="da-DK"/>
        </w:rPr>
        <w:t xml:space="preserve"> design </w:t>
      </w:r>
      <w:r w:rsidR="00654750" w:rsidRPr="005A3F47">
        <w:rPr>
          <w:rFonts w:cs="Arial"/>
          <w:noProof/>
          <w:lang w:eastAsia="da-DK"/>
        </w:rPr>
        <w:t>differ</w:t>
      </w:r>
      <w:r w:rsidR="00F84598" w:rsidRPr="005A3F47">
        <w:rPr>
          <w:rFonts w:cs="Arial"/>
          <w:noProof/>
          <w:lang w:eastAsia="da-DK"/>
        </w:rPr>
        <w:t>s in several ways</w:t>
      </w:r>
      <w:r w:rsidR="00CA4698" w:rsidRPr="005A3F47">
        <w:rPr>
          <w:noProof/>
        </w:rPr>
        <w:t>,</w:t>
      </w:r>
      <w:r w:rsidR="00F65EE8" w:rsidRPr="005A3F47">
        <w:rPr>
          <w:noProof/>
        </w:rPr>
        <w:t xml:space="preserve"> the </w:t>
      </w:r>
      <w:r w:rsidR="00CA4698" w:rsidRPr="005A3F47">
        <w:rPr>
          <w:noProof/>
        </w:rPr>
        <w:t>parallel application of</w:t>
      </w:r>
      <w:r w:rsidR="00F65EE8" w:rsidRPr="005A3F47">
        <w:rPr>
          <w:noProof/>
        </w:rPr>
        <w:t xml:space="preserve"> the two sets of rules </w:t>
      </w:r>
      <w:r w:rsidR="00D23462" w:rsidRPr="005A3F47">
        <w:rPr>
          <w:noProof/>
        </w:rPr>
        <w:t>results in</w:t>
      </w:r>
      <w:r w:rsidR="00AB1122" w:rsidRPr="005A3F47">
        <w:rPr>
          <w:noProof/>
        </w:rPr>
        <w:t xml:space="preserve"> economic double taxation and </w:t>
      </w:r>
      <w:r w:rsidR="00683652" w:rsidRPr="005A3F47">
        <w:rPr>
          <w:noProof/>
        </w:rPr>
        <w:t>duplicative</w:t>
      </w:r>
      <w:r w:rsidR="00AB1122" w:rsidRPr="005A3F47">
        <w:rPr>
          <w:noProof/>
        </w:rPr>
        <w:t xml:space="preserve"> administrative burden</w:t>
      </w:r>
      <w:r w:rsidR="002A5869" w:rsidRPr="005A3F47">
        <w:rPr>
          <w:noProof/>
        </w:rPr>
        <w:t>s</w:t>
      </w:r>
      <w:r w:rsidR="00AB1122" w:rsidRPr="005A3F47">
        <w:rPr>
          <w:noProof/>
        </w:rPr>
        <w:t xml:space="preserve">. </w:t>
      </w:r>
      <w:r w:rsidR="0007543F" w:rsidRPr="005A3F47">
        <w:rPr>
          <w:noProof/>
        </w:rPr>
        <w:t xml:space="preserve">To address </w:t>
      </w:r>
      <w:r w:rsidR="00887EDE" w:rsidRPr="005A3F47">
        <w:rPr>
          <w:noProof/>
        </w:rPr>
        <w:t xml:space="preserve">this, </w:t>
      </w:r>
      <w:r w:rsidR="00F3788D" w:rsidRPr="005A3F47">
        <w:rPr>
          <w:noProof/>
        </w:rPr>
        <w:t>two options could be considered:</w:t>
      </w:r>
    </w:p>
    <w:p w14:paraId="035A2C9B" w14:textId="0BA63E39" w:rsidR="007C0A83" w:rsidRPr="005A3F47" w:rsidRDefault="00F46907" w:rsidP="009E1C29">
      <w:pPr>
        <w:pStyle w:val="Heading4"/>
        <w:tabs>
          <w:tab w:val="clear" w:pos="7099"/>
        </w:tabs>
        <w:ind w:left="1418"/>
        <w:rPr>
          <w:noProof/>
        </w:rPr>
      </w:pPr>
      <w:r w:rsidRPr="005A3F47">
        <w:rPr>
          <w:noProof/>
        </w:rPr>
        <w:t>2</w:t>
      </w:r>
      <w:r w:rsidR="0083516A" w:rsidRPr="005A3F47">
        <w:rPr>
          <w:noProof/>
        </w:rPr>
        <w:t>A</w:t>
      </w:r>
      <w:r w:rsidR="00181DE8" w:rsidRPr="005A3F47">
        <w:rPr>
          <w:noProof/>
        </w:rPr>
        <w:t>.</w:t>
      </w:r>
      <w:r w:rsidR="007C0A83" w:rsidRPr="005A3F47">
        <w:rPr>
          <w:noProof/>
        </w:rPr>
        <w:t xml:space="preserve"> </w:t>
      </w:r>
      <w:r w:rsidR="00D6225E" w:rsidRPr="005A3F47">
        <w:rPr>
          <w:noProof/>
        </w:rPr>
        <w:t>Carve-out of Pillar 2 companies</w:t>
      </w:r>
    </w:p>
    <w:p w14:paraId="59960E9F" w14:textId="37C54FC8" w:rsidR="00D21B6F" w:rsidRPr="005A3F47" w:rsidRDefault="00450AE5" w:rsidP="00D6225E">
      <w:pPr>
        <w:rPr>
          <w:noProof/>
        </w:rPr>
      </w:pPr>
      <w:r w:rsidRPr="005A3F47">
        <w:rPr>
          <w:noProof/>
        </w:rPr>
        <w:t xml:space="preserve">Option </w:t>
      </w:r>
      <w:r w:rsidR="00F46907" w:rsidRPr="005A3F47">
        <w:rPr>
          <w:noProof/>
        </w:rPr>
        <w:t>2A</w:t>
      </w:r>
      <w:r w:rsidR="00685A31" w:rsidRPr="005A3F47">
        <w:rPr>
          <w:noProof/>
        </w:rPr>
        <w:t xml:space="preserve"> introduce</w:t>
      </w:r>
      <w:r w:rsidRPr="005A3F47">
        <w:rPr>
          <w:noProof/>
        </w:rPr>
        <w:t>s</w:t>
      </w:r>
      <w:r w:rsidR="00685A31" w:rsidRPr="005A3F47">
        <w:rPr>
          <w:noProof/>
        </w:rPr>
        <w:t xml:space="preserve"> a carve-out from CFC legislation </w:t>
      </w:r>
      <w:r w:rsidR="00484109" w:rsidRPr="005A3F47">
        <w:rPr>
          <w:noProof/>
        </w:rPr>
        <w:t xml:space="preserve">only </w:t>
      </w:r>
      <w:r w:rsidR="00610CE1" w:rsidRPr="005A3F47">
        <w:rPr>
          <w:noProof/>
        </w:rPr>
        <w:t xml:space="preserve">for </w:t>
      </w:r>
      <w:r w:rsidR="00685A31" w:rsidRPr="005A3F47">
        <w:rPr>
          <w:noProof/>
        </w:rPr>
        <w:t xml:space="preserve">MNEs whose (low-taxed) </w:t>
      </w:r>
      <w:r w:rsidR="008F499B" w:rsidRPr="005A3F47">
        <w:rPr>
          <w:noProof/>
        </w:rPr>
        <w:t>CFCs</w:t>
      </w:r>
      <w:r w:rsidR="00685A31" w:rsidRPr="005A3F47">
        <w:rPr>
          <w:noProof/>
        </w:rPr>
        <w:t xml:space="preserve"> are </w:t>
      </w:r>
      <w:r w:rsidR="005A7330" w:rsidRPr="005A3F47">
        <w:rPr>
          <w:noProof/>
        </w:rPr>
        <w:t xml:space="preserve">fully </w:t>
      </w:r>
      <w:r w:rsidR="00685A31" w:rsidRPr="005A3F47">
        <w:rPr>
          <w:noProof/>
        </w:rPr>
        <w:t>subject to Pillar 2.</w:t>
      </w:r>
      <w:r w:rsidR="00C76484" w:rsidRPr="005A3F47">
        <w:rPr>
          <w:noProof/>
        </w:rPr>
        <w:t xml:space="preserve"> </w:t>
      </w:r>
      <w:r w:rsidR="00447F4A" w:rsidRPr="005A3F47">
        <w:rPr>
          <w:noProof/>
        </w:rPr>
        <w:t>I</w:t>
      </w:r>
      <w:r w:rsidR="005A7330" w:rsidRPr="005A3F47">
        <w:rPr>
          <w:noProof/>
        </w:rPr>
        <w:t xml:space="preserve">f a group is headquartered in a Side-by-Side </w:t>
      </w:r>
      <w:r w:rsidR="00447F4A" w:rsidRPr="005A3F47">
        <w:rPr>
          <w:noProof/>
        </w:rPr>
        <w:t xml:space="preserve">(SbS) </w:t>
      </w:r>
      <w:r w:rsidR="005A7330" w:rsidRPr="005A3F47">
        <w:rPr>
          <w:noProof/>
        </w:rPr>
        <w:t>jurisdiction (currently, only the U</w:t>
      </w:r>
      <w:r w:rsidR="00BB0393" w:rsidRPr="005A3F47">
        <w:rPr>
          <w:noProof/>
        </w:rPr>
        <w:t xml:space="preserve">nited </w:t>
      </w:r>
      <w:r w:rsidR="005A7330" w:rsidRPr="005A3F47">
        <w:rPr>
          <w:noProof/>
        </w:rPr>
        <w:t>S</w:t>
      </w:r>
      <w:r w:rsidR="00BB0393" w:rsidRPr="005A3F47">
        <w:rPr>
          <w:noProof/>
        </w:rPr>
        <w:t>tates</w:t>
      </w:r>
      <w:r w:rsidR="005A7330" w:rsidRPr="005A3F47">
        <w:rPr>
          <w:noProof/>
        </w:rPr>
        <w:t>),</w:t>
      </w:r>
      <w:r w:rsidR="00AE0423" w:rsidRPr="005A3F47">
        <w:rPr>
          <w:noProof/>
        </w:rPr>
        <w:t xml:space="preserve"> the</w:t>
      </w:r>
      <w:r w:rsidR="005A7330" w:rsidRPr="005A3F47">
        <w:rPr>
          <w:noProof/>
        </w:rPr>
        <w:t xml:space="preserve"> </w:t>
      </w:r>
      <w:r w:rsidR="00E65702" w:rsidRPr="005A3F47">
        <w:rPr>
          <w:noProof/>
        </w:rPr>
        <w:t>Income Inclusion Rule (</w:t>
      </w:r>
      <w:r w:rsidR="005A7330" w:rsidRPr="005A3F47">
        <w:rPr>
          <w:noProof/>
        </w:rPr>
        <w:t>IIR</w:t>
      </w:r>
      <w:r w:rsidR="00E65702" w:rsidRPr="005A3F47">
        <w:rPr>
          <w:noProof/>
        </w:rPr>
        <w:t>)</w:t>
      </w:r>
      <w:r w:rsidR="005A7330" w:rsidRPr="005A3F47">
        <w:rPr>
          <w:noProof/>
        </w:rPr>
        <w:t xml:space="preserve"> and </w:t>
      </w:r>
      <w:r w:rsidR="00E65702" w:rsidRPr="005A3F47">
        <w:rPr>
          <w:noProof/>
        </w:rPr>
        <w:t>Under</w:t>
      </w:r>
      <w:r w:rsidR="001178AB" w:rsidRPr="005A3F47">
        <w:rPr>
          <w:noProof/>
        </w:rPr>
        <w:t>-Taxed P</w:t>
      </w:r>
      <w:r w:rsidR="5275B86C" w:rsidRPr="005A3F47">
        <w:rPr>
          <w:noProof/>
        </w:rPr>
        <w:t>rofit</w:t>
      </w:r>
      <w:r w:rsidR="001178AB" w:rsidRPr="005A3F47">
        <w:rPr>
          <w:noProof/>
        </w:rPr>
        <w:t xml:space="preserve"> Rule (</w:t>
      </w:r>
      <w:r w:rsidR="005A7330" w:rsidRPr="005A3F47">
        <w:rPr>
          <w:noProof/>
        </w:rPr>
        <w:t>UTPR</w:t>
      </w:r>
      <w:r w:rsidR="001178AB" w:rsidRPr="005A3F47">
        <w:rPr>
          <w:noProof/>
        </w:rPr>
        <w:t xml:space="preserve">) which are used to reallocate </w:t>
      </w:r>
      <w:r w:rsidR="003F010A" w:rsidRPr="005A3F47">
        <w:rPr>
          <w:noProof/>
        </w:rPr>
        <w:t>taxable income from a low-taxed entity to a</w:t>
      </w:r>
      <w:r w:rsidR="008A00B2" w:rsidRPr="005A3F47">
        <w:rPr>
          <w:noProof/>
        </w:rPr>
        <w:t>nother entity in the group,</w:t>
      </w:r>
      <w:r w:rsidR="005A7330" w:rsidRPr="005A3F47">
        <w:rPr>
          <w:noProof/>
        </w:rPr>
        <w:t xml:space="preserve"> will not apply to any of its subsidiaries. As such, the policy rational</w:t>
      </w:r>
      <w:r w:rsidR="00447F4A" w:rsidRPr="005A3F47">
        <w:rPr>
          <w:noProof/>
        </w:rPr>
        <w:t>e</w:t>
      </w:r>
      <w:r w:rsidR="005A7330" w:rsidRPr="005A3F47">
        <w:rPr>
          <w:noProof/>
        </w:rPr>
        <w:t xml:space="preserve"> </w:t>
      </w:r>
      <w:r w:rsidR="00447F4A" w:rsidRPr="005A3F47">
        <w:rPr>
          <w:noProof/>
        </w:rPr>
        <w:t>would not</w:t>
      </w:r>
      <w:r w:rsidR="005A7330" w:rsidRPr="005A3F47">
        <w:rPr>
          <w:noProof/>
        </w:rPr>
        <w:t xml:space="preserve"> </w:t>
      </w:r>
      <w:r w:rsidR="008E7278" w:rsidRPr="005A3F47">
        <w:rPr>
          <w:noProof/>
        </w:rPr>
        <w:t>apply to</w:t>
      </w:r>
      <w:r w:rsidR="005A7330" w:rsidRPr="005A3F47">
        <w:rPr>
          <w:noProof/>
        </w:rPr>
        <w:t xml:space="preserve"> these structures in the same way</w:t>
      </w:r>
      <w:r w:rsidR="00447F4A" w:rsidRPr="005A3F47">
        <w:rPr>
          <w:noProof/>
        </w:rPr>
        <w:t>,</w:t>
      </w:r>
      <w:r w:rsidR="005A7330" w:rsidRPr="005A3F47">
        <w:rPr>
          <w:noProof/>
        </w:rPr>
        <w:t xml:space="preserve"> as it does for </w:t>
      </w:r>
      <w:r w:rsidR="00447F4A" w:rsidRPr="005A3F47">
        <w:rPr>
          <w:noProof/>
        </w:rPr>
        <w:t xml:space="preserve">other </w:t>
      </w:r>
      <w:r w:rsidR="005A7330" w:rsidRPr="005A3F47">
        <w:rPr>
          <w:noProof/>
        </w:rPr>
        <w:t>entities in scope of the Pillar 2 Directive.</w:t>
      </w:r>
      <w:r w:rsidR="00447F4A" w:rsidRPr="005A3F47">
        <w:rPr>
          <w:noProof/>
        </w:rPr>
        <w:t xml:space="preserve"> </w:t>
      </w:r>
      <w:r w:rsidR="0036056F" w:rsidRPr="005A3F47">
        <w:rPr>
          <w:noProof/>
        </w:rPr>
        <w:t xml:space="preserve">To </w:t>
      </w:r>
      <w:r w:rsidR="00BF3E66" w:rsidRPr="005A3F47">
        <w:rPr>
          <w:noProof/>
        </w:rPr>
        <w:t xml:space="preserve">avoid jeopardising </w:t>
      </w:r>
      <w:r w:rsidR="00D74C8A" w:rsidRPr="005A3F47">
        <w:rPr>
          <w:noProof/>
        </w:rPr>
        <w:t xml:space="preserve">the </w:t>
      </w:r>
      <w:r w:rsidR="0036056F" w:rsidRPr="005A3F47">
        <w:rPr>
          <w:noProof/>
        </w:rPr>
        <w:t>level of protection</w:t>
      </w:r>
      <w:r w:rsidR="00BF3E66" w:rsidRPr="005A3F47">
        <w:rPr>
          <w:noProof/>
        </w:rPr>
        <w:t xml:space="preserve"> imposed under </w:t>
      </w:r>
      <w:r w:rsidR="008128E2" w:rsidRPr="005A3F47">
        <w:rPr>
          <w:noProof/>
        </w:rPr>
        <w:t>ATAD</w:t>
      </w:r>
      <w:r w:rsidR="00D74C8A" w:rsidRPr="005A3F47">
        <w:rPr>
          <w:noProof/>
        </w:rPr>
        <w:t>, t</w:t>
      </w:r>
      <w:r w:rsidR="00447F4A" w:rsidRPr="005A3F47">
        <w:rPr>
          <w:noProof/>
        </w:rPr>
        <w:t xml:space="preserve">he CFC carveout would therefore only be extended to entities that are part of SbS groups </w:t>
      </w:r>
      <w:r w:rsidR="00FF16ED" w:rsidRPr="005A3F47">
        <w:rPr>
          <w:noProof/>
        </w:rPr>
        <w:t>where</w:t>
      </w:r>
      <w:r w:rsidR="00447F4A" w:rsidRPr="005A3F47">
        <w:rPr>
          <w:noProof/>
        </w:rPr>
        <w:t xml:space="preserve"> the</w:t>
      </w:r>
      <w:r w:rsidR="00FF16ED" w:rsidRPr="005A3F47">
        <w:rPr>
          <w:noProof/>
        </w:rPr>
        <w:t xml:space="preserve"> relevant</w:t>
      </w:r>
      <w:r w:rsidR="00447F4A" w:rsidRPr="005A3F47">
        <w:rPr>
          <w:noProof/>
        </w:rPr>
        <w:t xml:space="preserve"> low-taxed subsidiary is subject to QDMTT. </w:t>
      </w:r>
    </w:p>
    <w:p w14:paraId="04CD14DB" w14:textId="7D329716" w:rsidR="00D6225E" w:rsidRPr="005A3F47" w:rsidRDefault="00F46907" w:rsidP="00311C0B">
      <w:pPr>
        <w:pStyle w:val="Heading4"/>
        <w:tabs>
          <w:tab w:val="clear" w:pos="7099"/>
        </w:tabs>
        <w:ind w:left="2138" w:hanging="720"/>
        <w:rPr>
          <w:noProof/>
        </w:rPr>
      </w:pPr>
      <w:r w:rsidRPr="005A3F47">
        <w:rPr>
          <w:noProof/>
        </w:rPr>
        <w:t>2</w:t>
      </w:r>
      <w:r w:rsidR="00181DE8" w:rsidRPr="005A3F47">
        <w:rPr>
          <w:noProof/>
        </w:rPr>
        <w:t>B.</w:t>
      </w:r>
      <w:r w:rsidR="00DC125F" w:rsidRPr="005A3F47">
        <w:rPr>
          <w:noProof/>
        </w:rPr>
        <w:t xml:space="preserve"> </w:t>
      </w:r>
      <w:r w:rsidR="00685A31" w:rsidRPr="005A3F47">
        <w:rPr>
          <w:noProof/>
        </w:rPr>
        <w:t>Inclusion of QDMTT in CFC calculation</w:t>
      </w:r>
    </w:p>
    <w:p w14:paraId="207AED25" w14:textId="059484FA" w:rsidR="003D622D" w:rsidRPr="005A3F47" w:rsidRDefault="00EB7E54" w:rsidP="0012601A">
      <w:pPr>
        <w:spacing w:before="120" w:after="160"/>
        <w:rPr>
          <w:noProof/>
        </w:rPr>
      </w:pPr>
      <w:r w:rsidRPr="005A3F47">
        <w:rPr>
          <w:noProof/>
        </w:rPr>
        <w:t>U</w:t>
      </w:r>
      <w:r w:rsidR="0079692A" w:rsidRPr="005A3F47">
        <w:rPr>
          <w:noProof/>
        </w:rPr>
        <w:t xml:space="preserve">nder </w:t>
      </w:r>
      <w:r w:rsidR="00243797" w:rsidRPr="005A3F47">
        <w:rPr>
          <w:noProof/>
        </w:rPr>
        <w:t>O</w:t>
      </w:r>
      <w:r w:rsidR="0079692A" w:rsidRPr="005A3F47">
        <w:rPr>
          <w:noProof/>
        </w:rPr>
        <w:t>ption</w:t>
      </w:r>
      <w:r w:rsidR="00243797" w:rsidRPr="005A3F47">
        <w:rPr>
          <w:noProof/>
        </w:rPr>
        <w:t xml:space="preserve"> </w:t>
      </w:r>
      <w:r w:rsidR="009F7976" w:rsidRPr="005A3F47">
        <w:rPr>
          <w:noProof/>
        </w:rPr>
        <w:t>2B</w:t>
      </w:r>
      <w:r w:rsidR="0079692A" w:rsidRPr="005A3F47">
        <w:rPr>
          <w:noProof/>
        </w:rPr>
        <w:t>, Member States would take into account the QDMTT liability, in conjunction with corporate income tax, to determine whether a</w:t>
      </w:r>
      <w:r w:rsidR="00D14EE5" w:rsidRPr="005A3F47">
        <w:rPr>
          <w:noProof/>
        </w:rPr>
        <w:t xml:space="preserve">n </w:t>
      </w:r>
      <w:r w:rsidR="000511D9" w:rsidRPr="005A3F47">
        <w:rPr>
          <w:noProof/>
        </w:rPr>
        <w:t>entity</w:t>
      </w:r>
      <w:r w:rsidR="0079692A" w:rsidRPr="005A3F47">
        <w:rPr>
          <w:noProof/>
        </w:rPr>
        <w:t xml:space="preserve"> is a low-taxed CFC</w:t>
      </w:r>
      <w:r w:rsidR="003D622D" w:rsidRPr="005A3F47">
        <w:rPr>
          <w:noProof/>
        </w:rPr>
        <w:t xml:space="preserve"> and, consequently,</w:t>
      </w:r>
      <w:r w:rsidR="0079692A" w:rsidRPr="005A3F47">
        <w:rPr>
          <w:noProof/>
        </w:rPr>
        <w:t xml:space="preserve"> whether the application of </w:t>
      </w:r>
      <w:r w:rsidR="003D622D" w:rsidRPr="005A3F47">
        <w:rPr>
          <w:noProof/>
        </w:rPr>
        <w:t xml:space="preserve">the </w:t>
      </w:r>
      <w:r w:rsidR="0079692A" w:rsidRPr="005A3F47">
        <w:rPr>
          <w:noProof/>
        </w:rPr>
        <w:t xml:space="preserve">CFC rules is triggered. </w:t>
      </w:r>
    </w:p>
    <w:p w14:paraId="048C3C8F" w14:textId="3563DBC5" w:rsidR="0079692A" w:rsidRPr="005A3F47" w:rsidRDefault="00144A94" w:rsidP="002D7152">
      <w:pPr>
        <w:rPr>
          <w:rFonts w:eastAsia="Aptos"/>
          <w:noProof/>
          <w:color w:val="000000" w:themeColor="text1"/>
        </w:rPr>
      </w:pPr>
      <w:r w:rsidRPr="005A3F47">
        <w:rPr>
          <w:noProof/>
        </w:rPr>
        <w:t>A</w:t>
      </w:r>
      <w:r w:rsidR="0079692A" w:rsidRPr="005A3F47">
        <w:rPr>
          <w:noProof/>
        </w:rPr>
        <w:t>dding the QDMTT to the corporate tax liability would reduce the number of cases in which CFC rules are triggered. CFC rules would continue to apply where Member States operate a higher CFC effective tax rate. In those cases, credit would be granted for the QDMTT tax due, thereby ensuring that the simultaneous application of QDMTT and CFC legislation does not result in double taxation.</w:t>
      </w:r>
      <w:r w:rsidR="216C0DDC" w:rsidRPr="005A3F47">
        <w:rPr>
          <w:noProof/>
        </w:rPr>
        <w:t xml:space="preserve"> </w:t>
      </w:r>
      <w:r w:rsidR="0079692A" w:rsidRPr="005A3F47">
        <w:rPr>
          <w:rFonts w:eastAsia="Aptos"/>
          <w:noProof/>
          <w:color w:val="000000" w:themeColor="text1"/>
        </w:rPr>
        <w:t xml:space="preserve">Such approach is also consistent with the OECD Guidance on this topic, which does not allow a pushdown of the CFC tax when computing the effective tax rate for the purpose of applying QDMTT. </w:t>
      </w:r>
    </w:p>
    <w:p w14:paraId="39AEDC89" w14:textId="16CF2565" w:rsidR="005E4F8E" w:rsidRPr="005A3F47" w:rsidRDefault="00181DE8" w:rsidP="00870EA6">
      <w:pPr>
        <w:pStyle w:val="Heading4"/>
        <w:numPr>
          <w:ilvl w:val="3"/>
          <w:numId w:val="185"/>
        </w:numPr>
        <w:jc w:val="left"/>
        <w:rPr>
          <w:rFonts w:eastAsia="Aptos"/>
          <w:noProof/>
        </w:rPr>
      </w:pPr>
      <w:r w:rsidRPr="005A3F47">
        <w:rPr>
          <w:rFonts w:eastAsia="Aptos"/>
          <w:noProof/>
        </w:rPr>
        <w:t xml:space="preserve"> </w:t>
      </w:r>
      <w:r w:rsidR="00DC125F" w:rsidRPr="005A3F47">
        <w:rPr>
          <w:rFonts w:eastAsia="Aptos"/>
          <w:noProof/>
        </w:rPr>
        <w:t xml:space="preserve">Option 3: </w:t>
      </w:r>
      <w:r w:rsidR="005E4F8E" w:rsidRPr="005A3F47">
        <w:rPr>
          <w:rFonts w:eastAsia="Aptos"/>
          <w:noProof/>
        </w:rPr>
        <w:t>Carve-out of SMEs</w:t>
      </w:r>
    </w:p>
    <w:p w14:paraId="1C6CC4D4" w14:textId="3AB8EEC8" w:rsidR="005E4F8E" w:rsidRPr="005A3F47" w:rsidRDefault="000F06E3" w:rsidP="005E4F8E">
      <w:pPr>
        <w:rPr>
          <w:rFonts w:eastAsia="Aptos"/>
          <w:noProof/>
          <w:color w:val="000000" w:themeColor="text1"/>
        </w:rPr>
      </w:pPr>
      <w:r w:rsidRPr="005A3F47">
        <w:rPr>
          <w:rFonts w:eastAsia="Aptos"/>
          <w:noProof/>
          <w:color w:val="000000" w:themeColor="text1"/>
        </w:rPr>
        <w:t>CFC taxation is justified only insofar as it targets arrangements lacking genuine economic substance</w:t>
      </w:r>
      <w:r w:rsidR="0060553E" w:rsidRPr="005A3F47">
        <w:rPr>
          <w:rFonts w:eastAsia="Aptos"/>
          <w:noProof/>
          <w:color w:val="000000" w:themeColor="text1"/>
        </w:rPr>
        <w:t>.</w:t>
      </w:r>
      <w:r w:rsidRPr="005A3F47">
        <w:rPr>
          <w:rFonts w:eastAsia="Aptos"/>
          <w:noProof/>
          <w:color w:val="000000" w:themeColor="text1"/>
        </w:rPr>
        <w:t xml:space="preserve"> </w:t>
      </w:r>
      <w:r w:rsidR="0054689C" w:rsidRPr="005A3F47">
        <w:rPr>
          <w:rFonts w:eastAsia="Aptos"/>
          <w:noProof/>
          <w:color w:val="000000" w:themeColor="text1"/>
        </w:rPr>
        <w:t>Subjecting</w:t>
      </w:r>
      <w:r w:rsidRPr="005A3F47">
        <w:rPr>
          <w:rFonts w:eastAsia="Aptos"/>
          <w:noProof/>
          <w:color w:val="000000" w:themeColor="text1"/>
        </w:rPr>
        <w:t xml:space="preserve"> small </w:t>
      </w:r>
      <w:r w:rsidR="1FB98744" w:rsidRPr="005A3F47">
        <w:rPr>
          <w:rFonts w:eastAsia="Aptos"/>
          <w:noProof/>
          <w:color w:val="000000" w:themeColor="text1"/>
        </w:rPr>
        <w:t>businesses</w:t>
      </w:r>
      <w:r w:rsidRPr="005A3F47">
        <w:rPr>
          <w:rFonts w:eastAsia="Aptos"/>
          <w:noProof/>
          <w:color w:val="000000" w:themeColor="text1"/>
        </w:rPr>
        <w:t xml:space="preserve"> to complex foreign-income imputations, despite low structural aggressive tax planning, risks overshooting that anti-abuse purpose.</w:t>
      </w:r>
      <w:r w:rsidR="0054689C" w:rsidRPr="005A3F47">
        <w:rPr>
          <w:rFonts w:eastAsia="Aptos"/>
          <w:noProof/>
          <w:color w:val="000000" w:themeColor="text1"/>
        </w:rPr>
        <w:t xml:space="preserve"> </w:t>
      </w:r>
      <w:r w:rsidR="0051799F" w:rsidRPr="005A3F47">
        <w:rPr>
          <w:rFonts w:eastAsia="Aptos"/>
          <w:noProof/>
          <w:color w:val="000000" w:themeColor="text1"/>
        </w:rPr>
        <w:t>Compliance costs are especially heavy on SMEs</w:t>
      </w:r>
      <w:r w:rsidR="002934C5" w:rsidRPr="005A3F47">
        <w:rPr>
          <w:rFonts w:eastAsia="Aptos"/>
          <w:noProof/>
          <w:color w:val="000000" w:themeColor="text1"/>
        </w:rPr>
        <w:t xml:space="preserve">. Therefore, in line with similar </w:t>
      </w:r>
      <w:r w:rsidR="00087696" w:rsidRPr="005A3F47">
        <w:rPr>
          <w:rFonts w:eastAsia="Aptos"/>
          <w:noProof/>
          <w:color w:val="000000" w:themeColor="text1"/>
        </w:rPr>
        <w:t>exemptions in this initiative and in other areas of taxation and EU law</w:t>
      </w:r>
      <w:r w:rsidR="001B49EC" w:rsidRPr="005A3F47">
        <w:rPr>
          <w:rFonts w:eastAsia="Aptos"/>
          <w:noProof/>
          <w:color w:val="000000" w:themeColor="text1"/>
        </w:rPr>
        <w:t xml:space="preserve">, this Option proposes to </w:t>
      </w:r>
      <w:r w:rsidR="00A80A27" w:rsidRPr="005A3F47">
        <w:rPr>
          <w:rFonts w:eastAsia="Aptos"/>
          <w:noProof/>
          <w:color w:val="000000" w:themeColor="text1"/>
        </w:rPr>
        <w:t xml:space="preserve">also </w:t>
      </w:r>
      <w:r w:rsidR="001B49EC" w:rsidRPr="005A3F47">
        <w:rPr>
          <w:rFonts w:eastAsia="Aptos"/>
          <w:noProof/>
          <w:color w:val="000000" w:themeColor="text1"/>
        </w:rPr>
        <w:t xml:space="preserve">carve out SMEs from the scope of </w:t>
      </w:r>
      <w:r w:rsidR="00047BE5" w:rsidRPr="005A3F47">
        <w:rPr>
          <w:rFonts w:eastAsia="Aptos"/>
          <w:noProof/>
          <w:color w:val="000000" w:themeColor="text1"/>
        </w:rPr>
        <w:t xml:space="preserve">CFC rules in the EU. </w:t>
      </w:r>
    </w:p>
    <w:p w14:paraId="6DF5A256" w14:textId="77777777" w:rsidR="00107DB9" w:rsidRPr="005A3F47" w:rsidRDefault="00107DB9" w:rsidP="000A462A">
      <w:pPr>
        <w:pStyle w:val="Heading3"/>
        <w:numPr>
          <w:ilvl w:val="2"/>
          <w:numId w:val="185"/>
        </w:numPr>
        <w:rPr>
          <w:noProof/>
        </w:rPr>
      </w:pPr>
      <w:bookmarkStart w:id="97" w:name="_Toc226466817"/>
      <w:bookmarkStart w:id="98" w:name="_Toc226467178"/>
      <w:bookmarkStart w:id="99" w:name="_Toc226467278"/>
      <w:bookmarkStart w:id="100" w:name="_Toc226467497"/>
      <w:r w:rsidRPr="005A3F47">
        <w:rPr>
          <w:noProof/>
        </w:rPr>
        <w:t>Expensing of assets related to research and development (R&amp;D)</w:t>
      </w:r>
      <w:bookmarkEnd w:id="97"/>
      <w:bookmarkEnd w:id="98"/>
      <w:bookmarkEnd w:id="99"/>
      <w:bookmarkEnd w:id="100"/>
    </w:p>
    <w:p w14:paraId="659E3DE6" w14:textId="1A4DF7C1" w:rsidR="00B14EF2" w:rsidRPr="005A3F47" w:rsidRDefault="0051033D" w:rsidP="00B14EF2">
      <w:pPr>
        <w:rPr>
          <w:noProof/>
        </w:rPr>
      </w:pPr>
      <w:r w:rsidRPr="005A3F47">
        <w:rPr>
          <w:noProof/>
        </w:rPr>
        <w:t>To address issues related to ex</w:t>
      </w:r>
      <w:r w:rsidR="00E278C8" w:rsidRPr="005A3F47">
        <w:rPr>
          <w:noProof/>
        </w:rPr>
        <w:t xml:space="preserve">pensing of assets related to </w:t>
      </w:r>
      <w:r w:rsidR="0E76DAD8" w:rsidRPr="005A3F47">
        <w:rPr>
          <w:noProof/>
        </w:rPr>
        <w:t xml:space="preserve">R&amp;D </w:t>
      </w:r>
      <w:r w:rsidR="002601F1" w:rsidRPr="005A3F47">
        <w:rPr>
          <w:noProof/>
        </w:rPr>
        <w:t xml:space="preserve">as set out in </w:t>
      </w:r>
      <w:r w:rsidR="00AC08D4" w:rsidRPr="005A3F47">
        <w:rPr>
          <w:noProof/>
        </w:rPr>
        <w:t>Section 5.1</w:t>
      </w:r>
      <w:r w:rsidR="00C64D21" w:rsidRPr="005A3F47">
        <w:rPr>
          <w:noProof/>
        </w:rPr>
        <w:t>.3</w:t>
      </w:r>
      <w:r w:rsidR="00AD5887" w:rsidRPr="005A3F47">
        <w:rPr>
          <w:noProof/>
        </w:rPr>
        <w:t>,</w:t>
      </w:r>
      <w:r w:rsidR="003D1A70" w:rsidRPr="005A3F47">
        <w:rPr>
          <w:noProof/>
        </w:rPr>
        <w:t xml:space="preserve"> </w:t>
      </w:r>
      <w:r w:rsidR="00F51134" w:rsidRPr="005A3F47">
        <w:rPr>
          <w:noProof/>
        </w:rPr>
        <w:t xml:space="preserve">two </w:t>
      </w:r>
      <w:r w:rsidR="003D1A70" w:rsidRPr="005A3F47">
        <w:rPr>
          <w:noProof/>
        </w:rPr>
        <w:t>option</w:t>
      </w:r>
      <w:r w:rsidR="00F51134" w:rsidRPr="005A3F47">
        <w:rPr>
          <w:noProof/>
        </w:rPr>
        <w:t>s</w:t>
      </w:r>
      <w:r w:rsidR="003D1A70" w:rsidRPr="005A3F47">
        <w:rPr>
          <w:noProof/>
        </w:rPr>
        <w:t xml:space="preserve"> could be considered:</w:t>
      </w:r>
    </w:p>
    <w:p w14:paraId="0DE10769" w14:textId="25A9CE2A" w:rsidR="0026097F" w:rsidRPr="005A3F47" w:rsidRDefault="0026097F" w:rsidP="008B7239">
      <w:pPr>
        <w:pStyle w:val="Caption"/>
        <w:keepNex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5</w:t>
      </w:r>
      <w:r w:rsidRPr="005A3F47">
        <w:rPr>
          <w:noProof/>
          <w:color w:val="auto"/>
        </w:rPr>
        <w:fldChar w:fldCharType="end"/>
      </w:r>
      <w:r w:rsidRPr="005A3F47">
        <w:rPr>
          <w:noProof/>
          <w:color w:val="auto"/>
        </w:rPr>
        <w:t>: Simplification options for expensing of R&amp;D assets</w:t>
      </w:r>
    </w:p>
    <w:p w14:paraId="2020B322" w14:textId="77777777" w:rsidR="007C4008" w:rsidRPr="005A3F47" w:rsidRDefault="007C4008" w:rsidP="00C361AA">
      <w:pPr>
        <w:spacing w:after="0"/>
        <w:rPr>
          <w:noProof/>
        </w:rPr>
      </w:pPr>
    </w:p>
    <w:p w14:paraId="051DD267" w14:textId="52A22A1C" w:rsidR="00380B21" w:rsidRPr="005A3F47" w:rsidRDefault="00AD0069" w:rsidP="0065078B">
      <w:pPr>
        <w:pStyle w:val="Heading4"/>
        <w:numPr>
          <w:ilvl w:val="3"/>
          <w:numId w:val="185"/>
        </w:numPr>
        <w:rPr>
          <w:rFonts w:eastAsia="Aptos"/>
          <w:noProof/>
        </w:rPr>
      </w:pPr>
      <w:r w:rsidRPr="005A3F47">
        <w:rPr>
          <w:rFonts w:eastAsia="Aptos"/>
          <w:noProof/>
        </w:rPr>
        <w:t xml:space="preserve"> </w:t>
      </w:r>
      <w:r w:rsidR="00380B21" w:rsidRPr="005A3F47">
        <w:rPr>
          <w:rFonts w:eastAsia="Aptos"/>
          <w:noProof/>
        </w:rPr>
        <w:t>Option 1</w:t>
      </w:r>
      <w:r w:rsidR="00A90AD7" w:rsidRPr="005A3F47">
        <w:rPr>
          <w:rFonts w:eastAsia="Aptos"/>
          <w:noProof/>
        </w:rPr>
        <w:t>A</w:t>
      </w:r>
      <w:r w:rsidR="00380B21" w:rsidRPr="005A3F47">
        <w:rPr>
          <w:rFonts w:eastAsia="Aptos"/>
          <w:noProof/>
        </w:rPr>
        <w:t xml:space="preserve">: Immediate expensing </w:t>
      </w:r>
      <w:r w:rsidR="00F065A7" w:rsidRPr="005A3F47">
        <w:rPr>
          <w:rFonts w:eastAsia="Aptos"/>
          <w:noProof/>
        </w:rPr>
        <w:t>in the EU</w:t>
      </w:r>
    </w:p>
    <w:p w14:paraId="6B218354" w14:textId="53171AE2" w:rsidR="00E5340E" w:rsidRPr="005A3F47" w:rsidRDefault="00E5340E" w:rsidP="000F1197">
      <w:pPr>
        <w:rPr>
          <w:noProof/>
        </w:rPr>
      </w:pPr>
      <w:r w:rsidRPr="005A3F47">
        <w:rPr>
          <w:noProof/>
          <w:lang w:eastAsia="en-GB"/>
        </w:rPr>
        <w:drawing>
          <wp:inline distT="0" distB="0" distL="0" distR="0" wp14:anchorId="386F2A77" wp14:editId="0AB756A4">
            <wp:extent cx="6096313" cy="1619333"/>
            <wp:effectExtent l="0" t="0" r="0" b="0"/>
            <wp:docPr id="715282740" name="Picture 1" descr="A yellow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82740" name="Picture 1" descr="A yellow box with black text&#10;&#10;AI-generated content may be incorrect."/>
                    <pic:cNvPicPr/>
                  </pic:nvPicPr>
                  <pic:blipFill>
                    <a:blip r:embed="rId24"/>
                    <a:stretch>
                      <a:fillRect/>
                    </a:stretch>
                  </pic:blipFill>
                  <pic:spPr>
                    <a:xfrm>
                      <a:off x="0" y="0"/>
                      <a:ext cx="6096313" cy="1619333"/>
                    </a:xfrm>
                    <a:prstGeom prst="rect">
                      <a:avLst/>
                    </a:prstGeom>
                  </pic:spPr>
                </pic:pic>
              </a:graphicData>
            </a:graphic>
          </wp:inline>
        </w:drawing>
      </w:r>
    </w:p>
    <w:p w14:paraId="4240D7AD" w14:textId="77777777" w:rsidR="00C361AA" w:rsidRPr="005A3F47" w:rsidRDefault="00C361AA" w:rsidP="002733C8">
      <w:pPr>
        <w:spacing w:after="0"/>
        <w:rPr>
          <w:rFonts w:eastAsia="Aptos"/>
          <w:noProof/>
          <w:color w:val="000000" w:themeColor="text1"/>
        </w:rPr>
      </w:pPr>
    </w:p>
    <w:p w14:paraId="5E4A1554" w14:textId="607E9D83" w:rsidR="00305E81" w:rsidRPr="005A3F47" w:rsidRDefault="00AD5887" w:rsidP="1D2DD77D">
      <w:pPr>
        <w:rPr>
          <w:rFonts w:eastAsia="Times New Roman"/>
          <w:noProof/>
          <w:color w:val="000000" w:themeColor="text1"/>
        </w:rPr>
      </w:pPr>
      <w:r w:rsidRPr="005A3F47">
        <w:rPr>
          <w:rFonts w:eastAsia="Aptos"/>
          <w:noProof/>
          <w:color w:val="000000" w:themeColor="text1"/>
        </w:rPr>
        <w:t>T</w:t>
      </w:r>
      <w:r w:rsidR="0054276B" w:rsidRPr="005A3F47">
        <w:rPr>
          <w:rFonts w:eastAsia="Aptos"/>
          <w:noProof/>
          <w:color w:val="000000" w:themeColor="text1"/>
        </w:rPr>
        <w:t>he diverging national tax depreciation treatments for assets related to R&amp;D</w:t>
      </w:r>
      <w:r w:rsidR="00CE5028" w:rsidRPr="005A3F47">
        <w:rPr>
          <w:rFonts w:eastAsia="Aptos"/>
          <w:noProof/>
          <w:color w:val="000000" w:themeColor="text1"/>
        </w:rPr>
        <w:t xml:space="preserve"> </w:t>
      </w:r>
      <w:r w:rsidR="0025619C" w:rsidRPr="005A3F47">
        <w:rPr>
          <w:rFonts w:eastAsia="Aptos"/>
          <w:noProof/>
          <w:color w:val="000000" w:themeColor="text1"/>
        </w:rPr>
        <w:t xml:space="preserve">create an obstacle to cross-border activity in the internal market and </w:t>
      </w:r>
      <w:r w:rsidR="00CE5028" w:rsidRPr="005A3F47">
        <w:rPr>
          <w:rFonts w:eastAsia="Aptos"/>
          <w:noProof/>
          <w:color w:val="000000" w:themeColor="text1"/>
        </w:rPr>
        <w:t>bring unwelcome compliance costs for EU businesses</w:t>
      </w:r>
      <w:r w:rsidR="00A00FC9" w:rsidRPr="005A3F47">
        <w:rPr>
          <w:rFonts w:eastAsia="Aptos"/>
          <w:noProof/>
          <w:color w:val="000000" w:themeColor="text1"/>
        </w:rPr>
        <w:t>.</w:t>
      </w:r>
      <w:r w:rsidR="00CE5028" w:rsidRPr="005A3F47">
        <w:rPr>
          <w:rFonts w:eastAsia="Aptos"/>
          <w:noProof/>
          <w:color w:val="000000" w:themeColor="text1"/>
        </w:rPr>
        <w:t xml:space="preserve"> </w:t>
      </w:r>
      <w:r w:rsidR="00A00FC9" w:rsidRPr="005A3F47">
        <w:rPr>
          <w:rFonts w:eastAsia="Aptos"/>
          <w:noProof/>
          <w:color w:val="000000" w:themeColor="text1"/>
        </w:rPr>
        <w:t>T</w:t>
      </w:r>
      <w:r w:rsidR="007A155A" w:rsidRPr="005A3F47">
        <w:rPr>
          <w:rFonts w:eastAsia="Aptos"/>
          <w:noProof/>
          <w:color w:val="000000" w:themeColor="text1"/>
        </w:rPr>
        <w:t>aken together with the harmonised treatment of such measure</w:t>
      </w:r>
      <w:r w:rsidR="007A155A" w:rsidRPr="005A3F47">
        <w:rPr>
          <w:rFonts w:eastAsia="Times New Roman"/>
          <w:noProof/>
          <w:color w:val="000000" w:themeColor="text1"/>
        </w:rPr>
        <w:t>s under Pillar 2 and the more beneficial outcomes in key partner economies</w:t>
      </w:r>
      <w:r w:rsidR="002D7B3D" w:rsidRPr="005A3F47">
        <w:rPr>
          <w:rFonts w:eastAsia="Times New Roman"/>
          <w:noProof/>
          <w:color w:val="000000" w:themeColor="text1"/>
        </w:rPr>
        <w:t>,</w:t>
      </w:r>
      <w:r w:rsidR="007A155A" w:rsidRPr="005A3F47">
        <w:rPr>
          <w:rFonts w:eastAsia="Times New Roman"/>
          <w:noProof/>
          <w:color w:val="000000" w:themeColor="text1"/>
        </w:rPr>
        <w:t xml:space="preserve"> such as the UK and the U</w:t>
      </w:r>
      <w:r w:rsidR="007C55F2" w:rsidRPr="005A3F47">
        <w:rPr>
          <w:rFonts w:eastAsia="Times New Roman"/>
          <w:noProof/>
          <w:color w:val="000000" w:themeColor="text1"/>
        </w:rPr>
        <w:t xml:space="preserve">nited </w:t>
      </w:r>
      <w:r w:rsidR="007A155A" w:rsidRPr="005A3F47">
        <w:rPr>
          <w:rFonts w:eastAsia="Times New Roman"/>
          <w:noProof/>
          <w:color w:val="000000" w:themeColor="text1"/>
        </w:rPr>
        <w:t>S</w:t>
      </w:r>
      <w:r w:rsidR="007C55F2" w:rsidRPr="005A3F47">
        <w:rPr>
          <w:rFonts w:eastAsia="Times New Roman"/>
          <w:noProof/>
          <w:color w:val="000000" w:themeColor="text1"/>
        </w:rPr>
        <w:t>tates</w:t>
      </w:r>
      <w:r w:rsidR="007A155A" w:rsidRPr="005A3F47">
        <w:rPr>
          <w:rFonts w:eastAsia="Times New Roman"/>
          <w:noProof/>
          <w:color w:val="000000" w:themeColor="text1"/>
        </w:rPr>
        <w:t>,</w:t>
      </w:r>
      <w:r w:rsidR="6A3DFD08" w:rsidRPr="005A3F47">
        <w:rPr>
          <w:rFonts w:eastAsia="Times New Roman"/>
          <w:noProof/>
        </w:rPr>
        <w:t xml:space="preserve"> this fragmentation also undermines the EU</w:t>
      </w:r>
      <w:r w:rsidR="007C55F2" w:rsidRPr="005A3F47">
        <w:rPr>
          <w:rFonts w:eastAsia="Times New Roman"/>
          <w:noProof/>
        </w:rPr>
        <w:t>’</w:t>
      </w:r>
      <w:r w:rsidR="6A3DFD08" w:rsidRPr="005A3F47">
        <w:rPr>
          <w:rFonts w:eastAsia="Times New Roman"/>
          <w:noProof/>
        </w:rPr>
        <w:t>s broader competitiveness objective</w:t>
      </w:r>
      <w:r w:rsidR="00514969" w:rsidRPr="005A3F47">
        <w:rPr>
          <w:rFonts w:eastAsia="Times New Roman"/>
          <w:noProof/>
        </w:rPr>
        <w:t>s</w:t>
      </w:r>
      <w:r w:rsidR="0075208B" w:rsidRPr="005A3F47">
        <w:rPr>
          <w:rFonts w:eastAsia="Times New Roman"/>
          <w:noProof/>
          <w:color w:val="000000" w:themeColor="text1"/>
        </w:rPr>
        <w:t>.</w:t>
      </w:r>
      <w:r w:rsidR="007A155A" w:rsidRPr="005A3F47">
        <w:rPr>
          <w:rFonts w:eastAsia="Times New Roman"/>
          <w:noProof/>
          <w:color w:val="000000" w:themeColor="text1"/>
        </w:rPr>
        <w:t xml:space="preserve"> </w:t>
      </w:r>
      <w:r w:rsidR="0D15EF7C" w:rsidRPr="005A3F47">
        <w:rPr>
          <w:rFonts w:eastAsia="Times New Roman"/>
          <w:noProof/>
        </w:rPr>
        <w:t>Yet</w:t>
      </w:r>
      <w:r w:rsidR="00E3513C" w:rsidRPr="005A3F47">
        <w:rPr>
          <w:rFonts w:eastAsia="Times New Roman"/>
          <w:noProof/>
        </w:rPr>
        <w:t>,</w:t>
      </w:r>
      <w:r w:rsidR="0D15EF7C" w:rsidRPr="005A3F47">
        <w:rPr>
          <w:rFonts w:eastAsia="Times New Roman"/>
          <w:noProof/>
        </w:rPr>
        <w:t xml:space="preserve"> despite the clearly cross-border and international dimension of R&amp;D activity, no common EU framework currently exists to address it. </w:t>
      </w:r>
    </w:p>
    <w:p w14:paraId="20389479" w14:textId="036D6E19" w:rsidR="6A80488D" w:rsidRPr="005A3F47" w:rsidRDefault="07CED9DD" w:rsidP="0D7FC9BC">
      <w:pPr>
        <w:spacing w:before="240" w:after="0" w:line="276" w:lineRule="auto"/>
        <w:rPr>
          <w:rFonts w:eastAsia="Times New Roman"/>
          <w:noProof/>
        </w:rPr>
      </w:pPr>
      <w:r w:rsidRPr="005A3F47">
        <w:rPr>
          <w:rFonts w:eastAsia="Times New Roman"/>
          <w:noProof/>
          <w:color w:val="000000" w:themeColor="text1"/>
        </w:rPr>
        <w:t>Against this background</w:t>
      </w:r>
      <w:r w:rsidR="00514969" w:rsidRPr="005A3F47">
        <w:rPr>
          <w:rFonts w:eastAsia="Times New Roman"/>
          <w:noProof/>
          <w:color w:val="000000" w:themeColor="text1"/>
        </w:rPr>
        <w:t>,</w:t>
      </w:r>
      <w:r w:rsidR="19C147C7" w:rsidRPr="005A3F47">
        <w:rPr>
          <w:rFonts w:eastAsia="Times New Roman"/>
          <w:noProof/>
          <w:color w:val="000000" w:themeColor="text1"/>
        </w:rPr>
        <w:t xml:space="preserve"> </w:t>
      </w:r>
      <w:r w:rsidR="19C147C7" w:rsidRPr="005A3F47">
        <w:rPr>
          <w:rFonts w:eastAsia="Times New Roman"/>
          <w:noProof/>
        </w:rPr>
        <w:t>and in line with the objectives of simplification and competitiveness</w:t>
      </w:r>
      <w:r w:rsidR="0075208B" w:rsidRPr="005A3F47">
        <w:rPr>
          <w:rFonts w:eastAsia="Times New Roman"/>
          <w:noProof/>
          <w:color w:val="000000" w:themeColor="text1"/>
        </w:rPr>
        <w:t>,</w:t>
      </w:r>
      <w:r w:rsidR="0054276B" w:rsidRPr="005A3F47">
        <w:rPr>
          <w:rFonts w:eastAsia="Times New Roman"/>
          <w:noProof/>
          <w:color w:val="000000" w:themeColor="text1"/>
        </w:rPr>
        <w:t xml:space="preserve"> </w:t>
      </w:r>
      <w:r w:rsidR="186183E5" w:rsidRPr="005A3F47">
        <w:rPr>
          <w:rFonts w:eastAsia="Times New Roman"/>
          <w:noProof/>
          <w:color w:val="000000" w:themeColor="text1"/>
        </w:rPr>
        <w:t>the Optio</w:t>
      </w:r>
      <w:r w:rsidR="186183E5" w:rsidRPr="005A3F47">
        <w:rPr>
          <w:rFonts w:eastAsia="Times New Roman"/>
          <w:noProof/>
        </w:rPr>
        <w:t xml:space="preserve">n would </w:t>
      </w:r>
      <w:r w:rsidR="00572141" w:rsidRPr="005A3F47">
        <w:rPr>
          <w:rFonts w:eastAsia="Times New Roman"/>
          <w:noProof/>
        </w:rPr>
        <w:t>establish</w:t>
      </w:r>
      <w:r w:rsidR="5D8A913C" w:rsidRPr="005A3F47">
        <w:rPr>
          <w:rFonts w:eastAsia="Times New Roman"/>
          <w:noProof/>
        </w:rPr>
        <w:t xml:space="preserve"> </w:t>
      </w:r>
      <w:r w:rsidR="23BF5DA7" w:rsidRPr="005A3F47">
        <w:rPr>
          <w:rFonts w:eastAsia="Times New Roman"/>
          <w:noProof/>
        </w:rPr>
        <w:t xml:space="preserve">a </w:t>
      </w:r>
      <w:r w:rsidR="6B99D866" w:rsidRPr="005A3F47">
        <w:rPr>
          <w:rFonts w:eastAsia="Times New Roman"/>
          <w:noProof/>
        </w:rPr>
        <w:t xml:space="preserve">common minimum framework at </w:t>
      </w:r>
      <w:r w:rsidR="00C75912" w:rsidRPr="005A3F47">
        <w:rPr>
          <w:rFonts w:eastAsia="Times New Roman"/>
          <w:noProof/>
        </w:rPr>
        <w:t>EU</w:t>
      </w:r>
      <w:r w:rsidR="6B99D866" w:rsidRPr="005A3F47">
        <w:rPr>
          <w:rFonts w:eastAsia="Times New Roman"/>
          <w:noProof/>
        </w:rPr>
        <w:t xml:space="preserve"> level for the tax treatment of capital expenditure on tangible assets used for R&amp;D</w:t>
      </w:r>
      <w:r w:rsidR="00730BDF" w:rsidRPr="005A3F47">
        <w:rPr>
          <w:rFonts w:eastAsia="Times New Roman"/>
          <w:noProof/>
        </w:rPr>
        <w:t>. It would</w:t>
      </w:r>
      <w:r w:rsidR="1F8136EF" w:rsidRPr="005A3F47">
        <w:rPr>
          <w:rFonts w:eastAsia="Times New Roman"/>
          <w:noProof/>
        </w:rPr>
        <w:t xml:space="preserve">, </w:t>
      </w:r>
      <w:r w:rsidR="00E60E0D" w:rsidRPr="005A3F47">
        <w:rPr>
          <w:rFonts w:eastAsia="Times New Roman"/>
          <w:noProof/>
        </w:rPr>
        <w:t xml:space="preserve">allow </w:t>
      </w:r>
      <w:r w:rsidR="0075208B" w:rsidRPr="005A3F47">
        <w:rPr>
          <w:rFonts w:eastAsia="Times New Roman"/>
          <w:noProof/>
        </w:rPr>
        <w:t xml:space="preserve">EU </w:t>
      </w:r>
      <w:r w:rsidR="00E60E0D" w:rsidRPr="005A3F47">
        <w:rPr>
          <w:rFonts w:eastAsia="Times New Roman"/>
          <w:noProof/>
        </w:rPr>
        <w:t xml:space="preserve">businesses to fully deduct the cost of qualifying R&amp;D-related tangible assets in the year the </w:t>
      </w:r>
      <w:r w:rsidR="46450D38" w:rsidRPr="005A3F47">
        <w:rPr>
          <w:rFonts w:eastAsia="Times New Roman"/>
          <w:noProof/>
        </w:rPr>
        <w:t>expenditure is incurred</w:t>
      </w:r>
      <w:r w:rsidR="00E60E0D" w:rsidRPr="005A3F47">
        <w:rPr>
          <w:rFonts w:eastAsia="Times New Roman"/>
          <w:noProof/>
        </w:rPr>
        <w:t xml:space="preserve">, rather than depreciating the costs over time.  </w:t>
      </w:r>
    </w:p>
    <w:p w14:paraId="100B210E" w14:textId="32FFB4A4" w:rsidR="292EB888" w:rsidRPr="005A3F47" w:rsidRDefault="717E5530" w:rsidP="1B4E1625">
      <w:pPr>
        <w:spacing w:before="240" w:after="0" w:line="276" w:lineRule="auto"/>
        <w:rPr>
          <w:rFonts w:eastAsia="Times New Roman"/>
          <w:noProof/>
        </w:rPr>
      </w:pPr>
      <w:r w:rsidRPr="005A3F47">
        <w:rPr>
          <w:rFonts w:eastAsiaTheme="minorEastAsia"/>
          <w:noProof/>
        </w:rPr>
        <w:t xml:space="preserve">In particular, while immediate expensing of R&amp;D expenditure strengthens innovation incentives by allowing firms to deduct the full cost of research investments in the year they are incurred, standard depreciation rules that spread deductions over multiple years erode the present value of those deductions once adjusted for inflation and the opportunity cost of capital. </w:t>
      </w:r>
      <w:r w:rsidR="012A6877" w:rsidRPr="005A3F47">
        <w:rPr>
          <w:rFonts w:eastAsiaTheme="minorEastAsia"/>
          <w:noProof/>
        </w:rPr>
        <w:t xml:space="preserve">The </w:t>
      </w:r>
      <w:r w:rsidR="507E2B03" w:rsidRPr="005A3F47">
        <w:rPr>
          <w:rFonts w:eastAsiaTheme="minorEastAsia"/>
          <w:noProof/>
        </w:rPr>
        <w:t>O</w:t>
      </w:r>
      <w:r w:rsidR="012A6877" w:rsidRPr="005A3F47">
        <w:rPr>
          <w:rFonts w:eastAsiaTheme="minorEastAsia"/>
          <w:noProof/>
        </w:rPr>
        <w:t>ption</w:t>
      </w:r>
      <w:r w:rsidRPr="005A3F47">
        <w:rPr>
          <w:rFonts w:eastAsiaTheme="minorEastAsia"/>
          <w:noProof/>
        </w:rPr>
        <w:t xml:space="preserve"> directly addresses this limitation.</w:t>
      </w:r>
    </w:p>
    <w:p w14:paraId="3DB732B7" w14:textId="77777777" w:rsidR="00FD376F" w:rsidRPr="005A3F47" w:rsidRDefault="292EB888" w:rsidP="00FD376F">
      <w:pPr>
        <w:spacing w:before="240" w:after="0" w:line="276" w:lineRule="auto"/>
        <w:rPr>
          <w:rStyle w:val="CommentReference"/>
          <w:rFonts w:asciiTheme="minorHAnsi" w:eastAsiaTheme="minorEastAsia" w:hAnsiTheme="minorHAnsi" w:cstheme="minorBidi"/>
          <w:noProof/>
          <w:sz w:val="24"/>
          <w:szCs w:val="24"/>
        </w:rPr>
      </w:pPr>
      <w:r w:rsidRPr="005A3F47">
        <w:rPr>
          <w:rFonts w:eastAsiaTheme="minorEastAsia"/>
          <w:noProof/>
        </w:rPr>
        <w:t>Furthermore, immediate expensing of R&amp;D expenditure improves cash flow at precisely the stage when firms are often most financially constrained, thereby easing financing conditions for high-risk, long-gestation research projects. This effect is particularly consequential for early-stage and pre-revenue companies, whose ability to sustain investment in innovation frequently depends on maintaining adequate liquidity throughout extended development periods prior to the generation of taxable income.</w:t>
      </w:r>
    </w:p>
    <w:p w14:paraId="5442E09C" w14:textId="2456D2B0" w:rsidR="02B5D44A" w:rsidRPr="005A3F47" w:rsidRDefault="00FD376F" w:rsidP="00FD376F">
      <w:pPr>
        <w:spacing w:before="240" w:after="0" w:line="276" w:lineRule="auto"/>
        <w:rPr>
          <w:rFonts w:asciiTheme="minorHAnsi" w:eastAsiaTheme="minorEastAsia" w:hAnsiTheme="minorHAnsi" w:cstheme="minorBidi"/>
          <w:noProof/>
        </w:rPr>
      </w:pPr>
      <w:r w:rsidRPr="005A3F47">
        <w:rPr>
          <w:rFonts w:eastAsia="Times New Roman"/>
          <w:noProof/>
        </w:rPr>
        <w:t>T</w:t>
      </w:r>
      <w:r w:rsidR="1248ABEC" w:rsidRPr="005A3F47">
        <w:rPr>
          <w:rFonts w:eastAsia="Times New Roman"/>
          <w:noProof/>
        </w:rPr>
        <w:t xml:space="preserve">he </w:t>
      </w:r>
      <w:r w:rsidR="527C990E" w:rsidRPr="005A3F47">
        <w:rPr>
          <w:rFonts w:eastAsia="Times New Roman"/>
          <w:noProof/>
        </w:rPr>
        <w:t>O</w:t>
      </w:r>
      <w:r w:rsidR="1248ABEC" w:rsidRPr="005A3F47">
        <w:rPr>
          <w:rFonts w:eastAsia="Times New Roman"/>
          <w:noProof/>
        </w:rPr>
        <w:t>ption</w:t>
      </w:r>
      <w:r w:rsidR="47E5D828" w:rsidRPr="005A3F47">
        <w:rPr>
          <w:rFonts w:eastAsia="Times New Roman"/>
          <w:noProof/>
        </w:rPr>
        <w:t xml:space="preserve"> would define the scope of qualifying expenditure and set out harmonised rules on the timing of the deduction, including the possibility to claim it in the year </w:t>
      </w:r>
      <w:r w:rsidR="0048013C" w:rsidRPr="005A3F47">
        <w:rPr>
          <w:rFonts w:eastAsia="Times New Roman"/>
          <w:noProof/>
        </w:rPr>
        <w:t xml:space="preserve">that </w:t>
      </w:r>
      <w:r w:rsidR="47E5D828" w:rsidRPr="005A3F47">
        <w:rPr>
          <w:rFonts w:eastAsia="Times New Roman"/>
          <w:noProof/>
        </w:rPr>
        <w:t xml:space="preserve">the expenditure is incurred or to carry it forward over a defined period. It would also introduce safeguards to prevent misuse of the allowance, including minimum use requirements for R&amp;D purposes and a clawback mechanism where assets are disposed of. </w:t>
      </w:r>
    </w:p>
    <w:p w14:paraId="545E6988" w14:textId="71E4875A" w:rsidR="02B5D44A" w:rsidRPr="005A3F47" w:rsidRDefault="02B5D44A" w:rsidP="78E592B8">
      <w:pPr>
        <w:spacing w:after="0" w:line="276" w:lineRule="auto"/>
        <w:rPr>
          <w:rFonts w:eastAsia="Times New Roman"/>
          <w:noProof/>
        </w:rPr>
      </w:pPr>
    </w:p>
    <w:p w14:paraId="2995F725" w14:textId="6CAC1797" w:rsidR="02B5D44A" w:rsidRPr="005A3F47" w:rsidRDefault="02B5D44A" w:rsidP="28546CA6">
      <w:pPr>
        <w:spacing w:after="0" w:line="276" w:lineRule="auto"/>
        <w:rPr>
          <w:rFonts w:eastAsia="Times New Roman"/>
          <w:noProof/>
        </w:rPr>
      </w:pPr>
      <w:r w:rsidRPr="005A3F47">
        <w:rPr>
          <w:rFonts w:eastAsia="Times New Roman"/>
          <w:noProof/>
        </w:rPr>
        <w:t xml:space="preserve">The </w:t>
      </w:r>
      <w:r w:rsidR="00C902F9" w:rsidRPr="005A3F47">
        <w:rPr>
          <w:rFonts w:eastAsia="Times New Roman"/>
          <w:noProof/>
        </w:rPr>
        <w:t>Option</w:t>
      </w:r>
      <w:r w:rsidR="03FFD3FB" w:rsidRPr="005A3F47">
        <w:rPr>
          <w:rFonts w:eastAsia="Times New Roman"/>
          <w:noProof/>
        </w:rPr>
        <w:t xml:space="preserve"> would contribute to simplification by </w:t>
      </w:r>
      <w:r w:rsidR="00B369C2" w:rsidRPr="005A3F47">
        <w:rPr>
          <w:rFonts w:eastAsia="Times New Roman"/>
          <w:noProof/>
        </w:rPr>
        <w:t>removing a</w:t>
      </w:r>
      <w:r w:rsidR="00B61146" w:rsidRPr="005A3F47">
        <w:rPr>
          <w:rFonts w:eastAsia="Times New Roman"/>
          <w:noProof/>
        </w:rPr>
        <w:t xml:space="preserve"> tax </w:t>
      </w:r>
      <w:r w:rsidR="00B369C2" w:rsidRPr="005A3F47">
        <w:rPr>
          <w:rFonts w:eastAsia="Times New Roman"/>
          <w:noProof/>
        </w:rPr>
        <w:t>obstacle in</w:t>
      </w:r>
      <w:r w:rsidR="00B61146" w:rsidRPr="005A3F47">
        <w:rPr>
          <w:rFonts w:eastAsia="Times New Roman"/>
          <w:noProof/>
        </w:rPr>
        <w:t xml:space="preserve"> the internal market</w:t>
      </w:r>
      <w:r w:rsidR="03FFD3FB" w:rsidRPr="005A3F47">
        <w:rPr>
          <w:rFonts w:eastAsia="Times New Roman"/>
          <w:noProof/>
        </w:rPr>
        <w:t xml:space="preserve">, thereby lowering compliance burdens, increasing predictability for investors, and facilitating the scaling-up of R&amp;D activities within the </w:t>
      </w:r>
      <w:r w:rsidR="00163830" w:rsidRPr="005A3F47">
        <w:rPr>
          <w:rFonts w:eastAsia="Times New Roman"/>
          <w:noProof/>
        </w:rPr>
        <w:t>internal market</w:t>
      </w:r>
      <w:r w:rsidR="03FFD3FB" w:rsidRPr="005A3F47">
        <w:rPr>
          <w:rFonts w:eastAsia="Times New Roman"/>
          <w:noProof/>
        </w:rPr>
        <w:t>. At the same time, the measure would strengthen the EU’s competitiveness, including vis-à-vis major international partners such as the U</w:t>
      </w:r>
      <w:r w:rsidR="00FB0ABA" w:rsidRPr="005A3F47">
        <w:rPr>
          <w:rFonts w:eastAsia="Times New Roman"/>
          <w:noProof/>
        </w:rPr>
        <w:t xml:space="preserve">nited </w:t>
      </w:r>
      <w:r w:rsidR="03FFD3FB" w:rsidRPr="005A3F47">
        <w:rPr>
          <w:rFonts w:eastAsia="Times New Roman"/>
          <w:noProof/>
        </w:rPr>
        <w:t>S</w:t>
      </w:r>
      <w:r w:rsidR="00FB0ABA" w:rsidRPr="005A3F47">
        <w:rPr>
          <w:rFonts w:eastAsia="Times New Roman"/>
          <w:noProof/>
        </w:rPr>
        <w:t>tates</w:t>
      </w:r>
      <w:r w:rsidR="03FFD3FB" w:rsidRPr="005A3F47">
        <w:rPr>
          <w:rFonts w:eastAsia="Times New Roman"/>
          <w:noProof/>
        </w:rPr>
        <w:t xml:space="preserve"> and the UK, by ensuring that all businesses benefit from a baseline tax environment supportive of innovation, while still allowing Member States to maintain or introduce more favourable regimes to attract and retain high-value R&amp;D investment in an increasingly competitive </w:t>
      </w:r>
      <w:r w:rsidR="54FA7C45" w:rsidRPr="005A3F47">
        <w:rPr>
          <w:rFonts w:eastAsia="Times New Roman"/>
          <w:noProof/>
        </w:rPr>
        <w:t>international environment</w:t>
      </w:r>
      <w:r w:rsidR="03FFD3FB" w:rsidRPr="005A3F47">
        <w:rPr>
          <w:rFonts w:eastAsia="Times New Roman"/>
          <w:noProof/>
        </w:rPr>
        <w:t>.</w:t>
      </w:r>
    </w:p>
    <w:p w14:paraId="4B20EB43" w14:textId="42DC00B6" w:rsidR="5E65887F" w:rsidRPr="005A3F47" w:rsidRDefault="5E65887F" w:rsidP="5E65887F">
      <w:pPr>
        <w:spacing w:after="0" w:line="276" w:lineRule="auto"/>
        <w:rPr>
          <w:rFonts w:eastAsia="Times New Roman"/>
          <w:noProof/>
        </w:rPr>
      </w:pPr>
    </w:p>
    <w:p w14:paraId="60E5CF6B" w14:textId="5518823D" w:rsidR="5E65887F" w:rsidRPr="005A3F47" w:rsidRDefault="5FE90CB5" w:rsidP="5E65887F">
      <w:pPr>
        <w:spacing w:after="0" w:line="276" w:lineRule="auto"/>
        <w:rPr>
          <w:rFonts w:eastAsia="Times New Roman"/>
          <w:noProof/>
        </w:rPr>
      </w:pPr>
      <w:r w:rsidRPr="005A3F47">
        <w:rPr>
          <w:rFonts w:eastAsia="Times New Roman"/>
          <w:noProof/>
        </w:rPr>
        <w:t>The question of whether to cover both tangible and intangible assets was examined</w:t>
      </w:r>
      <w:r w:rsidR="00E771CD" w:rsidRPr="005A3F47">
        <w:rPr>
          <w:rFonts w:eastAsia="Times New Roman"/>
          <w:noProof/>
        </w:rPr>
        <w:t>. B</w:t>
      </w:r>
      <w:r w:rsidRPr="005A3F47">
        <w:rPr>
          <w:rFonts w:eastAsia="Times New Roman"/>
          <w:noProof/>
        </w:rPr>
        <w:t xml:space="preserve">ut extending the measure to intangibles would require a significantly more far-reaching intervention in the current tax landscape, given the wide variety of instruments Member States </w:t>
      </w:r>
      <w:r w:rsidR="00F46FB0" w:rsidRPr="005A3F47">
        <w:rPr>
          <w:rFonts w:eastAsia="Times New Roman"/>
          <w:noProof/>
        </w:rPr>
        <w:t xml:space="preserve">currently </w:t>
      </w:r>
      <w:r w:rsidRPr="005A3F47">
        <w:rPr>
          <w:rFonts w:eastAsia="Times New Roman"/>
          <w:noProof/>
        </w:rPr>
        <w:t>apply in that area</w:t>
      </w:r>
      <w:r w:rsidR="3262FFCF" w:rsidRPr="005A3F47">
        <w:rPr>
          <w:rFonts w:eastAsia="Times New Roman"/>
          <w:noProof/>
        </w:rPr>
        <w:t xml:space="preserve"> (</w:t>
      </w:r>
      <w:r w:rsidR="3262FFCF" w:rsidRPr="005A3F47">
        <w:rPr>
          <w:rFonts w:eastAsia="Times New Roman"/>
          <w:noProof/>
          <w:color w:val="000000" w:themeColor="text1"/>
        </w:rPr>
        <w:t>in addition to the full deductibility of researchers’ salaries, there are measures such as lower tax rates, super-deductions, or tax credits)</w:t>
      </w:r>
      <w:r w:rsidRPr="005A3F47">
        <w:rPr>
          <w:rFonts w:eastAsia="Times New Roman"/>
          <w:noProof/>
        </w:rPr>
        <w:t xml:space="preserve">. A </w:t>
      </w:r>
      <w:r w:rsidR="73B17FE0" w:rsidRPr="005A3F47">
        <w:rPr>
          <w:rFonts w:eastAsia="Times New Roman"/>
          <w:noProof/>
        </w:rPr>
        <w:t xml:space="preserve">broader </w:t>
      </w:r>
      <w:r w:rsidRPr="005A3F47">
        <w:rPr>
          <w:rFonts w:eastAsia="Times New Roman"/>
          <w:noProof/>
        </w:rPr>
        <w:t xml:space="preserve">measure </w:t>
      </w:r>
      <w:r w:rsidR="0A6E9550" w:rsidRPr="005A3F47">
        <w:rPr>
          <w:rFonts w:eastAsia="Times New Roman"/>
          <w:noProof/>
        </w:rPr>
        <w:t>covering both tangible and intangible assets</w:t>
      </w:r>
      <w:r w:rsidRPr="005A3F47">
        <w:rPr>
          <w:rFonts w:eastAsia="Times New Roman"/>
          <w:noProof/>
        </w:rPr>
        <w:t xml:space="preserve"> would also entail substantially higher revenue implications for Member States. The targeted approach, limited to tangible assets, is therefore both proportionate and </w:t>
      </w:r>
      <w:r w:rsidR="3863A3B7" w:rsidRPr="005A3F47">
        <w:rPr>
          <w:rFonts w:eastAsia="Times New Roman"/>
          <w:noProof/>
        </w:rPr>
        <w:t>more</w:t>
      </w:r>
      <w:r w:rsidRPr="005A3F47">
        <w:rPr>
          <w:rFonts w:eastAsia="Times New Roman"/>
          <w:noProof/>
        </w:rPr>
        <w:t xml:space="preserve"> politically feasible, while still delivering a </w:t>
      </w:r>
      <w:r w:rsidR="570C2663" w:rsidRPr="005A3F47">
        <w:rPr>
          <w:rFonts w:eastAsia="Times New Roman"/>
          <w:noProof/>
        </w:rPr>
        <w:t>meaningful</w:t>
      </w:r>
      <w:r w:rsidRPr="005A3F47">
        <w:rPr>
          <w:rFonts w:eastAsia="Times New Roman"/>
          <w:noProof/>
        </w:rPr>
        <w:t xml:space="preserve"> </w:t>
      </w:r>
      <w:r w:rsidR="00835C7B" w:rsidRPr="005A3F47">
        <w:rPr>
          <w:rFonts w:eastAsia="Times New Roman"/>
          <w:noProof/>
        </w:rPr>
        <w:t xml:space="preserve">simplification and </w:t>
      </w:r>
      <w:r w:rsidRPr="005A3F47">
        <w:rPr>
          <w:rFonts w:eastAsia="Times New Roman"/>
          <w:noProof/>
        </w:rPr>
        <w:t>improvement in the operating environment for EU businesses.</w:t>
      </w:r>
    </w:p>
    <w:p w14:paraId="7C76BCB4" w14:textId="7FEC86CB" w:rsidR="7C88CDAE" w:rsidRPr="005A3F47" w:rsidRDefault="7C88CDAE" w:rsidP="7C88CDAE">
      <w:pPr>
        <w:spacing w:after="0" w:line="276" w:lineRule="auto"/>
        <w:rPr>
          <w:rFonts w:eastAsia="Times New Roman"/>
          <w:noProof/>
        </w:rPr>
      </w:pPr>
    </w:p>
    <w:p w14:paraId="3E2F5FBA" w14:textId="767D40E5" w:rsidR="43700E48" w:rsidRPr="005A3F47" w:rsidRDefault="43700E48" w:rsidP="7C88CDAE">
      <w:pPr>
        <w:rPr>
          <w:rFonts w:eastAsia="Times New Roman"/>
          <w:noProof/>
        </w:rPr>
      </w:pPr>
      <w:r w:rsidRPr="005A3F47">
        <w:rPr>
          <w:rFonts w:eastAsia="Times New Roman"/>
          <w:noProof/>
        </w:rPr>
        <w:t xml:space="preserve">Besides, accelerated depreciation and immediate expensing schemes for tangible assets are unaffected by Pillar Two. Against this background, </w:t>
      </w:r>
      <w:r w:rsidR="681078E7" w:rsidRPr="005A3F47">
        <w:rPr>
          <w:rFonts w:eastAsia="Times New Roman"/>
          <w:noProof/>
        </w:rPr>
        <w:t xml:space="preserve">these </w:t>
      </w:r>
      <w:r w:rsidRPr="005A3F47">
        <w:rPr>
          <w:rFonts w:eastAsia="Times New Roman"/>
          <w:noProof/>
        </w:rPr>
        <w:t>tax incentive</w:t>
      </w:r>
      <w:r w:rsidR="1DE8D480" w:rsidRPr="005A3F47">
        <w:rPr>
          <w:rFonts w:eastAsia="Times New Roman"/>
          <w:noProof/>
        </w:rPr>
        <w:t>s</w:t>
      </w:r>
      <w:r w:rsidRPr="005A3F47">
        <w:rPr>
          <w:rFonts w:eastAsia="Times New Roman"/>
          <w:noProof/>
        </w:rPr>
        <w:t xml:space="preserve"> </w:t>
      </w:r>
      <w:r w:rsidR="76254553" w:rsidRPr="005A3F47">
        <w:rPr>
          <w:rFonts w:eastAsia="Times New Roman"/>
          <w:noProof/>
        </w:rPr>
        <w:t>could then help sustain</w:t>
      </w:r>
      <w:r w:rsidRPr="005A3F47">
        <w:rPr>
          <w:rFonts w:eastAsia="Times New Roman"/>
          <w:noProof/>
        </w:rPr>
        <w:t xml:space="preserve"> investment after Pillar Two</w:t>
      </w:r>
      <w:r w:rsidR="76254553" w:rsidRPr="005A3F47">
        <w:rPr>
          <w:rFonts w:eastAsia="Times New Roman"/>
          <w:noProof/>
        </w:rPr>
        <w:t xml:space="preserve"> is implemented.</w:t>
      </w:r>
      <w:r w:rsidRPr="005A3F47">
        <w:rPr>
          <w:rFonts w:eastAsia="Times New Roman"/>
          <w:noProof/>
          <w:vertAlign w:val="superscript"/>
        </w:rPr>
        <w:footnoteReference w:id="75"/>
      </w:r>
    </w:p>
    <w:p w14:paraId="09A02026" w14:textId="629E01BB" w:rsidR="7C88CDAE" w:rsidRPr="005A3F47" w:rsidRDefault="7C88CDAE" w:rsidP="7C88CDAE">
      <w:pPr>
        <w:spacing w:after="0" w:line="276" w:lineRule="auto"/>
        <w:rPr>
          <w:rFonts w:eastAsia="Times New Roman"/>
          <w:noProof/>
        </w:rPr>
      </w:pPr>
    </w:p>
    <w:p w14:paraId="07444ADD" w14:textId="49FB7658" w:rsidR="04503053" w:rsidRPr="005A3F47" w:rsidRDefault="04503053" w:rsidP="002733C8">
      <w:pPr>
        <w:spacing w:after="0" w:line="276" w:lineRule="auto"/>
        <w:rPr>
          <w:rFonts w:eastAsia="Times New Roman"/>
          <w:noProof/>
        </w:rPr>
      </w:pPr>
    </w:p>
    <w:p w14:paraId="06B9EE22" w14:textId="19D8CF94" w:rsidR="02B5D44A" w:rsidRPr="005A3F47" w:rsidRDefault="73D84975">
      <w:pPr>
        <w:spacing w:after="0" w:line="276" w:lineRule="auto"/>
        <w:rPr>
          <w:rFonts w:eastAsia="Times New Roman"/>
          <w:noProof/>
        </w:rPr>
      </w:pPr>
      <w:r w:rsidRPr="005A3F47">
        <w:rPr>
          <w:rFonts w:eastAsia="Times New Roman"/>
          <w:noProof/>
        </w:rPr>
        <w:t>Overall, t</w:t>
      </w:r>
      <w:r w:rsidR="02B5D44A" w:rsidRPr="005A3F47">
        <w:rPr>
          <w:rFonts w:eastAsia="Times New Roman"/>
          <w:noProof/>
        </w:rPr>
        <w:t xml:space="preserve">his approach </w:t>
      </w:r>
      <w:r w:rsidR="009D05ED" w:rsidRPr="005A3F47">
        <w:rPr>
          <w:rFonts w:eastAsia="Times New Roman"/>
          <w:noProof/>
        </w:rPr>
        <w:t>would</w:t>
      </w:r>
      <w:r w:rsidR="02B5D44A" w:rsidRPr="005A3F47">
        <w:rPr>
          <w:rFonts w:eastAsia="Times New Roman"/>
          <w:noProof/>
        </w:rPr>
        <w:t xml:space="preserve"> ensure a coherent </w:t>
      </w:r>
      <w:r w:rsidR="3847A285" w:rsidRPr="005A3F47">
        <w:rPr>
          <w:rFonts w:eastAsia="Times New Roman"/>
          <w:noProof/>
        </w:rPr>
        <w:t xml:space="preserve">common </w:t>
      </w:r>
      <w:r w:rsidR="02B5D44A" w:rsidRPr="005A3F47">
        <w:rPr>
          <w:rFonts w:eastAsia="Times New Roman"/>
          <w:noProof/>
        </w:rPr>
        <w:t xml:space="preserve">baseline for the tax treatment of capital expenditure on tangible R&amp;D assets </w:t>
      </w:r>
      <w:r w:rsidR="00014ED6" w:rsidRPr="005A3F47">
        <w:rPr>
          <w:rFonts w:eastAsia="Times New Roman"/>
          <w:noProof/>
        </w:rPr>
        <w:t>in the internal market</w:t>
      </w:r>
      <w:r w:rsidR="02B5D44A" w:rsidRPr="005A3F47">
        <w:rPr>
          <w:rFonts w:eastAsia="Times New Roman"/>
          <w:noProof/>
        </w:rPr>
        <w:t xml:space="preserve">, </w:t>
      </w:r>
      <w:r w:rsidR="22B0E6E0" w:rsidRPr="005A3F47">
        <w:rPr>
          <w:rFonts w:eastAsia="Times New Roman"/>
          <w:noProof/>
        </w:rPr>
        <w:t>reducing compliance complexity for businesses operating cross-border,</w:t>
      </w:r>
      <w:r w:rsidR="66CEB731" w:rsidRPr="005A3F47">
        <w:rPr>
          <w:rFonts w:eastAsia="Times New Roman"/>
          <w:noProof/>
        </w:rPr>
        <w:t xml:space="preserve"> strengthening the EU's competitiveness vis-à-vis its international partners</w:t>
      </w:r>
      <w:r w:rsidR="009E5BAC" w:rsidRPr="005A3F47">
        <w:rPr>
          <w:rFonts w:eastAsia="Times New Roman"/>
          <w:noProof/>
        </w:rPr>
        <w:t>. It would also</w:t>
      </w:r>
      <w:r w:rsidR="02B5D44A" w:rsidRPr="005A3F47">
        <w:rPr>
          <w:rFonts w:eastAsia="Times New Roman"/>
          <w:noProof/>
        </w:rPr>
        <w:t xml:space="preserve"> allow</w:t>
      </w:r>
      <w:r w:rsidR="009E5BAC" w:rsidRPr="005A3F47">
        <w:rPr>
          <w:rFonts w:eastAsia="Times New Roman"/>
          <w:noProof/>
        </w:rPr>
        <w:t xml:space="preserve"> </w:t>
      </w:r>
      <w:r w:rsidR="02B5D44A" w:rsidRPr="005A3F47">
        <w:rPr>
          <w:rFonts w:eastAsia="Times New Roman"/>
          <w:noProof/>
        </w:rPr>
        <w:t>Member States to maintain or further develop broader innovation incentives within a coordinated framework</w:t>
      </w:r>
      <w:r w:rsidR="0015503D" w:rsidRPr="005A3F47">
        <w:rPr>
          <w:rFonts w:eastAsia="Times New Roman"/>
          <w:noProof/>
        </w:rPr>
        <w:t>, thereby respecting</w:t>
      </w:r>
      <w:r w:rsidR="005B69A1" w:rsidRPr="005A3F47">
        <w:rPr>
          <w:rFonts w:eastAsia="Times New Roman"/>
          <w:noProof/>
        </w:rPr>
        <w:t xml:space="preserve"> </w:t>
      </w:r>
      <w:r w:rsidR="00DE265A" w:rsidRPr="005A3F47">
        <w:rPr>
          <w:rFonts w:eastAsia="Times New Roman"/>
          <w:noProof/>
        </w:rPr>
        <w:t>key messages</w:t>
      </w:r>
      <w:r w:rsidR="009E5BAC" w:rsidRPr="005A3F47">
        <w:rPr>
          <w:rFonts w:eastAsia="Times New Roman"/>
          <w:noProof/>
        </w:rPr>
        <w:t xml:space="preserve">, such as </w:t>
      </w:r>
      <w:r w:rsidR="00904C0F" w:rsidRPr="005A3F47">
        <w:rPr>
          <w:rFonts w:eastAsia="Times New Roman"/>
          <w:noProof/>
        </w:rPr>
        <w:t>strengthen</w:t>
      </w:r>
      <w:r w:rsidR="001D4CF8" w:rsidRPr="005A3F47">
        <w:rPr>
          <w:rFonts w:eastAsia="Times New Roman"/>
          <w:noProof/>
        </w:rPr>
        <w:t>ing</w:t>
      </w:r>
      <w:r w:rsidR="00904C0F" w:rsidRPr="005A3F47">
        <w:rPr>
          <w:rFonts w:eastAsia="Times New Roman"/>
          <w:noProof/>
        </w:rPr>
        <w:t xml:space="preserve"> </w:t>
      </w:r>
      <w:r w:rsidR="005801E9" w:rsidRPr="005A3F47">
        <w:rPr>
          <w:rFonts w:eastAsia="Times New Roman"/>
          <w:noProof/>
        </w:rPr>
        <w:t xml:space="preserve">competitiveness while keeping </w:t>
      </w:r>
      <w:r w:rsidR="009E5BAC" w:rsidRPr="005A3F47">
        <w:rPr>
          <w:rFonts w:eastAsia="Times New Roman"/>
          <w:noProof/>
        </w:rPr>
        <w:t>flexibility and simplicity,</w:t>
      </w:r>
      <w:r w:rsidR="00DE265A" w:rsidRPr="005A3F47">
        <w:rPr>
          <w:rFonts w:eastAsia="Times New Roman"/>
          <w:noProof/>
        </w:rPr>
        <w:t xml:space="preserve"> </w:t>
      </w:r>
      <w:r w:rsidR="004D29FA" w:rsidRPr="005A3F47">
        <w:rPr>
          <w:rFonts w:eastAsia="Times New Roman"/>
          <w:noProof/>
        </w:rPr>
        <w:t xml:space="preserve">expounded by </w:t>
      </w:r>
      <w:r w:rsidR="00DE265A" w:rsidRPr="005A3F47">
        <w:rPr>
          <w:rFonts w:eastAsia="Times New Roman"/>
          <w:noProof/>
        </w:rPr>
        <w:t xml:space="preserve">the Member States in </w:t>
      </w:r>
      <w:r w:rsidR="005B69A1" w:rsidRPr="005A3F47">
        <w:rPr>
          <w:rFonts w:eastAsia="Times New Roman"/>
          <w:noProof/>
        </w:rPr>
        <w:t xml:space="preserve">the </w:t>
      </w:r>
      <w:r w:rsidR="005B69A1" w:rsidRPr="005A3F47">
        <w:rPr>
          <w:rFonts w:eastAsia="Times New Roman"/>
          <w:i/>
          <w:iCs/>
          <w:noProof/>
        </w:rPr>
        <w:t xml:space="preserve">Council Conclusions </w:t>
      </w:r>
      <w:r w:rsidR="0015503D" w:rsidRPr="005A3F47">
        <w:rPr>
          <w:rFonts w:eastAsia="Times New Roman"/>
          <w:i/>
          <w:iCs/>
          <w:noProof/>
        </w:rPr>
        <w:t>on tax incentives to support the Clean Industrial Deal</w:t>
      </w:r>
      <w:r w:rsidR="0068624D" w:rsidRPr="005A3F47">
        <w:rPr>
          <w:rFonts w:eastAsia="Times New Roman"/>
          <w:noProof/>
        </w:rPr>
        <w:t>.</w:t>
      </w:r>
      <w:r w:rsidR="00DF3EB1" w:rsidRPr="005A3F47">
        <w:rPr>
          <w:rStyle w:val="FootnoteReference"/>
          <w:rFonts w:eastAsia="Times New Roman"/>
          <w:noProof/>
        </w:rPr>
        <w:footnoteReference w:id="76"/>
      </w:r>
    </w:p>
    <w:p w14:paraId="38FA1173" w14:textId="77777777" w:rsidR="00C03425" w:rsidRPr="005A3F47" w:rsidRDefault="00C03425">
      <w:pPr>
        <w:spacing w:after="0" w:line="276" w:lineRule="auto"/>
        <w:rPr>
          <w:rFonts w:eastAsia="Times New Roman"/>
          <w:noProof/>
        </w:rPr>
      </w:pPr>
    </w:p>
    <w:p w14:paraId="17EC5407" w14:textId="0BE105A4" w:rsidR="005A12A3" w:rsidRPr="005A3F47" w:rsidRDefault="00AD0069" w:rsidP="00E1633F">
      <w:pPr>
        <w:pStyle w:val="Heading4"/>
        <w:numPr>
          <w:ilvl w:val="3"/>
          <w:numId w:val="185"/>
        </w:numPr>
        <w:rPr>
          <w:rFonts w:eastAsia="Aptos"/>
          <w:noProof/>
        </w:rPr>
      </w:pPr>
      <w:r w:rsidRPr="005A3F47">
        <w:rPr>
          <w:rFonts w:eastAsia="Aptos"/>
          <w:noProof/>
        </w:rPr>
        <w:t xml:space="preserve"> </w:t>
      </w:r>
      <w:r w:rsidR="005A12A3" w:rsidRPr="005A3F47">
        <w:rPr>
          <w:rFonts w:eastAsia="Aptos"/>
          <w:noProof/>
        </w:rPr>
        <w:t xml:space="preserve">Option </w:t>
      </w:r>
      <w:r w:rsidR="00A90AD7" w:rsidRPr="005A3F47">
        <w:rPr>
          <w:rFonts w:eastAsia="Aptos"/>
          <w:noProof/>
        </w:rPr>
        <w:t>1B</w:t>
      </w:r>
      <w:r w:rsidR="005A12A3" w:rsidRPr="005A3F47">
        <w:rPr>
          <w:rFonts w:eastAsia="Aptos"/>
          <w:noProof/>
        </w:rPr>
        <w:t xml:space="preserve">: </w:t>
      </w:r>
      <w:r w:rsidR="002306D1" w:rsidRPr="005A3F47">
        <w:rPr>
          <w:rFonts w:eastAsia="Aptos"/>
          <w:noProof/>
        </w:rPr>
        <w:t>Keep</w:t>
      </w:r>
      <w:r w:rsidR="005A12A3" w:rsidRPr="005A3F47">
        <w:rPr>
          <w:rFonts w:eastAsia="Aptos"/>
          <w:noProof/>
        </w:rPr>
        <w:t xml:space="preserve"> R&amp;D expensing defined strictly </w:t>
      </w:r>
      <w:r w:rsidR="00B3305B" w:rsidRPr="005A3F47">
        <w:rPr>
          <w:rFonts w:eastAsia="Aptos"/>
          <w:noProof/>
        </w:rPr>
        <w:t xml:space="preserve">at </w:t>
      </w:r>
      <w:r w:rsidR="005A12A3" w:rsidRPr="005A3F47">
        <w:rPr>
          <w:rFonts w:eastAsia="Aptos"/>
          <w:noProof/>
        </w:rPr>
        <w:t>national level</w:t>
      </w:r>
    </w:p>
    <w:p w14:paraId="6D340464" w14:textId="2DA0215B" w:rsidR="2903BDF6" w:rsidRPr="005A3F47" w:rsidRDefault="00C03425" w:rsidP="00F019D6">
      <w:pPr>
        <w:spacing w:after="0" w:line="276" w:lineRule="auto"/>
        <w:rPr>
          <w:rFonts w:eastAsia="Times New Roman"/>
          <w:noProof/>
        </w:rPr>
      </w:pPr>
      <w:r w:rsidRPr="005A3F47">
        <w:rPr>
          <w:rFonts w:eastAsia="Times New Roman"/>
          <w:noProof/>
        </w:rPr>
        <w:t xml:space="preserve">The alternative option would be to maintain the status quo – i.e., continue to allow Member States </w:t>
      </w:r>
      <w:r w:rsidR="00B97DDD" w:rsidRPr="005A3F47">
        <w:rPr>
          <w:rFonts w:eastAsia="Times New Roman"/>
          <w:noProof/>
        </w:rPr>
        <w:t xml:space="preserve">to </w:t>
      </w:r>
      <w:r w:rsidR="006625F9" w:rsidRPr="005A3F47">
        <w:rPr>
          <w:rFonts w:eastAsia="Times New Roman"/>
          <w:noProof/>
        </w:rPr>
        <w:t>operate</w:t>
      </w:r>
      <w:r w:rsidRPr="005A3F47">
        <w:rPr>
          <w:rFonts w:eastAsia="Times New Roman"/>
          <w:noProof/>
        </w:rPr>
        <w:t xml:space="preserve"> their own national frameworks for the tax treatment of capital expenditure on tangible R&amp;D assets. This would, however, retain an entirely fragmented approach across the </w:t>
      </w:r>
      <w:r w:rsidR="00222E8F" w:rsidRPr="005A3F47">
        <w:rPr>
          <w:rFonts w:eastAsia="Times New Roman"/>
          <w:noProof/>
        </w:rPr>
        <w:t xml:space="preserve">EU </w:t>
      </w:r>
      <w:r w:rsidR="00B97DDD" w:rsidRPr="005A3F47">
        <w:rPr>
          <w:rFonts w:eastAsia="Times New Roman"/>
          <w:noProof/>
        </w:rPr>
        <w:t xml:space="preserve">and sustain the possible disadvantage </w:t>
      </w:r>
      <w:r w:rsidR="007B31E5" w:rsidRPr="005A3F47">
        <w:rPr>
          <w:rFonts w:eastAsia="Times New Roman"/>
          <w:noProof/>
        </w:rPr>
        <w:t xml:space="preserve">that currently exists when </w:t>
      </w:r>
      <w:r w:rsidR="00B97DDD" w:rsidRPr="005A3F47">
        <w:rPr>
          <w:rFonts w:eastAsia="Times New Roman"/>
          <w:noProof/>
        </w:rPr>
        <w:t>compared to other global economies</w:t>
      </w:r>
      <w:r w:rsidR="007B31E5" w:rsidRPr="005A3F47">
        <w:rPr>
          <w:rFonts w:eastAsia="Times New Roman"/>
          <w:noProof/>
        </w:rPr>
        <w:t xml:space="preserve"> who enact a more unified </w:t>
      </w:r>
      <w:r w:rsidR="008A3F70" w:rsidRPr="005A3F47">
        <w:rPr>
          <w:rFonts w:eastAsia="Times New Roman"/>
          <w:noProof/>
        </w:rPr>
        <w:t>jurisdictional</w:t>
      </w:r>
      <w:r w:rsidR="007B31E5" w:rsidRPr="005A3F47">
        <w:rPr>
          <w:rFonts w:eastAsia="Times New Roman"/>
          <w:noProof/>
        </w:rPr>
        <w:t xml:space="preserve"> approach</w:t>
      </w:r>
      <w:r w:rsidR="00455337" w:rsidRPr="005A3F47">
        <w:rPr>
          <w:rFonts w:eastAsia="Times New Roman"/>
          <w:noProof/>
        </w:rPr>
        <w:t xml:space="preserve"> to R&amp;D incentives</w:t>
      </w:r>
      <w:r w:rsidR="009D3294" w:rsidRPr="005A3F47">
        <w:rPr>
          <w:rFonts w:eastAsia="Times New Roman"/>
          <w:noProof/>
        </w:rPr>
        <w:t>.</w:t>
      </w:r>
      <w:r w:rsidR="59919ADF" w:rsidRPr="005A3F47">
        <w:rPr>
          <w:rFonts w:eastAsia="Times New Roman"/>
          <w:noProof/>
        </w:rPr>
        <w:t xml:space="preserve"> </w:t>
      </w:r>
      <w:r w:rsidR="406E714D" w:rsidRPr="005A3F47">
        <w:rPr>
          <w:rFonts w:eastAsia="Times New Roman"/>
          <w:noProof/>
        </w:rPr>
        <w:t xml:space="preserve">As a result, </w:t>
      </w:r>
      <w:r w:rsidR="00A97C5F" w:rsidRPr="005A3F47">
        <w:rPr>
          <w:rFonts w:eastAsia="Times New Roman"/>
          <w:noProof/>
        </w:rPr>
        <w:t xml:space="preserve">such option </w:t>
      </w:r>
      <w:r w:rsidR="406E714D" w:rsidRPr="005A3F47">
        <w:rPr>
          <w:rFonts w:eastAsia="Times New Roman"/>
          <w:noProof/>
        </w:rPr>
        <w:t xml:space="preserve">would fall short of the objectives of simplification and competitiveness, as administrative complexity for cross-border activities would remain unchanged and divergences in the tax treatment of R&amp;D investment within the </w:t>
      </w:r>
      <w:r w:rsidR="00EE3EB6" w:rsidRPr="005A3F47">
        <w:rPr>
          <w:rFonts w:eastAsia="Times New Roman"/>
          <w:noProof/>
        </w:rPr>
        <w:t>internal market</w:t>
      </w:r>
      <w:r w:rsidR="406E714D" w:rsidRPr="005A3F47">
        <w:rPr>
          <w:rFonts w:eastAsia="Times New Roman"/>
          <w:noProof/>
        </w:rPr>
        <w:t xml:space="preserve"> would be maintained.</w:t>
      </w:r>
      <w:r w:rsidR="00F07CBB" w:rsidRPr="005A3F47">
        <w:rPr>
          <w:rFonts w:eastAsia="Times New Roman"/>
          <w:noProof/>
        </w:rPr>
        <w:t xml:space="preserve"> </w:t>
      </w:r>
    </w:p>
    <w:p w14:paraId="5F59981F" w14:textId="77777777" w:rsidR="00304C61" w:rsidRPr="005A3F47" w:rsidRDefault="00304C61" w:rsidP="00F019D6">
      <w:pPr>
        <w:spacing w:after="0" w:line="276" w:lineRule="auto"/>
        <w:rPr>
          <w:rFonts w:eastAsia="Times New Roman"/>
          <w:noProof/>
        </w:rPr>
      </w:pPr>
    </w:p>
    <w:p w14:paraId="0F17B8DF" w14:textId="7BA1491B" w:rsidR="00105BE4" w:rsidRPr="005A3F47" w:rsidRDefault="004B54D4" w:rsidP="00611592">
      <w:pPr>
        <w:pStyle w:val="Heading3"/>
        <w:numPr>
          <w:ilvl w:val="2"/>
          <w:numId w:val="185"/>
        </w:numPr>
        <w:rPr>
          <w:rFonts w:eastAsia="Aptos"/>
          <w:noProof/>
        </w:rPr>
      </w:pPr>
      <w:bookmarkStart w:id="101" w:name="_Toc226466818"/>
      <w:bookmarkStart w:id="102" w:name="_Toc226467179"/>
      <w:bookmarkStart w:id="103" w:name="_Toc226467279"/>
      <w:bookmarkStart w:id="104" w:name="_Toc226467498"/>
      <w:r w:rsidRPr="005A3F47">
        <w:rPr>
          <w:rFonts w:eastAsia="Aptos"/>
          <w:noProof/>
        </w:rPr>
        <w:t xml:space="preserve">Interest </w:t>
      </w:r>
      <w:r w:rsidR="002F3C54" w:rsidRPr="005A3F47">
        <w:rPr>
          <w:rFonts w:eastAsia="Aptos"/>
          <w:noProof/>
        </w:rPr>
        <w:t xml:space="preserve">Limitation Rule </w:t>
      </w:r>
      <w:bookmarkEnd w:id="101"/>
      <w:bookmarkEnd w:id="102"/>
      <w:bookmarkEnd w:id="103"/>
      <w:bookmarkEnd w:id="104"/>
    </w:p>
    <w:p w14:paraId="177391EE" w14:textId="65E6AE0D" w:rsidR="007A336C" w:rsidRPr="005A3F47" w:rsidRDefault="001F0979">
      <w:pPr>
        <w:rPr>
          <w:noProof/>
        </w:rPr>
      </w:pPr>
      <w:r w:rsidRPr="005A3F47">
        <w:rPr>
          <w:noProof/>
        </w:rPr>
        <w:t xml:space="preserve">To address the issues related to the application of the </w:t>
      </w:r>
      <w:r w:rsidR="1D0FD2C9" w:rsidRPr="005A3F47">
        <w:rPr>
          <w:noProof/>
        </w:rPr>
        <w:t>I</w:t>
      </w:r>
      <w:r w:rsidR="002F3C54" w:rsidRPr="005A3F47">
        <w:rPr>
          <w:noProof/>
        </w:rPr>
        <w:t xml:space="preserve">nterest </w:t>
      </w:r>
      <w:r w:rsidR="1D0FD2C9" w:rsidRPr="005A3F47">
        <w:rPr>
          <w:noProof/>
        </w:rPr>
        <w:t>L</w:t>
      </w:r>
      <w:r w:rsidR="002F3C54" w:rsidRPr="005A3F47">
        <w:rPr>
          <w:noProof/>
        </w:rPr>
        <w:t xml:space="preserve">imitation </w:t>
      </w:r>
      <w:r w:rsidR="1D0FD2C9" w:rsidRPr="005A3F47">
        <w:rPr>
          <w:noProof/>
        </w:rPr>
        <w:t>R</w:t>
      </w:r>
      <w:r w:rsidR="002F3C54" w:rsidRPr="005A3F47">
        <w:rPr>
          <w:noProof/>
        </w:rPr>
        <w:t>ule</w:t>
      </w:r>
      <w:r w:rsidR="1D0FD2C9" w:rsidRPr="005A3F47">
        <w:rPr>
          <w:noProof/>
        </w:rPr>
        <w:t xml:space="preserve"> </w:t>
      </w:r>
      <w:r w:rsidRPr="005A3F47">
        <w:rPr>
          <w:noProof/>
        </w:rPr>
        <w:t xml:space="preserve">in the ATAD, which are outlined in Section </w:t>
      </w:r>
      <w:r w:rsidR="004F375D" w:rsidRPr="005A3F47">
        <w:rPr>
          <w:noProof/>
        </w:rPr>
        <w:fldChar w:fldCharType="begin"/>
      </w:r>
      <w:r w:rsidR="004F375D" w:rsidRPr="005A3F47">
        <w:rPr>
          <w:noProof/>
        </w:rPr>
        <w:instrText xml:space="preserve"> REF _Ref226463057 \r \h </w:instrText>
      </w:r>
      <w:r w:rsidR="005A3F47">
        <w:rPr>
          <w:noProof/>
        </w:rPr>
        <w:instrText xml:space="preserve"> \* MERGEFORMAT </w:instrText>
      </w:r>
      <w:r w:rsidR="004F375D" w:rsidRPr="005A3F47">
        <w:rPr>
          <w:noProof/>
        </w:rPr>
      </w:r>
      <w:r w:rsidR="004F375D" w:rsidRPr="005A3F47">
        <w:rPr>
          <w:noProof/>
        </w:rPr>
        <w:fldChar w:fldCharType="separate"/>
      </w:r>
      <w:r w:rsidR="00CF3380">
        <w:rPr>
          <w:noProof/>
        </w:rPr>
        <w:t>5.1</w:t>
      </w:r>
      <w:r w:rsidR="004F375D" w:rsidRPr="005A3F47">
        <w:rPr>
          <w:noProof/>
        </w:rPr>
        <w:fldChar w:fldCharType="end"/>
      </w:r>
      <w:r w:rsidRPr="005A3F47">
        <w:rPr>
          <w:noProof/>
        </w:rPr>
        <w:t xml:space="preserve">, several options </w:t>
      </w:r>
      <w:r w:rsidR="00B67930" w:rsidRPr="005A3F47">
        <w:rPr>
          <w:noProof/>
        </w:rPr>
        <w:t>could</w:t>
      </w:r>
      <w:r w:rsidRPr="005A3F47">
        <w:rPr>
          <w:noProof/>
        </w:rPr>
        <w:t xml:space="preserve"> be considered. </w:t>
      </w:r>
    </w:p>
    <w:p w14:paraId="47B21BF2" w14:textId="794536A4" w:rsidR="007A336C" w:rsidRPr="005A3F47" w:rsidRDefault="007A336C" w:rsidP="00FF4D61">
      <w:pPr>
        <w:pStyle w:val="Caption"/>
        <w:keepNext/>
        <w:rPr>
          <w:noProof/>
          <w:color w:val="000000" w:themeColor="text1"/>
        </w:rPr>
      </w:pPr>
      <w:r w:rsidRPr="005A3F47">
        <w:rPr>
          <w:noProof/>
          <w:color w:val="000000" w:themeColor="text1"/>
        </w:rPr>
        <w:t xml:space="preserve">Figure </w:t>
      </w:r>
      <w:r w:rsidRPr="005A3F47">
        <w:rPr>
          <w:noProof/>
          <w:color w:val="000000" w:themeColor="text1"/>
        </w:rPr>
        <w:fldChar w:fldCharType="begin"/>
      </w:r>
      <w:r w:rsidRPr="005A3F47">
        <w:rPr>
          <w:noProof/>
          <w:color w:val="000000" w:themeColor="text1"/>
        </w:rPr>
        <w:instrText xml:space="preserve"> SEQ Figure \* ARABIC </w:instrText>
      </w:r>
      <w:r w:rsidRPr="005A3F47">
        <w:rPr>
          <w:noProof/>
          <w:color w:val="000000" w:themeColor="text1"/>
        </w:rPr>
        <w:fldChar w:fldCharType="separate"/>
      </w:r>
      <w:r w:rsidR="00CF3380">
        <w:rPr>
          <w:noProof/>
          <w:color w:val="000000" w:themeColor="text1"/>
        </w:rPr>
        <w:t>6</w:t>
      </w:r>
      <w:r w:rsidRPr="005A3F47">
        <w:rPr>
          <w:noProof/>
          <w:color w:val="000000" w:themeColor="text1"/>
        </w:rPr>
        <w:fldChar w:fldCharType="end"/>
      </w:r>
      <w:r w:rsidRPr="005A3F47">
        <w:rPr>
          <w:noProof/>
          <w:color w:val="000000" w:themeColor="text1"/>
        </w:rPr>
        <w:t xml:space="preserve">: Simplification options for the </w:t>
      </w:r>
      <w:r w:rsidR="002317E7" w:rsidRPr="005A3F47">
        <w:rPr>
          <w:noProof/>
          <w:color w:val="000000" w:themeColor="text1"/>
        </w:rPr>
        <w:t>I</w:t>
      </w:r>
      <w:r w:rsidRPr="005A3F47">
        <w:rPr>
          <w:noProof/>
          <w:color w:val="000000" w:themeColor="text1"/>
        </w:rPr>
        <w:t xml:space="preserve">nterest </w:t>
      </w:r>
      <w:r w:rsidR="002317E7" w:rsidRPr="005A3F47">
        <w:rPr>
          <w:noProof/>
          <w:color w:val="000000" w:themeColor="text1"/>
        </w:rPr>
        <w:t>L</w:t>
      </w:r>
      <w:r w:rsidRPr="005A3F47">
        <w:rPr>
          <w:noProof/>
          <w:color w:val="000000" w:themeColor="text1"/>
        </w:rPr>
        <w:t xml:space="preserve">imitation </w:t>
      </w:r>
      <w:r w:rsidR="002317E7" w:rsidRPr="005A3F47">
        <w:rPr>
          <w:noProof/>
          <w:color w:val="000000" w:themeColor="text1"/>
        </w:rPr>
        <w:t>Rule</w:t>
      </w:r>
      <w:r w:rsidR="005D6B91" w:rsidRPr="005A3F47">
        <w:rPr>
          <w:noProof/>
          <w:color w:val="000000" w:themeColor="text1"/>
        </w:rPr>
        <w:t xml:space="preserve"> </w:t>
      </w:r>
      <w:r w:rsidRPr="005A3F47">
        <w:rPr>
          <w:noProof/>
          <w:color w:val="000000" w:themeColor="text1"/>
        </w:rPr>
        <w:t>in ATAD</w:t>
      </w:r>
    </w:p>
    <w:p w14:paraId="3C2108A0" w14:textId="192C7B87" w:rsidR="00FD0E5E" w:rsidRPr="005A3F47" w:rsidRDefault="005C45A2" w:rsidP="00FF4D61">
      <w:pPr>
        <w:rPr>
          <w:noProof/>
        </w:rPr>
      </w:pPr>
      <w:r w:rsidRPr="005A3F47">
        <w:rPr>
          <w:noProof/>
          <w:lang w:eastAsia="en-GB"/>
        </w:rPr>
        <w:drawing>
          <wp:inline distT="0" distB="0" distL="0" distR="0" wp14:anchorId="1D8FFC74" wp14:editId="6FEC0913">
            <wp:extent cx="6023398" cy="1940944"/>
            <wp:effectExtent l="0" t="0" r="0" b="0"/>
            <wp:docPr id="837071597" name="Picture 1" descr="A close-up of a list of ta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71597" name="Picture 1" descr="A close-up of a list of tasks&#10;&#10;AI-generated content may be incorrect."/>
                    <pic:cNvPicPr/>
                  </pic:nvPicPr>
                  <pic:blipFill>
                    <a:blip r:embed="rId25"/>
                    <a:stretch>
                      <a:fillRect/>
                    </a:stretch>
                  </pic:blipFill>
                  <pic:spPr>
                    <a:xfrm>
                      <a:off x="0" y="0"/>
                      <a:ext cx="6085949" cy="1961100"/>
                    </a:xfrm>
                    <a:prstGeom prst="rect">
                      <a:avLst/>
                    </a:prstGeom>
                  </pic:spPr>
                </pic:pic>
              </a:graphicData>
            </a:graphic>
          </wp:inline>
        </w:drawing>
      </w:r>
    </w:p>
    <w:p w14:paraId="2F31A9F4" w14:textId="5A806CF6" w:rsidR="00BF1304" w:rsidRPr="005A3F47" w:rsidRDefault="00AD0069" w:rsidP="00BD527E">
      <w:pPr>
        <w:pStyle w:val="Heading4"/>
        <w:numPr>
          <w:ilvl w:val="3"/>
          <w:numId w:val="185"/>
        </w:numPr>
        <w:jc w:val="left"/>
        <w:rPr>
          <w:rFonts w:eastAsia="Aptos"/>
          <w:noProof/>
        </w:rPr>
      </w:pPr>
      <w:r w:rsidRPr="005A3F47">
        <w:rPr>
          <w:rFonts w:eastAsia="Aptos"/>
          <w:noProof/>
        </w:rPr>
        <w:t xml:space="preserve"> </w:t>
      </w:r>
      <w:r w:rsidR="0072266B" w:rsidRPr="005A3F47">
        <w:rPr>
          <w:rFonts w:eastAsia="Aptos"/>
          <w:noProof/>
        </w:rPr>
        <w:t xml:space="preserve">Option </w:t>
      </w:r>
      <w:r w:rsidR="004D4482" w:rsidRPr="005A3F47">
        <w:rPr>
          <w:rFonts w:eastAsia="Aptos"/>
          <w:noProof/>
        </w:rPr>
        <w:t>1</w:t>
      </w:r>
      <w:r w:rsidR="0072266B" w:rsidRPr="005A3F47">
        <w:rPr>
          <w:rFonts w:eastAsia="Aptos"/>
          <w:noProof/>
        </w:rPr>
        <w:t>: Carv</w:t>
      </w:r>
      <w:r w:rsidR="0078502F" w:rsidRPr="005A3F47">
        <w:rPr>
          <w:rFonts w:eastAsia="Aptos"/>
          <w:noProof/>
        </w:rPr>
        <w:t>e</w:t>
      </w:r>
      <w:r w:rsidR="00887F37" w:rsidRPr="005A3F47">
        <w:rPr>
          <w:rFonts w:eastAsia="Aptos"/>
          <w:noProof/>
        </w:rPr>
        <w:t>-</w:t>
      </w:r>
      <w:r w:rsidR="0078502F" w:rsidRPr="005A3F47">
        <w:rPr>
          <w:rFonts w:eastAsia="Aptos"/>
          <w:noProof/>
        </w:rPr>
        <w:t xml:space="preserve">out </w:t>
      </w:r>
      <w:r w:rsidR="00887F37" w:rsidRPr="005A3F47">
        <w:rPr>
          <w:rFonts w:eastAsia="Aptos"/>
          <w:noProof/>
        </w:rPr>
        <w:t xml:space="preserve">of </w:t>
      </w:r>
      <w:r w:rsidR="00356957" w:rsidRPr="005A3F47">
        <w:rPr>
          <w:rFonts w:eastAsia="Aptos"/>
          <w:noProof/>
        </w:rPr>
        <w:t>S</w:t>
      </w:r>
      <w:r w:rsidR="0078502F" w:rsidRPr="005A3F47">
        <w:rPr>
          <w:rFonts w:eastAsia="Aptos"/>
          <w:noProof/>
        </w:rPr>
        <w:t>MEs</w:t>
      </w:r>
    </w:p>
    <w:p w14:paraId="421D3429" w14:textId="20DFD695" w:rsidR="00EC2C3B" w:rsidRPr="005A3F47" w:rsidRDefault="00EC2C3B" w:rsidP="00EC2C3B">
      <w:pPr>
        <w:rPr>
          <w:noProof/>
        </w:rPr>
      </w:pPr>
      <w:r w:rsidRPr="005A3F47">
        <w:rPr>
          <w:noProof/>
        </w:rPr>
        <w:t xml:space="preserve">As most SMEs would tend to have borrowing costs below the EUR 3 million threshold annually, </w:t>
      </w:r>
      <w:r w:rsidR="00640DBB" w:rsidRPr="005A3F47">
        <w:rPr>
          <w:noProof/>
        </w:rPr>
        <w:t xml:space="preserve">Option 1 </w:t>
      </w:r>
      <w:r w:rsidR="00F1075E" w:rsidRPr="005A3F47">
        <w:rPr>
          <w:noProof/>
        </w:rPr>
        <w:t xml:space="preserve">could </w:t>
      </w:r>
      <w:r w:rsidR="005272CD" w:rsidRPr="005A3F47">
        <w:rPr>
          <w:noProof/>
        </w:rPr>
        <w:t>propose</w:t>
      </w:r>
      <w:r w:rsidR="00F1075E" w:rsidRPr="005A3F47">
        <w:rPr>
          <w:noProof/>
        </w:rPr>
        <w:t xml:space="preserve"> to</w:t>
      </w:r>
      <w:r w:rsidR="00014903" w:rsidRPr="005A3F47">
        <w:rPr>
          <w:noProof/>
        </w:rPr>
        <w:t xml:space="preserve"> make</w:t>
      </w:r>
      <w:r w:rsidRPr="005A3F47">
        <w:rPr>
          <w:noProof/>
        </w:rPr>
        <w:t xml:space="preserve"> the de minimis safe harbour mandatory </w:t>
      </w:r>
      <w:r w:rsidR="00014903" w:rsidRPr="005A3F47">
        <w:rPr>
          <w:noProof/>
        </w:rPr>
        <w:t>and, thereby,</w:t>
      </w:r>
      <w:r w:rsidRPr="005A3F47">
        <w:rPr>
          <w:noProof/>
        </w:rPr>
        <w:t xml:space="preserve"> </w:t>
      </w:r>
      <w:r w:rsidR="00636C70" w:rsidRPr="005A3F47">
        <w:rPr>
          <w:noProof/>
        </w:rPr>
        <w:t xml:space="preserve">de </w:t>
      </w:r>
      <w:r w:rsidRPr="005A3F47">
        <w:rPr>
          <w:noProof/>
        </w:rPr>
        <w:t xml:space="preserve">facto carve out most SMEs from the application of the </w:t>
      </w:r>
      <w:r w:rsidR="00674FFF" w:rsidRPr="005A3F47">
        <w:rPr>
          <w:noProof/>
        </w:rPr>
        <w:t>I</w:t>
      </w:r>
      <w:r w:rsidR="002317E7" w:rsidRPr="005A3F47">
        <w:rPr>
          <w:noProof/>
        </w:rPr>
        <w:t xml:space="preserve">nterest </w:t>
      </w:r>
      <w:r w:rsidR="00674FFF" w:rsidRPr="005A3F47">
        <w:rPr>
          <w:noProof/>
        </w:rPr>
        <w:t>L</w:t>
      </w:r>
      <w:r w:rsidR="002317E7" w:rsidRPr="005A3F47">
        <w:rPr>
          <w:noProof/>
        </w:rPr>
        <w:t xml:space="preserve">imitation </w:t>
      </w:r>
      <w:r w:rsidR="00674FFF" w:rsidRPr="005A3F47">
        <w:rPr>
          <w:noProof/>
        </w:rPr>
        <w:t>R</w:t>
      </w:r>
      <w:r w:rsidR="002317E7" w:rsidRPr="005A3F47">
        <w:rPr>
          <w:noProof/>
        </w:rPr>
        <w:t>ule</w:t>
      </w:r>
      <w:r w:rsidR="00F1075E" w:rsidRPr="005A3F47">
        <w:rPr>
          <w:noProof/>
        </w:rPr>
        <w:t>. This would differ from the status quo</w:t>
      </w:r>
      <w:r w:rsidR="00295983" w:rsidRPr="005A3F47">
        <w:rPr>
          <w:noProof/>
        </w:rPr>
        <w:t>, which allows Member States a more stringent application of this rule</w:t>
      </w:r>
      <w:r w:rsidRPr="005A3F47">
        <w:rPr>
          <w:noProof/>
        </w:rPr>
        <w:t xml:space="preserve">, </w:t>
      </w:r>
      <w:r w:rsidR="00295983" w:rsidRPr="005A3F47">
        <w:rPr>
          <w:noProof/>
        </w:rPr>
        <w:t xml:space="preserve">and would thus allow </w:t>
      </w:r>
      <w:r w:rsidRPr="005A3F47">
        <w:rPr>
          <w:noProof/>
        </w:rPr>
        <w:t xml:space="preserve">most </w:t>
      </w:r>
      <w:r w:rsidR="00295983" w:rsidRPr="005A3F47">
        <w:rPr>
          <w:noProof/>
        </w:rPr>
        <w:t>SMEs</w:t>
      </w:r>
      <w:r w:rsidRPr="005A3F47">
        <w:rPr>
          <w:noProof/>
        </w:rPr>
        <w:t xml:space="preserve"> to fully deduct their exceeding borrowing costs</w:t>
      </w:r>
      <w:r>
        <w:rPr>
          <w:noProof/>
        </w:rPr>
        <w:t>, while also ensuring a consistent approach across the Single Market</w:t>
      </w:r>
      <w:r w:rsidRPr="005A3F47">
        <w:rPr>
          <w:noProof/>
        </w:rPr>
        <w:t>.</w:t>
      </w:r>
    </w:p>
    <w:p w14:paraId="4E3F0DFA" w14:textId="3CC16503" w:rsidR="00011E43" w:rsidRPr="005A3F47" w:rsidRDefault="00BD31E6" w:rsidP="005F7975">
      <w:pPr>
        <w:rPr>
          <w:noProof/>
        </w:rPr>
      </w:pPr>
      <w:r w:rsidRPr="005A3F47">
        <w:rPr>
          <w:noProof/>
        </w:rPr>
        <w:t xml:space="preserve">In order to </w:t>
      </w:r>
      <w:r w:rsidR="00A44455" w:rsidRPr="005A3F47">
        <w:rPr>
          <w:noProof/>
        </w:rPr>
        <w:t xml:space="preserve">balance </w:t>
      </w:r>
      <w:r>
        <w:rPr>
          <w:noProof/>
        </w:rPr>
        <w:t xml:space="preserve">the </w:t>
      </w:r>
      <w:r w:rsidR="00A44455" w:rsidRPr="005A3F47">
        <w:rPr>
          <w:noProof/>
        </w:rPr>
        <w:t xml:space="preserve">simplification objective with the need to maintain the </w:t>
      </w:r>
      <w:r w:rsidR="005B0A96" w:rsidRPr="005A3F47">
        <w:rPr>
          <w:noProof/>
        </w:rPr>
        <w:t xml:space="preserve">high </w:t>
      </w:r>
      <w:r w:rsidR="00A44455" w:rsidRPr="005A3F47">
        <w:rPr>
          <w:noProof/>
        </w:rPr>
        <w:t xml:space="preserve">level of protection </w:t>
      </w:r>
      <w:r w:rsidR="005B0A96" w:rsidRPr="005A3F47">
        <w:rPr>
          <w:noProof/>
        </w:rPr>
        <w:t>created</w:t>
      </w:r>
      <w:r w:rsidR="008875E1" w:rsidRPr="005A3F47">
        <w:rPr>
          <w:noProof/>
        </w:rPr>
        <w:t xml:space="preserve"> by the ATAD rules, t</w:t>
      </w:r>
      <w:r w:rsidR="00011E43" w:rsidRPr="005A3F47">
        <w:rPr>
          <w:noProof/>
        </w:rPr>
        <w:t xml:space="preserve">he carve-out </w:t>
      </w:r>
      <w:r w:rsidR="006D7CD1" w:rsidRPr="005A3F47">
        <w:rPr>
          <w:noProof/>
        </w:rPr>
        <w:t>would</w:t>
      </w:r>
      <w:r w:rsidR="00011E43" w:rsidRPr="005A3F47">
        <w:rPr>
          <w:noProof/>
        </w:rPr>
        <w:t xml:space="preserve"> only be applicable to SMEs as they </w:t>
      </w:r>
      <w:r w:rsidR="0015641B" w:rsidRPr="005A3F47">
        <w:rPr>
          <w:noProof/>
        </w:rPr>
        <w:t xml:space="preserve">have few </w:t>
      </w:r>
      <w:r w:rsidR="00861DAD" w:rsidRPr="005A3F47">
        <w:rPr>
          <w:noProof/>
        </w:rPr>
        <w:t>in</w:t>
      </w:r>
      <w:r w:rsidR="00106557" w:rsidRPr="005A3F47">
        <w:rPr>
          <w:noProof/>
        </w:rPr>
        <w:t>centives</w:t>
      </w:r>
      <w:r w:rsidR="00B12438" w:rsidRPr="005A3F47">
        <w:rPr>
          <w:noProof/>
        </w:rPr>
        <w:t xml:space="preserve"> and/or res</w:t>
      </w:r>
      <w:r w:rsidR="00376BA7" w:rsidRPr="005A3F47">
        <w:rPr>
          <w:noProof/>
        </w:rPr>
        <w:t>ources</w:t>
      </w:r>
      <w:r w:rsidR="00011E43" w:rsidRPr="005A3F47">
        <w:rPr>
          <w:noProof/>
        </w:rPr>
        <w:t xml:space="preserve"> to engage in tax </w:t>
      </w:r>
      <w:r w:rsidR="005B2EBC" w:rsidRPr="005A3F47">
        <w:rPr>
          <w:noProof/>
        </w:rPr>
        <w:t xml:space="preserve">planning using </w:t>
      </w:r>
      <w:r w:rsidR="00C66B03" w:rsidRPr="005A3F47">
        <w:rPr>
          <w:noProof/>
        </w:rPr>
        <w:t>interest payments</w:t>
      </w:r>
      <w:r w:rsidR="00011E43" w:rsidRPr="005A3F47">
        <w:rPr>
          <w:noProof/>
        </w:rPr>
        <w:t xml:space="preserve">. According to the ATAD evaluation, larger businesses, especially MNEs, are more likely to engage in aggressive tax planning due to their scale and global operations, which provide more opportunities to exploit tax arbitrage opportunities. The data gathered for the ATAD evaluation shows that the largest MNEs are responsible for the </w:t>
      </w:r>
      <w:r w:rsidR="00C11E24" w:rsidRPr="005A3F47">
        <w:rPr>
          <w:noProof/>
        </w:rPr>
        <w:t>majority</w:t>
      </w:r>
      <w:r w:rsidR="00011E43" w:rsidRPr="005A3F47">
        <w:rPr>
          <w:noProof/>
        </w:rPr>
        <w:t xml:space="preserve"> of shifted profit. In particular, 60% of the total profit identified as shifted (EUR 159 billion out of EUR 270 billion) relates to the largest 10% of MNEs covered by th</w:t>
      </w:r>
      <w:r w:rsidR="001E7550" w:rsidRPr="005A3F47">
        <w:rPr>
          <w:noProof/>
        </w:rPr>
        <w:t>is</w:t>
      </w:r>
      <w:r w:rsidR="00011E43" w:rsidRPr="005A3F47">
        <w:rPr>
          <w:noProof/>
        </w:rPr>
        <w:t xml:space="preserve"> dataset.</w:t>
      </w:r>
      <w:r w:rsidR="001E7550" w:rsidRPr="005A3F47">
        <w:rPr>
          <w:rStyle w:val="FootnoteReference"/>
          <w:noProof/>
        </w:rPr>
        <w:footnoteReference w:id="77"/>
      </w:r>
    </w:p>
    <w:p w14:paraId="6186758B" w14:textId="08EE4552" w:rsidR="00A769C8" w:rsidRPr="005A3F47" w:rsidRDefault="00EC2C3B" w:rsidP="00A769C8">
      <w:pPr>
        <w:rPr>
          <w:noProof/>
        </w:rPr>
      </w:pPr>
      <w:r w:rsidRPr="005A3F47">
        <w:rPr>
          <w:noProof/>
        </w:rPr>
        <w:t xml:space="preserve">Considering that </w:t>
      </w:r>
      <w:r>
        <w:rPr>
          <w:noProof/>
        </w:rPr>
        <w:t xml:space="preserve">inflation may increase future </w:t>
      </w:r>
      <w:r w:rsidRPr="005A3F47">
        <w:rPr>
          <w:noProof/>
        </w:rPr>
        <w:t xml:space="preserve">borrowing costs, the de minimis safe harbour could </w:t>
      </w:r>
      <w:r w:rsidR="00974BB0" w:rsidRPr="005A3F47">
        <w:rPr>
          <w:noProof/>
        </w:rPr>
        <w:t xml:space="preserve">also </w:t>
      </w:r>
      <w:r w:rsidR="0044018D" w:rsidRPr="005A3F47">
        <w:rPr>
          <w:noProof/>
        </w:rPr>
        <w:t>include</w:t>
      </w:r>
      <w:r w:rsidRPr="005A3F47">
        <w:rPr>
          <w:noProof/>
        </w:rPr>
        <w:t xml:space="preserve"> a mechanism to regularly update the threshold based on economic indexes</w:t>
      </w:r>
      <w:r w:rsidR="00C439AC" w:rsidRPr="005A3F47">
        <w:rPr>
          <w:noProof/>
        </w:rPr>
        <w:t xml:space="preserve">, </w:t>
      </w:r>
      <w:r w:rsidRPr="005A3F47">
        <w:rPr>
          <w:noProof/>
        </w:rPr>
        <w:t>and a pre-agreed formula, as is foreseen by the OECD BEPS Action 4.</w:t>
      </w:r>
      <w:r w:rsidRPr="005A3F47" w:rsidDel="00091E72">
        <w:rPr>
          <w:noProof/>
        </w:rPr>
        <w:t xml:space="preserve"> </w:t>
      </w:r>
      <w:r w:rsidR="00091E72" w:rsidRPr="005A3F47">
        <w:rPr>
          <w:noProof/>
        </w:rPr>
        <w:t>In such way, the</w:t>
      </w:r>
      <w:r w:rsidRPr="005A3F47">
        <w:rPr>
          <w:noProof/>
        </w:rPr>
        <w:t xml:space="preserve"> de minimis safe harbour would </w:t>
      </w:r>
      <w:r w:rsidR="004A54AE" w:rsidRPr="005A3F47">
        <w:rPr>
          <w:noProof/>
        </w:rPr>
        <w:t xml:space="preserve">be </w:t>
      </w:r>
      <w:r w:rsidR="00091E72" w:rsidRPr="005A3F47">
        <w:rPr>
          <w:noProof/>
        </w:rPr>
        <w:t xml:space="preserve">made </w:t>
      </w:r>
      <w:r w:rsidR="004A54AE" w:rsidRPr="005A3F47">
        <w:rPr>
          <w:noProof/>
        </w:rPr>
        <w:t>dynamic and automatically</w:t>
      </w:r>
      <w:r w:rsidRPr="005A3F47">
        <w:rPr>
          <w:noProof/>
        </w:rPr>
        <w:t xml:space="preserve"> adjusted</w:t>
      </w:r>
      <w:r w:rsidR="28BB5867" w:rsidRPr="005A3F47">
        <w:rPr>
          <w:noProof/>
        </w:rPr>
        <w:t>.</w:t>
      </w:r>
      <w:r w:rsidRPr="005A3F47">
        <w:rPr>
          <w:noProof/>
        </w:rPr>
        <w:t xml:space="preserve"> </w:t>
      </w:r>
    </w:p>
    <w:p w14:paraId="4B336E54" w14:textId="7ADBBA21" w:rsidR="00B913DF" w:rsidRPr="005A3F47" w:rsidRDefault="00AD0069" w:rsidP="00BD527E">
      <w:pPr>
        <w:pStyle w:val="Heading4"/>
        <w:numPr>
          <w:ilvl w:val="3"/>
          <w:numId w:val="185"/>
        </w:numPr>
        <w:jc w:val="left"/>
        <w:rPr>
          <w:rFonts w:eastAsia="Aptos"/>
          <w:noProof/>
        </w:rPr>
      </w:pPr>
      <w:r w:rsidRPr="005A3F47">
        <w:rPr>
          <w:rFonts w:eastAsia="Aptos"/>
          <w:noProof/>
        </w:rPr>
        <w:t xml:space="preserve"> </w:t>
      </w:r>
      <w:r w:rsidR="00B913DF" w:rsidRPr="005A3F47">
        <w:rPr>
          <w:rFonts w:eastAsia="Aptos"/>
          <w:noProof/>
        </w:rPr>
        <w:t>Option 2</w:t>
      </w:r>
      <w:r w:rsidR="00503C36" w:rsidRPr="005A3F47">
        <w:rPr>
          <w:rFonts w:eastAsia="Aptos"/>
          <w:noProof/>
        </w:rPr>
        <w:t>: Mandatory application of 30% EBITDA cap</w:t>
      </w:r>
    </w:p>
    <w:p w14:paraId="5513823D" w14:textId="2AC453F1" w:rsidR="00E0697D" w:rsidRPr="005A3F47" w:rsidRDefault="00E0697D" w:rsidP="00E0697D">
      <w:pPr>
        <w:rPr>
          <w:noProof/>
        </w:rPr>
      </w:pPr>
      <w:r w:rsidRPr="005A3F47">
        <w:rPr>
          <w:noProof/>
        </w:rPr>
        <w:t xml:space="preserve">Under </w:t>
      </w:r>
      <w:r w:rsidR="00E46305" w:rsidRPr="005A3F47">
        <w:rPr>
          <w:noProof/>
        </w:rPr>
        <w:t>this option</w:t>
      </w:r>
      <w:r w:rsidRPr="005A3F47">
        <w:rPr>
          <w:noProof/>
        </w:rPr>
        <w:t xml:space="preserve">, </w:t>
      </w:r>
      <w:r w:rsidR="00A23D27" w:rsidRPr="005A3F47">
        <w:rPr>
          <w:noProof/>
        </w:rPr>
        <w:t>the</w:t>
      </w:r>
      <w:r w:rsidR="007F7740" w:rsidRPr="005A3F47">
        <w:rPr>
          <w:noProof/>
        </w:rPr>
        <w:t xml:space="preserve"> 30% EBITDA cap would be the only possible fixed ratio for deductibility of </w:t>
      </w:r>
      <w:r w:rsidR="00F80A76" w:rsidRPr="005A3F47">
        <w:rPr>
          <w:noProof/>
        </w:rPr>
        <w:t>interest expenses</w:t>
      </w:r>
      <w:r w:rsidR="00CF2D6D" w:rsidRPr="005A3F47">
        <w:rPr>
          <w:noProof/>
        </w:rPr>
        <w:t>.</w:t>
      </w:r>
      <w:r w:rsidR="003852DE" w:rsidRPr="005A3F47">
        <w:rPr>
          <w:noProof/>
        </w:rPr>
        <w:t xml:space="preserve"> As it currently stands,</w:t>
      </w:r>
      <w:r w:rsidR="00C56F7E" w:rsidRPr="005A3F47">
        <w:rPr>
          <w:noProof/>
        </w:rPr>
        <w:t xml:space="preserve"> business may deduct up to 30% of their EBITDA.</w:t>
      </w:r>
      <w:r w:rsidR="003852DE" w:rsidRPr="005A3F47">
        <w:rPr>
          <w:noProof/>
        </w:rPr>
        <w:t xml:space="preserve"> </w:t>
      </w:r>
      <w:r w:rsidR="00865FC8" w:rsidRPr="005A3F47">
        <w:rPr>
          <w:noProof/>
        </w:rPr>
        <w:t xml:space="preserve">By </w:t>
      </w:r>
      <w:r w:rsidR="00403162" w:rsidRPr="005A3F47">
        <w:rPr>
          <w:noProof/>
        </w:rPr>
        <w:t>setting a fixed ratio for the maximum</w:t>
      </w:r>
      <w:r w:rsidR="00801069" w:rsidRPr="005A3F47">
        <w:rPr>
          <w:noProof/>
        </w:rPr>
        <w:t xml:space="preserve"> </w:t>
      </w:r>
      <w:r w:rsidR="00F80A76" w:rsidRPr="005A3F47">
        <w:rPr>
          <w:noProof/>
        </w:rPr>
        <w:t>deductible interest expense</w:t>
      </w:r>
      <w:r w:rsidR="00865FC8" w:rsidRPr="005A3F47">
        <w:rPr>
          <w:noProof/>
        </w:rPr>
        <w:t>,</w:t>
      </w:r>
      <w:r w:rsidR="00AF552F" w:rsidRPr="005A3F47">
        <w:rPr>
          <w:noProof/>
        </w:rPr>
        <w:t xml:space="preserve"> </w:t>
      </w:r>
      <w:r w:rsidR="00A34A25" w:rsidRPr="005A3F47">
        <w:rPr>
          <w:noProof/>
        </w:rPr>
        <w:t>clarity and equal treatment would</w:t>
      </w:r>
      <w:r w:rsidR="008B7C1A" w:rsidRPr="005A3F47">
        <w:rPr>
          <w:noProof/>
        </w:rPr>
        <w:t xml:space="preserve"> be</w:t>
      </w:r>
      <w:r w:rsidR="00A34A25" w:rsidRPr="005A3F47">
        <w:rPr>
          <w:noProof/>
        </w:rPr>
        <w:t xml:space="preserve"> </w:t>
      </w:r>
      <w:r w:rsidR="008B7C1A" w:rsidRPr="005A3F47">
        <w:rPr>
          <w:noProof/>
        </w:rPr>
        <w:t>improved with a common standard</w:t>
      </w:r>
      <w:r w:rsidR="00A34A25" w:rsidRPr="005A3F47">
        <w:rPr>
          <w:noProof/>
        </w:rPr>
        <w:t xml:space="preserve"> </w:t>
      </w:r>
      <w:r w:rsidR="00D93F9E" w:rsidRPr="005A3F47">
        <w:rPr>
          <w:noProof/>
        </w:rPr>
        <w:t>rather than different variations across the</w:t>
      </w:r>
      <w:r w:rsidR="006614B9" w:rsidRPr="005A3F47">
        <w:rPr>
          <w:noProof/>
        </w:rPr>
        <w:t xml:space="preserve"> EU.</w:t>
      </w:r>
    </w:p>
    <w:p w14:paraId="6E24DA0A" w14:textId="1C415F0B" w:rsidR="00786469" w:rsidRPr="005A3F47" w:rsidRDefault="00C563C1" w:rsidP="00E0697D">
      <w:pPr>
        <w:rPr>
          <w:noProof/>
        </w:rPr>
      </w:pPr>
      <w:r w:rsidRPr="005A3F47">
        <w:rPr>
          <w:noProof/>
        </w:rPr>
        <w:t xml:space="preserve">The current interest limitation set at 30% of a company’s EBITDA is </w:t>
      </w:r>
      <w:r w:rsidR="00F56DA9" w:rsidRPr="005A3F47">
        <w:rPr>
          <w:noProof/>
        </w:rPr>
        <w:t>designed</w:t>
      </w:r>
      <w:r w:rsidRPr="005A3F47">
        <w:rPr>
          <w:noProof/>
        </w:rPr>
        <w:t xml:space="preserve"> in a way </w:t>
      </w:r>
      <w:r w:rsidR="00382A67" w:rsidRPr="005A3F47">
        <w:rPr>
          <w:noProof/>
        </w:rPr>
        <w:t>which</w:t>
      </w:r>
      <w:r w:rsidR="004C3ED4" w:rsidRPr="005A3F47">
        <w:rPr>
          <w:noProof/>
        </w:rPr>
        <w:t xml:space="preserve"> ensures</w:t>
      </w:r>
      <w:r w:rsidRPr="005A3F47">
        <w:rPr>
          <w:noProof/>
        </w:rPr>
        <w:t xml:space="preserve"> that most </w:t>
      </w:r>
      <w:r w:rsidR="00B227D4" w:rsidRPr="005A3F47">
        <w:rPr>
          <w:noProof/>
        </w:rPr>
        <w:t xml:space="preserve">companies are able to fully deduct their </w:t>
      </w:r>
      <w:r w:rsidR="00A26F56" w:rsidRPr="005A3F47">
        <w:rPr>
          <w:noProof/>
        </w:rPr>
        <w:t>third-party interest expenses</w:t>
      </w:r>
      <w:r w:rsidRPr="005A3F47">
        <w:rPr>
          <w:noProof/>
        </w:rPr>
        <w:t>.</w:t>
      </w:r>
      <w:r w:rsidR="005A68E4" w:rsidRPr="005A3F47">
        <w:rPr>
          <w:noProof/>
        </w:rPr>
        <w:t xml:space="preserve"> </w:t>
      </w:r>
      <w:r w:rsidR="00786469" w:rsidRPr="005A3F47">
        <w:rPr>
          <w:noProof/>
        </w:rPr>
        <w:t xml:space="preserve">The </w:t>
      </w:r>
      <w:r w:rsidR="000A7FBA" w:rsidRPr="005A3F47">
        <w:rPr>
          <w:noProof/>
        </w:rPr>
        <w:t xml:space="preserve">fixed ratio </w:t>
      </w:r>
      <w:r w:rsidR="003D1DB8" w:rsidRPr="005A3F47">
        <w:rPr>
          <w:noProof/>
        </w:rPr>
        <w:t>rule stems from</w:t>
      </w:r>
      <w:r w:rsidR="00602033" w:rsidRPr="005A3F47">
        <w:rPr>
          <w:noProof/>
        </w:rPr>
        <w:t xml:space="preserve"> the</w:t>
      </w:r>
      <w:r w:rsidR="003D1DB8" w:rsidRPr="005A3F47">
        <w:rPr>
          <w:noProof/>
        </w:rPr>
        <w:t xml:space="preserve"> OECD’s BEPS Action 4</w:t>
      </w:r>
      <w:r w:rsidR="009F00D5" w:rsidRPr="005A3F47">
        <w:rPr>
          <w:noProof/>
        </w:rPr>
        <w:t xml:space="preserve">, where it is </w:t>
      </w:r>
      <w:r w:rsidR="00F73BB2" w:rsidRPr="005A3F47">
        <w:rPr>
          <w:noProof/>
        </w:rPr>
        <w:t>recommended</w:t>
      </w:r>
      <w:r w:rsidR="008A094C" w:rsidRPr="005A3F47">
        <w:rPr>
          <w:noProof/>
        </w:rPr>
        <w:t xml:space="preserve"> </w:t>
      </w:r>
      <w:r w:rsidR="009C5684" w:rsidRPr="005A3F47">
        <w:rPr>
          <w:noProof/>
        </w:rPr>
        <w:t>to set a</w:t>
      </w:r>
      <w:r w:rsidR="007B4400" w:rsidRPr="005A3F47">
        <w:rPr>
          <w:noProof/>
        </w:rPr>
        <w:t xml:space="preserve"> coordinated</w:t>
      </w:r>
      <w:r w:rsidR="009C5684" w:rsidRPr="005A3F47">
        <w:rPr>
          <w:noProof/>
        </w:rPr>
        <w:t xml:space="preserve"> fixed ratio</w:t>
      </w:r>
      <w:r w:rsidR="00E24BAA" w:rsidRPr="005A3F47">
        <w:rPr>
          <w:noProof/>
        </w:rPr>
        <w:t xml:space="preserve"> benchmark</w:t>
      </w:r>
      <w:r w:rsidR="009C5684" w:rsidRPr="005A3F47">
        <w:rPr>
          <w:noProof/>
        </w:rPr>
        <w:t xml:space="preserve"> </w:t>
      </w:r>
      <w:r w:rsidR="00F73BB2" w:rsidRPr="005A3F47">
        <w:rPr>
          <w:noProof/>
        </w:rPr>
        <w:t xml:space="preserve">to </w:t>
      </w:r>
      <w:r w:rsidR="009C5684" w:rsidRPr="005A3F47">
        <w:rPr>
          <w:noProof/>
        </w:rPr>
        <w:t>reduce the risk that countries will be driven to apply a</w:t>
      </w:r>
      <w:r w:rsidR="00AF2AF7" w:rsidRPr="005A3F47">
        <w:rPr>
          <w:noProof/>
        </w:rPr>
        <w:t xml:space="preserve"> </w:t>
      </w:r>
      <w:r w:rsidR="009C5684" w:rsidRPr="005A3F47">
        <w:rPr>
          <w:noProof/>
        </w:rPr>
        <w:t>ratio which is too high to address base erosion and profit shifting risks</w:t>
      </w:r>
      <w:r w:rsidR="00F73BB2" w:rsidRPr="005A3F47">
        <w:rPr>
          <w:noProof/>
        </w:rPr>
        <w:t>.</w:t>
      </w:r>
      <w:r w:rsidR="00757830" w:rsidRPr="005A3F47">
        <w:rPr>
          <w:noProof/>
        </w:rPr>
        <w:t xml:space="preserve"> On this basis,</w:t>
      </w:r>
      <w:r w:rsidR="00C04CD3" w:rsidRPr="005A3F47">
        <w:rPr>
          <w:noProof/>
        </w:rPr>
        <w:t xml:space="preserve"> in 2016,</w:t>
      </w:r>
      <w:r w:rsidR="00757830" w:rsidRPr="005A3F47">
        <w:rPr>
          <w:noProof/>
        </w:rPr>
        <w:t xml:space="preserve"> the OECD recommend</w:t>
      </w:r>
      <w:r w:rsidR="00A55D1F" w:rsidRPr="005A3F47">
        <w:rPr>
          <w:noProof/>
        </w:rPr>
        <w:t>ed</w:t>
      </w:r>
      <w:r w:rsidR="00757830" w:rsidRPr="005A3F47">
        <w:rPr>
          <w:noProof/>
        </w:rPr>
        <w:t xml:space="preserve"> </w:t>
      </w:r>
      <w:r w:rsidR="00984247" w:rsidRPr="005A3F47">
        <w:rPr>
          <w:noProof/>
        </w:rPr>
        <w:t xml:space="preserve">applying a net interest/EBITDA ratio set </w:t>
      </w:r>
      <w:r w:rsidR="00CC4599" w:rsidRPr="005A3F47">
        <w:rPr>
          <w:noProof/>
        </w:rPr>
        <w:t>at</w:t>
      </w:r>
      <w:r w:rsidR="00984247" w:rsidRPr="005A3F47">
        <w:rPr>
          <w:noProof/>
        </w:rPr>
        <w:t xml:space="preserve"> fixed ratio within a corridor of 10% to 30%. </w:t>
      </w:r>
      <w:r w:rsidR="00594B4C" w:rsidRPr="005A3F47">
        <w:rPr>
          <w:noProof/>
        </w:rPr>
        <w:t>Once a benchmark fixed ratio exceeds 30%, the rate at which more groups are able to deduct all of their net third party interest expense increases more slowly.</w:t>
      </w:r>
      <w:r w:rsidR="00924482" w:rsidRPr="005A3F47">
        <w:rPr>
          <w:rStyle w:val="FootnoteReference"/>
          <w:noProof/>
        </w:rPr>
        <w:footnoteReference w:id="78"/>
      </w:r>
    </w:p>
    <w:p w14:paraId="687834EA" w14:textId="27C844D2" w:rsidR="00E0697D" w:rsidRPr="005A3F47" w:rsidRDefault="00192501" w:rsidP="00E0697D">
      <w:pPr>
        <w:rPr>
          <w:noProof/>
        </w:rPr>
      </w:pPr>
      <w:r w:rsidRPr="005A3F47">
        <w:rPr>
          <w:noProof/>
        </w:rPr>
        <w:t xml:space="preserve">More recent data shows that </w:t>
      </w:r>
      <w:r w:rsidR="004869AD" w:rsidRPr="005A3F47">
        <w:rPr>
          <w:noProof/>
        </w:rPr>
        <w:t>a 30% threshold w</w:t>
      </w:r>
      <w:r w:rsidR="00143CDC" w:rsidRPr="005A3F47">
        <w:rPr>
          <w:noProof/>
        </w:rPr>
        <w:t>ould</w:t>
      </w:r>
      <w:r w:rsidR="00E0697D" w:rsidRPr="005A3F47">
        <w:rPr>
          <w:noProof/>
        </w:rPr>
        <w:t xml:space="preserve"> allow most groups to fully deduct their third-party interest expenses</w:t>
      </w:r>
      <w:r w:rsidR="0021770D" w:rsidRPr="005A3F47">
        <w:rPr>
          <w:noProof/>
        </w:rPr>
        <w:t xml:space="preserve">. </w:t>
      </w:r>
      <w:r w:rsidR="00CB7524" w:rsidRPr="005A3F47">
        <w:rPr>
          <w:noProof/>
        </w:rPr>
        <w:t>As a result, the</w:t>
      </w:r>
      <w:r w:rsidR="006B0B04" w:rsidRPr="005A3F47">
        <w:rPr>
          <w:noProof/>
        </w:rPr>
        <w:t xml:space="preserve"> is no need to</w:t>
      </w:r>
      <w:r w:rsidR="00E0697D" w:rsidRPr="005A3F47">
        <w:rPr>
          <w:noProof/>
        </w:rPr>
        <w:t xml:space="preserve"> </w:t>
      </w:r>
      <w:r w:rsidR="00AF13A1" w:rsidRPr="005A3F47">
        <w:rPr>
          <w:noProof/>
        </w:rPr>
        <w:t>adjust</w:t>
      </w:r>
      <w:r w:rsidR="00E0697D" w:rsidRPr="005A3F47">
        <w:rPr>
          <w:noProof/>
        </w:rPr>
        <w:t xml:space="preserve"> the 30% threshol</w:t>
      </w:r>
      <w:r w:rsidR="00B77E00" w:rsidRPr="005A3F47">
        <w:rPr>
          <w:noProof/>
        </w:rPr>
        <w:t>d</w:t>
      </w:r>
      <w:r w:rsidR="00336327" w:rsidRPr="005A3F47">
        <w:rPr>
          <w:noProof/>
        </w:rPr>
        <w:t xml:space="preserve"> to </w:t>
      </w:r>
      <w:r w:rsidR="008B1606" w:rsidRPr="005A3F47">
        <w:rPr>
          <w:noProof/>
        </w:rPr>
        <w:t xml:space="preserve">retain its objective. </w:t>
      </w:r>
    </w:p>
    <w:p w14:paraId="44C38B25" w14:textId="1F9A3B25" w:rsidR="0060642D" w:rsidRPr="005A3F47" w:rsidRDefault="00AD0069" w:rsidP="00D819A3">
      <w:pPr>
        <w:pStyle w:val="Heading4"/>
        <w:numPr>
          <w:ilvl w:val="3"/>
          <w:numId w:val="185"/>
        </w:numPr>
        <w:rPr>
          <w:rFonts w:eastAsia="Aptos"/>
          <w:noProof/>
        </w:rPr>
      </w:pPr>
      <w:r w:rsidRPr="005A3F47">
        <w:rPr>
          <w:rFonts w:eastAsia="Aptos"/>
          <w:noProof/>
        </w:rPr>
        <w:t xml:space="preserve"> </w:t>
      </w:r>
      <w:r w:rsidR="0078502F" w:rsidRPr="005A3F47">
        <w:rPr>
          <w:rFonts w:eastAsia="Aptos"/>
          <w:noProof/>
        </w:rPr>
        <w:t xml:space="preserve">Option </w:t>
      </w:r>
      <w:r w:rsidR="0060642D" w:rsidRPr="005A3F47">
        <w:rPr>
          <w:rFonts w:eastAsia="Aptos"/>
          <w:noProof/>
        </w:rPr>
        <w:t>3</w:t>
      </w:r>
      <w:r w:rsidR="0078502F" w:rsidRPr="005A3F47">
        <w:rPr>
          <w:rFonts w:eastAsia="Aptos"/>
          <w:noProof/>
        </w:rPr>
        <w:t xml:space="preserve">: </w:t>
      </w:r>
      <w:r w:rsidR="00585B06" w:rsidRPr="005A3F47">
        <w:rPr>
          <w:noProof/>
        </w:rPr>
        <w:t>Reduce implementation options</w:t>
      </w:r>
    </w:p>
    <w:p w14:paraId="63FE8AD8" w14:textId="23BB82A7" w:rsidR="00151D64" w:rsidRPr="005A3F47" w:rsidRDefault="00210935" w:rsidP="00C61318">
      <w:pPr>
        <w:rPr>
          <w:noProof/>
        </w:rPr>
      </w:pPr>
      <w:r w:rsidRPr="005A3F47">
        <w:rPr>
          <w:noProof/>
        </w:rPr>
        <w:t>This option</w:t>
      </w:r>
      <w:r w:rsidR="009F2D28" w:rsidRPr="005A3F47">
        <w:rPr>
          <w:noProof/>
        </w:rPr>
        <w:t xml:space="preserve"> </w:t>
      </w:r>
      <w:r w:rsidR="001651AA" w:rsidRPr="005A3F47">
        <w:rPr>
          <w:noProof/>
        </w:rPr>
        <w:t xml:space="preserve">would </w:t>
      </w:r>
      <w:r w:rsidR="009F2D28" w:rsidRPr="005A3F47">
        <w:rPr>
          <w:noProof/>
        </w:rPr>
        <w:t>seek to limit the</w:t>
      </w:r>
      <w:r w:rsidR="00FE3901" w:rsidRPr="005A3F47">
        <w:rPr>
          <w:noProof/>
        </w:rPr>
        <w:t xml:space="preserve"> </w:t>
      </w:r>
      <w:r w:rsidR="004F5FB1" w:rsidRPr="005A3F47">
        <w:rPr>
          <w:noProof/>
        </w:rPr>
        <w:t xml:space="preserve">implementation </w:t>
      </w:r>
      <w:r w:rsidR="00796496" w:rsidRPr="005A3F47">
        <w:rPr>
          <w:noProof/>
        </w:rPr>
        <w:t>variations</w:t>
      </w:r>
      <w:r w:rsidR="004F5FB1" w:rsidRPr="005A3F47">
        <w:rPr>
          <w:noProof/>
        </w:rPr>
        <w:t xml:space="preserve"> </w:t>
      </w:r>
      <w:r w:rsidR="00AC4582" w:rsidRPr="005A3F47">
        <w:rPr>
          <w:noProof/>
        </w:rPr>
        <w:t xml:space="preserve">of the </w:t>
      </w:r>
      <w:r w:rsidR="005D6B91" w:rsidRPr="005A3F47">
        <w:rPr>
          <w:noProof/>
        </w:rPr>
        <w:t>I</w:t>
      </w:r>
      <w:r w:rsidR="009C5985" w:rsidRPr="005A3F47">
        <w:rPr>
          <w:noProof/>
        </w:rPr>
        <w:t xml:space="preserve">nterest </w:t>
      </w:r>
      <w:r w:rsidR="005D6B91" w:rsidRPr="005A3F47">
        <w:rPr>
          <w:noProof/>
        </w:rPr>
        <w:t>L</w:t>
      </w:r>
      <w:r w:rsidR="009C5985" w:rsidRPr="005A3F47">
        <w:rPr>
          <w:noProof/>
        </w:rPr>
        <w:t xml:space="preserve">imitation </w:t>
      </w:r>
      <w:r w:rsidR="005D6B91" w:rsidRPr="005A3F47">
        <w:rPr>
          <w:noProof/>
        </w:rPr>
        <w:t>R</w:t>
      </w:r>
      <w:r w:rsidR="009C5985" w:rsidRPr="005A3F47">
        <w:rPr>
          <w:noProof/>
        </w:rPr>
        <w:t>ule</w:t>
      </w:r>
      <w:r w:rsidR="00AC4582" w:rsidRPr="005A3F47">
        <w:rPr>
          <w:noProof/>
        </w:rPr>
        <w:t xml:space="preserve"> </w:t>
      </w:r>
      <w:r w:rsidR="00A22910" w:rsidRPr="005A3F47">
        <w:rPr>
          <w:noProof/>
        </w:rPr>
        <w:t xml:space="preserve">by making </w:t>
      </w:r>
      <w:r w:rsidR="00036431" w:rsidRPr="005A3F47">
        <w:rPr>
          <w:noProof/>
        </w:rPr>
        <w:t xml:space="preserve">two or </w:t>
      </w:r>
      <w:r w:rsidR="00A22910" w:rsidRPr="005A3F47">
        <w:rPr>
          <w:noProof/>
        </w:rPr>
        <w:t xml:space="preserve">three </w:t>
      </w:r>
      <w:r w:rsidR="00A34B18" w:rsidRPr="005A3F47">
        <w:rPr>
          <w:noProof/>
        </w:rPr>
        <w:t>of</w:t>
      </w:r>
      <w:r w:rsidR="00A22910" w:rsidRPr="005A3F47">
        <w:rPr>
          <w:noProof/>
        </w:rPr>
        <w:t xml:space="preserve"> the current options mandatory</w:t>
      </w:r>
      <w:r w:rsidR="4FEF4623" w:rsidRPr="005A3F47">
        <w:rPr>
          <w:noProof/>
        </w:rPr>
        <w:t>.</w:t>
      </w:r>
      <w:r w:rsidR="00973C95" w:rsidRPr="005A3F47">
        <w:rPr>
          <w:noProof/>
        </w:rPr>
        <w:t xml:space="preserve"> </w:t>
      </w:r>
    </w:p>
    <w:p w14:paraId="1C2EB3AB" w14:textId="468F8E83" w:rsidR="00A763AB" w:rsidRPr="005A3F47" w:rsidRDefault="009F2CC3" w:rsidP="00D352B6">
      <w:pPr>
        <w:rPr>
          <w:noProof/>
        </w:rPr>
      </w:pPr>
      <w:r w:rsidRPr="005A3F47">
        <w:rPr>
          <w:noProof/>
        </w:rPr>
        <w:t>Firstly,</w:t>
      </w:r>
      <w:r w:rsidR="00D352B6" w:rsidRPr="005A3F47">
        <w:rPr>
          <w:noProof/>
        </w:rPr>
        <w:t xml:space="preserve"> the </w:t>
      </w:r>
      <w:r w:rsidR="00D352B6" w:rsidRPr="005A3F47">
        <w:rPr>
          <w:b/>
          <w:noProof/>
        </w:rPr>
        <w:t>group escape rule</w:t>
      </w:r>
      <w:r w:rsidR="00210935" w:rsidRPr="005A3F47">
        <w:rPr>
          <w:noProof/>
        </w:rPr>
        <w:t xml:space="preserve"> would be mandatory</w:t>
      </w:r>
      <w:r w:rsidR="00A763AB" w:rsidRPr="005A3F47">
        <w:rPr>
          <w:noProof/>
        </w:rPr>
        <w:t>.</w:t>
      </w:r>
      <w:r w:rsidR="00270051" w:rsidRPr="005A3F47">
        <w:rPr>
          <w:noProof/>
        </w:rPr>
        <w:t xml:space="preserve"> </w:t>
      </w:r>
      <w:r w:rsidR="00C61318" w:rsidRPr="005A3F47">
        <w:rPr>
          <w:noProof/>
        </w:rPr>
        <w:t>As it currently stands, Article 4(5) of the ATAD provides Member States with the option to introduce a group escape rule for taxpayers that are members of a consolidated group for financial accounting purposes. This exclusion can take either of the two following forms:</w:t>
      </w:r>
      <w:r w:rsidR="00EB5FE1" w:rsidRPr="005A3F47">
        <w:rPr>
          <w:noProof/>
        </w:rPr>
        <w:t xml:space="preserve"> (i) </w:t>
      </w:r>
      <w:r w:rsidR="00C61318" w:rsidRPr="005A3F47">
        <w:rPr>
          <w:noProof/>
        </w:rPr>
        <w:t xml:space="preserve">the equity escape rule, under which the </w:t>
      </w:r>
      <w:r w:rsidR="6F8115F8" w:rsidRPr="005A3F47">
        <w:rPr>
          <w:noProof/>
        </w:rPr>
        <w:t>I</w:t>
      </w:r>
      <w:r w:rsidR="009C5985" w:rsidRPr="005A3F47">
        <w:rPr>
          <w:noProof/>
        </w:rPr>
        <w:t xml:space="preserve">nterest </w:t>
      </w:r>
      <w:r w:rsidR="6F8115F8" w:rsidRPr="005A3F47">
        <w:rPr>
          <w:noProof/>
        </w:rPr>
        <w:t>L</w:t>
      </w:r>
      <w:r w:rsidR="009C5985" w:rsidRPr="005A3F47">
        <w:rPr>
          <w:noProof/>
        </w:rPr>
        <w:t xml:space="preserve">imitation </w:t>
      </w:r>
      <w:r w:rsidR="6F8115F8" w:rsidRPr="005A3F47">
        <w:rPr>
          <w:noProof/>
        </w:rPr>
        <w:t>R</w:t>
      </w:r>
      <w:r w:rsidR="009C5985" w:rsidRPr="005A3F47">
        <w:rPr>
          <w:noProof/>
        </w:rPr>
        <w:t>ule</w:t>
      </w:r>
      <w:r w:rsidR="6F8115F8" w:rsidRPr="005A3F47">
        <w:rPr>
          <w:noProof/>
        </w:rPr>
        <w:t xml:space="preserve"> </w:t>
      </w:r>
      <w:r w:rsidR="00C61318" w:rsidRPr="005A3F47">
        <w:rPr>
          <w:noProof/>
        </w:rPr>
        <w:t>does not apply if the company can demonstrate that its equity over total assets ratio is broadly equal to, or higher than, the equivalent group ratio</w:t>
      </w:r>
      <w:r w:rsidR="00EB5FE1" w:rsidRPr="005A3F47">
        <w:rPr>
          <w:noProof/>
        </w:rPr>
        <w:t xml:space="preserve">, or (ii) </w:t>
      </w:r>
      <w:r w:rsidR="00C61318" w:rsidRPr="005A3F47">
        <w:rPr>
          <w:noProof/>
        </w:rPr>
        <w:t xml:space="preserve">the group ratio rule, under which a taxpayer can deduct higher amounts of exceeding borrowing costs, taking into account the indebtedness of the overall group at worldwide level. </w:t>
      </w:r>
    </w:p>
    <w:p w14:paraId="21529C2A" w14:textId="42B23642" w:rsidR="00D352B6" w:rsidRPr="005A3F47" w:rsidRDefault="004C75B0" w:rsidP="00813A27">
      <w:pPr>
        <w:rPr>
          <w:noProof/>
        </w:rPr>
      </w:pPr>
      <w:r w:rsidRPr="005A3F47">
        <w:rPr>
          <w:noProof/>
        </w:rPr>
        <w:t xml:space="preserve">Secondly, </w:t>
      </w:r>
      <w:r w:rsidR="00D352B6" w:rsidRPr="005A3F47">
        <w:rPr>
          <w:noProof/>
        </w:rPr>
        <w:t xml:space="preserve">the </w:t>
      </w:r>
      <w:r w:rsidR="00D352B6" w:rsidRPr="005A3F47">
        <w:rPr>
          <w:b/>
          <w:noProof/>
        </w:rPr>
        <w:t>carry-forward mechanism</w:t>
      </w:r>
      <w:r w:rsidR="00D352B6" w:rsidRPr="005A3F47">
        <w:rPr>
          <w:noProof/>
        </w:rPr>
        <w:t xml:space="preserve"> </w:t>
      </w:r>
      <w:r w:rsidR="00813A27" w:rsidRPr="005A3F47">
        <w:rPr>
          <w:noProof/>
        </w:rPr>
        <w:t xml:space="preserve">would be </w:t>
      </w:r>
      <w:r w:rsidR="00D352B6" w:rsidRPr="005A3F47">
        <w:rPr>
          <w:noProof/>
        </w:rPr>
        <w:t xml:space="preserve">mandatory to ensure that the rule accommodates fluctuations in taxpayer’s profitability and offers support to startups.  </w:t>
      </w:r>
    </w:p>
    <w:p w14:paraId="65A740F0" w14:textId="4613AF3D" w:rsidR="00AD5CD0" w:rsidRPr="005A3F47" w:rsidRDefault="005977CB" w:rsidP="006D7CD1">
      <w:pPr>
        <w:rPr>
          <w:noProof/>
        </w:rPr>
      </w:pPr>
      <w:r w:rsidRPr="005A3F47">
        <w:rPr>
          <w:noProof/>
        </w:rPr>
        <w:t>Thirdly, the</w:t>
      </w:r>
      <w:r w:rsidR="00D352B6" w:rsidRPr="005A3F47">
        <w:rPr>
          <w:noProof/>
        </w:rPr>
        <w:t xml:space="preserve"> </w:t>
      </w:r>
      <w:r w:rsidR="00D352B6" w:rsidRPr="005A3F47">
        <w:rPr>
          <w:b/>
          <w:bCs/>
          <w:noProof/>
        </w:rPr>
        <w:t xml:space="preserve">exclusion for long-term public infrastructure projects </w:t>
      </w:r>
      <w:r w:rsidR="01BAF267" w:rsidRPr="005A3F47">
        <w:rPr>
          <w:noProof/>
        </w:rPr>
        <w:t>c</w:t>
      </w:r>
      <w:r w:rsidR="66B479C2" w:rsidRPr="005A3F47">
        <w:rPr>
          <w:noProof/>
        </w:rPr>
        <w:t>ould</w:t>
      </w:r>
      <w:r w:rsidR="00A0340B" w:rsidRPr="005A3F47">
        <w:rPr>
          <w:noProof/>
        </w:rPr>
        <w:t xml:space="preserve"> be </w:t>
      </w:r>
      <w:r w:rsidR="00FC52DE" w:rsidRPr="005A3F47">
        <w:rPr>
          <w:noProof/>
        </w:rPr>
        <w:t>reconsidered</w:t>
      </w:r>
      <w:r w:rsidR="00352DEF" w:rsidRPr="005A3F47">
        <w:rPr>
          <w:noProof/>
        </w:rPr>
        <w:t>.</w:t>
      </w:r>
      <w:r w:rsidR="00005C43" w:rsidRPr="005A3F47">
        <w:rPr>
          <w:noProof/>
        </w:rPr>
        <w:t xml:space="preserve"> </w:t>
      </w:r>
      <w:r w:rsidR="00CA79AD" w:rsidRPr="005A3F47">
        <w:rPr>
          <w:noProof/>
        </w:rPr>
        <w:t xml:space="preserve">It </w:t>
      </w:r>
      <w:r w:rsidR="01BAF267" w:rsidRPr="005A3F47">
        <w:rPr>
          <w:noProof/>
        </w:rPr>
        <w:t>c</w:t>
      </w:r>
      <w:r w:rsidR="53DB1152" w:rsidRPr="005A3F47">
        <w:rPr>
          <w:noProof/>
        </w:rPr>
        <w:t>ould</w:t>
      </w:r>
      <w:r w:rsidR="00CA79AD" w:rsidRPr="005A3F47">
        <w:rPr>
          <w:noProof/>
        </w:rPr>
        <w:t xml:space="preserve">, for instance, also be possible to exclude </w:t>
      </w:r>
      <w:r w:rsidR="00D352B6" w:rsidRPr="005A3F47">
        <w:rPr>
          <w:noProof/>
        </w:rPr>
        <w:t>social housing</w:t>
      </w:r>
      <w:r w:rsidR="0046160F" w:rsidRPr="005A3F47">
        <w:rPr>
          <w:noProof/>
        </w:rPr>
        <w:t xml:space="preserve"> activities</w:t>
      </w:r>
      <w:r w:rsidR="0037455E" w:rsidRPr="005A3F47">
        <w:rPr>
          <w:noProof/>
        </w:rPr>
        <w:t>.</w:t>
      </w:r>
      <w:r w:rsidR="00B723F2" w:rsidRPr="005A3F47">
        <w:rPr>
          <w:noProof/>
        </w:rPr>
        <w:t xml:space="preserve"> Some Member States have already introduced </w:t>
      </w:r>
      <w:r w:rsidR="00193EC9" w:rsidRPr="005A3F47">
        <w:rPr>
          <w:noProof/>
        </w:rPr>
        <w:t xml:space="preserve">a similar </w:t>
      </w:r>
      <w:r w:rsidR="00005C43" w:rsidRPr="005A3F47">
        <w:rPr>
          <w:noProof/>
        </w:rPr>
        <w:t>exclusion</w:t>
      </w:r>
      <w:r w:rsidR="0031473E" w:rsidRPr="005A3F47">
        <w:rPr>
          <w:noProof/>
        </w:rPr>
        <w:t xml:space="preserve">. </w:t>
      </w:r>
      <w:r w:rsidR="53DB1152" w:rsidRPr="005A3F47">
        <w:rPr>
          <w:noProof/>
        </w:rPr>
        <w:t>Providing</w:t>
      </w:r>
      <w:r w:rsidR="00CA79AD" w:rsidRPr="005A3F47">
        <w:rPr>
          <w:noProof/>
        </w:rPr>
        <w:t xml:space="preserve"> legal clarity on this possibility</w:t>
      </w:r>
      <w:r w:rsidR="00193EC9" w:rsidRPr="005A3F47">
        <w:rPr>
          <w:noProof/>
        </w:rPr>
        <w:t xml:space="preserve"> would</w:t>
      </w:r>
      <w:r w:rsidR="00F167DE" w:rsidRPr="005A3F47">
        <w:rPr>
          <w:noProof/>
        </w:rPr>
        <w:t xml:space="preserve"> contribute to the Commission’s policy </w:t>
      </w:r>
      <w:r w:rsidR="00F81620" w:rsidRPr="005A3F47">
        <w:rPr>
          <w:noProof/>
        </w:rPr>
        <w:t>on addressing the housing crisis</w:t>
      </w:r>
      <w:r w:rsidR="00363680" w:rsidRPr="005A3F47">
        <w:rPr>
          <w:noProof/>
        </w:rPr>
        <w:t xml:space="preserve"> and ensure coherence of the approach across Member States, which would significantly facilitate operations on a cross-border basis for companies supporting this critical policy area</w:t>
      </w:r>
      <w:r w:rsidR="00F81620" w:rsidRPr="005A3F47">
        <w:rPr>
          <w:noProof/>
        </w:rPr>
        <w:t xml:space="preserve">. </w:t>
      </w:r>
      <w:r w:rsidR="53DB1152" w:rsidRPr="005A3F47">
        <w:rPr>
          <w:noProof/>
        </w:rPr>
        <w:t>In</w:t>
      </w:r>
      <w:r w:rsidR="00CA79AD" w:rsidRPr="005A3F47">
        <w:rPr>
          <w:noProof/>
        </w:rPr>
        <w:t xml:space="preserve"> addition, there </w:t>
      </w:r>
      <w:r w:rsidR="01BAF267" w:rsidRPr="005A3F47">
        <w:rPr>
          <w:noProof/>
        </w:rPr>
        <w:t>c</w:t>
      </w:r>
      <w:r w:rsidR="53DB1152" w:rsidRPr="005A3F47">
        <w:rPr>
          <w:noProof/>
        </w:rPr>
        <w:t>ould</w:t>
      </w:r>
      <w:r w:rsidR="00CA79AD" w:rsidRPr="005A3F47">
        <w:rPr>
          <w:noProof/>
        </w:rPr>
        <w:t xml:space="preserve"> be a separate, mandatory</w:t>
      </w:r>
      <w:r w:rsidR="00F81620" w:rsidRPr="005A3F47">
        <w:rPr>
          <w:noProof/>
        </w:rPr>
        <w:t xml:space="preserve"> exclusion</w:t>
      </w:r>
      <w:r w:rsidR="00507197" w:rsidRPr="005A3F47">
        <w:rPr>
          <w:noProof/>
        </w:rPr>
        <w:t xml:space="preserve"> </w:t>
      </w:r>
      <w:r w:rsidR="00CA79AD" w:rsidRPr="005A3F47">
        <w:rPr>
          <w:noProof/>
        </w:rPr>
        <w:t xml:space="preserve">to </w:t>
      </w:r>
      <w:r w:rsidR="00F81620" w:rsidRPr="005A3F47" w:rsidDel="0031654F">
        <w:rPr>
          <w:noProof/>
        </w:rPr>
        <w:t>cover</w:t>
      </w:r>
      <w:r w:rsidR="224102D5" w:rsidRPr="005A3F47">
        <w:rPr>
          <w:noProof/>
        </w:rPr>
        <w:t xml:space="preserve"> </w:t>
      </w:r>
      <w:r w:rsidR="00511175" w:rsidRPr="005A3F47">
        <w:rPr>
          <w:noProof/>
        </w:rPr>
        <w:t xml:space="preserve">the </w:t>
      </w:r>
      <w:r w:rsidR="596749CE" w:rsidRPr="005A3F47">
        <w:rPr>
          <w:noProof/>
        </w:rPr>
        <w:t>defence</w:t>
      </w:r>
      <w:r w:rsidR="00511175" w:rsidRPr="005A3F47">
        <w:rPr>
          <w:noProof/>
        </w:rPr>
        <w:t xml:space="preserve"> sector</w:t>
      </w:r>
      <w:r w:rsidR="00363680" w:rsidRPr="005A3F47">
        <w:rPr>
          <w:noProof/>
        </w:rPr>
        <w:t>, which would also</w:t>
      </w:r>
      <w:r w:rsidR="2AEE9AA5" w:rsidRPr="005A3F47">
        <w:rPr>
          <w:noProof/>
        </w:rPr>
        <w:t xml:space="preserve"> </w:t>
      </w:r>
      <w:r w:rsidR="00DA672D" w:rsidRPr="005A3F47">
        <w:rPr>
          <w:noProof/>
        </w:rPr>
        <w:t xml:space="preserve">be in line with the Commission’s </w:t>
      </w:r>
      <w:r w:rsidR="00F9441C" w:rsidRPr="005A3F47">
        <w:rPr>
          <w:noProof/>
        </w:rPr>
        <w:t>policies on addressing security and defence challenges</w:t>
      </w:r>
      <w:r w:rsidR="00AB1B6C" w:rsidRPr="005A3F47">
        <w:rPr>
          <w:noProof/>
        </w:rPr>
        <w:t>,</w:t>
      </w:r>
      <w:r w:rsidR="008738D5" w:rsidRPr="005A3F47">
        <w:rPr>
          <w:noProof/>
        </w:rPr>
        <w:t xml:space="preserve"> and be</w:t>
      </w:r>
      <w:r w:rsidR="00AB1B6C" w:rsidRPr="005A3F47">
        <w:rPr>
          <w:noProof/>
        </w:rPr>
        <w:t xml:space="preserve"> </w:t>
      </w:r>
      <w:r w:rsidR="3B56A05E" w:rsidRPr="005A3F47">
        <w:rPr>
          <w:noProof/>
        </w:rPr>
        <w:t>consistent</w:t>
      </w:r>
      <w:r w:rsidR="005F7DD6" w:rsidRPr="005A3F47">
        <w:rPr>
          <w:noProof/>
        </w:rPr>
        <w:t xml:space="preserve"> with the </w:t>
      </w:r>
      <w:r w:rsidR="00F24E2E" w:rsidRPr="005A3F47">
        <w:rPr>
          <w:noProof/>
        </w:rPr>
        <w:t>European Council’s</w:t>
      </w:r>
      <w:r w:rsidR="00261E70" w:rsidRPr="005A3F47">
        <w:rPr>
          <w:noProof/>
        </w:rPr>
        <w:t xml:space="preserve"> </w:t>
      </w:r>
      <w:r w:rsidR="00F24E2E" w:rsidRPr="005A3F47">
        <w:rPr>
          <w:noProof/>
        </w:rPr>
        <w:t>call</w:t>
      </w:r>
      <w:r w:rsidR="005F7DD6" w:rsidRPr="005A3F47">
        <w:rPr>
          <w:noProof/>
        </w:rPr>
        <w:t xml:space="preserve"> to accelerate the work on all strands to decisively ram</w:t>
      </w:r>
      <w:r w:rsidR="00025A2E" w:rsidRPr="005A3F47">
        <w:rPr>
          <w:noProof/>
        </w:rPr>
        <w:t>p</w:t>
      </w:r>
      <w:r w:rsidR="005F7DD6" w:rsidRPr="005A3F47">
        <w:rPr>
          <w:noProof/>
        </w:rPr>
        <w:t xml:space="preserve"> up Europe’s defence readiness within the next five years</w:t>
      </w:r>
      <w:r w:rsidR="00460844" w:rsidRPr="005A3F47">
        <w:rPr>
          <w:rStyle w:val="FootnoteReference"/>
          <w:noProof/>
        </w:rPr>
        <w:footnoteReference w:id="79"/>
      </w:r>
      <w:r w:rsidR="005F7DD6" w:rsidRPr="005A3F47">
        <w:rPr>
          <w:noProof/>
        </w:rPr>
        <w:t xml:space="preserve">. </w:t>
      </w:r>
      <w:r w:rsidR="008738D5" w:rsidRPr="005A3F47">
        <w:rPr>
          <w:noProof/>
        </w:rPr>
        <w:t>I</w:t>
      </w:r>
      <w:r w:rsidR="009339D5" w:rsidRPr="005A3F47">
        <w:rPr>
          <w:noProof/>
        </w:rPr>
        <w:t xml:space="preserve">n light of that very </w:t>
      </w:r>
      <w:r w:rsidR="006B510C" w:rsidRPr="005A3F47">
        <w:rPr>
          <w:noProof/>
        </w:rPr>
        <w:t>call</w:t>
      </w:r>
      <w:r w:rsidR="009339D5" w:rsidRPr="005A3F47">
        <w:rPr>
          <w:noProof/>
        </w:rPr>
        <w:t>, this particular exclusion would, howe</w:t>
      </w:r>
      <w:r w:rsidR="008738D5" w:rsidRPr="005A3F47">
        <w:rPr>
          <w:noProof/>
        </w:rPr>
        <w:t>ver, be applied on a temporary basis</w:t>
      </w:r>
      <w:r w:rsidR="009339D5" w:rsidRPr="005A3F47">
        <w:rPr>
          <w:noProof/>
        </w:rPr>
        <w:t>,</w:t>
      </w:r>
      <w:r w:rsidR="008738D5" w:rsidRPr="005A3F47">
        <w:rPr>
          <w:noProof/>
        </w:rPr>
        <w:t xml:space="preserve"> allowing for the EU to review whether targeted support of this policy </w:t>
      </w:r>
      <w:r w:rsidR="009339D5" w:rsidRPr="005A3F47">
        <w:rPr>
          <w:noProof/>
        </w:rPr>
        <w:t>remains of equal priority over the long-term.</w:t>
      </w:r>
      <w:r w:rsidR="008738D5" w:rsidRPr="005A3F47">
        <w:rPr>
          <w:noProof/>
        </w:rPr>
        <w:t xml:space="preserve"> </w:t>
      </w:r>
    </w:p>
    <w:p w14:paraId="6CAAEDC4" w14:textId="618CDC75" w:rsidR="007B2D66" w:rsidRPr="005A3F47" w:rsidRDefault="007B2D66" w:rsidP="00D651C4">
      <w:pPr>
        <w:rPr>
          <w:noProof/>
        </w:rPr>
      </w:pPr>
      <w:r w:rsidRPr="005A3F47">
        <w:rPr>
          <w:noProof/>
        </w:rPr>
        <w:t xml:space="preserve">By making </w:t>
      </w:r>
      <w:r w:rsidR="009F1F87" w:rsidRPr="005A3F47">
        <w:rPr>
          <w:noProof/>
        </w:rPr>
        <w:t>such</w:t>
      </w:r>
      <w:r w:rsidRPr="005A3F47">
        <w:rPr>
          <w:noProof/>
        </w:rPr>
        <w:t xml:space="preserve"> rules mandatory, </w:t>
      </w:r>
      <w:r w:rsidR="00DF2DC1" w:rsidRPr="005A3F47">
        <w:rPr>
          <w:noProof/>
        </w:rPr>
        <w:t xml:space="preserve">this option </w:t>
      </w:r>
      <w:r w:rsidR="001E496F" w:rsidRPr="005A3F47">
        <w:rPr>
          <w:noProof/>
        </w:rPr>
        <w:t xml:space="preserve">would make the application of the </w:t>
      </w:r>
      <w:r w:rsidR="00B37BF1" w:rsidRPr="005A3F47">
        <w:rPr>
          <w:noProof/>
        </w:rPr>
        <w:t>I</w:t>
      </w:r>
      <w:r w:rsidR="009C5985" w:rsidRPr="005A3F47">
        <w:rPr>
          <w:noProof/>
        </w:rPr>
        <w:t xml:space="preserve">nterest </w:t>
      </w:r>
      <w:r w:rsidR="00B37BF1" w:rsidRPr="005A3F47">
        <w:rPr>
          <w:noProof/>
        </w:rPr>
        <w:t>L</w:t>
      </w:r>
      <w:r w:rsidR="009C5985" w:rsidRPr="005A3F47">
        <w:rPr>
          <w:noProof/>
        </w:rPr>
        <w:t xml:space="preserve">imitation </w:t>
      </w:r>
      <w:r w:rsidR="00B37BF1" w:rsidRPr="005A3F47">
        <w:rPr>
          <w:noProof/>
        </w:rPr>
        <w:t>R</w:t>
      </w:r>
      <w:r w:rsidR="009C5985" w:rsidRPr="005A3F47">
        <w:rPr>
          <w:noProof/>
        </w:rPr>
        <w:t>ule</w:t>
      </w:r>
      <w:r w:rsidR="00B37BF1" w:rsidRPr="005A3F47">
        <w:rPr>
          <w:noProof/>
        </w:rPr>
        <w:t xml:space="preserve"> clearer and more streamlined across the EU, thus addressing some of the issues </w:t>
      </w:r>
      <w:r w:rsidR="009967F1" w:rsidRPr="005A3F47">
        <w:rPr>
          <w:noProof/>
        </w:rPr>
        <w:t xml:space="preserve">linked to the current flexibility of the </w:t>
      </w:r>
      <w:r w:rsidR="00E3388D" w:rsidRPr="005A3F47">
        <w:rPr>
          <w:noProof/>
        </w:rPr>
        <w:t xml:space="preserve">overall </w:t>
      </w:r>
      <w:r w:rsidR="009967F1" w:rsidRPr="005A3F47">
        <w:rPr>
          <w:noProof/>
        </w:rPr>
        <w:t xml:space="preserve">rule </w:t>
      </w:r>
      <w:r w:rsidR="00B37BF1" w:rsidRPr="005A3F47">
        <w:rPr>
          <w:noProof/>
        </w:rPr>
        <w:t>which were identified in the ATAD evaluation</w:t>
      </w:r>
      <w:r w:rsidR="00B9181A" w:rsidRPr="005A3F47">
        <w:rPr>
          <w:noProof/>
        </w:rPr>
        <w:t xml:space="preserve"> while preserving the </w:t>
      </w:r>
      <w:r w:rsidR="0043035E" w:rsidRPr="005A3F47">
        <w:rPr>
          <w:noProof/>
        </w:rPr>
        <w:t xml:space="preserve">anti-BEPS effect and </w:t>
      </w:r>
      <w:r w:rsidR="00B9181A" w:rsidRPr="005A3F47">
        <w:rPr>
          <w:noProof/>
        </w:rPr>
        <w:t>well-functioning of the rule</w:t>
      </w:r>
      <w:r w:rsidR="009967F1" w:rsidRPr="005A3F47">
        <w:rPr>
          <w:noProof/>
        </w:rPr>
        <w:t>.</w:t>
      </w:r>
    </w:p>
    <w:p w14:paraId="23DAB215" w14:textId="408A959B" w:rsidR="0078502F" w:rsidRPr="005A3F47" w:rsidRDefault="00AD0069" w:rsidP="00906E6E">
      <w:pPr>
        <w:pStyle w:val="Heading4"/>
        <w:numPr>
          <w:ilvl w:val="3"/>
          <w:numId w:val="185"/>
        </w:numPr>
        <w:rPr>
          <w:rFonts w:eastAsia="Aptos"/>
          <w:noProof/>
        </w:rPr>
      </w:pPr>
      <w:bookmarkStart w:id="105" w:name="_Ref226471578"/>
      <w:r w:rsidRPr="005A3F47">
        <w:rPr>
          <w:rFonts w:eastAsia="Aptos"/>
          <w:noProof/>
        </w:rPr>
        <w:t xml:space="preserve"> </w:t>
      </w:r>
      <w:r w:rsidR="0078502F" w:rsidRPr="005A3F47">
        <w:rPr>
          <w:rFonts w:eastAsia="Aptos"/>
          <w:noProof/>
        </w:rPr>
        <w:t xml:space="preserve">Option </w:t>
      </w:r>
      <w:r w:rsidR="00230CBE" w:rsidRPr="005A3F47">
        <w:rPr>
          <w:noProof/>
        </w:rPr>
        <w:t>4</w:t>
      </w:r>
      <w:r w:rsidR="0078502F" w:rsidRPr="005A3F47">
        <w:rPr>
          <w:rFonts w:eastAsia="Aptos"/>
          <w:noProof/>
        </w:rPr>
        <w:t xml:space="preserve">: </w:t>
      </w:r>
      <w:r w:rsidR="00BF51FB" w:rsidRPr="005A3F47">
        <w:rPr>
          <w:rFonts w:eastAsia="Aptos"/>
          <w:noProof/>
        </w:rPr>
        <w:t xml:space="preserve">Carve-out of </w:t>
      </w:r>
      <w:r w:rsidR="00F701D5" w:rsidRPr="005A3F47">
        <w:rPr>
          <w:rFonts w:eastAsia="Aptos"/>
          <w:noProof/>
        </w:rPr>
        <w:t xml:space="preserve">low-risk </w:t>
      </w:r>
      <w:r w:rsidR="00BF51FB" w:rsidRPr="005A3F47">
        <w:rPr>
          <w:rFonts w:eastAsia="Aptos"/>
          <w:noProof/>
        </w:rPr>
        <w:t>third-party loans</w:t>
      </w:r>
      <w:bookmarkEnd w:id="105"/>
      <w:r w:rsidR="002E0F35" w:rsidRPr="005A3F47">
        <w:rPr>
          <w:rFonts w:eastAsia="Aptos"/>
          <w:noProof/>
        </w:rPr>
        <w:t xml:space="preserve"> </w:t>
      </w:r>
    </w:p>
    <w:p w14:paraId="6822F1A4" w14:textId="7D3FE9FA" w:rsidR="00AA0DAF" w:rsidRPr="005A3F47" w:rsidRDefault="00062E78" w:rsidP="00804EC4">
      <w:pPr>
        <w:rPr>
          <w:noProof/>
        </w:rPr>
      </w:pPr>
      <w:r w:rsidRPr="005A3F47">
        <w:rPr>
          <w:noProof/>
        </w:rPr>
        <w:t>The</w:t>
      </w:r>
      <w:r w:rsidR="00AA0DAF" w:rsidRPr="005A3F47">
        <w:rPr>
          <w:noProof/>
        </w:rPr>
        <w:t xml:space="preserve"> current </w:t>
      </w:r>
      <w:r w:rsidRPr="005A3F47">
        <w:rPr>
          <w:noProof/>
        </w:rPr>
        <w:t xml:space="preserve">interest limitation </w:t>
      </w:r>
      <w:r w:rsidR="00AC4AB9" w:rsidRPr="005A3F47">
        <w:rPr>
          <w:noProof/>
        </w:rPr>
        <w:t xml:space="preserve">set at </w:t>
      </w:r>
      <w:r w:rsidR="00AA0DAF" w:rsidRPr="005A3F47">
        <w:rPr>
          <w:noProof/>
        </w:rPr>
        <w:t>30%</w:t>
      </w:r>
      <w:r w:rsidR="00AC4AB9" w:rsidRPr="005A3F47">
        <w:rPr>
          <w:noProof/>
        </w:rPr>
        <w:t xml:space="preserve"> of a company’s</w:t>
      </w:r>
      <w:r w:rsidR="00AA0DAF" w:rsidRPr="005A3F47">
        <w:rPr>
          <w:noProof/>
        </w:rPr>
        <w:t xml:space="preserve"> EBITDA is determined in a way </w:t>
      </w:r>
      <w:r w:rsidR="00003C29" w:rsidRPr="005A3F47">
        <w:rPr>
          <w:noProof/>
        </w:rPr>
        <w:t xml:space="preserve">that </w:t>
      </w:r>
      <w:r w:rsidR="00AC4AB9" w:rsidRPr="005A3F47">
        <w:rPr>
          <w:noProof/>
        </w:rPr>
        <w:t xml:space="preserve">should ensure that </w:t>
      </w:r>
      <w:r w:rsidR="00AA0DAF" w:rsidRPr="005A3F47">
        <w:rPr>
          <w:noProof/>
        </w:rPr>
        <w:t>most third-party debt is deductible</w:t>
      </w:r>
      <w:r w:rsidR="00AC4AB9" w:rsidRPr="005A3F47">
        <w:rPr>
          <w:noProof/>
        </w:rPr>
        <w:t xml:space="preserve"> as </w:t>
      </w:r>
      <w:r w:rsidR="00DB12FA" w:rsidRPr="005A3F47">
        <w:rPr>
          <w:noProof/>
        </w:rPr>
        <w:t>loans between independent parties</w:t>
      </w:r>
      <w:r w:rsidR="00570245" w:rsidRPr="005A3F47">
        <w:rPr>
          <w:noProof/>
        </w:rPr>
        <w:t xml:space="preserve"> </w:t>
      </w:r>
      <w:r w:rsidR="00DB12FA" w:rsidRPr="005A3F47">
        <w:rPr>
          <w:noProof/>
        </w:rPr>
        <w:t xml:space="preserve">generally </w:t>
      </w:r>
      <w:r w:rsidR="00570245" w:rsidRPr="005A3F47">
        <w:rPr>
          <w:noProof/>
        </w:rPr>
        <w:t>cause little to no risk of tax speculation.</w:t>
      </w:r>
      <w:r w:rsidR="00AA0DAF" w:rsidRPr="005A3F47">
        <w:rPr>
          <w:noProof/>
        </w:rPr>
        <w:t xml:space="preserve"> </w:t>
      </w:r>
      <w:r w:rsidR="006D4530" w:rsidRPr="005A3F47">
        <w:rPr>
          <w:noProof/>
        </w:rPr>
        <w:t>U</w:t>
      </w:r>
      <w:r w:rsidR="001060E8" w:rsidRPr="005A3F47">
        <w:rPr>
          <w:noProof/>
        </w:rPr>
        <w:t xml:space="preserve">nder </w:t>
      </w:r>
      <w:r w:rsidR="00E75D39" w:rsidRPr="005A3F47">
        <w:rPr>
          <w:noProof/>
        </w:rPr>
        <w:t>this option</w:t>
      </w:r>
      <w:r w:rsidR="00AA0DAF" w:rsidRPr="005A3F47">
        <w:rPr>
          <w:noProof/>
        </w:rPr>
        <w:t xml:space="preserve">, </w:t>
      </w:r>
      <w:r w:rsidR="00864E0D" w:rsidRPr="005A3F47">
        <w:rPr>
          <w:noProof/>
        </w:rPr>
        <w:t>the deductibility</w:t>
      </w:r>
      <w:r w:rsidR="00320ABD" w:rsidRPr="005A3F47">
        <w:rPr>
          <w:noProof/>
        </w:rPr>
        <w:t xml:space="preserve"> of</w:t>
      </w:r>
      <w:r w:rsidR="00AA0DAF" w:rsidRPr="005A3F47">
        <w:rPr>
          <w:noProof/>
        </w:rPr>
        <w:t xml:space="preserve"> third-party debt</w:t>
      </w:r>
      <w:r w:rsidR="001060E8" w:rsidRPr="005A3F47">
        <w:rPr>
          <w:noProof/>
        </w:rPr>
        <w:t xml:space="preserve"> could be </w:t>
      </w:r>
      <w:r w:rsidR="00320ABD" w:rsidRPr="005A3F47">
        <w:rPr>
          <w:noProof/>
        </w:rPr>
        <w:t>extended by</w:t>
      </w:r>
      <w:r w:rsidR="001060E8" w:rsidRPr="005A3F47">
        <w:rPr>
          <w:noProof/>
        </w:rPr>
        <w:t xml:space="preserve"> </w:t>
      </w:r>
      <w:r w:rsidR="001C0821" w:rsidRPr="005A3F47">
        <w:rPr>
          <w:noProof/>
        </w:rPr>
        <w:t>a carve-out</w:t>
      </w:r>
      <w:r w:rsidR="001060E8" w:rsidRPr="005A3F47" w:rsidDel="001C0821">
        <w:rPr>
          <w:noProof/>
        </w:rPr>
        <w:t xml:space="preserve"> </w:t>
      </w:r>
      <w:r w:rsidR="001060E8" w:rsidRPr="005A3F47">
        <w:rPr>
          <w:noProof/>
        </w:rPr>
        <w:t xml:space="preserve">from the scope of the </w:t>
      </w:r>
      <w:r w:rsidR="009C5985" w:rsidRPr="005A3F47">
        <w:rPr>
          <w:noProof/>
        </w:rPr>
        <w:t>Interest L</w:t>
      </w:r>
      <w:r w:rsidR="0031484C" w:rsidRPr="005A3F47">
        <w:rPr>
          <w:noProof/>
        </w:rPr>
        <w:t>imitation Rule</w:t>
      </w:r>
      <w:r w:rsidR="00175B50" w:rsidRPr="005A3F47">
        <w:rPr>
          <w:noProof/>
        </w:rPr>
        <w:t>.</w:t>
      </w:r>
      <w:r w:rsidR="00AA0DAF" w:rsidRPr="005A3F47">
        <w:rPr>
          <w:noProof/>
        </w:rPr>
        <w:t xml:space="preserve"> </w:t>
      </w:r>
    </w:p>
    <w:p w14:paraId="1560D94E" w14:textId="5CCAD06D" w:rsidR="006748F3" w:rsidRPr="005A3F47" w:rsidRDefault="006748F3" w:rsidP="00804EC4">
      <w:pPr>
        <w:rPr>
          <w:noProof/>
        </w:rPr>
      </w:pPr>
      <w:r w:rsidRPr="005A3F47">
        <w:rPr>
          <w:noProof/>
        </w:rPr>
        <w:t xml:space="preserve">To preserve the objective of the </w:t>
      </w:r>
      <w:r w:rsidR="0031484C" w:rsidRPr="005A3F47">
        <w:rPr>
          <w:noProof/>
        </w:rPr>
        <w:t>Interest Limitation Rule</w:t>
      </w:r>
      <w:r w:rsidR="00103EB4" w:rsidRPr="005A3F47">
        <w:rPr>
          <w:noProof/>
        </w:rPr>
        <w:t>,</w:t>
      </w:r>
      <w:r w:rsidRPr="005A3F47" w:rsidDel="00103EB4">
        <w:rPr>
          <w:noProof/>
        </w:rPr>
        <w:t xml:space="preserve"> </w:t>
      </w:r>
      <w:r w:rsidRPr="005A3F47">
        <w:rPr>
          <w:noProof/>
        </w:rPr>
        <w:t xml:space="preserve">i.e., to limit the extent to which groups can use intragroup interest expense to claim total net interest deductions in excess of their net third party interest expense, </w:t>
      </w:r>
      <w:r w:rsidR="00EF07B4" w:rsidRPr="005A3F47">
        <w:rPr>
          <w:noProof/>
        </w:rPr>
        <w:t xml:space="preserve">a </w:t>
      </w:r>
      <w:r w:rsidR="00250DE2" w:rsidRPr="005A3F47">
        <w:rPr>
          <w:noProof/>
        </w:rPr>
        <w:t>restrictive definition</w:t>
      </w:r>
      <w:r w:rsidR="00EF07B4" w:rsidRPr="005A3F47">
        <w:rPr>
          <w:noProof/>
        </w:rPr>
        <w:t xml:space="preserve"> of third-party loan</w:t>
      </w:r>
      <w:r w:rsidR="003E42CF" w:rsidRPr="005A3F47">
        <w:rPr>
          <w:noProof/>
        </w:rPr>
        <w:t>s</w:t>
      </w:r>
      <w:r w:rsidR="00EF07B4" w:rsidRPr="005A3F47">
        <w:rPr>
          <w:noProof/>
        </w:rPr>
        <w:t xml:space="preserve"> </w:t>
      </w:r>
      <w:r w:rsidR="003E42CF" w:rsidRPr="005A3F47">
        <w:rPr>
          <w:noProof/>
        </w:rPr>
        <w:t>would</w:t>
      </w:r>
      <w:r w:rsidR="00EF07B4" w:rsidRPr="005A3F47">
        <w:rPr>
          <w:noProof/>
        </w:rPr>
        <w:t xml:space="preserve"> be introduced. </w:t>
      </w:r>
      <w:r w:rsidR="009E52FD" w:rsidRPr="005A3F47">
        <w:rPr>
          <w:noProof/>
        </w:rPr>
        <w:t>Under this definition, t</w:t>
      </w:r>
      <w:r w:rsidR="00BF6F14" w:rsidRPr="005A3F47">
        <w:rPr>
          <w:noProof/>
        </w:rPr>
        <w:t xml:space="preserve">he creditor </w:t>
      </w:r>
      <w:r w:rsidR="00944683" w:rsidRPr="005A3F47">
        <w:rPr>
          <w:noProof/>
        </w:rPr>
        <w:t>should not be</w:t>
      </w:r>
      <w:r w:rsidR="00833E40" w:rsidRPr="005A3F47">
        <w:rPr>
          <w:noProof/>
        </w:rPr>
        <w:t xml:space="preserve"> an associated enterprise or an entity of the same consolidated group for financial accounting purposes of the debtor, and the debtor should use the </w:t>
      </w:r>
      <w:r w:rsidR="003C452D" w:rsidRPr="005A3F47">
        <w:rPr>
          <w:noProof/>
        </w:rPr>
        <w:t xml:space="preserve">debt to finance its own activities, with </w:t>
      </w:r>
      <w:r w:rsidR="007F7625" w:rsidRPr="005A3F47">
        <w:rPr>
          <w:noProof/>
        </w:rPr>
        <w:t xml:space="preserve">no possibility of </w:t>
      </w:r>
      <w:r w:rsidR="003C452D" w:rsidRPr="005A3F47">
        <w:rPr>
          <w:noProof/>
        </w:rPr>
        <w:t>on-lending</w:t>
      </w:r>
      <w:r w:rsidR="007F7625" w:rsidRPr="005A3F47">
        <w:rPr>
          <w:noProof/>
        </w:rPr>
        <w:t xml:space="preserve"> within the group.</w:t>
      </w:r>
    </w:p>
    <w:p w14:paraId="18E77ED3" w14:textId="3CABB6A1" w:rsidR="00AA0DAF" w:rsidRPr="005A3F47" w:rsidRDefault="00AA0DAF" w:rsidP="00804EC4">
      <w:pPr>
        <w:rPr>
          <w:noProof/>
        </w:rPr>
      </w:pPr>
      <w:r w:rsidRPr="005A3F47">
        <w:rPr>
          <w:noProof/>
        </w:rPr>
        <w:t xml:space="preserve">Finally, an exclusion of third-party loans would also have automatic implications on the treatment of standalone entities, since these entities, by definition, exclusively borrow from third parties. Standalone entities would thus be de facto out of scope of the </w:t>
      </w:r>
      <w:r w:rsidR="6FA48561" w:rsidRPr="005A3F47">
        <w:rPr>
          <w:noProof/>
        </w:rPr>
        <w:t>ATAD</w:t>
      </w:r>
      <w:r w:rsidRPr="005A3F47">
        <w:rPr>
          <w:noProof/>
        </w:rPr>
        <w:t xml:space="preserve">, which would make it redundant to maintain the </w:t>
      </w:r>
      <w:r w:rsidR="001158EE" w:rsidRPr="005A3F47">
        <w:rPr>
          <w:noProof/>
        </w:rPr>
        <w:t xml:space="preserve">optionality of the current </w:t>
      </w:r>
      <w:r w:rsidRPr="005A3F47">
        <w:rPr>
          <w:noProof/>
        </w:rPr>
        <w:t>exclusion.</w:t>
      </w:r>
      <w:r w:rsidR="00210CAF" w:rsidRPr="005A3F47">
        <w:rPr>
          <w:noProof/>
        </w:rPr>
        <w:t xml:space="preserve"> </w:t>
      </w:r>
    </w:p>
    <w:p w14:paraId="41FE8182" w14:textId="730922D7" w:rsidR="00531BCD" w:rsidRPr="005A3F47" w:rsidRDefault="00AD0069" w:rsidP="00906E6E">
      <w:pPr>
        <w:pStyle w:val="Heading4"/>
        <w:numPr>
          <w:ilvl w:val="3"/>
          <w:numId w:val="185"/>
        </w:numPr>
        <w:rPr>
          <w:noProof/>
        </w:rPr>
      </w:pPr>
      <w:r w:rsidRPr="005A3F47">
        <w:rPr>
          <w:noProof/>
        </w:rPr>
        <w:t xml:space="preserve"> </w:t>
      </w:r>
      <w:r w:rsidR="00531BCD" w:rsidRPr="005A3F47">
        <w:rPr>
          <w:noProof/>
        </w:rPr>
        <w:t xml:space="preserve">Option </w:t>
      </w:r>
      <w:r w:rsidR="00230CBE" w:rsidRPr="005A3F47">
        <w:rPr>
          <w:noProof/>
        </w:rPr>
        <w:t>5</w:t>
      </w:r>
      <w:r w:rsidR="00531BCD" w:rsidRPr="005A3F47">
        <w:rPr>
          <w:noProof/>
        </w:rPr>
        <w:t xml:space="preserve">: </w:t>
      </w:r>
      <w:r w:rsidR="00C76484" w:rsidRPr="005A3F47">
        <w:rPr>
          <w:noProof/>
        </w:rPr>
        <w:t xml:space="preserve">Exemption in case of </w:t>
      </w:r>
      <w:r w:rsidR="0024330D" w:rsidRPr="005A3F47">
        <w:rPr>
          <w:noProof/>
        </w:rPr>
        <w:t>profitability shock</w:t>
      </w:r>
      <w:r w:rsidR="00C76484" w:rsidRPr="005A3F47">
        <w:rPr>
          <w:noProof/>
        </w:rPr>
        <w:t xml:space="preserve"> </w:t>
      </w:r>
    </w:p>
    <w:p w14:paraId="116A5991" w14:textId="05F0B1C1" w:rsidR="00B35C23" w:rsidRPr="005A3F47" w:rsidRDefault="002A622E" w:rsidP="00804EC4">
      <w:pPr>
        <w:rPr>
          <w:noProof/>
        </w:rPr>
      </w:pPr>
      <w:r w:rsidRPr="005A3F47">
        <w:rPr>
          <w:noProof/>
        </w:rPr>
        <w:t xml:space="preserve">To </w:t>
      </w:r>
      <w:r w:rsidR="000C7E44" w:rsidRPr="005A3F47">
        <w:rPr>
          <w:noProof/>
        </w:rPr>
        <w:t xml:space="preserve">ensure that </w:t>
      </w:r>
      <w:r w:rsidRPr="005A3F47">
        <w:rPr>
          <w:noProof/>
        </w:rPr>
        <w:t xml:space="preserve">the </w:t>
      </w:r>
      <w:r w:rsidR="00811502" w:rsidRPr="005A3F47">
        <w:rPr>
          <w:noProof/>
        </w:rPr>
        <w:t>I</w:t>
      </w:r>
      <w:r w:rsidR="0031484C" w:rsidRPr="005A3F47">
        <w:rPr>
          <w:noProof/>
        </w:rPr>
        <w:t xml:space="preserve">nterest </w:t>
      </w:r>
      <w:r w:rsidR="00811502" w:rsidRPr="005A3F47">
        <w:rPr>
          <w:noProof/>
        </w:rPr>
        <w:t>L</w:t>
      </w:r>
      <w:r w:rsidR="0031484C" w:rsidRPr="005A3F47">
        <w:rPr>
          <w:noProof/>
        </w:rPr>
        <w:t xml:space="preserve">imitation </w:t>
      </w:r>
      <w:r w:rsidR="00811502" w:rsidRPr="005A3F47">
        <w:rPr>
          <w:noProof/>
        </w:rPr>
        <w:t>R</w:t>
      </w:r>
      <w:r w:rsidR="0031484C" w:rsidRPr="005A3F47">
        <w:rPr>
          <w:noProof/>
        </w:rPr>
        <w:t>ule</w:t>
      </w:r>
      <w:r w:rsidR="00811502" w:rsidRPr="005A3F47">
        <w:rPr>
          <w:noProof/>
        </w:rPr>
        <w:t xml:space="preserve"> does not impact taxpayers beyond its objective, notably by </w:t>
      </w:r>
      <w:r w:rsidR="00D24464" w:rsidRPr="005A3F47">
        <w:rPr>
          <w:noProof/>
        </w:rPr>
        <w:t>placing additional pressure on industries</w:t>
      </w:r>
      <w:r w:rsidR="00811502" w:rsidRPr="005A3F47">
        <w:rPr>
          <w:noProof/>
        </w:rPr>
        <w:t xml:space="preserve"> in </w:t>
      </w:r>
      <w:r w:rsidR="00322DAE" w:rsidRPr="005A3F47">
        <w:rPr>
          <w:noProof/>
        </w:rPr>
        <w:t>situations of economic distress</w:t>
      </w:r>
      <w:r w:rsidR="00D24464" w:rsidRPr="005A3F47">
        <w:rPr>
          <w:noProof/>
        </w:rPr>
        <w:t xml:space="preserve">, </w:t>
      </w:r>
      <w:r w:rsidR="00834B43" w:rsidRPr="005A3F47">
        <w:rPr>
          <w:noProof/>
        </w:rPr>
        <w:t xml:space="preserve">a </w:t>
      </w:r>
      <w:r w:rsidR="00C33E76" w:rsidRPr="005A3F47">
        <w:rPr>
          <w:noProof/>
        </w:rPr>
        <w:t>safety net could</w:t>
      </w:r>
      <w:r w:rsidR="002F4643" w:rsidRPr="005A3F47">
        <w:rPr>
          <w:noProof/>
        </w:rPr>
        <w:t xml:space="preserve"> be </w:t>
      </w:r>
      <w:r w:rsidR="00C33E76" w:rsidRPr="005A3F47">
        <w:rPr>
          <w:noProof/>
        </w:rPr>
        <w:t>introduced</w:t>
      </w:r>
      <w:r w:rsidR="00505684" w:rsidRPr="005A3F47">
        <w:rPr>
          <w:noProof/>
        </w:rPr>
        <w:t>: if a taxpayer’s EBITDA is reduced by a certain percentage (e.g. 50%) in a year, no I</w:t>
      </w:r>
      <w:r w:rsidR="0031484C" w:rsidRPr="005A3F47">
        <w:rPr>
          <w:noProof/>
        </w:rPr>
        <w:t xml:space="preserve">nterest </w:t>
      </w:r>
      <w:r w:rsidR="00505684" w:rsidRPr="005A3F47">
        <w:rPr>
          <w:noProof/>
        </w:rPr>
        <w:t>L</w:t>
      </w:r>
      <w:r w:rsidR="0031484C" w:rsidRPr="005A3F47">
        <w:rPr>
          <w:noProof/>
        </w:rPr>
        <w:t xml:space="preserve">imitation </w:t>
      </w:r>
      <w:r w:rsidR="00505684" w:rsidRPr="005A3F47">
        <w:rPr>
          <w:noProof/>
        </w:rPr>
        <w:t>R</w:t>
      </w:r>
      <w:r w:rsidR="0031484C" w:rsidRPr="005A3F47">
        <w:rPr>
          <w:noProof/>
        </w:rPr>
        <w:t>ule</w:t>
      </w:r>
      <w:r w:rsidR="00505684" w:rsidRPr="005A3F47">
        <w:rPr>
          <w:noProof/>
        </w:rPr>
        <w:t xml:space="preserve"> applies to this taxpayer in that year. </w:t>
      </w:r>
      <w:r w:rsidR="00510739" w:rsidRPr="005A3F47">
        <w:rPr>
          <w:noProof/>
        </w:rPr>
        <w:t xml:space="preserve">The EBITDA reduction </w:t>
      </w:r>
      <w:r w:rsidR="00D651C4" w:rsidRPr="005A3F47">
        <w:rPr>
          <w:noProof/>
        </w:rPr>
        <w:t>would</w:t>
      </w:r>
      <w:r w:rsidR="00510739" w:rsidRPr="005A3F47">
        <w:rPr>
          <w:noProof/>
        </w:rPr>
        <w:t xml:space="preserve"> be assessed</w:t>
      </w:r>
      <w:r w:rsidR="00C819EF" w:rsidRPr="005A3F47">
        <w:rPr>
          <w:noProof/>
        </w:rPr>
        <w:t xml:space="preserve"> at entity level</w:t>
      </w:r>
      <w:r w:rsidR="0092089E" w:rsidRPr="005A3F47">
        <w:rPr>
          <w:noProof/>
        </w:rPr>
        <w:t>.</w:t>
      </w:r>
      <w:r w:rsidR="00130A2D" w:rsidRPr="005A3F47">
        <w:rPr>
          <w:noProof/>
        </w:rPr>
        <w:t xml:space="preserve"> </w:t>
      </w:r>
    </w:p>
    <w:p w14:paraId="3101D226" w14:textId="7F83FBB7" w:rsidR="00BB0A6B" w:rsidRPr="005A3F47" w:rsidRDefault="00BB0A6B" w:rsidP="00431143">
      <w:pPr>
        <w:pStyle w:val="Heading3"/>
        <w:numPr>
          <w:ilvl w:val="2"/>
          <w:numId w:val="185"/>
        </w:numPr>
        <w:rPr>
          <w:noProof/>
        </w:rPr>
      </w:pPr>
      <w:bookmarkStart w:id="106" w:name="_Toc226466819"/>
      <w:bookmarkStart w:id="107" w:name="_Toc226467180"/>
      <w:bookmarkStart w:id="108" w:name="_Toc226467280"/>
      <w:bookmarkStart w:id="109" w:name="_Toc226467499"/>
      <w:r w:rsidRPr="005A3F47">
        <w:rPr>
          <w:rFonts w:eastAsia="Aptos"/>
          <w:noProof/>
        </w:rPr>
        <w:t>Hybrid</w:t>
      </w:r>
      <w:r w:rsidRPr="005A3F47">
        <w:rPr>
          <w:noProof/>
        </w:rPr>
        <w:t xml:space="preserve"> mismatches</w:t>
      </w:r>
      <w:bookmarkEnd w:id="106"/>
      <w:bookmarkEnd w:id="107"/>
      <w:bookmarkEnd w:id="108"/>
      <w:bookmarkEnd w:id="109"/>
    </w:p>
    <w:p w14:paraId="00E14FA1" w14:textId="5B19A872" w:rsidR="006D0B34" w:rsidRPr="005A3F47" w:rsidRDefault="009B5640" w:rsidP="00B35C23">
      <w:pPr>
        <w:rPr>
          <w:noProof/>
        </w:rPr>
      </w:pPr>
      <w:r w:rsidRPr="005A3F47">
        <w:rPr>
          <w:noProof/>
        </w:rPr>
        <w:t xml:space="preserve">To </w:t>
      </w:r>
      <w:r w:rsidR="002E7546" w:rsidRPr="005A3F47">
        <w:rPr>
          <w:noProof/>
        </w:rPr>
        <w:t xml:space="preserve">address the issues related to the </w:t>
      </w:r>
      <w:r w:rsidR="00E012F0" w:rsidRPr="005A3F47">
        <w:rPr>
          <w:noProof/>
        </w:rPr>
        <w:t>excessive complexity and burden arising from hybrid mismatches,</w:t>
      </w:r>
      <w:r w:rsidR="00824162" w:rsidRPr="005A3F47">
        <w:rPr>
          <w:noProof/>
        </w:rPr>
        <w:t xml:space="preserve"> which are described in </w:t>
      </w:r>
      <w:r w:rsidR="00A04BAB" w:rsidRPr="005A3F47">
        <w:rPr>
          <w:noProof/>
        </w:rPr>
        <w:t>Section 5.1.</w:t>
      </w:r>
      <w:r w:rsidR="00740F53" w:rsidRPr="005A3F47">
        <w:rPr>
          <w:noProof/>
        </w:rPr>
        <w:t>5</w:t>
      </w:r>
      <w:r w:rsidR="00284235" w:rsidRPr="005A3F47">
        <w:rPr>
          <w:noProof/>
        </w:rPr>
        <w:t>,</w:t>
      </w:r>
      <w:r w:rsidR="00E012F0" w:rsidRPr="005A3F47">
        <w:rPr>
          <w:noProof/>
        </w:rPr>
        <w:t xml:space="preserve"> </w:t>
      </w:r>
      <w:r w:rsidR="00740F53" w:rsidRPr="005A3F47">
        <w:rPr>
          <w:noProof/>
        </w:rPr>
        <w:t xml:space="preserve">two </w:t>
      </w:r>
      <w:r w:rsidR="006D0B34" w:rsidRPr="005A3F47">
        <w:rPr>
          <w:noProof/>
        </w:rPr>
        <w:t>option</w:t>
      </w:r>
      <w:r w:rsidR="00740F53" w:rsidRPr="005A3F47">
        <w:rPr>
          <w:noProof/>
        </w:rPr>
        <w:t>s</w:t>
      </w:r>
      <w:r w:rsidR="006D0B34" w:rsidRPr="005A3F47">
        <w:rPr>
          <w:noProof/>
        </w:rPr>
        <w:t xml:space="preserve"> </w:t>
      </w:r>
      <w:r w:rsidR="00284235" w:rsidRPr="005A3F47">
        <w:rPr>
          <w:noProof/>
        </w:rPr>
        <w:t>could</w:t>
      </w:r>
      <w:r w:rsidR="006D0B34" w:rsidRPr="005A3F47">
        <w:rPr>
          <w:noProof/>
        </w:rPr>
        <w:t xml:space="preserve"> be considered.</w:t>
      </w:r>
    </w:p>
    <w:p w14:paraId="6AB5E965" w14:textId="7A6A1F72" w:rsidR="00DF12B9" w:rsidRPr="005A3F47" w:rsidRDefault="00DF12B9" w:rsidP="00FA5980">
      <w:pPr>
        <w:pStyle w:val="Caption"/>
        <w:keepNex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7</w:t>
      </w:r>
      <w:r w:rsidRPr="005A3F47">
        <w:rPr>
          <w:noProof/>
          <w:color w:val="auto"/>
        </w:rPr>
        <w:fldChar w:fldCharType="end"/>
      </w:r>
      <w:r w:rsidRPr="005A3F47">
        <w:rPr>
          <w:noProof/>
          <w:color w:val="auto"/>
        </w:rPr>
        <w:t>: Simplification options for rules on hybrid mismatches</w:t>
      </w:r>
    </w:p>
    <w:p w14:paraId="4D6ADD4B" w14:textId="4291F100" w:rsidR="006D0B34" w:rsidRPr="005A3F47" w:rsidRDefault="007B5C1B" w:rsidP="00B35C23">
      <w:pPr>
        <w:rPr>
          <w:noProof/>
        </w:rPr>
      </w:pPr>
      <w:r w:rsidRPr="005A3F47">
        <w:rPr>
          <w:noProof/>
          <w:lang w:eastAsia="en-GB"/>
        </w:rPr>
        <w:drawing>
          <wp:inline distT="0" distB="0" distL="0" distR="0" wp14:anchorId="1693DA86" wp14:editId="6D881F44">
            <wp:extent cx="6101715" cy="1595120"/>
            <wp:effectExtent l="0" t="0" r="0" b="0"/>
            <wp:docPr id="1182700019" name="Picture 1" descr="A yellow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00019" name="Picture 1" descr="A yellow rectangular box with black text&#10;&#10;AI-generated content may be incorrect."/>
                    <pic:cNvPicPr/>
                  </pic:nvPicPr>
                  <pic:blipFill>
                    <a:blip r:embed="rId26"/>
                    <a:stretch>
                      <a:fillRect/>
                    </a:stretch>
                  </pic:blipFill>
                  <pic:spPr>
                    <a:xfrm>
                      <a:off x="0" y="0"/>
                      <a:ext cx="6101715" cy="1595120"/>
                    </a:xfrm>
                    <a:prstGeom prst="rect">
                      <a:avLst/>
                    </a:prstGeom>
                  </pic:spPr>
                </pic:pic>
              </a:graphicData>
            </a:graphic>
          </wp:inline>
        </w:drawing>
      </w:r>
    </w:p>
    <w:p w14:paraId="51EC404A" w14:textId="17AF71D3" w:rsidR="006D0B34" w:rsidRPr="005A3F47" w:rsidRDefault="00E863D5" w:rsidP="00F772FA">
      <w:pPr>
        <w:pStyle w:val="Heading4"/>
        <w:numPr>
          <w:ilvl w:val="3"/>
          <w:numId w:val="185"/>
        </w:numPr>
        <w:rPr>
          <w:noProof/>
        </w:rPr>
      </w:pPr>
      <w:r w:rsidRPr="005A3F47">
        <w:rPr>
          <w:noProof/>
        </w:rPr>
        <w:t xml:space="preserve"> </w:t>
      </w:r>
      <w:r w:rsidR="006D0B34" w:rsidRPr="005A3F47">
        <w:rPr>
          <w:noProof/>
        </w:rPr>
        <w:t>Option 1</w:t>
      </w:r>
      <w:r w:rsidR="006E5C1C" w:rsidRPr="005A3F47">
        <w:rPr>
          <w:noProof/>
        </w:rPr>
        <w:t>A</w:t>
      </w:r>
      <w:r w:rsidR="006D0B34" w:rsidRPr="005A3F47">
        <w:rPr>
          <w:noProof/>
        </w:rPr>
        <w:t xml:space="preserve">: Remove </w:t>
      </w:r>
      <w:r w:rsidR="00B51F2C" w:rsidRPr="005A3F47">
        <w:rPr>
          <w:noProof/>
        </w:rPr>
        <w:t>imported mismatches</w:t>
      </w:r>
    </w:p>
    <w:p w14:paraId="63FA616A" w14:textId="0443D687" w:rsidR="00B35C23" w:rsidRPr="005A3F47" w:rsidRDefault="0090464B" w:rsidP="00FA5980">
      <w:pPr>
        <w:pStyle w:val="HeaderLandscape"/>
        <w:rPr>
          <w:noProof/>
        </w:rPr>
      </w:pPr>
      <w:r w:rsidRPr="005A3F47">
        <w:rPr>
          <w:noProof/>
        </w:rPr>
        <w:t>The</w:t>
      </w:r>
      <w:r w:rsidR="00E212E1" w:rsidRPr="005A3F47">
        <w:rPr>
          <w:noProof/>
        </w:rPr>
        <w:t xml:space="preserve"> </w:t>
      </w:r>
      <w:r w:rsidR="00AD62C0" w:rsidRPr="005A3F47">
        <w:rPr>
          <w:noProof/>
        </w:rPr>
        <w:t xml:space="preserve">ATAD </w:t>
      </w:r>
      <w:r w:rsidR="00E212E1" w:rsidRPr="005A3F47">
        <w:rPr>
          <w:noProof/>
        </w:rPr>
        <w:t xml:space="preserve">rules </w:t>
      </w:r>
      <w:r w:rsidR="00AE484F" w:rsidRPr="005A3F47">
        <w:rPr>
          <w:noProof/>
        </w:rPr>
        <w:t>on imported mismatches</w:t>
      </w:r>
      <w:r w:rsidR="00E212E1" w:rsidRPr="005A3F47">
        <w:rPr>
          <w:noProof/>
        </w:rPr>
        <w:t xml:space="preserve"> are rarely applied due to </w:t>
      </w:r>
      <w:r w:rsidR="001E3BC9" w:rsidRPr="005A3F47">
        <w:rPr>
          <w:noProof/>
        </w:rPr>
        <w:t xml:space="preserve">the </w:t>
      </w:r>
      <w:r w:rsidR="00E212E1" w:rsidRPr="005A3F47">
        <w:rPr>
          <w:noProof/>
        </w:rPr>
        <w:t xml:space="preserve">difficulties </w:t>
      </w:r>
      <w:r w:rsidR="001E3BC9" w:rsidRPr="005A3F47">
        <w:rPr>
          <w:noProof/>
        </w:rPr>
        <w:t>that tax authorities encounter</w:t>
      </w:r>
      <w:r w:rsidR="00E212E1" w:rsidRPr="005A3F47">
        <w:rPr>
          <w:noProof/>
        </w:rPr>
        <w:t xml:space="preserve"> in </w:t>
      </w:r>
      <w:r w:rsidR="00992440" w:rsidRPr="005A3F47">
        <w:rPr>
          <w:noProof/>
        </w:rPr>
        <w:t xml:space="preserve">obtaining the necessary information to identify </w:t>
      </w:r>
      <w:r w:rsidR="002A66E9" w:rsidRPr="005A3F47">
        <w:rPr>
          <w:noProof/>
        </w:rPr>
        <w:t xml:space="preserve">the </w:t>
      </w:r>
      <w:r w:rsidR="006D66DD" w:rsidRPr="005A3F47">
        <w:rPr>
          <w:noProof/>
        </w:rPr>
        <w:t xml:space="preserve">actual </w:t>
      </w:r>
      <w:r w:rsidR="00992440" w:rsidRPr="005A3F47">
        <w:rPr>
          <w:noProof/>
        </w:rPr>
        <w:t>mismatch</w:t>
      </w:r>
      <w:r w:rsidRPr="005A3F47">
        <w:rPr>
          <w:noProof/>
        </w:rPr>
        <w:t xml:space="preserve">. </w:t>
      </w:r>
      <w:r w:rsidR="002A66E9" w:rsidRPr="005A3F47">
        <w:rPr>
          <w:noProof/>
        </w:rPr>
        <w:t xml:space="preserve">This is </w:t>
      </w:r>
      <w:r w:rsidR="00BA23F6" w:rsidRPr="005A3F47">
        <w:rPr>
          <w:noProof/>
        </w:rPr>
        <w:t xml:space="preserve">because </w:t>
      </w:r>
      <w:r w:rsidR="002A66E9" w:rsidRPr="005A3F47">
        <w:rPr>
          <w:noProof/>
        </w:rPr>
        <w:t xml:space="preserve">the EU </w:t>
      </w:r>
      <w:r w:rsidR="00A77B4E" w:rsidRPr="005A3F47">
        <w:rPr>
          <w:noProof/>
        </w:rPr>
        <w:t xml:space="preserve">footprint of these arrangements </w:t>
      </w:r>
      <w:r w:rsidR="00A44876" w:rsidRPr="005A3F47">
        <w:rPr>
          <w:noProof/>
        </w:rPr>
        <w:t>is limited</w:t>
      </w:r>
      <w:r w:rsidR="005841C6" w:rsidRPr="005A3F47">
        <w:rPr>
          <w:noProof/>
        </w:rPr>
        <w:t xml:space="preserve">, </w:t>
      </w:r>
      <w:r w:rsidR="00D05D20" w:rsidRPr="005A3F47">
        <w:rPr>
          <w:noProof/>
        </w:rPr>
        <w:t>as</w:t>
      </w:r>
      <w:r w:rsidR="006D66DD" w:rsidRPr="005A3F47">
        <w:rPr>
          <w:noProof/>
        </w:rPr>
        <w:t xml:space="preserve"> most of the steps take place</w:t>
      </w:r>
      <w:r w:rsidR="00A44876" w:rsidRPr="005A3F47">
        <w:rPr>
          <w:noProof/>
        </w:rPr>
        <w:t xml:space="preserve"> </w:t>
      </w:r>
      <w:r w:rsidR="006D66DD" w:rsidRPr="005A3F47">
        <w:rPr>
          <w:noProof/>
        </w:rPr>
        <w:t>in jurisdictions outside the EU. There</w:t>
      </w:r>
      <w:r w:rsidR="00857F00" w:rsidRPr="005A3F47">
        <w:rPr>
          <w:noProof/>
        </w:rPr>
        <w:t xml:space="preserve"> is </w:t>
      </w:r>
      <w:r w:rsidR="006D66DD" w:rsidRPr="005A3F47">
        <w:rPr>
          <w:noProof/>
        </w:rPr>
        <w:t xml:space="preserve">therefore </w:t>
      </w:r>
      <w:r w:rsidR="00511BAA" w:rsidRPr="005A3F47">
        <w:rPr>
          <w:noProof/>
        </w:rPr>
        <w:t>minimal</w:t>
      </w:r>
      <w:r w:rsidR="00857F00" w:rsidRPr="005A3F47">
        <w:rPr>
          <w:noProof/>
        </w:rPr>
        <w:t xml:space="preserve"> access to informa</w:t>
      </w:r>
      <w:r w:rsidR="006D66DD" w:rsidRPr="005A3F47">
        <w:rPr>
          <w:noProof/>
        </w:rPr>
        <w:t>tion</w:t>
      </w:r>
      <w:r w:rsidR="0ED8C5E7" w:rsidRPr="005A3F47">
        <w:rPr>
          <w:noProof/>
        </w:rPr>
        <w:t xml:space="preserve"> to</w:t>
      </w:r>
      <w:r w:rsidR="00921CA4" w:rsidRPr="005A3F47">
        <w:rPr>
          <w:noProof/>
        </w:rPr>
        <w:t xml:space="preserve"> </w:t>
      </w:r>
      <w:r w:rsidR="006D66DD" w:rsidRPr="005A3F47">
        <w:rPr>
          <w:noProof/>
        </w:rPr>
        <w:t xml:space="preserve">sustain </w:t>
      </w:r>
      <w:r w:rsidR="002A66E9" w:rsidRPr="005A3F47">
        <w:rPr>
          <w:noProof/>
        </w:rPr>
        <w:t>finding</w:t>
      </w:r>
      <w:r w:rsidR="006D66DD" w:rsidRPr="005A3F47">
        <w:rPr>
          <w:noProof/>
        </w:rPr>
        <w:t>s</w:t>
      </w:r>
      <w:r w:rsidR="003A5507" w:rsidRPr="005A3F47">
        <w:rPr>
          <w:noProof/>
        </w:rPr>
        <w:t xml:space="preserve">. On this basis, </w:t>
      </w:r>
      <w:r w:rsidR="005315AC" w:rsidRPr="005A3F47">
        <w:rPr>
          <w:noProof/>
        </w:rPr>
        <w:t>keeping</w:t>
      </w:r>
      <w:r w:rsidR="00511BAA" w:rsidRPr="005A3F47">
        <w:rPr>
          <w:noProof/>
        </w:rPr>
        <w:t xml:space="preserve"> the rule</w:t>
      </w:r>
      <w:r w:rsidR="001C4F33" w:rsidRPr="005A3F47">
        <w:rPr>
          <w:noProof/>
        </w:rPr>
        <w:t xml:space="preserve"> on imported mismatches</w:t>
      </w:r>
      <w:r w:rsidR="00511BAA" w:rsidRPr="005A3F47">
        <w:rPr>
          <w:noProof/>
        </w:rPr>
        <w:t xml:space="preserve"> </w:t>
      </w:r>
      <w:r w:rsidR="00361AA1" w:rsidRPr="005A3F47">
        <w:rPr>
          <w:noProof/>
        </w:rPr>
        <w:t xml:space="preserve">would </w:t>
      </w:r>
      <w:r w:rsidR="005315AC" w:rsidRPr="005A3F47">
        <w:rPr>
          <w:noProof/>
        </w:rPr>
        <w:t>maintain</w:t>
      </w:r>
      <w:r w:rsidR="00361AA1" w:rsidRPr="005A3F47">
        <w:rPr>
          <w:noProof/>
        </w:rPr>
        <w:t xml:space="preserve"> an administrative </w:t>
      </w:r>
      <w:r w:rsidR="00250B90" w:rsidRPr="005A3F47">
        <w:rPr>
          <w:noProof/>
        </w:rPr>
        <w:t>obligation</w:t>
      </w:r>
      <w:r w:rsidR="003251AE" w:rsidRPr="005A3F47">
        <w:rPr>
          <w:noProof/>
        </w:rPr>
        <w:t xml:space="preserve"> </w:t>
      </w:r>
      <w:r w:rsidR="00250B90" w:rsidRPr="005A3F47">
        <w:rPr>
          <w:noProof/>
        </w:rPr>
        <w:t xml:space="preserve">in force </w:t>
      </w:r>
      <w:r w:rsidR="003251AE" w:rsidRPr="005A3F47">
        <w:rPr>
          <w:noProof/>
        </w:rPr>
        <w:t>for taxpayers</w:t>
      </w:r>
      <w:r w:rsidR="00361AA1" w:rsidRPr="005A3F47">
        <w:rPr>
          <w:noProof/>
        </w:rPr>
        <w:t xml:space="preserve"> without</w:t>
      </w:r>
      <w:r w:rsidR="003251AE" w:rsidRPr="005A3F47">
        <w:rPr>
          <w:noProof/>
        </w:rPr>
        <w:t xml:space="preserve">, in practice, contributing to </w:t>
      </w:r>
      <w:r w:rsidR="0008456E" w:rsidRPr="005A3F47">
        <w:rPr>
          <w:noProof/>
        </w:rPr>
        <w:t>sustaining</w:t>
      </w:r>
      <w:r w:rsidR="003251AE" w:rsidRPr="005A3F47">
        <w:rPr>
          <w:noProof/>
        </w:rPr>
        <w:t xml:space="preserve"> the current level of protection </w:t>
      </w:r>
      <w:r w:rsidR="0008456E" w:rsidRPr="005A3F47">
        <w:rPr>
          <w:noProof/>
        </w:rPr>
        <w:t>against tax planning practices in the EU.</w:t>
      </w:r>
    </w:p>
    <w:p w14:paraId="5B004393" w14:textId="3C1F4BE5" w:rsidR="009D24C0" w:rsidRPr="005A3F47" w:rsidRDefault="00E863D5" w:rsidP="00F772FA">
      <w:pPr>
        <w:pStyle w:val="Heading4"/>
        <w:numPr>
          <w:ilvl w:val="3"/>
          <w:numId w:val="185"/>
        </w:numPr>
        <w:rPr>
          <w:noProof/>
        </w:rPr>
      </w:pPr>
      <w:r w:rsidRPr="005A3F47">
        <w:rPr>
          <w:noProof/>
        </w:rPr>
        <w:t xml:space="preserve"> </w:t>
      </w:r>
      <w:r w:rsidR="009D24C0" w:rsidRPr="005A3F47">
        <w:rPr>
          <w:noProof/>
        </w:rPr>
        <w:t xml:space="preserve">Option </w:t>
      </w:r>
      <w:r w:rsidR="006E5C1C" w:rsidRPr="005A3F47">
        <w:rPr>
          <w:noProof/>
        </w:rPr>
        <w:t>1B</w:t>
      </w:r>
      <w:r w:rsidR="009D24C0" w:rsidRPr="005A3F47">
        <w:rPr>
          <w:noProof/>
        </w:rPr>
        <w:t xml:space="preserve">: </w:t>
      </w:r>
      <w:r w:rsidR="006E5C1C" w:rsidRPr="005A3F47">
        <w:rPr>
          <w:noProof/>
        </w:rPr>
        <w:t>Keep</w:t>
      </w:r>
      <w:r w:rsidR="009D24C0" w:rsidRPr="005A3F47">
        <w:rPr>
          <w:noProof/>
        </w:rPr>
        <w:t xml:space="preserve"> imported mismatches</w:t>
      </w:r>
    </w:p>
    <w:p w14:paraId="44AB6EF6" w14:textId="106EA009" w:rsidR="001B1F30" w:rsidRPr="005A3F47" w:rsidRDefault="001B1F30" w:rsidP="009B47CC">
      <w:pPr>
        <w:pStyle w:val="HeaderLandscape"/>
        <w:rPr>
          <w:noProof/>
        </w:rPr>
      </w:pPr>
      <w:r w:rsidRPr="005A3F47">
        <w:rPr>
          <w:noProof/>
        </w:rPr>
        <w:t>The alternative option would be to maintain the status quo – i.e., continue to apply the rule</w:t>
      </w:r>
      <w:r w:rsidR="00AD62C0" w:rsidRPr="005A3F47">
        <w:rPr>
          <w:noProof/>
        </w:rPr>
        <w:t>s</w:t>
      </w:r>
      <w:r w:rsidRPr="005A3F47">
        <w:rPr>
          <w:noProof/>
        </w:rPr>
        <w:t xml:space="preserve"> on imported mismatches. This would, however, </w:t>
      </w:r>
      <w:r w:rsidR="00094C02" w:rsidRPr="005A3F47">
        <w:rPr>
          <w:noProof/>
        </w:rPr>
        <w:t>imply</w:t>
      </w:r>
      <w:r w:rsidRPr="005A3F47">
        <w:rPr>
          <w:noProof/>
        </w:rPr>
        <w:t xml:space="preserve"> a compliance burden on businesses and tax administrations </w:t>
      </w:r>
      <w:r w:rsidR="00AD62C0" w:rsidRPr="005A3F47">
        <w:rPr>
          <w:noProof/>
        </w:rPr>
        <w:t>to sustain</w:t>
      </w:r>
      <w:r w:rsidRPr="005A3F47">
        <w:rPr>
          <w:noProof/>
        </w:rPr>
        <w:t xml:space="preserve"> a rule that is rarely applied</w:t>
      </w:r>
      <w:r w:rsidR="000B1725" w:rsidRPr="005A3F47">
        <w:rPr>
          <w:noProof/>
        </w:rPr>
        <w:t>,</w:t>
      </w:r>
      <w:r w:rsidRPr="005A3F47">
        <w:rPr>
          <w:noProof/>
        </w:rPr>
        <w:t xml:space="preserve"> </w:t>
      </w:r>
      <w:r w:rsidR="00AD62C0" w:rsidRPr="005A3F47">
        <w:rPr>
          <w:noProof/>
        </w:rPr>
        <w:t>given the challenges already explained above</w:t>
      </w:r>
      <w:r w:rsidR="008E5031" w:rsidRPr="005A3F47">
        <w:rPr>
          <w:noProof/>
        </w:rPr>
        <w:t>, and which is therefore ineffective in practice</w:t>
      </w:r>
      <w:r w:rsidRPr="005A3F47">
        <w:rPr>
          <w:noProof/>
        </w:rPr>
        <w:t>.</w:t>
      </w:r>
      <w:r w:rsidR="004266E6" w:rsidRPr="005A3F47">
        <w:rPr>
          <w:noProof/>
        </w:rPr>
        <w:t xml:space="preserve"> </w:t>
      </w:r>
    </w:p>
    <w:p w14:paraId="300CAD06" w14:textId="77777777" w:rsidR="001B1F30" w:rsidRPr="005A3F47" w:rsidRDefault="001B1F30" w:rsidP="00FA5980">
      <w:pPr>
        <w:pStyle w:val="HeaderLandscape"/>
        <w:rPr>
          <w:noProof/>
        </w:rPr>
      </w:pPr>
    </w:p>
    <w:p w14:paraId="49DC8362" w14:textId="7C65CF0F" w:rsidR="00B93CEC" w:rsidRPr="005A3F47" w:rsidRDefault="00B93CEC" w:rsidP="000D0AA0">
      <w:pPr>
        <w:pStyle w:val="Heading3"/>
        <w:numPr>
          <w:ilvl w:val="2"/>
          <w:numId w:val="185"/>
        </w:numPr>
        <w:rPr>
          <w:rFonts w:eastAsia="Aptos"/>
          <w:noProof/>
        </w:rPr>
      </w:pPr>
      <w:bookmarkStart w:id="110" w:name="_Toc226466820"/>
      <w:bookmarkStart w:id="111" w:name="_Toc226467181"/>
      <w:bookmarkStart w:id="112" w:name="_Toc226467281"/>
      <w:bookmarkStart w:id="113" w:name="_Toc226467500"/>
      <w:r w:rsidRPr="005A3F47">
        <w:rPr>
          <w:rFonts w:eastAsia="Aptos"/>
          <w:noProof/>
        </w:rPr>
        <w:t xml:space="preserve">Tax </w:t>
      </w:r>
      <w:r w:rsidR="00F211C7" w:rsidRPr="005A3F47">
        <w:rPr>
          <w:rFonts w:eastAsia="Aptos"/>
          <w:noProof/>
        </w:rPr>
        <w:t>mergers</w:t>
      </w:r>
      <w:bookmarkEnd w:id="110"/>
      <w:bookmarkEnd w:id="111"/>
      <w:bookmarkEnd w:id="112"/>
      <w:bookmarkEnd w:id="113"/>
    </w:p>
    <w:p w14:paraId="00165187" w14:textId="00B7C6EA" w:rsidR="00A461DA" w:rsidRPr="005A3F47" w:rsidRDefault="00A461DA" w:rsidP="00FA5980">
      <w:pPr>
        <w:rPr>
          <w:noProof/>
        </w:rPr>
      </w:pPr>
      <w:r w:rsidRPr="005A3F47">
        <w:rPr>
          <w:noProof/>
        </w:rPr>
        <w:t xml:space="preserve">To facilitate the functioning of the </w:t>
      </w:r>
      <w:r w:rsidR="00F0357B" w:rsidRPr="005A3F47">
        <w:rPr>
          <w:noProof/>
        </w:rPr>
        <w:t xml:space="preserve">tax neutrality for mergers etc. within the EU, two alternative options </w:t>
      </w:r>
      <w:r w:rsidR="00AF07C7" w:rsidRPr="005A3F47">
        <w:rPr>
          <w:noProof/>
        </w:rPr>
        <w:t>could be</w:t>
      </w:r>
      <w:r w:rsidR="00D0654E" w:rsidRPr="005A3F47">
        <w:rPr>
          <w:noProof/>
        </w:rPr>
        <w:t xml:space="preserve"> proposed</w:t>
      </w:r>
      <w:r w:rsidR="00CF481C" w:rsidRPr="005A3F47">
        <w:rPr>
          <w:noProof/>
        </w:rPr>
        <w:t>:</w:t>
      </w:r>
    </w:p>
    <w:p w14:paraId="7AC1A561" w14:textId="2929BB74" w:rsidR="002727C2" w:rsidRPr="005A3F47" w:rsidRDefault="002727C2" w:rsidP="00FA5980">
      <w:pPr>
        <w:pStyle w:val="Caption"/>
        <w:keepNex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8</w:t>
      </w:r>
      <w:r w:rsidRPr="005A3F47">
        <w:rPr>
          <w:noProof/>
          <w:color w:val="auto"/>
        </w:rPr>
        <w:fldChar w:fldCharType="end"/>
      </w:r>
      <w:r w:rsidRPr="005A3F47">
        <w:rPr>
          <w:noProof/>
          <w:color w:val="auto"/>
        </w:rPr>
        <w:t>: Simplification options for TMD</w:t>
      </w:r>
    </w:p>
    <w:p w14:paraId="5EE81E78" w14:textId="22C980CC" w:rsidR="009A78B4" w:rsidRPr="005A3F47" w:rsidRDefault="009A78B4" w:rsidP="00B96842">
      <w:pPr>
        <w:rPr>
          <w:noProof/>
        </w:rPr>
      </w:pPr>
      <w:r w:rsidRPr="005A3F47">
        <w:rPr>
          <w:noProof/>
          <w:lang w:eastAsia="en-GB"/>
        </w:rPr>
        <w:drawing>
          <wp:inline distT="0" distB="0" distL="0" distR="0" wp14:anchorId="275ECB6E" wp14:editId="38EDA09F">
            <wp:extent cx="5989344" cy="1561381"/>
            <wp:effectExtent l="0" t="0" r="0" b="0"/>
            <wp:docPr id="160250598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05980" name="Picture 1" descr="A screenshot of a computer&#10;&#10;AI-generated content may be incorrect."/>
                    <pic:cNvPicPr/>
                  </pic:nvPicPr>
                  <pic:blipFill>
                    <a:blip r:embed="rId27"/>
                    <a:stretch>
                      <a:fillRect/>
                    </a:stretch>
                  </pic:blipFill>
                  <pic:spPr>
                    <a:xfrm>
                      <a:off x="0" y="0"/>
                      <a:ext cx="6060023" cy="1579807"/>
                    </a:xfrm>
                    <a:prstGeom prst="rect">
                      <a:avLst/>
                    </a:prstGeom>
                  </pic:spPr>
                </pic:pic>
              </a:graphicData>
            </a:graphic>
          </wp:inline>
        </w:drawing>
      </w:r>
    </w:p>
    <w:p w14:paraId="6DE053CD" w14:textId="1D50B43D" w:rsidR="00B93CEC" w:rsidRPr="005A3F47" w:rsidRDefault="00E863D5" w:rsidP="000D0AA0">
      <w:pPr>
        <w:pStyle w:val="Heading4"/>
        <w:numPr>
          <w:ilvl w:val="3"/>
          <w:numId w:val="185"/>
        </w:numPr>
        <w:rPr>
          <w:noProof/>
        </w:rPr>
      </w:pPr>
      <w:r w:rsidRPr="005A3F47">
        <w:rPr>
          <w:noProof/>
        </w:rPr>
        <w:t xml:space="preserve"> </w:t>
      </w:r>
      <w:r w:rsidR="00B93CEC" w:rsidRPr="005A3F47">
        <w:rPr>
          <w:noProof/>
        </w:rPr>
        <w:t xml:space="preserve">Option </w:t>
      </w:r>
      <w:r w:rsidR="002D06E2" w:rsidRPr="005A3F47">
        <w:rPr>
          <w:noProof/>
        </w:rPr>
        <w:t>1</w:t>
      </w:r>
      <w:r w:rsidR="00904103" w:rsidRPr="005A3F47">
        <w:rPr>
          <w:noProof/>
        </w:rPr>
        <w:t>A</w:t>
      </w:r>
      <w:r w:rsidR="00B93CEC" w:rsidRPr="005A3F47">
        <w:rPr>
          <w:noProof/>
        </w:rPr>
        <w:t xml:space="preserve">: </w:t>
      </w:r>
      <w:r w:rsidR="00394A86" w:rsidRPr="005A3F47">
        <w:rPr>
          <w:noProof/>
        </w:rPr>
        <w:t>Dynamic Reference to</w:t>
      </w:r>
      <w:r w:rsidR="00EB5475" w:rsidRPr="005A3F47">
        <w:rPr>
          <w:noProof/>
        </w:rPr>
        <w:t xml:space="preserve"> the Mobility Directive</w:t>
      </w:r>
      <w:r w:rsidR="00EB57A4" w:rsidRPr="005A3F47">
        <w:rPr>
          <w:noProof/>
        </w:rPr>
        <w:t xml:space="preserve"> </w:t>
      </w:r>
    </w:p>
    <w:p w14:paraId="16C2CF38" w14:textId="3D0BAF1F" w:rsidR="00184690" w:rsidRPr="005A3F47" w:rsidRDefault="00AA22AD" w:rsidP="00124B92">
      <w:pPr>
        <w:rPr>
          <w:noProof/>
        </w:rPr>
      </w:pPr>
      <w:r w:rsidRPr="005A3F47">
        <w:rPr>
          <w:noProof/>
        </w:rPr>
        <w:t>Option 1A would intro</w:t>
      </w:r>
      <w:r w:rsidR="00434B82" w:rsidRPr="005A3F47">
        <w:rPr>
          <w:noProof/>
        </w:rPr>
        <w:t>duce a</w:t>
      </w:r>
      <w:r w:rsidR="00177426" w:rsidRPr="005A3F47">
        <w:rPr>
          <w:noProof/>
        </w:rPr>
        <w:t xml:space="preserve"> dynamic link with the </w:t>
      </w:r>
      <w:r w:rsidR="002515D6" w:rsidRPr="005A3F47">
        <w:rPr>
          <w:noProof/>
        </w:rPr>
        <w:t xml:space="preserve">Company </w:t>
      </w:r>
      <w:r w:rsidR="00B70933" w:rsidRPr="005A3F47">
        <w:rPr>
          <w:noProof/>
        </w:rPr>
        <w:t>Law Merger Directive as amended by the</w:t>
      </w:r>
      <w:r w:rsidR="00177426" w:rsidRPr="005A3F47">
        <w:rPr>
          <w:noProof/>
        </w:rPr>
        <w:t xml:space="preserve"> Mobility Directive would allow </w:t>
      </w:r>
      <w:r w:rsidR="000879F9" w:rsidRPr="005A3F47">
        <w:rPr>
          <w:noProof/>
        </w:rPr>
        <w:t>for a</w:t>
      </w:r>
      <w:r w:rsidR="00177426" w:rsidRPr="005A3F47">
        <w:rPr>
          <w:noProof/>
        </w:rPr>
        <w:t xml:space="preserve"> ful</w:t>
      </w:r>
      <w:r w:rsidR="000879F9" w:rsidRPr="005A3F47">
        <w:rPr>
          <w:noProof/>
        </w:rPr>
        <w:t>l</w:t>
      </w:r>
      <w:r w:rsidR="00177426" w:rsidRPr="005A3F47">
        <w:rPr>
          <w:noProof/>
        </w:rPr>
        <w:t xml:space="preserve"> align</w:t>
      </w:r>
      <w:r w:rsidR="000879F9" w:rsidRPr="005A3F47">
        <w:rPr>
          <w:noProof/>
        </w:rPr>
        <w:t>ment of</w:t>
      </w:r>
      <w:r w:rsidR="00177426" w:rsidRPr="005A3F47">
        <w:rPr>
          <w:noProof/>
        </w:rPr>
        <w:t xml:space="preserve"> the </w:t>
      </w:r>
      <w:r w:rsidR="57C4F1C9" w:rsidRPr="005A3F47">
        <w:rPr>
          <w:noProof/>
        </w:rPr>
        <w:t>D</w:t>
      </w:r>
      <w:r w:rsidR="00177426" w:rsidRPr="005A3F47">
        <w:rPr>
          <w:noProof/>
        </w:rPr>
        <w:t>irectives and prevent any mismatches should the Company Law Merger Directive be further amended in the future.</w:t>
      </w:r>
      <w:r w:rsidR="00CE46DF" w:rsidRPr="005A3F47">
        <w:rPr>
          <w:noProof/>
        </w:rPr>
        <w:t xml:space="preserve"> </w:t>
      </w:r>
      <w:r w:rsidR="008B7258" w:rsidRPr="005A3F47">
        <w:rPr>
          <w:noProof/>
        </w:rPr>
        <w:t xml:space="preserve">Concretely, the </w:t>
      </w:r>
      <w:r w:rsidR="00DC229D" w:rsidRPr="005A3F47">
        <w:rPr>
          <w:noProof/>
        </w:rPr>
        <w:t>TMD</w:t>
      </w:r>
      <w:r w:rsidR="008B7258" w:rsidRPr="005A3F47">
        <w:rPr>
          <w:noProof/>
        </w:rPr>
        <w:t xml:space="preserve"> would </w:t>
      </w:r>
      <w:r w:rsidR="7E8C1EBD" w:rsidRPr="005A3F47">
        <w:rPr>
          <w:noProof/>
        </w:rPr>
        <w:t xml:space="preserve">include a </w:t>
      </w:r>
      <w:r w:rsidR="78A15881" w:rsidRPr="005A3F47">
        <w:rPr>
          <w:noProof/>
        </w:rPr>
        <w:t>d</w:t>
      </w:r>
      <w:r w:rsidR="008B7258" w:rsidRPr="005A3F47">
        <w:rPr>
          <w:noProof/>
        </w:rPr>
        <w:t xml:space="preserve">irect </w:t>
      </w:r>
      <w:r w:rsidR="00434B82" w:rsidRPr="005A3F47">
        <w:rPr>
          <w:noProof/>
        </w:rPr>
        <w:t>cross-</w:t>
      </w:r>
      <w:r w:rsidR="008B7258" w:rsidRPr="005A3F47">
        <w:rPr>
          <w:noProof/>
        </w:rPr>
        <w:t xml:space="preserve">reference the Company Law Merger Directive. </w:t>
      </w:r>
    </w:p>
    <w:p w14:paraId="30576126" w14:textId="464B7759" w:rsidR="00177426" w:rsidRPr="005A3F47" w:rsidRDefault="00184690" w:rsidP="00124B92">
      <w:pPr>
        <w:rPr>
          <w:noProof/>
        </w:rPr>
      </w:pPr>
      <w:r w:rsidRPr="005A3F47">
        <w:rPr>
          <w:noProof/>
        </w:rPr>
        <w:t xml:space="preserve">On </w:t>
      </w:r>
      <w:r w:rsidR="00DA463B" w:rsidRPr="005A3F47">
        <w:rPr>
          <w:noProof/>
        </w:rPr>
        <w:t>the</w:t>
      </w:r>
      <w:r w:rsidRPr="005A3F47">
        <w:rPr>
          <w:noProof/>
        </w:rPr>
        <w:t xml:space="preserve"> one hand, t</w:t>
      </w:r>
      <w:r w:rsidR="00D5785F" w:rsidRPr="005A3F47">
        <w:rPr>
          <w:noProof/>
        </w:rPr>
        <w:t>he option would ensure that there is no immediate taxation when</w:t>
      </w:r>
      <w:r w:rsidR="004538DC" w:rsidRPr="005A3F47">
        <w:rPr>
          <w:noProof/>
        </w:rPr>
        <w:t xml:space="preserve"> the new restricting transactions, i.e., </w:t>
      </w:r>
      <w:r w:rsidR="00F211C7" w:rsidRPr="005A3F47">
        <w:rPr>
          <w:noProof/>
        </w:rPr>
        <w:t>simplified mergers, divisions by separation, and cross-border conversion</w:t>
      </w:r>
      <w:r w:rsidR="00E216DB" w:rsidRPr="005A3F47">
        <w:rPr>
          <w:noProof/>
        </w:rPr>
        <w:t xml:space="preserve">s, are carried out in the internal market. This would </w:t>
      </w:r>
      <w:r w:rsidR="00165DB1" w:rsidRPr="005A3F47">
        <w:rPr>
          <w:noProof/>
        </w:rPr>
        <w:t xml:space="preserve">provide for a uniform tax treatment of all </w:t>
      </w:r>
      <w:r w:rsidR="00F577E0" w:rsidRPr="005A3F47">
        <w:rPr>
          <w:noProof/>
        </w:rPr>
        <w:t>restructuring</w:t>
      </w:r>
      <w:r w:rsidR="004A59C1" w:rsidRPr="005A3F47">
        <w:rPr>
          <w:noProof/>
        </w:rPr>
        <w:t xml:space="preserve"> transactions </w:t>
      </w:r>
      <w:r w:rsidR="009E5F29" w:rsidRPr="005A3F47">
        <w:rPr>
          <w:noProof/>
        </w:rPr>
        <w:t xml:space="preserve">that </w:t>
      </w:r>
      <w:r w:rsidR="004A59C1" w:rsidRPr="005A3F47">
        <w:rPr>
          <w:noProof/>
        </w:rPr>
        <w:t xml:space="preserve">are </w:t>
      </w:r>
      <w:r w:rsidR="00F577E0" w:rsidRPr="005A3F47">
        <w:rPr>
          <w:noProof/>
        </w:rPr>
        <w:t>allowed under the Company Law Merger Directive as a</w:t>
      </w:r>
      <w:r w:rsidR="00832A94" w:rsidRPr="005A3F47">
        <w:rPr>
          <w:noProof/>
        </w:rPr>
        <w:t xml:space="preserve">mended by the Mobility Directive. </w:t>
      </w:r>
      <w:r w:rsidR="4C8A96E4" w:rsidRPr="005A3F47">
        <w:rPr>
          <w:noProof/>
        </w:rPr>
        <w:t xml:space="preserve">On the other hand, </w:t>
      </w:r>
      <w:r w:rsidR="00420DF4" w:rsidRPr="005A3F47">
        <w:rPr>
          <w:noProof/>
        </w:rPr>
        <w:t xml:space="preserve">this </w:t>
      </w:r>
      <w:r w:rsidR="00832A94" w:rsidRPr="005A3F47">
        <w:rPr>
          <w:noProof/>
        </w:rPr>
        <w:t>option</w:t>
      </w:r>
      <w:r w:rsidR="00420DF4" w:rsidRPr="005A3F47">
        <w:rPr>
          <w:noProof/>
        </w:rPr>
        <w:t xml:space="preserve"> could lea</w:t>
      </w:r>
      <w:r w:rsidR="3D678112" w:rsidRPr="005A3F47">
        <w:rPr>
          <w:noProof/>
        </w:rPr>
        <w:t>d to</w:t>
      </w:r>
      <w:r w:rsidR="65105AD0" w:rsidRPr="005A3F47">
        <w:rPr>
          <w:noProof/>
        </w:rPr>
        <w:t xml:space="preserve"> uncertainty in</w:t>
      </w:r>
      <w:r w:rsidR="00177426" w:rsidRPr="005A3F47" w:rsidDel="00420DF4">
        <w:rPr>
          <w:noProof/>
        </w:rPr>
        <w:t xml:space="preserve"> the</w:t>
      </w:r>
      <w:r w:rsidR="00420DF4" w:rsidRPr="005A3F47">
        <w:rPr>
          <w:noProof/>
        </w:rPr>
        <w:t xml:space="preserve"> </w:t>
      </w:r>
      <w:r w:rsidR="65105AD0" w:rsidRPr="005A3F47">
        <w:rPr>
          <w:noProof/>
        </w:rPr>
        <w:t xml:space="preserve">future, leaving the </w:t>
      </w:r>
      <w:r w:rsidR="00832A94" w:rsidRPr="005A3F47">
        <w:rPr>
          <w:noProof/>
        </w:rPr>
        <w:t>TMD</w:t>
      </w:r>
      <w:r w:rsidR="00C22D2F" w:rsidRPr="005A3F47">
        <w:rPr>
          <w:noProof/>
        </w:rPr>
        <w:t xml:space="preserve"> </w:t>
      </w:r>
      <w:r w:rsidR="00420DF4" w:rsidRPr="005A3F47">
        <w:rPr>
          <w:noProof/>
        </w:rPr>
        <w:t xml:space="preserve">too open to any future changes </w:t>
      </w:r>
      <w:r w:rsidR="00DC229D" w:rsidRPr="005A3F47">
        <w:rPr>
          <w:noProof/>
        </w:rPr>
        <w:t xml:space="preserve">to </w:t>
      </w:r>
      <w:r w:rsidR="00420DF4" w:rsidRPr="005A3F47">
        <w:rPr>
          <w:noProof/>
        </w:rPr>
        <w:t>the Company Law Merger Directive</w:t>
      </w:r>
      <w:r w:rsidR="00DC229D" w:rsidRPr="005A3F47">
        <w:rPr>
          <w:noProof/>
        </w:rPr>
        <w:t>, including changes</w:t>
      </w:r>
      <w:r w:rsidR="00420DF4" w:rsidRPr="005A3F47">
        <w:rPr>
          <w:noProof/>
        </w:rPr>
        <w:t xml:space="preserve"> which may </w:t>
      </w:r>
      <w:r w:rsidR="002E4000" w:rsidRPr="005A3F47">
        <w:rPr>
          <w:noProof/>
        </w:rPr>
        <w:t xml:space="preserve">not </w:t>
      </w:r>
      <w:r w:rsidR="00420DF4" w:rsidRPr="005A3F47">
        <w:rPr>
          <w:noProof/>
        </w:rPr>
        <w:t xml:space="preserve">always be </w:t>
      </w:r>
      <w:r w:rsidR="33E98D64" w:rsidRPr="005A3F47">
        <w:rPr>
          <w:noProof/>
        </w:rPr>
        <w:t>adequate</w:t>
      </w:r>
      <w:r w:rsidR="00177426" w:rsidRPr="005A3F47" w:rsidDel="00420DF4">
        <w:rPr>
          <w:noProof/>
        </w:rPr>
        <w:t xml:space="preserve"> </w:t>
      </w:r>
      <w:r w:rsidR="00420DF4" w:rsidRPr="005A3F47">
        <w:rPr>
          <w:noProof/>
        </w:rPr>
        <w:t>or necessary from a tax point of view.</w:t>
      </w:r>
    </w:p>
    <w:p w14:paraId="51FBCDB1" w14:textId="37A703FC" w:rsidR="00B93CEC" w:rsidRPr="005A3F47" w:rsidRDefault="00E863D5" w:rsidP="000D0AA0">
      <w:pPr>
        <w:pStyle w:val="Heading4"/>
        <w:numPr>
          <w:ilvl w:val="3"/>
          <w:numId w:val="185"/>
        </w:numPr>
        <w:rPr>
          <w:noProof/>
        </w:rPr>
      </w:pPr>
      <w:r w:rsidRPr="005A3F47">
        <w:rPr>
          <w:noProof/>
        </w:rPr>
        <w:t xml:space="preserve"> </w:t>
      </w:r>
      <w:r w:rsidR="00B93CEC" w:rsidRPr="005A3F47">
        <w:rPr>
          <w:noProof/>
        </w:rPr>
        <w:t xml:space="preserve">Option </w:t>
      </w:r>
      <w:r w:rsidR="00904103" w:rsidRPr="005A3F47">
        <w:rPr>
          <w:noProof/>
        </w:rPr>
        <w:t>1B</w:t>
      </w:r>
      <w:r w:rsidR="00B93CEC" w:rsidRPr="005A3F47">
        <w:rPr>
          <w:noProof/>
        </w:rPr>
        <w:t xml:space="preserve">: </w:t>
      </w:r>
      <w:r w:rsidR="00394A86" w:rsidRPr="005A3F47">
        <w:rPr>
          <w:noProof/>
        </w:rPr>
        <w:t>Add</w:t>
      </w:r>
      <w:r w:rsidR="00E46119" w:rsidRPr="005A3F47">
        <w:rPr>
          <w:noProof/>
        </w:rPr>
        <w:t>ition of</w:t>
      </w:r>
      <w:r w:rsidR="00394A86" w:rsidRPr="005A3F47">
        <w:rPr>
          <w:noProof/>
        </w:rPr>
        <w:t xml:space="preserve"> new </w:t>
      </w:r>
      <w:r w:rsidR="00F112C3" w:rsidRPr="005A3F47">
        <w:rPr>
          <w:noProof/>
        </w:rPr>
        <w:t xml:space="preserve">restructuring </w:t>
      </w:r>
      <w:r w:rsidR="00E46119" w:rsidRPr="005A3F47">
        <w:rPr>
          <w:noProof/>
        </w:rPr>
        <w:t>transactions</w:t>
      </w:r>
      <w:r w:rsidR="00F112C3" w:rsidRPr="005A3F47">
        <w:rPr>
          <w:noProof/>
        </w:rPr>
        <w:t xml:space="preserve"> to the</w:t>
      </w:r>
      <w:r w:rsidR="00CE46DF" w:rsidRPr="005A3F47">
        <w:rPr>
          <w:noProof/>
        </w:rPr>
        <w:t xml:space="preserve"> </w:t>
      </w:r>
      <w:r w:rsidR="0075306C" w:rsidRPr="005A3F47">
        <w:rPr>
          <w:noProof/>
        </w:rPr>
        <w:t xml:space="preserve">TMD </w:t>
      </w:r>
    </w:p>
    <w:p w14:paraId="7BD84988" w14:textId="27DEEA0B" w:rsidR="000957E0" w:rsidRPr="005A3F47" w:rsidRDefault="00614C8C" w:rsidP="1B9DAFF1">
      <w:pPr>
        <w:rPr>
          <w:noProof/>
        </w:rPr>
      </w:pPr>
      <w:r w:rsidRPr="005A3F47">
        <w:rPr>
          <w:noProof/>
        </w:rPr>
        <w:t xml:space="preserve">Option </w:t>
      </w:r>
      <w:r w:rsidR="22DADA8D" w:rsidRPr="005A3F47">
        <w:rPr>
          <w:noProof/>
        </w:rPr>
        <w:t>1B</w:t>
      </w:r>
      <w:r w:rsidR="00CE46DF" w:rsidRPr="005A3F47">
        <w:rPr>
          <w:noProof/>
        </w:rPr>
        <w:t xml:space="preserve"> would extend the scope of the </w:t>
      </w:r>
      <w:r w:rsidR="00553983" w:rsidRPr="005A3F47">
        <w:rPr>
          <w:noProof/>
        </w:rPr>
        <w:t>TMD</w:t>
      </w:r>
      <w:r w:rsidR="00CE46DF" w:rsidRPr="005A3F47">
        <w:rPr>
          <w:noProof/>
        </w:rPr>
        <w:t xml:space="preserve"> by including the </w:t>
      </w:r>
      <w:r w:rsidR="00607B7C" w:rsidRPr="005A3F47">
        <w:rPr>
          <w:noProof/>
        </w:rPr>
        <w:t>new restructuring transactions, i.e.,</w:t>
      </w:r>
      <w:r w:rsidR="00CE46DF" w:rsidRPr="005A3F47">
        <w:rPr>
          <w:noProof/>
        </w:rPr>
        <w:t xml:space="preserve"> </w:t>
      </w:r>
      <w:r w:rsidR="00841806" w:rsidRPr="005A3F47">
        <w:rPr>
          <w:noProof/>
        </w:rPr>
        <w:t>simplified m</w:t>
      </w:r>
      <w:r w:rsidR="00CE46DF" w:rsidRPr="005A3F47">
        <w:rPr>
          <w:noProof/>
        </w:rPr>
        <w:t>erger</w:t>
      </w:r>
      <w:r w:rsidR="00DB50FA" w:rsidRPr="005A3F47">
        <w:rPr>
          <w:noProof/>
        </w:rPr>
        <w:t>s</w:t>
      </w:r>
      <w:r w:rsidR="23A9B35F" w:rsidRPr="005A3F47">
        <w:rPr>
          <w:noProof/>
        </w:rPr>
        <w:t xml:space="preserve">, </w:t>
      </w:r>
      <w:r w:rsidR="00841806" w:rsidRPr="005A3F47">
        <w:rPr>
          <w:noProof/>
        </w:rPr>
        <w:t>d</w:t>
      </w:r>
      <w:r w:rsidR="00CE46DF" w:rsidRPr="005A3F47">
        <w:rPr>
          <w:noProof/>
        </w:rPr>
        <w:t>ivision</w:t>
      </w:r>
      <w:r w:rsidR="00DB50FA" w:rsidRPr="005A3F47">
        <w:rPr>
          <w:noProof/>
        </w:rPr>
        <w:t>s</w:t>
      </w:r>
      <w:r w:rsidR="00CE46DF" w:rsidRPr="005A3F47">
        <w:rPr>
          <w:noProof/>
        </w:rPr>
        <w:t xml:space="preserve"> by </w:t>
      </w:r>
      <w:r w:rsidR="00841806" w:rsidRPr="005A3F47">
        <w:rPr>
          <w:noProof/>
        </w:rPr>
        <w:t>s</w:t>
      </w:r>
      <w:r w:rsidR="00CE46DF" w:rsidRPr="005A3F47">
        <w:rPr>
          <w:noProof/>
        </w:rPr>
        <w:t>eparation</w:t>
      </w:r>
      <w:r w:rsidR="30FBFEB6" w:rsidRPr="005A3F47">
        <w:rPr>
          <w:noProof/>
        </w:rPr>
        <w:t xml:space="preserve"> and cross-border conversion</w:t>
      </w:r>
      <w:r w:rsidR="00DB50FA" w:rsidRPr="005A3F47">
        <w:rPr>
          <w:noProof/>
        </w:rPr>
        <w:t>s</w:t>
      </w:r>
      <w:r w:rsidR="00CE46DF" w:rsidRPr="005A3F47">
        <w:rPr>
          <w:noProof/>
        </w:rPr>
        <w:t xml:space="preserve">, which can be found in the </w:t>
      </w:r>
      <w:r w:rsidR="00607B7C" w:rsidRPr="005A3F47">
        <w:rPr>
          <w:noProof/>
        </w:rPr>
        <w:t>Company Law Merger</w:t>
      </w:r>
      <w:r w:rsidR="00CE46DF" w:rsidRPr="005A3F47">
        <w:rPr>
          <w:noProof/>
        </w:rPr>
        <w:t xml:space="preserve"> Directive</w:t>
      </w:r>
      <w:r w:rsidR="00607B7C" w:rsidRPr="005A3F47">
        <w:rPr>
          <w:noProof/>
        </w:rPr>
        <w:t xml:space="preserve"> as amended by the </w:t>
      </w:r>
      <w:r w:rsidR="00CE46DF" w:rsidRPr="005A3F47">
        <w:rPr>
          <w:noProof/>
        </w:rPr>
        <w:t xml:space="preserve">Mobility Directive. </w:t>
      </w:r>
    </w:p>
    <w:p w14:paraId="48735D13" w14:textId="34F86FDE" w:rsidR="000957E0" w:rsidRPr="005A3F47" w:rsidRDefault="16F0249C" w:rsidP="6332BBED">
      <w:pPr>
        <w:rPr>
          <w:noProof/>
        </w:rPr>
      </w:pPr>
      <w:r w:rsidRPr="005A3F47">
        <w:rPr>
          <w:noProof/>
        </w:rPr>
        <w:t xml:space="preserve">The </w:t>
      </w:r>
      <w:r w:rsidR="245142C0" w:rsidRPr="005A3F47">
        <w:rPr>
          <w:noProof/>
        </w:rPr>
        <w:t>introduc</w:t>
      </w:r>
      <w:r w:rsidRPr="005A3F47">
        <w:rPr>
          <w:noProof/>
        </w:rPr>
        <w:t xml:space="preserve">tion of cross-border conversions would </w:t>
      </w:r>
      <w:r w:rsidR="3A343AF3" w:rsidRPr="005A3F47">
        <w:rPr>
          <w:noProof/>
        </w:rPr>
        <w:t xml:space="preserve">effectively broaden </w:t>
      </w:r>
      <w:r w:rsidRPr="005A3F47">
        <w:rPr>
          <w:noProof/>
        </w:rPr>
        <w:t xml:space="preserve">the scope of the existing </w:t>
      </w:r>
      <w:r w:rsidR="536D86F7" w:rsidRPr="005A3F47">
        <w:rPr>
          <w:noProof/>
        </w:rPr>
        <w:t>rules</w:t>
      </w:r>
      <w:r w:rsidRPr="005A3F47">
        <w:rPr>
          <w:noProof/>
        </w:rPr>
        <w:t xml:space="preserve"> </w:t>
      </w:r>
      <w:r w:rsidR="536D86F7" w:rsidRPr="005A3F47">
        <w:rPr>
          <w:noProof/>
        </w:rPr>
        <w:t>on</w:t>
      </w:r>
      <w:r w:rsidRPr="005A3F47">
        <w:rPr>
          <w:noProof/>
        </w:rPr>
        <w:t xml:space="preserve"> transfer</w:t>
      </w:r>
      <w:r w:rsidR="25F63C8A" w:rsidRPr="005A3F47">
        <w:rPr>
          <w:noProof/>
        </w:rPr>
        <w:t>s</w:t>
      </w:r>
      <w:r w:rsidRPr="005A3F47">
        <w:rPr>
          <w:noProof/>
        </w:rPr>
        <w:t xml:space="preserve"> of office, ensuring that all transfers are </w:t>
      </w:r>
      <w:r w:rsidR="758C05AE" w:rsidRPr="005A3F47">
        <w:rPr>
          <w:noProof/>
        </w:rPr>
        <w:t xml:space="preserve">governed </w:t>
      </w:r>
      <w:r w:rsidRPr="005A3F47">
        <w:rPr>
          <w:noProof/>
        </w:rPr>
        <w:t xml:space="preserve">by </w:t>
      </w:r>
      <w:r w:rsidR="5B7BE81A" w:rsidRPr="005A3F47">
        <w:rPr>
          <w:noProof/>
        </w:rPr>
        <w:t>a uniform framework</w:t>
      </w:r>
      <w:r w:rsidR="21091EA3" w:rsidRPr="005A3F47">
        <w:rPr>
          <w:noProof/>
        </w:rPr>
        <w:t>. This would apply regardless</w:t>
      </w:r>
      <w:r w:rsidRPr="005A3F47">
        <w:rPr>
          <w:noProof/>
        </w:rPr>
        <w:t xml:space="preserve"> of the </w:t>
      </w:r>
      <w:r w:rsidR="57E48E39" w:rsidRPr="005A3F47">
        <w:rPr>
          <w:noProof/>
        </w:rPr>
        <w:t xml:space="preserve">company’s </w:t>
      </w:r>
      <w:r w:rsidRPr="005A3F47">
        <w:rPr>
          <w:noProof/>
        </w:rPr>
        <w:t xml:space="preserve">legal form </w:t>
      </w:r>
      <w:r w:rsidR="29D8EA4F" w:rsidRPr="005A3F47">
        <w:rPr>
          <w:noProof/>
        </w:rPr>
        <w:t>(</w:t>
      </w:r>
      <w:r w:rsidR="3E64176C" w:rsidRPr="005A3F47">
        <w:rPr>
          <w:noProof/>
        </w:rPr>
        <w:t>where</w:t>
      </w:r>
      <w:r w:rsidR="00E867C3" w:rsidRPr="005A3F47">
        <w:rPr>
          <w:noProof/>
        </w:rPr>
        <w:t xml:space="preserve"> </w:t>
      </w:r>
      <w:r w:rsidR="29D8EA4F" w:rsidRPr="005A3F47">
        <w:rPr>
          <w:noProof/>
        </w:rPr>
        <w:t xml:space="preserve">covered in the annex) </w:t>
      </w:r>
      <w:r w:rsidRPr="005A3F47">
        <w:rPr>
          <w:noProof/>
        </w:rPr>
        <w:t xml:space="preserve">and </w:t>
      </w:r>
      <w:r w:rsidR="508DF560" w:rsidRPr="005A3F47">
        <w:rPr>
          <w:noProof/>
        </w:rPr>
        <w:t xml:space="preserve">irrespective of </w:t>
      </w:r>
      <w:r w:rsidRPr="005A3F47">
        <w:rPr>
          <w:noProof/>
        </w:rPr>
        <w:t xml:space="preserve">whether a </w:t>
      </w:r>
      <w:r w:rsidR="1B19E40F" w:rsidRPr="005A3F47">
        <w:rPr>
          <w:noProof/>
        </w:rPr>
        <w:t>prior</w:t>
      </w:r>
      <w:r w:rsidRPr="005A3F47">
        <w:rPr>
          <w:noProof/>
        </w:rPr>
        <w:t xml:space="preserve"> legal for</w:t>
      </w:r>
      <w:r w:rsidR="569DBB75" w:rsidRPr="005A3F47">
        <w:rPr>
          <w:noProof/>
        </w:rPr>
        <w:t>m conversion is required beforehand</w:t>
      </w:r>
      <w:r w:rsidRPr="005A3F47">
        <w:rPr>
          <w:noProof/>
        </w:rPr>
        <w:t xml:space="preserve">. </w:t>
      </w:r>
    </w:p>
    <w:p w14:paraId="2F64C87F" w14:textId="2DC56AD5" w:rsidR="00B93CEC" w:rsidRPr="005A3F47" w:rsidRDefault="0054211D" w:rsidP="00631E62">
      <w:pPr>
        <w:rPr>
          <w:noProof/>
        </w:rPr>
      </w:pPr>
      <w:r w:rsidRPr="005A3F47">
        <w:rPr>
          <w:noProof/>
        </w:rPr>
        <w:t>Similar to Option 1A,</w:t>
      </w:r>
      <w:r w:rsidR="00B27CB2" w:rsidRPr="005A3F47">
        <w:rPr>
          <w:noProof/>
        </w:rPr>
        <w:t xml:space="preserve"> </w:t>
      </w:r>
      <w:r w:rsidR="18ABC5ED" w:rsidRPr="005A3F47">
        <w:rPr>
          <w:noProof/>
        </w:rPr>
        <w:t xml:space="preserve">Option 1B </w:t>
      </w:r>
      <w:r w:rsidR="00B27CB2" w:rsidRPr="005A3F47">
        <w:rPr>
          <w:noProof/>
        </w:rPr>
        <w:t xml:space="preserve">would provide for a uniform tax treatment of all restructuring transactions </w:t>
      </w:r>
      <w:r w:rsidR="009E5F29" w:rsidRPr="005A3F47">
        <w:rPr>
          <w:noProof/>
        </w:rPr>
        <w:t>that</w:t>
      </w:r>
      <w:r w:rsidR="00B27CB2" w:rsidRPr="005A3F47">
        <w:rPr>
          <w:noProof/>
        </w:rPr>
        <w:t xml:space="preserve"> are allowed under the Company Law Merger Directive as amended by the Mobility Directive.</w:t>
      </w:r>
      <w:r w:rsidR="6A3DC05A" w:rsidRPr="005A3F47">
        <w:rPr>
          <w:noProof/>
        </w:rPr>
        <w:t xml:space="preserve"> In addition, this option would cater for specific tax needs, while providing legal certainty to operators across the internal market.</w:t>
      </w:r>
    </w:p>
    <w:p w14:paraId="089E4F44" w14:textId="7153BA4B" w:rsidR="00887F37" w:rsidRPr="005A3F47" w:rsidRDefault="00431B9B" w:rsidP="00C50E1A">
      <w:pPr>
        <w:pStyle w:val="Heading3"/>
        <w:numPr>
          <w:ilvl w:val="2"/>
          <w:numId w:val="185"/>
        </w:numPr>
        <w:rPr>
          <w:rFonts w:eastAsia="Aptos"/>
          <w:noProof/>
        </w:rPr>
      </w:pPr>
      <w:bookmarkStart w:id="114" w:name="_Toc226466821"/>
      <w:bookmarkStart w:id="115" w:name="_Toc226467182"/>
      <w:bookmarkStart w:id="116" w:name="_Toc226467282"/>
      <w:bookmarkStart w:id="117" w:name="_Toc226467501"/>
      <w:r w:rsidRPr="005A3F47">
        <w:rPr>
          <w:rFonts w:eastAsia="Aptos"/>
          <w:noProof/>
        </w:rPr>
        <w:t>Dispute resolution mechanism</w:t>
      </w:r>
      <w:r w:rsidR="007358DE" w:rsidRPr="005A3F47">
        <w:rPr>
          <w:rFonts w:eastAsia="Aptos"/>
          <w:noProof/>
        </w:rPr>
        <w:t>s</w:t>
      </w:r>
      <w:bookmarkEnd w:id="114"/>
      <w:bookmarkEnd w:id="115"/>
      <w:bookmarkEnd w:id="116"/>
      <w:bookmarkEnd w:id="117"/>
    </w:p>
    <w:p w14:paraId="66E393E8" w14:textId="17B8A150" w:rsidR="00A41111" w:rsidRPr="005A3F47" w:rsidRDefault="00D91ED5" w:rsidP="00216AED">
      <w:pPr>
        <w:rPr>
          <w:noProof/>
        </w:rPr>
      </w:pPr>
      <w:r w:rsidRPr="005A3F47">
        <w:rPr>
          <w:noProof/>
        </w:rPr>
        <w:t xml:space="preserve">As outlined in Section </w:t>
      </w:r>
      <w:r w:rsidR="004F375D" w:rsidRPr="005A3F47">
        <w:rPr>
          <w:noProof/>
        </w:rPr>
        <w:fldChar w:fldCharType="begin"/>
      </w:r>
      <w:r w:rsidR="004F375D" w:rsidRPr="005A3F47">
        <w:rPr>
          <w:noProof/>
        </w:rPr>
        <w:instrText xml:space="preserve"> REF _Ref226463057 \r \h </w:instrText>
      </w:r>
      <w:r w:rsidR="005A3F47">
        <w:rPr>
          <w:noProof/>
        </w:rPr>
        <w:instrText xml:space="preserve"> \* MERGEFORMAT </w:instrText>
      </w:r>
      <w:r w:rsidR="004F375D" w:rsidRPr="005A3F47">
        <w:rPr>
          <w:noProof/>
        </w:rPr>
      </w:r>
      <w:r w:rsidR="004F375D" w:rsidRPr="005A3F47">
        <w:rPr>
          <w:noProof/>
        </w:rPr>
        <w:fldChar w:fldCharType="separate"/>
      </w:r>
      <w:r w:rsidR="00CF3380">
        <w:rPr>
          <w:noProof/>
        </w:rPr>
        <w:t>5.1</w:t>
      </w:r>
      <w:r w:rsidR="004F375D" w:rsidRPr="005A3F47">
        <w:rPr>
          <w:noProof/>
        </w:rPr>
        <w:fldChar w:fldCharType="end"/>
      </w:r>
      <w:r w:rsidR="00173FFC" w:rsidRPr="005A3F47">
        <w:rPr>
          <w:noProof/>
        </w:rPr>
        <w:t>.7</w:t>
      </w:r>
      <w:r w:rsidR="00F056A3" w:rsidRPr="005A3F47">
        <w:rPr>
          <w:noProof/>
        </w:rPr>
        <w:t>, t</w:t>
      </w:r>
      <w:r w:rsidR="5D1BF17E" w:rsidRPr="005A3F47">
        <w:rPr>
          <w:noProof/>
        </w:rPr>
        <w:t xml:space="preserve">he use of the DRM is affected by a number of divergent interpretative issues that create tax uncertainty. </w:t>
      </w:r>
      <w:r w:rsidRPr="005A3F47">
        <w:rPr>
          <w:noProof/>
        </w:rPr>
        <w:t xml:space="preserve">Two </w:t>
      </w:r>
      <w:r w:rsidR="00F056A3" w:rsidRPr="005A3F47">
        <w:rPr>
          <w:noProof/>
        </w:rPr>
        <w:t xml:space="preserve">simplification </w:t>
      </w:r>
      <w:r w:rsidRPr="005A3F47">
        <w:rPr>
          <w:noProof/>
        </w:rPr>
        <w:t>options could</w:t>
      </w:r>
      <w:r w:rsidR="5D1BF17E" w:rsidRPr="005A3F47">
        <w:rPr>
          <w:noProof/>
        </w:rPr>
        <w:t xml:space="preserve"> therefore be considered</w:t>
      </w:r>
      <w:r w:rsidRPr="005A3F47">
        <w:rPr>
          <w:noProof/>
        </w:rPr>
        <w:t>:</w:t>
      </w:r>
    </w:p>
    <w:p w14:paraId="1DBC1F3F" w14:textId="0443514F" w:rsidR="000F6C42" w:rsidRPr="005A3F47" w:rsidRDefault="000F6C42" w:rsidP="00FA5980">
      <w:pPr>
        <w:pStyle w:val="Caption"/>
        <w:keepNex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9</w:t>
      </w:r>
      <w:r w:rsidRPr="005A3F47">
        <w:rPr>
          <w:noProof/>
          <w:color w:val="auto"/>
        </w:rPr>
        <w:fldChar w:fldCharType="end"/>
      </w:r>
      <w:r w:rsidRPr="005A3F47">
        <w:rPr>
          <w:noProof/>
          <w:color w:val="auto"/>
        </w:rPr>
        <w:t>: Simplification options for DRM</w:t>
      </w:r>
    </w:p>
    <w:p w14:paraId="157EE4D7" w14:textId="38A0D56B" w:rsidR="00216AED" w:rsidRPr="005A3F47" w:rsidRDefault="00A41111" w:rsidP="00FA5980">
      <w:pPr>
        <w:rPr>
          <w:noProof/>
        </w:rPr>
      </w:pPr>
      <w:r w:rsidRPr="005A3F47">
        <w:rPr>
          <w:noProof/>
          <w:lang w:eastAsia="en-GB"/>
        </w:rPr>
        <w:drawing>
          <wp:inline distT="0" distB="0" distL="0" distR="0" wp14:anchorId="42941AE6" wp14:editId="59F0A336">
            <wp:extent cx="6016422" cy="1328468"/>
            <wp:effectExtent l="0" t="0" r="0" b="0"/>
            <wp:docPr id="91455666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56669" name="Picture 1" descr="A screenshot of a computer&#10;&#10;AI-generated content may be incorrect."/>
                    <pic:cNvPicPr/>
                  </pic:nvPicPr>
                  <pic:blipFill>
                    <a:blip r:embed="rId28"/>
                    <a:stretch>
                      <a:fillRect/>
                    </a:stretch>
                  </pic:blipFill>
                  <pic:spPr>
                    <a:xfrm>
                      <a:off x="0" y="0"/>
                      <a:ext cx="6098717" cy="1346639"/>
                    </a:xfrm>
                    <a:prstGeom prst="rect">
                      <a:avLst/>
                    </a:prstGeom>
                  </pic:spPr>
                </pic:pic>
              </a:graphicData>
            </a:graphic>
          </wp:inline>
        </w:drawing>
      </w:r>
    </w:p>
    <w:p w14:paraId="1B767549" w14:textId="31F8FA4C" w:rsidR="0079692A" w:rsidRPr="005A3F47" w:rsidRDefault="00E863D5" w:rsidP="0084160F">
      <w:pPr>
        <w:pStyle w:val="Heading4"/>
        <w:numPr>
          <w:ilvl w:val="3"/>
          <w:numId w:val="185"/>
        </w:numPr>
        <w:rPr>
          <w:noProof/>
        </w:rPr>
      </w:pPr>
      <w:r w:rsidRPr="005A3F47">
        <w:rPr>
          <w:noProof/>
        </w:rPr>
        <w:t xml:space="preserve"> </w:t>
      </w:r>
      <w:r w:rsidR="00D82A22" w:rsidRPr="005A3F47">
        <w:rPr>
          <w:noProof/>
        </w:rPr>
        <w:t xml:space="preserve">Option </w:t>
      </w:r>
      <w:r w:rsidR="00920A18" w:rsidRPr="005A3F47">
        <w:rPr>
          <w:noProof/>
        </w:rPr>
        <w:t>1</w:t>
      </w:r>
      <w:r w:rsidR="00D82A22" w:rsidRPr="005A3F47">
        <w:rPr>
          <w:noProof/>
        </w:rPr>
        <w:t xml:space="preserve">: </w:t>
      </w:r>
      <w:r w:rsidR="006217FA" w:rsidRPr="005A3F47">
        <w:rPr>
          <w:noProof/>
        </w:rPr>
        <w:t>T</w:t>
      </w:r>
      <w:r w:rsidR="665B1416" w:rsidRPr="005A3F47">
        <w:rPr>
          <w:noProof/>
        </w:rPr>
        <w:t xml:space="preserve">argeted legislative amendments to clarify procedural rules </w:t>
      </w:r>
      <w:r w:rsidR="009D1FA3" w:rsidRPr="005A3F47">
        <w:rPr>
          <w:noProof/>
        </w:rPr>
        <w:t xml:space="preserve"> </w:t>
      </w:r>
    </w:p>
    <w:p w14:paraId="4BB176FE" w14:textId="31A61A61" w:rsidR="00216AED" w:rsidRPr="005A3F47" w:rsidRDefault="4EA4A142" w:rsidP="00216AED">
      <w:pPr>
        <w:rPr>
          <w:noProof/>
        </w:rPr>
      </w:pPr>
      <w:r w:rsidRPr="005A3F47">
        <w:rPr>
          <w:noProof/>
        </w:rPr>
        <w:t xml:space="preserve">This option would propose targeted legislative amendments to address the identified interpretative issues where </w:t>
      </w:r>
      <w:r w:rsidR="5B3AE18B" w:rsidRPr="005A3F47">
        <w:rPr>
          <w:noProof/>
        </w:rPr>
        <w:t>amendments</w:t>
      </w:r>
      <w:r w:rsidRPr="005A3F47">
        <w:rPr>
          <w:noProof/>
        </w:rPr>
        <w:t xml:space="preserve"> to the text of the </w:t>
      </w:r>
      <w:r w:rsidR="42236E01" w:rsidRPr="005A3F47">
        <w:rPr>
          <w:noProof/>
        </w:rPr>
        <w:t xml:space="preserve">DRM </w:t>
      </w:r>
      <w:r w:rsidR="5F0F6AE5" w:rsidRPr="005A3F47">
        <w:rPr>
          <w:noProof/>
        </w:rPr>
        <w:t>are</w:t>
      </w:r>
      <w:r w:rsidR="3E2A56F1" w:rsidRPr="005A3F47">
        <w:rPr>
          <w:noProof/>
        </w:rPr>
        <w:t xml:space="preserve"> needed</w:t>
      </w:r>
      <w:r w:rsidRPr="005A3F47">
        <w:rPr>
          <w:noProof/>
        </w:rPr>
        <w:t xml:space="preserve"> </w:t>
      </w:r>
      <w:r w:rsidR="755AE7F9" w:rsidRPr="005A3F47">
        <w:rPr>
          <w:noProof/>
        </w:rPr>
        <w:t>to better clarify concepts and</w:t>
      </w:r>
      <w:r w:rsidRPr="005A3F47">
        <w:rPr>
          <w:noProof/>
        </w:rPr>
        <w:t xml:space="preserve"> increase the tax certainty of the procedure. The </w:t>
      </w:r>
      <w:r w:rsidR="429D0293" w:rsidRPr="005A3F47">
        <w:rPr>
          <w:noProof/>
        </w:rPr>
        <w:t>targeted</w:t>
      </w:r>
      <w:r w:rsidRPr="005A3F47">
        <w:rPr>
          <w:noProof/>
        </w:rPr>
        <w:t xml:space="preserve"> amendments would mainly focus on clarifying key procedural aspects of the complaint phase, including the meaning of the requirement to submit complaints “simultaneously” (Art. 3(1)), the consequences of failing to do so (Art. 3(1)), the possibility for taxpayers to remedy or resubmit incomplete complaints (Art. 3(4)), and the identification of the “affected person” required to lodge a complaint in multi-entity situations (Art. 3(1)). Further amendments would address the interaction between the DRM procedure and other ongoing dispute resolution procedures (Art. 16(5)), and procedural aspects of the dispute resolution stage, such as objections to the appointment of a person of standing (Art. 8(4–5)). Overall, these amendments</w:t>
      </w:r>
      <w:r w:rsidR="00C02F28" w:rsidRPr="005A3F47">
        <w:rPr>
          <w:noProof/>
        </w:rPr>
        <w:t xml:space="preserve"> would</w:t>
      </w:r>
      <w:r w:rsidRPr="005A3F47">
        <w:rPr>
          <w:noProof/>
        </w:rPr>
        <w:t xml:space="preserve"> aim to remove ambiguities in the </w:t>
      </w:r>
      <w:r w:rsidR="3BF38357" w:rsidRPr="005A3F47">
        <w:rPr>
          <w:noProof/>
        </w:rPr>
        <w:t>DRM</w:t>
      </w:r>
      <w:r w:rsidRPr="005A3F47">
        <w:rPr>
          <w:noProof/>
        </w:rPr>
        <w:t xml:space="preserve"> and ensure a clearer and more predictable application of the procedure across Member States</w:t>
      </w:r>
      <w:r w:rsidR="00355F90" w:rsidRPr="005A3F47">
        <w:rPr>
          <w:noProof/>
        </w:rPr>
        <w:t>.</w:t>
      </w:r>
      <w:r w:rsidR="003F6062" w:rsidRPr="005A3F47">
        <w:rPr>
          <w:noProof/>
        </w:rPr>
        <w:t xml:space="preserve"> </w:t>
      </w:r>
    </w:p>
    <w:p w14:paraId="04CE8762" w14:textId="329FA7E6" w:rsidR="001B035F" w:rsidRPr="005A3F47" w:rsidRDefault="00E863D5" w:rsidP="0084160F">
      <w:pPr>
        <w:pStyle w:val="Heading4"/>
        <w:numPr>
          <w:ilvl w:val="3"/>
          <w:numId w:val="185"/>
        </w:numPr>
        <w:rPr>
          <w:noProof/>
        </w:rPr>
      </w:pPr>
      <w:r w:rsidRPr="005A3F47">
        <w:rPr>
          <w:noProof/>
        </w:rPr>
        <w:t xml:space="preserve"> </w:t>
      </w:r>
      <w:r w:rsidR="001B035F" w:rsidRPr="005A3F47">
        <w:rPr>
          <w:noProof/>
        </w:rPr>
        <w:t xml:space="preserve">Option </w:t>
      </w:r>
      <w:r w:rsidR="00920A18" w:rsidRPr="005A3F47">
        <w:rPr>
          <w:noProof/>
        </w:rPr>
        <w:t>2</w:t>
      </w:r>
      <w:r w:rsidR="001B035F" w:rsidRPr="005A3F47">
        <w:rPr>
          <w:noProof/>
        </w:rPr>
        <w:t xml:space="preserve">: </w:t>
      </w:r>
      <w:r w:rsidR="005A2163" w:rsidRPr="005A3F47">
        <w:rPr>
          <w:noProof/>
        </w:rPr>
        <w:t xml:space="preserve">Use of </w:t>
      </w:r>
      <w:r w:rsidR="001B035F" w:rsidRPr="005A3F47">
        <w:rPr>
          <w:noProof/>
        </w:rPr>
        <w:t>Council implementing acts</w:t>
      </w:r>
      <w:r w:rsidR="047B78A6" w:rsidRPr="005A3F47">
        <w:rPr>
          <w:noProof/>
        </w:rPr>
        <w:t xml:space="preserve"> </w:t>
      </w:r>
    </w:p>
    <w:p w14:paraId="590C7F01" w14:textId="3DF542D7" w:rsidR="002C1D6A" w:rsidRPr="005A3F47" w:rsidRDefault="001B035F" w:rsidP="00124B92">
      <w:pPr>
        <w:rPr>
          <w:noProof/>
        </w:rPr>
      </w:pPr>
      <w:r w:rsidRPr="005A3F47">
        <w:rPr>
          <w:noProof/>
        </w:rPr>
        <w:t xml:space="preserve">For issues that are inherently more complex and where uniform application cannot be achieved without binding rules, Council implementing acts </w:t>
      </w:r>
      <w:r w:rsidR="00C02F28" w:rsidRPr="005A3F47">
        <w:rPr>
          <w:noProof/>
        </w:rPr>
        <w:t>could be used as a</w:t>
      </w:r>
      <w:r w:rsidRPr="005A3F47">
        <w:rPr>
          <w:noProof/>
        </w:rPr>
        <w:t xml:space="preserve"> more appropriate tool. </w:t>
      </w:r>
      <w:r w:rsidR="00903885" w:rsidRPr="005A3F47">
        <w:rPr>
          <w:noProof/>
        </w:rPr>
        <w:t xml:space="preserve">This would concern </w:t>
      </w:r>
      <w:r w:rsidRPr="005A3F47">
        <w:rPr>
          <w:noProof/>
        </w:rPr>
        <w:t xml:space="preserve">cases in which interpretative difficulties cannot be resolved through targeted legislative amendments alone but require more detailed binding provisions to ensure consistent implementation across Member States. </w:t>
      </w:r>
    </w:p>
    <w:p w14:paraId="7578FA10" w14:textId="2D635441" w:rsidR="002C1D6A" w:rsidRPr="005A3F47" w:rsidRDefault="00903885" w:rsidP="002C1D6A">
      <w:pPr>
        <w:rPr>
          <w:noProof/>
        </w:rPr>
      </w:pPr>
      <w:r w:rsidRPr="005A3F47">
        <w:rPr>
          <w:noProof/>
        </w:rPr>
        <w:t>As a result, t</w:t>
      </w:r>
      <w:r w:rsidR="4AAA3476" w:rsidRPr="005A3F47">
        <w:rPr>
          <w:noProof/>
        </w:rPr>
        <w:t xml:space="preserve">his option </w:t>
      </w:r>
      <w:r w:rsidRPr="005A3F47">
        <w:rPr>
          <w:noProof/>
        </w:rPr>
        <w:t>would</w:t>
      </w:r>
      <w:r w:rsidR="4AAA3476" w:rsidRPr="005A3F47">
        <w:rPr>
          <w:noProof/>
        </w:rPr>
        <w:t xml:space="preserve"> include a provision empowering the Council to adopt </w:t>
      </w:r>
      <w:r w:rsidR="31174BB0" w:rsidRPr="005A3F47">
        <w:rPr>
          <w:noProof/>
        </w:rPr>
        <w:t xml:space="preserve">Council implementing acts to ensure a more uniform implementation of the </w:t>
      </w:r>
      <w:r w:rsidR="4CCD2BC0" w:rsidRPr="005A3F47">
        <w:rPr>
          <w:noProof/>
        </w:rPr>
        <w:t xml:space="preserve">DRM </w:t>
      </w:r>
      <w:r w:rsidR="31174BB0" w:rsidRPr="005A3F47">
        <w:rPr>
          <w:noProof/>
        </w:rPr>
        <w:t>and  to clarify certain operational aspects of the procedure</w:t>
      </w:r>
      <w:r w:rsidR="08B68404" w:rsidRPr="005A3F47">
        <w:rPr>
          <w:noProof/>
        </w:rPr>
        <w:t xml:space="preserve"> laid down in th</w:t>
      </w:r>
      <w:r w:rsidR="2F5945FC" w:rsidRPr="005A3F47">
        <w:rPr>
          <w:noProof/>
        </w:rPr>
        <w:t>e</w:t>
      </w:r>
      <w:r w:rsidR="08B68404" w:rsidRPr="005A3F47">
        <w:rPr>
          <w:noProof/>
        </w:rPr>
        <w:t xml:space="preserve"> </w:t>
      </w:r>
      <w:r w:rsidR="2FF92047" w:rsidRPr="005A3F47">
        <w:rPr>
          <w:noProof/>
        </w:rPr>
        <w:t xml:space="preserve">DRM </w:t>
      </w:r>
      <w:r w:rsidR="31174BB0" w:rsidRPr="005A3F47">
        <w:rPr>
          <w:noProof/>
        </w:rPr>
        <w:t xml:space="preserve">, including: (1) the communication flow between competent authorities; (2) the application of the simplified procedure for SMEs; and (3) the interaction between procedures under the </w:t>
      </w:r>
      <w:r w:rsidR="532140BB" w:rsidRPr="005A3F47">
        <w:rPr>
          <w:noProof/>
        </w:rPr>
        <w:t xml:space="preserve">DRM </w:t>
      </w:r>
      <w:r w:rsidR="31174BB0" w:rsidRPr="005A3F47">
        <w:rPr>
          <w:noProof/>
        </w:rPr>
        <w:t>and proceedings before national courts.</w:t>
      </w:r>
    </w:p>
    <w:p w14:paraId="439E55B4" w14:textId="02ECE0DD" w:rsidR="00BD6470" w:rsidRPr="005A3F47" w:rsidRDefault="007E756C" w:rsidP="0084160F">
      <w:pPr>
        <w:pStyle w:val="Heading2"/>
        <w:numPr>
          <w:ilvl w:val="1"/>
          <w:numId w:val="185"/>
        </w:numPr>
        <w:rPr>
          <w:noProof/>
        </w:rPr>
      </w:pPr>
      <w:bookmarkStart w:id="118" w:name="_Toc226466822"/>
      <w:bookmarkStart w:id="119" w:name="_Toc226467183"/>
      <w:bookmarkStart w:id="120" w:name="_Toc226467283"/>
      <w:bookmarkStart w:id="121" w:name="_Toc226467502"/>
      <w:r w:rsidRPr="005A3F47">
        <w:rPr>
          <w:noProof/>
        </w:rPr>
        <w:t xml:space="preserve"> </w:t>
      </w:r>
      <w:r w:rsidR="00BD6470" w:rsidRPr="005A3F47">
        <w:rPr>
          <w:noProof/>
        </w:rPr>
        <w:t>Options discarded at an early stage</w:t>
      </w:r>
      <w:bookmarkEnd w:id="118"/>
      <w:bookmarkEnd w:id="119"/>
      <w:bookmarkEnd w:id="120"/>
      <w:bookmarkEnd w:id="121"/>
    </w:p>
    <w:p w14:paraId="1D1FF4C7" w14:textId="2BF21B8E" w:rsidR="006B087E" w:rsidRPr="005A3F47" w:rsidRDefault="006866D6" w:rsidP="0084160F">
      <w:pPr>
        <w:pStyle w:val="Heading3"/>
        <w:numPr>
          <w:ilvl w:val="2"/>
          <w:numId w:val="185"/>
        </w:numPr>
        <w:rPr>
          <w:noProof/>
        </w:rPr>
      </w:pPr>
      <w:bookmarkStart w:id="122" w:name="_Toc226466823"/>
      <w:bookmarkStart w:id="123" w:name="_Toc226467184"/>
      <w:bookmarkStart w:id="124" w:name="_Toc226467284"/>
      <w:bookmarkStart w:id="125" w:name="_Toc226467503"/>
      <w:r w:rsidRPr="005A3F47">
        <w:rPr>
          <w:noProof/>
        </w:rPr>
        <w:t>Abolish CFC rules</w:t>
      </w:r>
      <w:bookmarkEnd w:id="122"/>
      <w:bookmarkEnd w:id="123"/>
      <w:bookmarkEnd w:id="124"/>
      <w:bookmarkEnd w:id="125"/>
    </w:p>
    <w:p w14:paraId="17B2A878" w14:textId="0FC333DB" w:rsidR="006650A0" w:rsidRPr="005A3F47" w:rsidRDefault="008A2005" w:rsidP="00FA5980">
      <w:pPr>
        <w:spacing w:before="120" w:after="120" w:line="259" w:lineRule="auto"/>
        <w:rPr>
          <w:noProof/>
        </w:rPr>
      </w:pPr>
      <w:r w:rsidRPr="005A3F47">
        <w:rPr>
          <w:noProof/>
        </w:rPr>
        <w:t xml:space="preserve">According to the ATAD evaluation, the </w:t>
      </w:r>
      <w:r w:rsidR="00C0110E" w:rsidRPr="005A3F47">
        <w:rPr>
          <w:noProof/>
        </w:rPr>
        <w:t>rationale</w:t>
      </w:r>
      <w:r w:rsidRPr="005A3F47">
        <w:rPr>
          <w:noProof/>
        </w:rPr>
        <w:t xml:space="preserve"> </w:t>
      </w:r>
      <w:r w:rsidR="00C0110E" w:rsidRPr="005A3F47">
        <w:rPr>
          <w:noProof/>
        </w:rPr>
        <w:t>for</w:t>
      </w:r>
      <w:r w:rsidRPr="005A3F47">
        <w:rPr>
          <w:noProof/>
        </w:rPr>
        <w:t xml:space="preserve"> retaining the CFC rules </w:t>
      </w:r>
      <w:r w:rsidR="00DE0290" w:rsidRPr="005A3F47">
        <w:rPr>
          <w:noProof/>
        </w:rPr>
        <w:t>in a post</w:t>
      </w:r>
      <w:r w:rsidR="00ED2E8A" w:rsidRPr="005A3F47">
        <w:rPr>
          <w:noProof/>
        </w:rPr>
        <w:t>-</w:t>
      </w:r>
      <w:r w:rsidR="00DE0290" w:rsidRPr="005A3F47">
        <w:rPr>
          <w:noProof/>
        </w:rPr>
        <w:t>Pillar 2 environment</w:t>
      </w:r>
      <w:r w:rsidRPr="005A3F47">
        <w:rPr>
          <w:noProof/>
        </w:rPr>
        <w:t xml:space="preserve"> </w:t>
      </w:r>
      <w:r w:rsidR="00CE2642" w:rsidRPr="005A3F47">
        <w:rPr>
          <w:noProof/>
        </w:rPr>
        <w:t>is weakened</w:t>
      </w:r>
      <w:r w:rsidR="00081740" w:rsidRPr="005A3F47">
        <w:rPr>
          <w:noProof/>
        </w:rPr>
        <w:t xml:space="preserve">. </w:t>
      </w:r>
      <w:r w:rsidR="00E20099" w:rsidRPr="005A3F47">
        <w:rPr>
          <w:noProof/>
        </w:rPr>
        <w:t xml:space="preserve">For groups within the scope of </w:t>
      </w:r>
      <w:r w:rsidR="00757952" w:rsidRPr="005A3F47">
        <w:rPr>
          <w:noProof/>
        </w:rPr>
        <w:t>Pillar 2</w:t>
      </w:r>
      <w:r w:rsidR="00AD5D95" w:rsidRPr="005A3F47">
        <w:rPr>
          <w:noProof/>
        </w:rPr>
        <w:t xml:space="preserve">, </w:t>
      </w:r>
      <w:r w:rsidR="00CA45BA" w:rsidRPr="005A3F47">
        <w:rPr>
          <w:noProof/>
        </w:rPr>
        <w:t xml:space="preserve">the introduction of the </w:t>
      </w:r>
      <w:r w:rsidR="789A6EC9" w:rsidRPr="005A3F47">
        <w:rPr>
          <w:noProof/>
        </w:rPr>
        <w:t>P</w:t>
      </w:r>
      <w:r w:rsidR="00FF40F5" w:rsidRPr="005A3F47">
        <w:rPr>
          <w:noProof/>
        </w:rPr>
        <w:t>i</w:t>
      </w:r>
      <w:r w:rsidR="789A6EC9" w:rsidRPr="005A3F47">
        <w:rPr>
          <w:noProof/>
        </w:rPr>
        <w:t xml:space="preserve">llar 2 </w:t>
      </w:r>
      <w:r w:rsidR="00CA45BA" w:rsidRPr="005A3F47">
        <w:rPr>
          <w:noProof/>
        </w:rPr>
        <w:t xml:space="preserve">global minimum tax </w:t>
      </w:r>
      <w:r w:rsidR="00DF4295" w:rsidRPr="005A3F47">
        <w:rPr>
          <w:noProof/>
        </w:rPr>
        <w:t>makes</w:t>
      </w:r>
      <w:r w:rsidR="0023291B" w:rsidRPr="005A3F47">
        <w:rPr>
          <w:noProof/>
        </w:rPr>
        <w:t xml:space="preserve"> CFC rules partially redundant</w:t>
      </w:r>
      <w:r w:rsidR="00334663" w:rsidRPr="005A3F47">
        <w:rPr>
          <w:noProof/>
        </w:rPr>
        <w:t xml:space="preserve">, despite </w:t>
      </w:r>
      <w:r w:rsidR="005A6C8D" w:rsidRPr="005A3F47">
        <w:rPr>
          <w:noProof/>
        </w:rPr>
        <w:t>differences in scope and functioning</w:t>
      </w:r>
      <w:r w:rsidR="007C6126" w:rsidRPr="005A3F47">
        <w:rPr>
          <w:noProof/>
        </w:rPr>
        <w:t xml:space="preserve"> mechanisms. For smaller groups,</w:t>
      </w:r>
      <w:r w:rsidR="005A6C8D" w:rsidRPr="005A3F47">
        <w:rPr>
          <w:noProof/>
        </w:rPr>
        <w:t xml:space="preserve"> </w:t>
      </w:r>
      <w:r w:rsidR="007C6126" w:rsidRPr="005A3F47">
        <w:rPr>
          <w:noProof/>
        </w:rPr>
        <w:t>outside the scope of Pillar 2, i.e., with a global turnover below EUR 750,000,000,</w:t>
      </w:r>
      <w:r w:rsidR="00F3102E" w:rsidRPr="005A3F47">
        <w:rPr>
          <w:noProof/>
        </w:rPr>
        <w:t xml:space="preserve"> </w:t>
      </w:r>
      <w:r w:rsidR="004E41BB" w:rsidRPr="005A3F47">
        <w:rPr>
          <w:noProof/>
        </w:rPr>
        <w:t xml:space="preserve">academic literature </w:t>
      </w:r>
      <w:r w:rsidR="00A82DCD" w:rsidRPr="005A3F47">
        <w:rPr>
          <w:noProof/>
        </w:rPr>
        <w:t>suggest</w:t>
      </w:r>
      <w:r w:rsidR="00EE7E84" w:rsidRPr="005A3F47">
        <w:rPr>
          <w:noProof/>
        </w:rPr>
        <w:t>s</w:t>
      </w:r>
      <w:r w:rsidR="00A82DCD" w:rsidRPr="005A3F47">
        <w:rPr>
          <w:noProof/>
        </w:rPr>
        <w:t xml:space="preserve"> that </w:t>
      </w:r>
      <w:r w:rsidR="008D1760" w:rsidRPr="005A3F47">
        <w:rPr>
          <w:noProof/>
        </w:rPr>
        <w:t xml:space="preserve">tax avoidance is primarily </w:t>
      </w:r>
      <w:r w:rsidR="00F51D3D" w:rsidRPr="005A3F47">
        <w:rPr>
          <w:noProof/>
        </w:rPr>
        <w:t xml:space="preserve">concentrated among the largest </w:t>
      </w:r>
      <w:r w:rsidR="005968EC" w:rsidRPr="005A3F47">
        <w:rPr>
          <w:noProof/>
        </w:rPr>
        <w:t>and more complex</w:t>
      </w:r>
      <w:r w:rsidR="00F51D3D" w:rsidRPr="005A3F47">
        <w:rPr>
          <w:noProof/>
        </w:rPr>
        <w:t xml:space="preserve"> </w:t>
      </w:r>
      <w:r w:rsidR="005968EC" w:rsidRPr="005A3F47">
        <w:rPr>
          <w:noProof/>
        </w:rPr>
        <w:t>structures</w:t>
      </w:r>
      <w:r w:rsidR="001A2B7E" w:rsidRPr="005A3F47">
        <w:rPr>
          <w:noProof/>
        </w:rPr>
        <w:t>, thereby</w:t>
      </w:r>
      <w:r w:rsidR="0079355E" w:rsidRPr="005A3F47">
        <w:rPr>
          <w:noProof/>
        </w:rPr>
        <w:t xml:space="preserve"> </w:t>
      </w:r>
      <w:r w:rsidR="008D56E7" w:rsidRPr="005A3F47">
        <w:rPr>
          <w:noProof/>
        </w:rPr>
        <w:t>calling into question</w:t>
      </w:r>
      <w:r w:rsidR="008D28B8" w:rsidRPr="005A3F47">
        <w:rPr>
          <w:noProof/>
        </w:rPr>
        <w:t xml:space="preserve"> the proportionality and effectiveness of </w:t>
      </w:r>
      <w:r w:rsidR="003119CE" w:rsidRPr="005A3F47">
        <w:rPr>
          <w:noProof/>
        </w:rPr>
        <w:t xml:space="preserve">maintaining the </w:t>
      </w:r>
      <w:r w:rsidR="008D28B8" w:rsidRPr="005A3F47">
        <w:rPr>
          <w:noProof/>
        </w:rPr>
        <w:t xml:space="preserve">CFC rules in ATAD. </w:t>
      </w:r>
      <w:r w:rsidR="00516722" w:rsidRPr="005A3F47">
        <w:rPr>
          <w:noProof/>
        </w:rPr>
        <w:t>Therefore</w:t>
      </w:r>
      <w:r w:rsidR="007D2871" w:rsidRPr="005A3F47">
        <w:rPr>
          <w:noProof/>
        </w:rPr>
        <w:t>, the possibility of discontinuing the CFC rules in ATAD could be considered</w:t>
      </w:r>
      <w:r w:rsidR="001A2B7E" w:rsidRPr="005A3F47">
        <w:rPr>
          <w:rStyle w:val="FootnoteReference"/>
          <w:rFonts w:eastAsia="Calibri" w:cs="Arial"/>
          <w:noProof/>
        </w:rPr>
        <w:footnoteReference w:id="80"/>
      </w:r>
      <w:r w:rsidR="001A2B7E" w:rsidRPr="005A3F47">
        <w:rPr>
          <w:noProof/>
        </w:rPr>
        <w:t>.</w:t>
      </w:r>
      <w:r w:rsidR="004E41BB" w:rsidRPr="005A3F47">
        <w:rPr>
          <w:noProof/>
        </w:rPr>
        <w:t xml:space="preserve"> </w:t>
      </w:r>
    </w:p>
    <w:p w14:paraId="61855AC7" w14:textId="08505300" w:rsidR="00531DA3" w:rsidRPr="005A3F47" w:rsidRDefault="00FB3B89" w:rsidP="00561944">
      <w:pPr>
        <w:spacing w:before="120" w:after="120" w:line="259" w:lineRule="auto"/>
        <w:rPr>
          <w:noProof/>
        </w:rPr>
      </w:pPr>
      <w:r w:rsidRPr="005A3F47">
        <w:rPr>
          <w:noProof/>
        </w:rPr>
        <w:t>However, this option has been discarded</w:t>
      </w:r>
      <w:r w:rsidR="00403486" w:rsidRPr="005A3F47">
        <w:rPr>
          <w:noProof/>
        </w:rPr>
        <w:t xml:space="preserve">. </w:t>
      </w:r>
      <w:r w:rsidR="00250A61" w:rsidRPr="005A3F47">
        <w:rPr>
          <w:noProof/>
        </w:rPr>
        <w:t xml:space="preserve">While the introduction of Pillar 2 global minimum tax </w:t>
      </w:r>
      <w:r w:rsidR="001C2E89" w:rsidRPr="005A3F47">
        <w:rPr>
          <w:noProof/>
        </w:rPr>
        <w:t xml:space="preserve">rules </w:t>
      </w:r>
      <w:r w:rsidR="008F0F20" w:rsidRPr="005A3F47">
        <w:rPr>
          <w:noProof/>
        </w:rPr>
        <w:t xml:space="preserve">and the </w:t>
      </w:r>
      <w:r w:rsidR="006D6E53" w:rsidRPr="005A3F47">
        <w:rPr>
          <w:noProof/>
        </w:rPr>
        <w:t xml:space="preserve">concentration of </w:t>
      </w:r>
      <w:r w:rsidR="001314C0" w:rsidRPr="005A3F47">
        <w:rPr>
          <w:noProof/>
        </w:rPr>
        <w:t xml:space="preserve">tax avoidance among larger and more complex MNE groups call into question the current scope of CFC rules in ATAD, a complete abolition of such rules would create a significant gap in the EU anti-avoidance framework. </w:t>
      </w:r>
      <w:r w:rsidR="00C568B8" w:rsidRPr="005A3F47">
        <w:rPr>
          <w:noProof/>
        </w:rPr>
        <w:t xml:space="preserve">While </w:t>
      </w:r>
      <w:r w:rsidR="004735E1" w:rsidRPr="005A3F47">
        <w:rPr>
          <w:noProof/>
        </w:rPr>
        <w:t xml:space="preserve">tax avoidance risk </w:t>
      </w:r>
      <w:r w:rsidR="00117A8C" w:rsidRPr="005A3F47">
        <w:rPr>
          <w:noProof/>
        </w:rPr>
        <w:t>may be</w:t>
      </w:r>
      <w:r w:rsidR="004735E1" w:rsidRPr="005A3F47">
        <w:rPr>
          <w:noProof/>
        </w:rPr>
        <w:t xml:space="preserve"> limited for SMEs, f</w:t>
      </w:r>
      <w:r w:rsidR="00AC019A" w:rsidRPr="005A3F47">
        <w:rPr>
          <w:noProof/>
        </w:rPr>
        <w:t xml:space="preserve">ull abolition of CFC rules would remove a key safeguard for </w:t>
      </w:r>
      <w:r w:rsidR="0089782B" w:rsidRPr="005A3F47">
        <w:rPr>
          <w:noProof/>
        </w:rPr>
        <w:t>MNE</w:t>
      </w:r>
      <w:r w:rsidR="009F5D2B" w:rsidRPr="005A3F47">
        <w:rPr>
          <w:noProof/>
        </w:rPr>
        <w:t xml:space="preserve"> groups not effectively covered by the scope of Pillar 2</w:t>
      </w:r>
      <w:r w:rsidRPr="005A3F47" w:rsidDel="00403486">
        <w:rPr>
          <w:noProof/>
        </w:rPr>
        <w:t xml:space="preserve"> </w:t>
      </w:r>
      <w:r w:rsidR="00904456" w:rsidRPr="005A3F47">
        <w:rPr>
          <w:noProof/>
        </w:rPr>
        <w:t>either due to their relatively smaller size</w:t>
      </w:r>
      <w:r w:rsidR="0089782B" w:rsidRPr="005A3F47">
        <w:rPr>
          <w:noProof/>
        </w:rPr>
        <w:t xml:space="preserve">, i.e., </w:t>
      </w:r>
      <w:r w:rsidR="00EF780E" w:rsidRPr="005A3F47">
        <w:rPr>
          <w:noProof/>
        </w:rPr>
        <w:t xml:space="preserve">with a global turnover close </w:t>
      </w:r>
      <w:r w:rsidR="00117A8C" w:rsidRPr="005A3F47">
        <w:rPr>
          <w:noProof/>
        </w:rPr>
        <w:t xml:space="preserve">to </w:t>
      </w:r>
      <w:r w:rsidR="00EF780E" w:rsidRPr="005A3F47">
        <w:rPr>
          <w:noProof/>
        </w:rPr>
        <w:t>but still below EUR 750,000,000,</w:t>
      </w:r>
      <w:r w:rsidR="00904456" w:rsidRPr="005A3F47">
        <w:rPr>
          <w:noProof/>
        </w:rPr>
        <w:t xml:space="preserve"> or specific structure. </w:t>
      </w:r>
      <w:r w:rsidR="00F92961" w:rsidRPr="005A3F47">
        <w:rPr>
          <w:noProof/>
        </w:rPr>
        <w:t xml:space="preserve">This option would, therefore, not be </w:t>
      </w:r>
      <w:r w:rsidR="00DA6AAA" w:rsidRPr="005A3F47">
        <w:rPr>
          <w:noProof/>
        </w:rPr>
        <w:t xml:space="preserve">fully </w:t>
      </w:r>
      <w:r w:rsidR="00F92961" w:rsidRPr="005A3F47">
        <w:rPr>
          <w:noProof/>
        </w:rPr>
        <w:t>in line with the general ob</w:t>
      </w:r>
      <w:r w:rsidR="00D9683E" w:rsidRPr="005A3F47">
        <w:rPr>
          <w:noProof/>
        </w:rPr>
        <w:t xml:space="preserve">jective of maintaining high </w:t>
      </w:r>
      <w:r w:rsidR="001817B3" w:rsidRPr="005A3F47">
        <w:rPr>
          <w:noProof/>
        </w:rPr>
        <w:t>tax standards in the EU.</w:t>
      </w:r>
    </w:p>
    <w:p w14:paraId="43DB5F59" w14:textId="6A92F1CE" w:rsidR="00C20D56" w:rsidRPr="005A3F47" w:rsidRDefault="00C20D56" w:rsidP="00BC459D">
      <w:pPr>
        <w:pStyle w:val="Heading3"/>
        <w:numPr>
          <w:ilvl w:val="2"/>
          <w:numId w:val="185"/>
        </w:numPr>
        <w:spacing w:before="120" w:after="120" w:line="259" w:lineRule="auto"/>
        <w:rPr>
          <w:noProof/>
        </w:rPr>
      </w:pPr>
      <w:bookmarkStart w:id="126" w:name="_Toc226466824"/>
      <w:bookmarkStart w:id="127" w:name="_Toc226467185"/>
      <w:bookmarkStart w:id="128" w:name="_Toc226467285"/>
      <w:bookmarkStart w:id="129" w:name="_Toc226467504"/>
      <w:r w:rsidRPr="005A3F47">
        <w:rPr>
          <w:noProof/>
        </w:rPr>
        <w:t>Abolish</w:t>
      </w:r>
      <w:r w:rsidR="00367A1B" w:rsidRPr="005A3F47">
        <w:rPr>
          <w:noProof/>
        </w:rPr>
        <w:t xml:space="preserve"> hybrid mismatches for Pillar 2 companies</w:t>
      </w:r>
      <w:bookmarkEnd w:id="126"/>
      <w:bookmarkEnd w:id="127"/>
      <w:bookmarkEnd w:id="128"/>
      <w:bookmarkEnd w:id="129"/>
    </w:p>
    <w:p w14:paraId="52183543" w14:textId="0F676BA5" w:rsidR="00E1711C" w:rsidRPr="005A3F47" w:rsidRDefault="00BD2804" w:rsidP="00E1711C">
      <w:pPr>
        <w:rPr>
          <w:noProof/>
          <w:lang w:val="en-IE"/>
        </w:rPr>
      </w:pPr>
      <w:r w:rsidRPr="005A3F47">
        <w:rPr>
          <w:noProof/>
        </w:rPr>
        <w:t>During the stakeholder consultations, some businesses argue</w:t>
      </w:r>
      <w:r w:rsidR="00724D8E" w:rsidRPr="005A3F47">
        <w:rPr>
          <w:noProof/>
        </w:rPr>
        <w:t xml:space="preserve">d that </w:t>
      </w:r>
      <w:r w:rsidR="00244E7E" w:rsidRPr="005A3F47">
        <w:rPr>
          <w:noProof/>
        </w:rPr>
        <w:t xml:space="preserve">the rules on hybrid mismatches in </w:t>
      </w:r>
      <w:r w:rsidR="002D6D56" w:rsidRPr="005A3F47">
        <w:rPr>
          <w:noProof/>
        </w:rPr>
        <w:t xml:space="preserve">the </w:t>
      </w:r>
      <w:r w:rsidR="00244E7E" w:rsidRPr="005A3F47">
        <w:rPr>
          <w:noProof/>
        </w:rPr>
        <w:t xml:space="preserve">ATAD should be abolished for </w:t>
      </w:r>
      <w:r w:rsidR="00DA05E4" w:rsidRPr="005A3F47">
        <w:rPr>
          <w:noProof/>
        </w:rPr>
        <w:t>companies within the scope of Pillar 2</w:t>
      </w:r>
      <w:r w:rsidR="00B05FE8" w:rsidRPr="005A3F47">
        <w:rPr>
          <w:noProof/>
        </w:rPr>
        <w:t>, as consistent treatment in accounting should ensure sufficient taxation at 15%.</w:t>
      </w:r>
      <w:r w:rsidR="00660E94" w:rsidRPr="005A3F47">
        <w:rPr>
          <w:noProof/>
          <w:lang w:val="en-IE"/>
        </w:rPr>
        <w:t xml:space="preserve"> On this basis, the </w:t>
      </w:r>
      <w:r w:rsidR="006B2854" w:rsidRPr="005A3F47">
        <w:rPr>
          <w:noProof/>
          <w:lang w:val="en-IE"/>
        </w:rPr>
        <w:t xml:space="preserve">abolishment of the rules on hybrid mismatches for Pillar 2 companies </w:t>
      </w:r>
      <w:r w:rsidR="00087BF1" w:rsidRPr="005A3F47">
        <w:rPr>
          <w:noProof/>
          <w:lang w:val="en-IE"/>
        </w:rPr>
        <w:t>could be considered.</w:t>
      </w:r>
    </w:p>
    <w:p w14:paraId="0E137EEC" w14:textId="34AAF5DA" w:rsidR="00087BF1" w:rsidRPr="005A3F47" w:rsidRDefault="001C2E89" w:rsidP="002612FA">
      <w:pPr>
        <w:rPr>
          <w:noProof/>
          <w:lang w:val="en-IE"/>
        </w:rPr>
      </w:pPr>
      <w:r w:rsidRPr="005A3F47">
        <w:rPr>
          <w:noProof/>
          <w:lang w:val="en-IE"/>
        </w:rPr>
        <w:t>However, this</w:t>
      </w:r>
      <w:r w:rsidR="0032740F" w:rsidRPr="005A3F47">
        <w:rPr>
          <w:noProof/>
          <w:lang w:val="en-IE"/>
        </w:rPr>
        <w:t xml:space="preserve"> option ha</w:t>
      </w:r>
      <w:r w:rsidR="00E750AA" w:rsidRPr="005A3F47">
        <w:rPr>
          <w:noProof/>
          <w:lang w:val="en-IE"/>
        </w:rPr>
        <w:t xml:space="preserve">s been discarded. </w:t>
      </w:r>
      <w:r w:rsidR="006D60AD" w:rsidRPr="005A3F47">
        <w:rPr>
          <w:noProof/>
          <w:lang w:val="en-IE"/>
        </w:rPr>
        <w:t xml:space="preserve">Pillar 2 may ensure that </w:t>
      </w:r>
      <w:r w:rsidR="00FF5B1F" w:rsidRPr="005A3F47">
        <w:rPr>
          <w:noProof/>
          <w:lang w:val="en-IE"/>
        </w:rPr>
        <w:t xml:space="preserve">the companies </w:t>
      </w:r>
      <w:r w:rsidR="00DA2349" w:rsidRPr="005A3F47">
        <w:rPr>
          <w:noProof/>
          <w:lang w:val="en-IE"/>
        </w:rPr>
        <w:t>in scope pay a minimum level of tax</w:t>
      </w:r>
      <w:r w:rsidR="00D840A7" w:rsidRPr="005A3F47">
        <w:rPr>
          <w:noProof/>
          <w:lang w:val="en-IE"/>
        </w:rPr>
        <w:t xml:space="preserve"> but does not</w:t>
      </w:r>
      <w:r w:rsidR="00161CA1" w:rsidRPr="005A3F47">
        <w:rPr>
          <w:noProof/>
          <w:lang w:val="en-IE"/>
        </w:rPr>
        <w:t xml:space="preserve"> rectify the </w:t>
      </w:r>
      <w:r w:rsidR="00DB4253" w:rsidRPr="005A3F47">
        <w:rPr>
          <w:noProof/>
          <w:lang w:val="en-IE"/>
        </w:rPr>
        <w:t>underlying</w:t>
      </w:r>
      <w:r w:rsidR="00640371" w:rsidRPr="005A3F47">
        <w:rPr>
          <w:noProof/>
          <w:lang w:val="en-IE"/>
        </w:rPr>
        <w:t xml:space="preserve"> </w:t>
      </w:r>
      <w:r w:rsidR="00640371" w:rsidRPr="005A3F47">
        <w:rPr>
          <w:noProof/>
        </w:rPr>
        <w:t>differences in how financial instruments, entities, or transfers</w:t>
      </w:r>
      <w:r w:rsidR="00A179A1" w:rsidRPr="005A3F47">
        <w:rPr>
          <w:noProof/>
        </w:rPr>
        <w:t xml:space="preserve"> are treated</w:t>
      </w:r>
      <w:r w:rsidR="00867C15" w:rsidRPr="005A3F47">
        <w:rPr>
          <w:noProof/>
        </w:rPr>
        <w:t xml:space="preserve"> under national tax rules.</w:t>
      </w:r>
      <w:r w:rsidR="000E592C" w:rsidRPr="005A3F47">
        <w:rPr>
          <w:noProof/>
        </w:rPr>
        <w:t xml:space="preserve"> As a result, </w:t>
      </w:r>
      <w:r w:rsidR="004432B6" w:rsidRPr="005A3F47">
        <w:rPr>
          <w:noProof/>
        </w:rPr>
        <w:t>without the rules on hybrid mismatches, some groups of companies in scope of Pillar 2 may still</w:t>
      </w:r>
      <w:r w:rsidR="009174C7" w:rsidRPr="005A3F47">
        <w:rPr>
          <w:noProof/>
        </w:rPr>
        <w:t xml:space="preserve"> have </w:t>
      </w:r>
      <w:r w:rsidR="00E656A5" w:rsidRPr="005A3F47">
        <w:rPr>
          <w:noProof/>
        </w:rPr>
        <w:t xml:space="preserve">an </w:t>
      </w:r>
      <w:r w:rsidR="009174C7" w:rsidRPr="005A3F47">
        <w:rPr>
          <w:noProof/>
        </w:rPr>
        <w:t xml:space="preserve">incentive </w:t>
      </w:r>
      <w:r w:rsidR="001B372A" w:rsidRPr="005A3F47">
        <w:rPr>
          <w:noProof/>
        </w:rPr>
        <w:t>to exploit these differences</w:t>
      </w:r>
      <w:r w:rsidR="00E656A5" w:rsidRPr="005A3F47">
        <w:rPr>
          <w:noProof/>
        </w:rPr>
        <w:t>, in order</w:t>
      </w:r>
      <w:r w:rsidR="001B372A" w:rsidRPr="005A3F47">
        <w:rPr>
          <w:noProof/>
        </w:rPr>
        <w:t xml:space="preserve"> to </w:t>
      </w:r>
      <w:r w:rsidR="00A82603" w:rsidRPr="005A3F47">
        <w:rPr>
          <w:noProof/>
        </w:rPr>
        <w:t xml:space="preserve">erode </w:t>
      </w:r>
      <w:r w:rsidR="00524774" w:rsidRPr="005A3F47">
        <w:rPr>
          <w:noProof/>
        </w:rPr>
        <w:t xml:space="preserve">their </w:t>
      </w:r>
      <w:r w:rsidR="00A82603" w:rsidRPr="005A3F47">
        <w:rPr>
          <w:noProof/>
        </w:rPr>
        <w:t>tax base in Member States where they pay</w:t>
      </w:r>
      <w:r w:rsidR="0031043F" w:rsidRPr="005A3F47">
        <w:rPr>
          <w:noProof/>
        </w:rPr>
        <w:t xml:space="preserve"> an effective</w:t>
      </w:r>
      <w:r w:rsidR="00A82603" w:rsidRPr="005A3F47">
        <w:rPr>
          <w:noProof/>
        </w:rPr>
        <w:t xml:space="preserve"> </w:t>
      </w:r>
      <w:r w:rsidR="000F7B55" w:rsidRPr="005A3F47">
        <w:rPr>
          <w:noProof/>
        </w:rPr>
        <w:t xml:space="preserve">tax at a level which is </w:t>
      </w:r>
      <w:r w:rsidR="003E5F82" w:rsidRPr="005A3F47">
        <w:rPr>
          <w:noProof/>
        </w:rPr>
        <w:t xml:space="preserve">above the </w:t>
      </w:r>
      <w:r w:rsidR="000872C3" w:rsidRPr="005A3F47">
        <w:rPr>
          <w:noProof/>
        </w:rPr>
        <w:t>minimum</w:t>
      </w:r>
      <w:r w:rsidR="00A339E1" w:rsidRPr="005A3F47">
        <w:rPr>
          <w:noProof/>
        </w:rPr>
        <w:t xml:space="preserve"> </w:t>
      </w:r>
      <w:r w:rsidR="00801FEC" w:rsidRPr="005A3F47">
        <w:rPr>
          <w:noProof/>
        </w:rPr>
        <w:t xml:space="preserve">or to reduce </w:t>
      </w:r>
      <w:r w:rsidR="008A2F66" w:rsidRPr="005A3F47">
        <w:rPr>
          <w:noProof/>
        </w:rPr>
        <w:t xml:space="preserve">the </w:t>
      </w:r>
      <w:r w:rsidR="00D86950" w:rsidRPr="005A3F47">
        <w:rPr>
          <w:noProof/>
        </w:rPr>
        <w:t>income included in the computation of the top-up tax amount</w:t>
      </w:r>
      <w:r w:rsidR="008366D4" w:rsidRPr="005A3F47">
        <w:rPr>
          <w:noProof/>
        </w:rPr>
        <w:t>, where applicable</w:t>
      </w:r>
      <w:r w:rsidR="00BB3C33" w:rsidRPr="005A3F47">
        <w:rPr>
          <w:noProof/>
        </w:rPr>
        <w:t>.</w:t>
      </w:r>
      <w:r w:rsidR="00327E00" w:rsidRPr="005A3F47">
        <w:rPr>
          <w:noProof/>
        </w:rPr>
        <w:t xml:space="preserve"> This option would</w:t>
      </w:r>
      <w:r w:rsidR="00EF795C" w:rsidRPr="005A3F47">
        <w:rPr>
          <w:noProof/>
        </w:rPr>
        <w:t>,</w:t>
      </w:r>
      <w:r w:rsidR="00327E00" w:rsidRPr="005A3F47">
        <w:rPr>
          <w:noProof/>
        </w:rPr>
        <w:t xml:space="preserve"> therefore</w:t>
      </w:r>
      <w:r w:rsidR="00EF795C" w:rsidRPr="005A3F47">
        <w:rPr>
          <w:noProof/>
        </w:rPr>
        <w:t>,</w:t>
      </w:r>
      <w:r w:rsidR="00327E00" w:rsidRPr="005A3F47">
        <w:rPr>
          <w:noProof/>
        </w:rPr>
        <w:t xml:space="preserve"> </w:t>
      </w:r>
      <w:r w:rsidR="00846575" w:rsidRPr="005A3F47">
        <w:rPr>
          <w:noProof/>
        </w:rPr>
        <w:t>lower the current level of protection against tax planning practices in the EU</w:t>
      </w:r>
      <w:r w:rsidR="003D2286" w:rsidRPr="005A3F47">
        <w:rPr>
          <w:noProof/>
        </w:rPr>
        <w:t>,</w:t>
      </w:r>
      <w:r w:rsidR="00846575" w:rsidRPr="005A3F47">
        <w:rPr>
          <w:noProof/>
        </w:rPr>
        <w:t xml:space="preserve"> </w:t>
      </w:r>
      <w:r w:rsidR="008568E7" w:rsidRPr="005A3F47">
        <w:rPr>
          <w:noProof/>
        </w:rPr>
        <w:t xml:space="preserve">which </w:t>
      </w:r>
      <w:r w:rsidR="00285792" w:rsidRPr="005A3F47">
        <w:rPr>
          <w:noProof/>
        </w:rPr>
        <w:t xml:space="preserve">goes against the general objective of </w:t>
      </w:r>
      <w:r w:rsidR="000D7BC5" w:rsidRPr="005A3F47">
        <w:rPr>
          <w:noProof/>
        </w:rPr>
        <w:t>maintaining</w:t>
      </w:r>
      <w:r w:rsidR="00285792" w:rsidRPr="005A3F47">
        <w:rPr>
          <w:noProof/>
        </w:rPr>
        <w:t xml:space="preserve"> high tax standards in the EU.</w:t>
      </w:r>
    </w:p>
    <w:p w14:paraId="0CEBCCFD" w14:textId="5667517F" w:rsidR="00367A1B" w:rsidRPr="005A3F47" w:rsidRDefault="00367A1B" w:rsidP="00BC459D">
      <w:pPr>
        <w:pStyle w:val="Heading3"/>
        <w:numPr>
          <w:ilvl w:val="2"/>
          <w:numId w:val="185"/>
        </w:numPr>
        <w:rPr>
          <w:noProof/>
        </w:rPr>
      </w:pPr>
      <w:bookmarkStart w:id="130" w:name="_Toc226466825"/>
      <w:bookmarkStart w:id="131" w:name="_Toc226467186"/>
      <w:bookmarkStart w:id="132" w:name="_Toc226467286"/>
      <w:bookmarkStart w:id="133" w:name="_Toc226467505"/>
      <w:r w:rsidRPr="005A3F47">
        <w:rPr>
          <w:noProof/>
        </w:rPr>
        <w:t>A</w:t>
      </w:r>
      <w:r w:rsidR="0031546E" w:rsidRPr="005A3F47">
        <w:rPr>
          <w:noProof/>
        </w:rPr>
        <w:t xml:space="preserve">bolish </w:t>
      </w:r>
      <w:r w:rsidR="0031484C" w:rsidRPr="005A3F47">
        <w:rPr>
          <w:noProof/>
        </w:rPr>
        <w:t>the Interest Limitation Rule</w:t>
      </w:r>
      <w:r w:rsidR="51CE3779" w:rsidRPr="005A3F47">
        <w:rPr>
          <w:noProof/>
        </w:rPr>
        <w:t xml:space="preserve"> </w:t>
      </w:r>
      <w:r w:rsidR="0031546E" w:rsidRPr="005A3F47">
        <w:rPr>
          <w:noProof/>
        </w:rPr>
        <w:t>for Pillar 2 companies</w:t>
      </w:r>
      <w:bookmarkEnd w:id="130"/>
      <w:bookmarkEnd w:id="131"/>
      <w:bookmarkEnd w:id="132"/>
      <w:bookmarkEnd w:id="133"/>
    </w:p>
    <w:p w14:paraId="749F6B4B" w14:textId="7EDB404F" w:rsidR="00F94DC0" w:rsidRPr="005A3F47" w:rsidRDefault="003336C3" w:rsidP="000A64DF">
      <w:pPr>
        <w:rPr>
          <w:noProof/>
        </w:rPr>
      </w:pPr>
      <w:r w:rsidRPr="005A3F47">
        <w:rPr>
          <w:noProof/>
        </w:rPr>
        <w:t xml:space="preserve">During the stakeholder consultations, some businesses </w:t>
      </w:r>
      <w:r w:rsidR="00F64526" w:rsidRPr="005A3F47">
        <w:rPr>
          <w:noProof/>
        </w:rPr>
        <w:t>argue</w:t>
      </w:r>
      <w:r w:rsidR="00591C24" w:rsidRPr="005A3F47">
        <w:rPr>
          <w:noProof/>
        </w:rPr>
        <w:t>d</w:t>
      </w:r>
      <w:r w:rsidR="00F64526" w:rsidRPr="005A3F47">
        <w:rPr>
          <w:noProof/>
        </w:rPr>
        <w:t xml:space="preserve"> that </w:t>
      </w:r>
      <w:r w:rsidR="00591C24" w:rsidRPr="005A3F47">
        <w:rPr>
          <w:noProof/>
        </w:rPr>
        <w:t>s</w:t>
      </w:r>
      <w:r w:rsidR="00F21E8D" w:rsidRPr="005A3F47">
        <w:rPr>
          <w:noProof/>
        </w:rPr>
        <w:t xml:space="preserve">ince Pillar </w:t>
      </w:r>
      <w:r w:rsidR="00AA30EA" w:rsidRPr="005A3F47">
        <w:rPr>
          <w:noProof/>
        </w:rPr>
        <w:t>2</w:t>
      </w:r>
      <w:r w:rsidR="00F21E8D" w:rsidRPr="005A3F47">
        <w:rPr>
          <w:noProof/>
        </w:rPr>
        <w:t xml:space="preserve"> already neutralises incentives for profit shifting through intra</w:t>
      </w:r>
      <w:r w:rsidR="00F21E8D" w:rsidRPr="005A3F47">
        <w:rPr>
          <w:noProof/>
        </w:rPr>
        <w:noBreakHyphen/>
        <w:t>group financing by ensuring a minimum 15% effective tax rate</w:t>
      </w:r>
      <w:r w:rsidR="00E31E30" w:rsidRPr="005A3F47">
        <w:rPr>
          <w:noProof/>
        </w:rPr>
        <w:t xml:space="preserve">, </w:t>
      </w:r>
      <w:r w:rsidR="00722AC7" w:rsidRPr="005A3F47">
        <w:rPr>
          <w:noProof/>
        </w:rPr>
        <w:t xml:space="preserve">the </w:t>
      </w:r>
      <w:r w:rsidR="00B813C5" w:rsidRPr="005A3F47">
        <w:rPr>
          <w:noProof/>
        </w:rPr>
        <w:t>I</w:t>
      </w:r>
      <w:r w:rsidR="0031484C" w:rsidRPr="005A3F47">
        <w:rPr>
          <w:noProof/>
        </w:rPr>
        <w:t xml:space="preserve">nterest </w:t>
      </w:r>
      <w:r w:rsidR="00B813C5" w:rsidRPr="005A3F47">
        <w:rPr>
          <w:noProof/>
        </w:rPr>
        <w:t>L</w:t>
      </w:r>
      <w:r w:rsidR="0031484C" w:rsidRPr="005A3F47">
        <w:rPr>
          <w:noProof/>
        </w:rPr>
        <w:t xml:space="preserve">imitation </w:t>
      </w:r>
      <w:r w:rsidR="00B813C5" w:rsidRPr="005A3F47">
        <w:rPr>
          <w:noProof/>
        </w:rPr>
        <w:t>R</w:t>
      </w:r>
      <w:r w:rsidR="0031484C" w:rsidRPr="005A3F47">
        <w:rPr>
          <w:noProof/>
        </w:rPr>
        <w:t>ule</w:t>
      </w:r>
      <w:r w:rsidR="00F21E8D" w:rsidRPr="005A3F47">
        <w:rPr>
          <w:noProof/>
        </w:rPr>
        <w:t xml:space="preserve"> </w:t>
      </w:r>
      <w:r w:rsidR="00F76695" w:rsidRPr="005A3F47">
        <w:rPr>
          <w:noProof/>
        </w:rPr>
        <w:t>in the ATAD could be abolished for Pillar 2 companies</w:t>
      </w:r>
      <w:r w:rsidR="00E7361A" w:rsidRPr="005A3F47">
        <w:rPr>
          <w:noProof/>
        </w:rPr>
        <w:t>. A</w:t>
      </w:r>
      <w:r w:rsidR="00F76695" w:rsidRPr="005A3F47">
        <w:rPr>
          <w:noProof/>
        </w:rPr>
        <w:t xml:space="preserve">ccording to businesses, </w:t>
      </w:r>
      <w:r w:rsidR="00BF3082" w:rsidRPr="005A3F47">
        <w:rPr>
          <w:noProof/>
        </w:rPr>
        <w:t>this</w:t>
      </w:r>
      <w:r w:rsidR="00F76695" w:rsidRPr="005A3F47">
        <w:rPr>
          <w:noProof/>
        </w:rPr>
        <w:t xml:space="preserve"> </w:t>
      </w:r>
      <w:r w:rsidR="00F21E8D" w:rsidRPr="005A3F47">
        <w:rPr>
          <w:noProof/>
        </w:rPr>
        <w:t xml:space="preserve">would deliver </w:t>
      </w:r>
      <w:r w:rsidR="00A47F25" w:rsidRPr="005A3F47">
        <w:rPr>
          <w:noProof/>
        </w:rPr>
        <w:t xml:space="preserve">important </w:t>
      </w:r>
      <w:r w:rsidR="00F21E8D" w:rsidRPr="005A3F47">
        <w:rPr>
          <w:noProof/>
        </w:rPr>
        <w:t>simplification and competitive gains without undermining anti-avoidance objectives.</w:t>
      </w:r>
      <w:r w:rsidR="0009530B" w:rsidRPr="005A3F47">
        <w:rPr>
          <w:noProof/>
        </w:rPr>
        <w:t xml:space="preserve"> </w:t>
      </w:r>
    </w:p>
    <w:p w14:paraId="30C7CD9A" w14:textId="54E9BD50" w:rsidR="00C626B2" w:rsidRPr="005A3F47" w:rsidRDefault="00A3375E" w:rsidP="002612FA">
      <w:pPr>
        <w:rPr>
          <w:noProof/>
        </w:rPr>
      </w:pPr>
      <w:r w:rsidRPr="005A3F47">
        <w:rPr>
          <w:noProof/>
        </w:rPr>
        <w:t>Nonetheless, this</w:t>
      </w:r>
      <w:r w:rsidR="00575EA5" w:rsidRPr="005A3F47">
        <w:rPr>
          <w:noProof/>
        </w:rPr>
        <w:t xml:space="preserve"> option has been discarded</w:t>
      </w:r>
      <w:r w:rsidR="00060B27" w:rsidRPr="005A3F47">
        <w:rPr>
          <w:noProof/>
        </w:rPr>
        <w:t>.</w:t>
      </w:r>
      <w:r w:rsidR="002A0676" w:rsidRPr="005A3F47">
        <w:rPr>
          <w:noProof/>
        </w:rPr>
        <w:t xml:space="preserve"> The I</w:t>
      </w:r>
      <w:r w:rsidR="0031484C" w:rsidRPr="005A3F47">
        <w:rPr>
          <w:noProof/>
        </w:rPr>
        <w:t xml:space="preserve">nterest </w:t>
      </w:r>
      <w:r w:rsidR="002A0676" w:rsidRPr="005A3F47">
        <w:rPr>
          <w:noProof/>
        </w:rPr>
        <w:t>L</w:t>
      </w:r>
      <w:r w:rsidR="0031484C" w:rsidRPr="005A3F47">
        <w:rPr>
          <w:noProof/>
        </w:rPr>
        <w:t xml:space="preserve">imitation </w:t>
      </w:r>
      <w:r w:rsidR="002A0676" w:rsidRPr="005A3F47">
        <w:rPr>
          <w:noProof/>
        </w:rPr>
        <w:t>R</w:t>
      </w:r>
      <w:r w:rsidR="0031484C" w:rsidRPr="005A3F47">
        <w:rPr>
          <w:noProof/>
        </w:rPr>
        <w:t>ule</w:t>
      </w:r>
      <w:r w:rsidR="002A0676" w:rsidRPr="005A3F47">
        <w:rPr>
          <w:noProof/>
        </w:rPr>
        <w:t xml:space="preserve"> protects the </w:t>
      </w:r>
      <w:r w:rsidR="003E6AD7" w:rsidRPr="005A3F47">
        <w:rPr>
          <w:noProof/>
        </w:rPr>
        <w:t>tax</w:t>
      </w:r>
      <w:r w:rsidR="002A0676" w:rsidRPr="005A3F47">
        <w:rPr>
          <w:noProof/>
        </w:rPr>
        <w:t xml:space="preserve"> base. </w:t>
      </w:r>
      <w:r w:rsidR="00B14248" w:rsidRPr="005A3F47">
        <w:rPr>
          <w:noProof/>
        </w:rPr>
        <w:t xml:space="preserve">While Pillar 2 sets </w:t>
      </w:r>
      <w:r w:rsidR="00F20FA7" w:rsidRPr="005A3F47">
        <w:rPr>
          <w:noProof/>
        </w:rPr>
        <w:t>a minimum global tax</w:t>
      </w:r>
      <w:r w:rsidR="00B14248" w:rsidRPr="005A3F47">
        <w:rPr>
          <w:noProof/>
        </w:rPr>
        <w:t xml:space="preserve"> rate, the I</w:t>
      </w:r>
      <w:r w:rsidR="0031484C" w:rsidRPr="005A3F47">
        <w:rPr>
          <w:noProof/>
        </w:rPr>
        <w:t xml:space="preserve">nterest </w:t>
      </w:r>
      <w:r w:rsidR="00B14248" w:rsidRPr="005A3F47">
        <w:rPr>
          <w:noProof/>
        </w:rPr>
        <w:t>L</w:t>
      </w:r>
      <w:r w:rsidR="0031484C" w:rsidRPr="005A3F47">
        <w:rPr>
          <w:noProof/>
        </w:rPr>
        <w:t xml:space="preserve">imitation </w:t>
      </w:r>
      <w:r w:rsidR="00B14248" w:rsidRPr="005A3F47">
        <w:rPr>
          <w:noProof/>
        </w:rPr>
        <w:t>R</w:t>
      </w:r>
      <w:r w:rsidR="0031484C" w:rsidRPr="005A3F47">
        <w:rPr>
          <w:noProof/>
        </w:rPr>
        <w:t>ule</w:t>
      </w:r>
      <w:r w:rsidR="00B14248" w:rsidRPr="005A3F47">
        <w:rPr>
          <w:noProof/>
        </w:rPr>
        <w:t xml:space="preserve"> ensures that </w:t>
      </w:r>
      <w:r w:rsidR="00247EAA" w:rsidRPr="005A3F47">
        <w:rPr>
          <w:noProof/>
        </w:rPr>
        <w:t xml:space="preserve">the base to which the minimum effective tax </w:t>
      </w:r>
      <w:r w:rsidR="00F20FA7" w:rsidRPr="005A3F47">
        <w:rPr>
          <w:noProof/>
        </w:rPr>
        <w:t xml:space="preserve">rate </w:t>
      </w:r>
      <w:r w:rsidR="00247EAA" w:rsidRPr="005A3F47">
        <w:rPr>
          <w:noProof/>
        </w:rPr>
        <w:t xml:space="preserve">applies is </w:t>
      </w:r>
      <w:r w:rsidR="00A61447" w:rsidRPr="005A3F47">
        <w:rPr>
          <w:noProof/>
        </w:rPr>
        <w:t xml:space="preserve">not </w:t>
      </w:r>
      <w:r w:rsidR="00E37665" w:rsidRPr="005A3F47">
        <w:rPr>
          <w:noProof/>
        </w:rPr>
        <w:t>eroded</w:t>
      </w:r>
      <w:r w:rsidR="004E4C80" w:rsidRPr="005A3F47">
        <w:rPr>
          <w:noProof/>
        </w:rPr>
        <w:t xml:space="preserve"> through excessive interest expenses</w:t>
      </w:r>
      <w:r w:rsidR="00247EAA" w:rsidRPr="005A3F47">
        <w:rPr>
          <w:noProof/>
        </w:rPr>
        <w:t xml:space="preserve">. </w:t>
      </w:r>
      <w:r w:rsidR="00966451" w:rsidRPr="005A3F47">
        <w:rPr>
          <w:noProof/>
        </w:rPr>
        <w:t xml:space="preserve">Consequently, </w:t>
      </w:r>
      <w:r w:rsidR="003F2EE0" w:rsidRPr="005A3F47">
        <w:rPr>
          <w:noProof/>
        </w:rPr>
        <w:t>the I</w:t>
      </w:r>
      <w:r w:rsidR="0031484C" w:rsidRPr="005A3F47">
        <w:rPr>
          <w:noProof/>
        </w:rPr>
        <w:t xml:space="preserve">nterest </w:t>
      </w:r>
      <w:r w:rsidR="003F2EE0" w:rsidRPr="005A3F47">
        <w:rPr>
          <w:noProof/>
        </w:rPr>
        <w:t>L</w:t>
      </w:r>
      <w:r w:rsidR="0031484C" w:rsidRPr="005A3F47">
        <w:rPr>
          <w:noProof/>
        </w:rPr>
        <w:t xml:space="preserve">imitation </w:t>
      </w:r>
      <w:r w:rsidR="003F2EE0" w:rsidRPr="005A3F47">
        <w:rPr>
          <w:noProof/>
        </w:rPr>
        <w:t>R</w:t>
      </w:r>
      <w:r w:rsidR="0031484C" w:rsidRPr="005A3F47">
        <w:rPr>
          <w:noProof/>
        </w:rPr>
        <w:t>ule</w:t>
      </w:r>
      <w:r w:rsidR="003F2EE0" w:rsidRPr="005A3F47">
        <w:rPr>
          <w:noProof/>
        </w:rPr>
        <w:t xml:space="preserve"> and Pillar 2 are not alternatives</w:t>
      </w:r>
      <w:r w:rsidR="00BE0C20" w:rsidRPr="005A3F47">
        <w:rPr>
          <w:noProof/>
        </w:rPr>
        <w:t>,</w:t>
      </w:r>
      <w:r w:rsidR="003F2EE0" w:rsidRPr="005A3F47">
        <w:rPr>
          <w:noProof/>
        </w:rPr>
        <w:t xml:space="preserve"> and </w:t>
      </w:r>
      <w:r w:rsidR="008277D4" w:rsidRPr="005A3F47">
        <w:rPr>
          <w:noProof/>
        </w:rPr>
        <w:t xml:space="preserve">such </w:t>
      </w:r>
      <w:r w:rsidR="00C626B2" w:rsidRPr="005A3F47">
        <w:rPr>
          <w:noProof/>
        </w:rPr>
        <w:t>option would lower the current level of protection against tax planning practices in the EU</w:t>
      </w:r>
      <w:r w:rsidR="008277D4" w:rsidRPr="005A3F47">
        <w:rPr>
          <w:noProof/>
        </w:rPr>
        <w:t>,</w:t>
      </w:r>
      <w:r w:rsidR="00C626B2" w:rsidRPr="005A3F47">
        <w:rPr>
          <w:noProof/>
        </w:rPr>
        <w:t xml:space="preserve"> which goes against the general objective of maintaining high tax standards in the EU.</w:t>
      </w:r>
      <w:r w:rsidR="00E869FF" w:rsidRPr="005A3F47">
        <w:rPr>
          <w:noProof/>
        </w:rPr>
        <w:t xml:space="preserve"> </w:t>
      </w:r>
      <w:r w:rsidR="66A1BF66" w:rsidRPr="005A3F47">
        <w:rPr>
          <w:noProof/>
        </w:rPr>
        <w:t>Moreover</w:t>
      </w:r>
      <w:r w:rsidR="4A68D49B" w:rsidRPr="005A3F47">
        <w:rPr>
          <w:noProof/>
        </w:rPr>
        <w:t>, removing the I</w:t>
      </w:r>
      <w:r w:rsidR="0031484C" w:rsidRPr="005A3F47">
        <w:rPr>
          <w:noProof/>
        </w:rPr>
        <w:t xml:space="preserve">nterest </w:t>
      </w:r>
      <w:r w:rsidR="4A68D49B" w:rsidRPr="005A3F47">
        <w:rPr>
          <w:noProof/>
        </w:rPr>
        <w:t>L</w:t>
      </w:r>
      <w:r w:rsidR="0031484C" w:rsidRPr="005A3F47">
        <w:rPr>
          <w:noProof/>
        </w:rPr>
        <w:t xml:space="preserve">imitation </w:t>
      </w:r>
      <w:r w:rsidR="4A68D49B" w:rsidRPr="005A3F47">
        <w:rPr>
          <w:noProof/>
        </w:rPr>
        <w:t>R</w:t>
      </w:r>
      <w:r w:rsidR="0031484C" w:rsidRPr="005A3F47">
        <w:rPr>
          <w:noProof/>
        </w:rPr>
        <w:t>ule</w:t>
      </w:r>
      <w:r w:rsidR="4A68D49B" w:rsidRPr="005A3F47">
        <w:rPr>
          <w:noProof/>
        </w:rPr>
        <w:t xml:space="preserve"> only for large companies would </w:t>
      </w:r>
      <w:r w:rsidR="66F94124" w:rsidRPr="005A3F47">
        <w:rPr>
          <w:noProof/>
        </w:rPr>
        <w:t xml:space="preserve">thus also </w:t>
      </w:r>
      <w:r w:rsidR="4A68D49B" w:rsidRPr="005A3F47">
        <w:rPr>
          <w:noProof/>
        </w:rPr>
        <w:t xml:space="preserve">provide </w:t>
      </w:r>
      <w:r w:rsidR="350E371E" w:rsidRPr="005A3F47">
        <w:rPr>
          <w:noProof/>
        </w:rPr>
        <w:t>those entities</w:t>
      </w:r>
      <w:r w:rsidR="4A68D49B" w:rsidRPr="005A3F47">
        <w:rPr>
          <w:noProof/>
        </w:rPr>
        <w:t xml:space="preserve"> with </w:t>
      </w:r>
      <w:r w:rsidR="7D29C783" w:rsidRPr="005A3F47">
        <w:rPr>
          <w:noProof/>
        </w:rPr>
        <w:t>an</w:t>
      </w:r>
      <w:r w:rsidR="4A68D49B" w:rsidRPr="005A3F47">
        <w:rPr>
          <w:noProof/>
        </w:rPr>
        <w:t xml:space="preserve"> advantage over smaller competitors</w:t>
      </w:r>
      <w:r w:rsidR="66D435D2" w:rsidRPr="005A3F47">
        <w:rPr>
          <w:noProof/>
        </w:rPr>
        <w:t>, who are generally already in less competitive financial positions</w:t>
      </w:r>
      <w:r w:rsidR="03425CDF" w:rsidRPr="005A3F47">
        <w:rPr>
          <w:noProof/>
        </w:rPr>
        <w:t xml:space="preserve"> and would then additionally</w:t>
      </w:r>
      <w:r w:rsidR="66D435D2" w:rsidRPr="005A3F47">
        <w:rPr>
          <w:noProof/>
        </w:rPr>
        <w:t xml:space="preserve"> suffer more stringent borrowing conditions</w:t>
      </w:r>
      <w:r w:rsidR="417F69CD" w:rsidRPr="005A3F47">
        <w:rPr>
          <w:noProof/>
        </w:rPr>
        <w:t xml:space="preserve"> than larger competitors. Accordingly, this would negatively impact the level playing field in the EU. </w:t>
      </w:r>
    </w:p>
    <w:p w14:paraId="4126F0C5" w14:textId="53EBEB74" w:rsidR="0031546E" w:rsidRPr="005A3F47" w:rsidRDefault="00E03E1E" w:rsidP="00BC459D">
      <w:pPr>
        <w:pStyle w:val="Heading3"/>
        <w:numPr>
          <w:ilvl w:val="2"/>
          <w:numId w:val="185"/>
        </w:numPr>
        <w:rPr>
          <w:noProof/>
        </w:rPr>
      </w:pPr>
      <w:bookmarkStart w:id="134" w:name="_Toc226466826"/>
      <w:bookmarkStart w:id="135" w:name="_Toc226467187"/>
      <w:bookmarkStart w:id="136" w:name="_Toc226467287"/>
      <w:bookmarkStart w:id="137" w:name="_Toc226467506"/>
      <w:r w:rsidRPr="005A3F47">
        <w:rPr>
          <w:noProof/>
        </w:rPr>
        <w:t>Carve</w:t>
      </w:r>
      <w:r w:rsidR="00C276A8" w:rsidRPr="005A3F47">
        <w:rPr>
          <w:noProof/>
        </w:rPr>
        <w:t xml:space="preserve"> Pillar 2 companies </w:t>
      </w:r>
      <w:r w:rsidRPr="005A3F47">
        <w:rPr>
          <w:noProof/>
        </w:rPr>
        <w:t>out of the</w:t>
      </w:r>
      <w:r w:rsidR="00C276A8" w:rsidRPr="005A3F47">
        <w:rPr>
          <w:noProof/>
        </w:rPr>
        <w:t xml:space="preserve"> ATAD</w:t>
      </w:r>
      <w:bookmarkEnd w:id="134"/>
      <w:bookmarkEnd w:id="135"/>
      <w:bookmarkEnd w:id="136"/>
      <w:bookmarkEnd w:id="137"/>
    </w:p>
    <w:p w14:paraId="50337858" w14:textId="221A0579" w:rsidR="002E5756" w:rsidRPr="005A3F47" w:rsidRDefault="00154EBF" w:rsidP="002612FA">
      <w:pPr>
        <w:rPr>
          <w:noProof/>
        </w:rPr>
      </w:pPr>
      <w:r w:rsidRPr="005A3F47">
        <w:rPr>
          <w:noProof/>
        </w:rPr>
        <w:t>During the stakeholder consultations, businesses argued that t</w:t>
      </w:r>
      <w:r w:rsidR="00F21E8D" w:rsidRPr="005A3F47">
        <w:rPr>
          <w:noProof/>
        </w:rPr>
        <w:t xml:space="preserve">he introduction of </w:t>
      </w:r>
      <w:r w:rsidR="00065596" w:rsidRPr="005A3F47">
        <w:rPr>
          <w:noProof/>
        </w:rPr>
        <w:t>Pillar 2</w:t>
      </w:r>
      <w:r w:rsidR="00F21E8D" w:rsidRPr="005A3F47">
        <w:rPr>
          <w:noProof/>
        </w:rPr>
        <w:t xml:space="preserve"> ensures that companies worldwide are subject to a baseline level of taxation. </w:t>
      </w:r>
      <w:r w:rsidR="007513BF" w:rsidRPr="005A3F47">
        <w:rPr>
          <w:noProof/>
        </w:rPr>
        <w:t xml:space="preserve">According to </w:t>
      </w:r>
      <w:r w:rsidR="001A3B85" w:rsidRPr="005A3F47">
        <w:rPr>
          <w:noProof/>
        </w:rPr>
        <w:t>them</w:t>
      </w:r>
      <w:r w:rsidR="007513BF" w:rsidRPr="005A3F47">
        <w:rPr>
          <w:noProof/>
        </w:rPr>
        <w:t>, t</w:t>
      </w:r>
      <w:r w:rsidR="00F21E8D" w:rsidRPr="005A3F47">
        <w:rPr>
          <w:noProof/>
        </w:rPr>
        <w:t xml:space="preserve">his development </w:t>
      </w:r>
      <w:r w:rsidR="001A3B85" w:rsidRPr="005A3F47">
        <w:rPr>
          <w:noProof/>
        </w:rPr>
        <w:t>creates</w:t>
      </w:r>
      <w:r w:rsidR="00F21E8D" w:rsidRPr="005A3F47">
        <w:rPr>
          <w:noProof/>
        </w:rPr>
        <w:t xml:space="preserve"> redundancies in anti-abuse regulations</w:t>
      </w:r>
      <w:r w:rsidR="00B6267B" w:rsidRPr="005A3F47">
        <w:rPr>
          <w:noProof/>
        </w:rPr>
        <w:t>,</w:t>
      </w:r>
      <w:r w:rsidR="006F69B5" w:rsidRPr="005A3F47">
        <w:rPr>
          <w:noProof/>
        </w:rPr>
        <w:t xml:space="preserve"> leads</w:t>
      </w:r>
      <w:r w:rsidR="00F21E8D" w:rsidRPr="005A3F47">
        <w:rPr>
          <w:noProof/>
        </w:rPr>
        <w:t xml:space="preserve"> to unnecessary </w:t>
      </w:r>
      <w:r w:rsidR="00591C24" w:rsidRPr="005A3F47">
        <w:rPr>
          <w:noProof/>
        </w:rPr>
        <w:t>duplication, heavier compliance burdens and competitive disadvantages for EU</w:t>
      </w:r>
      <w:r w:rsidR="35EA8C28" w:rsidRPr="005A3F47">
        <w:rPr>
          <w:noProof/>
        </w:rPr>
        <w:t>-</w:t>
      </w:r>
      <w:r w:rsidR="00591C24" w:rsidRPr="005A3F47">
        <w:rPr>
          <w:noProof/>
        </w:rPr>
        <w:t>based groups</w:t>
      </w:r>
      <w:r w:rsidR="000D2B15" w:rsidRPr="005A3F47">
        <w:rPr>
          <w:noProof/>
        </w:rPr>
        <w:t xml:space="preserve">. </w:t>
      </w:r>
    </w:p>
    <w:p w14:paraId="2B3CDEE2" w14:textId="1A7E8BB7" w:rsidR="00C626B2" w:rsidRPr="005A3F47" w:rsidRDefault="002E5756" w:rsidP="002612FA">
      <w:pPr>
        <w:rPr>
          <w:noProof/>
        </w:rPr>
      </w:pPr>
      <w:r w:rsidRPr="005A3F47">
        <w:rPr>
          <w:noProof/>
        </w:rPr>
        <w:t>However, t</w:t>
      </w:r>
      <w:r w:rsidR="000D2B15" w:rsidRPr="005A3F47">
        <w:rPr>
          <w:noProof/>
        </w:rPr>
        <w:t>his option has been discarded.</w:t>
      </w:r>
      <w:r w:rsidR="00AD10D1" w:rsidRPr="005A3F47">
        <w:rPr>
          <w:noProof/>
        </w:rPr>
        <w:t xml:space="preserve"> </w:t>
      </w:r>
      <w:r w:rsidR="008F27E5" w:rsidRPr="005A3F47">
        <w:rPr>
          <w:noProof/>
        </w:rPr>
        <w:t>Although Pillar 2 and the ATAD share</w:t>
      </w:r>
      <w:r w:rsidR="002E7AA2" w:rsidRPr="005A3F47">
        <w:rPr>
          <w:noProof/>
        </w:rPr>
        <w:t xml:space="preserve"> common objectives, </w:t>
      </w:r>
      <w:r w:rsidR="008F27E5" w:rsidRPr="005A3F47">
        <w:rPr>
          <w:noProof/>
        </w:rPr>
        <w:t>they</w:t>
      </w:r>
      <w:r w:rsidR="002E7AA2" w:rsidRPr="005A3F47">
        <w:rPr>
          <w:noProof/>
        </w:rPr>
        <w:t xml:space="preserve"> differ in scope</w:t>
      </w:r>
      <w:r w:rsidR="00503088" w:rsidRPr="005A3F47">
        <w:rPr>
          <w:noProof/>
        </w:rPr>
        <w:t xml:space="preserve"> and </w:t>
      </w:r>
      <w:r w:rsidR="00CA6C7A" w:rsidRPr="005A3F47">
        <w:rPr>
          <w:noProof/>
        </w:rPr>
        <w:t xml:space="preserve">do not necessarily address the same </w:t>
      </w:r>
      <w:r w:rsidR="00FE7941" w:rsidRPr="005A3F47">
        <w:rPr>
          <w:noProof/>
        </w:rPr>
        <w:t>issues</w:t>
      </w:r>
      <w:r w:rsidR="00CA6C7A" w:rsidRPr="005A3F47">
        <w:rPr>
          <w:noProof/>
        </w:rPr>
        <w:t>.</w:t>
      </w:r>
      <w:r w:rsidR="002E7AA2" w:rsidRPr="005A3F47">
        <w:rPr>
          <w:noProof/>
        </w:rPr>
        <w:t xml:space="preserve"> </w:t>
      </w:r>
      <w:r w:rsidR="00860689" w:rsidRPr="005A3F47">
        <w:rPr>
          <w:noProof/>
        </w:rPr>
        <w:t xml:space="preserve">As </w:t>
      </w:r>
      <w:r w:rsidR="00FE7941" w:rsidRPr="005A3F47">
        <w:rPr>
          <w:noProof/>
        </w:rPr>
        <w:t>illustrated above, even with</w:t>
      </w:r>
      <w:r w:rsidR="00F73E2E" w:rsidRPr="005A3F47">
        <w:rPr>
          <w:noProof/>
        </w:rPr>
        <w:t xml:space="preserve"> the </w:t>
      </w:r>
      <w:r w:rsidR="00503088" w:rsidRPr="005A3F47">
        <w:rPr>
          <w:noProof/>
        </w:rPr>
        <w:t>implementation</w:t>
      </w:r>
      <w:r w:rsidR="00F73E2E" w:rsidRPr="005A3F47">
        <w:rPr>
          <w:noProof/>
        </w:rPr>
        <w:t xml:space="preserve"> of Pillar </w:t>
      </w:r>
      <w:r w:rsidR="00163057" w:rsidRPr="005A3F47">
        <w:rPr>
          <w:noProof/>
        </w:rPr>
        <w:t>2</w:t>
      </w:r>
      <w:r w:rsidR="00F73E2E" w:rsidRPr="005A3F47">
        <w:rPr>
          <w:noProof/>
        </w:rPr>
        <w:t xml:space="preserve">, </w:t>
      </w:r>
      <w:r w:rsidR="006D59BF" w:rsidRPr="005A3F47">
        <w:rPr>
          <w:noProof/>
        </w:rPr>
        <w:t xml:space="preserve">certain ATAD measures </w:t>
      </w:r>
      <w:r w:rsidR="00056E23" w:rsidRPr="005A3F47">
        <w:rPr>
          <w:noProof/>
        </w:rPr>
        <w:t>remain necessary</w:t>
      </w:r>
      <w:r w:rsidR="00F73E2E" w:rsidRPr="005A3F47">
        <w:rPr>
          <w:noProof/>
        </w:rPr>
        <w:t xml:space="preserve"> to ensure </w:t>
      </w:r>
      <w:r w:rsidR="00C53617" w:rsidRPr="005A3F47">
        <w:rPr>
          <w:noProof/>
        </w:rPr>
        <w:t>that</w:t>
      </w:r>
      <w:r w:rsidR="00F73E2E" w:rsidRPr="005A3F47">
        <w:rPr>
          <w:noProof/>
        </w:rPr>
        <w:t xml:space="preserve"> </w:t>
      </w:r>
      <w:r w:rsidR="00503088" w:rsidRPr="005A3F47">
        <w:rPr>
          <w:noProof/>
        </w:rPr>
        <w:t xml:space="preserve">BEPS risks are minimised. </w:t>
      </w:r>
      <w:r w:rsidR="007A7089" w:rsidRPr="005A3F47">
        <w:rPr>
          <w:noProof/>
        </w:rPr>
        <w:t xml:space="preserve">A full exemption for Pillar 2 companies from the </w:t>
      </w:r>
      <w:r w:rsidR="008C5D24" w:rsidRPr="005A3F47">
        <w:rPr>
          <w:noProof/>
        </w:rPr>
        <w:t xml:space="preserve">whole of the </w:t>
      </w:r>
      <w:r w:rsidR="007A7089" w:rsidRPr="005A3F47">
        <w:rPr>
          <w:noProof/>
        </w:rPr>
        <w:t>ATAD</w:t>
      </w:r>
      <w:r w:rsidR="00C626B2" w:rsidRPr="005A3F47">
        <w:rPr>
          <w:noProof/>
        </w:rPr>
        <w:t xml:space="preserve"> would </w:t>
      </w:r>
      <w:r w:rsidRPr="005A3F47">
        <w:rPr>
          <w:noProof/>
        </w:rPr>
        <w:t xml:space="preserve">substantially </w:t>
      </w:r>
      <w:r w:rsidR="00C626B2" w:rsidRPr="005A3F47">
        <w:rPr>
          <w:noProof/>
        </w:rPr>
        <w:t>lower the current level of protection against tax planning practices in the EU</w:t>
      </w:r>
      <w:r w:rsidR="008C5D24" w:rsidRPr="005A3F47">
        <w:rPr>
          <w:noProof/>
        </w:rPr>
        <w:t>,</w:t>
      </w:r>
      <w:r w:rsidR="00C626B2" w:rsidRPr="005A3F47">
        <w:rPr>
          <w:noProof/>
        </w:rPr>
        <w:t xml:space="preserve"> which goes against the general objective of maintaining high tax standards in the EU.</w:t>
      </w:r>
    </w:p>
    <w:p w14:paraId="6DFE31DC" w14:textId="77777777" w:rsidR="006B087E" w:rsidRPr="005A3F47" w:rsidRDefault="006B087E" w:rsidP="00BC459D">
      <w:pPr>
        <w:pStyle w:val="Heading1"/>
        <w:numPr>
          <w:ilvl w:val="0"/>
          <w:numId w:val="185"/>
        </w:numPr>
        <w:rPr>
          <w:noProof/>
        </w:rPr>
      </w:pPr>
      <w:bookmarkStart w:id="138" w:name="_Ref226464120"/>
      <w:bookmarkStart w:id="139" w:name="_Toc226466602"/>
      <w:bookmarkStart w:id="140" w:name="_Toc226466827"/>
      <w:bookmarkStart w:id="141" w:name="_Toc226467188"/>
      <w:bookmarkStart w:id="142" w:name="_Toc226467288"/>
      <w:bookmarkStart w:id="143" w:name="_Toc226467507"/>
      <w:bookmarkStart w:id="144" w:name="_Toc230258046"/>
      <w:r w:rsidRPr="005A3F47">
        <w:rPr>
          <w:noProof/>
        </w:rPr>
        <w:t>What are the impacts of the policy options?</w:t>
      </w:r>
      <w:bookmarkEnd w:id="138"/>
      <w:bookmarkEnd w:id="139"/>
      <w:bookmarkEnd w:id="140"/>
      <w:bookmarkEnd w:id="141"/>
      <w:bookmarkEnd w:id="142"/>
      <w:bookmarkEnd w:id="143"/>
      <w:bookmarkEnd w:id="144"/>
    </w:p>
    <w:p w14:paraId="28E9AFF3" w14:textId="4E7B14B9" w:rsidR="00855193" w:rsidRPr="005A3F47" w:rsidRDefault="00BC459D" w:rsidP="00BC459D">
      <w:pPr>
        <w:pStyle w:val="Heading2"/>
        <w:numPr>
          <w:ilvl w:val="1"/>
          <w:numId w:val="185"/>
        </w:numPr>
        <w:rPr>
          <w:noProof/>
        </w:rPr>
      </w:pPr>
      <w:bookmarkStart w:id="145" w:name="_Toc226466828"/>
      <w:bookmarkStart w:id="146" w:name="_Toc226467189"/>
      <w:bookmarkStart w:id="147" w:name="_Toc226467289"/>
      <w:bookmarkStart w:id="148" w:name="_Toc226467508"/>
      <w:r w:rsidRPr="005A3F47">
        <w:rPr>
          <w:noProof/>
        </w:rPr>
        <w:t xml:space="preserve"> </w:t>
      </w:r>
      <w:r w:rsidR="00DE5BB6" w:rsidRPr="005A3F47">
        <w:rPr>
          <w:noProof/>
        </w:rPr>
        <w:t>The</w:t>
      </w:r>
      <w:r w:rsidR="005660EE" w:rsidRPr="005A3F47">
        <w:rPr>
          <w:noProof/>
        </w:rPr>
        <w:t xml:space="preserve"> initiative to be assessed</w:t>
      </w:r>
      <w:bookmarkEnd w:id="145"/>
      <w:bookmarkEnd w:id="146"/>
      <w:bookmarkEnd w:id="147"/>
      <w:bookmarkEnd w:id="148"/>
    </w:p>
    <w:p w14:paraId="1AFDB9CD" w14:textId="3E7805B0" w:rsidR="005D4AFD" w:rsidRPr="005A3F47" w:rsidRDefault="005660EE" w:rsidP="005D4AFD">
      <w:pPr>
        <w:pStyle w:val="Text1"/>
        <w:ind w:left="0"/>
        <w:rPr>
          <w:noProof/>
        </w:rPr>
      </w:pPr>
      <w:r w:rsidRPr="005A3F47">
        <w:rPr>
          <w:noProof/>
        </w:rPr>
        <w:t xml:space="preserve">As set out in </w:t>
      </w:r>
      <w:r w:rsidR="00D5345D" w:rsidRPr="005A3F47">
        <w:rPr>
          <w:noProof/>
        </w:rPr>
        <w:t>the above chapters</w:t>
      </w:r>
      <w:r w:rsidRPr="005A3F47">
        <w:rPr>
          <w:noProof/>
        </w:rPr>
        <w:t xml:space="preserve">, the Omnibus </w:t>
      </w:r>
      <w:r w:rsidR="7D362B93" w:rsidRPr="005A3F47">
        <w:rPr>
          <w:noProof/>
        </w:rPr>
        <w:t xml:space="preserve">on Taxation </w:t>
      </w:r>
      <w:r w:rsidRPr="005A3F47">
        <w:rPr>
          <w:noProof/>
        </w:rPr>
        <w:t xml:space="preserve">will cover </w:t>
      </w:r>
      <w:r w:rsidR="005926B0" w:rsidRPr="005A3F47">
        <w:rPr>
          <w:noProof/>
        </w:rPr>
        <w:t xml:space="preserve">all </w:t>
      </w:r>
      <w:r w:rsidRPr="005A3F47">
        <w:rPr>
          <w:noProof/>
        </w:rPr>
        <w:t xml:space="preserve">EU </w:t>
      </w:r>
      <w:r w:rsidR="006014B4" w:rsidRPr="005A3F47">
        <w:rPr>
          <w:noProof/>
        </w:rPr>
        <w:t>corporate</w:t>
      </w:r>
      <w:r w:rsidRPr="005A3F47">
        <w:rPr>
          <w:noProof/>
        </w:rPr>
        <w:t xml:space="preserve"> tax </w:t>
      </w:r>
      <w:r w:rsidR="3CAD7EA1" w:rsidRPr="005A3F47">
        <w:rPr>
          <w:noProof/>
        </w:rPr>
        <w:t>D</w:t>
      </w:r>
      <w:r w:rsidRPr="005A3F47">
        <w:rPr>
          <w:noProof/>
        </w:rPr>
        <w:t>irective</w:t>
      </w:r>
      <w:r w:rsidR="00721909" w:rsidRPr="005A3F47">
        <w:rPr>
          <w:noProof/>
        </w:rPr>
        <w:t>s</w:t>
      </w:r>
      <w:r w:rsidR="007A6636" w:rsidRPr="005A3F47">
        <w:rPr>
          <w:rStyle w:val="FootnoteReference"/>
          <w:noProof/>
        </w:rPr>
        <w:footnoteReference w:id="81"/>
      </w:r>
      <w:r w:rsidRPr="005A3F47">
        <w:rPr>
          <w:noProof/>
        </w:rPr>
        <w:t xml:space="preserve"> and aims to </w:t>
      </w:r>
      <w:r w:rsidR="00721909" w:rsidRPr="005A3F47">
        <w:rPr>
          <w:noProof/>
        </w:rPr>
        <w:t xml:space="preserve">potentially </w:t>
      </w:r>
      <w:r w:rsidRPr="005A3F47">
        <w:rPr>
          <w:noProof/>
        </w:rPr>
        <w:t xml:space="preserve">eliminate, amend or harmonise a wide array of tax rules. It will bring simplification for EU taxpayers </w:t>
      </w:r>
      <w:r w:rsidR="00B55E8C" w:rsidRPr="005A3F47">
        <w:rPr>
          <w:noProof/>
        </w:rPr>
        <w:t>with the objective</w:t>
      </w:r>
      <w:r w:rsidRPr="005A3F47">
        <w:rPr>
          <w:noProof/>
        </w:rPr>
        <w:t xml:space="preserve"> </w:t>
      </w:r>
      <w:r w:rsidR="003449B8" w:rsidRPr="005A3F47">
        <w:rPr>
          <w:noProof/>
        </w:rPr>
        <w:t>of</w:t>
      </w:r>
      <w:r w:rsidRPr="005A3F47">
        <w:rPr>
          <w:noProof/>
        </w:rPr>
        <w:t xml:space="preserve"> </w:t>
      </w:r>
      <w:r w:rsidR="00803889" w:rsidRPr="005A3F47">
        <w:rPr>
          <w:noProof/>
        </w:rPr>
        <w:t>significantly lower</w:t>
      </w:r>
      <w:r w:rsidR="003449B8" w:rsidRPr="005A3F47">
        <w:rPr>
          <w:noProof/>
        </w:rPr>
        <w:t>ing</w:t>
      </w:r>
      <w:r w:rsidR="00803889" w:rsidRPr="005A3F47">
        <w:rPr>
          <w:noProof/>
        </w:rPr>
        <w:t xml:space="preserve"> compliance and administrative costs, </w:t>
      </w:r>
      <w:r w:rsidRPr="005A3F47">
        <w:rPr>
          <w:noProof/>
        </w:rPr>
        <w:t>boost</w:t>
      </w:r>
      <w:r w:rsidR="00697292" w:rsidRPr="005A3F47">
        <w:rPr>
          <w:noProof/>
        </w:rPr>
        <w:t>ing</w:t>
      </w:r>
      <w:r w:rsidRPr="005A3F47">
        <w:rPr>
          <w:noProof/>
        </w:rPr>
        <w:t xml:space="preserve"> EU competitiveness, </w:t>
      </w:r>
      <w:r w:rsidR="007E51A8" w:rsidRPr="005A3F47">
        <w:rPr>
          <w:noProof/>
        </w:rPr>
        <w:t xml:space="preserve">and </w:t>
      </w:r>
      <w:r w:rsidR="00713E52" w:rsidRPr="005A3F47">
        <w:rPr>
          <w:noProof/>
        </w:rPr>
        <w:t>facilitat</w:t>
      </w:r>
      <w:r w:rsidR="00697292" w:rsidRPr="005A3F47">
        <w:rPr>
          <w:noProof/>
        </w:rPr>
        <w:t>ing</w:t>
      </w:r>
      <w:r w:rsidR="00713E52" w:rsidRPr="005A3F47">
        <w:rPr>
          <w:noProof/>
        </w:rPr>
        <w:t xml:space="preserve"> investment, </w:t>
      </w:r>
      <w:r w:rsidRPr="005A3F47">
        <w:rPr>
          <w:noProof/>
        </w:rPr>
        <w:t xml:space="preserve">while </w:t>
      </w:r>
      <w:r w:rsidR="00D5345D" w:rsidRPr="005A3F47">
        <w:rPr>
          <w:noProof/>
        </w:rPr>
        <w:t>ensuring that the EU’s high tax standards are maintained</w:t>
      </w:r>
      <w:r w:rsidRPr="005A3F47">
        <w:rPr>
          <w:noProof/>
        </w:rPr>
        <w:t xml:space="preserve">. </w:t>
      </w:r>
    </w:p>
    <w:p w14:paraId="47BCB33C" w14:textId="2071BE3D" w:rsidR="000F49BF" w:rsidRPr="005A3F47" w:rsidRDefault="00783BAB" w:rsidP="00FA5980">
      <w:pPr>
        <w:pStyle w:val="Text1"/>
        <w:ind w:left="0"/>
        <w:rPr>
          <w:noProof/>
        </w:rPr>
      </w:pPr>
      <w:r w:rsidRPr="005A3F47">
        <w:rPr>
          <w:noProof/>
        </w:rPr>
        <w:t xml:space="preserve">This Chapter explores the impact of the envisaged measures, which </w:t>
      </w:r>
      <w:r w:rsidR="009959D0" w:rsidRPr="005A3F47">
        <w:rPr>
          <w:noProof/>
        </w:rPr>
        <w:t xml:space="preserve">constitute </w:t>
      </w:r>
      <w:r w:rsidR="00D57CC6" w:rsidRPr="005A3F47">
        <w:rPr>
          <w:noProof/>
        </w:rPr>
        <w:t xml:space="preserve">responses to </w:t>
      </w:r>
      <w:r w:rsidR="009959D0" w:rsidRPr="005A3F47">
        <w:rPr>
          <w:noProof/>
        </w:rPr>
        <w:t xml:space="preserve">the baseline </w:t>
      </w:r>
      <w:r w:rsidR="00D57CC6" w:rsidRPr="005A3F47">
        <w:rPr>
          <w:noProof/>
        </w:rPr>
        <w:t xml:space="preserve">and </w:t>
      </w:r>
      <w:r w:rsidRPr="005A3F47">
        <w:rPr>
          <w:noProof/>
        </w:rPr>
        <w:t xml:space="preserve">have </w:t>
      </w:r>
      <w:r w:rsidRPr="005A3F47" w:rsidDel="00CC48CC">
        <w:rPr>
          <w:noProof/>
        </w:rPr>
        <w:t xml:space="preserve">been </w:t>
      </w:r>
      <w:r w:rsidRPr="005A3F47">
        <w:rPr>
          <w:noProof/>
        </w:rPr>
        <w:t xml:space="preserve">individually outlined in Chapter </w:t>
      </w:r>
      <w:r w:rsidR="00566CDA" w:rsidRPr="005A3F47">
        <w:rPr>
          <w:noProof/>
        </w:rPr>
        <w:fldChar w:fldCharType="begin"/>
      </w:r>
      <w:r w:rsidR="00566CDA" w:rsidRPr="005A3F47">
        <w:rPr>
          <w:noProof/>
        </w:rPr>
        <w:instrText xml:space="preserve"> REF _Ref226473863 \r \h </w:instrText>
      </w:r>
      <w:r w:rsidR="005A3F47">
        <w:rPr>
          <w:noProof/>
        </w:rPr>
        <w:instrText xml:space="preserve"> \* MERGEFORMAT </w:instrText>
      </w:r>
      <w:r w:rsidR="00566CDA" w:rsidRPr="005A3F47">
        <w:rPr>
          <w:noProof/>
        </w:rPr>
      </w:r>
      <w:r w:rsidR="00566CDA" w:rsidRPr="005A3F47">
        <w:rPr>
          <w:noProof/>
        </w:rPr>
        <w:fldChar w:fldCharType="separate"/>
      </w:r>
      <w:r w:rsidR="00CF3380">
        <w:rPr>
          <w:noProof/>
        </w:rPr>
        <w:t>5</w:t>
      </w:r>
      <w:r w:rsidR="00566CDA" w:rsidRPr="005A3F47">
        <w:rPr>
          <w:noProof/>
        </w:rPr>
        <w:fldChar w:fldCharType="end"/>
      </w:r>
      <w:r w:rsidRPr="005A3F47">
        <w:rPr>
          <w:noProof/>
        </w:rPr>
        <w:t xml:space="preserve">. </w:t>
      </w:r>
      <w:r w:rsidR="00084C43" w:rsidRPr="005A3F47">
        <w:rPr>
          <w:noProof/>
        </w:rPr>
        <w:t>It</w:t>
      </w:r>
      <w:r w:rsidR="009B4EE0" w:rsidRPr="005A3F47">
        <w:rPr>
          <w:noProof/>
        </w:rPr>
        <w:t xml:space="preserve"> </w:t>
      </w:r>
      <w:r w:rsidR="000A6DAF" w:rsidRPr="005A3F47">
        <w:rPr>
          <w:noProof/>
        </w:rPr>
        <w:t xml:space="preserve">first </w:t>
      </w:r>
      <w:r w:rsidR="009B4EE0" w:rsidRPr="005A3F47">
        <w:rPr>
          <w:noProof/>
        </w:rPr>
        <w:t>assess</w:t>
      </w:r>
      <w:r w:rsidR="00084C43" w:rsidRPr="005A3F47">
        <w:rPr>
          <w:noProof/>
        </w:rPr>
        <w:t>es</w:t>
      </w:r>
      <w:r w:rsidR="009B4EE0" w:rsidRPr="005A3F47">
        <w:rPr>
          <w:noProof/>
        </w:rPr>
        <w:t xml:space="preserve"> </w:t>
      </w:r>
      <w:r w:rsidR="00E555C7" w:rsidRPr="005A3F47">
        <w:rPr>
          <w:noProof/>
        </w:rPr>
        <w:t xml:space="preserve">the </w:t>
      </w:r>
      <w:r w:rsidR="00237ED2" w:rsidRPr="005A3F47">
        <w:rPr>
          <w:noProof/>
        </w:rPr>
        <w:t xml:space="preserve">economic </w:t>
      </w:r>
      <w:r w:rsidR="00E555C7" w:rsidRPr="005A3F47">
        <w:rPr>
          <w:noProof/>
        </w:rPr>
        <w:t>impact</w:t>
      </w:r>
      <w:r w:rsidR="001A1BA4" w:rsidRPr="005A3F47">
        <w:rPr>
          <w:noProof/>
        </w:rPr>
        <w:t xml:space="preserve"> </w:t>
      </w:r>
      <w:r w:rsidR="00E555C7" w:rsidRPr="005A3F47">
        <w:rPr>
          <w:noProof/>
        </w:rPr>
        <w:t xml:space="preserve">of the </w:t>
      </w:r>
      <w:r w:rsidR="00B76C8C" w:rsidRPr="005A3F47">
        <w:rPr>
          <w:noProof/>
        </w:rPr>
        <w:t>different</w:t>
      </w:r>
      <w:r w:rsidR="00E555C7" w:rsidRPr="005A3F47">
        <w:rPr>
          <w:noProof/>
        </w:rPr>
        <w:t xml:space="preserve"> policy options </w:t>
      </w:r>
      <w:r w:rsidR="00916BAA" w:rsidRPr="005A3F47">
        <w:rPr>
          <w:noProof/>
        </w:rPr>
        <w:t xml:space="preserve">on </w:t>
      </w:r>
      <w:r w:rsidR="00E555C7" w:rsidRPr="005A3F47">
        <w:rPr>
          <w:noProof/>
        </w:rPr>
        <w:t>the taxation of cross-border interest, royalt</w:t>
      </w:r>
      <w:r w:rsidR="00562D84" w:rsidRPr="005A3F47">
        <w:rPr>
          <w:noProof/>
        </w:rPr>
        <w:t>y</w:t>
      </w:r>
      <w:r w:rsidR="00E555C7" w:rsidRPr="005A3F47">
        <w:rPr>
          <w:noProof/>
        </w:rPr>
        <w:t xml:space="preserve"> and dividend payments</w:t>
      </w:r>
      <w:r w:rsidR="00D166CF" w:rsidRPr="005A3F47">
        <w:rPr>
          <w:noProof/>
        </w:rPr>
        <w:t xml:space="preserve"> (</w:t>
      </w:r>
      <w:r w:rsidR="009150B1" w:rsidRPr="005A3F47">
        <w:rPr>
          <w:noProof/>
        </w:rPr>
        <w:t>S</w:t>
      </w:r>
      <w:r w:rsidR="00D166CF" w:rsidRPr="005A3F47">
        <w:rPr>
          <w:noProof/>
        </w:rPr>
        <w:t xml:space="preserve">ection </w:t>
      </w:r>
      <w:r w:rsidR="004F375D" w:rsidRPr="005A3F47">
        <w:rPr>
          <w:noProof/>
        </w:rPr>
        <w:fldChar w:fldCharType="begin"/>
      </w:r>
      <w:r w:rsidR="004F375D" w:rsidRPr="005A3F47">
        <w:rPr>
          <w:noProof/>
        </w:rPr>
        <w:instrText xml:space="preserve"> REF _Ref226463240 \r \h </w:instrText>
      </w:r>
      <w:r w:rsidR="005A3F47">
        <w:rPr>
          <w:noProof/>
        </w:rPr>
        <w:instrText xml:space="preserve"> \* MERGEFORMAT </w:instrText>
      </w:r>
      <w:r w:rsidR="004F375D" w:rsidRPr="005A3F47">
        <w:rPr>
          <w:noProof/>
        </w:rPr>
      </w:r>
      <w:r w:rsidR="004F375D" w:rsidRPr="005A3F47">
        <w:rPr>
          <w:noProof/>
        </w:rPr>
        <w:fldChar w:fldCharType="separate"/>
      </w:r>
      <w:r w:rsidR="00CF3380">
        <w:rPr>
          <w:noProof/>
        </w:rPr>
        <w:t>6.2.1</w:t>
      </w:r>
      <w:r w:rsidR="004F375D" w:rsidRPr="005A3F47">
        <w:rPr>
          <w:noProof/>
        </w:rPr>
        <w:fldChar w:fldCharType="end"/>
      </w:r>
      <w:r w:rsidR="00260247" w:rsidRPr="005A3F47">
        <w:rPr>
          <w:noProof/>
        </w:rPr>
        <w:t xml:space="preserve"> below)</w:t>
      </w:r>
      <w:r w:rsidR="00B76C8C" w:rsidRPr="005A3F47">
        <w:rPr>
          <w:noProof/>
        </w:rPr>
        <w:t xml:space="preserve">, and the taxation of controlled foreign companies </w:t>
      </w:r>
      <w:r w:rsidR="00916BAA" w:rsidRPr="005A3F47">
        <w:rPr>
          <w:noProof/>
        </w:rPr>
        <w:t>(CFC)</w:t>
      </w:r>
      <w:r w:rsidR="00B76C8C" w:rsidRPr="005A3F47">
        <w:rPr>
          <w:noProof/>
        </w:rPr>
        <w:t xml:space="preserve"> belonging to groups subject to Pillar 2</w:t>
      </w:r>
      <w:r w:rsidR="00D166CF" w:rsidRPr="005A3F47">
        <w:rPr>
          <w:noProof/>
        </w:rPr>
        <w:t xml:space="preserve"> (</w:t>
      </w:r>
      <w:r w:rsidR="009150B1" w:rsidRPr="005A3F47">
        <w:rPr>
          <w:noProof/>
        </w:rPr>
        <w:t>S</w:t>
      </w:r>
      <w:r w:rsidR="00D166CF" w:rsidRPr="005A3F47">
        <w:rPr>
          <w:noProof/>
        </w:rPr>
        <w:t xml:space="preserve">ection </w:t>
      </w:r>
      <w:r w:rsidR="004F375D" w:rsidRPr="005A3F47">
        <w:rPr>
          <w:noProof/>
        </w:rPr>
        <w:fldChar w:fldCharType="begin"/>
      </w:r>
      <w:r w:rsidR="004F375D" w:rsidRPr="005A3F47">
        <w:rPr>
          <w:noProof/>
        </w:rPr>
        <w:instrText xml:space="preserve"> REF _Ref226463262 \r \h </w:instrText>
      </w:r>
      <w:r w:rsidR="005A3F47">
        <w:rPr>
          <w:noProof/>
        </w:rPr>
        <w:instrText xml:space="preserve"> \* MERGEFORMAT </w:instrText>
      </w:r>
      <w:r w:rsidR="004F375D" w:rsidRPr="005A3F47">
        <w:rPr>
          <w:noProof/>
        </w:rPr>
      </w:r>
      <w:r w:rsidR="004F375D" w:rsidRPr="005A3F47">
        <w:rPr>
          <w:noProof/>
        </w:rPr>
        <w:fldChar w:fldCharType="separate"/>
      </w:r>
      <w:r w:rsidR="00CF3380">
        <w:rPr>
          <w:noProof/>
        </w:rPr>
        <w:t>6.2.2</w:t>
      </w:r>
      <w:r w:rsidR="004F375D" w:rsidRPr="005A3F47">
        <w:rPr>
          <w:noProof/>
        </w:rPr>
        <w:fldChar w:fldCharType="end"/>
      </w:r>
      <w:r w:rsidR="00260247" w:rsidRPr="005A3F47">
        <w:rPr>
          <w:noProof/>
        </w:rPr>
        <w:t xml:space="preserve"> below)</w:t>
      </w:r>
      <w:r w:rsidR="00BE631D" w:rsidRPr="005A3F47">
        <w:rPr>
          <w:noProof/>
        </w:rPr>
        <w:t>. The assessment is</w:t>
      </w:r>
      <w:r w:rsidR="00237ED2" w:rsidRPr="005A3F47">
        <w:rPr>
          <w:noProof/>
        </w:rPr>
        <w:t xml:space="preserve"> </w:t>
      </w:r>
      <w:r w:rsidR="00DF532F" w:rsidRPr="005A3F47">
        <w:rPr>
          <w:noProof/>
        </w:rPr>
        <w:t>conducted</w:t>
      </w:r>
      <w:r w:rsidR="00237ED2" w:rsidRPr="005A3F47">
        <w:rPr>
          <w:noProof/>
        </w:rPr>
        <w:t xml:space="preserve"> both in terms of direct cost savings and broader</w:t>
      </w:r>
      <w:r w:rsidR="008E4C44" w:rsidRPr="005A3F47">
        <w:rPr>
          <w:noProof/>
        </w:rPr>
        <w:t>,</w:t>
      </w:r>
      <w:r w:rsidR="00237ED2" w:rsidRPr="005A3F47">
        <w:rPr>
          <w:noProof/>
        </w:rPr>
        <w:t xml:space="preserve"> long-term economic impact</w:t>
      </w:r>
      <w:r w:rsidR="00B76C8C" w:rsidRPr="005A3F47">
        <w:rPr>
          <w:noProof/>
        </w:rPr>
        <w:t xml:space="preserve">. In addition, </w:t>
      </w:r>
      <w:r w:rsidR="003F4625" w:rsidRPr="005A3F47">
        <w:rPr>
          <w:noProof/>
        </w:rPr>
        <w:t xml:space="preserve">the </w:t>
      </w:r>
      <w:r w:rsidR="008D16B6" w:rsidRPr="005A3F47">
        <w:rPr>
          <w:noProof/>
        </w:rPr>
        <w:t xml:space="preserve">analysis </w:t>
      </w:r>
      <w:r w:rsidR="0035037A" w:rsidRPr="005A3F47">
        <w:rPr>
          <w:noProof/>
        </w:rPr>
        <w:t>covers</w:t>
      </w:r>
      <w:r w:rsidR="00B76C8C" w:rsidRPr="005A3F47">
        <w:rPr>
          <w:noProof/>
        </w:rPr>
        <w:t xml:space="preserve"> the aggregate impact in terms of compliance costs of the remaining options</w:t>
      </w:r>
      <w:r w:rsidR="00237ED2" w:rsidRPr="005A3F47">
        <w:rPr>
          <w:noProof/>
        </w:rPr>
        <w:t xml:space="preserve"> (</w:t>
      </w:r>
      <w:r w:rsidR="009150B1" w:rsidRPr="005A3F47">
        <w:rPr>
          <w:noProof/>
        </w:rPr>
        <w:t>S</w:t>
      </w:r>
      <w:r w:rsidR="00237ED2" w:rsidRPr="005A3F47">
        <w:rPr>
          <w:noProof/>
        </w:rPr>
        <w:t>ectio</w:t>
      </w:r>
      <w:r w:rsidR="003D1EB7" w:rsidRPr="005A3F47">
        <w:rPr>
          <w:noProof/>
        </w:rPr>
        <w:t xml:space="preserve">n </w:t>
      </w:r>
      <w:r w:rsidR="004F375D" w:rsidRPr="005A3F47">
        <w:rPr>
          <w:noProof/>
        </w:rPr>
        <w:fldChar w:fldCharType="begin"/>
      </w:r>
      <w:r w:rsidR="004F375D" w:rsidRPr="005A3F47">
        <w:rPr>
          <w:noProof/>
        </w:rPr>
        <w:instrText xml:space="preserve"> REF _Ref226463284 \r \h </w:instrText>
      </w:r>
      <w:r w:rsidR="005A3F47">
        <w:rPr>
          <w:noProof/>
        </w:rPr>
        <w:instrText xml:space="preserve"> \* MERGEFORMAT </w:instrText>
      </w:r>
      <w:r w:rsidR="004F375D" w:rsidRPr="005A3F47">
        <w:rPr>
          <w:noProof/>
        </w:rPr>
      </w:r>
      <w:r w:rsidR="004F375D" w:rsidRPr="005A3F47">
        <w:rPr>
          <w:noProof/>
        </w:rPr>
        <w:fldChar w:fldCharType="separate"/>
      </w:r>
      <w:r w:rsidR="00CF3380">
        <w:rPr>
          <w:noProof/>
        </w:rPr>
        <w:t>0</w:t>
      </w:r>
      <w:r w:rsidR="004F375D" w:rsidRPr="005A3F47">
        <w:rPr>
          <w:noProof/>
        </w:rPr>
        <w:fldChar w:fldCharType="end"/>
      </w:r>
      <w:r w:rsidR="00F321F1" w:rsidRPr="005A3F47">
        <w:rPr>
          <w:noProof/>
        </w:rPr>
        <w:fldChar w:fldCharType="begin"/>
      </w:r>
      <w:r w:rsidR="00F321F1" w:rsidRPr="005A3F47">
        <w:rPr>
          <w:noProof/>
        </w:rPr>
        <w:instrText xml:space="preserve"> REF _Ref226463310 \r \h </w:instrText>
      </w:r>
      <w:r w:rsidR="005A3F47">
        <w:rPr>
          <w:noProof/>
        </w:rPr>
        <w:instrText xml:space="preserve"> \* MERGEFORMAT </w:instrText>
      </w:r>
      <w:r w:rsidR="00F321F1" w:rsidRPr="005A3F47">
        <w:rPr>
          <w:noProof/>
        </w:rPr>
      </w:r>
      <w:r w:rsidR="00F321F1" w:rsidRPr="005A3F47">
        <w:rPr>
          <w:noProof/>
        </w:rPr>
        <w:fldChar w:fldCharType="separate"/>
      </w:r>
      <w:r w:rsidR="00CF3380">
        <w:rPr>
          <w:noProof/>
        </w:rPr>
        <w:t>6.2.5</w:t>
      </w:r>
      <w:r w:rsidR="00F321F1" w:rsidRPr="005A3F47">
        <w:rPr>
          <w:noProof/>
        </w:rPr>
        <w:fldChar w:fldCharType="end"/>
      </w:r>
      <w:r w:rsidR="00260247" w:rsidRPr="005A3F47">
        <w:rPr>
          <w:noProof/>
        </w:rPr>
        <w:t xml:space="preserve"> below</w:t>
      </w:r>
      <w:r w:rsidR="00237ED2" w:rsidRPr="005A3F47">
        <w:rPr>
          <w:noProof/>
        </w:rPr>
        <w:t>)</w:t>
      </w:r>
      <w:r w:rsidR="002F3958" w:rsidRPr="005A3F47">
        <w:rPr>
          <w:noProof/>
        </w:rPr>
        <w:t xml:space="preserve"> and </w:t>
      </w:r>
      <w:r w:rsidR="00D166CF" w:rsidRPr="005A3F47">
        <w:rPr>
          <w:noProof/>
        </w:rPr>
        <w:t xml:space="preserve">the economic impact of the envisaged immediate expensing of R&amp;D-related assets </w:t>
      </w:r>
      <w:r w:rsidR="00237ED2" w:rsidRPr="005A3F47">
        <w:rPr>
          <w:noProof/>
        </w:rPr>
        <w:t>(</w:t>
      </w:r>
      <w:r w:rsidR="009150B1" w:rsidRPr="005A3F47">
        <w:rPr>
          <w:noProof/>
        </w:rPr>
        <w:t>S</w:t>
      </w:r>
      <w:r w:rsidR="00237ED2" w:rsidRPr="005A3F47">
        <w:rPr>
          <w:noProof/>
        </w:rPr>
        <w:t>ection</w:t>
      </w:r>
      <w:r w:rsidR="00C000E5" w:rsidRPr="005A3F47">
        <w:rPr>
          <w:noProof/>
        </w:rPr>
        <w:t xml:space="preserve"> 6.2.3</w:t>
      </w:r>
      <w:r w:rsidR="00237ED2" w:rsidRPr="005A3F47">
        <w:rPr>
          <w:noProof/>
        </w:rPr>
        <w:t xml:space="preserve"> </w:t>
      </w:r>
      <w:r w:rsidR="00F321F1" w:rsidRPr="005A3F47">
        <w:rPr>
          <w:noProof/>
        </w:rPr>
        <w:fldChar w:fldCharType="begin"/>
      </w:r>
      <w:r w:rsidR="00F321F1" w:rsidRPr="005A3F47">
        <w:rPr>
          <w:noProof/>
        </w:rPr>
        <w:instrText xml:space="preserve"> REF _Ref226463284 \r \h </w:instrText>
      </w:r>
      <w:r w:rsidR="005A3F47">
        <w:rPr>
          <w:noProof/>
        </w:rPr>
        <w:instrText xml:space="preserve"> \* MERGEFORMAT </w:instrText>
      </w:r>
      <w:r w:rsidR="00F321F1" w:rsidRPr="005A3F47">
        <w:rPr>
          <w:noProof/>
        </w:rPr>
      </w:r>
      <w:r w:rsidR="00F321F1" w:rsidRPr="005A3F47">
        <w:rPr>
          <w:noProof/>
        </w:rPr>
        <w:fldChar w:fldCharType="separate"/>
      </w:r>
      <w:r w:rsidR="00CF3380">
        <w:rPr>
          <w:noProof/>
        </w:rPr>
        <w:t>0</w:t>
      </w:r>
      <w:r w:rsidR="00F321F1" w:rsidRPr="005A3F47">
        <w:rPr>
          <w:noProof/>
        </w:rPr>
        <w:fldChar w:fldCharType="end"/>
      </w:r>
      <w:r w:rsidR="00260247" w:rsidRPr="005A3F47">
        <w:rPr>
          <w:noProof/>
        </w:rPr>
        <w:t xml:space="preserve"> below</w:t>
      </w:r>
      <w:r w:rsidR="00237ED2" w:rsidRPr="005A3F47">
        <w:rPr>
          <w:noProof/>
        </w:rPr>
        <w:t xml:space="preserve">) </w:t>
      </w:r>
      <w:r w:rsidR="00D166CF" w:rsidRPr="005A3F47">
        <w:rPr>
          <w:noProof/>
        </w:rPr>
        <w:t>a</w:t>
      </w:r>
      <w:r w:rsidR="0005712A" w:rsidRPr="005A3F47">
        <w:rPr>
          <w:noProof/>
        </w:rPr>
        <w:t>s well as</w:t>
      </w:r>
      <w:r w:rsidR="00D166CF" w:rsidRPr="005A3F47">
        <w:rPr>
          <w:noProof/>
        </w:rPr>
        <w:t xml:space="preserve"> </w:t>
      </w:r>
      <w:r w:rsidR="00237ED2" w:rsidRPr="005A3F47">
        <w:rPr>
          <w:noProof/>
        </w:rPr>
        <w:t xml:space="preserve">certain changes to the </w:t>
      </w:r>
      <w:r w:rsidR="56051141" w:rsidRPr="005A3F47">
        <w:rPr>
          <w:noProof/>
        </w:rPr>
        <w:t>I</w:t>
      </w:r>
      <w:r w:rsidR="0031484C" w:rsidRPr="005A3F47">
        <w:rPr>
          <w:noProof/>
        </w:rPr>
        <w:t xml:space="preserve">nterest </w:t>
      </w:r>
      <w:r w:rsidR="56051141" w:rsidRPr="005A3F47">
        <w:rPr>
          <w:noProof/>
        </w:rPr>
        <w:t>L</w:t>
      </w:r>
      <w:r w:rsidR="0031484C" w:rsidRPr="005A3F47">
        <w:rPr>
          <w:noProof/>
        </w:rPr>
        <w:t xml:space="preserve">imitation </w:t>
      </w:r>
      <w:r w:rsidR="56051141" w:rsidRPr="005A3F47">
        <w:rPr>
          <w:noProof/>
        </w:rPr>
        <w:t>R</w:t>
      </w:r>
      <w:r w:rsidR="0031484C" w:rsidRPr="005A3F47">
        <w:rPr>
          <w:noProof/>
        </w:rPr>
        <w:t>ule</w:t>
      </w:r>
      <w:r w:rsidR="56051141" w:rsidRPr="005A3F47">
        <w:rPr>
          <w:noProof/>
        </w:rPr>
        <w:t xml:space="preserve"> </w:t>
      </w:r>
      <w:r w:rsidR="00237ED2" w:rsidRPr="005A3F47">
        <w:rPr>
          <w:noProof/>
        </w:rPr>
        <w:t>(</w:t>
      </w:r>
      <w:r w:rsidR="009150B1" w:rsidRPr="005A3F47">
        <w:rPr>
          <w:noProof/>
        </w:rPr>
        <w:t>S</w:t>
      </w:r>
      <w:r w:rsidR="00237ED2" w:rsidRPr="005A3F47">
        <w:rPr>
          <w:noProof/>
        </w:rPr>
        <w:t xml:space="preserve">ection </w:t>
      </w:r>
      <w:r w:rsidR="00F321F1" w:rsidRPr="005A3F47">
        <w:rPr>
          <w:noProof/>
        </w:rPr>
        <w:fldChar w:fldCharType="begin"/>
      </w:r>
      <w:r w:rsidR="00F321F1" w:rsidRPr="005A3F47">
        <w:rPr>
          <w:noProof/>
        </w:rPr>
        <w:instrText xml:space="preserve"> REF _Ref226463369 \r \h </w:instrText>
      </w:r>
      <w:r w:rsidR="005A3F47">
        <w:rPr>
          <w:noProof/>
        </w:rPr>
        <w:instrText xml:space="preserve"> \* MERGEFORMAT </w:instrText>
      </w:r>
      <w:r w:rsidR="00F321F1" w:rsidRPr="005A3F47">
        <w:rPr>
          <w:noProof/>
        </w:rPr>
      </w:r>
      <w:r w:rsidR="00F321F1" w:rsidRPr="005A3F47">
        <w:rPr>
          <w:noProof/>
        </w:rPr>
        <w:fldChar w:fldCharType="separate"/>
      </w:r>
      <w:r w:rsidR="00CF3380">
        <w:rPr>
          <w:noProof/>
        </w:rPr>
        <w:t>0</w:t>
      </w:r>
      <w:r w:rsidR="00F321F1" w:rsidRPr="005A3F47">
        <w:rPr>
          <w:noProof/>
        </w:rPr>
        <w:fldChar w:fldCharType="end"/>
      </w:r>
      <w:r w:rsidR="00260247" w:rsidRPr="005A3F47">
        <w:rPr>
          <w:noProof/>
        </w:rPr>
        <w:t xml:space="preserve"> below</w:t>
      </w:r>
      <w:r w:rsidR="00237ED2" w:rsidRPr="005A3F47">
        <w:rPr>
          <w:noProof/>
        </w:rPr>
        <w:t>)</w:t>
      </w:r>
      <w:r w:rsidR="003A62C9" w:rsidRPr="005A3F47">
        <w:rPr>
          <w:noProof/>
        </w:rPr>
        <w:t xml:space="preserve">. </w:t>
      </w:r>
      <w:r w:rsidR="004B35C5" w:rsidRPr="005A3F47">
        <w:rPr>
          <w:noProof/>
        </w:rPr>
        <w:t xml:space="preserve">This analysis is supported by </w:t>
      </w:r>
      <w:r w:rsidR="00383F9D" w:rsidRPr="005A3F47">
        <w:rPr>
          <w:noProof/>
        </w:rPr>
        <w:t xml:space="preserve">the methodological and analytical </w:t>
      </w:r>
      <w:r w:rsidR="00987DF7" w:rsidRPr="005A3F47">
        <w:rPr>
          <w:noProof/>
        </w:rPr>
        <w:t>approaches explained in Annex 4 to this report. Finally, this Chapter provides general remark</w:t>
      </w:r>
      <w:r w:rsidR="0090228B" w:rsidRPr="005A3F47">
        <w:rPr>
          <w:noProof/>
        </w:rPr>
        <w:t xml:space="preserve">s on the limits assessing the impact of the Omnibus on tax administrations, </w:t>
      </w:r>
      <w:r w:rsidR="00580DB4" w:rsidRPr="005A3F47">
        <w:rPr>
          <w:noProof/>
        </w:rPr>
        <w:t xml:space="preserve">and briefly explores potential </w:t>
      </w:r>
      <w:r w:rsidR="004349FF" w:rsidRPr="005A3F47">
        <w:rPr>
          <w:noProof/>
        </w:rPr>
        <w:t xml:space="preserve">environmental, social and fundamental rights impacts. </w:t>
      </w:r>
    </w:p>
    <w:p w14:paraId="2BC57137" w14:textId="654D5F7B" w:rsidR="00734682" w:rsidRPr="005A3F47" w:rsidRDefault="003A62C9" w:rsidP="00FA5980">
      <w:pPr>
        <w:pStyle w:val="Text1"/>
        <w:ind w:left="0"/>
        <w:rPr>
          <w:noProof/>
        </w:rPr>
      </w:pPr>
      <w:r w:rsidRPr="005A3F47">
        <w:rPr>
          <w:noProof/>
        </w:rPr>
        <w:t xml:space="preserve">In this way, </w:t>
      </w:r>
      <w:r w:rsidR="0014390E" w:rsidRPr="005A3F47">
        <w:rPr>
          <w:noProof/>
        </w:rPr>
        <w:t xml:space="preserve">the outcome of the analysis in this chapter </w:t>
      </w:r>
      <w:r w:rsidR="00A81583" w:rsidRPr="005A3F47">
        <w:rPr>
          <w:noProof/>
        </w:rPr>
        <w:t>can be used</w:t>
      </w:r>
      <w:r w:rsidR="00FB312A" w:rsidRPr="005A3F47">
        <w:rPr>
          <w:noProof/>
        </w:rPr>
        <w:t xml:space="preserve"> to </w:t>
      </w:r>
      <w:r w:rsidR="009F08CE" w:rsidRPr="005A3F47">
        <w:rPr>
          <w:noProof/>
        </w:rPr>
        <w:t>compare</w:t>
      </w:r>
      <w:r w:rsidRPr="005A3F47">
        <w:rPr>
          <w:noProof/>
        </w:rPr>
        <w:t xml:space="preserve"> the </w:t>
      </w:r>
      <w:r w:rsidR="00B13EBE" w:rsidRPr="005A3F47">
        <w:rPr>
          <w:noProof/>
        </w:rPr>
        <w:t>options</w:t>
      </w:r>
      <w:r w:rsidR="00AE1ACF" w:rsidRPr="005A3F47">
        <w:rPr>
          <w:noProof/>
        </w:rPr>
        <w:t xml:space="preserve">, as designed in </w:t>
      </w:r>
      <w:r w:rsidRPr="005A3F47">
        <w:rPr>
          <w:noProof/>
        </w:rPr>
        <w:t xml:space="preserve">three versions (Chapter </w:t>
      </w:r>
      <w:r w:rsidR="001732BD" w:rsidRPr="005A3F47">
        <w:rPr>
          <w:noProof/>
        </w:rPr>
        <w:t>7</w:t>
      </w:r>
      <w:r w:rsidRPr="005A3F47">
        <w:rPr>
          <w:noProof/>
        </w:rPr>
        <w:t>)</w:t>
      </w:r>
      <w:r w:rsidR="00EC2EA4" w:rsidRPr="005A3F47">
        <w:rPr>
          <w:noProof/>
        </w:rPr>
        <w:t xml:space="preserve">, </w:t>
      </w:r>
      <w:r w:rsidR="009F08CE" w:rsidRPr="005A3F47">
        <w:rPr>
          <w:noProof/>
        </w:rPr>
        <w:t>in order</w:t>
      </w:r>
      <w:r w:rsidR="00EC2EA4" w:rsidRPr="005A3F47">
        <w:rPr>
          <w:noProof/>
        </w:rPr>
        <w:t xml:space="preserve"> to </w:t>
      </w:r>
      <w:r w:rsidR="003C1737" w:rsidRPr="005A3F47">
        <w:rPr>
          <w:noProof/>
        </w:rPr>
        <w:t>subsequently</w:t>
      </w:r>
      <w:r w:rsidR="00EC2EA4" w:rsidRPr="005A3F47">
        <w:rPr>
          <w:noProof/>
        </w:rPr>
        <w:t xml:space="preserve"> </w:t>
      </w:r>
      <w:r w:rsidRPr="005A3F47">
        <w:rPr>
          <w:noProof/>
        </w:rPr>
        <w:t xml:space="preserve">determine the preferred way forward for this initiative (Chapter </w:t>
      </w:r>
      <w:r w:rsidR="00F321F1" w:rsidRPr="005A3F47">
        <w:rPr>
          <w:noProof/>
        </w:rPr>
        <w:fldChar w:fldCharType="begin"/>
      </w:r>
      <w:r w:rsidR="00F321F1" w:rsidRPr="005A3F47">
        <w:rPr>
          <w:noProof/>
        </w:rPr>
        <w:instrText xml:space="preserve"> REF _Ref226463400 \r \h </w:instrText>
      </w:r>
      <w:r w:rsidR="005A3F47">
        <w:rPr>
          <w:noProof/>
        </w:rPr>
        <w:instrText xml:space="preserve"> \* MERGEFORMAT </w:instrText>
      </w:r>
      <w:r w:rsidR="00F321F1" w:rsidRPr="005A3F47">
        <w:rPr>
          <w:noProof/>
        </w:rPr>
      </w:r>
      <w:r w:rsidR="00F321F1" w:rsidRPr="005A3F47">
        <w:rPr>
          <w:noProof/>
        </w:rPr>
        <w:fldChar w:fldCharType="separate"/>
      </w:r>
      <w:r w:rsidR="00CF3380">
        <w:rPr>
          <w:noProof/>
        </w:rPr>
        <w:t>8</w:t>
      </w:r>
      <w:r w:rsidR="00F321F1" w:rsidRPr="005A3F47">
        <w:rPr>
          <w:noProof/>
        </w:rPr>
        <w:fldChar w:fldCharType="end"/>
      </w:r>
      <w:r w:rsidRPr="005A3F47">
        <w:rPr>
          <w:noProof/>
        </w:rPr>
        <w:t xml:space="preserve">).  </w:t>
      </w:r>
    </w:p>
    <w:p w14:paraId="24A80F82" w14:textId="37FF01CD" w:rsidR="00515729" w:rsidRPr="005A3F47" w:rsidRDefault="00BC459D" w:rsidP="00BC459D">
      <w:pPr>
        <w:pStyle w:val="Heading2"/>
        <w:numPr>
          <w:ilvl w:val="1"/>
          <w:numId w:val="185"/>
        </w:numPr>
        <w:rPr>
          <w:noProof/>
        </w:rPr>
      </w:pPr>
      <w:bookmarkStart w:id="149" w:name="_Toc226466829"/>
      <w:bookmarkStart w:id="150" w:name="_Toc226467190"/>
      <w:bookmarkStart w:id="151" w:name="_Toc226467290"/>
      <w:bookmarkStart w:id="152" w:name="_Toc226467509"/>
      <w:r w:rsidRPr="005A3F47">
        <w:rPr>
          <w:noProof/>
        </w:rPr>
        <w:t xml:space="preserve"> </w:t>
      </w:r>
      <w:r w:rsidR="002C2EBA" w:rsidRPr="005A3F47">
        <w:rPr>
          <w:noProof/>
        </w:rPr>
        <w:t>Economic impacts of policy options</w:t>
      </w:r>
      <w:bookmarkEnd w:id="149"/>
      <w:bookmarkEnd w:id="150"/>
      <w:bookmarkEnd w:id="151"/>
      <w:bookmarkEnd w:id="152"/>
    </w:p>
    <w:p w14:paraId="7FCF3BDD" w14:textId="09DA9A6C" w:rsidR="00F51871" w:rsidRPr="005A3F47" w:rsidRDefault="00E50205" w:rsidP="00F51871">
      <w:pPr>
        <w:rPr>
          <w:noProof/>
        </w:rPr>
      </w:pPr>
      <w:r w:rsidRPr="005A3F47">
        <w:rPr>
          <w:noProof/>
        </w:rPr>
        <w:t>The impacts of the policy options are assessed based on the material (monetary) and administrative impact for businesses, the EU and its Member States</w:t>
      </w:r>
      <w:r w:rsidR="001B7A21" w:rsidRPr="005A3F47">
        <w:rPr>
          <w:noProof/>
        </w:rPr>
        <w:t xml:space="preserve">, </w:t>
      </w:r>
      <w:r w:rsidRPr="005A3F47">
        <w:rPr>
          <w:noProof/>
        </w:rPr>
        <w:t>in addition to</w:t>
      </w:r>
      <w:r w:rsidR="00856A1E" w:rsidRPr="005A3F47">
        <w:rPr>
          <w:noProof/>
        </w:rPr>
        <w:t>,</w:t>
      </w:r>
      <w:r w:rsidR="001B7A21" w:rsidRPr="005A3F47">
        <w:rPr>
          <w:noProof/>
        </w:rPr>
        <w:t xml:space="preserve"> where possible</w:t>
      </w:r>
      <w:r w:rsidR="00856A1E" w:rsidRPr="005A3F47">
        <w:rPr>
          <w:noProof/>
        </w:rPr>
        <w:t xml:space="preserve">, </w:t>
      </w:r>
      <w:r w:rsidRPr="005A3F47">
        <w:rPr>
          <w:noProof/>
        </w:rPr>
        <w:t xml:space="preserve">macro-economic impacts. Several methods </w:t>
      </w:r>
      <w:r w:rsidR="00856A1E" w:rsidRPr="005A3F47">
        <w:rPr>
          <w:noProof/>
        </w:rPr>
        <w:t>were</w:t>
      </w:r>
      <w:r w:rsidRPr="005A3F47">
        <w:rPr>
          <w:noProof/>
        </w:rPr>
        <w:t xml:space="preserve"> used to analyse the impact</w:t>
      </w:r>
      <w:r w:rsidR="00E404EC" w:rsidRPr="005A3F47">
        <w:rPr>
          <w:noProof/>
        </w:rPr>
        <w:t xml:space="preserve"> </w:t>
      </w:r>
      <w:r w:rsidR="00CC1112" w:rsidRPr="005A3F47">
        <w:rPr>
          <w:noProof/>
        </w:rPr>
        <w:t xml:space="preserve">of the </w:t>
      </w:r>
      <w:r w:rsidR="00E404EC" w:rsidRPr="005A3F47">
        <w:rPr>
          <w:noProof/>
        </w:rPr>
        <w:t>different policy options</w:t>
      </w:r>
      <w:r w:rsidRPr="005A3F47">
        <w:rPr>
          <w:noProof/>
        </w:rPr>
        <w:t xml:space="preserve">, namely desk research, stakeholder feedback through </w:t>
      </w:r>
      <w:r w:rsidR="00E46B7D" w:rsidRPr="005A3F47">
        <w:rPr>
          <w:noProof/>
        </w:rPr>
        <w:t>a call for evidence</w:t>
      </w:r>
      <w:r w:rsidRPr="005A3F47">
        <w:rPr>
          <w:noProof/>
        </w:rPr>
        <w:t xml:space="preserve"> and </w:t>
      </w:r>
      <w:r w:rsidR="00087DA1" w:rsidRPr="005A3F47">
        <w:rPr>
          <w:noProof/>
        </w:rPr>
        <w:t xml:space="preserve">extensive </w:t>
      </w:r>
      <w:r w:rsidRPr="005A3F47">
        <w:rPr>
          <w:noProof/>
        </w:rPr>
        <w:t>individual</w:t>
      </w:r>
      <w:r w:rsidR="003174B9" w:rsidRPr="005A3F47">
        <w:rPr>
          <w:noProof/>
        </w:rPr>
        <w:t>/multilateral</w:t>
      </w:r>
      <w:r w:rsidRPr="005A3F47">
        <w:rPr>
          <w:noProof/>
        </w:rPr>
        <w:t xml:space="preserve"> meetings, discussions</w:t>
      </w:r>
      <w:r w:rsidR="00E46B7D" w:rsidRPr="005A3F47">
        <w:rPr>
          <w:noProof/>
        </w:rPr>
        <w:t xml:space="preserve"> with Member States</w:t>
      </w:r>
      <w:r w:rsidRPr="005A3F47">
        <w:rPr>
          <w:noProof/>
        </w:rPr>
        <w:t xml:space="preserve">, </w:t>
      </w:r>
      <w:r w:rsidR="003174B9" w:rsidRPr="005A3F47">
        <w:rPr>
          <w:noProof/>
        </w:rPr>
        <w:t xml:space="preserve">and </w:t>
      </w:r>
      <w:r w:rsidRPr="005A3F47">
        <w:rPr>
          <w:noProof/>
        </w:rPr>
        <w:t>own calculations</w:t>
      </w:r>
      <w:r w:rsidR="00E46B7D" w:rsidRPr="005A3F47">
        <w:rPr>
          <w:noProof/>
        </w:rPr>
        <w:t xml:space="preserve">. </w:t>
      </w:r>
      <w:r w:rsidR="002238A1" w:rsidRPr="005A3F47">
        <w:rPr>
          <w:noProof/>
        </w:rPr>
        <w:t>The specific methodology and analysis used will either be explained directly in this Chapter or</w:t>
      </w:r>
      <w:r w:rsidR="00B15BC8" w:rsidRPr="005A3F47">
        <w:rPr>
          <w:noProof/>
        </w:rPr>
        <w:t xml:space="preserve"> detailed in Annex 4.</w:t>
      </w:r>
      <w:r w:rsidR="002238A1" w:rsidRPr="005A3F47">
        <w:rPr>
          <w:noProof/>
        </w:rPr>
        <w:t xml:space="preserve"> Among others, t</w:t>
      </w:r>
      <w:r w:rsidR="00E46B7D" w:rsidRPr="005A3F47">
        <w:rPr>
          <w:noProof/>
        </w:rPr>
        <w:t>he analysis also uses</w:t>
      </w:r>
      <w:r w:rsidRPr="005A3F47">
        <w:rPr>
          <w:noProof/>
        </w:rPr>
        <w:t xml:space="preserve"> CORTAX computable general equilibrium (CGE) modelling, provided by the JRC, to assess macro-economic impacts. </w:t>
      </w:r>
    </w:p>
    <w:p w14:paraId="527EC804" w14:textId="2262E44C" w:rsidR="00F51871" w:rsidRPr="005A3F47" w:rsidRDefault="005379D0" w:rsidP="00F51871">
      <w:pPr>
        <w:rPr>
          <w:noProof/>
        </w:rPr>
      </w:pPr>
      <w:r w:rsidRPr="005A3F47">
        <w:rPr>
          <w:noProof/>
        </w:rPr>
        <w:t>In brief, t</w:t>
      </w:r>
      <w:r w:rsidR="00F51871" w:rsidRPr="005A3F47">
        <w:rPr>
          <w:noProof/>
        </w:rPr>
        <w:t xml:space="preserve">here are two types of data available, on the basis of which assessments of the policy options and related considerations are conducted: macro data derived from official statistics and </w:t>
      </w:r>
      <w:r w:rsidR="001321AA" w:rsidRPr="005A3F47">
        <w:rPr>
          <w:noProof/>
        </w:rPr>
        <w:t xml:space="preserve">a large database </w:t>
      </w:r>
      <w:r w:rsidR="00FF4F49" w:rsidRPr="005A3F47">
        <w:rPr>
          <w:noProof/>
        </w:rPr>
        <w:t>on individual companies (</w:t>
      </w:r>
      <w:r w:rsidR="00F51871" w:rsidRPr="005A3F47">
        <w:rPr>
          <w:noProof/>
        </w:rPr>
        <w:t>micro data</w:t>
      </w:r>
      <w:r w:rsidR="00FF4F49" w:rsidRPr="005A3F47">
        <w:rPr>
          <w:noProof/>
        </w:rPr>
        <w:t>)</w:t>
      </w:r>
      <w:r w:rsidR="00F51871" w:rsidRPr="005A3F47">
        <w:rPr>
          <w:noProof/>
        </w:rPr>
        <w:t xml:space="preserve">. </w:t>
      </w:r>
    </w:p>
    <w:p w14:paraId="563F5DE6" w14:textId="652F5650" w:rsidR="00156D73" w:rsidRPr="005A3F47" w:rsidRDefault="00F51871" w:rsidP="00F51871">
      <w:pPr>
        <w:rPr>
          <w:noProof/>
        </w:rPr>
      </w:pPr>
      <w:r w:rsidRPr="005A3F47">
        <w:rPr>
          <w:noProof/>
        </w:rPr>
        <w:t xml:space="preserve">However, </w:t>
      </w:r>
      <w:r w:rsidR="0023092A" w:rsidRPr="005A3F47">
        <w:rPr>
          <w:noProof/>
        </w:rPr>
        <w:t xml:space="preserve">the general scarcity of available data is </w:t>
      </w:r>
      <w:r w:rsidRPr="005A3F47">
        <w:rPr>
          <w:noProof/>
        </w:rPr>
        <w:t xml:space="preserve">a central problem </w:t>
      </w:r>
      <w:r w:rsidR="0023092A" w:rsidRPr="005A3F47">
        <w:rPr>
          <w:noProof/>
        </w:rPr>
        <w:t xml:space="preserve">that </w:t>
      </w:r>
      <w:r w:rsidR="002334CF" w:rsidRPr="005A3F47">
        <w:rPr>
          <w:noProof/>
        </w:rPr>
        <w:t>a</w:t>
      </w:r>
      <w:r w:rsidR="0023092A" w:rsidRPr="005A3F47">
        <w:rPr>
          <w:noProof/>
        </w:rPr>
        <w:t>ffects</w:t>
      </w:r>
      <w:r w:rsidR="00532538" w:rsidRPr="005A3F47">
        <w:rPr>
          <w:noProof/>
        </w:rPr>
        <w:t xml:space="preserve"> the ability to</w:t>
      </w:r>
      <w:r w:rsidRPr="005A3F47">
        <w:rPr>
          <w:noProof/>
        </w:rPr>
        <w:t xml:space="preserve"> accurately </w:t>
      </w:r>
      <w:r w:rsidR="00532538" w:rsidRPr="005A3F47">
        <w:rPr>
          <w:noProof/>
        </w:rPr>
        <w:t>assess</w:t>
      </w:r>
      <w:r w:rsidRPr="005A3F47">
        <w:rPr>
          <w:noProof/>
        </w:rPr>
        <w:t xml:space="preserve"> the impacts and revenues related to </w:t>
      </w:r>
      <w:r w:rsidR="0068697D" w:rsidRPr="005A3F47">
        <w:rPr>
          <w:noProof/>
        </w:rPr>
        <w:t xml:space="preserve">certain </w:t>
      </w:r>
      <w:r w:rsidRPr="005A3F47">
        <w:rPr>
          <w:noProof/>
        </w:rPr>
        <w:t xml:space="preserve">current policy options at a sufficiently granular level. This </w:t>
      </w:r>
      <w:r w:rsidR="006778E4" w:rsidRPr="005A3F47">
        <w:rPr>
          <w:noProof/>
        </w:rPr>
        <w:t xml:space="preserve">is demonstrated in the difficulties </w:t>
      </w:r>
      <w:r w:rsidRPr="005A3F47">
        <w:rPr>
          <w:noProof/>
        </w:rPr>
        <w:t xml:space="preserve">to identify companies’ specific </w:t>
      </w:r>
      <w:r w:rsidR="005B3226" w:rsidRPr="005A3F47">
        <w:rPr>
          <w:noProof/>
        </w:rPr>
        <w:t xml:space="preserve">financial </w:t>
      </w:r>
      <w:r w:rsidR="00D84118" w:rsidRPr="005A3F47">
        <w:rPr>
          <w:noProof/>
        </w:rPr>
        <w:t xml:space="preserve">and portfolio </w:t>
      </w:r>
      <w:r w:rsidRPr="005A3F47">
        <w:rPr>
          <w:noProof/>
        </w:rPr>
        <w:t>activities in a</w:t>
      </w:r>
      <w:r w:rsidR="00CD0E1F" w:rsidRPr="005A3F47">
        <w:rPr>
          <w:noProof/>
        </w:rPr>
        <w:t xml:space="preserve"> sufficiently</w:t>
      </w:r>
      <w:r w:rsidRPr="005A3F47">
        <w:rPr>
          <w:noProof/>
        </w:rPr>
        <w:t xml:space="preserve"> segmented way</w:t>
      </w:r>
      <w:r w:rsidR="0070156D" w:rsidRPr="005A3F47">
        <w:rPr>
          <w:noProof/>
        </w:rPr>
        <w:t xml:space="preserve"> </w:t>
      </w:r>
      <w:r w:rsidR="00241BB9" w:rsidRPr="005A3F47">
        <w:rPr>
          <w:noProof/>
        </w:rPr>
        <w:t>–</w:t>
      </w:r>
      <w:r w:rsidR="0070156D" w:rsidRPr="005A3F47">
        <w:rPr>
          <w:noProof/>
        </w:rPr>
        <w:t xml:space="preserve"> </w:t>
      </w:r>
      <w:r w:rsidR="00241BB9" w:rsidRPr="005A3F47">
        <w:rPr>
          <w:noProof/>
        </w:rPr>
        <w:t>a way that would all</w:t>
      </w:r>
      <w:r w:rsidR="00BF5259" w:rsidRPr="005A3F47">
        <w:rPr>
          <w:noProof/>
        </w:rPr>
        <w:t xml:space="preserve">ow to </w:t>
      </w:r>
      <w:r w:rsidR="005B3226" w:rsidRPr="005A3F47">
        <w:rPr>
          <w:noProof/>
        </w:rPr>
        <w:t xml:space="preserve">assess the </w:t>
      </w:r>
      <w:r w:rsidR="00D84118" w:rsidRPr="005A3F47">
        <w:rPr>
          <w:noProof/>
        </w:rPr>
        <w:t xml:space="preserve">various options under the </w:t>
      </w:r>
      <w:r w:rsidR="00A86243" w:rsidRPr="005A3F47">
        <w:rPr>
          <w:noProof/>
        </w:rPr>
        <w:t>I</w:t>
      </w:r>
      <w:r w:rsidR="0031484C" w:rsidRPr="005A3F47">
        <w:rPr>
          <w:noProof/>
        </w:rPr>
        <w:t xml:space="preserve">nterest </w:t>
      </w:r>
      <w:r w:rsidR="00A86243" w:rsidRPr="005A3F47">
        <w:rPr>
          <w:noProof/>
        </w:rPr>
        <w:t>L</w:t>
      </w:r>
      <w:r w:rsidR="0031484C" w:rsidRPr="005A3F47">
        <w:rPr>
          <w:noProof/>
        </w:rPr>
        <w:t xml:space="preserve">imitation </w:t>
      </w:r>
      <w:r w:rsidR="00A86243" w:rsidRPr="005A3F47">
        <w:rPr>
          <w:noProof/>
        </w:rPr>
        <w:t>R</w:t>
      </w:r>
      <w:r w:rsidR="0031484C" w:rsidRPr="005A3F47">
        <w:rPr>
          <w:noProof/>
        </w:rPr>
        <w:t>ule</w:t>
      </w:r>
      <w:r w:rsidR="00BF5259" w:rsidRPr="005A3F47">
        <w:rPr>
          <w:noProof/>
        </w:rPr>
        <w:t xml:space="preserve"> in more detail, </w:t>
      </w:r>
      <w:r w:rsidR="004D0E0B" w:rsidRPr="005A3F47">
        <w:rPr>
          <w:noProof/>
        </w:rPr>
        <w:t xml:space="preserve">or </w:t>
      </w:r>
      <w:r w:rsidR="005E44C9" w:rsidRPr="005A3F47">
        <w:rPr>
          <w:noProof/>
        </w:rPr>
        <w:t xml:space="preserve">to </w:t>
      </w:r>
      <w:r w:rsidR="007332D9" w:rsidRPr="005A3F47">
        <w:rPr>
          <w:noProof/>
        </w:rPr>
        <w:t xml:space="preserve">know </w:t>
      </w:r>
      <w:r w:rsidR="00D84118" w:rsidRPr="005A3F47">
        <w:rPr>
          <w:noProof/>
        </w:rPr>
        <w:t>the exact number of taxpayers subject to CFC rules</w:t>
      </w:r>
      <w:r w:rsidR="005E44C9" w:rsidRPr="005A3F47">
        <w:rPr>
          <w:noProof/>
        </w:rPr>
        <w:t>,</w:t>
      </w:r>
      <w:r w:rsidR="0057777C" w:rsidRPr="005A3F47">
        <w:rPr>
          <w:noProof/>
        </w:rPr>
        <w:t xml:space="preserve"> and how often the CFC rules are therefore applied</w:t>
      </w:r>
      <w:r w:rsidR="00B36350" w:rsidRPr="005A3F47">
        <w:rPr>
          <w:noProof/>
        </w:rPr>
        <w:t xml:space="preserve">. </w:t>
      </w:r>
      <w:r w:rsidR="004C5745" w:rsidRPr="005A3F47">
        <w:rPr>
          <w:noProof/>
        </w:rPr>
        <w:t>In absence of such granular data, t</w:t>
      </w:r>
      <w:r w:rsidR="00801D65" w:rsidRPr="005A3F47">
        <w:rPr>
          <w:noProof/>
        </w:rPr>
        <w:t>he impact of the exemption from CFC rules for certain companies</w:t>
      </w:r>
      <w:r w:rsidR="00B36350" w:rsidRPr="005A3F47">
        <w:rPr>
          <w:noProof/>
        </w:rPr>
        <w:t xml:space="preserve"> </w:t>
      </w:r>
      <w:r w:rsidR="004C5745" w:rsidRPr="005A3F47">
        <w:rPr>
          <w:noProof/>
        </w:rPr>
        <w:t>cannot</w:t>
      </w:r>
      <w:r w:rsidR="00B36350" w:rsidRPr="005A3F47">
        <w:rPr>
          <w:noProof/>
        </w:rPr>
        <w:t xml:space="preserve"> be </w:t>
      </w:r>
      <w:r w:rsidR="001E548F" w:rsidRPr="005A3F47">
        <w:rPr>
          <w:noProof/>
        </w:rPr>
        <w:t>estimated with greater precision</w:t>
      </w:r>
      <w:r w:rsidRPr="005A3F47">
        <w:rPr>
          <w:noProof/>
        </w:rPr>
        <w:t xml:space="preserve">. </w:t>
      </w:r>
    </w:p>
    <w:p w14:paraId="19E0CF90" w14:textId="47A4C6AF" w:rsidR="00AE5C33" w:rsidRPr="005A3F47" w:rsidRDefault="00156D73" w:rsidP="00F51871">
      <w:pPr>
        <w:rPr>
          <w:noProof/>
        </w:rPr>
      </w:pPr>
      <w:r w:rsidRPr="005A3F47">
        <w:rPr>
          <w:noProof/>
        </w:rPr>
        <w:t>More generally</w:t>
      </w:r>
      <w:r w:rsidR="00BD616D" w:rsidRPr="005A3F47">
        <w:rPr>
          <w:noProof/>
        </w:rPr>
        <w:t>, a</w:t>
      </w:r>
      <w:r w:rsidRPr="005A3F47">
        <w:rPr>
          <w:noProof/>
        </w:rPr>
        <w:t xml:space="preserve"> higher</w:t>
      </w:r>
      <w:r w:rsidR="00F51871" w:rsidRPr="005A3F47" w:rsidDel="00156D73">
        <w:rPr>
          <w:noProof/>
        </w:rPr>
        <w:t xml:space="preserve"> </w:t>
      </w:r>
      <w:r w:rsidR="00F51871" w:rsidRPr="005A3F47">
        <w:rPr>
          <w:noProof/>
        </w:rPr>
        <w:t>level of granularity would be needed to accurately quantify each problem and its related impacts.</w:t>
      </w:r>
      <w:r w:rsidR="00FA20A2" w:rsidRPr="005A3F47">
        <w:rPr>
          <w:noProof/>
        </w:rPr>
        <w:t xml:space="preserve"> S</w:t>
      </w:r>
      <w:r w:rsidR="00801D65" w:rsidRPr="005A3F47">
        <w:rPr>
          <w:noProof/>
        </w:rPr>
        <w:t>uch</w:t>
      </w:r>
      <w:r w:rsidR="00FA20A2" w:rsidRPr="005A3F47" w:rsidDel="00CA5035">
        <w:rPr>
          <w:noProof/>
        </w:rPr>
        <w:t xml:space="preserve"> </w:t>
      </w:r>
      <w:r w:rsidR="00801D65" w:rsidRPr="005A3F47">
        <w:rPr>
          <w:noProof/>
        </w:rPr>
        <w:t>data is</w:t>
      </w:r>
      <w:r w:rsidR="00FA20A2" w:rsidRPr="005A3F47">
        <w:rPr>
          <w:noProof/>
        </w:rPr>
        <w:t>, however,</w:t>
      </w:r>
      <w:r w:rsidR="00801D65" w:rsidRPr="005A3F47">
        <w:rPr>
          <w:noProof/>
        </w:rPr>
        <w:t xml:space="preserve"> available only at the</w:t>
      </w:r>
      <w:r w:rsidR="00CA5035" w:rsidRPr="005A3F47">
        <w:rPr>
          <w:noProof/>
        </w:rPr>
        <w:t xml:space="preserve"> </w:t>
      </w:r>
      <w:r w:rsidR="00801D65" w:rsidRPr="005A3F47">
        <w:rPr>
          <w:noProof/>
        </w:rPr>
        <w:t>taxpayer level</w:t>
      </w:r>
      <w:r w:rsidR="00297E92" w:rsidRPr="005A3F47">
        <w:rPr>
          <w:noProof/>
        </w:rPr>
        <w:t xml:space="preserve"> or, to a certain extent, in the hands of national tax administration</w:t>
      </w:r>
      <w:r w:rsidR="009E4464" w:rsidRPr="005A3F47">
        <w:rPr>
          <w:noProof/>
        </w:rPr>
        <w:t>s</w:t>
      </w:r>
      <w:r w:rsidR="00297E92" w:rsidRPr="005A3F47">
        <w:rPr>
          <w:noProof/>
        </w:rPr>
        <w:t>; given the proprietary and confidential nature of such data</w:t>
      </w:r>
      <w:r w:rsidR="00872512" w:rsidRPr="005A3F47">
        <w:rPr>
          <w:noProof/>
        </w:rPr>
        <w:t xml:space="preserve"> (e.g., to whom</w:t>
      </w:r>
      <w:r w:rsidR="005C68F7" w:rsidRPr="005A3F47">
        <w:rPr>
          <w:noProof/>
        </w:rPr>
        <w:t xml:space="preserve"> (how many companies)</w:t>
      </w:r>
      <w:r w:rsidR="00872512" w:rsidRPr="005A3F47">
        <w:rPr>
          <w:noProof/>
        </w:rPr>
        <w:t>, at what rate</w:t>
      </w:r>
      <w:r w:rsidR="005C68F7" w:rsidRPr="005A3F47">
        <w:rPr>
          <w:noProof/>
        </w:rPr>
        <w:t xml:space="preserve"> (in which jurisdiction)</w:t>
      </w:r>
      <w:r w:rsidR="00872512" w:rsidRPr="005A3F47">
        <w:rPr>
          <w:noProof/>
        </w:rPr>
        <w:t xml:space="preserve">, and how many times CFC is applied, or the interest on loans that companies </w:t>
      </w:r>
      <w:r w:rsidR="005C68F7" w:rsidRPr="005A3F47">
        <w:rPr>
          <w:noProof/>
        </w:rPr>
        <w:t xml:space="preserve">actually </w:t>
      </w:r>
      <w:r w:rsidR="00872512" w:rsidRPr="005A3F47">
        <w:rPr>
          <w:noProof/>
        </w:rPr>
        <w:t>face</w:t>
      </w:r>
      <w:r w:rsidR="005C68F7" w:rsidRPr="005A3F47">
        <w:rPr>
          <w:noProof/>
        </w:rPr>
        <w:t xml:space="preserve"> and size of these loans for the Interest Limitation Rule related analysis)</w:t>
      </w:r>
      <w:r w:rsidR="00297E92" w:rsidRPr="005A3F47">
        <w:rPr>
          <w:noProof/>
        </w:rPr>
        <w:t xml:space="preserve">, </w:t>
      </w:r>
      <w:r w:rsidR="00CA5035" w:rsidRPr="005A3F47">
        <w:rPr>
          <w:noProof/>
        </w:rPr>
        <w:t xml:space="preserve">it </w:t>
      </w:r>
      <w:r w:rsidR="00297E92" w:rsidRPr="005A3F47">
        <w:rPr>
          <w:noProof/>
        </w:rPr>
        <w:t>is not available</w:t>
      </w:r>
      <w:r w:rsidR="00C7650F" w:rsidRPr="005A3F47">
        <w:rPr>
          <w:noProof/>
        </w:rPr>
        <w:t xml:space="preserve"> to the Commission</w:t>
      </w:r>
      <w:r w:rsidR="00297E92" w:rsidRPr="005A3F47">
        <w:rPr>
          <w:noProof/>
        </w:rPr>
        <w:t xml:space="preserve">. </w:t>
      </w:r>
      <w:r w:rsidR="000E2555" w:rsidRPr="005A3F47">
        <w:rPr>
          <w:noProof/>
        </w:rPr>
        <w:t xml:space="preserve">The Commission has </w:t>
      </w:r>
      <w:r w:rsidR="00FA3011" w:rsidRPr="005A3F47">
        <w:rPr>
          <w:noProof/>
        </w:rPr>
        <w:t>thus</w:t>
      </w:r>
      <w:r w:rsidR="000E2555" w:rsidRPr="005A3F47">
        <w:rPr>
          <w:noProof/>
        </w:rPr>
        <w:t xml:space="preserve"> sought </w:t>
      </w:r>
      <w:r w:rsidR="003C5333" w:rsidRPr="005A3F47">
        <w:rPr>
          <w:noProof/>
        </w:rPr>
        <w:t xml:space="preserve">data </w:t>
      </w:r>
      <w:r w:rsidR="000E2555" w:rsidRPr="005A3F47">
        <w:rPr>
          <w:noProof/>
        </w:rPr>
        <w:t>input from certain companies</w:t>
      </w:r>
      <w:r w:rsidR="003C5333" w:rsidRPr="005A3F47">
        <w:rPr>
          <w:noProof/>
        </w:rPr>
        <w:t xml:space="preserve"> in order to </w:t>
      </w:r>
      <w:r w:rsidR="002B4FAB" w:rsidRPr="005A3F47">
        <w:rPr>
          <w:noProof/>
        </w:rPr>
        <w:t xml:space="preserve">conduct a </w:t>
      </w:r>
      <w:r w:rsidR="003C5333" w:rsidRPr="005A3F47">
        <w:rPr>
          <w:noProof/>
        </w:rPr>
        <w:t>reality</w:t>
      </w:r>
      <w:r w:rsidR="00CA5035" w:rsidRPr="005A3F47">
        <w:rPr>
          <w:noProof/>
        </w:rPr>
        <w:t>-</w:t>
      </w:r>
      <w:r w:rsidR="003C5333" w:rsidRPr="005A3F47">
        <w:rPr>
          <w:noProof/>
        </w:rPr>
        <w:t xml:space="preserve">check </w:t>
      </w:r>
      <w:r w:rsidR="002B4FAB" w:rsidRPr="005A3F47">
        <w:rPr>
          <w:noProof/>
        </w:rPr>
        <w:t xml:space="preserve">on </w:t>
      </w:r>
      <w:r w:rsidR="003C5333" w:rsidRPr="005A3F47">
        <w:rPr>
          <w:noProof/>
        </w:rPr>
        <w:t>certain assumptions</w:t>
      </w:r>
      <w:r w:rsidR="00F76607" w:rsidRPr="005A3F47">
        <w:rPr>
          <w:noProof/>
        </w:rPr>
        <w:t xml:space="preserve">, </w:t>
      </w:r>
      <w:r w:rsidR="002B4FAB" w:rsidRPr="005A3F47">
        <w:rPr>
          <w:noProof/>
        </w:rPr>
        <w:t xml:space="preserve">and in order </w:t>
      </w:r>
      <w:r w:rsidR="00F76607" w:rsidRPr="005A3F47">
        <w:rPr>
          <w:noProof/>
        </w:rPr>
        <w:t>to</w:t>
      </w:r>
      <w:r w:rsidR="003C5333" w:rsidRPr="005A3F47">
        <w:rPr>
          <w:noProof/>
        </w:rPr>
        <w:t xml:space="preserve"> extrapolate </w:t>
      </w:r>
      <w:r w:rsidR="00F76607" w:rsidRPr="005A3F47">
        <w:rPr>
          <w:noProof/>
        </w:rPr>
        <w:t xml:space="preserve">this information </w:t>
      </w:r>
      <w:r w:rsidR="009E6D83" w:rsidRPr="005A3F47">
        <w:rPr>
          <w:noProof/>
        </w:rPr>
        <w:t xml:space="preserve">to a broader taxpayer base </w:t>
      </w:r>
      <w:r w:rsidR="003C5333" w:rsidRPr="005A3F47">
        <w:rPr>
          <w:noProof/>
        </w:rPr>
        <w:t xml:space="preserve">where </w:t>
      </w:r>
      <w:r w:rsidR="009E6D83" w:rsidRPr="005A3F47">
        <w:rPr>
          <w:noProof/>
        </w:rPr>
        <w:t>possible.</w:t>
      </w:r>
      <w:r w:rsidR="008B7214" w:rsidRPr="005A3F47">
        <w:rPr>
          <w:noProof/>
        </w:rPr>
        <w:t xml:space="preserve"> But this </w:t>
      </w:r>
      <w:r w:rsidR="00AE5C33" w:rsidRPr="005A3F47">
        <w:rPr>
          <w:noProof/>
        </w:rPr>
        <w:t xml:space="preserve">approach </w:t>
      </w:r>
      <w:r w:rsidR="008B7214" w:rsidRPr="005A3F47">
        <w:rPr>
          <w:noProof/>
        </w:rPr>
        <w:t>has its limitations.</w:t>
      </w:r>
      <w:r w:rsidR="00CB313E" w:rsidRPr="005A3F47">
        <w:rPr>
          <w:noProof/>
        </w:rPr>
        <w:t xml:space="preserve"> All estimates provided in this chapter must</w:t>
      </w:r>
      <w:r w:rsidR="006D31A2" w:rsidRPr="005A3F47">
        <w:rPr>
          <w:noProof/>
        </w:rPr>
        <w:t>,</w:t>
      </w:r>
      <w:r w:rsidR="00CB313E" w:rsidRPr="005A3F47">
        <w:rPr>
          <w:noProof/>
        </w:rPr>
        <w:t xml:space="preserve"> therefore</w:t>
      </w:r>
      <w:r w:rsidR="006D31A2" w:rsidRPr="005A3F47">
        <w:rPr>
          <w:noProof/>
        </w:rPr>
        <w:t>,</w:t>
      </w:r>
      <w:r w:rsidR="00CB313E" w:rsidRPr="005A3F47">
        <w:rPr>
          <w:noProof/>
        </w:rPr>
        <w:t xml:space="preserve"> </w:t>
      </w:r>
      <w:r w:rsidR="00CB313E" w:rsidRPr="00B84E1E">
        <w:rPr>
          <w:noProof/>
        </w:rPr>
        <w:t xml:space="preserve">be </w:t>
      </w:r>
      <w:r w:rsidR="003043A0" w:rsidRPr="00B84E1E">
        <w:rPr>
          <w:noProof/>
        </w:rPr>
        <w:t>interpreted with due care.</w:t>
      </w:r>
      <w:r w:rsidR="002B4FAB" w:rsidRPr="00B84E1E">
        <w:rPr>
          <w:noProof/>
        </w:rPr>
        <w:t xml:space="preserve"> </w:t>
      </w:r>
      <w:r w:rsidR="001E26B0" w:rsidRPr="00B84E1E">
        <w:rPr>
          <w:noProof/>
        </w:rPr>
        <w:t>As stated</w:t>
      </w:r>
      <w:r w:rsidR="001E26B0" w:rsidRPr="005A3F47">
        <w:rPr>
          <w:noProof/>
        </w:rPr>
        <w:t>, d</w:t>
      </w:r>
      <w:r w:rsidR="002B4FAB" w:rsidRPr="005A3F47">
        <w:rPr>
          <w:noProof/>
        </w:rPr>
        <w:t xml:space="preserve">etails on the methodology used in various calculations </w:t>
      </w:r>
      <w:r w:rsidR="001E26B0" w:rsidRPr="005A3F47">
        <w:rPr>
          <w:noProof/>
        </w:rPr>
        <w:t>are</w:t>
      </w:r>
      <w:r w:rsidR="002B4FAB" w:rsidRPr="005A3F47">
        <w:rPr>
          <w:noProof/>
        </w:rPr>
        <w:t xml:space="preserve"> </w:t>
      </w:r>
      <w:r w:rsidR="001E26B0" w:rsidRPr="005A3F47">
        <w:rPr>
          <w:noProof/>
        </w:rPr>
        <w:t>further elaborated</w:t>
      </w:r>
      <w:r w:rsidR="002B4FAB" w:rsidRPr="005A3F47">
        <w:rPr>
          <w:noProof/>
        </w:rPr>
        <w:t xml:space="preserve"> in Annex 4. </w:t>
      </w:r>
      <w:r w:rsidR="001808F6" w:rsidRPr="00266412">
        <w:rPr>
          <w:noProof/>
        </w:rPr>
        <w:t>Section 6.3</w:t>
      </w:r>
      <w:r w:rsidR="00F422C7" w:rsidRPr="00266412">
        <w:rPr>
          <w:noProof/>
        </w:rPr>
        <w:t xml:space="preserve"> also</w:t>
      </w:r>
      <w:r w:rsidR="001808F6" w:rsidRPr="00266412">
        <w:rPr>
          <w:noProof/>
        </w:rPr>
        <w:t xml:space="preserve"> addresses the limits of quantifying </w:t>
      </w:r>
      <w:r w:rsidR="004720E4" w:rsidRPr="00266412">
        <w:rPr>
          <w:noProof/>
        </w:rPr>
        <w:t>the impact of</w:t>
      </w:r>
      <w:r w:rsidR="00010C50" w:rsidRPr="00266412">
        <w:rPr>
          <w:noProof/>
        </w:rPr>
        <w:t xml:space="preserve"> the measures on tax authorities.</w:t>
      </w:r>
    </w:p>
    <w:p w14:paraId="18D79175" w14:textId="4AA4A679" w:rsidR="00417D0D" w:rsidRPr="005A3F47" w:rsidRDefault="0072473E" w:rsidP="00600D21">
      <w:pPr>
        <w:pStyle w:val="Heading3"/>
        <w:numPr>
          <w:ilvl w:val="2"/>
          <w:numId w:val="185"/>
        </w:numPr>
        <w:rPr>
          <w:rFonts w:eastAsia="Aptos"/>
          <w:noProof/>
        </w:rPr>
      </w:pPr>
      <w:bookmarkStart w:id="153" w:name="_Ref226463240"/>
      <w:bookmarkStart w:id="154" w:name="_Toc226466830"/>
      <w:bookmarkStart w:id="155" w:name="_Toc226467191"/>
      <w:bookmarkStart w:id="156" w:name="_Toc226467291"/>
      <w:bookmarkStart w:id="157" w:name="_Toc226467510"/>
      <w:r w:rsidRPr="005A3F47">
        <w:rPr>
          <w:rFonts w:eastAsia="Aptos"/>
          <w:noProof/>
        </w:rPr>
        <w:t>Withholding t</w:t>
      </w:r>
      <w:r w:rsidR="00BA4448" w:rsidRPr="005A3F47">
        <w:rPr>
          <w:rFonts w:eastAsia="Aptos"/>
          <w:noProof/>
        </w:rPr>
        <w:t xml:space="preserve">ax exemption for </w:t>
      </w:r>
      <w:r w:rsidR="00AA5B51" w:rsidRPr="005A3F47">
        <w:rPr>
          <w:rFonts w:eastAsia="Aptos"/>
          <w:noProof/>
        </w:rPr>
        <w:t>payments of</w:t>
      </w:r>
      <w:r w:rsidR="00BA4448" w:rsidRPr="005A3F47">
        <w:rPr>
          <w:rFonts w:eastAsia="Aptos"/>
          <w:noProof/>
        </w:rPr>
        <w:t xml:space="preserve"> interest, royalt</w:t>
      </w:r>
      <w:r w:rsidR="008340F9" w:rsidRPr="005A3F47">
        <w:rPr>
          <w:rFonts w:eastAsia="Aptos"/>
          <w:noProof/>
        </w:rPr>
        <w:t>ies</w:t>
      </w:r>
      <w:r w:rsidR="00BA4448" w:rsidRPr="005A3F47">
        <w:rPr>
          <w:rFonts w:eastAsia="Aptos"/>
          <w:noProof/>
        </w:rPr>
        <w:t xml:space="preserve"> and dividend</w:t>
      </w:r>
      <w:r w:rsidR="00712398" w:rsidRPr="005A3F47">
        <w:rPr>
          <w:rFonts w:eastAsia="Aptos"/>
          <w:noProof/>
        </w:rPr>
        <w:t>s</w:t>
      </w:r>
      <w:bookmarkEnd w:id="153"/>
      <w:bookmarkEnd w:id="154"/>
      <w:bookmarkEnd w:id="155"/>
      <w:bookmarkEnd w:id="156"/>
      <w:bookmarkEnd w:id="157"/>
      <w:r w:rsidR="00BA4448" w:rsidRPr="005A3F47">
        <w:rPr>
          <w:rFonts w:eastAsia="Aptos"/>
          <w:noProof/>
        </w:rPr>
        <w:t xml:space="preserve"> </w:t>
      </w:r>
    </w:p>
    <w:p w14:paraId="37A67A87" w14:textId="3113305A" w:rsidR="0012238C" w:rsidRPr="00F44CB3" w:rsidRDefault="0012238C" w:rsidP="00DE6B6A">
      <w:pPr>
        <w:rPr>
          <w:noProof/>
        </w:rPr>
      </w:pPr>
      <w:r w:rsidRPr="00F44CB3">
        <w:rPr>
          <w:noProof/>
        </w:rPr>
        <w:t xml:space="preserve">More detailed information </w:t>
      </w:r>
      <w:r w:rsidR="00984149" w:rsidRPr="00F44CB3">
        <w:rPr>
          <w:noProof/>
        </w:rPr>
        <w:t xml:space="preserve">on the methodology used and analysis </w:t>
      </w:r>
      <w:r w:rsidR="00A3123E" w:rsidRPr="00F44CB3">
        <w:rPr>
          <w:noProof/>
        </w:rPr>
        <w:t>for the measures proposed in relation to withholding taxes</w:t>
      </w:r>
      <w:r w:rsidRPr="00F44CB3">
        <w:rPr>
          <w:noProof/>
        </w:rPr>
        <w:t xml:space="preserve"> can be found in Annex 4, Section 2</w:t>
      </w:r>
      <w:r w:rsidR="00A3123E" w:rsidRPr="00F44CB3">
        <w:rPr>
          <w:noProof/>
        </w:rPr>
        <w:t xml:space="preserve"> and Section 5.1</w:t>
      </w:r>
      <w:r w:rsidRPr="00F44CB3">
        <w:rPr>
          <w:noProof/>
        </w:rPr>
        <w:t>.</w:t>
      </w:r>
    </w:p>
    <w:p w14:paraId="55DBC634" w14:textId="48A36AA0" w:rsidR="005F060F" w:rsidRPr="005A3F47" w:rsidRDefault="005F060F" w:rsidP="00FE69BE">
      <w:pPr>
        <w:pStyle w:val="Heading4"/>
        <w:numPr>
          <w:ilvl w:val="3"/>
          <w:numId w:val="185"/>
        </w:numPr>
        <w:rPr>
          <w:noProof/>
        </w:rPr>
      </w:pPr>
      <w:bookmarkStart w:id="158" w:name="_Ref226464155"/>
      <w:r w:rsidRPr="005A3F47">
        <w:rPr>
          <w:noProof/>
        </w:rPr>
        <w:t xml:space="preserve">Option </w:t>
      </w:r>
      <w:r w:rsidR="009A5D7E" w:rsidRPr="005A3F47">
        <w:rPr>
          <w:noProof/>
        </w:rPr>
        <w:t>1</w:t>
      </w:r>
      <w:r w:rsidRPr="005A3F47">
        <w:rPr>
          <w:noProof/>
        </w:rPr>
        <w:t xml:space="preserve">A: </w:t>
      </w:r>
      <w:r w:rsidR="003A2131" w:rsidRPr="005A3F47">
        <w:rPr>
          <w:noProof/>
        </w:rPr>
        <w:t>Full exemption</w:t>
      </w:r>
      <w:r w:rsidR="00B678DA" w:rsidRPr="005A3F47">
        <w:rPr>
          <w:noProof/>
        </w:rPr>
        <w:t xml:space="preserve"> </w:t>
      </w:r>
      <w:r w:rsidR="00290DC5" w:rsidRPr="005A3F47">
        <w:rPr>
          <w:noProof/>
        </w:rPr>
        <w:t xml:space="preserve">from withholding tax </w:t>
      </w:r>
      <w:r w:rsidR="00F63FBF" w:rsidRPr="005A3F47">
        <w:rPr>
          <w:noProof/>
        </w:rPr>
        <w:t>accompanied by procedural adjustments</w:t>
      </w:r>
      <w:bookmarkEnd w:id="158"/>
    </w:p>
    <w:p w14:paraId="1A74E37E" w14:textId="34700BDF" w:rsidR="009E71EC" w:rsidRPr="005A3F47" w:rsidRDefault="007C65F9" w:rsidP="008A3406">
      <w:pPr>
        <w:pStyle w:val="Text2"/>
        <w:spacing w:before="240" w:after="120"/>
        <w:ind w:left="0"/>
        <w:rPr>
          <w:i/>
          <w:iCs/>
          <w:noProof/>
        </w:rPr>
      </w:pPr>
      <w:r w:rsidRPr="005A3F47">
        <w:rPr>
          <w:i/>
          <w:noProof/>
        </w:rPr>
        <w:t>Impact on companies</w:t>
      </w:r>
    </w:p>
    <w:p w14:paraId="57B0C062" w14:textId="05EC0A0F" w:rsidR="005F0398" w:rsidRPr="005A3F47" w:rsidRDefault="005F0398" w:rsidP="005F0398">
      <w:pPr>
        <w:pStyle w:val="Text2"/>
        <w:ind w:left="0"/>
        <w:rPr>
          <w:noProof/>
        </w:rPr>
      </w:pPr>
      <w:r w:rsidRPr="005A3F47">
        <w:rPr>
          <w:noProof/>
        </w:rPr>
        <w:t xml:space="preserve">In a first instance, the impact of the measure has been assessed from a micro-economic point of view, taking into account both the direct compliance and administrative cost for corporate taxpayers themselves, as well as the indirect impact in terms of opportunity costs and effects of foregone tax payments. </w:t>
      </w:r>
      <w:r w:rsidR="00D14C32" w:rsidRPr="005A3F47">
        <w:rPr>
          <w:noProof/>
        </w:rPr>
        <w:t xml:space="preserve">Section 2 of </w:t>
      </w:r>
      <w:r w:rsidR="00FD4027" w:rsidRPr="005A3F47">
        <w:rPr>
          <w:noProof/>
        </w:rPr>
        <w:t xml:space="preserve">Annex 4 </w:t>
      </w:r>
      <w:r w:rsidR="00C35EE8" w:rsidRPr="005A3F47">
        <w:rPr>
          <w:noProof/>
        </w:rPr>
        <w:t xml:space="preserve">provides an overview in different steps of the methodology used </w:t>
      </w:r>
      <w:r w:rsidR="00D14C32" w:rsidRPr="005A3F47">
        <w:rPr>
          <w:noProof/>
        </w:rPr>
        <w:t>to calculate this</w:t>
      </w:r>
      <w:r w:rsidR="00FD4027" w:rsidRPr="005A3F47">
        <w:rPr>
          <w:rStyle w:val="FootnoteReference"/>
          <w:noProof/>
        </w:rPr>
        <w:footnoteReference w:id="82"/>
      </w:r>
      <w:r w:rsidR="00FD4027" w:rsidRPr="005A3F47">
        <w:rPr>
          <w:noProof/>
        </w:rPr>
        <w:t>.</w:t>
      </w:r>
    </w:p>
    <w:p w14:paraId="59381719" w14:textId="0C0F7093" w:rsidR="00866A32" w:rsidRPr="005A3F47" w:rsidRDefault="004C69CC" w:rsidP="00FA5980">
      <w:pPr>
        <w:pStyle w:val="Text2"/>
        <w:ind w:left="0"/>
        <w:rPr>
          <w:noProof/>
        </w:rPr>
      </w:pPr>
      <w:r w:rsidRPr="005A3F47">
        <w:rPr>
          <w:noProof/>
        </w:rPr>
        <w:t>In brief, o</w:t>
      </w:r>
      <w:r w:rsidR="00331202" w:rsidRPr="005A3F47">
        <w:rPr>
          <w:noProof/>
        </w:rPr>
        <w:t xml:space="preserve">ne of the </w:t>
      </w:r>
      <w:r w:rsidR="00A2106F" w:rsidRPr="005A3F47">
        <w:rPr>
          <w:noProof/>
        </w:rPr>
        <w:t xml:space="preserve">specific </w:t>
      </w:r>
      <w:r w:rsidR="00331202" w:rsidRPr="005A3F47">
        <w:rPr>
          <w:noProof/>
        </w:rPr>
        <w:t xml:space="preserve">objectives of the </w:t>
      </w:r>
      <w:r w:rsidR="213DF868" w:rsidRPr="005A3F47">
        <w:rPr>
          <w:noProof/>
        </w:rPr>
        <w:t>O</w:t>
      </w:r>
      <w:r w:rsidR="00D42567" w:rsidRPr="005A3F47">
        <w:rPr>
          <w:noProof/>
        </w:rPr>
        <w:t xml:space="preserve">mnibus </w:t>
      </w:r>
      <w:r w:rsidR="4A1C67F5" w:rsidRPr="005A3F47">
        <w:rPr>
          <w:noProof/>
        </w:rPr>
        <w:t>on Taxation</w:t>
      </w:r>
      <w:r w:rsidR="00331202" w:rsidRPr="005A3F47">
        <w:rPr>
          <w:noProof/>
        </w:rPr>
        <w:t xml:space="preserve"> is to </w:t>
      </w:r>
      <w:r w:rsidR="001C2C0C" w:rsidRPr="005A3F47">
        <w:rPr>
          <w:noProof/>
        </w:rPr>
        <w:t xml:space="preserve">eliminate unnecessary </w:t>
      </w:r>
      <w:r w:rsidR="00A2106F" w:rsidRPr="005A3F47">
        <w:rPr>
          <w:noProof/>
        </w:rPr>
        <w:t xml:space="preserve">EU tax </w:t>
      </w:r>
      <w:r w:rsidR="00563D86" w:rsidRPr="005A3F47">
        <w:rPr>
          <w:noProof/>
        </w:rPr>
        <w:t xml:space="preserve">compliance </w:t>
      </w:r>
      <w:r w:rsidR="00A2106F" w:rsidRPr="005A3F47">
        <w:rPr>
          <w:noProof/>
        </w:rPr>
        <w:t>burdens</w:t>
      </w:r>
      <w:r w:rsidR="00563D86" w:rsidRPr="005A3F47">
        <w:rPr>
          <w:noProof/>
        </w:rPr>
        <w:t xml:space="preserve">. </w:t>
      </w:r>
      <w:r w:rsidR="001B1151" w:rsidRPr="005A3F47">
        <w:rPr>
          <w:noProof/>
        </w:rPr>
        <w:t xml:space="preserve">To estimate the potential impact of this in relation to interest, royalties and dividend flows in the EU, Annex 4 first </w:t>
      </w:r>
      <w:r w:rsidR="00E84769" w:rsidRPr="005A3F47">
        <w:rPr>
          <w:noProof/>
        </w:rPr>
        <w:t xml:space="preserve">describes the cost characteristics, before estimating the </w:t>
      </w:r>
      <w:r w:rsidR="003D7898" w:rsidRPr="005A3F47">
        <w:rPr>
          <w:noProof/>
        </w:rPr>
        <w:t>importance of the respective flows.</w:t>
      </w:r>
      <w:r w:rsidR="00702596" w:rsidRPr="005A3F47">
        <w:rPr>
          <w:noProof/>
        </w:rPr>
        <w:t xml:space="preserve"> Next, the </w:t>
      </w:r>
      <w:r w:rsidR="00A70504" w:rsidRPr="005A3F47">
        <w:rPr>
          <w:noProof/>
        </w:rPr>
        <w:t>tax relief at stake</w:t>
      </w:r>
      <w:r w:rsidR="00D34D69" w:rsidRPr="005A3F47">
        <w:rPr>
          <w:noProof/>
        </w:rPr>
        <w:t xml:space="preserve"> and </w:t>
      </w:r>
      <w:r w:rsidR="00184964" w:rsidRPr="005A3F47">
        <w:rPr>
          <w:noProof/>
        </w:rPr>
        <w:t xml:space="preserve">potential cost reduction from the measure is </w:t>
      </w:r>
      <w:r w:rsidR="005B502C" w:rsidRPr="005A3F47">
        <w:rPr>
          <w:noProof/>
        </w:rPr>
        <w:t>calculated:</w:t>
      </w:r>
      <w:r w:rsidR="003D7898" w:rsidRPr="005A3F47">
        <w:rPr>
          <w:noProof/>
        </w:rPr>
        <w:t xml:space="preserve"> </w:t>
      </w:r>
      <w:r w:rsidR="00EF456D" w:rsidRPr="005A3F47">
        <w:rPr>
          <w:noProof/>
        </w:rPr>
        <w:t xml:space="preserve">in </w:t>
      </w:r>
      <w:r w:rsidR="006723F5" w:rsidRPr="005A3F47">
        <w:rPr>
          <w:noProof/>
        </w:rPr>
        <w:t xml:space="preserve">doing so, </w:t>
      </w:r>
      <w:r w:rsidR="005B502C" w:rsidRPr="005A3F47">
        <w:rPr>
          <w:noProof/>
        </w:rPr>
        <w:t>the analysis</w:t>
      </w:r>
      <w:r w:rsidR="00563D86" w:rsidRPr="005A3F47">
        <w:rPr>
          <w:noProof/>
        </w:rPr>
        <w:t xml:space="preserve"> </w:t>
      </w:r>
      <w:r w:rsidR="006D01D1" w:rsidRPr="005A3F47">
        <w:rPr>
          <w:noProof/>
        </w:rPr>
        <w:t>estimate</w:t>
      </w:r>
      <w:r w:rsidR="005B502C" w:rsidRPr="005A3F47">
        <w:rPr>
          <w:noProof/>
        </w:rPr>
        <w:t>s</w:t>
      </w:r>
      <w:r w:rsidR="006D01D1" w:rsidRPr="005A3F47">
        <w:rPr>
          <w:noProof/>
        </w:rPr>
        <w:t xml:space="preserve"> </w:t>
      </w:r>
      <w:r w:rsidR="00563D86" w:rsidRPr="005A3F47">
        <w:rPr>
          <w:noProof/>
        </w:rPr>
        <w:t xml:space="preserve">that the direct cost relief </w:t>
      </w:r>
      <w:r w:rsidR="00640552" w:rsidRPr="005A3F47">
        <w:rPr>
          <w:noProof/>
        </w:rPr>
        <w:t>from a full exemption on interest</w:t>
      </w:r>
      <w:r w:rsidR="00E24947" w:rsidRPr="005A3F47">
        <w:rPr>
          <w:noProof/>
        </w:rPr>
        <w:t>, royalties</w:t>
      </w:r>
      <w:r w:rsidR="00640552" w:rsidRPr="005A3F47">
        <w:rPr>
          <w:noProof/>
        </w:rPr>
        <w:t xml:space="preserve"> and dividends </w:t>
      </w:r>
      <w:r w:rsidR="00E24947" w:rsidRPr="005A3F47">
        <w:rPr>
          <w:noProof/>
        </w:rPr>
        <w:t xml:space="preserve">would amount to annual savings of </w:t>
      </w:r>
      <w:r w:rsidR="00991CF6" w:rsidRPr="005A3F47">
        <w:rPr>
          <w:noProof/>
        </w:rPr>
        <w:t>approximately</w:t>
      </w:r>
      <w:r w:rsidR="004B6714" w:rsidRPr="005A3F47">
        <w:rPr>
          <w:noProof/>
        </w:rPr>
        <w:t xml:space="preserve"> EUR </w:t>
      </w:r>
      <w:r w:rsidR="00B31683" w:rsidRPr="005A3F47">
        <w:rPr>
          <w:noProof/>
        </w:rPr>
        <w:t>0.</w:t>
      </w:r>
      <w:r w:rsidR="00BF4572" w:rsidRPr="005A3F47">
        <w:rPr>
          <w:noProof/>
        </w:rPr>
        <w:t>7</w:t>
      </w:r>
      <w:r w:rsidR="00B31683" w:rsidRPr="005A3F47">
        <w:rPr>
          <w:noProof/>
        </w:rPr>
        <w:t xml:space="preserve"> billion</w:t>
      </w:r>
      <w:r w:rsidR="004B6714" w:rsidRPr="005A3F47">
        <w:rPr>
          <w:noProof/>
        </w:rPr>
        <w:t xml:space="preserve">. This stems from the </w:t>
      </w:r>
      <w:r w:rsidR="00B94496" w:rsidRPr="005A3F47">
        <w:rPr>
          <w:noProof/>
        </w:rPr>
        <w:t xml:space="preserve">direct </w:t>
      </w:r>
      <w:r w:rsidR="00613A79" w:rsidRPr="005A3F47">
        <w:rPr>
          <w:noProof/>
        </w:rPr>
        <w:t xml:space="preserve">compliance </w:t>
      </w:r>
      <w:r w:rsidR="00B94496" w:rsidRPr="005A3F47">
        <w:rPr>
          <w:noProof/>
        </w:rPr>
        <w:t xml:space="preserve">cost savings </w:t>
      </w:r>
      <w:r w:rsidR="00613A79" w:rsidRPr="005A3F47">
        <w:rPr>
          <w:noProof/>
        </w:rPr>
        <w:t xml:space="preserve">as </w:t>
      </w:r>
      <w:r w:rsidR="00FB7259" w:rsidRPr="005A3F47">
        <w:rPr>
          <w:noProof/>
        </w:rPr>
        <w:t>businesses</w:t>
      </w:r>
      <w:r w:rsidR="00613A79" w:rsidRPr="005A3F47">
        <w:rPr>
          <w:noProof/>
        </w:rPr>
        <w:t xml:space="preserve"> </w:t>
      </w:r>
      <w:r w:rsidR="009A25DD" w:rsidRPr="005A3F47">
        <w:rPr>
          <w:noProof/>
        </w:rPr>
        <w:t xml:space="preserve">would no longer engage in complex </w:t>
      </w:r>
      <w:r w:rsidR="00122673" w:rsidRPr="005A3F47">
        <w:rPr>
          <w:noProof/>
        </w:rPr>
        <w:t>refund procedures</w:t>
      </w:r>
      <w:r w:rsidR="002940FA" w:rsidRPr="005A3F47">
        <w:rPr>
          <w:noProof/>
        </w:rPr>
        <w:t>.</w:t>
      </w:r>
      <w:r w:rsidR="004B6714" w:rsidRPr="005A3F47">
        <w:rPr>
          <w:noProof/>
        </w:rPr>
        <w:t xml:space="preserve"> </w:t>
      </w:r>
      <w:r w:rsidR="006D67DF" w:rsidRPr="005A3F47">
        <w:rPr>
          <w:noProof/>
        </w:rPr>
        <w:t>Moreover, under the current WHT system</w:t>
      </w:r>
      <w:r w:rsidR="00B61395" w:rsidRPr="005A3F47">
        <w:rPr>
          <w:noProof/>
        </w:rPr>
        <w:t>,</w:t>
      </w:r>
      <w:r w:rsidR="006D67DF" w:rsidRPr="005A3F47">
        <w:rPr>
          <w:noProof/>
        </w:rPr>
        <w:t xml:space="preserve"> investors incur</w:t>
      </w:r>
      <w:r w:rsidR="00B61395" w:rsidRPr="005A3F47">
        <w:rPr>
          <w:noProof/>
        </w:rPr>
        <w:t xml:space="preserve"> opportunity costs </w:t>
      </w:r>
      <w:r w:rsidR="0077268D" w:rsidRPr="005A3F47">
        <w:rPr>
          <w:noProof/>
        </w:rPr>
        <w:t>because</w:t>
      </w:r>
      <w:r w:rsidR="00395764" w:rsidRPr="005A3F47">
        <w:rPr>
          <w:noProof/>
        </w:rPr>
        <w:t xml:space="preserve"> </w:t>
      </w:r>
      <w:r w:rsidR="003E7740" w:rsidRPr="005A3F47">
        <w:rPr>
          <w:noProof/>
        </w:rPr>
        <w:t xml:space="preserve">long procedures </w:t>
      </w:r>
      <w:r w:rsidR="007366BC" w:rsidRPr="005A3F47">
        <w:rPr>
          <w:noProof/>
        </w:rPr>
        <w:t xml:space="preserve">delay the refund of </w:t>
      </w:r>
      <w:r w:rsidR="00A96BBE" w:rsidRPr="005A3F47">
        <w:rPr>
          <w:noProof/>
        </w:rPr>
        <w:t>withholding taxes</w:t>
      </w:r>
      <w:r w:rsidR="00BE1695" w:rsidRPr="005A3F47">
        <w:rPr>
          <w:noProof/>
        </w:rPr>
        <w:t xml:space="preserve"> – money that could have otherwise been invested in the interim</w:t>
      </w:r>
      <w:r w:rsidR="00A96BBE" w:rsidRPr="005A3F47">
        <w:rPr>
          <w:noProof/>
        </w:rPr>
        <w:t xml:space="preserve">. </w:t>
      </w:r>
      <w:r w:rsidR="00BE1695" w:rsidRPr="005A3F47">
        <w:rPr>
          <w:noProof/>
        </w:rPr>
        <w:t xml:space="preserve">Introducing a full exemption from </w:t>
      </w:r>
      <w:r w:rsidR="00920750" w:rsidRPr="005A3F47">
        <w:rPr>
          <w:noProof/>
        </w:rPr>
        <w:t>WHT would correspond to important opportunity cost</w:t>
      </w:r>
      <w:r w:rsidR="00BE1695" w:rsidRPr="005A3F47">
        <w:rPr>
          <w:noProof/>
        </w:rPr>
        <w:t xml:space="preserve"> </w:t>
      </w:r>
      <w:r w:rsidR="00761728" w:rsidRPr="005A3F47">
        <w:rPr>
          <w:noProof/>
        </w:rPr>
        <w:t>relief</w:t>
      </w:r>
      <w:r w:rsidR="00920750" w:rsidRPr="005A3F47">
        <w:rPr>
          <w:noProof/>
        </w:rPr>
        <w:t>, leading</w:t>
      </w:r>
      <w:r w:rsidR="006D01D1" w:rsidRPr="005A3F47">
        <w:rPr>
          <w:noProof/>
        </w:rPr>
        <w:t xml:space="preserve"> to </w:t>
      </w:r>
      <w:r w:rsidR="00D93088" w:rsidRPr="005A3F47">
        <w:rPr>
          <w:noProof/>
        </w:rPr>
        <w:t xml:space="preserve">an </w:t>
      </w:r>
      <w:r w:rsidR="008639C0" w:rsidRPr="005A3F47">
        <w:rPr>
          <w:noProof/>
        </w:rPr>
        <w:t xml:space="preserve">estimated </w:t>
      </w:r>
      <w:r w:rsidR="00581926" w:rsidRPr="005A3F47">
        <w:rPr>
          <w:noProof/>
        </w:rPr>
        <w:t xml:space="preserve">additional </w:t>
      </w:r>
      <w:r w:rsidR="00967543" w:rsidRPr="005A3F47">
        <w:rPr>
          <w:noProof/>
        </w:rPr>
        <w:t>savings</w:t>
      </w:r>
      <w:r w:rsidR="00D93088" w:rsidRPr="005A3F47">
        <w:rPr>
          <w:noProof/>
        </w:rPr>
        <w:t xml:space="preserve"> </w:t>
      </w:r>
      <w:r w:rsidR="00967543" w:rsidRPr="005A3F47">
        <w:rPr>
          <w:noProof/>
        </w:rPr>
        <w:t xml:space="preserve">of </w:t>
      </w:r>
      <w:r w:rsidR="00D93088" w:rsidRPr="005A3F47">
        <w:rPr>
          <w:noProof/>
        </w:rPr>
        <w:t>approximately</w:t>
      </w:r>
      <w:r w:rsidR="00967543" w:rsidRPr="005A3F47">
        <w:rPr>
          <w:noProof/>
        </w:rPr>
        <w:t xml:space="preserve"> </w:t>
      </w:r>
      <w:r w:rsidR="003A1C35" w:rsidRPr="005A3F47">
        <w:rPr>
          <w:noProof/>
        </w:rPr>
        <w:t xml:space="preserve">EUR </w:t>
      </w:r>
      <w:r w:rsidR="00B31683" w:rsidRPr="005A3F47">
        <w:rPr>
          <w:noProof/>
        </w:rPr>
        <w:t>0.</w:t>
      </w:r>
      <w:r w:rsidR="00BF4572" w:rsidRPr="005A3F47">
        <w:rPr>
          <w:noProof/>
        </w:rPr>
        <w:t>7</w:t>
      </w:r>
      <w:r w:rsidR="00B31683" w:rsidRPr="005A3F47">
        <w:rPr>
          <w:noProof/>
        </w:rPr>
        <w:t xml:space="preserve"> billi</w:t>
      </w:r>
      <w:r w:rsidR="00E12B01" w:rsidRPr="005A3F47">
        <w:rPr>
          <w:noProof/>
        </w:rPr>
        <w:t xml:space="preserve">on </w:t>
      </w:r>
      <w:r w:rsidR="00581926" w:rsidRPr="005A3F47">
        <w:rPr>
          <w:noProof/>
        </w:rPr>
        <w:t xml:space="preserve">per year </w:t>
      </w:r>
      <w:r w:rsidR="00E12B01" w:rsidRPr="005A3F47">
        <w:rPr>
          <w:noProof/>
        </w:rPr>
        <w:t xml:space="preserve">for taxpayers. </w:t>
      </w:r>
    </w:p>
    <w:p w14:paraId="0211CFA9" w14:textId="6E84782E" w:rsidR="001447E9" w:rsidRPr="005A3F47" w:rsidRDefault="00E12B01" w:rsidP="00FA5980">
      <w:pPr>
        <w:pStyle w:val="Text2"/>
        <w:ind w:left="0"/>
        <w:rPr>
          <w:noProof/>
        </w:rPr>
      </w:pPr>
      <w:r w:rsidRPr="005A3F47">
        <w:rPr>
          <w:noProof/>
        </w:rPr>
        <w:t xml:space="preserve">Lastly, </w:t>
      </w:r>
      <w:r w:rsidR="006A0EF8" w:rsidRPr="005A3F47">
        <w:rPr>
          <w:noProof/>
        </w:rPr>
        <w:t xml:space="preserve">stakeholder feedback has confirmed that the complexity </w:t>
      </w:r>
      <w:r w:rsidR="008073D0" w:rsidRPr="005A3F47">
        <w:rPr>
          <w:noProof/>
        </w:rPr>
        <w:t xml:space="preserve">associated with seeking </w:t>
      </w:r>
      <w:r w:rsidR="00B3034E" w:rsidRPr="005A3F47">
        <w:rPr>
          <w:noProof/>
        </w:rPr>
        <w:t>refunds for</w:t>
      </w:r>
      <w:r w:rsidR="006A0EF8" w:rsidRPr="005A3F47">
        <w:rPr>
          <w:noProof/>
        </w:rPr>
        <w:t xml:space="preserve"> withholding tax means that taxpayers </w:t>
      </w:r>
      <w:r w:rsidR="001A1C20" w:rsidRPr="005A3F47">
        <w:rPr>
          <w:noProof/>
        </w:rPr>
        <w:t xml:space="preserve">often </w:t>
      </w:r>
      <w:r w:rsidR="00A86CFF" w:rsidRPr="005A3F47">
        <w:rPr>
          <w:noProof/>
        </w:rPr>
        <w:t xml:space="preserve">do not </w:t>
      </w:r>
      <w:r w:rsidR="001A1C20" w:rsidRPr="005A3F47">
        <w:rPr>
          <w:noProof/>
        </w:rPr>
        <w:t>engage in these procedures,</w:t>
      </w:r>
      <w:r w:rsidR="006A0EF8" w:rsidRPr="005A3F47">
        <w:rPr>
          <w:noProof/>
        </w:rPr>
        <w:t xml:space="preserve"> even in instances in which they are entitled; this is </w:t>
      </w:r>
      <w:r w:rsidR="00A86CFF" w:rsidRPr="005A3F47">
        <w:rPr>
          <w:noProof/>
        </w:rPr>
        <w:t>referred to</w:t>
      </w:r>
      <w:r w:rsidR="001E7005" w:rsidRPr="005A3F47">
        <w:rPr>
          <w:noProof/>
        </w:rPr>
        <w:t xml:space="preserve"> a</w:t>
      </w:r>
      <w:r w:rsidR="00A86CFF" w:rsidRPr="005A3F47">
        <w:rPr>
          <w:noProof/>
        </w:rPr>
        <w:t>s</w:t>
      </w:r>
      <w:r w:rsidR="00CE6B05" w:rsidRPr="005A3F47">
        <w:rPr>
          <w:noProof/>
        </w:rPr>
        <w:t xml:space="preserve"> </w:t>
      </w:r>
      <w:r w:rsidR="006A0EF8" w:rsidRPr="005A3F47">
        <w:rPr>
          <w:noProof/>
        </w:rPr>
        <w:t>foregone tax</w:t>
      </w:r>
      <w:r w:rsidR="003C6564" w:rsidRPr="005A3F47">
        <w:rPr>
          <w:noProof/>
        </w:rPr>
        <w:t xml:space="preserve"> relief</w:t>
      </w:r>
      <w:r w:rsidR="00526F0D" w:rsidRPr="005A3F47">
        <w:rPr>
          <w:noProof/>
        </w:rPr>
        <w:t xml:space="preserve"> that would </w:t>
      </w:r>
      <w:r w:rsidR="00E240F5" w:rsidRPr="005A3F47">
        <w:rPr>
          <w:noProof/>
        </w:rPr>
        <w:t xml:space="preserve">also </w:t>
      </w:r>
      <w:r w:rsidR="00526F0D" w:rsidRPr="005A3F47">
        <w:rPr>
          <w:noProof/>
        </w:rPr>
        <w:t xml:space="preserve">no longer </w:t>
      </w:r>
      <w:r w:rsidR="00E240F5" w:rsidRPr="005A3F47">
        <w:rPr>
          <w:noProof/>
        </w:rPr>
        <w:t>be incurred</w:t>
      </w:r>
      <w:r w:rsidR="0067022C" w:rsidRPr="005A3F47">
        <w:rPr>
          <w:noProof/>
        </w:rPr>
        <w:t xml:space="preserve">. </w:t>
      </w:r>
      <w:r w:rsidR="006E488B" w:rsidRPr="005A3F47">
        <w:rPr>
          <w:noProof/>
        </w:rPr>
        <w:t xml:space="preserve">Introducing the exemption would correspond to additional </w:t>
      </w:r>
      <w:r w:rsidR="00DA5B87" w:rsidRPr="005A3F47">
        <w:rPr>
          <w:noProof/>
        </w:rPr>
        <w:t>estimated</w:t>
      </w:r>
      <w:r w:rsidR="00B31683" w:rsidRPr="005A3F47">
        <w:rPr>
          <w:noProof/>
        </w:rPr>
        <w:t xml:space="preserve"> </w:t>
      </w:r>
      <w:r w:rsidR="006E488B" w:rsidRPr="005A3F47">
        <w:rPr>
          <w:noProof/>
        </w:rPr>
        <w:t xml:space="preserve">savings of about </w:t>
      </w:r>
      <w:r w:rsidR="00B31683" w:rsidRPr="005A3F47">
        <w:rPr>
          <w:noProof/>
        </w:rPr>
        <w:t xml:space="preserve">EUR </w:t>
      </w:r>
      <w:r w:rsidR="00E975FC" w:rsidRPr="005A3F47">
        <w:rPr>
          <w:noProof/>
        </w:rPr>
        <w:t>3.8</w:t>
      </w:r>
      <w:r w:rsidR="00B31683" w:rsidRPr="005A3F47">
        <w:rPr>
          <w:noProof/>
        </w:rPr>
        <w:t xml:space="preserve"> billi</w:t>
      </w:r>
      <w:r w:rsidR="0022605E" w:rsidRPr="005A3F47">
        <w:rPr>
          <w:noProof/>
        </w:rPr>
        <w:t>o</w:t>
      </w:r>
      <w:r w:rsidR="00B31683" w:rsidRPr="005A3F47">
        <w:rPr>
          <w:noProof/>
        </w:rPr>
        <w:t>n</w:t>
      </w:r>
      <w:r w:rsidR="006E488B" w:rsidRPr="005A3F47">
        <w:rPr>
          <w:noProof/>
        </w:rPr>
        <w:t xml:space="preserve">, </w:t>
      </w:r>
      <w:r w:rsidR="00D12955" w:rsidRPr="005A3F47">
        <w:rPr>
          <w:noProof/>
        </w:rPr>
        <w:t>funds</w:t>
      </w:r>
      <w:r w:rsidR="00972E1E" w:rsidRPr="005A3F47">
        <w:rPr>
          <w:noProof/>
        </w:rPr>
        <w:t xml:space="preserve"> </w:t>
      </w:r>
      <w:r w:rsidR="00C93AF1" w:rsidRPr="005A3F47">
        <w:rPr>
          <w:noProof/>
        </w:rPr>
        <w:t xml:space="preserve">that would </w:t>
      </w:r>
      <w:r w:rsidR="00087033" w:rsidRPr="005A3F47">
        <w:rPr>
          <w:noProof/>
        </w:rPr>
        <w:t>consequently</w:t>
      </w:r>
      <w:r w:rsidR="00972E1E" w:rsidRPr="005A3F47">
        <w:rPr>
          <w:noProof/>
        </w:rPr>
        <w:t xml:space="preserve"> </w:t>
      </w:r>
      <w:r w:rsidR="00C93AF1" w:rsidRPr="005A3F47">
        <w:rPr>
          <w:noProof/>
        </w:rPr>
        <w:t xml:space="preserve">remain </w:t>
      </w:r>
      <w:r w:rsidR="003C0CF4" w:rsidRPr="005A3F47">
        <w:rPr>
          <w:noProof/>
        </w:rPr>
        <w:t>with</w:t>
      </w:r>
      <w:r w:rsidR="004937BC" w:rsidRPr="005A3F47">
        <w:rPr>
          <w:noProof/>
        </w:rPr>
        <w:t xml:space="preserve"> taxpayers</w:t>
      </w:r>
      <w:r w:rsidR="002B0D33" w:rsidRPr="005A3F47">
        <w:rPr>
          <w:noProof/>
        </w:rPr>
        <w:t xml:space="preserve">. </w:t>
      </w:r>
      <w:r w:rsidR="001447E9" w:rsidRPr="005A3F47">
        <w:rPr>
          <w:noProof/>
        </w:rPr>
        <w:t xml:space="preserve">The calculations for these respective estimates can be found in Section </w:t>
      </w:r>
      <w:r w:rsidR="00484F22" w:rsidRPr="005A3F47">
        <w:rPr>
          <w:noProof/>
        </w:rPr>
        <w:t>2</w:t>
      </w:r>
      <w:r w:rsidR="005342A6" w:rsidRPr="005A3F47">
        <w:rPr>
          <w:noProof/>
        </w:rPr>
        <w:t xml:space="preserve"> of Annex 4, for interests/dividends and royalties separately.</w:t>
      </w:r>
    </w:p>
    <w:p w14:paraId="7BA0CF2F" w14:textId="524C9B39" w:rsidR="004401BC" w:rsidRPr="00F44CB3" w:rsidRDefault="00D20228" w:rsidP="004401BC">
      <w:pPr>
        <w:pStyle w:val="Text2"/>
        <w:ind w:left="0"/>
        <w:rPr>
          <w:noProof/>
        </w:rPr>
      </w:pPr>
      <w:r w:rsidRPr="00F44CB3">
        <w:rPr>
          <w:noProof/>
        </w:rPr>
        <w:t xml:space="preserve">Overall, total cost reduction from the </w:t>
      </w:r>
      <w:r w:rsidR="00480D81" w:rsidRPr="00F44CB3">
        <w:rPr>
          <w:noProof/>
        </w:rPr>
        <w:t xml:space="preserve">corporate taxpayer’s </w:t>
      </w:r>
      <w:r w:rsidRPr="00F44CB3">
        <w:rPr>
          <w:noProof/>
        </w:rPr>
        <w:t>perspective (</w:t>
      </w:r>
      <w:r w:rsidR="007746EC" w:rsidRPr="00F44CB3">
        <w:rPr>
          <w:noProof/>
        </w:rPr>
        <w:t>directly incurred costs,</w:t>
      </w:r>
      <w:r w:rsidRPr="00F44CB3">
        <w:rPr>
          <w:noProof/>
        </w:rPr>
        <w:t xml:space="preserve"> opportunity costs</w:t>
      </w:r>
      <w:r w:rsidR="007746EC" w:rsidRPr="00F44CB3">
        <w:rPr>
          <w:noProof/>
        </w:rPr>
        <w:t>,</w:t>
      </w:r>
      <w:r w:rsidRPr="00F44CB3">
        <w:rPr>
          <w:noProof/>
        </w:rPr>
        <w:t xml:space="preserve"> and </w:t>
      </w:r>
      <w:r w:rsidR="007746EC" w:rsidRPr="00F44CB3">
        <w:rPr>
          <w:noProof/>
        </w:rPr>
        <w:t>savings on foregone tax relief</w:t>
      </w:r>
      <w:r w:rsidRPr="00F44CB3">
        <w:rPr>
          <w:noProof/>
        </w:rPr>
        <w:t xml:space="preserve">) </w:t>
      </w:r>
      <w:r w:rsidR="000952A3" w:rsidRPr="00F44CB3">
        <w:rPr>
          <w:noProof/>
        </w:rPr>
        <w:t>from the introduction of this option would</w:t>
      </w:r>
      <w:r w:rsidRPr="00F44CB3">
        <w:rPr>
          <w:noProof/>
        </w:rPr>
        <w:t xml:space="preserve"> amount to an estimated </w:t>
      </w:r>
      <w:r w:rsidRPr="00F44CB3">
        <w:rPr>
          <w:b/>
          <w:bCs/>
          <w:noProof/>
        </w:rPr>
        <w:t xml:space="preserve">EUR </w:t>
      </w:r>
      <w:r w:rsidR="003A2533" w:rsidRPr="00F44CB3">
        <w:rPr>
          <w:b/>
          <w:bCs/>
          <w:noProof/>
        </w:rPr>
        <w:t>5.3</w:t>
      </w:r>
      <w:r w:rsidR="009E6379" w:rsidRPr="00F44CB3">
        <w:rPr>
          <w:b/>
          <w:bCs/>
          <w:noProof/>
        </w:rPr>
        <w:t>4</w:t>
      </w:r>
      <w:r w:rsidRPr="00F44CB3">
        <w:rPr>
          <w:b/>
          <w:bCs/>
          <w:noProof/>
        </w:rPr>
        <w:t xml:space="preserve"> billion</w:t>
      </w:r>
      <w:r w:rsidRPr="00F44CB3">
        <w:rPr>
          <w:noProof/>
        </w:rPr>
        <w:t xml:space="preserve"> per year for </w:t>
      </w:r>
      <w:r w:rsidR="000952A3" w:rsidRPr="00F44CB3">
        <w:rPr>
          <w:noProof/>
        </w:rPr>
        <w:t xml:space="preserve">cross-border </w:t>
      </w:r>
      <w:r w:rsidRPr="00F44CB3">
        <w:rPr>
          <w:noProof/>
        </w:rPr>
        <w:t>interest, dividend and royalty payments</w:t>
      </w:r>
      <w:r w:rsidR="0057699E" w:rsidRPr="00F44CB3">
        <w:rPr>
          <w:noProof/>
        </w:rPr>
        <w:t xml:space="preserve"> within the EU</w:t>
      </w:r>
      <w:r w:rsidR="00DE087B" w:rsidRPr="00F44CB3">
        <w:rPr>
          <w:noProof/>
        </w:rPr>
        <w:t xml:space="preserve">, subject to the caveats as provided </w:t>
      </w:r>
      <w:r w:rsidR="002A5A1E" w:rsidRPr="00F44CB3">
        <w:rPr>
          <w:noProof/>
        </w:rPr>
        <w:t>at the end of Section 2 of</w:t>
      </w:r>
      <w:r w:rsidR="00DE087B" w:rsidRPr="00F44CB3">
        <w:rPr>
          <w:noProof/>
        </w:rPr>
        <w:t xml:space="preserve"> Annex 4</w:t>
      </w:r>
      <w:r w:rsidR="00625305" w:rsidRPr="00F44CB3">
        <w:rPr>
          <w:noProof/>
        </w:rPr>
        <w:t>.</w:t>
      </w:r>
      <w:r w:rsidR="00705A0F" w:rsidRPr="00F44CB3">
        <w:rPr>
          <w:noProof/>
        </w:rPr>
        <w:t xml:space="preserve"> </w:t>
      </w:r>
    </w:p>
    <w:p w14:paraId="28877511" w14:textId="4984352A" w:rsidR="009E48F7" w:rsidRPr="005A3F47" w:rsidRDefault="00840303" w:rsidP="00DE6B6A">
      <w:pPr>
        <w:pStyle w:val="Text2"/>
        <w:spacing w:before="240" w:after="120"/>
        <w:ind w:left="0"/>
        <w:rPr>
          <w:rFonts w:asciiTheme="majorHAnsi" w:eastAsiaTheme="majorEastAsia" w:hAnsiTheme="majorHAnsi" w:cstheme="majorBidi"/>
          <w:i/>
          <w:iCs/>
          <w:noProof/>
          <w:szCs w:val="24"/>
        </w:rPr>
      </w:pPr>
      <w:r w:rsidRPr="005A3F47">
        <w:rPr>
          <w:bCs/>
          <w:i/>
          <w:iCs/>
          <w:noProof/>
        </w:rPr>
        <w:t xml:space="preserve">Impact on </w:t>
      </w:r>
      <w:r w:rsidR="009E48F7" w:rsidRPr="005A3F47">
        <w:rPr>
          <w:rFonts w:asciiTheme="majorHAnsi" w:eastAsiaTheme="majorEastAsia" w:hAnsiTheme="majorHAnsi" w:cstheme="majorBidi"/>
          <w:i/>
          <w:iCs/>
          <w:noProof/>
          <w:szCs w:val="24"/>
        </w:rPr>
        <w:t>tax administrations</w:t>
      </w:r>
    </w:p>
    <w:p w14:paraId="6FA2D51B" w14:textId="59AEFF87" w:rsidR="009E48F7" w:rsidRPr="005A3F47" w:rsidRDefault="009E48F7" w:rsidP="009E48F7">
      <w:pPr>
        <w:pStyle w:val="Text2"/>
        <w:ind w:left="0"/>
        <w:rPr>
          <w:noProof/>
        </w:rPr>
      </w:pPr>
      <w:r w:rsidRPr="005A3F47">
        <w:rPr>
          <w:noProof/>
        </w:rPr>
        <w:t xml:space="preserve">Reducing, to zero, withholding taxes on </w:t>
      </w:r>
      <w:r w:rsidR="00F128B6" w:rsidRPr="005A3F47">
        <w:rPr>
          <w:noProof/>
        </w:rPr>
        <w:t>intra-</w:t>
      </w:r>
      <w:r w:rsidRPr="005A3F47">
        <w:rPr>
          <w:noProof/>
        </w:rPr>
        <w:t xml:space="preserve">EU payments would also alleviate the administrative burden for tax administrations. </w:t>
      </w:r>
      <w:r w:rsidR="008C495A" w:rsidRPr="005A3F47">
        <w:rPr>
          <w:noProof/>
        </w:rPr>
        <w:t>First</w:t>
      </w:r>
      <w:r w:rsidRPr="005A3F47">
        <w:rPr>
          <w:noProof/>
        </w:rPr>
        <w:t xml:space="preserve"> and foremost, tax administrations would no longer need to apply and manage multiple tax refund procedures tailored to different sets of international rules</w:t>
      </w:r>
      <w:r w:rsidR="00AF49D6" w:rsidRPr="005A3F47">
        <w:rPr>
          <w:noProof/>
        </w:rPr>
        <w:t xml:space="preserve">. Today, refund procedures are </w:t>
      </w:r>
      <w:r w:rsidR="00FA219E" w:rsidRPr="005A3F47">
        <w:rPr>
          <w:noProof/>
        </w:rPr>
        <w:t xml:space="preserve">cumbersome not only for companies to implement, but </w:t>
      </w:r>
      <w:r w:rsidR="00AF49D6" w:rsidRPr="005A3F47">
        <w:rPr>
          <w:noProof/>
        </w:rPr>
        <w:t xml:space="preserve">also for tax administrations </w:t>
      </w:r>
      <w:r w:rsidR="00FA219E" w:rsidRPr="005A3F47">
        <w:rPr>
          <w:noProof/>
        </w:rPr>
        <w:t xml:space="preserve">to enforce </w:t>
      </w:r>
      <w:r w:rsidR="00AF49D6" w:rsidRPr="005A3F47">
        <w:rPr>
          <w:noProof/>
        </w:rPr>
        <w:t>as they include</w:t>
      </w:r>
      <w:r w:rsidR="0098450A" w:rsidRPr="005A3F47">
        <w:rPr>
          <w:noProof/>
        </w:rPr>
        <w:t xml:space="preserve"> receiving applications (often paper-based</w:t>
      </w:r>
      <w:r w:rsidR="00B92C35" w:rsidRPr="005A3F47">
        <w:rPr>
          <w:noProof/>
        </w:rPr>
        <w:t>), verifying the investor’s tax residence</w:t>
      </w:r>
      <w:r w:rsidR="00180F60" w:rsidRPr="005A3F47">
        <w:rPr>
          <w:noProof/>
        </w:rPr>
        <w:t xml:space="preserve"> and his/her </w:t>
      </w:r>
      <w:r w:rsidR="00972E12" w:rsidRPr="005A3F47">
        <w:rPr>
          <w:noProof/>
        </w:rPr>
        <w:t>eligibility for refund,</w:t>
      </w:r>
      <w:r w:rsidR="001C41CA" w:rsidRPr="005A3F47">
        <w:rPr>
          <w:noProof/>
        </w:rPr>
        <w:t xml:space="preserve"> </w:t>
      </w:r>
      <w:r w:rsidR="008D3135" w:rsidRPr="005A3F47">
        <w:rPr>
          <w:noProof/>
        </w:rPr>
        <w:t>checking anti-abuse</w:t>
      </w:r>
      <w:r w:rsidR="00377C04" w:rsidRPr="005A3F47">
        <w:rPr>
          <w:noProof/>
        </w:rPr>
        <w:t xml:space="preserve"> rules</w:t>
      </w:r>
      <w:r w:rsidR="008D3135" w:rsidRPr="005A3F47">
        <w:rPr>
          <w:noProof/>
        </w:rPr>
        <w:t xml:space="preserve">, </w:t>
      </w:r>
      <w:r w:rsidR="001C41CA" w:rsidRPr="005A3F47">
        <w:rPr>
          <w:noProof/>
        </w:rPr>
        <w:t xml:space="preserve">coordinating with </w:t>
      </w:r>
      <w:r w:rsidR="007C1F85" w:rsidRPr="005A3F47">
        <w:rPr>
          <w:noProof/>
        </w:rPr>
        <w:t>other EU countries’ tax authorities</w:t>
      </w:r>
      <w:r w:rsidR="00065BAE" w:rsidRPr="005A3F47">
        <w:rPr>
          <w:noProof/>
        </w:rPr>
        <w:t>, perform</w:t>
      </w:r>
      <w:r w:rsidR="001C49A6" w:rsidRPr="005A3F47">
        <w:rPr>
          <w:noProof/>
        </w:rPr>
        <w:t>ing</w:t>
      </w:r>
      <w:r w:rsidR="00065BAE" w:rsidRPr="005A3F47">
        <w:rPr>
          <w:noProof/>
        </w:rPr>
        <w:t xml:space="preserve"> </w:t>
      </w:r>
      <w:r w:rsidR="001C49A6" w:rsidRPr="005A3F47">
        <w:rPr>
          <w:noProof/>
        </w:rPr>
        <w:t>(re)</w:t>
      </w:r>
      <w:r w:rsidR="00065BAE" w:rsidRPr="005A3F47">
        <w:rPr>
          <w:noProof/>
        </w:rPr>
        <w:t>payments and, possibly, handling appeals</w:t>
      </w:r>
      <w:r w:rsidR="00E20692" w:rsidRPr="005A3F47">
        <w:rPr>
          <w:noProof/>
        </w:rPr>
        <w:t>/disputes</w:t>
      </w:r>
      <w:r w:rsidR="00065BAE" w:rsidRPr="005A3F47">
        <w:rPr>
          <w:noProof/>
        </w:rPr>
        <w:t xml:space="preserve">. </w:t>
      </w:r>
      <w:r w:rsidR="001C49A6" w:rsidRPr="005A3F47">
        <w:rPr>
          <w:noProof/>
        </w:rPr>
        <w:t>The introduction of this measure would thus significantly reduce the workload for</w:t>
      </w:r>
      <w:r w:rsidR="00D5028E" w:rsidRPr="005A3F47">
        <w:rPr>
          <w:noProof/>
        </w:rPr>
        <w:t xml:space="preserve"> tax</w:t>
      </w:r>
      <w:r w:rsidR="00E012A1" w:rsidRPr="005A3F47">
        <w:rPr>
          <w:noProof/>
        </w:rPr>
        <w:t xml:space="preserve"> authorities,</w:t>
      </w:r>
      <w:r w:rsidR="00EE5414" w:rsidRPr="005A3F47">
        <w:rPr>
          <w:noProof/>
        </w:rPr>
        <w:t xml:space="preserve"> and</w:t>
      </w:r>
      <w:r w:rsidRPr="005A3F47">
        <w:rPr>
          <w:noProof/>
        </w:rPr>
        <w:t xml:space="preserve"> </w:t>
      </w:r>
      <w:r w:rsidR="009D7AEB" w:rsidRPr="005A3F47">
        <w:rPr>
          <w:noProof/>
        </w:rPr>
        <w:t>subst</w:t>
      </w:r>
      <w:r w:rsidR="00DC2922" w:rsidRPr="005A3F47">
        <w:rPr>
          <w:noProof/>
        </w:rPr>
        <w:t>a</w:t>
      </w:r>
      <w:r w:rsidR="009D7AEB" w:rsidRPr="005A3F47">
        <w:rPr>
          <w:noProof/>
        </w:rPr>
        <w:t>ntially</w:t>
      </w:r>
      <w:r w:rsidRPr="005A3F47">
        <w:rPr>
          <w:noProof/>
        </w:rPr>
        <w:t xml:space="preserve"> decrease their administrative costs and resource burden/efforts. However, no quantitative projection is possible</w:t>
      </w:r>
      <w:r w:rsidR="00095016" w:rsidRPr="005A3F47">
        <w:rPr>
          <w:noProof/>
        </w:rPr>
        <w:t>,</w:t>
      </w:r>
      <w:r w:rsidRPr="005A3F47">
        <w:rPr>
          <w:noProof/>
        </w:rPr>
        <w:t xml:space="preserve"> given that costs related to certain administrative tasks/resource mobilisation inside the tax administrations </w:t>
      </w:r>
      <w:r w:rsidR="00CE289F" w:rsidRPr="005A3F47">
        <w:rPr>
          <w:noProof/>
        </w:rPr>
        <w:t>are</w:t>
      </w:r>
      <w:r w:rsidRPr="005A3F47">
        <w:rPr>
          <w:noProof/>
        </w:rPr>
        <w:t xml:space="preserve"> not publicly </w:t>
      </w:r>
      <w:r w:rsidR="00840303" w:rsidRPr="005A3F47">
        <w:rPr>
          <w:noProof/>
        </w:rPr>
        <w:t>a</w:t>
      </w:r>
      <w:r w:rsidRPr="005A3F47">
        <w:rPr>
          <w:noProof/>
        </w:rPr>
        <w:t>vailabl</w:t>
      </w:r>
      <w:r w:rsidR="00E34F5B" w:rsidRPr="005A3F47">
        <w:rPr>
          <w:noProof/>
        </w:rPr>
        <w:t>e</w:t>
      </w:r>
      <w:r w:rsidR="00F012A2" w:rsidRPr="005A3F47">
        <w:rPr>
          <w:noProof/>
        </w:rPr>
        <w:t>, nor would they be delineated by enforcement per specific legislative measure</w:t>
      </w:r>
      <w:r w:rsidR="00C12390" w:rsidRPr="005A3F47">
        <w:rPr>
          <w:noProof/>
        </w:rPr>
        <w:t xml:space="preserve">. Further details can be found under </w:t>
      </w:r>
      <w:r w:rsidR="00F44CB3">
        <w:rPr>
          <w:noProof/>
        </w:rPr>
        <w:t>S</w:t>
      </w:r>
      <w:r w:rsidR="00BE1857" w:rsidRPr="00266412">
        <w:rPr>
          <w:noProof/>
        </w:rPr>
        <w:t>ection 6.</w:t>
      </w:r>
      <w:r w:rsidR="00044EF1" w:rsidRPr="00266412">
        <w:rPr>
          <w:noProof/>
        </w:rPr>
        <w:t>3</w:t>
      </w:r>
      <w:r w:rsidR="00BE1857" w:rsidRPr="00266412">
        <w:rPr>
          <w:noProof/>
        </w:rPr>
        <w:t xml:space="preserve"> </w:t>
      </w:r>
      <w:r w:rsidR="00C12390" w:rsidRPr="00266412">
        <w:rPr>
          <w:noProof/>
        </w:rPr>
        <w:t>of this Chapter</w:t>
      </w:r>
      <w:r w:rsidR="00E34F5B" w:rsidRPr="00266412">
        <w:rPr>
          <w:noProof/>
        </w:rPr>
        <w:t>.</w:t>
      </w:r>
      <w:r w:rsidR="00E34F5B" w:rsidRPr="005A3F47">
        <w:rPr>
          <w:noProof/>
        </w:rPr>
        <w:t xml:space="preserve"> </w:t>
      </w:r>
      <w:r w:rsidR="008C495A" w:rsidRPr="005A3F47">
        <w:rPr>
          <w:noProof/>
        </w:rPr>
        <w:t xml:space="preserve"> </w:t>
      </w:r>
    </w:p>
    <w:p w14:paraId="78C5EF53" w14:textId="38518837" w:rsidR="007C65F9" w:rsidRPr="005A3F47" w:rsidRDefault="007C65F9" w:rsidP="00672BAF">
      <w:pPr>
        <w:pStyle w:val="Text2"/>
        <w:spacing w:before="240" w:after="120"/>
        <w:ind w:left="0"/>
        <w:rPr>
          <w:noProof/>
        </w:rPr>
      </w:pPr>
      <w:r w:rsidRPr="005A3F47">
        <w:rPr>
          <w:i/>
          <w:iCs/>
          <w:noProof/>
        </w:rPr>
        <w:t>Impact on the economy</w:t>
      </w:r>
      <w:r w:rsidR="00840303" w:rsidRPr="005A3F47">
        <w:rPr>
          <w:i/>
          <w:iCs/>
          <w:noProof/>
        </w:rPr>
        <w:t xml:space="preserve"> </w:t>
      </w:r>
    </w:p>
    <w:p w14:paraId="1F63DA7B" w14:textId="251FCA5B" w:rsidR="007E000F" w:rsidRPr="005A3F47" w:rsidRDefault="00590D1E" w:rsidP="00010B91">
      <w:pPr>
        <w:pStyle w:val="Text2"/>
        <w:ind w:left="0"/>
        <w:rPr>
          <w:noProof/>
        </w:rPr>
      </w:pPr>
      <w:r w:rsidRPr="005A3F47">
        <w:rPr>
          <w:noProof/>
        </w:rPr>
        <w:t>In addition to the above, the</w:t>
      </w:r>
      <w:r w:rsidR="00010B91" w:rsidRPr="005A3F47">
        <w:rPr>
          <w:noProof/>
        </w:rPr>
        <w:t xml:space="preserve"> </w:t>
      </w:r>
      <w:r w:rsidRPr="005A3F47">
        <w:rPr>
          <w:noProof/>
        </w:rPr>
        <w:t>measure</w:t>
      </w:r>
      <w:r w:rsidR="0095011F" w:rsidRPr="005A3F47">
        <w:rPr>
          <w:noProof/>
        </w:rPr>
        <w:t xml:space="preserve"> </w:t>
      </w:r>
      <w:r w:rsidR="0095011F" w:rsidRPr="00F44CB3">
        <w:rPr>
          <w:noProof/>
        </w:rPr>
        <w:t xml:space="preserve">would have a </w:t>
      </w:r>
      <w:r w:rsidR="00010B91" w:rsidRPr="00F44CB3">
        <w:rPr>
          <w:noProof/>
        </w:rPr>
        <w:t xml:space="preserve">long-term </w:t>
      </w:r>
      <w:r w:rsidR="0095011F" w:rsidRPr="00F44CB3">
        <w:rPr>
          <w:noProof/>
        </w:rPr>
        <w:t xml:space="preserve">economic </w:t>
      </w:r>
      <w:r w:rsidR="00010B91" w:rsidRPr="00F44CB3">
        <w:rPr>
          <w:noProof/>
        </w:rPr>
        <w:t>impact</w:t>
      </w:r>
      <w:r w:rsidR="00AF56A1" w:rsidRPr="005A3F47">
        <w:rPr>
          <w:noProof/>
        </w:rPr>
        <w:t xml:space="preserve">, </w:t>
      </w:r>
      <w:r w:rsidR="00651B4D" w:rsidRPr="005A3F47">
        <w:rPr>
          <w:noProof/>
        </w:rPr>
        <w:t xml:space="preserve">which </w:t>
      </w:r>
      <w:r w:rsidR="00AF56A1" w:rsidRPr="005A3F47">
        <w:rPr>
          <w:noProof/>
        </w:rPr>
        <w:t>is</w:t>
      </w:r>
      <w:r w:rsidR="00010B91" w:rsidRPr="005A3F47">
        <w:rPr>
          <w:noProof/>
        </w:rPr>
        <w:t xml:space="preserve"> simulated using the macroeconomic model CORTAX</w:t>
      </w:r>
      <w:r w:rsidR="0039356F" w:rsidRPr="005A3F47">
        <w:rPr>
          <w:noProof/>
        </w:rPr>
        <w:t>. The model</w:t>
      </w:r>
      <w:r w:rsidR="00010B91" w:rsidRPr="005A3F47">
        <w:rPr>
          <w:noProof/>
        </w:rPr>
        <w:t xml:space="preserve"> captures the long-run responses of economic actors to changes in the tax environment and</w:t>
      </w:r>
      <w:r w:rsidR="00EC0D0C" w:rsidRPr="005A3F47">
        <w:rPr>
          <w:noProof/>
        </w:rPr>
        <w:t>,</w:t>
      </w:r>
      <w:r w:rsidR="00010B91" w:rsidRPr="005A3F47">
        <w:rPr>
          <w:noProof/>
        </w:rPr>
        <w:t xml:space="preserve"> therefore</w:t>
      </w:r>
      <w:r w:rsidR="00EC0D0C" w:rsidRPr="005A3F47">
        <w:rPr>
          <w:noProof/>
        </w:rPr>
        <w:t>,</w:t>
      </w:r>
      <w:r w:rsidR="00010B91" w:rsidRPr="005A3F47">
        <w:rPr>
          <w:noProof/>
        </w:rPr>
        <w:t xml:space="preserve"> allows the broader macroeconomic effects of the reform to be taken into account</w:t>
      </w:r>
      <w:r w:rsidR="00FD62A2" w:rsidRPr="005A3F47">
        <w:rPr>
          <w:noProof/>
        </w:rPr>
        <w:t>.</w:t>
      </w:r>
      <w:r w:rsidR="00207B5E" w:rsidRPr="005A3F47">
        <w:rPr>
          <w:noProof/>
        </w:rPr>
        <w:t xml:space="preserve"> See Box </w:t>
      </w:r>
      <w:r w:rsidR="00237BFB" w:rsidRPr="005A3F47">
        <w:rPr>
          <w:noProof/>
        </w:rPr>
        <w:t xml:space="preserve">6 </w:t>
      </w:r>
      <w:r w:rsidR="00207B5E" w:rsidRPr="005A3F47">
        <w:rPr>
          <w:noProof/>
        </w:rPr>
        <w:t xml:space="preserve">for a </w:t>
      </w:r>
      <w:r w:rsidR="004057AD" w:rsidRPr="005A3F47">
        <w:rPr>
          <w:noProof/>
        </w:rPr>
        <w:t xml:space="preserve">short </w:t>
      </w:r>
      <w:r w:rsidR="00207B5E" w:rsidRPr="005A3F47">
        <w:rPr>
          <w:noProof/>
        </w:rPr>
        <w:t>description</w:t>
      </w:r>
      <w:r w:rsidR="004057AD" w:rsidRPr="005A3F47">
        <w:rPr>
          <w:noProof/>
        </w:rPr>
        <w:t xml:space="preserve"> of how the model works</w:t>
      </w:r>
      <w:r w:rsidR="00207B5E" w:rsidRPr="005A3F47">
        <w:rPr>
          <w:noProof/>
        </w:rPr>
        <w:t>.</w:t>
      </w:r>
      <w:r w:rsidR="00010B91" w:rsidRPr="005A3F47">
        <w:rPr>
          <w:noProof/>
        </w:rPr>
        <w:t xml:space="preserve"> </w:t>
      </w:r>
      <w:r w:rsidR="0097049B" w:rsidRPr="005A3F47">
        <w:rPr>
          <w:noProof/>
        </w:rPr>
        <w:t xml:space="preserve">In addition, </w:t>
      </w:r>
      <w:r w:rsidR="008A0AEF" w:rsidRPr="005A3F47">
        <w:rPr>
          <w:noProof/>
        </w:rPr>
        <w:t>Section 5.1 of Annex 4 also provides further information on the use of CORTAX for modelling the tax exemption for interest, royalty and dividend payments and lowering of compliance costs.</w:t>
      </w:r>
    </w:p>
    <w:p w14:paraId="73765657" w14:textId="1C2CD5D4" w:rsidR="00D3308C" w:rsidRPr="005A3F47" w:rsidRDefault="00D3308C" w:rsidP="00D3308C">
      <w:pPr>
        <w:pStyle w:val="Caption"/>
        <w:keepNext/>
        <w:rPr>
          <w:noProof/>
          <w:sz w:val="22"/>
          <w:szCs w:val="22"/>
        </w:rPr>
      </w:pPr>
      <w:r w:rsidRPr="005A3F47">
        <w:rPr>
          <w:noProof/>
          <w:color w:val="auto"/>
          <w:sz w:val="22"/>
          <w:szCs w:val="22"/>
        </w:rPr>
        <w:t xml:space="preserve">Box </w:t>
      </w:r>
      <w:r w:rsidR="00237BFB" w:rsidRPr="005A3F47">
        <w:rPr>
          <w:noProof/>
          <w:color w:val="auto"/>
          <w:sz w:val="22"/>
          <w:szCs w:val="22"/>
        </w:rPr>
        <w:t>6</w:t>
      </w:r>
      <w:r w:rsidRPr="005A3F47">
        <w:rPr>
          <w:i w:val="0"/>
          <w:noProof/>
          <w:sz w:val="22"/>
          <w:szCs w:val="22"/>
        </w:rPr>
        <w:fldChar w:fldCharType="begin"/>
      </w:r>
      <w:r w:rsidRPr="005A3F47">
        <w:rPr>
          <w:noProof/>
          <w:color w:val="auto"/>
          <w:sz w:val="22"/>
          <w:szCs w:val="22"/>
        </w:rPr>
        <w:instrText xml:space="preserve"> SEQ Box \* ARABIC </w:instrText>
      </w:r>
      <w:r w:rsidRPr="005A3F47">
        <w:rPr>
          <w:i w:val="0"/>
          <w:noProof/>
          <w:sz w:val="22"/>
          <w:szCs w:val="22"/>
        </w:rPr>
        <w:fldChar w:fldCharType="separate"/>
      </w:r>
      <w:r w:rsidR="00CF3380">
        <w:rPr>
          <w:noProof/>
          <w:color w:val="auto"/>
          <w:sz w:val="22"/>
          <w:szCs w:val="22"/>
        </w:rPr>
        <w:t>6</w:t>
      </w:r>
      <w:r w:rsidRPr="005A3F47">
        <w:rPr>
          <w:i w:val="0"/>
          <w:noProof/>
          <w:sz w:val="22"/>
          <w:szCs w:val="22"/>
        </w:rPr>
        <w:fldChar w:fldCharType="end"/>
      </w:r>
      <w:r w:rsidRPr="005A3F47">
        <w:rPr>
          <w:noProof/>
          <w:color w:val="auto"/>
          <w:sz w:val="22"/>
          <w:szCs w:val="22"/>
        </w:rPr>
        <w:t xml:space="preserve">: </w:t>
      </w:r>
      <w:r w:rsidR="004057AD" w:rsidRPr="005A3F47">
        <w:rPr>
          <w:noProof/>
          <w:color w:val="auto"/>
          <w:sz w:val="22"/>
          <w:szCs w:val="22"/>
        </w:rPr>
        <w:t>D</w:t>
      </w:r>
      <w:r w:rsidRPr="005A3F47">
        <w:rPr>
          <w:noProof/>
          <w:color w:val="auto"/>
          <w:sz w:val="22"/>
          <w:szCs w:val="22"/>
        </w:rPr>
        <w:t>escription of the CORTAX model</w:t>
      </w:r>
    </w:p>
    <w:tbl>
      <w:tblPr>
        <w:tblStyle w:val="TableGrid"/>
        <w:tblW w:w="0" w:type="auto"/>
        <w:tblLook w:val="04A0" w:firstRow="1" w:lastRow="0" w:firstColumn="1" w:lastColumn="0" w:noHBand="0" w:noVBand="1"/>
      </w:tblPr>
      <w:tblGrid>
        <w:gridCol w:w="9825"/>
      </w:tblGrid>
      <w:tr w:rsidR="00D3308C" w:rsidRPr="005A3F47" w14:paraId="7ED4D3BC" w14:textId="77777777" w:rsidTr="00B90A62">
        <w:tc>
          <w:tcPr>
            <w:tcW w:w="9828" w:type="dxa"/>
          </w:tcPr>
          <w:p w14:paraId="729B1059" w14:textId="1E6A75DA" w:rsidR="00D3308C" w:rsidRPr="005A3F47" w:rsidRDefault="00D3308C" w:rsidP="00D3308C">
            <w:pPr>
              <w:rPr>
                <w:noProof/>
              </w:rPr>
            </w:pPr>
            <w:r w:rsidRPr="005A3F47">
              <w:rPr>
                <w:noProof/>
              </w:rPr>
              <w:t>CORTAX is used for the macroeconomic impact analysis of various measures presented</w:t>
            </w:r>
            <w:r w:rsidR="53AFFABB" w:rsidRPr="005A3F47">
              <w:rPr>
                <w:noProof/>
              </w:rPr>
              <w:t>. It</w:t>
            </w:r>
            <w:r w:rsidRPr="005A3F47">
              <w:rPr>
                <w:noProof/>
              </w:rPr>
              <w:t xml:space="preserve"> is a computable general equilibrium model specifically designed to evaluate long-term economic effects of corporate tax reforms in an international setting.</w:t>
            </w:r>
            <w:r w:rsidRPr="005A3F47">
              <w:rPr>
                <w:rStyle w:val="FootnoteReference"/>
                <w:noProof/>
              </w:rPr>
              <w:footnoteReference w:id="83"/>
            </w:r>
            <w:r w:rsidRPr="005A3F47">
              <w:rPr>
                <w:noProof/>
              </w:rPr>
              <w:t xml:space="preserve"> Its main purpose is to simulate how changes </w:t>
            </w:r>
            <w:r w:rsidR="53AFFABB" w:rsidRPr="005A3F47">
              <w:rPr>
                <w:noProof/>
              </w:rPr>
              <w:t xml:space="preserve">(policy shocks) </w:t>
            </w:r>
            <w:r w:rsidRPr="005A3F47">
              <w:rPr>
                <w:noProof/>
              </w:rPr>
              <w:t>in corporate taxation influence macroeconomic outcomes such as GDP, investment, consumption, employment</w:t>
            </w:r>
            <w:r w:rsidR="77274B2D" w:rsidRPr="005A3F47">
              <w:rPr>
                <w:noProof/>
              </w:rPr>
              <w:t>,</w:t>
            </w:r>
            <w:r w:rsidRPr="005A3F47">
              <w:rPr>
                <w:noProof/>
              </w:rPr>
              <w:t xml:space="preserve"> as well as tax revenues. The model shows long</w:t>
            </w:r>
            <w:r w:rsidR="77274B2D" w:rsidRPr="005A3F47">
              <w:rPr>
                <w:noProof/>
              </w:rPr>
              <w:t>-</w:t>
            </w:r>
            <w:r w:rsidRPr="005A3F47">
              <w:rPr>
                <w:noProof/>
              </w:rPr>
              <w:t xml:space="preserve">term effects. This means that an initial equilibrium is </w:t>
            </w:r>
            <w:r w:rsidR="53AFFABB" w:rsidRPr="005A3F47">
              <w:rPr>
                <w:noProof/>
              </w:rPr>
              <w:t>‘</w:t>
            </w:r>
            <w:r w:rsidRPr="005A3F47">
              <w:rPr>
                <w:noProof/>
              </w:rPr>
              <w:t>shocked</w:t>
            </w:r>
            <w:r w:rsidR="53AFFABB" w:rsidRPr="005A3F47">
              <w:rPr>
                <w:noProof/>
              </w:rPr>
              <w:t>’</w:t>
            </w:r>
            <w:r w:rsidRPr="005A3F47">
              <w:rPr>
                <w:noProof/>
              </w:rPr>
              <w:t xml:space="preserve"> by a policy measure</w:t>
            </w:r>
            <w:r w:rsidR="6C713A3B" w:rsidRPr="005A3F47">
              <w:rPr>
                <w:noProof/>
              </w:rPr>
              <w:t>, and the effects then measured against the expectation that, i</w:t>
            </w:r>
            <w:r w:rsidRPr="005A3F47">
              <w:rPr>
                <w:noProof/>
              </w:rPr>
              <w:t>n the long</w:t>
            </w:r>
            <w:r w:rsidR="3EAAFBB9" w:rsidRPr="005A3F47">
              <w:rPr>
                <w:noProof/>
              </w:rPr>
              <w:t>-</w:t>
            </w:r>
            <w:r w:rsidRPr="005A3F47">
              <w:rPr>
                <w:noProof/>
              </w:rPr>
              <w:t>term</w:t>
            </w:r>
            <w:r w:rsidR="6C713A3B" w:rsidRPr="005A3F47">
              <w:rPr>
                <w:noProof/>
              </w:rPr>
              <w:t>,</w:t>
            </w:r>
            <w:r w:rsidRPr="005A3F47">
              <w:rPr>
                <w:noProof/>
              </w:rPr>
              <w:t xml:space="preserve"> the economy </w:t>
            </w:r>
            <w:r w:rsidR="6C713A3B" w:rsidRPr="005A3F47">
              <w:rPr>
                <w:noProof/>
              </w:rPr>
              <w:t>would</w:t>
            </w:r>
            <w:r w:rsidRPr="005A3F47">
              <w:rPr>
                <w:noProof/>
              </w:rPr>
              <w:t xml:space="preserve"> converge towards a new equilibrium. The macroeconomic outcome variables in the final steady state equilibrium </w:t>
            </w:r>
            <w:r w:rsidR="3ADB3033" w:rsidRPr="005A3F47">
              <w:rPr>
                <w:noProof/>
              </w:rPr>
              <w:t>are</w:t>
            </w:r>
            <w:r w:rsidRPr="005A3F47">
              <w:rPr>
                <w:noProof/>
              </w:rPr>
              <w:t xml:space="preserve"> then compared to the values in the initial equilibrium, i.e., before the policy measure</w:t>
            </w:r>
            <w:r w:rsidR="3ADB3033" w:rsidRPr="005A3F47">
              <w:rPr>
                <w:noProof/>
              </w:rPr>
              <w:t xml:space="preserve"> was introduced</w:t>
            </w:r>
            <w:r w:rsidRPr="005A3F47">
              <w:rPr>
                <w:noProof/>
              </w:rPr>
              <w:t xml:space="preserve">. </w:t>
            </w:r>
          </w:p>
          <w:p w14:paraId="41CF0D5C" w14:textId="35F54AF7" w:rsidR="00D3308C" w:rsidRPr="005A3F47" w:rsidRDefault="00D3308C" w:rsidP="00D3308C">
            <w:pPr>
              <w:rPr>
                <w:noProof/>
              </w:rPr>
            </w:pPr>
            <w:r w:rsidRPr="005A3F47">
              <w:rPr>
                <w:noProof/>
              </w:rPr>
              <w:t>The model focuses particularly on the role of multinational enterprises and cross-border tax planning, allowing researchers and policymakers to assess both national and international corporate tax policy reforms. As such, CORTAX provides a comprehensive framework for analysing how corporate tax policies</w:t>
            </w:r>
            <w:r w:rsidR="00FB193E" w:rsidRPr="005A3F47">
              <w:rPr>
                <w:noProof/>
              </w:rPr>
              <w:t>, and changes to them,</w:t>
            </w:r>
            <w:r w:rsidRPr="005A3F47">
              <w:rPr>
                <w:noProof/>
              </w:rPr>
              <w:t xml:space="preserve"> affect economic activity in an internationally integrated economy. Its strength lies in its detailed modelling of multinational enterprises, profit shifting behaviour and cross-border capital flows, </w:t>
            </w:r>
            <w:r w:rsidR="00FB193E" w:rsidRPr="005A3F47">
              <w:rPr>
                <w:noProof/>
              </w:rPr>
              <w:t xml:space="preserve">which </w:t>
            </w:r>
            <w:r w:rsidR="00547A56" w:rsidRPr="005A3F47">
              <w:rPr>
                <w:noProof/>
              </w:rPr>
              <w:t>captures</w:t>
            </w:r>
            <w:r w:rsidRPr="005A3F47">
              <w:rPr>
                <w:noProof/>
              </w:rPr>
              <w:t xml:space="preserve"> interactions between businesses, households, and governments across multiple countries. The model is calibrated for thirty countries, including the twenty-seven member states of the European Union, the United Kingdom, the United States and Japan. In addition to these countries, the model includes a stylized tax haven that serves as a destination for profit shifting.</w:t>
            </w:r>
          </w:p>
          <w:p w14:paraId="405F34A9" w14:textId="77777777" w:rsidR="00D3308C" w:rsidRPr="005A3F47" w:rsidRDefault="00D3308C">
            <w:pPr>
              <w:rPr>
                <w:noProof/>
              </w:rPr>
            </w:pPr>
            <w:r w:rsidRPr="005A3F47">
              <w:rPr>
                <w:noProof/>
              </w:rPr>
              <w:t xml:space="preserve">CORTAX has been widely used in policy analysis, including by the European Commission, to assess various economic, financial, and corporate tax initiatives. </w:t>
            </w:r>
          </w:p>
          <w:p w14:paraId="1DDB3D8C" w14:textId="70626518" w:rsidR="008C67FE" w:rsidRPr="005A3F47" w:rsidRDefault="00774C14" w:rsidP="00B90A62">
            <w:pPr>
              <w:rPr>
                <w:noProof/>
              </w:rPr>
            </w:pPr>
            <w:r w:rsidRPr="005A3F47">
              <w:rPr>
                <w:noProof/>
              </w:rPr>
              <w:t>Information on the use of CORTAX</w:t>
            </w:r>
            <w:r w:rsidR="008C67FE" w:rsidRPr="005A3F47">
              <w:rPr>
                <w:noProof/>
              </w:rPr>
              <w:t xml:space="preserve"> can </w:t>
            </w:r>
            <w:r w:rsidR="00A22B70" w:rsidRPr="005A3F47">
              <w:rPr>
                <w:noProof/>
              </w:rPr>
              <w:t xml:space="preserve">also </w:t>
            </w:r>
            <w:r w:rsidR="008C67FE" w:rsidRPr="005A3F47">
              <w:rPr>
                <w:noProof/>
              </w:rPr>
              <w:t xml:space="preserve">be found </w:t>
            </w:r>
            <w:r w:rsidR="00A22B70" w:rsidRPr="005A3F47">
              <w:rPr>
                <w:noProof/>
              </w:rPr>
              <w:t>under Section 5</w:t>
            </w:r>
            <w:r w:rsidR="008A0AEF" w:rsidRPr="005A3F47">
              <w:rPr>
                <w:noProof/>
              </w:rPr>
              <w:t>.1</w:t>
            </w:r>
            <w:r w:rsidR="00A22B70" w:rsidRPr="005A3F47">
              <w:rPr>
                <w:noProof/>
              </w:rPr>
              <w:t xml:space="preserve"> of Annex 4 to this report. </w:t>
            </w:r>
          </w:p>
        </w:tc>
      </w:tr>
    </w:tbl>
    <w:p w14:paraId="45CBD61F" w14:textId="77777777" w:rsidR="00D3308C" w:rsidRPr="005A3F47" w:rsidRDefault="00D3308C" w:rsidP="00D3308C">
      <w:pPr>
        <w:spacing w:after="0" w:line="259" w:lineRule="auto"/>
        <w:rPr>
          <w:noProof/>
        </w:rPr>
      </w:pPr>
    </w:p>
    <w:p w14:paraId="1140E7FD" w14:textId="44492B50" w:rsidR="00F60943" w:rsidRPr="00EF43B3" w:rsidRDefault="00B54CE4" w:rsidP="00010B91">
      <w:pPr>
        <w:pStyle w:val="Text2"/>
        <w:ind w:left="0"/>
        <w:rPr>
          <w:noProof/>
        </w:rPr>
      </w:pPr>
      <w:r w:rsidRPr="005A3F47">
        <w:rPr>
          <w:noProof/>
        </w:rPr>
        <w:t>T</w:t>
      </w:r>
      <w:r w:rsidR="00010B91" w:rsidRPr="005A3F47">
        <w:rPr>
          <w:noProof/>
        </w:rPr>
        <w:t>he simulation</w:t>
      </w:r>
      <w:r w:rsidRPr="005A3F47">
        <w:rPr>
          <w:noProof/>
        </w:rPr>
        <w:t xml:space="preserve"> projects </w:t>
      </w:r>
      <w:r w:rsidR="00010B91" w:rsidRPr="005A3F47">
        <w:rPr>
          <w:noProof/>
        </w:rPr>
        <w:t xml:space="preserve">the abolition of </w:t>
      </w:r>
      <w:r w:rsidR="008C05B1" w:rsidRPr="005A3F47">
        <w:rPr>
          <w:noProof/>
        </w:rPr>
        <w:t>the</w:t>
      </w:r>
      <w:r w:rsidR="00010B91" w:rsidRPr="005A3F47">
        <w:rPr>
          <w:noProof/>
        </w:rPr>
        <w:t xml:space="preserve"> withholding taxes </w:t>
      </w:r>
      <w:r w:rsidR="00AE4039" w:rsidRPr="005A3F47">
        <w:rPr>
          <w:noProof/>
        </w:rPr>
        <w:t xml:space="preserve">on </w:t>
      </w:r>
      <w:r w:rsidR="00FD62A2" w:rsidRPr="005A3F47">
        <w:rPr>
          <w:noProof/>
        </w:rPr>
        <w:t xml:space="preserve">the </w:t>
      </w:r>
      <w:r w:rsidR="00AE4039" w:rsidRPr="005A3F47">
        <w:rPr>
          <w:noProof/>
        </w:rPr>
        <w:t>one hand</w:t>
      </w:r>
      <w:r w:rsidR="00A16380" w:rsidRPr="005A3F47">
        <w:rPr>
          <w:noProof/>
        </w:rPr>
        <w:t>,</w:t>
      </w:r>
      <w:r w:rsidR="00AE4039" w:rsidRPr="005A3F47">
        <w:rPr>
          <w:noProof/>
        </w:rPr>
        <w:t xml:space="preserve"> </w:t>
      </w:r>
      <w:r w:rsidR="006C61CD" w:rsidRPr="005A3F47">
        <w:rPr>
          <w:noProof/>
        </w:rPr>
        <w:t xml:space="preserve">and </w:t>
      </w:r>
      <w:r w:rsidR="003F265E" w:rsidRPr="005A3F47">
        <w:rPr>
          <w:noProof/>
        </w:rPr>
        <w:t>the lowering of compliance costs for companies</w:t>
      </w:r>
      <w:r w:rsidR="00FD62A2" w:rsidRPr="005A3F47">
        <w:rPr>
          <w:noProof/>
        </w:rPr>
        <w:t>,</w:t>
      </w:r>
      <w:r w:rsidR="003F265E" w:rsidRPr="005A3F47">
        <w:rPr>
          <w:noProof/>
        </w:rPr>
        <w:t xml:space="preserve"> on the other</w:t>
      </w:r>
      <w:r w:rsidR="00AE4039" w:rsidRPr="005A3F47">
        <w:rPr>
          <w:noProof/>
        </w:rPr>
        <w:t xml:space="preserve">. </w:t>
      </w:r>
      <w:r w:rsidR="006A6210" w:rsidRPr="005A3F47">
        <w:rPr>
          <w:noProof/>
        </w:rPr>
        <w:t xml:space="preserve">The lowering of </w:t>
      </w:r>
      <w:r w:rsidR="003C5EEE" w:rsidRPr="005A3F47">
        <w:rPr>
          <w:noProof/>
        </w:rPr>
        <w:t>withholding taxes</w:t>
      </w:r>
      <w:r w:rsidR="006A6210" w:rsidRPr="005A3F47">
        <w:rPr>
          <w:noProof/>
        </w:rPr>
        <w:t xml:space="preserve"> </w:t>
      </w:r>
      <w:r w:rsidR="0087759E" w:rsidRPr="005A3F47">
        <w:rPr>
          <w:noProof/>
        </w:rPr>
        <w:t xml:space="preserve">could reduce CIT revenue by </w:t>
      </w:r>
      <w:r w:rsidR="00C67886" w:rsidRPr="005A3F47">
        <w:rPr>
          <w:noProof/>
        </w:rPr>
        <w:t xml:space="preserve">an </w:t>
      </w:r>
      <w:r w:rsidR="00C57202" w:rsidRPr="005A3F47">
        <w:rPr>
          <w:noProof/>
        </w:rPr>
        <w:t xml:space="preserve">equivalent of </w:t>
      </w:r>
      <w:r w:rsidR="00A63B58" w:rsidRPr="005A3F47">
        <w:rPr>
          <w:noProof/>
        </w:rPr>
        <w:t>-</w:t>
      </w:r>
      <w:r w:rsidR="00C67886" w:rsidRPr="005A3F47">
        <w:rPr>
          <w:noProof/>
        </w:rPr>
        <w:t xml:space="preserve">0.02% of GDP. </w:t>
      </w:r>
      <w:r w:rsidR="0087275F" w:rsidRPr="005A3F47">
        <w:rPr>
          <w:noProof/>
        </w:rPr>
        <w:t xml:space="preserve">However, the impact on </w:t>
      </w:r>
      <w:r w:rsidR="001A7CFF" w:rsidRPr="005A3F47">
        <w:rPr>
          <w:i/>
          <w:noProof/>
        </w:rPr>
        <w:t>overall</w:t>
      </w:r>
      <w:r w:rsidR="001A7CFF" w:rsidRPr="005A3F47">
        <w:rPr>
          <w:noProof/>
        </w:rPr>
        <w:t xml:space="preserve"> tax</w:t>
      </w:r>
      <w:r w:rsidR="0087275F" w:rsidRPr="005A3F47">
        <w:rPr>
          <w:noProof/>
        </w:rPr>
        <w:t xml:space="preserve"> revenue is </w:t>
      </w:r>
      <w:r w:rsidR="001A7CFF" w:rsidRPr="005A3F47">
        <w:rPr>
          <w:noProof/>
        </w:rPr>
        <w:t xml:space="preserve">a lot </w:t>
      </w:r>
      <w:r w:rsidR="0087275F" w:rsidRPr="005A3F47">
        <w:rPr>
          <w:noProof/>
        </w:rPr>
        <w:t>milder (-0.01% of GDP)</w:t>
      </w:r>
      <w:r w:rsidR="00D321F4" w:rsidRPr="005A3F47">
        <w:rPr>
          <w:noProof/>
        </w:rPr>
        <w:t xml:space="preserve"> due to</w:t>
      </w:r>
      <w:r w:rsidR="00AC0FD0" w:rsidRPr="005A3F47">
        <w:rPr>
          <w:noProof/>
        </w:rPr>
        <w:t xml:space="preserve"> </w:t>
      </w:r>
      <w:r w:rsidR="00AC0FD0" w:rsidRPr="00EF43B3">
        <w:rPr>
          <w:noProof/>
        </w:rPr>
        <w:t>the</w:t>
      </w:r>
      <w:r w:rsidR="00D321F4" w:rsidRPr="00EF43B3">
        <w:rPr>
          <w:noProof/>
        </w:rPr>
        <w:t xml:space="preserve"> positive macroec</w:t>
      </w:r>
      <w:r w:rsidR="00102DD1" w:rsidRPr="00EF43B3">
        <w:rPr>
          <w:noProof/>
        </w:rPr>
        <w:t>onomic</w:t>
      </w:r>
      <w:r w:rsidR="00E703C0" w:rsidRPr="00EF43B3">
        <w:rPr>
          <w:noProof/>
        </w:rPr>
        <w:t xml:space="preserve"> feedback</w:t>
      </w:r>
      <w:r w:rsidR="00AC0FD0" w:rsidRPr="00EF43B3">
        <w:rPr>
          <w:noProof/>
        </w:rPr>
        <w:t xml:space="preserve"> effects of the measure</w:t>
      </w:r>
      <w:r w:rsidR="00F60943" w:rsidRPr="00EF43B3">
        <w:rPr>
          <w:noProof/>
        </w:rPr>
        <w:t xml:space="preserve">. </w:t>
      </w:r>
      <w:r w:rsidR="00000BC3" w:rsidRPr="00EF43B3">
        <w:rPr>
          <w:noProof/>
        </w:rPr>
        <w:t>In detail, this means that:</w:t>
      </w:r>
    </w:p>
    <w:p w14:paraId="74482539" w14:textId="7B3B0B6A" w:rsidR="00010B91" w:rsidRPr="005A3F47" w:rsidRDefault="00F053E5" w:rsidP="00010B91">
      <w:pPr>
        <w:pStyle w:val="Text2"/>
        <w:ind w:left="0"/>
        <w:rPr>
          <w:noProof/>
        </w:rPr>
      </w:pPr>
      <w:r w:rsidRPr="005A3F47">
        <w:rPr>
          <w:noProof/>
        </w:rPr>
        <w:t>The proposed measure</w:t>
      </w:r>
      <w:r w:rsidR="003F265E" w:rsidRPr="005A3F47">
        <w:rPr>
          <w:noProof/>
        </w:rPr>
        <w:t xml:space="preserve"> </w:t>
      </w:r>
      <w:r w:rsidR="00A513B0" w:rsidRPr="005A3F47">
        <w:rPr>
          <w:noProof/>
        </w:rPr>
        <w:t>will</w:t>
      </w:r>
      <w:r w:rsidR="00010B91" w:rsidRPr="005A3F47">
        <w:rPr>
          <w:noProof/>
        </w:rPr>
        <w:t xml:space="preserve"> stimulate overall economic activity, leading to a</w:t>
      </w:r>
      <w:r w:rsidR="00A513B0" w:rsidRPr="005A3F47">
        <w:rPr>
          <w:noProof/>
        </w:rPr>
        <w:t>n</w:t>
      </w:r>
      <w:r w:rsidR="00010B91" w:rsidRPr="005A3F47">
        <w:rPr>
          <w:noProof/>
        </w:rPr>
        <w:t xml:space="preserve"> increase in </w:t>
      </w:r>
      <w:r w:rsidR="00CD3359" w:rsidRPr="005A3F47">
        <w:rPr>
          <w:noProof/>
        </w:rPr>
        <w:t xml:space="preserve">the capital stock </w:t>
      </w:r>
      <w:r w:rsidR="003112B7" w:rsidRPr="005A3F47">
        <w:rPr>
          <w:noProof/>
        </w:rPr>
        <w:t>(</w:t>
      </w:r>
      <w:r w:rsidR="00594963" w:rsidRPr="005A3F47">
        <w:rPr>
          <w:noProof/>
        </w:rPr>
        <w:t xml:space="preserve">about </w:t>
      </w:r>
      <w:r w:rsidR="006751D0" w:rsidRPr="005A3F47">
        <w:rPr>
          <w:noProof/>
        </w:rPr>
        <w:t>+</w:t>
      </w:r>
      <w:r w:rsidR="003112B7" w:rsidRPr="005A3F47">
        <w:rPr>
          <w:noProof/>
        </w:rPr>
        <w:t>0.</w:t>
      </w:r>
      <w:r w:rsidR="00056FAE" w:rsidRPr="005A3F47">
        <w:rPr>
          <w:noProof/>
        </w:rPr>
        <w:t>0</w:t>
      </w:r>
      <w:r w:rsidR="00CA106E" w:rsidRPr="005A3F47">
        <w:rPr>
          <w:noProof/>
        </w:rPr>
        <w:t>7</w:t>
      </w:r>
      <w:r w:rsidR="003112B7" w:rsidRPr="005A3F47" w:rsidDel="00494F06">
        <w:rPr>
          <w:noProof/>
        </w:rPr>
        <w:t>%</w:t>
      </w:r>
      <w:r w:rsidR="003112B7" w:rsidRPr="005A3F47">
        <w:rPr>
          <w:noProof/>
        </w:rPr>
        <w:t xml:space="preserve">) and </w:t>
      </w:r>
      <w:r w:rsidR="00010B91" w:rsidRPr="005A3F47">
        <w:rPr>
          <w:noProof/>
        </w:rPr>
        <w:t>GDP (</w:t>
      </w:r>
      <w:r w:rsidR="00594963" w:rsidRPr="005A3F47">
        <w:rPr>
          <w:noProof/>
        </w:rPr>
        <w:t xml:space="preserve">about </w:t>
      </w:r>
      <w:r w:rsidR="00010B91" w:rsidRPr="005A3F47">
        <w:rPr>
          <w:noProof/>
        </w:rPr>
        <w:t>+0.0</w:t>
      </w:r>
      <w:r w:rsidR="00A5194B" w:rsidRPr="005A3F47">
        <w:rPr>
          <w:noProof/>
        </w:rPr>
        <w:t>4</w:t>
      </w:r>
      <w:r w:rsidR="00010B91" w:rsidRPr="005A3F47">
        <w:rPr>
          <w:noProof/>
        </w:rPr>
        <w:t>%)</w:t>
      </w:r>
      <w:r w:rsidR="00464EB4" w:rsidRPr="005A3F47">
        <w:rPr>
          <w:noProof/>
        </w:rPr>
        <w:t xml:space="preserve">. </w:t>
      </w:r>
      <w:r w:rsidR="005A2895" w:rsidRPr="005A3F47">
        <w:rPr>
          <w:noProof/>
        </w:rPr>
        <w:t xml:space="preserve">Importantly, there will </w:t>
      </w:r>
      <w:r w:rsidR="00E34D7A" w:rsidRPr="005A3F47">
        <w:rPr>
          <w:noProof/>
        </w:rPr>
        <w:t xml:space="preserve">also </w:t>
      </w:r>
      <w:r w:rsidR="005A2895" w:rsidRPr="005A3F47">
        <w:rPr>
          <w:noProof/>
        </w:rPr>
        <w:t xml:space="preserve">be </w:t>
      </w:r>
      <w:r w:rsidR="00010B91" w:rsidRPr="005A3F47">
        <w:rPr>
          <w:noProof/>
        </w:rPr>
        <w:t>positive spillovers for employment (</w:t>
      </w:r>
      <w:r w:rsidR="00594963" w:rsidRPr="005A3F47">
        <w:rPr>
          <w:noProof/>
        </w:rPr>
        <w:t xml:space="preserve">about </w:t>
      </w:r>
      <w:r w:rsidR="00010B91" w:rsidRPr="005A3F47">
        <w:rPr>
          <w:noProof/>
        </w:rPr>
        <w:t>+0.0</w:t>
      </w:r>
      <w:r w:rsidR="00EC12C2" w:rsidRPr="005A3F47">
        <w:rPr>
          <w:noProof/>
        </w:rPr>
        <w:t>2</w:t>
      </w:r>
      <w:r w:rsidR="00010B91" w:rsidRPr="005A3F47">
        <w:rPr>
          <w:noProof/>
        </w:rPr>
        <w:t>%). As economic activity expands, additional tax revenues are generated from other sources, such as corporate income taxes and capital gains</w:t>
      </w:r>
      <w:r w:rsidR="00B933BD" w:rsidRPr="005A3F47">
        <w:rPr>
          <w:noProof/>
        </w:rPr>
        <w:t xml:space="preserve">. </w:t>
      </w:r>
      <w:r w:rsidR="002D6AFB" w:rsidRPr="005A3F47">
        <w:rPr>
          <w:noProof/>
        </w:rPr>
        <w:t xml:space="preserve">This means that </w:t>
      </w:r>
      <w:r w:rsidR="00513055" w:rsidRPr="005A3F47">
        <w:rPr>
          <w:noProof/>
        </w:rPr>
        <w:t xml:space="preserve">any immediate revenue decline would be </w:t>
      </w:r>
      <w:r w:rsidR="005412CA" w:rsidRPr="005A3F47">
        <w:rPr>
          <w:noProof/>
        </w:rPr>
        <w:t>more than</w:t>
      </w:r>
      <w:r w:rsidR="00513055" w:rsidRPr="005A3F47">
        <w:rPr>
          <w:noProof/>
        </w:rPr>
        <w:t xml:space="preserve"> compensated by </w:t>
      </w:r>
      <w:r w:rsidR="004C2677" w:rsidRPr="005A3F47">
        <w:rPr>
          <w:noProof/>
        </w:rPr>
        <w:t>capital gains,</w:t>
      </w:r>
      <w:r w:rsidR="003760F1" w:rsidRPr="005A3F47">
        <w:rPr>
          <w:noProof/>
        </w:rPr>
        <w:t xml:space="preserve"> </w:t>
      </w:r>
      <w:r w:rsidR="00793CA7" w:rsidRPr="005A3F47">
        <w:rPr>
          <w:noProof/>
        </w:rPr>
        <w:t>investment</w:t>
      </w:r>
      <w:r w:rsidR="002E7C8B" w:rsidRPr="005A3F47">
        <w:rPr>
          <w:noProof/>
        </w:rPr>
        <w:t xml:space="preserve">, </w:t>
      </w:r>
      <w:r w:rsidR="00793CA7" w:rsidRPr="005A3F47">
        <w:rPr>
          <w:noProof/>
        </w:rPr>
        <w:t>growth</w:t>
      </w:r>
      <w:r w:rsidR="002E7C8B" w:rsidRPr="005A3F47">
        <w:rPr>
          <w:noProof/>
        </w:rPr>
        <w:t>, and increased revenue streams over time</w:t>
      </w:r>
      <w:r w:rsidR="00793CA7" w:rsidRPr="005A3F47">
        <w:rPr>
          <w:noProof/>
        </w:rPr>
        <w:t>.</w:t>
      </w:r>
      <w:r w:rsidR="00AF6FB9" w:rsidRPr="005A3F47">
        <w:rPr>
          <w:noProof/>
        </w:rPr>
        <w:t xml:space="preserve"> The ensuing</w:t>
      </w:r>
      <w:r w:rsidR="00010B91" w:rsidRPr="005A3F47">
        <w:rPr>
          <w:noProof/>
        </w:rPr>
        <w:t xml:space="preserve"> lower tax burden will improve the EU’s competitiveness as investment </w:t>
      </w:r>
      <w:r w:rsidR="00977A9E" w:rsidRPr="005A3F47">
        <w:rPr>
          <w:noProof/>
        </w:rPr>
        <w:t>is expected to increase</w:t>
      </w:r>
      <w:r w:rsidR="00010B91" w:rsidRPr="005A3F47">
        <w:rPr>
          <w:noProof/>
        </w:rPr>
        <w:t xml:space="preserve">, </w:t>
      </w:r>
      <w:r w:rsidR="00A452FD" w:rsidRPr="005A3F47">
        <w:rPr>
          <w:noProof/>
        </w:rPr>
        <w:t>which will</w:t>
      </w:r>
      <w:r w:rsidR="00010B91" w:rsidRPr="005A3F47">
        <w:rPr>
          <w:noProof/>
        </w:rPr>
        <w:t xml:space="preserve"> trigger higher growth</w:t>
      </w:r>
      <w:r w:rsidR="00BE5617" w:rsidRPr="005A3F47">
        <w:rPr>
          <w:noProof/>
        </w:rPr>
        <w:t xml:space="preserve"> and creat</w:t>
      </w:r>
      <w:r w:rsidR="00A452FD" w:rsidRPr="005A3F47">
        <w:rPr>
          <w:noProof/>
        </w:rPr>
        <w:t>e</w:t>
      </w:r>
      <w:r w:rsidR="00BE5617" w:rsidRPr="005A3F47">
        <w:rPr>
          <w:noProof/>
        </w:rPr>
        <w:t xml:space="preserve"> more jobs</w:t>
      </w:r>
      <w:r w:rsidR="00010B91" w:rsidRPr="005A3F47">
        <w:rPr>
          <w:noProof/>
        </w:rPr>
        <w:t>.</w:t>
      </w:r>
      <w:r w:rsidR="00264421" w:rsidRPr="005A3F47">
        <w:rPr>
          <w:noProof/>
        </w:rPr>
        <w:t xml:space="preserve"> Figure 10</w:t>
      </w:r>
      <w:r w:rsidR="00A8577E" w:rsidRPr="005A3F47">
        <w:rPr>
          <w:noProof/>
        </w:rPr>
        <w:t xml:space="preserve"> </w:t>
      </w:r>
      <w:r w:rsidR="00264421" w:rsidRPr="005A3F47">
        <w:rPr>
          <w:noProof/>
        </w:rPr>
        <w:t>details the findings of the simulation</w:t>
      </w:r>
      <w:r w:rsidR="00873842" w:rsidRPr="005A3F47">
        <w:rPr>
          <w:noProof/>
        </w:rPr>
        <w:t xml:space="preserve"> for this measure in the first row (Option 1A).</w:t>
      </w:r>
    </w:p>
    <w:p w14:paraId="09800900" w14:textId="4DD96A28" w:rsidR="009C6153" w:rsidRPr="005A3F47" w:rsidRDefault="009C6153" w:rsidP="009C6153">
      <w:pPr>
        <w:pStyle w:val="Caption"/>
        <w:keepNext/>
        <w:spacing w:after="60"/>
        <w:rPr>
          <w:noProof/>
          <w:color w:val="auto"/>
        </w:rPr>
      </w:pPr>
      <w:r w:rsidRPr="005A3F47">
        <w:rPr>
          <w:noProof/>
          <w:color w:val="auto"/>
        </w:rPr>
        <w:t xml:space="preserve">Figure 10: </w:t>
      </w:r>
      <w:r w:rsidR="00972CC0" w:rsidRPr="005A3F47">
        <w:rPr>
          <w:noProof/>
          <w:color w:val="auto"/>
        </w:rPr>
        <w:t>Long-term i</w:t>
      </w:r>
      <w:r w:rsidR="00472E7E" w:rsidRPr="005A3F47">
        <w:rPr>
          <w:noProof/>
          <w:color w:val="auto"/>
        </w:rPr>
        <w:t xml:space="preserve">mpact of </w:t>
      </w:r>
      <w:r w:rsidR="00C00ED0" w:rsidRPr="005A3F47">
        <w:rPr>
          <w:noProof/>
          <w:color w:val="auto"/>
        </w:rPr>
        <w:t xml:space="preserve">the </w:t>
      </w:r>
      <w:r w:rsidR="00472E7E" w:rsidRPr="005A3F47">
        <w:rPr>
          <w:noProof/>
          <w:color w:val="auto"/>
        </w:rPr>
        <w:t>WHT</w:t>
      </w:r>
      <w:r w:rsidR="00C00ED0" w:rsidRPr="005A3F47">
        <w:rPr>
          <w:noProof/>
          <w:color w:val="auto"/>
        </w:rPr>
        <w:t xml:space="preserve"> </w:t>
      </w:r>
      <w:r w:rsidR="00472E7E" w:rsidRPr="005A3F47">
        <w:rPr>
          <w:noProof/>
          <w:color w:val="auto"/>
        </w:rPr>
        <w:t>exemption</w:t>
      </w:r>
      <w:r w:rsidRPr="005A3F47">
        <w:rPr>
          <w:noProof/>
          <w:color w:val="auto"/>
        </w:rPr>
        <w:t>, simulation with CORTAX, % change relative to initial situation (EU-27)</w:t>
      </w:r>
    </w:p>
    <w:p w14:paraId="0FE5F927" w14:textId="24F20859" w:rsidR="009C6153" w:rsidRPr="005A3F47" w:rsidRDefault="002E5993" w:rsidP="009C6153">
      <w:pPr>
        <w:pStyle w:val="Text2"/>
        <w:spacing w:after="0"/>
        <w:ind w:left="0"/>
        <w:rPr>
          <w:noProof/>
        </w:rPr>
      </w:pPr>
      <w:r w:rsidRPr="005A3F47">
        <w:rPr>
          <w:noProof/>
          <w:lang w:eastAsia="en-GB"/>
        </w:rPr>
        <w:drawing>
          <wp:inline distT="0" distB="0" distL="0" distR="0" wp14:anchorId="29DFAEA8" wp14:editId="427B825A">
            <wp:extent cx="6101715" cy="855980"/>
            <wp:effectExtent l="0" t="0" r="0" b="0"/>
            <wp:docPr id="151811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01715" cy="855980"/>
                    </a:xfrm>
                    <a:prstGeom prst="rect">
                      <a:avLst/>
                    </a:prstGeom>
                    <a:noFill/>
                    <a:ln>
                      <a:noFill/>
                    </a:ln>
                  </pic:spPr>
                </pic:pic>
              </a:graphicData>
            </a:graphic>
          </wp:inline>
        </w:drawing>
      </w:r>
    </w:p>
    <w:p w14:paraId="049410D5" w14:textId="77777777" w:rsidR="009C6153" w:rsidRPr="005A3F47" w:rsidRDefault="009C6153" w:rsidP="009C6153">
      <w:pPr>
        <w:pStyle w:val="Text2"/>
        <w:ind w:left="0"/>
        <w:rPr>
          <w:i/>
          <w:iCs/>
          <w:noProof/>
          <w:sz w:val="20"/>
        </w:rPr>
      </w:pPr>
      <w:r w:rsidRPr="005A3F47">
        <w:rPr>
          <w:i/>
          <w:iCs/>
          <w:noProof/>
          <w:sz w:val="20"/>
        </w:rPr>
        <w:t>Source: European Commission, Joint Research Centre</w:t>
      </w:r>
    </w:p>
    <w:p w14:paraId="00CF26AE" w14:textId="501FA246" w:rsidR="00D6335B" w:rsidRPr="005A3F47" w:rsidRDefault="00690401" w:rsidP="00010B91">
      <w:pPr>
        <w:pStyle w:val="Text2"/>
        <w:ind w:left="0"/>
        <w:rPr>
          <w:noProof/>
        </w:rPr>
      </w:pPr>
      <w:r w:rsidRPr="005A3F47">
        <w:rPr>
          <w:noProof/>
        </w:rPr>
        <w:t>The</w:t>
      </w:r>
      <w:r w:rsidR="00A00DB5" w:rsidRPr="005A3F47">
        <w:rPr>
          <w:noProof/>
        </w:rPr>
        <w:t xml:space="preserve">se effects could </w:t>
      </w:r>
      <w:r w:rsidR="00302430" w:rsidRPr="005A3F47">
        <w:rPr>
          <w:noProof/>
        </w:rPr>
        <w:t xml:space="preserve">be interpreted as lower-bound estimates. </w:t>
      </w:r>
      <w:r w:rsidR="00782CD2" w:rsidRPr="005A3F47">
        <w:rPr>
          <w:noProof/>
        </w:rPr>
        <w:t xml:space="preserve">The positive feedback could be stronger as </w:t>
      </w:r>
      <w:r w:rsidR="00035CD3" w:rsidRPr="005A3F47">
        <w:rPr>
          <w:noProof/>
        </w:rPr>
        <w:t xml:space="preserve">new tax revenue </w:t>
      </w:r>
      <w:r w:rsidR="004F7DE2" w:rsidRPr="005A3F47">
        <w:rPr>
          <w:noProof/>
        </w:rPr>
        <w:t>could also</w:t>
      </w:r>
      <w:r w:rsidR="00035CD3" w:rsidRPr="005A3F47">
        <w:rPr>
          <w:noProof/>
        </w:rPr>
        <w:t xml:space="preserve"> be expected from </w:t>
      </w:r>
      <w:r w:rsidR="00F504F8" w:rsidRPr="005A3F47">
        <w:rPr>
          <w:noProof/>
        </w:rPr>
        <w:t xml:space="preserve">the new </w:t>
      </w:r>
      <w:r w:rsidR="00B95BCD" w:rsidRPr="005A3F47">
        <w:rPr>
          <w:noProof/>
        </w:rPr>
        <w:t xml:space="preserve">‘protective’ </w:t>
      </w:r>
      <w:r w:rsidR="00DB72A3" w:rsidRPr="005A3F47">
        <w:rPr>
          <w:noProof/>
        </w:rPr>
        <w:t xml:space="preserve">measure, namely </w:t>
      </w:r>
      <w:r w:rsidR="0063470F" w:rsidRPr="005A3F47">
        <w:rPr>
          <w:noProof/>
        </w:rPr>
        <w:t xml:space="preserve">the </w:t>
      </w:r>
      <w:r w:rsidR="00F504F8" w:rsidRPr="005A3F47">
        <w:rPr>
          <w:noProof/>
        </w:rPr>
        <w:t xml:space="preserve">withholding tax levied upon outbound royalty and interest payments </w:t>
      </w:r>
      <w:r w:rsidR="00D6192B" w:rsidRPr="005A3F47">
        <w:rPr>
          <w:noProof/>
        </w:rPr>
        <w:t>towards zero-tax third country jurisdictions</w:t>
      </w:r>
      <w:r w:rsidR="007E502A" w:rsidRPr="005A3F47">
        <w:rPr>
          <w:noProof/>
        </w:rPr>
        <w:t xml:space="preserve"> as explained under Section 5.2.1.1 above</w:t>
      </w:r>
      <w:r w:rsidR="00D6192B" w:rsidRPr="005A3F47">
        <w:rPr>
          <w:noProof/>
        </w:rPr>
        <w:t>.</w:t>
      </w:r>
      <w:r w:rsidR="009E5C74" w:rsidRPr="005A3F47">
        <w:rPr>
          <w:noProof/>
        </w:rPr>
        <w:t xml:space="preserve"> </w:t>
      </w:r>
      <w:r w:rsidR="009A582C" w:rsidRPr="005A3F47">
        <w:rPr>
          <w:noProof/>
        </w:rPr>
        <w:t>This effect is</w:t>
      </w:r>
      <w:r w:rsidR="0079680D" w:rsidRPr="005A3F47">
        <w:rPr>
          <w:noProof/>
        </w:rPr>
        <w:t>, however,</w:t>
      </w:r>
      <w:r w:rsidR="009A582C" w:rsidRPr="005A3F47">
        <w:rPr>
          <w:noProof/>
        </w:rPr>
        <w:t xml:space="preserve"> not included in the simulation. </w:t>
      </w:r>
      <w:r w:rsidR="009E5C74" w:rsidRPr="005A3F47">
        <w:rPr>
          <w:noProof/>
        </w:rPr>
        <w:t>Today, outbound payments to Offshore Financial Centres (OFC) </w:t>
      </w:r>
      <w:r w:rsidR="009E5C74" w:rsidRPr="005A3F47">
        <w:rPr>
          <w:rStyle w:val="FootnoteReference"/>
          <w:noProof/>
        </w:rPr>
        <w:footnoteReference w:id="84"/>
      </w:r>
      <w:r w:rsidR="00E06AF2">
        <w:rPr>
          <w:noProof/>
        </w:rPr>
        <w:t xml:space="preserve"> </w:t>
      </w:r>
      <w:r w:rsidR="009E5C74" w:rsidRPr="005A3F47">
        <w:rPr>
          <w:noProof/>
        </w:rPr>
        <w:t>are significant according to Eurostat’s balance of payments statistics.</w:t>
      </w:r>
      <w:r w:rsidR="00BF3731" w:rsidRPr="005A3F47">
        <w:rPr>
          <w:rStyle w:val="FootnoteReference"/>
          <w:noProof/>
        </w:rPr>
        <w:footnoteReference w:id="85"/>
      </w:r>
      <w:r w:rsidR="00B36AC8" w:rsidRPr="005A3F47">
        <w:rPr>
          <w:noProof/>
        </w:rPr>
        <w:t xml:space="preserve"> </w:t>
      </w:r>
      <w:r w:rsidR="00B622D9" w:rsidRPr="005A3F47">
        <w:rPr>
          <w:noProof/>
        </w:rPr>
        <w:t xml:space="preserve">Much of it is likely </w:t>
      </w:r>
      <w:r w:rsidR="00B01CC4" w:rsidRPr="005A3F47">
        <w:rPr>
          <w:noProof/>
        </w:rPr>
        <w:t xml:space="preserve">used as vehicles for profit </w:t>
      </w:r>
      <w:r w:rsidR="009F365F" w:rsidRPr="005A3F47">
        <w:rPr>
          <w:noProof/>
        </w:rPr>
        <w:t xml:space="preserve">shifting to OFCs. </w:t>
      </w:r>
      <w:r w:rsidR="000021DC" w:rsidRPr="005A3F47">
        <w:rPr>
          <w:noProof/>
        </w:rPr>
        <w:t>This has direct implications for growth</w:t>
      </w:r>
      <w:r w:rsidR="006D7C72" w:rsidRPr="005A3F47">
        <w:rPr>
          <w:noProof/>
        </w:rPr>
        <w:t xml:space="preserve"> that go beyond </w:t>
      </w:r>
      <w:r w:rsidR="00CC523B" w:rsidRPr="005A3F47">
        <w:rPr>
          <w:noProof/>
        </w:rPr>
        <w:t xml:space="preserve">the </w:t>
      </w:r>
      <w:r w:rsidR="00F9539D" w:rsidRPr="005A3F47">
        <w:rPr>
          <w:noProof/>
        </w:rPr>
        <w:t xml:space="preserve">direct </w:t>
      </w:r>
      <w:r w:rsidR="00CC523B" w:rsidRPr="005A3F47">
        <w:rPr>
          <w:noProof/>
        </w:rPr>
        <w:t xml:space="preserve">effect of </w:t>
      </w:r>
      <w:r w:rsidR="000E51DD" w:rsidRPr="005A3F47">
        <w:rPr>
          <w:noProof/>
        </w:rPr>
        <w:t>resources</w:t>
      </w:r>
      <w:r w:rsidR="00F9539D" w:rsidRPr="005A3F47">
        <w:rPr>
          <w:noProof/>
        </w:rPr>
        <w:t xml:space="preserve"> shifted offshore</w:t>
      </w:r>
      <w:r w:rsidR="000021DC" w:rsidRPr="005A3F47">
        <w:rPr>
          <w:noProof/>
        </w:rPr>
        <w:t xml:space="preserve">. </w:t>
      </w:r>
      <w:r w:rsidR="00D6335B" w:rsidRPr="005A3F47">
        <w:rPr>
          <w:noProof/>
        </w:rPr>
        <w:t xml:space="preserve">A more comprehensive system </w:t>
      </w:r>
      <w:r w:rsidR="00543DC9" w:rsidRPr="005A3F47">
        <w:rPr>
          <w:noProof/>
        </w:rPr>
        <w:t>for the application</w:t>
      </w:r>
      <w:r w:rsidR="00D6335B" w:rsidRPr="005A3F47">
        <w:rPr>
          <w:noProof/>
        </w:rPr>
        <w:t xml:space="preserve"> of withholding taxes on outbound payments </w:t>
      </w:r>
      <w:r w:rsidR="00A255E9" w:rsidRPr="005A3F47">
        <w:rPr>
          <w:noProof/>
        </w:rPr>
        <w:t>c</w:t>
      </w:r>
      <w:r w:rsidR="00D6335B" w:rsidRPr="005A3F47">
        <w:rPr>
          <w:noProof/>
        </w:rPr>
        <w:t xml:space="preserve">ould therefore lead to </w:t>
      </w:r>
      <w:r w:rsidR="000B7E33" w:rsidRPr="005A3F47">
        <w:rPr>
          <w:noProof/>
        </w:rPr>
        <w:t xml:space="preserve">more productive </w:t>
      </w:r>
      <w:r w:rsidR="00D6335B" w:rsidRPr="005A3F47">
        <w:rPr>
          <w:noProof/>
        </w:rPr>
        <w:t xml:space="preserve">allocation of </w:t>
      </w:r>
      <w:r w:rsidR="00EC7C85" w:rsidRPr="005A3F47">
        <w:rPr>
          <w:noProof/>
        </w:rPr>
        <w:t>intangible assets</w:t>
      </w:r>
      <w:r w:rsidR="00DA4DF3" w:rsidRPr="005A3F47">
        <w:rPr>
          <w:noProof/>
        </w:rPr>
        <w:t xml:space="preserve">, </w:t>
      </w:r>
      <w:r w:rsidR="00DC4339" w:rsidRPr="005A3F47">
        <w:rPr>
          <w:noProof/>
        </w:rPr>
        <w:t>more innovation in the EU, and ultimately</w:t>
      </w:r>
      <w:r w:rsidR="00DA4DF3" w:rsidRPr="005A3F47">
        <w:rPr>
          <w:noProof/>
        </w:rPr>
        <w:t xml:space="preserve"> higher growth</w:t>
      </w:r>
      <w:r w:rsidR="000B7E33" w:rsidRPr="005A3F47">
        <w:rPr>
          <w:noProof/>
        </w:rPr>
        <w:t>.</w:t>
      </w:r>
    </w:p>
    <w:p w14:paraId="105B626B" w14:textId="51169340" w:rsidR="00A766D5" w:rsidRPr="005A3F47" w:rsidRDefault="00A766D5" w:rsidP="00662550">
      <w:pPr>
        <w:pStyle w:val="Heading4"/>
        <w:numPr>
          <w:ilvl w:val="3"/>
          <w:numId w:val="185"/>
        </w:numPr>
        <w:rPr>
          <w:noProof/>
        </w:rPr>
      </w:pPr>
      <w:r w:rsidRPr="005A3F47">
        <w:rPr>
          <w:noProof/>
        </w:rPr>
        <w:t xml:space="preserve">Option </w:t>
      </w:r>
      <w:r w:rsidR="009A5D7E" w:rsidRPr="005A3F47">
        <w:rPr>
          <w:noProof/>
        </w:rPr>
        <w:t>1</w:t>
      </w:r>
      <w:r w:rsidR="00A23464" w:rsidRPr="005A3F47">
        <w:rPr>
          <w:noProof/>
        </w:rPr>
        <w:t>B</w:t>
      </w:r>
      <w:r w:rsidRPr="005A3F47">
        <w:rPr>
          <w:noProof/>
        </w:rPr>
        <w:t xml:space="preserve">: </w:t>
      </w:r>
      <w:r w:rsidR="00A14E54" w:rsidRPr="005A3F47">
        <w:rPr>
          <w:noProof/>
        </w:rPr>
        <w:t xml:space="preserve">Alignment of scope </w:t>
      </w:r>
      <w:r w:rsidR="003D0737" w:rsidRPr="005A3F47">
        <w:rPr>
          <w:noProof/>
        </w:rPr>
        <w:t xml:space="preserve">(holding requirement) </w:t>
      </w:r>
      <w:r w:rsidR="00A14E54" w:rsidRPr="005A3F47">
        <w:rPr>
          <w:noProof/>
        </w:rPr>
        <w:t>and procedures</w:t>
      </w:r>
    </w:p>
    <w:p w14:paraId="1979BCC3" w14:textId="77777777" w:rsidR="00342B05" w:rsidRPr="005A3F47" w:rsidRDefault="00342B05" w:rsidP="00DE6B6A">
      <w:pPr>
        <w:pStyle w:val="Text2"/>
        <w:spacing w:before="240" w:after="120"/>
        <w:ind w:left="0"/>
        <w:rPr>
          <w:i/>
          <w:noProof/>
        </w:rPr>
      </w:pPr>
      <w:r w:rsidRPr="005A3F47">
        <w:rPr>
          <w:bCs/>
          <w:i/>
          <w:noProof/>
        </w:rPr>
        <w:t>Impact on companies</w:t>
      </w:r>
    </w:p>
    <w:p w14:paraId="0B7C1039" w14:textId="09FD607A" w:rsidR="005D527B" w:rsidRPr="00266412" w:rsidRDefault="00A23464" w:rsidP="005D527B">
      <w:pPr>
        <w:spacing w:before="120" w:after="120"/>
        <w:rPr>
          <w:noProof/>
        </w:rPr>
      </w:pPr>
      <w:r w:rsidRPr="005A3F47">
        <w:rPr>
          <w:noProof/>
        </w:rPr>
        <w:t xml:space="preserve">This Option </w:t>
      </w:r>
      <w:r w:rsidR="002C6112" w:rsidRPr="005A3F47">
        <w:rPr>
          <w:noProof/>
        </w:rPr>
        <w:t xml:space="preserve">would seek </w:t>
      </w:r>
      <w:r w:rsidRPr="005A3F47">
        <w:rPr>
          <w:noProof/>
        </w:rPr>
        <w:t xml:space="preserve">to align the </w:t>
      </w:r>
      <w:r w:rsidR="00C434B2" w:rsidRPr="005A3F47">
        <w:rPr>
          <w:noProof/>
        </w:rPr>
        <w:t xml:space="preserve">material </w:t>
      </w:r>
      <w:r w:rsidRPr="005A3F47">
        <w:rPr>
          <w:noProof/>
        </w:rPr>
        <w:t>scope of the IRD and the PSD</w:t>
      </w:r>
      <w:r w:rsidR="00B31E60" w:rsidRPr="005A3F47">
        <w:rPr>
          <w:noProof/>
        </w:rPr>
        <w:t xml:space="preserve">, lowering the holding requirement </w:t>
      </w:r>
      <w:r w:rsidR="005A6533" w:rsidRPr="005A3F47">
        <w:rPr>
          <w:noProof/>
        </w:rPr>
        <w:t xml:space="preserve">of the IRD </w:t>
      </w:r>
      <w:r w:rsidR="00B31E60" w:rsidRPr="005A3F47">
        <w:rPr>
          <w:noProof/>
        </w:rPr>
        <w:t>to 10%</w:t>
      </w:r>
      <w:r w:rsidR="00256582" w:rsidRPr="005A3F47">
        <w:rPr>
          <w:noProof/>
        </w:rPr>
        <w:t>. It would also align</w:t>
      </w:r>
      <w:r w:rsidRPr="005A3F47">
        <w:rPr>
          <w:noProof/>
        </w:rPr>
        <w:t xml:space="preserve"> the procedures for obtaining the </w:t>
      </w:r>
      <w:r w:rsidR="004002B4" w:rsidRPr="005A3F47">
        <w:rPr>
          <w:noProof/>
        </w:rPr>
        <w:t xml:space="preserve">withholding tax </w:t>
      </w:r>
      <w:r w:rsidRPr="005A3F47">
        <w:rPr>
          <w:noProof/>
        </w:rPr>
        <w:t xml:space="preserve">exemptions under the Directives. </w:t>
      </w:r>
      <w:r w:rsidR="002E0D4A" w:rsidRPr="005A3F47">
        <w:rPr>
          <w:noProof/>
        </w:rPr>
        <w:t>The</w:t>
      </w:r>
      <w:r w:rsidR="00D95B37" w:rsidRPr="005A3F47">
        <w:rPr>
          <w:noProof/>
        </w:rPr>
        <w:t xml:space="preserve"> effect of</w:t>
      </w:r>
      <w:r w:rsidR="00607B1E" w:rsidRPr="005A3F47">
        <w:rPr>
          <w:noProof/>
        </w:rPr>
        <w:t xml:space="preserve"> </w:t>
      </w:r>
      <w:r w:rsidR="00676E7F" w:rsidRPr="005A3F47">
        <w:rPr>
          <w:noProof/>
        </w:rPr>
        <w:t xml:space="preserve">lowering of </w:t>
      </w:r>
      <w:r w:rsidR="00607B1E" w:rsidRPr="005A3F47">
        <w:rPr>
          <w:noProof/>
        </w:rPr>
        <w:t>the h</w:t>
      </w:r>
      <w:r w:rsidR="00E46DB0" w:rsidRPr="005A3F47">
        <w:rPr>
          <w:noProof/>
        </w:rPr>
        <w:t xml:space="preserve">olding requirements in the </w:t>
      </w:r>
      <w:r w:rsidR="008C66B4" w:rsidRPr="005A3F47">
        <w:rPr>
          <w:noProof/>
        </w:rPr>
        <w:t>IRD</w:t>
      </w:r>
      <w:r w:rsidR="00E46DB0" w:rsidRPr="005A3F47">
        <w:rPr>
          <w:noProof/>
        </w:rPr>
        <w:t xml:space="preserve"> </w:t>
      </w:r>
      <w:r w:rsidR="006B6FC7" w:rsidRPr="005A3F47">
        <w:rPr>
          <w:noProof/>
        </w:rPr>
        <w:t xml:space="preserve">to </w:t>
      </w:r>
      <w:r w:rsidR="00676E7F" w:rsidRPr="005A3F47">
        <w:rPr>
          <w:noProof/>
        </w:rPr>
        <w:t>10</w:t>
      </w:r>
      <w:r w:rsidR="006B6FC7" w:rsidRPr="005A3F47">
        <w:rPr>
          <w:noProof/>
        </w:rPr>
        <w:t xml:space="preserve">% </w:t>
      </w:r>
      <w:r w:rsidR="00D95B37" w:rsidRPr="005A3F47">
        <w:rPr>
          <w:noProof/>
        </w:rPr>
        <w:t xml:space="preserve">is simulated </w:t>
      </w:r>
      <w:r w:rsidR="00446CFA" w:rsidRPr="005A3F47">
        <w:rPr>
          <w:noProof/>
        </w:rPr>
        <w:t>such</w:t>
      </w:r>
      <w:r w:rsidR="006B6FC7" w:rsidRPr="005A3F47">
        <w:rPr>
          <w:noProof/>
        </w:rPr>
        <w:t xml:space="preserve"> that it wo</w:t>
      </w:r>
      <w:r w:rsidR="003D7AF9" w:rsidRPr="005A3F47">
        <w:rPr>
          <w:noProof/>
        </w:rPr>
        <w:t>uld correspond</w:t>
      </w:r>
      <w:r w:rsidR="00E46DB0" w:rsidRPr="005A3F47">
        <w:rPr>
          <w:noProof/>
        </w:rPr>
        <w:t xml:space="preserve"> </w:t>
      </w:r>
      <w:r w:rsidR="00962B08" w:rsidRPr="005A3F47">
        <w:rPr>
          <w:noProof/>
        </w:rPr>
        <w:t xml:space="preserve">to the </w:t>
      </w:r>
      <w:r w:rsidR="00676E7F" w:rsidRPr="005A3F47">
        <w:rPr>
          <w:noProof/>
        </w:rPr>
        <w:t>10</w:t>
      </w:r>
      <w:r w:rsidR="00962B08" w:rsidRPr="005A3F47">
        <w:rPr>
          <w:noProof/>
        </w:rPr>
        <w:t xml:space="preserve">% requirement </w:t>
      </w:r>
      <w:r w:rsidR="005B3726" w:rsidRPr="005A3F47">
        <w:rPr>
          <w:noProof/>
        </w:rPr>
        <w:t xml:space="preserve">stipulated in the </w:t>
      </w:r>
      <w:r w:rsidR="00676E7F" w:rsidRPr="005A3F47">
        <w:rPr>
          <w:noProof/>
        </w:rPr>
        <w:t>PSD</w:t>
      </w:r>
      <w:r w:rsidR="005B3726" w:rsidRPr="005A3F47">
        <w:rPr>
          <w:noProof/>
        </w:rPr>
        <w:t xml:space="preserve">. </w:t>
      </w:r>
      <w:r w:rsidR="00FC62A5" w:rsidRPr="005A3F47">
        <w:rPr>
          <w:noProof/>
        </w:rPr>
        <w:t xml:space="preserve">As laid out in </w:t>
      </w:r>
      <w:r w:rsidR="00446CFA" w:rsidRPr="005A3F47">
        <w:rPr>
          <w:noProof/>
        </w:rPr>
        <w:t>detail</w:t>
      </w:r>
      <w:r w:rsidR="00FC62A5" w:rsidRPr="005A3F47">
        <w:rPr>
          <w:noProof/>
        </w:rPr>
        <w:t xml:space="preserve"> </w:t>
      </w:r>
      <w:r w:rsidR="00B17D3A" w:rsidRPr="005A3F47">
        <w:rPr>
          <w:noProof/>
        </w:rPr>
        <w:t>in</w:t>
      </w:r>
      <w:r w:rsidR="00FC62A5" w:rsidRPr="005A3F47">
        <w:rPr>
          <w:noProof/>
        </w:rPr>
        <w:t xml:space="preserve"> </w:t>
      </w:r>
      <w:r w:rsidR="00690370" w:rsidRPr="005A3F47">
        <w:rPr>
          <w:noProof/>
        </w:rPr>
        <w:t>Annex 4</w:t>
      </w:r>
      <w:r w:rsidR="00742E0B" w:rsidRPr="005A3F47">
        <w:rPr>
          <w:noProof/>
        </w:rPr>
        <w:t>,</w:t>
      </w:r>
      <w:r w:rsidR="004A1F27" w:rsidRPr="005A3F47">
        <w:rPr>
          <w:noProof/>
        </w:rPr>
        <w:t xml:space="preserve"> </w:t>
      </w:r>
      <w:r w:rsidR="00C44D87" w:rsidRPr="005A3F47">
        <w:rPr>
          <w:noProof/>
        </w:rPr>
        <w:t>Section</w:t>
      </w:r>
      <w:r w:rsidR="004A1F27" w:rsidRPr="005A3F47">
        <w:rPr>
          <w:noProof/>
        </w:rPr>
        <w:t xml:space="preserve"> </w:t>
      </w:r>
      <w:r w:rsidR="001A0455" w:rsidRPr="005A3F47">
        <w:rPr>
          <w:noProof/>
        </w:rPr>
        <w:t>2</w:t>
      </w:r>
      <w:r w:rsidR="00B36AC8" w:rsidRPr="005A3F47">
        <w:rPr>
          <w:noProof/>
        </w:rPr>
        <w:t xml:space="preserve"> </w:t>
      </w:r>
      <w:r w:rsidR="007C021E" w:rsidRPr="005A3F47">
        <w:rPr>
          <w:rStyle w:val="FootnoteReference"/>
          <w:noProof/>
        </w:rPr>
        <w:footnoteReference w:id="86"/>
      </w:r>
      <w:r w:rsidR="009B6B03" w:rsidRPr="005A3F47">
        <w:rPr>
          <w:noProof/>
        </w:rPr>
        <w:t>,</w:t>
      </w:r>
      <w:r w:rsidR="00690370" w:rsidRPr="005A3F47">
        <w:rPr>
          <w:noProof/>
        </w:rPr>
        <w:t xml:space="preserve"> </w:t>
      </w:r>
      <w:r w:rsidR="00FC62A5" w:rsidRPr="005A3F47">
        <w:rPr>
          <w:noProof/>
        </w:rPr>
        <w:t xml:space="preserve">this </w:t>
      </w:r>
      <w:r w:rsidR="00B17D3A" w:rsidRPr="005A3F47">
        <w:rPr>
          <w:noProof/>
        </w:rPr>
        <w:t xml:space="preserve">option </w:t>
      </w:r>
      <w:r w:rsidR="00FC62A5" w:rsidRPr="005A3F47">
        <w:rPr>
          <w:noProof/>
        </w:rPr>
        <w:t>could affect</w:t>
      </w:r>
      <w:r w:rsidR="00877294" w:rsidRPr="005A3F47">
        <w:rPr>
          <w:noProof/>
        </w:rPr>
        <w:t xml:space="preserve"> about 7% </w:t>
      </w:r>
      <w:r w:rsidR="004A492B" w:rsidRPr="005A3F47">
        <w:rPr>
          <w:noProof/>
        </w:rPr>
        <w:t xml:space="preserve">of </w:t>
      </w:r>
      <w:r w:rsidR="00185CCF" w:rsidRPr="005A3F47">
        <w:rPr>
          <w:noProof/>
        </w:rPr>
        <w:t>interest and royalty</w:t>
      </w:r>
      <w:r w:rsidR="00877294" w:rsidRPr="005A3F47">
        <w:rPr>
          <w:noProof/>
        </w:rPr>
        <w:t xml:space="preserve"> payments</w:t>
      </w:r>
      <w:r w:rsidR="007578AB" w:rsidRPr="005A3F47">
        <w:rPr>
          <w:noProof/>
        </w:rPr>
        <w:t>,</w:t>
      </w:r>
      <w:r w:rsidR="00F53662" w:rsidRPr="005A3F47">
        <w:rPr>
          <w:noProof/>
        </w:rPr>
        <w:t xml:space="preserve"> as those are the estimated shares of companies </w:t>
      </w:r>
      <w:r w:rsidR="00837308" w:rsidRPr="005A3F47">
        <w:rPr>
          <w:noProof/>
        </w:rPr>
        <w:t>with holdings between 1</w:t>
      </w:r>
      <w:r w:rsidR="00D34B50" w:rsidRPr="005A3F47">
        <w:rPr>
          <w:noProof/>
        </w:rPr>
        <w:t>0</w:t>
      </w:r>
      <w:r w:rsidR="00837308" w:rsidRPr="005A3F47">
        <w:rPr>
          <w:noProof/>
        </w:rPr>
        <w:t>% and 25%.</w:t>
      </w:r>
      <w:r w:rsidR="00877294" w:rsidRPr="005A3F47">
        <w:rPr>
          <w:noProof/>
        </w:rPr>
        <w:t xml:space="preserve"> </w:t>
      </w:r>
      <w:r w:rsidR="00F624C5" w:rsidRPr="00266412">
        <w:rPr>
          <w:noProof/>
        </w:rPr>
        <w:t>The scope of Option 1B is therefore significantly smaller than Option 1A</w:t>
      </w:r>
      <w:r w:rsidR="00CA1E7D" w:rsidRPr="00266412">
        <w:rPr>
          <w:noProof/>
        </w:rPr>
        <w:t xml:space="preserve"> because </w:t>
      </w:r>
      <w:r w:rsidR="00AE1CD1" w:rsidRPr="00266412">
        <w:rPr>
          <w:noProof/>
        </w:rPr>
        <w:t xml:space="preserve">it applies </w:t>
      </w:r>
      <w:r w:rsidR="005D527B" w:rsidRPr="00266412">
        <w:rPr>
          <w:noProof/>
        </w:rPr>
        <w:t>to fewer companies</w:t>
      </w:r>
      <w:r w:rsidR="00FB4ADC" w:rsidRPr="00266412">
        <w:rPr>
          <w:noProof/>
        </w:rPr>
        <w:t xml:space="preserve">, therefore covering significantly </w:t>
      </w:r>
      <w:r w:rsidR="00B63A70" w:rsidRPr="00266412">
        <w:rPr>
          <w:noProof/>
        </w:rPr>
        <w:t xml:space="preserve">fewer </w:t>
      </w:r>
      <w:r w:rsidR="009E6E39" w:rsidRPr="00266412">
        <w:rPr>
          <w:noProof/>
        </w:rPr>
        <w:t>payments</w:t>
      </w:r>
      <w:r w:rsidR="00242C72" w:rsidRPr="00266412">
        <w:rPr>
          <w:noProof/>
        </w:rPr>
        <w:t xml:space="preserve"> (</w:t>
      </w:r>
      <w:r w:rsidR="008B0393" w:rsidRPr="00266412">
        <w:rPr>
          <w:noProof/>
        </w:rPr>
        <w:t>see Figure 11</w:t>
      </w:r>
      <w:r w:rsidR="00242C72" w:rsidRPr="00266412">
        <w:rPr>
          <w:noProof/>
        </w:rPr>
        <w:t>)</w:t>
      </w:r>
      <w:r w:rsidR="005D527B" w:rsidRPr="00266412">
        <w:rPr>
          <w:noProof/>
        </w:rPr>
        <w:t>.</w:t>
      </w:r>
      <w:r w:rsidR="00E615ED" w:rsidRPr="00266412">
        <w:rPr>
          <w:noProof/>
        </w:rPr>
        <w:t xml:space="preserve"> </w:t>
      </w:r>
    </w:p>
    <w:p w14:paraId="09B74242" w14:textId="0A60A847" w:rsidR="006C4A40" w:rsidRPr="00266412" w:rsidRDefault="006C4A40" w:rsidP="006C4A40">
      <w:pPr>
        <w:pStyle w:val="Caption"/>
        <w:keepNext/>
        <w:spacing w:after="60"/>
        <w:rPr>
          <w:noProof/>
          <w:color w:val="auto"/>
        </w:rPr>
      </w:pPr>
      <w:r w:rsidRPr="00266412">
        <w:rPr>
          <w:noProof/>
          <w:color w:val="auto"/>
        </w:rPr>
        <w:t xml:space="preserve">Figure 11: </w:t>
      </w:r>
      <w:r w:rsidR="009F0095" w:rsidRPr="00266412">
        <w:rPr>
          <w:noProof/>
          <w:color w:val="auto"/>
        </w:rPr>
        <w:t xml:space="preserve">EU located shareholders with </w:t>
      </w:r>
      <w:r w:rsidR="00D208D0" w:rsidRPr="00266412">
        <w:rPr>
          <w:noProof/>
          <w:color w:val="auto"/>
        </w:rPr>
        <w:t xml:space="preserve">EU </w:t>
      </w:r>
      <w:r w:rsidR="009F0095" w:rsidRPr="00266412">
        <w:rPr>
          <w:noProof/>
          <w:color w:val="auto"/>
        </w:rPr>
        <w:t xml:space="preserve">subsidiaries (Orbis): </w:t>
      </w:r>
      <w:r w:rsidR="003759FA" w:rsidRPr="00266412">
        <w:rPr>
          <w:noProof/>
          <w:color w:val="auto"/>
        </w:rPr>
        <w:t>different scope of Options 1A and 1B</w:t>
      </w:r>
    </w:p>
    <w:p w14:paraId="48DE09B8" w14:textId="73EF6864" w:rsidR="00E615ED" w:rsidRPr="005A3F47" w:rsidRDefault="00516007" w:rsidP="00DE6B6A">
      <w:pPr>
        <w:spacing w:after="0"/>
        <w:rPr>
          <w:noProof/>
        </w:rPr>
      </w:pPr>
      <w:r w:rsidRPr="005A3F47">
        <w:rPr>
          <w:noProof/>
          <w:lang w:eastAsia="en-GB"/>
        </w:rPr>
        <w:drawing>
          <wp:inline distT="0" distB="0" distL="0" distR="0" wp14:anchorId="416608F7" wp14:editId="4AE68C3F">
            <wp:extent cx="6101715" cy="896620"/>
            <wp:effectExtent l="0" t="0" r="0" b="0"/>
            <wp:docPr id="2082302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01715" cy="896620"/>
                    </a:xfrm>
                    <a:prstGeom prst="rect">
                      <a:avLst/>
                    </a:prstGeom>
                    <a:noFill/>
                    <a:ln>
                      <a:noFill/>
                    </a:ln>
                  </pic:spPr>
                </pic:pic>
              </a:graphicData>
            </a:graphic>
          </wp:inline>
        </w:drawing>
      </w:r>
    </w:p>
    <w:p w14:paraId="215114EE" w14:textId="0A373CC9" w:rsidR="000B6AB3" w:rsidRPr="005A3F47" w:rsidRDefault="000B6AB3" w:rsidP="000B6AB3">
      <w:pPr>
        <w:pStyle w:val="Text2"/>
        <w:ind w:left="0"/>
        <w:rPr>
          <w:i/>
          <w:iCs/>
          <w:noProof/>
          <w:sz w:val="20"/>
        </w:rPr>
      </w:pPr>
      <w:r w:rsidRPr="00266412">
        <w:rPr>
          <w:i/>
          <w:iCs/>
          <w:noProof/>
          <w:sz w:val="20"/>
        </w:rPr>
        <w:t>Taxud illustration</w:t>
      </w:r>
    </w:p>
    <w:p w14:paraId="658F7946" w14:textId="65461BE5" w:rsidR="00342B05" w:rsidRPr="005A3F47" w:rsidRDefault="004145A6">
      <w:pPr>
        <w:spacing w:before="120"/>
        <w:rPr>
          <w:noProof/>
        </w:rPr>
      </w:pPr>
      <w:r w:rsidRPr="005A3F47">
        <w:rPr>
          <w:noProof/>
        </w:rPr>
        <w:t>Estimates based on this approach indicate that l</w:t>
      </w:r>
      <w:r w:rsidR="00D34B50" w:rsidRPr="005A3F47">
        <w:rPr>
          <w:noProof/>
        </w:rPr>
        <w:t xml:space="preserve">owering </w:t>
      </w:r>
      <w:r w:rsidR="00F57F40" w:rsidRPr="005A3F47">
        <w:rPr>
          <w:noProof/>
        </w:rPr>
        <w:t xml:space="preserve">the </w:t>
      </w:r>
      <w:r w:rsidR="00B86C9F" w:rsidRPr="005A3F47">
        <w:rPr>
          <w:noProof/>
        </w:rPr>
        <w:t xml:space="preserve">holding percentage </w:t>
      </w:r>
      <w:r w:rsidR="00F57F40" w:rsidRPr="005A3F47">
        <w:rPr>
          <w:noProof/>
        </w:rPr>
        <w:t xml:space="preserve">requirement </w:t>
      </w:r>
      <w:r w:rsidR="00B86C9F" w:rsidRPr="005A3F47">
        <w:rPr>
          <w:noProof/>
        </w:rPr>
        <w:t xml:space="preserve">for entitlement to the IRD </w:t>
      </w:r>
      <w:r w:rsidR="00A04685" w:rsidRPr="005A3F47">
        <w:rPr>
          <w:noProof/>
        </w:rPr>
        <w:t>c</w:t>
      </w:r>
      <w:r w:rsidR="00787340" w:rsidRPr="005A3F47">
        <w:rPr>
          <w:noProof/>
        </w:rPr>
        <w:t xml:space="preserve">ould result in </w:t>
      </w:r>
      <w:r w:rsidR="00E01413" w:rsidRPr="005A3F47">
        <w:rPr>
          <w:noProof/>
        </w:rPr>
        <w:t>cost</w:t>
      </w:r>
      <w:r w:rsidR="00787340" w:rsidRPr="005A3F47">
        <w:rPr>
          <w:noProof/>
        </w:rPr>
        <w:t xml:space="preserve"> savings</w:t>
      </w:r>
      <w:r w:rsidR="00E01413" w:rsidRPr="005A3F47">
        <w:rPr>
          <w:noProof/>
        </w:rPr>
        <w:t xml:space="preserve"> of about EUR </w:t>
      </w:r>
      <w:r w:rsidR="00E01413" w:rsidRPr="005A3F47" w:rsidDel="00535A65">
        <w:rPr>
          <w:noProof/>
        </w:rPr>
        <w:t>1</w:t>
      </w:r>
      <w:r w:rsidR="00FA7D77" w:rsidRPr="005A3F47">
        <w:rPr>
          <w:noProof/>
        </w:rPr>
        <w:t>.5</w:t>
      </w:r>
      <w:r w:rsidR="00E01413" w:rsidRPr="005A3F47">
        <w:rPr>
          <w:noProof/>
        </w:rPr>
        <w:t xml:space="preserve"> billion per year</w:t>
      </w:r>
      <w:r w:rsidR="00E164BA" w:rsidRPr="005A3F47">
        <w:rPr>
          <w:noProof/>
        </w:rPr>
        <w:t xml:space="preserve"> for taxpayers across the EU</w:t>
      </w:r>
      <w:r w:rsidR="00DF1218" w:rsidRPr="005A3F47">
        <w:rPr>
          <w:noProof/>
        </w:rPr>
        <w:t xml:space="preserve"> (Annex 4, </w:t>
      </w:r>
      <w:r w:rsidR="00C44D87" w:rsidRPr="005A3F47">
        <w:rPr>
          <w:noProof/>
        </w:rPr>
        <w:t>S</w:t>
      </w:r>
      <w:r w:rsidR="00DF1218" w:rsidRPr="005A3F47">
        <w:rPr>
          <w:noProof/>
        </w:rPr>
        <w:t xml:space="preserve">ection </w:t>
      </w:r>
      <w:r w:rsidR="00206BA7" w:rsidRPr="005A3F47">
        <w:rPr>
          <w:noProof/>
        </w:rPr>
        <w:t>2</w:t>
      </w:r>
      <w:r w:rsidR="00DF1218" w:rsidRPr="005A3F47">
        <w:rPr>
          <w:noProof/>
        </w:rPr>
        <w:t>)</w:t>
      </w:r>
      <w:r w:rsidR="007434A7" w:rsidRPr="005A3F47">
        <w:rPr>
          <w:noProof/>
        </w:rPr>
        <w:t>.</w:t>
      </w:r>
      <w:r w:rsidR="00044F8A" w:rsidRPr="005A3F47">
        <w:rPr>
          <w:noProof/>
        </w:rPr>
        <w:t xml:space="preserve"> </w:t>
      </w:r>
      <w:r w:rsidR="00A3385C" w:rsidRPr="005A3F47">
        <w:rPr>
          <w:noProof/>
        </w:rPr>
        <w:t xml:space="preserve">That is, given a more muted impact on taxpayers than under full exemption, estimated cost savings are </w:t>
      </w:r>
      <w:r w:rsidR="00A5161F" w:rsidRPr="005A3F47">
        <w:rPr>
          <w:noProof/>
        </w:rPr>
        <w:t xml:space="preserve">significantly </w:t>
      </w:r>
      <w:r w:rsidR="00A3385C" w:rsidRPr="005A3F47">
        <w:rPr>
          <w:noProof/>
        </w:rPr>
        <w:t>smaller than estimated above for Option</w:t>
      </w:r>
      <w:r w:rsidR="00EC6EF2" w:rsidRPr="005A3F47">
        <w:rPr>
          <w:noProof/>
        </w:rPr>
        <w:t> </w:t>
      </w:r>
      <w:r w:rsidR="00A3385C" w:rsidRPr="005A3F47">
        <w:rPr>
          <w:noProof/>
        </w:rPr>
        <w:t xml:space="preserve">1A. </w:t>
      </w:r>
    </w:p>
    <w:p w14:paraId="502E32CC" w14:textId="4E5BEE68" w:rsidR="00342B05" w:rsidRPr="005A3F47" w:rsidRDefault="00342B05" w:rsidP="00B319A0">
      <w:pPr>
        <w:pStyle w:val="Text2"/>
        <w:spacing w:before="240" w:after="120"/>
        <w:ind w:left="0"/>
        <w:rPr>
          <w:i/>
          <w:noProof/>
        </w:rPr>
      </w:pPr>
      <w:r w:rsidRPr="005A3F47">
        <w:rPr>
          <w:bCs/>
          <w:i/>
          <w:noProof/>
        </w:rPr>
        <w:t xml:space="preserve">Impact on </w:t>
      </w:r>
      <w:r w:rsidR="00780BE3" w:rsidRPr="005A3F47">
        <w:rPr>
          <w:bCs/>
          <w:i/>
          <w:noProof/>
        </w:rPr>
        <w:t xml:space="preserve">tax administrations and </w:t>
      </w:r>
      <w:r w:rsidRPr="005A3F47">
        <w:rPr>
          <w:bCs/>
          <w:i/>
          <w:noProof/>
        </w:rPr>
        <w:t xml:space="preserve">the economy </w:t>
      </w:r>
    </w:p>
    <w:p w14:paraId="112C1434" w14:textId="71894030" w:rsidR="00810108" w:rsidRPr="005A3F47" w:rsidRDefault="00777AF9">
      <w:pPr>
        <w:spacing w:before="120" w:after="120"/>
        <w:rPr>
          <w:noProof/>
        </w:rPr>
      </w:pPr>
      <w:r w:rsidRPr="005A3F47">
        <w:rPr>
          <w:noProof/>
        </w:rPr>
        <w:t>As this option does not remove the withholding tax</w:t>
      </w:r>
      <w:r w:rsidR="006A3292" w:rsidRPr="005A3F47">
        <w:rPr>
          <w:noProof/>
        </w:rPr>
        <w:t xml:space="preserve">, but simply aligns </w:t>
      </w:r>
      <w:r w:rsidR="00EF5C1D" w:rsidRPr="005A3F47">
        <w:rPr>
          <w:noProof/>
        </w:rPr>
        <w:t xml:space="preserve">existent </w:t>
      </w:r>
      <w:r w:rsidR="006A3292" w:rsidRPr="005A3F47">
        <w:rPr>
          <w:noProof/>
        </w:rPr>
        <w:t>holding requirements and procedures</w:t>
      </w:r>
      <w:r w:rsidRPr="005A3F47">
        <w:rPr>
          <w:noProof/>
        </w:rPr>
        <w:t>, cumbersome refund procedures would remain</w:t>
      </w:r>
      <w:r w:rsidR="00EF5C1D" w:rsidRPr="005A3F47">
        <w:rPr>
          <w:noProof/>
        </w:rPr>
        <w:t xml:space="preserve"> applicable across the EU</w:t>
      </w:r>
      <w:r w:rsidRPr="005A3F47">
        <w:rPr>
          <w:noProof/>
        </w:rPr>
        <w:t xml:space="preserve"> – despite the facilitated approach established as a result of the future introduction of the FASTER </w:t>
      </w:r>
      <w:r w:rsidR="006A3292" w:rsidRPr="005A3F47">
        <w:rPr>
          <w:noProof/>
        </w:rPr>
        <w:t>D</w:t>
      </w:r>
      <w:r w:rsidRPr="005A3F47">
        <w:rPr>
          <w:noProof/>
        </w:rPr>
        <w:t>irective.</w:t>
      </w:r>
      <w:r w:rsidR="006A3292" w:rsidRPr="005A3F47">
        <w:rPr>
          <w:noProof/>
        </w:rPr>
        <w:t xml:space="preserve"> This also means that </w:t>
      </w:r>
      <w:r w:rsidR="006D78D7" w:rsidRPr="005A3F47">
        <w:rPr>
          <w:noProof/>
        </w:rPr>
        <w:t>tax administration will continue to have to administer refund procedures</w:t>
      </w:r>
      <w:r w:rsidR="000E343E" w:rsidRPr="005A3F47">
        <w:rPr>
          <w:noProof/>
        </w:rPr>
        <w:t>, conduct audits, etc</w:t>
      </w:r>
      <w:r w:rsidR="00887B0B" w:rsidRPr="005A3F47">
        <w:rPr>
          <w:noProof/>
        </w:rPr>
        <w:t>.</w:t>
      </w:r>
      <w:r w:rsidR="000E343E" w:rsidRPr="005A3F47">
        <w:rPr>
          <w:noProof/>
        </w:rPr>
        <w:t xml:space="preserve"> as is currently the case. This likely means little impact on administrations other than adjusting to the slightly altered rules. </w:t>
      </w:r>
      <w:bookmarkStart w:id="159" w:name="_Why_simplifying_taxation"/>
      <w:bookmarkEnd w:id="159"/>
    </w:p>
    <w:p w14:paraId="5076C870" w14:textId="4F55026B" w:rsidR="00772657" w:rsidRPr="005A3F47" w:rsidRDefault="00772657" w:rsidP="00772657">
      <w:pPr>
        <w:spacing w:before="120"/>
        <w:rPr>
          <w:noProof/>
        </w:rPr>
      </w:pPr>
      <w:r w:rsidRPr="00266412">
        <w:rPr>
          <w:noProof/>
        </w:rPr>
        <w:t xml:space="preserve">The results of the </w:t>
      </w:r>
      <w:r w:rsidRPr="00266412">
        <w:rPr>
          <w:i/>
          <w:iCs/>
          <w:noProof/>
        </w:rPr>
        <w:t>Cortax</w:t>
      </w:r>
      <w:r w:rsidRPr="00266412">
        <w:rPr>
          <w:noProof/>
        </w:rPr>
        <w:t xml:space="preserve"> simulation are detailed in Figure 10 above for Option 1B (second row). </w:t>
      </w:r>
      <w:r w:rsidR="00BD19A6" w:rsidRPr="00266412">
        <w:rPr>
          <w:noProof/>
        </w:rPr>
        <w:t>The effect is sign</w:t>
      </w:r>
      <w:r w:rsidR="000610AD" w:rsidRPr="00266412">
        <w:rPr>
          <w:noProof/>
        </w:rPr>
        <w:t>i</w:t>
      </w:r>
      <w:r w:rsidR="00BD19A6" w:rsidRPr="00266412">
        <w:rPr>
          <w:noProof/>
        </w:rPr>
        <w:t>fica</w:t>
      </w:r>
      <w:r w:rsidR="000610AD" w:rsidRPr="00266412">
        <w:rPr>
          <w:noProof/>
        </w:rPr>
        <w:t>n</w:t>
      </w:r>
      <w:r w:rsidR="00BD19A6" w:rsidRPr="00266412">
        <w:rPr>
          <w:noProof/>
        </w:rPr>
        <w:t>t</w:t>
      </w:r>
      <w:r w:rsidR="000610AD" w:rsidRPr="00266412">
        <w:rPr>
          <w:noProof/>
        </w:rPr>
        <w:t>l</w:t>
      </w:r>
      <w:r w:rsidR="00BD19A6" w:rsidRPr="00266412">
        <w:rPr>
          <w:noProof/>
        </w:rPr>
        <w:t xml:space="preserve">y lower than for </w:t>
      </w:r>
      <w:r w:rsidR="0014052E" w:rsidRPr="00266412">
        <w:rPr>
          <w:noProof/>
        </w:rPr>
        <w:t>Option 1A</w:t>
      </w:r>
      <w:r w:rsidR="00EC760E" w:rsidRPr="00266412">
        <w:rPr>
          <w:noProof/>
        </w:rPr>
        <w:t>, given that Option 1B</w:t>
      </w:r>
      <w:r w:rsidR="00DE4002" w:rsidRPr="00266412">
        <w:rPr>
          <w:noProof/>
        </w:rPr>
        <w:t xml:space="preserve"> would not expand the scope of </w:t>
      </w:r>
      <w:r w:rsidR="000264DB" w:rsidRPr="00266412">
        <w:rPr>
          <w:noProof/>
        </w:rPr>
        <w:t xml:space="preserve">IRD </w:t>
      </w:r>
      <w:r w:rsidR="00017383" w:rsidRPr="00266412">
        <w:rPr>
          <w:noProof/>
        </w:rPr>
        <w:t xml:space="preserve">and </w:t>
      </w:r>
      <w:r w:rsidR="004F09D9" w:rsidRPr="00266412">
        <w:rPr>
          <w:noProof/>
        </w:rPr>
        <w:t xml:space="preserve">PSD </w:t>
      </w:r>
      <w:r w:rsidR="000264DB" w:rsidRPr="00266412">
        <w:rPr>
          <w:noProof/>
        </w:rPr>
        <w:t xml:space="preserve">as widely as </w:t>
      </w:r>
      <w:r w:rsidR="00EC760E" w:rsidRPr="00266412">
        <w:rPr>
          <w:noProof/>
        </w:rPr>
        <w:t>is</w:t>
      </w:r>
      <w:r w:rsidR="003D5285" w:rsidRPr="00266412">
        <w:rPr>
          <w:noProof/>
        </w:rPr>
        <w:t xml:space="preserve"> the case </w:t>
      </w:r>
      <w:r w:rsidR="0076762D" w:rsidRPr="00266412">
        <w:rPr>
          <w:noProof/>
        </w:rPr>
        <w:t>for Option 1A</w:t>
      </w:r>
      <w:r w:rsidR="00DB7FDE" w:rsidRPr="00266412">
        <w:rPr>
          <w:noProof/>
        </w:rPr>
        <w:t xml:space="preserve"> </w:t>
      </w:r>
      <w:r w:rsidR="00F37A0D" w:rsidRPr="00266412">
        <w:rPr>
          <w:noProof/>
        </w:rPr>
        <w:t>(Figure 11)</w:t>
      </w:r>
      <w:r w:rsidR="0076762D" w:rsidRPr="00266412">
        <w:rPr>
          <w:noProof/>
        </w:rPr>
        <w:t>.</w:t>
      </w:r>
      <w:r w:rsidR="00752295" w:rsidRPr="00266412">
        <w:rPr>
          <w:noProof/>
        </w:rPr>
        <w:t xml:space="preserve"> Consequently</w:t>
      </w:r>
      <w:r w:rsidR="006E5B38" w:rsidRPr="00266412">
        <w:rPr>
          <w:noProof/>
        </w:rPr>
        <w:t>, t</w:t>
      </w:r>
      <w:r w:rsidRPr="00266412">
        <w:rPr>
          <w:noProof/>
        </w:rPr>
        <w:t xml:space="preserve">he positive macro-economic feedback would be </w:t>
      </w:r>
      <w:r w:rsidR="001654E8" w:rsidRPr="00266412">
        <w:rPr>
          <w:noProof/>
        </w:rPr>
        <w:t>much less pronounced</w:t>
      </w:r>
      <w:r w:rsidRPr="00266412">
        <w:rPr>
          <w:noProof/>
        </w:rPr>
        <w:t>.</w:t>
      </w:r>
      <w:r w:rsidR="006D53FE" w:rsidRPr="005A3F47">
        <w:rPr>
          <w:noProof/>
        </w:rPr>
        <w:t xml:space="preserve"> </w:t>
      </w:r>
      <w:r w:rsidR="006C3F21" w:rsidRPr="005A3F47">
        <w:rPr>
          <w:noProof/>
        </w:rPr>
        <w:t xml:space="preserve">As </w:t>
      </w:r>
      <w:r w:rsidR="008A0AEF" w:rsidRPr="005A3F47">
        <w:rPr>
          <w:noProof/>
        </w:rPr>
        <w:t>above under option 1A</w:t>
      </w:r>
      <w:r w:rsidR="006C3F21" w:rsidRPr="005A3F47">
        <w:rPr>
          <w:noProof/>
        </w:rPr>
        <w:t xml:space="preserve">, </w:t>
      </w:r>
      <w:r w:rsidR="006D53FE" w:rsidRPr="005A3F47">
        <w:rPr>
          <w:noProof/>
        </w:rPr>
        <w:t>Section 5.1 of Annex 4</w:t>
      </w:r>
      <w:r w:rsidR="006C3F21" w:rsidRPr="005A3F47">
        <w:rPr>
          <w:noProof/>
        </w:rPr>
        <w:t xml:space="preserve"> </w:t>
      </w:r>
      <w:r w:rsidR="008A0AEF" w:rsidRPr="005A3F47">
        <w:rPr>
          <w:noProof/>
        </w:rPr>
        <w:t>provides further information</w:t>
      </w:r>
      <w:r w:rsidR="006C3F21" w:rsidRPr="005A3F47">
        <w:rPr>
          <w:noProof/>
        </w:rPr>
        <w:t>.</w:t>
      </w:r>
    </w:p>
    <w:p w14:paraId="42E69690" w14:textId="1BAFB133" w:rsidR="00067A50" w:rsidRPr="005A3F47" w:rsidRDefault="00035A2E" w:rsidP="00BE352E">
      <w:pPr>
        <w:pStyle w:val="Heading4"/>
        <w:numPr>
          <w:ilvl w:val="3"/>
          <w:numId w:val="185"/>
        </w:numPr>
        <w:rPr>
          <w:noProof/>
        </w:rPr>
      </w:pPr>
      <w:r w:rsidRPr="005A3F47">
        <w:rPr>
          <w:noProof/>
        </w:rPr>
        <w:t xml:space="preserve"> </w:t>
      </w:r>
      <w:bookmarkStart w:id="160" w:name="_Ref226463769"/>
      <w:r w:rsidR="00067A50" w:rsidRPr="005A3F47">
        <w:rPr>
          <w:noProof/>
        </w:rPr>
        <w:t xml:space="preserve">Why </w:t>
      </w:r>
      <w:r w:rsidR="002B7281" w:rsidRPr="005A3F47">
        <w:rPr>
          <w:noProof/>
        </w:rPr>
        <w:t xml:space="preserve">simplifying </w:t>
      </w:r>
      <w:r w:rsidR="003153F9" w:rsidRPr="005A3F47">
        <w:rPr>
          <w:noProof/>
        </w:rPr>
        <w:t xml:space="preserve">taxation </w:t>
      </w:r>
      <w:r w:rsidR="004E29ED" w:rsidRPr="005A3F47">
        <w:rPr>
          <w:noProof/>
        </w:rPr>
        <w:t>of intra</w:t>
      </w:r>
      <w:r w:rsidR="002B7281" w:rsidRPr="005A3F47">
        <w:rPr>
          <w:noProof/>
        </w:rPr>
        <w:t xml:space="preserve">-EU </w:t>
      </w:r>
      <w:r w:rsidR="003153F9" w:rsidRPr="005A3F47">
        <w:rPr>
          <w:noProof/>
        </w:rPr>
        <w:t xml:space="preserve">payments </w:t>
      </w:r>
      <w:r w:rsidR="00067A50" w:rsidRPr="005A3F47">
        <w:rPr>
          <w:noProof/>
        </w:rPr>
        <w:t>matter</w:t>
      </w:r>
      <w:r w:rsidR="003153F9" w:rsidRPr="005A3F47">
        <w:rPr>
          <w:noProof/>
        </w:rPr>
        <w:t>s</w:t>
      </w:r>
      <w:bookmarkEnd w:id="160"/>
    </w:p>
    <w:p w14:paraId="232AF6DE" w14:textId="5FEBB2DF" w:rsidR="00067A50" w:rsidRPr="005A3F47" w:rsidRDefault="003D50C0" w:rsidP="00067A50">
      <w:pPr>
        <w:pStyle w:val="Text2"/>
        <w:ind w:left="0"/>
        <w:rPr>
          <w:noProof/>
        </w:rPr>
      </w:pPr>
      <w:r w:rsidRPr="005A3F47">
        <w:rPr>
          <w:noProof/>
        </w:rPr>
        <w:t>Either policy option considered results in significant annual</w:t>
      </w:r>
      <w:r w:rsidR="00067A50" w:rsidRPr="005A3F47">
        <w:rPr>
          <w:noProof/>
        </w:rPr>
        <w:t xml:space="preserve"> cost savings </w:t>
      </w:r>
      <w:r w:rsidRPr="005A3F47">
        <w:rPr>
          <w:noProof/>
        </w:rPr>
        <w:t xml:space="preserve">for taxpayers: </w:t>
      </w:r>
      <w:r w:rsidR="00067A50" w:rsidRPr="005A3F47">
        <w:rPr>
          <w:noProof/>
        </w:rPr>
        <w:t xml:space="preserve">of about EUR </w:t>
      </w:r>
      <w:r w:rsidR="003A2533" w:rsidRPr="005A3F47">
        <w:rPr>
          <w:noProof/>
        </w:rPr>
        <w:t>5.3</w:t>
      </w:r>
      <w:r w:rsidR="009E6379">
        <w:rPr>
          <w:noProof/>
        </w:rPr>
        <w:t>4</w:t>
      </w:r>
      <w:r w:rsidR="00067A50" w:rsidRPr="005A3F47">
        <w:rPr>
          <w:noProof/>
        </w:rPr>
        <w:t xml:space="preserve"> billion per year </w:t>
      </w:r>
      <w:r w:rsidRPr="005A3F47">
        <w:rPr>
          <w:noProof/>
        </w:rPr>
        <w:t xml:space="preserve">under </w:t>
      </w:r>
      <w:r w:rsidR="00067A50" w:rsidRPr="005A3F47">
        <w:rPr>
          <w:noProof/>
        </w:rPr>
        <w:t xml:space="preserve">Option </w:t>
      </w:r>
      <w:r w:rsidR="0024304A" w:rsidRPr="005A3F47">
        <w:rPr>
          <w:noProof/>
        </w:rPr>
        <w:t>1</w:t>
      </w:r>
      <w:r w:rsidR="00067A50" w:rsidRPr="005A3F47">
        <w:rPr>
          <w:noProof/>
        </w:rPr>
        <w:t>A</w:t>
      </w:r>
      <w:r w:rsidRPr="005A3F47">
        <w:rPr>
          <w:noProof/>
        </w:rPr>
        <w:t>,</w:t>
      </w:r>
      <w:r w:rsidR="00067A50" w:rsidRPr="005A3F47">
        <w:rPr>
          <w:noProof/>
        </w:rPr>
        <w:t xml:space="preserve"> or EUR </w:t>
      </w:r>
      <w:r w:rsidR="00067A50" w:rsidRPr="005A3F47" w:rsidDel="00535A65">
        <w:rPr>
          <w:noProof/>
        </w:rPr>
        <w:t>1</w:t>
      </w:r>
      <w:r w:rsidR="00FA63CD" w:rsidRPr="005A3F47">
        <w:rPr>
          <w:noProof/>
        </w:rPr>
        <w:t>.</w:t>
      </w:r>
      <w:r w:rsidR="00FA7D77" w:rsidRPr="005A3F47">
        <w:rPr>
          <w:noProof/>
        </w:rPr>
        <w:t>5</w:t>
      </w:r>
      <w:r w:rsidR="00067A50" w:rsidRPr="005A3F47">
        <w:rPr>
          <w:noProof/>
        </w:rPr>
        <w:t xml:space="preserve"> billion per year </w:t>
      </w:r>
      <w:r w:rsidRPr="005A3F47">
        <w:rPr>
          <w:noProof/>
        </w:rPr>
        <w:t xml:space="preserve">under </w:t>
      </w:r>
      <w:r w:rsidR="00067A50" w:rsidRPr="005A3F47">
        <w:rPr>
          <w:noProof/>
        </w:rPr>
        <w:t xml:space="preserve">Option </w:t>
      </w:r>
      <w:r w:rsidR="0024304A" w:rsidRPr="005A3F47">
        <w:rPr>
          <w:noProof/>
        </w:rPr>
        <w:t>1</w:t>
      </w:r>
      <w:r w:rsidR="00067A50" w:rsidRPr="005A3F47">
        <w:rPr>
          <w:noProof/>
        </w:rPr>
        <w:t>B</w:t>
      </w:r>
      <w:r w:rsidRPr="005A3F47">
        <w:rPr>
          <w:noProof/>
        </w:rPr>
        <w:t xml:space="preserve">. </w:t>
      </w:r>
      <w:r w:rsidR="00ED576C" w:rsidRPr="005A3F47">
        <w:rPr>
          <w:noProof/>
        </w:rPr>
        <w:t xml:space="preserve">The capital that corporate taxpayers would consequently </w:t>
      </w:r>
      <w:r w:rsidR="00C40F9D" w:rsidRPr="005A3F47">
        <w:rPr>
          <w:noProof/>
        </w:rPr>
        <w:t>get to keep can</w:t>
      </w:r>
      <w:r w:rsidR="00067A50" w:rsidRPr="005A3F47">
        <w:rPr>
          <w:noProof/>
        </w:rPr>
        <w:t xml:space="preserve"> then be engage</w:t>
      </w:r>
      <w:r w:rsidR="00C40F9D" w:rsidRPr="005A3F47">
        <w:rPr>
          <w:noProof/>
        </w:rPr>
        <w:t>d</w:t>
      </w:r>
      <w:r w:rsidR="00067A50" w:rsidRPr="005A3F47">
        <w:rPr>
          <w:noProof/>
        </w:rPr>
        <w:t xml:space="preserve"> in new investment, contributing to more economic growth and higher employment</w:t>
      </w:r>
      <w:r w:rsidR="00CA159B" w:rsidRPr="005A3F47">
        <w:rPr>
          <w:noProof/>
        </w:rPr>
        <w:t>,</w:t>
      </w:r>
      <w:r w:rsidR="00C40F9D" w:rsidRPr="005A3F47">
        <w:rPr>
          <w:noProof/>
        </w:rPr>
        <w:t xml:space="preserve"> and </w:t>
      </w:r>
      <w:r w:rsidR="000E5D08" w:rsidRPr="005A3F47">
        <w:rPr>
          <w:noProof/>
        </w:rPr>
        <w:t xml:space="preserve">boosting </w:t>
      </w:r>
      <w:r w:rsidR="00C40F9D" w:rsidRPr="005A3F47">
        <w:rPr>
          <w:noProof/>
        </w:rPr>
        <w:t>competitiveness</w:t>
      </w:r>
      <w:r w:rsidR="000E5D08" w:rsidRPr="005A3F47">
        <w:rPr>
          <w:noProof/>
        </w:rPr>
        <w:t xml:space="preserve"> at a company level and for the EU.</w:t>
      </w:r>
      <w:r w:rsidR="00067A50" w:rsidRPr="005A3F47">
        <w:rPr>
          <w:noProof/>
        </w:rPr>
        <w:t xml:space="preserve"> </w:t>
      </w:r>
      <w:r w:rsidR="00AD021E" w:rsidRPr="005A3F47">
        <w:rPr>
          <w:noProof/>
        </w:rPr>
        <w:t>Analysis demonstrates</w:t>
      </w:r>
      <w:r w:rsidR="00067A50" w:rsidRPr="005A3F47">
        <w:rPr>
          <w:noProof/>
        </w:rPr>
        <w:t xml:space="preserve"> that </w:t>
      </w:r>
      <w:r w:rsidR="00407DC3" w:rsidRPr="005A3F47">
        <w:rPr>
          <w:noProof/>
        </w:rPr>
        <w:t xml:space="preserve">removing </w:t>
      </w:r>
      <w:r w:rsidR="00067A50" w:rsidRPr="005A3F47">
        <w:rPr>
          <w:noProof/>
        </w:rPr>
        <w:t xml:space="preserve">withholding taxes </w:t>
      </w:r>
      <w:r w:rsidR="0037564E" w:rsidRPr="005A3F47">
        <w:rPr>
          <w:noProof/>
        </w:rPr>
        <w:t xml:space="preserve">on all cross-border payments of interest, royalties and dividends within the EU </w:t>
      </w:r>
      <w:r w:rsidR="00067A50" w:rsidRPr="005A3F47">
        <w:rPr>
          <w:noProof/>
        </w:rPr>
        <w:t xml:space="preserve">(Option </w:t>
      </w:r>
      <w:r w:rsidR="00356EB3" w:rsidRPr="005A3F47">
        <w:rPr>
          <w:noProof/>
        </w:rPr>
        <w:t>1</w:t>
      </w:r>
      <w:r w:rsidR="00067A50" w:rsidRPr="005A3F47">
        <w:rPr>
          <w:noProof/>
        </w:rPr>
        <w:t xml:space="preserve">A) leads to </w:t>
      </w:r>
      <w:r w:rsidR="007F6129" w:rsidRPr="005A3F47">
        <w:rPr>
          <w:noProof/>
        </w:rPr>
        <w:t xml:space="preserve">tax </w:t>
      </w:r>
      <w:r w:rsidR="00067A50" w:rsidRPr="005A3F47">
        <w:rPr>
          <w:noProof/>
        </w:rPr>
        <w:t xml:space="preserve">savings </w:t>
      </w:r>
      <w:r w:rsidR="00AF6822" w:rsidRPr="005A3F47">
        <w:rPr>
          <w:noProof/>
        </w:rPr>
        <w:t xml:space="preserve">that </w:t>
      </w:r>
      <w:r w:rsidR="00DD2629" w:rsidRPr="005A3F47">
        <w:rPr>
          <w:noProof/>
        </w:rPr>
        <w:t>have</w:t>
      </w:r>
      <w:r w:rsidR="00AF6822" w:rsidRPr="005A3F47">
        <w:rPr>
          <w:noProof/>
        </w:rPr>
        <w:t xml:space="preserve"> significant</w:t>
      </w:r>
      <w:r w:rsidR="00067A50" w:rsidRPr="005A3F47">
        <w:rPr>
          <w:noProof/>
        </w:rPr>
        <w:t xml:space="preserve"> positive </w:t>
      </w:r>
      <w:r w:rsidR="00DD2629" w:rsidRPr="005A3F47">
        <w:rPr>
          <w:noProof/>
        </w:rPr>
        <w:t>long-</w:t>
      </w:r>
      <w:r w:rsidR="00067A50" w:rsidRPr="005A3F47">
        <w:rPr>
          <w:noProof/>
        </w:rPr>
        <w:t xml:space="preserve">term macro-economic effects on investment and growth. </w:t>
      </w:r>
    </w:p>
    <w:p w14:paraId="67831995" w14:textId="4206A3ED" w:rsidR="00FB020E" w:rsidRPr="005A3F47" w:rsidRDefault="00067A50" w:rsidP="00067A50">
      <w:pPr>
        <w:pStyle w:val="Text2"/>
        <w:ind w:left="0"/>
        <w:rPr>
          <w:noProof/>
        </w:rPr>
      </w:pPr>
      <w:r w:rsidRPr="005A3F47">
        <w:rPr>
          <w:noProof/>
        </w:rPr>
        <w:t xml:space="preserve">However, the </w:t>
      </w:r>
      <w:r w:rsidR="00105F31" w:rsidRPr="005A3F47">
        <w:rPr>
          <w:noProof/>
        </w:rPr>
        <w:t>overall</w:t>
      </w:r>
      <w:r w:rsidRPr="005A3F47">
        <w:rPr>
          <w:noProof/>
        </w:rPr>
        <w:t xml:space="preserve"> economic impact of major simplifications that come with these </w:t>
      </w:r>
      <w:r w:rsidR="000037B4" w:rsidRPr="005A3F47">
        <w:rPr>
          <w:noProof/>
        </w:rPr>
        <w:t>measure</w:t>
      </w:r>
      <w:r w:rsidR="00354CC0" w:rsidRPr="005A3F47">
        <w:rPr>
          <w:noProof/>
        </w:rPr>
        <w:t>s</w:t>
      </w:r>
      <w:r w:rsidRPr="005A3F47">
        <w:rPr>
          <w:noProof/>
        </w:rPr>
        <w:t xml:space="preserve"> go </w:t>
      </w:r>
      <w:r w:rsidRPr="00F34D7D">
        <w:rPr>
          <w:noProof/>
        </w:rPr>
        <w:t xml:space="preserve">beyond these measurable </w:t>
      </w:r>
      <w:r w:rsidR="00B058A5" w:rsidRPr="00F34D7D">
        <w:rPr>
          <w:noProof/>
        </w:rPr>
        <w:t>monetary</w:t>
      </w:r>
      <w:r w:rsidRPr="00F34D7D">
        <w:rPr>
          <w:noProof/>
        </w:rPr>
        <w:t xml:space="preserve"> cost savings. </w:t>
      </w:r>
      <w:r w:rsidR="008D7D66" w:rsidRPr="00F34D7D">
        <w:rPr>
          <w:noProof/>
        </w:rPr>
        <w:t>They</w:t>
      </w:r>
      <w:r w:rsidRPr="00F34D7D">
        <w:rPr>
          <w:noProof/>
        </w:rPr>
        <w:t xml:space="preserve"> include the long-term </w:t>
      </w:r>
      <w:r w:rsidR="00403ADA" w:rsidRPr="00F34D7D">
        <w:rPr>
          <w:noProof/>
        </w:rPr>
        <w:t>positive</w:t>
      </w:r>
      <w:r w:rsidRPr="00F34D7D">
        <w:rPr>
          <w:noProof/>
        </w:rPr>
        <w:t xml:space="preserve"> impact of higher legal certainty for investors and companies that comes with a</w:t>
      </w:r>
      <w:r w:rsidR="00BE081F" w:rsidRPr="00F34D7D">
        <w:rPr>
          <w:noProof/>
        </w:rPr>
        <w:t xml:space="preserve"> more</w:t>
      </w:r>
      <w:r w:rsidRPr="00F34D7D">
        <w:rPr>
          <w:noProof/>
        </w:rPr>
        <w:t xml:space="preserve"> uniform </w:t>
      </w:r>
      <w:r w:rsidR="575CAE16" w:rsidRPr="00F34D7D">
        <w:rPr>
          <w:noProof/>
        </w:rPr>
        <w:t xml:space="preserve">approach to </w:t>
      </w:r>
      <w:r w:rsidRPr="00F34D7D">
        <w:rPr>
          <w:noProof/>
        </w:rPr>
        <w:t xml:space="preserve">withholding taxes (notwithstanding the level of these uniform taxes). </w:t>
      </w:r>
      <w:r w:rsidR="000E7B72" w:rsidRPr="00F34D7D">
        <w:rPr>
          <w:noProof/>
        </w:rPr>
        <w:t xml:space="preserve">In Option </w:t>
      </w:r>
      <w:r w:rsidR="003966D6" w:rsidRPr="00F34D7D">
        <w:rPr>
          <w:noProof/>
        </w:rPr>
        <w:t>1</w:t>
      </w:r>
      <w:r w:rsidR="000E7B72" w:rsidRPr="00F34D7D">
        <w:rPr>
          <w:noProof/>
        </w:rPr>
        <w:t>A, c</w:t>
      </w:r>
      <w:r w:rsidRPr="00F34D7D">
        <w:rPr>
          <w:noProof/>
        </w:rPr>
        <w:t>ross-border payments within</w:t>
      </w:r>
      <w:r w:rsidRPr="005A3F47">
        <w:rPr>
          <w:noProof/>
        </w:rPr>
        <w:t xml:space="preserve"> the EU would no longer be subject to a complex system of withholding taxes and </w:t>
      </w:r>
      <w:r w:rsidR="004A2659" w:rsidRPr="005A3F47">
        <w:rPr>
          <w:noProof/>
        </w:rPr>
        <w:t xml:space="preserve">refund applications </w:t>
      </w:r>
      <w:r w:rsidRPr="005A3F47">
        <w:rPr>
          <w:noProof/>
        </w:rPr>
        <w:t xml:space="preserve">that comes with it. While even domestic withholding taxes differ a lot across EU </w:t>
      </w:r>
      <w:r w:rsidR="00A32FAD" w:rsidRPr="005A3F47">
        <w:rPr>
          <w:noProof/>
        </w:rPr>
        <w:t>Member States</w:t>
      </w:r>
      <w:r w:rsidRPr="005A3F47">
        <w:rPr>
          <w:noProof/>
        </w:rPr>
        <w:t xml:space="preserve">, bilateral treaties between countries make the system even more </w:t>
      </w:r>
      <w:r w:rsidR="006F0BB5" w:rsidRPr="005A3F47">
        <w:rPr>
          <w:noProof/>
        </w:rPr>
        <w:t>difficult to access</w:t>
      </w:r>
      <w:r w:rsidR="0032478E" w:rsidRPr="005A3F47">
        <w:rPr>
          <w:noProof/>
        </w:rPr>
        <w:t xml:space="preserve"> and engage with</w:t>
      </w:r>
      <w:r w:rsidRPr="005A3F47">
        <w:rPr>
          <w:noProof/>
        </w:rPr>
        <w:t xml:space="preserve">. With a uniform system in place, </w:t>
      </w:r>
      <w:r w:rsidR="008D2536" w:rsidRPr="005A3F47">
        <w:rPr>
          <w:noProof/>
        </w:rPr>
        <w:t>i</w:t>
      </w:r>
      <w:r w:rsidRPr="005A3F47">
        <w:rPr>
          <w:noProof/>
        </w:rPr>
        <w:t xml:space="preserve">nvestors would no longer need to navigate </w:t>
      </w:r>
      <w:r w:rsidR="009001E7" w:rsidRPr="005A3F47">
        <w:rPr>
          <w:noProof/>
        </w:rPr>
        <w:t>through</w:t>
      </w:r>
      <w:r w:rsidRPr="005A3F47">
        <w:rPr>
          <w:noProof/>
        </w:rPr>
        <w:t xml:space="preserve"> numerous sets of rules </w:t>
      </w:r>
      <w:r w:rsidR="004A1AA6" w:rsidRPr="005A3F47">
        <w:rPr>
          <w:noProof/>
        </w:rPr>
        <w:t xml:space="preserve">in bilateral </w:t>
      </w:r>
      <w:r w:rsidR="00AD7A12" w:rsidRPr="005A3F47">
        <w:rPr>
          <w:noProof/>
        </w:rPr>
        <w:t xml:space="preserve">tax </w:t>
      </w:r>
      <w:r w:rsidR="004A1AA6" w:rsidRPr="005A3F47">
        <w:rPr>
          <w:noProof/>
        </w:rPr>
        <w:t>treaties</w:t>
      </w:r>
      <w:r w:rsidR="00AD7A12" w:rsidRPr="005A3F47">
        <w:rPr>
          <w:noProof/>
        </w:rPr>
        <w:t xml:space="preserve"> – and no longer </w:t>
      </w:r>
      <w:r w:rsidRPr="005A3F47">
        <w:rPr>
          <w:noProof/>
        </w:rPr>
        <w:t xml:space="preserve">engage in </w:t>
      </w:r>
      <w:r w:rsidR="002A040F" w:rsidRPr="005A3F47">
        <w:rPr>
          <w:noProof/>
        </w:rPr>
        <w:t>complex</w:t>
      </w:r>
      <w:r w:rsidR="007566AD" w:rsidRPr="005A3F47">
        <w:rPr>
          <w:noProof/>
        </w:rPr>
        <w:t xml:space="preserve"> compliance and cost</w:t>
      </w:r>
      <w:r w:rsidR="007E3A89" w:rsidRPr="005A3F47">
        <w:rPr>
          <w:noProof/>
        </w:rPr>
        <w:t>-</w:t>
      </w:r>
      <w:r w:rsidR="007566AD" w:rsidRPr="005A3F47">
        <w:rPr>
          <w:noProof/>
        </w:rPr>
        <w:t>heavy</w:t>
      </w:r>
      <w:r w:rsidRPr="005A3F47">
        <w:rPr>
          <w:noProof/>
        </w:rPr>
        <w:t xml:space="preserve"> refund procedures. This leads to </w:t>
      </w:r>
      <w:r w:rsidR="007566AD" w:rsidRPr="005A3F47">
        <w:rPr>
          <w:noProof/>
        </w:rPr>
        <w:t xml:space="preserve">a more </w:t>
      </w:r>
      <w:r w:rsidRPr="005A3F47">
        <w:rPr>
          <w:noProof/>
        </w:rPr>
        <w:t>straightforward compliance</w:t>
      </w:r>
      <w:r w:rsidR="007566AD" w:rsidRPr="005A3F47">
        <w:rPr>
          <w:noProof/>
        </w:rPr>
        <w:t xml:space="preserve"> framework</w:t>
      </w:r>
      <w:r w:rsidRPr="005A3F47">
        <w:rPr>
          <w:noProof/>
        </w:rPr>
        <w:t xml:space="preserve">, fewer errors and, importantly, </w:t>
      </w:r>
      <w:r w:rsidR="007566AD" w:rsidRPr="005A3F47">
        <w:rPr>
          <w:noProof/>
        </w:rPr>
        <w:t>fewer</w:t>
      </w:r>
      <w:r w:rsidRPr="005A3F47">
        <w:rPr>
          <w:noProof/>
        </w:rPr>
        <w:t xml:space="preserve"> legal concern</w:t>
      </w:r>
      <w:r w:rsidR="00801E99" w:rsidRPr="005A3F47">
        <w:rPr>
          <w:noProof/>
        </w:rPr>
        <w:t>s</w:t>
      </w:r>
      <w:r w:rsidRPr="005A3F47">
        <w:rPr>
          <w:noProof/>
        </w:rPr>
        <w:t xml:space="preserve"> </w:t>
      </w:r>
      <w:r w:rsidR="004002A7" w:rsidRPr="005A3F47">
        <w:rPr>
          <w:noProof/>
        </w:rPr>
        <w:t>linked to</w:t>
      </w:r>
      <w:r w:rsidRPr="005A3F47">
        <w:rPr>
          <w:noProof/>
        </w:rPr>
        <w:t xml:space="preserve"> investment decision</w:t>
      </w:r>
      <w:r w:rsidR="004002A7" w:rsidRPr="005A3F47">
        <w:rPr>
          <w:noProof/>
        </w:rPr>
        <w:t>s</w:t>
      </w:r>
      <w:r w:rsidRPr="005A3F47">
        <w:rPr>
          <w:noProof/>
        </w:rPr>
        <w:t>.</w:t>
      </w:r>
      <w:r w:rsidR="00AC7676" w:rsidRPr="005A3F47">
        <w:rPr>
          <w:noProof/>
        </w:rPr>
        <w:t xml:space="preserve"> </w:t>
      </w:r>
    </w:p>
    <w:p w14:paraId="304EE8DC" w14:textId="61A7848B" w:rsidR="00067A50" w:rsidRPr="00F34D7D" w:rsidRDefault="00067A50" w:rsidP="00067A50">
      <w:pPr>
        <w:pStyle w:val="Text2"/>
        <w:ind w:left="0"/>
        <w:rPr>
          <w:noProof/>
        </w:rPr>
      </w:pPr>
      <w:r w:rsidRPr="00F34D7D">
        <w:rPr>
          <w:noProof/>
        </w:rPr>
        <w:t>Studies confirm that tax complexity has a negative impact on FDI and investment in general.</w:t>
      </w:r>
      <w:r w:rsidR="00A6604C" w:rsidRPr="00F34D7D">
        <w:rPr>
          <w:rStyle w:val="FootnoteReference"/>
          <w:noProof/>
        </w:rPr>
        <w:footnoteReference w:id="87"/>
      </w:r>
      <w:r w:rsidRPr="00F34D7D">
        <w:rPr>
          <w:noProof/>
        </w:rPr>
        <w:t xml:space="preserve"> Simplifying cross-border tax rules will</w:t>
      </w:r>
      <w:r w:rsidR="007566AD" w:rsidRPr="00F34D7D">
        <w:rPr>
          <w:noProof/>
        </w:rPr>
        <w:t>,</w:t>
      </w:r>
      <w:r w:rsidRPr="00F34D7D">
        <w:rPr>
          <w:noProof/>
        </w:rPr>
        <w:t xml:space="preserve"> therefore</w:t>
      </w:r>
      <w:r w:rsidR="007566AD" w:rsidRPr="00F34D7D">
        <w:rPr>
          <w:noProof/>
        </w:rPr>
        <w:t>,</w:t>
      </w:r>
      <w:r w:rsidRPr="00F34D7D">
        <w:rPr>
          <w:noProof/>
        </w:rPr>
        <w:t xml:space="preserve"> create more confidence in future investment, inducing more potential investors to actually realise cross-border investment. Moreover, it has been shown that tax complexity has the potential to distort investment decisions.</w:t>
      </w:r>
      <w:r w:rsidRPr="00F34D7D">
        <w:rPr>
          <w:rStyle w:val="FootnoteReference"/>
          <w:noProof/>
        </w:rPr>
        <w:footnoteReference w:id="88"/>
      </w:r>
      <w:r w:rsidRPr="00F34D7D">
        <w:rPr>
          <w:noProof/>
        </w:rPr>
        <w:t xml:space="preserve"> If the consequences of a given investment become less predictable, investors may not only decide against it. They may also </w:t>
      </w:r>
      <w:r w:rsidR="00611663" w:rsidRPr="00F34D7D">
        <w:rPr>
          <w:noProof/>
        </w:rPr>
        <w:t>eventually</w:t>
      </w:r>
      <w:r w:rsidRPr="00F34D7D">
        <w:rPr>
          <w:noProof/>
        </w:rPr>
        <w:t xml:space="preserve"> invest in projects which, from the point of view of expected return and future productivity gains, may not be </w:t>
      </w:r>
      <w:r w:rsidR="00605ADD" w:rsidRPr="00F34D7D">
        <w:rPr>
          <w:noProof/>
        </w:rPr>
        <w:t xml:space="preserve">a </w:t>
      </w:r>
      <w:r w:rsidRPr="00F34D7D">
        <w:rPr>
          <w:noProof/>
        </w:rPr>
        <w:t>first choice</w:t>
      </w:r>
      <w:r w:rsidR="00605ADD" w:rsidRPr="00F34D7D">
        <w:rPr>
          <w:noProof/>
        </w:rPr>
        <w:t xml:space="preserve"> or first</w:t>
      </w:r>
      <w:r w:rsidR="00581B48" w:rsidRPr="00F34D7D">
        <w:rPr>
          <w:noProof/>
        </w:rPr>
        <w:t xml:space="preserve"> </w:t>
      </w:r>
      <w:r w:rsidR="00605ADD" w:rsidRPr="00F34D7D">
        <w:rPr>
          <w:noProof/>
        </w:rPr>
        <w:t>best</w:t>
      </w:r>
      <w:r w:rsidRPr="00F34D7D">
        <w:rPr>
          <w:noProof/>
        </w:rPr>
        <w:t xml:space="preserve">. They may, for example, shy away from investing cross-border and </w:t>
      </w:r>
      <w:r w:rsidR="00605ADD" w:rsidRPr="00F34D7D">
        <w:rPr>
          <w:noProof/>
        </w:rPr>
        <w:t>instead</w:t>
      </w:r>
      <w:r w:rsidR="001D1F40" w:rsidRPr="00F34D7D">
        <w:rPr>
          <w:noProof/>
        </w:rPr>
        <w:t xml:space="preserve"> limit themselves to the </w:t>
      </w:r>
      <w:r w:rsidRPr="00F34D7D">
        <w:rPr>
          <w:noProof/>
        </w:rPr>
        <w:t>domestic</w:t>
      </w:r>
      <w:r w:rsidR="001D1F40" w:rsidRPr="00F34D7D">
        <w:rPr>
          <w:noProof/>
        </w:rPr>
        <w:t xml:space="preserve"> context</w:t>
      </w:r>
      <w:r w:rsidRPr="00F34D7D">
        <w:rPr>
          <w:noProof/>
        </w:rPr>
        <w:t xml:space="preserve">, not taking advantage of the Internal Market. This would </w:t>
      </w:r>
      <w:r w:rsidR="00831519" w:rsidRPr="00F34D7D">
        <w:rPr>
          <w:noProof/>
        </w:rPr>
        <w:t xml:space="preserve">be </w:t>
      </w:r>
      <w:r w:rsidRPr="00F34D7D">
        <w:rPr>
          <w:noProof/>
        </w:rPr>
        <w:t>at the expense of economic growth. Studies show that investment within the EU Internal Market is usually more efficient than purely domestic investment because market integration improves capital allocation, increases competition, enables economies of scale, and facilitates knowledge spillovers, thereby raising productivity and returns on investment.</w:t>
      </w:r>
      <w:r w:rsidRPr="00F34D7D">
        <w:rPr>
          <w:rStyle w:val="FootnoteReference"/>
          <w:noProof/>
        </w:rPr>
        <w:footnoteReference w:id="89"/>
      </w:r>
      <w:r w:rsidRPr="00F34D7D">
        <w:rPr>
          <w:noProof/>
        </w:rPr>
        <w:t xml:space="preserve"> These circumstances lead to inefficient allocation of resources across investment projects which</w:t>
      </w:r>
      <w:r w:rsidR="00A87CAD" w:rsidRPr="00F34D7D">
        <w:rPr>
          <w:noProof/>
        </w:rPr>
        <w:t>,</w:t>
      </w:r>
      <w:r w:rsidRPr="00F34D7D">
        <w:rPr>
          <w:noProof/>
        </w:rPr>
        <w:t xml:space="preserve"> in the long run</w:t>
      </w:r>
      <w:r w:rsidR="00A87CAD" w:rsidRPr="00F34D7D">
        <w:rPr>
          <w:noProof/>
        </w:rPr>
        <w:t>,</w:t>
      </w:r>
      <w:r w:rsidRPr="00F34D7D">
        <w:rPr>
          <w:noProof/>
        </w:rPr>
        <w:t xml:space="preserve"> will </w:t>
      </w:r>
      <w:r w:rsidR="00614872" w:rsidRPr="00F34D7D">
        <w:rPr>
          <w:noProof/>
        </w:rPr>
        <w:t>be to</w:t>
      </w:r>
      <w:r w:rsidRPr="00F34D7D">
        <w:rPr>
          <w:noProof/>
        </w:rPr>
        <w:t xml:space="preserve"> the detriment of EU competitiveness and jobs. </w:t>
      </w:r>
    </w:p>
    <w:p w14:paraId="710EFBD5" w14:textId="7294B31E" w:rsidR="00CD6020" w:rsidRPr="005A3F47" w:rsidRDefault="00067A50" w:rsidP="00067A50">
      <w:pPr>
        <w:pStyle w:val="Text2"/>
        <w:ind w:left="0"/>
        <w:rPr>
          <w:noProof/>
        </w:rPr>
      </w:pPr>
      <w:r w:rsidRPr="005A3F47">
        <w:rPr>
          <w:noProof/>
        </w:rPr>
        <w:t>Likewise, tax complexity reduces the effectiv</w:t>
      </w:r>
      <w:r w:rsidR="008660D0" w:rsidRPr="005A3F47">
        <w:rPr>
          <w:noProof/>
        </w:rPr>
        <w:t>eness</w:t>
      </w:r>
      <w:r w:rsidRPr="005A3F47">
        <w:rPr>
          <w:noProof/>
        </w:rPr>
        <w:t xml:space="preserve"> of tax policy measures designed to promote investment. When it comes to investment, </w:t>
      </w:r>
      <w:r w:rsidR="45F744FB" w:rsidRPr="005A3F47">
        <w:rPr>
          <w:noProof/>
        </w:rPr>
        <w:t>businesses</w:t>
      </w:r>
      <w:r w:rsidRPr="005A3F47">
        <w:rPr>
          <w:noProof/>
        </w:rPr>
        <w:t xml:space="preserve"> react less sensitively to changes in corporate tax rates if tax complexity is high. This </w:t>
      </w:r>
      <w:r w:rsidR="001A0349" w:rsidRPr="005A3F47">
        <w:rPr>
          <w:noProof/>
        </w:rPr>
        <w:t>will likely</w:t>
      </w:r>
      <w:r w:rsidRPr="005A3F47">
        <w:rPr>
          <w:noProof/>
        </w:rPr>
        <w:t xml:space="preserve"> ‘undermine the ability of tax policy to affect economic growth’.</w:t>
      </w:r>
      <w:r w:rsidRPr="005A3F47">
        <w:rPr>
          <w:rStyle w:val="FootnoteReference"/>
          <w:noProof/>
        </w:rPr>
        <w:footnoteReference w:id="90"/>
      </w:r>
      <w:r w:rsidRPr="005A3F47">
        <w:rPr>
          <w:noProof/>
        </w:rPr>
        <w:t xml:space="preserve"> </w:t>
      </w:r>
      <w:r w:rsidR="004A32FF" w:rsidRPr="005A3F47">
        <w:rPr>
          <w:noProof/>
        </w:rPr>
        <w:t>By introducing a significant simplif</w:t>
      </w:r>
      <w:r w:rsidR="009A2873" w:rsidRPr="005A3F47">
        <w:rPr>
          <w:noProof/>
        </w:rPr>
        <w:t xml:space="preserve">ication </w:t>
      </w:r>
      <w:r w:rsidR="00DD4BB5" w:rsidRPr="005A3F47">
        <w:rPr>
          <w:noProof/>
        </w:rPr>
        <w:t xml:space="preserve">and harmonisation </w:t>
      </w:r>
      <w:r w:rsidR="009A2873" w:rsidRPr="005A3F47">
        <w:rPr>
          <w:noProof/>
        </w:rPr>
        <w:t xml:space="preserve">in the tax framework applicable to cross-border operators, </w:t>
      </w:r>
      <w:r w:rsidR="00DD4BB5" w:rsidRPr="005A3F47">
        <w:rPr>
          <w:noProof/>
        </w:rPr>
        <w:t xml:space="preserve">it could thus be expected that </w:t>
      </w:r>
      <w:r w:rsidR="00E630DD" w:rsidRPr="005A3F47">
        <w:rPr>
          <w:noProof/>
        </w:rPr>
        <w:t xml:space="preserve">investment across the internal market would be positively affected </w:t>
      </w:r>
      <w:r w:rsidR="56F1D244" w:rsidRPr="005A3F47">
        <w:rPr>
          <w:noProof/>
        </w:rPr>
        <w:t xml:space="preserve">boosting </w:t>
      </w:r>
      <w:r w:rsidR="21ADA9E2" w:rsidRPr="005A3F47">
        <w:rPr>
          <w:noProof/>
        </w:rPr>
        <w:t xml:space="preserve">competitiveness of </w:t>
      </w:r>
      <w:r w:rsidR="1BDA873B" w:rsidRPr="005A3F47">
        <w:rPr>
          <w:noProof/>
        </w:rPr>
        <w:t xml:space="preserve"> EU businesses </w:t>
      </w:r>
      <w:r w:rsidR="00D4516B" w:rsidRPr="005A3F47">
        <w:rPr>
          <w:noProof/>
        </w:rPr>
        <w:t xml:space="preserve">as well as </w:t>
      </w:r>
      <w:r w:rsidR="368816C8" w:rsidRPr="005A3F47">
        <w:rPr>
          <w:noProof/>
        </w:rPr>
        <w:t xml:space="preserve">overall </w:t>
      </w:r>
      <w:r w:rsidR="00E630DD" w:rsidRPr="005A3F47">
        <w:rPr>
          <w:noProof/>
        </w:rPr>
        <w:t>economic growth</w:t>
      </w:r>
      <w:r w:rsidR="00D4516B" w:rsidRPr="005A3F47">
        <w:rPr>
          <w:noProof/>
        </w:rPr>
        <w:t>, and thus the EU as a whole</w:t>
      </w:r>
      <w:r w:rsidR="00E630DD" w:rsidRPr="005A3F47">
        <w:rPr>
          <w:noProof/>
        </w:rPr>
        <w:t xml:space="preserve">. </w:t>
      </w:r>
      <w:r w:rsidR="00F92FE0" w:rsidRPr="005A3F47">
        <w:rPr>
          <w:noProof/>
        </w:rPr>
        <w:t>It is worth reiterating, however, that equivalent positive effects would not ensue under Option 1B as under Option 1A, since the former would retain the complexities associated with the application of withholding tax across the EU.</w:t>
      </w:r>
    </w:p>
    <w:p w14:paraId="5881CB0E" w14:textId="1D023A46" w:rsidR="000C0BAA" w:rsidRPr="00266412" w:rsidRDefault="007533B1">
      <w:pPr>
        <w:pStyle w:val="Text2"/>
        <w:spacing w:before="240" w:after="120"/>
        <w:ind w:left="0"/>
        <w:rPr>
          <w:bCs/>
          <w:iCs/>
          <w:noProof/>
        </w:rPr>
      </w:pPr>
      <w:r w:rsidRPr="005A3F47">
        <w:rPr>
          <w:bCs/>
          <w:i/>
          <w:noProof/>
        </w:rPr>
        <w:t>Impact on maintaining high tax standards</w:t>
      </w:r>
    </w:p>
    <w:p w14:paraId="0EF70598" w14:textId="2806B759" w:rsidR="0059257C" w:rsidRPr="00F34D7D" w:rsidRDefault="00C41945">
      <w:pPr>
        <w:pStyle w:val="Text2"/>
        <w:spacing w:before="240" w:after="120"/>
        <w:ind w:left="0"/>
        <w:rPr>
          <w:bCs/>
          <w:iCs/>
          <w:noProof/>
        </w:rPr>
      </w:pPr>
      <w:r w:rsidRPr="00F34D7D">
        <w:rPr>
          <w:bCs/>
          <w:iCs/>
          <w:noProof/>
        </w:rPr>
        <w:t>Not only are both options fully</w:t>
      </w:r>
      <w:r w:rsidR="0059257C" w:rsidRPr="00F34D7D">
        <w:rPr>
          <w:bCs/>
          <w:iCs/>
          <w:noProof/>
        </w:rPr>
        <w:t xml:space="preserve"> in </w:t>
      </w:r>
      <w:r w:rsidRPr="00F34D7D">
        <w:rPr>
          <w:bCs/>
          <w:iCs/>
          <w:noProof/>
        </w:rPr>
        <w:t xml:space="preserve">line with the original objectives of </w:t>
      </w:r>
      <w:r w:rsidR="0059257C" w:rsidRPr="00F34D7D">
        <w:rPr>
          <w:bCs/>
          <w:iCs/>
          <w:noProof/>
        </w:rPr>
        <w:t xml:space="preserve">the </w:t>
      </w:r>
      <w:r w:rsidRPr="00F34D7D">
        <w:rPr>
          <w:bCs/>
          <w:iCs/>
          <w:noProof/>
        </w:rPr>
        <w:t xml:space="preserve">IRD and the PSD, </w:t>
      </w:r>
      <w:r w:rsidR="00854496" w:rsidRPr="00F34D7D">
        <w:rPr>
          <w:bCs/>
          <w:iCs/>
          <w:noProof/>
        </w:rPr>
        <w:t xml:space="preserve">but </w:t>
      </w:r>
      <w:r w:rsidRPr="00F34D7D">
        <w:rPr>
          <w:bCs/>
          <w:iCs/>
          <w:noProof/>
        </w:rPr>
        <w:t>they would also pursue to eliminate double taxation and facilitate cross-border investment and capital flows in the EU to a greater extent than the current rules. Further, both options</w:t>
      </w:r>
      <w:r w:rsidR="0059257C" w:rsidRPr="00F34D7D">
        <w:rPr>
          <w:bCs/>
          <w:iCs/>
          <w:noProof/>
        </w:rPr>
        <w:t xml:space="preserve"> would </w:t>
      </w:r>
      <w:r w:rsidR="002A432D" w:rsidRPr="00F34D7D">
        <w:rPr>
          <w:bCs/>
          <w:iCs/>
          <w:noProof/>
        </w:rPr>
        <w:t>preserve</w:t>
      </w:r>
      <w:r w:rsidR="0059257C" w:rsidRPr="00F34D7D">
        <w:rPr>
          <w:bCs/>
          <w:iCs/>
          <w:noProof/>
        </w:rPr>
        <w:t xml:space="preserve"> the </w:t>
      </w:r>
      <w:r w:rsidR="002A432D" w:rsidRPr="00F34D7D">
        <w:rPr>
          <w:bCs/>
          <w:iCs/>
          <w:noProof/>
        </w:rPr>
        <w:t xml:space="preserve">existing </w:t>
      </w:r>
      <w:r w:rsidR="0059257C" w:rsidRPr="00F34D7D">
        <w:rPr>
          <w:bCs/>
          <w:iCs/>
          <w:noProof/>
        </w:rPr>
        <w:t xml:space="preserve">safeguards </w:t>
      </w:r>
      <w:r w:rsidR="002A432D" w:rsidRPr="00F34D7D">
        <w:rPr>
          <w:bCs/>
          <w:iCs/>
          <w:noProof/>
        </w:rPr>
        <w:t>designed</w:t>
      </w:r>
      <w:r w:rsidR="0059257C" w:rsidRPr="00F34D7D">
        <w:rPr>
          <w:bCs/>
          <w:iCs/>
          <w:noProof/>
        </w:rPr>
        <w:t xml:space="preserve"> to mitigate and limit tax evasion and avoidance.</w:t>
      </w:r>
      <w:r w:rsidR="00096D6B" w:rsidRPr="00F34D7D">
        <w:rPr>
          <w:bCs/>
          <w:iCs/>
          <w:noProof/>
        </w:rPr>
        <w:t xml:space="preserve"> </w:t>
      </w:r>
      <w:r w:rsidR="00AE23B2" w:rsidRPr="00F34D7D">
        <w:rPr>
          <w:bCs/>
          <w:iCs/>
          <w:noProof/>
        </w:rPr>
        <w:t>A full withholding tax exemption</w:t>
      </w:r>
      <w:r w:rsidR="000F0162" w:rsidRPr="00F34D7D">
        <w:rPr>
          <w:bCs/>
          <w:iCs/>
          <w:noProof/>
        </w:rPr>
        <w:t xml:space="preserve"> in the EU</w:t>
      </w:r>
      <w:r w:rsidR="00860123" w:rsidRPr="00F34D7D">
        <w:rPr>
          <w:bCs/>
          <w:iCs/>
          <w:noProof/>
        </w:rPr>
        <w:t xml:space="preserve"> </w:t>
      </w:r>
      <w:r w:rsidR="000F0162" w:rsidRPr="00F34D7D">
        <w:rPr>
          <w:bCs/>
          <w:iCs/>
          <w:noProof/>
        </w:rPr>
        <w:t xml:space="preserve">would be coupled with a </w:t>
      </w:r>
      <w:r w:rsidR="000F0162" w:rsidRPr="00F34D7D">
        <w:rPr>
          <w:bCs/>
          <w:noProof/>
        </w:rPr>
        <w:t>protecti</w:t>
      </w:r>
      <w:r w:rsidR="0068220B" w:rsidRPr="00F34D7D">
        <w:rPr>
          <w:bCs/>
          <w:noProof/>
        </w:rPr>
        <w:t>ve</w:t>
      </w:r>
      <w:r w:rsidR="000F0162" w:rsidRPr="00F34D7D">
        <w:rPr>
          <w:bCs/>
          <w:noProof/>
        </w:rPr>
        <w:t xml:space="preserve"> measure</w:t>
      </w:r>
      <w:r w:rsidR="00AA06C6" w:rsidRPr="00F34D7D">
        <w:rPr>
          <w:bCs/>
          <w:noProof/>
        </w:rPr>
        <w:t xml:space="preserve"> </w:t>
      </w:r>
      <w:r w:rsidR="000F0162" w:rsidRPr="00F34D7D">
        <w:rPr>
          <w:bCs/>
          <w:noProof/>
        </w:rPr>
        <w:t xml:space="preserve">to ensure that </w:t>
      </w:r>
      <w:r w:rsidR="00021894" w:rsidRPr="00F34D7D">
        <w:rPr>
          <w:bCs/>
          <w:noProof/>
        </w:rPr>
        <w:t>interest</w:t>
      </w:r>
      <w:r w:rsidR="00D43132" w:rsidRPr="00F34D7D">
        <w:rPr>
          <w:bCs/>
          <w:iCs/>
          <w:noProof/>
        </w:rPr>
        <w:t xml:space="preserve"> and</w:t>
      </w:r>
      <w:r w:rsidR="00021894" w:rsidRPr="00F34D7D">
        <w:rPr>
          <w:bCs/>
          <w:noProof/>
        </w:rPr>
        <w:t xml:space="preserve"> royalty </w:t>
      </w:r>
      <w:r w:rsidR="00B00390" w:rsidRPr="00F34D7D">
        <w:rPr>
          <w:bCs/>
          <w:noProof/>
        </w:rPr>
        <w:t>payments</w:t>
      </w:r>
      <w:r w:rsidR="00B00390" w:rsidRPr="00F34D7D">
        <w:rPr>
          <w:bCs/>
          <w:iCs/>
          <w:noProof/>
        </w:rPr>
        <w:t xml:space="preserve"> are taxed </w:t>
      </w:r>
      <w:r w:rsidR="00C67686" w:rsidRPr="00F34D7D">
        <w:rPr>
          <w:bCs/>
          <w:iCs/>
          <w:noProof/>
        </w:rPr>
        <w:t>when distributed</w:t>
      </w:r>
      <w:r w:rsidR="00860123" w:rsidRPr="00F34D7D">
        <w:rPr>
          <w:bCs/>
          <w:iCs/>
          <w:noProof/>
        </w:rPr>
        <w:t xml:space="preserve"> </w:t>
      </w:r>
      <w:r w:rsidRPr="00F34D7D">
        <w:rPr>
          <w:bCs/>
          <w:iCs/>
          <w:noProof/>
        </w:rPr>
        <w:t xml:space="preserve">from a Member State </w:t>
      </w:r>
      <w:r w:rsidR="00C67686" w:rsidRPr="00F34D7D">
        <w:rPr>
          <w:bCs/>
          <w:iCs/>
          <w:noProof/>
        </w:rPr>
        <w:t>to</w:t>
      </w:r>
      <w:r w:rsidR="00446CEE" w:rsidRPr="00F34D7D">
        <w:rPr>
          <w:bCs/>
          <w:iCs/>
          <w:noProof/>
        </w:rPr>
        <w:t xml:space="preserve"> </w:t>
      </w:r>
      <w:r w:rsidRPr="00F34D7D">
        <w:rPr>
          <w:bCs/>
          <w:iCs/>
          <w:noProof/>
        </w:rPr>
        <w:t>a</w:t>
      </w:r>
      <w:r w:rsidR="00860123" w:rsidRPr="00F34D7D">
        <w:rPr>
          <w:bCs/>
          <w:iCs/>
          <w:noProof/>
        </w:rPr>
        <w:t xml:space="preserve"> </w:t>
      </w:r>
      <w:r w:rsidR="00446CEE" w:rsidRPr="00F34D7D">
        <w:rPr>
          <w:bCs/>
          <w:iCs/>
          <w:noProof/>
        </w:rPr>
        <w:t xml:space="preserve">zero-tax jurisdiction. </w:t>
      </w:r>
      <w:r w:rsidR="00144506" w:rsidRPr="00F34D7D">
        <w:rPr>
          <w:bCs/>
          <w:iCs/>
          <w:noProof/>
        </w:rPr>
        <w:t>In addition</w:t>
      </w:r>
      <w:r w:rsidR="00AA06C6" w:rsidRPr="00F34D7D">
        <w:rPr>
          <w:bCs/>
          <w:iCs/>
          <w:noProof/>
        </w:rPr>
        <w:t>, a</w:t>
      </w:r>
      <w:r w:rsidR="00D22709" w:rsidRPr="00F34D7D">
        <w:rPr>
          <w:bCs/>
          <w:iCs/>
          <w:noProof/>
        </w:rPr>
        <w:t xml:space="preserve"> reduction </w:t>
      </w:r>
      <w:r w:rsidR="003F07C3" w:rsidRPr="00F34D7D">
        <w:rPr>
          <w:bCs/>
          <w:iCs/>
          <w:noProof/>
        </w:rPr>
        <w:t>or elimination of holding requirement</w:t>
      </w:r>
      <w:r w:rsidR="00AA06C6" w:rsidRPr="00F34D7D">
        <w:rPr>
          <w:bCs/>
          <w:iCs/>
          <w:noProof/>
        </w:rPr>
        <w:t>s</w:t>
      </w:r>
      <w:r w:rsidR="003F07C3" w:rsidRPr="00F34D7D">
        <w:rPr>
          <w:bCs/>
          <w:iCs/>
          <w:noProof/>
        </w:rPr>
        <w:t>, and the</w:t>
      </w:r>
      <w:r w:rsidR="00096D6B" w:rsidRPr="00F34D7D">
        <w:rPr>
          <w:bCs/>
          <w:iCs/>
          <w:noProof/>
        </w:rPr>
        <w:t xml:space="preserve"> </w:t>
      </w:r>
      <w:r w:rsidR="0005079F" w:rsidRPr="00F34D7D">
        <w:rPr>
          <w:bCs/>
          <w:iCs/>
          <w:noProof/>
        </w:rPr>
        <w:t>removal of any upfront procedures for verifying whether the conditions for the exemptions are fulfilled at the time of payment of the interest, royalties or distribution of profits</w:t>
      </w:r>
      <w:r w:rsidR="00F36F3B" w:rsidRPr="00F34D7D">
        <w:rPr>
          <w:bCs/>
          <w:iCs/>
          <w:noProof/>
        </w:rPr>
        <w:t xml:space="preserve"> (dividends)</w:t>
      </w:r>
      <w:r w:rsidR="0096139E" w:rsidRPr="00F34D7D">
        <w:rPr>
          <w:bCs/>
          <w:iCs/>
          <w:noProof/>
        </w:rPr>
        <w:t>,</w:t>
      </w:r>
      <w:r w:rsidR="0005079F" w:rsidRPr="00F34D7D">
        <w:rPr>
          <w:bCs/>
          <w:iCs/>
          <w:noProof/>
        </w:rPr>
        <w:t xml:space="preserve"> should not affect the powers of Member States to carry out </w:t>
      </w:r>
      <w:r w:rsidR="0005079F" w:rsidRPr="00F34D7D">
        <w:rPr>
          <w:bCs/>
          <w:i/>
          <w:noProof/>
        </w:rPr>
        <w:t>ex post controls</w:t>
      </w:r>
      <w:r w:rsidR="0005079F" w:rsidRPr="00F34D7D">
        <w:rPr>
          <w:bCs/>
          <w:iCs/>
          <w:noProof/>
        </w:rPr>
        <w:t xml:space="preserve"> and to apply national anti-abuse rules, including rules on beneficial ownership. </w:t>
      </w:r>
      <w:r w:rsidR="0015195C" w:rsidRPr="00F34D7D">
        <w:rPr>
          <w:bCs/>
          <w:iCs/>
          <w:noProof/>
        </w:rPr>
        <w:t xml:space="preserve">Consequently, </w:t>
      </w:r>
      <w:r w:rsidR="00CA3DFB" w:rsidRPr="00F34D7D">
        <w:rPr>
          <w:bCs/>
          <w:iCs/>
          <w:noProof/>
        </w:rPr>
        <w:t xml:space="preserve">the anti-tax avoidance framework should remain </w:t>
      </w:r>
      <w:r w:rsidR="00A35382" w:rsidRPr="00F34D7D">
        <w:rPr>
          <w:bCs/>
          <w:iCs/>
          <w:noProof/>
        </w:rPr>
        <w:t>effective and</w:t>
      </w:r>
      <w:r w:rsidR="00CA3DFB" w:rsidRPr="00F34D7D">
        <w:rPr>
          <w:bCs/>
          <w:iCs/>
          <w:noProof/>
        </w:rPr>
        <w:t xml:space="preserve"> robust. </w:t>
      </w:r>
    </w:p>
    <w:p w14:paraId="6D8F7A16" w14:textId="6698842D" w:rsidR="00F8373B" w:rsidRPr="005A3F47" w:rsidRDefault="00B129E7" w:rsidP="00DE6B6A">
      <w:pPr>
        <w:pStyle w:val="Heading3"/>
        <w:numPr>
          <w:ilvl w:val="2"/>
          <w:numId w:val="185"/>
        </w:numPr>
        <w:rPr>
          <w:noProof/>
        </w:rPr>
      </w:pPr>
      <w:bookmarkStart w:id="161" w:name="_Ref226463262"/>
      <w:bookmarkStart w:id="162" w:name="_Toc226466831"/>
      <w:bookmarkStart w:id="163" w:name="_Toc226467192"/>
      <w:bookmarkStart w:id="164" w:name="_Toc226467292"/>
      <w:bookmarkStart w:id="165" w:name="_Toc226467511"/>
      <w:r w:rsidRPr="005A3F47">
        <w:rPr>
          <w:rFonts w:eastAsia="Aptos"/>
          <w:noProof/>
        </w:rPr>
        <w:t>Simplification</w:t>
      </w:r>
      <w:r w:rsidRPr="005A3F47">
        <w:rPr>
          <w:noProof/>
        </w:rPr>
        <w:t xml:space="preserve"> in the context of the CFC</w:t>
      </w:r>
      <w:r w:rsidR="00A4452D" w:rsidRPr="005A3F47">
        <w:rPr>
          <w:noProof/>
        </w:rPr>
        <w:t xml:space="preserve"> </w:t>
      </w:r>
      <w:r w:rsidRPr="005A3F47">
        <w:rPr>
          <w:noProof/>
        </w:rPr>
        <w:t>rules</w:t>
      </w:r>
      <w:bookmarkEnd w:id="161"/>
      <w:bookmarkEnd w:id="162"/>
      <w:bookmarkEnd w:id="163"/>
      <w:bookmarkEnd w:id="164"/>
      <w:bookmarkEnd w:id="165"/>
    </w:p>
    <w:p w14:paraId="2A76E747" w14:textId="1FA1BF74" w:rsidR="00CC4D43" w:rsidRPr="005A3F47" w:rsidRDefault="0024304A" w:rsidP="00CC4D43">
      <w:pPr>
        <w:rPr>
          <w:noProof/>
        </w:rPr>
      </w:pPr>
      <w:r w:rsidRPr="005A3F47">
        <w:rPr>
          <w:noProof/>
        </w:rPr>
        <w:t>More d</w:t>
      </w:r>
      <w:r w:rsidR="00B43910" w:rsidRPr="005A3F47">
        <w:rPr>
          <w:noProof/>
        </w:rPr>
        <w:t xml:space="preserve">etailed information </w:t>
      </w:r>
      <w:r w:rsidR="00B109CF" w:rsidRPr="005A3F47">
        <w:rPr>
          <w:noProof/>
        </w:rPr>
        <w:t xml:space="preserve">can be found </w:t>
      </w:r>
      <w:r w:rsidR="00B109CF" w:rsidRPr="00F34D7D">
        <w:rPr>
          <w:noProof/>
        </w:rPr>
        <w:t xml:space="preserve">in Annex 4, </w:t>
      </w:r>
      <w:r w:rsidR="00C44D87" w:rsidRPr="00F34D7D">
        <w:rPr>
          <w:noProof/>
        </w:rPr>
        <w:t>S</w:t>
      </w:r>
      <w:r w:rsidR="00B109CF" w:rsidRPr="00F34D7D">
        <w:rPr>
          <w:noProof/>
        </w:rPr>
        <w:t xml:space="preserve">ection </w:t>
      </w:r>
      <w:r w:rsidR="00645935" w:rsidRPr="00F34D7D">
        <w:rPr>
          <w:noProof/>
        </w:rPr>
        <w:t>3</w:t>
      </w:r>
      <w:r w:rsidR="009E3423" w:rsidRPr="005A3F47">
        <w:rPr>
          <w:noProof/>
        </w:rPr>
        <w:t xml:space="preserve">, in particular as regards the </w:t>
      </w:r>
      <w:r w:rsidR="002007D1" w:rsidRPr="005A3F47">
        <w:rPr>
          <w:noProof/>
        </w:rPr>
        <w:t xml:space="preserve">potential </w:t>
      </w:r>
      <w:r w:rsidR="00141DF8" w:rsidRPr="005A3F47">
        <w:rPr>
          <w:noProof/>
        </w:rPr>
        <w:t>economic double taxation</w:t>
      </w:r>
      <w:r w:rsidR="00A4452D" w:rsidRPr="005A3F47">
        <w:rPr>
          <w:noProof/>
        </w:rPr>
        <w:t xml:space="preserve"> resulting from the simultaneous application of the CFC rules and Pillar 2.</w:t>
      </w:r>
    </w:p>
    <w:p w14:paraId="3FBACC74" w14:textId="49D8CF11" w:rsidR="0099176D" w:rsidRPr="005A3F47" w:rsidRDefault="00777E7E" w:rsidP="0016332A">
      <w:pPr>
        <w:pStyle w:val="Heading4"/>
        <w:numPr>
          <w:ilvl w:val="3"/>
          <w:numId w:val="185"/>
        </w:numPr>
        <w:rPr>
          <w:noProof/>
        </w:rPr>
      </w:pPr>
      <w:r w:rsidRPr="005A3F47">
        <w:rPr>
          <w:i/>
          <w:noProof/>
        </w:rPr>
        <w:t xml:space="preserve"> </w:t>
      </w:r>
      <w:r w:rsidR="00C801AE" w:rsidRPr="005A3F47">
        <w:rPr>
          <w:i/>
          <w:noProof/>
        </w:rPr>
        <w:t xml:space="preserve">Option 1: </w:t>
      </w:r>
      <w:r w:rsidR="0099176D" w:rsidRPr="005A3F47">
        <w:rPr>
          <w:i/>
          <w:noProof/>
        </w:rPr>
        <w:t>Reduce implementation options: Make “Model A</w:t>
      </w:r>
      <w:r w:rsidR="0099176D" w:rsidRPr="005A3F47">
        <w:rPr>
          <w:i/>
          <w:iCs/>
          <w:noProof/>
        </w:rPr>
        <w:t>”</w:t>
      </w:r>
      <w:r w:rsidR="0099176D" w:rsidRPr="005A3F47">
        <w:rPr>
          <w:noProof/>
        </w:rPr>
        <w:t xml:space="preserve"> mandatory</w:t>
      </w:r>
    </w:p>
    <w:p w14:paraId="3F376789" w14:textId="77777777" w:rsidR="00AF6883" w:rsidRPr="005A3F47" w:rsidRDefault="00AF6883" w:rsidP="00DE6B6A">
      <w:pPr>
        <w:pStyle w:val="Text2"/>
        <w:spacing w:before="240" w:after="120"/>
        <w:ind w:left="0"/>
        <w:rPr>
          <w:i/>
          <w:noProof/>
        </w:rPr>
      </w:pPr>
      <w:r w:rsidRPr="005A3F47">
        <w:rPr>
          <w:bCs/>
          <w:i/>
          <w:noProof/>
        </w:rPr>
        <w:t>Impact on companies</w:t>
      </w:r>
    </w:p>
    <w:p w14:paraId="7C424D30" w14:textId="399C70A6" w:rsidR="0099176D" w:rsidRPr="005A3F47" w:rsidRDefault="00467CF5" w:rsidP="003C7858">
      <w:pPr>
        <w:spacing w:before="120" w:after="120"/>
        <w:rPr>
          <w:rFonts w:eastAsia="Times New Roman"/>
          <w:noProof/>
          <w:lang w:eastAsia="en-GB"/>
        </w:rPr>
      </w:pPr>
      <w:r w:rsidRPr="005A3F47">
        <w:rPr>
          <w:noProof/>
        </w:rPr>
        <w:t xml:space="preserve">As explained in previous chapters, the ATAD </w:t>
      </w:r>
      <w:r w:rsidR="00980446" w:rsidRPr="005A3F47">
        <w:rPr>
          <w:noProof/>
        </w:rPr>
        <w:t xml:space="preserve">allows for two CFC </w:t>
      </w:r>
      <w:r w:rsidR="00051B16" w:rsidRPr="005A3F47">
        <w:rPr>
          <w:noProof/>
        </w:rPr>
        <w:t xml:space="preserve">income definition </w:t>
      </w:r>
      <w:r w:rsidR="00980446" w:rsidRPr="005A3F47">
        <w:rPr>
          <w:noProof/>
        </w:rPr>
        <w:t>models to be implemented at national level, or a combination of both. T</w:t>
      </w:r>
      <w:r w:rsidR="0099176D" w:rsidRPr="005A3F47">
        <w:rPr>
          <w:noProof/>
        </w:rPr>
        <w:t xml:space="preserve">en Member States have currently implemented Model B or some hybrid version of </w:t>
      </w:r>
      <w:r w:rsidR="00AC6904" w:rsidRPr="005A3F47">
        <w:rPr>
          <w:noProof/>
        </w:rPr>
        <w:t xml:space="preserve">the </w:t>
      </w:r>
      <w:r w:rsidR="0099176D" w:rsidRPr="005A3F47">
        <w:rPr>
          <w:noProof/>
        </w:rPr>
        <w:t>CFC income definition.</w:t>
      </w:r>
      <w:r w:rsidR="0099176D" w:rsidRPr="005A3F47">
        <w:rPr>
          <w:rStyle w:val="FootnoteReference"/>
          <w:noProof/>
        </w:rPr>
        <w:footnoteReference w:id="91"/>
      </w:r>
      <w:r w:rsidR="0099176D" w:rsidRPr="005A3F47">
        <w:rPr>
          <w:noProof/>
        </w:rPr>
        <w:t xml:space="preserve"> If Model A were mandatory, </w:t>
      </w:r>
      <w:r w:rsidR="00133B7B" w:rsidRPr="005A3F47">
        <w:rPr>
          <w:noProof/>
        </w:rPr>
        <w:t xml:space="preserve">these </w:t>
      </w:r>
      <w:r w:rsidR="0099176D" w:rsidRPr="005A3F47">
        <w:rPr>
          <w:noProof/>
        </w:rPr>
        <w:t xml:space="preserve">Member States would </w:t>
      </w:r>
      <w:r w:rsidR="00133B7B" w:rsidRPr="005A3F47">
        <w:rPr>
          <w:noProof/>
        </w:rPr>
        <w:t xml:space="preserve">also </w:t>
      </w:r>
      <w:r w:rsidR="0099176D" w:rsidRPr="005A3F47">
        <w:rPr>
          <w:noProof/>
        </w:rPr>
        <w:t xml:space="preserve">apply the same defined categories of passive income of the controlled companies. </w:t>
      </w:r>
      <w:r w:rsidR="0076018D" w:rsidRPr="005A3F47">
        <w:rPr>
          <w:noProof/>
        </w:rPr>
        <w:t>Model A is simpler than Model B</w:t>
      </w:r>
      <w:r w:rsidR="00B83912" w:rsidRPr="005A3F47">
        <w:rPr>
          <w:noProof/>
        </w:rPr>
        <w:t xml:space="preserve"> as it adds</w:t>
      </w:r>
      <w:r w:rsidR="0076018D" w:rsidRPr="005A3F47">
        <w:rPr>
          <w:noProof/>
        </w:rPr>
        <w:t xml:space="preserve"> legal certainty</w:t>
      </w:r>
      <w:r w:rsidR="00403E4A" w:rsidRPr="005A3F47">
        <w:rPr>
          <w:noProof/>
        </w:rPr>
        <w:t xml:space="preserve"> to </w:t>
      </w:r>
      <w:r w:rsidR="00B83912" w:rsidRPr="005A3F47">
        <w:rPr>
          <w:noProof/>
        </w:rPr>
        <w:t>taxpayer</w:t>
      </w:r>
      <w:r w:rsidR="004E43AC" w:rsidRPr="005A3F47">
        <w:rPr>
          <w:noProof/>
        </w:rPr>
        <w:t>s</w:t>
      </w:r>
      <w:r w:rsidR="00B83912" w:rsidRPr="005A3F47">
        <w:rPr>
          <w:noProof/>
        </w:rPr>
        <w:t xml:space="preserve"> (</w:t>
      </w:r>
      <w:r w:rsidR="00791931" w:rsidRPr="005A3F47">
        <w:rPr>
          <w:noProof/>
        </w:rPr>
        <w:t>S</w:t>
      </w:r>
      <w:r w:rsidR="00B83912" w:rsidRPr="005A3F47">
        <w:rPr>
          <w:noProof/>
        </w:rPr>
        <w:t xml:space="preserve">ection </w:t>
      </w:r>
      <w:hyperlink w:anchor="_Option_1A:_Full" w:history="1">
        <w:r w:rsidR="00735BC7" w:rsidRPr="005A3F47">
          <w:rPr>
            <w:noProof/>
          </w:rPr>
          <w:fldChar w:fldCharType="begin"/>
        </w:r>
        <w:r w:rsidR="00735BC7" w:rsidRPr="005A3F47">
          <w:rPr>
            <w:noProof/>
          </w:rPr>
          <w:instrText xml:space="preserve"> REF _Ref226463565 \r \h </w:instrText>
        </w:r>
        <w:r w:rsidR="005A3F47">
          <w:rPr>
            <w:noProof/>
          </w:rPr>
          <w:instrText xml:space="preserve"> \* MERGEFORMAT </w:instrText>
        </w:r>
        <w:r w:rsidR="00735BC7" w:rsidRPr="005A3F47">
          <w:rPr>
            <w:noProof/>
          </w:rPr>
        </w:r>
        <w:r w:rsidR="00735BC7" w:rsidRPr="005A3F47">
          <w:rPr>
            <w:noProof/>
          </w:rPr>
          <w:fldChar w:fldCharType="separate"/>
        </w:r>
        <w:r w:rsidR="00CF3380">
          <w:rPr>
            <w:noProof/>
          </w:rPr>
          <w:t>5.2.2.1</w:t>
        </w:r>
        <w:r w:rsidR="00735BC7" w:rsidRPr="005A3F47">
          <w:rPr>
            <w:noProof/>
          </w:rPr>
          <w:fldChar w:fldCharType="end"/>
        </w:r>
      </w:hyperlink>
      <w:r w:rsidR="00B83912" w:rsidRPr="005A3F47">
        <w:rPr>
          <w:noProof/>
        </w:rPr>
        <w:t>)</w:t>
      </w:r>
      <w:r w:rsidR="003F3FF9" w:rsidRPr="005A3F47">
        <w:rPr>
          <w:noProof/>
        </w:rPr>
        <w:t>.</w:t>
      </w:r>
      <w:r w:rsidR="003212EE" w:rsidRPr="005A3F47">
        <w:rPr>
          <w:noProof/>
        </w:rPr>
        <w:t xml:space="preserve"> </w:t>
      </w:r>
      <w:r w:rsidR="00AF529B" w:rsidRPr="005A3F47">
        <w:rPr>
          <w:noProof/>
        </w:rPr>
        <w:t xml:space="preserve">Moreover, </w:t>
      </w:r>
      <w:r w:rsidR="00584F8F" w:rsidRPr="005A3F47">
        <w:rPr>
          <w:noProof/>
        </w:rPr>
        <w:t>w</w:t>
      </w:r>
      <w:r w:rsidR="0099176D" w:rsidRPr="005A3F47">
        <w:rPr>
          <w:noProof/>
        </w:rPr>
        <w:t xml:space="preserve">ith a uniform application of Model A, taxpayers would face a consistent approach to CFC rules across all Member States. This </w:t>
      </w:r>
      <w:r w:rsidR="0099176D" w:rsidRPr="00F34D7D">
        <w:rPr>
          <w:bCs/>
          <w:noProof/>
        </w:rPr>
        <w:t>harmonisation</w:t>
      </w:r>
      <w:r w:rsidR="0099176D" w:rsidRPr="005A3F47">
        <w:rPr>
          <w:noProof/>
        </w:rPr>
        <w:t xml:space="preserve"> would lead to </w:t>
      </w:r>
      <w:r w:rsidR="0099176D" w:rsidRPr="005A3F47">
        <w:rPr>
          <w:rFonts w:eastAsia="Times New Roman"/>
          <w:noProof/>
          <w:lang w:eastAsia="en-GB"/>
        </w:rPr>
        <w:t>simplified administrative processes, as tax reporting and compliance would be streamlined under a single set of CFC rules. This could lead to lower administrative costs and a reduced need for specialised tax advisory services.</w:t>
      </w:r>
    </w:p>
    <w:p w14:paraId="26EE8D6A" w14:textId="3DDB294A" w:rsidR="008245B9" w:rsidRPr="005A3F47" w:rsidRDefault="0099176D" w:rsidP="00091F57">
      <w:pPr>
        <w:spacing w:before="120" w:after="120"/>
        <w:rPr>
          <w:noProof/>
        </w:rPr>
      </w:pPr>
      <w:r w:rsidRPr="005A3F47">
        <w:rPr>
          <w:noProof/>
        </w:rPr>
        <w:t>A</w:t>
      </w:r>
      <w:r w:rsidR="008245B9" w:rsidRPr="005A3F47">
        <w:rPr>
          <w:noProof/>
        </w:rPr>
        <w:t xml:space="preserve">s regards the number of companies affected, </w:t>
      </w:r>
      <w:r w:rsidR="00F570A3" w:rsidRPr="005A3F47">
        <w:rPr>
          <w:noProof/>
        </w:rPr>
        <w:t>based on data available in</w:t>
      </w:r>
      <w:r w:rsidRPr="005A3F47">
        <w:rPr>
          <w:noProof/>
        </w:rPr>
        <w:t xml:space="preserve"> </w:t>
      </w:r>
      <w:r w:rsidRPr="005A3F47">
        <w:rPr>
          <w:i/>
          <w:noProof/>
        </w:rPr>
        <w:t>Orbis</w:t>
      </w:r>
      <w:r w:rsidRPr="005A3F47">
        <w:rPr>
          <w:noProof/>
        </w:rPr>
        <w:t xml:space="preserve">, some 114,000 </w:t>
      </w:r>
      <w:r w:rsidR="003611AD" w:rsidRPr="005A3F47">
        <w:rPr>
          <w:noProof/>
        </w:rPr>
        <w:t>companies</w:t>
      </w:r>
      <w:r w:rsidRPr="005A3F47">
        <w:rPr>
          <w:noProof/>
        </w:rPr>
        <w:t xml:space="preserve"> in the EU</w:t>
      </w:r>
      <w:r w:rsidR="00F570A3" w:rsidRPr="005A3F47">
        <w:rPr>
          <w:noProof/>
        </w:rPr>
        <w:t xml:space="preserve"> would be subject to the ATAD rules, from which </w:t>
      </w:r>
      <w:r w:rsidR="00EC189C" w:rsidRPr="005A3F47">
        <w:rPr>
          <w:noProof/>
        </w:rPr>
        <w:t xml:space="preserve">about 40,000 companies </w:t>
      </w:r>
      <w:r w:rsidR="00216CA6" w:rsidRPr="005A3F47">
        <w:rPr>
          <w:noProof/>
        </w:rPr>
        <w:t xml:space="preserve">are located in </w:t>
      </w:r>
      <w:r w:rsidR="00DD59E5" w:rsidRPr="005A3F47">
        <w:rPr>
          <w:noProof/>
        </w:rPr>
        <w:t>the ten</w:t>
      </w:r>
      <w:r w:rsidR="00216CA6" w:rsidRPr="005A3F47">
        <w:rPr>
          <w:noProof/>
        </w:rPr>
        <w:t xml:space="preserve"> Member States</w:t>
      </w:r>
      <w:r w:rsidR="00EC189C" w:rsidRPr="005A3F47">
        <w:rPr>
          <w:noProof/>
        </w:rPr>
        <w:t xml:space="preserve"> </w:t>
      </w:r>
      <w:r w:rsidR="00C00BAC" w:rsidRPr="005A3F47">
        <w:rPr>
          <w:noProof/>
        </w:rPr>
        <w:t>that</w:t>
      </w:r>
      <w:r w:rsidR="005E7B0E" w:rsidRPr="005A3F47">
        <w:rPr>
          <w:noProof/>
        </w:rPr>
        <w:t xml:space="preserve"> so far have not yet (fully) implemented Model A. </w:t>
      </w:r>
      <w:r w:rsidRPr="005A3F47">
        <w:rPr>
          <w:noProof/>
        </w:rPr>
        <w:t xml:space="preserve">These </w:t>
      </w:r>
      <w:r w:rsidR="005E7B0E" w:rsidRPr="005A3F47">
        <w:rPr>
          <w:noProof/>
        </w:rPr>
        <w:t>companies</w:t>
      </w:r>
      <w:r w:rsidRPr="005A3F47">
        <w:rPr>
          <w:noProof/>
        </w:rPr>
        <w:t xml:space="preserve"> can be the owners of entire groups, but most of them are owners of </w:t>
      </w:r>
      <w:r w:rsidR="00AE7FBF" w:rsidRPr="005A3F47">
        <w:rPr>
          <w:noProof/>
        </w:rPr>
        <w:t>fewer</w:t>
      </w:r>
      <w:r w:rsidRPr="005A3F47">
        <w:rPr>
          <w:noProof/>
        </w:rPr>
        <w:t xml:space="preserve"> entities. </w:t>
      </w:r>
    </w:p>
    <w:p w14:paraId="32AC7871" w14:textId="10AF1C6C" w:rsidR="00960290" w:rsidRPr="005A3F47" w:rsidRDefault="008245B9" w:rsidP="00091F57">
      <w:pPr>
        <w:spacing w:before="120" w:after="120"/>
        <w:rPr>
          <w:noProof/>
        </w:rPr>
      </w:pPr>
      <w:r w:rsidRPr="005A3F47">
        <w:rPr>
          <w:noProof/>
        </w:rPr>
        <w:t xml:space="preserve">As regards the costs involved, it </w:t>
      </w:r>
      <w:r w:rsidR="00FD6591" w:rsidRPr="005A3F47">
        <w:rPr>
          <w:noProof/>
        </w:rPr>
        <w:t xml:space="preserve">is </w:t>
      </w:r>
      <w:r w:rsidR="00386D1A" w:rsidRPr="005A3F47">
        <w:rPr>
          <w:noProof/>
        </w:rPr>
        <w:t>assumed that</w:t>
      </w:r>
      <w:r w:rsidR="00E62549" w:rsidRPr="005A3F47">
        <w:rPr>
          <w:noProof/>
        </w:rPr>
        <w:t xml:space="preserve">, </w:t>
      </w:r>
      <w:r w:rsidR="00EC45BA" w:rsidRPr="005A3F47">
        <w:rPr>
          <w:noProof/>
        </w:rPr>
        <w:t xml:space="preserve">on average, </w:t>
      </w:r>
      <w:r w:rsidR="00E62549" w:rsidRPr="005A3F47">
        <w:rPr>
          <w:noProof/>
        </w:rPr>
        <w:t>ATAD</w:t>
      </w:r>
      <w:r w:rsidR="00EC45BA" w:rsidRPr="005A3F47">
        <w:rPr>
          <w:noProof/>
        </w:rPr>
        <w:t xml:space="preserve">-related costs </w:t>
      </w:r>
      <w:r w:rsidR="00FF5371" w:rsidRPr="005A3F47">
        <w:rPr>
          <w:noProof/>
        </w:rPr>
        <w:t>for MNE</w:t>
      </w:r>
      <w:r w:rsidR="00155F27" w:rsidRPr="005A3F47">
        <w:rPr>
          <w:noProof/>
        </w:rPr>
        <w:t xml:space="preserve">s </w:t>
      </w:r>
      <w:r w:rsidR="00EA7496" w:rsidRPr="005A3F47">
        <w:rPr>
          <w:noProof/>
        </w:rPr>
        <w:t>are EUR 33,000 per year</w:t>
      </w:r>
      <w:r w:rsidR="00ED0E9A" w:rsidRPr="005A3F47">
        <w:rPr>
          <w:noProof/>
        </w:rPr>
        <w:t>. T</w:t>
      </w:r>
      <w:r w:rsidR="001234D2" w:rsidRPr="005A3F47">
        <w:rPr>
          <w:noProof/>
        </w:rPr>
        <w:t>his</w:t>
      </w:r>
      <w:r w:rsidR="00E54454" w:rsidRPr="005A3F47">
        <w:rPr>
          <w:noProof/>
        </w:rPr>
        <w:t xml:space="preserve"> is because</w:t>
      </w:r>
      <w:r w:rsidR="00B1704A" w:rsidRPr="005A3F47">
        <w:rPr>
          <w:noProof/>
        </w:rPr>
        <w:t xml:space="preserve"> c</w:t>
      </w:r>
      <w:r w:rsidR="001B3FDD" w:rsidRPr="005A3F47">
        <w:rPr>
          <w:noProof/>
        </w:rPr>
        <w:t>ompliance checks related to</w:t>
      </w:r>
      <w:r w:rsidR="0056024E" w:rsidRPr="005A3F47">
        <w:rPr>
          <w:noProof/>
        </w:rPr>
        <w:t xml:space="preserve"> </w:t>
      </w:r>
      <w:r w:rsidR="00533ED2" w:rsidRPr="005A3F47">
        <w:rPr>
          <w:noProof/>
        </w:rPr>
        <w:t xml:space="preserve">the application of </w:t>
      </w:r>
      <w:r w:rsidR="007C5833" w:rsidRPr="005A3F47">
        <w:rPr>
          <w:noProof/>
        </w:rPr>
        <w:t>CFC rule</w:t>
      </w:r>
      <w:r w:rsidR="00533ED2" w:rsidRPr="005A3F47">
        <w:rPr>
          <w:noProof/>
        </w:rPr>
        <w:t xml:space="preserve">s </w:t>
      </w:r>
      <w:r w:rsidR="007C5833" w:rsidRPr="005A3F47">
        <w:rPr>
          <w:noProof/>
        </w:rPr>
        <w:t xml:space="preserve">would constitute only a part of </w:t>
      </w:r>
      <w:r w:rsidR="00DB2D7A" w:rsidRPr="005A3F47">
        <w:rPr>
          <w:noProof/>
        </w:rPr>
        <w:t xml:space="preserve">the </w:t>
      </w:r>
      <w:r w:rsidR="007C5833" w:rsidRPr="005A3F47">
        <w:rPr>
          <w:noProof/>
        </w:rPr>
        <w:t>total compliance costs related to the ATAD rules as a whole</w:t>
      </w:r>
      <w:r w:rsidR="00306AB5" w:rsidRPr="005A3F47">
        <w:rPr>
          <w:noProof/>
        </w:rPr>
        <w:t xml:space="preserve">. </w:t>
      </w:r>
      <w:r w:rsidRPr="005A3F47">
        <w:rPr>
          <w:noProof/>
        </w:rPr>
        <w:t xml:space="preserve">Next, as explained in detail in Section 1 of Annex 4 (given the lack of available empirical data to confirm the exact proportion), the </w:t>
      </w:r>
      <w:r w:rsidR="00687802" w:rsidRPr="005A3F47">
        <w:rPr>
          <w:noProof/>
        </w:rPr>
        <w:t xml:space="preserve">current analysis uses an assumption that </w:t>
      </w:r>
      <w:r w:rsidRPr="005A3F47">
        <w:rPr>
          <w:noProof/>
        </w:rPr>
        <w:t xml:space="preserve">the CFC rules account for </w:t>
      </w:r>
      <w:r w:rsidR="0099176D" w:rsidRPr="005A3F47">
        <w:rPr>
          <w:noProof/>
        </w:rPr>
        <w:t xml:space="preserve">one third of </w:t>
      </w:r>
      <w:r w:rsidRPr="005A3F47">
        <w:rPr>
          <w:noProof/>
        </w:rPr>
        <w:t xml:space="preserve">these </w:t>
      </w:r>
      <w:r w:rsidR="00060908" w:rsidRPr="005A3F47">
        <w:rPr>
          <w:noProof/>
        </w:rPr>
        <w:t>ATAD-</w:t>
      </w:r>
      <w:r w:rsidRPr="005A3F47">
        <w:rPr>
          <w:noProof/>
        </w:rPr>
        <w:t xml:space="preserve">related </w:t>
      </w:r>
      <w:r w:rsidR="0099176D" w:rsidRPr="005A3F47">
        <w:rPr>
          <w:noProof/>
        </w:rPr>
        <w:t>costs</w:t>
      </w:r>
      <w:r w:rsidR="00604BA8" w:rsidRPr="005A3F47">
        <w:rPr>
          <w:noProof/>
        </w:rPr>
        <w:t>, specifically</w:t>
      </w:r>
      <w:r w:rsidR="00BE32AB" w:rsidRPr="005A3F47">
        <w:rPr>
          <w:noProof/>
        </w:rPr>
        <w:t>.</w:t>
      </w:r>
      <w:r w:rsidR="0099176D" w:rsidRPr="005A3F47">
        <w:rPr>
          <w:noProof/>
        </w:rPr>
        <w:t xml:space="preserve"> </w:t>
      </w:r>
    </w:p>
    <w:p w14:paraId="197C1444" w14:textId="0401E64B" w:rsidR="0099176D" w:rsidRPr="005A3F47" w:rsidRDefault="008245B9" w:rsidP="00091F57">
      <w:pPr>
        <w:spacing w:before="120" w:after="120"/>
        <w:rPr>
          <w:b/>
          <w:noProof/>
        </w:rPr>
      </w:pPr>
      <w:r w:rsidRPr="005A3F47">
        <w:rPr>
          <w:noProof/>
        </w:rPr>
        <w:t>As regards the compliance cost savings, t</w:t>
      </w:r>
      <w:r w:rsidR="00AA3EFD" w:rsidRPr="005A3F47">
        <w:rPr>
          <w:noProof/>
        </w:rPr>
        <w:t xml:space="preserve">here is no </w:t>
      </w:r>
      <w:r w:rsidR="00E552A3" w:rsidRPr="005A3F47">
        <w:rPr>
          <w:noProof/>
        </w:rPr>
        <w:t xml:space="preserve">empirical </w:t>
      </w:r>
      <w:r w:rsidR="00AA3EFD" w:rsidRPr="005A3F47">
        <w:rPr>
          <w:noProof/>
        </w:rPr>
        <w:t xml:space="preserve">data </w:t>
      </w:r>
      <w:r w:rsidR="00EA7CBE" w:rsidRPr="005A3F47">
        <w:rPr>
          <w:noProof/>
        </w:rPr>
        <w:t xml:space="preserve">that would </w:t>
      </w:r>
      <w:r w:rsidR="00E552A3" w:rsidRPr="005A3F47">
        <w:rPr>
          <w:noProof/>
        </w:rPr>
        <w:t>facilitate estimating</w:t>
      </w:r>
      <w:r w:rsidR="005D07E3" w:rsidRPr="005A3F47">
        <w:rPr>
          <w:noProof/>
        </w:rPr>
        <w:t xml:space="preserve"> the </w:t>
      </w:r>
      <w:r w:rsidR="00E552A3" w:rsidRPr="005A3F47">
        <w:rPr>
          <w:noProof/>
        </w:rPr>
        <w:t>actual</w:t>
      </w:r>
      <w:r w:rsidR="005D07E3" w:rsidRPr="005A3F47">
        <w:rPr>
          <w:noProof/>
        </w:rPr>
        <w:t xml:space="preserve"> savings </w:t>
      </w:r>
      <w:r w:rsidR="00AE39FC" w:rsidRPr="005A3F47">
        <w:rPr>
          <w:noProof/>
        </w:rPr>
        <w:t xml:space="preserve">per </w:t>
      </w:r>
      <w:r w:rsidR="004F751E" w:rsidRPr="005A3F47">
        <w:rPr>
          <w:noProof/>
        </w:rPr>
        <w:t xml:space="preserve">company. </w:t>
      </w:r>
      <w:r w:rsidR="007765F4" w:rsidRPr="005A3F47">
        <w:rPr>
          <w:noProof/>
        </w:rPr>
        <w:t>A</w:t>
      </w:r>
      <w:r w:rsidR="00C131BB" w:rsidRPr="005A3F47">
        <w:rPr>
          <w:noProof/>
        </w:rPr>
        <w:t>ssuming</w:t>
      </w:r>
      <w:r w:rsidR="00E04CF5" w:rsidRPr="005A3F47">
        <w:rPr>
          <w:noProof/>
        </w:rPr>
        <w:t>, therefore,</w:t>
      </w:r>
      <w:r w:rsidR="00C131BB" w:rsidRPr="005A3F47">
        <w:rPr>
          <w:noProof/>
        </w:rPr>
        <w:t xml:space="preserve"> that </w:t>
      </w:r>
      <w:r w:rsidR="00BD5229" w:rsidRPr="005A3F47">
        <w:rPr>
          <w:noProof/>
        </w:rPr>
        <w:t xml:space="preserve">these companies would </w:t>
      </w:r>
      <w:r w:rsidR="002B5046" w:rsidRPr="005A3F47">
        <w:rPr>
          <w:noProof/>
        </w:rPr>
        <w:t>generate</w:t>
      </w:r>
      <w:r w:rsidR="00BD5229" w:rsidRPr="005A3F47">
        <w:rPr>
          <w:noProof/>
        </w:rPr>
        <w:t xml:space="preserve"> at least </w:t>
      </w:r>
      <w:r w:rsidR="001C53CA" w:rsidRPr="005A3F47">
        <w:rPr>
          <w:noProof/>
        </w:rPr>
        <w:t>10</w:t>
      </w:r>
      <w:r w:rsidR="00FE7CD3" w:rsidRPr="005A3F47">
        <w:rPr>
          <w:noProof/>
        </w:rPr>
        <w:t>% compliance</w:t>
      </w:r>
      <w:r w:rsidR="002B5046" w:rsidRPr="005A3F47">
        <w:rPr>
          <w:noProof/>
        </w:rPr>
        <w:t xml:space="preserve"> related savings</w:t>
      </w:r>
      <w:r w:rsidR="00FE7CD3" w:rsidRPr="005A3F47">
        <w:rPr>
          <w:noProof/>
        </w:rPr>
        <w:t xml:space="preserve"> </w:t>
      </w:r>
      <w:r w:rsidR="002B5046" w:rsidRPr="005A3F47">
        <w:rPr>
          <w:noProof/>
        </w:rPr>
        <w:t xml:space="preserve">as a result of the </w:t>
      </w:r>
      <w:r w:rsidR="007765F4" w:rsidRPr="005A3F47">
        <w:rPr>
          <w:noProof/>
        </w:rPr>
        <w:t>simplified and</w:t>
      </w:r>
      <w:r w:rsidR="002B5046" w:rsidRPr="005A3F47">
        <w:rPr>
          <w:noProof/>
        </w:rPr>
        <w:t xml:space="preserve"> unified framework under which they would then operate,</w:t>
      </w:r>
      <w:r w:rsidR="002B5046" w:rsidRPr="005A3F47">
        <w:rPr>
          <w:rStyle w:val="FootnoteReference"/>
          <w:noProof/>
        </w:rPr>
        <w:footnoteReference w:id="92"/>
      </w:r>
      <w:r w:rsidR="002B5046" w:rsidRPr="005A3F47">
        <w:rPr>
          <w:noProof/>
        </w:rPr>
        <w:t xml:space="preserve"> </w:t>
      </w:r>
      <w:r w:rsidR="00960290" w:rsidRPr="005A3F47">
        <w:rPr>
          <w:noProof/>
        </w:rPr>
        <w:t>it is estimated that relevant</w:t>
      </w:r>
      <w:r w:rsidR="0099176D" w:rsidRPr="005A3F47">
        <w:rPr>
          <w:noProof/>
        </w:rPr>
        <w:t xml:space="preserve"> controlling </w:t>
      </w:r>
      <w:r w:rsidR="70E8F15A" w:rsidRPr="005A3F47">
        <w:rPr>
          <w:noProof/>
        </w:rPr>
        <w:t>companies</w:t>
      </w:r>
      <w:r w:rsidR="0099176D" w:rsidRPr="005A3F47">
        <w:rPr>
          <w:noProof/>
        </w:rPr>
        <w:t xml:space="preserve"> could save an amount of about EUR </w:t>
      </w:r>
      <w:r w:rsidR="00686A4E" w:rsidRPr="005A3F47">
        <w:rPr>
          <w:noProof/>
        </w:rPr>
        <w:t>45</w:t>
      </w:r>
      <w:r w:rsidR="0099176D" w:rsidRPr="005A3F47">
        <w:rPr>
          <w:noProof/>
        </w:rPr>
        <w:t xml:space="preserve"> million per year</w:t>
      </w:r>
      <w:r w:rsidR="000179BD" w:rsidRPr="005A3F47">
        <w:rPr>
          <w:noProof/>
        </w:rPr>
        <w:t xml:space="preserve"> (≈33,000 </w:t>
      </w:r>
      <w:r w:rsidR="000707B8" w:rsidRPr="005A3F47">
        <w:rPr>
          <w:noProof/>
        </w:rPr>
        <w:t>EUR</w:t>
      </w:r>
      <w:r w:rsidR="000179BD" w:rsidRPr="005A3F47">
        <w:rPr>
          <w:noProof/>
        </w:rPr>
        <w:t xml:space="preserve"> * 1/3 * </w:t>
      </w:r>
      <w:r w:rsidR="001C53CA" w:rsidRPr="005A3F47">
        <w:rPr>
          <w:noProof/>
        </w:rPr>
        <w:t>10</w:t>
      </w:r>
      <w:r w:rsidR="000179BD" w:rsidRPr="005A3F47">
        <w:rPr>
          <w:noProof/>
        </w:rPr>
        <w:t xml:space="preserve">% * </w:t>
      </w:r>
      <w:r w:rsidR="00B64B97" w:rsidRPr="005A3F47">
        <w:rPr>
          <w:noProof/>
        </w:rPr>
        <w:t>40</w:t>
      </w:r>
      <w:r w:rsidR="000179BD" w:rsidRPr="005A3F47">
        <w:rPr>
          <w:noProof/>
        </w:rPr>
        <w:t>,000</w:t>
      </w:r>
      <w:r w:rsidR="000707B8" w:rsidRPr="005A3F47">
        <w:rPr>
          <w:noProof/>
        </w:rPr>
        <w:t xml:space="preserve"> </w:t>
      </w:r>
      <w:r w:rsidR="007D2276" w:rsidRPr="005A3F47">
        <w:rPr>
          <w:noProof/>
        </w:rPr>
        <w:t>companies</w:t>
      </w:r>
      <w:r w:rsidR="000179BD" w:rsidRPr="005A3F47">
        <w:rPr>
          <w:noProof/>
        </w:rPr>
        <w:t>)</w:t>
      </w:r>
      <w:r w:rsidR="0099176D" w:rsidRPr="005A3F47">
        <w:rPr>
          <w:noProof/>
        </w:rPr>
        <w:t>.</w:t>
      </w:r>
      <w:r w:rsidR="0099176D" w:rsidRPr="005A3F47">
        <w:rPr>
          <w:b/>
          <w:bCs/>
          <w:noProof/>
        </w:rPr>
        <w:t xml:space="preserve"> </w:t>
      </w:r>
    </w:p>
    <w:p w14:paraId="6E370D33" w14:textId="5F015DD2" w:rsidR="00AC3D88" w:rsidRPr="005A3F47" w:rsidRDefault="00AC3D88" w:rsidP="00B319A0">
      <w:pPr>
        <w:pStyle w:val="Text2"/>
        <w:spacing w:before="240" w:after="120"/>
        <w:ind w:left="0"/>
        <w:rPr>
          <w:bCs/>
          <w:i/>
          <w:noProof/>
        </w:rPr>
      </w:pPr>
      <w:r w:rsidRPr="005A3F47">
        <w:rPr>
          <w:bCs/>
          <w:i/>
          <w:noProof/>
        </w:rPr>
        <w:t>I</w:t>
      </w:r>
      <w:r w:rsidR="00AF6883" w:rsidRPr="005A3F47">
        <w:rPr>
          <w:bCs/>
          <w:i/>
          <w:noProof/>
        </w:rPr>
        <w:t xml:space="preserve">mpact on </w:t>
      </w:r>
      <w:r w:rsidR="003D498B" w:rsidRPr="005A3F47">
        <w:rPr>
          <w:bCs/>
          <w:i/>
          <w:noProof/>
        </w:rPr>
        <w:t xml:space="preserve">tax administrations </w:t>
      </w:r>
    </w:p>
    <w:p w14:paraId="4F4D1A2E" w14:textId="7743BAFB" w:rsidR="001376D6" w:rsidRPr="005A3F47" w:rsidRDefault="00AC3D88" w:rsidP="001376D6">
      <w:pPr>
        <w:spacing w:after="0"/>
        <w:rPr>
          <w:noProof/>
        </w:rPr>
      </w:pPr>
      <w:r w:rsidRPr="005A3F47">
        <w:rPr>
          <w:noProof/>
        </w:rPr>
        <w:t>A single framework for CFC rules across the EU provides consistent criteria for enforcement, eliminating the need to apply different models in different jurisdictions. Those jurisdictions not currently applying Model A</w:t>
      </w:r>
      <w:r w:rsidR="00B9538B" w:rsidRPr="005A3F47">
        <w:rPr>
          <w:noProof/>
        </w:rPr>
        <w:t xml:space="preserve">, and thus their </w:t>
      </w:r>
      <w:r w:rsidR="00035B41" w:rsidRPr="005A3F47">
        <w:rPr>
          <w:noProof/>
        </w:rPr>
        <w:t>administrations</w:t>
      </w:r>
      <w:r w:rsidR="00B9538B" w:rsidRPr="005A3F47">
        <w:rPr>
          <w:noProof/>
        </w:rPr>
        <w:t>,</w:t>
      </w:r>
      <w:r w:rsidRPr="005A3F47">
        <w:rPr>
          <w:noProof/>
        </w:rPr>
        <w:t xml:space="preserve"> will incur initial implementation costs as they shift from the use of one or a hybrid approach to implementation of only Model A. However, </w:t>
      </w:r>
      <w:r w:rsidR="005054E4" w:rsidRPr="005A3F47">
        <w:rPr>
          <w:noProof/>
        </w:rPr>
        <w:t xml:space="preserve">as further explained in Section 6.2.5 of this Chapter, </w:t>
      </w:r>
      <w:r w:rsidRPr="005A3F47">
        <w:rPr>
          <w:noProof/>
        </w:rPr>
        <w:t xml:space="preserve">these costs </w:t>
      </w:r>
      <w:r w:rsidR="00E04B77" w:rsidRPr="005A3F47">
        <w:rPr>
          <w:noProof/>
        </w:rPr>
        <w:t xml:space="preserve">to </w:t>
      </w:r>
      <w:r w:rsidR="006F7116" w:rsidRPr="005A3F47">
        <w:rPr>
          <w:noProof/>
        </w:rPr>
        <w:t>administrations</w:t>
      </w:r>
      <w:r w:rsidR="00E04B77" w:rsidRPr="005A3F47">
        <w:rPr>
          <w:noProof/>
        </w:rPr>
        <w:t xml:space="preserve"> </w:t>
      </w:r>
      <w:r w:rsidRPr="005A3F47">
        <w:rPr>
          <w:noProof/>
        </w:rPr>
        <w:t>cannot be quantified as there is no empirical data to assess the potential cost implications – whether strictly from an IT or human resource (adaptation</w:t>
      </w:r>
      <w:r w:rsidR="003A6648" w:rsidRPr="005A3F47">
        <w:rPr>
          <w:noProof/>
        </w:rPr>
        <w:t>, personnel</w:t>
      </w:r>
      <w:r w:rsidRPr="005A3F47">
        <w:rPr>
          <w:noProof/>
        </w:rPr>
        <w:t>) point of view. On the other hand, with one unified system of CFC rules, tax administrations across the EU can develop streamlined processes and procedures, enhancing operational efficiency. This reduces the time and effort required to adapt to varied frameworks and cuts down on administrative overhead. The efficiency gained from enabling companies operating on a cross-border basis to use only one system could also result in fewer mistakes and thus fewer instances of oversight and audit. Finally, an EU-wide standardised system of training and guidance can be developed more easily.</w:t>
      </w:r>
      <w:r w:rsidR="00976DF6" w:rsidRPr="005A3F47">
        <w:rPr>
          <w:noProof/>
        </w:rPr>
        <w:t xml:space="preserve"> </w:t>
      </w:r>
    </w:p>
    <w:p w14:paraId="0282FC7C" w14:textId="0A67E872" w:rsidR="001376D6" w:rsidRPr="005A3F47" w:rsidRDefault="00206397" w:rsidP="001376D6">
      <w:pPr>
        <w:pStyle w:val="Text2"/>
        <w:spacing w:before="240" w:after="120"/>
        <w:ind w:left="0"/>
        <w:rPr>
          <w:bCs/>
          <w:i/>
          <w:noProof/>
        </w:rPr>
      </w:pPr>
      <w:r w:rsidRPr="005A3F47">
        <w:rPr>
          <w:bCs/>
          <w:i/>
          <w:noProof/>
        </w:rPr>
        <w:t>I</w:t>
      </w:r>
      <w:r w:rsidR="006F7116" w:rsidRPr="005A3F47">
        <w:rPr>
          <w:bCs/>
          <w:i/>
          <w:noProof/>
        </w:rPr>
        <w:t xml:space="preserve">mpact on </w:t>
      </w:r>
      <w:r w:rsidR="00556357" w:rsidRPr="005A3F47">
        <w:rPr>
          <w:bCs/>
          <w:i/>
          <w:noProof/>
        </w:rPr>
        <w:t>the economy</w:t>
      </w:r>
    </w:p>
    <w:p w14:paraId="0342DB0F" w14:textId="13686292" w:rsidR="00AF6883" w:rsidRPr="005A3F47" w:rsidRDefault="00206397" w:rsidP="001376D6">
      <w:pPr>
        <w:rPr>
          <w:noProof/>
        </w:rPr>
      </w:pPr>
      <w:r w:rsidRPr="005A3F47">
        <w:rPr>
          <w:noProof/>
        </w:rPr>
        <w:t>P</w:t>
      </w:r>
      <w:r w:rsidR="00556357" w:rsidRPr="005A3F47">
        <w:rPr>
          <w:noProof/>
        </w:rPr>
        <w:t xml:space="preserve">lease refer to section </w:t>
      </w:r>
      <w:r w:rsidR="00FC1C82" w:rsidRPr="005A3F47">
        <w:rPr>
          <w:noProof/>
        </w:rPr>
        <w:t>6.2.2.5.</w:t>
      </w:r>
    </w:p>
    <w:p w14:paraId="5B7E5407" w14:textId="333A92B5" w:rsidR="006754BD" w:rsidRPr="005A3F47" w:rsidRDefault="00E526B4" w:rsidP="00B341FC">
      <w:pPr>
        <w:pStyle w:val="Heading4"/>
        <w:numPr>
          <w:ilvl w:val="3"/>
          <w:numId w:val="185"/>
        </w:numPr>
        <w:rPr>
          <w:noProof/>
        </w:rPr>
      </w:pPr>
      <w:r w:rsidRPr="005A3F47">
        <w:rPr>
          <w:noProof/>
        </w:rPr>
        <w:t xml:space="preserve"> </w:t>
      </w:r>
      <w:bookmarkStart w:id="166" w:name="_Ref226464179"/>
      <w:r w:rsidR="00520387" w:rsidRPr="005A3F47">
        <w:rPr>
          <w:noProof/>
        </w:rPr>
        <w:t xml:space="preserve">Option </w:t>
      </w:r>
      <w:r w:rsidR="00967352" w:rsidRPr="005A3F47">
        <w:rPr>
          <w:noProof/>
        </w:rPr>
        <w:t>2</w:t>
      </w:r>
      <w:r w:rsidR="0086161C" w:rsidRPr="005A3F47">
        <w:rPr>
          <w:noProof/>
        </w:rPr>
        <w:t>A</w:t>
      </w:r>
      <w:r w:rsidR="00520387" w:rsidRPr="005A3F47">
        <w:rPr>
          <w:noProof/>
        </w:rPr>
        <w:t>: Carving out Pillar 2 companies from CFC rules</w:t>
      </w:r>
      <w:bookmarkEnd w:id="166"/>
    </w:p>
    <w:p w14:paraId="70A9B661" w14:textId="7A44ED6D" w:rsidR="00FC1C82" w:rsidRPr="005A3F47" w:rsidRDefault="00FC1C82" w:rsidP="00DE6B6A">
      <w:pPr>
        <w:pStyle w:val="Text2"/>
        <w:spacing w:before="240" w:after="120"/>
        <w:ind w:left="0"/>
        <w:rPr>
          <w:i/>
          <w:noProof/>
        </w:rPr>
      </w:pPr>
      <w:r w:rsidRPr="005A3F47">
        <w:rPr>
          <w:bCs/>
          <w:i/>
          <w:noProof/>
        </w:rPr>
        <w:t>Impact on companies</w:t>
      </w:r>
    </w:p>
    <w:p w14:paraId="5B8FC478" w14:textId="651BE0FA" w:rsidR="00FC7FB7" w:rsidRPr="005A3F47" w:rsidRDefault="00A15EB9" w:rsidP="00DE6B6A">
      <w:pPr>
        <w:spacing w:before="120" w:after="120"/>
        <w:rPr>
          <w:noProof/>
        </w:rPr>
      </w:pPr>
      <w:r w:rsidRPr="005A3F47">
        <w:rPr>
          <w:noProof/>
        </w:rPr>
        <w:t xml:space="preserve">Section 3 of Annex 4 explains how this option </w:t>
      </w:r>
      <w:r w:rsidR="007B255B" w:rsidRPr="005A3F47">
        <w:rPr>
          <w:noProof/>
        </w:rPr>
        <w:t xml:space="preserve">would </w:t>
      </w:r>
      <w:r w:rsidR="00C06975" w:rsidRPr="005A3F47">
        <w:rPr>
          <w:noProof/>
        </w:rPr>
        <w:t xml:space="preserve">operate structurally and how this would </w:t>
      </w:r>
      <w:r w:rsidR="007B255B" w:rsidRPr="005A3F47">
        <w:rPr>
          <w:noProof/>
        </w:rPr>
        <w:t>impact</w:t>
      </w:r>
      <w:r w:rsidR="00562D20" w:rsidRPr="005A3F47">
        <w:rPr>
          <w:noProof/>
        </w:rPr>
        <w:t xml:space="preserve"> Pillar 2 companies</w:t>
      </w:r>
      <w:r w:rsidR="00C06975" w:rsidRPr="005A3F47">
        <w:rPr>
          <w:noProof/>
        </w:rPr>
        <w:t xml:space="preserve"> </w:t>
      </w:r>
      <w:r w:rsidR="000F6F9F" w:rsidRPr="005A3F47">
        <w:rPr>
          <w:noProof/>
        </w:rPr>
        <w:t xml:space="preserve">from a tax </w:t>
      </w:r>
      <w:r w:rsidR="00936A90" w:rsidRPr="005A3F47">
        <w:rPr>
          <w:noProof/>
        </w:rPr>
        <w:t>obligation</w:t>
      </w:r>
      <w:r w:rsidR="000F6F9F" w:rsidRPr="005A3F47">
        <w:rPr>
          <w:noProof/>
        </w:rPr>
        <w:t xml:space="preserve"> point of view</w:t>
      </w:r>
      <w:r w:rsidR="00E53AD8" w:rsidRPr="005A3F47">
        <w:rPr>
          <w:noProof/>
        </w:rPr>
        <w:t>.</w:t>
      </w:r>
    </w:p>
    <w:p w14:paraId="7809A694" w14:textId="6588A6C0" w:rsidR="004F05FC" w:rsidRPr="005A3F47" w:rsidRDefault="004F05FC" w:rsidP="003C7858">
      <w:pPr>
        <w:pStyle w:val="Text1"/>
        <w:spacing w:before="120" w:after="120"/>
        <w:ind w:left="0"/>
        <w:rPr>
          <w:bCs/>
          <w:noProof/>
        </w:rPr>
      </w:pPr>
      <w:r w:rsidRPr="005A3F47">
        <w:rPr>
          <w:noProof/>
        </w:rPr>
        <w:t>A</w:t>
      </w:r>
      <w:r w:rsidR="000F6F9F" w:rsidRPr="005A3F47">
        <w:rPr>
          <w:noProof/>
        </w:rPr>
        <w:t>s regards compliance cost savings,</w:t>
      </w:r>
      <w:r w:rsidR="00936A90" w:rsidRPr="005A3F47">
        <w:rPr>
          <w:noProof/>
        </w:rPr>
        <w:t xml:space="preserve"> the following can then be deduced from this.</w:t>
      </w:r>
      <w:r w:rsidR="000F6F9F" w:rsidRPr="005A3F47">
        <w:rPr>
          <w:noProof/>
        </w:rPr>
        <w:t xml:space="preserve"> </w:t>
      </w:r>
      <w:r w:rsidR="00936A90" w:rsidRPr="005A3F47">
        <w:rPr>
          <w:noProof/>
        </w:rPr>
        <w:t>A</w:t>
      </w:r>
      <w:r w:rsidRPr="005A3F47">
        <w:rPr>
          <w:noProof/>
        </w:rPr>
        <w:t xml:space="preserve">ccording to the </w:t>
      </w:r>
      <w:r w:rsidR="004057C4" w:rsidRPr="005A3F47">
        <w:rPr>
          <w:noProof/>
        </w:rPr>
        <w:t>company-</w:t>
      </w:r>
      <w:r w:rsidRPr="005A3F47">
        <w:rPr>
          <w:noProof/>
        </w:rPr>
        <w:t xml:space="preserve">level database </w:t>
      </w:r>
      <w:r w:rsidRPr="005A3F47">
        <w:rPr>
          <w:i/>
          <w:iCs/>
          <w:noProof/>
        </w:rPr>
        <w:t>Orbis</w:t>
      </w:r>
      <w:r w:rsidRPr="005A3F47">
        <w:rPr>
          <w:noProof/>
        </w:rPr>
        <w:t xml:space="preserve">, </w:t>
      </w:r>
      <w:r w:rsidR="000F055C" w:rsidRPr="005A3F47">
        <w:rPr>
          <w:noProof/>
        </w:rPr>
        <w:t xml:space="preserve">the number of MNEs </w:t>
      </w:r>
      <w:r w:rsidR="00824237" w:rsidRPr="005A3F47">
        <w:rPr>
          <w:noProof/>
        </w:rPr>
        <w:t xml:space="preserve">present in the EU and </w:t>
      </w:r>
      <w:r w:rsidR="000F055C" w:rsidRPr="005A3F47">
        <w:rPr>
          <w:noProof/>
        </w:rPr>
        <w:t xml:space="preserve">in scope of Pillar 2 (i.e., those with a consolidated turnover of at least EUR 750 million) </w:t>
      </w:r>
      <w:r w:rsidRPr="005A3F47">
        <w:rPr>
          <w:noProof/>
        </w:rPr>
        <w:t xml:space="preserve">is estimated </w:t>
      </w:r>
      <w:r w:rsidR="007045AA" w:rsidRPr="005A3F47">
        <w:rPr>
          <w:noProof/>
        </w:rPr>
        <w:t xml:space="preserve">at approximately </w:t>
      </w:r>
      <w:r w:rsidRPr="005A3F47">
        <w:rPr>
          <w:noProof/>
        </w:rPr>
        <w:t>4</w:t>
      </w:r>
      <w:r w:rsidR="00DA63C4" w:rsidRPr="005A3F47">
        <w:rPr>
          <w:noProof/>
        </w:rPr>
        <w:t>,</w:t>
      </w:r>
      <w:r w:rsidRPr="005A3F47">
        <w:rPr>
          <w:noProof/>
        </w:rPr>
        <w:t>700</w:t>
      </w:r>
      <w:r w:rsidR="007045AA" w:rsidRPr="005A3F47">
        <w:rPr>
          <w:noProof/>
        </w:rPr>
        <w:t xml:space="preserve"> companies</w:t>
      </w:r>
      <w:r w:rsidRPr="005A3F47">
        <w:rPr>
          <w:noProof/>
        </w:rPr>
        <w:t xml:space="preserve">. </w:t>
      </w:r>
      <w:r w:rsidR="008D1CDE" w:rsidRPr="005A3F47">
        <w:rPr>
          <w:noProof/>
        </w:rPr>
        <w:t xml:space="preserve">For those, the total cost related to </w:t>
      </w:r>
      <w:r w:rsidR="00E53C62" w:rsidRPr="005A3F47">
        <w:rPr>
          <w:noProof/>
        </w:rPr>
        <w:t xml:space="preserve">ATAD is assumed </w:t>
      </w:r>
      <w:r w:rsidR="00E31B4F" w:rsidRPr="005A3F47">
        <w:rPr>
          <w:noProof/>
        </w:rPr>
        <w:t xml:space="preserve">to be </w:t>
      </w:r>
      <w:r w:rsidR="00E5190E" w:rsidRPr="005A3F47">
        <w:rPr>
          <w:noProof/>
        </w:rPr>
        <w:t>EUR 100,000</w:t>
      </w:r>
      <w:r w:rsidR="00E31B4F" w:rsidRPr="005A3F47">
        <w:rPr>
          <w:noProof/>
        </w:rPr>
        <w:t xml:space="preserve"> based on </w:t>
      </w:r>
      <w:r w:rsidR="00A41545" w:rsidRPr="005A3F47">
        <w:rPr>
          <w:noProof/>
        </w:rPr>
        <w:t>what the ATAD study</w:t>
      </w:r>
      <w:r w:rsidR="00161283" w:rsidRPr="005A3F47">
        <w:rPr>
          <w:noProof/>
        </w:rPr>
        <w:t xml:space="preserve"> </w:t>
      </w:r>
      <w:r w:rsidR="0024571C" w:rsidRPr="005A3F47">
        <w:rPr>
          <w:rStyle w:val="FootnoteReference"/>
          <w:rFonts w:eastAsiaTheme="minorEastAsia"/>
          <w:noProof/>
        </w:rPr>
        <w:footnoteReference w:id="93"/>
      </w:r>
      <w:r w:rsidR="00A41545" w:rsidRPr="005A3F47">
        <w:rPr>
          <w:noProof/>
        </w:rPr>
        <w:t xml:space="preserve"> finds</w:t>
      </w:r>
      <w:r w:rsidR="003455A9" w:rsidRPr="005A3F47">
        <w:rPr>
          <w:noProof/>
        </w:rPr>
        <w:t xml:space="preserve"> for large, complex MNE</w:t>
      </w:r>
      <w:r w:rsidR="00824237" w:rsidRPr="005A3F47">
        <w:rPr>
          <w:noProof/>
        </w:rPr>
        <w:t>s</w:t>
      </w:r>
      <w:r w:rsidR="003455A9" w:rsidRPr="005A3F47">
        <w:rPr>
          <w:noProof/>
        </w:rPr>
        <w:t xml:space="preserve">. </w:t>
      </w:r>
      <w:r w:rsidR="00E31B4F" w:rsidRPr="005A3F47">
        <w:rPr>
          <w:noProof/>
        </w:rPr>
        <w:t xml:space="preserve">As for </w:t>
      </w:r>
      <w:r w:rsidR="00EA57B1" w:rsidRPr="005A3F47">
        <w:rPr>
          <w:noProof/>
        </w:rPr>
        <w:t>O</w:t>
      </w:r>
      <w:r w:rsidR="00E31B4F" w:rsidRPr="005A3F47">
        <w:rPr>
          <w:noProof/>
        </w:rPr>
        <w:t xml:space="preserve">ption 1 above, it </w:t>
      </w:r>
      <w:r w:rsidR="002F10B3" w:rsidRPr="005A3F47">
        <w:rPr>
          <w:noProof/>
        </w:rPr>
        <w:t xml:space="preserve">is </w:t>
      </w:r>
      <w:r w:rsidRPr="005A3F47">
        <w:rPr>
          <w:noProof/>
        </w:rPr>
        <w:t xml:space="preserve">assumed that a </w:t>
      </w:r>
      <w:r w:rsidR="00EE46CE" w:rsidRPr="005A3F47">
        <w:rPr>
          <w:noProof/>
        </w:rPr>
        <w:t xml:space="preserve">third </w:t>
      </w:r>
      <w:r w:rsidRPr="005A3F47">
        <w:rPr>
          <w:noProof/>
        </w:rPr>
        <w:t xml:space="preserve">of </w:t>
      </w:r>
      <w:r w:rsidR="0013684A" w:rsidRPr="005A3F47">
        <w:rPr>
          <w:noProof/>
        </w:rPr>
        <w:t>the</w:t>
      </w:r>
      <w:r w:rsidR="003E0BB2" w:rsidRPr="005A3F47">
        <w:rPr>
          <w:noProof/>
        </w:rPr>
        <w:t>se</w:t>
      </w:r>
      <w:r w:rsidR="0013684A" w:rsidRPr="005A3F47">
        <w:rPr>
          <w:noProof/>
        </w:rPr>
        <w:t xml:space="preserve"> </w:t>
      </w:r>
      <w:r w:rsidRPr="005A3F47">
        <w:rPr>
          <w:noProof/>
        </w:rPr>
        <w:t xml:space="preserve">overall </w:t>
      </w:r>
      <w:r w:rsidR="003E0BB2" w:rsidRPr="005A3F47">
        <w:rPr>
          <w:noProof/>
        </w:rPr>
        <w:t xml:space="preserve">ATAD </w:t>
      </w:r>
      <w:r w:rsidR="0013684A" w:rsidRPr="005A3F47">
        <w:rPr>
          <w:noProof/>
        </w:rPr>
        <w:t xml:space="preserve">compliance </w:t>
      </w:r>
      <w:r w:rsidRPr="005A3F47">
        <w:rPr>
          <w:noProof/>
        </w:rPr>
        <w:t>cost</w:t>
      </w:r>
      <w:r w:rsidR="003E0BB2" w:rsidRPr="005A3F47">
        <w:rPr>
          <w:noProof/>
        </w:rPr>
        <w:t>s</w:t>
      </w:r>
      <w:r w:rsidRPr="005A3F47">
        <w:rPr>
          <w:noProof/>
        </w:rPr>
        <w:t xml:space="preserve"> </w:t>
      </w:r>
      <w:r w:rsidR="00E03BBA" w:rsidRPr="005A3F47">
        <w:rPr>
          <w:noProof/>
        </w:rPr>
        <w:t xml:space="preserve">are </w:t>
      </w:r>
      <w:r w:rsidRPr="005A3F47">
        <w:rPr>
          <w:noProof/>
        </w:rPr>
        <w:t>related to compliance with CFC-rules and related activities</w:t>
      </w:r>
      <w:r w:rsidR="0013684A" w:rsidRPr="005A3F47">
        <w:rPr>
          <w:noProof/>
        </w:rPr>
        <w:t xml:space="preserve"> (</w:t>
      </w:r>
      <w:r w:rsidR="000F6F9F" w:rsidRPr="005A3F47">
        <w:rPr>
          <w:noProof/>
        </w:rPr>
        <w:t>and likewise, the explanation for this assumption can be found in Section 1 of</w:t>
      </w:r>
      <w:r w:rsidR="00824237" w:rsidRPr="005A3F47">
        <w:rPr>
          <w:noProof/>
        </w:rPr>
        <w:t xml:space="preserve"> </w:t>
      </w:r>
      <w:r w:rsidR="000F6F9F" w:rsidRPr="005A3F47">
        <w:rPr>
          <w:noProof/>
        </w:rPr>
        <w:t>Annex to this report</w:t>
      </w:r>
      <w:r w:rsidR="00855247" w:rsidRPr="005A3F47">
        <w:rPr>
          <w:noProof/>
        </w:rPr>
        <w:t>)</w:t>
      </w:r>
      <w:r w:rsidR="00EE46CE" w:rsidRPr="005A3F47">
        <w:rPr>
          <w:noProof/>
        </w:rPr>
        <w:t xml:space="preserve">. </w:t>
      </w:r>
      <w:r w:rsidRPr="005A3F47">
        <w:rPr>
          <w:noProof/>
        </w:rPr>
        <w:t xml:space="preserve"> </w:t>
      </w:r>
      <w:r w:rsidR="00EE46CE" w:rsidRPr="005A3F47">
        <w:rPr>
          <w:noProof/>
        </w:rPr>
        <w:t>D</w:t>
      </w:r>
      <w:r w:rsidRPr="005A3F47">
        <w:rPr>
          <w:noProof/>
        </w:rPr>
        <w:t>oing away with CFC rules for these MNEs could save compliance costs of about EUR 160 million</w:t>
      </w:r>
      <w:r w:rsidR="00B15DC5" w:rsidRPr="005A3F47">
        <w:rPr>
          <w:noProof/>
        </w:rPr>
        <w:t xml:space="preserve"> (</w:t>
      </w:r>
      <w:r w:rsidR="00161276" w:rsidRPr="005A3F47">
        <w:rPr>
          <w:noProof/>
        </w:rPr>
        <w:t>≈</w:t>
      </w:r>
      <w:r w:rsidR="00B15DC5" w:rsidRPr="005A3F47">
        <w:rPr>
          <w:noProof/>
        </w:rPr>
        <w:t xml:space="preserve">100,000 </w:t>
      </w:r>
      <w:r w:rsidR="00B86109" w:rsidRPr="005A3F47">
        <w:rPr>
          <w:noProof/>
        </w:rPr>
        <w:t xml:space="preserve">compliance cost per company </w:t>
      </w:r>
      <w:r w:rsidR="00B15DC5" w:rsidRPr="005A3F47">
        <w:rPr>
          <w:noProof/>
        </w:rPr>
        <w:t xml:space="preserve">* </w:t>
      </w:r>
      <w:r w:rsidR="003E007D" w:rsidRPr="005A3F47">
        <w:rPr>
          <w:noProof/>
        </w:rPr>
        <w:t>1/3</w:t>
      </w:r>
      <w:r w:rsidR="003E007D" w:rsidRPr="005A3F47">
        <w:rPr>
          <w:bCs/>
          <w:noProof/>
        </w:rPr>
        <w:t xml:space="preserve"> </w:t>
      </w:r>
      <w:r w:rsidR="00B15DC5" w:rsidRPr="005A3F47">
        <w:rPr>
          <w:noProof/>
        </w:rPr>
        <w:t xml:space="preserve">* </w:t>
      </w:r>
      <w:r w:rsidR="0073503B" w:rsidRPr="005A3F47">
        <w:rPr>
          <w:noProof/>
        </w:rPr>
        <w:t>4,700</w:t>
      </w:r>
      <w:r w:rsidR="00B86109" w:rsidRPr="005A3F47">
        <w:rPr>
          <w:noProof/>
        </w:rPr>
        <w:t xml:space="preserve"> companies</w:t>
      </w:r>
      <w:r w:rsidR="00251AB7" w:rsidRPr="005A3F47">
        <w:rPr>
          <w:noProof/>
        </w:rPr>
        <w:t>)</w:t>
      </w:r>
      <w:r w:rsidRPr="005A3F47">
        <w:rPr>
          <w:noProof/>
        </w:rPr>
        <w:t>.</w:t>
      </w:r>
      <w:r w:rsidRPr="005A3F47">
        <w:rPr>
          <w:b/>
          <w:bCs/>
          <w:noProof/>
        </w:rPr>
        <w:t xml:space="preserve"> </w:t>
      </w:r>
      <w:r w:rsidRPr="005A3F47">
        <w:rPr>
          <w:noProof/>
        </w:rPr>
        <w:t xml:space="preserve">This </w:t>
      </w:r>
      <w:r w:rsidR="006013EC" w:rsidRPr="005A3F47">
        <w:rPr>
          <w:noProof/>
        </w:rPr>
        <w:t>could be</w:t>
      </w:r>
      <w:r w:rsidR="00096CFC" w:rsidRPr="005A3F47">
        <w:rPr>
          <w:bCs/>
          <w:noProof/>
        </w:rPr>
        <w:t xml:space="preserve"> </w:t>
      </w:r>
      <w:r w:rsidRPr="005A3F47">
        <w:rPr>
          <w:noProof/>
        </w:rPr>
        <w:t xml:space="preserve">an upper-bound estimate because: </w:t>
      </w:r>
    </w:p>
    <w:p w14:paraId="254875E7" w14:textId="1B9B63AB" w:rsidR="004F05FC" w:rsidRPr="005A3F47" w:rsidRDefault="004F05FC" w:rsidP="00F34D7D">
      <w:pPr>
        <w:pStyle w:val="Text2"/>
        <w:numPr>
          <w:ilvl w:val="0"/>
          <w:numId w:val="13"/>
        </w:numPr>
        <w:spacing w:after="0"/>
        <w:ind w:left="714" w:hanging="357"/>
        <w:rPr>
          <w:noProof/>
        </w:rPr>
      </w:pPr>
      <w:r w:rsidRPr="005A3F47">
        <w:rPr>
          <w:noProof/>
        </w:rPr>
        <w:t>Not all MNEs have subsidiaries in the EU of which they are shareholders</w:t>
      </w:r>
      <w:r w:rsidR="00807D61" w:rsidRPr="005A3F47">
        <w:rPr>
          <w:noProof/>
        </w:rPr>
        <w:t>, and not all MNEs would benefit or fully benefit from the carveout as explained in Annex 4</w:t>
      </w:r>
      <w:r w:rsidRPr="005A3F47">
        <w:rPr>
          <w:noProof/>
        </w:rPr>
        <w:t>.</w:t>
      </w:r>
    </w:p>
    <w:p w14:paraId="67DFD564" w14:textId="2020806B" w:rsidR="004F05FC" w:rsidRPr="005A3F47" w:rsidRDefault="004F05FC" w:rsidP="001C6658">
      <w:pPr>
        <w:pStyle w:val="Text2"/>
        <w:numPr>
          <w:ilvl w:val="0"/>
          <w:numId w:val="13"/>
        </w:numPr>
        <w:spacing w:before="240" w:after="120"/>
        <w:rPr>
          <w:noProof/>
        </w:rPr>
      </w:pPr>
      <w:r w:rsidRPr="005A3F47">
        <w:rPr>
          <w:noProof/>
        </w:rPr>
        <w:t xml:space="preserve">Overlaps in the administrative actions linked to CFC and Pillar </w:t>
      </w:r>
      <w:r w:rsidR="44E2ACB3" w:rsidRPr="005A3F47">
        <w:rPr>
          <w:noProof/>
        </w:rPr>
        <w:t xml:space="preserve">2 </w:t>
      </w:r>
      <w:r w:rsidRPr="005A3F47">
        <w:rPr>
          <w:noProof/>
        </w:rPr>
        <w:t>compliance would imply that savings would not amount to the full cost of CFC-related paperwork.</w:t>
      </w:r>
    </w:p>
    <w:p w14:paraId="01C6B966" w14:textId="14F5D992" w:rsidR="00FC1C82" w:rsidRPr="005A3F47" w:rsidRDefault="00FC1C82" w:rsidP="001376D6">
      <w:pPr>
        <w:pStyle w:val="Text1"/>
        <w:spacing w:before="240" w:after="120"/>
        <w:ind w:left="0"/>
        <w:rPr>
          <w:i/>
          <w:iCs/>
          <w:noProof/>
        </w:rPr>
      </w:pPr>
      <w:r w:rsidRPr="005A3F47">
        <w:rPr>
          <w:i/>
          <w:iCs/>
          <w:noProof/>
        </w:rPr>
        <w:t>Impact on tax administrations</w:t>
      </w:r>
    </w:p>
    <w:p w14:paraId="0029BF1A" w14:textId="6AFE9AE2" w:rsidR="00BA1EEA" w:rsidRPr="005A3F47" w:rsidRDefault="00FB1082" w:rsidP="00524AE1">
      <w:pPr>
        <w:rPr>
          <w:rFonts w:eastAsia="Times New Roman"/>
          <w:noProof/>
          <w:lang w:eastAsia="en-GB"/>
        </w:rPr>
      </w:pPr>
      <w:r w:rsidRPr="005A3F47">
        <w:rPr>
          <w:rFonts w:eastAsia="Times New Roman"/>
          <w:noProof/>
          <w:lang w:eastAsia="en-GB"/>
        </w:rPr>
        <w:t xml:space="preserve">Excluding Pillar 2 companies from CFC rules </w:t>
      </w:r>
      <w:r w:rsidR="00B343E0" w:rsidRPr="005A3F47">
        <w:rPr>
          <w:rFonts w:eastAsia="Times New Roman"/>
          <w:noProof/>
          <w:lang w:eastAsia="en-GB"/>
        </w:rPr>
        <w:t xml:space="preserve">would simplify </w:t>
      </w:r>
      <w:r w:rsidRPr="005A3F47">
        <w:rPr>
          <w:rFonts w:eastAsia="Times New Roman"/>
          <w:noProof/>
          <w:lang w:eastAsia="en-GB"/>
        </w:rPr>
        <w:t>the workload for tax administrations</w:t>
      </w:r>
      <w:r w:rsidR="00035B41" w:rsidRPr="005A3F47">
        <w:rPr>
          <w:rFonts w:eastAsia="Times New Roman"/>
          <w:noProof/>
          <w:lang w:eastAsia="en-GB"/>
        </w:rPr>
        <w:t xml:space="preserve">, resulting in likely important resource savings; however, </w:t>
      </w:r>
      <w:r w:rsidR="009A2B16" w:rsidRPr="005A3F47">
        <w:rPr>
          <w:rFonts w:eastAsia="Times New Roman"/>
          <w:noProof/>
          <w:lang w:eastAsia="en-GB"/>
        </w:rPr>
        <w:t>it is impossible to provide a quantification of said savings in light of the lack of</w:t>
      </w:r>
      <w:r w:rsidR="00035B41" w:rsidRPr="005A3F47">
        <w:rPr>
          <w:rFonts w:eastAsia="Times New Roman"/>
          <w:noProof/>
          <w:lang w:eastAsia="en-GB"/>
        </w:rPr>
        <w:t xml:space="preserve"> empirical evidence </w:t>
      </w:r>
      <w:r w:rsidR="009A2B16" w:rsidRPr="005A3F47">
        <w:rPr>
          <w:rFonts w:eastAsia="Times New Roman"/>
          <w:noProof/>
          <w:lang w:eastAsia="en-GB"/>
        </w:rPr>
        <w:t>related to</w:t>
      </w:r>
      <w:r w:rsidR="00035B41" w:rsidRPr="005A3F47">
        <w:rPr>
          <w:rFonts w:eastAsia="Times New Roman"/>
          <w:noProof/>
          <w:lang w:eastAsia="en-GB"/>
        </w:rPr>
        <w:t xml:space="preserve"> the internal costs </w:t>
      </w:r>
      <w:r w:rsidR="009A2B16" w:rsidRPr="005A3F47">
        <w:rPr>
          <w:rFonts w:eastAsia="Times New Roman"/>
          <w:noProof/>
          <w:lang w:eastAsia="en-GB"/>
        </w:rPr>
        <w:t>of</w:t>
      </w:r>
      <w:r w:rsidR="00035B41" w:rsidRPr="005A3F47">
        <w:rPr>
          <w:rFonts w:eastAsia="Times New Roman"/>
          <w:noProof/>
          <w:lang w:eastAsia="en-GB"/>
        </w:rPr>
        <w:t xml:space="preserve"> </w:t>
      </w:r>
      <w:r w:rsidR="007C37E4" w:rsidRPr="005A3F47">
        <w:rPr>
          <w:rFonts w:eastAsia="Times New Roman"/>
          <w:noProof/>
          <w:lang w:eastAsia="en-GB"/>
        </w:rPr>
        <w:t>applying/enforcing</w:t>
      </w:r>
      <w:r w:rsidR="00035B41" w:rsidRPr="005A3F47">
        <w:rPr>
          <w:rFonts w:eastAsia="Times New Roman"/>
          <w:noProof/>
          <w:lang w:eastAsia="en-GB"/>
        </w:rPr>
        <w:t xml:space="preserve"> </w:t>
      </w:r>
      <w:r w:rsidR="009A2B16" w:rsidRPr="005A3F47">
        <w:rPr>
          <w:rFonts w:eastAsia="Times New Roman"/>
          <w:noProof/>
          <w:lang w:eastAsia="en-GB"/>
        </w:rPr>
        <w:t xml:space="preserve">specific </w:t>
      </w:r>
      <w:r w:rsidR="00035B41" w:rsidRPr="005A3F47">
        <w:rPr>
          <w:rFonts w:eastAsia="Times New Roman"/>
          <w:noProof/>
          <w:lang w:eastAsia="en-GB"/>
        </w:rPr>
        <w:t>rules</w:t>
      </w:r>
      <w:r w:rsidRPr="005A3F47">
        <w:rPr>
          <w:rFonts w:eastAsia="Times New Roman"/>
          <w:noProof/>
          <w:lang w:eastAsia="en-GB"/>
        </w:rPr>
        <w:t xml:space="preserve">. </w:t>
      </w:r>
      <w:r w:rsidR="00EE1E5D" w:rsidRPr="005A3F47">
        <w:rPr>
          <w:rFonts w:eastAsia="Times New Roman"/>
          <w:noProof/>
          <w:lang w:eastAsia="en-GB"/>
        </w:rPr>
        <w:t>By eliminating the overlap between CFC rules and Pillar 2 regulations, tax administrations will face a less complex regulatory environment for enforcement purposes. The reduction in complexity could lead to more efficient processing of tax filings</w:t>
      </w:r>
      <w:r w:rsidR="00D007C9" w:rsidRPr="005A3F47">
        <w:rPr>
          <w:rFonts w:eastAsia="Times New Roman"/>
          <w:noProof/>
          <w:lang w:eastAsia="en-GB"/>
        </w:rPr>
        <w:t xml:space="preserve"> and </w:t>
      </w:r>
      <w:r w:rsidR="00EE1E5D" w:rsidRPr="005A3F47">
        <w:rPr>
          <w:rFonts w:eastAsia="Times New Roman"/>
          <w:noProof/>
          <w:lang w:eastAsia="en-GB"/>
        </w:rPr>
        <w:t>enquiries,</w:t>
      </w:r>
      <w:r w:rsidR="00D007C9" w:rsidRPr="005A3F47">
        <w:rPr>
          <w:rFonts w:eastAsia="Times New Roman"/>
          <w:noProof/>
          <w:lang w:eastAsia="en-GB"/>
        </w:rPr>
        <w:t xml:space="preserve"> and</w:t>
      </w:r>
      <w:r w:rsidR="00EE1E5D" w:rsidRPr="005A3F47">
        <w:rPr>
          <w:rFonts w:eastAsia="Times New Roman"/>
          <w:noProof/>
          <w:lang w:eastAsia="en-GB"/>
        </w:rPr>
        <w:t xml:space="preserve"> fewer audits, </w:t>
      </w:r>
      <w:r w:rsidR="00D007C9" w:rsidRPr="005A3F47">
        <w:rPr>
          <w:rFonts w:eastAsia="Times New Roman"/>
          <w:noProof/>
          <w:lang w:eastAsia="en-GB"/>
        </w:rPr>
        <w:t>allowing administrators to</w:t>
      </w:r>
      <w:r w:rsidRPr="005A3F47">
        <w:rPr>
          <w:rFonts w:eastAsia="Times New Roman"/>
          <w:noProof/>
          <w:lang w:eastAsia="en-GB"/>
        </w:rPr>
        <w:t xml:space="preserve"> carry out a narrower scope of compliance checks</w:t>
      </w:r>
      <w:r w:rsidR="00D007C9" w:rsidRPr="005A3F47">
        <w:rPr>
          <w:rFonts w:eastAsia="Times New Roman"/>
          <w:noProof/>
          <w:lang w:eastAsia="en-GB"/>
        </w:rPr>
        <w:t>. Overall, this should allow</w:t>
      </w:r>
      <w:r w:rsidRPr="005A3F47">
        <w:rPr>
          <w:rFonts w:eastAsia="Times New Roman"/>
          <w:noProof/>
          <w:lang w:eastAsia="en-GB"/>
        </w:rPr>
        <w:t xml:space="preserve"> easing the burden on resources</w:t>
      </w:r>
      <w:r w:rsidR="009A2B16" w:rsidRPr="005A3F47">
        <w:rPr>
          <w:rFonts w:eastAsia="Times New Roman"/>
          <w:noProof/>
          <w:lang w:eastAsia="en-GB"/>
        </w:rPr>
        <w:t xml:space="preserve">, </w:t>
      </w:r>
      <w:r w:rsidRPr="005A3F47">
        <w:rPr>
          <w:rFonts w:eastAsia="Times New Roman"/>
          <w:noProof/>
          <w:lang w:eastAsia="en-GB"/>
        </w:rPr>
        <w:t>personnel</w:t>
      </w:r>
      <w:r w:rsidR="009A2B16" w:rsidRPr="005A3F47">
        <w:rPr>
          <w:rFonts w:eastAsia="Times New Roman"/>
          <w:noProof/>
          <w:lang w:eastAsia="en-GB"/>
        </w:rPr>
        <w:t xml:space="preserve"> and technological </w:t>
      </w:r>
      <w:r w:rsidR="00EE1E5D" w:rsidRPr="005A3F47">
        <w:rPr>
          <w:rFonts w:eastAsia="Times New Roman"/>
          <w:noProof/>
          <w:lang w:eastAsia="en-GB"/>
        </w:rPr>
        <w:t>resources</w:t>
      </w:r>
      <w:r w:rsidR="00D007C9" w:rsidRPr="005A3F47">
        <w:rPr>
          <w:rFonts w:eastAsia="Times New Roman"/>
          <w:noProof/>
          <w:lang w:eastAsia="en-GB"/>
        </w:rPr>
        <w:t xml:space="preserve"> at the level of tax administration</w:t>
      </w:r>
      <w:r w:rsidRPr="005A3F47">
        <w:rPr>
          <w:rFonts w:eastAsia="Times New Roman"/>
          <w:noProof/>
          <w:lang w:eastAsia="en-GB"/>
        </w:rPr>
        <w:t>.</w:t>
      </w:r>
      <w:r w:rsidR="00D007C9" w:rsidRPr="005A3F47">
        <w:rPr>
          <w:rFonts w:eastAsia="Times New Roman"/>
          <w:noProof/>
          <w:lang w:eastAsia="en-GB"/>
        </w:rPr>
        <w:t xml:space="preserve"> </w:t>
      </w:r>
      <w:r w:rsidRPr="005A3F47">
        <w:rPr>
          <w:rFonts w:eastAsia="Times New Roman"/>
          <w:noProof/>
          <w:lang w:eastAsia="en-GB"/>
        </w:rPr>
        <w:t>These arguments also hold for Option 2B</w:t>
      </w:r>
      <w:r w:rsidR="00D007C9" w:rsidRPr="005A3F47">
        <w:rPr>
          <w:rFonts w:eastAsia="Times New Roman"/>
          <w:noProof/>
          <w:lang w:eastAsia="en-GB"/>
        </w:rPr>
        <w:t>, below (</w:t>
      </w:r>
      <w:r w:rsidRPr="005A3F47">
        <w:rPr>
          <w:rFonts w:eastAsia="Times New Roman"/>
          <w:noProof/>
          <w:lang w:eastAsia="en-GB"/>
        </w:rPr>
        <w:t>accounting for QD</w:t>
      </w:r>
      <w:r w:rsidR="00471DB7" w:rsidRPr="005A3F47">
        <w:rPr>
          <w:rFonts w:eastAsia="Times New Roman"/>
          <w:noProof/>
          <w:lang w:eastAsia="en-GB"/>
        </w:rPr>
        <w:t>M</w:t>
      </w:r>
      <w:r w:rsidRPr="005A3F47">
        <w:rPr>
          <w:rFonts w:eastAsia="Times New Roman"/>
          <w:noProof/>
          <w:lang w:eastAsia="en-GB"/>
        </w:rPr>
        <w:t>TT for CFC</w:t>
      </w:r>
      <w:r w:rsidR="00D007C9" w:rsidRPr="005A3F47">
        <w:rPr>
          <w:rFonts w:eastAsia="Times New Roman"/>
          <w:noProof/>
          <w:lang w:eastAsia="en-GB"/>
        </w:rPr>
        <w:t>)</w:t>
      </w:r>
      <w:r w:rsidRPr="005A3F47">
        <w:rPr>
          <w:rFonts w:eastAsia="Times New Roman"/>
          <w:noProof/>
          <w:lang w:eastAsia="en-GB"/>
        </w:rPr>
        <w:t>, albeit to a lesser extent as fewer companies would be relieved from CFC.</w:t>
      </w:r>
    </w:p>
    <w:p w14:paraId="4C2E3490" w14:textId="25008A38" w:rsidR="00BA1EEA" w:rsidRPr="005A3F47" w:rsidRDefault="00BA1EEA" w:rsidP="003C7858">
      <w:pPr>
        <w:pStyle w:val="Text1"/>
        <w:spacing w:before="120" w:after="120"/>
        <w:ind w:left="0"/>
        <w:rPr>
          <w:i/>
          <w:noProof/>
        </w:rPr>
      </w:pPr>
      <w:r w:rsidRPr="005A3F47">
        <w:rPr>
          <w:i/>
          <w:noProof/>
        </w:rPr>
        <w:t>I</w:t>
      </w:r>
      <w:r w:rsidR="00237104" w:rsidRPr="005A3F47">
        <w:rPr>
          <w:i/>
          <w:noProof/>
        </w:rPr>
        <w:t>mpact on the economy</w:t>
      </w:r>
    </w:p>
    <w:p w14:paraId="22934A0C" w14:textId="3CF2B752" w:rsidR="006E7C12" w:rsidRPr="005A3F47" w:rsidRDefault="003C7858" w:rsidP="00EF320C">
      <w:pPr>
        <w:rPr>
          <w:noProof/>
        </w:rPr>
      </w:pPr>
      <w:r w:rsidRPr="005A3F47">
        <w:rPr>
          <w:bCs/>
          <w:iCs/>
          <w:noProof/>
        </w:rPr>
        <w:t>P</w:t>
      </w:r>
      <w:r w:rsidR="00237104" w:rsidRPr="005A3F47">
        <w:rPr>
          <w:noProof/>
        </w:rPr>
        <w:t>lease refer to section 6.2.2.5.</w:t>
      </w:r>
      <w:r w:rsidR="00963107" w:rsidRPr="005A3F47">
        <w:rPr>
          <w:noProof/>
        </w:rPr>
        <w:t xml:space="preserve"> </w:t>
      </w:r>
    </w:p>
    <w:p w14:paraId="15440A24" w14:textId="50C4EEBD" w:rsidR="00241ABE" w:rsidRPr="005A3F47" w:rsidRDefault="00BA1EEA" w:rsidP="00BA1EEA">
      <w:pPr>
        <w:pStyle w:val="Heading4"/>
        <w:numPr>
          <w:ilvl w:val="3"/>
          <w:numId w:val="185"/>
        </w:numPr>
        <w:spacing w:before="240"/>
        <w:rPr>
          <w:noProof/>
        </w:rPr>
      </w:pPr>
      <w:r w:rsidRPr="005A3F47">
        <w:rPr>
          <w:noProof/>
        </w:rPr>
        <w:t xml:space="preserve"> </w:t>
      </w:r>
      <w:r w:rsidR="00241ABE" w:rsidRPr="005A3F47">
        <w:rPr>
          <w:noProof/>
        </w:rPr>
        <w:t>Option 2</w:t>
      </w:r>
      <w:r w:rsidR="0086161C" w:rsidRPr="005A3F47">
        <w:rPr>
          <w:noProof/>
        </w:rPr>
        <w:t>B</w:t>
      </w:r>
      <w:r w:rsidR="00241ABE" w:rsidRPr="005A3F47">
        <w:rPr>
          <w:noProof/>
        </w:rPr>
        <w:t xml:space="preserve">: </w:t>
      </w:r>
      <w:r w:rsidR="008E68F6" w:rsidRPr="005A3F47">
        <w:rPr>
          <w:noProof/>
        </w:rPr>
        <w:t xml:space="preserve">Inclusion of </w:t>
      </w:r>
      <w:r w:rsidR="00C01582" w:rsidRPr="005A3F47">
        <w:rPr>
          <w:noProof/>
        </w:rPr>
        <w:t>QDMTT</w:t>
      </w:r>
      <w:r w:rsidR="008E68F6" w:rsidRPr="005A3F47">
        <w:rPr>
          <w:noProof/>
        </w:rPr>
        <w:t xml:space="preserve"> in CFC calculation</w:t>
      </w:r>
    </w:p>
    <w:p w14:paraId="027DD27E" w14:textId="1A228FB0" w:rsidR="00FC1C82" w:rsidRPr="005A3F47" w:rsidRDefault="00FC1C82" w:rsidP="00DE6B6A">
      <w:pPr>
        <w:pStyle w:val="Text1"/>
        <w:spacing w:before="240" w:after="120"/>
        <w:ind w:left="0"/>
        <w:rPr>
          <w:i/>
          <w:noProof/>
        </w:rPr>
      </w:pPr>
      <w:r w:rsidRPr="005A3F47">
        <w:rPr>
          <w:bCs/>
          <w:i/>
          <w:noProof/>
        </w:rPr>
        <w:t>Impact on companies</w:t>
      </w:r>
    </w:p>
    <w:p w14:paraId="782137F7" w14:textId="243C024F" w:rsidR="00700D3D" w:rsidRPr="005A3F47" w:rsidRDefault="0099276E" w:rsidP="00EF320C">
      <w:pPr>
        <w:spacing w:before="120" w:after="120"/>
        <w:rPr>
          <w:noProof/>
        </w:rPr>
      </w:pPr>
      <w:r w:rsidRPr="005A3F47">
        <w:rPr>
          <w:noProof/>
        </w:rPr>
        <w:t>A</w:t>
      </w:r>
      <w:r w:rsidR="001D3A2F" w:rsidRPr="005A3F47">
        <w:rPr>
          <w:noProof/>
        </w:rPr>
        <w:t xml:space="preserve">s for Option 2A, </w:t>
      </w:r>
      <w:r w:rsidR="00910023" w:rsidRPr="005A3F47">
        <w:rPr>
          <w:noProof/>
        </w:rPr>
        <w:t xml:space="preserve">Section 3 of Annex 4 </w:t>
      </w:r>
      <w:r w:rsidR="001D3A2F" w:rsidRPr="005A3F47">
        <w:rPr>
          <w:noProof/>
        </w:rPr>
        <w:t>provides</w:t>
      </w:r>
      <w:r w:rsidR="004D7B96" w:rsidRPr="005A3F47">
        <w:rPr>
          <w:noProof/>
        </w:rPr>
        <w:t xml:space="preserve"> an analysis of</w:t>
      </w:r>
      <w:r w:rsidR="00910023" w:rsidRPr="005A3F47">
        <w:rPr>
          <w:noProof/>
        </w:rPr>
        <w:t xml:space="preserve"> how this </w:t>
      </w:r>
      <w:r w:rsidR="004D7B96" w:rsidRPr="005A3F47">
        <w:rPr>
          <w:noProof/>
        </w:rPr>
        <w:t xml:space="preserve">option </w:t>
      </w:r>
      <w:r w:rsidR="00910023" w:rsidRPr="005A3F47">
        <w:rPr>
          <w:noProof/>
        </w:rPr>
        <w:t xml:space="preserve">would </w:t>
      </w:r>
      <w:r w:rsidR="004D7B96" w:rsidRPr="005A3F47">
        <w:rPr>
          <w:noProof/>
        </w:rPr>
        <w:t>affect</w:t>
      </w:r>
      <w:r w:rsidR="00910023" w:rsidRPr="005A3F47">
        <w:rPr>
          <w:noProof/>
        </w:rPr>
        <w:t xml:space="preserve"> Pillar 2 companies from a tax point of view</w:t>
      </w:r>
      <w:r w:rsidR="00613634" w:rsidRPr="005A3F47">
        <w:rPr>
          <w:noProof/>
        </w:rPr>
        <w:t>, which will be more targeted</w:t>
      </w:r>
      <w:r w:rsidR="006F0866" w:rsidRPr="005A3F47">
        <w:rPr>
          <w:noProof/>
        </w:rPr>
        <w:t xml:space="preserve"> and technical</w:t>
      </w:r>
      <w:r w:rsidR="00910023" w:rsidRPr="005A3F47">
        <w:rPr>
          <w:noProof/>
        </w:rPr>
        <w:t>.</w:t>
      </w:r>
      <w:r w:rsidR="00613634" w:rsidRPr="005A3F47">
        <w:rPr>
          <w:noProof/>
        </w:rPr>
        <w:t xml:space="preserve"> </w:t>
      </w:r>
      <w:r w:rsidR="004D7B96" w:rsidRPr="005A3F47">
        <w:rPr>
          <w:noProof/>
        </w:rPr>
        <w:t xml:space="preserve">As </w:t>
      </w:r>
      <w:r w:rsidR="006F0866" w:rsidRPr="005A3F47">
        <w:rPr>
          <w:noProof/>
        </w:rPr>
        <w:t>a result</w:t>
      </w:r>
      <w:r w:rsidR="009E1B99" w:rsidRPr="005A3F47">
        <w:rPr>
          <w:noProof/>
        </w:rPr>
        <w:t>, it is likely that c</w:t>
      </w:r>
      <w:r w:rsidR="00DC2480" w:rsidRPr="005A3F47">
        <w:rPr>
          <w:noProof/>
        </w:rPr>
        <w:t xml:space="preserve">ompliance cost savings </w:t>
      </w:r>
      <w:r w:rsidR="009E1B99" w:rsidRPr="005A3F47">
        <w:rPr>
          <w:noProof/>
        </w:rPr>
        <w:t>would</w:t>
      </w:r>
      <w:r w:rsidR="00B636B8" w:rsidRPr="005A3F47">
        <w:rPr>
          <w:noProof/>
        </w:rPr>
        <w:t xml:space="preserve"> not</w:t>
      </w:r>
      <w:r w:rsidR="009E1B99" w:rsidRPr="005A3F47">
        <w:rPr>
          <w:noProof/>
        </w:rPr>
        <w:t xml:space="preserve"> be</w:t>
      </w:r>
      <w:r w:rsidR="00B636B8" w:rsidRPr="005A3F47">
        <w:rPr>
          <w:noProof/>
        </w:rPr>
        <w:t xml:space="preserve"> as significant as in Option </w:t>
      </w:r>
      <w:r w:rsidR="00611A1B" w:rsidRPr="005A3F47">
        <w:rPr>
          <w:noProof/>
        </w:rPr>
        <w:t>2</w:t>
      </w:r>
      <w:r w:rsidR="003575E4" w:rsidRPr="005A3F47">
        <w:rPr>
          <w:noProof/>
        </w:rPr>
        <w:t>A</w:t>
      </w:r>
      <w:r w:rsidR="00D46AEE" w:rsidRPr="005A3F47">
        <w:rPr>
          <w:noProof/>
        </w:rPr>
        <w:t xml:space="preserve"> because </w:t>
      </w:r>
      <w:r w:rsidR="00A32DB8" w:rsidRPr="005A3F47">
        <w:rPr>
          <w:noProof/>
        </w:rPr>
        <w:t xml:space="preserve">CFC rules </w:t>
      </w:r>
      <w:r w:rsidR="00EC55DD" w:rsidRPr="005A3F47">
        <w:rPr>
          <w:noProof/>
        </w:rPr>
        <w:t>would continue to apply where Member States operate a higher CFC effective tax rate</w:t>
      </w:r>
      <w:r w:rsidR="00E279E5" w:rsidRPr="005A3F47">
        <w:rPr>
          <w:noProof/>
        </w:rPr>
        <w:t xml:space="preserve">. </w:t>
      </w:r>
      <w:r w:rsidR="002B5375" w:rsidRPr="005A3F47">
        <w:rPr>
          <w:noProof/>
        </w:rPr>
        <w:t xml:space="preserve">CFC rules </w:t>
      </w:r>
      <w:r w:rsidR="001A5132" w:rsidRPr="005A3F47">
        <w:rPr>
          <w:noProof/>
        </w:rPr>
        <w:t>w</w:t>
      </w:r>
      <w:r w:rsidR="00963112" w:rsidRPr="005A3F47">
        <w:rPr>
          <w:noProof/>
        </w:rPr>
        <w:t xml:space="preserve">ould </w:t>
      </w:r>
      <w:r w:rsidR="00A32DB8" w:rsidRPr="005A3F47">
        <w:rPr>
          <w:noProof/>
        </w:rPr>
        <w:t>still</w:t>
      </w:r>
      <w:r w:rsidR="0099137A" w:rsidRPr="005A3F47">
        <w:rPr>
          <w:noProof/>
        </w:rPr>
        <w:t xml:space="preserve"> </w:t>
      </w:r>
      <w:r w:rsidR="00C16954" w:rsidRPr="005A3F47">
        <w:rPr>
          <w:noProof/>
        </w:rPr>
        <w:t xml:space="preserve">apply </w:t>
      </w:r>
      <w:r w:rsidR="00A32DB8" w:rsidRPr="005A3F47">
        <w:rPr>
          <w:noProof/>
        </w:rPr>
        <w:t xml:space="preserve">if the </w:t>
      </w:r>
      <w:r w:rsidR="003672B6" w:rsidRPr="005A3F47">
        <w:rPr>
          <w:noProof/>
        </w:rPr>
        <w:t xml:space="preserve">effective tax rate </w:t>
      </w:r>
      <w:r w:rsidR="00CA0BDE" w:rsidRPr="005A3F47">
        <w:rPr>
          <w:noProof/>
        </w:rPr>
        <w:t xml:space="preserve">of </w:t>
      </w:r>
      <w:r w:rsidR="00A515D4" w:rsidRPr="005A3F47">
        <w:rPr>
          <w:noProof/>
        </w:rPr>
        <w:t xml:space="preserve">an MNE subgroup (the entities of a group in a certain country) </w:t>
      </w:r>
      <w:r w:rsidR="009C036C" w:rsidRPr="005A3F47">
        <w:rPr>
          <w:noProof/>
        </w:rPr>
        <w:t>w</w:t>
      </w:r>
      <w:r w:rsidR="00080E0E" w:rsidRPr="005A3F47">
        <w:rPr>
          <w:noProof/>
        </w:rPr>
        <w:t>as</w:t>
      </w:r>
      <w:r w:rsidR="00A515D4" w:rsidRPr="005A3F47">
        <w:rPr>
          <w:noProof/>
        </w:rPr>
        <w:t xml:space="preserve"> </w:t>
      </w:r>
      <w:r w:rsidR="003672B6" w:rsidRPr="005A3F47">
        <w:rPr>
          <w:noProof/>
        </w:rPr>
        <w:t xml:space="preserve">at least </w:t>
      </w:r>
      <w:r w:rsidR="00A515D4" w:rsidRPr="005A3F47">
        <w:rPr>
          <w:noProof/>
        </w:rPr>
        <w:t xml:space="preserve">15%. </w:t>
      </w:r>
      <w:r w:rsidR="0029722D" w:rsidRPr="005A3F47">
        <w:rPr>
          <w:noProof/>
        </w:rPr>
        <w:t>In all other cases</w:t>
      </w:r>
      <w:r w:rsidR="00E82435" w:rsidRPr="005A3F47">
        <w:rPr>
          <w:noProof/>
        </w:rPr>
        <w:t>,</w:t>
      </w:r>
      <w:r w:rsidR="0029722D" w:rsidRPr="005A3F47">
        <w:rPr>
          <w:noProof/>
        </w:rPr>
        <w:t xml:space="preserve"> </w:t>
      </w:r>
      <w:r w:rsidR="00D766E5" w:rsidRPr="005A3F47">
        <w:rPr>
          <w:noProof/>
        </w:rPr>
        <w:t>QDMTT</w:t>
      </w:r>
      <w:r w:rsidR="0029722D" w:rsidRPr="005A3F47">
        <w:rPr>
          <w:noProof/>
        </w:rPr>
        <w:t xml:space="preserve"> would be triggered</w:t>
      </w:r>
      <w:r w:rsidR="0052000B" w:rsidRPr="005A3F47">
        <w:rPr>
          <w:noProof/>
        </w:rPr>
        <w:t xml:space="preserve"> </w:t>
      </w:r>
      <w:r w:rsidR="003D6BE5" w:rsidRPr="005A3F47">
        <w:rPr>
          <w:noProof/>
        </w:rPr>
        <w:t>– a</w:t>
      </w:r>
      <w:r w:rsidR="0052000B" w:rsidRPr="005A3F47">
        <w:rPr>
          <w:noProof/>
        </w:rPr>
        <w:t xml:space="preserve">nd </w:t>
      </w:r>
      <w:r w:rsidR="00A96067" w:rsidRPr="005A3F47">
        <w:rPr>
          <w:noProof/>
        </w:rPr>
        <w:t xml:space="preserve">CFC would </w:t>
      </w:r>
      <w:r w:rsidR="00A96067" w:rsidRPr="005A3F47">
        <w:rPr>
          <w:i/>
          <w:iCs/>
          <w:noProof/>
        </w:rPr>
        <w:t>not</w:t>
      </w:r>
      <w:r w:rsidR="00A96067" w:rsidRPr="005A3F47">
        <w:rPr>
          <w:noProof/>
        </w:rPr>
        <w:t xml:space="preserve"> be triggered </w:t>
      </w:r>
      <w:r w:rsidR="00552742" w:rsidRPr="005A3F47">
        <w:rPr>
          <w:noProof/>
        </w:rPr>
        <w:t xml:space="preserve">in order to prevent </w:t>
      </w:r>
      <w:r w:rsidR="0053451A" w:rsidRPr="005A3F47">
        <w:rPr>
          <w:noProof/>
        </w:rPr>
        <w:t>double taxation</w:t>
      </w:r>
      <w:r w:rsidR="0029722D" w:rsidRPr="005A3F47">
        <w:rPr>
          <w:noProof/>
        </w:rPr>
        <w:t xml:space="preserve">. </w:t>
      </w:r>
    </w:p>
    <w:p w14:paraId="209AE568" w14:textId="50F4C738" w:rsidR="0088346F" w:rsidRPr="005A3F47" w:rsidRDefault="00700D3D" w:rsidP="00EF320C">
      <w:pPr>
        <w:spacing w:before="120" w:after="120"/>
        <w:rPr>
          <w:noProof/>
        </w:rPr>
      </w:pPr>
      <w:r w:rsidRPr="005A3F47">
        <w:rPr>
          <w:noProof/>
        </w:rPr>
        <w:t xml:space="preserve">We analysed the option using an </w:t>
      </w:r>
      <w:r w:rsidR="007420D0" w:rsidRPr="005A3F47">
        <w:rPr>
          <w:i/>
          <w:iCs/>
          <w:noProof/>
        </w:rPr>
        <w:t>Orbis</w:t>
      </w:r>
      <w:r w:rsidR="007420D0" w:rsidRPr="005A3F47">
        <w:rPr>
          <w:noProof/>
        </w:rPr>
        <w:t xml:space="preserve"> </w:t>
      </w:r>
      <w:r w:rsidR="00084096" w:rsidRPr="005A3F47">
        <w:rPr>
          <w:noProof/>
        </w:rPr>
        <w:t>sample</w:t>
      </w:r>
      <w:r w:rsidR="008260DC" w:rsidRPr="005A3F47">
        <w:rPr>
          <w:noProof/>
        </w:rPr>
        <w:t xml:space="preserve"> of </w:t>
      </w:r>
      <w:r w:rsidR="00926E7E" w:rsidRPr="005A3F47">
        <w:rPr>
          <w:noProof/>
        </w:rPr>
        <w:t xml:space="preserve">about </w:t>
      </w:r>
      <w:r w:rsidR="003F0892" w:rsidRPr="005A3F47">
        <w:rPr>
          <w:noProof/>
        </w:rPr>
        <w:t xml:space="preserve">88,000 </w:t>
      </w:r>
      <w:r w:rsidR="00A85F14" w:rsidRPr="005A3F47">
        <w:rPr>
          <w:noProof/>
        </w:rPr>
        <w:t>subsidiaries</w:t>
      </w:r>
      <w:r w:rsidR="0004301B" w:rsidRPr="005A3F47">
        <w:rPr>
          <w:noProof/>
        </w:rPr>
        <w:t xml:space="preserve"> of EU shareholders</w:t>
      </w:r>
      <w:r w:rsidR="00084096" w:rsidRPr="005A3F47">
        <w:rPr>
          <w:noProof/>
        </w:rPr>
        <w:t xml:space="preserve">, </w:t>
      </w:r>
      <w:r w:rsidRPr="005A3F47">
        <w:rPr>
          <w:noProof/>
        </w:rPr>
        <w:t>all part of group</w:t>
      </w:r>
      <w:r w:rsidR="005115C4" w:rsidRPr="005A3F47">
        <w:rPr>
          <w:noProof/>
        </w:rPr>
        <w:t>s</w:t>
      </w:r>
      <w:r w:rsidRPr="005A3F47">
        <w:rPr>
          <w:noProof/>
        </w:rPr>
        <w:t xml:space="preserve"> whose </w:t>
      </w:r>
      <w:r w:rsidR="00A703BD" w:rsidRPr="005A3F47">
        <w:rPr>
          <w:noProof/>
        </w:rPr>
        <w:t xml:space="preserve">consolidated turnover is EUR 750 million or above. </w:t>
      </w:r>
      <w:r w:rsidR="00D766E5" w:rsidRPr="005A3F47">
        <w:rPr>
          <w:noProof/>
        </w:rPr>
        <w:t>QDMTT</w:t>
      </w:r>
      <w:r w:rsidR="003103E0" w:rsidRPr="005A3F47">
        <w:rPr>
          <w:noProof/>
        </w:rPr>
        <w:t xml:space="preserve"> </w:t>
      </w:r>
      <w:r w:rsidR="003672B6" w:rsidRPr="005A3F47">
        <w:rPr>
          <w:noProof/>
        </w:rPr>
        <w:t xml:space="preserve">may </w:t>
      </w:r>
      <w:r w:rsidR="003103E0" w:rsidRPr="005A3F47">
        <w:rPr>
          <w:noProof/>
        </w:rPr>
        <w:t xml:space="preserve">be triggered for </w:t>
      </w:r>
      <w:r w:rsidR="00D818BC" w:rsidRPr="005A3F47">
        <w:rPr>
          <w:noProof/>
        </w:rPr>
        <w:t>ab</w:t>
      </w:r>
      <w:r w:rsidR="004B1DA2" w:rsidRPr="005A3F47">
        <w:rPr>
          <w:noProof/>
        </w:rPr>
        <w:t>o</w:t>
      </w:r>
      <w:r w:rsidR="00D818BC" w:rsidRPr="005A3F47">
        <w:rPr>
          <w:noProof/>
        </w:rPr>
        <w:t xml:space="preserve">ut 46,000 </w:t>
      </w:r>
      <w:r w:rsidR="006A6CE8" w:rsidRPr="005A3F47">
        <w:rPr>
          <w:noProof/>
        </w:rPr>
        <w:t xml:space="preserve">of these </w:t>
      </w:r>
      <w:r w:rsidR="00D818BC" w:rsidRPr="005A3F47">
        <w:rPr>
          <w:noProof/>
        </w:rPr>
        <w:t xml:space="preserve">entities </w:t>
      </w:r>
      <w:r w:rsidR="003672B6" w:rsidRPr="005A3F47">
        <w:rPr>
          <w:noProof/>
        </w:rPr>
        <w:t>as the</w:t>
      </w:r>
      <w:r w:rsidR="000F2450" w:rsidRPr="005A3F47">
        <w:rPr>
          <w:noProof/>
        </w:rPr>
        <w:t xml:space="preserve">y show an </w:t>
      </w:r>
      <w:r w:rsidR="003672B6" w:rsidRPr="005A3F47">
        <w:rPr>
          <w:noProof/>
        </w:rPr>
        <w:t xml:space="preserve">effective tax rate below 15%. </w:t>
      </w:r>
      <w:r w:rsidR="00B76499" w:rsidRPr="005A3F47">
        <w:rPr>
          <w:noProof/>
        </w:rPr>
        <w:t xml:space="preserve">These represent 53% of </w:t>
      </w:r>
      <w:r w:rsidR="004B1DA2" w:rsidRPr="005A3F47">
        <w:rPr>
          <w:noProof/>
        </w:rPr>
        <w:t xml:space="preserve">all </w:t>
      </w:r>
      <w:r w:rsidR="00E7136F" w:rsidRPr="005A3F47">
        <w:rPr>
          <w:noProof/>
        </w:rPr>
        <w:t xml:space="preserve">in-scope </w:t>
      </w:r>
      <w:r w:rsidR="004B1DA2" w:rsidRPr="005A3F47">
        <w:rPr>
          <w:noProof/>
        </w:rPr>
        <w:t>en</w:t>
      </w:r>
      <w:r w:rsidR="002A2165" w:rsidRPr="005A3F47">
        <w:rPr>
          <w:noProof/>
        </w:rPr>
        <w:t xml:space="preserve">tities. </w:t>
      </w:r>
      <w:r w:rsidR="00E35450" w:rsidRPr="005A3F47">
        <w:rPr>
          <w:noProof/>
        </w:rPr>
        <w:t xml:space="preserve">Under </w:t>
      </w:r>
      <w:r w:rsidR="0019070C" w:rsidRPr="005A3F47">
        <w:rPr>
          <w:noProof/>
        </w:rPr>
        <w:t>Option 2B</w:t>
      </w:r>
      <w:r w:rsidR="00E35450" w:rsidRPr="005A3F47">
        <w:rPr>
          <w:noProof/>
        </w:rPr>
        <w:t xml:space="preserve">, </w:t>
      </w:r>
      <w:r w:rsidR="0088346F" w:rsidRPr="005A3F47">
        <w:rPr>
          <w:noProof/>
        </w:rPr>
        <w:t xml:space="preserve">CFC rules would </w:t>
      </w:r>
      <w:r w:rsidR="00624A73" w:rsidRPr="005A3F47">
        <w:rPr>
          <w:noProof/>
        </w:rPr>
        <w:t xml:space="preserve">therefore </w:t>
      </w:r>
      <w:r w:rsidR="0088346F" w:rsidRPr="005A3F47">
        <w:rPr>
          <w:i/>
          <w:noProof/>
        </w:rPr>
        <w:t>not</w:t>
      </w:r>
      <w:r w:rsidR="0088346F" w:rsidRPr="005A3F47">
        <w:rPr>
          <w:noProof/>
        </w:rPr>
        <w:t xml:space="preserve"> be triggered</w:t>
      </w:r>
      <w:r w:rsidR="001810B5" w:rsidRPr="005A3F47">
        <w:rPr>
          <w:noProof/>
        </w:rPr>
        <w:t xml:space="preserve"> for these entities</w:t>
      </w:r>
      <w:r w:rsidR="0088346F" w:rsidRPr="005A3F47">
        <w:rPr>
          <w:noProof/>
        </w:rPr>
        <w:t xml:space="preserve">. </w:t>
      </w:r>
    </w:p>
    <w:p w14:paraId="5FE6E6BE" w14:textId="05A43C0E" w:rsidR="00C801AE" w:rsidRPr="005A3F47" w:rsidDel="0061232C" w:rsidRDefault="004A5EA2" w:rsidP="00EF320C">
      <w:pPr>
        <w:spacing w:before="120" w:after="120"/>
        <w:rPr>
          <w:noProof/>
        </w:rPr>
      </w:pPr>
      <w:r w:rsidRPr="005A3F47">
        <w:rPr>
          <w:noProof/>
        </w:rPr>
        <w:t xml:space="preserve">It is </w:t>
      </w:r>
      <w:r w:rsidR="001700B6" w:rsidRPr="005A3F47">
        <w:rPr>
          <w:noProof/>
        </w:rPr>
        <w:t xml:space="preserve">thus </w:t>
      </w:r>
      <w:r w:rsidRPr="005A3F47">
        <w:rPr>
          <w:noProof/>
        </w:rPr>
        <w:t>assumed</w:t>
      </w:r>
      <w:r w:rsidR="00E5320E" w:rsidRPr="005A3F47">
        <w:rPr>
          <w:noProof/>
        </w:rPr>
        <w:t xml:space="preserve"> that the compliance cost savings </w:t>
      </w:r>
      <w:r w:rsidR="00E7136F" w:rsidRPr="005A3F47">
        <w:rPr>
          <w:noProof/>
        </w:rPr>
        <w:t xml:space="preserve">under this option would </w:t>
      </w:r>
      <w:r w:rsidR="00E5320E" w:rsidRPr="005A3F47">
        <w:rPr>
          <w:noProof/>
        </w:rPr>
        <w:t xml:space="preserve">amount to only about one half </w:t>
      </w:r>
      <w:r w:rsidR="00906E3F" w:rsidRPr="005A3F47">
        <w:rPr>
          <w:noProof/>
        </w:rPr>
        <w:t xml:space="preserve">(53%) </w:t>
      </w:r>
      <w:r w:rsidR="007D2737" w:rsidRPr="005A3F47">
        <w:rPr>
          <w:noProof/>
        </w:rPr>
        <w:t>of those estimated for Option 2</w:t>
      </w:r>
      <w:r w:rsidR="00300410" w:rsidRPr="005A3F47">
        <w:rPr>
          <w:noProof/>
        </w:rPr>
        <w:t>A</w:t>
      </w:r>
      <w:r w:rsidR="007D2737" w:rsidRPr="005A3F47">
        <w:rPr>
          <w:noProof/>
        </w:rPr>
        <w:t xml:space="preserve">. </w:t>
      </w:r>
      <w:r w:rsidR="00300410" w:rsidRPr="005A3F47">
        <w:rPr>
          <w:noProof/>
        </w:rPr>
        <w:t xml:space="preserve">Consequently, </w:t>
      </w:r>
      <w:r w:rsidR="0054101D" w:rsidRPr="005A3F47">
        <w:rPr>
          <w:noProof/>
        </w:rPr>
        <w:t>estimate</w:t>
      </w:r>
      <w:r w:rsidR="00300410" w:rsidRPr="005A3F47">
        <w:rPr>
          <w:noProof/>
        </w:rPr>
        <w:t>s</w:t>
      </w:r>
      <w:r w:rsidR="0054101D" w:rsidRPr="005A3F47">
        <w:rPr>
          <w:noProof/>
        </w:rPr>
        <w:t xml:space="preserve"> </w:t>
      </w:r>
      <w:r w:rsidR="00816895" w:rsidRPr="005A3F47">
        <w:rPr>
          <w:noProof/>
        </w:rPr>
        <w:t xml:space="preserve">for Option 2B </w:t>
      </w:r>
      <w:r w:rsidR="0054101D" w:rsidRPr="005A3F47">
        <w:rPr>
          <w:noProof/>
        </w:rPr>
        <w:t xml:space="preserve">indicate a </w:t>
      </w:r>
      <w:r w:rsidR="00300410" w:rsidRPr="005A3F47">
        <w:rPr>
          <w:noProof/>
        </w:rPr>
        <w:t>potential</w:t>
      </w:r>
      <w:r w:rsidR="0054101D" w:rsidRPr="005A3F47">
        <w:rPr>
          <w:noProof/>
        </w:rPr>
        <w:t xml:space="preserve"> cost savings of about </w:t>
      </w:r>
      <w:r w:rsidR="004533CC" w:rsidRPr="005A3F47">
        <w:rPr>
          <w:noProof/>
        </w:rPr>
        <w:t xml:space="preserve">EUR </w:t>
      </w:r>
      <w:r w:rsidR="006B5406" w:rsidRPr="005A3F47">
        <w:rPr>
          <w:noProof/>
        </w:rPr>
        <w:t>84</w:t>
      </w:r>
      <w:r w:rsidR="004533CC" w:rsidRPr="005A3F47">
        <w:rPr>
          <w:noProof/>
        </w:rPr>
        <w:t xml:space="preserve"> million </w:t>
      </w:r>
      <w:r w:rsidR="009E27D3" w:rsidRPr="005A3F47">
        <w:rPr>
          <w:noProof/>
        </w:rPr>
        <w:t>(</w:t>
      </w:r>
      <w:r w:rsidR="009C5ABA" w:rsidRPr="005A3F47">
        <w:rPr>
          <w:noProof/>
        </w:rPr>
        <w:t>≈</w:t>
      </w:r>
      <w:r w:rsidR="008D43C1" w:rsidRPr="005A3F47">
        <w:rPr>
          <w:noProof/>
        </w:rPr>
        <w:t xml:space="preserve"> </w:t>
      </w:r>
      <w:r w:rsidR="009E27D3" w:rsidRPr="005A3F47">
        <w:rPr>
          <w:noProof/>
        </w:rPr>
        <w:t>EUR 160 million * 53%</w:t>
      </w:r>
      <w:r w:rsidR="009C5ABA" w:rsidRPr="005A3F47">
        <w:rPr>
          <w:noProof/>
        </w:rPr>
        <w:t>)</w:t>
      </w:r>
      <w:r w:rsidR="004533CC" w:rsidRPr="005A3F47">
        <w:rPr>
          <w:noProof/>
        </w:rPr>
        <w:t>.</w:t>
      </w:r>
      <w:r w:rsidR="00281A6B" w:rsidRPr="005A3F47">
        <w:rPr>
          <w:noProof/>
        </w:rPr>
        <w:t xml:space="preserve"> </w:t>
      </w:r>
    </w:p>
    <w:p w14:paraId="77FDE732" w14:textId="2F292F15" w:rsidR="00633C52" w:rsidRPr="005A3F47" w:rsidRDefault="005F4B65" w:rsidP="001376D6">
      <w:pPr>
        <w:pStyle w:val="Text1"/>
        <w:spacing w:before="240" w:after="120"/>
        <w:ind w:left="0"/>
        <w:rPr>
          <w:i/>
          <w:iCs/>
          <w:noProof/>
        </w:rPr>
      </w:pPr>
      <w:r w:rsidRPr="005A3F47">
        <w:rPr>
          <w:rFonts w:eastAsiaTheme="majorEastAsia"/>
          <w:i/>
          <w:noProof/>
        </w:rPr>
        <w:t>Impact on tax administrations</w:t>
      </w:r>
    </w:p>
    <w:p w14:paraId="791E9CA9" w14:textId="5A000893" w:rsidR="005F4B65" w:rsidRPr="005A3F47" w:rsidRDefault="00633C52" w:rsidP="001376D6">
      <w:pPr>
        <w:rPr>
          <w:noProof/>
          <w:color w:val="4F81BD" w:themeColor="accent1"/>
        </w:rPr>
      </w:pPr>
      <w:r w:rsidRPr="005A3F47">
        <w:rPr>
          <w:noProof/>
        </w:rPr>
        <w:t>P</w:t>
      </w:r>
      <w:r w:rsidR="005F4B65" w:rsidRPr="005A3F47">
        <w:rPr>
          <w:noProof/>
        </w:rPr>
        <w:t>lease</w:t>
      </w:r>
      <w:r w:rsidR="005F4B65" w:rsidRPr="005A3F47">
        <w:rPr>
          <w:bCs/>
          <w:iCs/>
          <w:noProof/>
        </w:rPr>
        <w:t xml:space="preserve"> refer to similarities under section 6.2.2.2 above.</w:t>
      </w:r>
    </w:p>
    <w:p w14:paraId="58D35748" w14:textId="01E29DF7" w:rsidR="00633C52" w:rsidRPr="005A3F47" w:rsidRDefault="00633C52" w:rsidP="00884EE5">
      <w:pPr>
        <w:pStyle w:val="Text1"/>
        <w:spacing w:before="240" w:after="120"/>
        <w:ind w:left="0"/>
        <w:rPr>
          <w:i/>
          <w:noProof/>
        </w:rPr>
      </w:pPr>
      <w:r w:rsidRPr="005A3F47">
        <w:rPr>
          <w:i/>
          <w:noProof/>
        </w:rPr>
        <w:t>I</w:t>
      </w:r>
      <w:r w:rsidR="00FE3B54" w:rsidRPr="005A3F47">
        <w:rPr>
          <w:i/>
          <w:noProof/>
        </w:rPr>
        <w:t>mpact on the economy</w:t>
      </w:r>
    </w:p>
    <w:p w14:paraId="4CC09812" w14:textId="467B4194" w:rsidR="00A864F3" w:rsidRPr="005A3F47" w:rsidDel="0061232C" w:rsidRDefault="00633C52" w:rsidP="001376D6">
      <w:pPr>
        <w:rPr>
          <w:noProof/>
        </w:rPr>
      </w:pPr>
      <w:r w:rsidRPr="005A3F47">
        <w:rPr>
          <w:bCs/>
          <w:iCs/>
          <w:noProof/>
        </w:rPr>
        <w:t>P</w:t>
      </w:r>
      <w:r w:rsidR="00FE3B54" w:rsidRPr="005A3F47">
        <w:rPr>
          <w:noProof/>
        </w:rPr>
        <w:t>lease refer to section 6.2.2.5.</w:t>
      </w:r>
    </w:p>
    <w:p w14:paraId="295C278C" w14:textId="300F92A6" w:rsidR="00277087" w:rsidRPr="005A3F47" w:rsidRDefault="00A54348" w:rsidP="00B341FC">
      <w:pPr>
        <w:pStyle w:val="Heading4"/>
        <w:numPr>
          <w:ilvl w:val="3"/>
          <w:numId w:val="185"/>
        </w:numPr>
        <w:rPr>
          <w:noProof/>
        </w:rPr>
      </w:pPr>
      <w:bookmarkStart w:id="167" w:name="_Ref226464247"/>
      <w:r w:rsidRPr="005A3F47">
        <w:rPr>
          <w:noProof/>
        </w:rPr>
        <w:t xml:space="preserve"> </w:t>
      </w:r>
      <w:r w:rsidR="00277087" w:rsidRPr="005A3F47">
        <w:rPr>
          <w:noProof/>
        </w:rPr>
        <w:t xml:space="preserve">Option 3: </w:t>
      </w:r>
      <w:r w:rsidR="00E9690E" w:rsidRPr="005A3F47">
        <w:rPr>
          <w:noProof/>
        </w:rPr>
        <w:t>Carve-</w:t>
      </w:r>
      <w:r w:rsidR="00277087" w:rsidRPr="005A3F47">
        <w:rPr>
          <w:noProof/>
        </w:rPr>
        <w:t xml:space="preserve">out </w:t>
      </w:r>
      <w:r w:rsidR="00E9690E" w:rsidRPr="005A3F47">
        <w:rPr>
          <w:noProof/>
        </w:rPr>
        <w:t>of</w:t>
      </w:r>
      <w:r w:rsidR="00277087" w:rsidRPr="005A3F47">
        <w:rPr>
          <w:noProof/>
        </w:rPr>
        <w:t xml:space="preserve"> </w:t>
      </w:r>
      <w:r w:rsidR="00967352" w:rsidRPr="005A3F47">
        <w:rPr>
          <w:noProof/>
        </w:rPr>
        <w:t>SMEs</w:t>
      </w:r>
      <w:bookmarkEnd w:id="167"/>
    </w:p>
    <w:p w14:paraId="2F9CC326" w14:textId="77777777" w:rsidR="00951358" w:rsidRPr="005A3F47" w:rsidRDefault="00951358" w:rsidP="00DE6B6A">
      <w:pPr>
        <w:pStyle w:val="Text1"/>
        <w:spacing w:before="240" w:after="120"/>
        <w:ind w:left="0"/>
        <w:rPr>
          <w:bCs/>
          <w:i/>
          <w:noProof/>
        </w:rPr>
      </w:pPr>
      <w:r w:rsidRPr="005A3F47">
        <w:rPr>
          <w:bCs/>
          <w:i/>
          <w:noProof/>
        </w:rPr>
        <w:t>Impact on companies</w:t>
      </w:r>
    </w:p>
    <w:p w14:paraId="0E14E0D6" w14:textId="63D260C8" w:rsidR="00277087" w:rsidRPr="005A3F47" w:rsidRDefault="007B5618" w:rsidP="00277087">
      <w:pPr>
        <w:pStyle w:val="Text2"/>
        <w:ind w:left="0"/>
        <w:rPr>
          <w:noProof/>
        </w:rPr>
      </w:pPr>
      <w:r w:rsidRPr="005A3F47">
        <w:rPr>
          <w:noProof/>
        </w:rPr>
        <w:t xml:space="preserve">As a starting basis, this option would carve out SMEs, which would be identified based on the Eurostat definition, widely used across EU legislation, </w:t>
      </w:r>
      <w:r w:rsidR="0046456A" w:rsidRPr="005A3F47">
        <w:rPr>
          <w:noProof/>
        </w:rPr>
        <w:t xml:space="preserve">taking into account only those companies with a turnover of EUR 50 million or less. </w:t>
      </w:r>
      <w:r w:rsidR="00B53086" w:rsidRPr="005A3F47">
        <w:rPr>
          <w:noProof/>
        </w:rPr>
        <w:t>A micr</w:t>
      </w:r>
      <w:r w:rsidR="00CA6657" w:rsidRPr="005A3F47">
        <w:rPr>
          <w:noProof/>
        </w:rPr>
        <w:t>o</w:t>
      </w:r>
      <w:r w:rsidR="00B53086" w:rsidRPr="005A3F47">
        <w:rPr>
          <w:noProof/>
        </w:rPr>
        <w:t xml:space="preserve">-analysis </w:t>
      </w:r>
      <w:r w:rsidR="00CA6657" w:rsidRPr="005A3F47">
        <w:rPr>
          <w:noProof/>
        </w:rPr>
        <w:t>conducted based</w:t>
      </w:r>
      <w:r w:rsidR="00B53086" w:rsidRPr="005A3F47">
        <w:rPr>
          <w:noProof/>
        </w:rPr>
        <w:t xml:space="preserve"> on </w:t>
      </w:r>
      <w:r w:rsidR="00CA6657" w:rsidRPr="005A3F47">
        <w:rPr>
          <w:noProof/>
        </w:rPr>
        <w:t>the</w:t>
      </w:r>
      <w:r w:rsidR="00277087" w:rsidRPr="005A3F47">
        <w:rPr>
          <w:noProof/>
        </w:rPr>
        <w:t xml:space="preserve"> </w:t>
      </w:r>
      <w:r w:rsidR="00277087" w:rsidRPr="005A3F47">
        <w:rPr>
          <w:i/>
          <w:iCs/>
          <w:noProof/>
        </w:rPr>
        <w:t>Orbis</w:t>
      </w:r>
      <w:r w:rsidR="00277087" w:rsidRPr="005A3F47">
        <w:rPr>
          <w:noProof/>
        </w:rPr>
        <w:t xml:space="preserve"> </w:t>
      </w:r>
      <w:r w:rsidR="004057C4" w:rsidRPr="005A3F47">
        <w:rPr>
          <w:noProof/>
        </w:rPr>
        <w:t>company</w:t>
      </w:r>
      <w:r w:rsidR="00277087" w:rsidRPr="005A3F47">
        <w:rPr>
          <w:noProof/>
        </w:rPr>
        <w:t xml:space="preserve"> database</w:t>
      </w:r>
      <w:r w:rsidR="0046456A" w:rsidRPr="005A3F47">
        <w:rPr>
          <w:noProof/>
        </w:rPr>
        <w:t xml:space="preserve"> estimates that</w:t>
      </w:r>
      <w:r w:rsidR="00277087" w:rsidRPr="005A3F47">
        <w:rPr>
          <w:noProof/>
        </w:rPr>
        <w:t xml:space="preserve"> the number of shareholders with foreign subsidiaries and a turnover below EUR 50 million is estimated at 55</w:t>
      </w:r>
      <w:r w:rsidR="00D01894" w:rsidRPr="005A3F47">
        <w:rPr>
          <w:noProof/>
        </w:rPr>
        <w:t>,</w:t>
      </w:r>
      <w:r w:rsidR="00277087" w:rsidRPr="005A3F47">
        <w:rPr>
          <w:noProof/>
        </w:rPr>
        <w:t xml:space="preserve">000. </w:t>
      </w:r>
      <w:r w:rsidR="00767175" w:rsidRPr="005A3F47">
        <w:rPr>
          <w:noProof/>
        </w:rPr>
        <w:t xml:space="preserve">On the basis of </w:t>
      </w:r>
      <w:r w:rsidR="0063725C" w:rsidRPr="005A3F47">
        <w:rPr>
          <w:noProof/>
        </w:rPr>
        <w:t xml:space="preserve">a recent </w:t>
      </w:r>
      <w:r w:rsidR="00277087" w:rsidRPr="005A3F47">
        <w:rPr>
          <w:noProof/>
        </w:rPr>
        <w:t>study</w:t>
      </w:r>
      <w:r w:rsidR="008F63B1" w:rsidRPr="005A3F47">
        <w:rPr>
          <w:noProof/>
        </w:rPr>
        <w:t xml:space="preserve">, </w:t>
      </w:r>
      <w:r w:rsidR="00277087" w:rsidRPr="005A3F47">
        <w:rPr>
          <w:noProof/>
        </w:rPr>
        <w:t xml:space="preserve">estimates </w:t>
      </w:r>
      <w:r w:rsidR="00545C7D" w:rsidRPr="005A3F47">
        <w:rPr>
          <w:noProof/>
        </w:rPr>
        <w:t xml:space="preserve">indicate </w:t>
      </w:r>
      <w:r w:rsidR="00277087" w:rsidRPr="005A3F47">
        <w:rPr>
          <w:noProof/>
        </w:rPr>
        <w:t xml:space="preserve">that </w:t>
      </w:r>
      <w:r w:rsidR="0046456A" w:rsidRPr="005A3F47">
        <w:rPr>
          <w:noProof/>
        </w:rPr>
        <w:t xml:space="preserve">the </w:t>
      </w:r>
      <w:r w:rsidR="00277087" w:rsidRPr="005A3F47">
        <w:rPr>
          <w:noProof/>
        </w:rPr>
        <w:t xml:space="preserve">CIT-related compliance costs </w:t>
      </w:r>
      <w:r w:rsidR="0046456A" w:rsidRPr="005A3F47">
        <w:rPr>
          <w:noProof/>
        </w:rPr>
        <w:t xml:space="preserve">of ‘medium’-sized enterprises </w:t>
      </w:r>
      <w:r w:rsidR="00277087" w:rsidRPr="005A3F47">
        <w:rPr>
          <w:noProof/>
        </w:rPr>
        <w:t>could amount to around EUR 4</w:t>
      </w:r>
      <w:r w:rsidR="00CA5AB0" w:rsidRPr="005A3F47">
        <w:rPr>
          <w:noProof/>
        </w:rPr>
        <w:t>,</w:t>
      </w:r>
      <w:r w:rsidR="00277087" w:rsidRPr="005A3F47">
        <w:rPr>
          <w:noProof/>
        </w:rPr>
        <w:t>700 per entity</w:t>
      </w:r>
      <w:r w:rsidR="00D13984" w:rsidRPr="005A3F47">
        <w:rPr>
          <w:noProof/>
        </w:rPr>
        <w:t>.</w:t>
      </w:r>
      <w:r w:rsidR="00277087" w:rsidRPr="005A3F47">
        <w:rPr>
          <w:rStyle w:val="FootnoteReference"/>
          <w:noProof/>
        </w:rPr>
        <w:footnoteReference w:id="94"/>
      </w:r>
      <w:r w:rsidR="00277087" w:rsidRPr="005A3F47">
        <w:rPr>
          <w:noProof/>
        </w:rPr>
        <w:t xml:space="preserve"> Here too, one can assume that </w:t>
      </w:r>
      <w:r w:rsidR="00545C7D" w:rsidRPr="005A3F47">
        <w:rPr>
          <w:noProof/>
        </w:rPr>
        <w:t>only a</w:t>
      </w:r>
      <w:r w:rsidR="001D40B0" w:rsidRPr="005A3F47">
        <w:rPr>
          <w:noProof/>
        </w:rPr>
        <w:t xml:space="preserve"> </w:t>
      </w:r>
      <w:r w:rsidR="0046456A" w:rsidRPr="005A3F47">
        <w:rPr>
          <w:noProof/>
        </w:rPr>
        <w:t>fraction</w:t>
      </w:r>
      <w:r w:rsidR="00277087" w:rsidRPr="005A3F47">
        <w:rPr>
          <w:noProof/>
        </w:rPr>
        <w:t xml:space="preserve"> of these compliance costs </w:t>
      </w:r>
      <w:r w:rsidR="004E674A" w:rsidRPr="005A3F47">
        <w:rPr>
          <w:noProof/>
        </w:rPr>
        <w:t>is</w:t>
      </w:r>
      <w:r w:rsidR="00277087" w:rsidRPr="005A3F47">
        <w:rPr>
          <w:noProof/>
        </w:rPr>
        <w:t xml:space="preserve"> devoted to CFC-compliance or related activities</w:t>
      </w:r>
      <w:r w:rsidR="0050363D" w:rsidRPr="005A3F47">
        <w:rPr>
          <w:noProof/>
        </w:rPr>
        <w:t>,</w:t>
      </w:r>
      <w:r w:rsidR="0046456A" w:rsidRPr="005A3F47">
        <w:rPr>
          <w:noProof/>
        </w:rPr>
        <w:t xml:space="preserve"> </w:t>
      </w:r>
      <w:r w:rsidR="00564EF8" w:rsidRPr="005A3F47">
        <w:rPr>
          <w:noProof/>
        </w:rPr>
        <w:t xml:space="preserve">considering that </w:t>
      </w:r>
      <w:r w:rsidR="0046456A" w:rsidRPr="005A3F47">
        <w:rPr>
          <w:noProof/>
        </w:rPr>
        <w:t xml:space="preserve">for </w:t>
      </w:r>
      <w:r w:rsidR="00277087" w:rsidRPr="005A3F47">
        <w:rPr>
          <w:noProof/>
        </w:rPr>
        <w:t>an SME</w:t>
      </w:r>
      <w:r w:rsidR="00AE6717" w:rsidRPr="005A3F47">
        <w:rPr>
          <w:noProof/>
        </w:rPr>
        <w:t>,</w:t>
      </w:r>
      <w:r w:rsidR="00277087" w:rsidRPr="005A3F47">
        <w:rPr>
          <w:noProof/>
        </w:rPr>
        <w:t xml:space="preserve"> the control of other entities is a burdensome task. </w:t>
      </w:r>
      <w:r w:rsidR="00953D6A" w:rsidRPr="005A3F47">
        <w:rPr>
          <w:noProof/>
        </w:rPr>
        <w:t>However, given the</w:t>
      </w:r>
      <w:r w:rsidR="00BF25EB" w:rsidRPr="005A3F47">
        <w:rPr>
          <w:noProof/>
        </w:rPr>
        <w:t xml:space="preserve"> lack of </w:t>
      </w:r>
      <w:r w:rsidR="00953D6A" w:rsidRPr="005A3F47">
        <w:rPr>
          <w:noProof/>
        </w:rPr>
        <w:t xml:space="preserve">precise </w:t>
      </w:r>
      <w:r w:rsidR="00BF25EB" w:rsidRPr="005A3F47">
        <w:rPr>
          <w:noProof/>
        </w:rPr>
        <w:t>empirical evidence, the analysis uses the same</w:t>
      </w:r>
      <w:r w:rsidR="00277087" w:rsidRPr="005A3F47">
        <w:rPr>
          <w:noProof/>
        </w:rPr>
        <w:t xml:space="preserve"> </w:t>
      </w:r>
      <w:r w:rsidR="00953D6A" w:rsidRPr="005A3F47">
        <w:rPr>
          <w:noProof/>
        </w:rPr>
        <w:t xml:space="preserve">assumption as </w:t>
      </w:r>
      <w:r w:rsidR="000875C9" w:rsidRPr="005A3F47">
        <w:rPr>
          <w:noProof/>
        </w:rPr>
        <w:t xml:space="preserve">under options 1 and 2 </w:t>
      </w:r>
      <w:r w:rsidR="00953D6A" w:rsidRPr="005A3F47">
        <w:rPr>
          <w:noProof/>
        </w:rPr>
        <w:t>above, i.e., that CFC compliance costs would amount to approximately one third</w:t>
      </w:r>
      <w:r w:rsidR="00D7795F" w:rsidRPr="005A3F47">
        <w:rPr>
          <w:noProof/>
        </w:rPr>
        <w:t>.</w:t>
      </w:r>
      <w:r w:rsidR="00953D6A" w:rsidRPr="005A3F47">
        <w:rPr>
          <w:noProof/>
        </w:rPr>
        <w:t xml:space="preserve"> </w:t>
      </w:r>
      <w:r w:rsidR="00D7795F" w:rsidRPr="005A3F47">
        <w:rPr>
          <w:noProof/>
        </w:rPr>
        <w:t>The analysis</w:t>
      </w:r>
      <w:r w:rsidR="00277087" w:rsidRPr="005A3F47">
        <w:rPr>
          <w:noProof/>
        </w:rPr>
        <w:t xml:space="preserve"> estimate</w:t>
      </w:r>
      <w:r w:rsidR="00D7795F" w:rsidRPr="005A3F47">
        <w:rPr>
          <w:noProof/>
        </w:rPr>
        <w:t xml:space="preserve">s that </w:t>
      </w:r>
      <w:r w:rsidR="00CC0ED7" w:rsidRPr="005A3F47">
        <w:rPr>
          <w:noProof/>
        </w:rPr>
        <w:t>this option would amount to</w:t>
      </w:r>
      <w:r w:rsidR="00277087" w:rsidRPr="005A3F47">
        <w:rPr>
          <w:noProof/>
        </w:rPr>
        <w:t xml:space="preserve"> about EUR 90 million </w:t>
      </w:r>
      <w:r w:rsidR="00192A6F" w:rsidRPr="005A3F47">
        <w:rPr>
          <w:noProof/>
        </w:rPr>
        <w:t xml:space="preserve">(≈ 55,000 </w:t>
      </w:r>
      <w:r w:rsidR="008669ED" w:rsidRPr="005A3F47">
        <w:rPr>
          <w:noProof/>
        </w:rPr>
        <w:t xml:space="preserve">companies </w:t>
      </w:r>
      <w:r w:rsidR="00192A6F" w:rsidRPr="005A3F47">
        <w:rPr>
          <w:noProof/>
        </w:rPr>
        <w:t>* 4,700</w:t>
      </w:r>
      <w:r w:rsidR="00FE3BB5" w:rsidRPr="005A3F47">
        <w:rPr>
          <w:noProof/>
        </w:rPr>
        <w:t xml:space="preserve"> compliance cost per entity</w:t>
      </w:r>
      <w:r w:rsidR="00192A6F" w:rsidRPr="005A3F47">
        <w:rPr>
          <w:noProof/>
        </w:rPr>
        <w:t xml:space="preserve"> * 1/3) </w:t>
      </w:r>
      <w:r w:rsidR="00CC0ED7" w:rsidRPr="005A3F47">
        <w:rPr>
          <w:noProof/>
        </w:rPr>
        <w:t>in</w:t>
      </w:r>
      <w:r w:rsidR="00277087" w:rsidRPr="005A3F47">
        <w:rPr>
          <w:noProof/>
        </w:rPr>
        <w:t xml:space="preserve"> CFC-related cost savings </w:t>
      </w:r>
      <w:r w:rsidR="00CC0ED7" w:rsidRPr="005A3F47">
        <w:rPr>
          <w:noProof/>
        </w:rPr>
        <w:t>as a result of</w:t>
      </w:r>
      <w:r w:rsidR="00277087" w:rsidRPr="005A3F47">
        <w:rPr>
          <w:noProof/>
        </w:rPr>
        <w:t xml:space="preserve"> carving out SMEs</w:t>
      </w:r>
      <w:r w:rsidR="000E7351" w:rsidRPr="005A3F47">
        <w:rPr>
          <w:noProof/>
        </w:rPr>
        <w:t>.</w:t>
      </w:r>
    </w:p>
    <w:p w14:paraId="029CBD04" w14:textId="63582344" w:rsidR="00951358" w:rsidRPr="005A3F47" w:rsidRDefault="00951358" w:rsidP="00DE6B6A">
      <w:pPr>
        <w:pStyle w:val="Text1"/>
        <w:spacing w:before="240" w:after="120"/>
        <w:ind w:left="0"/>
        <w:rPr>
          <w:bCs/>
          <w:i/>
          <w:noProof/>
        </w:rPr>
      </w:pPr>
      <w:r w:rsidRPr="005A3F47">
        <w:rPr>
          <w:bCs/>
          <w:i/>
          <w:noProof/>
        </w:rPr>
        <w:t>Impact on tax administrations</w:t>
      </w:r>
    </w:p>
    <w:p w14:paraId="375B28D4" w14:textId="09ADF871" w:rsidR="000B2056" w:rsidRPr="005A3F47" w:rsidRDefault="00955CDC" w:rsidP="000B2056">
      <w:pPr>
        <w:rPr>
          <w:rFonts w:eastAsia="Times New Roman"/>
          <w:noProof/>
          <w:lang w:eastAsia="en-GB"/>
        </w:rPr>
      </w:pPr>
      <w:r w:rsidRPr="005A3F47">
        <w:rPr>
          <w:rFonts w:eastAsia="Times New Roman"/>
          <w:noProof/>
          <w:lang w:eastAsia="en-GB"/>
        </w:rPr>
        <w:t xml:space="preserve">SMEs </w:t>
      </w:r>
      <w:r w:rsidR="008A53A9" w:rsidRPr="005A3F47">
        <w:rPr>
          <w:rFonts w:eastAsia="Times New Roman"/>
          <w:noProof/>
          <w:lang w:eastAsia="en-GB"/>
        </w:rPr>
        <w:t xml:space="preserve">account for </w:t>
      </w:r>
      <w:r w:rsidR="00BF2546" w:rsidRPr="005A3F47">
        <w:rPr>
          <w:rFonts w:eastAsia="Times New Roman"/>
          <w:noProof/>
          <w:lang w:eastAsia="en-GB"/>
        </w:rPr>
        <w:t xml:space="preserve">over </w:t>
      </w:r>
      <w:r w:rsidR="00EF45BC" w:rsidRPr="005A3F47">
        <w:rPr>
          <w:rFonts w:eastAsia="Times New Roman"/>
          <w:noProof/>
          <w:lang w:eastAsia="en-GB"/>
        </w:rPr>
        <w:t xml:space="preserve">99% of </w:t>
      </w:r>
      <w:r w:rsidR="008A53A9" w:rsidRPr="005A3F47">
        <w:rPr>
          <w:rFonts w:eastAsia="Times New Roman"/>
          <w:noProof/>
          <w:lang w:eastAsia="en-GB"/>
        </w:rPr>
        <w:t xml:space="preserve">businesses </w:t>
      </w:r>
      <w:r w:rsidR="00EF45BC" w:rsidRPr="005A3F47">
        <w:rPr>
          <w:rFonts w:eastAsia="Times New Roman"/>
          <w:noProof/>
          <w:lang w:eastAsia="en-GB"/>
        </w:rPr>
        <w:t>in the EU.</w:t>
      </w:r>
      <w:r w:rsidR="00E258A7" w:rsidRPr="005A3F47">
        <w:rPr>
          <w:rStyle w:val="FootnoteReference"/>
          <w:rFonts w:eastAsia="Times New Roman"/>
          <w:noProof/>
          <w:lang w:eastAsia="en-GB"/>
        </w:rPr>
        <w:footnoteReference w:id="95"/>
      </w:r>
      <w:r w:rsidR="00804C18" w:rsidRPr="005A3F47">
        <w:rPr>
          <w:rFonts w:eastAsia="Times New Roman"/>
          <w:noProof/>
          <w:lang w:eastAsia="en-GB"/>
        </w:rPr>
        <w:t xml:space="preserve"> </w:t>
      </w:r>
      <w:r w:rsidR="003532AA" w:rsidRPr="005A3F47">
        <w:rPr>
          <w:rFonts w:eastAsia="Times New Roman"/>
          <w:noProof/>
          <w:lang w:eastAsia="en-GB"/>
        </w:rPr>
        <w:t xml:space="preserve">However, </w:t>
      </w:r>
      <w:r w:rsidR="00CE6A3C" w:rsidRPr="005A3F47">
        <w:rPr>
          <w:rFonts w:eastAsia="Times New Roman"/>
          <w:noProof/>
          <w:lang w:eastAsia="en-GB"/>
        </w:rPr>
        <w:t>only around 10% have cross-border activities</w:t>
      </w:r>
      <w:r w:rsidR="00AD7D4C" w:rsidRPr="005A3F47">
        <w:rPr>
          <w:rFonts w:eastAsia="Times New Roman"/>
          <w:noProof/>
          <w:lang w:eastAsia="en-GB"/>
        </w:rPr>
        <w:t>,</w:t>
      </w:r>
      <w:r w:rsidR="00E52957" w:rsidRPr="005A3F47">
        <w:rPr>
          <w:rStyle w:val="FootnoteReference"/>
          <w:rFonts w:eastAsia="Times New Roman"/>
          <w:noProof/>
          <w:lang w:eastAsia="en-GB"/>
        </w:rPr>
        <w:footnoteReference w:id="96"/>
      </w:r>
      <w:r w:rsidR="00CE6A3C" w:rsidRPr="005A3F47">
        <w:rPr>
          <w:rFonts w:eastAsia="Times New Roman"/>
          <w:noProof/>
          <w:lang w:eastAsia="en-GB"/>
        </w:rPr>
        <w:t xml:space="preserve"> </w:t>
      </w:r>
      <w:r w:rsidR="006D53D8" w:rsidRPr="005A3F47">
        <w:rPr>
          <w:rFonts w:eastAsia="Times New Roman"/>
          <w:noProof/>
          <w:lang w:eastAsia="en-GB"/>
        </w:rPr>
        <w:t xml:space="preserve"> and </w:t>
      </w:r>
      <w:r w:rsidR="00B153E6" w:rsidRPr="005A3F47">
        <w:rPr>
          <w:rFonts w:eastAsia="Times New Roman"/>
          <w:noProof/>
          <w:lang w:eastAsia="en-GB"/>
        </w:rPr>
        <w:t xml:space="preserve">only </w:t>
      </w:r>
      <w:r w:rsidR="00A11142" w:rsidRPr="005A3F47">
        <w:rPr>
          <w:rFonts w:eastAsia="Times New Roman"/>
          <w:noProof/>
          <w:lang w:eastAsia="en-GB"/>
        </w:rPr>
        <w:t xml:space="preserve">about 5% of SMEs </w:t>
      </w:r>
      <w:r w:rsidR="00444A6D" w:rsidRPr="005A3F47">
        <w:rPr>
          <w:rFonts w:eastAsia="Times New Roman"/>
          <w:noProof/>
          <w:lang w:eastAsia="en-GB"/>
        </w:rPr>
        <w:t>are part of a group</w:t>
      </w:r>
      <w:r w:rsidR="002C49C0" w:rsidRPr="005A3F47">
        <w:rPr>
          <w:rFonts w:eastAsia="Times New Roman"/>
          <w:noProof/>
          <w:lang w:eastAsia="en-GB"/>
        </w:rPr>
        <w:t>.</w:t>
      </w:r>
      <w:r w:rsidR="00D66C90" w:rsidRPr="005A3F47">
        <w:rPr>
          <w:rStyle w:val="FootnoteReference"/>
          <w:rFonts w:eastAsia="Times New Roman"/>
          <w:noProof/>
          <w:lang w:eastAsia="en-GB"/>
        </w:rPr>
        <w:footnoteReference w:id="97"/>
      </w:r>
      <w:r w:rsidR="00EF45BC" w:rsidRPr="005A3F47">
        <w:rPr>
          <w:rFonts w:eastAsia="Times New Roman"/>
          <w:noProof/>
          <w:lang w:eastAsia="en-GB"/>
        </w:rPr>
        <w:t xml:space="preserve"> </w:t>
      </w:r>
      <w:r w:rsidR="005E6B77" w:rsidRPr="005A3F47">
        <w:rPr>
          <w:rFonts w:eastAsia="Times New Roman"/>
          <w:noProof/>
          <w:lang w:eastAsia="en-GB"/>
        </w:rPr>
        <w:t xml:space="preserve">It therefore follows that </w:t>
      </w:r>
      <w:r w:rsidR="008B274C" w:rsidRPr="005A3F47">
        <w:rPr>
          <w:rFonts w:eastAsia="Times New Roman"/>
          <w:noProof/>
          <w:lang w:eastAsia="en-GB"/>
        </w:rPr>
        <w:t>CFC legislation is relevant to a</w:t>
      </w:r>
      <w:r w:rsidR="00D8731A" w:rsidRPr="005A3F47">
        <w:rPr>
          <w:rFonts w:eastAsia="Times New Roman"/>
          <w:noProof/>
          <w:lang w:eastAsia="en-GB"/>
        </w:rPr>
        <w:t>n extremely</w:t>
      </w:r>
      <w:r w:rsidR="008B274C" w:rsidRPr="005A3F47">
        <w:rPr>
          <w:rFonts w:eastAsia="Times New Roman"/>
          <w:noProof/>
          <w:lang w:eastAsia="en-GB"/>
        </w:rPr>
        <w:t xml:space="preserve"> small population </w:t>
      </w:r>
      <w:r w:rsidR="00D8731A" w:rsidRPr="005A3F47">
        <w:rPr>
          <w:rFonts w:eastAsia="Times New Roman"/>
          <w:noProof/>
          <w:lang w:eastAsia="en-GB"/>
        </w:rPr>
        <w:t xml:space="preserve">out </w:t>
      </w:r>
      <w:r w:rsidR="008B274C" w:rsidRPr="005A3F47">
        <w:rPr>
          <w:rFonts w:eastAsia="Times New Roman"/>
          <w:noProof/>
          <w:lang w:eastAsia="en-GB"/>
        </w:rPr>
        <w:t xml:space="preserve">of </w:t>
      </w:r>
      <w:r w:rsidR="00D8731A" w:rsidRPr="005A3F47">
        <w:rPr>
          <w:rFonts w:eastAsia="Times New Roman"/>
          <w:noProof/>
          <w:lang w:eastAsia="en-GB"/>
        </w:rPr>
        <w:t xml:space="preserve">the overall number of </w:t>
      </w:r>
      <w:r w:rsidR="008B274C" w:rsidRPr="005A3F47">
        <w:rPr>
          <w:rFonts w:eastAsia="Times New Roman"/>
          <w:noProof/>
          <w:lang w:eastAsia="en-GB"/>
        </w:rPr>
        <w:t>SMEs</w:t>
      </w:r>
      <w:r w:rsidR="00191D2A" w:rsidRPr="005A3F47">
        <w:rPr>
          <w:rFonts w:eastAsia="Times New Roman"/>
          <w:noProof/>
          <w:lang w:eastAsia="en-GB"/>
        </w:rPr>
        <w:t>.</w:t>
      </w:r>
      <w:r w:rsidR="00EF45BC" w:rsidRPr="005A3F47">
        <w:rPr>
          <w:rFonts w:eastAsia="Times New Roman"/>
          <w:noProof/>
          <w:lang w:eastAsia="en-GB"/>
        </w:rPr>
        <w:t xml:space="preserve"> </w:t>
      </w:r>
      <w:r w:rsidR="00DA24E4" w:rsidRPr="005A3F47">
        <w:rPr>
          <w:rFonts w:eastAsia="Times New Roman"/>
          <w:noProof/>
          <w:lang w:eastAsia="en-GB"/>
        </w:rPr>
        <w:t>Firstly,</w:t>
      </w:r>
      <w:r w:rsidR="00EF45BC" w:rsidRPr="005A3F47">
        <w:rPr>
          <w:rFonts w:eastAsia="Times New Roman"/>
          <w:noProof/>
          <w:lang w:eastAsia="en-GB"/>
        </w:rPr>
        <w:t xml:space="preserve"> the vast majority of </w:t>
      </w:r>
      <w:r w:rsidR="002C3599" w:rsidRPr="005A3F47">
        <w:rPr>
          <w:rFonts w:eastAsia="Times New Roman"/>
          <w:noProof/>
          <w:lang w:eastAsia="en-GB"/>
        </w:rPr>
        <w:t xml:space="preserve">these </w:t>
      </w:r>
      <w:r w:rsidR="00EF45BC" w:rsidRPr="005A3F47">
        <w:rPr>
          <w:rFonts w:eastAsia="Times New Roman"/>
          <w:noProof/>
          <w:lang w:eastAsia="en-GB"/>
        </w:rPr>
        <w:t>SME</w:t>
      </w:r>
      <w:r w:rsidR="002C3599" w:rsidRPr="005A3F47">
        <w:rPr>
          <w:rFonts w:eastAsia="Times New Roman"/>
          <w:noProof/>
          <w:lang w:eastAsia="en-GB"/>
        </w:rPr>
        <w:t xml:space="preserve"> group</w:t>
      </w:r>
      <w:r w:rsidR="00EF45BC" w:rsidRPr="005A3F47">
        <w:rPr>
          <w:rFonts w:eastAsia="Times New Roman"/>
          <w:noProof/>
          <w:lang w:eastAsia="en-GB"/>
        </w:rPr>
        <w:t xml:space="preserve">s </w:t>
      </w:r>
      <w:r w:rsidR="00D36870" w:rsidRPr="005A3F47">
        <w:rPr>
          <w:rFonts w:eastAsia="Times New Roman"/>
          <w:noProof/>
          <w:lang w:eastAsia="en-GB"/>
        </w:rPr>
        <w:t xml:space="preserve">do not operate on a cross-border basis and therefore do </w:t>
      </w:r>
      <w:r w:rsidR="00830CC6" w:rsidRPr="005A3F47">
        <w:rPr>
          <w:rFonts w:eastAsia="Times New Roman"/>
          <w:noProof/>
          <w:lang w:eastAsia="en-GB"/>
        </w:rPr>
        <w:t xml:space="preserve">not have operating structures that would avail themselves of </w:t>
      </w:r>
      <w:r w:rsidR="005C4A5D" w:rsidRPr="005A3F47">
        <w:rPr>
          <w:rFonts w:eastAsia="Times New Roman"/>
          <w:noProof/>
          <w:lang w:eastAsia="en-GB"/>
        </w:rPr>
        <w:t>controlled foreign companies; or</w:t>
      </w:r>
      <w:r w:rsidR="00DC5348" w:rsidRPr="005A3F47">
        <w:rPr>
          <w:rFonts w:eastAsia="Times New Roman"/>
          <w:noProof/>
          <w:lang w:eastAsia="en-GB"/>
        </w:rPr>
        <w:t xml:space="preserve"> </w:t>
      </w:r>
      <w:r w:rsidR="002C3599" w:rsidRPr="005A3F47">
        <w:rPr>
          <w:rFonts w:eastAsia="Times New Roman"/>
          <w:noProof/>
          <w:lang w:eastAsia="en-GB"/>
        </w:rPr>
        <w:t>possess limited resources</w:t>
      </w:r>
      <w:r w:rsidR="00376208" w:rsidRPr="005A3F47">
        <w:rPr>
          <w:rFonts w:eastAsia="Times New Roman"/>
          <w:noProof/>
          <w:lang w:eastAsia="en-GB"/>
        </w:rPr>
        <w:t xml:space="preserve"> for</w:t>
      </w:r>
      <w:r w:rsidR="00F905BD" w:rsidRPr="005A3F47">
        <w:rPr>
          <w:rFonts w:eastAsia="Times New Roman"/>
          <w:noProof/>
          <w:lang w:eastAsia="en-GB"/>
        </w:rPr>
        <w:t xml:space="preserve"> engag</w:t>
      </w:r>
      <w:r w:rsidR="00376208" w:rsidRPr="005A3F47">
        <w:rPr>
          <w:rFonts w:eastAsia="Times New Roman"/>
          <w:noProof/>
          <w:lang w:eastAsia="en-GB"/>
        </w:rPr>
        <w:t>ing</w:t>
      </w:r>
      <w:r w:rsidR="00F905BD" w:rsidRPr="005A3F47">
        <w:rPr>
          <w:rFonts w:eastAsia="Times New Roman"/>
          <w:noProof/>
          <w:lang w:eastAsia="en-GB"/>
        </w:rPr>
        <w:t xml:space="preserve"> in </w:t>
      </w:r>
      <w:r w:rsidR="00884CCD" w:rsidRPr="005A3F47">
        <w:rPr>
          <w:rFonts w:eastAsia="Times New Roman"/>
          <w:noProof/>
          <w:lang w:eastAsia="en-GB"/>
        </w:rPr>
        <w:t>cross-border</w:t>
      </w:r>
      <w:r w:rsidR="00F905BD" w:rsidRPr="005A3F47">
        <w:rPr>
          <w:rFonts w:eastAsia="Times New Roman"/>
          <w:noProof/>
          <w:lang w:eastAsia="en-GB"/>
        </w:rPr>
        <w:t xml:space="preserve"> aggressive tax planning. </w:t>
      </w:r>
      <w:r w:rsidR="001E649A" w:rsidRPr="005A3F47">
        <w:rPr>
          <w:rFonts w:eastAsia="Times New Roman"/>
          <w:noProof/>
          <w:lang w:eastAsia="en-GB"/>
        </w:rPr>
        <w:t xml:space="preserve">On this basis, </w:t>
      </w:r>
      <w:r w:rsidR="0053579F" w:rsidRPr="005A3F47">
        <w:rPr>
          <w:rFonts w:eastAsia="Times New Roman"/>
          <w:noProof/>
          <w:lang w:eastAsia="en-GB"/>
        </w:rPr>
        <w:t>it appears ine</w:t>
      </w:r>
      <w:r w:rsidR="00F34526" w:rsidRPr="005A3F47">
        <w:rPr>
          <w:rFonts w:eastAsia="Times New Roman"/>
          <w:noProof/>
          <w:lang w:eastAsia="en-GB"/>
        </w:rPr>
        <w:t>f</w:t>
      </w:r>
      <w:r w:rsidR="0053579F" w:rsidRPr="005A3F47">
        <w:rPr>
          <w:rFonts w:eastAsia="Times New Roman"/>
          <w:noProof/>
          <w:lang w:eastAsia="en-GB"/>
        </w:rPr>
        <w:t xml:space="preserve">ficient </w:t>
      </w:r>
      <w:r w:rsidR="00F34526" w:rsidRPr="005A3F47">
        <w:rPr>
          <w:rFonts w:eastAsia="Times New Roman"/>
          <w:noProof/>
          <w:lang w:eastAsia="en-GB"/>
        </w:rPr>
        <w:t>for</w:t>
      </w:r>
      <w:r w:rsidR="0053579F" w:rsidRPr="005A3F47">
        <w:rPr>
          <w:rFonts w:eastAsia="Times New Roman"/>
          <w:noProof/>
          <w:lang w:eastAsia="en-GB"/>
        </w:rPr>
        <w:t xml:space="preserve"> </w:t>
      </w:r>
      <w:r w:rsidR="00F905BD" w:rsidRPr="005A3F47">
        <w:rPr>
          <w:rFonts w:eastAsia="Times New Roman"/>
          <w:noProof/>
          <w:lang w:eastAsia="en-GB"/>
        </w:rPr>
        <w:t xml:space="preserve">tax administrations </w:t>
      </w:r>
      <w:r w:rsidR="00F34526" w:rsidRPr="005A3F47">
        <w:rPr>
          <w:rFonts w:eastAsia="Times New Roman"/>
          <w:noProof/>
          <w:lang w:eastAsia="en-GB"/>
        </w:rPr>
        <w:t>to bear</w:t>
      </w:r>
      <w:r w:rsidR="00F905BD" w:rsidRPr="005A3F47">
        <w:rPr>
          <w:rFonts w:eastAsia="Times New Roman"/>
          <w:noProof/>
          <w:lang w:eastAsia="en-GB"/>
        </w:rPr>
        <w:t xml:space="preserve"> the responsibility</w:t>
      </w:r>
      <w:r w:rsidR="007D288C" w:rsidRPr="005A3F47">
        <w:rPr>
          <w:rFonts w:eastAsia="Times New Roman"/>
          <w:noProof/>
          <w:lang w:eastAsia="en-GB"/>
        </w:rPr>
        <w:t xml:space="preserve"> </w:t>
      </w:r>
      <w:r w:rsidR="00742F35" w:rsidRPr="005A3F47">
        <w:rPr>
          <w:rFonts w:eastAsia="Times New Roman"/>
          <w:noProof/>
          <w:lang w:eastAsia="en-GB"/>
        </w:rPr>
        <w:t xml:space="preserve">for, </w:t>
      </w:r>
      <w:r w:rsidR="007D288C" w:rsidRPr="005A3F47">
        <w:rPr>
          <w:rFonts w:eastAsia="Times New Roman"/>
          <w:noProof/>
          <w:lang w:eastAsia="en-GB"/>
        </w:rPr>
        <w:t xml:space="preserve">and </w:t>
      </w:r>
      <w:r w:rsidR="00742F35" w:rsidRPr="005A3F47">
        <w:rPr>
          <w:rFonts w:eastAsia="Times New Roman"/>
          <w:noProof/>
          <w:lang w:eastAsia="en-GB"/>
        </w:rPr>
        <w:t>dedicate resources</w:t>
      </w:r>
      <w:r w:rsidR="00F905BD" w:rsidRPr="005A3F47">
        <w:rPr>
          <w:rFonts w:eastAsia="Times New Roman"/>
          <w:noProof/>
          <w:lang w:eastAsia="en-GB"/>
        </w:rPr>
        <w:t xml:space="preserve"> to</w:t>
      </w:r>
      <w:r w:rsidR="00742F35" w:rsidRPr="005A3F47">
        <w:rPr>
          <w:rFonts w:eastAsia="Times New Roman"/>
          <w:noProof/>
          <w:lang w:eastAsia="en-GB"/>
        </w:rPr>
        <w:t>,</w:t>
      </w:r>
      <w:r w:rsidR="00F905BD" w:rsidRPr="005A3F47">
        <w:rPr>
          <w:rFonts w:eastAsia="Times New Roman"/>
          <w:noProof/>
          <w:lang w:eastAsia="en-GB"/>
        </w:rPr>
        <w:t xml:space="preserve"> enforc</w:t>
      </w:r>
      <w:r w:rsidR="00742F35" w:rsidRPr="005A3F47">
        <w:rPr>
          <w:rFonts w:eastAsia="Times New Roman"/>
          <w:noProof/>
          <w:lang w:eastAsia="en-GB"/>
        </w:rPr>
        <w:t>ing</w:t>
      </w:r>
      <w:r w:rsidR="00F905BD" w:rsidRPr="005A3F47">
        <w:rPr>
          <w:rFonts w:eastAsia="Times New Roman"/>
          <w:noProof/>
          <w:lang w:eastAsia="en-GB"/>
        </w:rPr>
        <w:t xml:space="preserve"> the CFC rules </w:t>
      </w:r>
      <w:r w:rsidR="00F34526" w:rsidRPr="005A3F47">
        <w:rPr>
          <w:rFonts w:eastAsia="Times New Roman"/>
          <w:noProof/>
          <w:lang w:eastAsia="en-GB"/>
        </w:rPr>
        <w:t>in this limited context</w:t>
      </w:r>
      <w:r w:rsidR="00C17267" w:rsidRPr="005A3F47">
        <w:rPr>
          <w:rFonts w:eastAsia="Times New Roman"/>
          <w:noProof/>
          <w:lang w:eastAsia="en-GB"/>
        </w:rPr>
        <w:t>, especially considering that</w:t>
      </w:r>
      <w:r w:rsidR="00F905BD" w:rsidRPr="005A3F47">
        <w:rPr>
          <w:rFonts w:eastAsia="Times New Roman"/>
          <w:noProof/>
          <w:lang w:eastAsia="en-GB"/>
        </w:rPr>
        <w:t xml:space="preserve"> </w:t>
      </w:r>
      <w:r w:rsidR="0053166E" w:rsidRPr="005A3F47">
        <w:rPr>
          <w:rFonts w:eastAsia="Times New Roman"/>
          <w:noProof/>
          <w:lang w:eastAsia="en-GB"/>
        </w:rPr>
        <w:t>anecdotal evidence from several EU Member States indicates that CFC rules are rarely in effect applied to SMEs</w:t>
      </w:r>
      <w:r w:rsidR="00F905BD" w:rsidRPr="005A3F47">
        <w:rPr>
          <w:rFonts w:eastAsia="Times New Roman"/>
          <w:noProof/>
          <w:lang w:eastAsia="en-GB"/>
        </w:rPr>
        <w:t>.</w:t>
      </w:r>
      <w:r w:rsidR="00566203" w:rsidRPr="005A3F47">
        <w:rPr>
          <w:rFonts w:eastAsia="Times New Roman"/>
          <w:noProof/>
          <w:lang w:eastAsia="en-GB"/>
        </w:rPr>
        <w:t xml:space="preserve"> </w:t>
      </w:r>
    </w:p>
    <w:p w14:paraId="0CA4C013" w14:textId="6DA912D0" w:rsidR="001F3DEB" w:rsidRPr="005A3F47" w:rsidRDefault="001F3DEB" w:rsidP="00DE6B6A">
      <w:pPr>
        <w:pStyle w:val="Text1"/>
        <w:spacing w:before="240" w:after="120"/>
        <w:ind w:left="0"/>
        <w:rPr>
          <w:i/>
          <w:iCs/>
          <w:noProof/>
        </w:rPr>
      </w:pPr>
      <w:r w:rsidRPr="005A3F47">
        <w:rPr>
          <w:i/>
          <w:iCs/>
          <w:noProof/>
        </w:rPr>
        <w:t>I</w:t>
      </w:r>
      <w:r w:rsidR="00866189" w:rsidRPr="005A3F47">
        <w:rPr>
          <w:i/>
          <w:iCs/>
          <w:noProof/>
        </w:rPr>
        <w:t>mpact</w:t>
      </w:r>
      <w:r w:rsidR="00866189" w:rsidRPr="005A3F47">
        <w:rPr>
          <w:i/>
          <w:noProof/>
        </w:rPr>
        <w:t xml:space="preserve"> on the economy</w:t>
      </w:r>
    </w:p>
    <w:p w14:paraId="520BF9E7" w14:textId="0A43B9F7" w:rsidR="00951358" w:rsidRPr="005A3F47" w:rsidRDefault="001F3DEB" w:rsidP="00951358">
      <w:pPr>
        <w:spacing w:after="160"/>
        <w:rPr>
          <w:noProof/>
        </w:rPr>
      </w:pPr>
      <w:r w:rsidRPr="005A3F47">
        <w:rPr>
          <w:noProof/>
        </w:rPr>
        <w:t>P</w:t>
      </w:r>
      <w:r w:rsidR="00951358" w:rsidRPr="005A3F47">
        <w:rPr>
          <w:noProof/>
        </w:rPr>
        <w:t>lease refer to Section 6.2.2.5.</w:t>
      </w:r>
      <w:r w:rsidR="00915BBD" w:rsidRPr="005A3F47">
        <w:rPr>
          <w:noProof/>
        </w:rPr>
        <w:t xml:space="preserve"> </w:t>
      </w:r>
    </w:p>
    <w:p w14:paraId="52022AC3" w14:textId="77777777" w:rsidR="00277087" w:rsidRPr="005A3F47" w:rsidRDefault="00277087" w:rsidP="00277087">
      <w:pPr>
        <w:spacing w:after="0"/>
        <w:rPr>
          <w:b/>
          <w:noProof/>
        </w:rPr>
      </w:pPr>
    </w:p>
    <w:p w14:paraId="5BD3E49E" w14:textId="6E8F5CD9" w:rsidR="00057B5C" w:rsidRPr="005A3F47" w:rsidRDefault="00013F02" w:rsidP="00B341FC">
      <w:pPr>
        <w:pStyle w:val="Heading4"/>
        <w:numPr>
          <w:ilvl w:val="3"/>
          <w:numId w:val="185"/>
        </w:numPr>
        <w:rPr>
          <w:noProof/>
        </w:rPr>
      </w:pPr>
      <w:r w:rsidRPr="005A3F47">
        <w:rPr>
          <w:noProof/>
        </w:rPr>
        <w:t xml:space="preserve"> </w:t>
      </w:r>
      <w:r w:rsidR="00057B5C" w:rsidRPr="005A3F47">
        <w:rPr>
          <w:noProof/>
        </w:rPr>
        <w:t>Why simpl</w:t>
      </w:r>
      <w:r w:rsidR="00877FE0" w:rsidRPr="005A3F47">
        <w:rPr>
          <w:noProof/>
        </w:rPr>
        <w:t>er</w:t>
      </w:r>
      <w:r w:rsidR="00057B5C" w:rsidRPr="005A3F47">
        <w:rPr>
          <w:noProof/>
        </w:rPr>
        <w:t xml:space="preserve"> CFC rules matter</w:t>
      </w:r>
    </w:p>
    <w:p w14:paraId="1B81EACA" w14:textId="3F455038" w:rsidR="00674965" w:rsidRPr="005A3F47" w:rsidRDefault="00674965" w:rsidP="00DE6B6A">
      <w:pPr>
        <w:pStyle w:val="Text1"/>
        <w:spacing w:before="240" w:after="120"/>
        <w:ind w:left="0"/>
        <w:rPr>
          <w:i/>
          <w:noProof/>
        </w:rPr>
      </w:pPr>
      <w:r w:rsidRPr="005A3F47">
        <w:rPr>
          <w:i/>
          <w:noProof/>
        </w:rPr>
        <w:t>Reduced costs for companies</w:t>
      </w:r>
    </w:p>
    <w:p w14:paraId="1930DD9F" w14:textId="46647689" w:rsidR="00034DBE" w:rsidRPr="005A3F47" w:rsidRDefault="5C16BFB1" w:rsidP="00E76E05">
      <w:pPr>
        <w:pStyle w:val="Text2"/>
        <w:ind w:left="0"/>
        <w:rPr>
          <w:noProof/>
          <w:lang w:eastAsia="en-GB"/>
        </w:rPr>
      </w:pPr>
      <w:r w:rsidRPr="005A3F47">
        <w:rPr>
          <w:noProof/>
        </w:rPr>
        <w:t xml:space="preserve">The above analyses demonstrate that under all circumstances, simplifying the application of CFC rules for the EU results in important cost savings, irrespective of the policy option or combination chosen. This is because any more unified and potentially simpler approach for implementing CFC rules across the EU would result in an easier operating environment, with savings redirected towards investment in new projects, expansion, and innovation. To that end, </w:t>
      </w:r>
      <w:r w:rsidR="5EC02F92" w:rsidRPr="005A3F47">
        <w:rPr>
          <w:noProof/>
        </w:rPr>
        <w:t>Option 1 would</w:t>
      </w:r>
      <w:r w:rsidR="3C8C252D" w:rsidRPr="005A3F47">
        <w:rPr>
          <w:noProof/>
        </w:rPr>
        <w:t xml:space="preserve">, by making Model A mandatory, provide clearer EU-wide rules-based taxation of CFCs, as opposed to having to impose and enact an always case-by-case assessment. Under </w:t>
      </w:r>
      <w:r w:rsidR="00D279C0" w:rsidRPr="005A3F47">
        <w:rPr>
          <w:noProof/>
        </w:rPr>
        <w:t>the</w:t>
      </w:r>
      <w:r w:rsidR="69E907AA" w:rsidRPr="005A3F47">
        <w:rPr>
          <w:noProof/>
        </w:rPr>
        <w:t xml:space="preserve"> second set of options, </w:t>
      </w:r>
      <w:r w:rsidR="6B0705FE" w:rsidRPr="005A3F47">
        <w:rPr>
          <w:noProof/>
        </w:rPr>
        <w:t>sub-</w:t>
      </w:r>
      <w:r w:rsidR="69E907AA" w:rsidRPr="005A3F47">
        <w:rPr>
          <w:noProof/>
        </w:rPr>
        <w:t xml:space="preserve">Option </w:t>
      </w:r>
      <w:r w:rsidR="795B0071" w:rsidRPr="005A3F47">
        <w:rPr>
          <w:noProof/>
        </w:rPr>
        <w:t>2</w:t>
      </w:r>
      <w:r w:rsidR="007A43EA" w:rsidRPr="005A3F47">
        <w:rPr>
          <w:noProof/>
        </w:rPr>
        <w:t>A</w:t>
      </w:r>
      <w:r w:rsidR="795B0071" w:rsidRPr="005A3F47">
        <w:rPr>
          <w:noProof/>
        </w:rPr>
        <w:t xml:space="preserve"> (carveout of P</w:t>
      </w:r>
      <w:r w:rsidR="58FCDC51" w:rsidRPr="005A3F47">
        <w:rPr>
          <w:noProof/>
        </w:rPr>
        <w:t xml:space="preserve">illar </w:t>
      </w:r>
      <w:r w:rsidR="795B0071" w:rsidRPr="005A3F47">
        <w:rPr>
          <w:noProof/>
        </w:rPr>
        <w:t>2 companies from CFC)</w:t>
      </w:r>
      <w:r w:rsidR="2981E278" w:rsidRPr="005A3F47">
        <w:rPr>
          <w:noProof/>
        </w:rPr>
        <w:t xml:space="preserve"> </w:t>
      </w:r>
      <w:r w:rsidR="3BD397E0" w:rsidRPr="005A3F47">
        <w:rPr>
          <w:noProof/>
        </w:rPr>
        <w:t xml:space="preserve">would </w:t>
      </w:r>
      <w:r w:rsidR="6C3D0C85" w:rsidRPr="005A3F47">
        <w:rPr>
          <w:noProof/>
        </w:rPr>
        <w:t xml:space="preserve">significantly </w:t>
      </w:r>
      <w:r w:rsidR="3BD397E0" w:rsidRPr="005A3F47">
        <w:rPr>
          <w:noProof/>
        </w:rPr>
        <w:t xml:space="preserve">reduce the </w:t>
      </w:r>
      <w:r w:rsidR="3EFE1535" w:rsidRPr="005A3F47">
        <w:rPr>
          <w:noProof/>
        </w:rPr>
        <w:t xml:space="preserve">administrative </w:t>
      </w:r>
      <w:r w:rsidR="0FCD76EC" w:rsidRPr="005A3F47">
        <w:rPr>
          <w:noProof/>
        </w:rPr>
        <w:t xml:space="preserve">burden </w:t>
      </w:r>
      <w:r w:rsidR="06CEA903" w:rsidRPr="005A3F47">
        <w:rPr>
          <w:noProof/>
        </w:rPr>
        <w:t xml:space="preserve">for </w:t>
      </w:r>
      <w:r w:rsidR="2DBCE1D5" w:rsidRPr="005A3F47">
        <w:rPr>
          <w:noProof/>
        </w:rPr>
        <w:t xml:space="preserve">shareholding entities </w:t>
      </w:r>
      <w:r w:rsidR="00674965" w:rsidRPr="005A3F47" w:rsidDel="2DBCE1D5">
        <w:rPr>
          <w:noProof/>
        </w:rPr>
        <w:t>of</w:t>
      </w:r>
      <w:r w:rsidR="597E103E" w:rsidRPr="005A3F47">
        <w:rPr>
          <w:noProof/>
        </w:rPr>
        <w:t xml:space="preserve"> the </w:t>
      </w:r>
      <w:r w:rsidR="43BBA9A2" w:rsidRPr="005A3F47">
        <w:rPr>
          <w:noProof/>
        </w:rPr>
        <w:t>4</w:t>
      </w:r>
      <w:r w:rsidR="5798598C" w:rsidRPr="005A3F47">
        <w:rPr>
          <w:noProof/>
        </w:rPr>
        <w:t>,</w:t>
      </w:r>
      <w:r w:rsidR="43BBA9A2" w:rsidRPr="005A3F47">
        <w:rPr>
          <w:noProof/>
        </w:rPr>
        <w:t>700 MNE</w:t>
      </w:r>
      <w:r w:rsidR="79149CA1" w:rsidRPr="005A3F47">
        <w:rPr>
          <w:noProof/>
        </w:rPr>
        <w:t xml:space="preserve">s </w:t>
      </w:r>
      <w:r w:rsidR="597E103E" w:rsidRPr="005A3F47">
        <w:rPr>
          <w:noProof/>
        </w:rPr>
        <w:t xml:space="preserve">in scope of Pillar </w:t>
      </w:r>
      <w:r w:rsidR="4839E9A0" w:rsidRPr="005A3F47">
        <w:rPr>
          <w:noProof/>
        </w:rPr>
        <w:t>2</w:t>
      </w:r>
      <w:r w:rsidR="1C1DBD23" w:rsidRPr="005A3F47">
        <w:rPr>
          <w:noProof/>
        </w:rPr>
        <w:t xml:space="preserve"> </w:t>
      </w:r>
      <w:r w:rsidR="7A574153" w:rsidRPr="005A3F47">
        <w:rPr>
          <w:noProof/>
        </w:rPr>
        <w:t>present in the EU</w:t>
      </w:r>
      <w:r w:rsidR="2B2A879B" w:rsidRPr="005A3F47">
        <w:rPr>
          <w:noProof/>
        </w:rPr>
        <w:t xml:space="preserve"> as it would</w:t>
      </w:r>
      <w:r w:rsidR="00674965" w:rsidRPr="005A3F47" w:rsidDel="2B2A879B">
        <w:rPr>
          <w:noProof/>
        </w:rPr>
        <w:t xml:space="preserve"> </w:t>
      </w:r>
      <w:r w:rsidR="48B5C86B" w:rsidRPr="005A3F47">
        <w:rPr>
          <w:noProof/>
        </w:rPr>
        <w:t>eliminate</w:t>
      </w:r>
      <w:r w:rsidR="2B2A879B" w:rsidRPr="005A3F47">
        <w:rPr>
          <w:noProof/>
        </w:rPr>
        <w:t xml:space="preserve"> </w:t>
      </w:r>
      <w:r w:rsidR="2D4EF6FC" w:rsidRPr="005A3F47">
        <w:rPr>
          <w:noProof/>
        </w:rPr>
        <w:t xml:space="preserve">their </w:t>
      </w:r>
      <w:r w:rsidR="6906D49A" w:rsidRPr="005A3F47">
        <w:rPr>
          <w:noProof/>
        </w:rPr>
        <w:t xml:space="preserve">compliance obligations </w:t>
      </w:r>
      <w:r w:rsidR="307C4A81" w:rsidRPr="005A3F47">
        <w:rPr>
          <w:noProof/>
        </w:rPr>
        <w:t>in the context of CFC</w:t>
      </w:r>
      <w:r w:rsidR="6906D49A" w:rsidRPr="005A3F47">
        <w:rPr>
          <w:noProof/>
        </w:rPr>
        <w:t>s</w:t>
      </w:r>
      <w:r w:rsidR="307C4A81" w:rsidRPr="005A3F47">
        <w:rPr>
          <w:noProof/>
        </w:rPr>
        <w:t>.</w:t>
      </w:r>
      <w:r w:rsidR="5A19F0C8" w:rsidRPr="005A3F47">
        <w:rPr>
          <w:noProof/>
        </w:rPr>
        <w:t xml:space="preserve"> </w:t>
      </w:r>
      <w:r w:rsidR="785A04F9" w:rsidRPr="005A3F47">
        <w:rPr>
          <w:noProof/>
        </w:rPr>
        <w:t>Whereas f</w:t>
      </w:r>
      <w:r w:rsidR="6881194B" w:rsidRPr="005A3F47">
        <w:rPr>
          <w:noProof/>
        </w:rPr>
        <w:t xml:space="preserve">or </w:t>
      </w:r>
      <w:r w:rsidR="007A43EA" w:rsidRPr="005A3F47">
        <w:rPr>
          <w:noProof/>
        </w:rPr>
        <w:t>O</w:t>
      </w:r>
      <w:r w:rsidR="6881194B" w:rsidRPr="005A3F47">
        <w:rPr>
          <w:noProof/>
        </w:rPr>
        <w:t>ption 2</w:t>
      </w:r>
      <w:r w:rsidR="007A43EA" w:rsidRPr="005A3F47">
        <w:rPr>
          <w:noProof/>
        </w:rPr>
        <w:t>B</w:t>
      </w:r>
      <w:r w:rsidR="79782A80" w:rsidRPr="005A3F47">
        <w:rPr>
          <w:noProof/>
        </w:rPr>
        <w:t>,</w:t>
      </w:r>
      <w:r w:rsidR="6881194B" w:rsidRPr="005A3F47">
        <w:rPr>
          <w:noProof/>
        </w:rPr>
        <w:t xml:space="preserve"> </w:t>
      </w:r>
      <w:r w:rsidR="66596965" w:rsidRPr="005A3F47">
        <w:rPr>
          <w:noProof/>
        </w:rPr>
        <w:t xml:space="preserve">the </w:t>
      </w:r>
      <w:r w:rsidR="6881194B" w:rsidRPr="005A3F47">
        <w:rPr>
          <w:noProof/>
        </w:rPr>
        <w:t xml:space="preserve">reduction </w:t>
      </w:r>
      <w:r w:rsidR="6AA1F85A" w:rsidRPr="005A3F47">
        <w:rPr>
          <w:noProof/>
        </w:rPr>
        <w:t>would be</w:t>
      </w:r>
      <w:r w:rsidR="6881194B" w:rsidRPr="005A3F47">
        <w:rPr>
          <w:noProof/>
        </w:rPr>
        <w:t xml:space="preserve"> lower</w:t>
      </w:r>
      <w:r w:rsidR="002226B5" w:rsidRPr="005A3F47">
        <w:rPr>
          <w:noProof/>
        </w:rPr>
        <w:t>,</w:t>
      </w:r>
      <w:r w:rsidR="6881194B" w:rsidRPr="005A3F47">
        <w:rPr>
          <w:noProof/>
        </w:rPr>
        <w:t xml:space="preserve"> as </w:t>
      </w:r>
      <w:r w:rsidR="025FB98F" w:rsidRPr="005A3F47">
        <w:rPr>
          <w:noProof/>
        </w:rPr>
        <w:t>fewer</w:t>
      </w:r>
      <w:r w:rsidR="6881194B" w:rsidRPr="005A3F47">
        <w:rPr>
          <w:noProof/>
        </w:rPr>
        <w:t xml:space="preserve"> companies would </w:t>
      </w:r>
      <w:r w:rsidR="15C31F10" w:rsidRPr="005A3F47">
        <w:rPr>
          <w:noProof/>
        </w:rPr>
        <w:t>be relieved form CFC rul</w:t>
      </w:r>
      <w:r w:rsidR="3D123BF1" w:rsidRPr="005A3F47">
        <w:rPr>
          <w:noProof/>
        </w:rPr>
        <w:t>e</w:t>
      </w:r>
      <w:r w:rsidR="15C31F10" w:rsidRPr="005A3F47">
        <w:rPr>
          <w:noProof/>
        </w:rPr>
        <w:t>s.</w:t>
      </w:r>
      <w:r w:rsidR="5A19F0C8" w:rsidRPr="005A3F47">
        <w:rPr>
          <w:noProof/>
        </w:rPr>
        <w:t xml:space="preserve"> </w:t>
      </w:r>
      <w:r w:rsidR="20D5CFCB" w:rsidRPr="005A3F47">
        <w:rPr>
          <w:noProof/>
        </w:rPr>
        <w:t>Both options would thus</w:t>
      </w:r>
      <w:r w:rsidR="278EEF47" w:rsidRPr="005A3F47">
        <w:rPr>
          <w:noProof/>
        </w:rPr>
        <w:t xml:space="preserve"> </w:t>
      </w:r>
      <w:r w:rsidR="680DD3B0" w:rsidRPr="005A3F47">
        <w:rPr>
          <w:noProof/>
        </w:rPr>
        <w:t xml:space="preserve">reduce </w:t>
      </w:r>
      <w:r w:rsidR="1F99C81D" w:rsidRPr="005A3F47">
        <w:rPr>
          <w:noProof/>
        </w:rPr>
        <w:t xml:space="preserve">the regulatory fragmentation </w:t>
      </w:r>
      <w:r w:rsidR="59A1C20B" w:rsidRPr="005A3F47">
        <w:rPr>
          <w:noProof/>
        </w:rPr>
        <w:t>of CFC-rules</w:t>
      </w:r>
      <w:r w:rsidR="430E865A" w:rsidRPr="005A3F47">
        <w:rPr>
          <w:noProof/>
        </w:rPr>
        <w:t>, enabling companies to</w:t>
      </w:r>
      <w:r w:rsidR="223ECCF8" w:rsidRPr="005A3F47">
        <w:rPr>
          <w:noProof/>
        </w:rPr>
        <w:t xml:space="preserve"> reduce </w:t>
      </w:r>
      <w:r w:rsidR="139829A9" w:rsidRPr="005A3F47">
        <w:rPr>
          <w:noProof/>
          <w:lang w:eastAsia="en-GB"/>
        </w:rPr>
        <w:t>operational costs</w:t>
      </w:r>
      <w:r w:rsidR="430E865A" w:rsidRPr="005A3F47">
        <w:rPr>
          <w:noProof/>
          <w:lang w:eastAsia="en-GB"/>
        </w:rPr>
        <w:t xml:space="preserve"> in significant ways</w:t>
      </w:r>
      <w:r w:rsidR="139829A9" w:rsidRPr="005A3F47">
        <w:rPr>
          <w:noProof/>
          <w:lang w:eastAsia="en-GB"/>
        </w:rPr>
        <w:t xml:space="preserve">. </w:t>
      </w:r>
      <w:r w:rsidR="06A3CFA8" w:rsidRPr="005A3F47">
        <w:rPr>
          <w:noProof/>
          <w:lang w:eastAsia="en-GB"/>
        </w:rPr>
        <w:t>The associated c</w:t>
      </w:r>
      <w:r w:rsidR="139829A9" w:rsidRPr="005A3F47">
        <w:rPr>
          <w:noProof/>
          <w:lang w:eastAsia="en-GB"/>
        </w:rPr>
        <w:t xml:space="preserve">ost savings </w:t>
      </w:r>
      <w:r w:rsidR="6B77A5F5" w:rsidRPr="005A3F47">
        <w:rPr>
          <w:noProof/>
          <w:lang w:eastAsia="en-GB"/>
        </w:rPr>
        <w:t>of</w:t>
      </w:r>
      <w:r w:rsidR="430E865A" w:rsidRPr="005A3F47">
        <w:rPr>
          <w:noProof/>
          <w:lang w:eastAsia="en-GB"/>
        </w:rPr>
        <w:t>,</w:t>
      </w:r>
      <w:r w:rsidR="6B77A5F5" w:rsidRPr="005A3F47">
        <w:rPr>
          <w:noProof/>
          <w:lang w:eastAsia="en-GB"/>
        </w:rPr>
        <w:t xml:space="preserve"> for example</w:t>
      </w:r>
      <w:r w:rsidR="430E865A" w:rsidRPr="005A3F47">
        <w:rPr>
          <w:noProof/>
          <w:lang w:eastAsia="en-GB"/>
        </w:rPr>
        <w:t>,</w:t>
      </w:r>
      <w:r w:rsidR="6B77A5F5" w:rsidRPr="005A3F47">
        <w:rPr>
          <w:noProof/>
          <w:lang w:eastAsia="en-GB"/>
        </w:rPr>
        <w:t xml:space="preserve"> combining option 1 with 2</w:t>
      </w:r>
      <w:r w:rsidR="007A43EA" w:rsidRPr="005A3F47">
        <w:rPr>
          <w:noProof/>
          <w:lang w:eastAsia="en-GB"/>
        </w:rPr>
        <w:t>A</w:t>
      </w:r>
      <w:r w:rsidR="6B77A5F5" w:rsidRPr="005A3F47">
        <w:rPr>
          <w:noProof/>
          <w:lang w:eastAsia="en-GB"/>
        </w:rPr>
        <w:t xml:space="preserve"> </w:t>
      </w:r>
      <w:r w:rsidR="7DEFE991" w:rsidRPr="005A3F47">
        <w:rPr>
          <w:noProof/>
          <w:lang w:eastAsia="en-GB"/>
        </w:rPr>
        <w:t xml:space="preserve">could amount to approximately EUR </w:t>
      </w:r>
      <w:r w:rsidR="00137BD1" w:rsidRPr="005A3F47">
        <w:rPr>
          <w:noProof/>
          <w:lang w:eastAsia="en-GB"/>
        </w:rPr>
        <w:t>205</w:t>
      </w:r>
      <w:r w:rsidR="005F0704" w:rsidRPr="005A3F47">
        <w:rPr>
          <w:noProof/>
          <w:lang w:eastAsia="en-GB"/>
        </w:rPr>
        <w:t xml:space="preserve"> million </w:t>
      </w:r>
      <w:r w:rsidR="484AA1DF" w:rsidRPr="005A3F47">
        <w:rPr>
          <w:noProof/>
          <w:lang w:eastAsia="en-GB"/>
        </w:rPr>
        <w:t>(</w:t>
      </w:r>
      <w:r w:rsidR="6B77A5F5" w:rsidRPr="005A3F47">
        <w:rPr>
          <w:noProof/>
          <w:lang w:eastAsia="en-GB"/>
        </w:rPr>
        <w:t xml:space="preserve">EUR </w:t>
      </w:r>
      <w:r w:rsidR="00137BD1" w:rsidRPr="005A3F47">
        <w:rPr>
          <w:noProof/>
          <w:lang w:eastAsia="en-GB"/>
        </w:rPr>
        <w:t>45</w:t>
      </w:r>
      <w:r w:rsidR="6B77A5F5" w:rsidRPr="005A3F47">
        <w:rPr>
          <w:noProof/>
          <w:lang w:eastAsia="en-GB"/>
        </w:rPr>
        <w:t xml:space="preserve"> million and </w:t>
      </w:r>
      <w:r w:rsidR="484AA1DF" w:rsidRPr="005A3F47">
        <w:rPr>
          <w:noProof/>
          <w:lang w:eastAsia="en-GB"/>
        </w:rPr>
        <w:t>EUR 160 million</w:t>
      </w:r>
      <w:r w:rsidR="428CBB11" w:rsidRPr="005A3F47">
        <w:rPr>
          <w:noProof/>
          <w:lang w:eastAsia="en-GB"/>
        </w:rPr>
        <w:t>, respectively</w:t>
      </w:r>
      <w:r w:rsidR="6B77A5F5" w:rsidRPr="005A3F47">
        <w:rPr>
          <w:noProof/>
          <w:lang w:eastAsia="en-GB"/>
        </w:rPr>
        <w:t>)</w:t>
      </w:r>
      <w:r w:rsidR="139829A9" w:rsidRPr="005A3F47">
        <w:rPr>
          <w:noProof/>
          <w:lang w:eastAsia="en-GB"/>
        </w:rPr>
        <w:t>.</w:t>
      </w:r>
      <w:r w:rsidR="6292882F" w:rsidRPr="005A3F47">
        <w:rPr>
          <w:noProof/>
          <w:lang w:eastAsia="en-GB"/>
        </w:rPr>
        <w:t xml:space="preserve"> </w:t>
      </w:r>
      <w:r w:rsidR="2813EDAF" w:rsidRPr="005A3F47">
        <w:rPr>
          <w:noProof/>
          <w:lang w:eastAsia="en-GB"/>
        </w:rPr>
        <w:t>Whereas c</w:t>
      </w:r>
      <w:r w:rsidR="6292882F" w:rsidRPr="005A3F47">
        <w:rPr>
          <w:noProof/>
          <w:lang w:eastAsia="en-GB"/>
        </w:rPr>
        <w:t xml:space="preserve">ombining Option </w:t>
      </w:r>
      <w:r w:rsidR="428CBB11" w:rsidRPr="005A3F47">
        <w:rPr>
          <w:noProof/>
          <w:lang w:eastAsia="en-GB"/>
        </w:rPr>
        <w:t xml:space="preserve">1 with </w:t>
      </w:r>
      <w:r w:rsidR="4C762AA5" w:rsidRPr="005A3F47">
        <w:rPr>
          <w:noProof/>
          <w:lang w:eastAsia="en-GB"/>
        </w:rPr>
        <w:t>2</w:t>
      </w:r>
      <w:r w:rsidR="005175E6" w:rsidRPr="005A3F47">
        <w:rPr>
          <w:noProof/>
          <w:lang w:eastAsia="en-GB"/>
        </w:rPr>
        <w:t>B</w:t>
      </w:r>
      <w:r w:rsidR="4C762AA5" w:rsidRPr="005A3F47">
        <w:rPr>
          <w:noProof/>
          <w:lang w:eastAsia="en-GB"/>
        </w:rPr>
        <w:t xml:space="preserve"> would achieve </w:t>
      </w:r>
      <w:r w:rsidR="2813EDAF" w:rsidRPr="005A3F47">
        <w:rPr>
          <w:noProof/>
          <w:lang w:eastAsia="en-GB"/>
        </w:rPr>
        <w:t>fewer</w:t>
      </w:r>
      <w:r w:rsidR="3BB6FD27" w:rsidRPr="005A3F47">
        <w:rPr>
          <w:noProof/>
          <w:lang w:eastAsia="en-GB"/>
        </w:rPr>
        <w:t xml:space="preserve"> savings </w:t>
      </w:r>
      <w:r w:rsidR="00C6210A" w:rsidRPr="005A3F47">
        <w:rPr>
          <w:noProof/>
          <w:lang w:eastAsia="en-GB"/>
        </w:rPr>
        <w:t>of about EUR 1</w:t>
      </w:r>
      <w:r w:rsidR="00137BD1" w:rsidRPr="005A3F47">
        <w:rPr>
          <w:noProof/>
          <w:lang w:eastAsia="en-GB"/>
        </w:rPr>
        <w:t xml:space="preserve">29 </w:t>
      </w:r>
      <w:r w:rsidR="00C6210A" w:rsidRPr="005A3F47">
        <w:rPr>
          <w:noProof/>
          <w:lang w:eastAsia="en-GB"/>
        </w:rPr>
        <w:t xml:space="preserve">million </w:t>
      </w:r>
      <w:r w:rsidR="3BB6FD27" w:rsidRPr="005A3F47">
        <w:rPr>
          <w:noProof/>
          <w:lang w:eastAsia="en-GB"/>
        </w:rPr>
        <w:t>(</w:t>
      </w:r>
      <w:r w:rsidR="428CBB11" w:rsidRPr="005A3F47">
        <w:rPr>
          <w:noProof/>
          <w:lang w:eastAsia="en-GB"/>
        </w:rPr>
        <w:t xml:space="preserve">EUR </w:t>
      </w:r>
      <w:r w:rsidR="00137BD1" w:rsidRPr="005A3F47">
        <w:rPr>
          <w:noProof/>
          <w:lang w:eastAsia="en-GB"/>
        </w:rPr>
        <w:t>45</w:t>
      </w:r>
      <w:r w:rsidR="428CBB11" w:rsidRPr="005A3F47">
        <w:rPr>
          <w:noProof/>
          <w:lang w:eastAsia="en-GB"/>
        </w:rPr>
        <w:t xml:space="preserve"> million and </w:t>
      </w:r>
      <w:r w:rsidR="3BB6FD27" w:rsidRPr="005A3F47">
        <w:rPr>
          <w:noProof/>
          <w:lang w:eastAsia="en-GB"/>
        </w:rPr>
        <w:t>EUR 84 million</w:t>
      </w:r>
      <w:r w:rsidR="428CBB11" w:rsidRPr="005A3F47">
        <w:rPr>
          <w:noProof/>
          <w:lang w:eastAsia="en-GB"/>
        </w:rPr>
        <w:t>, respectively</w:t>
      </w:r>
      <w:r w:rsidR="3BB6FD27" w:rsidRPr="005A3F47">
        <w:rPr>
          <w:noProof/>
          <w:lang w:eastAsia="en-GB"/>
        </w:rPr>
        <w:t>)</w:t>
      </w:r>
      <w:r w:rsidR="00C6210A" w:rsidRPr="005A3F47">
        <w:rPr>
          <w:noProof/>
          <w:lang w:eastAsia="en-GB"/>
        </w:rPr>
        <w:t>.</w:t>
      </w:r>
    </w:p>
    <w:p w14:paraId="1DEA2CC9" w14:textId="685BA518" w:rsidR="004506B6" w:rsidRPr="005A3F47" w:rsidRDefault="007E5FF7" w:rsidP="00DE6B6A">
      <w:pPr>
        <w:pStyle w:val="Text1"/>
        <w:spacing w:before="240" w:after="120"/>
        <w:ind w:left="0"/>
        <w:rPr>
          <w:i/>
          <w:noProof/>
        </w:rPr>
      </w:pPr>
      <w:r w:rsidRPr="005A3F47">
        <w:rPr>
          <w:i/>
          <w:noProof/>
        </w:rPr>
        <w:t>Reduced costs for tax administrations</w:t>
      </w:r>
    </w:p>
    <w:p w14:paraId="7DDF8187" w14:textId="6A898C2D" w:rsidR="00A6122F" w:rsidRPr="005A3F47" w:rsidRDefault="00BB28C6" w:rsidP="007533B1">
      <w:pPr>
        <w:spacing w:after="120"/>
        <w:rPr>
          <w:noProof/>
        </w:rPr>
      </w:pPr>
      <w:r w:rsidRPr="005A3F47">
        <w:rPr>
          <w:rFonts w:eastAsia="Times New Roman"/>
          <w:noProof/>
          <w:lang w:eastAsia="en-GB"/>
        </w:rPr>
        <w:t>O</w:t>
      </w:r>
      <w:r w:rsidR="000E50DF" w:rsidRPr="005A3F47">
        <w:rPr>
          <w:rFonts w:eastAsia="Times New Roman"/>
          <w:noProof/>
          <w:lang w:eastAsia="en-GB"/>
        </w:rPr>
        <w:t xml:space="preserve">ption 1 (harmonise implementation of Model A across the EU) </w:t>
      </w:r>
      <w:r w:rsidRPr="005A3F47">
        <w:rPr>
          <w:rFonts w:eastAsia="Times New Roman"/>
          <w:noProof/>
          <w:lang w:eastAsia="en-GB"/>
        </w:rPr>
        <w:t xml:space="preserve">could </w:t>
      </w:r>
      <w:r w:rsidR="000E50DF" w:rsidRPr="005A3F47">
        <w:rPr>
          <w:rFonts w:eastAsia="Times New Roman"/>
          <w:noProof/>
          <w:lang w:eastAsia="en-GB"/>
        </w:rPr>
        <w:t>entail some potential costs as a result of the change in the administrative approach</w:t>
      </w:r>
      <w:r w:rsidRPr="005A3F47">
        <w:rPr>
          <w:rFonts w:eastAsia="Times New Roman"/>
          <w:noProof/>
          <w:lang w:eastAsia="en-GB"/>
        </w:rPr>
        <w:t>. However, overall c</w:t>
      </w:r>
      <w:r w:rsidR="00D334DC" w:rsidRPr="005A3F47">
        <w:rPr>
          <w:rFonts w:eastAsia="Times New Roman"/>
          <w:noProof/>
          <w:lang w:eastAsia="en-GB"/>
        </w:rPr>
        <w:t>ost</w:t>
      </w:r>
      <w:r w:rsidR="00974F57" w:rsidRPr="005A3F47">
        <w:rPr>
          <w:rFonts w:eastAsia="Times New Roman"/>
          <w:noProof/>
          <w:lang w:eastAsia="en-GB"/>
        </w:rPr>
        <w:t xml:space="preserve"> savings </w:t>
      </w:r>
      <w:r w:rsidRPr="005A3F47">
        <w:rPr>
          <w:rFonts w:eastAsia="Times New Roman"/>
          <w:noProof/>
          <w:lang w:eastAsia="en-GB"/>
        </w:rPr>
        <w:t xml:space="preserve">for tax administrations from the proposed changes in the application of CFC rules </w:t>
      </w:r>
      <w:r w:rsidR="00974F57" w:rsidRPr="005A3F47">
        <w:rPr>
          <w:rFonts w:eastAsia="Times New Roman"/>
          <w:noProof/>
          <w:lang w:eastAsia="en-GB"/>
        </w:rPr>
        <w:t xml:space="preserve">would </w:t>
      </w:r>
      <w:r w:rsidRPr="005A3F47">
        <w:rPr>
          <w:rFonts w:eastAsia="Times New Roman"/>
          <w:noProof/>
          <w:lang w:eastAsia="en-GB"/>
        </w:rPr>
        <w:t xml:space="preserve">likely be important and </w:t>
      </w:r>
      <w:r w:rsidR="00974F57" w:rsidRPr="005A3F47">
        <w:rPr>
          <w:rFonts w:eastAsia="Times New Roman"/>
          <w:noProof/>
          <w:lang w:eastAsia="en-GB"/>
        </w:rPr>
        <w:t xml:space="preserve">stem from enacting simpler and less burdensome </w:t>
      </w:r>
      <w:r w:rsidR="00D334DC" w:rsidRPr="005A3F47">
        <w:rPr>
          <w:rFonts w:eastAsia="Times New Roman"/>
          <w:noProof/>
          <w:lang w:eastAsia="en-GB"/>
        </w:rPr>
        <w:t>enforcement obligations as fewer companies would have to be checked</w:t>
      </w:r>
      <w:r w:rsidR="006023B0" w:rsidRPr="005A3F47">
        <w:rPr>
          <w:rFonts w:eastAsia="Times New Roman"/>
          <w:noProof/>
          <w:lang w:eastAsia="en-GB"/>
        </w:rPr>
        <w:t xml:space="preserve"> (see each option for details above)</w:t>
      </w:r>
      <w:r w:rsidR="007533B1" w:rsidRPr="005A3F47">
        <w:rPr>
          <w:noProof/>
        </w:rPr>
        <w:t>.</w:t>
      </w:r>
    </w:p>
    <w:p w14:paraId="1940AC82" w14:textId="4F311631" w:rsidR="00FF6A36" w:rsidRPr="005A3F47" w:rsidRDefault="00FF6A36" w:rsidP="00DE6B6A">
      <w:pPr>
        <w:pStyle w:val="Text1"/>
        <w:spacing w:before="240" w:after="120"/>
        <w:ind w:left="0"/>
        <w:rPr>
          <w:bCs/>
          <w:i/>
          <w:noProof/>
        </w:rPr>
      </w:pPr>
      <w:r w:rsidRPr="005A3F47">
        <w:rPr>
          <w:bCs/>
          <w:i/>
          <w:noProof/>
        </w:rPr>
        <w:t xml:space="preserve">Positive impact on the economy </w:t>
      </w:r>
    </w:p>
    <w:p w14:paraId="0BDD8034" w14:textId="5D34501C" w:rsidR="00026F87" w:rsidRPr="005A3F47" w:rsidRDefault="00C14F35" w:rsidP="003C7858">
      <w:pPr>
        <w:spacing w:after="120"/>
        <w:rPr>
          <w:rFonts w:eastAsia="Times New Roman"/>
          <w:noProof/>
          <w:lang w:eastAsia="en-GB"/>
        </w:rPr>
      </w:pPr>
      <w:r w:rsidRPr="005A3F47">
        <w:rPr>
          <w:noProof/>
          <w:lang w:eastAsia="en-GB"/>
        </w:rPr>
        <w:t>The</w:t>
      </w:r>
      <w:r w:rsidR="00026F87" w:rsidRPr="005A3F47">
        <w:rPr>
          <w:noProof/>
          <w:lang w:eastAsia="en-GB"/>
        </w:rPr>
        <w:t xml:space="preserve"> long-term </w:t>
      </w:r>
      <w:r w:rsidRPr="005A3F47">
        <w:rPr>
          <w:noProof/>
          <w:lang w:eastAsia="en-GB"/>
        </w:rPr>
        <w:t xml:space="preserve">macroeconomic </w:t>
      </w:r>
      <w:r w:rsidR="00026F87" w:rsidRPr="005A3F47">
        <w:rPr>
          <w:noProof/>
          <w:lang w:eastAsia="en-GB"/>
        </w:rPr>
        <w:t xml:space="preserve">effects </w:t>
      </w:r>
      <w:r w:rsidRPr="005A3F47">
        <w:rPr>
          <w:noProof/>
          <w:lang w:eastAsia="en-GB"/>
        </w:rPr>
        <w:t xml:space="preserve">will, </w:t>
      </w:r>
      <w:r w:rsidR="00636D4A" w:rsidRPr="005A3F47">
        <w:rPr>
          <w:noProof/>
          <w:lang w:eastAsia="en-GB"/>
        </w:rPr>
        <w:t>on the other hand</w:t>
      </w:r>
      <w:r w:rsidRPr="005A3F47">
        <w:rPr>
          <w:noProof/>
          <w:lang w:eastAsia="en-GB"/>
        </w:rPr>
        <w:t>,</w:t>
      </w:r>
      <w:r w:rsidR="00026F87" w:rsidRPr="005A3F47">
        <w:rPr>
          <w:noProof/>
          <w:lang w:eastAsia="en-GB"/>
        </w:rPr>
        <w:t xml:space="preserve"> go </w:t>
      </w:r>
      <w:r w:rsidR="00DC4895" w:rsidRPr="005A3F47">
        <w:rPr>
          <w:noProof/>
          <w:lang w:eastAsia="en-GB"/>
        </w:rPr>
        <w:t>far</w:t>
      </w:r>
      <w:r w:rsidR="00026F87" w:rsidRPr="005A3F47">
        <w:rPr>
          <w:noProof/>
          <w:lang w:eastAsia="en-GB"/>
        </w:rPr>
        <w:t xml:space="preserve"> beyond the </w:t>
      </w:r>
      <w:r w:rsidR="00DC4895" w:rsidRPr="005A3F47">
        <w:rPr>
          <w:noProof/>
          <w:lang w:eastAsia="en-GB"/>
        </w:rPr>
        <w:t>primary</w:t>
      </w:r>
      <w:r w:rsidR="00026F87" w:rsidRPr="005A3F47">
        <w:rPr>
          <w:noProof/>
          <w:lang w:eastAsia="en-GB"/>
        </w:rPr>
        <w:t xml:space="preserve"> savings of administrative costs from both a corporate taxpayer and tax administration point of view. </w:t>
      </w:r>
      <w:r w:rsidR="00042AC3" w:rsidRPr="005A3F47">
        <w:rPr>
          <w:noProof/>
          <w:lang w:eastAsia="en-GB"/>
        </w:rPr>
        <w:t>This conclusion is in</w:t>
      </w:r>
      <w:r w:rsidR="00026F87" w:rsidRPr="005A3F47">
        <w:rPr>
          <w:noProof/>
          <w:lang w:eastAsia="en-GB"/>
        </w:rPr>
        <w:t xml:space="preserve"> line with the economic rationale outlined in the context of tax exemptions for outbound payments (</w:t>
      </w:r>
      <w:r w:rsidR="00585D0B" w:rsidRPr="005A3F47">
        <w:rPr>
          <w:noProof/>
          <w:lang w:eastAsia="en-GB"/>
        </w:rPr>
        <w:t xml:space="preserve">see </w:t>
      </w:r>
      <w:r w:rsidR="00DD4FB2" w:rsidRPr="005A3F47">
        <w:rPr>
          <w:noProof/>
          <w:lang w:eastAsia="en-GB"/>
        </w:rPr>
        <w:t>S</w:t>
      </w:r>
      <w:r w:rsidR="00026F87" w:rsidRPr="005A3F47">
        <w:rPr>
          <w:noProof/>
          <w:lang w:eastAsia="en-GB"/>
        </w:rPr>
        <w:t xml:space="preserve">ection </w:t>
      </w:r>
      <w:hyperlink w:anchor="_Why_simplifying_taxation" w:history="1">
        <w:r w:rsidR="000B1A46" w:rsidRPr="005A3F47">
          <w:rPr>
            <w:noProof/>
          </w:rPr>
          <w:fldChar w:fldCharType="begin"/>
        </w:r>
        <w:r w:rsidR="000B1A46" w:rsidRPr="005A3F47">
          <w:rPr>
            <w:noProof/>
          </w:rPr>
          <w:instrText xml:space="preserve"> REF _Ref226463769 \r \h </w:instrText>
        </w:r>
        <w:r w:rsidR="005A3F47">
          <w:rPr>
            <w:noProof/>
          </w:rPr>
          <w:instrText xml:space="preserve"> \* MERGEFORMAT </w:instrText>
        </w:r>
        <w:r w:rsidR="000B1A46" w:rsidRPr="005A3F47">
          <w:rPr>
            <w:noProof/>
          </w:rPr>
        </w:r>
        <w:r w:rsidR="000B1A46" w:rsidRPr="005A3F47">
          <w:rPr>
            <w:noProof/>
          </w:rPr>
          <w:fldChar w:fldCharType="separate"/>
        </w:r>
        <w:r w:rsidR="00CF3380">
          <w:rPr>
            <w:noProof/>
          </w:rPr>
          <w:t>6.2.1.3</w:t>
        </w:r>
        <w:r w:rsidR="000B1A46" w:rsidRPr="005A3F47">
          <w:rPr>
            <w:noProof/>
          </w:rPr>
          <w:fldChar w:fldCharType="end"/>
        </w:r>
      </w:hyperlink>
      <w:r w:rsidR="00026F87" w:rsidRPr="005A3F47">
        <w:rPr>
          <w:noProof/>
          <w:lang w:eastAsia="en-GB"/>
        </w:rPr>
        <w:t xml:space="preserve">): </w:t>
      </w:r>
      <w:r w:rsidR="4E42C1CE" w:rsidRPr="005A3F47">
        <w:rPr>
          <w:noProof/>
          <w:lang w:eastAsia="en-GB"/>
        </w:rPr>
        <w:t>w</w:t>
      </w:r>
      <w:r w:rsidR="00026F87" w:rsidRPr="005A3F47">
        <w:rPr>
          <w:rFonts w:eastAsia="Times New Roman"/>
          <w:noProof/>
          <w:lang w:eastAsia="en-GB"/>
        </w:rPr>
        <w:t>hen businesses have clarity and predictability regarding tax obligations stemming from income of CFCs, they are more likely to invest abroad. Large MNEs would feel more encouraged to invest in the EU</w:t>
      </w:r>
      <w:r w:rsidR="00780F71" w:rsidRPr="005A3F47">
        <w:rPr>
          <w:rFonts w:eastAsia="Times New Roman"/>
          <w:noProof/>
          <w:lang w:eastAsia="en-GB"/>
        </w:rPr>
        <w:t>,</w:t>
      </w:r>
      <w:r w:rsidR="00026F87" w:rsidRPr="005A3F47">
        <w:rPr>
          <w:rFonts w:eastAsia="Times New Roman"/>
          <w:noProof/>
          <w:lang w:eastAsia="en-GB"/>
        </w:rPr>
        <w:t xml:space="preserve"> as this investment would not trigger additional CFC-related compliance obligations (Option A). </w:t>
      </w:r>
      <w:r w:rsidR="00C93630" w:rsidRPr="005A3F47">
        <w:rPr>
          <w:rFonts w:eastAsia="Times New Roman"/>
          <w:noProof/>
          <w:lang w:eastAsia="en-GB"/>
        </w:rPr>
        <w:t>Moreover, u</w:t>
      </w:r>
      <w:r w:rsidR="00026F87" w:rsidRPr="005A3F47">
        <w:rPr>
          <w:rFonts w:eastAsia="Times New Roman"/>
          <w:noProof/>
          <w:lang w:eastAsia="en-GB"/>
        </w:rPr>
        <w:t xml:space="preserve">nified EU-wide CFC rules that apply in all </w:t>
      </w:r>
      <w:r w:rsidR="143FBDA1" w:rsidRPr="005A3F47">
        <w:rPr>
          <w:rFonts w:eastAsia="Times New Roman"/>
          <w:noProof/>
          <w:lang w:eastAsia="en-GB"/>
        </w:rPr>
        <w:t>Member States</w:t>
      </w:r>
      <w:r w:rsidR="00026F87" w:rsidRPr="005A3F47">
        <w:rPr>
          <w:rFonts w:eastAsia="Times New Roman"/>
          <w:noProof/>
          <w:lang w:eastAsia="en-GB"/>
        </w:rPr>
        <w:t xml:space="preserve"> provide </w:t>
      </w:r>
      <w:r w:rsidR="11D568E6" w:rsidRPr="005A3F47">
        <w:rPr>
          <w:noProof/>
        </w:rPr>
        <w:t>businesses</w:t>
      </w:r>
      <w:r w:rsidR="00026F87" w:rsidRPr="005A3F47">
        <w:rPr>
          <w:rFonts w:eastAsia="Times New Roman"/>
          <w:noProof/>
          <w:lang w:eastAsia="en-GB"/>
        </w:rPr>
        <w:t xml:space="preserve"> with the certainty they need to make informed</w:t>
      </w:r>
      <w:r w:rsidR="00C93630" w:rsidRPr="005A3F47">
        <w:rPr>
          <w:rFonts w:eastAsia="Times New Roman"/>
          <w:noProof/>
          <w:lang w:eastAsia="en-GB"/>
        </w:rPr>
        <w:t>,</w:t>
      </w:r>
      <w:r w:rsidR="00026F87" w:rsidRPr="005A3F47">
        <w:rPr>
          <w:rFonts w:eastAsia="Times New Roman"/>
          <w:noProof/>
          <w:lang w:eastAsia="en-GB"/>
        </w:rPr>
        <w:t xml:space="preserve"> long-term financial decisions and level the playing field for potential investment in an EU country (Option B). As a result, the EU </w:t>
      </w:r>
      <w:r w:rsidR="006C3FDA" w:rsidRPr="005A3F47">
        <w:rPr>
          <w:rFonts w:eastAsia="Times New Roman"/>
          <w:noProof/>
          <w:lang w:eastAsia="en-GB"/>
        </w:rPr>
        <w:t>would</w:t>
      </w:r>
      <w:r w:rsidR="00026F87" w:rsidRPr="005A3F47">
        <w:rPr>
          <w:rFonts w:eastAsia="Times New Roman"/>
          <w:noProof/>
          <w:lang w:eastAsia="en-GB"/>
        </w:rPr>
        <w:t xml:space="preserve"> become a more attractive place to invest.</w:t>
      </w:r>
    </w:p>
    <w:p w14:paraId="3CF7ECB1" w14:textId="00ABE0D5" w:rsidR="00BF1694" w:rsidRPr="005A3F47" w:rsidRDefault="00BF1694" w:rsidP="00DE6B6A">
      <w:pPr>
        <w:pStyle w:val="Text1"/>
        <w:spacing w:before="240" w:after="120"/>
        <w:ind w:left="0"/>
        <w:rPr>
          <w:i/>
          <w:iCs/>
          <w:noProof/>
          <w:lang w:eastAsia="en-GB"/>
        </w:rPr>
      </w:pPr>
      <w:r w:rsidRPr="005A3F47">
        <w:rPr>
          <w:i/>
          <w:noProof/>
          <w:lang w:eastAsia="en-GB"/>
        </w:rPr>
        <w:t xml:space="preserve">Impact in terms of </w:t>
      </w:r>
      <w:r w:rsidR="002C4F95" w:rsidRPr="005A3F47">
        <w:rPr>
          <w:i/>
          <w:iCs/>
          <w:noProof/>
          <w:lang w:eastAsia="en-GB"/>
        </w:rPr>
        <w:t xml:space="preserve">maintaining </w:t>
      </w:r>
      <w:r w:rsidRPr="005A3F47">
        <w:rPr>
          <w:i/>
          <w:iCs/>
          <w:noProof/>
          <w:lang w:eastAsia="en-GB"/>
        </w:rPr>
        <w:t>high tax standards</w:t>
      </w:r>
    </w:p>
    <w:p w14:paraId="2C2AAC0F" w14:textId="0A00D4C9" w:rsidR="004659E7" w:rsidRPr="005A3F47" w:rsidRDefault="00BF1694" w:rsidP="00B157BC">
      <w:pPr>
        <w:pStyle w:val="Text2"/>
        <w:spacing w:after="120"/>
        <w:ind w:left="0"/>
        <w:rPr>
          <w:noProof/>
        </w:rPr>
      </w:pPr>
      <w:r w:rsidRPr="005A3F47">
        <w:rPr>
          <w:noProof/>
        </w:rPr>
        <w:t xml:space="preserve">At the same time, it is important to note that removing the CFC rules for either Pillar 2 companies or SMEs (options 2A and 3 above) would not compromise the standard in the fight against tax avoidance and evasion, </w:t>
      </w:r>
      <w:r w:rsidR="00181673" w:rsidRPr="005A3F47">
        <w:rPr>
          <w:noProof/>
        </w:rPr>
        <w:t xml:space="preserve">as </w:t>
      </w:r>
      <w:r w:rsidRPr="005A3F47">
        <w:rPr>
          <w:noProof/>
        </w:rPr>
        <w:t>objectively sought under the ATAD. As previously noted, information as to the number of times CFC rules are applied</w:t>
      </w:r>
      <w:r w:rsidR="00181673" w:rsidRPr="005A3F47">
        <w:rPr>
          <w:noProof/>
        </w:rPr>
        <w:t>,</w:t>
      </w:r>
      <w:r w:rsidRPr="005A3F47">
        <w:rPr>
          <w:noProof/>
        </w:rPr>
        <w:t xml:space="preserve"> across </w:t>
      </w:r>
      <w:r w:rsidR="00272EBA" w:rsidRPr="005A3F47">
        <w:rPr>
          <w:noProof/>
        </w:rPr>
        <w:t xml:space="preserve">which </w:t>
      </w:r>
      <w:r w:rsidRPr="005A3F47">
        <w:rPr>
          <w:noProof/>
        </w:rPr>
        <w:t xml:space="preserve">EU jurisdictions and to which </w:t>
      </w:r>
      <w:r w:rsidR="004271B2" w:rsidRPr="005A3F47">
        <w:rPr>
          <w:noProof/>
        </w:rPr>
        <w:t xml:space="preserve">specific </w:t>
      </w:r>
      <w:r w:rsidRPr="005A3F47">
        <w:rPr>
          <w:noProof/>
        </w:rPr>
        <w:t xml:space="preserve">companies is not available. However, when it comes to option 2A, the Pillar 2 </w:t>
      </w:r>
      <w:r w:rsidR="00652692" w:rsidRPr="005A3F47">
        <w:rPr>
          <w:noProof/>
        </w:rPr>
        <w:t>Directive</w:t>
      </w:r>
      <w:r w:rsidRPr="005A3F47">
        <w:rPr>
          <w:noProof/>
        </w:rPr>
        <w:t xml:space="preserve"> enact</w:t>
      </w:r>
      <w:r w:rsidR="00652692" w:rsidRPr="005A3F47">
        <w:rPr>
          <w:noProof/>
        </w:rPr>
        <w:t>s</w:t>
      </w:r>
      <w:r w:rsidRPr="005A3F47">
        <w:rPr>
          <w:noProof/>
        </w:rPr>
        <w:t xml:space="preserve"> </w:t>
      </w:r>
      <w:r w:rsidR="00D70CD3" w:rsidRPr="005A3F47">
        <w:rPr>
          <w:noProof/>
        </w:rPr>
        <w:t>rules</w:t>
      </w:r>
      <w:r w:rsidR="00181673" w:rsidRPr="005A3F47">
        <w:rPr>
          <w:noProof/>
        </w:rPr>
        <w:t xml:space="preserve"> that ultimately ensure that companies pay</w:t>
      </w:r>
      <w:r w:rsidR="00D70CD3" w:rsidRPr="005A3F47">
        <w:rPr>
          <w:noProof/>
        </w:rPr>
        <w:t xml:space="preserve"> a real effective tax rate a</w:t>
      </w:r>
      <w:r w:rsidR="0015106F" w:rsidRPr="005A3F47">
        <w:rPr>
          <w:noProof/>
        </w:rPr>
        <w:t xml:space="preserve">s well </w:t>
      </w:r>
      <w:r w:rsidR="00272EBA" w:rsidRPr="005A3F47">
        <w:rPr>
          <w:noProof/>
        </w:rPr>
        <w:t>as introduces</w:t>
      </w:r>
      <w:r w:rsidR="00D70CD3" w:rsidRPr="005A3F47">
        <w:rPr>
          <w:noProof/>
        </w:rPr>
        <w:t xml:space="preserve"> safeguards</w:t>
      </w:r>
      <w:r w:rsidR="00652692" w:rsidRPr="005A3F47">
        <w:rPr>
          <w:noProof/>
        </w:rPr>
        <w:t xml:space="preserve"> that limit risks associated to how that effective rate is achieved.</w:t>
      </w:r>
      <w:r w:rsidR="00D70CD3" w:rsidRPr="005A3F47">
        <w:rPr>
          <w:noProof/>
        </w:rPr>
        <w:t xml:space="preserve"> </w:t>
      </w:r>
      <w:r w:rsidR="00194F19" w:rsidRPr="005A3F47">
        <w:rPr>
          <w:noProof/>
        </w:rPr>
        <w:t>W</w:t>
      </w:r>
      <w:r w:rsidR="00181673" w:rsidRPr="005A3F47">
        <w:rPr>
          <w:noProof/>
        </w:rPr>
        <w:t>hen it comes to option 3</w:t>
      </w:r>
      <w:r w:rsidR="00194F19" w:rsidRPr="005A3F47">
        <w:rPr>
          <w:noProof/>
        </w:rPr>
        <w:t xml:space="preserve">, exclusion of </w:t>
      </w:r>
      <w:r w:rsidR="00181673" w:rsidRPr="005A3F47">
        <w:rPr>
          <w:noProof/>
        </w:rPr>
        <w:t>SMEs</w:t>
      </w:r>
      <w:r w:rsidR="00194F19" w:rsidRPr="005A3F47">
        <w:rPr>
          <w:noProof/>
        </w:rPr>
        <w:t>,</w:t>
      </w:r>
      <w:r w:rsidR="00181673" w:rsidRPr="005A3F47">
        <w:rPr>
          <w:noProof/>
        </w:rPr>
        <w:t xml:space="preserve"> </w:t>
      </w:r>
      <w:r w:rsidRPr="005A3F47">
        <w:rPr>
          <w:noProof/>
        </w:rPr>
        <w:t xml:space="preserve">anecdotal evidence from several Member States indicates that administrations have had almost no CFC cases related to SMEs in the </w:t>
      </w:r>
      <w:r w:rsidR="00377C24" w:rsidRPr="005A3F47">
        <w:rPr>
          <w:noProof/>
        </w:rPr>
        <w:t xml:space="preserve">nearly </w:t>
      </w:r>
      <w:r w:rsidRPr="005A3F47">
        <w:rPr>
          <w:noProof/>
        </w:rPr>
        <w:t xml:space="preserve">ten years since ATAD started to apply. </w:t>
      </w:r>
      <w:r w:rsidR="00C12B76" w:rsidRPr="005A3F47">
        <w:rPr>
          <w:noProof/>
        </w:rPr>
        <w:t>This indicates that these rules</w:t>
      </w:r>
      <w:r w:rsidRPr="005A3F47">
        <w:rPr>
          <w:noProof/>
        </w:rPr>
        <w:t xml:space="preserve"> are rarely triggered</w:t>
      </w:r>
      <w:r w:rsidR="00C12B76" w:rsidRPr="005A3F47">
        <w:rPr>
          <w:noProof/>
        </w:rPr>
        <w:t xml:space="preserve"> for SMEs,</w:t>
      </w:r>
      <w:r w:rsidR="004676ED" w:rsidRPr="005A3F47">
        <w:rPr>
          <w:noProof/>
        </w:rPr>
        <w:t xml:space="preserve"> possibly because these </w:t>
      </w:r>
      <w:r w:rsidR="00C12B76" w:rsidRPr="005A3F47">
        <w:rPr>
          <w:noProof/>
        </w:rPr>
        <w:t>companies</w:t>
      </w:r>
      <w:r w:rsidR="00A47A03" w:rsidRPr="005A3F47">
        <w:rPr>
          <w:noProof/>
        </w:rPr>
        <w:t>’</w:t>
      </w:r>
      <w:r w:rsidR="004676ED" w:rsidRPr="005A3F47">
        <w:rPr>
          <w:noProof/>
        </w:rPr>
        <w:t xml:space="preserve"> operating structures are less </w:t>
      </w:r>
      <w:r w:rsidR="00CE2B43" w:rsidRPr="005A3F47">
        <w:rPr>
          <w:noProof/>
        </w:rPr>
        <w:t xml:space="preserve">apt to expand abroad </w:t>
      </w:r>
      <w:r w:rsidR="004C3921" w:rsidRPr="005A3F47">
        <w:rPr>
          <w:noProof/>
        </w:rPr>
        <w:t xml:space="preserve">and </w:t>
      </w:r>
      <w:r w:rsidR="00DB0DEC" w:rsidRPr="005A3F47">
        <w:rPr>
          <w:noProof/>
        </w:rPr>
        <w:t xml:space="preserve">to </w:t>
      </w:r>
      <w:r w:rsidR="00B05724" w:rsidRPr="005A3F47">
        <w:rPr>
          <w:noProof/>
        </w:rPr>
        <w:t>en</w:t>
      </w:r>
      <w:r w:rsidR="00DB0DEC" w:rsidRPr="005A3F47">
        <w:rPr>
          <w:noProof/>
        </w:rPr>
        <w:t>gage in aggressive tax planning.</w:t>
      </w:r>
      <w:r w:rsidR="00B178CB" w:rsidRPr="005A3F47">
        <w:rPr>
          <w:noProof/>
        </w:rPr>
        <w:t xml:space="preserve"> CFCs and have no or little cross-border activity. Their exclusion</w:t>
      </w:r>
      <w:r w:rsidRPr="005A3F47">
        <w:rPr>
          <w:noProof/>
        </w:rPr>
        <w:t xml:space="preserve"> would thus not hinder anti-avoidance and evasion or aggressive tax planning efforts</w:t>
      </w:r>
      <w:r w:rsidR="00961939" w:rsidRPr="005A3F47">
        <w:rPr>
          <w:noProof/>
        </w:rPr>
        <w:t>. Rather</w:t>
      </w:r>
      <w:r w:rsidRPr="005A3F47">
        <w:rPr>
          <w:noProof/>
        </w:rPr>
        <w:t xml:space="preserve">, </w:t>
      </w:r>
      <w:r w:rsidR="00961939" w:rsidRPr="005A3F47">
        <w:rPr>
          <w:noProof/>
        </w:rPr>
        <w:t>it would</w:t>
      </w:r>
      <w:r w:rsidRPr="005A3F47">
        <w:rPr>
          <w:noProof/>
        </w:rPr>
        <w:t xml:space="preserve"> bring significant cost and resource savings, and thus benefits, to both companies and tax administrations</w:t>
      </w:r>
    </w:p>
    <w:p w14:paraId="617509C0" w14:textId="5A4D50D8" w:rsidR="00492764" w:rsidRPr="005A3F47" w:rsidRDefault="00C3326F" w:rsidP="00DE6B6A">
      <w:pPr>
        <w:pStyle w:val="Heading3"/>
        <w:ind w:firstLine="720"/>
        <w:rPr>
          <w:noProof/>
        </w:rPr>
      </w:pPr>
      <w:bookmarkStart w:id="168" w:name="_Ref226463284"/>
      <w:bookmarkStart w:id="169" w:name="_Toc226466832"/>
      <w:bookmarkStart w:id="170" w:name="_Toc226467193"/>
      <w:bookmarkStart w:id="171" w:name="_Toc226467293"/>
      <w:bookmarkStart w:id="172" w:name="_Toc226467512"/>
      <w:r w:rsidRPr="005A3F47">
        <w:rPr>
          <w:noProof/>
        </w:rPr>
        <w:t xml:space="preserve">6.2.3. </w:t>
      </w:r>
      <w:r w:rsidR="00492764" w:rsidRPr="005A3F47">
        <w:rPr>
          <w:noProof/>
        </w:rPr>
        <w:t>Immediate expensing of assets related to research and development (R&amp;D)</w:t>
      </w:r>
      <w:bookmarkEnd w:id="168"/>
      <w:bookmarkEnd w:id="169"/>
      <w:bookmarkEnd w:id="170"/>
      <w:bookmarkEnd w:id="171"/>
      <w:bookmarkEnd w:id="172"/>
    </w:p>
    <w:p w14:paraId="4CA6B4CE" w14:textId="77777777" w:rsidR="008756C9" w:rsidRPr="005A3F47" w:rsidRDefault="008756C9" w:rsidP="00DE6B6A">
      <w:pPr>
        <w:pStyle w:val="Text1"/>
        <w:spacing w:before="240" w:after="120"/>
        <w:ind w:left="0"/>
        <w:rPr>
          <w:i/>
          <w:noProof/>
          <w:lang w:eastAsia="en-GB"/>
        </w:rPr>
      </w:pPr>
      <w:r w:rsidRPr="005A3F47">
        <w:rPr>
          <w:i/>
          <w:noProof/>
          <w:lang w:eastAsia="en-GB"/>
        </w:rPr>
        <w:t>Impact on companies</w:t>
      </w:r>
    </w:p>
    <w:p w14:paraId="0191A480" w14:textId="0E4135B1" w:rsidR="00041952" w:rsidRPr="005A3F47" w:rsidRDefault="009824FC" w:rsidP="00F83398">
      <w:pPr>
        <w:pStyle w:val="Text2"/>
        <w:spacing w:before="120" w:after="120"/>
        <w:ind w:left="0"/>
        <w:rPr>
          <w:noProof/>
        </w:rPr>
      </w:pPr>
      <w:r w:rsidRPr="005A3F47">
        <w:rPr>
          <w:noProof/>
        </w:rPr>
        <w:t>As a first consideration, the</w:t>
      </w:r>
      <w:r w:rsidR="00184BC8" w:rsidRPr="005A3F47">
        <w:rPr>
          <w:noProof/>
        </w:rPr>
        <w:t xml:space="preserve"> </w:t>
      </w:r>
      <w:r w:rsidRPr="005A3F47">
        <w:rPr>
          <w:noProof/>
        </w:rPr>
        <w:t>possibility</w:t>
      </w:r>
      <w:r w:rsidR="00184BC8" w:rsidRPr="005A3F47">
        <w:rPr>
          <w:noProof/>
        </w:rPr>
        <w:t xml:space="preserve"> to immediately expense R&amp;D</w:t>
      </w:r>
      <w:r w:rsidR="00C3058B" w:rsidRPr="005A3F47">
        <w:rPr>
          <w:noProof/>
        </w:rPr>
        <w:t xml:space="preserve"> related </w:t>
      </w:r>
      <w:r w:rsidR="00395F91" w:rsidRPr="005A3F47">
        <w:rPr>
          <w:noProof/>
        </w:rPr>
        <w:t xml:space="preserve">tangible </w:t>
      </w:r>
      <w:r w:rsidR="00C3058B" w:rsidRPr="005A3F47">
        <w:rPr>
          <w:noProof/>
        </w:rPr>
        <w:t xml:space="preserve">assets </w:t>
      </w:r>
      <w:r w:rsidR="00041952" w:rsidRPr="005A3F47">
        <w:rPr>
          <w:noProof/>
        </w:rPr>
        <w:t xml:space="preserve">simplifies the accounting and tax compliance process. Traditionally, R&amp;D costs may need to be capitalised and </w:t>
      </w:r>
      <w:r w:rsidR="00373CDA" w:rsidRPr="005A3F47">
        <w:rPr>
          <w:noProof/>
        </w:rPr>
        <w:t>depreciated</w:t>
      </w:r>
      <w:r w:rsidR="00041952" w:rsidRPr="005A3F47">
        <w:rPr>
          <w:noProof/>
        </w:rPr>
        <w:t xml:space="preserve"> over a number of years, which involves calculations and ongoing record-keeping. Immediate expensing allows </w:t>
      </w:r>
      <w:r w:rsidR="00373CDA" w:rsidRPr="005A3F47">
        <w:rPr>
          <w:noProof/>
        </w:rPr>
        <w:t>taxpayers</w:t>
      </w:r>
      <w:r w:rsidR="00041952" w:rsidRPr="005A3F47">
        <w:rPr>
          <w:noProof/>
        </w:rPr>
        <w:t xml:space="preserve"> to deduct these costs </w:t>
      </w:r>
      <w:r w:rsidR="0028137D" w:rsidRPr="005A3F47">
        <w:rPr>
          <w:noProof/>
        </w:rPr>
        <w:t>one-off</w:t>
      </w:r>
      <w:r w:rsidR="00266B8B" w:rsidRPr="005A3F47">
        <w:rPr>
          <w:noProof/>
        </w:rPr>
        <w:t>,</w:t>
      </w:r>
      <w:r w:rsidR="00041952" w:rsidRPr="005A3F47">
        <w:rPr>
          <w:noProof/>
        </w:rPr>
        <w:t xml:space="preserve"> in the year </w:t>
      </w:r>
      <w:r w:rsidR="00A57B69" w:rsidRPr="005A3F47">
        <w:rPr>
          <w:noProof/>
        </w:rPr>
        <w:t>that these</w:t>
      </w:r>
      <w:r w:rsidR="00041952" w:rsidRPr="005A3F47">
        <w:rPr>
          <w:noProof/>
        </w:rPr>
        <w:t xml:space="preserve"> are incurred, streamlining the accounting process. This </w:t>
      </w:r>
      <w:r w:rsidR="002E6BCC" w:rsidRPr="005A3F47">
        <w:rPr>
          <w:noProof/>
        </w:rPr>
        <w:t xml:space="preserve">relief </w:t>
      </w:r>
      <w:r w:rsidR="00144F85" w:rsidRPr="005A3F47">
        <w:rPr>
          <w:noProof/>
        </w:rPr>
        <w:t>from</w:t>
      </w:r>
      <w:r w:rsidR="00B2697B" w:rsidRPr="005A3F47">
        <w:rPr>
          <w:noProof/>
        </w:rPr>
        <w:t xml:space="preserve"> </w:t>
      </w:r>
      <w:r w:rsidR="00AF10AE" w:rsidRPr="005A3F47">
        <w:rPr>
          <w:noProof/>
        </w:rPr>
        <w:t>recurrent compliance</w:t>
      </w:r>
      <w:r w:rsidR="00763FF6" w:rsidRPr="005A3F47">
        <w:rPr>
          <w:noProof/>
        </w:rPr>
        <w:t xml:space="preserve"> </w:t>
      </w:r>
      <w:r w:rsidR="00054019" w:rsidRPr="005A3F47">
        <w:rPr>
          <w:noProof/>
        </w:rPr>
        <w:t xml:space="preserve">actions </w:t>
      </w:r>
      <w:r w:rsidR="00041952" w:rsidRPr="005A3F47">
        <w:rPr>
          <w:noProof/>
        </w:rPr>
        <w:t xml:space="preserve">can result in lower administrative and compliance costs, enabling </w:t>
      </w:r>
      <w:r w:rsidR="00A57B69" w:rsidRPr="005A3F47">
        <w:rPr>
          <w:noProof/>
        </w:rPr>
        <w:t>taxpayers</w:t>
      </w:r>
      <w:r w:rsidR="00041952" w:rsidRPr="005A3F47">
        <w:rPr>
          <w:noProof/>
        </w:rPr>
        <w:t xml:space="preserve"> to allocate resources more efficiently.</w:t>
      </w:r>
      <w:r w:rsidR="00B30EA1" w:rsidRPr="005A3F47">
        <w:rPr>
          <w:noProof/>
        </w:rPr>
        <w:t xml:space="preserve"> In particular, immediate expensing aligns the tax treatment of companies’ actual expenditure to the point in time where companies actually take the risk to invest. Immediate expensing thus allows more efficient sharing of risks with the government.</w:t>
      </w:r>
      <w:r w:rsidR="00B30EA1" w:rsidRPr="005A3F47">
        <w:rPr>
          <w:rStyle w:val="FootnoteReference"/>
          <w:noProof/>
        </w:rPr>
        <w:footnoteReference w:id="98"/>
      </w:r>
      <w:r w:rsidR="00B30EA1" w:rsidRPr="005A3F47">
        <w:rPr>
          <w:noProof/>
        </w:rPr>
        <w:t xml:space="preserve"> In other words, taxation will become less distortive with respect to companies’ decision to accept risks when investing. </w:t>
      </w:r>
    </w:p>
    <w:p w14:paraId="4B606CE9" w14:textId="3C0D1292" w:rsidR="00041952" w:rsidRPr="005A3F47" w:rsidRDefault="00041952" w:rsidP="00F83398">
      <w:pPr>
        <w:pStyle w:val="Text2"/>
        <w:spacing w:before="120" w:after="120"/>
        <w:ind w:left="0"/>
        <w:rPr>
          <w:noProof/>
        </w:rPr>
      </w:pPr>
      <w:r w:rsidRPr="005A3F47">
        <w:rPr>
          <w:noProof/>
        </w:rPr>
        <w:t xml:space="preserve">The measure would </w:t>
      </w:r>
      <w:r w:rsidR="003B7C06" w:rsidRPr="005A3F47">
        <w:rPr>
          <w:noProof/>
        </w:rPr>
        <w:t xml:space="preserve">benefit </w:t>
      </w:r>
      <w:r w:rsidRPr="005A3F47">
        <w:rPr>
          <w:noProof/>
        </w:rPr>
        <w:t xml:space="preserve">all companies in the EU, also SMEs. </w:t>
      </w:r>
      <w:r w:rsidR="00E10C93" w:rsidRPr="005A3F47">
        <w:rPr>
          <w:noProof/>
        </w:rPr>
        <w:t xml:space="preserve">Commission </w:t>
      </w:r>
      <w:r w:rsidRPr="005A3F47">
        <w:rPr>
          <w:noProof/>
        </w:rPr>
        <w:t>analysis</w:t>
      </w:r>
      <w:r w:rsidR="004E1A7A" w:rsidRPr="005A3F47">
        <w:rPr>
          <w:noProof/>
        </w:rPr>
        <w:t xml:space="preserve"> </w:t>
      </w:r>
      <w:r w:rsidR="00BC1C70" w:rsidRPr="005A3F47">
        <w:rPr>
          <w:rStyle w:val="CommentReference"/>
          <w:noProof/>
          <w:sz w:val="24"/>
          <w:szCs w:val="24"/>
        </w:rPr>
        <w:t xml:space="preserve">revealed </w:t>
      </w:r>
      <w:r w:rsidRPr="005A3F47">
        <w:rPr>
          <w:noProof/>
        </w:rPr>
        <w:t xml:space="preserve">that </w:t>
      </w:r>
      <w:r w:rsidR="006D64CF" w:rsidRPr="005A3F47">
        <w:rPr>
          <w:noProof/>
        </w:rPr>
        <w:t>CIT-related</w:t>
      </w:r>
      <w:r w:rsidRPr="005A3F47">
        <w:rPr>
          <w:noProof/>
        </w:rPr>
        <w:t xml:space="preserve"> compliance costs in the EU could amount to about EUR 53 billion, of which EUR 48 billion could fall on SMEs.</w:t>
      </w:r>
      <w:r w:rsidRPr="005A3F47">
        <w:rPr>
          <w:rStyle w:val="FootnoteReference"/>
          <w:noProof/>
        </w:rPr>
        <w:footnoteReference w:id="99"/>
      </w:r>
      <w:r w:rsidRPr="005A3F47">
        <w:rPr>
          <w:noProof/>
        </w:rPr>
        <w:t xml:space="preserve"> Total compliance costs </w:t>
      </w:r>
      <w:r w:rsidR="007526DE" w:rsidRPr="005A3F47">
        <w:rPr>
          <w:noProof/>
        </w:rPr>
        <w:t>are usually linked to</w:t>
      </w:r>
      <w:r w:rsidRPr="005A3F47">
        <w:rPr>
          <w:noProof/>
        </w:rPr>
        <w:t xml:space="preserve"> different activities, and there is no empirical information as to what share of total compliance costs could fall on calculations related to tax depreciation, especially not depreciation in the context of R&amp;D. </w:t>
      </w:r>
      <w:r w:rsidR="00A55843" w:rsidRPr="005A3F47">
        <w:rPr>
          <w:noProof/>
        </w:rPr>
        <w:t xml:space="preserve">In the absence of </w:t>
      </w:r>
      <w:r w:rsidR="002243C0" w:rsidRPr="005A3F47">
        <w:rPr>
          <w:noProof/>
        </w:rPr>
        <w:t xml:space="preserve">statistical information, </w:t>
      </w:r>
      <w:r w:rsidR="00C57BBE" w:rsidRPr="005A3F47">
        <w:rPr>
          <w:noProof/>
        </w:rPr>
        <w:t xml:space="preserve">a conservative </w:t>
      </w:r>
      <w:r w:rsidR="00683BDE" w:rsidRPr="005A3F47">
        <w:rPr>
          <w:noProof/>
        </w:rPr>
        <w:t xml:space="preserve">informed </w:t>
      </w:r>
      <w:r w:rsidR="00C57BBE" w:rsidRPr="005A3F47">
        <w:rPr>
          <w:noProof/>
        </w:rPr>
        <w:t xml:space="preserve">assumption </w:t>
      </w:r>
      <w:r w:rsidR="009050C6" w:rsidRPr="005A3F47">
        <w:rPr>
          <w:noProof/>
        </w:rPr>
        <w:t xml:space="preserve">is taken </w:t>
      </w:r>
      <w:r w:rsidR="008641D5" w:rsidRPr="005A3F47">
        <w:rPr>
          <w:noProof/>
        </w:rPr>
        <w:t>(</w:t>
      </w:r>
      <w:r w:rsidR="00C57BBE" w:rsidRPr="005A3F47">
        <w:rPr>
          <w:noProof/>
        </w:rPr>
        <w:t xml:space="preserve">given the </w:t>
      </w:r>
      <w:r w:rsidR="008641D5" w:rsidRPr="005A3F47">
        <w:rPr>
          <w:noProof/>
        </w:rPr>
        <w:t xml:space="preserve">likely </w:t>
      </w:r>
      <w:r w:rsidR="00937935" w:rsidRPr="005A3F47">
        <w:rPr>
          <w:noProof/>
        </w:rPr>
        <w:t>relative ease of a change in procedures</w:t>
      </w:r>
      <w:r w:rsidR="008641D5" w:rsidRPr="005A3F47">
        <w:rPr>
          <w:noProof/>
        </w:rPr>
        <w:t>)</w:t>
      </w:r>
      <w:r w:rsidR="00937935" w:rsidRPr="005A3F47">
        <w:rPr>
          <w:noProof/>
        </w:rPr>
        <w:t xml:space="preserve"> </w:t>
      </w:r>
      <w:r w:rsidR="00177906" w:rsidRPr="00266412">
        <w:rPr>
          <w:noProof/>
        </w:rPr>
        <w:t>which is based on the relative importance of R&amp;D-related in total costs</w:t>
      </w:r>
      <w:r w:rsidR="0083154A" w:rsidRPr="00266412">
        <w:rPr>
          <w:noProof/>
        </w:rPr>
        <w:t xml:space="preserve"> as observed in the firm-database </w:t>
      </w:r>
      <w:r w:rsidR="0083154A" w:rsidRPr="00266412">
        <w:rPr>
          <w:i/>
          <w:noProof/>
        </w:rPr>
        <w:t>Orbis</w:t>
      </w:r>
      <w:r w:rsidR="009F4764" w:rsidRPr="00266412">
        <w:rPr>
          <w:noProof/>
        </w:rPr>
        <w:t>.</w:t>
      </w:r>
      <w:r w:rsidR="00CC5AC9" w:rsidRPr="00266412">
        <w:rPr>
          <w:rStyle w:val="FootnoteReference"/>
          <w:noProof/>
        </w:rPr>
        <w:footnoteReference w:id="100"/>
      </w:r>
      <w:r w:rsidR="00CC5AC9" w:rsidRPr="005A3F47">
        <w:rPr>
          <w:noProof/>
        </w:rPr>
        <w:t xml:space="preserve"> </w:t>
      </w:r>
      <w:r w:rsidR="009F4764" w:rsidRPr="005A3F47">
        <w:rPr>
          <w:noProof/>
        </w:rPr>
        <w:t>It is assumed that</w:t>
      </w:r>
      <w:r w:rsidR="00177906" w:rsidRPr="005A3F47">
        <w:rPr>
          <w:noProof/>
        </w:rPr>
        <w:t xml:space="preserve"> </w:t>
      </w:r>
      <w:r w:rsidRPr="005A3F47">
        <w:rPr>
          <w:noProof/>
        </w:rPr>
        <w:t>0.5% of total CIT compliance costs</w:t>
      </w:r>
      <w:r w:rsidR="00D07806" w:rsidRPr="005A3F47">
        <w:rPr>
          <w:noProof/>
        </w:rPr>
        <w:t xml:space="preserve"> </w:t>
      </w:r>
      <w:r w:rsidR="001140B3" w:rsidRPr="005A3F47">
        <w:rPr>
          <w:noProof/>
        </w:rPr>
        <w:t xml:space="preserve">could be saved. </w:t>
      </w:r>
      <w:r w:rsidR="00946F94" w:rsidRPr="005A3F47">
        <w:rPr>
          <w:noProof/>
        </w:rPr>
        <w:t xml:space="preserve">If so, </w:t>
      </w:r>
      <w:r w:rsidRPr="005A3F47">
        <w:rPr>
          <w:noProof/>
        </w:rPr>
        <w:t>savings</w:t>
      </w:r>
      <w:r w:rsidR="00864057" w:rsidRPr="005A3F47">
        <w:rPr>
          <w:noProof/>
        </w:rPr>
        <w:t xml:space="preserve"> </w:t>
      </w:r>
      <w:r w:rsidRPr="005A3F47">
        <w:rPr>
          <w:noProof/>
        </w:rPr>
        <w:t>would amount to</w:t>
      </w:r>
      <w:r w:rsidR="00394B3D" w:rsidRPr="005A3F47">
        <w:rPr>
          <w:noProof/>
        </w:rPr>
        <w:t xml:space="preserve"> around EUR 265 million (≈</w:t>
      </w:r>
      <w:r w:rsidR="003149A0" w:rsidRPr="005A3F47">
        <w:rPr>
          <w:noProof/>
        </w:rPr>
        <w:t xml:space="preserve"> </w:t>
      </w:r>
      <w:r w:rsidRPr="005A3F47">
        <w:rPr>
          <w:noProof/>
        </w:rPr>
        <w:t>EUR 53 billion * 0.5%</w:t>
      </w:r>
      <w:r w:rsidR="00394B3D" w:rsidRPr="005A3F47">
        <w:rPr>
          <w:noProof/>
        </w:rPr>
        <w:t>)</w:t>
      </w:r>
      <w:r w:rsidR="00F067C0" w:rsidRPr="005A3F47">
        <w:rPr>
          <w:noProof/>
        </w:rPr>
        <w:t>.</w:t>
      </w:r>
    </w:p>
    <w:p w14:paraId="30142667" w14:textId="5AFC9819" w:rsidR="008756C9" w:rsidRPr="005A3F47" w:rsidRDefault="008756C9" w:rsidP="00DE6B6A">
      <w:pPr>
        <w:pStyle w:val="Text1"/>
        <w:spacing w:before="240" w:after="120"/>
        <w:ind w:left="0"/>
        <w:rPr>
          <w:i/>
          <w:noProof/>
        </w:rPr>
      </w:pPr>
      <w:r w:rsidRPr="005A3F47">
        <w:rPr>
          <w:i/>
          <w:noProof/>
          <w:lang w:eastAsia="en-GB"/>
        </w:rPr>
        <w:t>Impact on the eco</w:t>
      </w:r>
      <w:r w:rsidRPr="005A3F47">
        <w:rPr>
          <w:bCs/>
          <w:i/>
          <w:noProof/>
        </w:rPr>
        <w:t>nomy</w:t>
      </w:r>
      <w:r w:rsidR="007A7934" w:rsidRPr="005A3F47">
        <w:rPr>
          <w:bCs/>
          <w:i/>
          <w:noProof/>
        </w:rPr>
        <w:t xml:space="preserve"> and public finances </w:t>
      </w:r>
    </w:p>
    <w:p w14:paraId="593C20EB" w14:textId="67265D6F" w:rsidR="00772344" w:rsidRPr="005A3F47" w:rsidRDefault="00772344" w:rsidP="003B1FD5">
      <w:pPr>
        <w:pStyle w:val="Text2"/>
        <w:ind w:left="0"/>
        <w:rPr>
          <w:noProof/>
        </w:rPr>
      </w:pPr>
      <w:r w:rsidRPr="005A3F47">
        <w:rPr>
          <w:noProof/>
        </w:rPr>
        <w:t>A</w:t>
      </w:r>
      <w:r w:rsidR="000500A5" w:rsidRPr="005A3F47">
        <w:rPr>
          <w:noProof/>
        </w:rPr>
        <w:t>llow</w:t>
      </w:r>
      <w:r w:rsidRPr="005A3F47">
        <w:rPr>
          <w:noProof/>
        </w:rPr>
        <w:t>ing</w:t>
      </w:r>
      <w:r w:rsidR="00492764" w:rsidRPr="005A3F47">
        <w:rPr>
          <w:noProof/>
        </w:rPr>
        <w:t xml:space="preserve"> businesses to fully deduct the cost of qualifying R&amp;D-related tangible assets in the year </w:t>
      </w:r>
      <w:r w:rsidR="001C2A80" w:rsidRPr="005A3F47">
        <w:rPr>
          <w:noProof/>
        </w:rPr>
        <w:t xml:space="preserve">that </w:t>
      </w:r>
      <w:r w:rsidR="00492764" w:rsidRPr="005A3F47">
        <w:rPr>
          <w:noProof/>
        </w:rPr>
        <w:t>the investment is made, rather than depreciating the costs over time</w:t>
      </w:r>
      <w:r w:rsidRPr="005A3F47">
        <w:rPr>
          <w:noProof/>
        </w:rPr>
        <w:t>,</w:t>
      </w:r>
      <w:r w:rsidR="00E03E90" w:rsidRPr="005A3F47">
        <w:rPr>
          <w:noProof/>
        </w:rPr>
        <w:t xml:space="preserve"> is a matter of fairness as it allows deducting expenses when they actually happen.</w:t>
      </w:r>
      <w:r w:rsidRPr="005A3F47">
        <w:rPr>
          <w:noProof/>
        </w:rPr>
        <w:t xml:space="preserve"> </w:t>
      </w:r>
      <w:r w:rsidR="007F58C4" w:rsidRPr="005A3F47">
        <w:rPr>
          <w:noProof/>
        </w:rPr>
        <w:t xml:space="preserve">The measure </w:t>
      </w:r>
      <w:r w:rsidRPr="005A3F47">
        <w:rPr>
          <w:noProof/>
        </w:rPr>
        <w:t>will have significant positive impact</w:t>
      </w:r>
      <w:r w:rsidR="007A1E45" w:rsidRPr="005A3F47">
        <w:rPr>
          <w:noProof/>
        </w:rPr>
        <w:t xml:space="preserve"> on </w:t>
      </w:r>
      <w:r w:rsidRPr="005A3F47">
        <w:rPr>
          <w:noProof/>
        </w:rPr>
        <w:t xml:space="preserve">the </w:t>
      </w:r>
      <w:r w:rsidR="007A1E45" w:rsidRPr="005A3F47">
        <w:rPr>
          <w:noProof/>
        </w:rPr>
        <w:t xml:space="preserve">capital costs of </w:t>
      </w:r>
      <w:r w:rsidR="008A2C94" w:rsidRPr="005A3F47">
        <w:rPr>
          <w:noProof/>
        </w:rPr>
        <w:t>businesses</w:t>
      </w:r>
      <w:r w:rsidR="000703ED" w:rsidRPr="005A3F47">
        <w:rPr>
          <w:noProof/>
        </w:rPr>
        <w:t xml:space="preserve">. </w:t>
      </w:r>
    </w:p>
    <w:p w14:paraId="7C422F86" w14:textId="1B521F23" w:rsidR="00B41635" w:rsidRPr="005A3F47" w:rsidRDefault="00C312B1" w:rsidP="00B41635">
      <w:pPr>
        <w:pStyle w:val="Text2"/>
        <w:ind w:left="0"/>
        <w:rPr>
          <w:noProof/>
        </w:rPr>
      </w:pPr>
      <w:r w:rsidRPr="005A3F47">
        <w:rPr>
          <w:noProof/>
        </w:rPr>
        <w:t>T</w:t>
      </w:r>
      <w:r w:rsidR="00B41635" w:rsidRPr="005A3F47">
        <w:rPr>
          <w:noProof/>
        </w:rPr>
        <w:t xml:space="preserve">his implies a reduction </w:t>
      </w:r>
      <w:r w:rsidR="5843C8E8" w:rsidRPr="005A3F47">
        <w:rPr>
          <w:noProof/>
        </w:rPr>
        <w:t xml:space="preserve">in </w:t>
      </w:r>
      <w:r w:rsidR="00B41635" w:rsidRPr="005A3F47">
        <w:rPr>
          <w:noProof/>
        </w:rPr>
        <w:t>corporate income tax (CIT) revenues by about 1.9%.</w:t>
      </w:r>
      <w:r w:rsidR="00B41635" w:rsidRPr="005A3F47">
        <w:rPr>
          <w:rStyle w:val="FootnoteReference"/>
          <w:noProof/>
        </w:rPr>
        <w:footnoteReference w:id="101"/>
      </w:r>
      <w:r w:rsidR="00B41635" w:rsidRPr="005A3F47">
        <w:rPr>
          <w:noProof/>
        </w:rPr>
        <w:t xml:space="preserve"> </w:t>
      </w:r>
      <w:r w:rsidRPr="005A3F47">
        <w:rPr>
          <w:noProof/>
        </w:rPr>
        <w:t>H</w:t>
      </w:r>
      <w:r w:rsidR="00B41635" w:rsidRPr="005A3F47">
        <w:rPr>
          <w:noProof/>
        </w:rPr>
        <w:t>owever, the impact on overall rax revenue is almost neutral</w:t>
      </w:r>
      <w:r w:rsidR="007D145B" w:rsidRPr="005A3F47">
        <w:rPr>
          <w:noProof/>
        </w:rPr>
        <w:t xml:space="preserve"> </w:t>
      </w:r>
      <w:r w:rsidR="00B41635" w:rsidRPr="005A3F47">
        <w:rPr>
          <w:noProof/>
        </w:rPr>
        <w:t xml:space="preserve">due to significant positive macroeconomic feedback </w:t>
      </w:r>
      <w:r w:rsidR="00C53C5D" w:rsidRPr="005A3F47">
        <w:rPr>
          <w:noProof/>
        </w:rPr>
        <w:t xml:space="preserve">effects </w:t>
      </w:r>
      <w:r w:rsidR="00B41635" w:rsidRPr="005A3F47">
        <w:rPr>
          <w:noProof/>
        </w:rPr>
        <w:t>that trigger tax expenditure other than CIT. What this means in sum, can be detailed as follows:</w:t>
      </w:r>
    </w:p>
    <w:p w14:paraId="1938DC39" w14:textId="50C3C2B7" w:rsidR="000F0B0C" w:rsidRPr="005A3F47" w:rsidRDefault="00E0497B" w:rsidP="00F83398">
      <w:pPr>
        <w:pStyle w:val="Text2"/>
        <w:spacing w:before="120" w:after="120"/>
        <w:ind w:left="0"/>
        <w:rPr>
          <w:noProof/>
        </w:rPr>
      </w:pPr>
      <w:r w:rsidRPr="005A3F47">
        <w:rPr>
          <w:noProof/>
        </w:rPr>
        <w:t>Al</w:t>
      </w:r>
      <w:r w:rsidR="00B52E4A" w:rsidRPr="005A3F47">
        <w:rPr>
          <w:noProof/>
        </w:rPr>
        <w:t>though the compliance cost reduction may be relatively limited (analysed above), t</w:t>
      </w:r>
      <w:r w:rsidR="00B35BCC" w:rsidRPr="005A3F47">
        <w:rPr>
          <w:noProof/>
        </w:rPr>
        <w:t xml:space="preserve">he </w:t>
      </w:r>
      <w:r w:rsidR="00956DEF" w:rsidRPr="005A3F47">
        <w:rPr>
          <w:noProof/>
        </w:rPr>
        <w:t xml:space="preserve">positive </w:t>
      </w:r>
      <w:r w:rsidR="00B35BCC" w:rsidRPr="005A3F47">
        <w:rPr>
          <w:noProof/>
        </w:rPr>
        <w:t xml:space="preserve">impact </w:t>
      </w:r>
      <w:r w:rsidR="0099707E" w:rsidRPr="005A3F47">
        <w:rPr>
          <w:noProof/>
        </w:rPr>
        <w:t xml:space="preserve">of </w:t>
      </w:r>
      <w:r w:rsidR="001218B2" w:rsidRPr="005A3F47">
        <w:rPr>
          <w:noProof/>
        </w:rPr>
        <w:t>faster</w:t>
      </w:r>
      <w:r w:rsidR="0099707E" w:rsidRPr="005A3F47">
        <w:rPr>
          <w:noProof/>
        </w:rPr>
        <w:t xml:space="preserve"> R&amp;D depreciation</w:t>
      </w:r>
      <w:r w:rsidR="00B35BCC" w:rsidRPr="005A3F47">
        <w:rPr>
          <w:noProof/>
        </w:rPr>
        <w:t xml:space="preserve"> on </w:t>
      </w:r>
      <w:r w:rsidR="00956DEF" w:rsidRPr="005A3F47">
        <w:rPr>
          <w:noProof/>
        </w:rPr>
        <w:t>capital formation</w:t>
      </w:r>
      <w:r w:rsidR="001A13A0" w:rsidRPr="005A3F47">
        <w:rPr>
          <w:noProof/>
        </w:rPr>
        <w:t xml:space="preserve"> will be significant</w:t>
      </w:r>
      <w:r w:rsidR="00F97BFF" w:rsidRPr="005A3F47">
        <w:rPr>
          <w:noProof/>
        </w:rPr>
        <w:t>.</w:t>
      </w:r>
      <w:r w:rsidR="00956DEF" w:rsidRPr="005A3F47">
        <w:rPr>
          <w:noProof/>
        </w:rPr>
        <w:t xml:space="preserve"> </w:t>
      </w:r>
      <w:r w:rsidR="004D6109" w:rsidRPr="005A3F47">
        <w:rPr>
          <w:noProof/>
        </w:rPr>
        <w:t xml:space="preserve">This is because </w:t>
      </w:r>
      <w:r w:rsidR="00B52E4A" w:rsidRPr="005A3F47">
        <w:rPr>
          <w:noProof/>
        </w:rPr>
        <w:t>the policy change</w:t>
      </w:r>
      <w:r w:rsidR="00C706A9" w:rsidRPr="005A3F47">
        <w:rPr>
          <w:noProof/>
        </w:rPr>
        <w:t xml:space="preserve"> lowers the after-tax financing constraints </w:t>
      </w:r>
      <w:r w:rsidR="004D6109" w:rsidRPr="005A3F47">
        <w:rPr>
          <w:noProof/>
        </w:rPr>
        <w:t xml:space="preserve">and reduces the cost of capital. </w:t>
      </w:r>
      <w:r w:rsidR="004A7F69" w:rsidRPr="005A3F47">
        <w:rPr>
          <w:noProof/>
        </w:rPr>
        <w:t xml:space="preserve">It is well documented that accelerated depreciation </w:t>
      </w:r>
      <w:r w:rsidR="004D6109" w:rsidRPr="005A3F47">
        <w:rPr>
          <w:noProof/>
        </w:rPr>
        <w:t>promotes innovation.</w:t>
      </w:r>
      <w:r w:rsidR="004D6109" w:rsidRPr="005A3F47">
        <w:rPr>
          <w:rStyle w:val="FootnoteReference"/>
          <w:noProof/>
        </w:rPr>
        <w:footnoteReference w:id="102"/>
      </w:r>
      <w:r w:rsidR="00F63A6F" w:rsidRPr="005A3F47">
        <w:rPr>
          <w:noProof/>
        </w:rPr>
        <w:t xml:space="preserve"> </w:t>
      </w:r>
    </w:p>
    <w:p w14:paraId="6203F346" w14:textId="38814E38" w:rsidR="00492764" w:rsidRPr="005A3F47" w:rsidRDefault="00492764" w:rsidP="00484B98">
      <w:pPr>
        <w:pStyle w:val="Text2"/>
        <w:ind w:left="0"/>
        <w:rPr>
          <w:noProof/>
        </w:rPr>
      </w:pPr>
      <w:r w:rsidRPr="005A3F47">
        <w:rPr>
          <w:noProof/>
        </w:rPr>
        <w:t>By allowing companies to immediately deduct expenditures on equipment, machinery and buildings used for R&amp;D, the reform lowers the after-tax cost of investment and therefore strengthens incentives to invest.</w:t>
      </w:r>
      <w:r w:rsidR="000F70EA" w:rsidRPr="005A3F47">
        <w:rPr>
          <w:noProof/>
        </w:rPr>
        <w:t xml:space="preserve"> </w:t>
      </w:r>
      <w:r w:rsidR="00223CA1" w:rsidRPr="005A3F47">
        <w:rPr>
          <w:noProof/>
        </w:rPr>
        <w:t>To best capture th</w:t>
      </w:r>
      <w:r w:rsidR="00156237" w:rsidRPr="005A3F47">
        <w:rPr>
          <w:noProof/>
        </w:rPr>
        <w:t>at main</w:t>
      </w:r>
      <w:r w:rsidR="00223CA1" w:rsidRPr="005A3F47">
        <w:rPr>
          <w:noProof/>
        </w:rPr>
        <w:t xml:space="preserve"> impact, a </w:t>
      </w:r>
      <w:r w:rsidR="00117B3F" w:rsidRPr="005A3F47">
        <w:rPr>
          <w:noProof/>
        </w:rPr>
        <w:t xml:space="preserve">general equilibrium </w:t>
      </w:r>
      <w:r w:rsidR="00AB422B" w:rsidRPr="005A3F47">
        <w:rPr>
          <w:noProof/>
        </w:rPr>
        <w:t xml:space="preserve">model simulation </w:t>
      </w:r>
      <w:r w:rsidR="00117B3F" w:rsidRPr="005A3F47">
        <w:rPr>
          <w:noProof/>
        </w:rPr>
        <w:t>was</w:t>
      </w:r>
      <w:r w:rsidR="00B87CE4" w:rsidRPr="005A3F47">
        <w:rPr>
          <w:noProof/>
        </w:rPr>
        <w:t xml:space="preserve"> performed </w:t>
      </w:r>
      <w:r w:rsidR="00117B3F" w:rsidRPr="005A3F47">
        <w:rPr>
          <w:noProof/>
        </w:rPr>
        <w:t xml:space="preserve">(using CORTAX) </w:t>
      </w:r>
      <w:r w:rsidR="00E013A8" w:rsidRPr="005A3F47">
        <w:rPr>
          <w:noProof/>
        </w:rPr>
        <w:t xml:space="preserve">that focuses </w:t>
      </w:r>
      <w:r w:rsidR="00E84F3F" w:rsidRPr="005A3F47">
        <w:rPr>
          <w:noProof/>
        </w:rPr>
        <w:t xml:space="preserve">on the long-term impact </w:t>
      </w:r>
      <w:r w:rsidR="00245030" w:rsidRPr="005A3F47">
        <w:rPr>
          <w:noProof/>
        </w:rPr>
        <w:t>of lowering the cost of capital</w:t>
      </w:r>
      <w:r w:rsidR="00253EB2" w:rsidRPr="005A3F47">
        <w:rPr>
          <w:noProof/>
        </w:rPr>
        <w:t>,</w:t>
      </w:r>
      <w:r w:rsidR="001663E8" w:rsidRPr="005A3F47">
        <w:rPr>
          <w:noProof/>
        </w:rPr>
        <w:t xml:space="preserve"> </w:t>
      </w:r>
      <w:r w:rsidR="00F83608" w:rsidRPr="00266412">
        <w:rPr>
          <w:noProof/>
        </w:rPr>
        <w:t>tak</w:t>
      </w:r>
      <w:r w:rsidR="00253EB2" w:rsidRPr="00266412">
        <w:rPr>
          <w:noProof/>
        </w:rPr>
        <w:t>ing</w:t>
      </w:r>
      <w:r w:rsidR="00F83608" w:rsidRPr="00266412">
        <w:rPr>
          <w:noProof/>
        </w:rPr>
        <w:t xml:space="preserve"> account of allowances </w:t>
      </w:r>
      <w:r w:rsidR="00253EB2" w:rsidRPr="00266412">
        <w:rPr>
          <w:noProof/>
        </w:rPr>
        <w:t xml:space="preserve">that may </w:t>
      </w:r>
      <w:r w:rsidR="00F83608" w:rsidRPr="00266412">
        <w:rPr>
          <w:noProof/>
        </w:rPr>
        <w:t xml:space="preserve">already </w:t>
      </w:r>
      <w:r w:rsidR="00253EB2" w:rsidRPr="00266412">
        <w:rPr>
          <w:noProof/>
        </w:rPr>
        <w:t xml:space="preserve">be </w:t>
      </w:r>
      <w:r w:rsidR="00F83608" w:rsidRPr="00266412">
        <w:rPr>
          <w:noProof/>
        </w:rPr>
        <w:t>in place in Member States.</w:t>
      </w:r>
      <w:r w:rsidR="0099323C" w:rsidRPr="005A3F47">
        <w:rPr>
          <w:noProof/>
        </w:rPr>
        <w:t xml:space="preserve"> </w:t>
      </w:r>
      <w:r w:rsidR="00484B98" w:rsidRPr="005A3F47">
        <w:rPr>
          <w:noProof/>
        </w:rPr>
        <w:t>The results are detailed in Figure 1</w:t>
      </w:r>
      <w:r w:rsidR="00254E4D" w:rsidRPr="005A3F47">
        <w:rPr>
          <w:noProof/>
        </w:rPr>
        <w:t>2</w:t>
      </w:r>
      <w:r w:rsidR="00484B98" w:rsidRPr="005A3F47">
        <w:rPr>
          <w:noProof/>
        </w:rPr>
        <w:t xml:space="preserve">, row 1. </w:t>
      </w:r>
    </w:p>
    <w:p w14:paraId="58F15D55" w14:textId="0268EFD6" w:rsidR="00065F19" w:rsidRPr="005A3F47" w:rsidRDefault="00065F19" w:rsidP="00DE6B6A">
      <w:pPr>
        <w:pStyle w:val="Caption"/>
        <w:keepNext/>
        <w:spacing w:after="60"/>
        <w:rPr>
          <w:noProof/>
          <w:color w:val="auto"/>
        </w:rPr>
      </w:pPr>
      <w:r w:rsidRPr="005A3F47">
        <w:rPr>
          <w:noProof/>
          <w:color w:val="auto"/>
        </w:rPr>
        <w:t xml:space="preserve">Figure </w:t>
      </w:r>
      <w:r w:rsidR="00ED1651" w:rsidRPr="005A3F47">
        <w:rPr>
          <w:noProof/>
          <w:color w:val="auto"/>
        </w:rPr>
        <w:t>1</w:t>
      </w:r>
      <w:r w:rsidR="00254E4D" w:rsidRPr="005A3F47">
        <w:rPr>
          <w:noProof/>
          <w:color w:val="auto"/>
        </w:rPr>
        <w:t>2</w:t>
      </w:r>
      <w:r w:rsidR="00D65A91" w:rsidRPr="005A3F47">
        <w:rPr>
          <w:noProof/>
          <w:color w:val="auto"/>
        </w:rPr>
        <w:t xml:space="preserve">: Immediate expensing </w:t>
      </w:r>
      <w:r w:rsidR="00437787" w:rsidRPr="005A3F47">
        <w:rPr>
          <w:noProof/>
          <w:color w:val="auto"/>
        </w:rPr>
        <w:t>of R&amp;D assets, s</w:t>
      </w:r>
      <w:r w:rsidR="00ED1651" w:rsidRPr="005A3F47">
        <w:rPr>
          <w:noProof/>
          <w:color w:val="auto"/>
        </w:rPr>
        <w:t>imulation with CORTAX</w:t>
      </w:r>
      <w:r w:rsidR="00830282" w:rsidRPr="005A3F47">
        <w:rPr>
          <w:noProof/>
          <w:color w:val="auto"/>
        </w:rPr>
        <w:t xml:space="preserve">, % change </w:t>
      </w:r>
      <w:r w:rsidR="003A0161" w:rsidRPr="005A3F47">
        <w:rPr>
          <w:noProof/>
          <w:color w:val="auto"/>
        </w:rPr>
        <w:t xml:space="preserve">relative </w:t>
      </w:r>
      <w:r w:rsidR="00830282" w:rsidRPr="005A3F47">
        <w:rPr>
          <w:noProof/>
          <w:color w:val="auto"/>
        </w:rPr>
        <w:t>to initial situation</w:t>
      </w:r>
      <w:r w:rsidR="00B279BC" w:rsidRPr="005A3F47">
        <w:rPr>
          <w:noProof/>
          <w:color w:val="auto"/>
        </w:rPr>
        <w:t xml:space="preserve"> (EU-27)</w:t>
      </w:r>
    </w:p>
    <w:p w14:paraId="1652ED3D" w14:textId="522FEB2E" w:rsidR="005C4CF9" w:rsidRPr="005A3F47" w:rsidRDefault="00970909" w:rsidP="00DE6B6A">
      <w:pPr>
        <w:pStyle w:val="Text2"/>
        <w:spacing w:after="0"/>
        <w:ind w:left="0"/>
        <w:rPr>
          <w:noProof/>
        </w:rPr>
      </w:pPr>
      <w:r w:rsidRPr="005A3F47">
        <w:rPr>
          <w:noProof/>
          <w:lang w:eastAsia="en-GB"/>
        </w:rPr>
        <w:drawing>
          <wp:inline distT="0" distB="0" distL="0" distR="0" wp14:anchorId="052AA55D" wp14:editId="0D88BFBA">
            <wp:extent cx="5923280" cy="1030605"/>
            <wp:effectExtent l="0" t="0" r="0" b="0"/>
            <wp:docPr id="15649659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23280" cy="1030605"/>
                    </a:xfrm>
                    <a:prstGeom prst="rect">
                      <a:avLst/>
                    </a:prstGeom>
                    <a:noFill/>
                    <a:ln>
                      <a:noFill/>
                    </a:ln>
                  </pic:spPr>
                </pic:pic>
              </a:graphicData>
            </a:graphic>
          </wp:inline>
        </w:drawing>
      </w:r>
    </w:p>
    <w:p w14:paraId="54B1BEF5" w14:textId="3DB17335" w:rsidR="00EE188E" w:rsidRPr="005A3F47" w:rsidRDefault="00A050D6" w:rsidP="00492764">
      <w:pPr>
        <w:pStyle w:val="Text2"/>
        <w:ind w:left="0"/>
        <w:rPr>
          <w:i/>
          <w:iCs/>
          <w:noProof/>
          <w:sz w:val="20"/>
        </w:rPr>
      </w:pPr>
      <w:r w:rsidRPr="005A3F47">
        <w:rPr>
          <w:i/>
          <w:iCs/>
          <w:noProof/>
          <w:sz w:val="20"/>
        </w:rPr>
        <w:t>Source: European Commission, Joint Research Centre</w:t>
      </w:r>
    </w:p>
    <w:p w14:paraId="02B41FB4" w14:textId="53353148" w:rsidR="005B65DD" w:rsidRPr="005A3F47" w:rsidRDefault="005B65DD" w:rsidP="005B65DD">
      <w:pPr>
        <w:pStyle w:val="Text2"/>
        <w:ind w:left="0"/>
        <w:rPr>
          <w:b/>
          <w:noProof/>
        </w:rPr>
      </w:pPr>
      <w:r w:rsidRPr="005A3F47">
        <w:rPr>
          <w:noProof/>
        </w:rPr>
        <w:t xml:space="preserve">In the simulation, this more generous tax treatment leads </w:t>
      </w:r>
      <w:r w:rsidR="19B13C4F" w:rsidRPr="005A3F47">
        <w:rPr>
          <w:noProof/>
        </w:rPr>
        <w:t xml:space="preserve">businesses </w:t>
      </w:r>
      <w:r w:rsidRPr="005A3F47">
        <w:rPr>
          <w:noProof/>
        </w:rPr>
        <w:t>to increase investment now and in the future</w:t>
      </w:r>
      <w:r w:rsidR="00511181" w:rsidRPr="005A3F47">
        <w:rPr>
          <w:noProof/>
        </w:rPr>
        <w:t>,</w:t>
      </w:r>
      <w:r w:rsidRPr="005A3F47">
        <w:rPr>
          <w:noProof/>
        </w:rPr>
        <w:t xml:space="preserve"> as they anticipate the lowering of capital cost also for future investment. This will raise</w:t>
      </w:r>
      <w:r w:rsidRPr="005A3F47">
        <w:rPr>
          <w:bCs/>
          <w:noProof/>
        </w:rPr>
        <w:t xml:space="preserve"> the overall capital stock in the economy by about 0.4%. A larger capital stock increases workers’ productivity, which translates into higher wages (around +0.1%) and higher employment (about +0.04%). Through these channels, the reform also stimulates economic activity more broadly, </w:t>
      </w:r>
      <w:r w:rsidRPr="005A3F47">
        <w:rPr>
          <w:noProof/>
        </w:rPr>
        <w:t>resulting in an increase in EU27 GDP of roughly 0.</w:t>
      </w:r>
      <w:r w:rsidR="005E37C6" w:rsidRPr="005A3F47">
        <w:rPr>
          <w:noProof/>
        </w:rPr>
        <w:t>17</w:t>
      </w:r>
      <w:r w:rsidRPr="005A3F47">
        <w:rPr>
          <w:noProof/>
        </w:rPr>
        <w:t>%</w:t>
      </w:r>
      <w:r w:rsidR="00151BA7" w:rsidRPr="005A3F47">
        <w:rPr>
          <w:noProof/>
        </w:rPr>
        <w:t xml:space="preserve"> </w:t>
      </w:r>
      <w:r w:rsidR="0002029D" w:rsidRPr="005A3F47">
        <w:rPr>
          <w:noProof/>
        </w:rPr>
        <w:t xml:space="preserve">per annum </w:t>
      </w:r>
      <w:r w:rsidR="00151BA7" w:rsidRPr="005A3F47">
        <w:rPr>
          <w:noProof/>
        </w:rPr>
        <w:t>in the long run</w:t>
      </w:r>
      <w:r w:rsidRPr="005A3F47">
        <w:rPr>
          <w:noProof/>
        </w:rPr>
        <w:t xml:space="preserve">. </w:t>
      </w:r>
      <w:r w:rsidR="00177360" w:rsidRPr="005A3F47">
        <w:rPr>
          <w:noProof/>
        </w:rPr>
        <w:t>T</w:t>
      </w:r>
      <w:r w:rsidR="00B258F5" w:rsidRPr="005A3F47">
        <w:rPr>
          <w:noProof/>
        </w:rPr>
        <w:t>his would imply that</w:t>
      </w:r>
      <w:r w:rsidR="007B0F26" w:rsidRPr="005A3F47">
        <w:rPr>
          <w:noProof/>
        </w:rPr>
        <w:t>,</w:t>
      </w:r>
      <w:r w:rsidR="00B258F5" w:rsidRPr="005A3F47">
        <w:rPr>
          <w:noProof/>
        </w:rPr>
        <w:t xml:space="preserve"> </w:t>
      </w:r>
      <w:r w:rsidR="005F7A84" w:rsidRPr="005A3F47">
        <w:rPr>
          <w:noProof/>
        </w:rPr>
        <w:t xml:space="preserve">after implementing </w:t>
      </w:r>
      <w:r w:rsidR="002F62EF" w:rsidRPr="005A3F47">
        <w:rPr>
          <w:noProof/>
        </w:rPr>
        <w:t xml:space="preserve">immediate R&amp;D expensing, </w:t>
      </w:r>
      <w:r w:rsidR="005B56E1" w:rsidRPr="005A3F47">
        <w:rPr>
          <w:noProof/>
        </w:rPr>
        <w:t xml:space="preserve">GDP would be higher </w:t>
      </w:r>
      <w:r w:rsidR="00EF41E2" w:rsidRPr="005A3F47">
        <w:rPr>
          <w:noProof/>
        </w:rPr>
        <w:t xml:space="preserve">by </w:t>
      </w:r>
      <w:r w:rsidR="0002029D" w:rsidRPr="005A3F47">
        <w:rPr>
          <w:noProof/>
        </w:rPr>
        <w:t xml:space="preserve">an equivalent, in 2025 values, of </w:t>
      </w:r>
      <w:r w:rsidRPr="005A3F47">
        <w:rPr>
          <w:noProof/>
        </w:rPr>
        <w:t xml:space="preserve">EUR </w:t>
      </w:r>
      <w:r w:rsidR="007F2B62" w:rsidRPr="005A3F47">
        <w:rPr>
          <w:noProof/>
        </w:rPr>
        <w:t xml:space="preserve">32 </w:t>
      </w:r>
      <w:r w:rsidRPr="005A3F47">
        <w:rPr>
          <w:noProof/>
        </w:rPr>
        <w:t>billion</w:t>
      </w:r>
      <w:r w:rsidR="00B2614A" w:rsidRPr="005A3F47">
        <w:rPr>
          <w:noProof/>
        </w:rPr>
        <w:t xml:space="preserve"> per annum</w:t>
      </w:r>
      <w:r w:rsidRPr="005A3F47">
        <w:rPr>
          <w:noProof/>
        </w:rPr>
        <w:t xml:space="preserve"> </w:t>
      </w:r>
      <w:r w:rsidR="002663D5" w:rsidRPr="005A3F47">
        <w:rPr>
          <w:noProof/>
        </w:rPr>
        <w:t xml:space="preserve">than </w:t>
      </w:r>
      <w:r w:rsidR="0091559A" w:rsidRPr="005A3F47">
        <w:rPr>
          <w:noProof/>
        </w:rPr>
        <w:t xml:space="preserve">if the EU continues </w:t>
      </w:r>
      <w:r w:rsidR="002663D5" w:rsidRPr="005A3F47">
        <w:rPr>
          <w:noProof/>
        </w:rPr>
        <w:t>without the measure</w:t>
      </w:r>
      <w:r w:rsidRPr="005A3F47">
        <w:rPr>
          <w:noProof/>
        </w:rPr>
        <w:t>.</w:t>
      </w:r>
    </w:p>
    <w:p w14:paraId="237568CB" w14:textId="0969216F" w:rsidR="00DB5C06" w:rsidRPr="005A3F47" w:rsidRDefault="00DB5C06" w:rsidP="00DB5C06">
      <w:pPr>
        <w:pStyle w:val="Text2"/>
        <w:ind w:left="0"/>
        <w:rPr>
          <w:noProof/>
        </w:rPr>
      </w:pPr>
      <w:r w:rsidRPr="005A3F47">
        <w:rPr>
          <w:noProof/>
        </w:rPr>
        <w:t xml:space="preserve">Therefore, the expansion of economic activity </w:t>
      </w:r>
      <w:r w:rsidR="00C2101D" w:rsidRPr="005A3F47">
        <w:rPr>
          <w:noProof/>
        </w:rPr>
        <w:t>largely</w:t>
      </w:r>
      <w:r w:rsidRPr="005A3F47">
        <w:rPr>
          <w:noProof/>
        </w:rPr>
        <w:t xml:space="preserve"> compensates for the short-term CIT loss. Higher wages and employment increase revenues from labour income taxes, while higher consumption raises indirect tax revenues. As a result of these feedback effects, the overall impact on total tax revenues in the longer run is effectively neutral, with total revenues declining by only about 0.02%.</w:t>
      </w:r>
    </w:p>
    <w:p w14:paraId="0EA5FA19" w14:textId="7B63B2CC" w:rsidR="00D51D89" w:rsidRPr="005A3F47" w:rsidRDefault="009C5AFC" w:rsidP="00492764">
      <w:pPr>
        <w:pStyle w:val="Text2"/>
        <w:ind w:left="0"/>
        <w:rPr>
          <w:noProof/>
        </w:rPr>
      </w:pPr>
      <w:r w:rsidRPr="005A3F47">
        <w:rPr>
          <w:noProof/>
        </w:rPr>
        <w:t>The</w:t>
      </w:r>
      <w:r w:rsidR="008078DB" w:rsidRPr="005A3F47">
        <w:rPr>
          <w:noProof/>
        </w:rPr>
        <w:t xml:space="preserve"> simulation was also run for </w:t>
      </w:r>
      <w:r w:rsidRPr="005A3F47">
        <w:rPr>
          <w:noProof/>
        </w:rPr>
        <w:t>an option that would expand the R&amp;D immediate expensing to include all fixed assets</w:t>
      </w:r>
      <w:r w:rsidR="00BE7F7E" w:rsidRPr="005A3F47">
        <w:rPr>
          <w:noProof/>
        </w:rPr>
        <w:t xml:space="preserve"> – i.e., also intangibles </w:t>
      </w:r>
      <w:r w:rsidR="00305634" w:rsidRPr="005A3F47">
        <w:rPr>
          <w:noProof/>
        </w:rPr>
        <w:t xml:space="preserve">(results detailed in </w:t>
      </w:r>
      <w:r w:rsidR="00707C2C" w:rsidRPr="005A3F47">
        <w:rPr>
          <w:noProof/>
        </w:rPr>
        <w:t>F</w:t>
      </w:r>
      <w:r w:rsidR="00305634" w:rsidRPr="005A3F47">
        <w:rPr>
          <w:noProof/>
        </w:rPr>
        <w:t xml:space="preserve">igure </w:t>
      </w:r>
      <w:r w:rsidR="00707C2C" w:rsidRPr="005A3F47">
        <w:rPr>
          <w:noProof/>
        </w:rPr>
        <w:t>2</w:t>
      </w:r>
      <w:r w:rsidR="00305634" w:rsidRPr="005A3F47">
        <w:rPr>
          <w:noProof/>
        </w:rPr>
        <w:t xml:space="preserve">, row 2). </w:t>
      </w:r>
      <w:r w:rsidRPr="005A3F47">
        <w:rPr>
          <w:noProof/>
        </w:rPr>
        <w:t xml:space="preserve"> </w:t>
      </w:r>
      <w:r w:rsidR="003F386B" w:rsidRPr="005A3F47">
        <w:rPr>
          <w:noProof/>
        </w:rPr>
        <w:t>As CORTAX</w:t>
      </w:r>
      <w:r w:rsidR="00C901F4" w:rsidRPr="005A3F47">
        <w:rPr>
          <w:noProof/>
        </w:rPr>
        <w:t>, however,</w:t>
      </w:r>
      <w:r w:rsidR="003F386B" w:rsidRPr="005A3F47">
        <w:rPr>
          <w:noProof/>
        </w:rPr>
        <w:t xml:space="preserve"> does not distinguish tangible from intangible assets, </w:t>
      </w:r>
      <w:r w:rsidR="003127EE" w:rsidRPr="005A3F47">
        <w:rPr>
          <w:noProof/>
        </w:rPr>
        <w:t xml:space="preserve">the </w:t>
      </w:r>
      <w:r w:rsidR="00046299" w:rsidRPr="005A3F47">
        <w:rPr>
          <w:noProof/>
        </w:rPr>
        <w:t xml:space="preserve">measure was scaled by introducing </w:t>
      </w:r>
      <w:r w:rsidR="00367482" w:rsidRPr="005A3F47">
        <w:rPr>
          <w:noProof/>
        </w:rPr>
        <w:t>the share of tangible</w:t>
      </w:r>
      <w:r w:rsidR="00696026" w:rsidRPr="005A3F47">
        <w:rPr>
          <w:noProof/>
        </w:rPr>
        <w:t>s</w:t>
      </w:r>
      <w:r w:rsidR="00367482" w:rsidRPr="005A3F47">
        <w:rPr>
          <w:noProof/>
        </w:rPr>
        <w:t xml:space="preserve"> in all </w:t>
      </w:r>
      <w:r w:rsidR="00696026" w:rsidRPr="005A3F47">
        <w:rPr>
          <w:noProof/>
        </w:rPr>
        <w:t xml:space="preserve">R&amp;D expenditure </w:t>
      </w:r>
      <w:r w:rsidR="00046299" w:rsidRPr="005A3F47">
        <w:rPr>
          <w:noProof/>
        </w:rPr>
        <w:t>into the model</w:t>
      </w:r>
      <w:r w:rsidR="00C901F4" w:rsidRPr="005A3F47">
        <w:rPr>
          <w:noProof/>
        </w:rPr>
        <w:t xml:space="preserve"> (</w:t>
      </w:r>
      <w:r w:rsidR="00D41E89" w:rsidRPr="005A3F47">
        <w:rPr>
          <w:noProof/>
        </w:rPr>
        <w:t xml:space="preserve">about </w:t>
      </w:r>
      <w:r w:rsidR="00D776E7" w:rsidRPr="005A3F47">
        <w:rPr>
          <w:noProof/>
        </w:rPr>
        <w:t>50%</w:t>
      </w:r>
      <w:r w:rsidR="00D41E89" w:rsidRPr="005A3F47">
        <w:rPr>
          <w:noProof/>
        </w:rPr>
        <w:t>.</w:t>
      </w:r>
      <w:r w:rsidR="00C901F4" w:rsidRPr="005A3F47">
        <w:rPr>
          <w:noProof/>
        </w:rPr>
        <w:t>)</w:t>
      </w:r>
      <w:r w:rsidR="008675FE" w:rsidRPr="005A3F47">
        <w:rPr>
          <w:noProof/>
        </w:rPr>
        <w:t>. The analysis shows that in such case, a</w:t>
      </w:r>
      <w:r w:rsidR="00773823" w:rsidRPr="005A3F47">
        <w:rPr>
          <w:noProof/>
        </w:rPr>
        <w:t xml:space="preserve">ll macroeconomic effects </w:t>
      </w:r>
      <w:r w:rsidR="008675FE" w:rsidRPr="005A3F47">
        <w:rPr>
          <w:noProof/>
        </w:rPr>
        <w:t xml:space="preserve">could be expected to </w:t>
      </w:r>
      <w:r w:rsidR="00773823" w:rsidRPr="005A3F47">
        <w:rPr>
          <w:noProof/>
        </w:rPr>
        <w:t xml:space="preserve">double in size. </w:t>
      </w:r>
      <w:r w:rsidR="008675FE" w:rsidRPr="005A3F47">
        <w:rPr>
          <w:noProof/>
        </w:rPr>
        <w:t>What this demonstrates</w:t>
      </w:r>
      <w:r w:rsidR="00B10899" w:rsidRPr="005A3F47">
        <w:rPr>
          <w:noProof/>
        </w:rPr>
        <w:t xml:space="preserve"> </w:t>
      </w:r>
      <w:r w:rsidR="008675FE" w:rsidRPr="005A3F47">
        <w:rPr>
          <w:noProof/>
        </w:rPr>
        <w:t>is that an expansion of the scope of the measure to include also intangible assets would significantly increas</w:t>
      </w:r>
      <w:r w:rsidR="00272EDE" w:rsidRPr="005A3F47">
        <w:rPr>
          <w:noProof/>
        </w:rPr>
        <w:t>e</w:t>
      </w:r>
      <w:r w:rsidR="008675FE" w:rsidRPr="005A3F47">
        <w:rPr>
          <w:noProof/>
        </w:rPr>
        <w:t xml:space="preserve"> </w:t>
      </w:r>
      <w:r w:rsidR="0001475D" w:rsidRPr="005A3F47">
        <w:rPr>
          <w:noProof/>
        </w:rPr>
        <w:t xml:space="preserve">the </w:t>
      </w:r>
      <w:r w:rsidR="008675FE" w:rsidRPr="005A3F47">
        <w:rPr>
          <w:noProof/>
        </w:rPr>
        <w:t>revenue impact</w:t>
      </w:r>
      <w:r w:rsidR="00272EDE" w:rsidRPr="005A3F47">
        <w:rPr>
          <w:noProof/>
        </w:rPr>
        <w:t>,</w:t>
      </w:r>
      <w:r w:rsidR="008675FE" w:rsidRPr="005A3F47">
        <w:rPr>
          <w:noProof/>
        </w:rPr>
        <w:t xml:space="preserve"> rendering the measure further away from budget neutrality.</w:t>
      </w:r>
      <w:r w:rsidR="0001475D" w:rsidRPr="005A3F47">
        <w:rPr>
          <w:noProof/>
        </w:rPr>
        <w:t xml:space="preserve"> More technical details about the simulation can be found in Annex 4, Section 5.2.</w:t>
      </w:r>
    </w:p>
    <w:p w14:paraId="4E6CC487" w14:textId="30062EDC" w:rsidR="003F7EE4" w:rsidRPr="005A3F47" w:rsidRDefault="003F7EE4" w:rsidP="00DE6B6A">
      <w:pPr>
        <w:pStyle w:val="Text1"/>
        <w:spacing w:before="240" w:after="120"/>
        <w:ind w:left="0"/>
        <w:rPr>
          <w:i/>
          <w:noProof/>
          <w:lang w:eastAsia="en-GB"/>
        </w:rPr>
      </w:pPr>
      <w:r w:rsidRPr="005A3F47">
        <w:rPr>
          <w:i/>
          <w:noProof/>
          <w:lang w:eastAsia="en-GB"/>
        </w:rPr>
        <w:t>Impact on maintaining high tax standards</w:t>
      </w:r>
    </w:p>
    <w:p w14:paraId="4DEF45C8" w14:textId="15594059" w:rsidR="00EA2ACA" w:rsidRPr="005A3F47" w:rsidRDefault="00B70B7F" w:rsidP="00492764">
      <w:pPr>
        <w:pStyle w:val="Text2"/>
        <w:ind w:left="0"/>
        <w:rPr>
          <w:noProof/>
        </w:rPr>
      </w:pPr>
      <w:r w:rsidRPr="005A3F47">
        <w:rPr>
          <w:noProof/>
        </w:rPr>
        <w:t>T</w:t>
      </w:r>
      <w:r w:rsidR="00934D72" w:rsidRPr="005A3F47">
        <w:rPr>
          <w:noProof/>
        </w:rPr>
        <w:t xml:space="preserve">he measure would be designed in accordance with </w:t>
      </w:r>
      <w:r w:rsidR="006062BC" w:rsidRPr="005A3F47">
        <w:rPr>
          <w:noProof/>
        </w:rPr>
        <w:t>international</w:t>
      </w:r>
      <w:r w:rsidR="00934D72" w:rsidRPr="005A3F47">
        <w:rPr>
          <w:noProof/>
        </w:rPr>
        <w:t xml:space="preserve"> tax standards, as the option includes a definition of qualifying R&amp;D expenses, and the application w</w:t>
      </w:r>
      <w:r w:rsidR="006062BC" w:rsidRPr="005A3F47">
        <w:rPr>
          <w:noProof/>
        </w:rPr>
        <w:t>ould</w:t>
      </w:r>
      <w:r w:rsidR="00934D72" w:rsidRPr="005A3F47">
        <w:rPr>
          <w:noProof/>
        </w:rPr>
        <w:t xml:space="preserve"> take inspiration from similar legislation adopted by other like-minded international partners.</w:t>
      </w:r>
    </w:p>
    <w:p w14:paraId="012548AF" w14:textId="6550CEFD" w:rsidR="0039356E" w:rsidRPr="005A3F47" w:rsidRDefault="00E7769D" w:rsidP="00B27E91">
      <w:pPr>
        <w:pStyle w:val="Heading3"/>
        <w:ind w:firstLine="720"/>
        <w:rPr>
          <w:noProof/>
        </w:rPr>
      </w:pPr>
      <w:bookmarkStart w:id="173" w:name="_Simplification_in_the"/>
      <w:bookmarkStart w:id="174" w:name="_Ref226463369"/>
      <w:bookmarkStart w:id="175" w:name="_Toc226466833"/>
      <w:bookmarkStart w:id="176" w:name="_Toc226467194"/>
      <w:bookmarkStart w:id="177" w:name="_Toc226467294"/>
      <w:bookmarkStart w:id="178" w:name="_Toc226467513"/>
      <w:bookmarkEnd w:id="173"/>
      <w:r w:rsidRPr="005A3F47">
        <w:rPr>
          <w:noProof/>
        </w:rPr>
        <w:t xml:space="preserve">6.2.4. </w:t>
      </w:r>
      <w:r w:rsidR="00516EB5" w:rsidRPr="005A3F47">
        <w:rPr>
          <w:noProof/>
        </w:rPr>
        <w:t xml:space="preserve">Simplification in the context of </w:t>
      </w:r>
      <w:bookmarkEnd w:id="174"/>
      <w:bookmarkEnd w:id="175"/>
      <w:bookmarkEnd w:id="176"/>
      <w:bookmarkEnd w:id="177"/>
      <w:bookmarkEnd w:id="178"/>
      <w:r w:rsidR="0031484C" w:rsidRPr="005A3F47">
        <w:rPr>
          <w:noProof/>
        </w:rPr>
        <w:t>the Interest Limitation Rule</w:t>
      </w:r>
    </w:p>
    <w:p w14:paraId="0303773D" w14:textId="57BFB67B" w:rsidR="00A12D19" w:rsidRPr="00B800C4" w:rsidRDefault="007511AD">
      <w:pPr>
        <w:rPr>
          <w:noProof/>
        </w:rPr>
      </w:pPr>
      <w:bookmarkStart w:id="179" w:name="_Verifying_core_EBITDA"/>
      <w:bookmarkEnd w:id="179"/>
      <w:r w:rsidRPr="005A3F47">
        <w:rPr>
          <w:noProof/>
        </w:rPr>
        <w:t xml:space="preserve">The following subsections </w:t>
      </w:r>
      <w:r w:rsidR="00F04E03" w:rsidRPr="005A3F47">
        <w:rPr>
          <w:noProof/>
        </w:rPr>
        <w:t>assess the individual impacts of certain options under the I</w:t>
      </w:r>
      <w:r w:rsidR="0031484C" w:rsidRPr="005A3F47">
        <w:rPr>
          <w:noProof/>
        </w:rPr>
        <w:t xml:space="preserve">nterest </w:t>
      </w:r>
      <w:r w:rsidR="00F04E03" w:rsidRPr="005A3F47">
        <w:rPr>
          <w:noProof/>
        </w:rPr>
        <w:t>L</w:t>
      </w:r>
      <w:r w:rsidR="0031484C" w:rsidRPr="005A3F47">
        <w:rPr>
          <w:noProof/>
        </w:rPr>
        <w:t xml:space="preserve">imitation </w:t>
      </w:r>
      <w:r w:rsidR="00F04E03" w:rsidRPr="005A3F47">
        <w:rPr>
          <w:noProof/>
        </w:rPr>
        <w:t>R</w:t>
      </w:r>
      <w:r w:rsidR="0031484C" w:rsidRPr="005A3F47">
        <w:rPr>
          <w:noProof/>
        </w:rPr>
        <w:t>ule</w:t>
      </w:r>
      <w:r w:rsidR="00F04E03" w:rsidRPr="005A3F47">
        <w:rPr>
          <w:noProof/>
        </w:rPr>
        <w:t xml:space="preserve"> as outlined in Chapter </w:t>
      </w:r>
      <w:r w:rsidR="009A0E28" w:rsidRPr="005A3F47">
        <w:rPr>
          <w:noProof/>
        </w:rPr>
        <w:fldChar w:fldCharType="begin"/>
      </w:r>
      <w:r w:rsidR="009A0E28" w:rsidRPr="005A3F47">
        <w:rPr>
          <w:noProof/>
        </w:rPr>
        <w:instrText xml:space="preserve"> REF _Ref226473885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5</w:t>
      </w:r>
      <w:r w:rsidR="009A0E28" w:rsidRPr="005A3F47">
        <w:rPr>
          <w:noProof/>
        </w:rPr>
        <w:fldChar w:fldCharType="end"/>
      </w:r>
      <w:r w:rsidR="00F04E03" w:rsidRPr="005A3F47">
        <w:rPr>
          <w:noProof/>
        </w:rPr>
        <w:t xml:space="preserve">. However, given the interlinked and inter-dependent nature of some of the design options, several are assessed in aggregate </w:t>
      </w:r>
      <w:r w:rsidR="00484260" w:rsidRPr="005A3F47">
        <w:rPr>
          <w:noProof/>
        </w:rPr>
        <w:t>(</w:t>
      </w:r>
      <w:r w:rsidR="005200A8" w:rsidRPr="005A3F47">
        <w:rPr>
          <w:noProof/>
        </w:rPr>
        <w:t>under ‘</w:t>
      </w:r>
      <w:r w:rsidR="00AC261E" w:rsidRPr="005A3F47">
        <w:rPr>
          <w:noProof/>
        </w:rPr>
        <w:t xml:space="preserve">Options </w:t>
      </w:r>
      <w:r w:rsidR="00A16CB3" w:rsidRPr="005A3F47">
        <w:rPr>
          <w:noProof/>
        </w:rPr>
        <w:t>quantified in aggregate</w:t>
      </w:r>
      <w:r w:rsidR="005200A8" w:rsidRPr="005A3F47">
        <w:rPr>
          <w:noProof/>
        </w:rPr>
        <w:t>’</w:t>
      </w:r>
      <w:r w:rsidR="001F7AED" w:rsidRPr="005A3F47">
        <w:rPr>
          <w:noProof/>
        </w:rPr>
        <w:t xml:space="preserve"> of</w:t>
      </w:r>
      <w:r w:rsidR="005200A8" w:rsidRPr="005A3F47">
        <w:rPr>
          <w:noProof/>
        </w:rPr>
        <w:t xml:space="preserve"> </w:t>
      </w:r>
      <w:r w:rsidR="002522E3" w:rsidRPr="005A3F47">
        <w:rPr>
          <w:noProof/>
        </w:rPr>
        <w:t>S</w:t>
      </w:r>
      <w:r w:rsidR="005200A8" w:rsidRPr="005A3F47">
        <w:rPr>
          <w:noProof/>
        </w:rPr>
        <w:t xml:space="preserve">ection </w:t>
      </w:r>
      <w:hyperlink w:anchor="_Other_options" w:history="1">
        <w:r w:rsidR="00462D55" w:rsidRPr="005A3F47">
          <w:rPr>
            <w:noProof/>
          </w:rPr>
          <w:fldChar w:fldCharType="begin"/>
        </w:r>
        <w:r w:rsidR="00462D55" w:rsidRPr="005A3F47">
          <w:rPr>
            <w:noProof/>
          </w:rPr>
          <w:instrText xml:space="preserve"> REF _Ref226463811 \r \h </w:instrText>
        </w:r>
        <w:r w:rsidR="005A3F47">
          <w:rPr>
            <w:noProof/>
          </w:rPr>
          <w:instrText xml:space="preserve"> \* MERGEFORMAT </w:instrText>
        </w:r>
        <w:r w:rsidR="00462D55" w:rsidRPr="005A3F47">
          <w:rPr>
            <w:noProof/>
          </w:rPr>
        </w:r>
        <w:r w:rsidR="00462D55" w:rsidRPr="005A3F47">
          <w:rPr>
            <w:noProof/>
          </w:rPr>
          <w:fldChar w:fldCharType="separate"/>
        </w:r>
        <w:r w:rsidR="00CF3380">
          <w:rPr>
            <w:noProof/>
          </w:rPr>
          <w:t>6.2.4.6</w:t>
        </w:r>
        <w:r w:rsidR="00462D55" w:rsidRPr="005A3F47">
          <w:rPr>
            <w:noProof/>
          </w:rPr>
          <w:fldChar w:fldCharType="end"/>
        </w:r>
      </w:hyperlink>
      <w:r w:rsidR="005200A8" w:rsidRPr="005A3F47">
        <w:rPr>
          <w:noProof/>
        </w:rPr>
        <w:t>).</w:t>
      </w:r>
      <w:r w:rsidR="00983551" w:rsidRPr="005A3F47">
        <w:rPr>
          <w:noProof/>
        </w:rPr>
        <w:t xml:space="preserve"> </w:t>
      </w:r>
      <w:r w:rsidR="00D64333" w:rsidRPr="005A3F47">
        <w:rPr>
          <w:noProof/>
        </w:rPr>
        <w:t>This section is based on a</w:t>
      </w:r>
      <w:r w:rsidR="0032069F" w:rsidRPr="005A3F47">
        <w:rPr>
          <w:noProof/>
        </w:rPr>
        <w:t xml:space="preserve"> d</w:t>
      </w:r>
      <w:r w:rsidR="00A12D19" w:rsidRPr="005A3F47">
        <w:rPr>
          <w:noProof/>
        </w:rPr>
        <w:t>etailed analysis</w:t>
      </w:r>
      <w:r w:rsidR="00E741D3" w:rsidRPr="005A3F47">
        <w:rPr>
          <w:noProof/>
        </w:rPr>
        <w:t>, the methodology and approach behind which is</w:t>
      </w:r>
      <w:r w:rsidR="00A12D19" w:rsidRPr="005A3F47">
        <w:rPr>
          <w:noProof/>
        </w:rPr>
        <w:t xml:space="preserve"> presented </w:t>
      </w:r>
      <w:r w:rsidR="00A12D19" w:rsidRPr="00B800C4">
        <w:rPr>
          <w:noProof/>
        </w:rPr>
        <w:t xml:space="preserve">in Annex 4, </w:t>
      </w:r>
      <w:r w:rsidR="002522E3" w:rsidRPr="00B800C4">
        <w:rPr>
          <w:noProof/>
        </w:rPr>
        <w:t>S</w:t>
      </w:r>
      <w:r w:rsidR="00A12D19" w:rsidRPr="00B800C4">
        <w:rPr>
          <w:noProof/>
        </w:rPr>
        <w:t xml:space="preserve">ection </w:t>
      </w:r>
      <w:r w:rsidR="006F6021" w:rsidRPr="00B800C4">
        <w:rPr>
          <w:noProof/>
        </w:rPr>
        <w:t>4</w:t>
      </w:r>
      <w:r w:rsidR="00A12D19" w:rsidRPr="00B800C4">
        <w:rPr>
          <w:noProof/>
        </w:rPr>
        <w:t>.</w:t>
      </w:r>
    </w:p>
    <w:p w14:paraId="5EDD14F0" w14:textId="2BE43790" w:rsidR="00FD705B" w:rsidRPr="005A3F47" w:rsidRDefault="00F45BE4" w:rsidP="00DE6B6A">
      <w:pPr>
        <w:pStyle w:val="Heading4"/>
        <w:tabs>
          <w:tab w:val="clear" w:pos="7099"/>
        </w:tabs>
        <w:ind w:left="2126"/>
        <w:rPr>
          <w:noProof/>
        </w:rPr>
      </w:pPr>
      <w:r w:rsidRPr="005A3F47">
        <w:rPr>
          <w:noProof/>
        </w:rPr>
        <w:t>6.2.4</w:t>
      </w:r>
      <w:r w:rsidR="00FC75BF" w:rsidRPr="005A3F47" w:rsidDel="00FC75BF">
        <w:rPr>
          <w:noProof/>
        </w:rPr>
        <w:t xml:space="preserve">.1. </w:t>
      </w:r>
      <w:r w:rsidR="00FC7779" w:rsidRPr="005A3F47">
        <w:rPr>
          <w:noProof/>
        </w:rPr>
        <w:t xml:space="preserve"> </w:t>
      </w:r>
      <w:r w:rsidR="00FD705B" w:rsidRPr="005A3F47">
        <w:rPr>
          <w:noProof/>
        </w:rPr>
        <w:t xml:space="preserve">Option 1: </w:t>
      </w:r>
      <w:r w:rsidR="00E9690E" w:rsidRPr="005A3F47">
        <w:rPr>
          <w:noProof/>
        </w:rPr>
        <w:t>Carve-</w:t>
      </w:r>
      <w:r w:rsidR="00FD705B" w:rsidRPr="005A3F47">
        <w:rPr>
          <w:noProof/>
        </w:rPr>
        <w:t xml:space="preserve">out </w:t>
      </w:r>
      <w:r w:rsidR="00E9690E" w:rsidRPr="005A3F47">
        <w:rPr>
          <w:noProof/>
        </w:rPr>
        <w:t>of</w:t>
      </w:r>
      <w:r w:rsidR="00FD705B" w:rsidRPr="005A3F47">
        <w:rPr>
          <w:noProof/>
        </w:rPr>
        <w:t xml:space="preserve"> SMEs </w:t>
      </w:r>
      <w:r w:rsidR="00385C2A" w:rsidRPr="005A3F47">
        <w:rPr>
          <w:noProof/>
        </w:rPr>
        <w:t>(</w:t>
      </w:r>
      <w:r>
        <w:rPr>
          <w:noProof/>
        </w:rPr>
        <w:t>making the de mimimis of</w:t>
      </w:r>
      <w:r w:rsidR="00385C2A" w:rsidRPr="005A3F47">
        <w:rPr>
          <w:noProof/>
        </w:rPr>
        <w:t xml:space="preserve"> EUR </w:t>
      </w:r>
      <w:r>
        <w:rPr>
          <w:noProof/>
        </w:rPr>
        <w:t>3</w:t>
      </w:r>
      <w:r w:rsidR="00385C2A" w:rsidRPr="005A3F47">
        <w:rPr>
          <w:noProof/>
        </w:rPr>
        <w:t xml:space="preserve"> million</w:t>
      </w:r>
      <w:r>
        <w:rPr>
          <w:noProof/>
        </w:rPr>
        <w:t xml:space="preserve"> mandatory</w:t>
      </w:r>
      <w:r w:rsidR="00385C2A" w:rsidRPr="005A3F47">
        <w:rPr>
          <w:noProof/>
        </w:rPr>
        <w:t>)</w:t>
      </w:r>
    </w:p>
    <w:p w14:paraId="6ED71119" w14:textId="17DD49B7" w:rsidR="00E6241A" w:rsidRPr="005A3F47" w:rsidRDefault="00E6241A" w:rsidP="00DE6B6A">
      <w:pPr>
        <w:pStyle w:val="Text1"/>
        <w:spacing w:before="240"/>
        <w:ind w:left="0"/>
        <w:rPr>
          <w:i/>
          <w:noProof/>
        </w:rPr>
      </w:pPr>
      <w:r w:rsidRPr="005A3F47">
        <w:rPr>
          <w:i/>
          <w:noProof/>
          <w:lang w:eastAsia="en-GB"/>
        </w:rPr>
        <w:t>Impact on companies</w:t>
      </w:r>
    </w:p>
    <w:p w14:paraId="0B49B31A" w14:textId="77005D16" w:rsidR="00FA361B" w:rsidRPr="005A3F47" w:rsidRDefault="00E214B4" w:rsidP="00FD705B">
      <w:pPr>
        <w:pStyle w:val="Text2"/>
        <w:ind w:left="0"/>
        <w:rPr>
          <w:noProof/>
        </w:rPr>
      </w:pPr>
      <w:r w:rsidRPr="005A3F47">
        <w:rPr>
          <w:noProof/>
        </w:rPr>
        <w:t xml:space="preserve">The analysis presented </w:t>
      </w:r>
      <w:r w:rsidR="0040230B" w:rsidRPr="005A3F47">
        <w:rPr>
          <w:noProof/>
        </w:rPr>
        <w:t xml:space="preserve">in detail </w:t>
      </w:r>
      <w:r w:rsidRPr="005A3F47">
        <w:rPr>
          <w:noProof/>
        </w:rPr>
        <w:t xml:space="preserve">in </w:t>
      </w:r>
      <w:r w:rsidRPr="00B800C4">
        <w:rPr>
          <w:noProof/>
        </w:rPr>
        <w:t>Annex 4, Section 4</w:t>
      </w:r>
      <w:r w:rsidR="005A7CAE" w:rsidRPr="00B800C4">
        <w:rPr>
          <w:noProof/>
        </w:rPr>
        <w:t>.1</w:t>
      </w:r>
      <w:r w:rsidRPr="00B800C4">
        <w:rPr>
          <w:noProof/>
        </w:rPr>
        <w:t>, shows</w:t>
      </w:r>
      <w:r w:rsidRPr="005A3F47">
        <w:rPr>
          <w:noProof/>
        </w:rPr>
        <w:t xml:space="preserve"> </w:t>
      </w:r>
      <w:r w:rsidR="00C83738" w:rsidRPr="005A3F47">
        <w:rPr>
          <w:noProof/>
        </w:rPr>
        <w:t>why</w:t>
      </w:r>
      <w:r w:rsidRPr="005A3F47">
        <w:rPr>
          <w:noProof/>
        </w:rPr>
        <w:t xml:space="preserve"> t</w:t>
      </w:r>
      <w:r w:rsidR="00FD705B" w:rsidRPr="005A3F47">
        <w:rPr>
          <w:noProof/>
        </w:rPr>
        <w:t xml:space="preserve">he ATAD de minimis rule agreed in 2016 ensures that small entities </w:t>
      </w:r>
      <w:r w:rsidR="007308F1" w:rsidRPr="005A3F47">
        <w:rPr>
          <w:noProof/>
        </w:rPr>
        <w:t xml:space="preserve">today </w:t>
      </w:r>
      <w:r w:rsidR="00FD705B" w:rsidRPr="005A3F47">
        <w:rPr>
          <w:noProof/>
        </w:rPr>
        <w:t xml:space="preserve">rarely see any restriction on their ability to deduct their interest </w:t>
      </w:r>
      <w:r w:rsidR="00A346F2" w:rsidRPr="005A3F47">
        <w:rPr>
          <w:noProof/>
        </w:rPr>
        <w:t>expenses</w:t>
      </w:r>
      <w:r w:rsidR="00FD705B" w:rsidRPr="005A3F47">
        <w:rPr>
          <w:noProof/>
        </w:rPr>
        <w:t>. This is specifically intended</w:t>
      </w:r>
      <w:r w:rsidR="00F8441F" w:rsidRPr="005A3F47">
        <w:rPr>
          <w:noProof/>
        </w:rPr>
        <w:t>, and the measure was designed with this objective in mind,</w:t>
      </w:r>
      <w:r w:rsidR="003D0A4F" w:rsidRPr="005A3F47">
        <w:rPr>
          <w:noProof/>
        </w:rPr>
        <w:t xml:space="preserve"> given that</w:t>
      </w:r>
      <w:r w:rsidR="00FD705B" w:rsidRPr="005A3F47">
        <w:rPr>
          <w:noProof/>
        </w:rPr>
        <w:t xml:space="preserve"> third-party loans is the most important source of funding investment for SMEs.</w:t>
      </w:r>
      <w:r w:rsidR="000D08C2" w:rsidRPr="005A3F47">
        <w:rPr>
          <w:noProof/>
        </w:rPr>
        <w:t xml:space="preserve"> The analysis </w:t>
      </w:r>
      <w:r w:rsidR="00384CED" w:rsidRPr="005A3F47">
        <w:rPr>
          <w:noProof/>
        </w:rPr>
        <w:t xml:space="preserve">in </w:t>
      </w:r>
      <w:r w:rsidR="000D08C2" w:rsidRPr="005A3F47">
        <w:rPr>
          <w:noProof/>
        </w:rPr>
        <w:t>Annex 4, Section 4.1</w:t>
      </w:r>
      <w:r w:rsidR="00F95D38" w:rsidRPr="005A3F47">
        <w:rPr>
          <w:noProof/>
        </w:rPr>
        <w:t xml:space="preserve">, </w:t>
      </w:r>
      <w:r w:rsidR="00851A85" w:rsidRPr="005A3F47">
        <w:rPr>
          <w:noProof/>
        </w:rPr>
        <w:t xml:space="preserve">is based on a large sample </w:t>
      </w:r>
      <w:r w:rsidR="00802576" w:rsidRPr="005A3F47">
        <w:rPr>
          <w:noProof/>
        </w:rPr>
        <w:t xml:space="preserve">of unconsolidated accounts </w:t>
      </w:r>
      <w:r w:rsidR="00851A85" w:rsidRPr="005A3F47">
        <w:rPr>
          <w:noProof/>
        </w:rPr>
        <w:t xml:space="preserve">from the firm database </w:t>
      </w:r>
      <w:r w:rsidR="00851A85" w:rsidRPr="005A3F47">
        <w:rPr>
          <w:i/>
          <w:noProof/>
        </w:rPr>
        <w:t>Orbis</w:t>
      </w:r>
      <w:r w:rsidR="00851A85" w:rsidRPr="005A3F47">
        <w:rPr>
          <w:noProof/>
        </w:rPr>
        <w:t>.</w:t>
      </w:r>
      <w:r w:rsidR="000D08C2" w:rsidRPr="005A3F47">
        <w:rPr>
          <w:noProof/>
        </w:rPr>
        <w:t xml:space="preserve"> </w:t>
      </w:r>
      <w:r w:rsidR="00CD08BF" w:rsidRPr="005A3F47">
        <w:rPr>
          <w:noProof/>
        </w:rPr>
        <w:t xml:space="preserve">The vast majority </w:t>
      </w:r>
      <w:r w:rsidR="00A71700" w:rsidRPr="005A3F47">
        <w:rPr>
          <w:noProof/>
        </w:rPr>
        <w:t xml:space="preserve">from that sample stems from SMEs. </w:t>
      </w:r>
      <w:r w:rsidR="00A107B9" w:rsidRPr="005A3F47">
        <w:rPr>
          <w:noProof/>
        </w:rPr>
        <w:t xml:space="preserve">It </w:t>
      </w:r>
      <w:r w:rsidR="001E3B15" w:rsidRPr="005A3F47">
        <w:rPr>
          <w:noProof/>
        </w:rPr>
        <w:t xml:space="preserve">is </w:t>
      </w:r>
      <w:r w:rsidR="00763A7A" w:rsidRPr="005A3F47">
        <w:rPr>
          <w:noProof/>
        </w:rPr>
        <w:t>estimate</w:t>
      </w:r>
      <w:r w:rsidR="001E3B15" w:rsidRPr="005A3F47">
        <w:rPr>
          <w:noProof/>
        </w:rPr>
        <w:t>d</w:t>
      </w:r>
      <w:r w:rsidR="00763A7A" w:rsidRPr="005A3F47">
        <w:rPr>
          <w:noProof/>
        </w:rPr>
        <w:t xml:space="preserve"> </w:t>
      </w:r>
      <w:r w:rsidR="00A107B9" w:rsidRPr="005A3F47">
        <w:rPr>
          <w:noProof/>
        </w:rPr>
        <w:t xml:space="preserve">that </w:t>
      </w:r>
      <w:r w:rsidR="00AA6D0E" w:rsidRPr="005A3F47">
        <w:rPr>
          <w:noProof/>
        </w:rPr>
        <w:t>about</w:t>
      </w:r>
      <w:r w:rsidR="00763A7A" w:rsidRPr="005A3F47">
        <w:rPr>
          <w:noProof/>
        </w:rPr>
        <w:t xml:space="preserve"> </w:t>
      </w:r>
      <w:r w:rsidR="007F12C2" w:rsidRPr="005A3F47">
        <w:rPr>
          <w:noProof/>
        </w:rPr>
        <w:t>9</w:t>
      </w:r>
      <w:r w:rsidR="00FE11D7" w:rsidRPr="005A3F47">
        <w:rPr>
          <w:noProof/>
        </w:rPr>
        <w:t>6</w:t>
      </w:r>
      <w:r w:rsidR="007F12C2" w:rsidRPr="005A3F47">
        <w:rPr>
          <w:noProof/>
        </w:rPr>
        <w:t xml:space="preserve">% </w:t>
      </w:r>
      <w:r w:rsidR="006E5B07" w:rsidRPr="005A3F47">
        <w:rPr>
          <w:noProof/>
        </w:rPr>
        <w:t xml:space="preserve">of </w:t>
      </w:r>
      <w:r w:rsidR="00707C36" w:rsidRPr="005A3F47">
        <w:rPr>
          <w:noProof/>
        </w:rPr>
        <w:t xml:space="preserve">these </w:t>
      </w:r>
      <w:r w:rsidR="00DC346F" w:rsidRPr="005A3F47">
        <w:rPr>
          <w:noProof/>
        </w:rPr>
        <w:t>companies</w:t>
      </w:r>
      <w:r w:rsidR="007F12C2" w:rsidRPr="005A3F47">
        <w:rPr>
          <w:noProof/>
        </w:rPr>
        <w:t xml:space="preserve"> </w:t>
      </w:r>
      <w:r w:rsidR="006E5B07" w:rsidRPr="005A3F47">
        <w:rPr>
          <w:noProof/>
        </w:rPr>
        <w:t xml:space="preserve">in </w:t>
      </w:r>
      <w:r w:rsidR="007F12C2" w:rsidRPr="005A3F47">
        <w:rPr>
          <w:noProof/>
        </w:rPr>
        <w:t xml:space="preserve">the EU </w:t>
      </w:r>
      <w:r w:rsidR="00FA32D6" w:rsidRPr="005A3F47">
        <w:rPr>
          <w:noProof/>
        </w:rPr>
        <w:t xml:space="preserve">are </w:t>
      </w:r>
      <w:r w:rsidR="007E5C08" w:rsidRPr="005A3F47">
        <w:rPr>
          <w:noProof/>
        </w:rPr>
        <w:t xml:space="preserve">already </w:t>
      </w:r>
      <w:r w:rsidR="00FA32D6" w:rsidRPr="005A3F47">
        <w:rPr>
          <w:noProof/>
        </w:rPr>
        <w:t xml:space="preserve">de facto carved out by the de minimis rules currently </w:t>
      </w:r>
      <w:r w:rsidR="006E5B07" w:rsidRPr="005A3F47">
        <w:rPr>
          <w:noProof/>
        </w:rPr>
        <w:t>bei</w:t>
      </w:r>
      <w:r w:rsidR="007E5C08" w:rsidRPr="005A3F47">
        <w:rPr>
          <w:noProof/>
        </w:rPr>
        <w:t xml:space="preserve">ng </w:t>
      </w:r>
      <w:r w:rsidR="00FA32D6" w:rsidRPr="005A3F47">
        <w:rPr>
          <w:noProof/>
        </w:rPr>
        <w:t>implemented</w:t>
      </w:r>
      <w:r w:rsidR="005C7576" w:rsidRPr="005A3F47">
        <w:rPr>
          <w:noProof/>
        </w:rPr>
        <w:t>.</w:t>
      </w:r>
      <w:r w:rsidR="00902418" w:rsidRPr="005A3F47">
        <w:rPr>
          <w:noProof/>
        </w:rPr>
        <w:t xml:space="preserve"> </w:t>
      </w:r>
      <w:r w:rsidR="0064240E" w:rsidRPr="005A3F47">
        <w:rPr>
          <w:noProof/>
        </w:rPr>
        <w:t xml:space="preserve">In reality, this percentage </w:t>
      </w:r>
      <w:r w:rsidR="000B1FC2" w:rsidRPr="005A3F47">
        <w:rPr>
          <w:noProof/>
        </w:rPr>
        <w:t>is</w:t>
      </w:r>
      <w:r w:rsidR="0064240E" w:rsidRPr="005A3F47">
        <w:rPr>
          <w:noProof/>
        </w:rPr>
        <w:t xml:space="preserve"> </w:t>
      </w:r>
      <w:r w:rsidR="00FF10C2" w:rsidRPr="005A3F47">
        <w:rPr>
          <w:noProof/>
        </w:rPr>
        <w:t xml:space="preserve">likely </w:t>
      </w:r>
      <w:r w:rsidR="0064240E" w:rsidRPr="005A3F47">
        <w:rPr>
          <w:noProof/>
        </w:rPr>
        <w:t xml:space="preserve">higher as small entities are underrepresented in the sample. </w:t>
      </w:r>
      <w:r w:rsidR="005C1E62" w:rsidRPr="005A3F47">
        <w:rPr>
          <w:noProof/>
        </w:rPr>
        <w:t>Notwithstanding these uncertainties</w:t>
      </w:r>
      <w:r w:rsidR="00354133" w:rsidRPr="005A3F47">
        <w:rPr>
          <w:noProof/>
        </w:rPr>
        <w:t>, t</w:t>
      </w:r>
      <w:r w:rsidR="00F11E5E" w:rsidRPr="005A3F47">
        <w:rPr>
          <w:noProof/>
        </w:rPr>
        <w:t>he</w:t>
      </w:r>
      <w:r w:rsidR="007F12C2" w:rsidRPr="005A3F47">
        <w:rPr>
          <w:noProof/>
        </w:rPr>
        <w:t xml:space="preserve"> </w:t>
      </w:r>
      <w:r w:rsidR="001028A8" w:rsidRPr="005A3F47">
        <w:rPr>
          <w:noProof/>
        </w:rPr>
        <w:t xml:space="preserve">estimate </w:t>
      </w:r>
      <w:r w:rsidR="000268B2" w:rsidRPr="005A3F47">
        <w:rPr>
          <w:noProof/>
        </w:rPr>
        <w:t xml:space="preserve">for the sample </w:t>
      </w:r>
      <w:r w:rsidR="007F12C2" w:rsidRPr="005A3F47">
        <w:rPr>
          <w:noProof/>
        </w:rPr>
        <w:t xml:space="preserve">will increase to </w:t>
      </w:r>
      <w:r w:rsidR="00154F96" w:rsidRPr="005A3F47">
        <w:rPr>
          <w:noProof/>
        </w:rPr>
        <w:t xml:space="preserve">over </w:t>
      </w:r>
      <w:r w:rsidR="007F12C2" w:rsidRPr="005A3F47">
        <w:rPr>
          <w:noProof/>
        </w:rPr>
        <w:t xml:space="preserve">99% </w:t>
      </w:r>
      <w:r>
        <w:rPr>
          <w:noProof/>
        </w:rPr>
        <w:t xml:space="preserve">if the </w:t>
      </w:r>
      <w:r w:rsidR="00471C5B" w:rsidRPr="005A3F47">
        <w:rPr>
          <w:noProof/>
        </w:rPr>
        <w:t xml:space="preserve">de minimis of EUR </w:t>
      </w:r>
      <w:r>
        <w:rPr>
          <w:noProof/>
        </w:rPr>
        <w:t>3</w:t>
      </w:r>
      <w:r w:rsidR="00471C5B" w:rsidRPr="005A3F47">
        <w:rPr>
          <w:noProof/>
        </w:rPr>
        <w:t xml:space="preserve"> million </w:t>
      </w:r>
      <w:r>
        <w:rPr>
          <w:noProof/>
        </w:rPr>
        <w:t xml:space="preserve">becomes mandatory </w:t>
      </w:r>
      <w:r w:rsidR="00471C5B" w:rsidRPr="005A3F47">
        <w:rPr>
          <w:noProof/>
        </w:rPr>
        <w:t xml:space="preserve">in all EU </w:t>
      </w:r>
      <w:r>
        <w:rPr>
          <w:noProof/>
        </w:rPr>
        <w:t>Member States</w:t>
      </w:r>
      <w:r w:rsidR="00344704" w:rsidRPr="005A3F47">
        <w:rPr>
          <w:noProof/>
        </w:rPr>
        <w:t xml:space="preserve">. </w:t>
      </w:r>
      <w:r w:rsidR="00FB3851" w:rsidRPr="005A3F47">
        <w:rPr>
          <w:noProof/>
        </w:rPr>
        <w:t>This means that n</w:t>
      </w:r>
      <w:r w:rsidR="006F511D" w:rsidRPr="005A3F47">
        <w:rPr>
          <w:noProof/>
        </w:rPr>
        <w:t>early</w:t>
      </w:r>
      <w:r w:rsidR="00154F96" w:rsidRPr="005A3F47">
        <w:rPr>
          <w:noProof/>
        </w:rPr>
        <w:t xml:space="preserve"> all SMEs will be carved out with </w:t>
      </w:r>
      <w:r w:rsidR="00805922" w:rsidRPr="005A3F47">
        <w:rPr>
          <w:noProof/>
        </w:rPr>
        <w:t xml:space="preserve">the </w:t>
      </w:r>
      <w:r>
        <w:rPr>
          <w:noProof/>
        </w:rPr>
        <w:t xml:space="preserve">revised </w:t>
      </w:r>
      <w:r w:rsidR="00805922" w:rsidRPr="005A3F47">
        <w:rPr>
          <w:noProof/>
        </w:rPr>
        <w:t>de minimis</w:t>
      </w:r>
      <w:r w:rsidR="00FB3851" w:rsidRPr="005A3F47">
        <w:rPr>
          <w:noProof/>
        </w:rPr>
        <w:t xml:space="preserve"> threshold, allowing</w:t>
      </w:r>
      <w:r w:rsidR="00707EC0" w:rsidRPr="005A3F47">
        <w:rPr>
          <w:noProof/>
        </w:rPr>
        <w:t xml:space="preserve"> the sample</w:t>
      </w:r>
      <w:r w:rsidR="00353693" w:rsidRPr="005A3F47">
        <w:rPr>
          <w:noProof/>
        </w:rPr>
        <w:t xml:space="preserve"> </w:t>
      </w:r>
      <w:r w:rsidR="00FB3851" w:rsidRPr="005A3F47">
        <w:rPr>
          <w:noProof/>
        </w:rPr>
        <w:t>to</w:t>
      </w:r>
      <w:r w:rsidR="004F736D" w:rsidRPr="005A3F47">
        <w:rPr>
          <w:noProof/>
        </w:rPr>
        <w:t xml:space="preserve"> </w:t>
      </w:r>
      <w:r w:rsidR="00D45ECA" w:rsidRPr="005A3F47">
        <w:rPr>
          <w:noProof/>
        </w:rPr>
        <w:t>sa</w:t>
      </w:r>
      <w:r w:rsidR="009277E4" w:rsidRPr="005A3F47">
        <w:rPr>
          <w:noProof/>
        </w:rPr>
        <w:t>v</w:t>
      </w:r>
      <w:r w:rsidR="00D45ECA" w:rsidRPr="005A3F47">
        <w:rPr>
          <w:noProof/>
        </w:rPr>
        <w:t xml:space="preserve">e </w:t>
      </w:r>
      <w:r w:rsidR="00193C1B" w:rsidRPr="005A3F47">
        <w:rPr>
          <w:noProof/>
        </w:rPr>
        <w:t xml:space="preserve">about EUR </w:t>
      </w:r>
      <w:r>
        <w:rPr>
          <w:noProof/>
        </w:rPr>
        <w:t xml:space="preserve"> 900 million</w:t>
      </w:r>
      <w:r w:rsidR="00193C1B" w:rsidRPr="005A3F47">
        <w:rPr>
          <w:noProof/>
        </w:rPr>
        <w:t xml:space="preserve"> per year on </w:t>
      </w:r>
      <w:r w:rsidR="007369CD" w:rsidRPr="005A3F47">
        <w:rPr>
          <w:noProof/>
        </w:rPr>
        <w:t>corporate tax expenditure</w:t>
      </w:r>
      <w:r w:rsidR="00193C1B" w:rsidRPr="005A3F47">
        <w:rPr>
          <w:noProof/>
        </w:rPr>
        <w:t xml:space="preserve">. </w:t>
      </w:r>
    </w:p>
    <w:p w14:paraId="00ED22B9" w14:textId="3577BB16" w:rsidR="0079280E" w:rsidRPr="00266412" w:rsidRDefault="00B14244" w:rsidP="00FD705B">
      <w:pPr>
        <w:pStyle w:val="Text2"/>
        <w:ind w:left="0"/>
        <w:rPr>
          <w:noProof/>
        </w:rPr>
      </w:pPr>
      <w:r w:rsidRPr="00266412">
        <w:rPr>
          <w:noProof/>
        </w:rPr>
        <w:t xml:space="preserve">Due to the </w:t>
      </w:r>
      <w:r w:rsidR="000A7062" w:rsidRPr="00266412">
        <w:rPr>
          <w:noProof/>
        </w:rPr>
        <w:t>underrepresentation</w:t>
      </w:r>
      <w:r>
        <w:rPr>
          <w:noProof/>
        </w:rPr>
        <w:t xml:space="preserve"> of</w:t>
      </w:r>
      <w:r w:rsidR="000A7062" w:rsidRPr="00266412">
        <w:rPr>
          <w:noProof/>
        </w:rPr>
        <w:t xml:space="preserve"> </w:t>
      </w:r>
      <w:r w:rsidR="006510F7" w:rsidRPr="00266412">
        <w:rPr>
          <w:noProof/>
        </w:rPr>
        <w:t>especially</w:t>
      </w:r>
      <w:r w:rsidR="000A7062" w:rsidRPr="00266412">
        <w:rPr>
          <w:noProof/>
        </w:rPr>
        <w:t xml:space="preserve"> small entities in Orbis,</w:t>
      </w:r>
      <w:r w:rsidR="00677AC4" w:rsidRPr="00266412">
        <w:rPr>
          <w:noProof/>
        </w:rPr>
        <w:t xml:space="preserve"> </w:t>
      </w:r>
      <w:r w:rsidR="00A5448F" w:rsidRPr="00266412">
        <w:rPr>
          <w:noProof/>
        </w:rPr>
        <w:t xml:space="preserve">the </w:t>
      </w:r>
      <w:r w:rsidR="00A5448F" w:rsidRPr="00266412">
        <w:rPr>
          <w:i/>
          <w:noProof/>
        </w:rPr>
        <w:t>number</w:t>
      </w:r>
      <w:r w:rsidR="00A5448F" w:rsidRPr="00266412">
        <w:rPr>
          <w:noProof/>
        </w:rPr>
        <w:t xml:space="preserve"> of SMEs </w:t>
      </w:r>
      <w:r w:rsidR="00D50031" w:rsidRPr="00266412">
        <w:rPr>
          <w:noProof/>
        </w:rPr>
        <w:t xml:space="preserve">so far </w:t>
      </w:r>
      <w:r w:rsidR="00793B86" w:rsidRPr="00266412">
        <w:rPr>
          <w:noProof/>
        </w:rPr>
        <w:t>limited in their</w:t>
      </w:r>
      <w:r w:rsidR="00576E68" w:rsidRPr="00266412">
        <w:rPr>
          <w:noProof/>
        </w:rPr>
        <w:t xml:space="preserve"> interest deduction </w:t>
      </w:r>
      <w:r w:rsidR="00947307" w:rsidRPr="00266412">
        <w:rPr>
          <w:noProof/>
        </w:rPr>
        <w:t xml:space="preserve">that </w:t>
      </w:r>
      <w:r w:rsidR="00893EC1" w:rsidRPr="00266412">
        <w:rPr>
          <w:noProof/>
        </w:rPr>
        <w:t xml:space="preserve">would </w:t>
      </w:r>
      <w:r w:rsidR="00A168F5" w:rsidRPr="00266412">
        <w:rPr>
          <w:noProof/>
        </w:rPr>
        <w:t xml:space="preserve">be carved out </w:t>
      </w:r>
      <w:r w:rsidR="004317BB" w:rsidRPr="00266412">
        <w:rPr>
          <w:noProof/>
        </w:rPr>
        <w:t xml:space="preserve">with the </w:t>
      </w:r>
      <w:r>
        <w:rPr>
          <w:noProof/>
        </w:rPr>
        <w:t xml:space="preserve">mandatory </w:t>
      </w:r>
      <w:r w:rsidR="004317BB" w:rsidRPr="00266412">
        <w:rPr>
          <w:noProof/>
        </w:rPr>
        <w:t>de minimis</w:t>
      </w:r>
      <w:r w:rsidR="000A7062" w:rsidRPr="00266412">
        <w:rPr>
          <w:noProof/>
        </w:rPr>
        <w:t xml:space="preserve"> </w:t>
      </w:r>
      <w:r w:rsidR="00DB3599" w:rsidRPr="00266412">
        <w:rPr>
          <w:noProof/>
        </w:rPr>
        <w:t xml:space="preserve">cannot be estimated with </w:t>
      </w:r>
      <w:r>
        <w:rPr>
          <w:noProof/>
        </w:rPr>
        <w:t xml:space="preserve">exact </w:t>
      </w:r>
      <w:r w:rsidR="00DB3599" w:rsidRPr="00266412">
        <w:rPr>
          <w:noProof/>
        </w:rPr>
        <w:t>precision</w:t>
      </w:r>
      <w:r w:rsidR="004317BB" w:rsidRPr="00266412">
        <w:rPr>
          <w:noProof/>
        </w:rPr>
        <w:t xml:space="preserve">. In the </w:t>
      </w:r>
      <w:r w:rsidR="00B80993" w:rsidRPr="00266412">
        <w:rPr>
          <w:i/>
          <w:iCs/>
          <w:noProof/>
        </w:rPr>
        <w:t>Orbis</w:t>
      </w:r>
      <w:r w:rsidR="00B80993" w:rsidRPr="00266412">
        <w:rPr>
          <w:noProof/>
        </w:rPr>
        <w:t xml:space="preserve"> </w:t>
      </w:r>
      <w:r w:rsidR="004317BB" w:rsidRPr="00266412">
        <w:rPr>
          <w:noProof/>
        </w:rPr>
        <w:t xml:space="preserve">sample, </w:t>
      </w:r>
      <w:r w:rsidR="002074F0" w:rsidRPr="00266412">
        <w:rPr>
          <w:noProof/>
        </w:rPr>
        <w:t>this would affect</w:t>
      </w:r>
      <w:r w:rsidR="00535900" w:rsidRPr="00266412">
        <w:rPr>
          <w:noProof/>
        </w:rPr>
        <w:t xml:space="preserve"> an estimated </w:t>
      </w:r>
      <w:r>
        <w:rPr>
          <w:noProof/>
        </w:rPr>
        <w:t xml:space="preserve">63,000 </w:t>
      </w:r>
      <w:r w:rsidR="002074F0" w:rsidRPr="00266412">
        <w:rPr>
          <w:noProof/>
        </w:rPr>
        <w:t>firms</w:t>
      </w:r>
      <w:r w:rsidR="004D79EE" w:rsidRPr="00266412">
        <w:rPr>
          <w:noProof/>
        </w:rPr>
        <w:t xml:space="preserve"> (</w:t>
      </w:r>
      <w:r>
        <w:rPr>
          <w:noProof/>
        </w:rPr>
        <w:t>3.4</w:t>
      </w:r>
      <w:r w:rsidR="004D79EE" w:rsidRPr="00266412">
        <w:rPr>
          <w:noProof/>
        </w:rPr>
        <w:t>% of the sample)</w:t>
      </w:r>
      <w:r w:rsidR="00F86B74" w:rsidRPr="00266412">
        <w:rPr>
          <w:noProof/>
        </w:rPr>
        <w:t xml:space="preserve">, </w:t>
      </w:r>
      <w:r w:rsidR="00E57B3B" w:rsidRPr="00266412">
        <w:rPr>
          <w:noProof/>
        </w:rPr>
        <w:t>s</w:t>
      </w:r>
      <w:r w:rsidR="00F86B74" w:rsidRPr="00266412">
        <w:rPr>
          <w:noProof/>
        </w:rPr>
        <w:t>ee Annex 4, Section 4.1</w:t>
      </w:r>
      <w:r w:rsidR="00535900" w:rsidRPr="00266412">
        <w:rPr>
          <w:noProof/>
        </w:rPr>
        <w:t>.</w:t>
      </w:r>
      <w:r w:rsidR="0054090A" w:rsidRPr="00266412">
        <w:rPr>
          <w:noProof/>
        </w:rPr>
        <w:t xml:space="preserve"> These companies would </w:t>
      </w:r>
      <w:r w:rsidR="001B1C93" w:rsidRPr="00266412">
        <w:rPr>
          <w:noProof/>
        </w:rPr>
        <w:t>no longer have to bear compliance costs</w:t>
      </w:r>
      <w:r w:rsidR="004E788F" w:rsidRPr="00266412">
        <w:rPr>
          <w:noProof/>
        </w:rPr>
        <w:t xml:space="preserve"> related to the Interest Limitation Rule</w:t>
      </w:r>
      <w:r w:rsidR="001B1C93" w:rsidRPr="00266412">
        <w:rPr>
          <w:noProof/>
        </w:rPr>
        <w:t xml:space="preserve">. </w:t>
      </w:r>
      <w:r w:rsidR="00A65454" w:rsidRPr="00266412">
        <w:rPr>
          <w:noProof/>
        </w:rPr>
        <w:t xml:space="preserve">In light of </w:t>
      </w:r>
      <w:r w:rsidR="00A65454" w:rsidRPr="00266412">
        <w:rPr>
          <w:i/>
          <w:iCs/>
          <w:noProof/>
        </w:rPr>
        <w:t>Orbis’</w:t>
      </w:r>
      <w:r w:rsidR="00A65454" w:rsidRPr="00266412">
        <w:rPr>
          <w:noProof/>
        </w:rPr>
        <w:t xml:space="preserve"> coverage issues, t</w:t>
      </w:r>
      <w:r w:rsidR="00882A62" w:rsidRPr="00266412">
        <w:rPr>
          <w:noProof/>
        </w:rPr>
        <w:t>h</w:t>
      </w:r>
      <w:r w:rsidR="00FF4686" w:rsidRPr="00266412">
        <w:rPr>
          <w:noProof/>
        </w:rPr>
        <w:t>e</w:t>
      </w:r>
      <w:r w:rsidR="00882A62" w:rsidRPr="00266412">
        <w:rPr>
          <w:noProof/>
        </w:rPr>
        <w:t xml:space="preserve"> number </w:t>
      </w:r>
      <w:r w:rsidR="00305075" w:rsidRPr="00266412">
        <w:rPr>
          <w:noProof/>
        </w:rPr>
        <w:t xml:space="preserve">must </w:t>
      </w:r>
      <w:r w:rsidR="0050168D" w:rsidRPr="00266412">
        <w:rPr>
          <w:noProof/>
        </w:rPr>
        <w:t xml:space="preserve">also </w:t>
      </w:r>
      <w:r w:rsidR="00305075" w:rsidRPr="00266412">
        <w:rPr>
          <w:noProof/>
        </w:rPr>
        <w:t xml:space="preserve">be seen as </w:t>
      </w:r>
      <w:r>
        <w:rPr>
          <w:noProof/>
        </w:rPr>
        <w:t xml:space="preserve">a </w:t>
      </w:r>
      <w:r w:rsidR="00D127E5" w:rsidRPr="00266412">
        <w:rPr>
          <w:bCs/>
          <w:noProof/>
        </w:rPr>
        <w:t>lower-bound estimate</w:t>
      </w:r>
      <w:r w:rsidR="00C12B57" w:rsidRPr="00266412">
        <w:rPr>
          <w:bCs/>
          <w:noProof/>
        </w:rPr>
        <w:t>.</w:t>
      </w:r>
      <w:r w:rsidR="00C12B57" w:rsidRPr="00266412">
        <w:rPr>
          <w:noProof/>
        </w:rPr>
        <w:t xml:space="preserve"> </w:t>
      </w:r>
    </w:p>
    <w:p w14:paraId="5C13E85B" w14:textId="49553AA3" w:rsidR="00576E68" w:rsidRPr="005A3F47" w:rsidRDefault="00175340" w:rsidP="00FD705B">
      <w:pPr>
        <w:pStyle w:val="Text2"/>
        <w:ind w:left="0"/>
        <w:rPr>
          <w:noProof/>
        </w:rPr>
      </w:pPr>
      <w:r w:rsidRPr="005A3F47">
        <w:rPr>
          <w:noProof/>
        </w:rPr>
        <w:t>A study</w:t>
      </w:r>
      <w:r w:rsidR="00A221E7" w:rsidRPr="005A3F47">
        <w:rPr>
          <w:noProof/>
        </w:rPr>
        <w:t xml:space="preserve"> specifically on the tax</w:t>
      </w:r>
      <w:r w:rsidR="00062147" w:rsidRPr="005A3F47">
        <w:rPr>
          <w:noProof/>
        </w:rPr>
        <w:t xml:space="preserve"> compliance </w:t>
      </w:r>
      <w:r w:rsidR="00A221E7" w:rsidRPr="005A3F47">
        <w:rPr>
          <w:noProof/>
        </w:rPr>
        <w:t>costs</w:t>
      </w:r>
      <w:r w:rsidR="00062147" w:rsidRPr="005A3F47">
        <w:rPr>
          <w:noProof/>
        </w:rPr>
        <w:t xml:space="preserve"> of </w:t>
      </w:r>
      <w:r w:rsidR="00A221E7" w:rsidRPr="005A3F47">
        <w:rPr>
          <w:noProof/>
        </w:rPr>
        <w:t xml:space="preserve">SMEs </w:t>
      </w:r>
      <w:r w:rsidR="00FC5B7D" w:rsidRPr="005A3F47">
        <w:rPr>
          <w:noProof/>
        </w:rPr>
        <w:t xml:space="preserve">in the EU </w:t>
      </w:r>
      <w:r w:rsidRPr="005A3F47">
        <w:rPr>
          <w:noProof/>
        </w:rPr>
        <w:t xml:space="preserve">has found that </w:t>
      </w:r>
      <w:r w:rsidR="00CF74EB" w:rsidRPr="005A3F47">
        <w:rPr>
          <w:noProof/>
        </w:rPr>
        <w:t xml:space="preserve">CIT-related costs </w:t>
      </w:r>
      <w:r w:rsidR="00326A42" w:rsidRPr="005A3F47">
        <w:rPr>
          <w:noProof/>
        </w:rPr>
        <w:t xml:space="preserve">could amount to </w:t>
      </w:r>
      <w:r w:rsidR="00062147" w:rsidRPr="005A3F47">
        <w:rPr>
          <w:noProof/>
        </w:rPr>
        <w:t>EUR 3,</w:t>
      </w:r>
      <w:r w:rsidR="00732EEB" w:rsidRPr="005A3F47">
        <w:rPr>
          <w:noProof/>
        </w:rPr>
        <w:t>3</w:t>
      </w:r>
      <w:r w:rsidR="00062147" w:rsidRPr="005A3F47">
        <w:rPr>
          <w:noProof/>
        </w:rPr>
        <w:t>00 per year</w:t>
      </w:r>
      <w:r w:rsidR="00FC5B7D" w:rsidRPr="005A3F47">
        <w:rPr>
          <w:noProof/>
        </w:rPr>
        <w:t xml:space="preserve"> </w:t>
      </w:r>
      <w:r w:rsidR="00A81D54" w:rsidRPr="005A3F47">
        <w:rPr>
          <w:noProof/>
        </w:rPr>
        <w:t>on average</w:t>
      </w:r>
      <w:r w:rsidR="00F642A3" w:rsidRPr="005A3F47">
        <w:rPr>
          <w:noProof/>
        </w:rPr>
        <w:t>.</w:t>
      </w:r>
      <w:r w:rsidR="00685ED6" w:rsidRPr="005A3F47">
        <w:rPr>
          <w:rStyle w:val="FootnoteReference"/>
          <w:noProof/>
        </w:rPr>
        <w:footnoteReference w:id="103"/>
      </w:r>
      <w:r w:rsidR="00CD70F7" w:rsidRPr="005A3F47">
        <w:rPr>
          <w:noProof/>
        </w:rPr>
        <w:t xml:space="preserve"> </w:t>
      </w:r>
      <w:r w:rsidR="0088782C" w:rsidRPr="005A3F47">
        <w:rPr>
          <w:noProof/>
        </w:rPr>
        <w:t>O</w:t>
      </w:r>
      <w:r w:rsidR="00AB276D" w:rsidRPr="005A3F47">
        <w:rPr>
          <w:noProof/>
        </w:rPr>
        <w:t xml:space="preserve">ne third of </w:t>
      </w:r>
      <w:r w:rsidR="00F91581" w:rsidRPr="005A3F47">
        <w:rPr>
          <w:noProof/>
        </w:rPr>
        <w:t>these compliance costs could be</w:t>
      </w:r>
      <w:r w:rsidR="00AB276D" w:rsidRPr="005A3F47">
        <w:rPr>
          <w:noProof/>
        </w:rPr>
        <w:t xml:space="preserve"> related </w:t>
      </w:r>
      <w:r w:rsidR="008B2F5A" w:rsidRPr="005A3F47">
        <w:rPr>
          <w:noProof/>
        </w:rPr>
        <w:t>to the Interest Limitation Rule</w:t>
      </w:r>
      <w:r w:rsidR="0039281C" w:rsidRPr="005A3F47">
        <w:rPr>
          <w:noProof/>
        </w:rPr>
        <w:t>.</w:t>
      </w:r>
      <w:r w:rsidR="00FB063F" w:rsidRPr="005A3F47">
        <w:rPr>
          <w:rStyle w:val="FootnoteReference"/>
          <w:noProof/>
        </w:rPr>
        <w:footnoteReference w:id="104"/>
      </w:r>
      <w:r w:rsidR="00405BC7" w:rsidRPr="005A3F47">
        <w:rPr>
          <w:noProof/>
        </w:rPr>
        <w:t xml:space="preserve"> With these assumptions</w:t>
      </w:r>
      <w:r w:rsidR="00AB276D" w:rsidRPr="005A3F47">
        <w:rPr>
          <w:noProof/>
        </w:rPr>
        <w:t xml:space="preserve">, </w:t>
      </w:r>
      <w:r w:rsidR="00EA1ABA" w:rsidRPr="005A3F47">
        <w:rPr>
          <w:noProof/>
        </w:rPr>
        <w:t xml:space="preserve">compliance cost savings </w:t>
      </w:r>
      <w:r w:rsidR="00664127" w:rsidRPr="005A3F47">
        <w:rPr>
          <w:noProof/>
        </w:rPr>
        <w:t xml:space="preserve">for SMEs </w:t>
      </w:r>
      <w:r w:rsidR="00EA1ABA" w:rsidRPr="005A3F47">
        <w:rPr>
          <w:noProof/>
        </w:rPr>
        <w:t xml:space="preserve">could amount to </w:t>
      </w:r>
      <w:r w:rsidR="00394C54" w:rsidRPr="005A3F47">
        <w:rPr>
          <w:noProof/>
        </w:rPr>
        <w:t xml:space="preserve">at least </w:t>
      </w:r>
      <w:r w:rsidR="00EA1ABA" w:rsidRPr="005A3F47">
        <w:rPr>
          <w:noProof/>
        </w:rPr>
        <w:t xml:space="preserve">EUR </w:t>
      </w:r>
      <w:r>
        <w:rPr>
          <w:noProof/>
        </w:rPr>
        <w:t xml:space="preserve">69 </w:t>
      </w:r>
      <w:r w:rsidR="00EA1ABA" w:rsidRPr="005A3F47">
        <w:rPr>
          <w:noProof/>
        </w:rPr>
        <w:t>million (</w:t>
      </w:r>
      <w:r w:rsidR="00C76990" w:rsidRPr="005A3F47">
        <w:rPr>
          <w:noProof/>
        </w:rPr>
        <w:t xml:space="preserve">≈ </w:t>
      </w:r>
      <w:r>
        <w:rPr>
          <w:noProof/>
        </w:rPr>
        <w:t xml:space="preserve">63,000  </w:t>
      </w:r>
      <w:r w:rsidR="008B2F5A" w:rsidRPr="005A3F47">
        <w:rPr>
          <w:noProof/>
        </w:rPr>
        <w:t xml:space="preserve">firms </w:t>
      </w:r>
      <w:r w:rsidR="00EA1ABA" w:rsidRPr="005A3F47">
        <w:rPr>
          <w:noProof/>
        </w:rPr>
        <w:t xml:space="preserve">* </w:t>
      </w:r>
      <w:r w:rsidR="00732EEB" w:rsidRPr="005A3F47">
        <w:rPr>
          <w:noProof/>
        </w:rPr>
        <w:t xml:space="preserve">3,300 </w:t>
      </w:r>
      <w:r w:rsidR="008B2F5A" w:rsidRPr="005A3F47">
        <w:rPr>
          <w:noProof/>
        </w:rPr>
        <w:t xml:space="preserve">EUR </w:t>
      </w:r>
      <w:r w:rsidR="00732EEB" w:rsidRPr="005A3F47">
        <w:rPr>
          <w:noProof/>
        </w:rPr>
        <w:t>* 1/3</w:t>
      </w:r>
      <w:r w:rsidR="00EA1ABA" w:rsidRPr="005A3F47">
        <w:rPr>
          <w:noProof/>
        </w:rPr>
        <w:t>)</w:t>
      </w:r>
      <w:r w:rsidR="00732EEB" w:rsidRPr="005A3F47">
        <w:rPr>
          <w:noProof/>
        </w:rPr>
        <w:t>.</w:t>
      </w:r>
    </w:p>
    <w:p w14:paraId="3674E13A" w14:textId="797A71A0" w:rsidR="00DB7E38" w:rsidRPr="005A3F47" w:rsidRDefault="00DB7E38" w:rsidP="00B27E91">
      <w:pPr>
        <w:pStyle w:val="Text1"/>
        <w:spacing w:before="240" w:after="120"/>
        <w:ind w:left="0"/>
        <w:rPr>
          <w:i/>
          <w:noProof/>
          <w:lang w:eastAsia="en-GB"/>
        </w:rPr>
      </w:pPr>
      <w:r w:rsidRPr="005A3F47">
        <w:rPr>
          <w:i/>
          <w:noProof/>
          <w:lang w:eastAsia="en-GB"/>
        </w:rPr>
        <w:t>I</w:t>
      </w:r>
      <w:r w:rsidR="00312460" w:rsidRPr="005A3F47">
        <w:rPr>
          <w:i/>
          <w:noProof/>
          <w:lang w:eastAsia="en-GB"/>
        </w:rPr>
        <w:t>mpact on tax administrations</w:t>
      </w:r>
    </w:p>
    <w:p w14:paraId="09CBA0DF" w14:textId="6965EE39" w:rsidR="00312460" w:rsidRPr="005A3F47" w:rsidRDefault="00DB7E38" w:rsidP="00B27E91">
      <w:pPr>
        <w:rPr>
          <w:noProof/>
        </w:rPr>
      </w:pPr>
      <w:r w:rsidRPr="005A3F47">
        <w:rPr>
          <w:bCs/>
          <w:iCs/>
          <w:noProof/>
        </w:rPr>
        <w:t>P</w:t>
      </w:r>
      <w:r w:rsidR="00312460" w:rsidRPr="005A3F47">
        <w:rPr>
          <w:noProof/>
        </w:rPr>
        <w:t>lease refer to section 6.2.4.8. and Annex 4, Section 4.3.</w:t>
      </w:r>
    </w:p>
    <w:p w14:paraId="5C5B93C3" w14:textId="37E0C075" w:rsidR="00DB7E38" w:rsidRPr="005A3F47" w:rsidRDefault="00DB7E38" w:rsidP="00B27E91">
      <w:pPr>
        <w:pStyle w:val="Text1"/>
        <w:spacing w:before="240" w:after="120"/>
        <w:ind w:left="0"/>
        <w:rPr>
          <w:i/>
          <w:noProof/>
          <w:lang w:eastAsia="en-GB"/>
        </w:rPr>
      </w:pPr>
      <w:r w:rsidRPr="005A3F47">
        <w:rPr>
          <w:i/>
          <w:noProof/>
          <w:lang w:eastAsia="en-GB"/>
        </w:rPr>
        <w:t>I</w:t>
      </w:r>
      <w:r w:rsidR="00E6241A" w:rsidRPr="005A3F47">
        <w:rPr>
          <w:i/>
          <w:noProof/>
          <w:lang w:eastAsia="en-GB"/>
        </w:rPr>
        <w:t xml:space="preserve">mpact on </w:t>
      </w:r>
      <w:r w:rsidR="00322D38" w:rsidRPr="005A3F47">
        <w:rPr>
          <w:i/>
          <w:noProof/>
          <w:lang w:eastAsia="en-GB"/>
        </w:rPr>
        <w:t>the economy</w:t>
      </w:r>
    </w:p>
    <w:p w14:paraId="39F8D4F6" w14:textId="0B3A8BB6" w:rsidR="00314779" w:rsidRPr="005A3F47" w:rsidRDefault="00DB7E38" w:rsidP="00B27E91">
      <w:pPr>
        <w:rPr>
          <w:noProof/>
        </w:rPr>
      </w:pPr>
      <w:r w:rsidRPr="005A3F47">
        <w:rPr>
          <w:bCs/>
          <w:iCs/>
          <w:noProof/>
        </w:rPr>
        <w:t>P</w:t>
      </w:r>
      <w:r w:rsidR="00322D38" w:rsidRPr="005A3F47">
        <w:rPr>
          <w:noProof/>
        </w:rPr>
        <w:t xml:space="preserve">lease refer to section </w:t>
      </w:r>
      <w:r w:rsidR="003758B7" w:rsidRPr="005A3F47">
        <w:rPr>
          <w:noProof/>
        </w:rPr>
        <w:t>6.2.4.</w:t>
      </w:r>
      <w:r w:rsidR="00E71C11" w:rsidRPr="005A3F47">
        <w:rPr>
          <w:noProof/>
        </w:rPr>
        <w:t>7</w:t>
      </w:r>
      <w:r w:rsidR="003758B7" w:rsidRPr="005A3F47">
        <w:rPr>
          <w:noProof/>
        </w:rPr>
        <w:t>.</w:t>
      </w:r>
    </w:p>
    <w:p w14:paraId="60DDD854" w14:textId="44E7243F" w:rsidR="00C83672" w:rsidRPr="005A3F47" w:rsidRDefault="002B5A65" w:rsidP="00B27E91">
      <w:pPr>
        <w:pStyle w:val="Heading4"/>
        <w:numPr>
          <w:ilvl w:val="3"/>
          <w:numId w:val="228"/>
        </w:numPr>
        <w:rPr>
          <w:noProof/>
        </w:rPr>
      </w:pPr>
      <w:r w:rsidRPr="005A3F47">
        <w:rPr>
          <w:i/>
          <w:iCs/>
          <w:noProof/>
        </w:rPr>
        <w:t xml:space="preserve"> </w:t>
      </w:r>
      <w:bookmarkStart w:id="180" w:name="_Ref226463957"/>
      <w:r w:rsidR="0076611E" w:rsidRPr="005A3F47">
        <w:rPr>
          <w:noProof/>
        </w:rPr>
        <w:t xml:space="preserve">Option </w:t>
      </w:r>
      <w:r w:rsidR="00FD26DE" w:rsidRPr="005A3F47">
        <w:rPr>
          <w:noProof/>
        </w:rPr>
        <w:t>2</w:t>
      </w:r>
      <w:r w:rsidR="0076611E" w:rsidRPr="005A3F47">
        <w:rPr>
          <w:noProof/>
        </w:rPr>
        <w:t xml:space="preserve">: </w:t>
      </w:r>
      <w:r w:rsidR="008E198A" w:rsidRPr="005A3F47">
        <w:rPr>
          <w:noProof/>
        </w:rPr>
        <w:t>Mandatory</w:t>
      </w:r>
      <w:r w:rsidR="00C83672" w:rsidRPr="005A3F47">
        <w:rPr>
          <w:noProof/>
        </w:rPr>
        <w:t xml:space="preserve"> </w:t>
      </w:r>
      <w:r w:rsidR="001C7846" w:rsidRPr="005A3F47">
        <w:rPr>
          <w:noProof/>
        </w:rPr>
        <w:t xml:space="preserve">30% </w:t>
      </w:r>
      <w:r w:rsidR="00EA0E16" w:rsidRPr="005A3F47">
        <w:rPr>
          <w:noProof/>
        </w:rPr>
        <w:t>EBITDA threshold</w:t>
      </w:r>
      <w:r w:rsidR="00C83672" w:rsidRPr="005A3F47">
        <w:rPr>
          <w:noProof/>
        </w:rPr>
        <w:t xml:space="preserve"> </w:t>
      </w:r>
      <w:bookmarkEnd w:id="180"/>
    </w:p>
    <w:p w14:paraId="5EF833E3" w14:textId="5F1B90D9" w:rsidR="00C4372A" w:rsidRPr="005A3F47" w:rsidRDefault="00C4372A" w:rsidP="00B27E91">
      <w:pPr>
        <w:pStyle w:val="Text1"/>
        <w:spacing w:before="240" w:after="120"/>
        <w:ind w:left="0"/>
        <w:rPr>
          <w:i/>
          <w:noProof/>
          <w:lang w:eastAsia="en-GB"/>
        </w:rPr>
      </w:pPr>
      <w:r w:rsidRPr="005A3F47">
        <w:rPr>
          <w:i/>
          <w:noProof/>
          <w:lang w:eastAsia="en-GB"/>
        </w:rPr>
        <w:t>Impact on companies</w:t>
      </w:r>
    </w:p>
    <w:p w14:paraId="71542538" w14:textId="533D1269" w:rsidR="00DD2983" w:rsidRPr="005A3F47" w:rsidRDefault="002F752C" w:rsidP="00CC482A">
      <w:pPr>
        <w:pStyle w:val="Text2"/>
        <w:ind w:left="0"/>
        <w:rPr>
          <w:noProof/>
        </w:rPr>
      </w:pPr>
      <w:r w:rsidRPr="005A3F47">
        <w:rPr>
          <w:noProof/>
        </w:rPr>
        <w:t xml:space="preserve">Implementing a unique EBITDA threshold would affect Member States that currently </w:t>
      </w:r>
      <w:r w:rsidR="00424A83" w:rsidRPr="005A3F47">
        <w:rPr>
          <w:noProof/>
        </w:rPr>
        <w:t>apply</w:t>
      </w:r>
      <w:r w:rsidRPr="005A3F47">
        <w:rPr>
          <w:noProof/>
        </w:rPr>
        <w:t xml:space="preserve"> a threshold lower than 30%, namely: the Netherlands (24.5%)</w:t>
      </w:r>
      <w:r w:rsidR="00270CF6" w:rsidRPr="005A3F47">
        <w:rPr>
          <w:noProof/>
        </w:rPr>
        <w:t xml:space="preserve"> and </w:t>
      </w:r>
      <w:r w:rsidRPr="005A3F47">
        <w:rPr>
          <w:noProof/>
        </w:rPr>
        <w:t>Finland (25%).</w:t>
      </w:r>
      <w:r w:rsidR="00270CF6" w:rsidRPr="005A3F47">
        <w:rPr>
          <w:noProof/>
        </w:rPr>
        <w:t xml:space="preserve"> </w:t>
      </w:r>
      <w:r w:rsidR="00E63A61" w:rsidRPr="005A3F47">
        <w:rPr>
          <w:noProof/>
        </w:rPr>
        <w:t>These countries would have to increase th</w:t>
      </w:r>
      <w:r w:rsidR="00F836C9" w:rsidRPr="005A3F47">
        <w:rPr>
          <w:noProof/>
        </w:rPr>
        <w:t>eir resp</w:t>
      </w:r>
      <w:r w:rsidR="00495F88" w:rsidRPr="005A3F47">
        <w:rPr>
          <w:noProof/>
        </w:rPr>
        <w:t>ective</w:t>
      </w:r>
      <w:r w:rsidR="00F836C9" w:rsidRPr="005A3F47">
        <w:rPr>
          <w:noProof/>
        </w:rPr>
        <w:t xml:space="preserve"> EBITDA thresholds by 5.5</w:t>
      </w:r>
      <w:r w:rsidR="00535380" w:rsidRPr="005A3F47">
        <w:rPr>
          <w:noProof/>
        </w:rPr>
        <w:t xml:space="preserve"> and 5 percentage points, resp</w:t>
      </w:r>
      <w:r w:rsidR="008535C2" w:rsidRPr="005A3F47">
        <w:rPr>
          <w:noProof/>
        </w:rPr>
        <w:t>ectively</w:t>
      </w:r>
      <w:r w:rsidR="00535380" w:rsidRPr="005A3F47">
        <w:rPr>
          <w:noProof/>
        </w:rPr>
        <w:t>.</w:t>
      </w:r>
      <w:r w:rsidR="0031569F" w:rsidRPr="005A3F47">
        <w:rPr>
          <w:noProof/>
        </w:rPr>
        <w:t xml:space="preserve"> </w:t>
      </w:r>
      <w:r w:rsidR="007C0E74" w:rsidRPr="005A3F47">
        <w:rPr>
          <w:noProof/>
        </w:rPr>
        <w:t>T</w:t>
      </w:r>
      <w:r w:rsidR="004E317A" w:rsidRPr="005A3F47">
        <w:rPr>
          <w:noProof/>
        </w:rPr>
        <w:t xml:space="preserve">here is no individual </w:t>
      </w:r>
      <w:r w:rsidR="00C311F4" w:rsidRPr="005A3F47">
        <w:rPr>
          <w:noProof/>
        </w:rPr>
        <w:t xml:space="preserve">cost estimate for this measure. </w:t>
      </w:r>
      <w:r w:rsidR="00CE42F6" w:rsidRPr="005A3F47">
        <w:rPr>
          <w:noProof/>
        </w:rPr>
        <w:t>Its compliance cost savings are</w:t>
      </w:r>
      <w:r w:rsidR="00A90552" w:rsidRPr="005A3F47">
        <w:rPr>
          <w:noProof/>
        </w:rPr>
        <w:t xml:space="preserve"> included </w:t>
      </w:r>
      <w:r w:rsidR="001F021A" w:rsidRPr="005A3F47">
        <w:rPr>
          <w:noProof/>
        </w:rPr>
        <w:t>under ‘</w:t>
      </w:r>
      <w:r w:rsidR="00CC482A" w:rsidRPr="005A3F47">
        <w:rPr>
          <w:noProof/>
        </w:rPr>
        <w:t xml:space="preserve">Options quantified in aggregate’ below in Section </w:t>
      </w:r>
      <w:hyperlink w:anchor="_Other_options" w:history="1">
        <w:r w:rsidR="00CC482A" w:rsidRPr="005A3F47">
          <w:rPr>
            <w:noProof/>
          </w:rPr>
          <w:fldChar w:fldCharType="begin"/>
        </w:r>
        <w:r w:rsidR="00CC482A" w:rsidRPr="005A3F47">
          <w:rPr>
            <w:noProof/>
          </w:rPr>
          <w:instrText xml:space="preserve"> REF _Ref226463811 \r \h </w:instrText>
        </w:r>
        <w:r w:rsidR="005A3F47">
          <w:rPr>
            <w:noProof/>
          </w:rPr>
          <w:instrText xml:space="preserve"> \* MERGEFORMAT </w:instrText>
        </w:r>
        <w:r w:rsidR="00CC482A" w:rsidRPr="005A3F47">
          <w:rPr>
            <w:noProof/>
          </w:rPr>
        </w:r>
        <w:r w:rsidR="00CC482A" w:rsidRPr="005A3F47">
          <w:rPr>
            <w:noProof/>
          </w:rPr>
          <w:fldChar w:fldCharType="separate"/>
        </w:r>
        <w:r w:rsidR="00CF3380">
          <w:rPr>
            <w:noProof/>
          </w:rPr>
          <w:t>6.2.4.6</w:t>
        </w:r>
        <w:r w:rsidR="00CC482A" w:rsidRPr="005A3F47">
          <w:rPr>
            <w:noProof/>
          </w:rPr>
          <w:fldChar w:fldCharType="end"/>
        </w:r>
      </w:hyperlink>
      <w:r w:rsidR="00CC482A" w:rsidRPr="005A3F47">
        <w:rPr>
          <w:noProof/>
        </w:rPr>
        <w:t>.</w:t>
      </w:r>
      <w:r w:rsidR="00BB3C6E" w:rsidRPr="005A3F47">
        <w:rPr>
          <w:noProof/>
        </w:rPr>
        <w:t xml:space="preserve"> </w:t>
      </w:r>
    </w:p>
    <w:p w14:paraId="31D9641F" w14:textId="775B6523" w:rsidR="00DD2983" w:rsidRPr="005A3F47" w:rsidRDefault="00DD2983" w:rsidP="00CC482A">
      <w:pPr>
        <w:pStyle w:val="Text2"/>
        <w:ind w:left="0"/>
        <w:rPr>
          <w:i/>
          <w:iCs/>
          <w:noProof/>
        </w:rPr>
      </w:pPr>
      <w:r w:rsidRPr="005A3F47">
        <w:rPr>
          <w:i/>
          <w:iCs/>
          <w:noProof/>
        </w:rPr>
        <w:t>Impact on tax administrations</w:t>
      </w:r>
    </w:p>
    <w:p w14:paraId="637287D4" w14:textId="50B518C5" w:rsidR="00CC482A" w:rsidRPr="005A3F47" w:rsidRDefault="00B52105" w:rsidP="00CC482A">
      <w:pPr>
        <w:pStyle w:val="Text2"/>
        <w:ind w:left="0"/>
        <w:rPr>
          <w:noProof/>
        </w:rPr>
      </w:pPr>
      <w:r w:rsidRPr="005A3F47">
        <w:rPr>
          <w:noProof/>
        </w:rPr>
        <w:t>Setting</w:t>
      </w:r>
      <w:r w:rsidR="00592460" w:rsidRPr="005A3F47">
        <w:rPr>
          <w:noProof/>
        </w:rPr>
        <w:t xml:space="preserve"> the </w:t>
      </w:r>
      <w:r w:rsidR="00375BE7" w:rsidRPr="005A3F47">
        <w:rPr>
          <w:noProof/>
        </w:rPr>
        <w:t xml:space="preserve">threshold to 30% </w:t>
      </w:r>
      <w:r w:rsidR="00BB57DE" w:rsidRPr="005A3F47">
        <w:rPr>
          <w:noProof/>
        </w:rPr>
        <w:t xml:space="preserve">in those two countries will </w:t>
      </w:r>
      <w:r w:rsidR="00BB3C6E" w:rsidRPr="005A3F47">
        <w:rPr>
          <w:noProof/>
        </w:rPr>
        <w:t xml:space="preserve">result in no or very little impact on tax administrations. </w:t>
      </w:r>
      <w:r w:rsidR="00A15D0E" w:rsidRPr="005A3F47">
        <w:rPr>
          <w:noProof/>
        </w:rPr>
        <w:t xml:space="preserve">This is because </w:t>
      </w:r>
      <w:r w:rsidR="00C57FD4" w:rsidRPr="005A3F47">
        <w:rPr>
          <w:noProof/>
        </w:rPr>
        <w:t xml:space="preserve">today, </w:t>
      </w:r>
      <w:r w:rsidR="00BB3C6E" w:rsidRPr="005A3F47">
        <w:rPr>
          <w:noProof/>
        </w:rPr>
        <w:t xml:space="preserve">tax authorities are </w:t>
      </w:r>
      <w:r w:rsidR="00A15D0E" w:rsidRPr="005A3F47">
        <w:rPr>
          <w:noProof/>
        </w:rPr>
        <w:t xml:space="preserve">already </w:t>
      </w:r>
      <w:r w:rsidR="00BB3C6E" w:rsidRPr="005A3F47">
        <w:rPr>
          <w:noProof/>
        </w:rPr>
        <w:t>responsible for the implementation and enforcement of these measures (e.g., in case of audits, etc.).</w:t>
      </w:r>
      <w:r w:rsidR="001C387F" w:rsidRPr="005A3F47">
        <w:rPr>
          <w:noProof/>
        </w:rPr>
        <w:t xml:space="preserve"> </w:t>
      </w:r>
      <w:r w:rsidR="004356A5" w:rsidRPr="005A3F47">
        <w:rPr>
          <w:noProof/>
        </w:rPr>
        <w:t xml:space="preserve">Establishing a harmonised threshold </w:t>
      </w:r>
      <w:r w:rsidR="001C387F" w:rsidRPr="005A3F47">
        <w:rPr>
          <w:noProof/>
        </w:rPr>
        <w:t>would require no change in how the</w:t>
      </w:r>
      <w:r w:rsidR="004356A5" w:rsidRPr="005A3F47">
        <w:rPr>
          <w:noProof/>
        </w:rPr>
        <w:t xml:space="preserve"> measure is assessed or enforced in a national context. </w:t>
      </w:r>
      <w:r w:rsidR="00A15D0E" w:rsidRPr="005A3F47">
        <w:rPr>
          <w:noProof/>
        </w:rPr>
        <w:t xml:space="preserve"> </w:t>
      </w:r>
    </w:p>
    <w:p w14:paraId="79F7AC95" w14:textId="2F93FA3E" w:rsidR="00C31F7B" w:rsidRPr="005A3F47" w:rsidRDefault="00C31F7B" w:rsidP="00236654">
      <w:pPr>
        <w:pStyle w:val="Text1"/>
        <w:spacing w:before="240" w:after="120"/>
        <w:ind w:left="0"/>
        <w:rPr>
          <w:i/>
          <w:noProof/>
          <w:lang w:eastAsia="en-GB"/>
        </w:rPr>
      </w:pPr>
      <w:r w:rsidRPr="005A3F47">
        <w:rPr>
          <w:i/>
          <w:noProof/>
          <w:lang w:eastAsia="en-GB"/>
        </w:rPr>
        <w:t>I</w:t>
      </w:r>
      <w:r w:rsidR="00C4372A" w:rsidRPr="005A3F47">
        <w:rPr>
          <w:i/>
          <w:noProof/>
          <w:lang w:eastAsia="en-GB"/>
        </w:rPr>
        <w:t>mpact on the economy</w:t>
      </w:r>
    </w:p>
    <w:p w14:paraId="222872F7" w14:textId="3390CE0E" w:rsidR="00C31F7B" w:rsidRPr="005A3F47" w:rsidRDefault="00C31F7B" w:rsidP="00C31F7B">
      <w:pPr>
        <w:rPr>
          <w:noProof/>
        </w:rPr>
      </w:pPr>
      <w:r w:rsidRPr="005A3F47">
        <w:rPr>
          <w:noProof/>
        </w:rPr>
        <w:t>P</w:t>
      </w:r>
      <w:r w:rsidR="00C4372A" w:rsidRPr="005A3F47">
        <w:rPr>
          <w:noProof/>
        </w:rPr>
        <w:t>lease refer to section 6.2.4.</w:t>
      </w:r>
      <w:r w:rsidR="00E71C11" w:rsidRPr="005A3F47">
        <w:rPr>
          <w:noProof/>
        </w:rPr>
        <w:t>7</w:t>
      </w:r>
      <w:r w:rsidR="00C4372A" w:rsidRPr="005A3F47">
        <w:rPr>
          <w:noProof/>
        </w:rPr>
        <w:t>.</w:t>
      </w:r>
    </w:p>
    <w:p w14:paraId="5B227FD7" w14:textId="5597723D" w:rsidR="00904A5B" w:rsidRPr="005A3F47" w:rsidRDefault="00C31F7B" w:rsidP="00236654">
      <w:pPr>
        <w:pStyle w:val="Heading4"/>
        <w:numPr>
          <w:ilvl w:val="3"/>
          <w:numId w:val="228"/>
        </w:numPr>
        <w:rPr>
          <w:iCs/>
          <w:noProof/>
        </w:rPr>
      </w:pPr>
      <w:r w:rsidRPr="005A3F47">
        <w:rPr>
          <w:noProof/>
        </w:rPr>
        <w:t xml:space="preserve"> </w:t>
      </w:r>
      <w:bookmarkStart w:id="181" w:name="_Ref226463975"/>
      <w:r w:rsidR="00904A5B" w:rsidRPr="005A3F47">
        <w:rPr>
          <w:iCs/>
          <w:noProof/>
        </w:rPr>
        <w:t>Option 3: Reducing implementation options</w:t>
      </w:r>
      <w:bookmarkEnd w:id="181"/>
    </w:p>
    <w:p w14:paraId="1639952F" w14:textId="141D7F22" w:rsidR="00CC482A" w:rsidRPr="005A3F47" w:rsidRDefault="00E63E50" w:rsidP="00CC482A">
      <w:pPr>
        <w:pStyle w:val="Text2"/>
        <w:ind w:left="0"/>
        <w:rPr>
          <w:noProof/>
        </w:rPr>
      </w:pPr>
      <w:r w:rsidRPr="005A3F47">
        <w:rPr>
          <w:noProof/>
        </w:rPr>
        <w:t>The proposed reduction of implementation measures would (1) make</w:t>
      </w:r>
      <w:r w:rsidR="009B5EC6" w:rsidRPr="005A3F47">
        <w:rPr>
          <w:noProof/>
        </w:rPr>
        <w:t xml:space="preserve"> the </w:t>
      </w:r>
      <w:r w:rsidRPr="005A3F47">
        <w:rPr>
          <w:noProof/>
        </w:rPr>
        <w:t xml:space="preserve">group-escape rule, (2) carry-forward mechanisms and (3) the exclusion of </w:t>
      </w:r>
      <w:r w:rsidR="00F02A36" w:rsidRPr="005A3F47">
        <w:rPr>
          <w:noProof/>
        </w:rPr>
        <w:t>defence related</w:t>
      </w:r>
      <w:r w:rsidRPr="005A3F47">
        <w:rPr>
          <w:noProof/>
        </w:rPr>
        <w:t xml:space="preserve"> projects mandatory, further unifying EU tax law. </w:t>
      </w:r>
      <w:r w:rsidR="00CE42F6" w:rsidRPr="005A3F47">
        <w:rPr>
          <w:noProof/>
        </w:rPr>
        <w:t>There is no individual cost estimate for this measure. Its compliance cost savings are included under ‘</w:t>
      </w:r>
      <w:r w:rsidR="00CC482A" w:rsidRPr="005A3F47">
        <w:rPr>
          <w:noProof/>
        </w:rPr>
        <w:t xml:space="preserve">Options quantified in aggregate’ below in Section </w:t>
      </w:r>
      <w:hyperlink w:anchor="_Other_options" w:history="1">
        <w:r w:rsidR="00CC482A" w:rsidRPr="005A3F47">
          <w:rPr>
            <w:noProof/>
          </w:rPr>
          <w:fldChar w:fldCharType="begin"/>
        </w:r>
        <w:r w:rsidR="00CC482A" w:rsidRPr="005A3F47">
          <w:rPr>
            <w:noProof/>
          </w:rPr>
          <w:instrText xml:space="preserve"> REF _Ref226463811 \r \h </w:instrText>
        </w:r>
        <w:r w:rsidR="005A3F47">
          <w:rPr>
            <w:noProof/>
          </w:rPr>
          <w:instrText xml:space="preserve"> \* MERGEFORMAT </w:instrText>
        </w:r>
        <w:r w:rsidR="00CC482A" w:rsidRPr="005A3F47">
          <w:rPr>
            <w:noProof/>
          </w:rPr>
        </w:r>
        <w:r w:rsidR="00CC482A" w:rsidRPr="005A3F47">
          <w:rPr>
            <w:noProof/>
          </w:rPr>
          <w:fldChar w:fldCharType="separate"/>
        </w:r>
        <w:r w:rsidR="00CF3380">
          <w:rPr>
            <w:noProof/>
          </w:rPr>
          <w:t>6.2.4.6</w:t>
        </w:r>
        <w:r w:rsidR="00CC482A" w:rsidRPr="005A3F47">
          <w:rPr>
            <w:noProof/>
          </w:rPr>
          <w:fldChar w:fldCharType="end"/>
        </w:r>
      </w:hyperlink>
      <w:r w:rsidR="00CC482A" w:rsidRPr="005A3F47">
        <w:rPr>
          <w:noProof/>
        </w:rPr>
        <w:t>.</w:t>
      </w:r>
      <w:r w:rsidR="00DE7A75" w:rsidRPr="005A3F47">
        <w:rPr>
          <w:noProof/>
        </w:rPr>
        <w:t xml:space="preserve"> </w:t>
      </w:r>
      <w:r w:rsidR="00CD4F95" w:rsidRPr="005A3F47">
        <w:rPr>
          <w:noProof/>
        </w:rPr>
        <w:t xml:space="preserve">At the same time, these changes are likely to result in no or very little impact on tax </w:t>
      </w:r>
      <w:r w:rsidR="00DE371C" w:rsidRPr="005A3F47">
        <w:rPr>
          <w:noProof/>
        </w:rPr>
        <w:t>administrations</w:t>
      </w:r>
      <w:r w:rsidR="00CD4F95" w:rsidRPr="005A3F47">
        <w:rPr>
          <w:noProof/>
        </w:rPr>
        <w:t xml:space="preserve">. This is because </w:t>
      </w:r>
      <w:r w:rsidR="007617AF" w:rsidRPr="005A3F47">
        <w:rPr>
          <w:noProof/>
        </w:rPr>
        <w:t>tax authorities are already responsible for the implementation</w:t>
      </w:r>
      <w:r w:rsidR="00DE371C" w:rsidRPr="005A3F47">
        <w:rPr>
          <w:noProof/>
        </w:rPr>
        <w:t xml:space="preserve"> and enforcement of these </w:t>
      </w:r>
      <w:r w:rsidR="007617AF" w:rsidRPr="005A3F47">
        <w:rPr>
          <w:noProof/>
        </w:rPr>
        <w:t>measures</w:t>
      </w:r>
      <w:r w:rsidR="00DE371C" w:rsidRPr="005A3F47">
        <w:rPr>
          <w:noProof/>
        </w:rPr>
        <w:t xml:space="preserve"> (</w:t>
      </w:r>
      <w:r w:rsidR="007617AF" w:rsidRPr="005A3F47">
        <w:rPr>
          <w:noProof/>
        </w:rPr>
        <w:t xml:space="preserve">e.g., </w:t>
      </w:r>
      <w:r w:rsidR="00DE371C" w:rsidRPr="005A3F47">
        <w:rPr>
          <w:noProof/>
        </w:rPr>
        <w:t>in case of audits, etc.)</w:t>
      </w:r>
      <w:r w:rsidR="00A60ED6" w:rsidRPr="005A3F47">
        <w:rPr>
          <w:noProof/>
        </w:rPr>
        <w:t>. A</w:t>
      </w:r>
      <w:r w:rsidR="007617AF" w:rsidRPr="005A3F47">
        <w:rPr>
          <w:noProof/>
        </w:rPr>
        <w:t xml:space="preserve"> change in the rules themselves would not </w:t>
      </w:r>
      <w:r w:rsidR="00A60ED6" w:rsidRPr="005A3F47">
        <w:rPr>
          <w:noProof/>
        </w:rPr>
        <w:t xml:space="preserve">entail </w:t>
      </w:r>
      <w:r w:rsidR="00AF7F67" w:rsidRPr="005A3F47">
        <w:rPr>
          <w:noProof/>
        </w:rPr>
        <w:t xml:space="preserve">a change in resources to continue current practices; if anything, streamlining of the rules and limiting options could facilitate implementation and ease the audit burden on </w:t>
      </w:r>
      <w:r w:rsidR="00536D61" w:rsidRPr="005A3F47">
        <w:rPr>
          <w:noProof/>
        </w:rPr>
        <w:t>authorities.</w:t>
      </w:r>
    </w:p>
    <w:p w14:paraId="66519CB1" w14:textId="2DF7F7A2" w:rsidR="00A35378" w:rsidRPr="005A3F47" w:rsidRDefault="00A35378" w:rsidP="00350E7D">
      <w:pPr>
        <w:pStyle w:val="Text1"/>
        <w:spacing w:before="240" w:after="120"/>
        <w:ind w:left="0"/>
        <w:rPr>
          <w:i/>
          <w:noProof/>
          <w:lang w:eastAsia="en-GB"/>
        </w:rPr>
      </w:pPr>
      <w:r w:rsidRPr="005A3F47">
        <w:rPr>
          <w:i/>
          <w:noProof/>
          <w:lang w:eastAsia="en-GB"/>
        </w:rPr>
        <w:t>I</w:t>
      </w:r>
      <w:r w:rsidR="004301C3" w:rsidRPr="005A3F47">
        <w:rPr>
          <w:i/>
          <w:noProof/>
          <w:lang w:eastAsia="en-GB"/>
        </w:rPr>
        <w:t>mpact on the economy</w:t>
      </w:r>
    </w:p>
    <w:p w14:paraId="514851B3" w14:textId="62DA329A" w:rsidR="004301C3" w:rsidRPr="005A3F47" w:rsidRDefault="00A35378" w:rsidP="00350E7D">
      <w:pPr>
        <w:rPr>
          <w:noProof/>
        </w:rPr>
      </w:pPr>
      <w:r w:rsidRPr="005A3F47">
        <w:rPr>
          <w:noProof/>
        </w:rPr>
        <w:t>P</w:t>
      </w:r>
      <w:r w:rsidR="004301C3" w:rsidRPr="005A3F47">
        <w:rPr>
          <w:noProof/>
        </w:rPr>
        <w:t>lease refer to section 6.2.4.</w:t>
      </w:r>
      <w:r w:rsidR="009E7636" w:rsidRPr="005A3F47">
        <w:rPr>
          <w:noProof/>
        </w:rPr>
        <w:t>7</w:t>
      </w:r>
      <w:r w:rsidR="004301C3" w:rsidRPr="005A3F47">
        <w:rPr>
          <w:noProof/>
        </w:rPr>
        <w:t>.</w:t>
      </w:r>
    </w:p>
    <w:p w14:paraId="1BAB0B86" w14:textId="5C279DB9" w:rsidR="00FE66A6" w:rsidRPr="005A3F47" w:rsidRDefault="00197693" w:rsidP="00DE6B6A">
      <w:pPr>
        <w:pStyle w:val="Heading4"/>
        <w:numPr>
          <w:ilvl w:val="3"/>
          <w:numId w:val="228"/>
        </w:numPr>
        <w:rPr>
          <w:iCs/>
          <w:noProof/>
        </w:rPr>
      </w:pPr>
      <w:bookmarkStart w:id="182" w:name="_Ref226464053"/>
      <w:r w:rsidRPr="005A3F47">
        <w:rPr>
          <w:iCs/>
          <w:noProof/>
        </w:rPr>
        <w:t xml:space="preserve"> </w:t>
      </w:r>
      <w:r w:rsidR="00462B6C" w:rsidRPr="005A3F47">
        <w:rPr>
          <w:iCs/>
          <w:noProof/>
        </w:rPr>
        <w:t xml:space="preserve">Option </w:t>
      </w:r>
      <w:r w:rsidR="00F35B31" w:rsidRPr="005A3F47">
        <w:rPr>
          <w:iCs/>
          <w:noProof/>
        </w:rPr>
        <w:t xml:space="preserve">4: </w:t>
      </w:r>
      <w:r w:rsidR="00FE66A6" w:rsidRPr="005A3F47">
        <w:rPr>
          <w:iCs/>
          <w:noProof/>
        </w:rPr>
        <w:t>Car</w:t>
      </w:r>
      <w:r w:rsidR="008138E3" w:rsidRPr="005A3F47">
        <w:rPr>
          <w:iCs/>
          <w:noProof/>
        </w:rPr>
        <w:t>v</w:t>
      </w:r>
      <w:r w:rsidR="007066E1" w:rsidRPr="005A3F47">
        <w:rPr>
          <w:iCs/>
          <w:noProof/>
        </w:rPr>
        <w:t>e-</w:t>
      </w:r>
      <w:r w:rsidR="008138E3" w:rsidRPr="005A3F47">
        <w:rPr>
          <w:iCs/>
          <w:noProof/>
        </w:rPr>
        <w:t xml:space="preserve">out </w:t>
      </w:r>
      <w:r w:rsidR="007066E1" w:rsidRPr="005A3F47">
        <w:rPr>
          <w:iCs/>
          <w:noProof/>
        </w:rPr>
        <w:t>of</w:t>
      </w:r>
      <w:r w:rsidR="008138E3" w:rsidRPr="005A3F47">
        <w:rPr>
          <w:iCs/>
          <w:noProof/>
        </w:rPr>
        <w:t xml:space="preserve"> </w:t>
      </w:r>
      <w:r w:rsidR="00C5048D" w:rsidRPr="005A3F47">
        <w:rPr>
          <w:iCs/>
          <w:noProof/>
        </w:rPr>
        <w:t>low-risk</w:t>
      </w:r>
      <w:r w:rsidR="008138E3" w:rsidRPr="005A3F47">
        <w:rPr>
          <w:iCs/>
          <w:noProof/>
        </w:rPr>
        <w:t xml:space="preserve"> </w:t>
      </w:r>
      <w:r w:rsidR="00161733" w:rsidRPr="005A3F47">
        <w:rPr>
          <w:iCs/>
          <w:noProof/>
        </w:rPr>
        <w:t>third-part</w:t>
      </w:r>
      <w:r w:rsidR="00941CBD" w:rsidRPr="005A3F47">
        <w:rPr>
          <w:iCs/>
          <w:noProof/>
        </w:rPr>
        <w:t>y</w:t>
      </w:r>
      <w:r w:rsidR="0037096F" w:rsidRPr="005A3F47">
        <w:rPr>
          <w:iCs/>
          <w:noProof/>
        </w:rPr>
        <w:t xml:space="preserve"> loans</w:t>
      </w:r>
      <w:bookmarkEnd w:id="182"/>
    </w:p>
    <w:p w14:paraId="39DCAF97" w14:textId="77777777" w:rsidR="006C475B" w:rsidRPr="005A3F47" w:rsidRDefault="006C475B" w:rsidP="00DE6B6A">
      <w:pPr>
        <w:pStyle w:val="Text1"/>
        <w:spacing w:before="240" w:after="120"/>
        <w:ind w:left="0"/>
        <w:rPr>
          <w:bCs/>
          <w:i/>
          <w:noProof/>
        </w:rPr>
      </w:pPr>
      <w:r w:rsidRPr="005A3F47">
        <w:rPr>
          <w:bCs/>
          <w:i/>
          <w:noProof/>
        </w:rPr>
        <w:t xml:space="preserve">Impact on companies </w:t>
      </w:r>
    </w:p>
    <w:p w14:paraId="137B0776" w14:textId="2D1CA307" w:rsidR="004534A8" w:rsidRPr="005A3F47" w:rsidRDefault="00702244" w:rsidP="00C06576">
      <w:pPr>
        <w:rPr>
          <w:noProof/>
        </w:rPr>
      </w:pPr>
      <w:r w:rsidRPr="005A3F47">
        <w:rPr>
          <w:noProof/>
        </w:rPr>
        <w:t>T</w:t>
      </w:r>
      <w:r w:rsidR="006B6823" w:rsidRPr="005A3F47">
        <w:rPr>
          <w:noProof/>
        </w:rPr>
        <w:t xml:space="preserve">his option is analysed </w:t>
      </w:r>
      <w:r w:rsidR="002411A1" w:rsidRPr="005A3F47">
        <w:rPr>
          <w:noProof/>
        </w:rPr>
        <w:t xml:space="preserve">on </w:t>
      </w:r>
      <w:r w:rsidR="006B6823" w:rsidRPr="005A3F47">
        <w:rPr>
          <w:noProof/>
        </w:rPr>
        <w:t>a sample</w:t>
      </w:r>
      <w:r w:rsidR="0073084B" w:rsidRPr="005A3F47">
        <w:rPr>
          <w:noProof/>
        </w:rPr>
        <w:t xml:space="preserve"> of </w:t>
      </w:r>
      <w:r w:rsidR="006B6823" w:rsidRPr="005A3F47">
        <w:rPr>
          <w:noProof/>
        </w:rPr>
        <w:t xml:space="preserve">companies, </w:t>
      </w:r>
      <w:r w:rsidR="00664889" w:rsidRPr="005A3F47">
        <w:rPr>
          <w:noProof/>
        </w:rPr>
        <w:t xml:space="preserve">the details of which are </w:t>
      </w:r>
      <w:r w:rsidR="00295D56" w:rsidRPr="005A3F47">
        <w:rPr>
          <w:noProof/>
        </w:rPr>
        <w:t xml:space="preserve">also </w:t>
      </w:r>
      <w:r w:rsidR="00664889" w:rsidRPr="005A3F47">
        <w:rPr>
          <w:noProof/>
        </w:rPr>
        <w:t xml:space="preserve">presented </w:t>
      </w:r>
      <w:r w:rsidR="006B6823" w:rsidRPr="005A3F47">
        <w:rPr>
          <w:noProof/>
        </w:rPr>
        <w:t xml:space="preserve">in </w:t>
      </w:r>
      <w:r w:rsidR="0073084B" w:rsidRPr="00B800C4">
        <w:rPr>
          <w:noProof/>
        </w:rPr>
        <w:t xml:space="preserve">Annex 4, </w:t>
      </w:r>
      <w:r w:rsidR="004C1269" w:rsidRPr="00B800C4">
        <w:rPr>
          <w:noProof/>
        </w:rPr>
        <w:t>S</w:t>
      </w:r>
      <w:r w:rsidR="0073084B" w:rsidRPr="00B800C4">
        <w:rPr>
          <w:noProof/>
        </w:rPr>
        <w:t xml:space="preserve">ection </w:t>
      </w:r>
      <w:r w:rsidR="00F5393A" w:rsidRPr="00B800C4">
        <w:rPr>
          <w:noProof/>
        </w:rPr>
        <w:t>4</w:t>
      </w:r>
      <w:r w:rsidR="006B6823" w:rsidRPr="00B800C4">
        <w:rPr>
          <w:noProof/>
        </w:rPr>
        <w:t>.</w:t>
      </w:r>
      <w:r w:rsidR="00100A8E" w:rsidRPr="00B800C4">
        <w:rPr>
          <w:noProof/>
        </w:rPr>
        <w:t>2</w:t>
      </w:r>
      <w:r w:rsidR="006B6823" w:rsidRPr="00B800C4">
        <w:rPr>
          <w:noProof/>
        </w:rPr>
        <w:t>.</w:t>
      </w:r>
      <w:r w:rsidR="0073084B" w:rsidRPr="00B800C4">
        <w:rPr>
          <w:noProof/>
        </w:rPr>
        <w:t xml:space="preserve"> </w:t>
      </w:r>
      <w:r w:rsidR="00664889" w:rsidRPr="00B800C4">
        <w:rPr>
          <w:noProof/>
        </w:rPr>
        <w:t>The analysis</w:t>
      </w:r>
      <w:r w:rsidR="00DC79B6" w:rsidRPr="00B800C4">
        <w:rPr>
          <w:noProof/>
        </w:rPr>
        <w:t xml:space="preserve"> shows</w:t>
      </w:r>
      <w:r w:rsidR="00B70E45" w:rsidRPr="00B800C4">
        <w:rPr>
          <w:noProof/>
        </w:rPr>
        <w:t xml:space="preserve"> that</w:t>
      </w:r>
      <w:r w:rsidR="00DC79B6" w:rsidRPr="00B800C4">
        <w:rPr>
          <w:noProof/>
        </w:rPr>
        <w:t xml:space="preserve"> </w:t>
      </w:r>
      <w:r w:rsidR="00775FF4" w:rsidRPr="00B800C4">
        <w:rPr>
          <w:noProof/>
        </w:rPr>
        <w:t>the</w:t>
      </w:r>
      <w:r w:rsidR="00B70E45" w:rsidRPr="00B800C4">
        <w:rPr>
          <w:noProof/>
        </w:rPr>
        <w:t xml:space="preserve"> </w:t>
      </w:r>
      <w:r w:rsidR="002E2AF9" w:rsidRPr="00B800C4">
        <w:rPr>
          <w:noProof/>
        </w:rPr>
        <w:t>share of</w:t>
      </w:r>
      <w:r w:rsidR="00D739F8" w:rsidRPr="00B800C4">
        <w:rPr>
          <w:noProof/>
        </w:rPr>
        <w:t xml:space="preserve"> </w:t>
      </w:r>
      <w:r w:rsidR="00D16E79" w:rsidRPr="00B800C4">
        <w:rPr>
          <w:noProof/>
        </w:rPr>
        <w:t xml:space="preserve">groups </w:t>
      </w:r>
      <w:r w:rsidR="00666B56" w:rsidRPr="00B800C4">
        <w:rPr>
          <w:noProof/>
        </w:rPr>
        <w:t>that</w:t>
      </w:r>
      <w:r w:rsidR="002E2AF9" w:rsidRPr="00B800C4">
        <w:rPr>
          <w:noProof/>
        </w:rPr>
        <w:t xml:space="preserve"> </w:t>
      </w:r>
      <w:r w:rsidR="00402135" w:rsidRPr="00B800C4">
        <w:rPr>
          <w:noProof/>
        </w:rPr>
        <w:t>c</w:t>
      </w:r>
      <w:r w:rsidR="00271212" w:rsidRPr="00B800C4">
        <w:rPr>
          <w:noProof/>
        </w:rPr>
        <w:t>annot (fully) deduc</w:t>
      </w:r>
      <w:r w:rsidR="00DB07F6" w:rsidRPr="00B800C4">
        <w:rPr>
          <w:noProof/>
        </w:rPr>
        <w:t>t</w:t>
      </w:r>
      <w:r w:rsidR="00494529" w:rsidRPr="00B800C4">
        <w:rPr>
          <w:noProof/>
        </w:rPr>
        <w:t xml:space="preserve"> their </w:t>
      </w:r>
      <w:r w:rsidR="001E0A90" w:rsidRPr="00B800C4">
        <w:rPr>
          <w:noProof/>
        </w:rPr>
        <w:t>lo</w:t>
      </w:r>
      <w:r w:rsidR="001E0A90" w:rsidRPr="005A3F47">
        <w:rPr>
          <w:noProof/>
        </w:rPr>
        <w:t xml:space="preserve">w-risk </w:t>
      </w:r>
      <w:r w:rsidR="00494529" w:rsidRPr="005A3F47">
        <w:rPr>
          <w:noProof/>
        </w:rPr>
        <w:t>third-party interest expenses</w:t>
      </w:r>
      <w:r w:rsidR="00D739F8" w:rsidRPr="005A3F47">
        <w:rPr>
          <w:noProof/>
        </w:rPr>
        <w:t xml:space="preserve"> fr</w:t>
      </w:r>
      <w:r w:rsidR="003F0D25" w:rsidRPr="005A3F47">
        <w:rPr>
          <w:noProof/>
        </w:rPr>
        <w:t>o</w:t>
      </w:r>
      <w:r w:rsidR="00D739F8" w:rsidRPr="005A3F47">
        <w:rPr>
          <w:noProof/>
        </w:rPr>
        <w:t xml:space="preserve">m </w:t>
      </w:r>
      <w:r w:rsidR="00271212" w:rsidRPr="005A3F47">
        <w:rPr>
          <w:noProof/>
        </w:rPr>
        <w:t>their</w:t>
      </w:r>
      <w:r w:rsidR="00D739F8" w:rsidRPr="005A3F47">
        <w:rPr>
          <w:noProof/>
        </w:rPr>
        <w:t xml:space="preserve"> tax base due to </w:t>
      </w:r>
      <w:r w:rsidR="00664889" w:rsidRPr="005A3F47">
        <w:rPr>
          <w:noProof/>
        </w:rPr>
        <w:t xml:space="preserve">the </w:t>
      </w:r>
      <w:r w:rsidR="00D739F8" w:rsidRPr="005A3F47">
        <w:rPr>
          <w:noProof/>
        </w:rPr>
        <w:t>I</w:t>
      </w:r>
      <w:r w:rsidR="00D5166C" w:rsidRPr="005A3F47">
        <w:rPr>
          <w:noProof/>
        </w:rPr>
        <w:t xml:space="preserve">nterest </w:t>
      </w:r>
      <w:r w:rsidR="00D739F8" w:rsidRPr="005A3F47">
        <w:rPr>
          <w:noProof/>
        </w:rPr>
        <w:t>L</w:t>
      </w:r>
      <w:r w:rsidR="00D5166C" w:rsidRPr="005A3F47">
        <w:rPr>
          <w:noProof/>
        </w:rPr>
        <w:t xml:space="preserve">imitation </w:t>
      </w:r>
      <w:r w:rsidR="00D739F8" w:rsidRPr="005A3F47">
        <w:rPr>
          <w:noProof/>
        </w:rPr>
        <w:t>R</w:t>
      </w:r>
      <w:r w:rsidR="00D5166C" w:rsidRPr="005A3F47">
        <w:rPr>
          <w:noProof/>
        </w:rPr>
        <w:t>ule</w:t>
      </w:r>
      <w:r w:rsidR="002E2AF9" w:rsidRPr="005A3F47">
        <w:rPr>
          <w:noProof/>
        </w:rPr>
        <w:t xml:space="preserve"> could be </w:t>
      </w:r>
      <w:r w:rsidR="00F5393A" w:rsidRPr="005A3F47">
        <w:rPr>
          <w:noProof/>
        </w:rPr>
        <w:t>8.5</w:t>
      </w:r>
      <w:r w:rsidR="002E2AF9" w:rsidRPr="005A3F47">
        <w:rPr>
          <w:noProof/>
        </w:rPr>
        <w:t>%</w:t>
      </w:r>
      <w:r w:rsidR="00AC2197" w:rsidRPr="005A3F47">
        <w:rPr>
          <w:noProof/>
        </w:rPr>
        <w:t xml:space="preserve"> (of all groups)</w:t>
      </w:r>
      <w:r w:rsidR="00CD7BBA" w:rsidRPr="005A3F47">
        <w:rPr>
          <w:noProof/>
        </w:rPr>
        <w:t>.</w:t>
      </w:r>
      <w:r w:rsidR="00293C74" w:rsidRPr="005A3F47">
        <w:rPr>
          <w:noProof/>
        </w:rPr>
        <w:t xml:space="preserve"> </w:t>
      </w:r>
      <w:r w:rsidR="002037CA" w:rsidRPr="005A3F47">
        <w:rPr>
          <w:noProof/>
        </w:rPr>
        <w:t xml:space="preserve">This non-deduction </w:t>
      </w:r>
      <w:r w:rsidR="00540476" w:rsidRPr="005A3F47">
        <w:rPr>
          <w:noProof/>
        </w:rPr>
        <w:t>affect mainly large groups</w:t>
      </w:r>
      <w:r w:rsidR="00A05177" w:rsidRPr="005A3F47">
        <w:rPr>
          <w:noProof/>
        </w:rPr>
        <w:t>,</w:t>
      </w:r>
      <w:r w:rsidR="005E0B60" w:rsidRPr="005A3F47">
        <w:rPr>
          <w:noProof/>
        </w:rPr>
        <w:t xml:space="preserve"> which </w:t>
      </w:r>
      <w:r w:rsidR="004C2B10" w:rsidRPr="005A3F47">
        <w:rPr>
          <w:noProof/>
        </w:rPr>
        <w:t xml:space="preserve">thus </w:t>
      </w:r>
      <w:r w:rsidR="00A05177" w:rsidRPr="005A3F47">
        <w:rPr>
          <w:noProof/>
        </w:rPr>
        <w:t>leads</w:t>
      </w:r>
      <w:r w:rsidR="004C2B10" w:rsidRPr="005A3F47">
        <w:rPr>
          <w:noProof/>
        </w:rPr>
        <w:t xml:space="preserve"> to an assumption</w:t>
      </w:r>
      <w:r w:rsidR="0046289E" w:rsidRPr="005A3F47">
        <w:rPr>
          <w:noProof/>
        </w:rPr>
        <w:t xml:space="preserve"> that </w:t>
      </w:r>
      <w:r w:rsidR="00910EA9" w:rsidRPr="005A3F47">
        <w:rPr>
          <w:noProof/>
        </w:rPr>
        <w:t xml:space="preserve">ATAD-related compliance costs could amount to </w:t>
      </w:r>
      <w:r w:rsidR="00077453" w:rsidRPr="005A3F47">
        <w:rPr>
          <w:noProof/>
        </w:rPr>
        <w:t xml:space="preserve">EUR </w:t>
      </w:r>
      <w:r w:rsidR="00604627" w:rsidRPr="005A3F47">
        <w:rPr>
          <w:noProof/>
        </w:rPr>
        <w:t>100</w:t>
      </w:r>
      <w:r w:rsidR="00B10C59" w:rsidRPr="005A3F47">
        <w:rPr>
          <w:noProof/>
        </w:rPr>
        <w:t>,</w:t>
      </w:r>
      <w:r w:rsidR="0046289E" w:rsidRPr="005A3F47">
        <w:rPr>
          <w:noProof/>
        </w:rPr>
        <w:t>000</w:t>
      </w:r>
      <w:r w:rsidR="004A160C" w:rsidRPr="005A3F47">
        <w:rPr>
          <w:noProof/>
        </w:rPr>
        <w:t xml:space="preserve"> on average for these groups</w:t>
      </w:r>
      <w:r w:rsidR="002C2D4A" w:rsidRPr="005A3F47">
        <w:rPr>
          <w:noProof/>
        </w:rPr>
        <w:t xml:space="preserve">, and that </w:t>
      </w:r>
      <w:r w:rsidR="00673B88" w:rsidRPr="005A3F47">
        <w:rPr>
          <w:noProof/>
        </w:rPr>
        <w:t xml:space="preserve">one third of these ATAD-costs are related to </w:t>
      </w:r>
      <w:r w:rsidR="000A72A4" w:rsidRPr="005A3F47">
        <w:rPr>
          <w:noProof/>
        </w:rPr>
        <w:t>the Interest Limitation Rule</w:t>
      </w:r>
      <w:r w:rsidR="004A160C" w:rsidRPr="005A3F47">
        <w:rPr>
          <w:noProof/>
        </w:rPr>
        <w:t>.</w:t>
      </w:r>
      <w:r w:rsidR="00170A13" w:rsidRPr="005A3F47">
        <w:rPr>
          <w:rStyle w:val="FootnoteReference"/>
          <w:noProof/>
        </w:rPr>
        <w:footnoteReference w:id="105"/>
      </w:r>
      <w:r w:rsidR="00C06576" w:rsidRPr="005A3F47">
        <w:rPr>
          <w:noProof/>
        </w:rPr>
        <w:t xml:space="preserve"> </w:t>
      </w:r>
      <w:r w:rsidR="00874AF3" w:rsidRPr="005A3F47">
        <w:rPr>
          <w:noProof/>
        </w:rPr>
        <w:t>Note that an estimated 151,000 groups currently operate in the EU (and EFTA).</w:t>
      </w:r>
      <w:r w:rsidR="00874AF3" w:rsidRPr="005A3F47">
        <w:rPr>
          <w:rStyle w:val="FootnoteReference"/>
          <w:noProof/>
        </w:rPr>
        <w:footnoteReference w:id="106"/>
      </w:r>
      <w:r w:rsidR="00874AF3" w:rsidRPr="005A3F47">
        <w:rPr>
          <w:noProof/>
        </w:rPr>
        <w:t xml:space="preserve"> Under these assumptions, the </w:t>
      </w:r>
      <w:r w:rsidR="002D62F1" w:rsidRPr="005A3F47">
        <w:rPr>
          <w:noProof/>
        </w:rPr>
        <w:t xml:space="preserve">overall </w:t>
      </w:r>
      <w:r w:rsidR="00240064" w:rsidRPr="005A3F47">
        <w:rPr>
          <w:noProof/>
        </w:rPr>
        <w:t xml:space="preserve">compliance cost </w:t>
      </w:r>
      <w:r w:rsidR="002D62F1" w:rsidRPr="005A3F47">
        <w:rPr>
          <w:noProof/>
        </w:rPr>
        <w:t xml:space="preserve">savings </w:t>
      </w:r>
      <w:r w:rsidR="00C524B4" w:rsidRPr="005A3F47">
        <w:rPr>
          <w:noProof/>
        </w:rPr>
        <w:t>could then be</w:t>
      </w:r>
      <w:r w:rsidR="00306D09" w:rsidRPr="005A3F47">
        <w:rPr>
          <w:noProof/>
        </w:rPr>
        <w:t xml:space="preserve"> estimated to</w:t>
      </w:r>
      <w:r w:rsidR="006224DD" w:rsidRPr="005A3F47">
        <w:rPr>
          <w:noProof/>
        </w:rPr>
        <w:t xml:space="preserve"> </w:t>
      </w:r>
      <w:r w:rsidR="002D62F1" w:rsidRPr="005A3F47">
        <w:rPr>
          <w:noProof/>
        </w:rPr>
        <w:t>be</w:t>
      </w:r>
      <w:r w:rsidR="006F539D" w:rsidRPr="005A3F47">
        <w:rPr>
          <w:noProof/>
        </w:rPr>
        <w:t xml:space="preserve"> around EUR </w:t>
      </w:r>
      <w:r w:rsidR="008678D3" w:rsidRPr="005A3F47">
        <w:rPr>
          <w:noProof/>
        </w:rPr>
        <w:t>430</w:t>
      </w:r>
      <w:r w:rsidR="00DE2D54" w:rsidRPr="005A3F47">
        <w:rPr>
          <w:noProof/>
        </w:rPr>
        <w:t xml:space="preserve"> </w:t>
      </w:r>
      <w:r w:rsidR="006F539D" w:rsidRPr="005A3F47">
        <w:rPr>
          <w:noProof/>
        </w:rPr>
        <w:t>million per year (≈</w:t>
      </w:r>
      <w:r w:rsidR="00604627" w:rsidRPr="005A3F47">
        <w:rPr>
          <w:noProof/>
        </w:rPr>
        <w:t>100</w:t>
      </w:r>
      <w:r w:rsidR="00B10C59" w:rsidRPr="005A3F47">
        <w:rPr>
          <w:noProof/>
        </w:rPr>
        <w:t>,</w:t>
      </w:r>
      <w:r w:rsidR="00604627" w:rsidRPr="005A3F47">
        <w:rPr>
          <w:noProof/>
        </w:rPr>
        <w:t>000</w:t>
      </w:r>
      <w:r w:rsidR="00082CFB" w:rsidRPr="005A3F47">
        <w:rPr>
          <w:noProof/>
        </w:rPr>
        <w:t xml:space="preserve"> </w:t>
      </w:r>
      <w:r w:rsidR="00FE20D7" w:rsidRPr="005A3F47">
        <w:rPr>
          <w:noProof/>
        </w:rPr>
        <w:t xml:space="preserve">EUR </w:t>
      </w:r>
      <w:r w:rsidR="001C123B" w:rsidRPr="005A3F47">
        <w:rPr>
          <w:noProof/>
        </w:rPr>
        <w:t xml:space="preserve">* 1/3 </w:t>
      </w:r>
      <w:r w:rsidR="002D62F1" w:rsidRPr="005A3F47">
        <w:rPr>
          <w:noProof/>
        </w:rPr>
        <w:t xml:space="preserve">* </w:t>
      </w:r>
      <w:r w:rsidR="00F5393A" w:rsidRPr="005A3F47">
        <w:rPr>
          <w:noProof/>
        </w:rPr>
        <w:t>8.5</w:t>
      </w:r>
      <w:r w:rsidR="002D62F1" w:rsidRPr="005A3F47">
        <w:rPr>
          <w:noProof/>
        </w:rPr>
        <w:t>% * 151</w:t>
      </w:r>
      <w:r w:rsidR="00961292" w:rsidRPr="005A3F47">
        <w:rPr>
          <w:noProof/>
        </w:rPr>
        <w:t>,</w:t>
      </w:r>
      <w:r w:rsidR="002D62F1" w:rsidRPr="005A3F47">
        <w:rPr>
          <w:noProof/>
        </w:rPr>
        <w:t>000</w:t>
      </w:r>
      <w:r w:rsidR="00FE20D7" w:rsidRPr="005A3F47">
        <w:rPr>
          <w:noProof/>
        </w:rPr>
        <w:t xml:space="preserve"> groups</w:t>
      </w:r>
      <w:r w:rsidR="006F539D" w:rsidRPr="005A3F47">
        <w:rPr>
          <w:noProof/>
        </w:rPr>
        <w:t>)</w:t>
      </w:r>
      <w:r w:rsidR="002D62F1" w:rsidRPr="005A3F47">
        <w:rPr>
          <w:noProof/>
        </w:rPr>
        <w:t>.</w:t>
      </w:r>
      <w:r w:rsidR="00632A84" w:rsidRPr="005A3F47">
        <w:rPr>
          <w:noProof/>
        </w:rPr>
        <w:t xml:space="preserve"> </w:t>
      </w:r>
    </w:p>
    <w:p w14:paraId="21F317B2" w14:textId="28F703B0" w:rsidR="00A35378" w:rsidRPr="005A3F47" w:rsidRDefault="00A35378" w:rsidP="00350E7D">
      <w:pPr>
        <w:pStyle w:val="Text1"/>
        <w:spacing w:before="240" w:after="120"/>
        <w:ind w:left="0"/>
        <w:rPr>
          <w:i/>
          <w:noProof/>
          <w:lang w:eastAsia="en-GB"/>
        </w:rPr>
      </w:pPr>
      <w:r w:rsidRPr="005A3F47">
        <w:rPr>
          <w:i/>
          <w:noProof/>
          <w:lang w:eastAsia="en-GB"/>
        </w:rPr>
        <w:t>I</w:t>
      </w:r>
      <w:r w:rsidR="002801DF" w:rsidRPr="005A3F47">
        <w:rPr>
          <w:i/>
          <w:noProof/>
          <w:lang w:eastAsia="en-GB"/>
        </w:rPr>
        <w:t xml:space="preserve">mpact on tax administrations </w:t>
      </w:r>
      <w:r w:rsidR="00E13261" w:rsidRPr="005A3F47">
        <w:rPr>
          <w:i/>
          <w:noProof/>
          <w:lang w:eastAsia="en-GB"/>
        </w:rPr>
        <w:t>and public finances</w:t>
      </w:r>
    </w:p>
    <w:p w14:paraId="5935DF9B" w14:textId="09BED0E2" w:rsidR="002801DF" w:rsidRPr="005A3F47" w:rsidRDefault="00A35378" w:rsidP="00350E7D">
      <w:pPr>
        <w:rPr>
          <w:noProof/>
        </w:rPr>
      </w:pPr>
      <w:r w:rsidRPr="005A3F47">
        <w:rPr>
          <w:bCs/>
          <w:iCs/>
          <w:noProof/>
        </w:rPr>
        <w:t>P</w:t>
      </w:r>
      <w:r w:rsidR="002801DF" w:rsidRPr="005A3F47">
        <w:rPr>
          <w:noProof/>
        </w:rPr>
        <w:t>lease refer to section 6.2.4.8.</w:t>
      </w:r>
      <w:r w:rsidR="00E13261" w:rsidRPr="005A3F47">
        <w:rPr>
          <w:noProof/>
        </w:rPr>
        <w:t xml:space="preserve"> and Annex 4</w:t>
      </w:r>
      <w:r w:rsidR="00D62138" w:rsidRPr="005A3F47">
        <w:rPr>
          <w:noProof/>
        </w:rPr>
        <w:t>, Section 4.3.</w:t>
      </w:r>
    </w:p>
    <w:p w14:paraId="4D48AB19" w14:textId="1890B7FD" w:rsidR="00A35378" w:rsidRPr="005A3F47" w:rsidRDefault="00A35378" w:rsidP="00350E7D">
      <w:pPr>
        <w:pStyle w:val="Text1"/>
        <w:spacing w:before="240" w:after="120"/>
        <w:ind w:left="0"/>
        <w:rPr>
          <w:i/>
          <w:noProof/>
          <w:lang w:eastAsia="en-GB"/>
        </w:rPr>
      </w:pPr>
      <w:r w:rsidRPr="005A3F47">
        <w:rPr>
          <w:i/>
          <w:noProof/>
          <w:lang w:eastAsia="en-GB"/>
        </w:rPr>
        <w:t>I</w:t>
      </w:r>
      <w:r w:rsidR="00B00AA6" w:rsidRPr="005A3F47">
        <w:rPr>
          <w:i/>
          <w:noProof/>
          <w:lang w:eastAsia="en-GB"/>
        </w:rPr>
        <w:t>mpact on the economy</w:t>
      </w:r>
    </w:p>
    <w:p w14:paraId="082B89A5" w14:textId="13D27728" w:rsidR="00652519" w:rsidRPr="005A3F47" w:rsidRDefault="00A35378" w:rsidP="00CD7088">
      <w:pPr>
        <w:rPr>
          <w:noProof/>
        </w:rPr>
      </w:pPr>
      <w:r w:rsidRPr="005A3F47">
        <w:rPr>
          <w:bCs/>
          <w:iCs/>
          <w:noProof/>
        </w:rPr>
        <w:t>P</w:t>
      </w:r>
      <w:r w:rsidR="00B00AA6" w:rsidRPr="005A3F47">
        <w:rPr>
          <w:noProof/>
        </w:rPr>
        <w:t>lease refer to section 6.2.4.7.</w:t>
      </w:r>
    </w:p>
    <w:p w14:paraId="71C84EC0" w14:textId="76DA9FF0" w:rsidR="006F592E" w:rsidRPr="005A3F47" w:rsidRDefault="00197693" w:rsidP="00DE6B6A">
      <w:pPr>
        <w:pStyle w:val="Heading4"/>
        <w:numPr>
          <w:ilvl w:val="3"/>
          <w:numId w:val="228"/>
        </w:numPr>
        <w:rPr>
          <w:noProof/>
        </w:rPr>
      </w:pPr>
      <w:bookmarkStart w:id="183" w:name="_Ref226463994"/>
      <w:r w:rsidRPr="005A3F47">
        <w:rPr>
          <w:noProof/>
        </w:rPr>
        <w:t xml:space="preserve"> </w:t>
      </w:r>
      <w:r w:rsidR="006F592E" w:rsidRPr="005A3F47">
        <w:rPr>
          <w:noProof/>
        </w:rPr>
        <w:t xml:space="preserve">Option </w:t>
      </w:r>
      <w:r w:rsidR="00123305" w:rsidRPr="005A3F47">
        <w:rPr>
          <w:noProof/>
        </w:rPr>
        <w:t>5</w:t>
      </w:r>
      <w:r w:rsidR="006F592E" w:rsidRPr="005A3F47">
        <w:rPr>
          <w:noProof/>
        </w:rPr>
        <w:t xml:space="preserve">: </w:t>
      </w:r>
      <w:r w:rsidR="004B1765" w:rsidRPr="005A3F47">
        <w:rPr>
          <w:noProof/>
        </w:rPr>
        <w:t>Exemption in case of a profitability shock</w:t>
      </w:r>
      <w:bookmarkEnd w:id="183"/>
    </w:p>
    <w:p w14:paraId="1766983E" w14:textId="700DB73A" w:rsidR="00123305" w:rsidRPr="005A3F47" w:rsidRDefault="00123305" w:rsidP="00123305">
      <w:pPr>
        <w:pStyle w:val="Text2"/>
        <w:ind w:left="0"/>
        <w:rPr>
          <w:noProof/>
        </w:rPr>
      </w:pPr>
      <w:r w:rsidRPr="005A3F47">
        <w:rPr>
          <w:noProof/>
        </w:rPr>
        <w:t>I</w:t>
      </w:r>
      <w:r w:rsidR="006F592E" w:rsidRPr="005A3F47">
        <w:rPr>
          <w:noProof/>
        </w:rPr>
        <w:t xml:space="preserve">f a taxpayer’s EBITDA is reduced by a certain percentage (e.g. 50%) in a year, </w:t>
      </w:r>
      <w:r w:rsidR="00D66457" w:rsidRPr="005A3F47">
        <w:rPr>
          <w:noProof/>
        </w:rPr>
        <w:t xml:space="preserve">the measure would foresee that </w:t>
      </w:r>
      <w:r w:rsidR="006F592E" w:rsidRPr="005A3F47">
        <w:rPr>
          <w:noProof/>
        </w:rPr>
        <w:t>no I</w:t>
      </w:r>
      <w:r w:rsidR="00D5166C" w:rsidRPr="005A3F47">
        <w:rPr>
          <w:noProof/>
        </w:rPr>
        <w:t xml:space="preserve">nterest </w:t>
      </w:r>
      <w:r w:rsidR="006F592E" w:rsidRPr="005A3F47">
        <w:rPr>
          <w:noProof/>
        </w:rPr>
        <w:t>L</w:t>
      </w:r>
      <w:r w:rsidR="00D5166C" w:rsidRPr="005A3F47">
        <w:rPr>
          <w:noProof/>
        </w:rPr>
        <w:t xml:space="preserve">imitation </w:t>
      </w:r>
      <w:r w:rsidR="006F592E" w:rsidRPr="005A3F47">
        <w:rPr>
          <w:noProof/>
        </w:rPr>
        <w:t>R</w:t>
      </w:r>
      <w:r w:rsidR="00D5166C" w:rsidRPr="005A3F47">
        <w:rPr>
          <w:noProof/>
        </w:rPr>
        <w:t>ule</w:t>
      </w:r>
      <w:r w:rsidR="006F592E" w:rsidRPr="005A3F47">
        <w:rPr>
          <w:noProof/>
        </w:rPr>
        <w:t xml:space="preserve"> applies to this taxpayer in that year.</w:t>
      </w:r>
      <w:r w:rsidRPr="005A3F47">
        <w:rPr>
          <w:noProof/>
        </w:rPr>
        <w:t xml:space="preserve"> There is no individual cost estimate for this measure. Its compliance cost savings are included under ‘</w:t>
      </w:r>
      <w:r w:rsidR="00CC482A" w:rsidRPr="005A3F47">
        <w:rPr>
          <w:noProof/>
        </w:rPr>
        <w:t>Options quantified in aggregate</w:t>
      </w:r>
      <w:r w:rsidRPr="005A3F47">
        <w:rPr>
          <w:noProof/>
        </w:rPr>
        <w:t>’ below.</w:t>
      </w:r>
    </w:p>
    <w:p w14:paraId="3C565CF6" w14:textId="649FCA0E" w:rsidR="00A71471" w:rsidRPr="005A3F47" w:rsidRDefault="00197693" w:rsidP="00DE6B6A">
      <w:pPr>
        <w:pStyle w:val="Heading4"/>
        <w:numPr>
          <w:ilvl w:val="3"/>
          <w:numId w:val="228"/>
        </w:numPr>
        <w:rPr>
          <w:noProof/>
        </w:rPr>
      </w:pPr>
      <w:bookmarkStart w:id="184" w:name="_Other_options"/>
      <w:bookmarkStart w:id="185" w:name="_Ref226463811"/>
      <w:bookmarkEnd w:id="184"/>
      <w:r w:rsidRPr="005A3F47">
        <w:rPr>
          <w:noProof/>
        </w:rPr>
        <w:t xml:space="preserve"> </w:t>
      </w:r>
      <w:r w:rsidR="001C36D7" w:rsidRPr="005A3F47">
        <w:rPr>
          <w:noProof/>
        </w:rPr>
        <w:t>O</w:t>
      </w:r>
      <w:r w:rsidR="006C03A7" w:rsidRPr="005A3F47">
        <w:rPr>
          <w:noProof/>
        </w:rPr>
        <w:t>ptions</w:t>
      </w:r>
      <w:r w:rsidR="001C36D7" w:rsidRPr="005A3F47">
        <w:rPr>
          <w:noProof/>
        </w:rPr>
        <w:t xml:space="preserve"> quantified </w:t>
      </w:r>
      <w:bookmarkEnd w:id="185"/>
      <w:r w:rsidR="007D0115" w:rsidRPr="005A3F47">
        <w:rPr>
          <w:noProof/>
        </w:rPr>
        <w:t>in aggregate</w:t>
      </w:r>
    </w:p>
    <w:p w14:paraId="6F857645" w14:textId="77777777" w:rsidR="001C39C6" w:rsidRPr="005A3F47" w:rsidRDefault="0001680A">
      <w:pPr>
        <w:pStyle w:val="Text1"/>
        <w:spacing w:before="240" w:after="120"/>
        <w:ind w:left="0"/>
        <w:rPr>
          <w:bCs/>
          <w:i/>
          <w:noProof/>
        </w:rPr>
      </w:pPr>
      <w:r w:rsidRPr="005A3F47">
        <w:rPr>
          <w:bCs/>
          <w:i/>
          <w:noProof/>
        </w:rPr>
        <w:t>Impact on</w:t>
      </w:r>
      <w:r w:rsidRPr="005A3F47">
        <w:rPr>
          <w:noProof/>
        </w:rPr>
        <w:t xml:space="preserve"> </w:t>
      </w:r>
      <w:r w:rsidRPr="005A3F47">
        <w:rPr>
          <w:bCs/>
          <w:i/>
          <w:noProof/>
        </w:rPr>
        <w:t xml:space="preserve">companies </w:t>
      </w:r>
    </w:p>
    <w:p w14:paraId="14AFB47E" w14:textId="67A886F3" w:rsidR="0001680A" w:rsidRPr="005A3F47" w:rsidRDefault="00487000" w:rsidP="00DE6B6A">
      <w:pPr>
        <w:pStyle w:val="Text1"/>
        <w:spacing w:before="240" w:after="120"/>
        <w:ind w:left="0"/>
        <w:rPr>
          <w:bCs/>
          <w:i/>
          <w:noProof/>
        </w:rPr>
      </w:pPr>
      <w:r w:rsidRPr="005A3F47">
        <w:rPr>
          <w:noProof/>
        </w:rPr>
        <w:t>There are several o</w:t>
      </w:r>
      <w:r w:rsidR="001827B0" w:rsidRPr="005A3F47">
        <w:rPr>
          <w:noProof/>
        </w:rPr>
        <w:t xml:space="preserve">ther </w:t>
      </w:r>
      <w:r w:rsidR="001C0FCD" w:rsidRPr="005A3F47">
        <w:rPr>
          <w:noProof/>
        </w:rPr>
        <w:t xml:space="preserve">simplifications </w:t>
      </w:r>
      <w:r w:rsidR="001827B0" w:rsidRPr="005A3F47">
        <w:rPr>
          <w:noProof/>
        </w:rPr>
        <w:t xml:space="preserve">related </w:t>
      </w:r>
      <w:r w:rsidR="001C0FCD" w:rsidRPr="005A3F47">
        <w:rPr>
          <w:noProof/>
        </w:rPr>
        <w:t xml:space="preserve">to the Interest Limitation Rule </w:t>
      </w:r>
      <w:r w:rsidRPr="005A3F47">
        <w:rPr>
          <w:noProof/>
        </w:rPr>
        <w:t xml:space="preserve">that </w:t>
      </w:r>
      <w:r w:rsidR="00A33F04" w:rsidRPr="005A3F47">
        <w:rPr>
          <w:noProof/>
        </w:rPr>
        <w:t>are</w:t>
      </w:r>
      <w:r w:rsidRPr="005A3F47">
        <w:rPr>
          <w:noProof/>
        </w:rPr>
        <w:t xml:space="preserve"> considered</w:t>
      </w:r>
      <w:r w:rsidR="00A33F04" w:rsidRPr="005A3F47">
        <w:rPr>
          <w:noProof/>
        </w:rPr>
        <w:t xml:space="preserve">, single options identified in Chapter </w:t>
      </w:r>
      <w:r w:rsidR="009A0E28" w:rsidRPr="005A3F47">
        <w:rPr>
          <w:noProof/>
        </w:rPr>
        <w:fldChar w:fldCharType="begin"/>
      </w:r>
      <w:r w:rsidR="009A0E28" w:rsidRPr="005A3F47">
        <w:rPr>
          <w:noProof/>
        </w:rPr>
        <w:instrText xml:space="preserve"> REF _Ref226473898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5</w:t>
      </w:r>
      <w:r w:rsidR="009A0E28" w:rsidRPr="005A3F47">
        <w:rPr>
          <w:noProof/>
        </w:rPr>
        <w:fldChar w:fldCharType="end"/>
      </w:r>
      <w:r w:rsidR="008E110E" w:rsidRPr="005A3F47">
        <w:rPr>
          <w:noProof/>
        </w:rPr>
        <w:t>,</w:t>
      </w:r>
      <w:r w:rsidR="00A33F04" w:rsidRPr="005A3F47">
        <w:rPr>
          <w:noProof/>
        </w:rPr>
        <w:t xml:space="preserve"> but which are analysed in aggregate</w:t>
      </w:r>
      <w:r w:rsidRPr="005A3F47">
        <w:rPr>
          <w:noProof/>
        </w:rPr>
        <w:t>. For example,</w:t>
      </w:r>
      <w:r w:rsidR="00E12150" w:rsidRPr="005A3F47">
        <w:rPr>
          <w:noProof/>
        </w:rPr>
        <w:t xml:space="preserve"> an</w:t>
      </w:r>
      <w:r w:rsidR="001827B0" w:rsidRPr="005A3F47">
        <w:rPr>
          <w:noProof/>
        </w:rPr>
        <w:t xml:space="preserve"> </w:t>
      </w:r>
      <w:r w:rsidR="00EF5F77" w:rsidRPr="005A3F47">
        <w:rPr>
          <w:noProof/>
        </w:rPr>
        <w:t>Option 2: mandatory application of an EU-wide (30%) EBITDA threshold</w:t>
      </w:r>
      <w:r w:rsidR="0045080D" w:rsidRPr="005A3F47">
        <w:rPr>
          <w:noProof/>
        </w:rPr>
        <w:t xml:space="preserve"> (</w:t>
      </w:r>
      <w:r w:rsidR="008E110E" w:rsidRPr="005A3F47">
        <w:rPr>
          <w:noProof/>
        </w:rPr>
        <w:t>S</w:t>
      </w:r>
      <w:r w:rsidR="0045080D" w:rsidRPr="005A3F47">
        <w:rPr>
          <w:noProof/>
        </w:rPr>
        <w:t>ection</w:t>
      </w:r>
      <w:r w:rsidR="001C7846" w:rsidRPr="005A3F47">
        <w:rPr>
          <w:noProof/>
        </w:rPr>
        <w:t xml:space="preserve"> </w:t>
      </w:r>
      <w:hyperlink w:anchor="_Option_2:_Mandatory" w:history="1">
        <w:r w:rsidR="00CC56B6" w:rsidRPr="005A3F47">
          <w:rPr>
            <w:noProof/>
          </w:rPr>
          <w:fldChar w:fldCharType="begin"/>
        </w:r>
        <w:r w:rsidR="00CC56B6" w:rsidRPr="005A3F47">
          <w:rPr>
            <w:noProof/>
          </w:rPr>
          <w:instrText xml:space="preserve"> REF _Ref226463957 \r \h </w:instrText>
        </w:r>
        <w:r w:rsidR="005A3F47">
          <w:rPr>
            <w:noProof/>
          </w:rPr>
          <w:instrText xml:space="preserve"> \* MERGEFORMAT </w:instrText>
        </w:r>
        <w:r w:rsidR="00CC56B6" w:rsidRPr="005A3F47">
          <w:rPr>
            <w:noProof/>
          </w:rPr>
        </w:r>
        <w:r w:rsidR="00CC56B6" w:rsidRPr="005A3F47">
          <w:rPr>
            <w:noProof/>
          </w:rPr>
          <w:fldChar w:fldCharType="separate"/>
        </w:r>
        <w:r w:rsidR="00CF3380">
          <w:rPr>
            <w:noProof/>
          </w:rPr>
          <w:t>6.2.4.2</w:t>
        </w:r>
        <w:r w:rsidR="00CC56B6" w:rsidRPr="005A3F47">
          <w:rPr>
            <w:noProof/>
          </w:rPr>
          <w:fldChar w:fldCharType="end"/>
        </w:r>
      </w:hyperlink>
      <w:r w:rsidR="0045080D" w:rsidRPr="005A3F47">
        <w:rPr>
          <w:noProof/>
        </w:rPr>
        <w:t>)</w:t>
      </w:r>
      <w:r w:rsidR="00EF5F77" w:rsidRPr="005A3F47">
        <w:rPr>
          <w:noProof/>
        </w:rPr>
        <w:t xml:space="preserve">; Option 3: </w:t>
      </w:r>
      <w:r w:rsidR="005958DC" w:rsidRPr="005A3F47">
        <w:rPr>
          <w:noProof/>
        </w:rPr>
        <w:t>Reduc</w:t>
      </w:r>
      <w:r w:rsidR="00C1070E" w:rsidRPr="005A3F47">
        <w:rPr>
          <w:noProof/>
        </w:rPr>
        <w:t>ing</w:t>
      </w:r>
      <w:r w:rsidR="005958DC" w:rsidRPr="005A3F47">
        <w:rPr>
          <w:noProof/>
        </w:rPr>
        <w:t xml:space="preserve"> implementation options</w:t>
      </w:r>
      <w:r w:rsidR="003D0565" w:rsidRPr="005A3F47">
        <w:rPr>
          <w:noProof/>
        </w:rPr>
        <w:t xml:space="preserve"> (</w:t>
      </w:r>
      <w:r w:rsidR="008E110E" w:rsidRPr="005A3F47">
        <w:rPr>
          <w:noProof/>
        </w:rPr>
        <w:t>S</w:t>
      </w:r>
      <w:r w:rsidR="008D3707" w:rsidRPr="005A3F47">
        <w:rPr>
          <w:noProof/>
        </w:rPr>
        <w:t xml:space="preserve">ection </w:t>
      </w:r>
      <w:hyperlink w:anchor="_Option_3:_Reducing" w:history="1">
        <w:r w:rsidR="00CC56B6" w:rsidRPr="005A3F47">
          <w:rPr>
            <w:noProof/>
          </w:rPr>
          <w:fldChar w:fldCharType="begin"/>
        </w:r>
        <w:r w:rsidR="00CC56B6" w:rsidRPr="005A3F47">
          <w:rPr>
            <w:noProof/>
          </w:rPr>
          <w:instrText xml:space="preserve"> REF _Ref226463975 \r \h </w:instrText>
        </w:r>
        <w:r w:rsidR="005A3F47">
          <w:rPr>
            <w:noProof/>
          </w:rPr>
          <w:instrText xml:space="preserve"> \* MERGEFORMAT </w:instrText>
        </w:r>
        <w:r w:rsidR="00CC56B6" w:rsidRPr="005A3F47">
          <w:rPr>
            <w:noProof/>
          </w:rPr>
        </w:r>
        <w:r w:rsidR="00CC56B6" w:rsidRPr="005A3F47">
          <w:rPr>
            <w:noProof/>
          </w:rPr>
          <w:fldChar w:fldCharType="separate"/>
        </w:r>
        <w:r w:rsidR="00CF3380">
          <w:rPr>
            <w:noProof/>
          </w:rPr>
          <w:t>6.2.4.3</w:t>
        </w:r>
        <w:r w:rsidR="00CC56B6" w:rsidRPr="005A3F47">
          <w:rPr>
            <w:noProof/>
          </w:rPr>
          <w:fldChar w:fldCharType="end"/>
        </w:r>
      </w:hyperlink>
      <w:r w:rsidR="008D3707" w:rsidRPr="005A3F47">
        <w:rPr>
          <w:noProof/>
        </w:rPr>
        <w:t>)</w:t>
      </w:r>
      <w:r w:rsidR="00EF5F77" w:rsidRPr="005A3F47">
        <w:rPr>
          <w:noProof/>
        </w:rPr>
        <w:t xml:space="preserve">; Option 5: </w:t>
      </w:r>
      <w:r w:rsidR="0055167D" w:rsidRPr="005A3F47">
        <w:rPr>
          <w:noProof/>
        </w:rPr>
        <w:t>E</w:t>
      </w:r>
      <w:r w:rsidR="00306A58" w:rsidRPr="005A3F47">
        <w:rPr>
          <w:noProof/>
        </w:rPr>
        <w:t>xempt</w:t>
      </w:r>
      <w:r w:rsidR="00F23BE9" w:rsidRPr="005A3F47">
        <w:rPr>
          <w:noProof/>
        </w:rPr>
        <w:t>ion</w:t>
      </w:r>
      <w:r w:rsidR="00306A58" w:rsidRPr="005A3F47">
        <w:rPr>
          <w:noProof/>
        </w:rPr>
        <w:t xml:space="preserve"> in case of </w:t>
      </w:r>
      <w:r w:rsidR="00AC481E" w:rsidRPr="005A3F47">
        <w:rPr>
          <w:noProof/>
        </w:rPr>
        <w:t xml:space="preserve">a </w:t>
      </w:r>
      <w:r w:rsidR="00306A58" w:rsidRPr="005A3F47">
        <w:rPr>
          <w:noProof/>
        </w:rPr>
        <w:t>profitability shock</w:t>
      </w:r>
      <w:r w:rsidR="00B21134" w:rsidRPr="005A3F47">
        <w:rPr>
          <w:noProof/>
        </w:rPr>
        <w:t xml:space="preserve"> (</w:t>
      </w:r>
      <w:r w:rsidR="008E110E" w:rsidRPr="005A3F47">
        <w:rPr>
          <w:noProof/>
        </w:rPr>
        <w:t>S</w:t>
      </w:r>
      <w:r w:rsidR="00554795" w:rsidRPr="005A3F47">
        <w:rPr>
          <w:noProof/>
        </w:rPr>
        <w:t xml:space="preserve">ection </w:t>
      </w:r>
      <w:hyperlink w:anchor="_Option_5:_Exemption" w:history="1">
        <w:r w:rsidR="00CC56B6" w:rsidRPr="005A3F47">
          <w:rPr>
            <w:noProof/>
          </w:rPr>
          <w:fldChar w:fldCharType="begin"/>
        </w:r>
        <w:r w:rsidR="00CC56B6" w:rsidRPr="005A3F47">
          <w:rPr>
            <w:noProof/>
          </w:rPr>
          <w:instrText xml:space="preserve"> REF _Ref226463994 \r \h </w:instrText>
        </w:r>
        <w:r w:rsidR="005A3F47">
          <w:rPr>
            <w:noProof/>
          </w:rPr>
          <w:instrText xml:space="preserve"> \* MERGEFORMAT </w:instrText>
        </w:r>
        <w:r w:rsidR="00CC56B6" w:rsidRPr="005A3F47">
          <w:rPr>
            <w:noProof/>
          </w:rPr>
        </w:r>
        <w:r w:rsidR="00CC56B6" w:rsidRPr="005A3F47">
          <w:rPr>
            <w:noProof/>
          </w:rPr>
          <w:fldChar w:fldCharType="separate"/>
        </w:r>
        <w:r w:rsidR="00CF3380">
          <w:rPr>
            <w:noProof/>
          </w:rPr>
          <w:t>6.2.4.5</w:t>
        </w:r>
        <w:r w:rsidR="00CC56B6" w:rsidRPr="005A3F47">
          <w:rPr>
            <w:noProof/>
          </w:rPr>
          <w:fldChar w:fldCharType="end"/>
        </w:r>
      </w:hyperlink>
      <w:r w:rsidR="00B21134" w:rsidRPr="005A3F47">
        <w:rPr>
          <w:noProof/>
        </w:rPr>
        <w:t>)</w:t>
      </w:r>
      <w:r w:rsidR="00FB04CB" w:rsidRPr="005A3F47">
        <w:rPr>
          <w:noProof/>
        </w:rPr>
        <w:t>.</w:t>
      </w:r>
      <w:r w:rsidR="0001680A" w:rsidRPr="005A3F47">
        <w:rPr>
          <w:noProof/>
        </w:rPr>
        <w:t xml:space="preserve"> </w:t>
      </w:r>
      <w:r w:rsidR="00F67E15" w:rsidRPr="005A3F47">
        <w:rPr>
          <w:noProof/>
        </w:rPr>
        <w:t>All these measures</w:t>
      </w:r>
      <w:r w:rsidR="00C92EA2" w:rsidRPr="005A3F47">
        <w:rPr>
          <w:noProof/>
        </w:rPr>
        <w:t xml:space="preserve"> </w:t>
      </w:r>
      <w:r w:rsidR="00C92EA2" w:rsidRPr="00B800C4">
        <w:rPr>
          <w:noProof/>
        </w:rPr>
        <w:t xml:space="preserve">would limit the currently large variation of the </w:t>
      </w:r>
      <w:r w:rsidR="006C60C5" w:rsidRPr="00B800C4">
        <w:rPr>
          <w:noProof/>
        </w:rPr>
        <w:t xml:space="preserve">implementation </w:t>
      </w:r>
      <w:r w:rsidR="000D76CC" w:rsidRPr="00B800C4">
        <w:rPr>
          <w:noProof/>
        </w:rPr>
        <w:t xml:space="preserve">of the Interest Limitation Rule </w:t>
      </w:r>
      <w:r w:rsidR="006C60C5" w:rsidRPr="00B800C4">
        <w:rPr>
          <w:noProof/>
        </w:rPr>
        <w:t xml:space="preserve">across the EU. </w:t>
      </w:r>
      <w:r w:rsidR="00896E4D" w:rsidRPr="00B800C4">
        <w:rPr>
          <w:noProof/>
        </w:rPr>
        <w:t>They</w:t>
      </w:r>
      <w:r w:rsidR="00A43603" w:rsidRPr="00B800C4">
        <w:rPr>
          <w:noProof/>
        </w:rPr>
        <w:t xml:space="preserve"> would </w:t>
      </w:r>
      <w:r w:rsidR="006C158D" w:rsidRPr="00B800C4">
        <w:rPr>
          <w:noProof/>
        </w:rPr>
        <w:t>standardise</w:t>
      </w:r>
      <w:r w:rsidR="006C158D" w:rsidRPr="005A3F47">
        <w:rPr>
          <w:noProof/>
        </w:rPr>
        <w:t xml:space="preserve"> </w:t>
      </w:r>
      <w:r w:rsidR="002975A6" w:rsidRPr="005A3F47">
        <w:rPr>
          <w:noProof/>
        </w:rPr>
        <w:t xml:space="preserve">the </w:t>
      </w:r>
      <w:r w:rsidR="006C158D" w:rsidRPr="005A3F47">
        <w:rPr>
          <w:noProof/>
        </w:rPr>
        <w:t>I</w:t>
      </w:r>
      <w:r w:rsidR="000D76CC" w:rsidRPr="005A3F47">
        <w:rPr>
          <w:noProof/>
        </w:rPr>
        <w:t xml:space="preserve">nterest </w:t>
      </w:r>
      <w:r w:rsidR="006C158D" w:rsidRPr="005A3F47">
        <w:rPr>
          <w:noProof/>
        </w:rPr>
        <w:t>L</w:t>
      </w:r>
      <w:r w:rsidR="000D76CC" w:rsidRPr="005A3F47">
        <w:rPr>
          <w:noProof/>
        </w:rPr>
        <w:t xml:space="preserve">imitation </w:t>
      </w:r>
      <w:r w:rsidR="006C158D" w:rsidRPr="005A3F47">
        <w:rPr>
          <w:noProof/>
        </w:rPr>
        <w:t>R</w:t>
      </w:r>
      <w:r w:rsidR="000D76CC" w:rsidRPr="005A3F47">
        <w:rPr>
          <w:noProof/>
        </w:rPr>
        <w:t>ule</w:t>
      </w:r>
      <w:r w:rsidR="006C158D" w:rsidRPr="005A3F47">
        <w:rPr>
          <w:noProof/>
        </w:rPr>
        <w:t xml:space="preserve"> across Member States</w:t>
      </w:r>
      <w:r w:rsidR="004D302B" w:rsidRPr="005A3F47">
        <w:rPr>
          <w:noProof/>
        </w:rPr>
        <w:t>,</w:t>
      </w:r>
      <w:r w:rsidR="00A43603" w:rsidRPr="005A3F47">
        <w:rPr>
          <w:noProof/>
        </w:rPr>
        <w:t xml:space="preserve"> thereby contribut</w:t>
      </w:r>
      <w:r w:rsidR="0635A627" w:rsidRPr="005A3F47">
        <w:rPr>
          <w:noProof/>
        </w:rPr>
        <w:t>i</w:t>
      </w:r>
      <w:r w:rsidR="00146513" w:rsidRPr="005A3F47">
        <w:rPr>
          <w:noProof/>
        </w:rPr>
        <w:t>n</w:t>
      </w:r>
      <w:r w:rsidR="0635A627" w:rsidRPr="005A3F47">
        <w:rPr>
          <w:noProof/>
        </w:rPr>
        <w:t>g</w:t>
      </w:r>
      <w:r w:rsidR="00A43603" w:rsidRPr="005A3F47">
        <w:rPr>
          <w:noProof/>
        </w:rPr>
        <w:t xml:space="preserve"> to </w:t>
      </w:r>
      <w:r w:rsidR="002975A6" w:rsidRPr="005A3F47">
        <w:rPr>
          <w:noProof/>
        </w:rPr>
        <w:t xml:space="preserve">a </w:t>
      </w:r>
      <w:r w:rsidR="00A43603" w:rsidRPr="005A3F47">
        <w:rPr>
          <w:noProof/>
        </w:rPr>
        <w:t>more consistent</w:t>
      </w:r>
      <w:r w:rsidR="00C87A97" w:rsidRPr="005A3F47">
        <w:rPr>
          <w:noProof/>
        </w:rPr>
        <w:t xml:space="preserve"> interpretation of legal terms</w:t>
      </w:r>
      <w:r w:rsidR="008E3DF0" w:rsidRPr="005A3F47">
        <w:rPr>
          <w:noProof/>
        </w:rPr>
        <w:t>.</w:t>
      </w:r>
      <w:r w:rsidR="00F56CA4" w:rsidRPr="005A3F47">
        <w:rPr>
          <w:noProof/>
        </w:rPr>
        <w:t xml:space="preserve"> </w:t>
      </w:r>
      <w:r w:rsidR="00264FF8" w:rsidRPr="005A3F47">
        <w:rPr>
          <w:noProof/>
        </w:rPr>
        <w:t xml:space="preserve">Exemptions in the case of </w:t>
      </w:r>
      <w:r w:rsidR="007E40F4" w:rsidRPr="005A3F47">
        <w:rPr>
          <w:noProof/>
        </w:rPr>
        <w:t xml:space="preserve">profitability shocks from one year to another </w:t>
      </w:r>
      <w:r w:rsidR="00A9728C" w:rsidRPr="005A3F47">
        <w:rPr>
          <w:noProof/>
        </w:rPr>
        <w:t xml:space="preserve">would </w:t>
      </w:r>
      <w:r w:rsidR="005B5FA1" w:rsidRPr="005A3F47">
        <w:rPr>
          <w:noProof/>
        </w:rPr>
        <w:t>smoothen the impact of</w:t>
      </w:r>
      <w:r w:rsidR="00264FF8" w:rsidRPr="005A3F47">
        <w:rPr>
          <w:noProof/>
        </w:rPr>
        <w:t xml:space="preserve"> </w:t>
      </w:r>
      <w:r w:rsidR="000D76CC" w:rsidRPr="005A3F47">
        <w:rPr>
          <w:noProof/>
        </w:rPr>
        <w:t xml:space="preserve">the </w:t>
      </w:r>
      <w:r w:rsidR="00264FF8" w:rsidRPr="005A3F47">
        <w:rPr>
          <w:noProof/>
        </w:rPr>
        <w:t>I</w:t>
      </w:r>
      <w:r w:rsidR="000D76CC" w:rsidRPr="005A3F47">
        <w:rPr>
          <w:noProof/>
        </w:rPr>
        <w:t xml:space="preserve">nterest </w:t>
      </w:r>
      <w:r w:rsidR="00264FF8" w:rsidRPr="005A3F47">
        <w:rPr>
          <w:noProof/>
        </w:rPr>
        <w:t>L</w:t>
      </w:r>
      <w:r w:rsidR="000D76CC" w:rsidRPr="005A3F47">
        <w:rPr>
          <w:noProof/>
        </w:rPr>
        <w:t xml:space="preserve">imitation </w:t>
      </w:r>
      <w:r w:rsidR="00264FF8" w:rsidRPr="005A3F47">
        <w:rPr>
          <w:noProof/>
        </w:rPr>
        <w:t>R</w:t>
      </w:r>
      <w:r w:rsidR="000D76CC" w:rsidRPr="005A3F47">
        <w:rPr>
          <w:noProof/>
        </w:rPr>
        <w:t>ule</w:t>
      </w:r>
      <w:r w:rsidR="00264FF8" w:rsidRPr="005A3F47">
        <w:rPr>
          <w:noProof/>
        </w:rPr>
        <w:t xml:space="preserve"> on </w:t>
      </w:r>
      <w:r w:rsidR="00B50A67" w:rsidRPr="005A3F47">
        <w:rPr>
          <w:noProof/>
        </w:rPr>
        <w:t xml:space="preserve">interest expense deductibility, </w:t>
      </w:r>
      <w:r w:rsidR="00383397" w:rsidRPr="005A3F47">
        <w:rPr>
          <w:noProof/>
        </w:rPr>
        <w:t xml:space="preserve">also </w:t>
      </w:r>
      <w:r w:rsidR="00BA567F" w:rsidRPr="005A3F47">
        <w:rPr>
          <w:noProof/>
        </w:rPr>
        <w:t xml:space="preserve">simplifying </w:t>
      </w:r>
      <w:r w:rsidR="000D76CC" w:rsidRPr="005A3F47">
        <w:rPr>
          <w:noProof/>
        </w:rPr>
        <w:t xml:space="preserve">the </w:t>
      </w:r>
      <w:r w:rsidR="00BA567F" w:rsidRPr="005A3F47">
        <w:rPr>
          <w:noProof/>
        </w:rPr>
        <w:t>I</w:t>
      </w:r>
      <w:r w:rsidR="000D76CC" w:rsidRPr="005A3F47">
        <w:rPr>
          <w:noProof/>
        </w:rPr>
        <w:t xml:space="preserve">nterest </w:t>
      </w:r>
      <w:r w:rsidR="00BA567F" w:rsidRPr="005A3F47">
        <w:rPr>
          <w:noProof/>
        </w:rPr>
        <w:t>L</w:t>
      </w:r>
      <w:r w:rsidR="000D76CC" w:rsidRPr="005A3F47">
        <w:rPr>
          <w:noProof/>
        </w:rPr>
        <w:t xml:space="preserve">imitation </w:t>
      </w:r>
      <w:r w:rsidR="00BA567F" w:rsidRPr="005A3F47">
        <w:rPr>
          <w:noProof/>
        </w:rPr>
        <w:t>R</w:t>
      </w:r>
      <w:r w:rsidR="000D76CC" w:rsidRPr="005A3F47">
        <w:rPr>
          <w:noProof/>
        </w:rPr>
        <w:t>ule</w:t>
      </w:r>
      <w:r w:rsidR="00BA567F" w:rsidRPr="005A3F47">
        <w:rPr>
          <w:noProof/>
        </w:rPr>
        <w:t xml:space="preserve"> and facilitating compliance.</w:t>
      </w:r>
      <w:r w:rsidR="005B5FA1" w:rsidRPr="005A3F47">
        <w:rPr>
          <w:noProof/>
        </w:rPr>
        <w:t xml:space="preserve"> </w:t>
      </w:r>
    </w:p>
    <w:p w14:paraId="44692245" w14:textId="087B090F" w:rsidR="00DD2732" w:rsidRPr="005A3F47" w:rsidRDefault="00BA521E" w:rsidP="001C531F">
      <w:pPr>
        <w:pStyle w:val="Text2"/>
        <w:ind w:left="0"/>
        <w:rPr>
          <w:noProof/>
        </w:rPr>
      </w:pPr>
      <w:r w:rsidRPr="005A3F47">
        <w:rPr>
          <w:noProof/>
        </w:rPr>
        <w:t>It is well established that</w:t>
      </w:r>
      <w:r w:rsidR="00951DC5" w:rsidRPr="005A3F47">
        <w:rPr>
          <w:noProof/>
        </w:rPr>
        <w:t>,</w:t>
      </w:r>
      <w:r w:rsidRPr="005A3F47">
        <w:rPr>
          <w:noProof/>
        </w:rPr>
        <w:t xml:space="preserve"> </w:t>
      </w:r>
      <w:r w:rsidR="00881FBA" w:rsidRPr="005A3F47">
        <w:rPr>
          <w:noProof/>
        </w:rPr>
        <w:t>f</w:t>
      </w:r>
      <w:r w:rsidR="00FC3B89" w:rsidRPr="005A3F47">
        <w:rPr>
          <w:noProof/>
        </w:rPr>
        <w:t xml:space="preserve">rom the perspective of internationally active companies, standardisations </w:t>
      </w:r>
      <w:r w:rsidR="00031C35" w:rsidRPr="005A3F47">
        <w:rPr>
          <w:noProof/>
        </w:rPr>
        <w:t xml:space="preserve">and simplifications </w:t>
      </w:r>
      <w:r w:rsidR="00FC3B89" w:rsidRPr="005A3F47">
        <w:rPr>
          <w:noProof/>
        </w:rPr>
        <w:t xml:space="preserve">would </w:t>
      </w:r>
      <w:r w:rsidR="00267758" w:rsidRPr="005A3F47">
        <w:rPr>
          <w:noProof/>
        </w:rPr>
        <w:t>directly reduce</w:t>
      </w:r>
      <w:r w:rsidR="00B37D37" w:rsidRPr="005A3F47">
        <w:rPr>
          <w:noProof/>
        </w:rPr>
        <w:t xml:space="preserve"> compliance costs.</w:t>
      </w:r>
      <w:r w:rsidR="00881FBA" w:rsidRPr="005A3F47">
        <w:rPr>
          <w:rStyle w:val="FootnoteReference"/>
          <w:noProof/>
        </w:rPr>
        <w:footnoteReference w:id="107"/>
      </w:r>
      <w:r w:rsidR="00B37D37" w:rsidRPr="005A3F47">
        <w:rPr>
          <w:noProof/>
        </w:rPr>
        <w:t xml:space="preserve"> </w:t>
      </w:r>
      <w:r w:rsidR="00E86BE1" w:rsidRPr="005A3F47">
        <w:rPr>
          <w:noProof/>
        </w:rPr>
        <w:t>The</w:t>
      </w:r>
      <w:r w:rsidR="00FB3672" w:rsidRPr="005A3F47">
        <w:rPr>
          <w:noProof/>
        </w:rPr>
        <w:t xml:space="preserve"> measures proposed here</w:t>
      </w:r>
      <w:r w:rsidR="00E86BE1" w:rsidRPr="005A3F47">
        <w:rPr>
          <w:noProof/>
        </w:rPr>
        <w:t xml:space="preserve"> would eliminate the need </w:t>
      </w:r>
      <w:r w:rsidR="0057054E" w:rsidRPr="005A3F47">
        <w:rPr>
          <w:noProof/>
        </w:rPr>
        <w:t xml:space="preserve">for businesses to navigate </w:t>
      </w:r>
      <w:r w:rsidR="009F0573" w:rsidRPr="005A3F47">
        <w:rPr>
          <w:noProof/>
        </w:rPr>
        <w:t xml:space="preserve">varied implementation rules across the Member States, such as different </w:t>
      </w:r>
      <w:r w:rsidR="00C50687" w:rsidRPr="005A3F47">
        <w:rPr>
          <w:noProof/>
        </w:rPr>
        <w:t>thresholds</w:t>
      </w:r>
      <w:r w:rsidR="00C51D92" w:rsidRPr="005A3F47">
        <w:rPr>
          <w:noProof/>
        </w:rPr>
        <w:t xml:space="preserve"> and escape rules</w:t>
      </w:r>
      <w:r w:rsidR="008B087A" w:rsidRPr="005A3F47">
        <w:rPr>
          <w:noProof/>
        </w:rPr>
        <w:t>.</w:t>
      </w:r>
      <w:r w:rsidR="00F71436" w:rsidRPr="005A3F47">
        <w:rPr>
          <w:noProof/>
        </w:rPr>
        <w:t xml:space="preserve"> </w:t>
      </w:r>
      <w:r w:rsidR="007A2BB8" w:rsidRPr="005A3F47">
        <w:rPr>
          <w:noProof/>
        </w:rPr>
        <w:t xml:space="preserve">They could therefore reduce compliance cost of all MNE groups operating in the EU. </w:t>
      </w:r>
      <w:r w:rsidR="002975A6" w:rsidRPr="005A3F47">
        <w:rPr>
          <w:noProof/>
        </w:rPr>
        <w:t>However, t</w:t>
      </w:r>
      <w:r w:rsidR="0059265A" w:rsidRPr="005A3F47">
        <w:rPr>
          <w:noProof/>
        </w:rPr>
        <w:t xml:space="preserve">here is no empirical precedent </w:t>
      </w:r>
      <w:r w:rsidR="002975A6" w:rsidRPr="005A3F47">
        <w:rPr>
          <w:noProof/>
        </w:rPr>
        <w:t xml:space="preserve">or quantitative data </w:t>
      </w:r>
      <w:r w:rsidR="00F60D98" w:rsidRPr="005A3F47">
        <w:rPr>
          <w:noProof/>
        </w:rPr>
        <w:t xml:space="preserve">that </w:t>
      </w:r>
      <w:r w:rsidR="0059265A" w:rsidRPr="005A3F47">
        <w:rPr>
          <w:noProof/>
        </w:rPr>
        <w:t xml:space="preserve">one could use to </w:t>
      </w:r>
      <w:r w:rsidR="009E533D" w:rsidRPr="005A3F47">
        <w:rPr>
          <w:noProof/>
        </w:rPr>
        <w:t xml:space="preserve">estimate </w:t>
      </w:r>
      <w:r w:rsidR="00ED6803" w:rsidRPr="005A3F47">
        <w:rPr>
          <w:noProof/>
        </w:rPr>
        <w:t>the</w:t>
      </w:r>
      <w:r w:rsidR="004E21EA" w:rsidRPr="005A3F47">
        <w:rPr>
          <w:noProof/>
        </w:rPr>
        <w:t xml:space="preserve"> </w:t>
      </w:r>
      <w:r w:rsidR="00B72C2C" w:rsidRPr="005A3F47">
        <w:rPr>
          <w:noProof/>
        </w:rPr>
        <w:t>cost reduction</w:t>
      </w:r>
      <w:r w:rsidR="00557DCF" w:rsidRPr="005A3F47">
        <w:rPr>
          <w:noProof/>
        </w:rPr>
        <w:t xml:space="preserve"> </w:t>
      </w:r>
      <w:r w:rsidR="004E21EA" w:rsidRPr="005A3F47">
        <w:rPr>
          <w:noProof/>
        </w:rPr>
        <w:t>a</w:t>
      </w:r>
      <w:r w:rsidR="00557DCF" w:rsidRPr="005A3F47">
        <w:rPr>
          <w:noProof/>
        </w:rPr>
        <w:t xml:space="preserve"> </w:t>
      </w:r>
      <w:r w:rsidR="00623999" w:rsidRPr="005A3F47">
        <w:rPr>
          <w:noProof/>
        </w:rPr>
        <w:t>company could realise due to the measures</w:t>
      </w:r>
      <w:r w:rsidR="00B72C2C" w:rsidRPr="005A3F47">
        <w:rPr>
          <w:noProof/>
        </w:rPr>
        <w:t xml:space="preserve">. </w:t>
      </w:r>
      <w:r w:rsidR="0088255F" w:rsidRPr="005A3F47">
        <w:rPr>
          <w:noProof/>
        </w:rPr>
        <w:t xml:space="preserve">In the absence of any </w:t>
      </w:r>
      <w:r w:rsidR="005C685B" w:rsidRPr="005A3F47">
        <w:rPr>
          <w:noProof/>
        </w:rPr>
        <w:t xml:space="preserve">information </w:t>
      </w:r>
      <w:r w:rsidR="006B3507" w:rsidRPr="005A3F47">
        <w:rPr>
          <w:noProof/>
        </w:rPr>
        <w:t>in that context, we</w:t>
      </w:r>
      <w:r w:rsidR="00B72C2C" w:rsidRPr="005A3F47">
        <w:rPr>
          <w:noProof/>
        </w:rPr>
        <w:t xml:space="preserve"> </w:t>
      </w:r>
      <w:r w:rsidR="006B3507" w:rsidRPr="005A3F47">
        <w:rPr>
          <w:noProof/>
        </w:rPr>
        <w:t>a</w:t>
      </w:r>
      <w:r w:rsidR="00EF1449" w:rsidRPr="005A3F47">
        <w:rPr>
          <w:noProof/>
        </w:rPr>
        <w:t>ssum</w:t>
      </w:r>
      <w:r w:rsidR="006B3507" w:rsidRPr="005A3F47">
        <w:rPr>
          <w:noProof/>
        </w:rPr>
        <w:t>e</w:t>
      </w:r>
      <w:r w:rsidR="00EF1449" w:rsidRPr="005A3F47">
        <w:rPr>
          <w:noProof/>
        </w:rPr>
        <w:t xml:space="preserve"> </w:t>
      </w:r>
      <w:r w:rsidR="00496A75" w:rsidRPr="005A3F47">
        <w:rPr>
          <w:noProof/>
        </w:rPr>
        <w:t xml:space="preserve">that </w:t>
      </w:r>
      <w:r w:rsidR="007D5746" w:rsidRPr="005A3F47">
        <w:rPr>
          <w:noProof/>
        </w:rPr>
        <w:t xml:space="preserve">the </w:t>
      </w:r>
      <w:r w:rsidR="00496A75" w:rsidRPr="005A3F47">
        <w:rPr>
          <w:noProof/>
        </w:rPr>
        <w:t xml:space="preserve">cost </w:t>
      </w:r>
      <w:r w:rsidR="008F0ECB" w:rsidRPr="005A3F47">
        <w:rPr>
          <w:noProof/>
        </w:rPr>
        <w:t>of compl</w:t>
      </w:r>
      <w:r w:rsidR="005D5B9C" w:rsidRPr="005A3F47">
        <w:rPr>
          <w:noProof/>
        </w:rPr>
        <w:t xml:space="preserve">ying </w:t>
      </w:r>
      <w:r w:rsidR="008F0ECB" w:rsidRPr="005A3F47">
        <w:rPr>
          <w:noProof/>
        </w:rPr>
        <w:t>with</w:t>
      </w:r>
      <w:r w:rsidR="00496A75" w:rsidRPr="005A3F47">
        <w:rPr>
          <w:noProof/>
        </w:rPr>
        <w:t xml:space="preserve"> the</w:t>
      </w:r>
      <w:r w:rsidR="00EF1449" w:rsidRPr="005A3F47">
        <w:rPr>
          <w:noProof/>
        </w:rPr>
        <w:t xml:space="preserve"> </w:t>
      </w:r>
      <w:r w:rsidR="00A911A0" w:rsidRPr="005A3F47">
        <w:rPr>
          <w:noProof/>
        </w:rPr>
        <w:t>I</w:t>
      </w:r>
      <w:r w:rsidR="00DA1D2C" w:rsidRPr="005A3F47">
        <w:rPr>
          <w:noProof/>
        </w:rPr>
        <w:t xml:space="preserve">nterest </w:t>
      </w:r>
      <w:r w:rsidR="00A911A0" w:rsidRPr="005A3F47">
        <w:rPr>
          <w:noProof/>
        </w:rPr>
        <w:t>L</w:t>
      </w:r>
      <w:r w:rsidR="00DA1D2C" w:rsidRPr="005A3F47">
        <w:rPr>
          <w:noProof/>
        </w:rPr>
        <w:t xml:space="preserve">imitation </w:t>
      </w:r>
      <w:r w:rsidR="00A911A0" w:rsidRPr="005A3F47">
        <w:rPr>
          <w:noProof/>
        </w:rPr>
        <w:t>R</w:t>
      </w:r>
      <w:r w:rsidR="00DA1D2C" w:rsidRPr="005A3F47">
        <w:rPr>
          <w:noProof/>
        </w:rPr>
        <w:t>ule</w:t>
      </w:r>
      <w:r w:rsidR="00496A75" w:rsidRPr="005A3F47">
        <w:rPr>
          <w:noProof/>
        </w:rPr>
        <w:t xml:space="preserve"> could be reduced by </w:t>
      </w:r>
      <w:r w:rsidR="00F35227" w:rsidRPr="005A3F47">
        <w:rPr>
          <w:noProof/>
        </w:rPr>
        <w:t>5</w:t>
      </w:r>
      <w:r w:rsidR="00785E48" w:rsidRPr="005A3F47">
        <w:rPr>
          <w:noProof/>
        </w:rPr>
        <w:t>%</w:t>
      </w:r>
      <w:r w:rsidR="00720F67" w:rsidRPr="005A3F47">
        <w:rPr>
          <w:noProof/>
        </w:rPr>
        <w:t xml:space="preserve"> per group on average</w:t>
      </w:r>
      <w:r w:rsidR="006B3507" w:rsidRPr="005A3F47">
        <w:rPr>
          <w:noProof/>
        </w:rPr>
        <w:t>.</w:t>
      </w:r>
      <w:r w:rsidR="00785E48" w:rsidRPr="005A3F47">
        <w:rPr>
          <w:noProof/>
        </w:rPr>
        <w:t xml:space="preserve"> </w:t>
      </w:r>
      <w:r w:rsidR="00E8566B" w:rsidRPr="005A3F47">
        <w:rPr>
          <w:noProof/>
        </w:rPr>
        <w:t xml:space="preserve">The assumption </w:t>
      </w:r>
      <w:r w:rsidR="00442FA4" w:rsidRPr="005A3F47">
        <w:rPr>
          <w:noProof/>
        </w:rPr>
        <w:t xml:space="preserve">could </w:t>
      </w:r>
      <w:r w:rsidR="00C326BF" w:rsidRPr="005A3F47">
        <w:rPr>
          <w:noProof/>
        </w:rPr>
        <w:t xml:space="preserve">then </w:t>
      </w:r>
      <w:r w:rsidR="00442FA4" w:rsidRPr="005A3F47">
        <w:rPr>
          <w:noProof/>
        </w:rPr>
        <w:t>result in savings of</w:t>
      </w:r>
      <w:r w:rsidR="00223296" w:rsidRPr="005A3F47">
        <w:rPr>
          <w:noProof/>
        </w:rPr>
        <w:t xml:space="preserve"> EUR 80 million per year (≈ </w:t>
      </w:r>
      <w:r w:rsidR="001C531F" w:rsidRPr="005A3F47">
        <w:rPr>
          <w:noProof/>
        </w:rPr>
        <w:t>33</w:t>
      </w:r>
      <w:r w:rsidR="00961292" w:rsidRPr="005A3F47">
        <w:rPr>
          <w:noProof/>
        </w:rPr>
        <w:t>,</w:t>
      </w:r>
      <w:r w:rsidR="001C531F" w:rsidRPr="005A3F47">
        <w:rPr>
          <w:noProof/>
        </w:rPr>
        <w:t xml:space="preserve">000 </w:t>
      </w:r>
      <w:r w:rsidR="00F041EE" w:rsidRPr="005A3F47">
        <w:rPr>
          <w:noProof/>
        </w:rPr>
        <w:t xml:space="preserve">EUR </w:t>
      </w:r>
      <w:r w:rsidR="00EF13E0" w:rsidRPr="005A3F47">
        <w:rPr>
          <w:noProof/>
        </w:rPr>
        <w:t>* 1/</w:t>
      </w:r>
      <w:r w:rsidR="00A40915" w:rsidRPr="005A3F47">
        <w:rPr>
          <w:noProof/>
        </w:rPr>
        <w:t>3</w:t>
      </w:r>
      <w:r w:rsidR="001C531F" w:rsidRPr="005A3F47">
        <w:rPr>
          <w:noProof/>
        </w:rPr>
        <w:t xml:space="preserve"> * </w:t>
      </w:r>
      <w:r w:rsidR="001A273B" w:rsidRPr="005A3F47">
        <w:rPr>
          <w:noProof/>
        </w:rPr>
        <w:t>5</w:t>
      </w:r>
      <w:r w:rsidR="001C531F" w:rsidRPr="005A3F47">
        <w:rPr>
          <w:noProof/>
        </w:rPr>
        <w:t>% * 151</w:t>
      </w:r>
      <w:r w:rsidR="00961292" w:rsidRPr="005A3F47">
        <w:rPr>
          <w:noProof/>
        </w:rPr>
        <w:t>,</w:t>
      </w:r>
      <w:r w:rsidR="001C531F" w:rsidRPr="005A3F47">
        <w:rPr>
          <w:noProof/>
        </w:rPr>
        <w:t>000</w:t>
      </w:r>
      <w:r w:rsidR="00F041EE" w:rsidRPr="005A3F47">
        <w:rPr>
          <w:noProof/>
        </w:rPr>
        <w:t xml:space="preserve"> groups</w:t>
      </w:r>
      <w:r w:rsidR="00223296" w:rsidRPr="005A3F47">
        <w:rPr>
          <w:noProof/>
        </w:rPr>
        <w:t>)</w:t>
      </w:r>
      <w:r w:rsidR="001C531F" w:rsidRPr="005A3F47">
        <w:rPr>
          <w:noProof/>
        </w:rPr>
        <w:t xml:space="preserve">. </w:t>
      </w:r>
      <w:r w:rsidR="0063023D" w:rsidRPr="005A3F47">
        <w:rPr>
          <w:noProof/>
        </w:rPr>
        <w:t xml:space="preserve">This would imply </w:t>
      </w:r>
      <w:r w:rsidR="00775B80" w:rsidRPr="005A3F47">
        <w:rPr>
          <w:noProof/>
        </w:rPr>
        <w:t xml:space="preserve">overall </w:t>
      </w:r>
      <w:r w:rsidR="004B71F2" w:rsidRPr="005A3F47">
        <w:rPr>
          <w:noProof/>
        </w:rPr>
        <w:t>ATAD-re</w:t>
      </w:r>
      <w:r w:rsidR="00C03C31" w:rsidRPr="005A3F47">
        <w:rPr>
          <w:noProof/>
        </w:rPr>
        <w:t>la</w:t>
      </w:r>
      <w:r w:rsidR="004B71F2" w:rsidRPr="005A3F47">
        <w:rPr>
          <w:noProof/>
        </w:rPr>
        <w:t xml:space="preserve">ted </w:t>
      </w:r>
      <w:r w:rsidR="0063023D" w:rsidRPr="005A3F47">
        <w:rPr>
          <w:noProof/>
        </w:rPr>
        <w:t xml:space="preserve">compliance costs per </w:t>
      </w:r>
      <w:r w:rsidR="00D16EB2" w:rsidRPr="005A3F47">
        <w:rPr>
          <w:noProof/>
        </w:rPr>
        <w:t>group</w:t>
      </w:r>
      <w:r w:rsidR="0063023D" w:rsidRPr="005A3F47">
        <w:rPr>
          <w:noProof/>
        </w:rPr>
        <w:t xml:space="preserve"> of EUR 33,00</w:t>
      </w:r>
      <w:r w:rsidR="00A96B4E" w:rsidRPr="005A3F47">
        <w:rPr>
          <w:noProof/>
        </w:rPr>
        <w:t xml:space="preserve">0, </w:t>
      </w:r>
      <w:r w:rsidR="007639F2" w:rsidRPr="005A3F47">
        <w:rPr>
          <w:noProof/>
        </w:rPr>
        <w:t xml:space="preserve">and that </w:t>
      </w:r>
      <w:r w:rsidR="00A96B4E" w:rsidRPr="005A3F47">
        <w:rPr>
          <w:noProof/>
        </w:rPr>
        <w:t xml:space="preserve">one third of </w:t>
      </w:r>
      <w:r w:rsidR="007639F2" w:rsidRPr="005A3F47">
        <w:rPr>
          <w:noProof/>
        </w:rPr>
        <w:t xml:space="preserve">these costs </w:t>
      </w:r>
      <w:r w:rsidR="001B0A04" w:rsidRPr="005A3F47">
        <w:rPr>
          <w:noProof/>
        </w:rPr>
        <w:t>relate to</w:t>
      </w:r>
      <w:r w:rsidR="00C03C31" w:rsidRPr="005A3F47">
        <w:rPr>
          <w:noProof/>
        </w:rPr>
        <w:t xml:space="preserve"> the Interest Limitation Rule</w:t>
      </w:r>
      <w:r w:rsidR="002F5959" w:rsidRPr="005A3F47">
        <w:rPr>
          <w:noProof/>
        </w:rPr>
        <w:t xml:space="preserve"> (see Annex 4, Section 1</w:t>
      </w:r>
      <w:r w:rsidR="0016050C" w:rsidRPr="005A3F47">
        <w:rPr>
          <w:noProof/>
        </w:rPr>
        <w:t xml:space="preserve"> for these assumptions</w:t>
      </w:r>
      <w:r w:rsidR="002F5959" w:rsidRPr="005A3F47">
        <w:rPr>
          <w:noProof/>
        </w:rPr>
        <w:t>)</w:t>
      </w:r>
      <w:r w:rsidR="00C03C31" w:rsidRPr="005A3F47">
        <w:rPr>
          <w:noProof/>
        </w:rPr>
        <w:t>.</w:t>
      </w:r>
      <w:r w:rsidR="001C531F" w:rsidRPr="005A3F47">
        <w:rPr>
          <w:noProof/>
        </w:rPr>
        <w:t xml:space="preserve">  </w:t>
      </w:r>
    </w:p>
    <w:p w14:paraId="2318365A" w14:textId="135BDD91" w:rsidR="00E6420B" w:rsidRPr="005A3F47" w:rsidRDefault="00E6420B" w:rsidP="007533B1">
      <w:pPr>
        <w:pStyle w:val="Text1"/>
        <w:spacing w:before="240" w:after="120"/>
        <w:ind w:left="0"/>
        <w:rPr>
          <w:i/>
          <w:noProof/>
          <w:lang w:eastAsia="en-GB"/>
        </w:rPr>
      </w:pPr>
      <w:r w:rsidRPr="005A3F47">
        <w:rPr>
          <w:i/>
          <w:noProof/>
          <w:lang w:eastAsia="en-GB"/>
        </w:rPr>
        <w:t>I</w:t>
      </w:r>
      <w:r w:rsidR="0001680A" w:rsidRPr="005A3F47">
        <w:rPr>
          <w:i/>
          <w:noProof/>
          <w:lang w:eastAsia="en-GB"/>
        </w:rPr>
        <w:t>mpact on the economy</w:t>
      </w:r>
    </w:p>
    <w:p w14:paraId="17809A4B" w14:textId="295DACB1" w:rsidR="0001680A" w:rsidRPr="005A3F47" w:rsidRDefault="00E6420B" w:rsidP="007533B1">
      <w:pPr>
        <w:rPr>
          <w:noProof/>
        </w:rPr>
      </w:pPr>
      <w:r w:rsidRPr="005A3F47">
        <w:rPr>
          <w:bCs/>
          <w:iCs/>
          <w:noProof/>
        </w:rPr>
        <w:t>P</w:t>
      </w:r>
      <w:r w:rsidR="0001680A" w:rsidRPr="005A3F47">
        <w:rPr>
          <w:noProof/>
        </w:rPr>
        <w:t>lease refer to section 6.2.4.7.</w:t>
      </w:r>
    </w:p>
    <w:p w14:paraId="04D08BD5" w14:textId="0E957BF3" w:rsidR="00AE10BB" w:rsidRPr="005A3F47" w:rsidRDefault="00197693" w:rsidP="007533B1">
      <w:pPr>
        <w:pStyle w:val="Heading4"/>
        <w:numPr>
          <w:ilvl w:val="3"/>
          <w:numId w:val="228"/>
        </w:numPr>
        <w:rPr>
          <w:noProof/>
        </w:rPr>
      </w:pPr>
      <w:bookmarkStart w:id="186" w:name="_The_economic_rationale"/>
      <w:bookmarkStart w:id="187" w:name="_Ref226463841"/>
      <w:bookmarkEnd w:id="186"/>
      <w:r w:rsidRPr="005A3F47">
        <w:rPr>
          <w:noProof/>
        </w:rPr>
        <w:t xml:space="preserve"> </w:t>
      </w:r>
      <w:r w:rsidR="00422DC1" w:rsidRPr="005A3F47">
        <w:rPr>
          <w:noProof/>
        </w:rPr>
        <w:t>Why simplifying</w:t>
      </w:r>
      <w:r w:rsidR="00A870F6" w:rsidRPr="005A3F47">
        <w:rPr>
          <w:noProof/>
        </w:rPr>
        <w:t xml:space="preserve"> </w:t>
      </w:r>
      <w:r w:rsidR="005227BC" w:rsidRPr="005A3F47">
        <w:rPr>
          <w:noProof/>
        </w:rPr>
        <w:t xml:space="preserve">the </w:t>
      </w:r>
      <w:bookmarkEnd w:id="187"/>
      <w:r w:rsidR="45D2AFFE" w:rsidRPr="005A3F47">
        <w:rPr>
          <w:noProof/>
        </w:rPr>
        <w:t>I</w:t>
      </w:r>
      <w:r w:rsidR="000D76CC" w:rsidRPr="005A3F47">
        <w:rPr>
          <w:noProof/>
        </w:rPr>
        <w:t xml:space="preserve">nterest </w:t>
      </w:r>
      <w:r w:rsidR="45D2AFFE" w:rsidRPr="005A3F47">
        <w:rPr>
          <w:noProof/>
        </w:rPr>
        <w:t>L</w:t>
      </w:r>
      <w:r w:rsidR="000D76CC" w:rsidRPr="005A3F47">
        <w:rPr>
          <w:noProof/>
        </w:rPr>
        <w:t xml:space="preserve">imitation </w:t>
      </w:r>
      <w:r w:rsidR="45D2AFFE" w:rsidRPr="005A3F47">
        <w:rPr>
          <w:noProof/>
        </w:rPr>
        <w:t>R</w:t>
      </w:r>
      <w:r w:rsidR="000D76CC" w:rsidRPr="005A3F47">
        <w:rPr>
          <w:noProof/>
        </w:rPr>
        <w:t>ule</w:t>
      </w:r>
      <w:r w:rsidR="00422DC1" w:rsidRPr="005A3F47">
        <w:rPr>
          <w:noProof/>
        </w:rPr>
        <w:t xml:space="preserve"> matters</w:t>
      </w:r>
    </w:p>
    <w:p w14:paraId="62D3BB76" w14:textId="3F70A724" w:rsidR="002B6A77" w:rsidRPr="005A3F47" w:rsidRDefault="005227BC" w:rsidP="00EE5AF6">
      <w:pPr>
        <w:spacing w:after="0"/>
        <w:rPr>
          <w:rFonts w:eastAsia="Times New Roman"/>
          <w:noProof/>
          <w:lang w:eastAsia="en-GB"/>
        </w:rPr>
      </w:pPr>
      <w:r w:rsidRPr="005A3F47">
        <w:rPr>
          <w:rFonts w:eastAsia="Times New Roman"/>
          <w:noProof/>
          <w:lang w:eastAsia="en-GB"/>
        </w:rPr>
        <w:t>The e</w:t>
      </w:r>
      <w:r w:rsidR="008E655D" w:rsidRPr="005A3F47">
        <w:rPr>
          <w:rFonts w:eastAsia="Times New Roman"/>
          <w:noProof/>
          <w:lang w:eastAsia="en-GB"/>
        </w:rPr>
        <w:t xml:space="preserve">stimates on the </w:t>
      </w:r>
      <w:r w:rsidR="00680B65" w:rsidRPr="005A3F47">
        <w:rPr>
          <w:rFonts w:eastAsia="Times New Roman"/>
          <w:noProof/>
          <w:lang w:eastAsia="en-GB"/>
        </w:rPr>
        <w:t>direct reduction of compliance costs</w:t>
      </w:r>
      <w:r w:rsidR="008E655D" w:rsidRPr="005A3F47">
        <w:rPr>
          <w:rFonts w:eastAsia="Times New Roman"/>
          <w:noProof/>
          <w:lang w:eastAsia="en-GB"/>
        </w:rPr>
        <w:t xml:space="preserve"> presented </w:t>
      </w:r>
      <w:r w:rsidRPr="005A3F47">
        <w:rPr>
          <w:rFonts w:eastAsia="Times New Roman"/>
          <w:noProof/>
          <w:lang w:eastAsia="en-GB"/>
        </w:rPr>
        <w:t xml:space="preserve">in the sections </w:t>
      </w:r>
      <w:r w:rsidR="008E655D" w:rsidRPr="005A3F47">
        <w:rPr>
          <w:rFonts w:eastAsia="Times New Roman"/>
          <w:noProof/>
          <w:lang w:eastAsia="en-GB"/>
        </w:rPr>
        <w:t>above</w:t>
      </w:r>
      <w:r w:rsidRPr="005A3F47">
        <w:rPr>
          <w:rFonts w:eastAsia="Times New Roman"/>
          <w:noProof/>
          <w:lang w:eastAsia="en-GB"/>
        </w:rPr>
        <w:t xml:space="preserve"> demonstrate that the</w:t>
      </w:r>
      <w:r w:rsidR="007D7E40" w:rsidRPr="005A3F47">
        <w:rPr>
          <w:rFonts w:eastAsia="Times New Roman"/>
          <w:noProof/>
          <w:lang w:eastAsia="en-GB"/>
        </w:rPr>
        <w:t xml:space="preserve"> </w:t>
      </w:r>
      <w:r w:rsidR="00F46DFE" w:rsidRPr="005A3F47">
        <w:rPr>
          <w:rFonts w:eastAsia="Times New Roman"/>
          <w:noProof/>
          <w:lang w:eastAsia="en-GB"/>
        </w:rPr>
        <w:t xml:space="preserve">reduction </w:t>
      </w:r>
      <w:r w:rsidR="007D7E40" w:rsidRPr="005A3F47">
        <w:rPr>
          <w:rFonts w:eastAsia="Times New Roman"/>
          <w:noProof/>
          <w:lang w:eastAsia="en-GB"/>
        </w:rPr>
        <w:t xml:space="preserve">resulting from proposed measures </w:t>
      </w:r>
      <w:r w:rsidR="00064C11" w:rsidRPr="005A3F47">
        <w:rPr>
          <w:rFonts w:eastAsia="Times New Roman"/>
          <w:noProof/>
          <w:lang w:eastAsia="en-GB"/>
        </w:rPr>
        <w:t xml:space="preserve">to amend the Interest Limitation Rule </w:t>
      </w:r>
      <w:r w:rsidR="00F46DFE" w:rsidRPr="005A3F47">
        <w:rPr>
          <w:rFonts w:eastAsia="Times New Roman"/>
          <w:noProof/>
          <w:lang w:eastAsia="en-GB"/>
        </w:rPr>
        <w:t xml:space="preserve">can free up financial resources for companies to invest in growth, innovation, and expansion, benefiting overall economic activity. </w:t>
      </w:r>
      <w:r w:rsidR="007E091D" w:rsidRPr="005A3F47">
        <w:rPr>
          <w:rFonts w:eastAsia="Times New Roman"/>
          <w:noProof/>
          <w:lang w:eastAsia="en-GB"/>
        </w:rPr>
        <w:t>This is particularly relevant</w:t>
      </w:r>
      <w:r w:rsidR="00010239" w:rsidRPr="005A3F47">
        <w:rPr>
          <w:rFonts w:eastAsia="Times New Roman"/>
          <w:noProof/>
          <w:lang w:eastAsia="en-GB"/>
        </w:rPr>
        <w:t xml:space="preserve"> for SMEs </w:t>
      </w:r>
      <w:r w:rsidR="007E091D" w:rsidRPr="005A3F47">
        <w:rPr>
          <w:rFonts w:eastAsia="Times New Roman"/>
          <w:noProof/>
          <w:lang w:eastAsia="en-GB"/>
        </w:rPr>
        <w:t>as they are</w:t>
      </w:r>
      <w:r w:rsidR="0008217F" w:rsidRPr="005A3F47">
        <w:rPr>
          <w:rFonts w:eastAsia="Times New Roman"/>
          <w:noProof/>
          <w:lang w:eastAsia="en-GB"/>
        </w:rPr>
        <w:t>, relative to their size,</w:t>
      </w:r>
      <w:r w:rsidR="00010239" w:rsidRPr="005A3F47">
        <w:rPr>
          <w:rFonts w:eastAsia="Times New Roman"/>
          <w:noProof/>
          <w:lang w:eastAsia="en-GB"/>
        </w:rPr>
        <w:t xml:space="preserve"> </w:t>
      </w:r>
      <w:r w:rsidR="00AA2F52" w:rsidRPr="005A3F47">
        <w:rPr>
          <w:rFonts w:eastAsia="Times New Roman"/>
          <w:noProof/>
          <w:lang w:eastAsia="en-GB"/>
        </w:rPr>
        <w:t>disproportionally affected by the cost of tax compliance</w:t>
      </w:r>
      <w:r w:rsidR="00F46DFE" w:rsidRPr="005A3F47">
        <w:rPr>
          <w:rFonts w:eastAsia="Times New Roman"/>
          <w:noProof/>
          <w:lang w:eastAsia="en-GB"/>
        </w:rPr>
        <w:t>.</w:t>
      </w:r>
      <w:r w:rsidR="0008217F" w:rsidRPr="005A3F47">
        <w:rPr>
          <w:rStyle w:val="FootnoteReference"/>
          <w:rFonts w:eastAsia="Times New Roman"/>
          <w:noProof/>
          <w:lang w:eastAsia="en-GB"/>
        </w:rPr>
        <w:footnoteReference w:id="108"/>
      </w:r>
      <w:r w:rsidR="00F46DFE" w:rsidRPr="005A3F47">
        <w:rPr>
          <w:rFonts w:eastAsia="Times New Roman"/>
          <w:noProof/>
          <w:lang w:eastAsia="en-GB"/>
        </w:rPr>
        <w:t xml:space="preserve"> </w:t>
      </w:r>
    </w:p>
    <w:p w14:paraId="14680625" w14:textId="77777777" w:rsidR="002B6A77" w:rsidRPr="005A3F47" w:rsidRDefault="002B6A77" w:rsidP="00EE5AF6">
      <w:pPr>
        <w:spacing w:after="0"/>
        <w:rPr>
          <w:rFonts w:eastAsia="Times New Roman"/>
          <w:noProof/>
          <w:lang w:eastAsia="en-GB"/>
        </w:rPr>
      </w:pPr>
    </w:p>
    <w:p w14:paraId="620DCAFF" w14:textId="18D78653" w:rsidR="002D2B86" w:rsidRPr="005A3F47" w:rsidRDefault="006828D2" w:rsidP="00FD2FC7">
      <w:pPr>
        <w:spacing w:after="0"/>
        <w:rPr>
          <w:noProof/>
        </w:rPr>
      </w:pPr>
      <w:r w:rsidRPr="005A3F47">
        <w:rPr>
          <w:rFonts w:eastAsia="Times New Roman"/>
          <w:noProof/>
          <w:lang w:eastAsia="en-GB"/>
        </w:rPr>
        <w:t xml:space="preserve">However, </w:t>
      </w:r>
      <w:r w:rsidR="000A674A" w:rsidRPr="005A3F47">
        <w:rPr>
          <w:rFonts w:eastAsia="Times New Roman"/>
          <w:noProof/>
          <w:lang w:eastAsia="en-GB"/>
        </w:rPr>
        <w:t xml:space="preserve">as stated earlier, </w:t>
      </w:r>
      <w:r w:rsidR="002E5FE3" w:rsidRPr="005A3F47">
        <w:rPr>
          <w:rFonts w:eastAsia="Times New Roman"/>
          <w:noProof/>
          <w:lang w:eastAsia="en-GB"/>
        </w:rPr>
        <w:t>the</w:t>
      </w:r>
      <w:r w:rsidR="00F46DFE" w:rsidRPr="005A3F47">
        <w:rPr>
          <w:rFonts w:eastAsia="Times New Roman"/>
          <w:noProof/>
          <w:lang w:eastAsia="en-GB"/>
        </w:rPr>
        <w:t xml:space="preserve"> direct</w:t>
      </w:r>
      <w:r w:rsidR="002E5FE3" w:rsidRPr="005A3F47">
        <w:rPr>
          <w:rFonts w:eastAsia="Times New Roman"/>
          <w:noProof/>
          <w:lang w:eastAsia="en-GB"/>
        </w:rPr>
        <w:t xml:space="preserve"> compliance cost reduction do</w:t>
      </w:r>
      <w:r w:rsidR="00F46DFE" w:rsidRPr="005A3F47">
        <w:rPr>
          <w:rFonts w:eastAsia="Times New Roman"/>
          <w:noProof/>
          <w:lang w:eastAsia="en-GB"/>
        </w:rPr>
        <w:t>es</w:t>
      </w:r>
      <w:r w:rsidR="002E5FE3" w:rsidRPr="005A3F47">
        <w:rPr>
          <w:rFonts w:eastAsia="Times New Roman"/>
          <w:noProof/>
          <w:lang w:eastAsia="en-GB"/>
        </w:rPr>
        <w:t xml:space="preserve"> not capture the full </w:t>
      </w:r>
      <w:r w:rsidR="00D419D6" w:rsidRPr="005A3F47">
        <w:rPr>
          <w:rFonts w:eastAsia="Times New Roman"/>
          <w:noProof/>
          <w:lang w:eastAsia="en-GB"/>
        </w:rPr>
        <w:t xml:space="preserve">long-term </w:t>
      </w:r>
      <w:r w:rsidR="00275CAB" w:rsidRPr="005A3F47">
        <w:rPr>
          <w:rFonts w:eastAsia="Times New Roman"/>
          <w:noProof/>
          <w:lang w:eastAsia="en-GB"/>
        </w:rPr>
        <w:t xml:space="preserve">potential of </w:t>
      </w:r>
      <w:r w:rsidR="00B83D17" w:rsidRPr="005A3F47">
        <w:rPr>
          <w:rFonts w:eastAsia="Times New Roman"/>
          <w:noProof/>
          <w:lang w:eastAsia="en-GB"/>
        </w:rPr>
        <w:t xml:space="preserve">reducing </w:t>
      </w:r>
      <w:r w:rsidR="0091495B" w:rsidRPr="005A3F47">
        <w:rPr>
          <w:rFonts w:eastAsia="Times New Roman"/>
          <w:noProof/>
          <w:lang w:eastAsia="en-GB"/>
        </w:rPr>
        <w:t>complexity</w:t>
      </w:r>
      <w:r w:rsidR="00CD3D96" w:rsidRPr="005A3F47">
        <w:rPr>
          <w:rFonts w:eastAsia="Times New Roman"/>
          <w:noProof/>
          <w:lang w:eastAsia="en-GB"/>
        </w:rPr>
        <w:t>,</w:t>
      </w:r>
      <w:r w:rsidR="0091495B" w:rsidRPr="005A3F47">
        <w:rPr>
          <w:rFonts w:eastAsia="Times New Roman"/>
          <w:noProof/>
          <w:lang w:eastAsia="en-GB"/>
        </w:rPr>
        <w:t xml:space="preserve"> especially </w:t>
      </w:r>
      <w:r w:rsidR="00CD3D96" w:rsidRPr="005A3F47">
        <w:rPr>
          <w:rFonts w:eastAsia="Times New Roman"/>
          <w:noProof/>
          <w:lang w:eastAsia="en-GB"/>
        </w:rPr>
        <w:t>when it comes to the deductibility of</w:t>
      </w:r>
      <w:r w:rsidR="0091495B" w:rsidRPr="005A3F47">
        <w:rPr>
          <w:rFonts w:eastAsia="Times New Roman"/>
          <w:noProof/>
          <w:lang w:eastAsia="en-GB"/>
        </w:rPr>
        <w:t xml:space="preserve"> </w:t>
      </w:r>
      <w:r w:rsidR="00F06E11" w:rsidRPr="005A3F47">
        <w:rPr>
          <w:rFonts w:eastAsia="Times New Roman"/>
          <w:noProof/>
          <w:lang w:eastAsia="en-GB"/>
        </w:rPr>
        <w:t>interest</w:t>
      </w:r>
      <w:r w:rsidR="00E25E7F" w:rsidRPr="005A3F47">
        <w:rPr>
          <w:rFonts w:eastAsia="Times New Roman"/>
          <w:noProof/>
          <w:lang w:eastAsia="en-GB"/>
        </w:rPr>
        <w:t xml:space="preserve">. </w:t>
      </w:r>
      <w:r w:rsidR="002B6A77" w:rsidRPr="005A3F47">
        <w:rPr>
          <w:rFonts w:eastAsia="Times New Roman"/>
          <w:noProof/>
          <w:lang w:eastAsia="en-GB"/>
        </w:rPr>
        <w:t>S</w:t>
      </w:r>
      <w:r w:rsidR="000A54EB" w:rsidRPr="005A3F47">
        <w:rPr>
          <w:rFonts w:eastAsia="Times New Roman"/>
          <w:noProof/>
          <w:lang w:eastAsia="en-GB"/>
        </w:rPr>
        <w:t xml:space="preserve">tandardisation </w:t>
      </w:r>
      <w:r w:rsidR="002B6A77" w:rsidRPr="005A3F47">
        <w:rPr>
          <w:rFonts w:eastAsia="Times New Roman"/>
          <w:noProof/>
          <w:lang w:eastAsia="en-GB"/>
        </w:rPr>
        <w:t>of</w:t>
      </w:r>
      <w:r w:rsidR="000A54EB" w:rsidRPr="005A3F47">
        <w:rPr>
          <w:rFonts w:eastAsia="Times New Roman"/>
          <w:noProof/>
          <w:lang w:eastAsia="en-GB"/>
        </w:rPr>
        <w:t xml:space="preserve"> international tax law </w:t>
      </w:r>
      <w:r w:rsidR="00B83D17" w:rsidRPr="005A3F47">
        <w:rPr>
          <w:rFonts w:eastAsia="Times New Roman"/>
          <w:noProof/>
          <w:lang w:eastAsia="en-GB"/>
        </w:rPr>
        <w:t>will</w:t>
      </w:r>
      <w:r w:rsidR="000A54EB" w:rsidRPr="005A3F47">
        <w:rPr>
          <w:rFonts w:eastAsia="Times New Roman"/>
          <w:noProof/>
          <w:lang w:eastAsia="en-GB"/>
        </w:rPr>
        <w:t xml:space="preserve"> contribute </w:t>
      </w:r>
      <w:r w:rsidR="00EE5AF6" w:rsidRPr="005A3F47">
        <w:rPr>
          <w:rFonts w:eastAsia="Times New Roman"/>
          <w:noProof/>
          <w:lang w:eastAsia="en-GB"/>
        </w:rPr>
        <w:t xml:space="preserve">to </w:t>
      </w:r>
      <w:r w:rsidR="00B83D17" w:rsidRPr="00A04FE3">
        <w:rPr>
          <w:rFonts w:eastAsia="Times New Roman"/>
          <w:bCs/>
          <w:noProof/>
          <w:lang w:eastAsia="en-GB"/>
        </w:rPr>
        <w:t>greater</w:t>
      </w:r>
      <w:r w:rsidR="00EE5AF6" w:rsidRPr="00A04FE3">
        <w:rPr>
          <w:rFonts w:eastAsia="Times New Roman"/>
          <w:bCs/>
          <w:noProof/>
          <w:lang w:eastAsia="en-GB"/>
        </w:rPr>
        <w:t xml:space="preserve"> </w:t>
      </w:r>
      <w:r w:rsidR="002D2B86" w:rsidRPr="00A04FE3">
        <w:rPr>
          <w:bCs/>
          <w:noProof/>
        </w:rPr>
        <w:t>legal certainty</w:t>
      </w:r>
      <w:r w:rsidR="002B6A77" w:rsidRPr="00A04FE3">
        <w:rPr>
          <w:bCs/>
          <w:noProof/>
        </w:rPr>
        <w:t xml:space="preserve"> </w:t>
      </w:r>
      <w:r w:rsidR="002B6A77" w:rsidRPr="00A04FE3">
        <w:rPr>
          <w:rFonts w:eastAsia="Times New Roman"/>
          <w:bCs/>
          <w:noProof/>
          <w:lang w:eastAsia="en-GB"/>
        </w:rPr>
        <w:t>(</w:t>
      </w:r>
      <w:r w:rsidR="00945AE7" w:rsidRPr="00A04FE3">
        <w:rPr>
          <w:rFonts w:eastAsia="Times New Roman"/>
          <w:bCs/>
          <w:noProof/>
          <w:lang w:eastAsia="en-GB"/>
        </w:rPr>
        <w:t>S</w:t>
      </w:r>
      <w:r w:rsidR="002B6A77" w:rsidRPr="00A04FE3">
        <w:rPr>
          <w:rFonts w:eastAsia="Times New Roman"/>
          <w:bCs/>
          <w:noProof/>
          <w:lang w:eastAsia="en-GB"/>
        </w:rPr>
        <w:t>ection</w:t>
      </w:r>
      <w:r w:rsidR="002B6A77" w:rsidRPr="005A3F47">
        <w:rPr>
          <w:rFonts w:eastAsia="Times New Roman"/>
          <w:noProof/>
          <w:lang w:eastAsia="en-GB"/>
        </w:rPr>
        <w:t xml:space="preserve"> </w:t>
      </w:r>
      <w:hyperlink w:anchor="_Why_simplifying_taxation" w:history="1">
        <w:r w:rsidR="00522845" w:rsidRPr="005A3F47">
          <w:rPr>
            <w:noProof/>
          </w:rPr>
          <w:fldChar w:fldCharType="begin"/>
        </w:r>
        <w:r w:rsidR="00522845" w:rsidRPr="005A3F47">
          <w:rPr>
            <w:noProof/>
          </w:rPr>
          <w:instrText xml:space="preserve"> REF _Ref226463769 \r \h </w:instrText>
        </w:r>
        <w:r w:rsidR="005A3F47">
          <w:rPr>
            <w:noProof/>
          </w:rPr>
          <w:instrText xml:space="preserve"> \* MERGEFORMAT </w:instrText>
        </w:r>
        <w:r w:rsidR="00522845" w:rsidRPr="005A3F47">
          <w:rPr>
            <w:noProof/>
          </w:rPr>
        </w:r>
        <w:r w:rsidR="00522845" w:rsidRPr="005A3F47">
          <w:rPr>
            <w:noProof/>
          </w:rPr>
          <w:fldChar w:fldCharType="separate"/>
        </w:r>
        <w:r w:rsidR="00CF3380">
          <w:rPr>
            <w:noProof/>
          </w:rPr>
          <w:t>6.2.1.3</w:t>
        </w:r>
        <w:r w:rsidR="00522845" w:rsidRPr="005A3F47">
          <w:rPr>
            <w:noProof/>
          </w:rPr>
          <w:fldChar w:fldCharType="end"/>
        </w:r>
      </w:hyperlink>
      <w:r w:rsidR="002B6A77" w:rsidRPr="005A3F47">
        <w:rPr>
          <w:rFonts w:eastAsia="Times New Roman"/>
          <w:noProof/>
          <w:lang w:eastAsia="en-GB"/>
        </w:rPr>
        <w:t>)</w:t>
      </w:r>
      <w:r w:rsidR="001D3A7B" w:rsidRPr="005A3F47">
        <w:rPr>
          <w:noProof/>
        </w:rPr>
        <w:t xml:space="preserve">, </w:t>
      </w:r>
      <w:r w:rsidR="00E64573" w:rsidRPr="005A3F47">
        <w:rPr>
          <w:noProof/>
        </w:rPr>
        <w:t xml:space="preserve">making it easier to predict </w:t>
      </w:r>
      <w:r w:rsidR="00B83D17" w:rsidRPr="005A3F47">
        <w:rPr>
          <w:noProof/>
        </w:rPr>
        <w:t xml:space="preserve">the </w:t>
      </w:r>
      <w:r w:rsidR="00E64573" w:rsidRPr="005A3F47">
        <w:rPr>
          <w:noProof/>
        </w:rPr>
        <w:t>future cost</w:t>
      </w:r>
      <w:r w:rsidR="001D3A7B" w:rsidRPr="005A3F47">
        <w:rPr>
          <w:noProof/>
        </w:rPr>
        <w:t xml:space="preserve"> of</w:t>
      </w:r>
      <w:r w:rsidR="002D2B86" w:rsidRPr="005A3F47">
        <w:rPr>
          <w:noProof/>
        </w:rPr>
        <w:t xml:space="preserve"> </w:t>
      </w:r>
      <w:r w:rsidR="00E64573" w:rsidRPr="005A3F47">
        <w:rPr>
          <w:noProof/>
        </w:rPr>
        <w:t>investment,</w:t>
      </w:r>
      <w:r w:rsidR="002D2B86" w:rsidRPr="005A3F47">
        <w:rPr>
          <w:noProof/>
        </w:rPr>
        <w:t xml:space="preserve"> </w:t>
      </w:r>
      <w:r w:rsidR="00EE5AF6" w:rsidRPr="005A3F47">
        <w:rPr>
          <w:noProof/>
        </w:rPr>
        <w:t xml:space="preserve">ultimately </w:t>
      </w:r>
      <w:r w:rsidR="0080720D" w:rsidRPr="005A3F47">
        <w:rPr>
          <w:noProof/>
        </w:rPr>
        <w:t>generat</w:t>
      </w:r>
      <w:r w:rsidR="00E2710F" w:rsidRPr="005A3F47">
        <w:rPr>
          <w:noProof/>
        </w:rPr>
        <w:t>ing</w:t>
      </w:r>
      <w:r w:rsidR="0080720D" w:rsidRPr="005A3F47">
        <w:rPr>
          <w:noProof/>
        </w:rPr>
        <w:t xml:space="preserve"> higher confidence in investment</w:t>
      </w:r>
      <w:r w:rsidR="002D2B86" w:rsidRPr="005A3F47">
        <w:rPr>
          <w:noProof/>
        </w:rPr>
        <w:t xml:space="preserve">. </w:t>
      </w:r>
      <w:r w:rsidR="000A674A" w:rsidRPr="005A3F47">
        <w:rPr>
          <w:noProof/>
        </w:rPr>
        <w:t xml:space="preserve">Reducing implementation options </w:t>
      </w:r>
      <w:r w:rsidR="00C26D16" w:rsidRPr="005A3F47">
        <w:rPr>
          <w:noProof/>
        </w:rPr>
        <w:t>(Option 2)</w:t>
      </w:r>
      <w:r w:rsidR="009F3508" w:rsidRPr="005A3F47">
        <w:rPr>
          <w:noProof/>
        </w:rPr>
        <w:t xml:space="preserve">, installing </w:t>
      </w:r>
      <w:r w:rsidR="000A674A" w:rsidRPr="005A3F47">
        <w:rPr>
          <w:noProof/>
        </w:rPr>
        <w:t>a</w:t>
      </w:r>
      <w:r w:rsidR="009F3508" w:rsidRPr="005A3F47">
        <w:rPr>
          <w:noProof/>
        </w:rPr>
        <w:t xml:space="preserve"> unique</w:t>
      </w:r>
      <w:r w:rsidR="000A674A" w:rsidRPr="005A3F47">
        <w:rPr>
          <w:noProof/>
        </w:rPr>
        <w:t xml:space="preserve"> EU-wide EBITDA threshold </w:t>
      </w:r>
      <w:r w:rsidR="00C26D16" w:rsidRPr="005A3F47">
        <w:rPr>
          <w:noProof/>
        </w:rPr>
        <w:t>(Option 3)</w:t>
      </w:r>
      <w:r w:rsidR="00BB7780" w:rsidRPr="005A3F47">
        <w:rPr>
          <w:noProof/>
        </w:rPr>
        <w:t>,</w:t>
      </w:r>
      <w:r w:rsidR="00C26D16" w:rsidRPr="005A3F47">
        <w:rPr>
          <w:noProof/>
        </w:rPr>
        <w:t xml:space="preserve"> </w:t>
      </w:r>
      <w:r w:rsidR="00926570" w:rsidRPr="005A3F47">
        <w:rPr>
          <w:noProof/>
        </w:rPr>
        <w:t xml:space="preserve">and better absorption of economic shocks </w:t>
      </w:r>
      <w:r w:rsidR="00EF4957" w:rsidRPr="005A3F47">
        <w:rPr>
          <w:noProof/>
        </w:rPr>
        <w:t xml:space="preserve">for interest deduction </w:t>
      </w:r>
      <w:r w:rsidR="00C26D16" w:rsidRPr="005A3F47">
        <w:rPr>
          <w:noProof/>
        </w:rPr>
        <w:t xml:space="preserve">(Option 5) </w:t>
      </w:r>
      <w:r w:rsidR="000A674A" w:rsidRPr="005A3F47">
        <w:rPr>
          <w:noProof/>
        </w:rPr>
        <w:t>would</w:t>
      </w:r>
      <w:r w:rsidR="00BB7780" w:rsidRPr="005A3F47">
        <w:rPr>
          <w:noProof/>
        </w:rPr>
        <w:t xml:space="preserve"> all</w:t>
      </w:r>
      <w:r w:rsidR="000A674A" w:rsidRPr="005A3F47">
        <w:rPr>
          <w:noProof/>
        </w:rPr>
        <w:t xml:space="preserve"> serve that </w:t>
      </w:r>
      <w:r w:rsidR="006C00FA" w:rsidRPr="005A3F47">
        <w:rPr>
          <w:noProof/>
        </w:rPr>
        <w:t>pu</w:t>
      </w:r>
      <w:r w:rsidR="00A97025" w:rsidRPr="005A3F47">
        <w:rPr>
          <w:noProof/>
        </w:rPr>
        <w:t>r</w:t>
      </w:r>
      <w:r w:rsidR="006C00FA" w:rsidRPr="005A3F47">
        <w:rPr>
          <w:noProof/>
        </w:rPr>
        <w:t>pose.</w:t>
      </w:r>
    </w:p>
    <w:p w14:paraId="595A4FDB" w14:textId="77777777" w:rsidR="004D1893" w:rsidRPr="005A3F47" w:rsidRDefault="004D1893" w:rsidP="00C847B3">
      <w:pPr>
        <w:spacing w:after="0"/>
        <w:rPr>
          <w:rFonts w:eastAsia="Times New Roman"/>
          <w:noProof/>
          <w:lang w:eastAsia="en-GB"/>
        </w:rPr>
      </w:pPr>
    </w:p>
    <w:p w14:paraId="3A8BE7B7" w14:textId="4EB38E57" w:rsidR="006555D0" w:rsidRPr="005A3F47" w:rsidRDefault="008608C0" w:rsidP="000E2C3C">
      <w:pPr>
        <w:spacing w:after="0"/>
        <w:rPr>
          <w:rFonts w:eastAsia="Times New Roman"/>
          <w:noProof/>
          <w:lang w:eastAsia="en-GB"/>
        </w:rPr>
      </w:pPr>
      <w:r w:rsidRPr="005A3F47">
        <w:rPr>
          <w:rFonts w:eastAsia="Times New Roman"/>
          <w:noProof/>
          <w:lang w:eastAsia="en-GB"/>
        </w:rPr>
        <w:t>A certain</w:t>
      </w:r>
      <w:r w:rsidR="00B87C35" w:rsidRPr="005A3F47">
        <w:rPr>
          <w:rFonts w:eastAsia="Times New Roman"/>
          <w:noProof/>
          <w:lang w:eastAsia="en-GB"/>
        </w:rPr>
        <w:t xml:space="preserve"> </w:t>
      </w:r>
      <w:r w:rsidR="004068B1" w:rsidRPr="005A3F47">
        <w:rPr>
          <w:rFonts w:eastAsia="Times New Roman"/>
          <w:noProof/>
          <w:lang w:eastAsia="en-GB"/>
        </w:rPr>
        <w:t xml:space="preserve">positive </w:t>
      </w:r>
      <w:r w:rsidR="00B87C35" w:rsidRPr="005A3F47">
        <w:rPr>
          <w:rFonts w:eastAsia="Times New Roman"/>
          <w:noProof/>
          <w:lang w:eastAsia="en-GB"/>
        </w:rPr>
        <w:t>long-term impact</w:t>
      </w:r>
      <w:r w:rsidR="00427406" w:rsidRPr="005A3F47">
        <w:rPr>
          <w:rFonts w:eastAsia="Times New Roman"/>
          <w:noProof/>
          <w:lang w:eastAsia="en-GB"/>
        </w:rPr>
        <w:t xml:space="preserve"> </w:t>
      </w:r>
      <w:r w:rsidR="00422197" w:rsidRPr="005A3F47">
        <w:rPr>
          <w:rFonts w:eastAsia="Times New Roman"/>
          <w:noProof/>
          <w:lang w:eastAsia="en-GB"/>
        </w:rPr>
        <w:t xml:space="preserve">can be expected from Option </w:t>
      </w:r>
      <w:r w:rsidR="00D676F3" w:rsidRPr="005A3F47">
        <w:rPr>
          <w:rFonts w:eastAsia="Times New Roman"/>
          <w:noProof/>
          <w:lang w:eastAsia="en-GB"/>
        </w:rPr>
        <w:t>4</w:t>
      </w:r>
      <w:r w:rsidR="00772BC8" w:rsidRPr="005A3F47">
        <w:rPr>
          <w:rFonts w:eastAsia="Times New Roman"/>
          <w:noProof/>
          <w:lang w:eastAsia="en-GB"/>
        </w:rPr>
        <w:t xml:space="preserve"> (</w:t>
      </w:r>
      <w:r w:rsidR="00D93BDB" w:rsidRPr="005A3F47">
        <w:rPr>
          <w:rFonts w:eastAsia="Times New Roman"/>
          <w:noProof/>
          <w:lang w:eastAsia="en-GB"/>
        </w:rPr>
        <w:t>t</w:t>
      </w:r>
      <w:r w:rsidR="000F7456" w:rsidRPr="005A3F47">
        <w:rPr>
          <w:rFonts w:eastAsia="Times New Roman"/>
          <w:noProof/>
          <w:lang w:eastAsia="en-GB"/>
        </w:rPr>
        <w:t>ak</w:t>
      </w:r>
      <w:r w:rsidR="00D93BDB" w:rsidRPr="005A3F47">
        <w:rPr>
          <w:rFonts w:eastAsia="Times New Roman"/>
          <w:noProof/>
          <w:lang w:eastAsia="en-GB"/>
        </w:rPr>
        <w:t>ing</w:t>
      </w:r>
      <w:r w:rsidR="000F7456" w:rsidRPr="005A3F47">
        <w:rPr>
          <w:rFonts w:eastAsia="Times New Roman"/>
          <w:noProof/>
          <w:lang w:eastAsia="en-GB"/>
        </w:rPr>
        <w:t xml:space="preserve"> </w:t>
      </w:r>
      <w:r w:rsidR="00D93BDB" w:rsidRPr="005A3F47">
        <w:rPr>
          <w:rFonts w:eastAsia="Times New Roman"/>
          <w:noProof/>
          <w:lang w:eastAsia="en-GB"/>
        </w:rPr>
        <w:t xml:space="preserve">out </w:t>
      </w:r>
      <w:r w:rsidR="000F7456" w:rsidRPr="005A3F47">
        <w:rPr>
          <w:rFonts w:eastAsia="Times New Roman"/>
          <w:noProof/>
          <w:lang w:eastAsia="en-GB"/>
        </w:rPr>
        <w:t>the current</w:t>
      </w:r>
      <w:r w:rsidR="00D93BDB" w:rsidRPr="005A3F47">
        <w:rPr>
          <w:rFonts w:eastAsia="Times New Roman"/>
          <w:noProof/>
          <w:lang w:eastAsia="en-GB"/>
        </w:rPr>
        <w:t xml:space="preserve"> </w:t>
      </w:r>
      <w:r w:rsidR="000F7456" w:rsidRPr="005A3F47">
        <w:rPr>
          <w:rFonts w:eastAsia="Times New Roman"/>
          <w:noProof/>
          <w:lang w:eastAsia="en-GB"/>
        </w:rPr>
        <w:t xml:space="preserve">restriction </w:t>
      </w:r>
      <w:r w:rsidR="00F07233" w:rsidRPr="005A3F47">
        <w:rPr>
          <w:rFonts w:eastAsia="Times New Roman"/>
          <w:noProof/>
          <w:lang w:eastAsia="en-GB"/>
        </w:rPr>
        <w:t xml:space="preserve">for </w:t>
      </w:r>
      <w:r w:rsidR="00FD7E24" w:rsidRPr="005A3F47">
        <w:rPr>
          <w:rFonts w:eastAsia="Times New Roman"/>
          <w:noProof/>
          <w:lang w:eastAsia="en-GB"/>
        </w:rPr>
        <w:t>low-risk</w:t>
      </w:r>
      <w:r w:rsidR="000F7456" w:rsidRPr="005A3F47">
        <w:rPr>
          <w:rFonts w:eastAsia="Times New Roman"/>
          <w:noProof/>
          <w:lang w:eastAsia="en-GB"/>
        </w:rPr>
        <w:t xml:space="preserve"> third-party interest payments</w:t>
      </w:r>
      <w:r w:rsidR="00772BC8" w:rsidRPr="005A3F47">
        <w:rPr>
          <w:rFonts w:eastAsia="Times New Roman"/>
          <w:noProof/>
          <w:lang w:eastAsia="en-GB"/>
        </w:rPr>
        <w:t>) in particular</w:t>
      </w:r>
      <w:r w:rsidR="009F001B" w:rsidRPr="005A3F47">
        <w:rPr>
          <w:rFonts w:eastAsia="Times New Roman"/>
          <w:noProof/>
          <w:lang w:eastAsia="en-GB"/>
        </w:rPr>
        <w:t xml:space="preserve">. </w:t>
      </w:r>
      <w:r w:rsidR="005E5B39" w:rsidRPr="005A3F47">
        <w:rPr>
          <w:rFonts w:eastAsia="Times New Roman"/>
          <w:noProof/>
          <w:lang w:eastAsia="en-GB"/>
        </w:rPr>
        <w:t xml:space="preserve">As on-lending of third-party loans </w:t>
      </w:r>
      <w:r w:rsidR="006C29E2" w:rsidRPr="005A3F47">
        <w:rPr>
          <w:rFonts w:eastAsia="Times New Roman"/>
          <w:noProof/>
          <w:lang w:eastAsia="en-GB"/>
        </w:rPr>
        <w:t xml:space="preserve">within the group </w:t>
      </w:r>
      <w:r w:rsidR="003C45E7" w:rsidRPr="005A3F47">
        <w:rPr>
          <w:rFonts w:eastAsia="Times New Roman"/>
          <w:noProof/>
          <w:lang w:eastAsia="en-GB"/>
        </w:rPr>
        <w:t>w</w:t>
      </w:r>
      <w:r w:rsidR="006C29E2" w:rsidRPr="005A3F47">
        <w:rPr>
          <w:rFonts w:eastAsia="Times New Roman"/>
          <w:noProof/>
          <w:lang w:eastAsia="en-GB"/>
        </w:rPr>
        <w:t>ould be excluded, s</w:t>
      </w:r>
      <w:r w:rsidR="00174EAD" w:rsidRPr="005A3F47">
        <w:rPr>
          <w:rFonts w:eastAsia="Times New Roman"/>
          <w:noProof/>
          <w:lang w:eastAsia="en-GB"/>
        </w:rPr>
        <w:t>uch loans</w:t>
      </w:r>
      <w:r w:rsidR="00C4760E" w:rsidRPr="005A3F47">
        <w:rPr>
          <w:rFonts w:eastAsia="Times New Roman"/>
          <w:noProof/>
          <w:lang w:eastAsia="en-GB"/>
        </w:rPr>
        <w:t xml:space="preserve"> </w:t>
      </w:r>
      <w:r w:rsidR="003C45E7" w:rsidRPr="005A3F47">
        <w:rPr>
          <w:rFonts w:eastAsia="Times New Roman"/>
          <w:noProof/>
          <w:lang w:eastAsia="en-GB"/>
        </w:rPr>
        <w:t>would</w:t>
      </w:r>
      <w:r w:rsidR="00C4760E" w:rsidRPr="005A3F47">
        <w:rPr>
          <w:rFonts w:eastAsia="Times New Roman"/>
          <w:noProof/>
          <w:lang w:eastAsia="en-GB"/>
        </w:rPr>
        <w:t xml:space="preserve"> not facilitate profit shifting </w:t>
      </w:r>
      <w:r w:rsidR="00375E04" w:rsidRPr="005A3F47">
        <w:rPr>
          <w:rFonts w:eastAsia="Times New Roman"/>
          <w:noProof/>
          <w:lang w:eastAsia="en-GB"/>
        </w:rPr>
        <w:t>as the</w:t>
      </w:r>
      <w:r w:rsidR="00B23A77" w:rsidRPr="005A3F47">
        <w:rPr>
          <w:rFonts w:eastAsia="Times New Roman"/>
          <w:noProof/>
          <w:lang w:eastAsia="en-GB"/>
        </w:rPr>
        <w:t>y</w:t>
      </w:r>
      <w:r w:rsidR="00375E04" w:rsidRPr="005A3F47">
        <w:rPr>
          <w:rFonts w:eastAsia="Times New Roman"/>
          <w:noProof/>
          <w:lang w:eastAsia="en-GB"/>
        </w:rPr>
        <w:t xml:space="preserve"> are negotiated at arm</w:t>
      </w:r>
      <w:r w:rsidR="00E93903" w:rsidRPr="005A3F47">
        <w:rPr>
          <w:rFonts w:eastAsia="Times New Roman"/>
          <w:noProof/>
          <w:lang w:eastAsia="en-GB"/>
        </w:rPr>
        <w:t xml:space="preserve">’s length and </w:t>
      </w:r>
      <w:r w:rsidR="000933AE" w:rsidRPr="005A3F47">
        <w:rPr>
          <w:rFonts w:eastAsia="Times New Roman"/>
          <w:noProof/>
          <w:lang w:eastAsia="en-GB"/>
        </w:rPr>
        <w:t xml:space="preserve">typically </w:t>
      </w:r>
      <w:r w:rsidR="007252B0" w:rsidRPr="005A3F47">
        <w:rPr>
          <w:rFonts w:eastAsia="Times New Roman"/>
          <w:noProof/>
          <w:lang w:eastAsia="en-GB"/>
        </w:rPr>
        <w:t xml:space="preserve">used </w:t>
      </w:r>
      <w:r w:rsidR="00165E66" w:rsidRPr="005A3F47">
        <w:rPr>
          <w:rFonts w:eastAsia="Times New Roman"/>
          <w:noProof/>
          <w:lang w:eastAsia="en-GB"/>
        </w:rPr>
        <w:t xml:space="preserve">to finance investment projects of group members. </w:t>
      </w:r>
      <w:r w:rsidR="008E4540" w:rsidRPr="005A3F47">
        <w:rPr>
          <w:rFonts w:eastAsia="Times New Roman"/>
          <w:noProof/>
          <w:lang w:eastAsia="en-GB"/>
        </w:rPr>
        <w:t>E</w:t>
      </w:r>
      <w:r w:rsidR="00375498" w:rsidRPr="005A3F47">
        <w:rPr>
          <w:rFonts w:eastAsia="Times New Roman"/>
          <w:noProof/>
          <w:lang w:eastAsia="en-GB"/>
        </w:rPr>
        <w:t>xempting</w:t>
      </w:r>
      <w:r w:rsidR="00D46A61" w:rsidRPr="005A3F47">
        <w:rPr>
          <w:rFonts w:eastAsia="Times New Roman"/>
          <w:noProof/>
          <w:lang w:eastAsia="en-GB"/>
        </w:rPr>
        <w:t xml:space="preserve"> third-part</w:t>
      </w:r>
      <w:r w:rsidR="00C96812" w:rsidRPr="005A3F47">
        <w:rPr>
          <w:rFonts w:eastAsia="Times New Roman"/>
          <w:noProof/>
          <w:lang w:eastAsia="en-GB"/>
        </w:rPr>
        <w:t>y</w:t>
      </w:r>
      <w:r w:rsidR="00D46A61" w:rsidRPr="005A3F47">
        <w:rPr>
          <w:rFonts w:eastAsia="Times New Roman"/>
          <w:noProof/>
          <w:lang w:eastAsia="en-GB"/>
        </w:rPr>
        <w:t xml:space="preserve"> interest payments </w:t>
      </w:r>
      <w:r w:rsidR="00C96812" w:rsidRPr="005A3F47">
        <w:rPr>
          <w:rFonts w:eastAsia="Times New Roman"/>
          <w:noProof/>
          <w:lang w:eastAsia="en-GB"/>
        </w:rPr>
        <w:t xml:space="preserve">from </w:t>
      </w:r>
      <w:r w:rsidR="00DD7C0F" w:rsidRPr="005A3F47">
        <w:rPr>
          <w:rFonts w:eastAsia="Times New Roman"/>
          <w:noProof/>
          <w:lang w:eastAsia="en-GB"/>
        </w:rPr>
        <w:t xml:space="preserve">the </w:t>
      </w:r>
      <w:r w:rsidR="00C96812" w:rsidRPr="005A3F47">
        <w:rPr>
          <w:rFonts w:eastAsia="Times New Roman"/>
          <w:noProof/>
          <w:lang w:eastAsia="en-GB"/>
        </w:rPr>
        <w:t>I</w:t>
      </w:r>
      <w:r w:rsidR="00AE6236" w:rsidRPr="005A3F47">
        <w:rPr>
          <w:rFonts w:eastAsia="Times New Roman"/>
          <w:noProof/>
          <w:lang w:eastAsia="en-GB"/>
        </w:rPr>
        <w:t xml:space="preserve">nterest </w:t>
      </w:r>
      <w:r w:rsidR="00C96812" w:rsidRPr="005A3F47">
        <w:rPr>
          <w:rFonts w:eastAsia="Times New Roman"/>
          <w:noProof/>
          <w:lang w:eastAsia="en-GB"/>
        </w:rPr>
        <w:t>L</w:t>
      </w:r>
      <w:r w:rsidR="00AE6236" w:rsidRPr="005A3F47">
        <w:rPr>
          <w:rFonts w:eastAsia="Times New Roman"/>
          <w:noProof/>
          <w:lang w:eastAsia="en-GB"/>
        </w:rPr>
        <w:t xml:space="preserve">imitation </w:t>
      </w:r>
      <w:r w:rsidR="00C96812" w:rsidRPr="005A3F47">
        <w:rPr>
          <w:rFonts w:eastAsia="Times New Roman"/>
          <w:noProof/>
          <w:lang w:eastAsia="en-GB"/>
        </w:rPr>
        <w:t>R</w:t>
      </w:r>
      <w:r w:rsidR="00AE6236" w:rsidRPr="005A3F47">
        <w:rPr>
          <w:rFonts w:eastAsia="Times New Roman"/>
          <w:noProof/>
          <w:lang w:eastAsia="en-GB"/>
        </w:rPr>
        <w:t>ule</w:t>
      </w:r>
      <w:r w:rsidR="008E4540" w:rsidRPr="005A3F47">
        <w:rPr>
          <w:rFonts w:eastAsia="Times New Roman"/>
          <w:noProof/>
          <w:lang w:eastAsia="en-GB"/>
        </w:rPr>
        <w:t xml:space="preserve"> would</w:t>
      </w:r>
      <w:r w:rsidR="00DD2A17" w:rsidRPr="005A3F47">
        <w:rPr>
          <w:rFonts w:eastAsia="Times New Roman"/>
          <w:noProof/>
          <w:lang w:eastAsia="en-GB"/>
        </w:rPr>
        <w:t>,</w:t>
      </w:r>
      <w:r w:rsidR="008E4540" w:rsidRPr="005A3F47">
        <w:rPr>
          <w:rFonts w:eastAsia="Times New Roman"/>
          <w:noProof/>
          <w:lang w:eastAsia="en-GB"/>
        </w:rPr>
        <w:t xml:space="preserve"> therefore</w:t>
      </w:r>
      <w:r w:rsidR="00DD2A17" w:rsidRPr="005A3F47">
        <w:rPr>
          <w:rFonts w:eastAsia="Times New Roman"/>
          <w:noProof/>
          <w:lang w:eastAsia="en-GB"/>
        </w:rPr>
        <w:t>,</w:t>
      </w:r>
      <w:r w:rsidR="002A1C09" w:rsidRPr="005A3F47">
        <w:rPr>
          <w:rFonts w:eastAsia="Times New Roman"/>
          <w:noProof/>
          <w:lang w:eastAsia="en-GB"/>
        </w:rPr>
        <w:t xml:space="preserve"> </w:t>
      </w:r>
      <w:r w:rsidR="004F3439" w:rsidRPr="005A3F47">
        <w:rPr>
          <w:rFonts w:eastAsia="Times New Roman"/>
          <w:noProof/>
          <w:lang w:eastAsia="en-GB"/>
        </w:rPr>
        <w:t xml:space="preserve">leave more room for </w:t>
      </w:r>
      <w:r w:rsidR="00B66A22" w:rsidRPr="005A3F47">
        <w:rPr>
          <w:rFonts w:eastAsia="Times New Roman"/>
          <w:noProof/>
          <w:lang w:eastAsia="en-GB"/>
        </w:rPr>
        <w:t xml:space="preserve">productive cross-border investment </w:t>
      </w:r>
      <w:r w:rsidR="005C13D3" w:rsidRPr="005A3F47">
        <w:rPr>
          <w:rFonts w:eastAsia="Times New Roman"/>
          <w:noProof/>
          <w:lang w:eastAsia="en-GB"/>
        </w:rPr>
        <w:t xml:space="preserve">(FDI) </w:t>
      </w:r>
      <w:r w:rsidR="00B66A22" w:rsidRPr="005A3F47">
        <w:rPr>
          <w:rFonts w:eastAsia="Times New Roman"/>
          <w:noProof/>
          <w:lang w:eastAsia="en-GB"/>
        </w:rPr>
        <w:t xml:space="preserve">today. </w:t>
      </w:r>
      <w:r w:rsidR="00353C55" w:rsidRPr="005A3F47">
        <w:rPr>
          <w:rFonts w:eastAsia="Times New Roman"/>
          <w:noProof/>
          <w:lang w:eastAsia="en-GB"/>
        </w:rPr>
        <w:t xml:space="preserve">It is well </w:t>
      </w:r>
      <w:r w:rsidR="00DD2A17" w:rsidRPr="005A3F47">
        <w:rPr>
          <w:rFonts w:eastAsia="Times New Roman"/>
          <w:noProof/>
          <w:lang w:eastAsia="en-GB"/>
        </w:rPr>
        <w:t>documented</w:t>
      </w:r>
      <w:r w:rsidR="00353C55" w:rsidRPr="005A3F47">
        <w:rPr>
          <w:rFonts w:eastAsia="Times New Roman"/>
          <w:noProof/>
          <w:lang w:eastAsia="en-GB"/>
        </w:rPr>
        <w:t xml:space="preserve"> that </w:t>
      </w:r>
      <w:r w:rsidR="00E26B2D" w:rsidRPr="005A3F47">
        <w:rPr>
          <w:rFonts w:eastAsia="Times New Roman"/>
          <w:noProof/>
          <w:lang w:eastAsia="en-GB"/>
        </w:rPr>
        <w:t xml:space="preserve">FDI in the EU is one of the major drivers of </w:t>
      </w:r>
      <w:r w:rsidR="007E00D9" w:rsidRPr="005A3F47">
        <w:rPr>
          <w:rFonts w:eastAsia="Times New Roman"/>
          <w:noProof/>
          <w:lang w:eastAsia="en-GB"/>
        </w:rPr>
        <w:t>innovation</w:t>
      </w:r>
      <w:r w:rsidR="00B75CFB" w:rsidRPr="005A3F47">
        <w:rPr>
          <w:rFonts w:eastAsia="Times New Roman"/>
          <w:noProof/>
          <w:lang w:eastAsia="en-GB"/>
        </w:rPr>
        <w:t xml:space="preserve">, mainly through the diffusion of knowledge across </w:t>
      </w:r>
      <w:r w:rsidR="009441AB" w:rsidRPr="005A3F47">
        <w:rPr>
          <w:rFonts w:eastAsia="Times New Roman"/>
          <w:noProof/>
          <w:lang w:eastAsia="en-GB"/>
        </w:rPr>
        <w:t>countries and</w:t>
      </w:r>
      <w:r w:rsidR="00E26B2D" w:rsidRPr="005A3F47">
        <w:rPr>
          <w:rFonts w:eastAsia="Times New Roman"/>
          <w:noProof/>
          <w:lang w:eastAsia="en-GB"/>
        </w:rPr>
        <w:t xml:space="preserve"> </w:t>
      </w:r>
      <w:r w:rsidR="001836FF" w:rsidRPr="005A3F47">
        <w:rPr>
          <w:rFonts w:eastAsia="Times New Roman"/>
          <w:noProof/>
          <w:lang w:eastAsia="en-GB"/>
        </w:rPr>
        <w:t>across</w:t>
      </w:r>
      <w:r w:rsidR="58B0D271" w:rsidRPr="005A3F47">
        <w:rPr>
          <w:rFonts w:eastAsia="Times New Roman"/>
          <w:noProof/>
          <w:lang w:eastAsia="en-GB"/>
        </w:rPr>
        <w:t xml:space="preserve"> </w:t>
      </w:r>
      <w:r w:rsidR="58B0D271" w:rsidRPr="005A3F47">
        <w:rPr>
          <w:noProof/>
        </w:rPr>
        <w:t>businesses</w:t>
      </w:r>
      <w:r w:rsidR="001836FF" w:rsidRPr="005A3F47">
        <w:rPr>
          <w:rFonts w:eastAsia="Times New Roman"/>
          <w:noProof/>
          <w:lang w:eastAsia="en-GB"/>
        </w:rPr>
        <w:t>.</w:t>
      </w:r>
      <w:r w:rsidR="00F94517" w:rsidRPr="005A3F47">
        <w:rPr>
          <w:rStyle w:val="FootnoteReference"/>
          <w:rFonts w:eastAsia="Times New Roman"/>
          <w:noProof/>
          <w:lang w:eastAsia="en-GB"/>
        </w:rPr>
        <w:footnoteReference w:id="109"/>
      </w:r>
      <w:r w:rsidR="001836FF" w:rsidRPr="005A3F47">
        <w:rPr>
          <w:rFonts w:eastAsia="Times New Roman"/>
          <w:noProof/>
          <w:lang w:eastAsia="en-GB"/>
        </w:rPr>
        <w:t xml:space="preserve"> </w:t>
      </w:r>
      <w:r w:rsidR="004B7511" w:rsidRPr="005A3F47">
        <w:rPr>
          <w:rFonts w:eastAsia="Times New Roman"/>
          <w:noProof/>
          <w:lang w:eastAsia="en-GB"/>
        </w:rPr>
        <w:t xml:space="preserve">There would be more FDI after exempting </w:t>
      </w:r>
      <w:r w:rsidR="00EA03B0" w:rsidRPr="005A3F47">
        <w:rPr>
          <w:rFonts w:eastAsia="Times New Roman"/>
          <w:noProof/>
          <w:lang w:eastAsia="en-GB"/>
        </w:rPr>
        <w:t xml:space="preserve">interest </w:t>
      </w:r>
      <w:r w:rsidR="00642B13" w:rsidRPr="005A3F47">
        <w:rPr>
          <w:rFonts w:eastAsia="Times New Roman"/>
          <w:noProof/>
          <w:lang w:eastAsia="en-GB"/>
        </w:rPr>
        <w:t>expenses</w:t>
      </w:r>
      <w:r w:rsidR="00EA03B0" w:rsidRPr="005A3F47">
        <w:rPr>
          <w:rFonts w:eastAsia="Times New Roman"/>
          <w:noProof/>
          <w:lang w:eastAsia="en-GB"/>
        </w:rPr>
        <w:t xml:space="preserve"> to </w:t>
      </w:r>
      <w:r w:rsidR="00FB1246" w:rsidRPr="005A3F47">
        <w:rPr>
          <w:rFonts w:eastAsia="Times New Roman"/>
          <w:noProof/>
          <w:lang w:eastAsia="en-GB"/>
        </w:rPr>
        <w:t xml:space="preserve">third </w:t>
      </w:r>
      <w:r w:rsidR="00EA03B0" w:rsidRPr="005A3F47">
        <w:rPr>
          <w:rFonts w:eastAsia="Times New Roman"/>
          <w:noProof/>
          <w:lang w:eastAsia="en-GB"/>
        </w:rPr>
        <w:t>parties</w:t>
      </w:r>
      <w:r w:rsidR="00FB1246" w:rsidRPr="005A3F47">
        <w:rPr>
          <w:rFonts w:eastAsia="Times New Roman"/>
          <w:noProof/>
          <w:lang w:eastAsia="en-GB"/>
        </w:rPr>
        <w:t xml:space="preserve"> from </w:t>
      </w:r>
      <w:r w:rsidR="0068359D" w:rsidRPr="005A3F47">
        <w:rPr>
          <w:rFonts w:eastAsia="Times New Roman"/>
          <w:noProof/>
          <w:lang w:eastAsia="en-GB"/>
        </w:rPr>
        <w:t xml:space="preserve">the </w:t>
      </w:r>
      <w:r w:rsidR="00FB1246" w:rsidRPr="005A3F47">
        <w:rPr>
          <w:rFonts w:eastAsia="Times New Roman"/>
          <w:noProof/>
          <w:lang w:eastAsia="en-GB"/>
        </w:rPr>
        <w:t>I</w:t>
      </w:r>
      <w:r w:rsidR="0068359D" w:rsidRPr="005A3F47">
        <w:rPr>
          <w:rFonts w:eastAsia="Times New Roman"/>
          <w:noProof/>
          <w:lang w:eastAsia="en-GB"/>
        </w:rPr>
        <w:t xml:space="preserve">nterest </w:t>
      </w:r>
      <w:r w:rsidR="00FB1246" w:rsidRPr="005A3F47">
        <w:rPr>
          <w:rFonts w:eastAsia="Times New Roman"/>
          <w:noProof/>
          <w:lang w:eastAsia="en-GB"/>
        </w:rPr>
        <w:t>L</w:t>
      </w:r>
      <w:r w:rsidR="0068359D" w:rsidRPr="005A3F47">
        <w:rPr>
          <w:rFonts w:eastAsia="Times New Roman"/>
          <w:noProof/>
          <w:lang w:eastAsia="en-GB"/>
        </w:rPr>
        <w:t xml:space="preserve">imitation </w:t>
      </w:r>
      <w:r w:rsidR="00FB1246" w:rsidRPr="005A3F47">
        <w:rPr>
          <w:rFonts w:eastAsia="Times New Roman"/>
          <w:noProof/>
          <w:lang w:eastAsia="en-GB"/>
        </w:rPr>
        <w:t>R</w:t>
      </w:r>
      <w:r w:rsidR="0068359D" w:rsidRPr="005A3F47">
        <w:rPr>
          <w:rFonts w:eastAsia="Times New Roman"/>
          <w:noProof/>
          <w:lang w:eastAsia="en-GB"/>
        </w:rPr>
        <w:t>ule</w:t>
      </w:r>
      <w:r w:rsidR="00FB1246" w:rsidRPr="005A3F47">
        <w:rPr>
          <w:rFonts w:eastAsia="Times New Roman"/>
          <w:noProof/>
          <w:lang w:eastAsia="en-GB"/>
        </w:rPr>
        <w:t xml:space="preserve"> as</w:t>
      </w:r>
      <w:r w:rsidR="00C62DD1" w:rsidRPr="005A3F47">
        <w:rPr>
          <w:rFonts w:eastAsia="Times New Roman"/>
          <w:noProof/>
          <w:lang w:eastAsia="en-GB"/>
        </w:rPr>
        <w:t xml:space="preserve"> </w:t>
      </w:r>
      <w:r w:rsidR="652C7E20" w:rsidRPr="005A3F47">
        <w:rPr>
          <w:noProof/>
        </w:rPr>
        <w:t>businesses</w:t>
      </w:r>
      <w:r w:rsidR="652C7E20" w:rsidRPr="005A3F47">
        <w:rPr>
          <w:rFonts w:eastAsia="Times New Roman"/>
          <w:noProof/>
          <w:lang w:eastAsia="en-GB"/>
        </w:rPr>
        <w:t xml:space="preserve"> </w:t>
      </w:r>
      <w:r w:rsidR="00267BBF" w:rsidRPr="005A3F47">
        <w:rPr>
          <w:rFonts w:eastAsia="Times New Roman"/>
          <w:noProof/>
          <w:lang w:eastAsia="en-GB"/>
        </w:rPr>
        <w:t xml:space="preserve">would have more </w:t>
      </w:r>
      <w:r w:rsidR="001C4403" w:rsidRPr="005A3F47">
        <w:rPr>
          <w:rFonts w:eastAsia="Times New Roman"/>
          <w:noProof/>
          <w:lang w:eastAsia="en-GB"/>
        </w:rPr>
        <w:t>confidence in higher net-return</w:t>
      </w:r>
      <w:r w:rsidR="00267BBF" w:rsidRPr="005A3F47">
        <w:rPr>
          <w:rFonts w:eastAsia="Times New Roman"/>
          <w:noProof/>
          <w:lang w:eastAsia="en-GB"/>
        </w:rPr>
        <w:t>s</w:t>
      </w:r>
      <w:r w:rsidR="00212A60" w:rsidRPr="005A3F47">
        <w:rPr>
          <w:rFonts w:eastAsia="Times New Roman"/>
          <w:noProof/>
          <w:lang w:eastAsia="en-GB"/>
        </w:rPr>
        <w:t xml:space="preserve"> and lower compliance costs</w:t>
      </w:r>
      <w:r w:rsidR="001C4403" w:rsidRPr="005A3F47">
        <w:rPr>
          <w:rFonts w:eastAsia="Times New Roman"/>
          <w:noProof/>
          <w:lang w:eastAsia="en-GB"/>
        </w:rPr>
        <w:t xml:space="preserve"> </w:t>
      </w:r>
      <w:r w:rsidR="00212A60" w:rsidRPr="005A3F47">
        <w:rPr>
          <w:rFonts w:eastAsia="Times New Roman"/>
          <w:noProof/>
          <w:lang w:eastAsia="en-GB"/>
        </w:rPr>
        <w:t>for</w:t>
      </w:r>
      <w:r w:rsidR="001C4403" w:rsidRPr="005A3F47">
        <w:rPr>
          <w:rFonts w:eastAsia="Times New Roman"/>
          <w:noProof/>
          <w:lang w:eastAsia="en-GB"/>
        </w:rPr>
        <w:t xml:space="preserve"> future investment</w:t>
      </w:r>
      <w:r w:rsidR="00F571EC" w:rsidRPr="005A3F47">
        <w:rPr>
          <w:rFonts w:eastAsia="Times New Roman"/>
          <w:noProof/>
          <w:lang w:eastAsia="en-GB"/>
        </w:rPr>
        <w:t xml:space="preserve">. </w:t>
      </w:r>
      <w:r w:rsidR="00957635" w:rsidRPr="005A3F47">
        <w:rPr>
          <w:rFonts w:eastAsia="Times New Roman"/>
          <w:noProof/>
          <w:lang w:eastAsia="en-GB"/>
        </w:rPr>
        <w:t>M</w:t>
      </w:r>
      <w:r w:rsidR="00212A60" w:rsidRPr="005A3F47">
        <w:rPr>
          <w:rFonts w:eastAsia="Times New Roman"/>
          <w:noProof/>
          <w:lang w:eastAsia="en-GB"/>
        </w:rPr>
        <w:t xml:space="preserve">ore </w:t>
      </w:r>
      <w:r w:rsidR="00B50D97" w:rsidRPr="005A3F47">
        <w:rPr>
          <w:rFonts w:eastAsia="Times New Roman"/>
          <w:noProof/>
          <w:lang w:eastAsia="en-GB"/>
        </w:rPr>
        <w:t xml:space="preserve">groups </w:t>
      </w:r>
      <w:r w:rsidR="00F571EC" w:rsidRPr="005A3F47">
        <w:rPr>
          <w:rFonts w:eastAsia="Times New Roman"/>
          <w:noProof/>
          <w:lang w:eastAsia="en-GB"/>
        </w:rPr>
        <w:t>would</w:t>
      </w:r>
      <w:r w:rsidR="00B50D97" w:rsidRPr="005A3F47">
        <w:rPr>
          <w:rFonts w:eastAsia="Times New Roman"/>
          <w:noProof/>
          <w:lang w:eastAsia="en-GB"/>
        </w:rPr>
        <w:t xml:space="preserve"> </w:t>
      </w:r>
      <w:r w:rsidR="00957635" w:rsidRPr="005A3F47">
        <w:rPr>
          <w:rFonts w:eastAsia="Times New Roman"/>
          <w:noProof/>
          <w:lang w:eastAsia="en-GB"/>
        </w:rPr>
        <w:t xml:space="preserve">then </w:t>
      </w:r>
      <w:r w:rsidR="00B50D97" w:rsidRPr="005A3F47">
        <w:rPr>
          <w:rFonts w:eastAsia="Times New Roman"/>
          <w:noProof/>
          <w:lang w:eastAsia="en-GB"/>
        </w:rPr>
        <w:t>invest abroad</w:t>
      </w:r>
      <w:r w:rsidR="00F814D9" w:rsidRPr="005A3F47">
        <w:rPr>
          <w:rFonts w:eastAsia="Times New Roman"/>
          <w:noProof/>
          <w:lang w:eastAsia="en-GB"/>
        </w:rPr>
        <w:t xml:space="preserve"> in</w:t>
      </w:r>
      <w:r w:rsidR="00FE5A40" w:rsidRPr="005A3F47">
        <w:rPr>
          <w:rFonts w:eastAsia="Times New Roman"/>
          <w:noProof/>
          <w:lang w:eastAsia="en-GB"/>
        </w:rPr>
        <w:t>/across</w:t>
      </w:r>
      <w:r w:rsidR="00F814D9" w:rsidRPr="005A3F47">
        <w:rPr>
          <w:rFonts w:eastAsia="Times New Roman"/>
          <w:noProof/>
          <w:lang w:eastAsia="en-GB"/>
        </w:rPr>
        <w:t xml:space="preserve"> the </w:t>
      </w:r>
      <w:r w:rsidR="00FE5A40" w:rsidRPr="005A3F47">
        <w:rPr>
          <w:rFonts w:eastAsia="Times New Roman"/>
          <w:noProof/>
          <w:lang w:eastAsia="en-GB"/>
        </w:rPr>
        <w:t>internal market</w:t>
      </w:r>
      <w:r w:rsidR="00123DE3" w:rsidRPr="005A3F47">
        <w:rPr>
          <w:rFonts w:eastAsia="Times New Roman"/>
          <w:noProof/>
          <w:lang w:eastAsia="en-GB"/>
        </w:rPr>
        <w:t xml:space="preserve">, fostering innovation and </w:t>
      </w:r>
      <w:r w:rsidR="003F41C2" w:rsidRPr="005A3F47">
        <w:rPr>
          <w:rFonts w:eastAsia="Times New Roman"/>
          <w:noProof/>
          <w:lang w:eastAsia="en-GB"/>
        </w:rPr>
        <w:t xml:space="preserve">competitiveness, </w:t>
      </w:r>
      <w:r w:rsidR="00123DE3" w:rsidRPr="005A3F47">
        <w:rPr>
          <w:rFonts w:eastAsia="Times New Roman"/>
          <w:noProof/>
          <w:lang w:eastAsia="en-GB"/>
        </w:rPr>
        <w:t>and generating higher growth</w:t>
      </w:r>
      <w:r w:rsidR="003F41C2" w:rsidRPr="005A3F47">
        <w:rPr>
          <w:rFonts w:eastAsia="Times New Roman"/>
          <w:noProof/>
          <w:lang w:eastAsia="en-GB"/>
        </w:rPr>
        <w:t xml:space="preserve"> for </w:t>
      </w:r>
      <w:r w:rsidR="008E1C32" w:rsidRPr="005A3F47">
        <w:rPr>
          <w:rFonts w:eastAsia="Times New Roman"/>
          <w:noProof/>
          <w:lang w:eastAsia="en-GB"/>
        </w:rPr>
        <w:t>EU citizens</w:t>
      </w:r>
      <w:r w:rsidR="00F814D9" w:rsidRPr="005A3F47">
        <w:rPr>
          <w:rFonts w:eastAsia="Times New Roman"/>
          <w:noProof/>
          <w:lang w:eastAsia="en-GB"/>
        </w:rPr>
        <w:t xml:space="preserve">. </w:t>
      </w:r>
      <w:r w:rsidR="00B50D97" w:rsidRPr="005A3F47">
        <w:rPr>
          <w:rFonts w:eastAsia="Times New Roman"/>
          <w:noProof/>
          <w:lang w:eastAsia="en-GB"/>
        </w:rPr>
        <w:t xml:space="preserve"> </w:t>
      </w:r>
      <w:r w:rsidR="001C4403" w:rsidRPr="005A3F47">
        <w:rPr>
          <w:rFonts w:eastAsia="Times New Roman"/>
          <w:noProof/>
          <w:lang w:eastAsia="en-GB"/>
        </w:rPr>
        <w:t xml:space="preserve"> </w:t>
      </w:r>
      <w:r w:rsidR="007A59A0" w:rsidRPr="005A3F47">
        <w:rPr>
          <w:rFonts w:eastAsia="Times New Roman"/>
          <w:noProof/>
          <w:lang w:eastAsia="en-GB"/>
        </w:rPr>
        <w:t xml:space="preserve"> </w:t>
      </w:r>
    </w:p>
    <w:p w14:paraId="7F4DF78B" w14:textId="77777777" w:rsidR="006555D0" w:rsidRPr="005A3F47" w:rsidRDefault="006555D0" w:rsidP="000E2C3C">
      <w:pPr>
        <w:spacing w:after="0"/>
        <w:rPr>
          <w:rFonts w:eastAsia="Times New Roman"/>
          <w:noProof/>
          <w:lang w:eastAsia="en-GB"/>
        </w:rPr>
      </w:pPr>
    </w:p>
    <w:p w14:paraId="32E6FBFF" w14:textId="7F428B62" w:rsidR="00A870F6" w:rsidRPr="005A3F47" w:rsidRDefault="008854D6" w:rsidP="00FD2FC7">
      <w:pPr>
        <w:spacing w:after="0"/>
        <w:rPr>
          <w:rFonts w:eastAsia="Times New Roman"/>
          <w:noProof/>
          <w:lang w:eastAsia="en-GB"/>
        </w:rPr>
      </w:pPr>
      <w:r w:rsidRPr="005A3F47">
        <w:rPr>
          <w:rFonts w:eastAsia="Times New Roman"/>
          <w:noProof/>
          <w:lang w:eastAsia="en-GB"/>
        </w:rPr>
        <w:t xml:space="preserve">Moreover, </w:t>
      </w:r>
      <w:r w:rsidR="00007A51" w:rsidRPr="005A3F47">
        <w:rPr>
          <w:rFonts w:eastAsia="Times New Roman"/>
          <w:noProof/>
          <w:lang w:eastAsia="en-GB"/>
        </w:rPr>
        <w:t xml:space="preserve">exempting </w:t>
      </w:r>
      <w:r w:rsidR="00D22B17" w:rsidRPr="005A3F47">
        <w:rPr>
          <w:rFonts w:eastAsia="Times New Roman"/>
          <w:noProof/>
          <w:lang w:eastAsia="en-GB"/>
        </w:rPr>
        <w:t>certain</w:t>
      </w:r>
      <w:r w:rsidR="00EC1482" w:rsidRPr="005A3F47">
        <w:rPr>
          <w:rFonts w:eastAsia="Times New Roman"/>
          <w:noProof/>
          <w:lang w:eastAsia="en-GB"/>
        </w:rPr>
        <w:t xml:space="preserve"> volumes of third-party interest payments from </w:t>
      </w:r>
      <w:r w:rsidR="00B41D29" w:rsidRPr="005A3F47">
        <w:rPr>
          <w:rFonts w:eastAsia="Times New Roman"/>
          <w:noProof/>
          <w:lang w:eastAsia="en-GB"/>
        </w:rPr>
        <w:t xml:space="preserve">the </w:t>
      </w:r>
      <w:r w:rsidR="00EC1482" w:rsidRPr="005A3F47">
        <w:rPr>
          <w:rFonts w:eastAsia="Times New Roman"/>
          <w:noProof/>
          <w:lang w:eastAsia="en-GB"/>
        </w:rPr>
        <w:t>I</w:t>
      </w:r>
      <w:r w:rsidR="003252ED" w:rsidRPr="005A3F47">
        <w:rPr>
          <w:rFonts w:eastAsia="Times New Roman"/>
          <w:noProof/>
          <w:lang w:eastAsia="en-GB"/>
        </w:rPr>
        <w:t xml:space="preserve">nterest </w:t>
      </w:r>
      <w:r w:rsidR="00EC1482" w:rsidRPr="005A3F47">
        <w:rPr>
          <w:rFonts w:eastAsia="Times New Roman"/>
          <w:noProof/>
          <w:lang w:eastAsia="en-GB"/>
        </w:rPr>
        <w:t>L</w:t>
      </w:r>
      <w:r w:rsidR="003252ED" w:rsidRPr="005A3F47">
        <w:rPr>
          <w:rFonts w:eastAsia="Times New Roman"/>
          <w:noProof/>
          <w:lang w:eastAsia="en-GB"/>
        </w:rPr>
        <w:t xml:space="preserve">imitation </w:t>
      </w:r>
      <w:r w:rsidR="00EC1482" w:rsidRPr="005A3F47">
        <w:rPr>
          <w:rFonts w:eastAsia="Times New Roman"/>
          <w:noProof/>
          <w:lang w:eastAsia="en-GB"/>
        </w:rPr>
        <w:t>R</w:t>
      </w:r>
      <w:r w:rsidR="003252ED" w:rsidRPr="005A3F47">
        <w:rPr>
          <w:rFonts w:eastAsia="Times New Roman"/>
          <w:noProof/>
          <w:lang w:eastAsia="en-GB"/>
        </w:rPr>
        <w:t>ule</w:t>
      </w:r>
      <w:r w:rsidR="00EC1482" w:rsidRPr="005A3F47">
        <w:rPr>
          <w:rFonts w:eastAsia="Times New Roman"/>
          <w:noProof/>
          <w:lang w:eastAsia="en-GB"/>
        </w:rPr>
        <w:t xml:space="preserve"> would </w:t>
      </w:r>
      <w:r w:rsidR="00B41D29" w:rsidRPr="005A3F47">
        <w:rPr>
          <w:rFonts w:eastAsia="Times New Roman"/>
          <w:noProof/>
          <w:lang w:eastAsia="en-GB"/>
        </w:rPr>
        <w:t>also</w:t>
      </w:r>
      <w:r w:rsidR="00EC1482" w:rsidRPr="005A3F47">
        <w:rPr>
          <w:rFonts w:eastAsia="Times New Roman"/>
          <w:noProof/>
          <w:lang w:eastAsia="en-GB"/>
        </w:rPr>
        <w:t xml:space="preserve"> </w:t>
      </w:r>
      <w:r w:rsidR="00D80B2D" w:rsidRPr="005A3F47">
        <w:rPr>
          <w:rFonts w:eastAsia="Times New Roman"/>
          <w:noProof/>
          <w:lang w:eastAsia="en-GB"/>
        </w:rPr>
        <w:t>tackle one major deficiency of the I</w:t>
      </w:r>
      <w:r w:rsidR="003252ED" w:rsidRPr="005A3F47">
        <w:rPr>
          <w:rFonts w:eastAsia="Times New Roman"/>
          <w:noProof/>
          <w:lang w:eastAsia="en-GB"/>
        </w:rPr>
        <w:t xml:space="preserve">nterest </w:t>
      </w:r>
      <w:r w:rsidR="00D80B2D" w:rsidRPr="005A3F47">
        <w:rPr>
          <w:rFonts w:eastAsia="Times New Roman"/>
          <w:noProof/>
          <w:lang w:eastAsia="en-GB"/>
        </w:rPr>
        <w:t>L</w:t>
      </w:r>
      <w:r w:rsidR="003252ED" w:rsidRPr="005A3F47">
        <w:rPr>
          <w:rFonts w:eastAsia="Times New Roman"/>
          <w:noProof/>
          <w:lang w:eastAsia="en-GB"/>
        </w:rPr>
        <w:t xml:space="preserve">imitation </w:t>
      </w:r>
      <w:r w:rsidR="00D80B2D" w:rsidRPr="005A3F47">
        <w:rPr>
          <w:rFonts w:eastAsia="Times New Roman"/>
          <w:noProof/>
          <w:lang w:eastAsia="en-GB"/>
        </w:rPr>
        <w:t>R</w:t>
      </w:r>
      <w:r w:rsidR="003252ED" w:rsidRPr="005A3F47">
        <w:rPr>
          <w:rFonts w:eastAsia="Times New Roman"/>
          <w:noProof/>
          <w:lang w:eastAsia="en-GB"/>
        </w:rPr>
        <w:t>ule</w:t>
      </w:r>
      <w:r w:rsidR="00D80B2D" w:rsidRPr="005A3F47">
        <w:rPr>
          <w:rFonts w:eastAsia="Times New Roman"/>
          <w:noProof/>
          <w:lang w:eastAsia="en-GB"/>
        </w:rPr>
        <w:t xml:space="preserve">: its </w:t>
      </w:r>
      <w:r w:rsidR="00D80B2D" w:rsidRPr="00A04FE3">
        <w:rPr>
          <w:rFonts w:eastAsia="Times New Roman"/>
          <w:noProof/>
          <w:lang w:eastAsia="en-GB"/>
        </w:rPr>
        <w:t xml:space="preserve">strong pro-cyclical </w:t>
      </w:r>
      <w:r w:rsidR="00071154" w:rsidRPr="00A04FE3">
        <w:rPr>
          <w:rFonts w:eastAsia="Times New Roman"/>
          <w:noProof/>
          <w:lang w:eastAsia="en-GB"/>
        </w:rPr>
        <w:t xml:space="preserve">impact </w:t>
      </w:r>
      <w:r w:rsidR="00736049" w:rsidRPr="00A04FE3">
        <w:rPr>
          <w:rFonts w:eastAsia="Times New Roman"/>
          <w:noProof/>
          <w:lang w:eastAsia="en-GB"/>
        </w:rPr>
        <w:t xml:space="preserve">on </w:t>
      </w:r>
      <w:r w:rsidR="0C5F8352" w:rsidRPr="00A04FE3">
        <w:rPr>
          <w:rFonts w:eastAsia="Times New Roman"/>
          <w:noProof/>
          <w:lang w:eastAsia="en-GB"/>
        </w:rPr>
        <w:t>company</w:t>
      </w:r>
      <w:r w:rsidR="00736049" w:rsidRPr="00A04FE3">
        <w:rPr>
          <w:rFonts w:eastAsia="Times New Roman"/>
          <w:noProof/>
          <w:lang w:eastAsia="en-GB"/>
        </w:rPr>
        <w:t xml:space="preserve"> cash-flow.</w:t>
      </w:r>
      <w:r w:rsidR="00621354" w:rsidRPr="00A04FE3">
        <w:rPr>
          <w:rFonts w:eastAsia="Times New Roman"/>
          <w:noProof/>
          <w:lang w:eastAsia="en-GB"/>
        </w:rPr>
        <w:t xml:space="preserve"> </w:t>
      </w:r>
      <w:r w:rsidR="00F24A4A" w:rsidRPr="00A04FE3">
        <w:rPr>
          <w:rFonts w:eastAsia="Times New Roman"/>
          <w:noProof/>
          <w:lang w:eastAsia="en-GB"/>
        </w:rPr>
        <w:t>This effect can be very significant</w:t>
      </w:r>
      <w:r w:rsidR="00E54904" w:rsidRPr="00A04FE3">
        <w:rPr>
          <w:rFonts w:eastAsia="Times New Roman"/>
          <w:noProof/>
          <w:lang w:eastAsia="en-GB"/>
        </w:rPr>
        <w:t xml:space="preserve"> during econ</w:t>
      </w:r>
      <w:r w:rsidR="00E54904" w:rsidRPr="005A3F47">
        <w:rPr>
          <w:rFonts w:eastAsia="Times New Roman"/>
          <w:noProof/>
          <w:lang w:eastAsia="en-GB"/>
        </w:rPr>
        <w:t>omic downturns</w:t>
      </w:r>
      <w:r w:rsidR="0088318D" w:rsidRPr="005A3F47">
        <w:rPr>
          <w:rFonts w:eastAsia="Times New Roman"/>
          <w:noProof/>
          <w:lang w:eastAsia="en-GB"/>
        </w:rPr>
        <w:t>.</w:t>
      </w:r>
      <w:r w:rsidR="00621354" w:rsidRPr="005A3F47">
        <w:rPr>
          <w:rStyle w:val="FootnoteReference"/>
          <w:rFonts w:eastAsia="Times New Roman"/>
          <w:noProof/>
          <w:lang w:eastAsia="en-GB"/>
        </w:rPr>
        <w:footnoteReference w:id="110"/>
      </w:r>
      <w:r w:rsidR="00621354" w:rsidRPr="005A3F47">
        <w:rPr>
          <w:rFonts w:eastAsia="Times New Roman"/>
          <w:noProof/>
          <w:lang w:eastAsia="en-GB"/>
        </w:rPr>
        <w:t xml:space="preserve"> </w:t>
      </w:r>
      <w:r w:rsidR="00386F02" w:rsidRPr="005A3F47">
        <w:rPr>
          <w:rFonts w:eastAsia="Times New Roman"/>
          <w:noProof/>
          <w:lang w:eastAsia="en-GB"/>
        </w:rPr>
        <w:t xml:space="preserve">Especially during times of </w:t>
      </w:r>
      <w:r w:rsidR="00E54904" w:rsidRPr="005A3F47">
        <w:rPr>
          <w:rFonts w:eastAsia="Times New Roman"/>
          <w:noProof/>
          <w:lang w:eastAsia="en-GB"/>
        </w:rPr>
        <w:t>increasingly</w:t>
      </w:r>
      <w:r w:rsidR="00386F02" w:rsidRPr="005A3F47">
        <w:rPr>
          <w:rFonts w:eastAsia="Times New Roman"/>
          <w:noProof/>
          <w:lang w:eastAsia="en-GB"/>
        </w:rPr>
        <w:t xml:space="preserve"> frequent </w:t>
      </w:r>
      <w:r w:rsidR="00B64CC9" w:rsidRPr="005A3F47">
        <w:rPr>
          <w:rFonts w:eastAsia="Times New Roman"/>
          <w:noProof/>
          <w:lang w:eastAsia="en-GB"/>
        </w:rPr>
        <w:t xml:space="preserve">and </w:t>
      </w:r>
      <w:r w:rsidR="0005437A" w:rsidRPr="005A3F47">
        <w:rPr>
          <w:rFonts w:eastAsia="Times New Roman"/>
          <w:noProof/>
          <w:lang w:eastAsia="en-GB"/>
        </w:rPr>
        <w:t xml:space="preserve">adverse </w:t>
      </w:r>
      <w:r w:rsidR="00386F02" w:rsidRPr="005A3F47">
        <w:rPr>
          <w:rFonts w:eastAsia="Times New Roman"/>
          <w:noProof/>
          <w:lang w:eastAsia="en-GB"/>
        </w:rPr>
        <w:t>macro-economic shocks</w:t>
      </w:r>
      <w:r w:rsidR="00CD7E43" w:rsidRPr="005A3F47">
        <w:rPr>
          <w:rFonts w:eastAsia="Times New Roman"/>
          <w:noProof/>
          <w:lang w:eastAsia="en-GB"/>
        </w:rPr>
        <w:t xml:space="preserve">, </w:t>
      </w:r>
      <w:r w:rsidR="00B0099C" w:rsidRPr="005A3F47">
        <w:rPr>
          <w:rFonts w:eastAsia="Times New Roman"/>
          <w:noProof/>
          <w:lang w:eastAsia="en-GB"/>
        </w:rPr>
        <w:t>car</w:t>
      </w:r>
      <w:r w:rsidR="00B64CC9" w:rsidRPr="005A3F47">
        <w:rPr>
          <w:rFonts w:eastAsia="Times New Roman"/>
          <w:noProof/>
          <w:lang w:eastAsia="en-GB"/>
        </w:rPr>
        <w:t>v</w:t>
      </w:r>
      <w:r w:rsidR="00B0099C" w:rsidRPr="005A3F47">
        <w:rPr>
          <w:rFonts w:eastAsia="Times New Roman"/>
          <w:noProof/>
          <w:lang w:eastAsia="en-GB"/>
        </w:rPr>
        <w:t>ing out third</w:t>
      </w:r>
      <w:r w:rsidR="00E82311" w:rsidRPr="005A3F47">
        <w:rPr>
          <w:rFonts w:eastAsia="Times New Roman"/>
          <w:noProof/>
          <w:lang w:eastAsia="en-GB"/>
        </w:rPr>
        <w:t xml:space="preserve">-party loans </w:t>
      </w:r>
      <w:r w:rsidR="00DD4D10" w:rsidRPr="005A3F47">
        <w:rPr>
          <w:rFonts w:eastAsia="Times New Roman"/>
          <w:noProof/>
          <w:lang w:eastAsia="en-GB"/>
        </w:rPr>
        <w:t xml:space="preserve">(Option 4) </w:t>
      </w:r>
      <w:r w:rsidR="00AF7CCA" w:rsidRPr="005A3F47">
        <w:rPr>
          <w:rFonts w:eastAsia="Times New Roman"/>
          <w:noProof/>
          <w:lang w:eastAsia="en-GB"/>
        </w:rPr>
        <w:t xml:space="preserve">would </w:t>
      </w:r>
      <w:r w:rsidR="00CD7E43" w:rsidRPr="005A3F47">
        <w:rPr>
          <w:rFonts w:eastAsia="Times New Roman"/>
          <w:noProof/>
          <w:lang w:eastAsia="en-GB"/>
        </w:rPr>
        <w:t xml:space="preserve">protect </w:t>
      </w:r>
      <w:r w:rsidR="375844DB" w:rsidRPr="005A3F47">
        <w:rPr>
          <w:noProof/>
        </w:rPr>
        <w:t>businesses</w:t>
      </w:r>
      <w:r w:rsidR="375844DB" w:rsidRPr="005A3F47">
        <w:rPr>
          <w:rFonts w:eastAsia="Times New Roman"/>
          <w:noProof/>
          <w:lang w:eastAsia="en-GB"/>
        </w:rPr>
        <w:t xml:space="preserve"> </w:t>
      </w:r>
      <w:r w:rsidR="00CD7E43" w:rsidRPr="005A3F47">
        <w:rPr>
          <w:rFonts w:eastAsia="Times New Roman"/>
          <w:noProof/>
          <w:lang w:eastAsia="en-GB"/>
        </w:rPr>
        <w:t xml:space="preserve">from </w:t>
      </w:r>
      <w:r w:rsidR="000E6C5B" w:rsidRPr="005A3F47">
        <w:rPr>
          <w:rFonts w:eastAsia="Times New Roman"/>
          <w:noProof/>
          <w:lang w:eastAsia="en-GB"/>
        </w:rPr>
        <w:t>disproportionate</w:t>
      </w:r>
      <w:r w:rsidR="00CD7E43" w:rsidRPr="005A3F47">
        <w:rPr>
          <w:rFonts w:eastAsia="Times New Roman"/>
          <w:noProof/>
          <w:lang w:eastAsia="en-GB"/>
        </w:rPr>
        <w:t xml:space="preserve"> </w:t>
      </w:r>
      <w:r w:rsidR="003D28DB" w:rsidRPr="005A3F47">
        <w:rPr>
          <w:rFonts w:eastAsia="Times New Roman"/>
          <w:noProof/>
          <w:lang w:eastAsia="en-GB"/>
        </w:rPr>
        <w:t xml:space="preserve">limitations </w:t>
      </w:r>
      <w:r w:rsidR="004145DD" w:rsidRPr="005A3F47">
        <w:rPr>
          <w:rFonts w:eastAsia="Times New Roman"/>
          <w:noProof/>
          <w:lang w:eastAsia="en-GB"/>
        </w:rPr>
        <w:t>to</w:t>
      </w:r>
      <w:r w:rsidR="00666013" w:rsidRPr="005A3F47">
        <w:rPr>
          <w:rFonts w:eastAsia="Times New Roman"/>
          <w:noProof/>
          <w:lang w:eastAsia="en-GB"/>
        </w:rPr>
        <w:t xml:space="preserve"> cost deduction </w:t>
      </w:r>
      <w:r w:rsidR="00D24E81" w:rsidRPr="005A3F47">
        <w:rPr>
          <w:rFonts w:eastAsia="Times New Roman"/>
          <w:noProof/>
          <w:lang w:eastAsia="en-GB"/>
        </w:rPr>
        <w:t xml:space="preserve">– more than </w:t>
      </w:r>
      <w:r w:rsidR="005E637C" w:rsidRPr="005A3F47">
        <w:rPr>
          <w:rFonts w:eastAsia="Times New Roman"/>
          <w:noProof/>
          <w:lang w:eastAsia="en-GB"/>
        </w:rPr>
        <w:t xml:space="preserve">discretionary </w:t>
      </w:r>
      <w:r w:rsidR="00215C37" w:rsidRPr="005A3F47">
        <w:rPr>
          <w:rFonts w:eastAsia="Times New Roman"/>
          <w:noProof/>
          <w:lang w:eastAsia="en-GB"/>
        </w:rPr>
        <w:t xml:space="preserve">year-by-year exemptions </w:t>
      </w:r>
      <w:r w:rsidR="00A13287" w:rsidRPr="005A3F47">
        <w:rPr>
          <w:rFonts w:eastAsia="Times New Roman"/>
          <w:noProof/>
          <w:lang w:eastAsia="en-GB"/>
        </w:rPr>
        <w:t>c</w:t>
      </w:r>
      <w:r w:rsidR="00DD4D10" w:rsidRPr="005A3F47">
        <w:rPr>
          <w:rFonts w:eastAsia="Times New Roman"/>
          <w:noProof/>
          <w:lang w:eastAsia="en-GB"/>
        </w:rPr>
        <w:t xml:space="preserve">ould </w:t>
      </w:r>
      <w:r w:rsidR="00CF1C23" w:rsidRPr="005A3F47">
        <w:rPr>
          <w:rFonts w:eastAsia="Times New Roman"/>
          <w:noProof/>
          <w:lang w:eastAsia="en-GB"/>
        </w:rPr>
        <w:t xml:space="preserve">achieve </w:t>
      </w:r>
      <w:r w:rsidR="00215C37" w:rsidRPr="005A3F47">
        <w:rPr>
          <w:rFonts w:eastAsia="Times New Roman"/>
          <w:noProof/>
          <w:lang w:eastAsia="en-GB"/>
        </w:rPr>
        <w:t xml:space="preserve">(Option 5). </w:t>
      </w:r>
      <w:r w:rsidR="00666013" w:rsidRPr="005A3F47">
        <w:rPr>
          <w:rFonts w:eastAsia="Times New Roman"/>
          <w:noProof/>
          <w:lang w:eastAsia="en-GB"/>
        </w:rPr>
        <w:t>G</w:t>
      </w:r>
      <w:r w:rsidR="00A4678A" w:rsidRPr="005A3F47">
        <w:rPr>
          <w:rFonts w:eastAsia="Times New Roman"/>
          <w:noProof/>
          <w:lang w:eastAsia="en-GB"/>
        </w:rPr>
        <w:t>lobal economic crises</w:t>
      </w:r>
      <w:r w:rsidR="00666013" w:rsidRPr="005A3F47">
        <w:rPr>
          <w:rFonts w:eastAsia="Times New Roman"/>
          <w:noProof/>
          <w:lang w:eastAsia="en-GB"/>
        </w:rPr>
        <w:t xml:space="preserve"> since the Covid pandemi</w:t>
      </w:r>
      <w:r w:rsidR="00D42726" w:rsidRPr="005A3F47">
        <w:rPr>
          <w:rFonts w:eastAsia="Times New Roman"/>
          <w:noProof/>
          <w:lang w:eastAsia="en-GB"/>
        </w:rPr>
        <w:t>c</w:t>
      </w:r>
      <w:r w:rsidR="00A4678A" w:rsidRPr="005A3F47">
        <w:rPr>
          <w:rFonts w:eastAsia="Times New Roman"/>
          <w:noProof/>
          <w:lang w:eastAsia="en-GB"/>
        </w:rPr>
        <w:t xml:space="preserve"> have revealed that shocks tend to persist for more than just a year. </w:t>
      </w:r>
      <w:r w:rsidR="00C3264F" w:rsidRPr="005A3F47">
        <w:rPr>
          <w:rFonts w:eastAsia="Times New Roman"/>
          <w:noProof/>
          <w:lang w:eastAsia="en-GB"/>
        </w:rPr>
        <w:t xml:space="preserve">During that period, </w:t>
      </w:r>
      <w:r w:rsidR="28C53FB2" w:rsidRPr="005A3F47">
        <w:rPr>
          <w:rFonts w:eastAsia="Times New Roman"/>
          <w:noProof/>
          <w:lang w:eastAsia="en-GB"/>
        </w:rPr>
        <w:t>compan</w:t>
      </w:r>
      <w:r w:rsidR="009B659B" w:rsidRPr="005A3F47">
        <w:rPr>
          <w:rFonts w:eastAsia="Times New Roman"/>
          <w:noProof/>
          <w:lang w:eastAsia="en-GB"/>
        </w:rPr>
        <w:t>ie</w:t>
      </w:r>
      <w:r w:rsidR="05565580" w:rsidRPr="005A3F47">
        <w:rPr>
          <w:rFonts w:eastAsia="Times New Roman"/>
          <w:noProof/>
          <w:lang w:eastAsia="en-GB"/>
        </w:rPr>
        <w:t>s</w:t>
      </w:r>
      <w:r w:rsidR="009B659B" w:rsidRPr="005A3F47">
        <w:rPr>
          <w:rFonts w:eastAsia="Times New Roman"/>
          <w:noProof/>
          <w:lang w:eastAsia="en-GB"/>
        </w:rPr>
        <w:t>’</w:t>
      </w:r>
      <w:r w:rsidR="00AD200C" w:rsidRPr="005A3F47">
        <w:rPr>
          <w:rFonts w:eastAsia="Times New Roman"/>
          <w:noProof/>
          <w:lang w:eastAsia="en-GB"/>
        </w:rPr>
        <w:t xml:space="preserve"> debt obligations may </w:t>
      </w:r>
      <w:r w:rsidR="003C56D5" w:rsidRPr="005A3F47">
        <w:rPr>
          <w:rFonts w:eastAsia="Times New Roman"/>
          <w:noProof/>
          <w:lang w:eastAsia="en-GB"/>
        </w:rPr>
        <w:t>remain constant</w:t>
      </w:r>
      <w:r w:rsidR="00EE0A43" w:rsidRPr="005A3F47">
        <w:rPr>
          <w:rFonts w:eastAsia="Times New Roman"/>
          <w:noProof/>
          <w:lang w:eastAsia="en-GB"/>
        </w:rPr>
        <w:t xml:space="preserve"> – o</w:t>
      </w:r>
      <w:r w:rsidR="003C56D5" w:rsidRPr="005A3F47">
        <w:rPr>
          <w:rFonts w:eastAsia="Times New Roman"/>
          <w:noProof/>
          <w:lang w:eastAsia="en-GB"/>
        </w:rPr>
        <w:t xml:space="preserve">r may even increase </w:t>
      </w:r>
      <w:r w:rsidR="00783070" w:rsidRPr="005A3F47">
        <w:rPr>
          <w:rFonts w:eastAsia="Times New Roman"/>
          <w:noProof/>
          <w:lang w:eastAsia="en-GB"/>
        </w:rPr>
        <w:t xml:space="preserve">as interest rates tend to go up </w:t>
      </w:r>
      <w:r w:rsidR="00EE0A43" w:rsidRPr="005A3F47">
        <w:rPr>
          <w:rFonts w:eastAsia="Times New Roman"/>
          <w:noProof/>
          <w:lang w:eastAsia="en-GB"/>
        </w:rPr>
        <w:t xml:space="preserve">due to inflationary pressure. </w:t>
      </w:r>
      <w:r w:rsidR="009A08B9" w:rsidRPr="005A3F47">
        <w:rPr>
          <w:rFonts w:eastAsia="Times New Roman"/>
          <w:noProof/>
          <w:lang w:eastAsia="en-GB"/>
        </w:rPr>
        <w:t>At the same time, deductibility shrinks</w:t>
      </w:r>
      <w:r w:rsidR="00A779A1" w:rsidRPr="005A3F47">
        <w:rPr>
          <w:rFonts w:eastAsia="Times New Roman"/>
          <w:noProof/>
          <w:lang w:eastAsia="en-GB"/>
        </w:rPr>
        <w:t xml:space="preserve"> as profit</w:t>
      </w:r>
      <w:r w:rsidR="005365A3" w:rsidRPr="005A3F47">
        <w:rPr>
          <w:rFonts w:eastAsia="Times New Roman"/>
          <w:noProof/>
          <w:lang w:eastAsia="en-GB"/>
        </w:rPr>
        <w:t>s</w:t>
      </w:r>
      <w:r w:rsidR="00A779A1" w:rsidRPr="005A3F47">
        <w:rPr>
          <w:rFonts w:eastAsia="Times New Roman"/>
          <w:noProof/>
          <w:lang w:eastAsia="en-GB"/>
        </w:rPr>
        <w:t xml:space="preserve"> </w:t>
      </w:r>
      <w:r w:rsidR="00027CD6" w:rsidRPr="005A3F47">
        <w:rPr>
          <w:rFonts w:eastAsia="Times New Roman"/>
          <w:noProof/>
          <w:lang w:eastAsia="en-GB"/>
        </w:rPr>
        <w:t>decline</w:t>
      </w:r>
      <w:r w:rsidR="00A779A1" w:rsidRPr="005A3F47">
        <w:rPr>
          <w:rFonts w:eastAsia="Times New Roman"/>
          <w:noProof/>
          <w:lang w:eastAsia="en-GB"/>
        </w:rPr>
        <w:t xml:space="preserve">. </w:t>
      </w:r>
      <w:r w:rsidR="005365A3" w:rsidRPr="005A3F47">
        <w:rPr>
          <w:rFonts w:eastAsia="Times New Roman"/>
          <w:noProof/>
          <w:lang w:eastAsia="en-GB"/>
        </w:rPr>
        <w:t xml:space="preserve">This is exactly what happened since the onset of the </w:t>
      </w:r>
      <w:r w:rsidR="009F19CD" w:rsidRPr="005A3F47">
        <w:rPr>
          <w:rFonts w:eastAsia="Times New Roman"/>
          <w:noProof/>
          <w:lang w:eastAsia="en-GB"/>
        </w:rPr>
        <w:t xml:space="preserve">global </w:t>
      </w:r>
      <w:r w:rsidR="005365A3" w:rsidRPr="005A3F47">
        <w:rPr>
          <w:rFonts w:eastAsia="Times New Roman"/>
          <w:noProof/>
          <w:lang w:eastAsia="en-GB"/>
        </w:rPr>
        <w:t xml:space="preserve">energy crisis </w:t>
      </w:r>
      <w:r w:rsidR="00111CD6" w:rsidRPr="005A3F47">
        <w:rPr>
          <w:rFonts w:eastAsia="Times New Roman"/>
          <w:noProof/>
          <w:lang w:eastAsia="en-GB"/>
        </w:rPr>
        <w:t>in 2022</w:t>
      </w:r>
      <w:r w:rsidR="00123F77" w:rsidRPr="005A3F47">
        <w:rPr>
          <w:rFonts w:eastAsia="Times New Roman"/>
          <w:noProof/>
          <w:lang w:eastAsia="en-GB"/>
        </w:rPr>
        <w:t xml:space="preserve"> when the cost of borrowing </w:t>
      </w:r>
      <w:r w:rsidR="009E2E6D" w:rsidRPr="005A3F47">
        <w:rPr>
          <w:rFonts w:eastAsia="Times New Roman"/>
          <w:noProof/>
          <w:lang w:eastAsia="en-GB"/>
        </w:rPr>
        <w:t>for non-financ</w:t>
      </w:r>
      <w:r w:rsidR="009F19CD" w:rsidRPr="005A3F47">
        <w:rPr>
          <w:rFonts w:eastAsia="Times New Roman"/>
          <w:noProof/>
          <w:lang w:eastAsia="en-GB"/>
        </w:rPr>
        <w:t>i</w:t>
      </w:r>
      <w:r w:rsidR="009E2E6D" w:rsidRPr="005A3F47">
        <w:rPr>
          <w:rFonts w:eastAsia="Times New Roman"/>
          <w:noProof/>
          <w:lang w:eastAsia="en-GB"/>
        </w:rPr>
        <w:t>al corporations went up from 1.</w:t>
      </w:r>
      <w:r w:rsidR="000B6F97" w:rsidRPr="005A3F47">
        <w:rPr>
          <w:rFonts w:eastAsia="Times New Roman"/>
          <w:noProof/>
          <w:lang w:eastAsia="en-GB"/>
        </w:rPr>
        <w:t>4</w:t>
      </w:r>
      <w:r w:rsidR="009E2E6D" w:rsidRPr="005A3F47">
        <w:rPr>
          <w:rFonts w:eastAsia="Times New Roman"/>
          <w:noProof/>
          <w:lang w:eastAsia="en-GB"/>
        </w:rPr>
        <w:t>% (</w:t>
      </w:r>
      <w:r w:rsidR="0088077A" w:rsidRPr="005A3F47">
        <w:rPr>
          <w:rFonts w:eastAsia="Times New Roman"/>
          <w:noProof/>
          <w:lang w:eastAsia="en-GB"/>
        </w:rPr>
        <w:t xml:space="preserve">Q4, </w:t>
      </w:r>
      <w:r w:rsidR="009E2E6D" w:rsidRPr="005A3F47">
        <w:rPr>
          <w:rFonts w:eastAsia="Times New Roman"/>
          <w:noProof/>
          <w:lang w:eastAsia="en-GB"/>
        </w:rPr>
        <w:t xml:space="preserve">2021) </w:t>
      </w:r>
      <w:r w:rsidR="0088077A" w:rsidRPr="005A3F47">
        <w:rPr>
          <w:rFonts w:eastAsia="Times New Roman"/>
          <w:noProof/>
          <w:lang w:eastAsia="en-GB"/>
        </w:rPr>
        <w:t>to 5.3% (Q4, 2023)</w:t>
      </w:r>
      <w:r w:rsidR="00111CD6" w:rsidRPr="005A3F47">
        <w:rPr>
          <w:rFonts w:eastAsia="Times New Roman"/>
          <w:noProof/>
          <w:lang w:eastAsia="en-GB"/>
        </w:rPr>
        <w:t>.</w:t>
      </w:r>
      <w:r w:rsidR="00027CD6" w:rsidRPr="005A3F47">
        <w:rPr>
          <w:rStyle w:val="FootnoteReference"/>
          <w:rFonts w:eastAsia="Times New Roman"/>
          <w:noProof/>
          <w:lang w:eastAsia="en-GB"/>
        </w:rPr>
        <w:footnoteReference w:id="111"/>
      </w:r>
      <w:r w:rsidR="00111CD6" w:rsidRPr="005A3F47">
        <w:rPr>
          <w:rFonts w:eastAsia="Times New Roman"/>
          <w:noProof/>
          <w:lang w:eastAsia="en-GB"/>
        </w:rPr>
        <w:t xml:space="preserve"> </w:t>
      </w:r>
      <w:r w:rsidR="00320561" w:rsidRPr="005A3F47">
        <w:rPr>
          <w:rFonts w:eastAsia="Times New Roman"/>
          <w:noProof/>
          <w:lang w:eastAsia="en-GB"/>
        </w:rPr>
        <w:t>Non-deductibility of these costs</w:t>
      </w:r>
      <w:r w:rsidR="00094D58" w:rsidRPr="005A3F47">
        <w:rPr>
          <w:rFonts w:eastAsia="Times New Roman"/>
          <w:noProof/>
          <w:lang w:eastAsia="en-GB"/>
        </w:rPr>
        <w:t xml:space="preserve"> could </w:t>
      </w:r>
      <w:r w:rsidR="007D6BF8" w:rsidRPr="005A3F47">
        <w:rPr>
          <w:rFonts w:eastAsia="Times New Roman"/>
          <w:noProof/>
          <w:lang w:eastAsia="en-GB"/>
        </w:rPr>
        <w:t xml:space="preserve">reduce </w:t>
      </w:r>
      <w:r w:rsidR="00AF489D" w:rsidRPr="005A3F47">
        <w:rPr>
          <w:rFonts w:eastAsia="Times New Roman"/>
          <w:noProof/>
          <w:lang w:eastAsia="en-GB"/>
        </w:rPr>
        <w:t xml:space="preserve">a </w:t>
      </w:r>
      <w:r w:rsidR="3BF5481C" w:rsidRPr="005A3F47">
        <w:rPr>
          <w:rFonts w:eastAsia="Times New Roman"/>
          <w:noProof/>
          <w:lang w:eastAsia="en-GB"/>
        </w:rPr>
        <w:t>company</w:t>
      </w:r>
      <w:r w:rsidR="007D6BF8" w:rsidRPr="005A3F47">
        <w:rPr>
          <w:rFonts w:eastAsia="Times New Roman"/>
          <w:noProof/>
          <w:lang w:eastAsia="en-GB"/>
        </w:rPr>
        <w:t>’</w:t>
      </w:r>
      <w:r w:rsidR="6AC1BF91" w:rsidRPr="005A3F47">
        <w:rPr>
          <w:rFonts w:eastAsia="Times New Roman"/>
          <w:noProof/>
          <w:lang w:eastAsia="en-GB"/>
        </w:rPr>
        <w:t>s</w:t>
      </w:r>
      <w:r w:rsidR="007D6BF8" w:rsidRPr="005A3F47">
        <w:rPr>
          <w:rFonts w:eastAsia="Times New Roman"/>
          <w:noProof/>
          <w:lang w:eastAsia="en-GB"/>
        </w:rPr>
        <w:t xml:space="preserve"> cas</w:t>
      </w:r>
      <w:r w:rsidR="00D122B5" w:rsidRPr="005A3F47">
        <w:rPr>
          <w:rFonts w:eastAsia="Times New Roman"/>
          <w:noProof/>
          <w:lang w:eastAsia="en-GB"/>
        </w:rPr>
        <w:t>h</w:t>
      </w:r>
      <w:r w:rsidR="007D6BF8" w:rsidRPr="005A3F47">
        <w:rPr>
          <w:rFonts w:eastAsia="Times New Roman"/>
          <w:noProof/>
          <w:lang w:eastAsia="en-GB"/>
        </w:rPr>
        <w:t xml:space="preserve">-flow, thereby causing </w:t>
      </w:r>
      <w:r w:rsidR="00094D58" w:rsidRPr="005A3F47">
        <w:rPr>
          <w:rFonts w:eastAsia="Times New Roman"/>
          <w:noProof/>
          <w:lang w:eastAsia="en-GB"/>
        </w:rPr>
        <w:t xml:space="preserve">serious financial distress to </w:t>
      </w:r>
      <w:r w:rsidR="0099302A" w:rsidRPr="005A3F47">
        <w:rPr>
          <w:rFonts w:eastAsia="Times New Roman"/>
          <w:noProof/>
          <w:lang w:eastAsia="en-GB"/>
        </w:rPr>
        <w:t xml:space="preserve">otherwise productive </w:t>
      </w:r>
      <w:r w:rsidR="00094D58" w:rsidRPr="005A3F47">
        <w:rPr>
          <w:rFonts w:eastAsia="Times New Roman"/>
          <w:noProof/>
          <w:lang w:eastAsia="en-GB"/>
        </w:rPr>
        <w:t>companies</w:t>
      </w:r>
      <w:r w:rsidR="008D07B2" w:rsidRPr="005A3F47">
        <w:rPr>
          <w:rFonts w:eastAsia="Times New Roman"/>
          <w:noProof/>
          <w:lang w:eastAsia="en-GB"/>
        </w:rPr>
        <w:t>.</w:t>
      </w:r>
      <w:r w:rsidR="00CD061F" w:rsidRPr="005A3F47">
        <w:rPr>
          <w:rStyle w:val="FootnoteReference"/>
          <w:rFonts w:eastAsia="Times New Roman"/>
          <w:noProof/>
          <w:lang w:eastAsia="en-GB"/>
        </w:rPr>
        <w:footnoteReference w:id="112"/>
      </w:r>
      <w:r w:rsidR="008D07B2" w:rsidRPr="005A3F47">
        <w:rPr>
          <w:rFonts w:eastAsia="Times New Roman"/>
          <w:noProof/>
          <w:lang w:eastAsia="en-GB"/>
        </w:rPr>
        <w:t xml:space="preserve"> </w:t>
      </w:r>
      <w:r w:rsidR="002D0BEB" w:rsidRPr="005A3F47">
        <w:rPr>
          <w:rFonts w:eastAsia="Times New Roman"/>
          <w:noProof/>
          <w:lang w:eastAsia="en-GB"/>
        </w:rPr>
        <w:t xml:space="preserve">Removing </w:t>
      </w:r>
      <w:r w:rsidR="00893184" w:rsidRPr="005A3F47">
        <w:rPr>
          <w:rFonts w:eastAsia="Times New Roman"/>
          <w:noProof/>
          <w:lang w:eastAsia="en-GB"/>
        </w:rPr>
        <w:t>the I</w:t>
      </w:r>
      <w:r w:rsidR="003252ED" w:rsidRPr="005A3F47">
        <w:rPr>
          <w:rFonts w:eastAsia="Times New Roman"/>
          <w:noProof/>
          <w:lang w:eastAsia="en-GB"/>
        </w:rPr>
        <w:t xml:space="preserve">nterest </w:t>
      </w:r>
      <w:r w:rsidR="00893184" w:rsidRPr="005A3F47">
        <w:rPr>
          <w:rFonts w:eastAsia="Times New Roman"/>
          <w:noProof/>
          <w:lang w:eastAsia="en-GB"/>
        </w:rPr>
        <w:t>L</w:t>
      </w:r>
      <w:r w:rsidR="003252ED" w:rsidRPr="005A3F47">
        <w:rPr>
          <w:rFonts w:eastAsia="Times New Roman"/>
          <w:noProof/>
          <w:lang w:eastAsia="en-GB"/>
        </w:rPr>
        <w:t xml:space="preserve">imitation </w:t>
      </w:r>
      <w:r w:rsidR="00893184" w:rsidRPr="005A3F47">
        <w:rPr>
          <w:rFonts w:eastAsia="Times New Roman"/>
          <w:noProof/>
          <w:lang w:eastAsia="en-GB"/>
        </w:rPr>
        <w:t>R</w:t>
      </w:r>
      <w:r w:rsidR="003252ED" w:rsidRPr="005A3F47">
        <w:rPr>
          <w:rFonts w:eastAsia="Times New Roman"/>
          <w:noProof/>
          <w:lang w:eastAsia="en-GB"/>
        </w:rPr>
        <w:t>ule</w:t>
      </w:r>
      <w:r w:rsidR="00893184" w:rsidRPr="005A3F47">
        <w:rPr>
          <w:rFonts w:eastAsia="Times New Roman"/>
          <w:noProof/>
          <w:lang w:eastAsia="en-GB"/>
        </w:rPr>
        <w:t xml:space="preserve"> in the case of third-party borrowing will thus </w:t>
      </w:r>
      <w:r w:rsidR="00E72911" w:rsidRPr="005A3F47">
        <w:rPr>
          <w:rFonts w:eastAsia="Times New Roman"/>
          <w:noProof/>
          <w:lang w:eastAsia="en-GB"/>
        </w:rPr>
        <w:t xml:space="preserve">strengthen </w:t>
      </w:r>
      <w:r w:rsidR="2E18860A" w:rsidRPr="005A3F47">
        <w:rPr>
          <w:rFonts w:eastAsia="Times New Roman"/>
          <w:noProof/>
          <w:lang w:eastAsia="en-GB"/>
        </w:rPr>
        <w:t>compan</w:t>
      </w:r>
      <w:r w:rsidR="00DD75DA" w:rsidRPr="005A3F47">
        <w:rPr>
          <w:rFonts w:eastAsia="Times New Roman"/>
          <w:noProof/>
          <w:lang w:eastAsia="en-GB"/>
        </w:rPr>
        <w:t>ies</w:t>
      </w:r>
      <w:r w:rsidR="003F660A" w:rsidRPr="005A3F47">
        <w:rPr>
          <w:rFonts w:eastAsia="Times New Roman"/>
          <w:noProof/>
          <w:lang w:eastAsia="en-GB"/>
        </w:rPr>
        <w:t>’</w:t>
      </w:r>
      <w:r w:rsidR="00E72911" w:rsidRPr="005A3F47">
        <w:rPr>
          <w:rFonts w:eastAsia="Times New Roman"/>
          <w:noProof/>
          <w:lang w:eastAsia="en-GB"/>
        </w:rPr>
        <w:t xml:space="preserve"> confidence in </w:t>
      </w:r>
      <w:r w:rsidR="001004F1" w:rsidRPr="005A3F47">
        <w:rPr>
          <w:rFonts w:eastAsia="Times New Roman"/>
          <w:noProof/>
          <w:lang w:eastAsia="en-GB"/>
        </w:rPr>
        <w:t>future investment</w:t>
      </w:r>
      <w:r w:rsidR="00711110" w:rsidRPr="005A3F47">
        <w:rPr>
          <w:rFonts w:eastAsia="Times New Roman"/>
          <w:noProof/>
          <w:lang w:eastAsia="en-GB"/>
        </w:rPr>
        <w:t xml:space="preserve"> as they can rely on </w:t>
      </w:r>
      <w:r w:rsidR="00C05745" w:rsidRPr="005A3F47">
        <w:rPr>
          <w:rFonts w:eastAsia="Times New Roman"/>
          <w:noProof/>
          <w:lang w:eastAsia="en-GB"/>
        </w:rPr>
        <w:t xml:space="preserve">the </w:t>
      </w:r>
      <w:r w:rsidR="00724048" w:rsidRPr="005A3F47">
        <w:rPr>
          <w:rFonts w:eastAsia="Times New Roman"/>
          <w:noProof/>
          <w:lang w:eastAsia="en-GB"/>
        </w:rPr>
        <w:t xml:space="preserve">tax policy </w:t>
      </w:r>
      <w:r w:rsidR="00C05745" w:rsidRPr="005A3F47">
        <w:rPr>
          <w:rFonts w:eastAsia="Times New Roman"/>
          <w:noProof/>
          <w:lang w:eastAsia="en-GB"/>
        </w:rPr>
        <w:t xml:space="preserve">framework </w:t>
      </w:r>
      <w:r w:rsidR="00724048" w:rsidRPr="005A3F47">
        <w:rPr>
          <w:rFonts w:eastAsia="Times New Roman"/>
          <w:noProof/>
          <w:lang w:eastAsia="en-GB"/>
        </w:rPr>
        <w:t xml:space="preserve">to stabilise </w:t>
      </w:r>
      <w:r w:rsidR="008F5AEA" w:rsidRPr="005A3F47">
        <w:rPr>
          <w:rFonts w:eastAsia="Times New Roman"/>
          <w:noProof/>
          <w:lang w:eastAsia="en-GB"/>
        </w:rPr>
        <w:t xml:space="preserve">deductibility </w:t>
      </w:r>
      <w:r w:rsidR="001B5E57" w:rsidRPr="005A3F47">
        <w:rPr>
          <w:rFonts w:eastAsia="Times New Roman"/>
          <w:noProof/>
          <w:lang w:eastAsia="en-GB"/>
        </w:rPr>
        <w:t>across the business cycle</w:t>
      </w:r>
      <w:r w:rsidR="003F7759" w:rsidRPr="005A3F47">
        <w:rPr>
          <w:rFonts w:eastAsia="Times New Roman"/>
          <w:noProof/>
          <w:lang w:eastAsia="en-GB"/>
        </w:rPr>
        <w:t>.</w:t>
      </w:r>
      <w:r w:rsidR="0002205E" w:rsidRPr="005A3F47">
        <w:rPr>
          <w:rFonts w:eastAsia="Times New Roman"/>
          <w:noProof/>
          <w:lang w:eastAsia="en-GB"/>
        </w:rPr>
        <w:t xml:space="preserve"> </w:t>
      </w:r>
      <w:r w:rsidR="00542AF3" w:rsidRPr="005A3F47">
        <w:rPr>
          <w:rFonts w:eastAsia="Times New Roman"/>
          <w:noProof/>
          <w:lang w:eastAsia="en-GB"/>
        </w:rPr>
        <w:t>Consequently, c</w:t>
      </w:r>
      <w:r w:rsidR="34D74531" w:rsidRPr="005A3F47">
        <w:rPr>
          <w:rFonts w:eastAsia="Times New Roman"/>
          <w:noProof/>
          <w:lang w:eastAsia="en-GB"/>
        </w:rPr>
        <w:t>ompan</w:t>
      </w:r>
      <w:r w:rsidR="00542AF3" w:rsidRPr="005A3F47">
        <w:rPr>
          <w:rFonts w:eastAsia="Times New Roman"/>
          <w:noProof/>
          <w:lang w:eastAsia="en-GB"/>
        </w:rPr>
        <w:t>ies’</w:t>
      </w:r>
      <w:r w:rsidR="00A20713" w:rsidRPr="005A3F47">
        <w:rPr>
          <w:rFonts w:eastAsia="Times New Roman"/>
          <w:noProof/>
          <w:lang w:eastAsia="en-GB"/>
        </w:rPr>
        <w:t xml:space="preserve"> propensity to invest </w:t>
      </w:r>
      <w:r w:rsidR="00542AF3" w:rsidRPr="005A3F47">
        <w:rPr>
          <w:rFonts w:eastAsia="Times New Roman"/>
          <w:noProof/>
          <w:lang w:eastAsia="en-GB"/>
        </w:rPr>
        <w:t xml:space="preserve">would </w:t>
      </w:r>
      <w:r w:rsidR="00A20713" w:rsidRPr="005A3F47">
        <w:rPr>
          <w:rFonts w:eastAsia="Times New Roman"/>
          <w:noProof/>
          <w:lang w:eastAsia="en-GB"/>
        </w:rPr>
        <w:t>likely increase</w:t>
      </w:r>
      <w:r w:rsidR="00A01A92" w:rsidRPr="005A3F47">
        <w:rPr>
          <w:rFonts w:eastAsia="Times New Roman"/>
          <w:noProof/>
          <w:lang w:eastAsia="en-GB"/>
        </w:rPr>
        <w:t xml:space="preserve">, especially </w:t>
      </w:r>
      <w:r w:rsidR="00E2082D" w:rsidRPr="005A3F47">
        <w:rPr>
          <w:rFonts w:eastAsia="Times New Roman"/>
          <w:noProof/>
          <w:lang w:eastAsia="en-GB"/>
        </w:rPr>
        <w:t>if</w:t>
      </w:r>
      <w:r w:rsidR="00A01A92" w:rsidRPr="005A3F47">
        <w:rPr>
          <w:rFonts w:eastAsia="Times New Roman"/>
          <w:noProof/>
          <w:lang w:eastAsia="en-GB"/>
        </w:rPr>
        <w:t xml:space="preserve"> businesses rely heavily on </w:t>
      </w:r>
      <w:r w:rsidR="00E2082D" w:rsidRPr="005A3F47">
        <w:rPr>
          <w:rFonts w:eastAsia="Times New Roman"/>
          <w:noProof/>
          <w:lang w:eastAsia="en-GB"/>
        </w:rPr>
        <w:t>external debt</w:t>
      </w:r>
      <w:r w:rsidR="00A20713" w:rsidRPr="005A3F47">
        <w:rPr>
          <w:rFonts w:eastAsia="Times New Roman"/>
          <w:noProof/>
          <w:lang w:eastAsia="en-GB"/>
        </w:rPr>
        <w:t>.</w:t>
      </w:r>
      <w:r w:rsidR="00CB5C28" w:rsidRPr="005A3F47">
        <w:rPr>
          <w:rStyle w:val="FootnoteReference"/>
          <w:rFonts w:eastAsia="Times New Roman"/>
          <w:noProof/>
          <w:lang w:eastAsia="en-GB"/>
        </w:rPr>
        <w:footnoteReference w:id="113"/>
      </w:r>
      <w:r w:rsidR="00B235AD" w:rsidRPr="005A3F47">
        <w:rPr>
          <w:rFonts w:eastAsia="Times New Roman"/>
          <w:noProof/>
          <w:lang w:eastAsia="en-GB"/>
        </w:rPr>
        <w:t xml:space="preserve"> </w:t>
      </w:r>
    </w:p>
    <w:p w14:paraId="351D9A70" w14:textId="77777777" w:rsidR="00981E8A" w:rsidRPr="005A3F47" w:rsidRDefault="00981E8A" w:rsidP="00DE6B6A">
      <w:pPr>
        <w:pStyle w:val="Text1"/>
        <w:spacing w:before="240" w:after="120"/>
        <w:ind w:left="0"/>
        <w:rPr>
          <w:i/>
          <w:noProof/>
          <w:lang w:eastAsia="en-GB"/>
        </w:rPr>
      </w:pPr>
      <w:r w:rsidRPr="005A3F47">
        <w:rPr>
          <w:i/>
          <w:noProof/>
          <w:lang w:eastAsia="en-GB"/>
        </w:rPr>
        <w:t>Impact on maintaining high tax standards</w:t>
      </w:r>
    </w:p>
    <w:p w14:paraId="1D7763F9" w14:textId="134A676D" w:rsidR="004367B6" w:rsidRPr="005A3F47" w:rsidRDefault="00981E8A" w:rsidP="00235E5E">
      <w:pPr>
        <w:rPr>
          <w:noProof/>
        </w:rPr>
      </w:pPr>
      <w:r w:rsidRPr="005A3F47">
        <w:rPr>
          <w:noProof/>
        </w:rPr>
        <w:t xml:space="preserve">All potential changes to the Interest Limitation Rule </w:t>
      </w:r>
      <w:r w:rsidR="008F328C" w:rsidRPr="005A3F47">
        <w:rPr>
          <w:noProof/>
        </w:rPr>
        <w:t>(options)</w:t>
      </w:r>
      <w:r w:rsidRPr="005A3F47">
        <w:rPr>
          <w:noProof/>
        </w:rPr>
        <w:t xml:space="preserve"> analysed in the sections above </w:t>
      </w:r>
      <w:r w:rsidR="00841B0C" w:rsidRPr="005A3F47">
        <w:rPr>
          <w:noProof/>
        </w:rPr>
        <w:t xml:space="preserve">would retain the safeguards and rules intended to </w:t>
      </w:r>
      <w:r w:rsidR="00774277" w:rsidRPr="005A3F47">
        <w:rPr>
          <w:noProof/>
        </w:rPr>
        <w:t>mitigate and limit</w:t>
      </w:r>
      <w:r w:rsidR="00841B0C" w:rsidRPr="005A3F47">
        <w:rPr>
          <w:noProof/>
        </w:rPr>
        <w:t xml:space="preserve"> tax evasion and avoidance</w:t>
      </w:r>
      <w:r w:rsidR="00CE46EF" w:rsidRPr="005A3F47">
        <w:rPr>
          <w:noProof/>
        </w:rPr>
        <w:t xml:space="preserve"> and, as such, remain </w:t>
      </w:r>
      <w:r w:rsidR="00D16E83" w:rsidRPr="005A3F47">
        <w:rPr>
          <w:noProof/>
        </w:rPr>
        <w:t xml:space="preserve">in line with the </w:t>
      </w:r>
      <w:r w:rsidR="00841B0C" w:rsidRPr="005A3F47">
        <w:rPr>
          <w:noProof/>
        </w:rPr>
        <w:t xml:space="preserve">objectives originally </w:t>
      </w:r>
      <w:r w:rsidR="002B2C73" w:rsidRPr="005A3F47">
        <w:rPr>
          <w:noProof/>
        </w:rPr>
        <w:t>established</w:t>
      </w:r>
      <w:r w:rsidR="00841B0C" w:rsidRPr="005A3F47">
        <w:rPr>
          <w:noProof/>
        </w:rPr>
        <w:t xml:space="preserve"> by the ATAD. </w:t>
      </w:r>
      <w:r w:rsidR="00F01BEA" w:rsidRPr="005A3F47">
        <w:rPr>
          <w:noProof/>
        </w:rPr>
        <w:t>For the most part, s</w:t>
      </w:r>
      <w:r w:rsidR="000B5999" w:rsidRPr="005A3F47">
        <w:rPr>
          <w:noProof/>
        </w:rPr>
        <w:t xml:space="preserve">implifications </w:t>
      </w:r>
      <w:r w:rsidR="00F01BEA" w:rsidRPr="005A3F47">
        <w:rPr>
          <w:noProof/>
        </w:rPr>
        <w:t xml:space="preserve">to be introduced </w:t>
      </w:r>
      <w:r w:rsidR="000B5999" w:rsidRPr="005A3F47">
        <w:rPr>
          <w:noProof/>
        </w:rPr>
        <w:t xml:space="preserve">would, as already analysed above, </w:t>
      </w:r>
      <w:r w:rsidR="006D3B07" w:rsidRPr="005A3F47">
        <w:rPr>
          <w:noProof/>
        </w:rPr>
        <w:t>ensure</w:t>
      </w:r>
      <w:r w:rsidR="00C07A2C" w:rsidRPr="005A3F47">
        <w:rPr>
          <w:noProof/>
        </w:rPr>
        <w:t xml:space="preserve"> legal certainty and </w:t>
      </w:r>
      <w:r w:rsidR="00CE46EF" w:rsidRPr="005A3F47">
        <w:rPr>
          <w:noProof/>
        </w:rPr>
        <w:t>enact more facile and effective</w:t>
      </w:r>
      <w:r w:rsidR="0093600E" w:rsidRPr="005A3F47">
        <w:rPr>
          <w:noProof/>
        </w:rPr>
        <w:t xml:space="preserve"> rules across the internal market</w:t>
      </w:r>
      <w:r w:rsidR="00CC15C5" w:rsidRPr="005A3F47">
        <w:rPr>
          <w:noProof/>
        </w:rPr>
        <w:t xml:space="preserve"> for</w:t>
      </w:r>
      <w:r w:rsidR="00CE46EF" w:rsidRPr="005A3F47">
        <w:rPr>
          <w:noProof/>
        </w:rPr>
        <w:t xml:space="preserve"> </w:t>
      </w:r>
      <w:r w:rsidR="00C07A2C" w:rsidRPr="005A3F47">
        <w:rPr>
          <w:noProof/>
        </w:rPr>
        <w:t>cross-border operation</w:t>
      </w:r>
      <w:r w:rsidR="005F6D2B" w:rsidRPr="005A3F47">
        <w:rPr>
          <w:noProof/>
        </w:rPr>
        <w:t>s</w:t>
      </w:r>
      <w:r w:rsidR="00CC15C5" w:rsidRPr="005A3F47">
        <w:rPr>
          <w:noProof/>
        </w:rPr>
        <w:t xml:space="preserve">. </w:t>
      </w:r>
      <w:r w:rsidR="0ACDCA3F" w:rsidRPr="005A3F47">
        <w:rPr>
          <w:noProof/>
        </w:rPr>
        <w:t>This is</w:t>
      </w:r>
      <w:r w:rsidR="58B2F31E" w:rsidRPr="005A3F47">
        <w:rPr>
          <w:noProof/>
        </w:rPr>
        <w:t xml:space="preserve"> </w:t>
      </w:r>
      <w:r w:rsidR="5EA64A0F" w:rsidRPr="005A3F47">
        <w:rPr>
          <w:noProof/>
        </w:rPr>
        <w:t xml:space="preserve">particularly the </w:t>
      </w:r>
      <w:r w:rsidR="0ACDCA3F" w:rsidRPr="005A3F47">
        <w:rPr>
          <w:noProof/>
        </w:rPr>
        <w:t xml:space="preserve">case for measures </w:t>
      </w:r>
      <w:r w:rsidR="5CAAA77F" w:rsidRPr="005A3F47">
        <w:rPr>
          <w:noProof/>
        </w:rPr>
        <w:t xml:space="preserve">aimed at reducing implementation options, which would ensure that the rule continues to fulfil its core function of preventing tax avoidance while minimising fragmentation, compliance costs and legal uncertainty. </w:t>
      </w:r>
      <w:r w:rsidR="3F5DDF48" w:rsidRPr="005A3F47">
        <w:rPr>
          <w:noProof/>
        </w:rPr>
        <w:t>Furthermore</w:t>
      </w:r>
      <w:r w:rsidR="3C8A6838" w:rsidRPr="005A3F47">
        <w:rPr>
          <w:noProof/>
        </w:rPr>
        <w:t xml:space="preserve">, </w:t>
      </w:r>
      <w:r w:rsidR="22344D71" w:rsidRPr="005A3F47">
        <w:rPr>
          <w:noProof/>
        </w:rPr>
        <w:t>b</w:t>
      </w:r>
      <w:r w:rsidR="006D3B07" w:rsidRPr="005A3F47">
        <w:rPr>
          <w:noProof/>
        </w:rPr>
        <w:t xml:space="preserve">y eliminating on-lending and </w:t>
      </w:r>
      <w:r w:rsidR="00EF53CC" w:rsidRPr="005A3F47">
        <w:rPr>
          <w:noProof/>
        </w:rPr>
        <w:t xml:space="preserve">capital </w:t>
      </w:r>
      <w:r w:rsidR="00D46CC7" w:rsidRPr="005A3F47">
        <w:rPr>
          <w:noProof/>
        </w:rPr>
        <w:t>contributions</w:t>
      </w:r>
      <w:r w:rsidR="4987E7D7" w:rsidRPr="005A3F47">
        <w:rPr>
          <w:noProof/>
        </w:rPr>
        <w:t xml:space="preserve"> or other equity contributions</w:t>
      </w:r>
      <w:r w:rsidR="00D46CC7" w:rsidRPr="005A3F47">
        <w:rPr>
          <w:noProof/>
        </w:rPr>
        <w:t>, for example, e</w:t>
      </w:r>
      <w:r w:rsidR="002B2C73" w:rsidRPr="005A3F47">
        <w:rPr>
          <w:noProof/>
        </w:rPr>
        <w:t xml:space="preserve">ven </w:t>
      </w:r>
      <w:r w:rsidR="00256065" w:rsidRPr="005A3F47">
        <w:rPr>
          <w:noProof/>
        </w:rPr>
        <w:t>the</w:t>
      </w:r>
      <w:r w:rsidR="00DC105D" w:rsidRPr="005A3F47">
        <w:rPr>
          <w:noProof/>
        </w:rPr>
        <w:t xml:space="preserve"> carve-out of low-risk third party loans </w:t>
      </w:r>
      <w:r w:rsidR="00D42819" w:rsidRPr="005A3F47">
        <w:rPr>
          <w:noProof/>
        </w:rPr>
        <w:t>w</w:t>
      </w:r>
      <w:r w:rsidR="00DC105D" w:rsidRPr="005A3F47">
        <w:rPr>
          <w:noProof/>
        </w:rPr>
        <w:t xml:space="preserve">ould </w:t>
      </w:r>
      <w:r w:rsidR="00D42819" w:rsidRPr="005A3F47">
        <w:rPr>
          <w:noProof/>
        </w:rPr>
        <w:t xml:space="preserve">be </w:t>
      </w:r>
      <w:r w:rsidR="00FE7BCE" w:rsidRPr="005A3F47">
        <w:rPr>
          <w:noProof/>
        </w:rPr>
        <w:t xml:space="preserve">designed in a way to ensure </w:t>
      </w:r>
      <w:r w:rsidR="00A43A68" w:rsidRPr="005A3F47">
        <w:rPr>
          <w:noProof/>
        </w:rPr>
        <w:t>no new risks to BEPS</w:t>
      </w:r>
      <w:r w:rsidR="00D42819" w:rsidRPr="005A3F47">
        <w:rPr>
          <w:noProof/>
        </w:rPr>
        <w:t xml:space="preserve"> </w:t>
      </w:r>
      <w:r w:rsidR="0071355E" w:rsidRPr="005A3F47">
        <w:rPr>
          <w:noProof/>
        </w:rPr>
        <w:t>standards.</w:t>
      </w:r>
      <w:r w:rsidR="00CF0D80" w:rsidRPr="005A3F47">
        <w:rPr>
          <w:noProof/>
        </w:rPr>
        <w:t xml:space="preserve"> </w:t>
      </w:r>
      <w:r w:rsidR="00194A3D" w:rsidRPr="005A3F47">
        <w:rPr>
          <w:noProof/>
        </w:rPr>
        <w:t>Moreover,</w:t>
      </w:r>
      <w:r w:rsidR="00CF0D80" w:rsidRPr="005A3F47">
        <w:rPr>
          <w:noProof/>
        </w:rPr>
        <w:t xml:space="preserve"> </w:t>
      </w:r>
      <w:r w:rsidR="00AB055D" w:rsidRPr="005A3F47">
        <w:rPr>
          <w:noProof/>
        </w:rPr>
        <w:t xml:space="preserve">a de facto </w:t>
      </w:r>
      <w:r w:rsidR="00CF0D80" w:rsidRPr="005A3F47">
        <w:rPr>
          <w:noProof/>
        </w:rPr>
        <w:t>carve out for SMEs maintain</w:t>
      </w:r>
      <w:r w:rsidR="00AB055D" w:rsidRPr="005A3F47">
        <w:rPr>
          <w:noProof/>
        </w:rPr>
        <w:t>s</w:t>
      </w:r>
      <w:r w:rsidR="00CF0D80" w:rsidRPr="005A3F47">
        <w:rPr>
          <w:noProof/>
        </w:rPr>
        <w:t xml:space="preserve"> the objectives already </w:t>
      </w:r>
      <w:r w:rsidR="00AB055D" w:rsidRPr="005A3F47">
        <w:rPr>
          <w:noProof/>
        </w:rPr>
        <w:t>established under ATAD</w:t>
      </w:r>
      <w:r w:rsidR="00F21B73" w:rsidRPr="005A3F47">
        <w:rPr>
          <w:noProof/>
        </w:rPr>
        <w:t>, under the clear understanding that these</w:t>
      </w:r>
      <w:r w:rsidR="001C5881" w:rsidRPr="005A3F47">
        <w:rPr>
          <w:noProof/>
        </w:rPr>
        <w:t xml:space="preserve"> smaller companies </w:t>
      </w:r>
      <w:r w:rsidR="003A082E" w:rsidRPr="005A3F47">
        <w:rPr>
          <w:noProof/>
        </w:rPr>
        <w:t xml:space="preserve">should be able to deduct their interest expenses and </w:t>
      </w:r>
      <w:r w:rsidR="001307F2" w:rsidRPr="005A3F47">
        <w:rPr>
          <w:noProof/>
        </w:rPr>
        <w:t>would</w:t>
      </w:r>
      <w:r w:rsidR="001C5881" w:rsidRPr="005A3F47">
        <w:rPr>
          <w:noProof/>
        </w:rPr>
        <w:t xml:space="preserve"> not</w:t>
      </w:r>
      <w:r w:rsidR="001307F2" w:rsidRPr="005A3F47">
        <w:rPr>
          <w:noProof/>
        </w:rPr>
        <w:t xml:space="preserve"> possess</w:t>
      </w:r>
      <w:r w:rsidR="00812503" w:rsidRPr="005A3F47">
        <w:rPr>
          <w:noProof/>
        </w:rPr>
        <w:t xml:space="preserve"> the means to consistently</w:t>
      </w:r>
      <w:r w:rsidR="001C5881" w:rsidRPr="005A3F47">
        <w:rPr>
          <w:noProof/>
        </w:rPr>
        <w:t xml:space="preserve"> engage in aggressive tax planning</w:t>
      </w:r>
      <w:r w:rsidR="00A62F5C" w:rsidRPr="005A3F47">
        <w:rPr>
          <w:noProof/>
        </w:rPr>
        <w:t>, avoidance or evasion</w:t>
      </w:r>
      <w:r w:rsidR="001C5881" w:rsidRPr="005A3F47">
        <w:rPr>
          <w:noProof/>
        </w:rPr>
        <w:t xml:space="preserve"> </w:t>
      </w:r>
      <w:r w:rsidR="002F3012" w:rsidRPr="005A3F47">
        <w:rPr>
          <w:noProof/>
        </w:rPr>
        <w:t>(through</w:t>
      </w:r>
      <w:r w:rsidR="00A62F5C" w:rsidRPr="005A3F47">
        <w:rPr>
          <w:noProof/>
        </w:rPr>
        <w:t>,</w:t>
      </w:r>
      <w:r w:rsidR="002F3012" w:rsidRPr="005A3F47">
        <w:rPr>
          <w:noProof/>
        </w:rPr>
        <w:t xml:space="preserve"> for example</w:t>
      </w:r>
      <w:r w:rsidR="00A62F5C" w:rsidRPr="005A3F47">
        <w:rPr>
          <w:noProof/>
        </w:rPr>
        <w:t>,</w:t>
      </w:r>
      <w:r w:rsidR="002F3012" w:rsidRPr="005A3F47">
        <w:rPr>
          <w:noProof/>
        </w:rPr>
        <w:t xml:space="preserve"> on lending) </w:t>
      </w:r>
      <w:r w:rsidR="001C5881" w:rsidRPr="005A3F47">
        <w:rPr>
          <w:noProof/>
        </w:rPr>
        <w:t xml:space="preserve">in a manner similar to </w:t>
      </w:r>
      <w:r w:rsidR="002F3012" w:rsidRPr="005A3F47">
        <w:rPr>
          <w:noProof/>
        </w:rPr>
        <w:t>MNEs</w:t>
      </w:r>
      <w:r w:rsidR="001C5881" w:rsidRPr="005A3F47">
        <w:rPr>
          <w:noProof/>
        </w:rPr>
        <w:t>.</w:t>
      </w:r>
      <w:r w:rsidR="00AB055D" w:rsidRPr="005A3F47">
        <w:rPr>
          <w:noProof/>
        </w:rPr>
        <w:t xml:space="preserve"> </w:t>
      </w:r>
      <w:r w:rsidR="0071355E" w:rsidRPr="005A3F47">
        <w:rPr>
          <w:noProof/>
        </w:rPr>
        <w:t xml:space="preserve"> </w:t>
      </w:r>
    </w:p>
    <w:p w14:paraId="754201E5" w14:textId="2FDDA73C" w:rsidR="004367B6" w:rsidRPr="005A3F47" w:rsidRDefault="004367B6" w:rsidP="00DE6B6A">
      <w:pPr>
        <w:pStyle w:val="Heading4"/>
        <w:numPr>
          <w:ilvl w:val="3"/>
          <w:numId w:val="228"/>
        </w:numPr>
        <w:rPr>
          <w:noProof/>
        </w:rPr>
      </w:pPr>
      <w:r w:rsidRPr="005A3F47">
        <w:rPr>
          <w:noProof/>
        </w:rPr>
        <w:t xml:space="preserve"> Impact on </w:t>
      </w:r>
      <w:r w:rsidR="007A052C" w:rsidRPr="005A3F47">
        <w:rPr>
          <w:noProof/>
        </w:rPr>
        <w:t>tax</w:t>
      </w:r>
      <w:r w:rsidRPr="005A3F47">
        <w:rPr>
          <w:noProof/>
        </w:rPr>
        <w:t xml:space="preserve"> authorities</w:t>
      </w:r>
      <w:r w:rsidR="00EF6EE1" w:rsidRPr="005A3F47">
        <w:rPr>
          <w:noProof/>
        </w:rPr>
        <w:t xml:space="preserve"> and public finance</w:t>
      </w:r>
      <w:r w:rsidR="005C3EDD" w:rsidRPr="005A3F47">
        <w:rPr>
          <w:noProof/>
        </w:rPr>
        <w:t>s</w:t>
      </w:r>
    </w:p>
    <w:p w14:paraId="46B67481" w14:textId="33DA46DF" w:rsidR="007866E9" w:rsidRPr="005A3F47" w:rsidRDefault="00C77D41" w:rsidP="00FD2FC7">
      <w:pPr>
        <w:pStyle w:val="Text2"/>
        <w:ind w:left="0"/>
        <w:rPr>
          <w:noProof/>
        </w:rPr>
      </w:pPr>
      <w:r w:rsidRPr="005A3F47">
        <w:rPr>
          <w:noProof/>
        </w:rPr>
        <w:t xml:space="preserve">Carving out certain companies from </w:t>
      </w:r>
      <w:r w:rsidR="004242F7" w:rsidRPr="005A3F47">
        <w:rPr>
          <w:noProof/>
        </w:rPr>
        <w:t xml:space="preserve">the </w:t>
      </w:r>
      <w:r w:rsidRPr="005A3F47">
        <w:rPr>
          <w:noProof/>
        </w:rPr>
        <w:t>I</w:t>
      </w:r>
      <w:r w:rsidR="003252ED" w:rsidRPr="005A3F47">
        <w:rPr>
          <w:noProof/>
        </w:rPr>
        <w:t xml:space="preserve">nterest </w:t>
      </w:r>
      <w:r w:rsidRPr="005A3F47">
        <w:rPr>
          <w:noProof/>
        </w:rPr>
        <w:t>L</w:t>
      </w:r>
      <w:r w:rsidR="003252ED" w:rsidRPr="005A3F47">
        <w:rPr>
          <w:noProof/>
        </w:rPr>
        <w:t xml:space="preserve">imitation </w:t>
      </w:r>
      <w:r w:rsidRPr="005A3F47">
        <w:rPr>
          <w:noProof/>
        </w:rPr>
        <w:t>R</w:t>
      </w:r>
      <w:r w:rsidR="003252ED" w:rsidRPr="005A3F47">
        <w:rPr>
          <w:noProof/>
        </w:rPr>
        <w:t>ule</w:t>
      </w:r>
      <w:r w:rsidRPr="005A3F47">
        <w:rPr>
          <w:noProof/>
        </w:rPr>
        <w:t xml:space="preserve"> </w:t>
      </w:r>
      <w:r w:rsidR="00104C8D" w:rsidRPr="005A3F47">
        <w:rPr>
          <w:noProof/>
        </w:rPr>
        <w:t>as suggested in Options 1 (SMEs) and 4 (</w:t>
      </w:r>
      <w:r w:rsidR="00E6241A" w:rsidRPr="005A3F47">
        <w:rPr>
          <w:noProof/>
        </w:rPr>
        <w:t xml:space="preserve">low-risk </w:t>
      </w:r>
      <w:r w:rsidR="00E06DD0" w:rsidRPr="005A3F47">
        <w:rPr>
          <w:noProof/>
        </w:rPr>
        <w:t xml:space="preserve">third-party loans) would </w:t>
      </w:r>
      <w:r w:rsidR="00394201" w:rsidRPr="005A3F47">
        <w:rPr>
          <w:noProof/>
        </w:rPr>
        <w:t xml:space="preserve">also </w:t>
      </w:r>
      <w:r w:rsidR="002B05B8" w:rsidRPr="005A3F47">
        <w:rPr>
          <w:noProof/>
        </w:rPr>
        <w:t>reduce administrative costs for financial administrations</w:t>
      </w:r>
      <w:r w:rsidR="00A0400E" w:rsidRPr="005A3F47">
        <w:rPr>
          <w:noProof/>
        </w:rPr>
        <w:t xml:space="preserve"> as </w:t>
      </w:r>
      <w:r w:rsidR="009C5D18" w:rsidRPr="005A3F47">
        <w:rPr>
          <w:noProof/>
        </w:rPr>
        <w:t xml:space="preserve">this would </w:t>
      </w:r>
      <w:r w:rsidR="00854871" w:rsidRPr="005A3F47">
        <w:rPr>
          <w:noProof/>
        </w:rPr>
        <w:t>cut down on</w:t>
      </w:r>
      <w:r w:rsidR="00A0400E" w:rsidRPr="005A3F47">
        <w:rPr>
          <w:noProof/>
        </w:rPr>
        <w:t xml:space="preserve"> the </w:t>
      </w:r>
      <w:r w:rsidR="00A63773" w:rsidRPr="005A3F47">
        <w:rPr>
          <w:noProof/>
        </w:rPr>
        <w:t>number</w:t>
      </w:r>
      <w:r w:rsidR="008B196A" w:rsidRPr="005A3F47">
        <w:rPr>
          <w:noProof/>
        </w:rPr>
        <w:t>s</w:t>
      </w:r>
      <w:r w:rsidR="00A63773" w:rsidRPr="005A3F47">
        <w:rPr>
          <w:noProof/>
        </w:rPr>
        <w:t xml:space="preserve"> </w:t>
      </w:r>
      <w:r w:rsidR="00A0400E" w:rsidRPr="005A3F47">
        <w:rPr>
          <w:noProof/>
        </w:rPr>
        <w:t xml:space="preserve">of compliance </w:t>
      </w:r>
      <w:r w:rsidR="00A214B6" w:rsidRPr="005A3F47">
        <w:rPr>
          <w:noProof/>
        </w:rPr>
        <w:t xml:space="preserve">checks and </w:t>
      </w:r>
      <w:r w:rsidR="00A63773" w:rsidRPr="005A3F47">
        <w:rPr>
          <w:noProof/>
        </w:rPr>
        <w:t>enforcement</w:t>
      </w:r>
      <w:r w:rsidR="00E93D38" w:rsidRPr="005A3F47">
        <w:rPr>
          <w:noProof/>
        </w:rPr>
        <w:t xml:space="preserve"> and lead to fewer transactions </w:t>
      </w:r>
      <w:r w:rsidR="0065299C" w:rsidRPr="005A3F47">
        <w:rPr>
          <w:noProof/>
        </w:rPr>
        <w:t xml:space="preserve">that </w:t>
      </w:r>
      <w:r w:rsidR="008B196A" w:rsidRPr="005A3F47">
        <w:rPr>
          <w:noProof/>
        </w:rPr>
        <w:t>would require</w:t>
      </w:r>
      <w:r w:rsidR="00E93D38" w:rsidRPr="005A3F47">
        <w:rPr>
          <w:noProof/>
        </w:rPr>
        <w:t xml:space="preserve"> monitor</w:t>
      </w:r>
      <w:r w:rsidR="008B196A" w:rsidRPr="005A3F47">
        <w:rPr>
          <w:noProof/>
        </w:rPr>
        <w:t>ing</w:t>
      </w:r>
      <w:r w:rsidR="00E93D38" w:rsidRPr="005A3F47">
        <w:rPr>
          <w:noProof/>
        </w:rPr>
        <w:t xml:space="preserve"> and analys</w:t>
      </w:r>
      <w:r w:rsidR="008B196A" w:rsidRPr="005A3F47">
        <w:rPr>
          <w:noProof/>
        </w:rPr>
        <w:t>is</w:t>
      </w:r>
      <w:r w:rsidR="00A63773" w:rsidRPr="005A3F47">
        <w:rPr>
          <w:noProof/>
        </w:rPr>
        <w:t>.</w:t>
      </w:r>
      <w:r w:rsidR="002F2EC3" w:rsidRPr="005A3F47">
        <w:rPr>
          <w:noProof/>
        </w:rPr>
        <w:t xml:space="preserve"> </w:t>
      </w:r>
      <w:r w:rsidR="00BB4853" w:rsidRPr="005A3F47">
        <w:rPr>
          <w:noProof/>
        </w:rPr>
        <w:t>Financial administrations may then be able to allocate resources more effectively, focusing on higher-risk areas or more complex cases, potentially improving the efficiency of tax enforcement overall</w:t>
      </w:r>
      <w:r w:rsidR="00F456C9" w:rsidRPr="005A3F47">
        <w:rPr>
          <w:noProof/>
        </w:rPr>
        <w:t xml:space="preserve">. </w:t>
      </w:r>
      <w:r w:rsidR="00FA7C5B" w:rsidRPr="005A3F47">
        <w:rPr>
          <w:noProof/>
        </w:rPr>
        <w:t xml:space="preserve">As for the other </w:t>
      </w:r>
      <w:r w:rsidR="006A5655" w:rsidRPr="005A3F47">
        <w:rPr>
          <w:noProof/>
        </w:rPr>
        <w:t>options considered, changes to existing provisions under the Interest Limitation Rule would likely result in no or little impact for tax administrations since tax authorities are already responsible for the implementation and enforcement of these measures (e.g., in case of audits, etc.).</w:t>
      </w:r>
      <w:r w:rsidR="00FA7C5B" w:rsidRPr="005A3F47">
        <w:rPr>
          <w:noProof/>
        </w:rPr>
        <w:t xml:space="preserve"> </w:t>
      </w:r>
    </w:p>
    <w:p w14:paraId="2C3E851A" w14:textId="2DE20865" w:rsidR="00374B67" w:rsidRPr="005A3F47" w:rsidRDefault="00F01C1B" w:rsidP="00FD2FC7">
      <w:pPr>
        <w:pStyle w:val="Text2"/>
        <w:ind w:left="0"/>
        <w:rPr>
          <w:noProof/>
        </w:rPr>
      </w:pPr>
      <w:r w:rsidRPr="005A3F47">
        <w:rPr>
          <w:noProof/>
        </w:rPr>
        <w:t xml:space="preserve">The </w:t>
      </w:r>
      <w:r w:rsidR="002F2174" w:rsidRPr="005A3F47">
        <w:rPr>
          <w:noProof/>
        </w:rPr>
        <w:t xml:space="preserve">economic </w:t>
      </w:r>
      <w:r w:rsidRPr="005A3F47">
        <w:rPr>
          <w:noProof/>
        </w:rPr>
        <w:t xml:space="preserve">analysis </w:t>
      </w:r>
      <w:r w:rsidR="002F2174" w:rsidRPr="005A3F47">
        <w:rPr>
          <w:noProof/>
        </w:rPr>
        <w:t xml:space="preserve">of these measures </w:t>
      </w:r>
      <w:r w:rsidR="00DD421A" w:rsidRPr="005A3F47">
        <w:rPr>
          <w:noProof/>
        </w:rPr>
        <w:t>is also further elaborated on</w:t>
      </w:r>
      <w:r w:rsidR="002F2174" w:rsidRPr="005A3F47">
        <w:rPr>
          <w:noProof/>
        </w:rPr>
        <w:t xml:space="preserve"> </w:t>
      </w:r>
      <w:r w:rsidRPr="005A3F47">
        <w:rPr>
          <w:noProof/>
        </w:rPr>
        <w:t xml:space="preserve">in </w:t>
      </w:r>
      <w:r w:rsidR="00DD421A" w:rsidRPr="005A3F47">
        <w:rPr>
          <w:noProof/>
        </w:rPr>
        <w:t>Annex 4</w:t>
      </w:r>
      <w:r w:rsidR="00CA5B6B" w:rsidRPr="005A3F47">
        <w:rPr>
          <w:noProof/>
        </w:rPr>
        <w:t>. A</w:t>
      </w:r>
      <w:r w:rsidR="001157B9" w:rsidRPr="005A3F47">
        <w:rPr>
          <w:noProof/>
        </w:rPr>
        <w:t>s regards the de minimis threshold,</w:t>
      </w:r>
      <w:r w:rsidR="00CA5B6B" w:rsidRPr="005A3F47">
        <w:rPr>
          <w:noProof/>
        </w:rPr>
        <w:t xml:space="preserve"> for instance,</w:t>
      </w:r>
      <w:r w:rsidR="001157B9" w:rsidRPr="005A3F47">
        <w:rPr>
          <w:noProof/>
        </w:rPr>
        <w:t xml:space="preserve"> Section 4.1</w:t>
      </w:r>
      <w:r w:rsidR="00CA5B6B" w:rsidRPr="005A3F47">
        <w:rPr>
          <w:noProof/>
        </w:rPr>
        <w:t xml:space="preserve"> of Annex 4 contributes to </w:t>
      </w:r>
      <w:r w:rsidRPr="005A3F47">
        <w:rPr>
          <w:noProof/>
        </w:rPr>
        <w:t>show</w:t>
      </w:r>
      <w:r w:rsidR="00CA5B6B" w:rsidRPr="005A3F47">
        <w:rPr>
          <w:noProof/>
        </w:rPr>
        <w:t>ing</w:t>
      </w:r>
      <w:r w:rsidRPr="005A3F47">
        <w:rPr>
          <w:noProof/>
        </w:rPr>
        <w:t xml:space="preserve"> that the impact of implementing an obligatory de minimis threshold of EUR </w:t>
      </w:r>
      <w:r>
        <w:rPr>
          <w:noProof/>
        </w:rPr>
        <w:t xml:space="preserve">3 </w:t>
      </w:r>
      <w:r w:rsidRPr="005A3F47">
        <w:rPr>
          <w:noProof/>
        </w:rPr>
        <w:t xml:space="preserve">million everywhere in the EU </w:t>
      </w:r>
      <w:r w:rsidR="002F2174" w:rsidRPr="005A3F47">
        <w:rPr>
          <w:noProof/>
        </w:rPr>
        <w:t>c</w:t>
      </w:r>
      <w:r w:rsidRPr="005A3F47">
        <w:rPr>
          <w:noProof/>
        </w:rPr>
        <w:t xml:space="preserve">ould reduce </w:t>
      </w:r>
      <w:r w:rsidR="00913654" w:rsidRPr="005A3F47">
        <w:rPr>
          <w:noProof/>
        </w:rPr>
        <w:t xml:space="preserve">the </w:t>
      </w:r>
      <w:r w:rsidRPr="005A3F47">
        <w:rPr>
          <w:noProof/>
        </w:rPr>
        <w:t xml:space="preserve">tax revenue of </w:t>
      </w:r>
      <w:r w:rsidR="00A40879" w:rsidRPr="005A3F47">
        <w:rPr>
          <w:noProof/>
        </w:rPr>
        <w:t xml:space="preserve">some </w:t>
      </w:r>
      <w:r w:rsidRPr="005A3F47">
        <w:rPr>
          <w:noProof/>
        </w:rPr>
        <w:t xml:space="preserve">Member States. </w:t>
      </w:r>
      <w:r w:rsidR="000D0835" w:rsidRPr="005A3F47">
        <w:rPr>
          <w:noProof/>
        </w:rPr>
        <w:t xml:space="preserve">As a result of the disparate application of the </w:t>
      </w:r>
      <w:r w:rsidR="000E43FB" w:rsidRPr="005A3F47">
        <w:rPr>
          <w:noProof/>
        </w:rPr>
        <w:t xml:space="preserve">de minimis </w:t>
      </w:r>
      <w:r w:rsidR="000D0835" w:rsidRPr="005A3F47">
        <w:rPr>
          <w:noProof/>
        </w:rPr>
        <w:t>threshold, t</w:t>
      </w:r>
      <w:r w:rsidRPr="005A3F47">
        <w:rPr>
          <w:noProof/>
        </w:rPr>
        <w:t xml:space="preserve">he effect is expected to be </w:t>
      </w:r>
      <w:r w:rsidR="002667BF" w:rsidRPr="005A3F47">
        <w:rPr>
          <w:noProof/>
        </w:rPr>
        <w:t>felt</w:t>
      </w:r>
      <w:r w:rsidR="00E93BE1" w:rsidRPr="005A3F47">
        <w:rPr>
          <w:noProof/>
        </w:rPr>
        <w:t xml:space="preserve"> in Member States</w:t>
      </w:r>
      <w:r w:rsidRPr="005A3F47">
        <w:rPr>
          <w:noProof/>
        </w:rPr>
        <w:t xml:space="preserve"> where no formal de minimis rule </w:t>
      </w:r>
      <w:r w:rsidR="002667BF" w:rsidRPr="005A3F47">
        <w:rPr>
          <w:noProof/>
        </w:rPr>
        <w:t xml:space="preserve">or a lower than EUR 3 million threshold </w:t>
      </w:r>
      <w:r w:rsidRPr="005A3F47">
        <w:rPr>
          <w:noProof/>
        </w:rPr>
        <w:t xml:space="preserve">is implemented today. </w:t>
      </w:r>
      <w:r w:rsidR="005572EF" w:rsidRPr="00266412">
        <w:rPr>
          <w:noProof/>
        </w:rPr>
        <w:t>I</w:t>
      </w:r>
      <w:r w:rsidR="00A35858" w:rsidRPr="00266412">
        <w:rPr>
          <w:noProof/>
        </w:rPr>
        <w:t>n the EU</w:t>
      </w:r>
      <w:r>
        <w:rPr>
          <w:noProof/>
        </w:rPr>
        <w:t>,</w:t>
      </w:r>
      <w:r w:rsidR="00A35858" w:rsidRPr="00266412">
        <w:rPr>
          <w:noProof/>
        </w:rPr>
        <w:t xml:space="preserve"> </w:t>
      </w:r>
      <w:r w:rsidR="00B36676" w:rsidRPr="00266412">
        <w:rPr>
          <w:noProof/>
        </w:rPr>
        <w:t>the overall revenue impact</w:t>
      </w:r>
      <w:r w:rsidR="005572EF" w:rsidRPr="00266412">
        <w:rPr>
          <w:noProof/>
        </w:rPr>
        <w:t xml:space="preserve"> </w:t>
      </w:r>
      <w:r w:rsidRPr="00266412">
        <w:rPr>
          <w:noProof/>
        </w:rPr>
        <w:t xml:space="preserve">could amount to </w:t>
      </w:r>
      <w:r w:rsidR="004F7F92" w:rsidRPr="00266412">
        <w:rPr>
          <w:noProof/>
        </w:rPr>
        <w:t xml:space="preserve">around </w:t>
      </w:r>
      <w:r w:rsidRPr="00266412">
        <w:rPr>
          <w:noProof/>
        </w:rPr>
        <w:t xml:space="preserve">EUR </w:t>
      </w:r>
      <w:r>
        <w:rPr>
          <w:noProof/>
        </w:rPr>
        <w:t xml:space="preserve"> 900 million</w:t>
      </w:r>
      <w:r w:rsidRPr="00266412">
        <w:rPr>
          <w:noProof/>
        </w:rPr>
        <w:t xml:space="preserve"> per year. </w:t>
      </w:r>
      <w:r w:rsidR="00CA5B6B" w:rsidRPr="005A3F47">
        <w:rPr>
          <w:noProof/>
        </w:rPr>
        <w:t>Regarding t</w:t>
      </w:r>
      <w:r w:rsidR="0023258D" w:rsidRPr="005A3F47">
        <w:rPr>
          <w:noProof/>
        </w:rPr>
        <w:t>he ca</w:t>
      </w:r>
      <w:r w:rsidR="00DF437A" w:rsidRPr="005A3F47">
        <w:rPr>
          <w:noProof/>
        </w:rPr>
        <w:t>r</w:t>
      </w:r>
      <w:r w:rsidR="0023258D" w:rsidRPr="005A3F47">
        <w:rPr>
          <w:noProof/>
        </w:rPr>
        <w:t xml:space="preserve">ve-out of interest from low-risk loans from </w:t>
      </w:r>
      <w:r w:rsidR="003F0B95" w:rsidRPr="005A3F47">
        <w:rPr>
          <w:noProof/>
        </w:rPr>
        <w:t xml:space="preserve">the </w:t>
      </w:r>
      <w:r w:rsidR="0023258D" w:rsidRPr="005A3F47">
        <w:rPr>
          <w:noProof/>
        </w:rPr>
        <w:t>ILR</w:t>
      </w:r>
      <w:r w:rsidR="00CA5B6B" w:rsidRPr="005A3F47">
        <w:rPr>
          <w:noProof/>
        </w:rPr>
        <w:t>,</w:t>
      </w:r>
      <w:r w:rsidR="00805403" w:rsidRPr="005A3F47">
        <w:rPr>
          <w:noProof/>
        </w:rPr>
        <w:t xml:space="preserve"> on the other hand,</w:t>
      </w:r>
      <w:r w:rsidR="00CA5B6B" w:rsidRPr="005A3F47">
        <w:rPr>
          <w:noProof/>
        </w:rPr>
        <w:t xml:space="preserve"> the impact on public finances</w:t>
      </w:r>
      <w:r w:rsidR="0023258D" w:rsidRPr="005A3F47">
        <w:rPr>
          <w:noProof/>
        </w:rPr>
        <w:t xml:space="preserve"> is hard to quantify</w:t>
      </w:r>
      <w:r w:rsidR="00805403" w:rsidRPr="005A3F47">
        <w:rPr>
          <w:noProof/>
        </w:rPr>
        <w:t xml:space="preserve"> </w:t>
      </w:r>
      <w:r w:rsidR="00CA5B6B" w:rsidRPr="005A3F47">
        <w:rPr>
          <w:noProof/>
        </w:rPr>
        <w:t>but</w:t>
      </w:r>
      <w:r w:rsidR="00893734" w:rsidRPr="005A3F47">
        <w:rPr>
          <w:noProof/>
        </w:rPr>
        <w:t xml:space="preserve">, as explained in </w:t>
      </w:r>
      <w:r w:rsidR="00A608A4" w:rsidRPr="005A3F47">
        <w:rPr>
          <w:noProof/>
        </w:rPr>
        <w:t xml:space="preserve">Section </w:t>
      </w:r>
      <w:r w:rsidR="007E7BDC" w:rsidRPr="005A3F47">
        <w:rPr>
          <w:noProof/>
        </w:rPr>
        <w:t>4</w:t>
      </w:r>
      <w:r w:rsidR="003837BE" w:rsidRPr="005A3F47">
        <w:rPr>
          <w:noProof/>
        </w:rPr>
        <w:t>.3</w:t>
      </w:r>
      <w:r w:rsidR="00CA5B6B" w:rsidRPr="005A3F47">
        <w:rPr>
          <w:noProof/>
        </w:rPr>
        <w:t xml:space="preserve"> of Annex 4</w:t>
      </w:r>
      <w:r w:rsidR="00893734" w:rsidRPr="005A3F47">
        <w:rPr>
          <w:noProof/>
        </w:rPr>
        <w:t xml:space="preserve">, </w:t>
      </w:r>
      <w:r w:rsidR="00CA5B6B" w:rsidRPr="005A3F47">
        <w:rPr>
          <w:noProof/>
        </w:rPr>
        <w:t>it</w:t>
      </w:r>
      <w:r w:rsidR="00AB01AE" w:rsidRPr="005A3F47">
        <w:rPr>
          <w:noProof/>
        </w:rPr>
        <w:t xml:space="preserve"> could be </w:t>
      </w:r>
      <w:r w:rsidR="00DF437A" w:rsidRPr="005A3F47">
        <w:rPr>
          <w:noProof/>
        </w:rPr>
        <w:t xml:space="preserve">financially </w:t>
      </w:r>
      <w:r w:rsidR="00AB01AE" w:rsidRPr="005A3F47">
        <w:rPr>
          <w:noProof/>
        </w:rPr>
        <w:t xml:space="preserve">neutral. </w:t>
      </w:r>
      <w:r w:rsidR="00231E05" w:rsidRPr="005A3F47" w:rsidDel="00231E05">
        <w:rPr>
          <w:noProof/>
        </w:rPr>
        <w:t xml:space="preserve"> </w:t>
      </w:r>
    </w:p>
    <w:p w14:paraId="170539F6" w14:textId="783C7F8A" w:rsidR="0067352A" w:rsidRPr="005A3F47" w:rsidRDefault="00C851B4" w:rsidP="00DE6B6A">
      <w:pPr>
        <w:pStyle w:val="Heading3"/>
        <w:numPr>
          <w:ilvl w:val="2"/>
          <w:numId w:val="228"/>
        </w:numPr>
        <w:rPr>
          <w:i w:val="0"/>
          <w:iCs/>
          <w:noProof/>
        </w:rPr>
      </w:pPr>
      <w:bookmarkStart w:id="188" w:name="_Ref226463310"/>
      <w:bookmarkStart w:id="189" w:name="_Toc226466834"/>
      <w:bookmarkStart w:id="190" w:name="_Toc226467195"/>
      <w:bookmarkStart w:id="191" w:name="_Toc226467295"/>
      <w:bookmarkStart w:id="192" w:name="_Toc226467514"/>
      <w:r w:rsidRPr="005A3F47">
        <w:rPr>
          <w:i w:val="0"/>
          <w:iCs/>
          <w:noProof/>
        </w:rPr>
        <w:t xml:space="preserve">Aligning </w:t>
      </w:r>
      <w:r w:rsidR="008B50ED" w:rsidRPr="005A3F47">
        <w:rPr>
          <w:i w:val="0"/>
          <w:iCs/>
          <w:noProof/>
        </w:rPr>
        <w:t>&amp;</w:t>
      </w:r>
      <w:r w:rsidRPr="005A3F47">
        <w:rPr>
          <w:i w:val="0"/>
          <w:iCs/>
          <w:noProof/>
        </w:rPr>
        <w:t xml:space="preserve"> streamlining </w:t>
      </w:r>
      <w:r w:rsidR="00E81D93" w:rsidRPr="005A3F47">
        <w:rPr>
          <w:i w:val="0"/>
          <w:iCs/>
          <w:noProof/>
        </w:rPr>
        <w:t>legislation in</w:t>
      </w:r>
      <w:r w:rsidR="00157534" w:rsidRPr="005A3F47">
        <w:rPr>
          <w:i w:val="0"/>
          <w:iCs/>
          <w:noProof/>
        </w:rPr>
        <w:t xml:space="preserve"> the </w:t>
      </w:r>
      <w:r w:rsidR="00E81D93" w:rsidRPr="005A3F47">
        <w:rPr>
          <w:i w:val="0"/>
          <w:iCs/>
          <w:noProof/>
        </w:rPr>
        <w:t>context of tax mergers</w:t>
      </w:r>
      <w:r w:rsidR="004664F9" w:rsidRPr="005A3F47">
        <w:rPr>
          <w:i w:val="0"/>
          <w:iCs/>
          <w:noProof/>
        </w:rPr>
        <w:t>,</w:t>
      </w:r>
      <w:r w:rsidR="00E81D93" w:rsidRPr="005A3F47">
        <w:rPr>
          <w:i w:val="0"/>
          <w:iCs/>
          <w:noProof/>
        </w:rPr>
        <w:t xml:space="preserve"> </w:t>
      </w:r>
      <w:r w:rsidR="00157534" w:rsidRPr="005A3F47">
        <w:rPr>
          <w:i w:val="0"/>
          <w:iCs/>
          <w:noProof/>
        </w:rPr>
        <w:t xml:space="preserve">dispute </w:t>
      </w:r>
      <w:r w:rsidR="0020304A" w:rsidRPr="005A3F47">
        <w:rPr>
          <w:i w:val="0"/>
          <w:iCs/>
          <w:noProof/>
        </w:rPr>
        <w:t xml:space="preserve">resolution </w:t>
      </w:r>
      <w:r w:rsidR="00E81D93" w:rsidRPr="005A3F47">
        <w:rPr>
          <w:i w:val="0"/>
          <w:iCs/>
          <w:noProof/>
        </w:rPr>
        <w:t>mechanisms</w:t>
      </w:r>
      <w:r w:rsidR="004664F9" w:rsidRPr="005A3F47">
        <w:rPr>
          <w:i w:val="0"/>
          <w:iCs/>
          <w:noProof/>
        </w:rPr>
        <w:t xml:space="preserve"> and </w:t>
      </w:r>
      <w:r w:rsidR="00DB40EF" w:rsidRPr="005A3F47">
        <w:rPr>
          <w:i w:val="0"/>
          <w:iCs/>
          <w:noProof/>
        </w:rPr>
        <w:t>removal of</w:t>
      </w:r>
      <w:r w:rsidR="00E12948" w:rsidRPr="005A3F47">
        <w:rPr>
          <w:i w:val="0"/>
          <w:iCs/>
          <w:noProof/>
        </w:rPr>
        <w:t xml:space="preserve"> </w:t>
      </w:r>
      <w:r w:rsidR="005B568E" w:rsidRPr="005A3F47">
        <w:rPr>
          <w:i w:val="0"/>
          <w:iCs/>
          <w:noProof/>
        </w:rPr>
        <w:t xml:space="preserve">imported </w:t>
      </w:r>
      <w:r w:rsidR="004664F9" w:rsidRPr="005A3F47">
        <w:rPr>
          <w:i w:val="0"/>
          <w:iCs/>
          <w:noProof/>
        </w:rPr>
        <w:t>hybri</w:t>
      </w:r>
      <w:r w:rsidR="00E12948" w:rsidRPr="005A3F47">
        <w:rPr>
          <w:i w:val="0"/>
          <w:iCs/>
          <w:noProof/>
        </w:rPr>
        <w:t>d mismatches</w:t>
      </w:r>
      <w:bookmarkEnd w:id="188"/>
      <w:bookmarkEnd w:id="189"/>
      <w:bookmarkEnd w:id="190"/>
      <w:bookmarkEnd w:id="191"/>
      <w:bookmarkEnd w:id="192"/>
    </w:p>
    <w:p w14:paraId="45EB987A" w14:textId="3C9AB103" w:rsidR="001A4644" w:rsidRPr="005A3F47" w:rsidRDefault="001A4644" w:rsidP="00DE6B6A">
      <w:pPr>
        <w:pStyle w:val="Text1"/>
        <w:spacing w:before="240" w:after="120"/>
        <w:ind w:left="0"/>
        <w:rPr>
          <w:i/>
          <w:noProof/>
          <w:lang w:eastAsia="en-GB"/>
        </w:rPr>
      </w:pPr>
      <w:r w:rsidRPr="005A3F47">
        <w:rPr>
          <w:i/>
          <w:noProof/>
          <w:lang w:eastAsia="en-GB"/>
        </w:rPr>
        <w:t xml:space="preserve">Impact on companies </w:t>
      </w:r>
      <w:r w:rsidR="0072019B" w:rsidRPr="005A3F47">
        <w:rPr>
          <w:i/>
          <w:noProof/>
          <w:lang w:eastAsia="en-GB"/>
        </w:rPr>
        <w:t>and on the economy</w:t>
      </w:r>
    </w:p>
    <w:p w14:paraId="027BF079" w14:textId="4B02F81A" w:rsidR="00800880" w:rsidRPr="005A3F47" w:rsidRDefault="00972586" w:rsidP="007330D2">
      <w:pPr>
        <w:pStyle w:val="Text2"/>
        <w:ind w:left="0"/>
        <w:rPr>
          <w:noProof/>
        </w:rPr>
      </w:pPr>
      <w:r w:rsidRPr="005A3F47">
        <w:rPr>
          <w:noProof/>
        </w:rPr>
        <w:t xml:space="preserve">Streamlining legislation </w:t>
      </w:r>
      <w:r w:rsidR="00E85F89" w:rsidRPr="005A3F47">
        <w:rPr>
          <w:noProof/>
        </w:rPr>
        <w:t>related to</w:t>
      </w:r>
      <w:r w:rsidR="00D851BB" w:rsidRPr="005A3F47">
        <w:rPr>
          <w:noProof/>
        </w:rPr>
        <w:t xml:space="preserve"> </w:t>
      </w:r>
      <w:r w:rsidR="00277EB3" w:rsidRPr="005A3F47">
        <w:rPr>
          <w:noProof/>
        </w:rPr>
        <w:t>tax mergers</w:t>
      </w:r>
      <w:r w:rsidR="00D851BB" w:rsidRPr="005A3F47">
        <w:rPr>
          <w:noProof/>
        </w:rPr>
        <w:t xml:space="preserve"> and</w:t>
      </w:r>
      <w:r w:rsidR="00277EB3" w:rsidRPr="005A3F47">
        <w:rPr>
          <w:noProof/>
        </w:rPr>
        <w:t xml:space="preserve"> dispute resolution, and the removal of imported hybrid mismatches</w:t>
      </w:r>
      <w:r w:rsidR="007A5789" w:rsidRPr="005A3F47">
        <w:rPr>
          <w:noProof/>
        </w:rPr>
        <w:t xml:space="preserve"> would contribute to </w:t>
      </w:r>
      <w:r w:rsidR="00053B94" w:rsidRPr="005A3F47">
        <w:rPr>
          <w:noProof/>
        </w:rPr>
        <w:t xml:space="preserve">a </w:t>
      </w:r>
      <w:r w:rsidR="007A5789" w:rsidRPr="005A3F47">
        <w:rPr>
          <w:noProof/>
        </w:rPr>
        <w:t>more consistent interpretation of legal terms</w:t>
      </w:r>
      <w:r w:rsidR="00AC6422" w:rsidRPr="005A3F47">
        <w:rPr>
          <w:noProof/>
        </w:rPr>
        <w:t>,</w:t>
      </w:r>
      <w:r w:rsidR="007A5789" w:rsidRPr="005A3F47">
        <w:rPr>
          <w:noProof/>
        </w:rPr>
        <w:t xml:space="preserve"> improve legal </w:t>
      </w:r>
      <w:r w:rsidR="008B50ED" w:rsidRPr="005A3F47">
        <w:rPr>
          <w:noProof/>
        </w:rPr>
        <w:t xml:space="preserve">clarity and </w:t>
      </w:r>
      <w:r w:rsidR="007A5789" w:rsidRPr="005A3F47">
        <w:rPr>
          <w:noProof/>
        </w:rPr>
        <w:t>certainty</w:t>
      </w:r>
      <w:r w:rsidR="008703E2" w:rsidRPr="005A3F47">
        <w:rPr>
          <w:noProof/>
        </w:rPr>
        <w:t xml:space="preserve"> of MNE groups</w:t>
      </w:r>
      <w:r w:rsidR="00AC6422" w:rsidRPr="005A3F47">
        <w:rPr>
          <w:noProof/>
        </w:rPr>
        <w:t xml:space="preserve"> and decluttering EU tax law</w:t>
      </w:r>
      <w:r w:rsidR="008703E2" w:rsidRPr="005A3F47">
        <w:rPr>
          <w:noProof/>
        </w:rPr>
        <w:t xml:space="preserve">. </w:t>
      </w:r>
      <w:r w:rsidR="00E52E7B" w:rsidRPr="005A3F47">
        <w:rPr>
          <w:noProof/>
        </w:rPr>
        <w:t xml:space="preserve">To that extent, </w:t>
      </w:r>
      <w:r w:rsidR="009B1DC4" w:rsidRPr="005A3F47">
        <w:rPr>
          <w:noProof/>
        </w:rPr>
        <w:t xml:space="preserve">the impact of </w:t>
      </w:r>
      <w:r w:rsidR="003928F6" w:rsidRPr="005A3F47">
        <w:rPr>
          <w:noProof/>
        </w:rPr>
        <w:t xml:space="preserve">this measure </w:t>
      </w:r>
      <w:r w:rsidR="009B1DC4" w:rsidRPr="005A3F47">
        <w:rPr>
          <w:noProof/>
        </w:rPr>
        <w:t xml:space="preserve">on companies </w:t>
      </w:r>
      <w:r w:rsidR="003928F6" w:rsidRPr="005A3F47">
        <w:rPr>
          <w:noProof/>
        </w:rPr>
        <w:t xml:space="preserve">will </w:t>
      </w:r>
      <w:r w:rsidR="002C5D5A" w:rsidRPr="005A3F47">
        <w:rPr>
          <w:noProof/>
        </w:rPr>
        <w:t xml:space="preserve">be very similar to </w:t>
      </w:r>
      <w:r w:rsidR="00625EB9" w:rsidRPr="005A3F47">
        <w:rPr>
          <w:noProof/>
        </w:rPr>
        <w:t xml:space="preserve">the </w:t>
      </w:r>
      <w:r w:rsidR="00670216" w:rsidRPr="005A3F47">
        <w:rPr>
          <w:noProof/>
        </w:rPr>
        <w:t xml:space="preserve">package of measures </w:t>
      </w:r>
      <w:r w:rsidR="007F1380" w:rsidRPr="005A3F47">
        <w:rPr>
          <w:noProof/>
        </w:rPr>
        <w:t xml:space="preserve">outlined above </w:t>
      </w:r>
      <w:r w:rsidR="00B81146" w:rsidRPr="005A3F47">
        <w:rPr>
          <w:noProof/>
        </w:rPr>
        <w:t>i</w:t>
      </w:r>
      <w:r w:rsidR="00D770DA" w:rsidRPr="005A3F47">
        <w:rPr>
          <w:noProof/>
        </w:rPr>
        <w:t xml:space="preserve">n </w:t>
      </w:r>
      <w:r w:rsidR="0081112B" w:rsidRPr="005A3F47">
        <w:rPr>
          <w:noProof/>
        </w:rPr>
        <w:t>S</w:t>
      </w:r>
      <w:r w:rsidR="0076704A" w:rsidRPr="005A3F47">
        <w:rPr>
          <w:noProof/>
        </w:rPr>
        <w:t>ection</w:t>
      </w:r>
      <w:hyperlink w:anchor="_Option_4:_Reduce" w:history="1">
        <w:r w:rsidR="00A11492" w:rsidRPr="005A3F47">
          <w:rPr>
            <w:noProof/>
          </w:rPr>
          <w:fldChar w:fldCharType="begin"/>
        </w:r>
        <w:r w:rsidR="00A11492" w:rsidRPr="005A3F47">
          <w:rPr>
            <w:noProof/>
          </w:rPr>
          <w:instrText xml:space="preserve"> REF _Ref226464053 \r \h </w:instrText>
        </w:r>
        <w:r w:rsidR="00FF0F55" w:rsidRPr="005A3F47">
          <w:rPr>
            <w:noProof/>
          </w:rPr>
          <w:instrText xml:space="preserve"> \* MERGEFORMAT </w:instrText>
        </w:r>
        <w:r w:rsidR="00A11492" w:rsidRPr="005A3F47">
          <w:rPr>
            <w:noProof/>
          </w:rPr>
        </w:r>
        <w:r w:rsidR="00A11492" w:rsidRPr="005A3F47">
          <w:rPr>
            <w:noProof/>
          </w:rPr>
          <w:fldChar w:fldCharType="separate"/>
        </w:r>
        <w:r w:rsidR="00CF3380">
          <w:rPr>
            <w:noProof/>
          </w:rPr>
          <w:t>6.2.4.4</w:t>
        </w:r>
        <w:r w:rsidR="00A11492" w:rsidRPr="005A3F47">
          <w:rPr>
            <w:noProof/>
          </w:rPr>
          <w:fldChar w:fldCharType="end"/>
        </w:r>
      </w:hyperlink>
      <w:r w:rsidR="00D770DA" w:rsidRPr="005A3F47">
        <w:rPr>
          <w:noProof/>
        </w:rPr>
        <w:t xml:space="preserve"> </w:t>
      </w:r>
      <w:r w:rsidR="00B2150C" w:rsidRPr="005A3F47">
        <w:rPr>
          <w:noProof/>
        </w:rPr>
        <w:t>6.2.4.6</w:t>
      </w:r>
      <w:r w:rsidR="00BB5199" w:rsidRPr="005A3F47">
        <w:rPr>
          <w:noProof/>
        </w:rPr>
        <w:t>.</w:t>
      </w:r>
      <w:r w:rsidR="00214190" w:rsidRPr="005A3F47">
        <w:rPr>
          <w:noProof/>
        </w:rPr>
        <w:t xml:space="preserve"> </w:t>
      </w:r>
      <w:r w:rsidR="00800880" w:rsidRPr="005A3F47">
        <w:rPr>
          <w:noProof/>
        </w:rPr>
        <w:t>in the context of the Interest Limitation Rule (in particular</w:t>
      </w:r>
      <w:r w:rsidR="004F72D1" w:rsidRPr="005A3F47">
        <w:rPr>
          <w:noProof/>
        </w:rPr>
        <w:t>:</w:t>
      </w:r>
      <w:r w:rsidR="00800880" w:rsidRPr="005A3F47">
        <w:rPr>
          <w:noProof/>
        </w:rPr>
        <w:t xml:space="preserve"> </w:t>
      </w:r>
      <w:r w:rsidR="00800880" w:rsidRPr="005A3F47">
        <w:rPr>
          <w:noProof/>
          <w:lang w:eastAsia="en-GB"/>
        </w:rPr>
        <w:t>reducing implementation options and making sure that all Member States apply the same 30% EBITDA threshold).</w:t>
      </w:r>
      <w:r w:rsidR="00800880" w:rsidRPr="005A3F47">
        <w:rPr>
          <w:noProof/>
        </w:rPr>
        <w:t xml:space="preserve"> Both pair</w:t>
      </w:r>
      <w:r w:rsidR="00C5694E" w:rsidRPr="005A3F47">
        <w:rPr>
          <w:noProof/>
        </w:rPr>
        <w:t>s</w:t>
      </w:r>
      <w:r w:rsidR="00800880" w:rsidRPr="005A3F47">
        <w:rPr>
          <w:noProof/>
        </w:rPr>
        <w:t xml:space="preserve"> of measures e</w:t>
      </w:r>
      <w:r w:rsidR="00800880" w:rsidRPr="005A3F47">
        <w:rPr>
          <w:noProof/>
          <w:lang w:eastAsia="en-GB"/>
        </w:rPr>
        <w:t xml:space="preserve">nhance legal certainty. They reduce ambiguity and inconsistencies in the application of tax rules across Member States. By harmonising provisions </w:t>
      </w:r>
      <w:r w:rsidR="004F7221" w:rsidRPr="005A3F47">
        <w:rPr>
          <w:noProof/>
          <w:lang w:eastAsia="en-GB"/>
        </w:rPr>
        <w:t>– b</w:t>
      </w:r>
      <w:r w:rsidR="00800880" w:rsidRPr="005A3F47">
        <w:rPr>
          <w:noProof/>
          <w:lang w:eastAsia="en-GB"/>
        </w:rPr>
        <w:t xml:space="preserve">e it through a uniform EBITDA threshold under the Interest Limitation Rule or through aligning tax merger and dispute resolution legislation </w:t>
      </w:r>
      <w:r w:rsidR="004F7221" w:rsidRPr="005A3F47">
        <w:rPr>
          <w:noProof/>
          <w:lang w:eastAsia="en-GB"/>
        </w:rPr>
        <w:t>– t</w:t>
      </w:r>
      <w:r w:rsidR="00800880" w:rsidRPr="005A3F47">
        <w:rPr>
          <w:noProof/>
          <w:lang w:eastAsia="en-GB"/>
        </w:rPr>
        <w:t xml:space="preserve">hey aim to create a more predictable and stable legal environment for businesses operating within the EU. Given these similarities, it </w:t>
      </w:r>
      <w:r w:rsidR="00D54B4F" w:rsidRPr="005A3F47">
        <w:rPr>
          <w:noProof/>
          <w:lang w:eastAsia="en-GB"/>
        </w:rPr>
        <w:t xml:space="preserve">is </w:t>
      </w:r>
      <w:r w:rsidR="00800880" w:rsidRPr="005A3F47">
        <w:rPr>
          <w:noProof/>
          <w:lang w:eastAsia="en-GB"/>
        </w:rPr>
        <w:t xml:space="preserve">assumed that the effect of </w:t>
      </w:r>
      <w:r w:rsidR="006D6735" w:rsidRPr="005A3F47">
        <w:rPr>
          <w:noProof/>
          <w:lang w:eastAsia="en-GB"/>
        </w:rPr>
        <w:t xml:space="preserve">the </w:t>
      </w:r>
      <w:r w:rsidR="00800880" w:rsidRPr="005A3F47">
        <w:rPr>
          <w:noProof/>
          <w:lang w:eastAsia="en-GB"/>
        </w:rPr>
        <w:t>s</w:t>
      </w:r>
      <w:r w:rsidR="00800880" w:rsidRPr="005A3F47">
        <w:rPr>
          <w:noProof/>
        </w:rPr>
        <w:t xml:space="preserve">treamlining </w:t>
      </w:r>
      <w:r w:rsidR="006D6735" w:rsidRPr="005A3F47">
        <w:rPr>
          <w:noProof/>
        </w:rPr>
        <w:t xml:space="preserve">and simplification </w:t>
      </w:r>
      <w:r w:rsidR="008A6A5B" w:rsidRPr="005A3F47">
        <w:rPr>
          <w:noProof/>
        </w:rPr>
        <w:t xml:space="preserve">measures </w:t>
      </w:r>
      <w:r w:rsidR="006D6735" w:rsidRPr="005A3F47">
        <w:rPr>
          <w:noProof/>
        </w:rPr>
        <w:t xml:space="preserve">discussed here </w:t>
      </w:r>
      <w:r w:rsidR="00BB57E8" w:rsidRPr="005A3F47">
        <w:rPr>
          <w:noProof/>
        </w:rPr>
        <w:t>would</w:t>
      </w:r>
      <w:r w:rsidR="00800880" w:rsidRPr="005A3F47">
        <w:rPr>
          <w:noProof/>
        </w:rPr>
        <w:t xml:space="preserve"> be the same as for the package outlined in Section 6.2.4.6 in relation to the Interest Limitation Rule</w:t>
      </w:r>
      <w:r w:rsidR="005F0D71" w:rsidRPr="005A3F47">
        <w:rPr>
          <w:noProof/>
        </w:rPr>
        <w:t>.</w:t>
      </w:r>
      <w:r w:rsidR="00800880" w:rsidRPr="005A3F47">
        <w:rPr>
          <w:noProof/>
        </w:rPr>
        <w:t xml:space="preserve"> </w:t>
      </w:r>
      <w:r w:rsidR="00142123" w:rsidRPr="005A3F47">
        <w:rPr>
          <w:noProof/>
        </w:rPr>
        <w:t>The c</w:t>
      </w:r>
      <w:r w:rsidR="00800880" w:rsidRPr="005A3F47">
        <w:rPr>
          <w:noProof/>
        </w:rPr>
        <w:t xml:space="preserve">ompliance cost reduction could </w:t>
      </w:r>
      <w:r w:rsidR="00976E1C" w:rsidRPr="005A3F47">
        <w:rPr>
          <w:noProof/>
        </w:rPr>
        <w:t xml:space="preserve">then </w:t>
      </w:r>
      <w:r w:rsidR="00800880" w:rsidRPr="005A3F47">
        <w:rPr>
          <w:noProof/>
        </w:rPr>
        <w:t>amount to EUR 80 million per year.</w:t>
      </w:r>
    </w:p>
    <w:p w14:paraId="2BB0C780" w14:textId="1DD7532C" w:rsidR="009D745E" w:rsidRPr="005A3F47" w:rsidRDefault="00546E6A" w:rsidP="009D745E">
      <w:pPr>
        <w:pStyle w:val="Text2"/>
        <w:ind w:left="0"/>
        <w:rPr>
          <w:noProof/>
          <w:lang w:eastAsia="en-GB"/>
        </w:rPr>
      </w:pPr>
      <w:r w:rsidRPr="005A3F47">
        <w:rPr>
          <w:noProof/>
          <w:lang w:eastAsia="en-GB"/>
        </w:rPr>
        <w:t xml:space="preserve">By minimising disparities in how </w:t>
      </w:r>
      <w:r w:rsidR="00F80BE4" w:rsidRPr="005A3F47">
        <w:rPr>
          <w:noProof/>
          <w:lang w:eastAsia="en-GB"/>
        </w:rPr>
        <w:t>M</w:t>
      </w:r>
      <w:r w:rsidRPr="005A3F47">
        <w:rPr>
          <w:noProof/>
          <w:lang w:eastAsia="en-GB"/>
        </w:rPr>
        <w:t xml:space="preserve">ember </w:t>
      </w:r>
      <w:r w:rsidR="00F80BE4" w:rsidRPr="005A3F47">
        <w:rPr>
          <w:noProof/>
          <w:lang w:eastAsia="en-GB"/>
        </w:rPr>
        <w:t>S</w:t>
      </w:r>
      <w:r w:rsidRPr="005A3F47">
        <w:rPr>
          <w:noProof/>
          <w:lang w:eastAsia="en-GB"/>
        </w:rPr>
        <w:t xml:space="preserve">tates apply tax rules, </w:t>
      </w:r>
      <w:r w:rsidR="00826362" w:rsidRPr="005A3F47">
        <w:rPr>
          <w:noProof/>
          <w:lang w:eastAsia="en-GB"/>
        </w:rPr>
        <w:t xml:space="preserve">the </w:t>
      </w:r>
      <w:r w:rsidRPr="005A3F47">
        <w:rPr>
          <w:noProof/>
          <w:lang w:eastAsia="en-GB"/>
        </w:rPr>
        <w:t xml:space="preserve">measures </w:t>
      </w:r>
      <w:r w:rsidR="00D03A3D" w:rsidRPr="005A3F47">
        <w:rPr>
          <w:noProof/>
          <w:lang w:eastAsia="en-GB"/>
        </w:rPr>
        <w:t xml:space="preserve">also </w:t>
      </w:r>
      <w:r w:rsidRPr="005A3F47">
        <w:rPr>
          <w:noProof/>
          <w:lang w:eastAsia="en-GB"/>
        </w:rPr>
        <w:t>help prevent distortions in the Single Market</w:t>
      </w:r>
      <w:r w:rsidR="00D1721B" w:rsidRPr="005A3F47">
        <w:rPr>
          <w:noProof/>
          <w:lang w:eastAsia="en-GB"/>
        </w:rPr>
        <w:t>, thereby promoting economic growth</w:t>
      </w:r>
      <w:r w:rsidR="00E95A39" w:rsidRPr="005A3F47">
        <w:rPr>
          <w:noProof/>
          <w:lang w:eastAsia="en-GB"/>
        </w:rPr>
        <w:t>:</w:t>
      </w:r>
      <w:r w:rsidRPr="005A3F47">
        <w:rPr>
          <w:noProof/>
          <w:lang w:eastAsia="en-GB"/>
        </w:rPr>
        <w:t xml:space="preserve"> </w:t>
      </w:r>
      <w:r w:rsidR="00657174" w:rsidRPr="005A3F47">
        <w:rPr>
          <w:noProof/>
          <w:lang w:eastAsia="en-GB"/>
        </w:rPr>
        <w:t xml:space="preserve">Clear and </w:t>
      </w:r>
      <w:r w:rsidR="00DF7CE6" w:rsidRPr="005A3F47">
        <w:rPr>
          <w:noProof/>
          <w:lang w:eastAsia="en-GB"/>
        </w:rPr>
        <w:t>viable</w:t>
      </w:r>
      <w:r w:rsidRPr="005A3F47">
        <w:rPr>
          <w:noProof/>
          <w:lang w:eastAsia="en-GB"/>
        </w:rPr>
        <w:t xml:space="preserve"> dispute resolution mechanisms reduce the risk of inconsistent outcomes in cross-border cases</w:t>
      </w:r>
      <w:r w:rsidR="00DF7CE6" w:rsidRPr="005A3F47">
        <w:rPr>
          <w:noProof/>
          <w:lang w:eastAsia="en-GB"/>
        </w:rPr>
        <w:t xml:space="preserve"> and allow</w:t>
      </w:r>
      <w:r w:rsidR="00866181" w:rsidRPr="005A3F47">
        <w:rPr>
          <w:noProof/>
          <w:lang w:eastAsia="en-GB"/>
        </w:rPr>
        <w:t xml:space="preserve"> disputes to be resolved in a faster manner</w:t>
      </w:r>
      <w:r w:rsidRPr="005A3F47">
        <w:rPr>
          <w:noProof/>
          <w:lang w:eastAsia="en-GB"/>
        </w:rPr>
        <w:t>. This promotes fair competition and prevents regulatory arbitrage.</w:t>
      </w:r>
      <w:r w:rsidR="009A66F7" w:rsidRPr="005A3F47">
        <w:rPr>
          <w:noProof/>
          <w:lang w:eastAsia="en-GB"/>
        </w:rPr>
        <w:t xml:space="preserve"> </w:t>
      </w:r>
      <w:r w:rsidR="00316F4E" w:rsidRPr="005A3F47">
        <w:rPr>
          <w:noProof/>
          <w:lang w:eastAsia="en-GB"/>
        </w:rPr>
        <w:t>Likewise, r</w:t>
      </w:r>
      <w:r w:rsidR="0011235D" w:rsidRPr="005A3F47">
        <w:rPr>
          <w:noProof/>
          <w:lang w:eastAsia="en-GB"/>
        </w:rPr>
        <w:t>educing disparities in how Member States’ tax authorities handle restructuring events</w:t>
      </w:r>
      <w:r w:rsidR="00316F4E" w:rsidRPr="005A3F47">
        <w:rPr>
          <w:noProof/>
          <w:lang w:eastAsia="en-GB"/>
        </w:rPr>
        <w:t xml:space="preserve"> </w:t>
      </w:r>
      <w:r w:rsidR="00B979A1" w:rsidRPr="005A3F47">
        <w:rPr>
          <w:noProof/>
          <w:lang w:eastAsia="en-GB"/>
        </w:rPr>
        <w:t xml:space="preserve">- </w:t>
      </w:r>
      <w:r w:rsidR="0011235D" w:rsidRPr="005A3F47">
        <w:rPr>
          <w:noProof/>
          <w:lang w:eastAsia="en-GB"/>
        </w:rPr>
        <w:t xml:space="preserve">mergers and </w:t>
      </w:r>
      <w:r w:rsidR="00B979A1" w:rsidRPr="005A3F47">
        <w:rPr>
          <w:noProof/>
          <w:lang w:eastAsia="en-GB"/>
        </w:rPr>
        <w:t xml:space="preserve">separations - </w:t>
      </w:r>
      <w:r w:rsidR="00F37AE9" w:rsidRPr="005A3F47">
        <w:rPr>
          <w:noProof/>
          <w:lang w:eastAsia="en-GB"/>
        </w:rPr>
        <w:t>c</w:t>
      </w:r>
      <w:r w:rsidR="0011235D" w:rsidRPr="005A3F47">
        <w:rPr>
          <w:noProof/>
          <w:lang w:eastAsia="en-GB"/>
        </w:rPr>
        <w:t>ould foster a more level playing field across the EU, enhancing fairness and consistency in tax treatment.</w:t>
      </w:r>
    </w:p>
    <w:p w14:paraId="7524697D" w14:textId="180300A3" w:rsidR="001A4644" w:rsidRPr="005A3F47" w:rsidRDefault="001A4644" w:rsidP="009D745E">
      <w:pPr>
        <w:pStyle w:val="Text2"/>
        <w:ind w:left="0"/>
        <w:rPr>
          <w:i/>
          <w:noProof/>
          <w:lang w:eastAsia="en-GB"/>
        </w:rPr>
      </w:pPr>
      <w:r w:rsidRPr="005A3F47">
        <w:rPr>
          <w:i/>
          <w:noProof/>
          <w:lang w:eastAsia="en-GB"/>
        </w:rPr>
        <w:t xml:space="preserve">Impact on tax authorities </w:t>
      </w:r>
      <w:r w:rsidR="00970CE2" w:rsidRPr="005A3F47">
        <w:rPr>
          <w:i/>
          <w:noProof/>
          <w:lang w:eastAsia="en-GB"/>
        </w:rPr>
        <w:t>and maintaining high tax standards</w:t>
      </w:r>
      <w:r w:rsidRPr="005A3F47">
        <w:rPr>
          <w:i/>
          <w:noProof/>
          <w:lang w:eastAsia="en-GB"/>
        </w:rPr>
        <w:t xml:space="preserve"> </w:t>
      </w:r>
    </w:p>
    <w:p w14:paraId="1B99EB2D" w14:textId="7925719D" w:rsidR="002A642F" w:rsidRPr="005A3F47" w:rsidRDefault="00D26F21" w:rsidP="00D025BF">
      <w:pPr>
        <w:pStyle w:val="Text2"/>
        <w:ind w:left="0"/>
        <w:rPr>
          <w:noProof/>
          <w:lang w:eastAsia="en-GB"/>
        </w:rPr>
      </w:pPr>
      <w:r w:rsidRPr="005A3F47">
        <w:rPr>
          <w:noProof/>
          <w:lang w:eastAsia="en-GB"/>
        </w:rPr>
        <w:t>Today, t</w:t>
      </w:r>
      <w:r w:rsidR="00255960" w:rsidRPr="005A3F47">
        <w:rPr>
          <w:noProof/>
          <w:lang w:eastAsia="en-GB"/>
        </w:rPr>
        <w:t xml:space="preserve">ax administrations </w:t>
      </w:r>
      <w:r w:rsidRPr="005A3F47">
        <w:rPr>
          <w:noProof/>
          <w:lang w:eastAsia="en-GB"/>
        </w:rPr>
        <w:t xml:space="preserve">already </w:t>
      </w:r>
      <w:r w:rsidR="00255960" w:rsidRPr="005A3F47">
        <w:rPr>
          <w:noProof/>
          <w:lang w:eastAsia="en-GB"/>
        </w:rPr>
        <w:t xml:space="preserve">have the responsibility to enforce </w:t>
      </w:r>
      <w:r w:rsidRPr="005A3F47">
        <w:rPr>
          <w:noProof/>
          <w:lang w:eastAsia="en-GB"/>
        </w:rPr>
        <w:t xml:space="preserve">the rules of the TMD, engage in dispute resolution when this is requested under the DRM, and </w:t>
      </w:r>
      <w:r w:rsidR="00FF61A9" w:rsidRPr="005A3F47">
        <w:rPr>
          <w:noProof/>
          <w:lang w:eastAsia="en-GB"/>
        </w:rPr>
        <w:t xml:space="preserve">enforce the ATAD mismatch rules as they currently stand. Changes in these in line with the options assessed in this report would </w:t>
      </w:r>
      <w:r w:rsidR="00970CE2" w:rsidRPr="005A3F47">
        <w:rPr>
          <w:noProof/>
          <w:lang w:eastAsia="en-GB"/>
        </w:rPr>
        <w:t xml:space="preserve">result in a minimal impact on tax </w:t>
      </w:r>
      <w:r w:rsidR="000E412D" w:rsidRPr="005A3F47">
        <w:rPr>
          <w:noProof/>
          <w:lang w:eastAsia="en-GB"/>
        </w:rPr>
        <w:t>authorities</w:t>
      </w:r>
      <w:r w:rsidR="00970CE2" w:rsidRPr="005A3F47">
        <w:rPr>
          <w:noProof/>
          <w:lang w:eastAsia="en-GB"/>
        </w:rPr>
        <w:t xml:space="preserve">. </w:t>
      </w:r>
      <w:r w:rsidR="00347F5E" w:rsidRPr="005A3F47">
        <w:rPr>
          <w:noProof/>
          <w:lang w:eastAsia="en-GB"/>
        </w:rPr>
        <w:t>Increased legal certainty and more efficient procedures should facilitate the work of tax authorities by reducing procedural uncertainties and administrative complexity, thereby allowing resources to be used more effectively in the analysis and resolution of disputes. While the proposed changes under the DRM could potentially lead to a greater number of disputes being brought under the DRM, this would likely occur at the expense of disputes currently pursued under other legal frameworks, such as Article 25 OECD Model MAPs or the Arbitration Convention. As a result, the overall number of disputes handled by tax authorities and the related workload would likely remain broadly unchanged</w:t>
      </w:r>
    </w:p>
    <w:p w14:paraId="20973A7A" w14:textId="7382DD32" w:rsidR="00E8392D" w:rsidRPr="005A3F47" w:rsidRDefault="002A642F" w:rsidP="00D025BF">
      <w:pPr>
        <w:pStyle w:val="Text2"/>
        <w:ind w:left="0"/>
        <w:rPr>
          <w:noProof/>
        </w:rPr>
      </w:pPr>
      <w:r w:rsidRPr="005A3F47">
        <w:rPr>
          <w:noProof/>
          <w:lang w:eastAsia="en-GB"/>
        </w:rPr>
        <w:t xml:space="preserve">Meanwhile, all proposed measures </w:t>
      </w:r>
      <w:r w:rsidR="00FD50DB" w:rsidRPr="005A3F47">
        <w:rPr>
          <w:noProof/>
          <w:lang w:eastAsia="en-GB"/>
        </w:rPr>
        <w:t xml:space="preserve">under the TMD and DRM </w:t>
      </w:r>
      <w:r w:rsidRPr="005A3F47">
        <w:rPr>
          <w:noProof/>
          <w:lang w:eastAsia="en-GB"/>
        </w:rPr>
        <w:t>would retain high tax standards as they do not entail a</w:t>
      </w:r>
      <w:r w:rsidR="005A00A2" w:rsidRPr="005A3F47">
        <w:rPr>
          <w:noProof/>
          <w:lang w:eastAsia="en-GB"/>
        </w:rPr>
        <w:t>n undermining or lowering of standards in any way</w:t>
      </w:r>
      <w:r w:rsidRPr="005A3F47">
        <w:rPr>
          <w:noProof/>
          <w:lang w:eastAsia="en-GB"/>
        </w:rPr>
        <w:t xml:space="preserve">. </w:t>
      </w:r>
      <w:r w:rsidR="005A00A2" w:rsidRPr="005A3F47">
        <w:rPr>
          <w:noProof/>
          <w:lang w:eastAsia="en-GB"/>
        </w:rPr>
        <w:t>When it comes to imported mismatches, as</w:t>
      </w:r>
      <w:r w:rsidR="000D235E" w:rsidRPr="005A3F47">
        <w:rPr>
          <w:noProof/>
          <w:lang w:eastAsia="en-GB"/>
        </w:rPr>
        <w:t xml:space="preserve"> </w:t>
      </w:r>
      <w:r w:rsidR="008B0FE9" w:rsidRPr="005A3F47">
        <w:rPr>
          <w:noProof/>
          <w:lang w:eastAsia="en-GB"/>
        </w:rPr>
        <w:t>previously explained,</w:t>
      </w:r>
      <w:r w:rsidR="005A00A2" w:rsidRPr="005A3F47">
        <w:rPr>
          <w:noProof/>
          <w:lang w:eastAsia="en-GB"/>
        </w:rPr>
        <w:t xml:space="preserve"> the information </w:t>
      </w:r>
      <w:r w:rsidR="008B0FE9" w:rsidRPr="005A3F47">
        <w:rPr>
          <w:noProof/>
          <w:lang w:eastAsia="en-GB"/>
        </w:rPr>
        <w:t>to identify and assess</w:t>
      </w:r>
      <w:r w:rsidR="005A00A2" w:rsidRPr="005A3F47">
        <w:rPr>
          <w:noProof/>
          <w:lang w:eastAsia="en-GB"/>
        </w:rPr>
        <w:t xml:space="preserve"> relevant tax schemes in third country jurisdictions </w:t>
      </w:r>
      <w:r w:rsidR="00252495" w:rsidRPr="005A3F47">
        <w:rPr>
          <w:noProof/>
          <w:lang w:eastAsia="en-GB"/>
        </w:rPr>
        <w:t xml:space="preserve">is not available or easily </w:t>
      </w:r>
      <w:r w:rsidR="000206B7" w:rsidRPr="005A3F47">
        <w:rPr>
          <w:noProof/>
          <w:lang w:eastAsia="en-GB"/>
        </w:rPr>
        <w:t>identifiable</w:t>
      </w:r>
      <w:r w:rsidR="00252495" w:rsidRPr="005A3F47">
        <w:rPr>
          <w:noProof/>
          <w:lang w:eastAsia="en-GB"/>
        </w:rPr>
        <w:t xml:space="preserve">/checked. </w:t>
      </w:r>
      <w:r w:rsidR="000D235E" w:rsidRPr="005A3F47">
        <w:rPr>
          <w:noProof/>
          <w:lang w:eastAsia="en-GB"/>
        </w:rPr>
        <w:t xml:space="preserve">Anecdotal evidence from several EU Member States confirms that these rules are thus rarely, if ever, applied in practice. </w:t>
      </w:r>
    </w:p>
    <w:p w14:paraId="34D8EF5B" w14:textId="77777777" w:rsidR="00AC496B" w:rsidRPr="005A3F47" w:rsidRDefault="00AC496B" w:rsidP="005553A1">
      <w:pPr>
        <w:pStyle w:val="Text2"/>
        <w:spacing w:after="0"/>
        <w:ind w:left="0"/>
        <w:rPr>
          <w:b/>
          <w:noProof/>
        </w:rPr>
      </w:pPr>
    </w:p>
    <w:p w14:paraId="1BF534EF" w14:textId="20A3A577" w:rsidR="00741F4B" w:rsidRPr="00266412" w:rsidRDefault="002F5E08" w:rsidP="00741F4B">
      <w:pPr>
        <w:pStyle w:val="Heading2"/>
        <w:numPr>
          <w:ilvl w:val="1"/>
          <w:numId w:val="228"/>
        </w:numPr>
        <w:rPr>
          <w:noProof/>
        </w:rPr>
      </w:pPr>
      <w:bookmarkStart w:id="193" w:name="_Hlk231465323"/>
      <w:r w:rsidRPr="00266412">
        <w:rPr>
          <w:noProof/>
        </w:rPr>
        <w:t xml:space="preserve">General remarks on the </w:t>
      </w:r>
      <w:r w:rsidR="00143E16" w:rsidRPr="00266412">
        <w:rPr>
          <w:noProof/>
        </w:rPr>
        <w:t xml:space="preserve">limits assessing </w:t>
      </w:r>
      <w:r w:rsidRPr="00266412">
        <w:rPr>
          <w:noProof/>
        </w:rPr>
        <w:t xml:space="preserve">the impact </w:t>
      </w:r>
      <w:r w:rsidR="00C519F3" w:rsidRPr="00266412">
        <w:rPr>
          <w:noProof/>
        </w:rPr>
        <w:t>of the Omnibus</w:t>
      </w:r>
      <w:r w:rsidRPr="00266412">
        <w:rPr>
          <w:noProof/>
        </w:rPr>
        <w:t xml:space="preserve"> on tax administrations</w:t>
      </w:r>
      <w:r w:rsidR="00741F4B" w:rsidRPr="00266412">
        <w:rPr>
          <w:noProof/>
        </w:rPr>
        <w:t xml:space="preserve"> </w:t>
      </w:r>
    </w:p>
    <w:bookmarkEnd w:id="193"/>
    <w:p w14:paraId="6768E25C" w14:textId="523EF1D5" w:rsidR="00D561B9" w:rsidRPr="00266412" w:rsidRDefault="00435837" w:rsidP="00741F4B">
      <w:pPr>
        <w:rPr>
          <w:noProof/>
        </w:rPr>
      </w:pPr>
      <w:r w:rsidRPr="00266412">
        <w:rPr>
          <w:noProof/>
        </w:rPr>
        <w:t>The p</w:t>
      </w:r>
      <w:r w:rsidR="00741F4B" w:rsidRPr="00266412">
        <w:rPr>
          <w:noProof/>
        </w:rPr>
        <w:t xml:space="preserve">roposed measures will </w:t>
      </w:r>
      <w:r w:rsidR="00C921B8" w:rsidRPr="00266412">
        <w:rPr>
          <w:noProof/>
        </w:rPr>
        <w:t>often times</w:t>
      </w:r>
      <w:r w:rsidR="00741F4B" w:rsidRPr="00266412">
        <w:rPr>
          <w:noProof/>
        </w:rPr>
        <w:t xml:space="preserve"> simplify administrative procedures also for tax administrations, partly through exempting companies from having to comply with certain rules. For example, by exempting SMEs from the Controlled Foreign Company (CFC) rules and the Interest Limitation Rule, tax administrations will no longer need to allocate resources to </w:t>
      </w:r>
      <w:r w:rsidR="00F57FAD" w:rsidRPr="00266412">
        <w:rPr>
          <w:noProof/>
        </w:rPr>
        <w:t>monitor, assess, and enforce</w:t>
      </w:r>
      <w:r w:rsidR="00741F4B" w:rsidRPr="00266412">
        <w:rPr>
          <w:noProof/>
        </w:rPr>
        <w:t xml:space="preserve"> compliance for a large segment of smaller businesses. This will streamline risk assessment procedures, reduce the volume of required documentation (e.g., CFC reporting and interest deduction calculations), and free up capacity for tax authorities to focus on higher-risk cases, such as large multinationals and aggressive tax planning structures. Additionally, standardised thresholds and clearer definitions will minimise disputes and requests for advance rulings, further cutting down on administrative workload. </w:t>
      </w:r>
    </w:p>
    <w:p w14:paraId="0E20B59C" w14:textId="15F2191F" w:rsidR="002B0EF1" w:rsidRPr="00266412" w:rsidRDefault="00CE4629" w:rsidP="00741F4B">
      <w:pPr>
        <w:rPr>
          <w:noProof/>
        </w:rPr>
      </w:pPr>
      <w:r w:rsidRPr="00266412">
        <w:rPr>
          <w:noProof/>
        </w:rPr>
        <w:t>However</w:t>
      </w:r>
      <w:r w:rsidRPr="00A04FE3">
        <w:rPr>
          <w:noProof/>
        </w:rPr>
        <w:t xml:space="preserve">, </w:t>
      </w:r>
      <w:r w:rsidR="00741F4B" w:rsidRPr="00A04FE3">
        <w:rPr>
          <w:noProof/>
        </w:rPr>
        <w:t xml:space="preserve">the administrative savings </w:t>
      </w:r>
      <w:r w:rsidR="00FD07EA" w:rsidRPr="00A04FE3">
        <w:rPr>
          <w:noProof/>
        </w:rPr>
        <w:t xml:space="preserve">resulting from such efficiency gains </w:t>
      </w:r>
      <w:r w:rsidR="00741F4B" w:rsidRPr="00A04FE3">
        <w:rPr>
          <w:noProof/>
        </w:rPr>
        <w:t xml:space="preserve">for </w:t>
      </w:r>
      <w:r w:rsidR="00741F4B" w:rsidRPr="00A04FE3">
        <w:rPr>
          <w:i/>
          <w:noProof/>
        </w:rPr>
        <w:t>tax authorities</w:t>
      </w:r>
      <w:r w:rsidR="00741F4B" w:rsidRPr="00A04FE3">
        <w:rPr>
          <w:noProof/>
        </w:rPr>
        <w:t xml:space="preserve"> are impossible to quantify</w:t>
      </w:r>
      <w:r w:rsidRPr="00A04FE3">
        <w:rPr>
          <w:noProof/>
        </w:rPr>
        <w:t>.</w:t>
      </w:r>
      <w:r w:rsidR="00741F4B" w:rsidRPr="00A04FE3">
        <w:rPr>
          <w:noProof/>
        </w:rPr>
        <w:t xml:space="preserve"> </w:t>
      </w:r>
      <w:r w:rsidRPr="00A04FE3">
        <w:rPr>
          <w:noProof/>
        </w:rPr>
        <w:t>This</w:t>
      </w:r>
      <w:r w:rsidRPr="00266412">
        <w:rPr>
          <w:noProof/>
        </w:rPr>
        <w:t xml:space="preserve"> is </w:t>
      </w:r>
      <w:r w:rsidR="00741F4B" w:rsidRPr="00266412">
        <w:rPr>
          <w:noProof/>
        </w:rPr>
        <w:t xml:space="preserve">not only because the current burden varies significantly between Member States due to differing enforcement practices, but also because indirect efficiency gains (e.g., faster case processing, reduced litigation, or reallocated staff resources) cannot be measured in monetary terms without precise information about the </w:t>
      </w:r>
      <w:r w:rsidR="00093B9B" w:rsidRPr="00266412">
        <w:rPr>
          <w:noProof/>
        </w:rPr>
        <w:t xml:space="preserve">individual </w:t>
      </w:r>
      <w:r w:rsidR="00741F4B" w:rsidRPr="00266412">
        <w:rPr>
          <w:noProof/>
        </w:rPr>
        <w:t>cost structure</w:t>
      </w:r>
      <w:r w:rsidR="00093B9B" w:rsidRPr="00266412">
        <w:rPr>
          <w:noProof/>
        </w:rPr>
        <w:t>s</w:t>
      </w:r>
      <w:r w:rsidR="00741F4B" w:rsidRPr="00266412">
        <w:rPr>
          <w:noProof/>
        </w:rPr>
        <w:t xml:space="preserve"> </w:t>
      </w:r>
      <w:r w:rsidR="00093B9B" w:rsidRPr="00266412">
        <w:rPr>
          <w:noProof/>
        </w:rPr>
        <w:t>of</w:t>
      </w:r>
      <w:r w:rsidR="00741F4B" w:rsidRPr="00266412">
        <w:rPr>
          <w:noProof/>
        </w:rPr>
        <w:t xml:space="preserve"> tax administrations</w:t>
      </w:r>
      <w:r w:rsidR="00C67675" w:rsidRPr="00266412">
        <w:rPr>
          <w:noProof/>
        </w:rPr>
        <w:t xml:space="preserve"> </w:t>
      </w:r>
      <w:r w:rsidR="00741F4B" w:rsidRPr="00266412">
        <w:rPr>
          <w:noProof/>
        </w:rPr>
        <w:t xml:space="preserve">particularly in the context of ATAD-rules. A recent study </w:t>
      </w:r>
      <w:r w:rsidR="00535430" w:rsidRPr="00266412">
        <w:rPr>
          <w:noProof/>
        </w:rPr>
        <w:t>on the impact of the ATAD rules</w:t>
      </w:r>
      <w:r w:rsidR="00BE121B" w:rsidRPr="00266412">
        <w:rPr>
          <w:noProof/>
        </w:rPr>
        <w:t xml:space="preserve"> </w:t>
      </w:r>
      <w:r w:rsidR="00741F4B" w:rsidRPr="00266412">
        <w:rPr>
          <w:noProof/>
        </w:rPr>
        <w:t xml:space="preserve">has consulted </w:t>
      </w:r>
      <w:r w:rsidR="004D02EC" w:rsidRPr="00266412">
        <w:rPr>
          <w:noProof/>
        </w:rPr>
        <w:t>Member State</w:t>
      </w:r>
      <w:r w:rsidR="00741F4B" w:rsidRPr="00266412">
        <w:rPr>
          <w:noProof/>
        </w:rPr>
        <w:t xml:space="preserve"> administrations especially on the </w:t>
      </w:r>
      <w:r w:rsidR="004D02EC" w:rsidRPr="00266412">
        <w:rPr>
          <w:noProof/>
        </w:rPr>
        <w:t>tax-</w:t>
      </w:r>
      <w:r w:rsidR="00741F4B" w:rsidRPr="00266412">
        <w:rPr>
          <w:noProof/>
        </w:rPr>
        <w:t>administrative costs</w:t>
      </w:r>
      <w:r w:rsidR="00535430" w:rsidRPr="00266412">
        <w:rPr>
          <w:noProof/>
        </w:rPr>
        <w:t>.</w:t>
      </w:r>
      <w:r w:rsidR="007C7F73" w:rsidRPr="00266412">
        <w:rPr>
          <w:rStyle w:val="FootnoteReference"/>
          <w:rFonts w:eastAsiaTheme="minorEastAsia"/>
          <w:noProof/>
        </w:rPr>
        <w:footnoteReference w:id="114"/>
      </w:r>
      <w:r w:rsidR="00535430" w:rsidRPr="00266412">
        <w:rPr>
          <w:noProof/>
        </w:rPr>
        <w:t xml:space="preserve"> </w:t>
      </w:r>
      <w:r w:rsidR="007C7F73" w:rsidRPr="00266412">
        <w:rPr>
          <w:noProof/>
        </w:rPr>
        <w:t xml:space="preserve">Despite </w:t>
      </w:r>
      <w:r w:rsidR="009A5F8C" w:rsidRPr="00266412">
        <w:rPr>
          <w:noProof/>
        </w:rPr>
        <w:t xml:space="preserve">detailed </w:t>
      </w:r>
      <w:r w:rsidR="00755868" w:rsidRPr="00266412">
        <w:rPr>
          <w:noProof/>
        </w:rPr>
        <w:t xml:space="preserve">questions and engagement with tax </w:t>
      </w:r>
      <w:r w:rsidR="00AB0EED" w:rsidRPr="00266412">
        <w:rPr>
          <w:noProof/>
        </w:rPr>
        <w:t>administrations</w:t>
      </w:r>
      <w:r w:rsidR="00755868" w:rsidRPr="00266412">
        <w:rPr>
          <w:noProof/>
        </w:rPr>
        <w:t xml:space="preserve"> as part of the methodological approach, the</w:t>
      </w:r>
      <w:r w:rsidR="00535430" w:rsidRPr="00266412">
        <w:rPr>
          <w:noProof/>
        </w:rPr>
        <w:t xml:space="preserve"> study</w:t>
      </w:r>
      <w:r w:rsidR="00741F4B" w:rsidRPr="00266412">
        <w:rPr>
          <w:noProof/>
        </w:rPr>
        <w:t xml:space="preserve"> </w:t>
      </w:r>
      <w:r w:rsidR="00511290" w:rsidRPr="00266412">
        <w:rPr>
          <w:noProof/>
        </w:rPr>
        <w:t xml:space="preserve">could not provide </w:t>
      </w:r>
      <w:r w:rsidR="00AB0EED" w:rsidRPr="00266412">
        <w:rPr>
          <w:noProof/>
        </w:rPr>
        <w:t>detailed, broken</w:t>
      </w:r>
      <w:r w:rsidR="00381777">
        <w:rPr>
          <w:noProof/>
        </w:rPr>
        <w:t>-</w:t>
      </w:r>
      <w:r w:rsidR="00AB0EED" w:rsidRPr="00266412">
        <w:rPr>
          <w:noProof/>
        </w:rPr>
        <w:t>down</w:t>
      </w:r>
      <w:r w:rsidR="00362E4B" w:rsidRPr="00266412">
        <w:rPr>
          <w:noProof/>
        </w:rPr>
        <w:t xml:space="preserve"> quantitative information </w:t>
      </w:r>
      <w:r w:rsidR="00260BDE" w:rsidRPr="00266412">
        <w:rPr>
          <w:noProof/>
        </w:rPr>
        <w:t xml:space="preserve">about the </w:t>
      </w:r>
      <w:r w:rsidR="004D02EC" w:rsidRPr="00266412">
        <w:rPr>
          <w:noProof/>
        </w:rPr>
        <w:t xml:space="preserve">recurrent </w:t>
      </w:r>
      <w:r w:rsidR="00260BDE" w:rsidRPr="00266412">
        <w:rPr>
          <w:noProof/>
        </w:rPr>
        <w:t>cost</w:t>
      </w:r>
      <w:r w:rsidR="004D02EC" w:rsidRPr="00266412">
        <w:rPr>
          <w:noProof/>
        </w:rPr>
        <w:t>s</w:t>
      </w:r>
      <w:r w:rsidR="00260BDE" w:rsidRPr="00266412">
        <w:rPr>
          <w:noProof/>
        </w:rPr>
        <w:t xml:space="preserve"> </w:t>
      </w:r>
      <w:r w:rsidR="00FE7290" w:rsidRPr="00266412">
        <w:rPr>
          <w:noProof/>
        </w:rPr>
        <w:t>the</w:t>
      </w:r>
      <w:r w:rsidR="00657A30" w:rsidRPr="00266412">
        <w:rPr>
          <w:noProof/>
        </w:rPr>
        <w:t>se</w:t>
      </w:r>
      <w:r w:rsidR="00FE7290" w:rsidRPr="00266412">
        <w:rPr>
          <w:noProof/>
        </w:rPr>
        <w:t xml:space="preserve"> </w:t>
      </w:r>
      <w:r w:rsidR="00260BDE" w:rsidRPr="00266412">
        <w:rPr>
          <w:noProof/>
        </w:rPr>
        <w:t>rules impos</w:t>
      </w:r>
      <w:r w:rsidR="00AB0EED" w:rsidRPr="00266412">
        <w:rPr>
          <w:noProof/>
        </w:rPr>
        <w:t>e</w:t>
      </w:r>
      <w:r w:rsidR="00260BDE" w:rsidRPr="00266412">
        <w:rPr>
          <w:noProof/>
        </w:rPr>
        <w:t xml:space="preserve"> on tax administrations</w:t>
      </w:r>
      <w:r w:rsidR="00741F4B" w:rsidRPr="00266412">
        <w:rPr>
          <w:noProof/>
        </w:rPr>
        <w:t>.</w:t>
      </w:r>
      <w:r w:rsidR="00D1003C" w:rsidRPr="00266412">
        <w:rPr>
          <w:noProof/>
        </w:rPr>
        <w:t xml:space="preserve"> This is because </w:t>
      </w:r>
      <w:r w:rsidR="00F56774" w:rsidRPr="00266412">
        <w:rPr>
          <w:noProof/>
        </w:rPr>
        <w:t xml:space="preserve">tax administrations </w:t>
      </w:r>
      <w:r w:rsidR="00BC5C11" w:rsidRPr="00266412">
        <w:rPr>
          <w:noProof/>
        </w:rPr>
        <w:t xml:space="preserve">themselves </w:t>
      </w:r>
      <w:r w:rsidR="00F56774" w:rsidRPr="00266412">
        <w:rPr>
          <w:noProof/>
        </w:rPr>
        <w:t xml:space="preserve">cannot </w:t>
      </w:r>
      <w:r w:rsidR="00A96971" w:rsidRPr="00266412">
        <w:rPr>
          <w:noProof/>
        </w:rPr>
        <w:t xml:space="preserve">separate </w:t>
      </w:r>
      <w:r w:rsidR="00AB0EED" w:rsidRPr="00266412">
        <w:rPr>
          <w:noProof/>
        </w:rPr>
        <w:t xml:space="preserve">costs </w:t>
      </w:r>
      <w:r w:rsidR="000B6001" w:rsidRPr="00266412">
        <w:rPr>
          <w:noProof/>
        </w:rPr>
        <w:t>by provision or even Directive</w:t>
      </w:r>
      <w:r w:rsidR="003D7674" w:rsidRPr="00266412">
        <w:rPr>
          <w:noProof/>
        </w:rPr>
        <w:t xml:space="preserve">, given that </w:t>
      </w:r>
      <w:r w:rsidR="00BC5C11" w:rsidRPr="00266412">
        <w:rPr>
          <w:noProof/>
        </w:rPr>
        <w:t>these</w:t>
      </w:r>
      <w:r w:rsidR="003D7674" w:rsidRPr="00266412">
        <w:rPr>
          <w:noProof/>
        </w:rPr>
        <w:t xml:space="preserve"> </w:t>
      </w:r>
      <w:r w:rsidR="005D2D05" w:rsidRPr="00266412">
        <w:rPr>
          <w:noProof/>
        </w:rPr>
        <w:t xml:space="preserve">rules have </w:t>
      </w:r>
      <w:r w:rsidR="00204D23" w:rsidRPr="00266412">
        <w:rPr>
          <w:noProof/>
        </w:rPr>
        <w:t xml:space="preserve">been incorporated in national legislation and </w:t>
      </w:r>
      <w:r w:rsidR="00BE121B" w:rsidRPr="00266412">
        <w:rPr>
          <w:noProof/>
        </w:rPr>
        <w:t>are</w:t>
      </w:r>
      <w:r w:rsidR="008A7BB5" w:rsidRPr="00266412">
        <w:rPr>
          <w:noProof/>
        </w:rPr>
        <w:t xml:space="preserve"> not treated separately</w:t>
      </w:r>
      <w:r w:rsidR="00BC5C11" w:rsidRPr="00266412">
        <w:rPr>
          <w:noProof/>
        </w:rPr>
        <w:t xml:space="preserve"> </w:t>
      </w:r>
      <w:r w:rsidR="009D70F2" w:rsidRPr="00266412">
        <w:rPr>
          <w:noProof/>
        </w:rPr>
        <w:t xml:space="preserve">(from for overall CIT implementation and enforcement costs) </w:t>
      </w:r>
      <w:r w:rsidR="00BC5C11" w:rsidRPr="00266412">
        <w:rPr>
          <w:noProof/>
        </w:rPr>
        <w:t xml:space="preserve">by tax </w:t>
      </w:r>
      <w:r w:rsidR="009D70F2" w:rsidRPr="00266412">
        <w:rPr>
          <w:noProof/>
        </w:rPr>
        <w:t>inspectors</w:t>
      </w:r>
      <w:r w:rsidR="00BC5C11" w:rsidRPr="00266412">
        <w:rPr>
          <w:noProof/>
        </w:rPr>
        <w:t xml:space="preserve"> or administrators</w:t>
      </w:r>
      <w:r w:rsidR="00F61C16" w:rsidRPr="00266412">
        <w:rPr>
          <w:noProof/>
        </w:rPr>
        <w:t>.</w:t>
      </w:r>
      <w:r w:rsidR="00BE121B" w:rsidRPr="00266412">
        <w:rPr>
          <w:noProof/>
        </w:rPr>
        <w:t xml:space="preserve"> </w:t>
      </w:r>
    </w:p>
    <w:p w14:paraId="1E1755FA" w14:textId="03BA7768" w:rsidR="00741F4B" w:rsidRPr="005A3F47" w:rsidRDefault="00886295" w:rsidP="00741F4B">
      <w:pPr>
        <w:rPr>
          <w:noProof/>
        </w:rPr>
      </w:pPr>
      <w:r w:rsidRPr="00266412">
        <w:rPr>
          <w:noProof/>
        </w:rPr>
        <w:t>The study,</w:t>
      </w:r>
      <w:r w:rsidR="00260BDE" w:rsidRPr="00266412">
        <w:rPr>
          <w:noProof/>
        </w:rPr>
        <w:t xml:space="preserve"> however</w:t>
      </w:r>
      <w:r w:rsidRPr="00266412">
        <w:rPr>
          <w:noProof/>
        </w:rPr>
        <w:t>,</w:t>
      </w:r>
      <w:r w:rsidR="00741F4B" w:rsidRPr="00266412">
        <w:rPr>
          <w:noProof/>
        </w:rPr>
        <w:t xml:space="preserve"> found that ATAD related </w:t>
      </w:r>
      <w:r w:rsidR="00741F4B" w:rsidRPr="00266412">
        <w:rPr>
          <w:bCs/>
          <w:noProof/>
        </w:rPr>
        <w:t xml:space="preserve">costs appear proportionate to the number of corporations that </w:t>
      </w:r>
      <w:r w:rsidR="007E7BA2" w:rsidRPr="00266412">
        <w:rPr>
          <w:bCs/>
          <w:noProof/>
        </w:rPr>
        <w:t>must comply</w:t>
      </w:r>
      <w:r w:rsidR="00741F4B" w:rsidRPr="00266412">
        <w:rPr>
          <w:bCs/>
          <w:noProof/>
        </w:rPr>
        <w:t xml:space="preserve"> </w:t>
      </w:r>
      <w:r w:rsidR="00543A3E" w:rsidRPr="00266412">
        <w:rPr>
          <w:bCs/>
          <w:noProof/>
        </w:rPr>
        <w:t>with</w:t>
      </w:r>
      <w:r w:rsidR="00741F4B" w:rsidRPr="00266412">
        <w:rPr>
          <w:bCs/>
          <w:noProof/>
        </w:rPr>
        <w:t xml:space="preserve"> them</w:t>
      </w:r>
      <w:r w:rsidR="00741F4B" w:rsidRPr="00266412">
        <w:rPr>
          <w:noProof/>
        </w:rPr>
        <w:t xml:space="preserve">. </w:t>
      </w:r>
      <w:r w:rsidR="007B507C" w:rsidRPr="00266412">
        <w:rPr>
          <w:noProof/>
        </w:rPr>
        <w:t>Clarifying the application of the rules, or c</w:t>
      </w:r>
      <w:r w:rsidR="008435CF" w:rsidRPr="00266412">
        <w:rPr>
          <w:noProof/>
        </w:rPr>
        <w:t>arving ou</w:t>
      </w:r>
      <w:r w:rsidR="00F60930" w:rsidRPr="00266412">
        <w:rPr>
          <w:noProof/>
        </w:rPr>
        <w:t>t certain companies from specific rules</w:t>
      </w:r>
      <w:r w:rsidR="008960EB" w:rsidRPr="00266412">
        <w:rPr>
          <w:noProof/>
        </w:rPr>
        <w:t xml:space="preserve">, as </w:t>
      </w:r>
      <w:r w:rsidR="007B507C" w:rsidRPr="00266412">
        <w:rPr>
          <w:noProof/>
        </w:rPr>
        <w:t>some</w:t>
      </w:r>
      <w:r w:rsidR="008960EB" w:rsidRPr="00266412">
        <w:rPr>
          <w:noProof/>
        </w:rPr>
        <w:t xml:space="preserve"> omnibus</w:t>
      </w:r>
      <w:r w:rsidR="00941993" w:rsidRPr="00266412">
        <w:rPr>
          <w:noProof/>
        </w:rPr>
        <w:t xml:space="preserve"> measures</w:t>
      </w:r>
      <w:r w:rsidR="008960EB" w:rsidRPr="00266412">
        <w:rPr>
          <w:noProof/>
        </w:rPr>
        <w:t xml:space="preserve"> would seek to do, would imply</w:t>
      </w:r>
      <w:r w:rsidR="00D043C7" w:rsidRPr="00266412">
        <w:rPr>
          <w:noProof/>
        </w:rPr>
        <w:t xml:space="preserve"> that the cost for audits and controls </w:t>
      </w:r>
      <w:r w:rsidR="00941B32" w:rsidRPr="00266412">
        <w:rPr>
          <w:noProof/>
        </w:rPr>
        <w:t>could</w:t>
      </w:r>
      <w:r w:rsidR="000E5C60" w:rsidRPr="00266412">
        <w:rPr>
          <w:noProof/>
        </w:rPr>
        <w:t xml:space="preserve"> decline</w:t>
      </w:r>
      <w:r w:rsidR="006F5B85" w:rsidRPr="00266412">
        <w:rPr>
          <w:noProof/>
        </w:rPr>
        <w:t xml:space="preserve">. </w:t>
      </w:r>
      <w:r w:rsidR="003576F3" w:rsidRPr="00266412">
        <w:rPr>
          <w:noProof/>
        </w:rPr>
        <w:t xml:space="preserve">For example, the analysis </w:t>
      </w:r>
      <w:r w:rsidR="00EB4C16" w:rsidRPr="00266412">
        <w:rPr>
          <w:noProof/>
        </w:rPr>
        <w:t>of Section 6.2.4.4</w:t>
      </w:r>
      <w:r w:rsidR="003576F3" w:rsidRPr="00266412">
        <w:rPr>
          <w:noProof/>
        </w:rPr>
        <w:t xml:space="preserve"> </w:t>
      </w:r>
      <w:r w:rsidR="006D271A" w:rsidRPr="00266412">
        <w:rPr>
          <w:noProof/>
        </w:rPr>
        <w:t>estimates</w:t>
      </w:r>
      <w:r w:rsidR="003576F3" w:rsidRPr="00266412">
        <w:rPr>
          <w:noProof/>
        </w:rPr>
        <w:t xml:space="preserve"> that </w:t>
      </w:r>
      <w:r w:rsidR="006D271A" w:rsidRPr="00266412">
        <w:rPr>
          <w:noProof/>
        </w:rPr>
        <w:t>8.</w:t>
      </w:r>
      <w:r w:rsidR="003576F3" w:rsidRPr="00266412">
        <w:rPr>
          <w:noProof/>
        </w:rPr>
        <w:t xml:space="preserve">5% of MNE groups present in the EU </w:t>
      </w:r>
      <w:r w:rsidR="009C71EB" w:rsidRPr="00266412">
        <w:rPr>
          <w:noProof/>
        </w:rPr>
        <w:t xml:space="preserve">may </w:t>
      </w:r>
      <w:r w:rsidR="00253675" w:rsidRPr="00266412">
        <w:rPr>
          <w:noProof/>
        </w:rPr>
        <w:t xml:space="preserve">no longer have to deal with Interest Limitation Rules </w:t>
      </w:r>
      <w:r w:rsidR="00E77D19" w:rsidRPr="00266412">
        <w:rPr>
          <w:noProof/>
        </w:rPr>
        <w:t xml:space="preserve">as </w:t>
      </w:r>
      <w:r w:rsidR="0046580E" w:rsidRPr="00266412">
        <w:rPr>
          <w:noProof/>
        </w:rPr>
        <w:t>low-risk loans</w:t>
      </w:r>
      <w:r w:rsidR="00E77D19" w:rsidRPr="00266412">
        <w:rPr>
          <w:noProof/>
        </w:rPr>
        <w:t xml:space="preserve"> would be </w:t>
      </w:r>
      <w:r w:rsidR="009C71EB" w:rsidRPr="00266412">
        <w:rPr>
          <w:noProof/>
        </w:rPr>
        <w:t xml:space="preserve">carved out </w:t>
      </w:r>
      <w:r w:rsidR="00253675" w:rsidRPr="00266412">
        <w:rPr>
          <w:noProof/>
        </w:rPr>
        <w:t xml:space="preserve">from </w:t>
      </w:r>
      <w:r w:rsidR="0046580E" w:rsidRPr="00266412">
        <w:rPr>
          <w:noProof/>
        </w:rPr>
        <w:t xml:space="preserve">these rules. This alone </w:t>
      </w:r>
      <w:r w:rsidR="00B05A68" w:rsidRPr="00266412">
        <w:rPr>
          <w:noProof/>
        </w:rPr>
        <w:t>c</w:t>
      </w:r>
      <w:r w:rsidR="0046580E" w:rsidRPr="00266412">
        <w:rPr>
          <w:noProof/>
        </w:rPr>
        <w:t xml:space="preserve">ould affect </w:t>
      </w:r>
      <w:r w:rsidR="00FA294B" w:rsidRPr="00266412">
        <w:rPr>
          <w:noProof/>
        </w:rPr>
        <w:t>an estimated</w:t>
      </w:r>
      <w:r w:rsidR="00754302" w:rsidRPr="00266412">
        <w:rPr>
          <w:noProof/>
        </w:rPr>
        <w:t xml:space="preserve"> 13,000 </w:t>
      </w:r>
      <w:r w:rsidR="00C51AF7" w:rsidRPr="00266412">
        <w:rPr>
          <w:noProof/>
        </w:rPr>
        <w:t xml:space="preserve">– mostly </w:t>
      </w:r>
      <w:r w:rsidR="008714DC" w:rsidRPr="00266412">
        <w:rPr>
          <w:noProof/>
        </w:rPr>
        <w:t>complex</w:t>
      </w:r>
      <w:r w:rsidR="00C51AF7" w:rsidRPr="00266412">
        <w:rPr>
          <w:noProof/>
        </w:rPr>
        <w:t xml:space="preserve"> – MNE </w:t>
      </w:r>
      <w:r w:rsidR="004E65A0" w:rsidRPr="00266412">
        <w:rPr>
          <w:noProof/>
        </w:rPr>
        <w:t>groups</w:t>
      </w:r>
      <w:r w:rsidR="00C51AF7" w:rsidRPr="00266412">
        <w:rPr>
          <w:noProof/>
        </w:rPr>
        <w:t>.</w:t>
      </w:r>
      <w:r w:rsidR="004F71B5" w:rsidRPr="00266412">
        <w:rPr>
          <w:noProof/>
        </w:rPr>
        <w:t xml:space="preserve"> </w:t>
      </w:r>
      <w:r w:rsidR="006436C9" w:rsidRPr="00266412">
        <w:rPr>
          <w:noProof/>
        </w:rPr>
        <w:t>While C</w:t>
      </w:r>
      <w:r w:rsidR="004F71B5" w:rsidRPr="00266412">
        <w:rPr>
          <w:noProof/>
        </w:rPr>
        <w:t xml:space="preserve">arve-outs </w:t>
      </w:r>
      <w:r w:rsidR="006436C9" w:rsidRPr="00266412">
        <w:rPr>
          <w:noProof/>
        </w:rPr>
        <w:t xml:space="preserve">assessed under </w:t>
      </w:r>
      <w:r w:rsidR="006825AF" w:rsidRPr="00266412">
        <w:rPr>
          <w:noProof/>
        </w:rPr>
        <w:t>Section</w:t>
      </w:r>
      <w:r w:rsidR="006436C9" w:rsidRPr="00266412">
        <w:rPr>
          <w:noProof/>
        </w:rPr>
        <w:t>s</w:t>
      </w:r>
      <w:r w:rsidR="006825AF" w:rsidRPr="00266412">
        <w:rPr>
          <w:noProof/>
        </w:rPr>
        <w:t xml:space="preserve"> 6.2.4.1</w:t>
      </w:r>
      <w:r w:rsidR="006436C9" w:rsidRPr="00266412">
        <w:rPr>
          <w:noProof/>
        </w:rPr>
        <w:t>,</w:t>
      </w:r>
      <w:r w:rsidR="00476B85" w:rsidRPr="00266412">
        <w:rPr>
          <w:noProof/>
        </w:rPr>
        <w:t xml:space="preserve"> 6.2.2.2</w:t>
      </w:r>
      <w:r w:rsidR="006436C9" w:rsidRPr="00266412">
        <w:rPr>
          <w:noProof/>
        </w:rPr>
        <w:t xml:space="preserve"> or</w:t>
      </w:r>
      <w:r w:rsidR="00476B85" w:rsidRPr="00266412">
        <w:rPr>
          <w:noProof/>
        </w:rPr>
        <w:t xml:space="preserve"> 6.2.2.4</w:t>
      </w:r>
      <w:r w:rsidR="006436C9" w:rsidRPr="00266412">
        <w:rPr>
          <w:noProof/>
        </w:rPr>
        <w:t xml:space="preserve"> would also bring potential streamlining and </w:t>
      </w:r>
      <w:r w:rsidR="00B33255" w:rsidRPr="00266412">
        <w:rPr>
          <w:noProof/>
        </w:rPr>
        <w:t>lower</w:t>
      </w:r>
      <w:r w:rsidR="008D5A4C" w:rsidRPr="00266412">
        <w:rPr>
          <w:noProof/>
        </w:rPr>
        <w:t xml:space="preserve"> administrative burdens for tax authorities</w:t>
      </w:r>
      <w:r w:rsidR="0097247A" w:rsidRPr="00266412">
        <w:rPr>
          <w:noProof/>
        </w:rPr>
        <w:t xml:space="preserve">. </w:t>
      </w:r>
      <w:r w:rsidR="00791A9A" w:rsidRPr="00266412">
        <w:rPr>
          <w:noProof/>
        </w:rPr>
        <w:t xml:space="preserve">However, </w:t>
      </w:r>
      <w:r w:rsidR="00642085" w:rsidRPr="00266412">
        <w:rPr>
          <w:noProof/>
        </w:rPr>
        <w:t>given the data limitations described</w:t>
      </w:r>
      <w:r w:rsidR="00791A9A" w:rsidRPr="00266412">
        <w:rPr>
          <w:noProof/>
        </w:rPr>
        <w:t>, point estimates</w:t>
      </w:r>
      <w:r w:rsidR="00BB5758" w:rsidRPr="00266412">
        <w:rPr>
          <w:noProof/>
        </w:rPr>
        <w:t xml:space="preserve"> of </w:t>
      </w:r>
      <w:r w:rsidR="004C2684" w:rsidRPr="00266412">
        <w:rPr>
          <w:noProof/>
        </w:rPr>
        <w:t xml:space="preserve">potential cost </w:t>
      </w:r>
      <w:r w:rsidR="001C735E" w:rsidRPr="00266412">
        <w:rPr>
          <w:noProof/>
        </w:rPr>
        <w:t>savings for</w:t>
      </w:r>
      <w:r w:rsidR="00BB5758" w:rsidRPr="00266412">
        <w:rPr>
          <w:noProof/>
        </w:rPr>
        <w:t xml:space="preserve"> tax administrations cannot be provided</w:t>
      </w:r>
      <w:r w:rsidR="00086D86" w:rsidRPr="00266412">
        <w:rPr>
          <w:noProof/>
        </w:rPr>
        <w:t>.</w:t>
      </w:r>
      <w:r w:rsidR="004C2684" w:rsidRPr="005A3F47">
        <w:rPr>
          <w:noProof/>
        </w:rPr>
        <w:t xml:space="preserve"> </w:t>
      </w:r>
      <w:r w:rsidR="004C2684" w:rsidRPr="00266412">
        <w:rPr>
          <w:noProof/>
        </w:rPr>
        <w:t xml:space="preserve"> </w:t>
      </w:r>
      <w:r w:rsidR="007469E1" w:rsidRPr="00266412">
        <w:rPr>
          <w:noProof/>
        </w:rPr>
        <w:t xml:space="preserve">This contrasts with the ability to analyse </w:t>
      </w:r>
      <w:r w:rsidR="001103BC" w:rsidRPr="00266412">
        <w:rPr>
          <w:noProof/>
        </w:rPr>
        <w:t xml:space="preserve">the </w:t>
      </w:r>
      <w:r w:rsidR="004C2684" w:rsidRPr="00266412">
        <w:rPr>
          <w:noProof/>
        </w:rPr>
        <w:t xml:space="preserve">reduction in compliance costs for </w:t>
      </w:r>
      <w:r w:rsidR="004C2684" w:rsidRPr="00266412">
        <w:rPr>
          <w:i/>
          <w:noProof/>
        </w:rPr>
        <w:t>businesses</w:t>
      </w:r>
      <w:r w:rsidR="007469E1" w:rsidRPr="00266412">
        <w:rPr>
          <w:i/>
          <w:noProof/>
        </w:rPr>
        <w:t xml:space="preserve">, </w:t>
      </w:r>
      <w:r w:rsidR="007469E1" w:rsidRPr="00266412">
        <w:rPr>
          <w:iCs/>
          <w:noProof/>
        </w:rPr>
        <w:t>as these</w:t>
      </w:r>
      <w:r w:rsidR="004C2684" w:rsidRPr="00266412">
        <w:rPr>
          <w:noProof/>
        </w:rPr>
        <w:t xml:space="preserve"> can be estimated </w:t>
      </w:r>
      <w:r w:rsidR="001103BC" w:rsidRPr="00266412">
        <w:rPr>
          <w:noProof/>
        </w:rPr>
        <w:t xml:space="preserve">using </w:t>
      </w:r>
      <w:r w:rsidR="0041381C" w:rsidRPr="00266412">
        <w:rPr>
          <w:noProof/>
        </w:rPr>
        <w:t xml:space="preserve">publicly available </w:t>
      </w:r>
      <w:r w:rsidR="001103BC" w:rsidRPr="00266412">
        <w:rPr>
          <w:noProof/>
        </w:rPr>
        <w:t xml:space="preserve">company </w:t>
      </w:r>
      <w:r w:rsidR="00CB596A" w:rsidRPr="00266412">
        <w:rPr>
          <w:noProof/>
        </w:rPr>
        <w:t xml:space="preserve">level </w:t>
      </w:r>
      <w:r w:rsidR="0041381C" w:rsidRPr="00266412">
        <w:rPr>
          <w:noProof/>
        </w:rPr>
        <w:t>information</w:t>
      </w:r>
      <w:r w:rsidR="00CB596A" w:rsidRPr="00266412">
        <w:rPr>
          <w:noProof/>
        </w:rPr>
        <w:t xml:space="preserve"> and, not least, because </w:t>
      </w:r>
      <w:r w:rsidR="004C2684" w:rsidRPr="00266412">
        <w:rPr>
          <w:i/>
          <w:iCs/>
          <w:noProof/>
        </w:rPr>
        <w:t>Orbis</w:t>
      </w:r>
      <w:r w:rsidR="004C2684" w:rsidRPr="00266412">
        <w:rPr>
          <w:noProof/>
        </w:rPr>
        <w:t xml:space="preserve"> provides a</w:t>
      </w:r>
      <w:r w:rsidR="007469E1" w:rsidRPr="00266412">
        <w:rPr>
          <w:noProof/>
        </w:rPr>
        <w:t xml:space="preserve"> large database of detailed and</w:t>
      </w:r>
      <w:r w:rsidR="004C2684" w:rsidRPr="00266412">
        <w:rPr>
          <w:noProof/>
        </w:rPr>
        <w:t xml:space="preserve"> relevant accounting information at firm level.</w:t>
      </w:r>
    </w:p>
    <w:p w14:paraId="7816153A" w14:textId="77777777" w:rsidR="00BD5431" w:rsidRPr="005A3F47" w:rsidRDefault="00BD5431" w:rsidP="00DE6B6A">
      <w:pPr>
        <w:pStyle w:val="Heading2"/>
        <w:numPr>
          <w:ilvl w:val="1"/>
          <w:numId w:val="228"/>
        </w:numPr>
        <w:rPr>
          <w:noProof/>
        </w:rPr>
      </w:pPr>
      <w:r w:rsidRPr="005A3F47">
        <w:rPr>
          <w:noProof/>
        </w:rPr>
        <w:t xml:space="preserve">Environmental impacts </w:t>
      </w:r>
    </w:p>
    <w:p w14:paraId="4AB7E1BB" w14:textId="22E88CD6" w:rsidR="00BD5431" w:rsidRPr="005A3F47" w:rsidRDefault="00BD5431" w:rsidP="00BD5431">
      <w:pPr>
        <w:pStyle w:val="Text2"/>
        <w:ind w:left="0"/>
        <w:rPr>
          <w:noProof/>
        </w:rPr>
      </w:pPr>
      <w:r w:rsidRPr="005A3F47">
        <w:rPr>
          <w:noProof/>
        </w:rPr>
        <w:t xml:space="preserve">No particular and direct environmental impact is expected. The initiative is a horizontal simplification measure in the field of direct taxation, aimed at streamlining, clarifying and updating the existing corporate tax framework. Any environmental effects are therefore likely to be indirect and limited. To the extent that the simplifications free up resources, some businesses may choose to allocate part of those resources to more environmentally sustainable investments. However, such effects would be contingent on subsequent business decisions and cannot be robustly quantified or directly attributed to the initiative. </w:t>
      </w:r>
    </w:p>
    <w:p w14:paraId="4EF5E1F0" w14:textId="7EFA350C" w:rsidR="00833370" w:rsidRPr="005A3F47" w:rsidRDefault="00235E5E" w:rsidP="00DE6B6A">
      <w:pPr>
        <w:pStyle w:val="Heading2"/>
        <w:numPr>
          <w:ilvl w:val="1"/>
          <w:numId w:val="228"/>
        </w:numPr>
        <w:rPr>
          <w:noProof/>
        </w:rPr>
      </w:pPr>
      <w:bookmarkStart w:id="194" w:name="_Toc226466836"/>
      <w:bookmarkStart w:id="195" w:name="_Toc226467197"/>
      <w:bookmarkStart w:id="196" w:name="_Toc226467297"/>
      <w:bookmarkStart w:id="197" w:name="_Toc226467516"/>
      <w:r w:rsidRPr="005A3F47">
        <w:rPr>
          <w:noProof/>
        </w:rPr>
        <w:t xml:space="preserve"> </w:t>
      </w:r>
      <w:r w:rsidR="00833370" w:rsidRPr="005A3F47">
        <w:rPr>
          <w:noProof/>
        </w:rPr>
        <w:t>Social impacts</w:t>
      </w:r>
      <w:bookmarkEnd w:id="194"/>
      <w:bookmarkEnd w:id="195"/>
      <w:bookmarkEnd w:id="196"/>
      <w:bookmarkEnd w:id="197"/>
      <w:r w:rsidR="00833370" w:rsidRPr="005A3F47">
        <w:rPr>
          <w:noProof/>
        </w:rPr>
        <w:t xml:space="preserve"> </w:t>
      </w:r>
    </w:p>
    <w:p w14:paraId="3250ED85" w14:textId="6C4E943A" w:rsidR="00EA1A86" w:rsidRPr="005A3F47" w:rsidRDefault="00CB4508" w:rsidP="00D025BF">
      <w:pPr>
        <w:pStyle w:val="Text2"/>
        <w:ind w:left="0"/>
        <w:rPr>
          <w:noProof/>
        </w:rPr>
      </w:pPr>
      <w:r w:rsidRPr="005A3F47">
        <w:rPr>
          <w:noProof/>
        </w:rPr>
        <w:t xml:space="preserve">Regarding employment and social impacts, </w:t>
      </w:r>
      <w:r w:rsidR="004464EF" w:rsidRPr="005A3F47">
        <w:rPr>
          <w:noProof/>
        </w:rPr>
        <w:t xml:space="preserve">the policy options are not expected to produce any material direct social impacts, as it does not concern any labour, social or other directly related rights. Yet, </w:t>
      </w:r>
      <w:r w:rsidR="00AC6831" w:rsidRPr="005A3F47">
        <w:rPr>
          <w:noProof/>
        </w:rPr>
        <w:t>the</w:t>
      </w:r>
      <w:r w:rsidRPr="005A3F47">
        <w:rPr>
          <w:noProof/>
        </w:rPr>
        <w:t xml:space="preserve"> tax compliance cost</w:t>
      </w:r>
      <w:r w:rsidR="00AC6831" w:rsidRPr="005A3F47">
        <w:rPr>
          <w:noProof/>
        </w:rPr>
        <w:t xml:space="preserve"> savings</w:t>
      </w:r>
      <w:r w:rsidRPr="005A3F47">
        <w:rPr>
          <w:noProof/>
        </w:rPr>
        <w:t xml:space="preserve"> could be used in productive activities</w:t>
      </w:r>
      <w:r w:rsidR="00AC6831" w:rsidRPr="005A3F47">
        <w:rPr>
          <w:noProof/>
        </w:rPr>
        <w:t>. For instance</w:t>
      </w:r>
      <w:r w:rsidR="004464EF" w:rsidRPr="005A3F47">
        <w:rPr>
          <w:noProof/>
        </w:rPr>
        <w:t xml:space="preserve">, </w:t>
      </w:r>
      <w:r w:rsidR="006562DF" w:rsidRPr="005A3F47">
        <w:rPr>
          <w:noProof/>
        </w:rPr>
        <w:t>businesses</w:t>
      </w:r>
      <w:r w:rsidRPr="005A3F47">
        <w:rPr>
          <w:noProof/>
        </w:rPr>
        <w:t xml:space="preserve"> could hir</w:t>
      </w:r>
      <w:r w:rsidR="00AC6831" w:rsidRPr="005A3F47">
        <w:rPr>
          <w:noProof/>
        </w:rPr>
        <w:t>e</w:t>
      </w:r>
      <w:r w:rsidRPr="005A3F47">
        <w:rPr>
          <w:noProof/>
        </w:rPr>
        <w:t xml:space="preserve"> </w:t>
      </w:r>
      <w:r w:rsidR="00AC6831" w:rsidRPr="005A3F47">
        <w:rPr>
          <w:noProof/>
        </w:rPr>
        <w:t>or train</w:t>
      </w:r>
      <w:r w:rsidRPr="005A3F47">
        <w:rPr>
          <w:noProof/>
        </w:rPr>
        <w:t xml:space="preserve"> </w:t>
      </w:r>
      <w:r w:rsidR="00D32C6F" w:rsidRPr="005A3F47">
        <w:rPr>
          <w:noProof/>
        </w:rPr>
        <w:t>staff</w:t>
      </w:r>
      <w:r w:rsidRPr="005A3F47">
        <w:rPr>
          <w:noProof/>
        </w:rPr>
        <w:t xml:space="preserve"> </w:t>
      </w:r>
      <w:r w:rsidR="00AC6831" w:rsidRPr="005A3F47">
        <w:rPr>
          <w:noProof/>
        </w:rPr>
        <w:t>or</w:t>
      </w:r>
      <w:r w:rsidRPr="005A3F47">
        <w:rPr>
          <w:noProof/>
        </w:rPr>
        <w:t xml:space="preserve"> </w:t>
      </w:r>
      <w:r w:rsidR="00AC6831" w:rsidRPr="005A3F47">
        <w:rPr>
          <w:noProof/>
        </w:rPr>
        <w:t>increase</w:t>
      </w:r>
      <w:r w:rsidRPr="005A3F47">
        <w:rPr>
          <w:noProof/>
        </w:rPr>
        <w:t xml:space="preserve"> </w:t>
      </w:r>
      <w:r w:rsidR="00AC6831" w:rsidRPr="005A3F47">
        <w:rPr>
          <w:noProof/>
        </w:rPr>
        <w:t>salaries</w:t>
      </w:r>
      <w:r w:rsidRPr="005A3F47">
        <w:rPr>
          <w:noProof/>
        </w:rPr>
        <w:t xml:space="preserve">. In </w:t>
      </w:r>
      <w:r w:rsidR="00636BF2" w:rsidRPr="005A3F47">
        <w:rPr>
          <w:noProof/>
        </w:rPr>
        <w:t>such</w:t>
      </w:r>
      <w:r w:rsidRPr="005A3F47">
        <w:rPr>
          <w:noProof/>
        </w:rPr>
        <w:t xml:space="preserve"> cases, </w:t>
      </w:r>
      <w:r w:rsidR="00CD058E" w:rsidRPr="005A3F47">
        <w:rPr>
          <w:noProof/>
        </w:rPr>
        <w:t>the impact</w:t>
      </w:r>
      <w:r w:rsidRPr="005A3F47">
        <w:rPr>
          <w:noProof/>
        </w:rPr>
        <w:t xml:space="preserve"> </w:t>
      </w:r>
      <w:r w:rsidR="00CD058E" w:rsidRPr="005A3F47">
        <w:rPr>
          <w:noProof/>
        </w:rPr>
        <w:t>could be positive</w:t>
      </w:r>
      <w:r w:rsidRPr="005A3F47">
        <w:rPr>
          <w:noProof/>
        </w:rPr>
        <w:t xml:space="preserve">. </w:t>
      </w:r>
      <w:r w:rsidR="003E47DB" w:rsidRPr="005A3F47">
        <w:rPr>
          <w:noProof/>
        </w:rPr>
        <w:t xml:space="preserve">Nonetheless, the </w:t>
      </w:r>
      <w:r w:rsidR="00AC6831" w:rsidRPr="005A3F47">
        <w:rPr>
          <w:noProof/>
        </w:rPr>
        <w:t>freed-up</w:t>
      </w:r>
      <w:r w:rsidRPr="005A3F47">
        <w:rPr>
          <w:noProof/>
        </w:rPr>
        <w:t xml:space="preserve"> </w:t>
      </w:r>
      <w:r w:rsidR="00AC6831" w:rsidRPr="005A3F47">
        <w:rPr>
          <w:noProof/>
        </w:rPr>
        <w:t>funding</w:t>
      </w:r>
      <w:r w:rsidR="003E47DB" w:rsidRPr="005A3F47">
        <w:rPr>
          <w:noProof/>
        </w:rPr>
        <w:t xml:space="preserve"> </w:t>
      </w:r>
      <w:r w:rsidRPr="005A3F47">
        <w:rPr>
          <w:noProof/>
        </w:rPr>
        <w:t xml:space="preserve">could also be </w:t>
      </w:r>
      <w:r w:rsidR="003E47DB" w:rsidRPr="005A3F47">
        <w:rPr>
          <w:noProof/>
        </w:rPr>
        <w:t xml:space="preserve">used for other business purposes or </w:t>
      </w:r>
      <w:r w:rsidRPr="005A3F47">
        <w:rPr>
          <w:noProof/>
        </w:rPr>
        <w:t xml:space="preserve">distributed </w:t>
      </w:r>
      <w:r w:rsidR="00AC6831" w:rsidRPr="005A3F47">
        <w:rPr>
          <w:noProof/>
        </w:rPr>
        <w:t>to</w:t>
      </w:r>
      <w:r w:rsidRPr="005A3F47">
        <w:rPr>
          <w:noProof/>
        </w:rPr>
        <w:t xml:space="preserve"> shareholders. </w:t>
      </w:r>
      <w:r w:rsidR="002023FE" w:rsidRPr="005A3F47">
        <w:rPr>
          <w:noProof/>
        </w:rPr>
        <w:t xml:space="preserve">Accordingly, </w:t>
      </w:r>
      <w:r w:rsidR="1B5CC6B4" w:rsidRPr="005A3F47">
        <w:rPr>
          <w:noProof/>
        </w:rPr>
        <w:t>business</w:t>
      </w:r>
      <w:r w:rsidR="002023FE" w:rsidRPr="005A3F47">
        <w:rPr>
          <w:noProof/>
        </w:rPr>
        <w:t>-level decisions will determine t</w:t>
      </w:r>
      <w:r w:rsidR="00FE5E33" w:rsidRPr="005A3F47">
        <w:rPr>
          <w:noProof/>
        </w:rPr>
        <w:t>o</w:t>
      </w:r>
      <w:r w:rsidR="003A3553" w:rsidRPr="005A3F47">
        <w:rPr>
          <w:noProof/>
        </w:rPr>
        <w:t xml:space="preserve"> what extent</w:t>
      </w:r>
      <w:r w:rsidR="00FE5E33" w:rsidRPr="005A3F47">
        <w:rPr>
          <w:noProof/>
        </w:rPr>
        <w:t xml:space="preserve"> </w:t>
      </w:r>
      <w:r w:rsidR="003A3553" w:rsidRPr="005A3F47">
        <w:rPr>
          <w:noProof/>
        </w:rPr>
        <w:t>such effects materialise</w:t>
      </w:r>
      <w:r w:rsidR="002023FE" w:rsidRPr="005A3F47">
        <w:rPr>
          <w:noProof/>
        </w:rPr>
        <w:t>.</w:t>
      </w:r>
    </w:p>
    <w:p w14:paraId="195F2DED" w14:textId="38C0BBEF" w:rsidR="00AF4E88" w:rsidRPr="005A3F47" w:rsidRDefault="009A0E28" w:rsidP="00DE6B6A">
      <w:pPr>
        <w:pStyle w:val="Heading2"/>
        <w:numPr>
          <w:ilvl w:val="1"/>
          <w:numId w:val="228"/>
        </w:numPr>
        <w:rPr>
          <w:noProof/>
        </w:rPr>
      </w:pPr>
      <w:bookmarkStart w:id="198" w:name="_Toc226466837"/>
      <w:bookmarkStart w:id="199" w:name="_Toc226467198"/>
      <w:bookmarkStart w:id="200" w:name="_Toc226467298"/>
      <w:bookmarkStart w:id="201" w:name="_Toc226467517"/>
      <w:r w:rsidRPr="005A3F47">
        <w:rPr>
          <w:noProof/>
        </w:rPr>
        <w:t xml:space="preserve"> </w:t>
      </w:r>
      <w:r w:rsidR="00AC2588" w:rsidRPr="005A3F47">
        <w:rPr>
          <w:noProof/>
        </w:rPr>
        <w:t>I</w:t>
      </w:r>
      <w:r w:rsidR="00AF4E88" w:rsidRPr="005A3F47">
        <w:rPr>
          <w:noProof/>
        </w:rPr>
        <w:t>mpact</w:t>
      </w:r>
      <w:r w:rsidR="00AC2588" w:rsidRPr="005A3F47">
        <w:rPr>
          <w:noProof/>
        </w:rPr>
        <w:t xml:space="preserve"> on fundamental rights</w:t>
      </w:r>
      <w:bookmarkEnd w:id="198"/>
      <w:bookmarkEnd w:id="199"/>
      <w:bookmarkEnd w:id="200"/>
      <w:bookmarkEnd w:id="201"/>
      <w:r w:rsidR="00AF4E88" w:rsidRPr="005A3F47">
        <w:rPr>
          <w:noProof/>
        </w:rPr>
        <w:t xml:space="preserve"> </w:t>
      </w:r>
    </w:p>
    <w:p w14:paraId="4D651971" w14:textId="0E18B8FC" w:rsidR="00B31025" w:rsidRPr="005A3F47" w:rsidRDefault="00287935" w:rsidP="001F35DD">
      <w:pPr>
        <w:pStyle w:val="Text2"/>
        <w:ind w:left="0"/>
        <w:rPr>
          <w:noProof/>
        </w:rPr>
      </w:pPr>
      <w:r w:rsidRPr="005A3F47">
        <w:rPr>
          <w:noProof/>
        </w:rPr>
        <w:t xml:space="preserve">The initiative </w:t>
      </w:r>
      <w:r w:rsidR="00C17973" w:rsidRPr="005A3F47">
        <w:rPr>
          <w:noProof/>
        </w:rPr>
        <w:t>was also examined as regards its potential</w:t>
      </w:r>
      <w:r w:rsidRPr="005A3F47">
        <w:rPr>
          <w:noProof/>
        </w:rPr>
        <w:t xml:space="preserve"> impact</w:t>
      </w:r>
      <w:r w:rsidR="00C17973" w:rsidRPr="005A3F47">
        <w:rPr>
          <w:noProof/>
        </w:rPr>
        <w:t xml:space="preserve"> on</w:t>
      </w:r>
      <w:r w:rsidRPr="005A3F47">
        <w:rPr>
          <w:noProof/>
        </w:rPr>
        <w:t xml:space="preserve"> fundamental rights</w:t>
      </w:r>
      <w:r w:rsidR="000E7D06" w:rsidRPr="005A3F47">
        <w:rPr>
          <w:noProof/>
        </w:rPr>
        <w:t>, in particular the Charter of Fundamental Rights of the EU</w:t>
      </w:r>
      <w:r w:rsidRPr="005A3F47">
        <w:rPr>
          <w:noProof/>
        </w:rPr>
        <w:t>.</w:t>
      </w:r>
      <w:r w:rsidR="00B31025" w:rsidRPr="005A3F47">
        <w:rPr>
          <w:noProof/>
        </w:rPr>
        <w:t xml:space="preserve"> No significant impact is expected.</w:t>
      </w:r>
      <w:r w:rsidRPr="005A3F47">
        <w:rPr>
          <w:noProof/>
        </w:rPr>
        <w:t xml:space="preserve"> </w:t>
      </w:r>
      <w:r w:rsidR="003355A2" w:rsidRPr="005A3F47">
        <w:rPr>
          <w:noProof/>
        </w:rPr>
        <w:t>By</w:t>
      </w:r>
      <w:r w:rsidR="001E2D97" w:rsidRPr="005A3F47">
        <w:rPr>
          <w:noProof/>
        </w:rPr>
        <w:t xml:space="preserve"> reducing fragmentation</w:t>
      </w:r>
      <w:r w:rsidR="003355A2" w:rsidRPr="005A3F47">
        <w:rPr>
          <w:noProof/>
        </w:rPr>
        <w:t xml:space="preserve"> and unnecessary compliance requirements</w:t>
      </w:r>
      <w:r w:rsidR="001E2D97" w:rsidRPr="005A3F47">
        <w:rPr>
          <w:noProof/>
        </w:rPr>
        <w:t>, improving predictability and facilitating cross-border business activity within the internal market, it may have a limited positive bearing on the freedom to conduct a business and the effective exercise of the right of establishment</w:t>
      </w:r>
      <w:r w:rsidR="001862DD" w:rsidRPr="005A3F47">
        <w:rPr>
          <w:noProof/>
        </w:rPr>
        <w:t xml:space="preserve">. </w:t>
      </w:r>
      <w:r w:rsidR="00613A22" w:rsidRPr="005A3F47">
        <w:rPr>
          <w:noProof/>
        </w:rPr>
        <w:t>Such potential impacts cannot be interpreted as meaning that</w:t>
      </w:r>
      <w:r w:rsidRPr="005A3F47">
        <w:rPr>
          <w:noProof/>
        </w:rPr>
        <w:t xml:space="preserve"> the problems outlined in Chapter </w:t>
      </w:r>
      <w:r w:rsidR="009A0E28" w:rsidRPr="005A3F47">
        <w:rPr>
          <w:noProof/>
        </w:rPr>
        <w:fldChar w:fldCharType="begin"/>
      </w:r>
      <w:r w:rsidR="009A0E28" w:rsidRPr="005A3F47">
        <w:rPr>
          <w:noProof/>
        </w:rPr>
        <w:instrText xml:space="preserve"> REF _Ref226473911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2</w:t>
      </w:r>
      <w:r w:rsidR="009A0E28" w:rsidRPr="005A3F47">
        <w:rPr>
          <w:noProof/>
        </w:rPr>
        <w:fldChar w:fldCharType="end"/>
      </w:r>
      <w:r w:rsidRPr="005A3F47">
        <w:rPr>
          <w:noProof/>
        </w:rPr>
        <w:t xml:space="preserve"> lead to any discrimination or unjustified restrictions</w:t>
      </w:r>
      <w:r w:rsidR="001F35DD" w:rsidRPr="005A3F47">
        <w:rPr>
          <w:noProof/>
        </w:rPr>
        <w:t>.</w:t>
      </w:r>
      <w:r w:rsidR="000E7D06" w:rsidRPr="005A3F47">
        <w:rPr>
          <w:noProof/>
        </w:rPr>
        <w:t xml:space="preserve"> </w:t>
      </w:r>
    </w:p>
    <w:p w14:paraId="122D8EE0" w14:textId="1C60ECB2" w:rsidR="0017395F" w:rsidRPr="005A3F47" w:rsidRDefault="000E7D06" w:rsidP="001F35DD">
      <w:pPr>
        <w:pStyle w:val="Text2"/>
        <w:ind w:left="0"/>
        <w:rPr>
          <w:noProof/>
        </w:rPr>
      </w:pPr>
      <w:r w:rsidRPr="005A3F47">
        <w:rPr>
          <w:noProof/>
        </w:rPr>
        <w:t>Finally, where the implementation of the initiative entails the processing of personal data, such processing would have to comply fully with the applicable Union framework on data protection. The initiative is therefore considered to be compatible with the Charter.</w:t>
      </w:r>
    </w:p>
    <w:p w14:paraId="7B5A56A6" w14:textId="77777777" w:rsidR="009D47F7" w:rsidRPr="005A3F47" w:rsidRDefault="009D47F7" w:rsidP="001F35DD">
      <w:pPr>
        <w:pStyle w:val="Text2"/>
        <w:ind w:left="0"/>
        <w:rPr>
          <w:noProof/>
        </w:rPr>
      </w:pPr>
    </w:p>
    <w:p w14:paraId="661A7421" w14:textId="0D51D50A" w:rsidR="008971B2" w:rsidRPr="005A3F47" w:rsidRDefault="004B6F92" w:rsidP="00283E25">
      <w:pPr>
        <w:pStyle w:val="Heading1"/>
        <w:rPr>
          <w:noProof/>
        </w:rPr>
      </w:pPr>
      <w:bookmarkStart w:id="202" w:name="_Toc225343197"/>
      <w:bookmarkStart w:id="203" w:name="_Ref226463388"/>
      <w:bookmarkStart w:id="204" w:name="_Ref226464130"/>
      <w:bookmarkStart w:id="205" w:name="_Toc226466603"/>
      <w:bookmarkStart w:id="206" w:name="_Toc226466838"/>
      <w:bookmarkStart w:id="207" w:name="_Toc226467199"/>
      <w:bookmarkStart w:id="208" w:name="_Toc226467299"/>
      <w:bookmarkStart w:id="209" w:name="_Toc226467518"/>
      <w:bookmarkStart w:id="210" w:name="_Toc230258047"/>
      <w:r w:rsidRPr="005A3F47">
        <w:rPr>
          <w:noProof/>
        </w:rPr>
        <w:t xml:space="preserve">7.  </w:t>
      </w:r>
      <w:r w:rsidR="008971B2" w:rsidRPr="005A3F47">
        <w:rPr>
          <w:noProof/>
        </w:rPr>
        <w:t>How do the options compare?</w:t>
      </w:r>
      <w:bookmarkEnd w:id="202"/>
      <w:bookmarkEnd w:id="203"/>
      <w:bookmarkEnd w:id="204"/>
      <w:bookmarkEnd w:id="205"/>
      <w:bookmarkEnd w:id="206"/>
      <w:bookmarkEnd w:id="207"/>
      <w:bookmarkEnd w:id="208"/>
      <w:bookmarkEnd w:id="209"/>
      <w:bookmarkEnd w:id="210"/>
    </w:p>
    <w:p w14:paraId="66955151" w14:textId="09980D65" w:rsidR="00C446BA" w:rsidRPr="005A3F47" w:rsidRDefault="00CD7C53" w:rsidP="00CD7C53">
      <w:pPr>
        <w:pStyle w:val="Text1"/>
        <w:ind w:left="0"/>
        <w:rPr>
          <w:noProof/>
        </w:rPr>
      </w:pPr>
      <w:r w:rsidRPr="005A3F47">
        <w:rPr>
          <w:noProof/>
        </w:rPr>
        <w:t xml:space="preserve">The initiative has two general objectives: </w:t>
      </w:r>
      <w:r w:rsidR="009B14C7" w:rsidRPr="005A3F47">
        <w:rPr>
          <w:noProof/>
        </w:rPr>
        <w:t>to simplify EU tax rules in order to boost EU competitiveness, while maintaining high tax standards in the EU</w:t>
      </w:r>
      <w:r w:rsidRPr="005A3F47">
        <w:rPr>
          <w:noProof/>
        </w:rPr>
        <w:t xml:space="preserve"> (Chapter </w:t>
      </w:r>
      <w:r w:rsidR="009A0E28" w:rsidRPr="005A3F47">
        <w:rPr>
          <w:noProof/>
        </w:rPr>
        <w:fldChar w:fldCharType="begin"/>
      </w:r>
      <w:r w:rsidR="009A0E28" w:rsidRPr="005A3F47">
        <w:rPr>
          <w:noProof/>
        </w:rPr>
        <w:instrText xml:space="preserve"> REF _Ref226464278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4</w:t>
      </w:r>
      <w:r w:rsidR="009A0E28" w:rsidRPr="005A3F47">
        <w:rPr>
          <w:noProof/>
        </w:rPr>
        <w:fldChar w:fldCharType="end"/>
      </w:r>
      <w:r w:rsidRPr="005A3F47">
        <w:rPr>
          <w:noProof/>
        </w:rPr>
        <w:t xml:space="preserve">). These are to be achieved through four specific objectives: </w:t>
      </w:r>
      <w:r w:rsidR="000F1CA2" w:rsidRPr="005A3F47">
        <w:rPr>
          <w:noProof/>
        </w:rPr>
        <w:t xml:space="preserve">eliminating </w:t>
      </w:r>
      <w:r w:rsidR="004370F2" w:rsidRPr="005A3F47">
        <w:rPr>
          <w:noProof/>
        </w:rPr>
        <w:t>disproportionate</w:t>
      </w:r>
      <w:r w:rsidR="000F1CA2" w:rsidRPr="005A3F47">
        <w:rPr>
          <w:noProof/>
        </w:rPr>
        <w:t xml:space="preserve"> EU tax compliance burdens, introducing clear and predictable </w:t>
      </w:r>
      <w:r w:rsidR="007E43C9" w:rsidRPr="005A3F47">
        <w:rPr>
          <w:noProof/>
        </w:rPr>
        <w:t xml:space="preserve">EU tax </w:t>
      </w:r>
      <w:r w:rsidR="00085822" w:rsidRPr="005A3F47">
        <w:rPr>
          <w:noProof/>
        </w:rPr>
        <w:t>rules and terms</w:t>
      </w:r>
      <w:r w:rsidR="007E43C9" w:rsidRPr="005A3F47">
        <w:rPr>
          <w:noProof/>
        </w:rPr>
        <w:t xml:space="preserve">, </w:t>
      </w:r>
      <w:r w:rsidR="00114D61" w:rsidRPr="005A3F47">
        <w:rPr>
          <w:noProof/>
        </w:rPr>
        <w:t>improving consistency in the application of EU tax directives​</w:t>
      </w:r>
      <w:r w:rsidR="007E43C9" w:rsidRPr="005A3F47">
        <w:rPr>
          <w:noProof/>
        </w:rPr>
        <w:t xml:space="preserve">, </w:t>
      </w:r>
      <w:r w:rsidR="001C632E" w:rsidRPr="005A3F47">
        <w:rPr>
          <w:noProof/>
        </w:rPr>
        <w:t xml:space="preserve">reducing remaining tax obstacles to cross-border investment and commercial activity​ </w:t>
      </w:r>
      <w:r w:rsidRPr="005A3F47">
        <w:rPr>
          <w:noProof/>
        </w:rPr>
        <w:t xml:space="preserve">(Chapter </w:t>
      </w:r>
      <w:r w:rsidR="009A0E28" w:rsidRPr="005A3F47">
        <w:rPr>
          <w:noProof/>
        </w:rPr>
        <w:fldChar w:fldCharType="begin"/>
      </w:r>
      <w:r w:rsidR="009A0E28" w:rsidRPr="005A3F47">
        <w:rPr>
          <w:noProof/>
        </w:rPr>
        <w:instrText xml:space="preserve"> REF _Ref226464278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4</w:t>
      </w:r>
      <w:r w:rsidR="009A0E28" w:rsidRPr="005A3F47">
        <w:rPr>
          <w:noProof/>
        </w:rPr>
        <w:fldChar w:fldCharType="end"/>
      </w:r>
      <w:r w:rsidRPr="005A3F47">
        <w:rPr>
          <w:noProof/>
        </w:rPr>
        <w:t xml:space="preserve">). </w:t>
      </w:r>
    </w:p>
    <w:p w14:paraId="6B56FA6E" w14:textId="0C28C238" w:rsidR="00636080" w:rsidRPr="005A3F47" w:rsidRDefault="00722344" w:rsidP="00CD7C53">
      <w:pPr>
        <w:pStyle w:val="Text1"/>
        <w:ind w:left="0"/>
        <w:rPr>
          <w:noProof/>
        </w:rPr>
      </w:pPr>
      <w:r w:rsidRPr="005A3F47">
        <w:rPr>
          <w:noProof/>
        </w:rPr>
        <w:t xml:space="preserve">To </w:t>
      </w:r>
      <w:r w:rsidR="00BE46BB" w:rsidRPr="005A3F47">
        <w:rPr>
          <w:noProof/>
        </w:rPr>
        <w:t>achieve these objectives</w:t>
      </w:r>
      <w:r w:rsidRPr="005A3F47">
        <w:rPr>
          <w:noProof/>
        </w:rPr>
        <w:t xml:space="preserve">, </w:t>
      </w:r>
      <w:r w:rsidR="00BE46BB" w:rsidRPr="005A3F47">
        <w:rPr>
          <w:noProof/>
        </w:rPr>
        <w:t>the Omnibus</w:t>
      </w:r>
      <w:r w:rsidRPr="005A3F47">
        <w:rPr>
          <w:noProof/>
        </w:rPr>
        <w:t xml:space="preserve"> </w:t>
      </w:r>
      <w:r w:rsidR="24D07F7A" w:rsidRPr="005A3F47">
        <w:rPr>
          <w:noProof/>
        </w:rPr>
        <w:t>on Taxation</w:t>
      </w:r>
      <w:r w:rsidRPr="005A3F47">
        <w:rPr>
          <w:noProof/>
        </w:rPr>
        <w:t xml:space="preserve"> </w:t>
      </w:r>
      <w:r w:rsidR="1FE342AA" w:rsidRPr="005A3F47">
        <w:rPr>
          <w:noProof/>
        </w:rPr>
        <w:t xml:space="preserve">will </w:t>
      </w:r>
      <w:r w:rsidR="00995ECB" w:rsidRPr="005A3F47">
        <w:rPr>
          <w:noProof/>
        </w:rPr>
        <w:t>amend up to</w:t>
      </w:r>
      <w:r w:rsidR="00F1720F" w:rsidRPr="005A3F47">
        <w:rPr>
          <w:noProof/>
        </w:rPr>
        <w:t xml:space="preserve"> </w:t>
      </w:r>
      <w:r w:rsidR="63533184" w:rsidRPr="005A3F47">
        <w:rPr>
          <w:noProof/>
        </w:rPr>
        <w:t>seven D</w:t>
      </w:r>
      <w:r w:rsidR="00F1720F" w:rsidRPr="005A3F47">
        <w:rPr>
          <w:noProof/>
        </w:rPr>
        <w:t>irectives</w:t>
      </w:r>
      <w:r w:rsidR="002A257C" w:rsidRPr="005A3F47">
        <w:rPr>
          <w:noProof/>
        </w:rPr>
        <w:t xml:space="preserve"> through a wide array of policy options</w:t>
      </w:r>
      <w:r w:rsidR="00BE46BB" w:rsidRPr="005A3F47">
        <w:rPr>
          <w:noProof/>
        </w:rPr>
        <w:t xml:space="preserve">. </w:t>
      </w:r>
      <w:r w:rsidR="00D0754F" w:rsidRPr="005A3F47">
        <w:rPr>
          <w:noProof/>
        </w:rPr>
        <w:t xml:space="preserve">Due to the large number of </w:t>
      </w:r>
      <w:r w:rsidR="00BE46BB" w:rsidRPr="005A3F47">
        <w:rPr>
          <w:noProof/>
        </w:rPr>
        <w:t>measures</w:t>
      </w:r>
      <w:r w:rsidR="00D0754F" w:rsidRPr="005A3F47">
        <w:rPr>
          <w:noProof/>
        </w:rPr>
        <w:t xml:space="preserve"> under consideration, and as not every single option can be assessed individually, </w:t>
      </w:r>
      <w:r w:rsidR="003E5F43" w:rsidRPr="005A3F47">
        <w:rPr>
          <w:noProof/>
        </w:rPr>
        <w:t>it is necessary to</w:t>
      </w:r>
      <w:r w:rsidR="00D0754F" w:rsidRPr="005A3F47">
        <w:rPr>
          <w:noProof/>
        </w:rPr>
        <w:t xml:space="preserve"> assess different combinations. This allows a comparison between, on one hand, the different policy options for the main interventions of this initiative (i.e. in relation to the taxation of cross-border payments and the taxation of controlled foreign companies), and, on the other hand, the remaining policy options as opposed to retaining the status quo. </w:t>
      </w:r>
    </w:p>
    <w:p w14:paraId="507E1CB4" w14:textId="69ECFDA0" w:rsidR="001473E5" w:rsidRPr="005A3F47" w:rsidRDefault="003F0659" w:rsidP="007010BC">
      <w:pPr>
        <w:pStyle w:val="Text1"/>
        <w:ind w:left="0"/>
        <w:rPr>
          <w:bCs/>
          <w:noProof/>
        </w:rPr>
      </w:pPr>
      <w:r w:rsidRPr="005A3F47">
        <w:rPr>
          <w:noProof/>
        </w:rPr>
        <w:t>Accordingly</w:t>
      </w:r>
      <w:r w:rsidR="00E44EBD" w:rsidRPr="005A3F47">
        <w:rPr>
          <w:noProof/>
        </w:rPr>
        <w:t xml:space="preserve">, </w:t>
      </w:r>
      <w:r w:rsidR="004A0252" w:rsidRPr="005A3F47">
        <w:rPr>
          <w:noProof/>
        </w:rPr>
        <w:t>th</w:t>
      </w:r>
      <w:r w:rsidR="10537966" w:rsidRPr="005A3F47">
        <w:rPr>
          <w:noProof/>
        </w:rPr>
        <w:t>is</w:t>
      </w:r>
      <w:r w:rsidR="004A0252" w:rsidRPr="005A3F47">
        <w:rPr>
          <w:noProof/>
        </w:rPr>
        <w:t xml:space="preserve"> </w:t>
      </w:r>
      <w:r w:rsidR="00015443" w:rsidRPr="005A3F47">
        <w:rPr>
          <w:noProof/>
        </w:rPr>
        <w:t>r</w:t>
      </w:r>
      <w:r w:rsidR="004A0252" w:rsidRPr="005A3F47">
        <w:rPr>
          <w:noProof/>
        </w:rPr>
        <w:t>eport compares</w:t>
      </w:r>
      <w:r w:rsidR="00CD7C53" w:rsidRPr="005A3F47">
        <w:rPr>
          <w:noProof/>
        </w:rPr>
        <w:t xml:space="preserve"> three </w:t>
      </w:r>
      <w:r w:rsidR="00745548" w:rsidRPr="005A3F47">
        <w:rPr>
          <w:noProof/>
        </w:rPr>
        <w:t>potential approaches</w:t>
      </w:r>
      <w:r w:rsidR="00FA7E4B" w:rsidRPr="005A3F47">
        <w:rPr>
          <w:noProof/>
        </w:rPr>
        <w:t xml:space="preserve"> </w:t>
      </w:r>
      <w:r w:rsidR="00745548" w:rsidRPr="005A3F47">
        <w:rPr>
          <w:noProof/>
        </w:rPr>
        <w:t>for</w:t>
      </w:r>
      <w:r w:rsidR="00FA7E4B" w:rsidRPr="005A3F47">
        <w:rPr>
          <w:noProof/>
        </w:rPr>
        <w:t xml:space="preserve"> </w:t>
      </w:r>
      <w:r w:rsidR="00E44EBD" w:rsidRPr="005A3F47">
        <w:rPr>
          <w:noProof/>
        </w:rPr>
        <w:t>th</w:t>
      </w:r>
      <w:r w:rsidR="443EF02A" w:rsidRPr="005A3F47">
        <w:rPr>
          <w:noProof/>
        </w:rPr>
        <w:t>e</w:t>
      </w:r>
      <w:r w:rsidR="00FA7E4B" w:rsidRPr="005A3F47">
        <w:rPr>
          <w:noProof/>
        </w:rPr>
        <w:t xml:space="preserve"> Omnibus</w:t>
      </w:r>
      <w:r w:rsidR="00E44EBD" w:rsidRPr="005A3F47">
        <w:rPr>
          <w:noProof/>
        </w:rPr>
        <w:t xml:space="preserve"> </w:t>
      </w:r>
      <w:r w:rsidR="16E4D45A" w:rsidRPr="005A3F47">
        <w:rPr>
          <w:noProof/>
        </w:rPr>
        <w:t xml:space="preserve">on Taxation </w:t>
      </w:r>
      <w:r w:rsidR="00E44EBD" w:rsidRPr="005A3F47">
        <w:rPr>
          <w:noProof/>
        </w:rPr>
        <w:t>proposal</w:t>
      </w:r>
      <w:r w:rsidR="00F232D8" w:rsidRPr="005A3F47">
        <w:rPr>
          <w:noProof/>
        </w:rPr>
        <w:t xml:space="preserve"> depe</w:t>
      </w:r>
      <w:r w:rsidR="00341E99" w:rsidRPr="005A3F47">
        <w:rPr>
          <w:noProof/>
        </w:rPr>
        <w:t>nding on</w:t>
      </w:r>
      <w:r w:rsidR="00F232D8" w:rsidRPr="005A3F47">
        <w:rPr>
          <w:noProof/>
        </w:rPr>
        <w:t xml:space="preserve"> different levels of ambition</w:t>
      </w:r>
      <w:r w:rsidR="00341E99" w:rsidRPr="005A3F47">
        <w:rPr>
          <w:noProof/>
        </w:rPr>
        <w:t>:</w:t>
      </w:r>
      <w:r w:rsidR="00CD7C53" w:rsidRPr="005A3F47">
        <w:rPr>
          <w:noProof/>
        </w:rPr>
        <w:t xml:space="preserve"> </w:t>
      </w:r>
      <w:r w:rsidR="00E44EBD" w:rsidRPr="005A3F47">
        <w:rPr>
          <w:b/>
          <w:bCs/>
          <w:noProof/>
        </w:rPr>
        <w:t xml:space="preserve">(1) </w:t>
      </w:r>
      <w:r w:rsidR="003B2953" w:rsidRPr="005A3F47">
        <w:rPr>
          <w:b/>
          <w:bCs/>
          <w:noProof/>
        </w:rPr>
        <w:t xml:space="preserve">The </w:t>
      </w:r>
      <w:r w:rsidR="00377B92" w:rsidRPr="005A3F47">
        <w:rPr>
          <w:b/>
          <w:bCs/>
          <w:noProof/>
        </w:rPr>
        <w:t xml:space="preserve">Comprehensive </w:t>
      </w:r>
      <w:r w:rsidR="003B2953" w:rsidRPr="005A3F47">
        <w:rPr>
          <w:b/>
          <w:bCs/>
          <w:noProof/>
        </w:rPr>
        <w:t>Omnibus</w:t>
      </w:r>
      <w:r w:rsidR="003B2953" w:rsidRPr="005A3F47">
        <w:rPr>
          <w:noProof/>
        </w:rPr>
        <w:t xml:space="preserve"> </w:t>
      </w:r>
      <w:r w:rsidR="6BD01DB6" w:rsidRPr="005A3F47">
        <w:rPr>
          <w:b/>
          <w:noProof/>
        </w:rPr>
        <w:t>on Taxation</w:t>
      </w:r>
      <w:r w:rsidR="003B2953" w:rsidRPr="005A3F47">
        <w:rPr>
          <w:b/>
          <w:noProof/>
        </w:rPr>
        <w:t xml:space="preserve"> </w:t>
      </w:r>
      <w:r w:rsidR="00377B92" w:rsidRPr="005A3F47">
        <w:rPr>
          <w:noProof/>
        </w:rPr>
        <w:t xml:space="preserve">compiles the most impactful simplifications for all envisaged measures which have alternative options, e.g., for the withholding tax relief under IRD and PSD, the overlap between CFC rules and Piller 2, and the update of the TMD. Further, to keep the ambition high, it also entails all other simplifications where the only real choice is between a change or keeping the status quo, such as for R&amp;D </w:t>
      </w:r>
      <w:r w:rsidR="00646B6D" w:rsidRPr="005A3F47">
        <w:rPr>
          <w:noProof/>
        </w:rPr>
        <w:t>expensing</w:t>
      </w:r>
      <w:r w:rsidR="00377B92" w:rsidRPr="005A3F47">
        <w:rPr>
          <w:noProof/>
        </w:rPr>
        <w:t xml:space="preserve"> and the I</w:t>
      </w:r>
      <w:r w:rsidR="00855E63" w:rsidRPr="005A3F47">
        <w:rPr>
          <w:noProof/>
        </w:rPr>
        <w:t xml:space="preserve">nterest </w:t>
      </w:r>
      <w:r w:rsidR="00377B92" w:rsidRPr="005A3F47">
        <w:rPr>
          <w:noProof/>
        </w:rPr>
        <w:t>L</w:t>
      </w:r>
      <w:r w:rsidR="00855E63" w:rsidRPr="005A3F47">
        <w:rPr>
          <w:noProof/>
        </w:rPr>
        <w:t xml:space="preserve">imitation </w:t>
      </w:r>
      <w:r w:rsidR="00377B92" w:rsidRPr="005A3F47">
        <w:rPr>
          <w:noProof/>
        </w:rPr>
        <w:t>R</w:t>
      </w:r>
      <w:r w:rsidR="00855E63" w:rsidRPr="005A3F47">
        <w:rPr>
          <w:noProof/>
        </w:rPr>
        <w:t>ule. This version will thus</w:t>
      </w:r>
      <w:r w:rsidR="003B2953" w:rsidRPr="005A3F47">
        <w:rPr>
          <w:noProof/>
        </w:rPr>
        <w:t xml:space="preserve"> </w:t>
      </w:r>
      <w:r w:rsidR="0067279D" w:rsidRPr="005A3F47">
        <w:rPr>
          <w:noProof/>
        </w:rPr>
        <w:t>assess the most extens</w:t>
      </w:r>
      <w:r w:rsidR="00840086" w:rsidRPr="005A3F47">
        <w:rPr>
          <w:noProof/>
        </w:rPr>
        <w:t>i</w:t>
      </w:r>
      <w:r w:rsidR="00170241" w:rsidRPr="005A3F47">
        <w:rPr>
          <w:noProof/>
        </w:rPr>
        <w:t>ve</w:t>
      </w:r>
      <w:r w:rsidR="00840086" w:rsidRPr="005A3F47">
        <w:rPr>
          <w:noProof/>
        </w:rPr>
        <w:t xml:space="preserve"> potential for simplification</w:t>
      </w:r>
      <w:r w:rsidR="003B2953" w:rsidRPr="005A3F47">
        <w:rPr>
          <w:noProof/>
        </w:rPr>
        <w:t xml:space="preserve">. </w:t>
      </w:r>
      <w:r w:rsidR="00E44EBD" w:rsidRPr="005A3F47">
        <w:rPr>
          <w:b/>
          <w:bCs/>
          <w:noProof/>
        </w:rPr>
        <w:t xml:space="preserve">(2) </w:t>
      </w:r>
      <w:r w:rsidR="003B2953" w:rsidRPr="005A3F47">
        <w:rPr>
          <w:b/>
          <w:bCs/>
          <w:noProof/>
        </w:rPr>
        <w:t>The</w:t>
      </w:r>
      <w:r w:rsidR="00FC39F6" w:rsidRPr="005A3F47">
        <w:rPr>
          <w:b/>
          <w:bCs/>
          <w:noProof/>
        </w:rPr>
        <w:t xml:space="preserve"> </w:t>
      </w:r>
      <w:r w:rsidR="00027947" w:rsidRPr="005A3F47">
        <w:rPr>
          <w:b/>
          <w:bCs/>
          <w:noProof/>
        </w:rPr>
        <w:t xml:space="preserve">Medium Ambition </w:t>
      </w:r>
      <w:r w:rsidR="003B2953" w:rsidRPr="005A3F47">
        <w:rPr>
          <w:b/>
          <w:bCs/>
          <w:noProof/>
        </w:rPr>
        <w:t>Omnibus</w:t>
      </w:r>
      <w:r w:rsidR="00236B96" w:rsidRPr="005A3F47">
        <w:rPr>
          <w:noProof/>
        </w:rPr>
        <w:t xml:space="preserve"> </w:t>
      </w:r>
      <w:r w:rsidR="33CFED8E" w:rsidRPr="005A3F47">
        <w:rPr>
          <w:b/>
          <w:noProof/>
        </w:rPr>
        <w:t>on Taxation</w:t>
      </w:r>
      <w:r w:rsidR="003B2953" w:rsidRPr="005A3F47">
        <w:rPr>
          <w:b/>
          <w:noProof/>
        </w:rPr>
        <w:t xml:space="preserve"> </w:t>
      </w:r>
      <w:r w:rsidR="00420DE6" w:rsidRPr="005A3F47">
        <w:rPr>
          <w:noProof/>
        </w:rPr>
        <w:t xml:space="preserve">distinguishes itself from the </w:t>
      </w:r>
      <w:r w:rsidR="00420DE6" w:rsidRPr="005A3F47">
        <w:rPr>
          <w:iCs/>
          <w:noProof/>
        </w:rPr>
        <w:t xml:space="preserve">comprehensive </w:t>
      </w:r>
      <w:r w:rsidR="00D94DCC" w:rsidRPr="005A3F47">
        <w:rPr>
          <w:iCs/>
          <w:noProof/>
        </w:rPr>
        <w:t>approach</w:t>
      </w:r>
      <w:r w:rsidR="00420DE6" w:rsidRPr="005A3F47">
        <w:rPr>
          <w:iCs/>
          <w:noProof/>
        </w:rPr>
        <w:t xml:space="preserve"> by</w:t>
      </w:r>
      <w:r w:rsidR="00420DE6" w:rsidRPr="005A3F47">
        <w:rPr>
          <w:noProof/>
        </w:rPr>
        <w:t xml:space="preserve"> offering the least impactful simplifications for measures which have alternative options. To keep the ambition to a moderate level, it also entails all other simplifications where the choice is between a policy change or keeping the status quo</w:t>
      </w:r>
      <w:r w:rsidR="008F385B" w:rsidRPr="005A3F47">
        <w:rPr>
          <w:noProof/>
        </w:rPr>
        <w:t xml:space="preserve">, </w:t>
      </w:r>
      <w:r w:rsidR="00E604BC" w:rsidRPr="005A3F47">
        <w:rPr>
          <w:noProof/>
        </w:rPr>
        <w:t xml:space="preserve">though leaving out the introduction of a new </w:t>
      </w:r>
      <w:r w:rsidR="00CC781C" w:rsidRPr="005A3F47">
        <w:rPr>
          <w:noProof/>
        </w:rPr>
        <w:t>measure related to R&amp;D</w:t>
      </w:r>
      <w:r w:rsidR="00713B0A" w:rsidRPr="005A3F47">
        <w:rPr>
          <w:noProof/>
        </w:rPr>
        <w:t xml:space="preserve"> expensing</w:t>
      </w:r>
      <w:r w:rsidR="00CC781C" w:rsidRPr="005A3F47">
        <w:rPr>
          <w:noProof/>
        </w:rPr>
        <w:t>.</w:t>
      </w:r>
      <w:r w:rsidR="0079050C" w:rsidRPr="005A3F47">
        <w:rPr>
          <w:noProof/>
        </w:rPr>
        <w:t xml:space="preserve"> </w:t>
      </w:r>
      <w:r w:rsidR="00E44EBD" w:rsidRPr="005A3F47">
        <w:rPr>
          <w:b/>
          <w:bCs/>
          <w:noProof/>
        </w:rPr>
        <w:t xml:space="preserve">(3) </w:t>
      </w:r>
      <w:r w:rsidR="004D1245" w:rsidRPr="005A3F47">
        <w:rPr>
          <w:b/>
          <w:bCs/>
          <w:noProof/>
        </w:rPr>
        <w:t xml:space="preserve">The </w:t>
      </w:r>
      <w:r w:rsidR="002B5BF4" w:rsidRPr="005A3F47">
        <w:rPr>
          <w:b/>
          <w:bCs/>
          <w:noProof/>
        </w:rPr>
        <w:t xml:space="preserve">Limited </w:t>
      </w:r>
      <w:r w:rsidR="00834C32" w:rsidRPr="005A3F47">
        <w:rPr>
          <w:b/>
          <w:bCs/>
          <w:noProof/>
        </w:rPr>
        <w:t>Ambition</w:t>
      </w:r>
      <w:r w:rsidR="002B5BF4" w:rsidRPr="005A3F47">
        <w:rPr>
          <w:b/>
          <w:bCs/>
          <w:noProof/>
        </w:rPr>
        <w:t xml:space="preserve"> </w:t>
      </w:r>
      <w:r w:rsidR="00236B96" w:rsidRPr="005A3F47">
        <w:rPr>
          <w:b/>
          <w:bCs/>
          <w:noProof/>
        </w:rPr>
        <w:t>Omnibus</w:t>
      </w:r>
      <w:r w:rsidR="00236B96" w:rsidRPr="005A3F47">
        <w:rPr>
          <w:noProof/>
        </w:rPr>
        <w:t xml:space="preserve"> </w:t>
      </w:r>
      <w:r w:rsidR="5CECA1F3" w:rsidRPr="005A3F47">
        <w:rPr>
          <w:b/>
          <w:noProof/>
        </w:rPr>
        <w:t>on Taxation</w:t>
      </w:r>
      <w:r w:rsidR="004D1245" w:rsidRPr="005A3F47">
        <w:rPr>
          <w:b/>
          <w:noProof/>
        </w:rPr>
        <w:t xml:space="preserve"> </w:t>
      </w:r>
      <w:r w:rsidR="00F138D2" w:rsidRPr="005A3F47">
        <w:rPr>
          <w:bCs/>
          <w:noProof/>
        </w:rPr>
        <w:t>entails</w:t>
      </w:r>
      <w:r w:rsidR="0088270F" w:rsidRPr="005A3F47">
        <w:rPr>
          <w:bCs/>
          <w:noProof/>
        </w:rPr>
        <w:t xml:space="preserve"> </w:t>
      </w:r>
      <w:r w:rsidR="00473C39" w:rsidRPr="005A3F47">
        <w:rPr>
          <w:bCs/>
          <w:noProof/>
        </w:rPr>
        <w:t xml:space="preserve">a </w:t>
      </w:r>
      <w:r w:rsidR="00267F35" w:rsidRPr="005A3F47">
        <w:rPr>
          <w:bCs/>
          <w:noProof/>
        </w:rPr>
        <w:t xml:space="preserve">far more </w:t>
      </w:r>
      <w:r w:rsidR="00473C39" w:rsidRPr="005A3F47">
        <w:rPr>
          <w:bCs/>
          <w:noProof/>
        </w:rPr>
        <w:t xml:space="preserve">limited number of </w:t>
      </w:r>
      <w:r w:rsidR="00F138D2" w:rsidRPr="005A3F47">
        <w:rPr>
          <w:bCs/>
          <w:noProof/>
        </w:rPr>
        <w:t>measures</w:t>
      </w:r>
      <w:r w:rsidR="00267F35" w:rsidRPr="005A3F47">
        <w:rPr>
          <w:bCs/>
          <w:noProof/>
        </w:rPr>
        <w:t>, but</w:t>
      </w:r>
      <w:r w:rsidR="00473C39" w:rsidRPr="005A3F47">
        <w:rPr>
          <w:bCs/>
          <w:noProof/>
        </w:rPr>
        <w:t xml:space="preserve"> that nonetheless deliver on the overall simplification objectives of the omnibus</w:t>
      </w:r>
      <w:r w:rsidR="00267F35" w:rsidRPr="005A3F47">
        <w:rPr>
          <w:bCs/>
          <w:noProof/>
        </w:rPr>
        <w:t>. This option, therefore</w:t>
      </w:r>
      <w:r w:rsidR="00520D9D" w:rsidRPr="005A3F47">
        <w:rPr>
          <w:bCs/>
          <w:noProof/>
        </w:rPr>
        <w:t xml:space="preserve">, </w:t>
      </w:r>
      <w:r w:rsidR="00267F35" w:rsidRPr="005A3F47">
        <w:rPr>
          <w:bCs/>
          <w:noProof/>
        </w:rPr>
        <w:t xml:space="preserve">includes </w:t>
      </w:r>
      <w:r w:rsidR="00C959C3" w:rsidRPr="005A3F47">
        <w:rPr>
          <w:bCs/>
          <w:noProof/>
        </w:rPr>
        <w:t>m</w:t>
      </w:r>
      <w:r w:rsidR="00CB1BEA" w:rsidRPr="005A3F47">
        <w:rPr>
          <w:bCs/>
          <w:noProof/>
        </w:rPr>
        <w:t>e</w:t>
      </w:r>
      <w:r w:rsidR="00C959C3" w:rsidRPr="005A3F47">
        <w:rPr>
          <w:bCs/>
          <w:noProof/>
        </w:rPr>
        <w:t xml:space="preserve">asures </w:t>
      </w:r>
      <w:r w:rsidR="00520D9D" w:rsidRPr="005A3F47">
        <w:rPr>
          <w:bCs/>
          <w:noProof/>
        </w:rPr>
        <w:t xml:space="preserve">such as </w:t>
      </w:r>
      <w:r w:rsidR="000C1FF8" w:rsidRPr="005A3F47">
        <w:rPr>
          <w:bCs/>
          <w:noProof/>
        </w:rPr>
        <w:t xml:space="preserve">reducing implementation options </w:t>
      </w:r>
      <w:r w:rsidR="00AC06A5" w:rsidRPr="005A3F47">
        <w:rPr>
          <w:bCs/>
          <w:noProof/>
        </w:rPr>
        <w:t>for the Interest Limitation Rule</w:t>
      </w:r>
      <w:r w:rsidR="000C1FF8" w:rsidRPr="005A3F47">
        <w:rPr>
          <w:bCs/>
          <w:noProof/>
        </w:rPr>
        <w:t xml:space="preserve"> in ATAD</w:t>
      </w:r>
      <w:r w:rsidR="007010BC" w:rsidRPr="005A3F47">
        <w:rPr>
          <w:bCs/>
          <w:noProof/>
        </w:rPr>
        <w:t xml:space="preserve"> </w:t>
      </w:r>
      <w:r w:rsidR="000553FE" w:rsidRPr="005A3F47">
        <w:rPr>
          <w:bCs/>
          <w:noProof/>
        </w:rPr>
        <w:t>and ensur</w:t>
      </w:r>
      <w:r w:rsidR="00E328A7" w:rsidRPr="005A3F47">
        <w:rPr>
          <w:bCs/>
          <w:noProof/>
        </w:rPr>
        <w:t>ing</w:t>
      </w:r>
      <w:r w:rsidR="000553FE" w:rsidRPr="005A3F47">
        <w:rPr>
          <w:bCs/>
          <w:noProof/>
        </w:rPr>
        <w:t xml:space="preserve"> updates to the TMD and DRM,</w:t>
      </w:r>
      <w:r w:rsidR="007010BC" w:rsidRPr="005A3F47">
        <w:rPr>
          <w:bCs/>
          <w:noProof/>
        </w:rPr>
        <w:t xml:space="preserve"> </w:t>
      </w:r>
      <w:r w:rsidR="00F138D2" w:rsidRPr="005A3F47">
        <w:rPr>
          <w:bCs/>
          <w:noProof/>
        </w:rPr>
        <w:t>that </w:t>
      </w:r>
      <w:r w:rsidR="001473E5" w:rsidRPr="005A3F47">
        <w:rPr>
          <w:bCs/>
          <w:noProof/>
        </w:rPr>
        <w:t>are most likely to deliver</w:t>
      </w:r>
      <w:r w:rsidR="00F138D2" w:rsidRPr="005A3F47">
        <w:rPr>
          <w:bCs/>
          <w:noProof/>
        </w:rPr>
        <w:t> quick</w:t>
      </w:r>
      <w:r w:rsidR="001473E5" w:rsidRPr="005A3F47">
        <w:rPr>
          <w:bCs/>
          <w:noProof/>
        </w:rPr>
        <w:t xml:space="preserve"> </w:t>
      </w:r>
      <w:r w:rsidR="00F138D2" w:rsidRPr="005A3F47">
        <w:rPr>
          <w:bCs/>
          <w:noProof/>
        </w:rPr>
        <w:t>results </w:t>
      </w:r>
      <w:r w:rsidR="00CB1BEA" w:rsidRPr="005A3F47">
        <w:rPr>
          <w:bCs/>
          <w:noProof/>
        </w:rPr>
        <w:t xml:space="preserve">but </w:t>
      </w:r>
      <w:r w:rsidR="00EA5714" w:rsidRPr="005A3F47">
        <w:rPr>
          <w:bCs/>
          <w:noProof/>
        </w:rPr>
        <w:t>requiring a</w:t>
      </w:r>
      <w:r w:rsidR="00CB1BEA" w:rsidRPr="005A3F47">
        <w:rPr>
          <w:bCs/>
          <w:noProof/>
        </w:rPr>
        <w:t xml:space="preserve"> more</w:t>
      </w:r>
      <w:r w:rsidR="00F138D2" w:rsidRPr="005A3F47">
        <w:rPr>
          <w:bCs/>
          <w:noProof/>
        </w:rPr>
        <w:t> minimal effort.</w:t>
      </w:r>
    </w:p>
    <w:p w14:paraId="1277A0B9" w14:textId="121A7FDE" w:rsidR="00C5615B" w:rsidRPr="005A3F47" w:rsidRDefault="009C71F0" w:rsidP="00CD7C53">
      <w:pPr>
        <w:pStyle w:val="Text1"/>
        <w:ind w:left="0"/>
        <w:rPr>
          <w:noProof/>
        </w:rPr>
      </w:pPr>
      <w:r w:rsidRPr="005A3F47">
        <w:rPr>
          <w:noProof/>
        </w:rPr>
        <w:t>The tables below show a scale that indicates to what extent each of the approaches contributes to achieving the specific objectives</w:t>
      </w:r>
      <w:r w:rsidR="00E050CE" w:rsidRPr="005A3F47">
        <w:rPr>
          <w:noProof/>
        </w:rPr>
        <w:t xml:space="preserve">, considering the different impacts of the policy options, which are discussed in Chapter </w:t>
      </w:r>
      <w:r w:rsidR="009A0E28" w:rsidRPr="005A3F47">
        <w:rPr>
          <w:noProof/>
        </w:rPr>
        <w:fldChar w:fldCharType="begin"/>
      </w:r>
      <w:r w:rsidR="009A0E28" w:rsidRPr="005A3F47">
        <w:rPr>
          <w:noProof/>
        </w:rPr>
        <w:instrText xml:space="preserve"> REF _Ref226464120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6</w:t>
      </w:r>
      <w:r w:rsidR="009A0E28" w:rsidRPr="005A3F47">
        <w:rPr>
          <w:noProof/>
        </w:rPr>
        <w:fldChar w:fldCharType="end"/>
      </w:r>
      <w:r w:rsidRPr="005A3F47">
        <w:rPr>
          <w:noProof/>
        </w:rPr>
        <w:t>. The scale is based on the following four steps: (0) irrelevant/no change, (+) limited contribution, (++) partial contribution, and (+++) substantial contribution.</w:t>
      </w:r>
      <w:r w:rsidR="00A26671" w:rsidRPr="005A3F47">
        <w:rPr>
          <w:noProof/>
        </w:rPr>
        <w:t xml:space="preserve"> </w:t>
      </w:r>
      <w:r w:rsidR="003D45E8" w:rsidRPr="005A3F47">
        <w:rPr>
          <w:noProof/>
        </w:rPr>
        <w:t>In addition</w:t>
      </w:r>
      <w:r w:rsidR="00E050CE" w:rsidRPr="005A3F47">
        <w:rPr>
          <w:noProof/>
        </w:rPr>
        <w:t>,</w:t>
      </w:r>
      <w:r w:rsidR="00F2014B" w:rsidRPr="005A3F47">
        <w:rPr>
          <w:noProof/>
        </w:rPr>
        <w:t xml:space="preserve"> </w:t>
      </w:r>
      <w:r w:rsidR="00453D65" w:rsidRPr="005A3F47">
        <w:rPr>
          <w:noProof/>
        </w:rPr>
        <w:t>it will be considered</w:t>
      </w:r>
      <w:r w:rsidR="00F2014B" w:rsidRPr="005A3F47">
        <w:rPr>
          <w:noProof/>
        </w:rPr>
        <w:t xml:space="preserve"> </w:t>
      </w:r>
      <w:r w:rsidR="003D45E8" w:rsidRPr="005A3F47">
        <w:rPr>
          <w:noProof/>
        </w:rPr>
        <w:t>to what extent</w:t>
      </w:r>
      <w:r w:rsidR="00F2014B" w:rsidRPr="005A3F47">
        <w:rPr>
          <w:noProof/>
        </w:rPr>
        <w:t xml:space="preserve"> </w:t>
      </w:r>
      <w:r w:rsidR="002E71B3" w:rsidRPr="005A3F47">
        <w:rPr>
          <w:noProof/>
        </w:rPr>
        <w:t xml:space="preserve">the </w:t>
      </w:r>
      <w:r w:rsidR="00DD0B84" w:rsidRPr="005A3F47">
        <w:rPr>
          <w:noProof/>
        </w:rPr>
        <w:t xml:space="preserve">three </w:t>
      </w:r>
      <w:r w:rsidR="00F2014B" w:rsidRPr="005A3F47">
        <w:rPr>
          <w:noProof/>
        </w:rPr>
        <w:t>approaches</w:t>
      </w:r>
      <w:r w:rsidR="0091689D" w:rsidRPr="005A3F47">
        <w:rPr>
          <w:noProof/>
        </w:rPr>
        <w:t xml:space="preserve"> </w:t>
      </w:r>
      <w:r w:rsidR="0031541E" w:rsidRPr="005A3F47">
        <w:rPr>
          <w:noProof/>
        </w:rPr>
        <w:t>effectively</w:t>
      </w:r>
      <w:r w:rsidR="004F4665" w:rsidRPr="005A3F47">
        <w:rPr>
          <w:noProof/>
        </w:rPr>
        <w:t xml:space="preserve"> deliver on the envisaged objectives,</w:t>
      </w:r>
      <w:r w:rsidR="0031541E" w:rsidRPr="005A3F47">
        <w:rPr>
          <w:noProof/>
        </w:rPr>
        <w:t xml:space="preserve"> efficiently </w:t>
      </w:r>
      <w:r w:rsidR="007D4009" w:rsidRPr="005A3F47">
        <w:rPr>
          <w:noProof/>
        </w:rPr>
        <w:t>achiev</w:t>
      </w:r>
      <w:r w:rsidR="002D3624" w:rsidRPr="005A3F47">
        <w:rPr>
          <w:noProof/>
        </w:rPr>
        <w:t>e</w:t>
      </w:r>
      <w:r w:rsidR="007D4009" w:rsidRPr="005A3F47">
        <w:rPr>
          <w:noProof/>
        </w:rPr>
        <w:t xml:space="preserve"> </w:t>
      </w:r>
      <w:r w:rsidR="0031541E" w:rsidRPr="005A3F47">
        <w:rPr>
          <w:noProof/>
        </w:rPr>
        <w:t xml:space="preserve">the </w:t>
      </w:r>
      <w:r w:rsidR="002D3624" w:rsidRPr="005A3F47">
        <w:rPr>
          <w:noProof/>
        </w:rPr>
        <w:t>envisaged</w:t>
      </w:r>
      <w:r w:rsidR="0031541E" w:rsidRPr="005A3F47">
        <w:rPr>
          <w:noProof/>
        </w:rPr>
        <w:t xml:space="preserve"> objectives</w:t>
      </w:r>
      <w:r w:rsidR="0091689D" w:rsidRPr="005A3F47" w:rsidDel="0031541E">
        <w:rPr>
          <w:noProof/>
        </w:rPr>
        <w:t xml:space="preserve"> </w:t>
      </w:r>
      <w:r w:rsidR="002D3624" w:rsidRPr="005A3F47">
        <w:rPr>
          <w:noProof/>
        </w:rPr>
        <w:t>at the lowest reasonable cost</w:t>
      </w:r>
      <w:r w:rsidR="00833568" w:rsidRPr="005A3F47">
        <w:rPr>
          <w:noProof/>
        </w:rPr>
        <w:t>,</w:t>
      </w:r>
      <w:r w:rsidR="0031541E" w:rsidRPr="005A3F47">
        <w:rPr>
          <w:noProof/>
        </w:rPr>
        <w:t xml:space="preserve"> and to what extent </w:t>
      </w:r>
      <w:r w:rsidR="001D368A" w:rsidRPr="005A3F47">
        <w:rPr>
          <w:noProof/>
        </w:rPr>
        <w:t>the approaches</w:t>
      </w:r>
      <w:r w:rsidR="0031541E" w:rsidRPr="005A3F47">
        <w:rPr>
          <w:noProof/>
        </w:rPr>
        <w:t xml:space="preserve"> are coherent with </w:t>
      </w:r>
      <w:r w:rsidR="001B6EB8" w:rsidRPr="005A3F47">
        <w:rPr>
          <w:noProof/>
          <w:lang w:val="en-IE"/>
        </w:rPr>
        <w:t xml:space="preserve">the </w:t>
      </w:r>
      <w:r w:rsidR="00E8166B" w:rsidRPr="005A3F47">
        <w:rPr>
          <w:noProof/>
          <w:lang w:val="en-IE"/>
        </w:rPr>
        <w:t>Tax Omnibus</w:t>
      </w:r>
      <w:r w:rsidR="001B6EB8" w:rsidRPr="005A3F47">
        <w:rPr>
          <w:noProof/>
          <w:lang w:val="en-IE"/>
        </w:rPr>
        <w:t xml:space="preserve"> itself</w:t>
      </w:r>
      <w:r w:rsidR="005820F4" w:rsidRPr="005A3F47">
        <w:rPr>
          <w:noProof/>
          <w:lang w:val="en-IE"/>
        </w:rPr>
        <w:t xml:space="preserve"> (internal</w:t>
      </w:r>
      <w:r w:rsidR="00595124" w:rsidRPr="005A3F47">
        <w:rPr>
          <w:noProof/>
          <w:lang w:val="en-IE"/>
        </w:rPr>
        <w:t xml:space="preserve"> coherence</w:t>
      </w:r>
      <w:r w:rsidR="005820F4" w:rsidRPr="005A3F47">
        <w:rPr>
          <w:noProof/>
          <w:lang w:val="en-IE"/>
        </w:rPr>
        <w:t xml:space="preserve">) </w:t>
      </w:r>
      <w:r w:rsidR="00C90524" w:rsidRPr="005A3F47">
        <w:rPr>
          <w:noProof/>
          <w:lang w:val="en-IE"/>
        </w:rPr>
        <w:t>and</w:t>
      </w:r>
      <w:r w:rsidR="001B6EB8" w:rsidRPr="005A3F47">
        <w:rPr>
          <w:noProof/>
          <w:lang w:val="en-IE"/>
        </w:rPr>
        <w:t xml:space="preserve"> with other EU legislation, international obligations,</w:t>
      </w:r>
      <w:r w:rsidR="0031541E" w:rsidRPr="005A3F47">
        <w:rPr>
          <w:noProof/>
          <w:lang w:val="en-IE"/>
        </w:rPr>
        <w:t xml:space="preserve"> and </w:t>
      </w:r>
      <w:r w:rsidR="001B6EB8" w:rsidRPr="005A3F47">
        <w:rPr>
          <w:noProof/>
          <w:lang w:val="en-IE"/>
        </w:rPr>
        <w:t>broader EU policy goals</w:t>
      </w:r>
      <w:r w:rsidR="00B04BC1" w:rsidRPr="005A3F47">
        <w:rPr>
          <w:noProof/>
          <w:lang w:val="en-IE"/>
        </w:rPr>
        <w:t xml:space="preserve"> (external coherence).</w:t>
      </w:r>
    </w:p>
    <w:p w14:paraId="25981EF8" w14:textId="121F7486" w:rsidR="005F6A4E" w:rsidRPr="005A3F47" w:rsidRDefault="00441577" w:rsidP="00283E25">
      <w:pPr>
        <w:pStyle w:val="Heading2"/>
        <w:numPr>
          <w:ilvl w:val="1"/>
          <w:numId w:val="216"/>
        </w:numPr>
        <w:rPr>
          <w:noProof/>
        </w:rPr>
      </w:pPr>
      <w:bookmarkStart w:id="211" w:name="_Toc226466839"/>
      <w:bookmarkStart w:id="212" w:name="_Toc226467200"/>
      <w:bookmarkStart w:id="213" w:name="_Toc226467300"/>
      <w:bookmarkStart w:id="214" w:name="_Toc226467519"/>
      <w:r w:rsidRPr="005A3F47">
        <w:rPr>
          <w:noProof/>
        </w:rPr>
        <w:t xml:space="preserve"> </w:t>
      </w:r>
      <w:r w:rsidR="005F6A4E" w:rsidRPr="005A3F47">
        <w:rPr>
          <w:noProof/>
        </w:rPr>
        <w:t xml:space="preserve">Comprehensive Omnibus </w:t>
      </w:r>
      <w:r w:rsidR="5B8A51E1" w:rsidRPr="005A3F47">
        <w:rPr>
          <w:noProof/>
        </w:rPr>
        <w:t>on Taxation</w:t>
      </w:r>
      <w:bookmarkEnd w:id="211"/>
      <w:bookmarkEnd w:id="212"/>
      <w:bookmarkEnd w:id="213"/>
      <w:bookmarkEnd w:id="214"/>
    </w:p>
    <w:tbl>
      <w:tblPr>
        <w:tblStyle w:val="TableGrid"/>
        <w:tblW w:w="0" w:type="auto"/>
        <w:tblLook w:val="0480" w:firstRow="0" w:lastRow="0" w:firstColumn="1" w:lastColumn="0" w:noHBand="0" w:noVBand="1"/>
      </w:tblPr>
      <w:tblGrid>
        <w:gridCol w:w="3105"/>
        <w:gridCol w:w="1658"/>
        <w:gridCol w:w="1375"/>
        <w:gridCol w:w="1499"/>
        <w:gridCol w:w="2172"/>
      </w:tblGrid>
      <w:tr w:rsidR="009F6235" w:rsidRPr="005A3F47" w14:paraId="55130761" w14:textId="77777777" w:rsidTr="00283E25">
        <w:tc>
          <w:tcPr>
            <w:tcW w:w="3105" w:type="dxa"/>
            <w:shd w:val="clear" w:color="auto" w:fill="95B3D7" w:themeFill="accent1" w:themeFillTint="99"/>
          </w:tcPr>
          <w:p w14:paraId="119DABD1" w14:textId="77777777" w:rsidR="005C076F" w:rsidRPr="005A3F47" w:rsidRDefault="005C076F">
            <w:pPr>
              <w:pStyle w:val="Text2"/>
              <w:spacing w:after="0"/>
              <w:ind w:left="0"/>
              <w:jc w:val="center"/>
              <w:rPr>
                <w:b/>
                <w:bCs/>
                <w:noProof/>
                <w:sz w:val="22"/>
                <w:szCs w:val="18"/>
              </w:rPr>
            </w:pPr>
            <w:r w:rsidRPr="005A3F47">
              <w:rPr>
                <w:b/>
                <w:bCs/>
                <w:noProof/>
                <w:sz w:val="22"/>
                <w:szCs w:val="18"/>
              </w:rPr>
              <w:t>Policy option(s)</w:t>
            </w:r>
          </w:p>
        </w:tc>
        <w:tc>
          <w:tcPr>
            <w:tcW w:w="6704" w:type="dxa"/>
            <w:gridSpan w:val="4"/>
            <w:shd w:val="clear" w:color="auto" w:fill="C2D69B" w:themeFill="accent3" w:themeFillTint="99"/>
          </w:tcPr>
          <w:p w14:paraId="68D52C57" w14:textId="77777777" w:rsidR="005C076F" w:rsidRPr="005A3F47" w:rsidRDefault="005C076F">
            <w:pPr>
              <w:pStyle w:val="Text2"/>
              <w:spacing w:after="0"/>
              <w:ind w:left="0"/>
              <w:jc w:val="center"/>
              <w:rPr>
                <w:b/>
                <w:bCs/>
                <w:noProof/>
                <w:sz w:val="22"/>
                <w:szCs w:val="18"/>
              </w:rPr>
            </w:pPr>
            <w:r w:rsidRPr="005A3F47">
              <w:rPr>
                <w:b/>
                <w:bCs/>
                <w:noProof/>
                <w:sz w:val="22"/>
                <w:szCs w:val="18"/>
              </w:rPr>
              <w:t>Specific objectives</w:t>
            </w:r>
          </w:p>
        </w:tc>
      </w:tr>
      <w:tr w:rsidR="00E30F4E" w:rsidRPr="005A3F47" w14:paraId="00A58CB5" w14:textId="77777777" w:rsidTr="00283E25">
        <w:tc>
          <w:tcPr>
            <w:tcW w:w="3105" w:type="dxa"/>
            <w:shd w:val="clear" w:color="auto" w:fill="DBE5F1" w:themeFill="accent1" w:themeFillTint="33"/>
          </w:tcPr>
          <w:p w14:paraId="560F0527" w14:textId="3D9C6FAB" w:rsidR="005C076F" w:rsidRPr="005A3F47" w:rsidRDefault="005C076F">
            <w:pPr>
              <w:pStyle w:val="Text2"/>
              <w:spacing w:after="0"/>
              <w:ind w:left="0"/>
              <w:jc w:val="center"/>
              <w:rPr>
                <w:noProof/>
                <w:sz w:val="22"/>
                <w:szCs w:val="18"/>
              </w:rPr>
            </w:pPr>
            <w:r w:rsidRPr="005A3F47">
              <w:rPr>
                <w:noProof/>
                <w:sz w:val="22"/>
                <w:szCs w:val="18"/>
              </w:rPr>
              <w:t>Taxation of cross-border interest, royalty and dividend payments</w:t>
            </w:r>
          </w:p>
        </w:tc>
        <w:tc>
          <w:tcPr>
            <w:tcW w:w="1658" w:type="dxa"/>
            <w:shd w:val="clear" w:color="auto" w:fill="EAF1DD" w:themeFill="accent3" w:themeFillTint="33"/>
          </w:tcPr>
          <w:p w14:paraId="19459F1C" w14:textId="022577F9" w:rsidR="005C076F" w:rsidRPr="005A3F47" w:rsidRDefault="005C076F">
            <w:pPr>
              <w:pStyle w:val="Text2"/>
              <w:spacing w:after="0"/>
              <w:ind w:left="0"/>
              <w:jc w:val="center"/>
              <w:rPr>
                <w:noProof/>
                <w:sz w:val="22"/>
                <w:szCs w:val="18"/>
                <w:lang w:val="fr-FR"/>
              </w:rPr>
            </w:pPr>
            <w:r w:rsidRPr="005A3F47">
              <w:rPr>
                <w:noProof/>
                <w:sz w:val="22"/>
                <w:szCs w:val="18"/>
                <w:lang w:val="fr-FR"/>
              </w:rPr>
              <w:t>Eliminat</w:t>
            </w:r>
            <w:r w:rsidR="005A7681" w:rsidRPr="005A3F47">
              <w:rPr>
                <w:noProof/>
                <w:sz w:val="22"/>
                <w:szCs w:val="18"/>
                <w:lang w:val="fr-FR"/>
              </w:rPr>
              <w:t>e</w:t>
            </w:r>
            <w:r w:rsidRPr="005A3F47">
              <w:rPr>
                <w:noProof/>
                <w:sz w:val="22"/>
                <w:szCs w:val="18"/>
                <w:lang w:val="fr-FR"/>
              </w:rPr>
              <w:t xml:space="preserve"> </w:t>
            </w:r>
            <w:r w:rsidR="00AA3AEA" w:rsidRPr="005A3F47">
              <w:rPr>
                <w:noProof/>
                <w:sz w:val="22"/>
                <w:szCs w:val="18"/>
                <w:lang w:val="fr-FR"/>
              </w:rPr>
              <w:t>disproportionate</w:t>
            </w:r>
            <w:r w:rsidR="00AA3AEA" w:rsidRPr="005A3F47" w:rsidDel="00EA1B83">
              <w:rPr>
                <w:noProof/>
                <w:sz w:val="22"/>
                <w:szCs w:val="18"/>
                <w:lang w:val="fr-FR"/>
              </w:rPr>
              <w:t xml:space="preserve"> </w:t>
            </w:r>
            <w:r w:rsidRPr="005A3F47">
              <w:rPr>
                <w:noProof/>
                <w:sz w:val="22"/>
                <w:szCs w:val="18"/>
                <w:lang w:val="fr-FR"/>
              </w:rPr>
              <w:t>EU tax compliance burdens</w:t>
            </w:r>
          </w:p>
        </w:tc>
        <w:tc>
          <w:tcPr>
            <w:tcW w:w="1375" w:type="dxa"/>
            <w:shd w:val="clear" w:color="auto" w:fill="EAF1DD" w:themeFill="accent3" w:themeFillTint="33"/>
          </w:tcPr>
          <w:p w14:paraId="1EF5A4E7" w14:textId="3703EE91" w:rsidR="005C076F" w:rsidRPr="005A3F47" w:rsidRDefault="00C42D35">
            <w:pPr>
              <w:pStyle w:val="Text2"/>
              <w:spacing w:after="0"/>
              <w:ind w:left="0"/>
              <w:jc w:val="center"/>
              <w:rPr>
                <w:noProof/>
                <w:sz w:val="22"/>
                <w:szCs w:val="18"/>
              </w:rPr>
            </w:pPr>
            <w:r w:rsidRPr="005A3F47">
              <w:rPr>
                <w:noProof/>
                <w:sz w:val="22"/>
                <w:szCs w:val="18"/>
              </w:rPr>
              <w:t>Introduce c</w:t>
            </w:r>
            <w:r w:rsidR="005C076F" w:rsidRPr="005A3F47">
              <w:rPr>
                <w:noProof/>
                <w:sz w:val="22"/>
                <w:szCs w:val="18"/>
              </w:rPr>
              <w:t xml:space="preserve">lear and predictable EU tax </w:t>
            </w:r>
            <w:r w:rsidRPr="005A3F47">
              <w:rPr>
                <w:noProof/>
                <w:sz w:val="22"/>
                <w:szCs w:val="18"/>
              </w:rPr>
              <w:t xml:space="preserve">rules and </w:t>
            </w:r>
            <w:r w:rsidR="00284772" w:rsidRPr="005A3F47">
              <w:rPr>
                <w:noProof/>
                <w:sz w:val="22"/>
                <w:szCs w:val="18"/>
              </w:rPr>
              <w:t>terms</w:t>
            </w:r>
          </w:p>
        </w:tc>
        <w:tc>
          <w:tcPr>
            <w:tcW w:w="1499" w:type="dxa"/>
            <w:shd w:val="clear" w:color="auto" w:fill="EAF1DD" w:themeFill="accent3" w:themeFillTint="33"/>
          </w:tcPr>
          <w:p w14:paraId="50C40071" w14:textId="27A41305" w:rsidR="005C076F" w:rsidRPr="005A3F47" w:rsidRDefault="00F92E2F">
            <w:pPr>
              <w:pStyle w:val="Text2"/>
              <w:spacing w:after="0"/>
              <w:ind w:left="0"/>
              <w:jc w:val="center"/>
              <w:rPr>
                <w:noProof/>
                <w:sz w:val="22"/>
                <w:szCs w:val="22"/>
              </w:rPr>
            </w:pPr>
            <w:r w:rsidRPr="005A3F47">
              <w:rPr>
                <w:noProof/>
                <w:sz w:val="22"/>
                <w:szCs w:val="22"/>
              </w:rPr>
              <w:t>Improve consistency in the application of EU tax directives​</w:t>
            </w:r>
          </w:p>
        </w:tc>
        <w:tc>
          <w:tcPr>
            <w:tcW w:w="2172" w:type="dxa"/>
            <w:shd w:val="clear" w:color="auto" w:fill="EAF1DD" w:themeFill="accent3" w:themeFillTint="33"/>
          </w:tcPr>
          <w:p w14:paraId="0A51D6AE" w14:textId="6ABFA56F" w:rsidR="005C076F" w:rsidRPr="005A3F47" w:rsidRDefault="00306445">
            <w:pPr>
              <w:pStyle w:val="Text2"/>
              <w:spacing w:after="0"/>
              <w:ind w:left="0"/>
              <w:jc w:val="center"/>
              <w:rPr>
                <w:noProof/>
                <w:sz w:val="22"/>
                <w:szCs w:val="18"/>
              </w:rPr>
            </w:pPr>
            <w:r w:rsidRPr="005A3F47">
              <w:rPr>
                <w:noProof/>
                <w:sz w:val="22"/>
                <w:szCs w:val="18"/>
              </w:rPr>
              <w:t xml:space="preserve">Reduce </w:t>
            </w:r>
            <w:r w:rsidR="00A01A64" w:rsidRPr="005A3F47">
              <w:rPr>
                <w:noProof/>
                <w:sz w:val="22"/>
                <w:szCs w:val="18"/>
              </w:rPr>
              <w:t xml:space="preserve">remaining tax obstacles to cross-border </w:t>
            </w:r>
            <w:r w:rsidR="007F53BF" w:rsidRPr="005A3F47">
              <w:rPr>
                <w:noProof/>
                <w:sz w:val="22"/>
                <w:szCs w:val="18"/>
              </w:rPr>
              <w:t>investment and commercial activity</w:t>
            </w:r>
          </w:p>
        </w:tc>
      </w:tr>
      <w:tr w:rsidR="00A44920" w:rsidRPr="005A3F47" w14:paraId="51843D22" w14:textId="77777777" w:rsidTr="00283E25">
        <w:tc>
          <w:tcPr>
            <w:tcW w:w="3105" w:type="dxa"/>
          </w:tcPr>
          <w:p w14:paraId="6A13B7C5" w14:textId="01F249B3" w:rsidR="00C73007" w:rsidRPr="005A3F47" w:rsidRDefault="00C73007" w:rsidP="00AD4F3A">
            <w:pPr>
              <w:pStyle w:val="Text2"/>
              <w:spacing w:after="0"/>
              <w:ind w:left="0"/>
              <w:jc w:val="left"/>
              <w:rPr>
                <w:noProof/>
                <w:sz w:val="22"/>
                <w:szCs w:val="18"/>
              </w:rPr>
            </w:pPr>
            <w:r w:rsidRPr="005A3F47">
              <w:rPr>
                <w:noProof/>
                <w:sz w:val="22"/>
                <w:szCs w:val="18"/>
              </w:rPr>
              <w:t xml:space="preserve">Option </w:t>
            </w:r>
            <w:r w:rsidR="00077D57" w:rsidRPr="005A3F47">
              <w:rPr>
                <w:noProof/>
                <w:sz w:val="22"/>
                <w:szCs w:val="18"/>
              </w:rPr>
              <w:t>1</w:t>
            </w:r>
            <w:r w:rsidRPr="005A3F47">
              <w:rPr>
                <w:noProof/>
                <w:sz w:val="22"/>
                <w:szCs w:val="18"/>
              </w:rPr>
              <w:t xml:space="preserve">A: </w:t>
            </w:r>
            <w:r w:rsidR="00D12A05" w:rsidRPr="005A3F47">
              <w:rPr>
                <w:noProof/>
                <w:sz w:val="22"/>
                <w:szCs w:val="18"/>
              </w:rPr>
              <w:t>T</w:t>
            </w:r>
            <w:r w:rsidRPr="005A3F47">
              <w:rPr>
                <w:noProof/>
                <w:sz w:val="22"/>
                <w:szCs w:val="18"/>
              </w:rPr>
              <w:t>ax exemption accompanied by procedural simplification</w:t>
            </w:r>
          </w:p>
        </w:tc>
        <w:tc>
          <w:tcPr>
            <w:tcW w:w="1658" w:type="dxa"/>
          </w:tcPr>
          <w:p w14:paraId="117DED5E" w14:textId="1133F531" w:rsidR="00C73007" w:rsidRPr="005A3F47" w:rsidRDefault="00C73007" w:rsidP="00C73007">
            <w:pPr>
              <w:pStyle w:val="Text2"/>
              <w:spacing w:after="0"/>
              <w:ind w:left="0"/>
              <w:jc w:val="center"/>
              <w:rPr>
                <w:noProof/>
                <w:sz w:val="22"/>
                <w:szCs w:val="18"/>
              </w:rPr>
            </w:pPr>
            <w:r w:rsidRPr="005A3F47">
              <w:rPr>
                <w:noProof/>
                <w:sz w:val="22"/>
                <w:szCs w:val="18"/>
              </w:rPr>
              <w:t>+++</w:t>
            </w:r>
          </w:p>
        </w:tc>
        <w:tc>
          <w:tcPr>
            <w:tcW w:w="1375" w:type="dxa"/>
          </w:tcPr>
          <w:p w14:paraId="2707E433" w14:textId="0D9C2E45" w:rsidR="00C73007" w:rsidRPr="005A3F47" w:rsidRDefault="00C73007" w:rsidP="00C73007">
            <w:pPr>
              <w:pStyle w:val="Text2"/>
              <w:spacing w:after="0"/>
              <w:ind w:left="0"/>
              <w:jc w:val="center"/>
              <w:rPr>
                <w:noProof/>
                <w:sz w:val="22"/>
                <w:szCs w:val="22"/>
              </w:rPr>
            </w:pPr>
            <w:r w:rsidRPr="005A3F47">
              <w:rPr>
                <w:noProof/>
                <w:sz w:val="22"/>
                <w:szCs w:val="22"/>
              </w:rPr>
              <w:t>++</w:t>
            </w:r>
          </w:p>
        </w:tc>
        <w:tc>
          <w:tcPr>
            <w:tcW w:w="1499" w:type="dxa"/>
          </w:tcPr>
          <w:p w14:paraId="74CA4314" w14:textId="77777777" w:rsidR="00C73007" w:rsidRPr="005A3F47" w:rsidRDefault="00C73007" w:rsidP="00C73007">
            <w:pPr>
              <w:pStyle w:val="Text2"/>
              <w:spacing w:after="0"/>
              <w:ind w:left="0"/>
              <w:jc w:val="center"/>
              <w:rPr>
                <w:noProof/>
                <w:sz w:val="22"/>
                <w:szCs w:val="18"/>
              </w:rPr>
            </w:pPr>
            <w:r w:rsidRPr="005A3F47">
              <w:rPr>
                <w:noProof/>
                <w:sz w:val="22"/>
                <w:szCs w:val="18"/>
              </w:rPr>
              <w:t>+++</w:t>
            </w:r>
          </w:p>
        </w:tc>
        <w:tc>
          <w:tcPr>
            <w:tcW w:w="2172" w:type="dxa"/>
          </w:tcPr>
          <w:p w14:paraId="0E7C4C35" w14:textId="77777777" w:rsidR="00C73007" w:rsidRPr="005A3F47" w:rsidRDefault="00C73007" w:rsidP="00C73007">
            <w:pPr>
              <w:pStyle w:val="Text2"/>
              <w:spacing w:after="0"/>
              <w:ind w:left="0"/>
              <w:jc w:val="center"/>
              <w:rPr>
                <w:noProof/>
                <w:sz w:val="22"/>
                <w:szCs w:val="18"/>
              </w:rPr>
            </w:pPr>
            <w:r w:rsidRPr="005A3F47">
              <w:rPr>
                <w:noProof/>
                <w:sz w:val="22"/>
                <w:szCs w:val="18"/>
              </w:rPr>
              <w:t>+++</w:t>
            </w:r>
          </w:p>
        </w:tc>
      </w:tr>
      <w:tr w:rsidR="00CD15CD" w:rsidRPr="005A3F47" w14:paraId="0062EB34" w14:textId="77777777" w:rsidTr="00283E25">
        <w:tc>
          <w:tcPr>
            <w:tcW w:w="3105" w:type="dxa"/>
            <w:shd w:val="clear" w:color="auto" w:fill="DBE5F1" w:themeFill="accent1" w:themeFillTint="33"/>
          </w:tcPr>
          <w:p w14:paraId="322272C0" w14:textId="2B8C6948" w:rsidR="00524DBF" w:rsidRPr="005A3F47" w:rsidRDefault="00524DBF">
            <w:pPr>
              <w:pStyle w:val="Text2"/>
              <w:spacing w:after="0"/>
              <w:ind w:left="0"/>
              <w:jc w:val="center"/>
              <w:rPr>
                <w:noProof/>
                <w:sz w:val="22"/>
                <w:szCs w:val="18"/>
              </w:rPr>
            </w:pPr>
            <w:r w:rsidRPr="005A3F47">
              <w:rPr>
                <w:noProof/>
                <w:sz w:val="22"/>
                <w:szCs w:val="18"/>
              </w:rPr>
              <w:t xml:space="preserve">Taxation of </w:t>
            </w:r>
            <w:r w:rsidR="005C7243" w:rsidRPr="005A3F47">
              <w:rPr>
                <w:noProof/>
                <w:sz w:val="22"/>
                <w:szCs w:val="18"/>
              </w:rPr>
              <w:t>CFCs</w:t>
            </w:r>
          </w:p>
        </w:tc>
        <w:tc>
          <w:tcPr>
            <w:tcW w:w="6704" w:type="dxa"/>
            <w:gridSpan w:val="4"/>
            <w:shd w:val="clear" w:color="auto" w:fill="EAF1DD" w:themeFill="accent3" w:themeFillTint="33"/>
          </w:tcPr>
          <w:p w14:paraId="072A649F" w14:textId="77777777" w:rsidR="00524DBF" w:rsidRPr="005A3F47" w:rsidRDefault="00524DBF">
            <w:pPr>
              <w:pStyle w:val="Text2"/>
              <w:spacing w:after="0"/>
              <w:ind w:left="0"/>
              <w:jc w:val="center"/>
              <w:rPr>
                <w:noProof/>
                <w:sz w:val="22"/>
                <w:szCs w:val="18"/>
              </w:rPr>
            </w:pPr>
          </w:p>
        </w:tc>
      </w:tr>
      <w:tr w:rsidR="00A44920" w:rsidRPr="005A3F47" w14:paraId="4DC55F3D" w14:textId="77777777" w:rsidTr="00283E25">
        <w:tc>
          <w:tcPr>
            <w:tcW w:w="3105" w:type="dxa"/>
          </w:tcPr>
          <w:p w14:paraId="6BCD091B" w14:textId="4B6F3241" w:rsidR="005C076F" w:rsidRPr="005A3F47" w:rsidRDefault="00524DBF" w:rsidP="00AD4F3A">
            <w:pPr>
              <w:pStyle w:val="Text2"/>
              <w:spacing w:after="0"/>
              <w:ind w:left="0"/>
              <w:jc w:val="left"/>
              <w:rPr>
                <w:noProof/>
                <w:sz w:val="22"/>
                <w:szCs w:val="18"/>
              </w:rPr>
            </w:pPr>
            <w:r w:rsidRPr="005A3F47">
              <w:rPr>
                <w:noProof/>
                <w:sz w:val="22"/>
                <w:szCs w:val="18"/>
              </w:rPr>
              <w:t>Option 1: Mandatory application of Model A</w:t>
            </w:r>
          </w:p>
        </w:tc>
        <w:tc>
          <w:tcPr>
            <w:tcW w:w="1658" w:type="dxa"/>
          </w:tcPr>
          <w:p w14:paraId="33E343C0" w14:textId="3B351F5A" w:rsidR="005C076F" w:rsidRPr="005A3F47" w:rsidRDefault="00C73007">
            <w:pPr>
              <w:pStyle w:val="Text2"/>
              <w:spacing w:after="0"/>
              <w:ind w:left="0"/>
              <w:jc w:val="center"/>
              <w:rPr>
                <w:noProof/>
                <w:sz w:val="22"/>
                <w:szCs w:val="18"/>
              </w:rPr>
            </w:pPr>
            <w:r w:rsidRPr="005A3F47">
              <w:rPr>
                <w:noProof/>
                <w:sz w:val="22"/>
                <w:szCs w:val="18"/>
              </w:rPr>
              <w:t>+</w:t>
            </w:r>
          </w:p>
        </w:tc>
        <w:tc>
          <w:tcPr>
            <w:tcW w:w="1375" w:type="dxa"/>
          </w:tcPr>
          <w:p w14:paraId="30AAE8CE" w14:textId="661C237B" w:rsidR="005C076F" w:rsidRPr="005A3F47" w:rsidRDefault="00C73007">
            <w:pPr>
              <w:pStyle w:val="Text2"/>
              <w:spacing w:after="0"/>
              <w:ind w:left="0"/>
              <w:jc w:val="center"/>
              <w:rPr>
                <w:noProof/>
                <w:sz w:val="22"/>
                <w:szCs w:val="18"/>
              </w:rPr>
            </w:pPr>
            <w:r w:rsidRPr="005A3F47">
              <w:rPr>
                <w:noProof/>
                <w:sz w:val="22"/>
                <w:szCs w:val="22"/>
              </w:rPr>
              <w:t>+</w:t>
            </w:r>
          </w:p>
        </w:tc>
        <w:tc>
          <w:tcPr>
            <w:tcW w:w="1499" w:type="dxa"/>
          </w:tcPr>
          <w:p w14:paraId="27B1E853" w14:textId="331482AD" w:rsidR="005C076F" w:rsidRPr="005A3F47" w:rsidRDefault="00C73007">
            <w:pPr>
              <w:pStyle w:val="Text2"/>
              <w:spacing w:after="0"/>
              <w:ind w:left="0"/>
              <w:jc w:val="center"/>
              <w:rPr>
                <w:noProof/>
                <w:sz w:val="22"/>
                <w:szCs w:val="18"/>
              </w:rPr>
            </w:pPr>
            <w:r w:rsidRPr="005A3F47">
              <w:rPr>
                <w:noProof/>
                <w:sz w:val="22"/>
                <w:szCs w:val="18"/>
              </w:rPr>
              <w:t>+++</w:t>
            </w:r>
          </w:p>
        </w:tc>
        <w:tc>
          <w:tcPr>
            <w:tcW w:w="2172" w:type="dxa"/>
          </w:tcPr>
          <w:p w14:paraId="6F2A888C" w14:textId="34E5E27E" w:rsidR="005C076F" w:rsidRPr="005A3F47" w:rsidRDefault="00C73007">
            <w:pPr>
              <w:pStyle w:val="Text2"/>
              <w:spacing w:after="0"/>
              <w:ind w:left="0"/>
              <w:jc w:val="center"/>
              <w:rPr>
                <w:noProof/>
                <w:sz w:val="22"/>
                <w:szCs w:val="18"/>
              </w:rPr>
            </w:pPr>
            <w:r w:rsidRPr="005A3F47">
              <w:rPr>
                <w:noProof/>
                <w:sz w:val="22"/>
                <w:szCs w:val="18"/>
              </w:rPr>
              <w:t>+++</w:t>
            </w:r>
          </w:p>
        </w:tc>
      </w:tr>
      <w:tr w:rsidR="00A44920" w:rsidRPr="005A3F47" w14:paraId="4E27617B" w14:textId="77777777" w:rsidTr="00283E25">
        <w:tc>
          <w:tcPr>
            <w:tcW w:w="3105" w:type="dxa"/>
          </w:tcPr>
          <w:p w14:paraId="56C46CEE" w14:textId="78B2B8BB" w:rsidR="005C076F" w:rsidRPr="005A3F47" w:rsidRDefault="00524DBF" w:rsidP="00AD4F3A">
            <w:pPr>
              <w:pStyle w:val="Text2"/>
              <w:spacing w:after="0"/>
              <w:ind w:left="0"/>
              <w:jc w:val="left"/>
              <w:rPr>
                <w:noProof/>
                <w:sz w:val="22"/>
                <w:szCs w:val="18"/>
              </w:rPr>
            </w:pPr>
            <w:r w:rsidRPr="005A3F47">
              <w:rPr>
                <w:noProof/>
                <w:sz w:val="22"/>
                <w:szCs w:val="18"/>
              </w:rPr>
              <w:t xml:space="preserve">Option 2A: </w:t>
            </w:r>
            <w:r w:rsidRPr="005A3F47" w:rsidDel="00EE789E">
              <w:rPr>
                <w:noProof/>
                <w:sz w:val="22"/>
                <w:szCs w:val="18"/>
              </w:rPr>
              <w:t xml:space="preserve">Carveout of </w:t>
            </w:r>
            <w:r w:rsidRPr="005A3F47">
              <w:rPr>
                <w:noProof/>
                <w:sz w:val="22"/>
                <w:szCs w:val="18"/>
              </w:rPr>
              <w:t xml:space="preserve">Pillar 2 </w:t>
            </w:r>
            <w:r w:rsidRPr="005A3F47" w:rsidDel="00EE789E">
              <w:rPr>
                <w:noProof/>
                <w:sz w:val="22"/>
                <w:szCs w:val="18"/>
              </w:rPr>
              <w:t>companies</w:t>
            </w:r>
          </w:p>
        </w:tc>
        <w:tc>
          <w:tcPr>
            <w:tcW w:w="1658" w:type="dxa"/>
          </w:tcPr>
          <w:p w14:paraId="4893CAA4" w14:textId="722ED383" w:rsidR="005C076F" w:rsidRPr="005A3F47" w:rsidRDefault="00C73007">
            <w:pPr>
              <w:pStyle w:val="Text2"/>
              <w:spacing w:after="0"/>
              <w:ind w:left="0"/>
              <w:jc w:val="center"/>
              <w:rPr>
                <w:noProof/>
                <w:sz w:val="22"/>
                <w:szCs w:val="18"/>
              </w:rPr>
            </w:pPr>
            <w:r w:rsidRPr="005A3F47">
              <w:rPr>
                <w:noProof/>
                <w:sz w:val="22"/>
                <w:szCs w:val="18"/>
              </w:rPr>
              <w:t>+++</w:t>
            </w:r>
          </w:p>
        </w:tc>
        <w:tc>
          <w:tcPr>
            <w:tcW w:w="1375" w:type="dxa"/>
          </w:tcPr>
          <w:p w14:paraId="68D1C9CC" w14:textId="229D57CA" w:rsidR="005C076F" w:rsidRPr="005A3F47" w:rsidRDefault="0053766D">
            <w:pPr>
              <w:pStyle w:val="Text2"/>
              <w:spacing w:after="0"/>
              <w:ind w:left="0"/>
              <w:jc w:val="center"/>
              <w:rPr>
                <w:noProof/>
                <w:sz w:val="22"/>
                <w:szCs w:val="22"/>
              </w:rPr>
            </w:pPr>
            <w:r w:rsidRPr="005A3F47">
              <w:rPr>
                <w:noProof/>
                <w:sz w:val="22"/>
                <w:szCs w:val="22"/>
              </w:rPr>
              <w:t>+</w:t>
            </w:r>
          </w:p>
        </w:tc>
        <w:tc>
          <w:tcPr>
            <w:tcW w:w="1499" w:type="dxa"/>
          </w:tcPr>
          <w:p w14:paraId="5337773E" w14:textId="24B60C9C" w:rsidR="005C076F" w:rsidRPr="005A3F47" w:rsidRDefault="70E69DBD">
            <w:pPr>
              <w:pStyle w:val="Text2"/>
              <w:spacing w:after="0"/>
              <w:ind w:left="0"/>
              <w:jc w:val="center"/>
              <w:rPr>
                <w:noProof/>
                <w:sz w:val="22"/>
                <w:szCs w:val="22"/>
              </w:rPr>
            </w:pPr>
            <w:r w:rsidRPr="005A3F47">
              <w:rPr>
                <w:noProof/>
                <w:sz w:val="22"/>
                <w:szCs w:val="22"/>
              </w:rPr>
              <w:t>+</w:t>
            </w:r>
          </w:p>
        </w:tc>
        <w:tc>
          <w:tcPr>
            <w:tcW w:w="2172" w:type="dxa"/>
          </w:tcPr>
          <w:p w14:paraId="11E66117" w14:textId="380E09BB" w:rsidR="005C076F" w:rsidRPr="005A3F47" w:rsidRDefault="00C73007">
            <w:pPr>
              <w:pStyle w:val="Text2"/>
              <w:spacing w:after="0"/>
              <w:ind w:left="0"/>
              <w:jc w:val="center"/>
              <w:rPr>
                <w:noProof/>
                <w:sz w:val="22"/>
                <w:szCs w:val="18"/>
              </w:rPr>
            </w:pPr>
            <w:r w:rsidRPr="005A3F47">
              <w:rPr>
                <w:noProof/>
                <w:sz w:val="22"/>
                <w:szCs w:val="18"/>
              </w:rPr>
              <w:t>+</w:t>
            </w:r>
          </w:p>
        </w:tc>
      </w:tr>
      <w:tr w:rsidR="00A44920" w:rsidRPr="005A3F47" w14:paraId="1B02178C" w14:textId="77777777" w:rsidTr="00283E25">
        <w:tc>
          <w:tcPr>
            <w:tcW w:w="3105" w:type="dxa"/>
          </w:tcPr>
          <w:p w14:paraId="480ED45E" w14:textId="5D0B9CE5" w:rsidR="005C076F" w:rsidRPr="005A3F47" w:rsidRDefault="00524DBF" w:rsidP="00AD4F3A">
            <w:pPr>
              <w:pStyle w:val="Text2"/>
              <w:spacing w:after="0"/>
              <w:ind w:left="0"/>
              <w:jc w:val="left"/>
              <w:rPr>
                <w:noProof/>
                <w:sz w:val="22"/>
                <w:szCs w:val="18"/>
              </w:rPr>
            </w:pPr>
            <w:r w:rsidRPr="005A3F47">
              <w:rPr>
                <w:noProof/>
                <w:sz w:val="22"/>
                <w:szCs w:val="18"/>
              </w:rPr>
              <w:t xml:space="preserve">Option 3: </w:t>
            </w:r>
            <w:r w:rsidRPr="005A3F47" w:rsidDel="00EE789E">
              <w:rPr>
                <w:noProof/>
                <w:sz w:val="22"/>
                <w:szCs w:val="18"/>
              </w:rPr>
              <w:t>Carveout of SMEs</w:t>
            </w:r>
          </w:p>
        </w:tc>
        <w:tc>
          <w:tcPr>
            <w:tcW w:w="1658" w:type="dxa"/>
          </w:tcPr>
          <w:p w14:paraId="7BF60046" w14:textId="6D581E9F" w:rsidR="005C076F" w:rsidRPr="005A3F47" w:rsidRDefault="00C73007">
            <w:pPr>
              <w:pStyle w:val="Text2"/>
              <w:spacing w:after="0"/>
              <w:ind w:left="0"/>
              <w:jc w:val="center"/>
              <w:rPr>
                <w:noProof/>
                <w:sz w:val="22"/>
                <w:szCs w:val="18"/>
              </w:rPr>
            </w:pPr>
            <w:r w:rsidRPr="005A3F47">
              <w:rPr>
                <w:noProof/>
                <w:sz w:val="22"/>
                <w:szCs w:val="18"/>
              </w:rPr>
              <w:t>+++</w:t>
            </w:r>
          </w:p>
        </w:tc>
        <w:tc>
          <w:tcPr>
            <w:tcW w:w="1375" w:type="dxa"/>
          </w:tcPr>
          <w:p w14:paraId="27756D60" w14:textId="689B988B" w:rsidR="005C076F" w:rsidRPr="005A3F47" w:rsidRDefault="00C73007">
            <w:pPr>
              <w:pStyle w:val="Text2"/>
              <w:spacing w:after="0"/>
              <w:ind w:left="0"/>
              <w:jc w:val="center"/>
              <w:rPr>
                <w:noProof/>
                <w:sz w:val="22"/>
                <w:szCs w:val="22"/>
              </w:rPr>
            </w:pPr>
            <w:r w:rsidRPr="005A3F47">
              <w:rPr>
                <w:noProof/>
                <w:sz w:val="22"/>
                <w:szCs w:val="22"/>
              </w:rPr>
              <w:t>++</w:t>
            </w:r>
          </w:p>
        </w:tc>
        <w:tc>
          <w:tcPr>
            <w:tcW w:w="1499" w:type="dxa"/>
          </w:tcPr>
          <w:p w14:paraId="5EF1BDBC" w14:textId="34380428" w:rsidR="005C076F" w:rsidRPr="005A3F47" w:rsidRDefault="00C73007">
            <w:pPr>
              <w:pStyle w:val="Text2"/>
              <w:spacing w:after="0"/>
              <w:ind w:left="0"/>
              <w:jc w:val="center"/>
              <w:rPr>
                <w:noProof/>
                <w:sz w:val="22"/>
                <w:szCs w:val="18"/>
              </w:rPr>
            </w:pPr>
            <w:r w:rsidRPr="005A3F47">
              <w:rPr>
                <w:noProof/>
                <w:sz w:val="22"/>
                <w:szCs w:val="18"/>
              </w:rPr>
              <w:t>0</w:t>
            </w:r>
          </w:p>
        </w:tc>
        <w:tc>
          <w:tcPr>
            <w:tcW w:w="2172" w:type="dxa"/>
          </w:tcPr>
          <w:p w14:paraId="7B08C889" w14:textId="62B522CB" w:rsidR="005C076F" w:rsidRPr="005A3F47" w:rsidRDefault="2F72EB30">
            <w:pPr>
              <w:pStyle w:val="Text2"/>
              <w:spacing w:after="0"/>
              <w:ind w:left="0"/>
              <w:jc w:val="center"/>
              <w:rPr>
                <w:noProof/>
                <w:sz w:val="22"/>
                <w:szCs w:val="22"/>
              </w:rPr>
            </w:pPr>
            <w:r w:rsidRPr="005A3F47">
              <w:rPr>
                <w:noProof/>
                <w:sz w:val="22"/>
                <w:szCs w:val="22"/>
              </w:rPr>
              <w:t>0</w:t>
            </w:r>
          </w:p>
        </w:tc>
      </w:tr>
      <w:tr w:rsidR="009F6235" w:rsidRPr="005A3F47" w14:paraId="27984318" w14:textId="77777777" w:rsidTr="00283E25">
        <w:tc>
          <w:tcPr>
            <w:tcW w:w="3105" w:type="dxa"/>
            <w:shd w:val="clear" w:color="auto" w:fill="DBE5F1" w:themeFill="accent1" w:themeFillTint="33"/>
          </w:tcPr>
          <w:p w14:paraId="592A1DD0" w14:textId="27ABB49C" w:rsidR="00524DBF" w:rsidRPr="005A3F47" w:rsidRDefault="00524DBF" w:rsidP="00524DBF">
            <w:pPr>
              <w:pStyle w:val="Text2"/>
              <w:spacing w:after="0"/>
              <w:ind w:left="0"/>
              <w:jc w:val="center"/>
              <w:rPr>
                <w:noProof/>
                <w:sz w:val="22"/>
                <w:szCs w:val="18"/>
              </w:rPr>
            </w:pPr>
            <w:r w:rsidRPr="005A3F47">
              <w:rPr>
                <w:noProof/>
                <w:sz w:val="22"/>
                <w:szCs w:val="18"/>
              </w:rPr>
              <w:t xml:space="preserve">Research and development </w:t>
            </w:r>
            <w:r w:rsidR="000C4720" w:rsidRPr="005A3F47">
              <w:rPr>
                <w:noProof/>
                <w:sz w:val="22"/>
                <w:szCs w:val="18"/>
              </w:rPr>
              <w:t>(R&amp;D)</w:t>
            </w:r>
          </w:p>
        </w:tc>
        <w:tc>
          <w:tcPr>
            <w:tcW w:w="6704" w:type="dxa"/>
            <w:gridSpan w:val="4"/>
            <w:shd w:val="clear" w:color="auto" w:fill="EAF1DD" w:themeFill="accent3" w:themeFillTint="33"/>
          </w:tcPr>
          <w:p w14:paraId="5B42AA9D" w14:textId="4B568CE3" w:rsidR="00524DBF" w:rsidRPr="005A3F47" w:rsidRDefault="00524DBF" w:rsidP="00524DBF">
            <w:pPr>
              <w:pStyle w:val="Text2"/>
              <w:spacing w:after="0"/>
              <w:ind w:left="0"/>
              <w:jc w:val="center"/>
              <w:rPr>
                <w:noProof/>
                <w:sz w:val="22"/>
                <w:szCs w:val="18"/>
              </w:rPr>
            </w:pPr>
          </w:p>
        </w:tc>
      </w:tr>
      <w:tr w:rsidR="00A44920" w:rsidRPr="005A3F47" w14:paraId="013F328B" w14:textId="77777777" w:rsidTr="00283E25">
        <w:tc>
          <w:tcPr>
            <w:tcW w:w="3105" w:type="dxa"/>
          </w:tcPr>
          <w:p w14:paraId="1752C571" w14:textId="5A99372B" w:rsidR="00524DBF" w:rsidRPr="005A3F47" w:rsidRDefault="00650B50" w:rsidP="00AD4F3A">
            <w:pPr>
              <w:pStyle w:val="Text2"/>
              <w:spacing w:after="0"/>
              <w:ind w:left="0"/>
              <w:jc w:val="left"/>
              <w:rPr>
                <w:noProof/>
                <w:sz w:val="22"/>
                <w:szCs w:val="18"/>
              </w:rPr>
            </w:pPr>
            <w:r w:rsidRPr="005A3F47">
              <w:rPr>
                <w:noProof/>
                <w:sz w:val="22"/>
                <w:szCs w:val="18"/>
              </w:rPr>
              <w:t xml:space="preserve">Option 1: </w:t>
            </w:r>
            <w:r w:rsidR="00C73007" w:rsidRPr="005A3F47">
              <w:rPr>
                <w:noProof/>
                <w:sz w:val="22"/>
                <w:szCs w:val="18"/>
              </w:rPr>
              <w:t>Immediate expensing for acquired tangible R&amp;D assets</w:t>
            </w:r>
          </w:p>
        </w:tc>
        <w:tc>
          <w:tcPr>
            <w:tcW w:w="1658" w:type="dxa"/>
          </w:tcPr>
          <w:p w14:paraId="5D6D2BBC" w14:textId="6D50691D" w:rsidR="00524DBF" w:rsidRPr="005A3F47" w:rsidRDefault="457E85A0" w:rsidP="00524DBF">
            <w:pPr>
              <w:pStyle w:val="Text2"/>
              <w:spacing w:after="0"/>
              <w:ind w:left="0"/>
              <w:jc w:val="center"/>
              <w:rPr>
                <w:noProof/>
                <w:sz w:val="22"/>
                <w:szCs w:val="22"/>
              </w:rPr>
            </w:pPr>
            <w:r w:rsidRPr="005A3F47">
              <w:rPr>
                <w:noProof/>
                <w:sz w:val="22"/>
                <w:szCs w:val="22"/>
              </w:rPr>
              <w:t>+</w:t>
            </w:r>
          </w:p>
        </w:tc>
        <w:tc>
          <w:tcPr>
            <w:tcW w:w="1375" w:type="dxa"/>
          </w:tcPr>
          <w:p w14:paraId="4033A12A" w14:textId="77777777" w:rsidR="00524DBF" w:rsidRPr="005A3F47" w:rsidRDefault="00524DBF" w:rsidP="00524DBF">
            <w:pPr>
              <w:pStyle w:val="Text2"/>
              <w:spacing w:after="0"/>
              <w:ind w:left="0"/>
              <w:jc w:val="center"/>
              <w:rPr>
                <w:noProof/>
                <w:sz w:val="22"/>
                <w:szCs w:val="22"/>
              </w:rPr>
            </w:pPr>
            <w:r w:rsidRPr="005A3F47">
              <w:rPr>
                <w:noProof/>
                <w:sz w:val="22"/>
                <w:szCs w:val="22"/>
              </w:rPr>
              <w:t>+</w:t>
            </w:r>
          </w:p>
        </w:tc>
        <w:tc>
          <w:tcPr>
            <w:tcW w:w="1499" w:type="dxa"/>
          </w:tcPr>
          <w:p w14:paraId="17BAA83E" w14:textId="759A9465" w:rsidR="00524DBF" w:rsidRPr="005A3F47" w:rsidRDefault="00524DBF" w:rsidP="00524DBF">
            <w:pPr>
              <w:pStyle w:val="Text2"/>
              <w:spacing w:after="0"/>
              <w:ind w:left="0"/>
              <w:jc w:val="center"/>
              <w:rPr>
                <w:noProof/>
                <w:sz w:val="22"/>
                <w:szCs w:val="18"/>
              </w:rPr>
            </w:pPr>
            <w:r w:rsidRPr="005A3F47">
              <w:rPr>
                <w:noProof/>
                <w:sz w:val="22"/>
                <w:szCs w:val="18"/>
              </w:rPr>
              <w:t>++</w:t>
            </w:r>
            <w:r w:rsidR="000572A8" w:rsidRPr="005A3F47">
              <w:rPr>
                <w:noProof/>
                <w:sz w:val="22"/>
                <w:szCs w:val="18"/>
              </w:rPr>
              <w:t>+</w:t>
            </w:r>
          </w:p>
        </w:tc>
        <w:tc>
          <w:tcPr>
            <w:tcW w:w="2172" w:type="dxa"/>
          </w:tcPr>
          <w:p w14:paraId="6ED52026" w14:textId="3F2E0F96" w:rsidR="00524DBF" w:rsidRPr="005A3F47" w:rsidRDefault="00524DBF" w:rsidP="00524DBF">
            <w:pPr>
              <w:pStyle w:val="Text2"/>
              <w:spacing w:after="0"/>
              <w:ind w:left="0"/>
              <w:jc w:val="center"/>
              <w:rPr>
                <w:noProof/>
                <w:sz w:val="22"/>
                <w:szCs w:val="18"/>
              </w:rPr>
            </w:pPr>
            <w:r w:rsidRPr="005A3F47">
              <w:rPr>
                <w:noProof/>
                <w:sz w:val="22"/>
                <w:szCs w:val="18"/>
              </w:rPr>
              <w:t>++</w:t>
            </w:r>
            <w:r w:rsidR="000572A8" w:rsidRPr="005A3F47">
              <w:rPr>
                <w:noProof/>
                <w:sz w:val="22"/>
                <w:szCs w:val="18"/>
              </w:rPr>
              <w:t>+</w:t>
            </w:r>
          </w:p>
        </w:tc>
      </w:tr>
      <w:tr w:rsidR="00CD15CD" w:rsidRPr="005A3F47" w14:paraId="46F0EBB4" w14:textId="77777777" w:rsidTr="00283E25">
        <w:tc>
          <w:tcPr>
            <w:tcW w:w="3105" w:type="dxa"/>
            <w:shd w:val="clear" w:color="auto" w:fill="DBE5F1" w:themeFill="accent1" w:themeFillTint="33"/>
          </w:tcPr>
          <w:p w14:paraId="70829ECA" w14:textId="1451709B" w:rsidR="00524DBF" w:rsidRPr="005A3F47" w:rsidRDefault="00524DBF" w:rsidP="00524DBF">
            <w:pPr>
              <w:pStyle w:val="Text2"/>
              <w:spacing w:after="0"/>
              <w:ind w:left="0"/>
              <w:jc w:val="center"/>
              <w:rPr>
                <w:noProof/>
                <w:sz w:val="22"/>
                <w:szCs w:val="22"/>
              </w:rPr>
            </w:pPr>
            <w:r w:rsidRPr="005A3F47">
              <w:rPr>
                <w:noProof/>
                <w:sz w:val="22"/>
                <w:szCs w:val="22"/>
              </w:rPr>
              <w:t xml:space="preserve">Interest </w:t>
            </w:r>
            <w:r w:rsidR="003252ED" w:rsidRPr="005A3F47">
              <w:rPr>
                <w:noProof/>
                <w:sz w:val="22"/>
                <w:szCs w:val="22"/>
              </w:rPr>
              <w:t>L</w:t>
            </w:r>
            <w:r w:rsidRPr="005A3F47">
              <w:rPr>
                <w:noProof/>
                <w:sz w:val="22"/>
                <w:szCs w:val="22"/>
              </w:rPr>
              <w:t xml:space="preserve">imitation </w:t>
            </w:r>
            <w:r w:rsidR="003252ED" w:rsidRPr="005A3F47">
              <w:rPr>
                <w:noProof/>
                <w:sz w:val="22"/>
                <w:szCs w:val="22"/>
              </w:rPr>
              <w:t>R</w:t>
            </w:r>
            <w:r w:rsidRPr="005A3F47">
              <w:rPr>
                <w:noProof/>
                <w:sz w:val="22"/>
                <w:szCs w:val="22"/>
              </w:rPr>
              <w:t>ule</w:t>
            </w:r>
          </w:p>
        </w:tc>
        <w:tc>
          <w:tcPr>
            <w:tcW w:w="6704" w:type="dxa"/>
            <w:gridSpan w:val="4"/>
            <w:shd w:val="clear" w:color="auto" w:fill="EAF1DD" w:themeFill="accent3" w:themeFillTint="33"/>
          </w:tcPr>
          <w:p w14:paraId="59C71EAE" w14:textId="24FD20A6" w:rsidR="00524DBF" w:rsidRPr="005A3F47" w:rsidRDefault="00524DBF" w:rsidP="00524DBF">
            <w:pPr>
              <w:pStyle w:val="Text2"/>
              <w:spacing w:after="0"/>
              <w:ind w:left="0"/>
              <w:jc w:val="center"/>
              <w:rPr>
                <w:noProof/>
                <w:sz w:val="22"/>
                <w:szCs w:val="18"/>
              </w:rPr>
            </w:pPr>
          </w:p>
        </w:tc>
      </w:tr>
      <w:tr w:rsidR="00A44920" w:rsidRPr="005A3F47" w14:paraId="743E2754" w14:textId="77777777" w:rsidTr="00283E25">
        <w:tc>
          <w:tcPr>
            <w:tcW w:w="3105" w:type="dxa"/>
          </w:tcPr>
          <w:p w14:paraId="238F20D9" w14:textId="15EEA41E" w:rsidR="001E1429" w:rsidRPr="005A3F47" w:rsidRDefault="001E1429" w:rsidP="00AD4F3A">
            <w:pPr>
              <w:pStyle w:val="Text2"/>
              <w:spacing w:after="0"/>
              <w:ind w:left="0"/>
              <w:jc w:val="left"/>
              <w:rPr>
                <w:noProof/>
                <w:sz w:val="22"/>
                <w:szCs w:val="18"/>
              </w:rPr>
            </w:pPr>
            <w:r w:rsidRPr="005A3F47">
              <w:rPr>
                <w:noProof/>
                <w:sz w:val="22"/>
                <w:szCs w:val="18"/>
              </w:rPr>
              <w:t xml:space="preserve">Option 1: </w:t>
            </w:r>
            <w:r w:rsidRPr="005A3F47" w:rsidDel="00EE789E">
              <w:rPr>
                <w:noProof/>
                <w:sz w:val="22"/>
                <w:szCs w:val="18"/>
              </w:rPr>
              <w:t>C</w:t>
            </w:r>
            <w:r w:rsidRPr="005A3F47">
              <w:rPr>
                <w:noProof/>
                <w:sz w:val="22"/>
                <w:szCs w:val="18"/>
              </w:rPr>
              <w:t>arveout</w:t>
            </w:r>
            <w:r w:rsidRPr="005A3F47" w:rsidDel="00EE789E">
              <w:rPr>
                <w:noProof/>
                <w:sz w:val="22"/>
                <w:szCs w:val="18"/>
              </w:rPr>
              <w:t xml:space="preserve"> of SMEs</w:t>
            </w:r>
          </w:p>
        </w:tc>
        <w:tc>
          <w:tcPr>
            <w:tcW w:w="1658" w:type="dxa"/>
          </w:tcPr>
          <w:p w14:paraId="44EBF11C" w14:textId="5E8CF02F"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375" w:type="dxa"/>
          </w:tcPr>
          <w:p w14:paraId="2A8D9591" w14:textId="42AABA99" w:rsidR="001E1429" w:rsidRPr="005A3F47" w:rsidRDefault="001E1429" w:rsidP="001E1429">
            <w:pPr>
              <w:pStyle w:val="Text2"/>
              <w:spacing w:after="0"/>
              <w:ind w:left="0"/>
              <w:jc w:val="center"/>
              <w:rPr>
                <w:noProof/>
                <w:sz w:val="22"/>
                <w:szCs w:val="18"/>
              </w:rPr>
            </w:pPr>
            <w:r w:rsidRPr="005A3F47">
              <w:rPr>
                <w:noProof/>
                <w:sz w:val="22"/>
                <w:szCs w:val="22"/>
              </w:rPr>
              <w:t>+</w:t>
            </w:r>
            <w:r w:rsidR="50CA6E0F" w:rsidRPr="005A3F47">
              <w:rPr>
                <w:noProof/>
                <w:sz w:val="22"/>
                <w:szCs w:val="22"/>
              </w:rPr>
              <w:t>+</w:t>
            </w:r>
          </w:p>
        </w:tc>
        <w:tc>
          <w:tcPr>
            <w:tcW w:w="1499" w:type="dxa"/>
          </w:tcPr>
          <w:p w14:paraId="14AF9FB7" w14:textId="413D10EC" w:rsidR="001E1429" w:rsidRPr="005A3F47" w:rsidRDefault="00232357" w:rsidP="001E1429">
            <w:pPr>
              <w:pStyle w:val="Text2"/>
              <w:spacing w:after="0"/>
              <w:ind w:left="0"/>
              <w:jc w:val="center"/>
              <w:rPr>
                <w:noProof/>
                <w:sz w:val="22"/>
                <w:szCs w:val="22"/>
              </w:rPr>
            </w:pPr>
            <w:r>
              <w:rPr>
                <w:noProof/>
                <w:sz w:val="22"/>
                <w:szCs w:val="22"/>
              </w:rPr>
              <w:t>+</w:t>
            </w:r>
          </w:p>
        </w:tc>
        <w:tc>
          <w:tcPr>
            <w:tcW w:w="2172" w:type="dxa"/>
          </w:tcPr>
          <w:p w14:paraId="308EE043" w14:textId="67E3CDD7" w:rsidR="001E1429" w:rsidRPr="005A3F47" w:rsidRDefault="00232357" w:rsidP="001E1429">
            <w:pPr>
              <w:pStyle w:val="Text2"/>
              <w:spacing w:after="0"/>
              <w:ind w:left="0"/>
              <w:jc w:val="center"/>
              <w:rPr>
                <w:noProof/>
                <w:sz w:val="22"/>
                <w:szCs w:val="22"/>
              </w:rPr>
            </w:pPr>
            <w:r>
              <w:rPr>
                <w:noProof/>
                <w:sz w:val="22"/>
                <w:szCs w:val="22"/>
              </w:rPr>
              <w:t>+</w:t>
            </w:r>
          </w:p>
        </w:tc>
      </w:tr>
      <w:tr w:rsidR="00A44920" w:rsidRPr="005A3F47" w14:paraId="7FBB5C7B" w14:textId="77777777" w:rsidTr="00283E25">
        <w:tc>
          <w:tcPr>
            <w:tcW w:w="3105" w:type="dxa"/>
          </w:tcPr>
          <w:p w14:paraId="445A7856" w14:textId="4F6765BF" w:rsidR="001E1429" w:rsidRPr="005A3F47" w:rsidRDefault="001E1429" w:rsidP="00AD4F3A">
            <w:pPr>
              <w:pStyle w:val="Text2"/>
              <w:spacing w:after="0"/>
              <w:ind w:left="0"/>
              <w:jc w:val="left"/>
              <w:rPr>
                <w:noProof/>
                <w:sz w:val="22"/>
                <w:szCs w:val="18"/>
              </w:rPr>
            </w:pPr>
            <w:r w:rsidRPr="005A3F47">
              <w:rPr>
                <w:noProof/>
                <w:sz w:val="22"/>
                <w:szCs w:val="18"/>
              </w:rPr>
              <w:t>Option 2: Mandatory application of 30% EBITDA cap</w:t>
            </w:r>
          </w:p>
        </w:tc>
        <w:tc>
          <w:tcPr>
            <w:tcW w:w="1658" w:type="dxa"/>
          </w:tcPr>
          <w:p w14:paraId="5DC7566E" w14:textId="4459FDB1"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375" w:type="dxa"/>
          </w:tcPr>
          <w:p w14:paraId="434B95F9" w14:textId="28F5CF17" w:rsidR="001E1429" w:rsidRPr="005A3F47" w:rsidRDefault="001E1429" w:rsidP="001E1429">
            <w:pPr>
              <w:pStyle w:val="Text2"/>
              <w:spacing w:after="0"/>
              <w:ind w:left="0"/>
              <w:jc w:val="center"/>
              <w:rPr>
                <w:noProof/>
                <w:sz w:val="22"/>
                <w:szCs w:val="18"/>
              </w:rPr>
            </w:pPr>
            <w:r w:rsidRPr="005A3F47">
              <w:rPr>
                <w:noProof/>
                <w:sz w:val="22"/>
                <w:szCs w:val="18"/>
              </w:rPr>
              <w:t>0</w:t>
            </w:r>
          </w:p>
        </w:tc>
        <w:tc>
          <w:tcPr>
            <w:tcW w:w="1499" w:type="dxa"/>
          </w:tcPr>
          <w:p w14:paraId="45C54D65" w14:textId="5182EC16"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2172" w:type="dxa"/>
          </w:tcPr>
          <w:p w14:paraId="3D36F0A9" w14:textId="1227D333" w:rsidR="001E1429" w:rsidRPr="005A3F47" w:rsidRDefault="001E1429" w:rsidP="001E1429">
            <w:pPr>
              <w:pStyle w:val="Text2"/>
              <w:spacing w:after="0"/>
              <w:ind w:left="0"/>
              <w:jc w:val="center"/>
              <w:rPr>
                <w:noProof/>
                <w:sz w:val="22"/>
                <w:szCs w:val="18"/>
              </w:rPr>
            </w:pPr>
            <w:r w:rsidRPr="005A3F47">
              <w:rPr>
                <w:noProof/>
                <w:sz w:val="22"/>
                <w:szCs w:val="18"/>
              </w:rPr>
              <w:t>++</w:t>
            </w:r>
          </w:p>
        </w:tc>
      </w:tr>
      <w:tr w:rsidR="00A44920" w:rsidRPr="005A3F47" w14:paraId="0C34D7DB" w14:textId="77777777" w:rsidTr="00283E25">
        <w:tc>
          <w:tcPr>
            <w:tcW w:w="3105" w:type="dxa"/>
          </w:tcPr>
          <w:p w14:paraId="17ED471A" w14:textId="35D7D088" w:rsidR="001E1429" w:rsidRPr="005A3F47" w:rsidRDefault="001E1429" w:rsidP="00AD4F3A">
            <w:pPr>
              <w:pStyle w:val="Text2"/>
              <w:spacing w:after="0"/>
              <w:ind w:left="0"/>
              <w:jc w:val="left"/>
              <w:rPr>
                <w:noProof/>
                <w:sz w:val="22"/>
                <w:szCs w:val="18"/>
              </w:rPr>
            </w:pPr>
            <w:r w:rsidRPr="005A3F47">
              <w:rPr>
                <w:noProof/>
                <w:sz w:val="22"/>
                <w:szCs w:val="18"/>
              </w:rPr>
              <w:t>Option 3: Reduce implementation options</w:t>
            </w:r>
          </w:p>
        </w:tc>
        <w:tc>
          <w:tcPr>
            <w:tcW w:w="1658" w:type="dxa"/>
          </w:tcPr>
          <w:p w14:paraId="04CD803F" w14:textId="3367BC43" w:rsidR="001E1429" w:rsidRPr="005A3F47" w:rsidRDefault="001E1429" w:rsidP="001E1429">
            <w:pPr>
              <w:pStyle w:val="Text2"/>
              <w:spacing w:after="0"/>
              <w:ind w:left="0"/>
              <w:jc w:val="center"/>
              <w:rPr>
                <w:noProof/>
                <w:sz w:val="22"/>
                <w:szCs w:val="18"/>
              </w:rPr>
            </w:pPr>
            <w:r w:rsidRPr="005A3F47">
              <w:rPr>
                <w:noProof/>
                <w:sz w:val="22"/>
                <w:szCs w:val="18"/>
              </w:rPr>
              <w:t>0</w:t>
            </w:r>
          </w:p>
        </w:tc>
        <w:tc>
          <w:tcPr>
            <w:tcW w:w="1375" w:type="dxa"/>
          </w:tcPr>
          <w:p w14:paraId="5ABDB585" w14:textId="2DAE1B6D"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499" w:type="dxa"/>
          </w:tcPr>
          <w:p w14:paraId="3AE997D8" w14:textId="2AE149CD" w:rsidR="001E1429" w:rsidRPr="005A3F47" w:rsidRDefault="001E1429" w:rsidP="001E1429">
            <w:pPr>
              <w:pStyle w:val="Text2"/>
              <w:spacing w:after="0"/>
              <w:ind w:left="0"/>
              <w:jc w:val="center"/>
              <w:rPr>
                <w:noProof/>
                <w:sz w:val="22"/>
                <w:szCs w:val="22"/>
              </w:rPr>
            </w:pPr>
            <w:r w:rsidRPr="005A3F47">
              <w:rPr>
                <w:noProof/>
                <w:sz w:val="22"/>
                <w:szCs w:val="22"/>
              </w:rPr>
              <w:t>++</w:t>
            </w:r>
            <w:r w:rsidR="706E14ED" w:rsidRPr="005A3F47">
              <w:rPr>
                <w:noProof/>
                <w:sz w:val="22"/>
                <w:szCs w:val="22"/>
              </w:rPr>
              <w:t>+</w:t>
            </w:r>
          </w:p>
        </w:tc>
        <w:tc>
          <w:tcPr>
            <w:tcW w:w="2172" w:type="dxa"/>
          </w:tcPr>
          <w:p w14:paraId="2E72FBDB" w14:textId="534BC347" w:rsidR="001E1429" w:rsidRPr="005A3F47" w:rsidRDefault="001E1429" w:rsidP="001E1429">
            <w:pPr>
              <w:pStyle w:val="Text2"/>
              <w:spacing w:after="0"/>
              <w:ind w:left="0"/>
              <w:jc w:val="center"/>
              <w:rPr>
                <w:noProof/>
                <w:sz w:val="22"/>
                <w:szCs w:val="18"/>
              </w:rPr>
            </w:pPr>
            <w:r w:rsidRPr="005A3F47">
              <w:rPr>
                <w:noProof/>
                <w:sz w:val="22"/>
                <w:szCs w:val="18"/>
              </w:rPr>
              <w:t>++</w:t>
            </w:r>
          </w:p>
        </w:tc>
      </w:tr>
      <w:tr w:rsidR="00A44920" w:rsidRPr="005A3F47" w14:paraId="727511CD" w14:textId="77777777" w:rsidTr="00283E25">
        <w:tc>
          <w:tcPr>
            <w:tcW w:w="3105" w:type="dxa"/>
          </w:tcPr>
          <w:p w14:paraId="676593F9" w14:textId="42AFAF06" w:rsidR="001E1429" w:rsidRPr="005A3F47" w:rsidRDefault="001E1429" w:rsidP="00AD4F3A">
            <w:pPr>
              <w:pStyle w:val="Text2"/>
              <w:spacing w:after="0"/>
              <w:ind w:left="0"/>
              <w:jc w:val="left"/>
              <w:rPr>
                <w:noProof/>
                <w:sz w:val="22"/>
                <w:szCs w:val="22"/>
              </w:rPr>
            </w:pPr>
            <w:r w:rsidRPr="005A3F47">
              <w:rPr>
                <w:noProof/>
                <w:sz w:val="22"/>
                <w:szCs w:val="22"/>
              </w:rPr>
              <w:t xml:space="preserve">Option 4: </w:t>
            </w:r>
            <w:r w:rsidRPr="005A3F47" w:rsidDel="00EE789E">
              <w:rPr>
                <w:noProof/>
                <w:sz w:val="22"/>
                <w:szCs w:val="22"/>
              </w:rPr>
              <w:t xml:space="preserve">Carveout of </w:t>
            </w:r>
            <w:r w:rsidR="001D5236" w:rsidRPr="005A3F47">
              <w:rPr>
                <w:noProof/>
                <w:sz w:val="22"/>
                <w:szCs w:val="22"/>
              </w:rPr>
              <w:t>low</w:t>
            </w:r>
            <w:r w:rsidR="7FCFB6F9" w:rsidRPr="005A3F47">
              <w:rPr>
                <w:noProof/>
                <w:sz w:val="22"/>
                <w:szCs w:val="22"/>
              </w:rPr>
              <w:t>-</w:t>
            </w:r>
            <w:r w:rsidR="001D5236" w:rsidRPr="005A3F47">
              <w:rPr>
                <w:noProof/>
                <w:sz w:val="22"/>
                <w:szCs w:val="22"/>
              </w:rPr>
              <w:t xml:space="preserve">risk </w:t>
            </w:r>
            <w:r w:rsidRPr="005A3F47" w:rsidDel="00EE789E">
              <w:rPr>
                <w:noProof/>
                <w:sz w:val="22"/>
                <w:szCs w:val="22"/>
              </w:rPr>
              <w:t>third-party loans</w:t>
            </w:r>
          </w:p>
        </w:tc>
        <w:tc>
          <w:tcPr>
            <w:tcW w:w="1658" w:type="dxa"/>
          </w:tcPr>
          <w:p w14:paraId="3EEAB470" w14:textId="41A31D0A"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375" w:type="dxa"/>
          </w:tcPr>
          <w:p w14:paraId="4D1905A0" w14:textId="299DF282"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499" w:type="dxa"/>
          </w:tcPr>
          <w:p w14:paraId="53F9BC44" w14:textId="2B6D31F4" w:rsidR="001E1429" w:rsidRPr="005A3F47" w:rsidRDefault="001E1429" w:rsidP="001E1429">
            <w:pPr>
              <w:pStyle w:val="Text2"/>
              <w:spacing w:after="0"/>
              <w:ind w:left="0"/>
              <w:jc w:val="center"/>
              <w:rPr>
                <w:noProof/>
                <w:sz w:val="22"/>
                <w:szCs w:val="18"/>
              </w:rPr>
            </w:pPr>
            <w:r w:rsidRPr="005A3F47">
              <w:rPr>
                <w:noProof/>
                <w:sz w:val="22"/>
                <w:szCs w:val="18"/>
              </w:rPr>
              <w:t>0</w:t>
            </w:r>
          </w:p>
        </w:tc>
        <w:tc>
          <w:tcPr>
            <w:tcW w:w="2172" w:type="dxa"/>
          </w:tcPr>
          <w:p w14:paraId="2EB8612F" w14:textId="61BE7987" w:rsidR="001E1429" w:rsidRPr="005A3F47" w:rsidRDefault="27407FD0" w:rsidP="001E1429">
            <w:pPr>
              <w:pStyle w:val="Text2"/>
              <w:spacing w:after="0"/>
              <w:ind w:left="0"/>
              <w:jc w:val="center"/>
              <w:rPr>
                <w:noProof/>
                <w:sz w:val="22"/>
                <w:szCs w:val="22"/>
              </w:rPr>
            </w:pPr>
            <w:r w:rsidRPr="005A3F47">
              <w:rPr>
                <w:noProof/>
                <w:sz w:val="22"/>
                <w:szCs w:val="22"/>
              </w:rPr>
              <w:t>0</w:t>
            </w:r>
          </w:p>
        </w:tc>
      </w:tr>
      <w:tr w:rsidR="00A44920" w:rsidRPr="005A3F47" w14:paraId="60BE11B3" w14:textId="77777777" w:rsidTr="00283E25">
        <w:tc>
          <w:tcPr>
            <w:tcW w:w="3105" w:type="dxa"/>
          </w:tcPr>
          <w:p w14:paraId="35E9FAF5" w14:textId="72581562" w:rsidR="001E1429" w:rsidRPr="005A3F47" w:rsidRDefault="001E1429" w:rsidP="00AD4F3A">
            <w:pPr>
              <w:pStyle w:val="Text2"/>
              <w:spacing w:after="0"/>
              <w:ind w:left="0"/>
              <w:jc w:val="left"/>
              <w:rPr>
                <w:noProof/>
                <w:sz w:val="22"/>
                <w:szCs w:val="18"/>
              </w:rPr>
            </w:pPr>
            <w:r w:rsidRPr="005A3F47">
              <w:rPr>
                <w:noProof/>
                <w:sz w:val="22"/>
                <w:szCs w:val="18"/>
              </w:rPr>
              <w:t>Option 5: Exemption in case of profitability shock</w:t>
            </w:r>
          </w:p>
        </w:tc>
        <w:tc>
          <w:tcPr>
            <w:tcW w:w="1658" w:type="dxa"/>
          </w:tcPr>
          <w:p w14:paraId="6C4D5C19" w14:textId="1B50E14C"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375" w:type="dxa"/>
          </w:tcPr>
          <w:p w14:paraId="6ED315C7" w14:textId="358FA70E"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1499" w:type="dxa"/>
          </w:tcPr>
          <w:p w14:paraId="32F7664F" w14:textId="402C6BA9" w:rsidR="001E1429" w:rsidRPr="005A3F47" w:rsidRDefault="001E1429" w:rsidP="001E1429">
            <w:pPr>
              <w:pStyle w:val="Text2"/>
              <w:spacing w:after="0"/>
              <w:ind w:left="0"/>
              <w:jc w:val="center"/>
              <w:rPr>
                <w:noProof/>
                <w:sz w:val="22"/>
                <w:szCs w:val="18"/>
              </w:rPr>
            </w:pPr>
            <w:r w:rsidRPr="005A3F47">
              <w:rPr>
                <w:noProof/>
                <w:sz w:val="22"/>
                <w:szCs w:val="18"/>
              </w:rPr>
              <w:t>++</w:t>
            </w:r>
          </w:p>
        </w:tc>
        <w:tc>
          <w:tcPr>
            <w:tcW w:w="2172" w:type="dxa"/>
          </w:tcPr>
          <w:p w14:paraId="581CB7A5" w14:textId="6F092448" w:rsidR="001E1429" w:rsidRPr="005A3F47" w:rsidRDefault="001E1429" w:rsidP="001E1429">
            <w:pPr>
              <w:pStyle w:val="Text2"/>
              <w:spacing w:after="0"/>
              <w:ind w:left="0"/>
              <w:jc w:val="center"/>
              <w:rPr>
                <w:noProof/>
                <w:sz w:val="22"/>
                <w:szCs w:val="18"/>
              </w:rPr>
            </w:pPr>
            <w:r w:rsidRPr="005A3F47">
              <w:rPr>
                <w:noProof/>
                <w:sz w:val="22"/>
                <w:szCs w:val="22"/>
              </w:rPr>
              <w:t>+</w:t>
            </w:r>
          </w:p>
        </w:tc>
      </w:tr>
      <w:tr w:rsidR="00232324" w:rsidRPr="005A3F47" w14:paraId="24D0C24E" w14:textId="77777777" w:rsidTr="00283E25">
        <w:tc>
          <w:tcPr>
            <w:tcW w:w="3105" w:type="dxa"/>
            <w:shd w:val="clear" w:color="auto" w:fill="DBE5F1" w:themeFill="accent1" w:themeFillTint="33"/>
          </w:tcPr>
          <w:p w14:paraId="0F77BC2D" w14:textId="77777777" w:rsidR="00524DBF" w:rsidRPr="005A3F47" w:rsidRDefault="00524DBF" w:rsidP="00524DBF">
            <w:pPr>
              <w:pStyle w:val="Text2"/>
              <w:spacing w:after="0"/>
              <w:ind w:left="0"/>
              <w:jc w:val="center"/>
              <w:rPr>
                <w:noProof/>
                <w:sz w:val="22"/>
                <w:szCs w:val="18"/>
              </w:rPr>
            </w:pPr>
            <w:r w:rsidRPr="005A3F47">
              <w:rPr>
                <w:noProof/>
                <w:sz w:val="22"/>
                <w:szCs w:val="18"/>
              </w:rPr>
              <w:t>Hybrid mismatches</w:t>
            </w:r>
          </w:p>
        </w:tc>
        <w:tc>
          <w:tcPr>
            <w:tcW w:w="6704" w:type="dxa"/>
            <w:gridSpan w:val="4"/>
            <w:shd w:val="clear" w:color="auto" w:fill="EAF1DD" w:themeFill="accent3" w:themeFillTint="33"/>
          </w:tcPr>
          <w:p w14:paraId="7F7ACB28" w14:textId="77777777" w:rsidR="00524DBF" w:rsidRPr="005A3F47" w:rsidRDefault="00524DBF" w:rsidP="00524DBF">
            <w:pPr>
              <w:pStyle w:val="Text2"/>
              <w:spacing w:after="0"/>
              <w:ind w:left="0"/>
              <w:jc w:val="center"/>
              <w:rPr>
                <w:noProof/>
                <w:sz w:val="22"/>
                <w:szCs w:val="18"/>
              </w:rPr>
            </w:pPr>
          </w:p>
        </w:tc>
      </w:tr>
      <w:tr w:rsidR="00A44920" w:rsidRPr="005A3F47" w14:paraId="1B94B983" w14:textId="77777777" w:rsidTr="00283E25">
        <w:tc>
          <w:tcPr>
            <w:tcW w:w="3105" w:type="dxa"/>
          </w:tcPr>
          <w:p w14:paraId="77BAFF14" w14:textId="74546165" w:rsidR="00524DBF" w:rsidRPr="005A3F47" w:rsidRDefault="00650B50" w:rsidP="00AD4F3A">
            <w:pPr>
              <w:pStyle w:val="Text2"/>
              <w:spacing w:after="0"/>
              <w:ind w:left="0"/>
              <w:jc w:val="left"/>
              <w:rPr>
                <w:noProof/>
                <w:sz w:val="22"/>
                <w:szCs w:val="22"/>
              </w:rPr>
            </w:pPr>
            <w:r w:rsidRPr="005A3F47">
              <w:rPr>
                <w:noProof/>
                <w:sz w:val="22"/>
                <w:szCs w:val="22"/>
              </w:rPr>
              <w:t>Option 1</w:t>
            </w:r>
            <w:r w:rsidR="00B71D53" w:rsidRPr="005A3F47">
              <w:rPr>
                <w:noProof/>
                <w:sz w:val="22"/>
                <w:szCs w:val="22"/>
              </w:rPr>
              <w:t>A</w:t>
            </w:r>
            <w:r w:rsidRPr="005A3F47">
              <w:rPr>
                <w:noProof/>
                <w:sz w:val="22"/>
                <w:szCs w:val="22"/>
              </w:rPr>
              <w:t xml:space="preserve">: </w:t>
            </w:r>
            <w:r w:rsidR="00524DBF" w:rsidRPr="005A3F47">
              <w:rPr>
                <w:noProof/>
                <w:sz w:val="22"/>
                <w:szCs w:val="22"/>
              </w:rPr>
              <w:t>Abolish imported mismatch rules</w:t>
            </w:r>
          </w:p>
        </w:tc>
        <w:tc>
          <w:tcPr>
            <w:tcW w:w="1658" w:type="dxa"/>
          </w:tcPr>
          <w:p w14:paraId="5BD88CD0" w14:textId="60E13814" w:rsidR="00524DBF" w:rsidRPr="005A3F47" w:rsidRDefault="001154FD" w:rsidP="00524DBF">
            <w:pPr>
              <w:pStyle w:val="Text2"/>
              <w:spacing w:after="0"/>
              <w:ind w:left="0"/>
              <w:jc w:val="center"/>
              <w:rPr>
                <w:noProof/>
                <w:sz w:val="22"/>
                <w:szCs w:val="18"/>
              </w:rPr>
            </w:pPr>
            <w:r w:rsidRPr="005A3F47">
              <w:rPr>
                <w:noProof/>
                <w:sz w:val="22"/>
                <w:szCs w:val="18"/>
              </w:rPr>
              <w:t>+++</w:t>
            </w:r>
          </w:p>
        </w:tc>
        <w:tc>
          <w:tcPr>
            <w:tcW w:w="1375" w:type="dxa"/>
          </w:tcPr>
          <w:p w14:paraId="1D9EECCB" w14:textId="34F176D1" w:rsidR="00524DBF" w:rsidRPr="005A3F47" w:rsidRDefault="001154FD" w:rsidP="00524DBF">
            <w:pPr>
              <w:pStyle w:val="Text2"/>
              <w:spacing w:after="0"/>
              <w:ind w:left="0"/>
              <w:jc w:val="center"/>
              <w:rPr>
                <w:noProof/>
                <w:sz w:val="22"/>
                <w:szCs w:val="18"/>
              </w:rPr>
            </w:pPr>
            <w:r w:rsidRPr="005A3F47">
              <w:rPr>
                <w:noProof/>
                <w:sz w:val="22"/>
                <w:szCs w:val="18"/>
              </w:rPr>
              <w:t>+</w:t>
            </w:r>
          </w:p>
        </w:tc>
        <w:tc>
          <w:tcPr>
            <w:tcW w:w="1499" w:type="dxa"/>
          </w:tcPr>
          <w:p w14:paraId="74EEEA6E" w14:textId="5B699230" w:rsidR="00524DBF" w:rsidRPr="005A3F47" w:rsidRDefault="001154FD" w:rsidP="00524DBF">
            <w:pPr>
              <w:pStyle w:val="Text2"/>
              <w:spacing w:after="0"/>
              <w:ind w:left="0"/>
              <w:jc w:val="center"/>
              <w:rPr>
                <w:noProof/>
                <w:sz w:val="22"/>
                <w:szCs w:val="18"/>
              </w:rPr>
            </w:pPr>
            <w:r w:rsidRPr="005A3F47">
              <w:rPr>
                <w:noProof/>
                <w:sz w:val="22"/>
                <w:szCs w:val="18"/>
              </w:rPr>
              <w:t>0</w:t>
            </w:r>
          </w:p>
        </w:tc>
        <w:tc>
          <w:tcPr>
            <w:tcW w:w="2172" w:type="dxa"/>
          </w:tcPr>
          <w:p w14:paraId="0CA47121" w14:textId="6C89F022" w:rsidR="00524DBF" w:rsidRPr="005A3F47" w:rsidRDefault="001154FD" w:rsidP="00524DBF">
            <w:pPr>
              <w:pStyle w:val="Text2"/>
              <w:spacing w:after="0"/>
              <w:ind w:left="0"/>
              <w:jc w:val="center"/>
              <w:rPr>
                <w:noProof/>
                <w:sz w:val="22"/>
                <w:szCs w:val="18"/>
              </w:rPr>
            </w:pPr>
            <w:r w:rsidRPr="005A3F47">
              <w:rPr>
                <w:noProof/>
                <w:sz w:val="22"/>
                <w:szCs w:val="18"/>
              </w:rPr>
              <w:t>0</w:t>
            </w:r>
          </w:p>
        </w:tc>
      </w:tr>
      <w:tr w:rsidR="00232324" w:rsidRPr="005A3F47" w14:paraId="23ED3193" w14:textId="77777777" w:rsidTr="00283E25">
        <w:tc>
          <w:tcPr>
            <w:tcW w:w="3105" w:type="dxa"/>
            <w:shd w:val="clear" w:color="auto" w:fill="DBE5F1" w:themeFill="accent1" w:themeFillTint="33"/>
          </w:tcPr>
          <w:p w14:paraId="7536CE04" w14:textId="0EE7224A" w:rsidR="00524DBF" w:rsidRPr="005A3F47" w:rsidRDefault="00524DBF" w:rsidP="00524DBF">
            <w:pPr>
              <w:pStyle w:val="Text2"/>
              <w:spacing w:after="0"/>
              <w:ind w:left="0"/>
              <w:jc w:val="center"/>
              <w:rPr>
                <w:noProof/>
                <w:sz w:val="22"/>
                <w:szCs w:val="18"/>
              </w:rPr>
            </w:pPr>
            <w:r w:rsidRPr="005A3F47">
              <w:rPr>
                <w:noProof/>
                <w:sz w:val="22"/>
                <w:szCs w:val="18"/>
              </w:rPr>
              <w:t xml:space="preserve">Tax </w:t>
            </w:r>
            <w:r w:rsidR="0019689F" w:rsidRPr="005A3F47">
              <w:rPr>
                <w:noProof/>
                <w:sz w:val="22"/>
                <w:szCs w:val="18"/>
              </w:rPr>
              <w:t>mergers</w:t>
            </w:r>
          </w:p>
        </w:tc>
        <w:tc>
          <w:tcPr>
            <w:tcW w:w="6704" w:type="dxa"/>
            <w:gridSpan w:val="4"/>
            <w:shd w:val="clear" w:color="auto" w:fill="EAF1DD" w:themeFill="accent3" w:themeFillTint="33"/>
          </w:tcPr>
          <w:p w14:paraId="528A6FBB" w14:textId="77777777" w:rsidR="00524DBF" w:rsidRPr="005A3F47" w:rsidRDefault="00524DBF" w:rsidP="00524DBF">
            <w:pPr>
              <w:pStyle w:val="Text2"/>
              <w:spacing w:after="0"/>
              <w:ind w:left="0"/>
              <w:jc w:val="center"/>
              <w:rPr>
                <w:noProof/>
                <w:sz w:val="22"/>
                <w:szCs w:val="18"/>
              </w:rPr>
            </w:pPr>
          </w:p>
        </w:tc>
      </w:tr>
      <w:tr w:rsidR="00A44920" w:rsidRPr="005A3F47" w14:paraId="5ECFDB1C" w14:textId="77777777" w:rsidTr="00283E25">
        <w:tc>
          <w:tcPr>
            <w:tcW w:w="3105" w:type="dxa"/>
          </w:tcPr>
          <w:p w14:paraId="5D93A9AB" w14:textId="68031DE9" w:rsidR="00524DBF" w:rsidRPr="005A3F47" w:rsidRDefault="00524DBF" w:rsidP="00AD4F3A">
            <w:pPr>
              <w:pStyle w:val="Text2"/>
              <w:spacing w:after="0"/>
              <w:ind w:left="0"/>
              <w:jc w:val="left"/>
              <w:rPr>
                <w:noProof/>
                <w:sz w:val="22"/>
                <w:szCs w:val="18"/>
              </w:rPr>
            </w:pPr>
            <w:r w:rsidRPr="005A3F47">
              <w:rPr>
                <w:noProof/>
                <w:sz w:val="22"/>
                <w:szCs w:val="18"/>
              </w:rPr>
              <w:t xml:space="preserve">Option </w:t>
            </w:r>
            <w:r w:rsidR="004E2AA8" w:rsidRPr="005A3F47">
              <w:rPr>
                <w:noProof/>
                <w:sz w:val="22"/>
                <w:szCs w:val="18"/>
              </w:rPr>
              <w:t>1B</w:t>
            </w:r>
            <w:r w:rsidRPr="005A3F47">
              <w:rPr>
                <w:noProof/>
                <w:sz w:val="22"/>
                <w:szCs w:val="18"/>
              </w:rPr>
              <w:t xml:space="preserve">: </w:t>
            </w:r>
            <w:r w:rsidR="004547FC" w:rsidRPr="005A3F47">
              <w:rPr>
                <w:noProof/>
                <w:sz w:val="22"/>
                <w:szCs w:val="18"/>
              </w:rPr>
              <w:t>Addition of new restructuring transactions to TMD</w:t>
            </w:r>
          </w:p>
        </w:tc>
        <w:tc>
          <w:tcPr>
            <w:tcW w:w="1658" w:type="dxa"/>
          </w:tcPr>
          <w:p w14:paraId="04E0FA17" w14:textId="3030EE76" w:rsidR="00524DBF" w:rsidRPr="005A3F47" w:rsidRDefault="00672C44" w:rsidP="00524DBF">
            <w:pPr>
              <w:pStyle w:val="Text2"/>
              <w:spacing w:after="0"/>
              <w:ind w:left="0"/>
              <w:jc w:val="center"/>
              <w:rPr>
                <w:noProof/>
                <w:sz w:val="22"/>
                <w:szCs w:val="18"/>
              </w:rPr>
            </w:pPr>
            <w:r w:rsidRPr="005A3F47">
              <w:rPr>
                <w:noProof/>
                <w:sz w:val="22"/>
                <w:szCs w:val="18"/>
              </w:rPr>
              <w:t>0</w:t>
            </w:r>
          </w:p>
        </w:tc>
        <w:tc>
          <w:tcPr>
            <w:tcW w:w="1375" w:type="dxa"/>
          </w:tcPr>
          <w:p w14:paraId="45E6E639" w14:textId="6E817408" w:rsidR="00524DBF" w:rsidRPr="005A3F47" w:rsidRDefault="00672C44" w:rsidP="00524DBF">
            <w:pPr>
              <w:pStyle w:val="Text2"/>
              <w:spacing w:after="0"/>
              <w:ind w:left="0"/>
              <w:jc w:val="center"/>
              <w:rPr>
                <w:noProof/>
                <w:sz w:val="22"/>
                <w:szCs w:val="18"/>
              </w:rPr>
            </w:pPr>
            <w:r w:rsidRPr="005A3F47">
              <w:rPr>
                <w:noProof/>
                <w:sz w:val="22"/>
                <w:szCs w:val="18"/>
              </w:rPr>
              <w:t>+++</w:t>
            </w:r>
          </w:p>
        </w:tc>
        <w:tc>
          <w:tcPr>
            <w:tcW w:w="1499" w:type="dxa"/>
          </w:tcPr>
          <w:p w14:paraId="461AF671" w14:textId="30D9B6CB" w:rsidR="00524DBF" w:rsidRPr="005A3F47" w:rsidRDefault="00672C44" w:rsidP="00524DBF">
            <w:pPr>
              <w:pStyle w:val="Text2"/>
              <w:spacing w:after="0"/>
              <w:ind w:left="0"/>
              <w:jc w:val="center"/>
              <w:rPr>
                <w:noProof/>
                <w:sz w:val="22"/>
                <w:szCs w:val="22"/>
              </w:rPr>
            </w:pPr>
            <w:r w:rsidRPr="005A3F47">
              <w:rPr>
                <w:noProof/>
                <w:sz w:val="22"/>
                <w:szCs w:val="22"/>
              </w:rPr>
              <w:t>++</w:t>
            </w:r>
          </w:p>
        </w:tc>
        <w:tc>
          <w:tcPr>
            <w:tcW w:w="2172" w:type="dxa"/>
          </w:tcPr>
          <w:p w14:paraId="136D2FCF" w14:textId="1CB4BDC6" w:rsidR="00524DBF" w:rsidRPr="005A3F47" w:rsidRDefault="00672C44" w:rsidP="00524DBF">
            <w:pPr>
              <w:pStyle w:val="Text2"/>
              <w:spacing w:after="0"/>
              <w:ind w:left="0"/>
              <w:jc w:val="center"/>
              <w:rPr>
                <w:noProof/>
                <w:sz w:val="22"/>
                <w:szCs w:val="22"/>
              </w:rPr>
            </w:pPr>
            <w:r w:rsidRPr="005A3F47">
              <w:rPr>
                <w:noProof/>
                <w:sz w:val="22"/>
                <w:szCs w:val="22"/>
              </w:rPr>
              <w:t>++</w:t>
            </w:r>
          </w:p>
        </w:tc>
      </w:tr>
      <w:tr w:rsidR="00232324" w:rsidRPr="005A3F47" w14:paraId="3C96C9D3" w14:textId="77777777" w:rsidTr="00283E25">
        <w:tc>
          <w:tcPr>
            <w:tcW w:w="3105" w:type="dxa"/>
            <w:shd w:val="clear" w:color="auto" w:fill="DBE5F1" w:themeFill="accent1" w:themeFillTint="33"/>
          </w:tcPr>
          <w:p w14:paraId="32F36BC2" w14:textId="77777777" w:rsidR="00524DBF" w:rsidRPr="005A3F47" w:rsidRDefault="00524DBF" w:rsidP="00524DBF">
            <w:pPr>
              <w:pStyle w:val="Text2"/>
              <w:spacing w:after="0"/>
              <w:ind w:left="0"/>
              <w:jc w:val="center"/>
              <w:rPr>
                <w:noProof/>
                <w:sz w:val="22"/>
                <w:szCs w:val="18"/>
              </w:rPr>
            </w:pPr>
            <w:r w:rsidRPr="005A3F47">
              <w:rPr>
                <w:noProof/>
                <w:sz w:val="22"/>
                <w:szCs w:val="18"/>
              </w:rPr>
              <w:t>Dispute resolution mechanism</w:t>
            </w:r>
          </w:p>
        </w:tc>
        <w:tc>
          <w:tcPr>
            <w:tcW w:w="6704" w:type="dxa"/>
            <w:gridSpan w:val="4"/>
            <w:shd w:val="clear" w:color="auto" w:fill="EAF1DD" w:themeFill="accent3" w:themeFillTint="33"/>
          </w:tcPr>
          <w:p w14:paraId="3F79BEBA" w14:textId="77777777" w:rsidR="00524DBF" w:rsidRPr="005A3F47" w:rsidRDefault="00524DBF" w:rsidP="00524DBF">
            <w:pPr>
              <w:pStyle w:val="Text2"/>
              <w:spacing w:after="0"/>
              <w:ind w:left="0"/>
              <w:jc w:val="center"/>
              <w:rPr>
                <w:noProof/>
                <w:sz w:val="22"/>
                <w:szCs w:val="18"/>
              </w:rPr>
            </w:pPr>
          </w:p>
        </w:tc>
      </w:tr>
      <w:tr w:rsidR="00A44920" w:rsidRPr="005A3F47" w14:paraId="7228C8DB" w14:textId="77777777" w:rsidTr="00283E25">
        <w:tc>
          <w:tcPr>
            <w:tcW w:w="3105" w:type="dxa"/>
          </w:tcPr>
          <w:p w14:paraId="7FC97ED6" w14:textId="77777777" w:rsidR="00524DBF" w:rsidRPr="005A3F47" w:rsidRDefault="00524DBF" w:rsidP="00AD4F3A">
            <w:pPr>
              <w:pStyle w:val="Text2"/>
              <w:spacing w:after="0"/>
              <w:ind w:left="0"/>
              <w:jc w:val="left"/>
              <w:rPr>
                <w:noProof/>
                <w:sz w:val="22"/>
                <w:szCs w:val="18"/>
              </w:rPr>
            </w:pPr>
            <w:r w:rsidRPr="005A3F47">
              <w:rPr>
                <w:noProof/>
                <w:sz w:val="22"/>
                <w:szCs w:val="18"/>
              </w:rPr>
              <w:t>Option 1: Clarify operative rules</w:t>
            </w:r>
          </w:p>
        </w:tc>
        <w:tc>
          <w:tcPr>
            <w:tcW w:w="1658" w:type="dxa"/>
          </w:tcPr>
          <w:p w14:paraId="7013DA1D" w14:textId="04376FEE" w:rsidR="00524DBF" w:rsidRPr="005A3F47" w:rsidRDefault="00672C44" w:rsidP="00524DBF">
            <w:pPr>
              <w:pStyle w:val="Text2"/>
              <w:spacing w:after="0"/>
              <w:ind w:left="0"/>
              <w:jc w:val="center"/>
              <w:rPr>
                <w:noProof/>
                <w:sz w:val="22"/>
                <w:szCs w:val="18"/>
              </w:rPr>
            </w:pPr>
            <w:r w:rsidRPr="005A3F47">
              <w:rPr>
                <w:noProof/>
                <w:sz w:val="22"/>
                <w:szCs w:val="18"/>
              </w:rPr>
              <w:t>0</w:t>
            </w:r>
          </w:p>
        </w:tc>
        <w:tc>
          <w:tcPr>
            <w:tcW w:w="1375" w:type="dxa"/>
          </w:tcPr>
          <w:p w14:paraId="44A38CD6" w14:textId="0B251D29" w:rsidR="00524DBF" w:rsidRPr="005A3F47" w:rsidRDefault="00672C44" w:rsidP="00524DBF">
            <w:pPr>
              <w:pStyle w:val="Text2"/>
              <w:spacing w:after="0"/>
              <w:ind w:left="0"/>
              <w:jc w:val="center"/>
              <w:rPr>
                <w:noProof/>
                <w:sz w:val="22"/>
                <w:szCs w:val="18"/>
              </w:rPr>
            </w:pPr>
            <w:r w:rsidRPr="005A3F47">
              <w:rPr>
                <w:noProof/>
                <w:sz w:val="22"/>
                <w:szCs w:val="18"/>
              </w:rPr>
              <w:t>+++</w:t>
            </w:r>
          </w:p>
        </w:tc>
        <w:tc>
          <w:tcPr>
            <w:tcW w:w="1499" w:type="dxa"/>
          </w:tcPr>
          <w:p w14:paraId="515EC2C9" w14:textId="2D5CBE30" w:rsidR="00524DBF" w:rsidRPr="005A3F47" w:rsidRDefault="00672C44" w:rsidP="00524DBF">
            <w:pPr>
              <w:pStyle w:val="Text2"/>
              <w:spacing w:after="0"/>
              <w:ind w:left="0"/>
              <w:jc w:val="center"/>
              <w:rPr>
                <w:noProof/>
                <w:sz w:val="22"/>
                <w:szCs w:val="18"/>
              </w:rPr>
            </w:pPr>
            <w:r w:rsidRPr="005A3F47">
              <w:rPr>
                <w:noProof/>
                <w:sz w:val="22"/>
                <w:szCs w:val="18"/>
              </w:rPr>
              <w:t>++</w:t>
            </w:r>
          </w:p>
        </w:tc>
        <w:tc>
          <w:tcPr>
            <w:tcW w:w="2172" w:type="dxa"/>
          </w:tcPr>
          <w:p w14:paraId="3B637914" w14:textId="291A5720" w:rsidR="00524DBF" w:rsidRPr="005A3F47" w:rsidRDefault="00672C44" w:rsidP="00524DBF">
            <w:pPr>
              <w:pStyle w:val="Text2"/>
              <w:spacing w:after="0"/>
              <w:ind w:left="0"/>
              <w:jc w:val="center"/>
              <w:rPr>
                <w:noProof/>
                <w:sz w:val="22"/>
                <w:szCs w:val="18"/>
              </w:rPr>
            </w:pPr>
            <w:r w:rsidRPr="005A3F47">
              <w:rPr>
                <w:noProof/>
                <w:sz w:val="22"/>
                <w:szCs w:val="18"/>
              </w:rPr>
              <w:t>++</w:t>
            </w:r>
          </w:p>
        </w:tc>
      </w:tr>
      <w:tr w:rsidR="00A44920" w:rsidRPr="005A3F47" w14:paraId="699F8E11" w14:textId="77777777" w:rsidTr="00283E25">
        <w:tc>
          <w:tcPr>
            <w:tcW w:w="3105" w:type="dxa"/>
            <w:tcBorders>
              <w:bottom w:val="double" w:sz="4" w:space="0" w:color="auto"/>
            </w:tcBorders>
          </w:tcPr>
          <w:p w14:paraId="21AE7C89" w14:textId="18A402D1" w:rsidR="00524DBF" w:rsidRPr="005A3F47" w:rsidRDefault="00524DBF" w:rsidP="00AD4F3A">
            <w:pPr>
              <w:pStyle w:val="Text2"/>
              <w:spacing w:after="0"/>
              <w:ind w:left="0"/>
              <w:jc w:val="left"/>
              <w:rPr>
                <w:noProof/>
                <w:sz w:val="22"/>
                <w:szCs w:val="18"/>
              </w:rPr>
            </w:pPr>
            <w:r w:rsidRPr="005A3F47">
              <w:rPr>
                <w:noProof/>
                <w:sz w:val="22"/>
                <w:szCs w:val="18"/>
              </w:rPr>
              <w:t xml:space="preserve">Option 2: </w:t>
            </w:r>
            <w:r w:rsidRPr="005A3F47" w:rsidDel="00EE789E">
              <w:rPr>
                <w:noProof/>
                <w:sz w:val="22"/>
                <w:szCs w:val="18"/>
              </w:rPr>
              <w:t>Use of Council i</w:t>
            </w:r>
            <w:r w:rsidRPr="005A3F47">
              <w:rPr>
                <w:noProof/>
                <w:sz w:val="22"/>
                <w:szCs w:val="18"/>
              </w:rPr>
              <w:t>mplementing acts</w:t>
            </w:r>
          </w:p>
        </w:tc>
        <w:tc>
          <w:tcPr>
            <w:tcW w:w="1658" w:type="dxa"/>
            <w:tcBorders>
              <w:bottom w:val="double" w:sz="4" w:space="0" w:color="auto"/>
            </w:tcBorders>
          </w:tcPr>
          <w:p w14:paraId="3DEC5ABA" w14:textId="3D6FBECF" w:rsidR="00524DBF" w:rsidRPr="005A3F47" w:rsidRDefault="00672C44" w:rsidP="00524DBF">
            <w:pPr>
              <w:pStyle w:val="Text2"/>
              <w:spacing w:after="0"/>
              <w:ind w:left="0"/>
              <w:jc w:val="center"/>
              <w:rPr>
                <w:noProof/>
                <w:sz w:val="22"/>
                <w:szCs w:val="18"/>
              </w:rPr>
            </w:pPr>
            <w:r w:rsidRPr="005A3F47">
              <w:rPr>
                <w:noProof/>
                <w:sz w:val="22"/>
                <w:szCs w:val="18"/>
              </w:rPr>
              <w:t>0</w:t>
            </w:r>
          </w:p>
        </w:tc>
        <w:tc>
          <w:tcPr>
            <w:tcW w:w="1375" w:type="dxa"/>
            <w:tcBorders>
              <w:bottom w:val="double" w:sz="4" w:space="0" w:color="auto"/>
            </w:tcBorders>
          </w:tcPr>
          <w:p w14:paraId="2F616BEF" w14:textId="367B9A23" w:rsidR="00524DBF" w:rsidRPr="005A3F47" w:rsidRDefault="00672C44" w:rsidP="00524DBF">
            <w:pPr>
              <w:pStyle w:val="Text2"/>
              <w:spacing w:after="0"/>
              <w:ind w:left="0"/>
              <w:jc w:val="center"/>
              <w:rPr>
                <w:noProof/>
                <w:sz w:val="22"/>
                <w:szCs w:val="18"/>
              </w:rPr>
            </w:pPr>
            <w:r w:rsidRPr="005A3F47">
              <w:rPr>
                <w:noProof/>
                <w:sz w:val="22"/>
                <w:szCs w:val="18"/>
              </w:rPr>
              <w:t>+++</w:t>
            </w:r>
          </w:p>
        </w:tc>
        <w:tc>
          <w:tcPr>
            <w:tcW w:w="1499" w:type="dxa"/>
            <w:tcBorders>
              <w:bottom w:val="double" w:sz="4" w:space="0" w:color="auto"/>
            </w:tcBorders>
          </w:tcPr>
          <w:p w14:paraId="47768BE9" w14:textId="73E4FB93" w:rsidR="00524DBF" w:rsidRPr="005A3F47" w:rsidRDefault="00672C44" w:rsidP="00524DBF">
            <w:pPr>
              <w:pStyle w:val="Text2"/>
              <w:spacing w:after="0"/>
              <w:ind w:left="0"/>
              <w:jc w:val="center"/>
              <w:rPr>
                <w:noProof/>
                <w:sz w:val="22"/>
                <w:szCs w:val="18"/>
              </w:rPr>
            </w:pPr>
            <w:r w:rsidRPr="005A3F47">
              <w:rPr>
                <w:noProof/>
                <w:sz w:val="22"/>
                <w:szCs w:val="18"/>
              </w:rPr>
              <w:t>++</w:t>
            </w:r>
          </w:p>
        </w:tc>
        <w:tc>
          <w:tcPr>
            <w:tcW w:w="2172" w:type="dxa"/>
            <w:tcBorders>
              <w:bottom w:val="double" w:sz="4" w:space="0" w:color="auto"/>
            </w:tcBorders>
          </w:tcPr>
          <w:p w14:paraId="29E24C8D" w14:textId="0F3A4389" w:rsidR="00524DBF" w:rsidRPr="005A3F47" w:rsidRDefault="00672C44" w:rsidP="00524DBF">
            <w:pPr>
              <w:pStyle w:val="Text2"/>
              <w:spacing w:after="0"/>
              <w:ind w:left="0"/>
              <w:jc w:val="center"/>
              <w:rPr>
                <w:noProof/>
                <w:sz w:val="22"/>
                <w:szCs w:val="18"/>
              </w:rPr>
            </w:pPr>
            <w:r w:rsidRPr="005A3F47">
              <w:rPr>
                <w:noProof/>
                <w:sz w:val="22"/>
                <w:szCs w:val="18"/>
              </w:rPr>
              <w:t>++</w:t>
            </w:r>
          </w:p>
        </w:tc>
      </w:tr>
      <w:tr w:rsidR="00E30F4E" w:rsidRPr="005A3F47" w14:paraId="3E315B60" w14:textId="77777777" w:rsidTr="00283E25">
        <w:tc>
          <w:tcPr>
            <w:tcW w:w="3105" w:type="dxa"/>
            <w:tcBorders>
              <w:top w:val="double" w:sz="4" w:space="0" w:color="auto"/>
              <w:left w:val="double" w:sz="4" w:space="0" w:color="auto"/>
              <w:bottom w:val="double" w:sz="4" w:space="0" w:color="auto"/>
            </w:tcBorders>
          </w:tcPr>
          <w:p w14:paraId="0425E6D8" w14:textId="07283983" w:rsidR="00E523C5" w:rsidRPr="005A3F47" w:rsidRDefault="00E523C5" w:rsidP="00AD4F3A">
            <w:pPr>
              <w:pStyle w:val="Text2"/>
              <w:spacing w:after="0"/>
              <w:ind w:left="0"/>
              <w:jc w:val="left"/>
              <w:rPr>
                <w:b/>
                <w:noProof/>
                <w:sz w:val="22"/>
                <w:szCs w:val="18"/>
              </w:rPr>
            </w:pPr>
            <w:r w:rsidRPr="005A3F47">
              <w:rPr>
                <w:b/>
                <w:noProof/>
                <w:sz w:val="22"/>
                <w:szCs w:val="18"/>
              </w:rPr>
              <w:t xml:space="preserve">Overall: </w:t>
            </w:r>
          </w:p>
        </w:tc>
        <w:tc>
          <w:tcPr>
            <w:tcW w:w="1658" w:type="dxa"/>
            <w:tcBorders>
              <w:top w:val="double" w:sz="4" w:space="0" w:color="auto"/>
              <w:bottom w:val="double" w:sz="4" w:space="0" w:color="auto"/>
            </w:tcBorders>
          </w:tcPr>
          <w:p w14:paraId="3D1596F4" w14:textId="0D1D8CC4" w:rsidR="00E523C5" w:rsidRPr="005A3F47" w:rsidRDefault="009D0981" w:rsidP="00524DBF">
            <w:pPr>
              <w:pStyle w:val="Text2"/>
              <w:spacing w:after="0"/>
              <w:ind w:left="0"/>
              <w:jc w:val="center"/>
              <w:rPr>
                <w:b/>
                <w:noProof/>
                <w:sz w:val="22"/>
                <w:szCs w:val="18"/>
              </w:rPr>
            </w:pPr>
            <w:r w:rsidRPr="005A3F47">
              <w:rPr>
                <w:b/>
                <w:bCs/>
                <w:noProof/>
                <w:sz w:val="22"/>
                <w:szCs w:val="18"/>
              </w:rPr>
              <w:t>+++</w:t>
            </w:r>
          </w:p>
        </w:tc>
        <w:tc>
          <w:tcPr>
            <w:tcW w:w="1375" w:type="dxa"/>
            <w:tcBorders>
              <w:top w:val="double" w:sz="4" w:space="0" w:color="auto"/>
              <w:bottom w:val="double" w:sz="4" w:space="0" w:color="auto"/>
            </w:tcBorders>
          </w:tcPr>
          <w:p w14:paraId="004CE81C" w14:textId="41ADF306" w:rsidR="00E523C5" w:rsidRPr="005A3F47" w:rsidRDefault="009D0981" w:rsidP="00524DBF">
            <w:pPr>
              <w:pStyle w:val="Text2"/>
              <w:spacing w:after="0"/>
              <w:ind w:left="0"/>
              <w:jc w:val="center"/>
              <w:rPr>
                <w:b/>
                <w:noProof/>
                <w:sz w:val="22"/>
                <w:szCs w:val="18"/>
              </w:rPr>
            </w:pPr>
            <w:r w:rsidRPr="005A3F47">
              <w:rPr>
                <w:b/>
                <w:bCs/>
                <w:noProof/>
                <w:sz w:val="22"/>
                <w:szCs w:val="18"/>
              </w:rPr>
              <w:t>+++</w:t>
            </w:r>
          </w:p>
        </w:tc>
        <w:tc>
          <w:tcPr>
            <w:tcW w:w="1499" w:type="dxa"/>
            <w:tcBorders>
              <w:top w:val="double" w:sz="4" w:space="0" w:color="auto"/>
              <w:bottom w:val="double" w:sz="4" w:space="0" w:color="auto"/>
            </w:tcBorders>
          </w:tcPr>
          <w:p w14:paraId="21712901" w14:textId="49511362" w:rsidR="00E523C5" w:rsidRPr="005A3F47" w:rsidRDefault="009D0981" w:rsidP="00524DBF">
            <w:pPr>
              <w:pStyle w:val="Text2"/>
              <w:spacing w:after="0"/>
              <w:ind w:left="0"/>
              <w:jc w:val="center"/>
              <w:rPr>
                <w:b/>
                <w:noProof/>
                <w:sz w:val="22"/>
                <w:szCs w:val="18"/>
              </w:rPr>
            </w:pPr>
            <w:r w:rsidRPr="005A3F47">
              <w:rPr>
                <w:b/>
                <w:bCs/>
                <w:noProof/>
                <w:sz w:val="22"/>
                <w:szCs w:val="18"/>
              </w:rPr>
              <w:t>+++</w:t>
            </w:r>
          </w:p>
        </w:tc>
        <w:tc>
          <w:tcPr>
            <w:tcW w:w="2172" w:type="dxa"/>
            <w:tcBorders>
              <w:top w:val="double" w:sz="4" w:space="0" w:color="auto"/>
              <w:bottom w:val="double" w:sz="4" w:space="0" w:color="auto"/>
              <w:right w:val="double" w:sz="4" w:space="0" w:color="auto"/>
            </w:tcBorders>
          </w:tcPr>
          <w:p w14:paraId="0D3ED300" w14:textId="46616726" w:rsidR="00E523C5" w:rsidRPr="005A3F47" w:rsidRDefault="009D0981" w:rsidP="00524DBF">
            <w:pPr>
              <w:pStyle w:val="Text2"/>
              <w:spacing w:after="0"/>
              <w:ind w:left="0"/>
              <w:jc w:val="center"/>
              <w:rPr>
                <w:b/>
                <w:noProof/>
                <w:sz w:val="22"/>
                <w:szCs w:val="18"/>
              </w:rPr>
            </w:pPr>
            <w:r w:rsidRPr="005A3F47">
              <w:rPr>
                <w:b/>
                <w:bCs/>
                <w:noProof/>
                <w:sz w:val="22"/>
                <w:szCs w:val="18"/>
              </w:rPr>
              <w:t>+++</w:t>
            </w:r>
          </w:p>
        </w:tc>
      </w:tr>
    </w:tbl>
    <w:p w14:paraId="5F92BB2C" w14:textId="258A2C86" w:rsidR="00E81E53" w:rsidRPr="005A3F47" w:rsidRDefault="005C076F" w:rsidP="00FA5980">
      <w:pPr>
        <w:spacing w:before="240"/>
        <w:rPr>
          <w:b/>
          <w:bCs/>
          <w:noProof/>
        </w:rPr>
      </w:pPr>
      <w:r w:rsidRPr="005A3F47">
        <w:rPr>
          <w:b/>
          <w:bCs/>
          <w:noProof/>
        </w:rPr>
        <w:t xml:space="preserve">Effectiveness: </w:t>
      </w:r>
      <w:r w:rsidR="00741DB9" w:rsidRPr="005A3F47">
        <w:rPr>
          <w:noProof/>
        </w:rPr>
        <w:t>Th</w:t>
      </w:r>
      <w:r w:rsidR="00F81DEB" w:rsidRPr="005A3F47">
        <w:rPr>
          <w:noProof/>
        </w:rPr>
        <w:t>e</w:t>
      </w:r>
      <w:r w:rsidR="0072302D" w:rsidRPr="005A3F47">
        <w:rPr>
          <w:noProof/>
        </w:rPr>
        <w:t xml:space="preserve"> comprehensive </w:t>
      </w:r>
      <w:r w:rsidR="00D76A0C" w:rsidRPr="005A3F47">
        <w:rPr>
          <w:noProof/>
        </w:rPr>
        <w:t>approach</w:t>
      </w:r>
      <w:r w:rsidR="008D11E4" w:rsidRPr="005A3F47">
        <w:rPr>
          <w:noProof/>
        </w:rPr>
        <w:t xml:space="preserve"> addresses all identified problems</w:t>
      </w:r>
      <w:r w:rsidR="00A82ABB" w:rsidRPr="005A3F47">
        <w:rPr>
          <w:noProof/>
        </w:rPr>
        <w:t xml:space="preserve"> by compiling </w:t>
      </w:r>
      <w:r w:rsidR="001D1C5B" w:rsidRPr="005A3F47">
        <w:rPr>
          <w:noProof/>
        </w:rPr>
        <w:t>a</w:t>
      </w:r>
      <w:r w:rsidR="00CD18D7" w:rsidRPr="005A3F47">
        <w:rPr>
          <w:noProof/>
        </w:rPr>
        <w:t>n</w:t>
      </w:r>
      <w:r w:rsidR="00644858" w:rsidRPr="005A3F47">
        <w:rPr>
          <w:noProof/>
        </w:rPr>
        <w:t xml:space="preserve"> Omnibus </w:t>
      </w:r>
      <w:r w:rsidR="00F10404" w:rsidRPr="005A3F47">
        <w:rPr>
          <w:noProof/>
        </w:rPr>
        <w:t xml:space="preserve">on </w:t>
      </w:r>
      <w:r w:rsidR="00644858" w:rsidRPr="005A3F47">
        <w:rPr>
          <w:noProof/>
        </w:rPr>
        <w:t>Tax</w:t>
      </w:r>
      <w:r w:rsidR="00CD18D7" w:rsidRPr="005A3F47">
        <w:rPr>
          <w:noProof/>
        </w:rPr>
        <w:t>ation</w:t>
      </w:r>
      <w:r w:rsidR="00644858" w:rsidRPr="005A3F47">
        <w:rPr>
          <w:noProof/>
        </w:rPr>
        <w:t xml:space="preserve"> which is</w:t>
      </w:r>
      <w:r w:rsidR="0072302D" w:rsidRPr="005A3F47">
        <w:rPr>
          <w:noProof/>
        </w:rPr>
        <w:t xml:space="preserve"> </w:t>
      </w:r>
      <w:r w:rsidR="009E2B3D" w:rsidRPr="005A3F47">
        <w:rPr>
          <w:noProof/>
        </w:rPr>
        <w:t xml:space="preserve">ambitious and </w:t>
      </w:r>
      <w:r w:rsidR="009067E7" w:rsidRPr="005A3F47">
        <w:rPr>
          <w:noProof/>
        </w:rPr>
        <w:t xml:space="preserve">holistic </w:t>
      </w:r>
      <w:r w:rsidR="00DD4893" w:rsidRPr="005A3F47">
        <w:rPr>
          <w:noProof/>
        </w:rPr>
        <w:t xml:space="preserve">in </w:t>
      </w:r>
      <w:r w:rsidR="00173265" w:rsidRPr="005A3F47">
        <w:rPr>
          <w:noProof/>
        </w:rPr>
        <w:t>its</w:t>
      </w:r>
      <w:r w:rsidR="00DD4893" w:rsidRPr="005A3F47">
        <w:rPr>
          <w:noProof/>
        </w:rPr>
        <w:t xml:space="preserve"> </w:t>
      </w:r>
      <w:r w:rsidR="00883AD8" w:rsidRPr="005A3F47">
        <w:rPr>
          <w:noProof/>
        </w:rPr>
        <w:t>simplification measures</w:t>
      </w:r>
      <w:r w:rsidR="009067E7" w:rsidRPr="005A3F47">
        <w:rPr>
          <w:noProof/>
        </w:rPr>
        <w:t xml:space="preserve"> </w:t>
      </w:r>
      <w:r w:rsidR="00F10404" w:rsidRPr="005A3F47">
        <w:rPr>
          <w:noProof/>
        </w:rPr>
        <w:t xml:space="preserve">and thus delivers on </w:t>
      </w:r>
      <w:r w:rsidR="0033765F" w:rsidRPr="005A3F47">
        <w:rPr>
          <w:noProof/>
        </w:rPr>
        <w:t>all envisaged specific objectives</w:t>
      </w:r>
      <w:r w:rsidR="00216D25" w:rsidRPr="005A3F47">
        <w:rPr>
          <w:noProof/>
        </w:rPr>
        <w:t xml:space="preserve"> to the greatest extent possible</w:t>
      </w:r>
      <w:r w:rsidR="0033765F" w:rsidRPr="005A3F47">
        <w:rPr>
          <w:noProof/>
        </w:rPr>
        <w:t xml:space="preserve">. </w:t>
      </w:r>
      <w:r w:rsidR="00F352AF" w:rsidRPr="005A3F47">
        <w:rPr>
          <w:noProof/>
        </w:rPr>
        <w:t>In this way,</w:t>
      </w:r>
      <w:r w:rsidR="00BC6602" w:rsidRPr="005A3F47">
        <w:rPr>
          <w:noProof/>
        </w:rPr>
        <w:t xml:space="preserve"> </w:t>
      </w:r>
      <w:r w:rsidR="00885139" w:rsidRPr="005A3F47">
        <w:rPr>
          <w:noProof/>
        </w:rPr>
        <w:t>this approach</w:t>
      </w:r>
      <w:r w:rsidR="00B956C4" w:rsidRPr="005A3F47">
        <w:rPr>
          <w:noProof/>
        </w:rPr>
        <w:t xml:space="preserve"> </w:t>
      </w:r>
      <w:r w:rsidR="00885139" w:rsidRPr="005A3F47">
        <w:rPr>
          <w:noProof/>
        </w:rPr>
        <w:t>also</w:t>
      </w:r>
      <w:r w:rsidR="00A96EB0" w:rsidRPr="005A3F47">
        <w:rPr>
          <w:noProof/>
        </w:rPr>
        <w:t xml:space="preserve"> </w:t>
      </w:r>
      <w:r w:rsidR="00630CE9" w:rsidRPr="005A3F47">
        <w:rPr>
          <w:noProof/>
        </w:rPr>
        <w:t>accommodate</w:t>
      </w:r>
      <w:r w:rsidR="00781706" w:rsidRPr="005A3F47">
        <w:rPr>
          <w:noProof/>
        </w:rPr>
        <w:t>s</w:t>
      </w:r>
      <w:r w:rsidR="0048206B" w:rsidRPr="005A3F47">
        <w:rPr>
          <w:noProof/>
        </w:rPr>
        <w:t xml:space="preserve"> </w:t>
      </w:r>
      <w:r w:rsidR="00932990" w:rsidRPr="005A3F47">
        <w:rPr>
          <w:noProof/>
        </w:rPr>
        <w:t>various</w:t>
      </w:r>
      <w:r w:rsidR="0048206B" w:rsidRPr="005A3F47">
        <w:rPr>
          <w:noProof/>
        </w:rPr>
        <w:t xml:space="preserve"> </w:t>
      </w:r>
      <w:r w:rsidR="00736E5E" w:rsidRPr="005A3F47">
        <w:rPr>
          <w:noProof/>
        </w:rPr>
        <w:t xml:space="preserve">calls </w:t>
      </w:r>
      <w:r w:rsidR="00932990" w:rsidRPr="005A3F47">
        <w:rPr>
          <w:noProof/>
        </w:rPr>
        <w:t xml:space="preserve">for simplification </w:t>
      </w:r>
      <w:r w:rsidR="00736E5E" w:rsidRPr="005A3F47">
        <w:rPr>
          <w:noProof/>
        </w:rPr>
        <w:t xml:space="preserve">from </w:t>
      </w:r>
      <w:r w:rsidR="00932990" w:rsidRPr="005A3F47">
        <w:rPr>
          <w:noProof/>
        </w:rPr>
        <w:t>the stakeholder consultations</w:t>
      </w:r>
      <w:r w:rsidR="001A5AC3" w:rsidRPr="005A3F47">
        <w:rPr>
          <w:noProof/>
        </w:rPr>
        <w:t xml:space="preserve">, ranging from </w:t>
      </w:r>
      <w:r w:rsidR="004A4879" w:rsidRPr="005A3F47">
        <w:rPr>
          <w:noProof/>
        </w:rPr>
        <w:t xml:space="preserve">most </w:t>
      </w:r>
      <w:r w:rsidR="00136DD6" w:rsidRPr="005A3F47">
        <w:rPr>
          <w:noProof/>
        </w:rPr>
        <w:t>frequent</w:t>
      </w:r>
      <w:r w:rsidR="000E13A5" w:rsidRPr="005A3F47">
        <w:rPr>
          <w:noProof/>
        </w:rPr>
        <w:t xml:space="preserve"> asks</w:t>
      </w:r>
      <w:r w:rsidR="002F00EB" w:rsidRPr="005A3F47">
        <w:rPr>
          <w:noProof/>
        </w:rPr>
        <w:t>,</w:t>
      </w:r>
      <w:r w:rsidR="00136DD6" w:rsidRPr="005A3F47">
        <w:rPr>
          <w:noProof/>
        </w:rPr>
        <w:t xml:space="preserve"> </w:t>
      </w:r>
      <w:r w:rsidR="00165E53" w:rsidRPr="005A3F47">
        <w:rPr>
          <w:noProof/>
        </w:rPr>
        <w:t xml:space="preserve">which </w:t>
      </w:r>
      <w:r w:rsidR="002F00EB" w:rsidRPr="005A3F47">
        <w:rPr>
          <w:noProof/>
        </w:rPr>
        <w:t>concentrated around</w:t>
      </w:r>
      <w:r w:rsidR="00136DD6" w:rsidRPr="005A3F47">
        <w:rPr>
          <w:noProof/>
        </w:rPr>
        <w:t xml:space="preserve"> </w:t>
      </w:r>
      <w:r w:rsidR="00ED59B0" w:rsidRPr="005A3F47">
        <w:rPr>
          <w:noProof/>
        </w:rPr>
        <w:t>the withholding tax relief under PSD and IRD</w:t>
      </w:r>
      <w:r w:rsidR="002F00EB" w:rsidRPr="005A3F47">
        <w:rPr>
          <w:noProof/>
        </w:rPr>
        <w:t xml:space="preserve"> and the overlap between CFC rules and Pillar 2,</w:t>
      </w:r>
      <w:r w:rsidR="00ED1C72" w:rsidRPr="005A3F47">
        <w:rPr>
          <w:noProof/>
        </w:rPr>
        <w:t xml:space="preserve"> to</w:t>
      </w:r>
      <w:r w:rsidR="002F00EB" w:rsidRPr="005A3F47">
        <w:rPr>
          <w:noProof/>
        </w:rPr>
        <w:t xml:space="preserve"> more </w:t>
      </w:r>
      <w:r w:rsidR="004B28BE" w:rsidRPr="005A3F47">
        <w:rPr>
          <w:noProof/>
        </w:rPr>
        <w:t>moderate asks relating to the TMD and the DRM</w:t>
      </w:r>
      <w:r w:rsidR="00932990" w:rsidRPr="005A3F47">
        <w:rPr>
          <w:noProof/>
        </w:rPr>
        <w:t>.</w:t>
      </w:r>
      <w:r w:rsidR="00727B80" w:rsidRPr="005A3F47">
        <w:rPr>
          <w:noProof/>
        </w:rPr>
        <w:t xml:space="preserve"> </w:t>
      </w:r>
      <w:r w:rsidR="005E7E13" w:rsidRPr="005A3F47">
        <w:rPr>
          <w:noProof/>
        </w:rPr>
        <w:t>This approach</w:t>
      </w:r>
      <w:r w:rsidR="00741DB9" w:rsidRPr="005A3F47">
        <w:rPr>
          <w:noProof/>
        </w:rPr>
        <w:t xml:space="preserve"> is </w:t>
      </w:r>
      <w:r w:rsidR="00B234B3" w:rsidRPr="005A3F47">
        <w:rPr>
          <w:noProof/>
        </w:rPr>
        <w:t>expected to have high-scale impacts a</w:t>
      </w:r>
      <w:r w:rsidR="00A1057B" w:rsidRPr="005A3F47">
        <w:rPr>
          <w:noProof/>
        </w:rPr>
        <w:t>s</w:t>
      </w:r>
      <w:r w:rsidR="00B234B3" w:rsidRPr="005A3F47">
        <w:rPr>
          <w:noProof/>
        </w:rPr>
        <w:t xml:space="preserve"> the</w:t>
      </w:r>
      <w:r w:rsidR="0072302D" w:rsidRPr="005A3F47">
        <w:rPr>
          <w:noProof/>
        </w:rPr>
        <w:t xml:space="preserve"> </w:t>
      </w:r>
      <w:r w:rsidR="008C1254" w:rsidRPr="005A3F47">
        <w:rPr>
          <w:noProof/>
        </w:rPr>
        <w:t>aggregated</w:t>
      </w:r>
      <w:r w:rsidR="00095389" w:rsidRPr="005A3F47">
        <w:rPr>
          <w:noProof/>
        </w:rPr>
        <w:t xml:space="preserve"> cost savings </w:t>
      </w:r>
      <w:r w:rsidR="00927FBE" w:rsidRPr="005A3F47">
        <w:rPr>
          <w:noProof/>
        </w:rPr>
        <w:t xml:space="preserve">for EU businesses </w:t>
      </w:r>
      <w:r w:rsidR="00635E39" w:rsidRPr="005A3F47">
        <w:rPr>
          <w:noProof/>
        </w:rPr>
        <w:t>are</w:t>
      </w:r>
      <w:r w:rsidR="0072302D" w:rsidRPr="005A3F47">
        <w:rPr>
          <w:noProof/>
        </w:rPr>
        <w:t xml:space="preserve"> </w:t>
      </w:r>
      <w:r w:rsidR="00D72E26" w:rsidRPr="005A3F47">
        <w:rPr>
          <w:b/>
          <w:bCs/>
          <w:noProof/>
        </w:rPr>
        <w:t>roughly</w:t>
      </w:r>
      <w:r w:rsidR="00D72E26" w:rsidRPr="005A3F47">
        <w:rPr>
          <w:noProof/>
        </w:rPr>
        <w:t xml:space="preserve"> </w:t>
      </w:r>
      <w:r w:rsidR="0072302D" w:rsidRPr="005A3F47">
        <w:rPr>
          <w:noProof/>
        </w:rPr>
        <w:t xml:space="preserve">estimated to reduce compliance </w:t>
      </w:r>
      <w:r w:rsidR="00927B86" w:rsidRPr="005A3F47">
        <w:rPr>
          <w:noProof/>
        </w:rPr>
        <w:t xml:space="preserve">and financial </w:t>
      </w:r>
      <w:r w:rsidR="0072302D" w:rsidRPr="005A3F47">
        <w:rPr>
          <w:noProof/>
        </w:rPr>
        <w:t>costs by</w:t>
      </w:r>
      <w:r w:rsidR="00CA2E93" w:rsidRPr="005A3F47">
        <w:rPr>
          <w:noProof/>
        </w:rPr>
        <w:t xml:space="preserve"> about</w:t>
      </w:r>
      <w:r w:rsidR="0072302D" w:rsidRPr="005A3F47">
        <w:rPr>
          <w:noProof/>
        </w:rPr>
        <w:t xml:space="preserve"> </w:t>
      </w:r>
      <w:r w:rsidR="00353ECC" w:rsidRPr="005A3F47">
        <w:rPr>
          <w:b/>
          <w:bCs/>
          <w:noProof/>
        </w:rPr>
        <w:t xml:space="preserve">EUR </w:t>
      </w:r>
      <w:r w:rsidR="00EF4F36" w:rsidRPr="005A3F47">
        <w:rPr>
          <w:b/>
          <w:bCs/>
          <w:noProof/>
        </w:rPr>
        <w:t>6</w:t>
      </w:r>
      <w:r w:rsidR="00C74636" w:rsidRPr="005A3F47">
        <w:rPr>
          <w:b/>
          <w:bCs/>
          <w:noProof/>
        </w:rPr>
        <w:t>-7</w:t>
      </w:r>
      <w:r w:rsidR="009A69B8" w:rsidRPr="005A3F47">
        <w:rPr>
          <w:b/>
          <w:bCs/>
          <w:noProof/>
        </w:rPr>
        <w:t xml:space="preserve"> billion</w:t>
      </w:r>
      <w:r w:rsidR="00C74636" w:rsidRPr="005A3F47">
        <w:rPr>
          <w:noProof/>
        </w:rPr>
        <w:t xml:space="preserve"> (EUR 6.6 billion)</w:t>
      </w:r>
      <w:r w:rsidR="00927B86" w:rsidRPr="005A3F47">
        <w:rPr>
          <w:rStyle w:val="FootnoteReference"/>
          <w:noProof/>
        </w:rPr>
        <w:footnoteReference w:id="115"/>
      </w:r>
      <w:r w:rsidR="00B8630F" w:rsidRPr="005A3F47">
        <w:rPr>
          <w:noProof/>
        </w:rPr>
        <w:t>,</w:t>
      </w:r>
      <w:r w:rsidR="00B8630F" w:rsidRPr="005A3F47">
        <w:rPr>
          <w:b/>
          <w:bCs/>
          <w:noProof/>
        </w:rPr>
        <w:t xml:space="preserve"> </w:t>
      </w:r>
      <w:r w:rsidR="00B8630F" w:rsidRPr="005A3F47">
        <w:rPr>
          <w:noProof/>
        </w:rPr>
        <w:t xml:space="preserve">out of which </w:t>
      </w:r>
      <w:r w:rsidR="005329E4" w:rsidRPr="005A3F47">
        <w:rPr>
          <w:noProof/>
        </w:rPr>
        <w:t xml:space="preserve">recurrent costs related to cutting down on administrative burden </w:t>
      </w:r>
      <w:r w:rsidR="00535399" w:rsidRPr="005A3F47">
        <w:rPr>
          <w:noProof/>
        </w:rPr>
        <w:t>approximate</w:t>
      </w:r>
      <w:r w:rsidR="005329E4" w:rsidRPr="005A3F47">
        <w:rPr>
          <w:noProof/>
        </w:rPr>
        <w:t xml:space="preserve"> </w:t>
      </w:r>
      <w:r w:rsidR="00F20616" w:rsidRPr="005A3F47">
        <w:rPr>
          <w:noProof/>
        </w:rPr>
        <w:t xml:space="preserve">to </w:t>
      </w:r>
      <w:r>
        <w:rPr>
          <w:noProof/>
        </w:rPr>
        <w:t xml:space="preserve">about </w:t>
      </w:r>
      <w:r w:rsidR="005329E4" w:rsidRPr="005A3F47">
        <w:rPr>
          <w:noProof/>
        </w:rPr>
        <w:t>EUR 2 billion per year</w:t>
      </w:r>
      <w:r w:rsidR="009B1FCE" w:rsidRPr="005A3F47">
        <w:rPr>
          <w:noProof/>
        </w:rPr>
        <w:t>.</w:t>
      </w:r>
    </w:p>
    <w:p w14:paraId="6C956AB1" w14:textId="76EFEEB0" w:rsidR="00AD7CA6" w:rsidRPr="005A3F47" w:rsidRDefault="005C076F" w:rsidP="00E81E53">
      <w:pPr>
        <w:rPr>
          <w:noProof/>
        </w:rPr>
      </w:pPr>
      <w:r w:rsidRPr="005A3F47">
        <w:rPr>
          <w:b/>
          <w:bCs/>
          <w:noProof/>
        </w:rPr>
        <w:t xml:space="preserve">Efficiency: </w:t>
      </w:r>
      <w:r w:rsidR="009925FD" w:rsidRPr="005A3F47">
        <w:rPr>
          <w:noProof/>
        </w:rPr>
        <w:t>As one of the specific ob</w:t>
      </w:r>
      <w:r w:rsidR="00BA3FFC" w:rsidRPr="005A3F47">
        <w:rPr>
          <w:noProof/>
        </w:rPr>
        <w:t xml:space="preserve">jectives is to </w:t>
      </w:r>
      <w:r w:rsidR="00C91E58" w:rsidRPr="005A3F47">
        <w:rPr>
          <w:noProof/>
        </w:rPr>
        <w:t xml:space="preserve">eliminate </w:t>
      </w:r>
      <w:r w:rsidR="00CF77A9" w:rsidRPr="005A3F47">
        <w:rPr>
          <w:noProof/>
        </w:rPr>
        <w:t xml:space="preserve">disproportionate compliance costs, it has already been stated that the expected economic benefits of the comprehensive </w:t>
      </w:r>
      <w:r w:rsidR="00643D57" w:rsidRPr="005A3F47">
        <w:rPr>
          <w:noProof/>
        </w:rPr>
        <w:t>approach</w:t>
      </w:r>
      <w:r w:rsidR="00CF77A9" w:rsidRPr="005A3F47">
        <w:rPr>
          <w:noProof/>
        </w:rPr>
        <w:t xml:space="preserve"> are significa</w:t>
      </w:r>
      <w:r w:rsidR="007D7A45" w:rsidRPr="005A3F47">
        <w:rPr>
          <w:noProof/>
        </w:rPr>
        <w:t>nt.</w:t>
      </w:r>
      <w:r w:rsidR="00365522" w:rsidRPr="005A3F47">
        <w:rPr>
          <w:noProof/>
        </w:rPr>
        <w:t xml:space="preserve"> </w:t>
      </w:r>
      <w:r w:rsidR="00AD7CA6" w:rsidRPr="005A3F47">
        <w:rPr>
          <w:noProof/>
        </w:rPr>
        <w:t>B</w:t>
      </w:r>
      <w:r w:rsidR="00F93E20" w:rsidRPr="005A3F47">
        <w:rPr>
          <w:noProof/>
        </w:rPr>
        <w:t xml:space="preserve">y making some of the </w:t>
      </w:r>
      <w:r w:rsidR="001C7024" w:rsidRPr="005A3F47">
        <w:rPr>
          <w:noProof/>
        </w:rPr>
        <w:t>existing rules</w:t>
      </w:r>
      <w:r w:rsidR="00F93E20" w:rsidRPr="005A3F47">
        <w:rPr>
          <w:noProof/>
        </w:rPr>
        <w:t xml:space="preserve"> mandatory, e.g., for </w:t>
      </w:r>
      <w:r w:rsidR="001C7024" w:rsidRPr="005A3F47">
        <w:rPr>
          <w:noProof/>
        </w:rPr>
        <w:t xml:space="preserve">the </w:t>
      </w:r>
      <w:r w:rsidR="00F93E20" w:rsidRPr="005A3F47">
        <w:rPr>
          <w:noProof/>
        </w:rPr>
        <w:t xml:space="preserve">CFC </w:t>
      </w:r>
      <w:r w:rsidR="00FF1F05" w:rsidRPr="005A3F47">
        <w:rPr>
          <w:noProof/>
        </w:rPr>
        <w:t>rules</w:t>
      </w:r>
      <w:r w:rsidR="00F93E20" w:rsidRPr="005A3F47">
        <w:rPr>
          <w:noProof/>
        </w:rPr>
        <w:t xml:space="preserve"> and the Interest Limitation Rule,</w:t>
      </w:r>
      <w:r w:rsidR="0012798E" w:rsidRPr="005A3F47">
        <w:rPr>
          <w:noProof/>
        </w:rPr>
        <w:t xml:space="preserve"> this approach </w:t>
      </w:r>
      <w:r w:rsidR="00B6693A" w:rsidRPr="005A3F47">
        <w:rPr>
          <w:noProof/>
        </w:rPr>
        <w:t>would entail implementation costs for Member States that do not already apply</w:t>
      </w:r>
      <w:r w:rsidR="00887F11" w:rsidRPr="005A3F47">
        <w:rPr>
          <w:noProof/>
        </w:rPr>
        <w:t xml:space="preserve"> these </w:t>
      </w:r>
      <w:r w:rsidR="00FF1F05" w:rsidRPr="005A3F47">
        <w:rPr>
          <w:noProof/>
        </w:rPr>
        <w:t>options</w:t>
      </w:r>
      <w:r w:rsidR="00887F11" w:rsidRPr="005A3F47">
        <w:rPr>
          <w:noProof/>
        </w:rPr>
        <w:t>.</w:t>
      </w:r>
      <w:r w:rsidR="00FF1F05" w:rsidRPr="005A3F47">
        <w:rPr>
          <w:noProof/>
        </w:rPr>
        <w:t xml:space="preserve"> </w:t>
      </w:r>
      <w:r w:rsidR="00A1695B" w:rsidRPr="005A3F47">
        <w:rPr>
          <w:noProof/>
        </w:rPr>
        <w:t>Nonetheless</w:t>
      </w:r>
      <w:r w:rsidR="00FF1F05" w:rsidRPr="005A3F47">
        <w:rPr>
          <w:noProof/>
        </w:rPr>
        <w:t>,</w:t>
      </w:r>
      <w:r w:rsidR="005A0A8B" w:rsidRPr="005A3F47">
        <w:rPr>
          <w:noProof/>
        </w:rPr>
        <w:t xml:space="preserve"> </w:t>
      </w:r>
      <w:r w:rsidR="00A83FC7" w:rsidRPr="005A3F47">
        <w:rPr>
          <w:noProof/>
        </w:rPr>
        <w:t xml:space="preserve">the </w:t>
      </w:r>
      <w:r w:rsidR="00D34119" w:rsidRPr="005A3F47">
        <w:rPr>
          <w:noProof/>
        </w:rPr>
        <w:t>enhanced</w:t>
      </w:r>
      <w:r w:rsidR="00A83FC7" w:rsidRPr="005A3F47">
        <w:rPr>
          <w:noProof/>
        </w:rPr>
        <w:t xml:space="preserve"> uniformity </w:t>
      </w:r>
      <w:r w:rsidR="00C4035C" w:rsidRPr="005A3F47">
        <w:rPr>
          <w:noProof/>
        </w:rPr>
        <w:t xml:space="preserve">in the rules would </w:t>
      </w:r>
      <w:r w:rsidR="00D34119" w:rsidRPr="005A3F47">
        <w:rPr>
          <w:noProof/>
        </w:rPr>
        <w:t>increase</w:t>
      </w:r>
      <w:r w:rsidR="00320146" w:rsidRPr="005A3F47">
        <w:rPr>
          <w:noProof/>
        </w:rPr>
        <w:t xml:space="preserve"> the operational efficiency in the internal market. </w:t>
      </w:r>
      <w:r w:rsidR="005A0A8B" w:rsidRPr="005A3F47">
        <w:rPr>
          <w:noProof/>
        </w:rPr>
        <w:t xml:space="preserve">In general, </w:t>
      </w:r>
      <w:r w:rsidR="00FF1F05" w:rsidRPr="005A3F47">
        <w:rPr>
          <w:noProof/>
        </w:rPr>
        <w:t>t</w:t>
      </w:r>
      <w:r w:rsidR="00AD7CA6" w:rsidRPr="005A3F47">
        <w:rPr>
          <w:noProof/>
        </w:rPr>
        <w:t>he one-off costs linked to the transition of the new rules would be relatively minor, as the comprehensive approach focuses on reducing existing requirements, rather than introducing new ones</w:t>
      </w:r>
      <w:r w:rsidR="002D7CFD" w:rsidRPr="005A3F47">
        <w:rPr>
          <w:noProof/>
        </w:rPr>
        <w:t xml:space="preserve"> and the carve-outs, e.g., related to the CFC rules and the Interest Limitation rules would</w:t>
      </w:r>
      <w:r w:rsidR="002F7DD7" w:rsidRPr="005A3F47">
        <w:rPr>
          <w:noProof/>
        </w:rPr>
        <w:t xml:space="preserve"> entail resource savings for tax administrations.</w:t>
      </w:r>
      <w:r w:rsidR="00AD7CA6" w:rsidRPr="005A3F47">
        <w:rPr>
          <w:noProof/>
        </w:rPr>
        <w:t xml:space="preserve"> </w:t>
      </w:r>
      <w:r w:rsidR="00341C64" w:rsidRPr="005A3F47">
        <w:rPr>
          <w:noProof/>
        </w:rPr>
        <w:t xml:space="preserve">On this basis, the benefits of the </w:t>
      </w:r>
      <w:r w:rsidR="00A154FF" w:rsidRPr="005A3F47">
        <w:rPr>
          <w:noProof/>
        </w:rPr>
        <w:t>comprehensive</w:t>
      </w:r>
      <w:r w:rsidR="00341C64" w:rsidRPr="005A3F47">
        <w:rPr>
          <w:noProof/>
        </w:rPr>
        <w:t xml:space="preserve"> approach outweigh by far expected costs</w:t>
      </w:r>
      <w:r w:rsidR="00AF46BC" w:rsidRPr="005A3F47">
        <w:rPr>
          <w:noProof/>
        </w:rPr>
        <w:t>,</w:t>
      </w:r>
      <w:r w:rsidR="00341C64" w:rsidRPr="005A3F47">
        <w:rPr>
          <w:noProof/>
        </w:rPr>
        <w:t xml:space="preserve"> and </w:t>
      </w:r>
      <w:r w:rsidR="00AF46BC" w:rsidRPr="005A3F47">
        <w:rPr>
          <w:noProof/>
        </w:rPr>
        <w:t>the</w:t>
      </w:r>
      <w:r w:rsidR="007C461B" w:rsidRPr="005A3F47">
        <w:rPr>
          <w:noProof/>
        </w:rPr>
        <w:t xml:space="preserve"> </w:t>
      </w:r>
      <w:r w:rsidR="00AF46BC" w:rsidRPr="005A3F47">
        <w:rPr>
          <w:noProof/>
        </w:rPr>
        <w:t>significant</w:t>
      </w:r>
      <w:r w:rsidR="0090577F" w:rsidRPr="005A3F47">
        <w:rPr>
          <w:noProof/>
        </w:rPr>
        <w:t xml:space="preserve"> </w:t>
      </w:r>
      <w:r w:rsidR="00E627CE" w:rsidRPr="005A3F47">
        <w:rPr>
          <w:noProof/>
        </w:rPr>
        <w:t>savings</w:t>
      </w:r>
      <w:r w:rsidR="00557A15" w:rsidRPr="005A3F47">
        <w:rPr>
          <w:noProof/>
        </w:rPr>
        <w:t xml:space="preserve"> </w:t>
      </w:r>
      <w:r w:rsidR="00CF6583" w:rsidRPr="005A3F47">
        <w:rPr>
          <w:noProof/>
        </w:rPr>
        <w:t>from</w:t>
      </w:r>
      <w:r w:rsidR="000A776E" w:rsidRPr="005A3F47">
        <w:rPr>
          <w:noProof/>
        </w:rPr>
        <w:t xml:space="preserve"> this</w:t>
      </w:r>
      <w:r w:rsidR="00557A15" w:rsidRPr="005A3F47">
        <w:rPr>
          <w:noProof/>
        </w:rPr>
        <w:t xml:space="preserve"> approach </w:t>
      </w:r>
      <w:r w:rsidR="00B75F9B" w:rsidRPr="005A3F47">
        <w:rPr>
          <w:noProof/>
        </w:rPr>
        <w:t xml:space="preserve">would </w:t>
      </w:r>
      <w:r w:rsidR="00D07C24" w:rsidRPr="005A3F47">
        <w:rPr>
          <w:noProof/>
        </w:rPr>
        <w:t xml:space="preserve">be redirected towards </w:t>
      </w:r>
      <w:r w:rsidR="00E3255E" w:rsidRPr="005A3F47">
        <w:rPr>
          <w:noProof/>
        </w:rPr>
        <w:t>investments</w:t>
      </w:r>
      <w:r w:rsidR="00BB51CB" w:rsidRPr="005A3F47">
        <w:rPr>
          <w:noProof/>
        </w:rPr>
        <w:t xml:space="preserve"> in new projects</w:t>
      </w:r>
      <w:r w:rsidR="00821C91" w:rsidRPr="005A3F47">
        <w:rPr>
          <w:noProof/>
        </w:rPr>
        <w:t>, expansion and innovation</w:t>
      </w:r>
      <w:r w:rsidR="004914FD" w:rsidRPr="005A3F47">
        <w:rPr>
          <w:noProof/>
        </w:rPr>
        <w:t xml:space="preserve"> contributing to growth and </w:t>
      </w:r>
      <w:r w:rsidR="00335C3F" w:rsidRPr="005A3F47">
        <w:rPr>
          <w:noProof/>
        </w:rPr>
        <w:t xml:space="preserve">boosting </w:t>
      </w:r>
      <w:r w:rsidR="004914FD" w:rsidRPr="005A3F47">
        <w:rPr>
          <w:noProof/>
        </w:rPr>
        <w:t>competitiveness</w:t>
      </w:r>
      <w:r w:rsidR="00A154FF" w:rsidRPr="005A3F47">
        <w:rPr>
          <w:noProof/>
        </w:rPr>
        <w:t>.</w:t>
      </w:r>
    </w:p>
    <w:p w14:paraId="7988930E" w14:textId="221736D5" w:rsidR="00611A1D" w:rsidRPr="005A3F47" w:rsidRDefault="007C27DC" w:rsidP="00131109">
      <w:pPr>
        <w:rPr>
          <w:noProof/>
        </w:rPr>
      </w:pPr>
      <w:r w:rsidRPr="005A3F47">
        <w:rPr>
          <w:b/>
          <w:bCs/>
          <w:noProof/>
        </w:rPr>
        <w:t>Coherence</w:t>
      </w:r>
      <w:r w:rsidRPr="005A3F47">
        <w:rPr>
          <w:noProof/>
        </w:rPr>
        <w:t xml:space="preserve">: the </w:t>
      </w:r>
      <w:r w:rsidR="00B2563E" w:rsidRPr="005A3F47">
        <w:rPr>
          <w:noProof/>
        </w:rPr>
        <w:t>comprehensive approach</w:t>
      </w:r>
      <w:r w:rsidR="1D1E08DB" w:rsidRPr="005A3F47">
        <w:rPr>
          <w:noProof/>
        </w:rPr>
        <w:t xml:space="preserve"> </w:t>
      </w:r>
      <w:r w:rsidR="0030295F" w:rsidRPr="005A3F47">
        <w:rPr>
          <w:noProof/>
        </w:rPr>
        <w:t>is</w:t>
      </w:r>
      <w:r w:rsidRPr="005A3F47">
        <w:rPr>
          <w:noProof/>
        </w:rPr>
        <w:t xml:space="preserve"> coherent</w:t>
      </w:r>
      <w:r w:rsidR="00027FB5" w:rsidRPr="005A3F47">
        <w:rPr>
          <w:noProof/>
        </w:rPr>
        <w:t xml:space="preserve"> within the proposal itself as it offers the </w:t>
      </w:r>
      <w:r w:rsidR="00435C71" w:rsidRPr="005A3F47">
        <w:rPr>
          <w:noProof/>
        </w:rPr>
        <w:t>broadest</w:t>
      </w:r>
      <w:r w:rsidR="006B31E7" w:rsidRPr="005A3F47">
        <w:rPr>
          <w:noProof/>
        </w:rPr>
        <w:t xml:space="preserve"> possible range of simplification measures across the </w:t>
      </w:r>
      <w:r w:rsidR="00501063" w:rsidRPr="005A3F47">
        <w:rPr>
          <w:noProof/>
        </w:rPr>
        <w:t xml:space="preserve">existing EU </w:t>
      </w:r>
      <w:r w:rsidR="00134BE6" w:rsidRPr="005A3F47">
        <w:rPr>
          <w:noProof/>
        </w:rPr>
        <w:t>tax framework</w:t>
      </w:r>
      <w:r w:rsidR="001A4405" w:rsidRPr="005A3F47">
        <w:rPr>
          <w:noProof/>
        </w:rPr>
        <w:t xml:space="preserve">, </w:t>
      </w:r>
      <w:r w:rsidR="00AA1BD6" w:rsidRPr="005A3F47">
        <w:rPr>
          <w:noProof/>
        </w:rPr>
        <w:t>while maintaining all the original objectives of the respective</w:t>
      </w:r>
      <w:r w:rsidR="00543454" w:rsidRPr="005A3F47">
        <w:rPr>
          <w:noProof/>
        </w:rPr>
        <w:t xml:space="preserve"> </w:t>
      </w:r>
      <w:r w:rsidR="00AA1BD6" w:rsidRPr="005A3F47">
        <w:rPr>
          <w:noProof/>
        </w:rPr>
        <w:t xml:space="preserve">tax </w:t>
      </w:r>
      <w:r w:rsidR="3F73DE49" w:rsidRPr="005A3F47">
        <w:rPr>
          <w:noProof/>
        </w:rPr>
        <w:t>D</w:t>
      </w:r>
      <w:r w:rsidR="00AA1BD6" w:rsidRPr="005A3F47">
        <w:rPr>
          <w:noProof/>
        </w:rPr>
        <w:t>irectives in place.</w:t>
      </w:r>
      <w:r w:rsidR="001A4405" w:rsidRPr="005A3F47">
        <w:rPr>
          <w:noProof/>
        </w:rPr>
        <w:t xml:space="preserve"> </w:t>
      </w:r>
      <w:r w:rsidR="00AA7D3F" w:rsidRPr="005A3F47">
        <w:rPr>
          <w:noProof/>
        </w:rPr>
        <w:t>As a matter of fact, i</w:t>
      </w:r>
      <w:r w:rsidRPr="005A3F47">
        <w:rPr>
          <w:noProof/>
        </w:rPr>
        <w:t xml:space="preserve">t </w:t>
      </w:r>
      <w:r w:rsidR="00AA1BD6" w:rsidRPr="005A3F47">
        <w:rPr>
          <w:noProof/>
        </w:rPr>
        <w:t>strengthens</w:t>
      </w:r>
      <w:r w:rsidR="005F3F13" w:rsidRPr="005A3F47">
        <w:rPr>
          <w:noProof/>
        </w:rPr>
        <w:t xml:space="preserve"> the Commission’s tax policy objectives</w:t>
      </w:r>
      <w:r w:rsidR="00B53948" w:rsidRPr="005A3F47">
        <w:rPr>
          <w:noProof/>
        </w:rPr>
        <w:t xml:space="preserve"> </w:t>
      </w:r>
      <w:r w:rsidR="00AA1BD6" w:rsidRPr="005A3F47">
        <w:rPr>
          <w:noProof/>
        </w:rPr>
        <w:t xml:space="preserve">by </w:t>
      </w:r>
      <w:r w:rsidR="005417F1" w:rsidRPr="005A3F47">
        <w:rPr>
          <w:noProof/>
        </w:rPr>
        <w:t xml:space="preserve">extending the progress already </w:t>
      </w:r>
      <w:r w:rsidR="00B42595" w:rsidRPr="005A3F47">
        <w:rPr>
          <w:noProof/>
        </w:rPr>
        <w:t>made</w:t>
      </w:r>
      <w:r w:rsidR="00B0205E" w:rsidRPr="005A3F47">
        <w:rPr>
          <w:noProof/>
        </w:rPr>
        <w:t xml:space="preserve"> under the IRD, PSD, </w:t>
      </w:r>
      <w:r w:rsidR="00B8674C" w:rsidRPr="005A3F47">
        <w:rPr>
          <w:noProof/>
        </w:rPr>
        <w:t>FASTER</w:t>
      </w:r>
      <w:r w:rsidR="00B0205E" w:rsidRPr="005A3F47">
        <w:rPr>
          <w:noProof/>
        </w:rPr>
        <w:t xml:space="preserve"> and TMD, while</w:t>
      </w:r>
      <w:r w:rsidR="00B8674C" w:rsidRPr="005A3F47">
        <w:rPr>
          <w:noProof/>
        </w:rPr>
        <w:t xml:space="preserve"> </w:t>
      </w:r>
      <w:r w:rsidR="008A6CCA" w:rsidRPr="005A3F47">
        <w:rPr>
          <w:noProof/>
        </w:rPr>
        <w:t xml:space="preserve">addressing </w:t>
      </w:r>
      <w:r w:rsidR="002E6D1C" w:rsidRPr="005A3F47">
        <w:rPr>
          <w:noProof/>
        </w:rPr>
        <w:t>the overlapping</w:t>
      </w:r>
      <w:r w:rsidR="00E77969" w:rsidRPr="005A3F47">
        <w:rPr>
          <w:noProof/>
        </w:rPr>
        <w:t xml:space="preserve"> CFC and Pillar 2 </w:t>
      </w:r>
      <w:r w:rsidR="002E6D1C" w:rsidRPr="005A3F47">
        <w:rPr>
          <w:noProof/>
        </w:rPr>
        <w:t xml:space="preserve">rules </w:t>
      </w:r>
      <w:r w:rsidR="008A6CCA" w:rsidRPr="005A3F47">
        <w:rPr>
          <w:noProof/>
        </w:rPr>
        <w:t>by</w:t>
      </w:r>
      <w:r w:rsidR="00C33932" w:rsidRPr="005A3F47">
        <w:rPr>
          <w:noProof/>
        </w:rPr>
        <w:t xml:space="preserve"> introducing a</w:t>
      </w:r>
      <w:r w:rsidR="008A6CCA" w:rsidRPr="005A3F47">
        <w:rPr>
          <w:noProof/>
        </w:rPr>
        <w:t xml:space="preserve"> </w:t>
      </w:r>
      <w:r w:rsidR="008B0F73" w:rsidRPr="005A3F47">
        <w:rPr>
          <w:noProof/>
        </w:rPr>
        <w:t>common</w:t>
      </w:r>
      <w:r w:rsidR="0005475F" w:rsidRPr="005A3F47">
        <w:rPr>
          <w:noProof/>
        </w:rPr>
        <w:t xml:space="preserve"> solution</w:t>
      </w:r>
      <w:r w:rsidR="002E6D1C" w:rsidRPr="005A3F47">
        <w:rPr>
          <w:noProof/>
        </w:rPr>
        <w:t xml:space="preserve"> at EU level</w:t>
      </w:r>
      <w:r w:rsidR="001A4405" w:rsidRPr="005A3F47">
        <w:rPr>
          <w:noProof/>
        </w:rPr>
        <w:t>.</w:t>
      </w:r>
      <w:r w:rsidR="00B8674C" w:rsidRPr="005A3F47">
        <w:rPr>
          <w:noProof/>
        </w:rPr>
        <w:t xml:space="preserve"> </w:t>
      </w:r>
      <w:r w:rsidR="00DD4D9F" w:rsidRPr="005A3F47">
        <w:rPr>
          <w:noProof/>
        </w:rPr>
        <w:t>It will also contribute to achieving other ongoing Commission priorities</w:t>
      </w:r>
      <w:r w:rsidR="00855783" w:rsidRPr="005A3F47">
        <w:rPr>
          <w:noProof/>
        </w:rPr>
        <w:t>,</w:t>
      </w:r>
      <w:r w:rsidR="00DD4D9F" w:rsidRPr="005A3F47">
        <w:rPr>
          <w:noProof/>
        </w:rPr>
        <w:t> such as building a</w:t>
      </w:r>
      <w:r w:rsidR="001621BD" w:rsidRPr="005A3F47">
        <w:rPr>
          <w:noProof/>
        </w:rPr>
        <w:t xml:space="preserve"> </w:t>
      </w:r>
      <w:r w:rsidR="00DD4D9F" w:rsidRPr="005A3F47">
        <w:rPr>
          <w:noProof/>
        </w:rPr>
        <w:t>strong Savings and Investments Union, encouraging cross-border commercial activity and business expansion in the internal market, as</w:t>
      </w:r>
      <w:r w:rsidR="00855783" w:rsidRPr="005A3F47">
        <w:rPr>
          <w:noProof/>
        </w:rPr>
        <w:t xml:space="preserve"> </w:t>
      </w:r>
      <w:r w:rsidR="00DD4D9F" w:rsidRPr="005A3F47">
        <w:rPr>
          <w:noProof/>
        </w:rPr>
        <w:t>well as facilitating business restructurings.</w:t>
      </w:r>
      <w:r w:rsidR="00CC60F7" w:rsidRPr="005A3F47">
        <w:rPr>
          <w:noProof/>
        </w:rPr>
        <w:t xml:space="preserve"> </w:t>
      </w:r>
      <w:r w:rsidR="00996B4A" w:rsidRPr="005A3F47">
        <w:rPr>
          <w:noProof/>
        </w:rPr>
        <w:t xml:space="preserve">The introduction of a new measure for R&amp;D expensing </w:t>
      </w:r>
      <w:r w:rsidR="007E07C6" w:rsidRPr="005A3F47">
        <w:rPr>
          <w:noProof/>
        </w:rPr>
        <w:t>in this approach</w:t>
      </w:r>
      <w:r w:rsidR="00996B4A" w:rsidRPr="005A3F47">
        <w:rPr>
          <w:noProof/>
        </w:rPr>
        <w:t xml:space="preserve"> is also in line with </w:t>
      </w:r>
      <w:r w:rsidR="00BC14AB" w:rsidRPr="005A3F47">
        <w:rPr>
          <w:noProof/>
        </w:rPr>
        <w:t xml:space="preserve">the Commission Recommendation on tax incentives to support the Clean Industrial Deal and in light of the Clean Industrial Deal State </w:t>
      </w:r>
      <w:r w:rsidR="00EC227B" w:rsidRPr="005A3F47">
        <w:rPr>
          <w:noProof/>
        </w:rPr>
        <w:t>Aid</w:t>
      </w:r>
      <w:r w:rsidR="00BC14AB" w:rsidRPr="005A3F47">
        <w:rPr>
          <w:noProof/>
        </w:rPr>
        <w:t xml:space="preserve"> Framework</w:t>
      </w:r>
      <w:r w:rsidR="00781B9F" w:rsidRPr="005A3F47">
        <w:rPr>
          <w:noProof/>
        </w:rPr>
        <w:t xml:space="preserve"> (</w:t>
      </w:r>
      <w:r w:rsidR="000E7270" w:rsidRPr="005A3F47">
        <w:rPr>
          <w:noProof/>
        </w:rPr>
        <w:footnoteReference w:id="116"/>
      </w:r>
      <w:r w:rsidR="00781B9F" w:rsidRPr="005A3F47">
        <w:rPr>
          <w:noProof/>
        </w:rPr>
        <w:t>)</w:t>
      </w:r>
      <w:r w:rsidR="000E7270" w:rsidRPr="005A3F47">
        <w:rPr>
          <w:noProof/>
        </w:rPr>
        <w:t xml:space="preserve">. </w:t>
      </w:r>
      <w:r w:rsidR="007F4E40" w:rsidRPr="005A3F47">
        <w:rPr>
          <w:noProof/>
        </w:rPr>
        <w:t>Finally, i</w:t>
      </w:r>
      <w:r w:rsidR="00131109" w:rsidRPr="005A3F47">
        <w:rPr>
          <w:noProof/>
        </w:rPr>
        <w:t xml:space="preserve">t </w:t>
      </w:r>
      <w:r w:rsidR="004C682E" w:rsidRPr="005A3F47">
        <w:rPr>
          <w:noProof/>
        </w:rPr>
        <w:t>helps</w:t>
      </w:r>
      <w:r w:rsidR="00131109" w:rsidRPr="005A3F47">
        <w:rPr>
          <w:noProof/>
        </w:rPr>
        <w:t xml:space="preserve"> address security and defence challenges</w:t>
      </w:r>
      <w:r w:rsidR="004C682E" w:rsidRPr="005A3F47">
        <w:rPr>
          <w:noProof/>
        </w:rPr>
        <w:t xml:space="preserve"> in the EU, particularly by excluding defence projects from the scope of the Interest Limitation Rule.</w:t>
      </w:r>
    </w:p>
    <w:p w14:paraId="79EBF4B2" w14:textId="57382D0C" w:rsidR="00E81E53" w:rsidRPr="005A3F47" w:rsidRDefault="00DA28B7" w:rsidP="00E81E53">
      <w:pPr>
        <w:rPr>
          <w:noProof/>
        </w:rPr>
      </w:pPr>
      <w:r w:rsidRPr="005A3F47">
        <w:rPr>
          <w:noProof/>
        </w:rPr>
        <w:t>In conclusion, t</w:t>
      </w:r>
      <w:r w:rsidR="00E81E53" w:rsidRPr="005A3F47">
        <w:rPr>
          <w:noProof/>
        </w:rPr>
        <w:t xml:space="preserve">his </w:t>
      </w:r>
      <w:r w:rsidR="00756EF6" w:rsidRPr="005A3F47">
        <w:rPr>
          <w:noProof/>
        </w:rPr>
        <w:t xml:space="preserve">approach </w:t>
      </w:r>
      <w:r w:rsidR="00E81E53" w:rsidRPr="005A3F47">
        <w:rPr>
          <w:noProof/>
        </w:rPr>
        <w:t xml:space="preserve">can be expected to </w:t>
      </w:r>
      <w:r w:rsidR="00274CBA" w:rsidRPr="005A3F47">
        <w:rPr>
          <w:noProof/>
        </w:rPr>
        <w:t>deliver on all</w:t>
      </w:r>
      <w:r w:rsidR="004127D4" w:rsidRPr="005A3F47">
        <w:rPr>
          <w:noProof/>
        </w:rPr>
        <w:t xml:space="preserve"> the</w:t>
      </w:r>
      <w:r w:rsidR="00274CBA" w:rsidRPr="005A3F47">
        <w:rPr>
          <w:noProof/>
        </w:rPr>
        <w:t xml:space="preserve"> </w:t>
      </w:r>
      <w:r w:rsidR="005252C7" w:rsidRPr="005A3F47">
        <w:rPr>
          <w:noProof/>
        </w:rPr>
        <w:t>specific objectives</w:t>
      </w:r>
      <w:r w:rsidR="00310B13" w:rsidRPr="005A3F47">
        <w:rPr>
          <w:noProof/>
        </w:rPr>
        <w:t xml:space="preserve"> in a cost</w:t>
      </w:r>
      <w:r w:rsidR="00310B13" w:rsidRPr="005A3F47">
        <w:rPr>
          <w:noProof/>
          <w:lang w:val="en-IE"/>
        </w:rPr>
        <w:t>-efficient way</w:t>
      </w:r>
      <w:r w:rsidR="00087A83" w:rsidRPr="005A3F47">
        <w:rPr>
          <w:noProof/>
        </w:rPr>
        <w:t xml:space="preserve">, </w:t>
      </w:r>
      <w:r w:rsidR="005252C7" w:rsidRPr="005A3F47">
        <w:rPr>
          <w:noProof/>
        </w:rPr>
        <w:t>and thereby</w:t>
      </w:r>
      <w:r w:rsidR="00E81E53" w:rsidRPr="005A3F47">
        <w:rPr>
          <w:noProof/>
        </w:rPr>
        <w:t xml:space="preserve"> significantly simplify tax rules across the EU </w:t>
      </w:r>
      <w:r w:rsidR="000F7014" w:rsidRPr="005A3F47">
        <w:rPr>
          <w:noProof/>
        </w:rPr>
        <w:t>to</w:t>
      </w:r>
      <w:r w:rsidR="00506809" w:rsidRPr="005A3F47">
        <w:rPr>
          <w:noProof/>
        </w:rPr>
        <w:t xml:space="preserve"> </w:t>
      </w:r>
      <w:r w:rsidR="00E81E53" w:rsidRPr="005A3F47">
        <w:rPr>
          <w:noProof/>
        </w:rPr>
        <w:t>boost the competitiveness of EU business</w:t>
      </w:r>
      <w:r w:rsidR="00E82A9A" w:rsidRPr="005A3F47">
        <w:rPr>
          <w:noProof/>
        </w:rPr>
        <w:t xml:space="preserve"> and stimulate</w:t>
      </w:r>
      <w:r w:rsidR="00D66180" w:rsidRPr="005A3F47">
        <w:rPr>
          <w:noProof/>
        </w:rPr>
        <w:t xml:space="preserve"> </w:t>
      </w:r>
      <w:r w:rsidR="008D48F7" w:rsidRPr="005A3F47">
        <w:rPr>
          <w:noProof/>
        </w:rPr>
        <w:t xml:space="preserve">investment and </w:t>
      </w:r>
      <w:r w:rsidR="00D66180" w:rsidRPr="005A3F47">
        <w:rPr>
          <w:noProof/>
        </w:rPr>
        <w:t xml:space="preserve">economic </w:t>
      </w:r>
      <w:r w:rsidR="000D5D55" w:rsidRPr="005A3F47">
        <w:rPr>
          <w:noProof/>
        </w:rPr>
        <w:t>activity</w:t>
      </w:r>
      <w:r w:rsidR="008D48F7" w:rsidRPr="005A3F47">
        <w:rPr>
          <w:noProof/>
        </w:rPr>
        <w:t xml:space="preserve"> in the EU</w:t>
      </w:r>
      <w:r w:rsidR="00705E2D" w:rsidRPr="005A3F47">
        <w:rPr>
          <w:noProof/>
        </w:rPr>
        <w:t>. Altho</w:t>
      </w:r>
      <w:r w:rsidR="005F03EC" w:rsidRPr="005A3F47">
        <w:rPr>
          <w:noProof/>
        </w:rPr>
        <w:t xml:space="preserve">ugh the simplification </w:t>
      </w:r>
      <w:r w:rsidR="000F7014" w:rsidRPr="005A3F47">
        <w:rPr>
          <w:noProof/>
        </w:rPr>
        <w:t>measures</w:t>
      </w:r>
      <w:r w:rsidR="005F03EC" w:rsidRPr="005A3F47">
        <w:rPr>
          <w:noProof/>
        </w:rPr>
        <w:t xml:space="preserve"> are ambitious, they </w:t>
      </w:r>
      <w:r w:rsidR="008000F2" w:rsidRPr="005A3F47">
        <w:rPr>
          <w:noProof/>
        </w:rPr>
        <w:t xml:space="preserve">remain coherent with the existing </w:t>
      </w:r>
      <w:r w:rsidR="000D16C2" w:rsidRPr="005A3F47">
        <w:rPr>
          <w:noProof/>
        </w:rPr>
        <w:t xml:space="preserve">EU </w:t>
      </w:r>
      <w:r w:rsidR="002632EF" w:rsidRPr="005A3F47">
        <w:rPr>
          <w:noProof/>
        </w:rPr>
        <w:t xml:space="preserve">policies and </w:t>
      </w:r>
      <w:r w:rsidR="00AE4ED4" w:rsidRPr="005A3F47">
        <w:rPr>
          <w:noProof/>
        </w:rPr>
        <w:t>international standards</w:t>
      </w:r>
      <w:r w:rsidR="007D37F5" w:rsidRPr="005A3F47">
        <w:rPr>
          <w:noProof/>
        </w:rPr>
        <w:t xml:space="preserve"> as they</w:t>
      </w:r>
      <w:r w:rsidR="002632EF" w:rsidRPr="005A3F47">
        <w:rPr>
          <w:noProof/>
        </w:rPr>
        <w:t xml:space="preserve"> </w:t>
      </w:r>
      <w:r w:rsidR="005F03EC" w:rsidRPr="005A3F47">
        <w:rPr>
          <w:noProof/>
        </w:rPr>
        <w:t>are accommodated by necessary safeguards</w:t>
      </w:r>
      <w:r w:rsidR="00D474ED" w:rsidRPr="005A3F47">
        <w:rPr>
          <w:noProof/>
        </w:rPr>
        <w:t xml:space="preserve">, </w:t>
      </w:r>
      <w:r w:rsidR="000D5D55" w:rsidRPr="005A3F47">
        <w:rPr>
          <w:noProof/>
        </w:rPr>
        <w:t>such as the protective measure for the withholding tax relief under the IRD and PSD,</w:t>
      </w:r>
      <w:r w:rsidR="00D474ED" w:rsidRPr="005A3F47">
        <w:rPr>
          <w:noProof/>
        </w:rPr>
        <w:t xml:space="preserve"> thereby ensuring </w:t>
      </w:r>
      <w:r w:rsidR="000B2412" w:rsidRPr="005A3F47">
        <w:rPr>
          <w:noProof/>
        </w:rPr>
        <w:t>that</w:t>
      </w:r>
      <w:r w:rsidR="007F2E42" w:rsidRPr="005A3F47">
        <w:rPr>
          <w:noProof/>
        </w:rPr>
        <w:t xml:space="preserve"> the current high tax standards in the EU are not compromised. </w:t>
      </w:r>
      <w:r w:rsidR="00E81E53" w:rsidRPr="005A3F47">
        <w:rPr>
          <w:noProof/>
        </w:rPr>
        <w:t xml:space="preserve">  </w:t>
      </w:r>
    </w:p>
    <w:p w14:paraId="2227E7B0" w14:textId="003741E4" w:rsidR="00672C44" w:rsidRPr="005A3F47" w:rsidRDefault="00C4469A" w:rsidP="00FA5B5C">
      <w:pPr>
        <w:pStyle w:val="Heading2"/>
        <w:numPr>
          <w:ilvl w:val="1"/>
          <w:numId w:val="216"/>
        </w:numPr>
        <w:rPr>
          <w:noProof/>
        </w:rPr>
      </w:pPr>
      <w:bookmarkStart w:id="215" w:name="_Toc226466840"/>
      <w:bookmarkStart w:id="216" w:name="_Toc226467201"/>
      <w:bookmarkStart w:id="217" w:name="_Toc226467301"/>
      <w:bookmarkStart w:id="218" w:name="_Toc226467520"/>
      <w:r w:rsidRPr="005A3F47">
        <w:rPr>
          <w:noProof/>
        </w:rPr>
        <w:t xml:space="preserve"> </w:t>
      </w:r>
      <w:r w:rsidR="00BA789C" w:rsidRPr="005A3F47">
        <w:rPr>
          <w:noProof/>
        </w:rPr>
        <w:t xml:space="preserve">Medium Ambition </w:t>
      </w:r>
      <w:r w:rsidR="001615E7" w:rsidRPr="005A3F47">
        <w:rPr>
          <w:noProof/>
        </w:rPr>
        <w:t>Omnibus</w:t>
      </w:r>
      <w:r w:rsidR="41E9FA91" w:rsidRPr="005A3F47">
        <w:rPr>
          <w:noProof/>
        </w:rPr>
        <w:t xml:space="preserve"> on Taxation</w:t>
      </w:r>
      <w:bookmarkEnd w:id="215"/>
      <w:bookmarkEnd w:id="216"/>
      <w:bookmarkEnd w:id="217"/>
      <w:bookmarkEnd w:id="218"/>
    </w:p>
    <w:tbl>
      <w:tblPr>
        <w:tblStyle w:val="TableGrid"/>
        <w:tblW w:w="0" w:type="auto"/>
        <w:tblLook w:val="04A0" w:firstRow="1" w:lastRow="0" w:firstColumn="1" w:lastColumn="0" w:noHBand="0" w:noVBand="1"/>
      </w:tblPr>
      <w:tblGrid>
        <w:gridCol w:w="2229"/>
        <w:gridCol w:w="2522"/>
        <w:gridCol w:w="1696"/>
        <w:gridCol w:w="1278"/>
        <w:gridCol w:w="1516"/>
      </w:tblGrid>
      <w:tr w:rsidR="00D8676C" w:rsidRPr="005A3F47" w14:paraId="06E59358" w14:textId="77777777" w:rsidTr="00350E7D">
        <w:tc>
          <w:tcPr>
            <w:tcW w:w="2229" w:type="dxa"/>
            <w:shd w:val="clear" w:color="auto" w:fill="95B3D7" w:themeFill="accent1" w:themeFillTint="99"/>
          </w:tcPr>
          <w:p w14:paraId="19B3ABEC" w14:textId="77777777" w:rsidR="00D8676C" w:rsidRPr="005A3F47" w:rsidRDefault="00D8676C">
            <w:pPr>
              <w:pStyle w:val="Text2"/>
              <w:spacing w:after="0"/>
              <w:ind w:left="0"/>
              <w:jc w:val="center"/>
              <w:rPr>
                <w:b/>
                <w:noProof/>
                <w:sz w:val="22"/>
                <w:szCs w:val="18"/>
              </w:rPr>
            </w:pPr>
            <w:r w:rsidRPr="005A3F47">
              <w:rPr>
                <w:b/>
                <w:noProof/>
                <w:sz w:val="22"/>
                <w:szCs w:val="18"/>
              </w:rPr>
              <w:t>Policy option(s)</w:t>
            </w:r>
          </w:p>
        </w:tc>
        <w:tc>
          <w:tcPr>
            <w:tcW w:w="7012" w:type="dxa"/>
            <w:gridSpan w:val="4"/>
            <w:shd w:val="clear" w:color="auto" w:fill="C2D69B" w:themeFill="accent3" w:themeFillTint="99"/>
          </w:tcPr>
          <w:p w14:paraId="1CD733A9" w14:textId="77777777" w:rsidR="00D8676C" w:rsidRPr="005A3F47" w:rsidRDefault="00D8676C">
            <w:pPr>
              <w:pStyle w:val="Text2"/>
              <w:spacing w:after="0"/>
              <w:ind w:left="0"/>
              <w:jc w:val="center"/>
              <w:rPr>
                <w:b/>
                <w:noProof/>
                <w:sz w:val="22"/>
                <w:szCs w:val="18"/>
              </w:rPr>
            </w:pPr>
            <w:r w:rsidRPr="005A3F47">
              <w:rPr>
                <w:b/>
                <w:noProof/>
                <w:sz w:val="22"/>
                <w:szCs w:val="18"/>
              </w:rPr>
              <w:t>Specific objectives</w:t>
            </w:r>
          </w:p>
        </w:tc>
      </w:tr>
      <w:tr w:rsidR="00E30F4E" w:rsidRPr="005A3F47" w14:paraId="5D48DE4C" w14:textId="77777777" w:rsidTr="00350E7D">
        <w:tc>
          <w:tcPr>
            <w:tcW w:w="2229" w:type="dxa"/>
            <w:shd w:val="clear" w:color="auto" w:fill="DBE5F1" w:themeFill="accent1" w:themeFillTint="33"/>
          </w:tcPr>
          <w:p w14:paraId="30524C3E" w14:textId="77777777" w:rsidR="00D8676C" w:rsidRPr="005A3F47" w:rsidRDefault="00D8676C">
            <w:pPr>
              <w:pStyle w:val="Text2"/>
              <w:spacing w:after="0"/>
              <w:ind w:left="0"/>
              <w:jc w:val="center"/>
              <w:rPr>
                <w:noProof/>
                <w:sz w:val="22"/>
                <w:szCs w:val="18"/>
              </w:rPr>
            </w:pPr>
            <w:r w:rsidRPr="005A3F47">
              <w:rPr>
                <w:noProof/>
                <w:sz w:val="22"/>
                <w:szCs w:val="18"/>
              </w:rPr>
              <w:t>Taxation of cross-border interest, royalty and dividend payments</w:t>
            </w:r>
          </w:p>
        </w:tc>
        <w:tc>
          <w:tcPr>
            <w:tcW w:w="2522" w:type="dxa"/>
            <w:shd w:val="clear" w:color="auto" w:fill="EAF1DD" w:themeFill="accent3" w:themeFillTint="33"/>
          </w:tcPr>
          <w:p w14:paraId="6043C5FB" w14:textId="7D0071E7" w:rsidR="00D8676C" w:rsidRPr="005A3F47" w:rsidRDefault="00D8676C">
            <w:pPr>
              <w:pStyle w:val="Text2"/>
              <w:spacing w:after="0"/>
              <w:ind w:left="0"/>
              <w:jc w:val="center"/>
              <w:rPr>
                <w:noProof/>
                <w:sz w:val="22"/>
                <w:szCs w:val="18"/>
                <w:lang w:val="fr-FR"/>
              </w:rPr>
            </w:pPr>
            <w:r w:rsidRPr="005A3F47">
              <w:rPr>
                <w:noProof/>
                <w:sz w:val="22"/>
                <w:szCs w:val="18"/>
                <w:lang w:val="fr-FR"/>
              </w:rPr>
              <w:t xml:space="preserve">Eliminate </w:t>
            </w:r>
            <w:r w:rsidR="00AA3AEA" w:rsidRPr="005A3F47">
              <w:rPr>
                <w:noProof/>
                <w:sz w:val="22"/>
                <w:szCs w:val="18"/>
                <w:lang w:val="fr-FR"/>
              </w:rPr>
              <w:t>disproportionate</w:t>
            </w:r>
            <w:r w:rsidRPr="005A3F47" w:rsidDel="00ED12C7">
              <w:rPr>
                <w:noProof/>
                <w:sz w:val="22"/>
                <w:szCs w:val="18"/>
                <w:lang w:val="fr-FR"/>
              </w:rPr>
              <w:t xml:space="preserve"> </w:t>
            </w:r>
            <w:r w:rsidRPr="005A3F47">
              <w:rPr>
                <w:noProof/>
                <w:sz w:val="22"/>
                <w:szCs w:val="18"/>
                <w:lang w:val="fr-FR"/>
              </w:rPr>
              <w:t>EU tax compliance burdens</w:t>
            </w:r>
          </w:p>
        </w:tc>
        <w:tc>
          <w:tcPr>
            <w:tcW w:w="1696" w:type="dxa"/>
            <w:shd w:val="clear" w:color="auto" w:fill="EAF1DD" w:themeFill="accent3" w:themeFillTint="33"/>
          </w:tcPr>
          <w:p w14:paraId="230F17C2" w14:textId="77777777" w:rsidR="00D8676C" w:rsidRPr="005A3F47" w:rsidRDefault="00D8676C">
            <w:pPr>
              <w:pStyle w:val="Text2"/>
              <w:spacing w:after="0"/>
              <w:ind w:left="0"/>
              <w:jc w:val="center"/>
              <w:rPr>
                <w:noProof/>
                <w:sz w:val="22"/>
                <w:szCs w:val="18"/>
              </w:rPr>
            </w:pPr>
            <w:r w:rsidRPr="005A3F47">
              <w:rPr>
                <w:noProof/>
                <w:sz w:val="22"/>
                <w:szCs w:val="18"/>
              </w:rPr>
              <w:t>Introduce clear and predictable EU tax rules and terms</w:t>
            </w:r>
          </w:p>
        </w:tc>
        <w:tc>
          <w:tcPr>
            <w:tcW w:w="1278" w:type="dxa"/>
            <w:shd w:val="clear" w:color="auto" w:fill="EAF1DD" w:themeFill="accent3" w:themeFillTint="33"/>
          </w:tcPr>
          <w:p w14:paraId="150F44B2" w14:textId="6444E3DF" w:rsidR="00D8676C" w:rsidRPr="005A3F47" w:rsidRDefault="00F92E2F">
            <w:pPr>
              <w:pStyle w:val="Text2"/>
              <w:spacing w:after="0"/>
              <w:ind w:left="0"/>
              <w:jc w:val="center"/>
              <w:rPr>
                <w:noProof/>
                <w:sz w:val="22"/>
                <w:szCs w:val="22"/>
              </w:rPr>
            </w:pPr>
            <w:r w:rsidRPr="005A3F47">
              <w:rPr>
                <w:noProof/>
                <w:sz w:val="22"/>
                <w:szCs w:val="22"/>
              </w:rPr>
              <w:t>Improve consistency in the application of EU tax directives​</w:t>
            </w:r>
          </w:p>
        </w:tc>
        <w:tc>
          <w:tcPr>
            <w:tcW w:w="1516" w:type="dxa"/>
            <w:shd w:val="clear" w:color="auto" w:fill="EAF1DD" w:themeFill="accent3" w:themeFillTint="33"/>
          </w:tcPr>
          <w:p w14:paraId="05CB24A1" w14:textId="6A705B60" w:rsidR="00D8676C" w:rsidRPr="005A3F47" w:rsidRDefault="00F92E2F">
            <w:pPr>
              <w:pStyle w:val="Text2"/>
              <w:spacing w:after="0"/>
              <w:ind w:left="0"/>
              <w:jc w:val="center"/>
              <w:rPr>
                <w:noProof/>
                <w:sz w:val="22"/>
                <w:szCs w:val="18"/>
              </w:rPr>
            </w:pPr>
            <w:r w:rsidRPr="005A3F47">
              <w:rPr>
                <w:noProof/>
                <w:sz w:val="22"/>
                <w:szCs w:val="18"/>
              </w:rPr>
              <w:t>Reduce remaining tax obstacles to cross-border investment and commercial activity</w:t>
            </w:r>
          </w:p>
        </w:tc>
      </w:tr>
      <w:tr w:rsidR="00D8676C" w:rsidRPr="005A3F47" w14:paraId="56488B71" w14:textId="77777777" w:rsidTr="00350E7D">
        <w:tc>
          <w:tcPr>
            <w:tcW w:w="2229" w:type="dxa"/>
          </w:tcPr>
          <w:p w14:paraId="4F84F116" w14:textId="77777777" w:rsidR="00D8676C" w:rsidRPr="005A3F47" w:rsidRDefault="00D8676C">
            <w:pPr>
              <w:pStyle w:val="Text2"/>
              <w:spacing w:after="0"/>
              <w:ind w:left="0"/>
              <w:jc w:val="left"/>
              <w:rPr>
                <w:noProof/>
                <w:sz w:val="22"/>
                <w:szCs w:val="18"/>
              </w:rPr>
            </w:pPr>
            <w:r w:rsidRPr="005A3F47">
              <w:rPr>
                <w:noProof/>
                <w:sz w:val="22"/>
                <w:szCs w:val="18"/>
              </w:rPr>
              <w:t>Option 1B: Alignment of scope and procedures</w:t>
            </w:r>
          </w:p>
        </w:tc>
        <w:tc>
          <w:tcPr>
            <w:tcW w:w="2522" w:type="dxa"/>
          </w:tcPr>
          <w:p w14:paraId="3A21ACEA"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38F35145"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698189BF"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298E61BE"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628D36F4" w14:textId="77777777" w:rsidTr="00350E7D">
        <w:tc>
          <w:tcPr>
            <w:tcW w:w="2229" w:type="dxa"/>
            <w:shd w:val="clear" w:color="auto" w:fill="DBE5F1" w:themeFill="accent1" w:themeFillTint="33"/>
          </w:tcPr>
          <w:p w14:paraId="381A4A97" w14:textId="77777777" w:rsidR="00D8676C" w:rsidRPr="005A3F47" w:rsidRDefault="00D8676C">
            <w:pPr>
              <w:pStyle w:val="Text2"/>
              <w:spacing w:after="0"/>
              <w:ind w:left="0"/>
              <w:jc w:val="center"/>
              <w:rPr>
                <w:noProof/>
                <w:sz w:val="22"/>
                <w:szCs w:val="18"/>
              </w:rPr>
            </w:pPr>
            <w:r w:rsidRPr="005A3F47">
              <w:rPr>
                <w:noProof/>
                <w:sz w:val="22"/>
                <w:szCs w:val="18"/>
              </w:rPr>
              <w:t>Taxation of CFCs</w:t>
            </w:r>
          </w:p>
        </w:tc>
        <w:tc>
          <w:tcPr>
            <w:tcW w:w="7012" w:type="dxa"/>
            <w:gridSpan w:val="4"/>
            <w:shd w:val="clear" w:color="auto" w:fill="EAF1DD" w:themeFill="accent3" w:themeFillTint="33"/>
          </w:tcPr>
          <w:p w14:paraId="63AC42D8" w14:textId="77777777" w:rsidR="00D8676C" w:rsidRPr="005A3F47" w:rsidRDefault="00D8676C">
            <w:pPr>
              <w:pStyle w:val="Text2"/>
              <w:spacing w:after="0"/>
              <w:ind w:left="0"/>
              <w:jc w:val="center"/>
              <w:rPr>
                <w:noProof/>
                <w:sz w:val="22"/>
                <w:szCs w:val="18"/>
              </w:rPr>
            </w:pPr>
          </w:p>
        </w:tc>
      </w:tr>
      <w:tr w:rsidR="00D8676C" w:rsidRPr="005A3F47" w14:paraId="6A8EAB89" w14:textId="77777777" w:rsidTr="00350E7D">
        <w:tc>
          <w:tcPr>
            <w:tcW w:w="2229" w:type="dxa"/>
          </w:tcPr>
          <w:p w14:paraId="5E820A5A" w14:textId="77777777" w:rsidR="00D8676C" w:rsidRPr="005A3F47" w:rsidRDefault="00D8676C">
            <w:pPr>
              <w:pStyle w:val="Text2"/>
              <w:spacing w:after="0"/>
              <w:ind w:left="0"/>
              <w:jc w:val="left"/>
              <w:rPr>
                <w:noProof/>
                <w:sz w:val="22"/>
                <w:szCs w:val="18"/>
              </w:rPr>
            </w:pPr>
            <w:r w:rsidRPr="005A3F47">
              <w:rPr>
                <w:noProof/>
                <w:sz w:val="22"/>
                <w:szCs w:val="18"/>
              </w:rPr>
              <w:t>Option 1: Mandatory application of Model A</w:t>
            </w:r>
          </w:p>
        </w:tc>
        <w:tc>
          <w:tcPr>
            <w:tcW w:w="2522" w:type="dxa"/>
          </w:tcPr>
          <w:p w14:paraId="3DD4051F"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09D55BB8"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592C5312"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147BC058"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2CFCE66F" w14:textId="77777777" w:rsidTr="00350E7D">
        <w:tc>
          <w:tcPr>
            <w:tcW w:w="2229" w:type="dxa"/>
          </w:tcPr>
          <w:p w14:paraId="7E57901D" w14:textId="77777777" w:rsidR="00D8676C" w:rsidRPr="005A3F47" w:rsidRDefault="00D8676C">
            <w:pPr>
              <w:pStyle w:val="Text2"/>
              <w:spacing w:after="0"/>
              <w:ind w:left="0"/>
              <w:jc w:val="left"/>
              <w:rPr>
                <w:noProof/>
                <w:sz w:val="22"/>
                <w:szCs w:val="18"/>
              </w:rPr>
            </w:pPr>
            <w:r w:rsidRPr="005A3F47">
              <w:rPr>
                <w:noProof/>
                <w:sz w:val="22"/>
                <w:szCs w:val="18"/>
              </w:rPr>
              <w:t>Option 2B: Inclusion of QDMTT in CFC calculations</w:t>
            </w:r>
          </w:p>
        </w:tc>
        <w:tc>
          <w:tcPr>
            <w:tcW w:w="2522" w:type="dxa"/>
          </w:tcPr>
          <w:p w14:paraId="0040B794"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696" w:type="dxa"/>
          </w:tcPr>
          <w:p w14:paraId="4DCF52CD"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25A8587E" w14:textId="4B9D20FC"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4657AFB7" w14:textId="66073956"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5229860B" w14:textId="77777777" w:rsidTr="00350E7D">
        <w:tc>
          <w:tcPr>
            <w:tcW w:w="2229" w:type="dxa"/>
          </w:tcPr>
          <w:p w14:paraId="7D20F9D3" w14:textId="77777777" w:rsidR="00D8676C" w:rsidRPr="005A3F47" w:rsidRDefault="00D8676C">
            <w:pPr>
              <w:pStyle w:val="Text2"/>
              <w:spacing w:after="0"/>
              <w:ind w:left="0"/>
              <w:jc w:val="left"/>
              <w:rPr>
                <w:noProof/>
                <w:sz w:val="22"/>
                <w:szCs w:val="18"/>
              </w:rPr>
            </w:pPr>
            <w:r w:rsidRPr="005A3F47">
              <w:rPr>
                <w:noProof/>
                <w:sz w:val="22"/>
                <w:szCs w:val="18"/>
              </w:rPr>
              <w:t xml:space="preserve">Option 3: </w:t>
            </w:r>
            <w:r w:rsidRPr="005A3F47" w:rsidDel="00862338">
              <w:rPr>
                <w:noProof/>
                <w:sz w:val="22"/>
                <w:szCs w:val="18"/>
              </w:rPr>
              <w:t>C</w:t>
            </w:r>
            <w:r w:rsidRPr="005A3F47">
              <w:rPr>
                <w:noProof/>
                <w:sz w:val="22"/>
                <w:szCs w:val="18"/>
              </w:rPr>
              <w:t xml:space="preserve">arveout </w:t>
            </w:r>
            <w:r w:rsidRPr="005A3F47" w:rsidDel="00862338">
              <w:rPr>
                <w:noProof/>
                <w:sz w:val="22"/>
                <w:szCs w:val="18"/>
              </w:rPr>
              <w:t>of SMEs</w:t>
            </w:r>
          </w:p>
        </w:tc>
        <w:tc>
          <w:tcPr>
            <w:tcW w:w="2522" w:type="dxa"/>
          </w:tcPr>
          <w:p w14:paraId="751D1B1F"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78A65DAF"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2164F24B"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516" w:type="dxa"/>
          </w:tcPr>
          <w:p w14:paraId="38AFFA7E"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2EEB0330" w14:textId="77777777" w:rsidTr="00350E7D">
        <w:tc>
          <w:tcPr>
            <w:tcW w:w="2229" w:type="dxa"/>
            <w:shd w:val="clear" w:color="auto" w:fill="DBE5F1" w:themeFill="accent1" w:themeFillTint="33"/>
          </w:tcPr>
          <w:p w14:paraId="1E083EC5" w14:textId="77777777" w:rsidR="00D8676C" w:rsidRPr="005A3F47" w:rsidRDefault="00D8676C">
            <w:pPr>
              <w:pStyle w:val="Text2"/>
              <w:spacing w:after="0"/>
              <w:ind w:left="0"/>
              <w:jc w:val="center"/>
              <w:rPr>
                <w:noProof/>
                <w:sz w:val="22"/>
                <w:szCs w:val="18"/>
              </w:rPr>
            </w:pPr>
            <w:r w:rsidRPr="005A3F47">
              <w:rPr>
                <w:noProof/>
                <w:sz w:val="22"/>
                <w:szCs w:val="18"/>
              </w:rPr>
              <w:t>Research and development (R&amp;D)</w:t>
            </w:r>
          </w:p>
        </w:tc>
        <w:tc>
          <w:tcPr>
            <w:tcW w:w="7012" w:type="dxa"/>
            <w:gridSpan w:val="4"/>
            <w:shd w:val="clear" w:color="auto" w:fill="EAF1DD" w:themeFill="accent3" w:themeFillTint="33"/>
          </w:tcPr>
          <w:p w14:paraId="3D5CDF30" w14:textId="77777777" w:rsidR="00D8676C" w:rsidRPr="005A3F47" w:rsidRDefault="00D8676C">
            <w:pPr>
              <w:pStyle w:val="Text2"/>
              <w:spacing w:after="0"/>
              <w:ind w:left="0"/>
              <w:jc w:val="center"/>
              <w:rPr>
                <w:noProof/>
                <w:sz w:val="22"/>
                <w:szCs w:val="18"/>
              </w:rPr>
            </w:pPr>
          </w:p>
        </w:tc>
      </w:tr>
      <w:tr w:rsidR="00D8676C" w:rsidRPr="005A3F47" w14:paraId="13450653" w14:textId="77777777" w:rsidTr="00350E7D">
        <w:tc>
          <w:tcPr>
            <w:tcW w:w="2229" w:type="dxa"/>
          </w:tcPr>
          <w:p w14:paraId="08E61E9C" w14:textId="52366A4A" w:rsidR="00D8676C" w:rsidRPr="005A3F47" w:rsidRDefault="00D8676C">
            <w:pPr>
              <w:pStyle w:val="Text2"/>
              <w:spacing w:after="0"/>
              <w:ind w:left="0"/>
              <w:jc w:val="left"/>
              <w:rPr>
                <w:noProof/>
                <w:sz w:val="22"/>
                <w:szCs w:val="18"/>
              </w:rPr>
            </w:pPr>
            <w:r w:rsidRPr="005A3F47">
              <w:rPr>
                <w:noProof/>
                <w:sz w:val="22"/>
                <w:szCs w:val="18"/>
              </w:rPr>
              <w:t>Option 1</w:t>
            </w:r>
            <w:r w:rsidR="00C54A01" w:rsidRPr="005A3F47">
              <w:rPr>
                <w:noProof/>
                <w:sz w:val="22"/>
                <w:szCs w:val="18"/>
              </w:rPr>
              <w:t>B: Keep status quo</w:t>
            </w:r>
          </w:p>
        </w:tc>
        <w:tc>
          <w:tcPr>
            <w:tcW w:w="2522" w:type="dxa"/>
          </w:tcPr>
          <w:p w14:paraId="7F30F5CC"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696" w:type="dxa"/>
          </w:tcPr>
          <w:p w14:paraId="14529CFB" w14:textId="0C987832" w:rsidR="00D8676C" w:rsidRPr="005A3F47" w:rsidRDefault="00C54A01">
            <w:pPr>
              <w:pStyle w:val="Text2"/>
              <w:spacing w:after="0"/>
              <w:ind w:left="0"/>
              <w:jc w:val="center"/>
              <w:rPr>
                <w:noProof/>
                <w:sz w:val="22"/>
                <w:szCs w:val="18"/>
              </w:rPr>
            </w:pPr>
            <w:r w:rsidRPr="005A3F47">
              <w:rPr>
                <w:noProof/>
                <w:sz w:val="22"/>
                <w:szCs w:val="18"/>
              </w:rPr>
              <w:t>0</w:t>
            </w:r>
          </w:p>
        </w:tc>
        <w:tc>
          <w:tcPr>
            <w:tcW w:w="1278" w:type="dxa"/>
          </w:tcPr>
          <w:p w14:paraId="405D050D" w14:textId="5047CB70" w:rsidR="00D8676C" w:rsidRPr="005A3F47" w:rsidRDefault="00C54A01">
            <w:pPr>
              <w:pStyle w:val="Text2"/>
              <w:spacing w:after="0"/>
              <w:ind w:left="0"/>
              <w:jc w:val="center"/>
              <w:rPr>
                <w:noProof/>
                <w:sz w:val="22"/>
                <w:szCs w:val="18"/>
              </w:rPr>
            </w:pPr>
            <w:r w:rsidRPr="005A3F47">
              <w:rPr>
                <w:noProof/>
                <w:sz w:val="22"/>
                <w:szCs w:val="18"/>
              </w:rPr>
              <w:t>0</w:t>
            </w:r>
          </w:p>
        </w:tc>
        <w:tc>
          <w:tcPr>
            <w:tcW w:w="1516" w:type="dxa"/>
          </w:tcPr>
          <w:p w14:paraId="4B97A295" w14:textId="6D546725" w:rsidR="00D8676C" w:rsidRPr="005A3F47" w:rsidRDefault="00C54A01">
            <w:pPr>
              <w:pStyle w:val="Text2"/>
              <w:spacing w:after="0"/>
              <w:ind w:left="0"/>
              <w:jc w:val="center"/>
              <w:rPr>
                <w:noProof/>
                <w:sz w:val="22"/>
                <w:szCs w:val="18"/>
              </w:rPr>
            </w:pPr>
            <w:r w:rsidRPr="005A3F47">
              <w:rPr>
                <w:noProof/>
                <w:sz w:val="22"/>
                <w:szCs w:val="18"/>
              </w:rPr>
              <w:t>0</w:t>
            </w:r>
          </w:p>
        </w:tc>
      </w:tr>
      <w:tr w:rsidR="00D8676C" w:rsidRPr="005A3F47" w14:paraId="0D993EFD" w14:textId="77777777" w:rsidTr="00350E7D">
        <w:tc>
          <w:tcPr>
            <w:tcW w:w="2229" w:type="dxa"/>
            <w:shd w:val="clear" w:color="auto" w:fill="DBE5F1" w:themeFill="accent1" w:themeFillTint="33"/>
          </w:tcPr>
          <w:p w14:paraId="5A10499C" w14:textId="7C6CB025" w:rsidR="00D8676C" w:rsidRPr="005A3F47" w:rsidRDefault="00D8676C">
            <w:pPr>
              <w:pStyle w:val="Text2"/>
              <w:spacing w:after="0"/>
              <w:ind w:left="0"/>
              <w:jc w:val="center"/>
              <w:rPr>
                <w:noProof/>
                <w:sz w:val="22"/>
                <w:szCs w:val="18"/>
              </w:rPr>
            </w:pPr>
            <w:r w:rsidRPr="005A3F47">
              <w:rPr>
                <w:noProof/>
                <w:sz w:val="22"/>
                <w:szCs w:val="18"/>
              </w:rPr>
              <w:t xml:space="preserve">Interest </w:t>
            </w:r>
            <w:r w:rsidR="003252ED" w:rsidRPr="005A3F47">
              <w:rPr>
                <w:noProof/>
                <w:sz w:val="22"/>
                <w:szCs w:val="18"/>
              </w:rPr>
              <w:t>L</w:t>
            </w:r>
            <w:r w:rsidRPr="005A3F47">
              <w:rPr>
                <w:noProof/>
                <w:sz w:val="22"/>
                <w:szCs w:val="18"/>
              </w:rPr>
              <w:t xml:space="preserve">imitation </w:t>
            </w:r>
            <w:r w:rsidR="003252ED" w:rsidRPr="005A3F47">
              <w:rPr>
                <w:noProof/>
                <w:sz w:val="22"/>
                <w:szCs w:val="18"/>
              </w:rPr>
              <w:t>R</w:t>
            </w:r>
            <w:r w:rsidRPr="005A3F47">
              <w:rPr>
                <w:noProof/>
                <w:sz w:val="22"/>
                <w:szCs w:val="18"/>
              </w:rPr>
              <w:t>ule</w:t>
            </w:r>
          </w:p>
        </w:tc>
        <w:tc>
          <w:tcPr>
            <w:tcW w:w="7012" w:type="dxa"/>
            <w:gridSpan w:val="4"/>
            <w:shd w:val="clear" w:color="auto" w:fill="EAF1DD" w:themeFill="accent3" w:themeFillTint="33"/>
          </w:tcPr>
          <w:p w14:paraId="3DE4CD00" w14:textId="77777777" w:rsidR="00D8676C" w:rsidRPr="005A3F47" w:rsidRDefault="00D8676C">
            <w:pPr>
              <w:pStyle w:val="Text2"/>
              <w:spacing w:after="0"/>
              <w:ind w:left="0"/>
              <w:jc w:val="center"/>
              <w:rPr>
                <w:noProof/>
                <w:sz w:val="22"/>
                <w:szCs w:val="18"/>
              </w:rPr>
            </w:pPr>
          </w:p>
        </w:tc>
      </w:tr>
      <w:tr w:rsidR="00D8676C" w:rsidRPr="005A3F47" w14:paraId="0852E664" w14:textId="77777777" w:rsidTr="00350E7D">
        <w:tc>
          <w:tcPr>
            <w:tcW w:w="2229" w:type="dxa"/>
          </w:tcPr>
          <w:p w14:paraId="4B12160C" w14:textId="77777777" w:rsidR="00D8676C" w:rsidRPr="005A3F47" w:rsidRDefault="00D8676C">
            <w:pPr>
              <w:pStyle w:val="Text2"/>
              <w:spacing w:after="0"/>
              <w:ind w:left="0"/>
              <w:jc w:val="left"/>
              <w:rPr>
                <w:noProof/>
                <w:sz w:val="22"/>
                <w:szCs w:val="18"/>
              </w:rPr>
            </w:pPr>
            <w:r w:rsidRPr="005A3F47">
              <w:rPr>
                <w:noProof/>
                <w:sz w:val="22"/>
                <w:szCs w:val="18"/>
              </w:rPr>
              <w:t xml:space="preserve">Option 1: </w:t>
            </w:r>
            <w:r w:rsidRPr="005A3F47" w:rsidDel="00862338">
              <w:rPr>
                <w:noProof/>
                <w:sz w:val="22"/>
                <w:szCs w:val="18"/>
              </w:rPr>
              <w:t>C</w:t>
            </w:r>
            <w:r w:rsidRPr="005A3F47">
              <w:rPr>
                <w:noProof/>
                <w:sz w:val="22"/>
                <w:szCs w:val="18"/>
              </w:rPr>
              <w:t xml:space="preserve">arveout </w:t>
            </w:r>
            <w:r w:rsidRPr="005A3F47" w:rsidDel="00862338">
              <w:rPr>
                <w:noProof/>
                <w:sz w:val="22"/>
                <w:szCs w:val="18"/>
              </w:rPr>
              <w:t>of SMEs</w:t>
            </w:r>
          </w:p>
        </w:tc>
        <w:tc>
          <w:tcPr>
            <w:tcW w:w="2522" w:type="dxa"/>
          </w:tcPr>
          <w:p w14:paraId="0FE4B5A9"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5419CC11"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7CB68070"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006A47D8"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43C36ADC" w14:textId="77777777" w:rsidTr="00350E7D">
        <w:tc>
          <w:tcPr>
            <w:tcW w:w="2229" w:type="dxa"/>
          </w:tcPr>
          <w:p w14:paraId="6F5D314A" w14:textId="77777777" w:rsidR="00D8676C" w:rsidRPr="005A3F47" w:rsidRDefault="00D8676C">
            <w:pPr>
              <w:pStyle w:val="Text2"/>
              <w:spacing w:after="0"/>
              <w:ind w:left="0"/>
              <w:jc w:val="left"/>
              <w:rPr>
                <w:noProof/>
                <w:sz w:val="22"/>
                <w:szCs w:val="18"/>
              </w:rPr>
            </w:pPr>
            <w:r w:rsidRPr="005A3F47">
              <w:rPr>
                <w:noProof/>
                <w:sz w:val="22"/>
                <w:szCs w:val="18"/>
              </w:rPr>
              <w:t>Option 2: Mandatory application of 30% EBITDA cap</w:t>
            </w:r>
          </w:p>
        </w:tc>
        <w:tc>
          <w:tcPr>
            <w:tcW w:w="2522" w:type="dxa"/>
          </w:tcPr>
          <w:p w14:paraId="6538DA9B"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51275223"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278" w:type="dxa"/>
          </w:tcPr>
          <w:p w14:paraId="6C86DCC8"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0CD0DD38"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1A88B174" w14:textId="77777777" w:rsidTr="00350E7D">
        <w:tc>
          <w:tcPr>
            <w:tcW w:w="2229" w:type="dxa"/>
          </w:tcPr>
          <w:p w14:paraId="3AE758A2" w14:textId="77777777" w:rsidR="00D8676C" w:rsidRPr="005A3F47" w:rsidRDefault="00D8676C">
            <w:pPr>
              <w:pStyle w:val="Text2"/>
              <w:spacing w:after="0"/>
              <w:ind w:left="0"/>
              <w:jc w:val="left"/>
              <w:rPr>
                <w:noProof/>
                <w:sz w:val="22"/>
                <w:szCs w:val="18"/>
              </w:rPr>
            </w:pPr>
            <w:r w:rsidRPr="005A3F47">
              <w:rPr>
                <w:noProof/>
                <w:sz w:val="22"/>
                <w:szCs w:val="18"/>
              </w:rPr>
              <w:t>Option 3: Reduce implementation options</w:t>
            </w:r>
          </w:p>
        </w:tc>
        <w:tc>
          <w:tcPr>
            <w:tcW w:w="2522" w:type="dxa"/>
          </w:tcPr>
          <w:p w14:paraId="5840091B"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696" w:type="dxa"/>
          </w:tcPr>
          <w:p w14:paraId="2BAA2AE0"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3A3B9397"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1A99D4E2"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3CBD1D28" w14:textId="77777777" w:rsidTr="00350E7D">
        <w:tc>
          <w:tcPr>
            <w:tcW w:w="2229" w:type="dxa"/>
          </w:tcPr>
          <w:p w14:paraId="090C7055" w14:textId="77777777" w:rsidR="00D8676C" w:rsidRPr="005A3F47" w:rsidRDefault="00D8676C">
            <w:pPr>
              <w:pStyle w:val="Text2"/>
              <w:spacing w:after="0"/>
              <w:ind w:left="0"/>
              <w:jc w:val="left"/>
              <w:rPr>
                <w:noProof/>
                <w:sz w:val="22"/>
                <w:szCs w:val="18"/>
              </w:rPr>
            </w:pPr>
            <w:r w:rsidRPr="005A3F47">
              <w:rPr>
                <w:noProof/>
                <w:sz w:val="22"/>
                <w:szCs w:val="18"/>
              </w:rPr>
              <w:t xml:space="preserve">Option 4: </w:t>
            </w:r>
            <w:r w:rsidRPr="005A3F47" w:rsidDel="00862338">
              <w:rPr>
                <w:noProof/>
                <w:sz w:val="22"/>
                <w:szCs w:val="18"/>
              </w:rPr>
              <w:t>C</w:t>
            </w:r>
            <w:r w:rsidRPr="005A3F47">
              <w:rPr>
                <w:noProof/>
                <w:sz w:val="22"/>
                <w:szCs w:val="18"/>
              </w:rPr>
              <w:t xml:space="preserve">arveout </w:t>
            </w:r>
            <w:r w:rsidRPr="005A3F47" w:rsidDel="000F4C52">
              <w:rPr>
                <w:noProof/>
                <w:sz w:val="22"/>
                <w:szCs w:val="18"/>
              </w:rPr>
              <w:t xml:space="preserve">of </w:t>
            </w:r>
            <w:r w:rsidRPr="005A3F47">
              <w:rPr>
                <w:noProof/>
                <w:sz w:val="22"/>
                <w:szCs w:val="18"/>
              </w:rPr>
              <w:t xml:space="preserve">low-risk </w:t>
            </w:r>
            <w:r w:rsidRPr="005A3F47" w:rsidDel="00862338">
              <w:rPr>
                <w:noProof/>
                <w:sz w:val="22"/>
                <w:szCs w:val="18"/>
              </w:rPr>
              <w:t>third-party loans</w:t>
            </w:r>
          </w:p>
        </w:tc>
        <w:tc>
          <w:tcPr>
            <w:tcW w:w="2522" w:type="dxa"/>
          </w:tcPr>
          <w:p w14:paraId="3D3E2167"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139452EC"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3C3DEDCB"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516" w:type="dxa"/>
          </w:tcPr>
          <w:p w14:paraId="2ED85838"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5BABCF3F" w14:textId="77777777" w:rsidTr="00350E7D">
        <w:tc>
          <w:tcPr>
            <w:tcW w:w="2229" w:type="dxa"/>
          </w:tcPr>
          <w:p w14:paraId="3E1465F1" w14:textId="77777777" w:rsidR="00D8676C" w:rsidRPr="005A3F47" w:rsidRDefault="00D8676C">
            <w:pPr>
              <w:pStyle w:val="Text2"/>
              <w:spacing w:after="0"/>
              <w:ind w:left="0"/>
              <w:jc w:val="left"/>
              <w:rPr>
                <w:noProof/>
                <w:sz w:val="22"/>
                <w:szCs w:val="18"/>
              </w:rPr>
            </w:pPr>
            <w:r w:rsidRPr="005A3F47">
              <w:rPr>
                <w:noProof/>
                <w:sz w:val="22"/>
                <w:szCs w:val="18"/>
              </w:rPr>
              <w:t>Option 5: Exemption in case of profitability shock</w:t>
            </w:r>
          </w:p>
        </w:tc>
        <w:tc>
          <w:tcPr>
            <w:tcW w:w="2522" w:type="dxa"/>
          </w:tcPr>
          <w:p w14:paraId="2F97A34C"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67605ECB"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772176D2"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59D857C4"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542DEAD6" w14:textId="77777777" w:rsidTr="00350E7D">
        <w:tc>
          <w:tcPr>
            <w:tcW w:w="2229" w:type="dxa"/>
            <w:shd w:val="clear" w:color="auto" w:fill="DBE5F1" w:themeFill="accent1" w:themeFillTint="33"/>
          </w:tcPr>
          <w:p w14:paraId="693A83F1" w14:textId="77777777" w:rsidR="00D8676C" w:rsidRPr="005A3F47" w:rsidRDefault="00D8676C">
            <w:pPr>
              <w:pStyle w:val="Text2"/>
              <w:spacing w:after="0"/>
              <w:ind w:left="0"/>
              <w:jc w:val="center"/>
              <w:rPr>
                <w:noProof/>
                <w:sz w:val="22"/>
                <w:szCs w:val="18"/>
              </w:rPr>
            </w:pPr>
            <w:r w:rsidRPr="005A3F47">
              <w:rPr>
                <w:noProof/>
                <w:sz w:val="22"/>
                <w:szCs w:val="18"/>
              </w:rPr>
              <w:t>Hybrid mismatches</w:t>
            </w:r>
          </w:p>
        </w:tc>
        <w:tc>
          <w:tcPr>
            <w:tcW w:w="7012" w:type="dxa"/>
            <w:gridSpan w:val="4"/>
            <w:shd w:val="clear" w:color="auto" w:fill="EAF1DD" w:themeFill="accent3" w:themeFillTint="33"/>
          </w:tcPr>
          <w:p w14:paraId="04E4AF83" w14:textId="77777777" w:rsidR="00D8676C" w:rsidRPr="005A3F47" w:rsidRDefault="00D8676C">
            <w:pPr>
              <w:pStyle w:val="Text2"/>
              <w:spacing w:after="0"/>
              <w:ind w:left="0"/>
              <w:jc w:val="center"/>
              <w:rPr>
                <w:noProof/>
                <w:sz w:val="22"/>
                <w:szCs w:val="18"/>
              </w:rPr>
            </w:pPr>
          </w:p>
        </w:tc>
      </w:tr>
      <w:tr w:rsidR="00D8676C" w:rsidRPr="005A3F47" w14:paraId="7FC690E3" w14:textId="77777777" w:rsidTr="00350E7D">
        <w:tc>
          <w:tcPr>
            <w:tcW w:w="2229" w:type="dxa"/>
          </w:tcPr>
          <w:p w14:paraId="00970111" w14:textId="2C3B9A62" w:rsidR="00D8676C" w:rsidRPr="005A3F47" w:rsidRDefault="00D8676C">
            <w:pPr>
              <w:pStyle w:val="Text2"/>
              <w:spacing w:after="0"/>
              <w:ind w:left="0"/>
              <w:jc w:val="left"/>
              <w:rPr>
                <w:noProof/>
                <w:sz w:val="22"/>
                <w:szCs w:val="18"/>
              </w:rPr>
            </w:pPr>
            <w:r w:rsidRPr="005A3F47">
              <w:rPr>
                <w:noProof/>
                <w:sz w:val="22"/>
                <w:szCs w:val="18"/>
              </w:rPr>
              <w:t>Option 1</w:t>
            </w:r>
            <w:r w:rsidR="00AA735A" w:rsidRPr="005A3F47">
              <w:rPr>
                <w:noProof/>
                <w:sz w:val="22"/>
                <w:szCs w:val="18"/>
              </w:rPr>
              <w:t>A</w:t>
            </w:r>
            <w:r w:rsidRPr="005A3F47">
              <w:rPr>
                <w:noProof/>
                <w:sz w:val="22"/>
                <w:szCs w:val="18"/>
              </w:rPr>
              <w:t>: Abolish imported mismatch rules</w:t>
            </w:r>
          </w:p>
        </w:tc>
        <w:tc>
          <w:tcPr>
            <w:tcW w:w="2522" w:type="dxa"/>
          </w:tcPr>
          <w:p w14:paraId="3C109D2D"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696" w:type="dxa"/>
          </w:tcPr>
          <w:p w14:paraId="646AA36F"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6A0CC7B1"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516" w:type="dxa"/>
          </w:tcPr>
          <w:p w14:paraId="0755C080" w14:textId="77777777" w:rsidR="00D8676C" w:rsidRPr="005A3F47" w:rsidRDefault="00D8676C">
            <w:pPr>
              <w:pStyle w:val="Text2"/>
              <w:spacing w:after="0"/>
              <w:ind w:left="0"/>
              <w:jc w:val="center"/>
              <w:rPr>
                <w:noProof/>
                <w:sz w:val="22"/>
                <w:szCs w:val="18"/>
              </w:rPr>
            </w:pPr>
            <w:r w:rsidRPr="005A3F47">
              <w:rPr>
                <w:noProof/>
                <w:sz w:val="22"/>
                <w:szCs w:val="18"/>
              </w:rPr>
              <w:t>0</w:t>
            </w:r>
          </w:p>
        </w:tc>
      </w:tr>
      <w:tr w:rsidR="00D8676C" w:rsidRPr="005A3F47" w14:paraId="4CB60711" w14:textId="77777777" w:rsidTr="00350E7D">
        <w:tc>
          <w:tcPr>
            <w:tcW w:w="2229" w:type="dxa"/>
            <w:shd w:val="clear" w:color="auto" w:fill="DBE5F1" w:themeFill="accent1" w:themeFillTint="33"/>
          </w:tcPr>
          <w:p w14:paraId="7FB162FA" w14:textId="77777777" w:rsidR="00D8676C" w:rsidRPr="005A3F47" w:rsidRDefault="00D8676C">
            <w:pPr>
              <w:pStyle w:val="Text2"/>
              <w:spacing w:after="0"/>
              <w:ind w:left="0"/>
              <w:jc w:val="center"/>
              <w:rPr>
                <w:noProof/>
                <w:sz w:val="22"/>
                <w:szCs w:val="18"/>
              </w:rPr>
            </w:pPr>
            <w:r w:rsidRPr="005A3F47">
              <w:rPr>
                <w:noProof/>
                <w:sz w:val="22"/>
                <w:szCs w:val="18"/>
              </w:rPr>
              <w:t>Tax mergers</w:t>
            </w:r>
          </w:p>
        </w:tc>
        <w:tc>
          <w:tcPr>
            <w:tcW w:w="7012" w:type="dxa"/>
            <w:gridSpan w:val="4"/>
            <w:shd w:val="clear" w:color="auto" w:fill="EAF1DD" w:themeFill="accent3" w:themeFillTint="33"/>
          </w:tcPr>
          <w:p w14:paraId="532EFD3E" w14:textId="77777777" w:rsidR="00D8676C" w:rsidRPr="005A3F47" w:rsidRDefault="00D8676C">
            <w:pPr>
              <w:pStyle w:val="Text2"/>
              <w:spacing w:after="0"/>
              <w:ind w:left="0"/>
              <w:jc w:val="center"/>
              <w:rPr>
                <w:noProof/>
                <w:sz w:val="22"/>
                <w:szCs w:val="18"/>
              </w:rPr>
            </w:pPr>
          </w:p>
        </w:tc>
      </w:tr>
      <w:tr w:rsidR="00D8676C" w:rsidRPr="005A3F47" w14:paraId="4244298E" w14:textId="77777777" w:rsidTr="00350E7D">
        <w:tc>
          <w:tcPr>
            <w:tcW w:w="2229" w:type="dxa"/>
          </w:tcPr>
          <w:p w14:paraId="7E3A0551" w14:textId="77777777" w:rsidR="00D8676C" w:rsidRPr="005A3F47" w:rsidRDefault="00D8676C">
            <w:pPr>
              <w:pStyle w:val="Text2"/>
              <w:spacing w:after="0"/>
              <w:ind w:left="0"/>
              <w:jc w:val="left"/>
              <w:rPr>
                <w:noProof/>
                <w:sz w:val="22"/>
                <w:szCs w:val="18"/>
              </w:rPr>
            </w:pPr>
            <w:r w:rsidRPr="005A3F47">
              <w:rPr>
                <w:noProof/>
                <w:sz w:val="22"/>
                <w:szCs w:val="18"/>
              </w:rPr>
              <w:t>Option 1A: Dynamic reference to the Mobility Directive</w:t>
            </w:r>
          </w:p>
        </w:tc>
        <w:tc>
          <w:tcPr>
            <w:tcW w:w="2522" w:type="dxa"/>
          </w:tcPr>
          <w:p w14:paraId="12EAF515"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696" w:type="dxa"/>
          </w:tcPr>
          <w:p w14:paraId="5AC8D575"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65B1D77F"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72A515D9"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1C338F17" w14:textId="77777777" w:rsidTr="00350E7D">
        <w:tc>
          <w:tcPr>
            <w:tcW w:w="2229" w:type="dxa"/>
            <w:shd w:val="clear" w:color="auto" w:fill="DBE5F1" w:themeFill="accent1" w:themeFillTint="33"/>
          </w:tcPr>
          <w:p w14:paraId="4BFB1303" w14:textId="77777777" w:rsidR="00D8676C" w:rsidRPr="005A3F47" w:rsidRDefault="00D8676C">
            <w:pPr>
              <w:pStyle w:val="Text2"/>
              <w:spacing w:after="0"/>
              <w:ind w:left="0"/>
              <w:jc w:val="center"/>
              <w:rPr>
                <w:noProof/>
                <w:sz w:val="22"/>
                <w:szCs w:val="18"/>
              </w:rPr>
            </w:pPr>
            <w:r w:rsidRPr="005A3F47">
              <w:rPr>
                <w:noProof/>
                <w:sz w:val="22"/>
                <w:szCs w:val="18"/>
              </w:rPr>
              <w:t>Dispute resolution mechanism</w:t>
            </w:r>
          </w:p>
        </w:tc>
        <w:tc>
          <w:tcPr>
            <w:tcW w:w="7012" w:type="dxa"/>
            <w:gridSpan w:val="4"/>
            <w:shd w:val="clear" w:color="auto" w:fill="EAF1DD" w:themeFill="accent3" w:themeFillTint="33"/>
          </w:tcPr>
          <w:p w14:paraId="7A153F8A" w14:textId="77777777" w:rsidR="00D8676C" w:rsidRPr="005A3F47" w:rsidRDefault="00D8676C">
            <w:pPr>
              <w:pStyle w:val="Text2"/>
              <w:spacing w:after="0"/>
              <w:ind w:left="0"/>
              <w:jc w:val="center"/>
              <w:rPr>
                <w:noProof/>
                <w:sz w:val="22"/>
                <w:szCs w:val="18"/>
              </w:rPr>
            </w:pPr>
          </w:p>
        </w:tc>
      </w:tr>
      <w:tr w:rsidR="00D8676C" w:rsidRPr="005A3F47" w14:paraId="20AD2131" w14:textId="77777777" w:rsidTr="00350E7D">
        <w:tc>
          <w:tcPr>
            <w:tcW w:w="2229" w:type="dxa"/>
          </w:tcPr>
          <w:p w14:paraId="010525DF" w14:textId="77777777" w:rsidR="00D8676C" w:rsidRPr="005A3F47" w:rsidRDefault="00D8676C">
            <w:pPr>
              <w:pStyle w:val="Text2"/>
              <w:spacing w:after="0"/>
              <w:ind w:left="0"/>
              <w:jc w:val="left"/>
              <w:rPr>
                <w:noProof/>
                <w:sz w:val="22"/>
                <w:szCs w:val="18"/>
              </w:rPr>
            </w:pPr>
            <w:r w:rsidRPr="005A3F47">
              <w:rPr>
                <w:noProof/>
                <w:sz w:val="22"/>
                <w:szCs w:val="18"/>
              </w:rPr>
              <w:t>Option 1: Clarify operative rules</w:t>
            </w:r>
          </w:p>
        </w:tc>
        <w:tc>
          <w:tcPr>
            <w:tcW w:w="2522" w:type="dxa"/>
          </w:tcPr>
          <w:p w14:paraId="3D8A9E8C"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696" w:type="dxa"/>
          </w:tcPr>
          <w:p w14:paraId="09F14618"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Pr>
          <w:p w14:paraId="081AAE82"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Pr>
          <w:p w14:paraId="02A57604"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D8676C" w:rsidRPr="005A3F47" w14:paraId="779C4BC3" w14:textId="77777777" w:rsidTr="00350E7D">
        <w:tc>
          <w:tcPr>
            <w:tcW w:w="2229" w:type="dxa"/>
            <w:tcBorders>
              <w:bottom w:val="double" w:sz="4" w:space="0" w:color="auto"/>
            </w:tcBorders>
          </w:tcPr>
          <w:p w14:paraId="2CDF0EF3" w14:textId="77777777" w:rsidR="00D8676C" w:rsidRPr="005A3F47" w:rsidRDefault="00D8676C">
            <w:pPr>
              <w:pStyle w:val="Text2"/>
              <w:spacing w:after="0"/>
              <w:ind w:left="0"/>
              <w:jc w:val="left"/>
              <w:rPr>
                <w:noProof/>
                <w:sz w:val="22"/>
                <w:szCs w:val="18"/>
              </w:rPr>
            </w:pPr>
            <w:r w:rsidRPr="005A3F47">
              <w:rPr>
                <w:noProof/>
                <w:sz w:val="22"/>
                <w:szCs w:val="18"/>
              </w:rPr>
              <w:t xml:space="preserve">Option 2: </w:t>
            </w:r>
            <w:r w:rsidRPr="005A3F47" w:rsidDel="0010109C">
              <w:rPr>
                <w:noProof/>
                <w:sz w:val="22"/>
                <w:szCs w:val="18"/>
              </w:rPr>
              <w:t xml:space="preserve">Use of Council </w:t>
            </w:r>
            <w:r w:rsidRPr="005A3F47">
              <w:rPr>
                <w:noProof/>
                <w:sz w:val="22"/>
                <w:szCs w:val="18"/>
              </w:rPr>
              <w:t>implementing acts</w:t>
            </w:r>
          </w:p>
        </w:tc>
        <w:tc>
          <w:tcPr>
            <w:tcW w:w="2522" w:type="dxa"/>
            <w:tcBorders>
              <w:bottom w:val="double" w:sz="4" w:space="0" w:color="auto"/>
            </w:tcBorders>
          </w:tcPr>
          <w:p w14:paraId="044D48F6" w14:textId="77777777" w:rsidR="00D8676C" w:rsidRPr="005A3F47" w:rsidRDefault="00D8676C">
            <w:pPr>
              <w:pStyle w:val="Text2"/>
              <w:spacing w:after="0"/>
              <w:ind w:left="0"/>
              <w:jc w:val="center"/>
              <w:rPr>
                <w:noProof/>
                <w:sz w:val="22"/>
                <w:szCs w:val="18"/>
              </w:rPr>
            </w:pPr>
            <w:r w:rsidRPr="005A3F47">
              <w:rPr>
                <w:noProof/>
                <w:sz w:val="22"/>
                <w:szCs w:val="18"/>
              </w:rPr>
              <w:t>0</w:t>
            </w:r>
          </w:p>
        </w:tc>
        <w:tc>
          <w:tcPr>
            <w:tcW w:w="1696" w:type="dxa"/>
            <w:tcBorders>
              <w:bottom w:val="double" w:sz="4" w:space="0" w:color="auto"/>
            </w:tcBorders>
          </w:tcPr>
          <w:p w14:paraId="23F4C030"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278" w:type="dxa"/>
            <w:tcBorders>
              <w:bottom w:val="double" w:sz="4" w:space="0" w:color="auto"/>
            </w:tcBorders>
          </w:tcPr>
          <w:p w14:paraId="7F7DBB77" w14:textId="77777777" w:rsidR="00D8676C" w:rsidRPr="005A3F47" w:rsidRDefault="00D8676C">
            <w:pPr>
              <w:pStyle w:val="Text2"/>
              <w:spacing w:after="0"/>
              <w:ind w:left="0"/>
              <w:jc w:val="center"/>
              <w:rPr>
                <w:noProof/>
                <w:sz w:val="22"/>
                <w:szCs w:val="18"/>
              </w:rPr>
            </w:pPr>
            <w:r w:rsidRPr="005A3F47">
              <w:rPr>
                <w:noProof/>
                <w:sz w:val="22"/>
                <w:szCs w:val="18"/>
              </w:rPr>
              <w:t>++</w:t>
            </w:r>
          </w:p>
        </w:tc>
        <w:tc>
          <w:tcPr>
            <w:tcW w:w="1516" w:type="dxa"/>
            <w:tcBorders>
              <w:bottom w:val="double" w:sz="4" w:space="0" w:color="auto"/>
            </w:tcBorders>
          </w:tcPr>
          <w:p w14:paraId="158DAFC1" w14:textId="77777777" w:rsidR="00D8676C" w:rsidRPr="005A3F47" w:rsidRDefault="00D8676C">
            <w:pPr>
              <w:pStyle w:val="Text2"/>
              <w:spacing w:after="0"/>
              <w:ind w:left="0"/>
              <w:jc w:val="center"/>
              <w:rPr>
                <w:noProof/>
                <w:sz w:val="22"/>
                <w:szCs w:val="18"/>
              </w:rPr>
            </w:pPr>
            <w:r w:rsidRPr="005A3F47">
              <w:rPr>
                <w:noProof/>
                <w:sz w:val="22"/>
                <w:szCs w:val="18"/>
              </w:rPr>
              <w:t>++</w:t>
            </w:r>
          </w:p>
        </w:tc>
      </w:tr>
      <w:tr w:rsidR="00E30F4E" w:rsidRPr="005A3F47" w14:paraId="56B9A08C" w14:textId="77777777" w:rsidTr="00350E7D">
        <w:tc>
          <w:tcPr>
            <w:tcW w:w="2229" w:type="dxa"/>
            <w:tcBorders>
              <w:top w:val="double" w:sz="4" w:space="0" w:color="auto"/>
              <w:left w:val="double" w:sz="4" w:space="0" w:color="auto"/>
              <w:bottom w:val="double" w:sz="4" w:space="0" w:color="auto"/>
            </w:tcBorders>
          </w:tcPr>
          <w:p w14:paraId="38F25112" w14:textId="7B681ABB" w:rsidR="009000F0" w:rsidRPr="005A3F47" w:rsidRDefault="009000F0">
            <w:pPr>
              <w:pStyle w:val="Text2"/>
              <w:spacing w:after="0"/>
              <w:ind w:left="0"/>
              <w:jc w:val="left"/>
              <w:rPr>
                <w:b/>
                <w:noProof/>
                <w:sz w:val="22"/>
                <w:szCs w:val="18"/>
              </w:rPr>
            </w:pPr>
            <w:r w:rsidRPr="005A3F47">
              <w:rPr>
                <w:b/>
                <w:noProof/>
                <w:sz w:val="22"/>
                <w:szCs w:val="18"/>
              </w:rPr>
              <w:t>Overall</w:t>
            </w:r>
          </w:p>
        </w:tc>
        <w:tc>
          <w:tcPr>
            <w:tcW w:w="2522" w:type="dxa"/>
            <w:tcBorders>
              <w:top w:val="double" w:sz="4" w:space="0" w:color="auto"/>
              <w:bottom w:val="double" w:sz="4" w:space="0" w:color="auto"/>
            </w:tcBorders>
          </w:tcPr>
          <w:p w14:paraId="431CFCC0" w14:textId="1999EDF7" w:rsidR="009000F0" w:rsidRPr="005A3F47" w:rsidRDefault="00394101">
            <w:pPr>
              <w:pStyle w:val="Text2"/>
              <w:spacing w:after="0"/>
              <w:ind w:left="0"/>
              <w:jc w:val="center"/>
              <w:rPr>
                <w:b/>
                <w:noProof/>
                <w:sz w:val="22"/>
                <w:szCs w:val="18"/>
              </w:rPr>
            </w:pPr>
            <w:r w:rsidRPr="005A3F47">
              <w:rPr>
                <w:b/>
                <w:noProof/>
                <w:sz w:val="22"/>
                <w:szCs w:val="18"/>
              </w:rPr>
              <w:t>++</w:t>
            </w:r>
          </w:p>
        </w:tc>
        <w:tc>
          <w:tcPr>
            <w:tcW w:w="1696" w:type="dxa"/>
            <w:tcBorders>
              <w:top w:val="double" w:sz="4" w:space="0" w:color="auto"/>
              <w:bottom w:val="double" w:sz="4" w:space="0" w:color="auto"/>
            </w:tcBorders>
          </w:tcPr>
          <w:p w14:paraId="4A192A17" w14:textId="414ADD8B" w:rsidR="009000F0" w:rsidRPr="005A3F47" w:rsidRDefault="00394101">
            <w:pPr>
              <w:pStyle w:val="Text2"/>
              <w:spacing w:after="0"/>
              <w:ind w:left="0"/>
              <w:jc w:val="center"/>
              <w:rPr>
                <w:b/>
                <w:noProof/>
                <w:sz w:val="22"/>
                <w:szCs w:val="18"/>
              </w:rPr>
            </w:pPr>
            <w:r w:rsidRPr="005A3F47">
              <w:rPr>
                <w:b/>
                <w:noProof/>
                <w:sz w:val="22"/>
                <w:szCs w:val="18"/>
              </w:rPr>
              <w:t>++</w:t>
            </w:r>
          </w:p>
        </w:tc>
        <w:tc>
          <w:tcPr>
            <w:tcW w:w="1278" w:type="dxa"/>
            <w:tcBorders>
              <w:top w:val="double" w:sz="4" w:space="0" w:color="auto"/>
              <w:bottom w:val="double" w:sz="4" w:space="0" w:color="auto"/>
            </w:tcBorders>
          </w:tcPr>
          <w:p w14:paraId="4270941D" w14:textId="7021FBE7" w:rsidR="009000F0" w:rsidRPr="005A3F47" w:rsidRDefault="00394101">
            <w:pPr>
              <w:pStyle w:val="Text2"/>
              <w:spacing w:after="0"/>
              <w:ind w:left="0"/>
              <w:jc w:val="center"/>
              <w:rPr>
                <w:b/>
                <w:noProof/>
                <w:sz w:val="22"/>
                <w:szCs w:val="18"/>
              </w:rPr>
            </w:pPr>
            <w:r w:rsidRPr="005A3F47">
              <w:rPr>
                <w:b/>
                <w:noProof/>
                <w:sz w:val="22"/>
                <w:szCs w:val="18"/>
              </w:rPr>
              <w:t>++</w:t>
            </w:r>
          </w:p>
        </w:tc>
        <w:tc>
          <w:tcPr>
            <w:tcW w:w="1516" w:type="dxa"/>
            <w:tcBorders>
              <w:top w:val="double" w:sz="4" w:space="0" w:color="auto"/>
              <w:bottom w:val="double" w:sz="4" w:space="0" w:color="auto"/>
              <w:right w:val="double" w:sz="4" w:space="0" w:color="auto"/>
            </w:tcBorders>
          </w:tcPr>
          <w:p w14:paraId="73EEFB9E" w14:textId="62C9C806" w:rsidR="009000F0" w:rsidRPr="005A3F47" w:rsidRDefault="00394101">
            <w:pPr>
              <w:pStyle w:val="Text2"/>
              <w:spacing w:after="0"/>
              <w:ind w:left="0"/>
              <w:jc w:val="center"/>
              <w:rPr>
                <w:b/>
                <w:noProof/>
                <w:sz w:val="22"/>
                <w:szCs w:val="18"/>
              </w:rPr>
            </w:pPr>
            <w:r w:rsidRPr="005A3F47">
              <w:rPr>
                <w:b/>
                <w:noProof/>
                <w:sz w:val="22"/>
                <w:szCs w:val="18"/>
              </w:rPr>
              <w:t>++</w:t>
            </w:r>
          </w:p>
        </w:tc>
      </w:tr>
    </w:tbl>
    <w:p w14:paraId="7155ACA7" w14:textId="08B79B2B" w:rsidR="00445316" w:rsidRPr="005A3F47" w:rsidRDefault="00445316" w:rsidP="00445316">
      <w:pPr>
        <w:spacing w:before="240"/>
        <w:rPr>
          <w:b/>
          <w:bCs/>
          <w:noProof/>
        </w:rPr>
      </w:pPr>
      <w:r w:rsidRPr="005A3F47">
        <w:rPr>
          <w:b/>
          <w:bCs/>
          <w:noProof/>
        </w:rPr>
        <w:t xml:space="preserve">Effectiveness: </w:t>
      </w:r>
      <w:r w:rsidR="00004868" w:rsidRPr="005A3F47">
        <w:rPr>
          <w:noProof/>
        </w:rPr>
        <w:t xml:space="preserve">The </w:t>
      </w:r>
      <w:r w:rsidR="00BA7E4F" w:rsidRPr="005A3F47">
        <w:rPr>
          <w:noProof/>
        </w:rPr>
        <w:t>m</w:t>
      </w:r>
      <w:r w:rsidR="0035317A" w:rsidRPr="005A3F47">
        <w:rPr>
          <w:noProof/>
        </w:rPr>
        <w:t xml:space="preserve">edium </w:t>
      </w:r>
      <w:r w:rsidR="00BA7E4F" w:rsidRPr="005A3F47">
        <w:rPr>
          <w:noProof/>
        </w:rPr>
        <w:t>a</w:t>
      </w:r>
      <w:r w:rsidR="0035317A" w:rsidRPr="005A3F47">
        <w:rPr>
          <w:noProof/>
        </w:rPr>
        <w:t xml:space="preserve">mbition </w:t>
      </w:r>
      <w:r w:rsidR="008113A3" w:rsidRPr="005A3F47">
        <w:rPr>
          <w:noProof/>
        </w:rPr>
        <w:t>approach</w:t>
      </w:r>
      <w:r w:rsidR="00BA7E4F" w:rsidRPr="005A3F47">
        <w:rPr>
          <w:noProof/>
        </w:rPr>
        <w:t xml:space="preserve"> </w:t>
      </w:r>
      <w:r w:rsidR="00AB2662" w:rsidRPr="005A3F47">
        <w:rPr>
          <w:noProof/>
        </w:rPr>
        <w:t>entails a wide ran</w:t>
      </w:r>
      <w:r w:rsidR="00403E07" w:rsidRPr="005A3F47">
        <w:rPr>
          <w:noProof/>
        </w:rPr>
        <w:t>ge of simplification measures</w:t>
      </w:r>
      <w:r w:rsidR="00004868" w:rsidRPr="005A3F47">
        <w:rPr>
          <w:noProof/>
        </w:rPr>
        <w:t xml:space="preserve"> that </w:t>
      </w:r>
      <w:r w:rsidR="00645336" w:rsidRPr="005A3F47">
        <w:rPr>
          <w:noProof/>
        </w:rPr>
        <w:t>address all identified problems</w:t>
      </w:r>
      <w:r w:rsidR="002E6B97" w:rsidRPr="005A3F47">
        <w:rPr>
          <w:noProof/>
        </w:rPr>
        <w:t xml:space="preserve"> within existing </w:t>
      </w:r>
      <w:r w:rsidR="00CC57F6" w:rsidRPr="005A3F47">
        <w:rPr>
          <w:noProof/>
        </w:rPr>
        <w:t>Directives</w:t>
      </w:r>
      <w:r w:rsidR="007E3260" w:rsidRPr="005A3F47">
        <w:rPr>
          <w:noProof/>
        </w:rPr>
        <w:t xml:space="preserve"> and re</w:t>
      </w:r>
      <w:r w:rsidR="00BD703F" w:rsidRPr="005A3F47">
        <w:rPr>
          <w:noProof/>
        </w:rPr>
        <w:t>sponds</w:t>
      </w:r>
      <w:r w:rsidR="007F79D7" w:rsidRPr="005A3F47">
        <w:rPr>
          <w:noProof/>
        </w:rPr>
        <w:t xml:space="preserve"> to</w:t>
      </w:r>
      <w:r w:rsidR="007E3260" w:rsidRPr="005A3F47">
        <w:rPr>
          <w:noProof/>
        </w:rPr>
        <w:t xml:space="preserve"> the </w:t>
      </w:r>
      <w:r w:rsidR="00310CE6" w:rsidRPr="005A3F47">
        <w:rPr>
          <w:noProof/>
        </w:rPr>
        <w:t>need for action that was stressed by stakeholders in the stakeholder consultations</w:t>
      </w:r>
      <w:r w:rsidR="00CC57F6" w:rsidRPr="005A3F47">
        <w:rPr>
          <w:noProof/>
        </w:rPr>
        <w:t>.</w:t>
      </w:r>
      <w:r w:rsidR="00964431" w:rsidRPr="005A3F47">
        <w:rPr>
          <w:noProof/>
        </w:rPr>
        <w:t xml:space="preserve"> It does not go beyond</w:t>
      </w:r>
      <w:r w:rsidR="00ED7679" w:rsidRPr="005A3F47">
        <w:rPr>
          <w:noProof/>
        </w:rPr>
        <w:t xml:space="preserve"> the existing EU tax framework as requested by stakeholders in the Call for Evidence</w:t>
      </w:r>
      <w:r w:rsidR="00FE1A78" w:rsidRPr="005A3F47">
        <w:rPr>
          <w:noProof/>
        </w:rPr>
        <w:t xml:space="preserve"> as it does not </w:t>
      </w:r>
      <w:r w:rsidR="006B19F7" w:rsidRPr="005A3F47">
        <w:rPr>
          <w:noProof/>
        </w:rPr>
        <w:t>provide</w:t>
      </w:r>
      <w:r w:rsidR="009A7AB8" w:rsidRPr="005A3F47">
        <w:rPr>
          <w:noProof/>
        </w:rPr>
        <w:t xml:space="preserve"> action </w:t>
      </w:r>
      <w:r w:rsidR="00586DE7" w:rsidRPr="005A3F47">
        <w:rPr>
          <w:noProof/>
        </w:rPr>
        <w:t xml:space="preserve">related to R&amp;D expensing. Nonetheless, it delivers </w:t>
      </w:r>
      <w:r w:rsidR="00680622" w:rsidRPr="005A3F47">
        <w:rPr>
          <w:noProof/>
        </w:rPr>
        <w:t>well on all</w:t>
      </w:r>
      <w:r w:rsidR="00783F0E" w:rsidRPr="005A3F47">
        <w:rPr>
          <w:noProof/>
        </w:rPr>
        <w:t xml:space="preserve"> specific </w:t>
      </w:r>
      <w:r w:rsidR="00F835B2" w:rsidRPr="005A3F47">
        <w:rPr>
          <w:noProof/>
        </w:rPr>
        <w:t>objectives</w:t>
      </w:r>
      <w:r w:rsidR="00783F0E" w:rsidRPr="005A3F47">
        <w:rPr>
          <w:noProof/>
        </w:rPr>
        <w:t>.</w:t>
      </w:r>
      <w:r w:rsidR="00F835B2" w:rsidRPr="005A3F47">
        <w:rPr>
          <w:noProof/>
        </w:rPr>
        <w:t xml:space="preserve"> Th</w:t>
      </w:r>
      <w:r w:rsidR="00E1047A" w:rsidRPr="005A3F47">
        <w:rPr>
          <w:noProof/>
        </w:rPr>
        <w:t>e</w:t>
      </w:r>
      <w:r w:rsidR="00BC0215" w:rsidRPr="005A3F47">
        <w:rPr>
          <w:noProof/>
        </w:rPr>
        <w:t xml:space="preserve"> approach</w:t>
      </w:r>
      <w:r w:rsidR="00231692" w:rsidRPr="005A3F47">
        <w:rPr>
          <w:noProof/>
        </w:rPr>
        <w:t xml:space="preserve"> </w:t>
      </w:r>
      <w:r w:rsidRPr="005A3F47">
        <w:rPr>
          <w:noProof/>
        </w:rPr>
        <w:t xml:space="preserve">is </w:t>
      </w:r>
      <w:r w:rsidR="006C71C0" w:rsidRPr="005A3F47">
        <w:rPr>
          <w:noProof/>
        </w:rPr>
        <w:t xml:space="preserve">roughly </w:t>
      </w:r>
      <w:r w:rsidRPr="005A3F47">
        <w:rPr>
          <w:noProof/>
        </w:rPr>
        <w:t xml:space="preserve">estimated to reduce compliance </w:t>
      </w:r>
      <w:r w:rsidR="004E5588" w:rsidRPr="005A3F47">
        <w:rPr>
          <w:noProof/>
        </w:rPr>
        <w:t xml:space="preserve">and financial </w:t>
      </w:r>
      <w:r w:rsidRPr="005A3F47">
        <w:rPr>
          <w:noProof/>
        </w:rPr>
        <w:t xml:space="preserve">costs by </w:t>
      </w:r>
      <w:r w:rsidR="004118C9" w:rsidRPr="005A3F47">
        <w:rPr>
          <w:noProof/>
        </w:rPr>
        <w:t xml:space="preserve">around </w:t>
      </w:r>
      <w:r w:rsidR="009A69B8" w:rsidRPr="005A3F47">
        <w:rPr>
          <w:b/>
          <w:bCs/>
          <w:noProof/>
        </w:rPr>
        <w:t>EUR 2</w:t>
      </w:r>
      <w:r w:rsidR="00215323" w:rsidRPr="005A3F47">
        <w:rPr>
          <w:b/>
          <w:bCs/>
          <w:noProof/>
        </w:rPr>
        <w:t>-3</w:t>
      </w:r>
      <w:r w:rsidR="009A69B8" w:rsidRPr="005A3F47">
        <w:rPr>
          <w:b/>
          <w:bCs/>
          <w:noProof/>
        </w:rPr>
        <w:t xml:space="preserve"> billion</w:t>
      </w:r>
      <w:r w:rsidR="00C74636" w:rsidRPr="005A3F47">
        <w:rPr>
          <w:b/>
          <w:bCs/>
          <w:noProof/>
        </w:rPr>
        <w:t xml:space="preserve"> </w:t>
      </w:r>
      <w:r w:rsidR="00C74636" w:rsidRPr="005A3F47">
        <w:rPr>
          <w:noProof/>
        </w:rPr>
        <w:t xml:space="preserve">(EUR </w:t>
      </w:r>
      <w:r w:rsidR="00EB3DC9" w:rsidRPr="005A3F47">
        <w:rPr>
          <w:noProof/>
        </w:rPr>
        <w:t>2</w:t>
      </w:r>
      <w:r w:rsidR="00C74636" w:rsidRPr="005A3F47">
        <w:rPr>
          <w:noProof/>
        </w:rPr>
        <w:t>.</w:t>
      </w:r>
      <w:r w:rsidR="00FC61FA">
        <w:rPr>
          <w:noProof/>
        </w:rPr>
        <w:t>4</w:t>
      </w:r>
      <w:r w:rsidR="00C74636" w:rsidRPr="005A3F47">
        <w:rPr>
          <w:noProof/>
        </w:rPr>
        <w:t xml:space="preserve"> billion)</w:t>
      </w:r>
      <w:r w:rsidR="00FE76ED" w:rsidRPr="005A3F47">
        <w:rPr>
          <w:rStyle w:val="FootnoteReference"/>
          <w:noProof/>
        </w:rPr>
        <w:footnoteReference w:id="117"/>
      </w:r>
      <w:r w:rsidR="005D0C34" w:rsidRPr="005A3F47">
        <w:rPr>
          <w:noProof/>
        </w:rPr>
        <w:t>,</w:t>
      </w:r>
      <w:r w:rsidR="005D0C34" w:rsidRPr="005A3F47">
        <w:rPr>
          <w:b/>
          <w:bCs/>
          <w:noProof/>
        </w:rPr>
        <w:t xml:space="preserve"> </w:t>
      </w:r>
      <w:r w:rsidR="00505ECC" w:rsidRPr="005A3F47">
        <w:rPr>
          <w:noProof/>
        </w:rPr>
        <w:t>out of which recurrent costs related to cutting down on administrative burden is</w:t>
      </w:r>
      <w:r w:rsidR="00EB3DC9" w:rsidRPr="005A3F47">
        <w:rPr>
          <w:noProof/>
        </w:rPr>
        <w:t xml:space="preserve"> around</w:t>
      </w:r>
      <w:r w:rsidR="00505ECC" w:rsidRPr="005A3F47">
        <w:rPr>
          <w:noProof/>
        </w:rPr>
        <w:t xml:space="preserve"> EUR 1 billion per year</w:t>
      </w:r>
      <w:r w:rsidR="00B66E0E" w:rsidRPr="005A3F47">
        <w:rPr>
          <w:noProof/>
        </w:rPr>
        <w:t>. Although the</w:t>
      </w:r>
      <w:r w:rsidR="00E1047A" w:rsidRPr="005A3F47">
        <w:rPr>
          <w:noProof/>
        </w:rPr>
        <w:t>se</w:t>
      </w:r>
      <w:r w:rsidR="00B66E0E" w:rsidRPr="005A3F47">
        <w:rPr>
          <w:noProof/>
        </w:rPr>
        <w:t xml:space="preserve"> estimations are significantly lower than under the comprehensive approach, </w:t>
      </w:r>
      <w:r w:rsidR="000E3432" w:rsidRPr="005A3F47">
        <w:rPr>
          <w:noProof/>
        </w:rPr>
        <w:t xml:space="preserve">mainly </w:t>
      </w:r>
      <w:r w:rsidR="00B66E0E" w:rsidRPr="005A3F47">
        <w:rPr>
          <w:noProof/>
        </w:rPr>
        <w:t xml:space="preserve">due to </w:t>
      </w:r>
      <w:r w:rsidR="00E1047A" w:rsidRPr="005A3F47">
        <w:rPr>
          <w:noProof/>
        </w:rPr>
        <w:t xml:space="preserve">the </w:t>
      </w:r>
      <w:r w:rsidR="00FA2E90" w:rsidRPr="005A3F47">
        <w:rPr>
          <w:noProof/>
        </w:rPr>
        <w:t>alternative</w:t>
      </w:r>
      <w:r w:rsidR="0073462D" w:rsidRPr="005A3F47">
        <w:rPr>
          <w:noProof/>
        </w:rPr>
        <w:t xml:space="preserve"> options</w:t>
      </w:r>
      <w:r w:rsidR="00766673" w:rsidRPr="005A3F47">
        <w:rPr>
          <w:noProof/>
        </w:rPr>
        <w:t xml:space="preserve"> ch</w:t>
      </w:r>
      <w:r w:rsidR="00FA2E90" w:rsidRPr="005A3F47">
        <w:rPr>
          <w:noProof/>
        </w:rPr>
        <w:t>osen to address the problems</w:t>
      </w:r>
      <w:r w:rsidR="0073462D" w:rsidRPr="005A3F47">
        <w:rPr>
          <w:noProof/>
        </w:rPr>
        <w:t xml:space="preserve"> relat</w:t>
      </w:r>
      <w:r w:rsidR="000E3432" w:rsidRPr="005A3F47">
        <w:rPr>
          <w:noProof/>
        </w:rPr>
        <w:t xml:space="preserve">ed to the withholding tax </w:t>
      </w:r>
      <w:r w:rsidR="00FA2E90" w:rsidRPr="005A3F47">
        <w:rPr>
          <w:noProof/>
        </w:rPr>
        <w:t xml:space="preserve">relief </w:t>
      </w:r>
      <w:r w:rsidR="00CB568F" w:rsidRPr="005A3F47">
        <w:rPr>
          <w:noProof/>
        </w:rPr>
        <w:t>under the IRD and PSD and the overlap between CFC rules and Pillar 2</w:t>
      </w:r>
      <w:r w:rsidR="002B6A06" w:rsidRPr="005A3F47">
        <w:rPr>
          <w:noProof/>
        </w:rPr>
        <w:t xml:space="preserve">, this approach is still expected to provide </w:t>
      </w:r>
      <w:r w:rsidR="006849F5" w:rsidRPr="005A3F47">
        <w:rPr>
          <w:noProof/>
        </w:rPr>
        <w:t>high</w:t>
      </w:r>
      <w:r w:rsidR="00A52C2A" w:rsidRPr="005A3F47">
        <w:rPr>
          <w:noProof/>
          <w:lang w:val="en-IE"/>
        </w:rPr>
        <w:t>-scale</w:t>
      </w:r>
      <w:r w:rsidR="006849F5" w:rsidRPr="005A3F47">
        <w:rPr>
          <w:noProof/>
        </w:rPr>
        <w:t xml:space="preserve"> impact</w:t>
      </w:r>
      <w:r w:rsidR="00A52C2A" w:rsidRPr="005A3F47">
        <w:rPr>
          <w:noProof/>
        </w:rPr>
        <w:t xml:space="preserve">. </w:t>
      </w:r>
    </w:p>
    <w:p w14:paraId="3F24274E" w14:textId="36970A4F" w:rsidR="0073597E" w:rsidRPr="005A3F47" w:rsidRDefault="00445316" w:rsidP="00445316">
      <w:pPr>
        <w:rPr>
          <w:noProof/>
        </w:rPr>
      </w:pPr>
      <w:r w:rsidRPr="005A3F47">
        <w:rPr>
          <w:b/>
          <w:bCs/>
          <w:noProof/>
        </w:rPr>
        <w:t xml:space="preserve">Efficiency: </w:t>
      </w:r>
      <w:r w:rsidR="005E50BB" w:rsidRPr="005A3F47">
        <w:rPr>
          <w:noProof/>
        </w:rPr>
        <w:t xml:space="preserve">As one of the specific objectives is to eliminate disproportionate compliance costs, it has already been stated that the expected economic benefits of the </w:t>
      </w:r>
      <w:r w:rsidR="005329A4" w:rsidRPr="005A3F47">
        <w:rPr>
          <w:noProof/>
        </w:rPr>
        <w:t>medium ambition</w:t>
      </w:r>
      <w:r w:rsidR="005E50BB" w:rsidRPr="005A3F47">
        <w:rPr>
          <w:noProof/>
        </w:rPr>
        <w:t xml:space="preserve"> approach are </w:t>
      </w:r>
      <w:r w:rsidR="00BC3F18" w:rsidRPr="005A3F47">
        <w:rPr>
          <w:noProof/>
        </w:rPr>
        <w:t>high.</w:t>
      </w:r>
      <w:r w:rsidR="0073597E" w:rsidRPr="005A3F47">
        <w:rPr>
          <w:noProof/>
        </w:rPr>
        <w:t xml:space="preserve"> A</w:t>
      </w:r>
      <w:r w:rsidR="00A263A9" w:rsidRPr="005A3F47">
        <w:rPr>
          <w:noProof/>
        </w:rPr>
        <w:t>s</w:t>
      </w:r>
      <w:r w:rsidR="003827AA" w:rsidRPr="005A3F47">
        <w:rPr>
          <w:noProof/>
        </w:rPr>
        <w:t xml:space="preserve"> this approach does not include a new measure related to R&amp;D expensing</w:t>
      </w:r>
      <w:r w:rsidR="009D3631" w:rsidRPr="005A3F47">
        <w:rPr>
          <w:noProof/>
        </w:rPr>
        <w:t xml:space="preserve"> and as</w:t>
      </w:r>
      <w:r w:rsidR="00A263A9" w:rsidRPr="005A3F47">
        <w:rPr>
          <w:noProof/>
        </w:rPr>
        <w:t xml:space="preserve"> the alternative options chosen to address the problems related to the withholding tax relief under the IRD and PSD and the overlap between CFC rules and Pillar 2</w:t>
      </w:r>
      <w:r w:rsidR="009D3631" w:rsidRPr="005A3F47">
        <w:rPr>
          <w:noProof/>
        </w:rPr>
        <w:t xml:space="preserve"> are less</w:t>
      </w:r>
      <w:r w:rsidR="00632648" w:rsidRPr="005A3F47">
        <w:rPr>
          <w:noProof/>
        </w:rPr>
        <w:t xml:space="preserve"> thorough than i</w:t>
      </w:r>
      <w:r w:rsidR="008A7B40" w:rsidRPr="005A3F47">
        <w:rPr>
          <w:noProof/>
        </w:rPr>
        <w:t xml:space="preserve">n the </w:t>
      </w:r>
      <w:r w:rsidR="001A0E42" w:rsidRPr="005A3F47">
        <w:rPr>
          <w:noProof/>
        </w:rPr>
        <w:t>comprehensive approach, the implementation and</w:t>
      </w:r>
      <w:r w:rsidR="00C769D4" w:rsidRPr="005A3F47">
        <w:rPr>
          <w:noProof/>
        </w:rPr>
        <w:t xml:space="preserve"> </w:t>
      </w:r>
      <w:r w:rsidR="009F47B4" w:rsidRPr="005A3F47">
        <w:rPr>
          <w:noProof/>
        </w:rPr>
        <w:t xml:space="preserve">transition costs are </w:t>
      </w:r>
      <w:r w:rsidR="00A920F4" w:rsidRPr="005A3F47">
        <w:rPr>
          <w:noProof/>
        </w:rPr>
        <w:t>expected to be lower</w:t>
      </w:r>
      <w:r w:rsidR="00CC5B76" w:rsidRPr="005A3F47">
        <w:rPr>
          <w:noProof/>
        </w:rPr>
        <w:t xml:space="preserve">, without </w:t>
      </w:r>
      <w:r w:rsidR="00A01792" w:rsidRPr="005A3F47">
        <w:rPr>
          <w:noProof/>
        </w:rPr>
        <w:t>specific impact on tax administrations</w:t>
      </w:r>
      <w:r w:rsidR="00A920F4" w:rsidRPr="005A3F47">
        <w:rPr>
          <w:noProof/>
        </w:rPr>
        <w:t>.</w:t>
      </w:r>
      <w:r w:rsidR="00AF32F1" w:rsidRPr="005A3F47">
        <w:rPr>
          <w:noProof/>
        </w:rPr>
        <w:t xml:space="preserve"> While the savings would allow for a more effective allocation of resources, the </w:t>
      </w:r>
      <w:r w:rsidR="009C3C24" w:rsidRPr="005A3F47">
        <w:rPr>
          <w:noProof/>
        </w:rPr>
        <w:t xml:space="preserve">positive </w:t>
      </w:r>
      <w:r w:rsidR="00E03C74" w:rsidRPr="005A3F47">
        <w:rPr>
          <w:noProof/>
        </w:rPr>
        <w:t>economic impact</w:t>
      </w:r>
      <w:r w:rsidR="00072336" w:rsidRPr="005A3F47">
        <w:rPr>
          <w:noProof/>
        </w:rPr>
        <w:t xml:space="preserve"> would be more limited as</w:t>
      </w:r>
      <w:r w:rsidR="00464215" w:rsidRPr="005A3F47">
        <w:rPr>
          <w:noProof/>
        </w:rPr>
        <w:t xml:space="preserve"> the dynamic impacts on</w:t>
      </w:r>
      <w:r w:rsidR="002327F4" w:rsidRPr="005A3F47">
        <w:rPr>
          <w:noProof/>
        </w:rPr>
        <w:t xml:space="preserve"> investment and growth would be marginal.</w:t>
      </w:r>
    </w:p>
    <w:p w14:paraId="1B1DAF89" w14:textId="5DAC3BB4" w:rsidR="007C27DC" w:rsidRPr="005A3F47" w:rsidRDefault="007C27DC" w:rsidP="00445316">
      <w:pPr>
        <w:rPr>
          <w:noProof/>
        </w:rPr>
      </w:pPr>
      <w:r w:rsidRPr="005A3F47">
        <w:rPr>
          <w:b/>
          <w:noProof/>
        </w:rPr>
        <w:t>Coherence</w:t>
      </w:r>
      <w:r w:rsidRPr="005A3F47">
        <w:rPr>
          <w:noProof/>
        </w:rPr>
        <w:t xml:space="preserve">: </w:t>
      </w:r>
      <w:r w:rsidR="00FA57EE" w:rsidRPr="005A3F47">
        <w:rPr>
          <w:noProof/>
        </w:rPr>
        <w:t>T</w:t>
      </w:r>
      <w:r w:rsidRPr="005A3F47">
        <w:rPr>
          <w:noProof/>
        </w:rPr>
        <w:t>h</w:t>
      </w:r>
      <w:r w:rsidR="00FA57EE" w:rsidRPr="005A3F47">
        <w:rPr>
          <w:noProof/>
        </w:rPr>
        <w:t xml:space="preserve">e medium ambition approach is coherent within the proposal itself as it offers a broad range of simplification measures across the existing EU tax framework, </w:t>
      </w:r>
      <w:r w:rsidR="00B5023D" w:rsidRPr="005A3F47">
        <w:rPr>
          <w:noProof/>
        </w:rPr>
        <w:t xml:space="preserve">building on the </w:t>
      </w:r>
      <w:r w:rsidR="000032FC" w:rsidRPr="005A3F47">
        <w:rPr>
          <w:noProof/>
        </w:rPr>
        <w:t xml:space="preserve">achievements already made at EU level. </w:t>
      </w:r>
      <w:r w:rsidR="000F1AD2" w:rsidRPr="005A3F47">
        <w:rPr>
          <w:noProof/>
        </w:rPr>
        <w:t>Like for the com</w:t>
      </w:r>
      <w:r w:rsidR="00BE7479" w:rsidRPr="005A3F47">
        <w:rPr>
          <w:noProof/>
        </w:rPr>
        <w:t xml:space="preserve">prehensive approach, all </w:t>
      </w:r>
      <w:r w:rsidR="00544F17" w:rsidRPr="005A3F47">
        <w:rPr>
          <w:noProof/>
        </w:rPr>
        <w:t xml:space="preserve">measures are designed to </w:t>
      </w:r>
      <w:r w:rsidR="00D40FFC" w:rsidRPr="005A3F47">
        <w:rPr>
          <w:noProof/>
        </w:rPr>
        <w:t>pre</w:t>
      </w:r>
      <w:r w:rsidR="00250F13" w:rsidRPr="005A3F47">
        <w:rPr>
          <w:noProof/>
        </w:rPr>
        <w:t xml:space="preserve">serve </w:t>
      </w:r>
      <w:r w:rsidR="00DA6CE8" w:rsidRPr="005A3F47">
        <w:rPr>
          <w:noProof/>
        </w:rPr>
        <w:t xml:space="preserve">the original </w:t>
      </w:r>
      <w:r w:rsidR="00D45397" w:rsidRPr="005A3F47">
        <w:rPr>
          <w:noProof/>
        </w:rPr>
        <w:t>objectives of the existing Directives.</w:t>
      </w:r>
      <w:r w:rsidRPr="005A3F47">
        <w:rPr>
          <w:noProof/>
        </w:rPr>
        <w:t xml:space="preserve"> </w:t>
      </w:r>
      <w:r w:rsidR="007C5975" w:rsidRPr="005A3F47">
        <w:rPr>
          <w:noProof/>
        </w:rPr>
        <w:t xml:space="preserve">It </w:t>
      </w:r>
      <w:r w:rsidR="006824FF" w:rsidRPr="005A3F47">
        <w:rPr>
          <w:noProof/>
        </w:rPr>
        <w:t>also contributes to other EU policies, like addressing security and defence challenges in the EU and the Savings and Investment</w:t>
      </w:r>
      <w:r w:rsidR="00716426" w:rsidRPr="005A3F47">
        <w:rPr>
          <w:noProof/>
        </w:rPr>
        <w:t xml:space="preserve">s </w:t>
      </w:r>
      <w:r w:rsidR="006824FF" w:rsidRPr="005A3F47">
        <w:rPr>
          <w:noProof/>
        </w:rPr>
        <w:t>Union</w:t>
      </w:r>
      <w:r w:rsidR="00716426" w:rsidRPr="005A3F47">
        <w:rPr>
          <w:noProof/>
        </w:rPr>
        <w:t xml:space="preserve">, but to a </w:t>
      </w:r>
      <w:r w:rsidR="00E40C15" w:rsidRPr="005A3F47">
        <w:rPr>
          <w:noProof/>
        </w:rPr>
        <w:t xml:space="preserve">much </w:t>
      </w:r>
      <w:r w:rsidR="00716426" w:rsidRPr="005A3F47">
        <w:rPr>
          <w:noProof/>
        </w:rPr>
        <w:t>lesser extent than</w:t>
      </w:r>
      <w:r w:rsidR="00ED1729" w:rsidRPr="005A3F47">
        <w:rPr>
          <w:noProof/>
        </w:rPr>
        <w:t xml:space="preserve"> the c</w:t>
      </w:r>
      <w:r w:rsidR="00AD393E" w:rsidRPr="005A3F47">
        <w:rPr>
          <w:noProof/>
        </w:rPr>
        <w:t>omprehensive approach.</w:t>
      </w:r>
    </w:p>
    <w:p w14:paraId="7ECD6CEA" w14:textId="56EB21E7" w:rsidR="00445316" w:rsidRPr="005A3F47" w:rsidRDefault="00EA24D7" w:rsidP="00445316">
      <w:pPr>
        <w:rPr>
          <w:b/>
          <w:bCs/>
          <w:noProof/>
        </w:rPr>
      </w:pPr>
      <w:r w:rsidRPr="005A3F47">
        <w:rPr>
          <w:noProof/>
        </w:rPr>
        <w:t>In sum, w</w:t>
      </w:r>
      <w:r w:rsidR="007D69B9" w:rsidRPr="005A3F47">
        <w:rPr>
          <w:noProof/>
        </w:rPr>
        <w:t xml:space="preserve">hile this outcome </w:t>
      </w:r>
      <w:r w:rsidR="00AD393E" w:rsidRPr="005A3F47">
        <w:rPr>
          <w:noProof/>
        </w:rPr>
        <w:t xml:space="preserve">will fully </w:t>
      </w:r>
      <w:r w:rsidR="007D69B9" w:rsidRPr="005A3F47">
        <w:rPr>
          <w:noProof/>
        </w:rPr>
        <w:t>ensur</w:t>
      </w:r>
      <w:r w:rsidR="00AD393E" w:rsidRPr="005A3F47">
        <w:rPr>
          <w:noProof/>
        </w:rPr>
        <w:t>e</w:t>
      </w:r>
      <w:r w:rsidR="007D69B9" w:rsidRPr="005A3F47">
        <w:rPr>
          <w:noProof/>
        </w:rPr>
        <w:t xml:space="preserve"> high tax </w:t>
      </w:r>
      <w:r w:rsidR="00BD3661" w:rsidRPr="005A3F47">
        <w:rPr>
          <w:noProof/>
        </w:rPr>
        <w:t>standards and</w:t>
      </w:r>
      <w:r w:rsidR="002D0130" w:rsidRPr="005A3F47">
        <w:rPr>
          <w:noProof/>
        </w:rPr>
        <w:t xml:space="preserve"> </w:t>
      </w:r>
      <w:r w:rsidR="00235E83" w:rsidRPr="005A3F47">
        <w:rPr>
          <w:noProof/>
        </w:rPr>
        <w:t xml:space="preserve">appears effective </w:t>
      </w:r>
      <w:r w:rsidR="00C02E45" w:rsidRPr="005A3F47">
        <w:rPr>
          <w:noProof/>
        </w:rPr>
        <w:t>in</w:t>
      </w:r>
      <w:r w:rsidR="00235E83" w:rsidRPr="005A3F47">
        <w:rPr>
          <w:noProof/>
        </w:rPr>
        <w:t xml:space="preserve"> achieving the </w:t>
      </w:r>
      <w:r w:rsidR="00C02E45" w:rsidRPr="005A3F47">
        <w:rPr>
          <w:noProof/>
        </w:rPr>
        <w:t>envisaged</w:t>
      </w:r>
      <w:r w:rsidR="00235E83" w:rsidRPr="005A3F47">
        <w:rPr>
          <w:noProof/>
        </w:rPr>
        <w:t xml:space="preserve"> objectives </w:t>
      </w:r>
      <w:r w:rsidR="002D0130" w:rsidRPr="005A3F47">
        <w:rPr>
          <w:noProof/>
        </w:rPr>
        <w:t>in a cost-efficient way</w:t>
      </w:r>
      <w:r w:rsidR="00235E83" w:rsidRPr="005A3F47">
        <w:rPr>
          <w:noProof/>
        </w:rPr>
        <w:t>, its</w:t>
      </w:r>
      <w:r w:rsidR="004D043B" w:rsidRPr="005A3F47">
        <w:rPr>
          <w:noProof/>
        </w:rPr>
        <w:t xml:space="preserve"> interventions</w:t>
      </w:r>
      <w:r w:rsidR="00235E83" w:rsidRPr="005A3F47">
        <w:rPr>
          <w:noProof/>
        </w:rPr>
        <w:t xml:space="preserve"> in two key areas</w:t>
      </w:r>
      <w:r w:rsidR="002D0130" w:rsidRPr="005A3F47">
        <w:rPr>
          <w:noProof/>
        </w:rPr>
        <w:t xml:space="preserve">, i.e., </w:t>
      </w:r>
      <w:r w:rsidR="00F13414" w:rsidRPr="005A3F47">
        <w:rPr>
          <w:noProof/>
        </w:rPr>
        <w:t>in relation to the</w:t>
      </w:r>
      <w:r w:rsidR="00A006FA" w:rsidRPr="005A3F47">
        <w:rPr>
          <w:noProof/>
        </w:rPr>
        <w:t xml:space="preserve"> withholding tax relief under the IRD and PSD and the overlap between CFC rules and Pillar 2,</w:t>
      </w:r>
      <w:r w:rsidR="004D043B" w:rsidRPr="005A3F47">
        <w:rPr>
          <w:noProof/>
        </w:rPr>
        <w:t xml:space="preserve"> </w:t>
      </w:r>
      <w:r w:rsidR="00A006FA" w:rsidRPr="005A3F47">
        <w:rPr>
          <w:noProof/>
        </w:rPr>
        <w:t>are less thorough and</w:t>
      </w:r>
      <w:r w:rsidR="007C1792" w:rsidRPr="005A3F47">
        <w:rPr>
          <w:noProof/>
        </w:rPr>
        <w:t>, consequently,</w:t>
      </w:r>
      <w:r w:rsidR="004D043B" w:rsidRPr="005A3F47">
        <w:rPr>
          <w:noProof/>
        </w:rPr>
        <w:t xml:space="preserve"> </w:t>
      </w:r>
      <w:r w:rsidR="00C02E45" w:rsidRPr="005A3F47">
        <w:rPr>
          <w:noProof/>
        </w:rPr>
        <w:t>prove</w:t>
      </w:r>
      <w:r w:rsidR="00447D4D" w:rsidRPr="005A3F47">
        <w:rPr>
          <w:noProof/>
        </w:rPr>
        <w:t xml:space="preserve"> </w:t>
      </w:r>
      <w:r w:rsidR="00FA08B7" w:rsidRPr="005A3F47">
        <w:rPr>
          <w:noProof/>
        </w:rPr>
        <w:t xml:space="preserve">less effective </w:t>
      </w:r>
      <w:r w:rsidR="00447D4D" w:rsidRPr="005A3F47">
        <w:rPr>
          <w:noProof/>
        </w:rPr>
        <w:t xml:space="preserve">in </w:t>
      </w:r>
      <w:r w:rsidR="00E14912" w:rsidRPr="005A3F47">
        <w:rPr>
          <w:noProof/>
        </w:rPr>
        <w:t>achieving the objectives to</w:t>
      </w:r>
      <w:r w:rsidR="00447D4D" w:rsidRPr="005A3F47">
        <w:rPr>
          <w:noProof/>
        </w:rPr>
        <w:t xml:space="preserve"> simplifying </w:t>
      </w:r>
      <w:r w:rsidR="00E31809" w:rsidRPr="005A3F47">
        <w:rPr>
          <w:noProof/>
        </w:rPr>
        <w:t>EU</w:t>
      </w:r>
      <w:r w:rsidR="00447D4D" w:rsidRPr="005A3F47">
        <w:rPr>
          <w:noProof/>
        </w:rPr>
        <w:t xml:space="preserve"> tax rules</w:t>
      </w:r>
      <w:r w:rsidR="00A006FA" w:rsidRPr="005A3F47">
        <w:rPr>
          <w:noProof/>
        </w:rPr>
        <w:t xml:space="preserve"> with a view to boosting EU competitiveness. </w:t>
      </w:r>
    </w:p>
    <w:p w14:paraId="79BE11F9" w14:textId="45FE45D1" w:rsidR="00F10DB2" w:rsidRPr="005A3F47" w:rsidRDefault="00441577" w:rsidP="00FA5B5C">
      <w:pPr>
        <w:pStyle w:val="Heading2"/>
        <w:numPr>
          <w:ilvl w:val="1"/>
          <w:numId w:val="216"/>
        </w:numPr>
        <w:rPr>
          <w:noProof/>
        </w:rPr>
      </w:pPr>
      <w:bookmarkStart w:id="219" w:name="_Toc226466841"/>
      <w:bookmarkStart w:id="220" w:name="_Toc226467202"/>
      <w:bookmarkStart w:id="221" w:name="_Toc226467302"/>
      <w:bookmarkStart w:id="222" w:name="_Toc226467521"/>
      <w:r w:rsidRPr="005A3F47">
        <w:rPr>
          <w:noProof/>
        </w:rPr>
        <w:t xml:space="preserve"> </w:t>
      </w:r>
      <w:r w:rsidR="00BA789C" w:rsidRPr="005A3F47">
        <w:rPr>
          <w:noProof/>
        </w:rPr>
        <w:t xml:space="preserve">Limited Ambition </w:t>
      </w:r>
      <w:r w:rsidR="001615E7" w:rsidRPr="005A3F47">
        <w:rPr>
          <w:noProof/>
        </w:rPr>
        <w:t>Omnibus</w:t>
      </w:r>
      <w:r w:rsidR="2E0A3F41" w:rsidRPr="005A3F47">
        <w:rPr>
          <w:noProof/>
        </w:rPr>
        <w:t xml:space="preserve"> on Taxation</w:t>
      </w:r>
      <w:bookmarkEnd w:id="219"/>
      <w:bookmarkEnd w:id="220"/>
      <w:bookmarkEnd w:id="221"/>
      <w:bookmarkEnd w:id="222"/>
    </w:p>
    <w:tbl>
      <w:tblPr>
        <w:tblStyle w:val="TableGrid"/>
        <w:tblW w:w="0" w:type="auto"/>
        <w:tblLook w:val="04A0" w:firstRow="1" w:lastRow="0" w:firstColumn="1" w:lastColumn="0" w:noHBand="0" w:noVBand="1"/>
      </w:tblPr>
      <w:tblGrid>
        <w:gridCol w:w="3368"/>
        <w:gridCol w:w="1658"/>
        <w:gridCol w:w="1489"/>
        <w:gridCol w:w="1567"/>
        <w:gridCol w:w="1743"/>
      </w:tblGrid>
      <w:tr w:rsidR="009F6235" w:rsidRPr="005A3F47" w14:paraId="691DA430" w14:textId="77777777" w:rsidTr="00FA5B5C">
        <w:tc>
          <w:tcPr>
            <w:tcW w:w="3368" w:type="dxa"/>
            <w:shd w:val="clear" w:color="auto" w:fill="95B3D7" w:themeFill="accent1" w:themeFillTint="99"/>
          </w:tcPr>
          <w:p w14:paraId="0BC473B3" w14:textId="77777777" w:rsidR="00F10DB2" w:rsidRPr="005A3F47" w:rsidRDefault="00F10DB2">
            <w:pPr>
              <w:pStyle w:val="Text2"/>
              <w:spacing w:after="0"/>
              <w:ind w:left="0"/>
              <w:jc w:val="center"/>
              <w:rPr>
                <w:b/>
                <w:bCs/>
                <w:noProof/>
                <w:sz w:val="22"/>
                <w:szCs w:val="18"/>
              </w:rPr>
            </w:pPr>
            <w:r w:rsidRPr="005A3F47">
              <w:rPr>
                <w:b/>
                <w:bCs/>
                <w:noProof/>
                <w:sz w:val="22"/>
                <w:szCs w:val="18"/>
              </w:rPr>
              <w:t>Policy option(s)</w:t>
            </w:r>
          </w:p>
        </w:tc>
        <w:tc>
          <w:tcPr>
            <w:tcW w:w="6457" w:type="dxa"/>
            <w:gridSpan w:val="4"/>
            <w:shd w:val="clear" w:color="auto" w:fill="C2D69B" w:themeFill="accent3" w:themeFillTint="99"/>
          </w:tcPr>
          <w:p w14:paraId="0A974ACF" w14:textId="77777777" w:rsidR="00F10DB2" w:rsidRPr="005A3F47" w:rsidRDefault="00F10DB2">
            <w:pPr>
              <w:pStyle w:val="Text2"/>
              <w:spacing w:after="0"/>
              <w:ind w:left="0"/>
              <w:jc w:val="center"/>
              <w:rPr>
                <w:b/>
                <w:bCs/>
                <w:noProof/>
                <w:sz w:val="22"/>
                <w:szCs w:val="18"/>
              </w:rPr>
            </w:pPr>
            <w:r w:rsidRPr="005A3F47">
              <w:rPr>
                <w:b/>
                <w:bCs/>
                <w:noProof/>
                <w:sz w:val="22"/>
                <w:szCs w:val="18"/>
              </w:rPr>
              <w:t>Specific objectives</w:t>
            </w:r>
          </w:p>
        </w:tc>
      </w:tr>
      <w:tr w:rsidR="00E30F4E" w:rsidRPr="005A3F47" w14:paraId="449006C2" w14:textId="77777777" w:rsidTr="003F5C16">
        <w:tc>
          <w:tcPr>
            <w:tcW w:w="3368" w:type="dxa"/>
            <w:shd w:val="clear" w:color="auto" w:fill="DBE5F1" w:themeFill="accent1" w:themeFillTint="33"/>
          </w:tcPr>
          <w:p w14:paraId="3130C019" w14:textId="77777777" w:rsidR="00F10DB2" w:rsidRPr="005A3F47" w:rsidRDefault="00F10DB2">
            <w:pPr>
              <w:pStyle w:val="Text2"/>
              <w:spacing w:after="0"/>
              <w:ind w:left="0"/>
              <w:jc w:val="center"/>
              <w:rPr>
                <w:noProof/>
                <w:sz w:val="22"/>
                <w:szCs w:val="18"/>
              </w:rPr>
            </w:pPr>
            <w:r w:rsidRPr="005A3F47">
              <w:rPr>
                <w:noProof/>
                <w:sz w:val="22"/>
                <w:szCs w:val="18"/>
              </w:rPr>
              <w:t>Taxation of cross-border interest, royalty and dividend payments</w:t>
            </w:r>
          </w:p>
        </w:tc>
        <w:tc>
          <w:tcPr>
            <w:tcW w:w="1658" w:type="dxa"/>
            <w:shd w:val="clear" w:color="auto" w:fill="EAF1DD" w:themeFill="accent3" w:themeFillTint="33"/>
          </w:tcPr>
          <w:p w14:paraId="36463FD2" w14:textId="6573A80D" w:rsidR="00F10DB2" w:rsidRPr="005A3F47" w:rsidRDefault="006D2A92">
            <w:pPr>
              <w:pStyle w:val="Text2"/>
              <w:spacing w:after="0"/>
              <w:ind w:left="0"/>
              <w:jc w:val="center"/>
              <w:rPr>
                <w:noProof/>
                <w:sz w:val="22"/>
                <w:szCs w:val="18"/>
                <w:lang w:val="fr-FR"/>
              </w:rPr>
            </w:pPr>
            <w:r w:rsidRPr="005A3F47">
              <w:rPr>
                <w:noProof/>
                <w:sz w:val="22"/>
                <w:szCs w:val="18"/>
                <w:lang w:val="fr-FR"/>
              </w:rPr>
              <w:t>Eliminate</w:t>
            </w:r>
            <w:r w:rsidR="00F10DB2" w:rsidRPr="005A3F47">
              <w:rPr>
                <w:noProof/>
                <w:sz w:val="22"/>
                <w:szCs w:val="18"/>
                <w:lang w:val="fr-FR"/>
              </w:rPr>
              <w:t xml:space="preserve"> </w:t>
            </w:r>
            <w:r w:rsidR="00AA3AEA" w:rsidRPr="005A3F47">
              <w:rPr>
                <w:noProof/>
                <w:sz w:val="22"/>
                <w:szCs w:val="18"/>
                <w:lang w:val="fr-FR"/>
              </w:rPr>
              <w:t xml:space="preserve">disproportionate </w:t>
            </w:r>
            <w:r w:rsidR="00F10DB2" w:rsidRPr="005A3F47">
              <w:rPr>
                <w:noProof/>
                <w:sz w:val="22"/>
                <w:szCs w:val="18"/>
                <w:lang w:val="fr-FR"/>
              </w:rPr>
              <w:t>EU tax compliance burdens</w:t>
            </w:r>
          </w:p>
        </w:tc>
        <w:tc>
          <w:tcPr>
            <w:tcW w:w="0" w:type="auto"/>
            <w:shd w:val="clear" w:color="auto" w:fill="EAF1DD" w:themeFill="accent3" w:themeFillTint="33"/>
          </w:tcPr>
          <w:p w14:paraId="400B32BB" w14:textId="760AFCDE" w:rsidR="00F10DB2" w:rsidRPr="005A3F47" w:rsidRDefault="006D2A92">
            <w:pPr>
              <w:pStyle w:val="Text2"/>
              <w:spacing w:after="0"/>
              <w:ind w:left="0"/>
              <w:jc w:val="center"/>
              <w:rPr>
                <w:noProof/>
                <w:sz w:val="22"/>
                <w:szCs w:val="18"/>
              </w:rPr>
            </w:pPr>
            <w:r w:rsidRPr="005A3F47">
              <w:rPr>
                <w:noProof/>
                <w:sz w:val="22"/>
                <w:szCs w:val="18"/>
              </w:rPr>
              <w:t>Introduce clear</w:t>
            </w:r>
            <w:r w:rsidR="00F10DB2" w:rsidRPr="005A3F47">
              <w:rPr>
                <w:noProof/>
                <w:sz w:val="22"/>
                <w:szCs w:val="18"/>
              </w:rPr>
              <w:t xml:space="preserve"> and predictable EU tax </w:t>
            </w:r>
            <w:r w:rsidRPr="005A3F47">
              <w:rPr>
                <w:noProof/>
                <w:sz w:val="22"/>
                <w:szCs w:val="18"/>
              </w:rPr>
              <w:t>rules and terms</w:t>
            </w:r>
          </w:p>
        </w:tc>
        <w:tc>
          <w:tcPr>
            <w:tcW w:w="0" w:type="auto"/>
            <w:shd w:val="clear" w:color="auto" w:fill="EAF1DD" w:themeFill="accent3" w:themeFillTint="33"/>
          </w:tcPr>
          <w:p w14:paraId="08A608CD" w14:textId="3E07F2B5" w:rsidR="00F10DB2" w:rsidRPr="005A3F47" w:rsidRDefault="00F92E2F">
            <w:pPr>
              <w:pStyle w:val="Text2"/>
              <w:spacing w:after="0"/>
              <w:ind w:left="0"/>
              <w:jc w:val="center"/>
              <w:rPr>
                <w:noProof/>
                <w:sz w:val="22"/>
                <w:szCs w:val="22"/>
              </w:rPr>
            </w:pPr>
            <w:r w:rsidRPr="005A3F47">
              <w:rPr>
                <w:noProof/>
                <w:sz w:val="22"/>
                <w:szCs w:val="22"/>
              </w:rPr>
              <w:t>Improve consistency in the application of EU tax directives​</w:t>
            </w:r>
          </w:p>
        </w:tc>
        <w:tc>
          <w:tcPr>
            <w:tcW w:w="0" w:type="auto"/>
            <w:shd w:val="clear" w:color="auto" w:fill="EAF1DD" w:themeFill="accent3" w:themeFillTint="33"/>
          </w:tcPr>
          <w:p w14:paraId="64AC6448" w14:textId="10E5EB41" w:rsidR="00F10DB2" w:rsidRPr="005A3F47" w:rsidRDefault="00F92E2F">
            <w:pPr>
              <w:pStyle w:val="Text2"/>
              <w:spacing w:after="0"/>
              <w:ind w:left="0"/>
              <w:jc w:val="center"/>
              <w:rPr>
                <w:noProof/>
                <w:sz w:val="22"/>
                <w:szCs w:val="18"/>
              </w:rPr>
            </w:pPr>
            <w:r w:rsidRPr="005A3F47">
              <w:rPr>
                <w:noProof/>
                <w:sz w:val="22"/>
                <w:szCs w:val="18"/>
              </w:rPr>
              <w:t>Reduce remaining tax obstacles to cross-border investment and commercial activity</w:t>
            </w:r>
          </w:p>
        </w:tc>
      </w:tr>
      <w:tr w:rsidR="008818CE" w:rsidRPr="005A3F47" w14:paraId="19D44E94" w14:textId="77777777" w:rsidTr="00FA5B5C">
        <w:tc>
          <w:tcPr>
            <w:tcW w:w="3368" w:type="dxa"/>
          </w:tcPr>
          <w:p w14:paraId="646009D4" w14:textId="47F8BA5A" w:rsidR="003962CA" w:rsidRPr="005A3F47" w:rsidRDefault="00A1734E" w:rsidP="006D2A92">
            <w:pPr>
              <w:pStyle w:val="Text2"/>
              <w:spacing w:after="0"/>
              <w:ind w:left="0"/>
              <w:jc w:val="left"/>
              <w:rPr>
                <w:noProof/>
                <w:sz w:val="22"/>
                <w:szCs w:val="18"/>
              </w:rPr>
            </w:pPr>
            <w:r w:rsidRPr="005A3F47">
              <w:rPr>
                <w:noProof/>
                <w:sz w:val="22"/>
                <w:szCs w:val="18"/>
              </w:rPr>
              <w:t>Status quo</w:t>
            </w:r>
          </w:p>
        </w:tc>
        <w:tc>
          <w:tcPr>
            <w:tcW w:w="1658" w:type="dxa"/>
          </w:tcPr>
          <w:p w14:paraId="5366038C" w14:textId="2C11FD11" w:rsidR="003962CA" w:rsidRPr="005A3F47" w:rsidRDefault="00A1734E" w:rsidP="003962CA">
            <w:pPr>
              <w:pStyle w:val="Text2"/>
              <w:spacing w:after="0"/>
              <w:ind w:left="0"/>
              <w:jc w:val="center"/>
              <w:rPr>
                <w:noProof/>
                <w:sz w:val="22"/>
                <w:szCs w:val="18"/>
              </w:rPr>
            </w:pPr>
            <w:r w:rsidRPr="005A3F47">
              <w:rPr>
                <w:noProof/>
                <w:sz w:val="22"/>
                <w:szCs w:val="18"/>
              </w:rPr>
              <w:t>0</w:t>
            </w:r>
          </w:p>
        </w:tc>
        <w:tc>
          <w:tcPr>
            <w:tcW w:w="0" w:type="auto"/>
          </w:tcPr>
          <w:p w14:paraId="0BA30387" w14:textId="49263E01" w:rsidR="003962CA" w:rsidRPr="005A3F47" w:rsidRDefault="00A1734E" w:rsidP="003962CA">
            <w:pPr>
              <w:pStyle w:val="Text2"/>
              <w:spacing w:after="0"/>
              <w:ind w:left="0"/>
              <w:jc w:val="center"/>
              <w:rPr>
                <w:noProof/>
                <w:sz w:val="22"/>
                <w:szCs w:val="18"/>
              </w:rPr>
            </w:pPr>
            <w:r w:rsidRPr="005A3F47">
              <w:rPr>
                <w:noProof/>
                <w:sz w:val="22"/>
                <w:szCs w:val="18"/>
              </w:rPr>
              <w:t>0</w:t>
            </w:r>
          </w:p>
        </w:tc>
        <w:tc>
          <w:tcPr>
            <w:tcW w:w="0" w:type="auto"/>
          </w:tcPr>
          <w:p w14:paraId="07CB1A94" w14:textId="5B259B7B" w:rsidR="003962CA" w:rsidRPr="005A3F47" w:rsidRDefault="00A1734E" w:rsidP="003962CA">
            <w:pPr>
              <w:pStyle w:val="Text2"/>
              <w:spacing w:after="0"/>
              <w:ind w:left="0"/>
              <w:jc w:val="center"/>
              <w:rPr>
                <w:noProof/>
                <w:sz w:val="22"/>
                <w:szCs w:val="18"/>
              </w:rPr>
            </w:pPr>
            <w:r w:rsidRPr="005A3F47">
              <w:rPr>
                <w:noProof/>
                <w:sz w:val="22"/>
                <w:szCs w:val="18"/>
              </w:rPr>
              <w:t>0</w:t>
            </w:r>
          </w:p>
        </w:tc>
        <w:tc>
          <w:tcPr>
            <w:tcW w:w="0" w:type="auto"/>
          </w:tcPr>
          <w:p w14:paraId="15C74CA7" w14:textId="4CCAA5D5" w:rsidR="003962CA" w:rsidRPr="005A3F47" w:rsidRDefault="00A1734E" w:rsidP="003962CA">
            <w:pPr>
              <w:pStyle w:val="Text2"/>
              <w:spacing w:after="0"/>
              <w:ind w:left="0"/>
              <w:jc w:val="center"/>
              <w:rPr>
                <w:noProof/>
                <w:sz w:val="22"/>
                <w:szCs w:val="18"/>
              </w:rPr>
            </w:pPr>
            <w:r w:rsidRPr="005A3F47">
              <w:rPr>
                <w:noProof/>
                <w:sz w:val="22"/>
                <w:szCs w:val="18"/>
              </w:rPr>
              <w:t>0</w:t>
            </w:r>
          </w:p>
        </w:tc>
      </w:tr>
      <w:tr w:rsidR="009F6235" w:rsidRPr="005A3F47" w14:paraId="2A032DD9" w14:textId="77777777" w:rsidTr="00FA5B5C">
        <w:tc>
          <w:tcPr>
            <w:tcW w:w="3368" w:type="dxa"/>
            <w:shd w:val="clear" w:color="auto" w:fill="DBE5F1" w:themeFill="accent1" w:themeFillTint="33"/>
          </w:tcPr>
          <w:p w14:paraId="00D7482E" w14:textId="601D0704" w:rsidR="00F10DB2" w:rsidRPr="005A3F47" w:rsidRDefault="00F10DB2">
            <w:pPr>
              <w:pStyle w:val="Text2"/>
              <w:spacing w:after="0"/>
              <w:ind w:left="0"/>
              <w:jc w:val="center"/>
              <w:rPr>
                <w:noProof/>
                <w:sz w:val="22"/>
                <w:szCs w:val="18"/>
              </w:rPr>
            </w:pPr>
            <w:r w:rsidRPr="005A3F47">
              <w:rPr>
                <w:noProof/>
                <w:sz w:val="22"/>
                <w:szCs w:val="18"/>
              </w:rPr>
              <w:t xml:space="preserve">Taxation of </w:t>
            </w:r>
            <w:r w:rsidR="005C7243" w:rsidRPr="005A3F47">
              <w:rPr>
                <w:noProof/>
                <w:sz w:val="22"/>
                <w:szCs w:val="18"/>
              </w:rPr>
              <w:t>CFCs</w:t>
            </w:r>
            <w:r w:rsidRPr="005A3F47">
              <w:rPr>
                <w:noProof/>
                <w:sz w:val="22"/>
                <w:szCs w:val="18"/>
              </w:rPr>
              <w:t xml:space="preserve"> </w:t>
            </w:r>
          </w:p>
        </w:tc>
        <w:tc>
          <w:tcPr>
            <w:tcW w:w="6457" w:type="dxa"/>
            <w:gridSpan w:val="4"/>
            <w:shd w:val="clear" w:color="auto" w:fill="EAF1DD" w:themeFill="accent3" w:themeFillTint="33"/>
          </w:tcPr>
          <w:p w14:paraId="5DF8B9F7" w14:textId="77777777" w:rsidR="00F10DB2" w:rsidRPr="005A3F47" w:rsidRDefault="00F10DB2">
            <w:pPr>
              <w:pStyle w:val="Text2"/>
              <w:spacing w:after="0"/>
              <w:ind w:left="0"/>
              <w:jc w:val="center"/>
              <w:rPr>
                <w:noProof/>
                <w:sz w:val="22"/>
                <w:szCs w:val="18"/>
              </w:rPr>
            </w:pPr>
          </w:p>
        </w:tc>
      </w:tr>
      <w:tr w:rsidR="009F6235" w:rsidRPr="005A3F47" w14:paraId="577EC9C3" w14:textId="77777777" w:rsidTr="00FA5B5C">
        <w:tc>
          <w:tcPr>
            <w:tcW w:w="3368" w:type="dxa"/>
          </w:tcPr>
          <w:p w14:paraId="339C7906" w14:textId="1BD211D6" w:rsidR="003962CA" w:rsidRPr="005A3F47" w:rsidRDefault="00A1734E" w:rsidP="006D2A92">
            <w:pPr>
              <w:pStyle w:val="Text2"/>
              <w:spacing w:after="0"/>
              <w:ind w:left="0"/>
              <w:jc w:val="left"/>
              <w:rPr>
                <w:noProof/>
                <w:sz w:val="22"/>
                <w:szCs w:val="18"/>
              </w:rPr>
            </w:pPr>
            <w:r w:rsidRPr="005A3F47">
              <w:rPr>
                <w:noProof/>
                <w:sz w:val="22"/>
                <w:szCs w:val="18"/>
              </w:rPr>
              <w:t>Status quo</w:t>
            </w:r>
          </w:p>
        </w:tc>
        <w:tc>
          <w:tcPr>
            <w:tcW w:w="1658" w:type="dxa"/>
          </w:tcPr>
          <w:p w14:paraId="14DBB9E4" w14:textId="75ED7F50" w:rsidR="003962CA" w:rsidRPr="005A3F47" w:rsidRDefault="00C2100F" w:rsidP="003962CA">
            <w:pPr>
              <w:pStyle w:val="Text2"/>
              <w:spacing w:after="0"/>
              <w:ind w:left="0"/>
              <w:jc w:val="center"/>
              <w:rPr>
                <w:noProof/>
                <w:sz w:val="22"/>
                <w:szCs w:val="18"/>
              </w:rPr>
            </w:pPr>
            <w:r w:rsidRPr="005A3F47">
              <w:rPr>
                <w:noProof/>
                <w:sz w:val="22"/>
                <w:szCs w:val="18"/>
              </w:rPr>
              <w:t>0</w:t>
            </w:r>
          </w:p>
        </w:tc>
        <w:tc>
          <w:tcPr>
            <w:tcW w:w="0" w:type="auto"/>
          </w:tcPr>
          <w:p w14:paraId="4C772A15" w14:textId="6502F9B5" w:rsidR="003962CA" w:rsidRPr="005A3F47" w:rsidRDefault="00A1734E" w:rsidP="003962CA">
            <w:pPr>
              <w:pStyle w:val="Text2"/>
              <w:spacing w:after="0"/>
              <w:ind w:left="0"/>
              <w:jc w:val="center"/>
              <w:rPr>
                <w:noProof/>
                <w:sz w:val="22"/>
                <w:szCs w:val="18"/>
              </w:rPr>
            </w:pPr>
            <w:r w:rsidRPr="005A3F47">
              <w:rPr>
                <w:noProof/>
                <w:sz w:val="22"/>
                <w:szCs w:val="18"/>
              </w:rPr>
              <w:t>0</w:t>
            </w:r>
          </w:p>
        </w:tc>
        <w:tc>
          <w:tcPr>
            <w:tcW w:w="0" w:type="auto"/>
          </w:tcPr>
          <w:p w14:paraId="129641B2" w14:textId="3E329315" w:rsidR="003962CA" w:rsidRPr="005A3F47" w:rsidRDefault="00A1734E" w:rsidP="003962CA">
            <w:pPr>
              <w:pStyle w:val="Text2"/>
              <w:spacing w:after="0"/>
              <w:ind w:left="0"/>
              <w:jc w:val="center"/>
              <w:rPr>
                <w:noProof/>
                <w:sz w:val="22"/>
                <w:szCs w:val="22"/>
              </w:rPr>
            </w:pPr>
            <w:r w:rsidRPr="005A3F47">
              <w:rPr>
                <w:noProof/>
                <w:sz w:val="22"/>
                <w:szCs w:val="22"/>
              </w:rPr>
              <w:t>0</w:t>
            </w:r>
          </w:p>
        </w:tc>
        <w:tc>
          <w:tcPr>
            <w:tcW w:w="0" w:type="auto"/>
          </w:tcPr>
          <w:p w14:paraId="296309E1" w14:textId="35416FE9" w:rsidR="003962CA" w:rsidRPr="005A3F47" w:rsidRDefault="00BF18E3" w:rsidP="003962CA">
            <w:pPr>
              <w:pStyle w:val="Text2"/>
              <w:spacing w:after="0"/>
              <w:ind w:left="0"/>
              <w:jc w:val="center"/>
              <w:rPr>
                <w:noProof/>
                <w:sz w:val="22"/>
                <w:szCs w:val="22"/>
              </w:rPr>
            </w:pPr>
            <w:r w:rsidRPr="005A3F47">
              <w:rPr>
                <w:noProof/>
                <w:sz w:val="22"/>
                <w:szCs w:val="22"/>
              </w:rPr>
              <w:t>0</w:t>
            </w:r>
          </w:p>
        </w:tc>
      </w:tr>
      <w:tr w:rsidR="0068426E" w:rsidRPr="005A3F47" w14:paraId="3ACF7C63" w14:textId="77777777" w:rsidTr="00FA5B5C">
        <w:tc>
          <w:tcPr>
            <w:tcW w:w="3368" w:type="dxa"/>
            <w:shd w:val="clear" w:color="auto" w:fill="DBE5F1" w:themeFill="accent1" w:themeFillTint="33"/>
          </w:tcPr>
          <w:p w14:paraId="3AE65CB4" w14:textId="1A3B9AA3" w:rsidR="00F10DB2" w:rsidRPr="005A3F47" w:rsidRDefault="00F10DB2">
            <w:pPr>
              <w:pStyle w:val="Text2"/>
              <w:spacing w:after="0"/>
              <w:ind w:left="0"/>
              <w:jc w:val="center"/>
              <w:rPr>
                <w:noProof/>
                <w:sz w:val="22"/>
                <w:szCs w:val="18"/>
              </w:rPr>
            </w:pPr>
            <w:r w:rsidRPr="005A3F47">
              <w:rPr>
                <w:noProof/>
                <w:sz w:val="22"/>
                <w:szCs w:val="18"/>
              </w:rPr>
              <w:t xml:space="preserve">Research and development </w:t>
            </w:r>
            <w:r w:rsidR="000C4720" w:rsidRPr="005A3F47">
              <w:rPr>
                <w:noProof/>
                <w:sz w:val="22"/>
                <w:szCs w:val="18"/>
              </w:rPr>
              <w:t>(R&amp;D)</w:t>
            </w:r>
          </w:p>
        </w:tc>
        <w:tc>
          <w:tcPr>
            <w:tcW w:w="6457" w:type="dxa"/>
            <w:gridSpan w:val="4"/>
            <w:shd w:val="clear" w:color="auto" w:fill="EAF1DD" w:themeFill="accent3" w:themeFillTint="33"/>
          </w:tcPr>
          <w:p w14:paraId="327F3F15" w14:textId="77777777" w:rsidR="00F10DB2" w:rsidRPr="005A3F47" w:rsidRDefault="00F10DB2">
            <w:pPr>
              <w:pStyle w:val="Text2"/>
              <w:spacing w:after="0"/>
              <w:ind w:left="0"/>
              <w:jc w:val="center"/>
              <w:rPr>
                <w:noProof/>
                <w:sz w:val="22"/>
                <w:szCs w:val="18"/>
              </w:rPr>
            </w:pPr>
          </w:p>
        </w:tc>
      </w:tr>
      <w:tr w:rsidR="00176C65" w:rsidRPr="005A3F47" w14:paraId="3D44387A" w14:textId="77777777" w:rsidTr="00FA5B5C">
        <w:tc>
          <w:tcPr>
            <w:tcW w:w="3368" w:type="dxa"/>
          </w:tcPr>
          <w:p w14:paraId="64E3ED6A" w14:textId="346D686E" w:rsidR="00F10DB2" w:rsidRPr="005A3F47" w:rsidRDefault="00426BC4" w:rsidP="006D2A92">
            <w:pPr>
              <w:pStyle w:val="Text2"/>
              <w:spacing w:after="0"/>
              <w:ind w:left="0"/>
              <w:jc w:val="left"/>
              <w:rPr>
                <w:noProof/>
                <w:sz w:val="22"/>
                <w:szCs w:val="18"/>
              </w:rPr>
            </w:pPr>
            <w:r w:rsidRPr="005A3F47">
              <w:rPr>
                <w:noProof/>
                <w:sz w:val="22"/>
                <w:szCs w:val="18"/>
              </w:rPr>
              <w:t>Status quo</w:t>
            </w:r>
          </w:p>
        </w:tc>
        <w:tc>
          <w:tcPr>
            <w:tcW w:w="1658" w:type="dxa"/>
          </w:tcPr>
          <w:p w14:paraId="1717EF5A" w14:textId="77777777" w:rsidR="00F10DB2" w:rsidRPr="005A3F47" w:rsidRDefault="00F10DB2">
            <w:pPr>
              <w:pStyle w:val="Text2"/>
              <w:spacing w:after="0"/>
              <w:ind w:left="0"/>
              <w:jc w:val="center"/>
              <w:rPr>
                <w:noProof/>
                <w:sz w:val="22"/>
                <w:szCs w:val="18"/>
              </w:rPr>
            </w:pPr>
            <w:r w:rsidRPr="005A3F47">
              <w:rPr>
                <w:noProof/>
                <w:sz w:val="22"/>
                <w:szCs w:val="18"/>
              </w:rPr>
              <w:t>0</w:t>
            </w:r>
          </w:p>
        </w:tc>
        <w:tc>
          <w:tcPr>
            <w:tcW w:w="0" w:type="auto"/>
          </w:tcPr>
          <w:p w14:paraId="0C45FC22" w14:textId="7D55A4BF" w:rsidR="00F10DB2" w:rsidRPr="005A3F47" w:rsidRDefault="00426BC4">
            <w:pPr>
              <w:pStyle w:val="Text2"/>
              <w:spacing w:after="0"/>
              <w:ind w:left="0"/>
              <w:jc w:val="center"/>
              <w:rPr>
                <w:noProof/>
                <w:sz w:val="22"/>
                <w:szCs w:val="18"/>
              </w:rPr>
            </w:pPr>
            <w:r w:rsidRPr="005A3F47">
              <w:rPr>
                <w:noProof/>
                <w:sz w:val="22"/>
                <w:szCs w:val="18"/>
              </w:rPr>
              <w:t>0</w:t>
            </w:r>
          </w:p>
        </w:tc>
        <w:tc>
          <w:tcPr>
            <w:tcW w:w="0" w:type="auto"/>
          </w:tcPr>
          <w:p w14:paraId="73E64CCF" w14:textId="0049DB28" w:rsidR="00F10DB2" w:rsidRPr="005A3F47" w:rsidRDefault="00426BC4">
            <w:pPr>
              <w:pStyle w:val="Text2"/>
              <w:spacing w:after="0"/>
              <w:ind w:left="0"/>
              <w:jc w:val="center"/>
              <w:rPr>
                <w:noProof/>
                <w:sz w:val="22"/>
                <w:szCs w:val="18"/>
              </w:rPr>
            </w:pPr>
            <w:r w:rsidRPr="005A3F47">
              <w:rPr>
                <w:noProof/>
                <w:sz w:val="22"/>
                <w:szCs w:val="18"/>
              </w:rPr>
              <w:t>0</w:t>
            </w:r>
          </w:p>
        </w:tc>
        <w:tc>
          <w:tcPr>
            <w:tcW w:w="0" w:type="auto"/>
          </w:tcPr>
          <w:p w14:paraId="651DA4B2" w14:textId="61E28845" w:rsidR="00F10DB2" w:rsidRPr="005A3F47" w:rsidRDefault="00426BC4">
            <w:pPr>
              <w:pStyle w:val="Text2"/>
              <w:spacing w:after="0"/>
              <w:ind w:left="0"/>
              <w:jc w:val="center"/>
              <w:rPr>
                <w:noProof/>
                <w:sz w:val="22"/>
                <w:szCs w:val="18"/>
              </w:rPr>
            </w:pPr>
            <w:r w:rsidRPr="005A3F47">
              <w:rPr>
                <w:noProof/>
                <w:sz w:val="22"/>
                <w:szCs w:val="18"/>
              </w:rPr>
              <w:t>0</w:t>
            </w:r>
          </w:p>
        </w:tc>
      </w:tr>
      <w:tr w:rsidR="009F6235" w:rsidRPr="005A3F47" w14:paraId="48C6D94D" w14:textId="77777777" w:rsidTr="00FA5B5C">
        <w:tc>
          <w:tcPr>
            <w:tcW w:w="3368" w:type="dxa"/>
            <w:shd w:val="clear" w:color="auto" w:fill="DBE5F1" w:themeFill="accent1" w:themeFillTint="33"/>
          </w:tcPr>
          <w:p w14:paraId="7D3764CD" w14:textId="2CF9757E" w:rsidR="00F10DB2" w:rsidRPr="005A3F47" w:rsidRDefault="00F10DB2">
            <w:pPr>
              <w:pStyle w:val="Text2"/>
              <w:spacing w:after="0"/>
              <w:ind w:left="0"/>
              <w:jc w:val="center"/>
              <w:rPr>
                <w:noProof/>
                <w:sz w:val="22"/>
                <w:szCs w:val="18"/>
              </w:rPr>
            </w:pPr>
            <w:r w:rsidRPr="005A3F47">
              <w:rPr>
                <w:noProof/>
                <w:sz w:val="22"/>
                <w:szCs w:val="18"/>
              </w:rPr>
              <w:t xml:space="preserve">Interest </w:t>
            </w:r>
            <w:r w:rsidR="003252ED" w:rsidRPr="005A3F47">
              <w:rPr>
                <w:noProof/>
                <w:sz w:val="22"/>
                <w:szCs w:val="18"/>
              </w:rPr>
              <w:t>L</w:t>
            </w:r>
            <w:r w:rsidRPr="005A3F47">
              <w:rPr>
                <w:noProof/>
                <w:sz w:val="22"/>
                <w:szCs w:val="18"/>
              </w:rPr>
              <w:t xml:space="preserve">imitation </w:t>
            </w:r>
            <w:r w:rsidR="003252ED" w:rsidRPr="005A3F47">
              <w:rPr>
                <w:noProof/>
                <w:sz w:val="22"/>
                <w:szCs w:val="18"/>
              </w:rPr>
              <w:t>R</w:t>
            </w:r>
            <w:r w:rsidRPr="005A3F47">
              <w:rPr>
                <w:noProof/>
                <w:sz w:val="22"/>
                <w:szCs w:val="18"/>
              </w:rPr>
              <w:t>ule</w:t>
            </w:r>
          </w:p>
        </w:tc>
        <w:tc>
          <w:tcPr>
            <w:tcW w:w="6457" w:type="dxa"/>
            <w:gridSpan w:val="4"/>
            <w:shd w:val="clear" w:color="auto" w:fill="EAF1DD" w:themeFill="accent3" w:themeFillTint="33"/>
          </w:tcPr>
          <w:p w14:paraId="51230D6C" w14:textId="77777777" w:rsidR="00F10DB2" w:rsidRPr="005A3F47" w:rsidRDefault="00F10DB2">
            <w:pPr>
              <w:pStyle w:val="Text2"/>
              <w:spacing w:after="0"/>
              <w:ind w:left="0"/>
              <w:jc w:val="center"/>
              <w:rPr>
                <w:noProof/>
                <w:sz w:val="22"/>
                <w:szCs w:val="18"/>
              </w:rPr>
            </w:pPr>
          </w:p>
        </w:tc>
      </w:tr>
      <w:tr w:rsidR="009F6235" w:rsidRPr="005A3F47" w14:paraId="2477EFC4" w14:textId="77777777" w:rsidTr="00FA5B5C">
        <w:tc>
          <w:tcPr>
            <w:tcW w:w="3368" w:type="dxa"/>
          </w:tcPr>
          <w:p w14:paraId="0F8B3C7D" w14:textId="791D3F28" w:rsidR="00426BC4" w:rsidRPr="005A3F47" w:rsidRDefault="00C320F2" w:rsidP="006D2A92">
            <w:pPr>
              <w:pStyle w:val="Text2"/>
              <w:spacing w:after="0"/>
              <w:ind w:left="0"/>
              <w:jc w:val="left"/>
              <w:rPr>
                <w:noProof/>
                <w:sz w:val="22"/>
                <w:szCs w:val="18"/>
              </w:rPr>
            </w:pPr>
            <w:r w:rsidRPr="005A3F47">
              <w:rPr>
                <w:noProof/>
                <w:sz w:val="22"/>
                <w:szCs w:val="18"/>
              </w:rPr>
              <w:t>Option 2: Mandatory application of 30% EBITDA cap</w:t>
            </w:r>
          </w:p>
        </w:tc>
        <w:tc>
          <w:tcPr>
            <w:tcW w:w="1658" w:type="dxa"/>
          </w:tcPr>
          <w:p w14:paraId="6B9C2EE5" w14:textId="720CEBCF" w:rsidR="00426BC4" w:rsidRPr="005A3F47" w:rsidRDefault="00C320F2" w:rsidP="00426BC4">
            <w:pPr>
              <w:pStyle w:val="Text2"/>
              <w:spacing w:after="0"/>
              <w:ind w:left="0"/>
              <w:jc w:val="center"/>
              <w:rPr>
                <w:noProof/>
                <w:sz w:val="22"/>
                <w:szCs w:val="18"/>
              </w:rPr>
            </w:pPr>
            <w:r w:rsidRPr="005A3F47">
              <w:rPr>
                <w:noProof/>
                <w:sz w:val="22"/>
                <w:szCs w:val="18"/>
              </w:rPr>
              <w:t>++</w:t>
            </w:r>
          </w:p>
        </w:tc>
        <w:tc>
          <w:tcPr>
            <w:tcW w:w="0" w:type="auto"/>
          </w:tcPr>
          <w:p w14:paraId="61BFFCD4" w14:textId="74BF599C" w:rsidR="00426BC4" w:rsidRPr="005A3F47" w:rsidRDefault="00C320F2" w:rsidP="00426BC4">
            <w:pPr>
              <w:pStyle w:val="Text2"/>
              <w:spacing w:after="0"/>
              <w:ind w:left="0"/>
              <w:jc w:val="center"/>
              <w:rPr>
                <w:noProof/>
                <w:sz w:val="22"/>
                <w:szCs w:val="18"/>
              </w:rPr>
            </w:pPr>
            <w:r w:rsidRPr="005A3F47">
              <w:rPr>
                <w:noProof/>
                <w:sz w:val="22"/>
                <w:szCs w:val="18"/>
              </w:rPr>
              <w:t>0</w:t>
            </w:r>
          </w:p>
        </w:tc>
        <w:tc>
          <w:tcPr>
            <w:tcW w:w="0" w:type="auto"/>
          </w:tcPr>
          <w:p w14:paraId="1D5331C0" w14:textId="6BDDA7C9" w:rsidR="00426BC4" w:rsidRPr="005A3F47" w:rsidRDefault="00C320F2" w:rsidP="00426BC4">
            <w:pPr>
              <w:pStyle w:val="Text2"/>
              <w:spacing w:after="0"/>
              <w:ind w:left="0"/>
              <w:jc w:val="center"/>
              <w:rPr>
                <w:noProof/>
                <w:sz w:val="22"/>
                <w:szCs w:val="18"/>
              </w:rPr>
            </w:pPr>
            <w:r w:rsidRPr="005A3F47">
              <w:rPr>
                <w:noProof/>
                <w:sz w:val="22"/>
                <w:szCs w:val="18"/>
              </w:rPr>
              <w:t>++</w:t>
            </w:r>
          </w:p>
        </w:tc>
        <w:tc>
          <w:tcPr>
            <w:tcW w:w="0" w:type="auto"/>
          </w:tcPr>
          <w:p w14:paraId="1BA85956" w14:textId="317ABC70" w:rsidR="00426BC4" w:rsidRPr="005A3F47" w:rsidRDefault="00C320F2" w:rsidP="00426BC4">
            <w:pPr>
              <w:pStyle w:val="Text2"/>
              <w:spacing w:after="0"/>
              <w:ind w:left="0"/>
              <w:jc w:val="center"/>
              <w:rPr>
                <w:noProof/>
                <w:sz w:val="22"/>
                <w:szCs w:val="18"/>
              </w:rPr>
            </w:pPr>
            <w:r w:rsidRPr="005A3F47">
              <w:rPr>
                <w:noProof/>
                <w:sz w:val="22"/>
                <w:szCs w:val="18"/>
              </w:rPr>
              <w:t>++</w:t>
            </w:r>
          </w:p>
        </w:tc>
      </w:tr>
      <w:tr w:rsidR="0053601E" w:rsidRPr="005A3F47" w14:paraId="236ED9E8" w14:textId="77777777" w:rsidTr="00FA5B5C">
        <w:tc>
          <w:tcPr>
            <w:tcW w:w="3368" w:type="dxa"/>
          </w:tcPr>
          <w:p w14:paraId="642E9EDA" w14:textId="1CA159B6" w:rsidR="0053601E" w:rsidRPr="005A3F47" w:rsidRDefault="00F215A6" w:rsidP="006D2A92">
            <w:pPr>
              <w:pStyle w:val="Text2"/>
              <w:spacing w:after="0"/>
              <w:ind w:left="0"/>
              <w:jc w:val="left"/>
              <w:rPr>
                <w:noProof/>
                <w:sz w:val="22"/>
                <w:szCs w:val="18"/>
              </w:rPr>
            </w:pPr>
            <w:r w:rsidRPr="005A3F47">
              <w:rPr>
                <w:noProof/>
                <w:sz w:val="22"/>
                <w:szCs w:val="18"/>
              </w:rPr>
              <w:t>Option 3: Reduce implementation options</w:t>
            </w:r>
          </w:p>
        </w:tc>
        <w:tc>
          <w:tcPr>
            <w:tcW w:w="1658" w:type="dxa"/>
          </w:tcPr>
          <w:p w14:paraId="6B910302" w14:textId="74FB6824" w:rsidR="0053601E" w:rsidRPr="005A3F47" w:rsidRDefault="00F215A6" w:rsidP="00426BC4">
            <w:pPr>
              <w:pStyle w:val="Text2"/>
              <w:spacing w:after="0"/>
              <w:ind w:left="0"/>
              <w:jc w:val="center"/>
              <w:rPr>
                <w:noProof/>
                <w:sz w:val="22"/>
                <w:szCs w:val="18"/>
              </w:rPr>
            </w:pPr>
            <w:r w:rsidRPr="005A3F47">
              <w:rPr>
                <w:noProof/>
                <w:sz w:val="22"/>
                <w:szCs w:val="18"/>
              </w:rPr>
              <w:t>0</w:t>
            </w:r>
          </w:p>
        </w:tc>
        <w:tc>
          <w:tcPr>
            <w:tcW w:w="0" w:type="auto"/>
          </w:tcPr>
          <w:p w14:paraId="352D608F" w14:textId="6BD722CA" w:rsidR="0053601E" w:rsidRPr="005A3F47" w:rsidRDefault="00F215A6" w:rsidP="00426BC4">
            <w:pPr>
              <w:pStyle w:val="Text2"/>
              <w:spacing w:after="0"/>
              <w:ind w:left="0"/>
              <w:jc w:val="center"/>
              <w:rPr>
                <w:noProof/>
                <w:sz w:val="22"/>
                <w:szCs w:val="18"/>
              </w:rPr>
            </w:pPr>
            <w:r w:rsidRPr="005A3F47">
              <w:rPr>
                <w:noProof/>
                <w:sz w:val="22"/>
                <w:szCs w:val="18"/>
              </w:rPr>
              <w:t>+</w:t>
            </w:r>
          </w:p>
        </w:tc>
        <w:tc>
          <w:tcPr>
            <w:tcW w:w="0" w:type="auto"/>
          </w:tcPr>
          <w:p w14:paraId="28DE191B" w14:textId="375E8702" w:rsidR="0053601E" w:rsidRPr="005A3F47" w:rsidRDefault="00F215A6" w:rsidP="00426BC4">
            <w:pPr>
              <w:pStyle w:val="Text2"/>
              <w:spacing w:after="0"/>
              <w:ind w:left="0"/>
              <w:jc w:val="center"/>
              <w:rPr>
                <w:noProof/>
                <w:sz w:val="22"/>
                <w:szCs w:val="18"/>
              </w:rPr>
            </w:pPr>
            <w:r w:rsidRPr="005A3F47">
              <w:rPr>
                <w:noProof/>
                <w:sz w:val="22"/>
                <w:szCs w:val="18"/>
              </w:rPr>
              <w:t>++</w:t>
            </w:r>
          </w:p>
        </w:tc>
        <w:tc>
          <w:tcPr>
            <w:tcW w:w="0" w:type="auto"/>
          </w:tcPr>
          <w:p w14:paraId="6B75DB66" w14:textId="406E39A8" w:rsidR="0053601E" w:rsidRPr="005A3F47" w:rsidRDefault="00F215A6" w:rsidP="00426BC4">
            <w:pPr>
              <w:pStyle w:val="Text2"/>
              <w:spacing w:after="0"/>
              <w:ind w:left="0"/>
              <w:jc w:val="center"/>
              <w:rPr>
                <w:noProof/>
                <w:sz w:val="22"/>
                <w:szCs w:val="18"/>
              </w:rPr>
            </w:pPr>
            <w:r w:rsidRPr="005A3F47">
              <w:rPr>
                <w:noProof/>
                <w:sz w:val="22"/>
                <w:szCs w:val="18"/>
              </w:rPr>
              <w:t>++</w:t>
            </w:r>
          </w:p>
        </w:tc>
      </w:tr>
      <w:tr w:rsidR="008818CE" w:rsidRPr="005A3F47" w14:paraId="31D70E0E" w14:textId="77777777" w:rsidTr="00FA5B5C">
        <w:tc>
          <w:tcPr>
            <w:tcW w:w="3368" w:type="dxa"/>
            <w:shd w:val="clear" w:color="auto" w:fill="DBE5F1" w:themeFill="accent1" w:themeFillTint="33"/>
          </w:tcPr>
          <w:p w14:paraId="31F2C90C" w14:textId="77777777" w:rsidR="00F10DB2" w:rsidRPr="005A3F47" w:rsidRDefault="00F10DB2">
            <w:pPr>
              <w:pStyle w:val="Text2"/>
              <w:spacing w:after="0"/>
              <w:ind w:left="0"/>
              <w:jc w:val="center"/>
              <w:rPr>
                <w:noProof/>
                <w:sz w:val="22"/>
                <w:szCs w:val="18"/>
              </w:rPr>
            </w:pPr>
            <w:r w:rsidRPr="005A3F47">
              <w:rPr>
                <w:noProof/>
                <w:sz w:val="22"/>
                <w:szCs w:val="18"/>
              </w:rPr>
              <w:t>Hybrid mismatches</w:t>
            </w:r>
          </w:p>
        </w:tc>
        <w:tc>
          <w:tcPr>
            <w:tcW w:w="6457" w:type="dxa"/>
            <w:gridSpan w:val="4"/>
            <w:shd w:val="clear" w:color="auto" w:fill="EAF1DD" w:themeFill="accent3" w:themeFillTint="33"/>
          </w:tcPr>
          <w:p w14:paraId="4A17AAAC" w14:textId="77777777" w:rsidR="00F10DB2" w:rsidRPr="005A3F47" w:rsidRDefault="00F10DB2">
            <w:pPr>
              <w:pStyle w:val="Text2"/>
              <w:spacing w:after="0"/>
              <w:ind w:left="0"/>
              <w:jc w:val="center"/>
              <w:rPr>
                <w:noProof/>
                <w:sz w:val="22"/>
                <w:szCs w:val="18"/>
              </w:rPr>
            </w:pPr>
          </w:p>
        </w:tc>
      </w:tr>
      <w:tr w:rsidR="009F6235" w:rsidRPr="005A3F47" w14:paraId="72C83B20" w14:textId="77777777" w:rsidTr="00FA5B5C">
        <w:tc>
          <w:tcPr>
            <w:tcW w:w="3368" w:type="dxa"/>
          </w:tcPr>
          <w:p w14:paraId="31EEB9AF" w14:textId="4C9BD640" w:rsidR="00426BC4" w:rsidRPr="005A3F47" w:rsidRDefault="008941B1" w:rsidP="006D2A92">
            <w:pPr>
              <w:pStyle w:val="Text2"/>
              <w:spacing w:after="0"/>
              <w:ind w:left="0"/>
              <w:jc w:val="left"/>
              <w:rPr>
                <w:noProof/>
                <w:sz w:val="22"/>
                <w:szCs w:val="18"/>
              </w:rPr>
            </w:pPr>
            <w:r w:rsidRPr="005A3F47">
              <w:rPr>
                <w:noProof/>
                <w:sz w:val="22"/>
                <w:szCs w:val="18"/>
              </w:rPr>
              <w:t>Option 1A: Abolish imported mismatch rules</w:t>
            </w:r>
          </w:p>
        </w:tc>
        <w:tc>
          <w:tcPr>
            <w:tcW w:w="1658" w:type="dxa"/>
          </w:tcPr>
          <w:p w14:paraId="2E563A2E" w14:textId="11772C9F" w:rsidR="00426BC4" w:rsidRPr="005A3F47" w:rsidRDefault="008941B1" w:rsidP="00426BC4">
            <w:pPr>
              <w:pStyle w:val="Text2"/>
              <w:spacing w:after="0"/>
              <w:ind w:left="0"/>
              <w:jc w:val="center"/>
              <w:rPr>
                <w:noProof/>
                <w:sz w:val="22"/>
                <w:szCs w:val="18"/>
              </w:rPr>
            </w:pPr>
            <w:r w:rsidRPr="005A3F47">
              <w:rPr>
                <w:noProof/>
                <w:sz w:val="22"/>
                <w:szCs w:val="18"/>
              </w:rPr>
              <w:t>+++</w:t>
            </w:r>
          </w:p>
        </w:tc>
        <w:tc>
          <w:tcPr>
            <w:tcW w:w="0" w:type="auto"/>
          </w:tcPr>
          <w:p w14:paraId="3D02B4C1" w14:textId="23F77B4C" w:rsidR="00426BC4" w:rsidRPr="005A3F47" w:rsidRDefault="008941B1" w:rsidP="00426BC4">
            <w:pPr>
              <w:pStyle w:val="Text2"/>
              <w:spacing w:after="0"/>
              <w:ind w:left="0"/>
              <w:jc w:val="center"/>
              <w:rPr>
                <w:noProof/>
                <w:sz w:val="22"/>
                <w:szCs w:val="18"/>
              </w:rPr>
            </w:pPr>
            <w:r w:rsidRPr="005A3F47">
              <w:rPr>
                <w:noProof/>
                <w:sz w:val="22"/>
                <w:szCs w:val="18"/>
              </w:rPr>
              <w:t>+</w:t>
            </w:r>
          </w:p>
        </w:tc>
        <w:tc>
          <w:tcPr>
            <w:tcW w:w="0" w:type="auto"/>
          </w:tcPr>
          <w:p w14:paraId="2BDD12E0" w14:textId="6841DA8A" w:rsidR="00426BC4" w:rsidRPr="005A3F47" w:rsidRDefault="008941B1" w:rsidP="00426BC4">
            <w:pPr>
              <w:pStyle w:val="Text2"/>
              <w:spacing w:after="0"/>
              <w:ind w:left="0"/>
              <w:jc w:val="center"/>
              <w:rPr>
                <w:noProof/>
                <w:sz w:val="22"/>
                <w:szCs w:val="18"/>
              </w:rPr>
            </w:pPr>
            <w:r w:rsidRPr="005A3F47">
              <w:rPr>
                <w:noProof/>
                <w:sz w:val="22"/>
                <w:szCs w:val="18"/>
              </w:rPr>
              <w:t>0</w:t>
            </w:r>
          </w:p>
        </w:tc>
        <w:tc>
          <w:tcPr>
            <w:tcW w:w="0" w:type="auto"/>
          </w:tcPr>
          <w:p w14:paraId="5B29EF25" w14:textId="4169C85C" w:rsidR="00426BC4" w:rsidRPr="005A3F47" w:rsidRDefault="008941B1" w:rsidP="00426BC4">
            <w:pPr>
              <w:pStyle w:val="Text2"/>
              <w:spacing w:after="0"/>
              <w:ind w:left="0"/>
              <w:jc w:val="center"/>
              <w:rPr>
                <w:noProof/>
                <w:sz w:val="22"/>
                <w:szCs w:val="18"/>
              </w:rPr>
            </w:pPr>
            <w:r w:rsidRPr="005A3F47">
              <w:rPr>
                <w:noProof/>
                <w:sz w:val="22"/>
                <w:szCs w:val="18"/>
              </w:rPr>
              <w:t>0</w:t>
            </w:r>
          </w:p>
        </w:tc>
      </w:tr>
      <w:tr w:rsidR="008818CE" w:rsidRPr="005A3F47" w14:paraId="389B62AA" w14:textId="77777777" w:rsidTr="00FA5B5C">
        <w:tc>
          <w:tcPr>
            <w:tcW w:w="3368" w:type="dxa"/>
            <w:shd w:val="clear" w:color="auto" w:fill="DBE5F1" w:themeFill="accent1" w:themeFillTint="33"/>
          </w:tcPr>
          <w:p w14:paraId="2420A8D9" w14:textId="77777777" w:rsidR="00F10DB2" w:rsidRPr="005A3F47" w:rsidRDefault="00F10DB2">
            <w:pPr>
              <w:pStyle w:val="Text2"/>
              <w:spacing w:after="0"/>
              <w:ind w:left="0"/>
              <w:jc w:val="center"/>
              <w:rPr>
                <w:noProof/>
                <w:sz w:val="22"/>
                <w:szCs w:val="18"/>
              </w:rPr>
            </w:pPr>
            <w:r w:rsidRPr="005A3F47">
              <w:rPr>
                <w:noProof/>
                <w:sz w:val="22"/>
                <w:szCs w:val="18"/>
              </w:rPr>
              <w:t>Tax Merger Directive</w:t>
            </w:r>
          </w:p>
        </w:tc>
        <w:tc>
          <w:tcPr>
            <w:tcW w:w="6457" w:type="dxa"/>
            <w:gridSpan w:val="4"/>
            <w:shd w:val="clear" w:color="auto" w:fill="EAF1DD" w:themeFill="accent3" w:themeFillTint="33"/>
          </w:tcPr>
          <w:p w14:paraId="13FA4721" w14:textId="77777777" w:rsidR="00F10DB2" w:rsidRPr="005A3F47" w:rsidRDefault="00F10DB2">
            <w:pPr>
              <w:pStyle w:val="Text2"/>
              <w:spacing w:after="0"/>
              <w:ind w:left="0"/>
              <w:jc w:val="center"/>
              <w:rPr>
                <w:noProof/>
                <w:sz w:val="22"/>
                <w:szCs w:val="18"/>
              </w:rPr>
            </w:pPr>
          </w:p>
        </w:tc>
      </w:tr>
      <w:tr w:rsidR="009F6235" w:rsidRPr="005A3F47" w14:paraId="37AE9D18" w14:textId="77777777" w:rsidTr="00FA5B5C">
        <w:tc>
          <w:tcPr>
            <w:tcW w:w="3368" w:type="dxa"/>
          </w:tcPr>
          <w:p w14:paraId="7FC401F3" w14:textId="12383E4D" w:rsidR="00426BC4" w:rsidRPr="005A3F47" w:rsidRDefault="000A723B" w:rsidP="006D2A92">
            <w:pPr>
              <w:pStyle w:val="Text2"/>
              <w:spacing w:after="0"/>
              <w:ind w:left="0"/>
              <w:jc w:val="left"/>
              <w:rPr>
                <w:noProof/>
                <w:sz w:val="22"/>
                <w:szCs w:val="18"/>
              </w:rPr>
            </w:pPr>
            <w:r w:rsidRPr="005A3F47">
              <w:rPr>
                <w:noProof/>
                <w:sz w:val="22"/>
                <w:szCs w:val="18"/>
              </w:rPr>
              <w:t>Option 1B: Addition of new restructuring transactions to TMD</w:t>
            </w:r>
          </w:p>
        </w:tc>
        <w:tc>
          <w:tcPr>
            <w:tcW w:w="1658" w:type="dxa"/>
          </w:tcPr>
          <w:p w14:paraId="1D8BB799" w14:textId="12BAD163" w:rsidR="00426BC4" w:rsidRPr="005A3F47" w:rsidRDefault="000A723B" w:rsidP="00426BC4">
            <w:pPr>
              <w:pStyle w:val="Text2"/>
              <w:spacing w:after="0"/>
              <w:ind w:left="0"/>
              <w:jc w:val="center"/>
              <w:rPr>
                <w:noProof/>
                <w:sz w:val="22"/>
                <w:szCs w:val="18"/>
              </w:rPr>
            </w:pPr>
            <w:r w:rsidRPr="005A3F47">
              <w:rPr>
                <w:noProof/>
                <w:sz w:val="22"/>
                <w:szCs w:val="18"/>
              </w:rPr>
              <w:t>0</w:t>
            </w:r>
          </w:p>
        </w:tc>
        <w:tc>
          <w:tcPr>
            <w:tcW w:w="0" w:type="auto"/>
          </w:tcPr>
          <w:p w14:paraId="140F26DA" w14:textId="23FF8C66" w:rsidR="00426BC4" w:rsidRPr="005A3F47" w:rsidRDefault="000A723B" w:rsidP="00426BC4">
            <w:pPr>
              <w:pStyle w:val="Text2"/>
              <w:spacing w:after="0"/>
              <w:ind w:left="0"/>
              <w:jc w:val="center"/>
              <w:rPr>
                <w:noProof/>
                <w:sz w:val="22"/>
                <w:szCs w:val="18"/>
              </w:rPr>
            </w:pPr>
            <w:r w:rsidRPr="005A3F47">
              <w:rPr>
                <w:noProof/>
                <w:sz w:val="22"/>
                <w:szCs w:val="18"/>
              </w:rPr>
              <w:t>+++</w:t>
            </w:r>
          </w:p>
        </w:tc>
        <w:tc>
          <w:tcPr>
            <w:tcW w:w="0" w:type="auto"/>
          </w:tcPr>
          <w:p w14:paraId="24522A80" w14:textId="1DB9D8D5" w:rsidR="00426BC4" w:rsidRPr="005A3F47" w:rsidRDefault="000A723B" w:rsidP="00426BC4">
            <w:pPr>
              <w:pStyle w:val="Text2"/>
              <w:spacing w:after="0"/>
              <w:ind w:left="0"/>
              <w:jc w:val="center"/>
              <w:rPr>
                <w:noProof/>
                <w:sz w:val="22"/>
                <w:szCs w:val="18"/>
              </w:rPr>
            </w:pPr>
            <w:r w:rsidRPr="005A3F47">
              <w:rPr>
                <w:noProof/>
                <w:sz w:val="22"/>
                <w:szCs w:val="22"/>
              </w:rPr>
              <w:t>++</w:t>
            </w:r>
          </w:p>
        </w:tc>
        <w:tc>
          <w:tcPr>
            <w:tcW w:w="0" w:type="auto"/>
          </w:tcPr>
          <w:p w14:paraId="7F3537E7" w14:textId="7DC02A8F" w:rsidR="00426BC4" w:rsidRPr="005A3F47" w:rsidRDefault="000A723B" w:rsidP="00426BC4">
            <w:pPr>
              <w:pStyle w:val="Text2"/>
              <w:spacing w:after="0"/>
              <w:ind w:left="0"/>
              <w:jc w:val="center"/>
              <w:rPr>
                <w:noProof/>
                <w:sz w:val="22"/>
                <w:szCs w:val="18"/>
              </w:rPr>
            </w:pPr>
            <w:r w:rsidRPr="005A3F47">
              <w:rPr>
                <w:noProof/>
                <w:sz w:val="22"/>
                <w:szCs w:val="22"/>
              </w:rPr>
              <w:t>++</w:t>
            </w:r>
          </w:p>
        </w:tc>
      </w:tr>
      <w:tr w:rsidR="008818CE" w:rsidRPr="005A3F47" w14:paraId="38A2ABFA" w14:textId="77777777" w:rsidTr="00FA5B5C">
        <w:tc>
          <w:tcPr>
            <w:tcW w:w="3368" w:type="dxa"/>
            <w:shd w:val="clear" w:color="auto" w:fill="DBE5F1" w:themeFill="accent1" w:themeFillTint="33"/>
          </w:tcPr>
          <w:p w14:paraId="5D421ADF" w14:textId="77777777" w:rsidR="00F10DB2" w:rsidRPr="005A3F47" w:rsidRDefault="00F10DB2">
            <w:pPr>
              <w:pStyle w:val="Text2"/>
              <w:spacing w:after="0"/>
              <w:ind w:left="0"/>
              <w:jc w:val="center"/>
              <w:rPr>
                <w:noProof/>
                <w:sz w:val="22"/>
                <w:szCs w:val="18"/>
              </w:rPr>
            </w:pPr>
            <w:r w:rsidRPr="005A3F47">
              <w:rPr>
                <w:noProof/>
                <w:sz w:val="22"/>
                <w:szCs w:val="18"/>
              </w:rPr>
              <w:t>Dispute resolution mechanism</w:t>
            </w:r>
          </w:p>
        </w:tc>
        <w:tc>
          <w:tcPr>
            <w:tcW w:w="6457" w:type="dxa"/>
            <w:gridSpan w:val="4"/>
            <w:shd w:val="clear" w:color="auto" w:fill="EAF1DD" w:themeFill="accent3" w:themeFillTint="33"/>
          </w:tcPr>
          <w:p w14:paraId="4C0DCC34" w14:textId="77777777" w:rsidR="00F10DB2" w:rsidRPr="005A3F47" w:rsidRDefault="00F10DB2">
            <w:pPr>
              <w:pStyle w:val="Text2"/>
              <w:spacing w:after="0"/>
              <w:ind w:left="0"/>
              <w:jc w:val="center"/>
              <w:rPr>
                <w:noProof/>
                <w:sz w:val="22"/>
                <w:szCs w:val="18"/>
              </w:rPr>
            </w:pPr>
          </w:p>
        </w:tc>
      </w:tr>
      <w:tr w:rsidR="009F6235" w:rsidRPr="005A3F47" w14:paraId="39F0F660" w14:textId="77777777" w:rsidTr="00FA5B5C">
        <w:tc>
          <w:tcPr>
            <w:tcW w:w="3368" w:type="dxa"/>
          </w:tcPr>
          <w:p w14:paraId="1FA1F2E1" w14:textId="502D9F38" w:rsidR="00426BC4" w:rsidRPr="005A3F47" w:rsidRDefault="000A723B" w:rsidP="006D2A92">
            <w:pPr>
              <w:pStyle w:val="Text2"/>
              <w:spacing w:after="0"/>
              <w:ind w:left="0"/>
              <w:jc w:val="left"/>
              <w:rPr>
                <w:noProof/>
                <w:sz w:val="22"/>
                <w:szCs w:val="18"/>
              </w:rPr>
            </w:pPr>
            <w:r w:rsidRPr="005A3F47">
              <w:rPr>
                <w:noProof/>
                <w:sz w:val="22"/>
                <w:szCs w:val="18"/>
              </w:rPr>
              <w:t>Option 1: Clarify operative rules</w:t>
            </w:r>
          </w:p>
        </w:tc>
        <w:tc>
          <w:tcPr>
            <w:tcW w:w="1658" w:type="dxa"/>
          </w:tcPr>
          <w:p w14:paraId="22EF67A6" w14:textId="0141F726" w:rsidR="00426BC4" w:rsidRPr="005A3F47" w:rsidRDefault="000A723B" w:rsidP="00426BC4">
            <w:pPr>
              <w:pStyle w:val="Text2"/>
              <w:spacing w:after="0"/>
              <w:ind w:left="0"/>
              <w:jc w:val="center"/>
              <w:rPr>
                <w:noProof/>
                <w:sz w:val="22"/>
                <w:szCs w:val="18"/>
              </w:rPr>
            </w:pPr>
            <w:r w:rsidRPr="005A3F47">
              <w:rPr>
                <w:noProof/>
                <w:sz w:val="22"/>
                <w:szCs w:val="18"/>
              </w:rPr>
              <w:t>0</w:t>
            </w:r>
          </w:p>
        </w:tc>
        <w:tc>
          <w:tcPr>
            <w:tcW w:w="0" w:type="auto"/>
          </w:tcPr>
          <w:p w14:paraId="556810D6" w14:textId="5AB30B13" w:rsidR="00426BC4" w:rsidRPr="005A3F47" w:rsidRDefault="000A723B" w:rsidP="00426BC4">
            <w:pPr>
              <w:pStyle w:val="Text2"/>
              <w:spacing w:after="0"/>
              <w:ind w:left="0"/>
              <w:jc w:val="center"/>
              <w:rPr>
                <w:noProof/>
                <w:sz w:val="22"/>
                <w:szCs w:val="18"/>
              </w:rPr>
            </w:pPr>
            <w:r w:rsidRPr="005A3F47">
              <w:rPr>
                <w:noProof/>
                <w:sz w:val="22"/>
                <w:szCs w:val="18"/>
              </w:rPr>
              <w:t>+++</w:t>
            </w:r>
          </w:p>
        </w:tc>
        <w:tc>
          <w:tcPr>
            <w:tcW w:w="0" w:type="auto"/>
          </w:tcPr>
          <w:p w14:paraId="145AD12A" w14:textId="21BCC06E" w:rsidR="00426BC4" w:rsidRPr="005A3F47" w:rsidRDefault="000A723B" w:rsidP="00426BC4">
            <w:pPr>
              <w:pStyle w:val="Text2"/>
              <w:spacing w:after="0"/>
              <w:ind w:left="0"/>
              <w:jc w:val="center"/>
              <w:rPr>
                <w:noProof/>
                <w:sz w:val="22"/>
                <w:szCs w:val="18"/>
              </w:rPr>
            </w:pPr>
            <w:r w:rsidRPr="005A3F47">
              <w:rPr>
                <w:noProof/>
                <w:sz w:val="22"/>
                <w:szCs w:val="18"/>
              </w:rPr>
              <w:t>++</w:t>
            </w:r>
          </w:p>
        </w:tc>
        <w:tc>
          <w:tcPr>
            <w:tcW w:w="0" w:type="auto"/>
          </w:tcPr>
          <w:p w14:paraId="7B16EF8D" w14:textId="612F09CF" w:rsidR="00426BC4" w:rsidRPr="005A3F47" w:rsidRDefault="000A723B" w:rsidP="00426BC4">
            <w:pPr>
              <w:pStyle w:val="Text2"/>
              <w:spacing w:after="0"/>
              <w:ind w:left="0"/>
              <w:jc w:val="center"/>
              <w:rPr>
                <w:noProof/>
                <w:sz w:val="22"/>
                <w:szCs w:val="18"/>
              </w:rPr>
            </w:pPr>
            <w:r w:rsidRPr="005A3F47">
              <w:rPr>
                <w:noProof/>
                <w:sz w:val="22"/>
                <w:szCs w:val="18"/>
              </w:rPr>
              <w:t>++</w:t>
            </w:r>
          </w:p>
        </w:tc>
      </w:tr>
      <w:tr w:rsidR="000A723B" w:rsidRPr="005A3F47" w14:paraId="7E22C416" w14:textId="77777777" w:rsidTr="00FA5B5C">
        <w:tc>
          <w:tcPr>
            <w:tcW w:w="3368" w:type="dxa"/>
            <w:tcBorders>
              <w:bottom w:val="double" w:sz="4" w:space="0" w:color="auto"/>
            </w:tcBorders>
          </w:tcPr>
          <w:p w14:paraId="419E3C43" w14:textId="06927092" w:rsidR="000A723B" w:rsidRPr="005A3F47" w:rsidRDefault="000A723B" w:rsidP="000A723B">
            <w:pPr>
              <w:pStyle w:val="Text2"/>
              <w:spacing w:after="0"/>
              <w:ind w:left="0"/>
              <w:jc w:val="left"/>
              <w:rPr>
                <w:noProof/>
                <w:sz w:val="22"/>
                <w:szCs w:val="18"/>
              </w:rPr>
            </w:pPr>
            <w:r w:rsidRPr="005A3F47">
              <w:rPr>
                <w:noProof/>
                <w:sz w:val="22"/>
                <w:szCs w:val="18"/>
              </w:rPr>
              <w:t xml:space="preserve">Option 2: </w:t>
            </w:r>
            <w:r w:rsidRPr="005A3F47" w:rsidDel="00EE789E">
              <w:rPr>
                <w:noProof/>
                <w:sz w:val="22"/>
                <w:szCs w:val="18"/>
              </w:rPr>
              <w:t>Use of Council i</w:t>
            </w:r>
            <w:r w:rsidRPr="005A3F47">
              <w:rPr>
                <w:noProof/>
                <w:sz w:val="22"/>
                <w:szCs w:val="18"/>
              </w:rPr>
              <w:t>mplementing acts</w:t>
            </w:r>
          </w:p>
        </w:tc>
        <w:tc>
          <w:tcPr>
            <w:tcW w:w="1658" w:type="dxa"/>
            <w:tcBorders>
              <w:bottom w:val="double" w:sz="4" w:space="0" w:color="auto"/>
            </w:tcBorders>
          </w:tcPr>
          <w:p w14:paraId="6E7ABA5E" w14:textId="3AF540FE" w:rsidR="000A723B" w:rsidRPr="005A3F47" w:rsidRDefault="000A723B" w:rsidP="000A723B">
            <w:pPr>
              <w:pStyle w:val="Text2"/>
              <w:spacing w:after="0"/>
              <w:ind w:left="0"/>
              <w:jc w:val="center"/>
              <w:rPr>
                <w:noProof/>
                <w:sz w:val="22"/>
                <w:szCs w:val="18"/>
              </w:rPr>
            </w:pPr>
            <w:r w:rsidRPr="005A3F47">
              <w:rPr>
                <w:noProof/>
                <w:sz w:val="22"/>
                <w:szCs w:val="18"/>
              </w:rPr>
              <w:t>0</w:t>
            </w:r>
          </w:p>
        </w:tc>
        <w:tc>
          <w:tcPr>
            <w:tcW w:w="0" w:type="auto"/>
            <w:tcBorders>
              <w:bottom w:val="double" w:sz="4" w:space="0" w:color="auto"/>
            </w:tcBorders>
          </w:tcPr>
          <w:p w14:paraId="754C94CB" w14:textId="6DCB33B3" w:rsidR="000A723B" w:rsidRPr="005A3F47" w:rsidRDefault="000A723B" w:rsidP="000A723B">
            <w:pPr>
              <w:pStyle w:val="Text2"/>
              <w:spacing w:after="0"/>
              <w:ind w:left="0"/>
              <w:jc w:val="center"/>
              <w:rPr>
                <w:noProof/>
                <w:sz w:val="22"/>
                <w:szCs w:val="18"/>
              </w:rPr>
            </w:pPr>
            <w:r w:rsidRPr="005A3F47">
              <w:rPr>
                <w:noProof/>
                <w:sz w:val="22"/>
                <w:szCs w:val="18"/>
              </w:rPr>
              <w:t>+++</w:t>
            </w:r>
          </w:p>
        </w:tc>
        <w:tc>
          <w:tcPr>
            <w:tcW w:w="0" w:type="auto"/>
            <w:tcBorders>
              <w:bottom w:val="double" w:sz="4" w:space="0" w:color="auto"/>
            </w:tcBorders>
          </w:tcPr>
          <w:p w14:paraId="15F51846" w14:textId="278B5BA8" w:rsidR="000A723B" w:rsidRPr="005A3F47" w:rsidRDefault="000A723B" w:rsidP="000A723B">
            <w:pPr>
              <w:pStyle w:val="Text2"/>
              <w:spacing w:after="0"/>
              <w:ind w:left="0"/>
              <w:jc w:val="center"/>
              <w:rPr>
                <w:noProof/>
                <w:sz w:val="22"/>
                <w:szCs w:val="18"/>
              </w:rPr>
            </w:pPr>
            <w:r w:rsidRPr="005A3F47">
              <w:rPr>
                <w:noProof/>
                <w:sz w:val="22"/>
                <w:szCs w:val="18"/>
              </w:rPr>
              <w:t>++</w:t>
            </w:r>
          </w:p>
        </w:tc>
        <w:tc>
          <w:tcPr>
            <w:tcW w:w="0" w:type="auto"/>
            <w:tcBorders>
              <w:bottom w:val="double" w:sz="4" w:space="0" w:color="auto"/>
            </w:tcBorders>
          </w:tcPr>
          <w:p w14:paraId="76B0F7E3" w14:textId="2847F8CD" w:rsidR="000A723B" w:rsidRPr="005A3F47" w:rsidRDefault="000A723B" w:rsidP="000A723B">
            <w:pPr>
              <w:pStyle w:val="Text2"/>
              <w:spacing w:after="0"/>
              <w:ind w:left="0"/>
              <w:jc w:val="center"/>
              <w:rPr>
                <w:noProof/>
                <w:sz w:val="22"/>
                <w:szCs w:val="18"/>
              </w:rPr>
            </w:pPr>
            <w:r w:rsidRPr="005A3F47">
              <w:rPr>
                <w:noProof/>
                <w:sz w:val="22"/>
                <w:szCs w:val="18"/>
              </w:rPr>
              <w:t>++</w:t>
            </w:r>
          </w:p>
        </w:tc>
      </w:tr>
      <w:tr w:rsidR="00394101" w:rsidRPr="005A3F47" w14:paraId="29CECF70" w14:textId="77777777" w:rsidTr="00FA5B5C">
        <w:tc>
          <w:tcPr>
            <w:tcW w:w="3368" w:type="dxa"/>
            <w:tcBorders>
              <w:top w:val="double" w:sz="4" w:space="0" w:color="auto"/>
              <w:left w:val="double" w:sz="4" w:space="0" w:color="auto"/>
              <w:bottom w:val="double" w:sz="4" w:space="0" w:color="auto"/>
            </w:tcBorders>
          </w:tcPr>
          <w:p w14:paraId="353D5F67" w14:textId="556DBC2E" w:rsidR="00394101" w:rsidRPr="005A3F47" w:rsidRDefault="00394101" w:rsidP="00394101">
            <w:pPr>
              <w:pStyle w:val="Text2"/>
              <w:spacing w:after="0"/>
              <w:ind w:left="0"/>
              <w:jc w:val="left"/>
              <w:rPr>
                <w:b/>
                <w:bCs/>
                <w:noProof/>
                <w:sz w:val="22"/>
                <w:szCs w:val="18"/>
              </w:rPr>
            </w:pPr>
            <w:r w:rsidRPr="005A3F47">
              <w:rPr>
                <w:b/>
                <w:bCs/>
                <w:noProof/>
                <w:sz w:val="22"/>
                <w:szCs w:val="18"/>
              </w:rPr>
              <w:t>Overall</w:t>
            </w:r>
          </w:p>
        </w:tc>
        <w:tc>
          <w:tcPr>
            <w:tcW w:w="1658" w:type="dxa"/>
            <w:tcBorders>
              <w:top w:val="double" w:sz="4" w:space="0" w:color="auto"/>
              <w:bottom w:val="double" w:sz="4" w:space="0" w:color="auto"/>
            </w:tcBorders>
          </w:tcPr>
          <w:p w14:paraId="0E81CE0F" w14:textId="391D980E" w:rsidR="00394101" w:rsidRPr="005A3F47" w:rsidRDefault="00394101" w:rsidP="00394101">
            <w:pPr>
              <w:pStyle w:val="Text2"/>
              <w:spacing w:after="0"/>
              <w:ind w:left="0"/>
              <w:jc w:val="center"/>
              <w:rPr>
                <w:b/>
                <w:bCs/>
                <w:noProof/>
                <w:sz w:val="22"/>
                <w:szCs w:val="18"/>
              </w:rPr>
            </w:pPr>
            <w:r w:rsidRPr="005A3F47">
              <w:rPr>
                <w:b/>
                <w:bCs/>
                <w:noProof/>
                <w:sz w:val="22"/>
                <w:szCs w:val="18"/>
              </w:rPr>
              <w:t>+</w:t>
            </w:r>
          </w:p>
        </w:tc>
        <w:tc>
          <w:tcPr>
            <w:tcW w:w="0" w:type="auto"/>
            <w:tcBorders>
              <w:top w:val="double" w:sz="4" w:space="0" w:color="auto"/>
              <w:bottom w:val="double" w:sz="4" w:space="0" w:color="auto"/>
            </w:tcBorders>
          </w:tcPr>
          <w:p w14:paraId="24CACE8C" w14:textId="0BAB1BDF" w:rsidR="00394101" w:rsidRPr="005A3F47" w:rsidRDefault="00394101" w:rsidP="00394101">
            <w:pPr>
              <w:pStyle w:val="Text2"/>
              <w:spacing w:after="0"/>
              <w:ind w:left="0"/>
              <w:jc w:val="center"/>
              <w:rPr>
                <w:b/>
                <w:bCs/>
                <w:noProof/>
                <w:sz w:val="22"/>
                <w:szCs w:val="18"/>
              </w:rPr>
            </w:pPr>
            <w:r w:rsidRPr="005A3F47">
              <w:rPr>
                <w:b/>
                <w:bCs/>
                <w:noProof/>
                <w:sz w:val="22"/>
                <w:szCs w:val="18"/>
              </w:rPr>
              <w:t>+</w:t>
            </w:r>
            <w:r w:rsidR="002156C9" w:rsidRPr="005A3F47">
              <w:rPr>
                <w:b/>
                <w:bCs/>
                <w:noProof/>
                <w:sz w:val="22"/>
                <w:szCs w:val="18"/>
              </w:rPr>
              <w:t>+</w:t>
            </w:r>
          </w:p>
        </w:tc>
        <w:tc>
          <w:tcPr>
            <w:tcW w:w="0" w:type="auto"/>
            <w:tcBorders>
              <w:top w:val="double" w:sz="4" w:space="0" w:color="auto"/>
              <w:bottom w:val="double" w:sz="4" w:space="0" w:color="auto"/>
            </w:tcBorders>
          </w:tcPr>
          <w:p w14:paraId="13629413" w14:textId="2840EECB" w:rsidR="00394101" w:rsidRPr="005A3F47" w:rsidRDefault="00394101" w:rsidP="00394101">
            <w:pPr>
              <w:pStyle w:val="Text2"/>
              <w:spacing w:after="0"/>
              <w:ind w:left="0"/>
              <w:jc w:val="center"/>
              <w:rPr>
                <w:b/>
                <w:bCs/>
                <w:noProof/>
                <w:sz w:val="22"/>
                <w:szCs w:val="18"/>
              </w:rPr>
            </w:pPr>
            <w:r w:rsidRPr="005A3F47">
              <w:rPr>
                <w:b/>
                <w:bCs/>
                <w:noProof/>
                <w:sz w:val="22"/>
                <w:szCs w:val="18"/>
              </w:rPr>
              <w:t>+</w:t>
            </w:r>
            <w:r w:rsidR="002156C9" w:rsidRPr="005A3F47">
              <w:rPr>
                <w:b/>
                <w:bCs/>
                <w:noProof/>
                <w:sz w:val="22"/>
                <w:szCs w:val="18"/>
              </w:rPr>
              <w:t>+</w:t>
            </w:r>
          </w:p>
        </w:tc>
        <w:tc>
          <w:tcPr>
            <w:tcW w:w="0" w:type="auto"/>
            <w:tcBorders>
              <w:top w:val="double" w:sz="4" w:space="0" w:color="auto"/>
              <w:bottom w:val="double" w:sz="4" w:space="0" w:color="auto"/>
              <w:right w:val="double" w:sz="4" w:space="0" w:color="auto"/>
            </w:tcBorders>
          </w:tcPr>
          <w:p w14:paraId="47D74DC1" w14:textId="56E2602D" w:rsidR="00394101" w:rsidRPr="005A3F47" w:rsidRDefault="00394101" w:rsidP="00394101">
            <w:pPr>
              <w:pStyle w:val="Text2"/>
              <w:spacing w:after="0"/>
              <w:ind w:left="0"/>
              <w:jc w:val="center"/>
              <w:rPr>
                <w:b/>
                <w:bCs/>
                <w:noProof/>
                <w:sz w:val="22"/>
                <w:szCs w:val="18"/>
              </w:rPr>
            </w:pPr>
            <w:r w:rsidRPr="005A3F47">
              <w:rPr>
                <w:b/>
                <w:bCs/>
                <w:noProof/>
                <w:sz w:val="22"/>
                <w:szCs w:val="18"/>
              </w:rPr>
              <w:t>+</w:t>
            </w:r>
          </w:p>
        </w:tc>
      </w:tr>
    </w:tbl>
    <w:p w14:paraId="55A91205" w14:textId="77777777" w:rsidR="00FD0D6A" w:rsidRPr="005A3F47" w:rsidRDefault="00FD0D6A" w:rsidP="002E3949">
      <w:pPr>
        <w:pStyle w:val="Text1"/>
        <w:spacing w:after="0"/>
        <w:ind w:left="0"/>
        <w:rPr>
          <w:b/>
          <w:bCs/>
          <w:noProof/>
        </w:rPr>
      </w:pPr>
    </w:p>
    <w:p w14:paraId="332FE39F" w14:textId="20F712A5" w:rsidR="003648BA" w:rsidRPr="005A3F47" w:rsidRDefault="003648BA" w:rsidP="00DC00E6">
      <w:pPr>
        <w:pStyle w:val="Text1"/>
        <w:ind w:left="0"/>
        <w:rPr>
          <w:noProof/>
        </w:rPr>
      </w:pPr>
      <w:r w:rsidRPr="005A3F47">
        <w:rPr>
          <w:b/>
          <w:bCs/>
          <w:noProof/>
        </w:rPr>
        <w:t xml:space="preserve">Effectiveness: </w:t>
      </w:r>
      <w:r w:rsidR="00926E4F" w:rsidRPr="005A3F47">
        <w:rPr>
          <w:noProof/>
        </w:rPr>
        <w:t>T</w:t>
      </w:r>
      <w:r w:rsidR="00FE36C7" w:rsidRPr="005A3F47">
        <w:rPr>
          <w:noProof/>
        </w:rPr>
        <w:t>he limited ambition</w:t>
      </w:r>
      <w:r w:rsidR="0019619D" w:rsidRPr="005A3F47">
        <w:rPr>
          <w:noProof/>
        </w:rPr>
        <w:t xml:space="preserve"> </w:t>
      </w:r>
      <w:r w:rsidR="00B44212" w:rsidRPr="005A3F47">
        <w:rPr>
          <w:noProof/>
        </w:rPr>
        <w:t xml:space="preserve">approach </w:t>
      </w:r>
      <w:r w:rsidR="006B5AF6" w:rsidRPr="005A3F47">
        <w:rPr>
          <w:noProof/>
        </w:rPr>
        <w:t>targets</w:t>
      </w:r>
      <w:r w:rsidR="00B44212" w:rsidRPr="005A3F47">
        <w:rPr>
          <w:noProof/>
        </w:rPr>
        <w:t xml:space="preserve"> </w:t>
      </w:r>
      <w:r w:rsidR="006B5AF6" w:rsidRPr="005A3F47">
        <w:rPr>
          <w:noProof/>
        </w:rPr>
        <w:t>existing measures in a simpler and m</w:t>
      </w:r>
      <w:r w:rsidR="009A199F" w:rsidRPr="005A3F47">
        <w:rPr>
          <w:noProof/>
        </w:rPr>
        <w:t>ore straight forward way</w:t>
      </w:r>
      <w:r w:rsidR="001054E4" w:rsidRPr="005A3F47">
        <w:rPr>
          <w:noProof/>
        </w:rPr>
        <w:t xml:space="preserve">, such as </w:t>
      </w:r>
      <w:r w:rsidR="00E179C7" w:rsidRPr="005A3F47">
        <w:rPr>
          <w:noProof/>
        </w:rPr>
        <w:t xml:space="preserve">reducing the implementation options for the Interest Limitation Rule and </w:t>
      </w:r>
      <w:r w:rsidR="0086783D" w:rsidRPr="005A3F47">
        <w:rPr>
          <w:noProof/>
        </w:rPr>
        <w:t>extending the scope of the TMD</w:t>
      </w:r>
      <w:r w:rsidR="001054E4" w:rsidRPr="005A3F47">
        <w:rPr>
          <w:noProof/>
        </w:rPr>
        <w:t>,</w:t>
      </w:r>
      <w:r w:rsidR="004C4627" w:rsidRPr="005A3F47">
        <w:rPr>
          <w:noProof/>
        </w:rPr>
        <w:t xml:space="preserve"> to </w:t>
      </w:r>
      <w:r w:rsidR="00724804" w:rsidRPr="005A3F47">
        <w:rPr>
          <w:noProof/>
        </w:rPr>
        <w:t>generate simplification results</w:t>
      </w:r>
      <w:r w:rsidR="007647A6" w:rsidRPr="005A3F47">
        <w:rPr>
          <w:noProof/>
        </w:rPr>
        <w:t xml:space="preserve"> </w:t>
      </w:r>
      <w:r w:rsidR="00395339" w:rsidRPr="005A3F47">
        <w:rPr>
          <w:noProof/>
        </w:rPr>
        <w:t>tho</w:t>
      </w:r>
      <w:r w:rsidR="00B44639" w:rsidRPr="005A3F47">
        <w:rPr>
          <w:noProof/>
        </w:rPr>
        <w:t>rough the</w:t>
      </w:r>
      <w:r w:rsidR="007647A6" w:rsidRPr="005A3F47">
        <w:rPr>
          <w:noProof/>
        </w:rPr>
        <w:t xml:space="preserve"> </w:t>
      </w:r>
      <w:r w:rsidR="009F0E95" w:rsidRPr="005A3F47">
        <w:rPr>
          <w:noProof/>
        </w:rPr>
        <w:t xml:space="preserve">easiest and </w:t>
      </w:r>
      <w:r w:rsidR="00122F49" w:rsidRPr="005A3F47">
        <w:rPr>
          <w:noProof/>
        </w:rPr>
        <w:t xml:space="preserve">most accessible </w:t>
      </w:r>
      <w:r w:rsidR="00025B16" w:rsidRPr="005A3F47">
        <w:rPr>
          <w:noProof/>
        </w:rPr>
        <w:t>options.</w:t>
      </w:r>
      <w:r w:rsidR="007647A6" w:rsidRPr="005A3F47">
        <w:rPr>
          <w:noProof/>
        </w:rPr>
        <w:t xml:space="preserve"> </w:t>
      </w:r>
      <w:r w:rsidR="00600AC0" w:rsidRPr="005A3F47">
        <w:rPr>
          <w:noProof/>
        </w:rPr>
        <w:t>In this way, this approach delivers on all specific objectives</w:t>
      </w:r>
      <w:r w:rsidR="00F75841" w:rsidRPr="005A3F47">
        <w:rPr>
          <w:noProof/>
        </w:rPr>
        <w:t xml:space="preserve">, although </w:t>
      </w:r>
      <w:r w:rsidR="00473C19" w:rsidRPr="005A3F47">
        <w:rPr>
          <w:noProof/>
        </w:rPr>
        <w:t xml:space="preserve">it is to a </w:t>
      </w:r>
      <w:r w:rsidR="007B6797" w:rsidRPr="005A3F47">
        <w:rPr>
          <w:noProof/>
        </w:rPr>
        <w:t>far</w:t>
      </w:r>
      <w:r w:rsidR="00473C19" w:rsidRPr="005A3F47">
        <w:rPr>
          <w:noProof/>
        </w:rPr>
        <w:t xml:space="preserve"> lesser extent than the two previous approaches. </w:t>
      </w:r>
      <w:r w:rsidR="00682CDD" w:rsidRPr="005A3F47">
        <w:rPr>
          <w:noProof/>
        </w:rPr>
        <w:t>In addition</w:t>
      </w:r>
      <w:r w:rsidR="00445EB6" w:rsidRPr="005A3F47">
        <w:rPr>
          <w:noProof/>
        </w:rPr>
        <w:t>, it fails to</w:t>
      </w:r>
      <w:r w:rsidR="00807291" w:rsidRPr="005A3F47">
        <w:rPr>
          <w:noProof/>
        </w:rPr>
        <w:t xml:space="preserve"> address identified problems related to the withholding tax relief </w:t>
      </w:r>
      <w:r w:rsidR="006B24FA" w:rsidRPr="005A3F47">
        <w:rPr>
          <w:noProof/>
        </w:rPr>
        <w:t>under the IRD and the PSD</w:t>
      </w:r>
      <w:r w:rsidR="00807291" w:rsidRPr="005A3F47">
        <w:rPr>
          <w:noProof/>
        </w:rPr>
        <w:t xml:space="preserve"> and the overlap between CFC </w:t>
      </w:r>
      <w:r w:rsidR="007B6797" w:rsidRPr="005A3F47">
        <w:rPr>
          <w:noProof/>
        </w:rPr>
        <w:t xml:space="preserve">and Pillar 2 </w:t>
      </w:r>
      <w:r w:rsidR="00807291" w:rsidRPr="005A3F47">
        <w:rPr>
          <w:noProof/>
        </w:rPr>
        <w:t>rules</w:t>
      </w:r>
      <w:r w:rsidR="007B6797" w:rsidRPr="005A3F47">
        <w:rPr>
          <w:noProof/>
        </w:rPr>
        <w:t>,</w:t>
      </w:r>
      <w:r w:rsidR="00DF54EC" w:rsidRPr="005A3F47">
        <w:rPr>
          <w:noProof/>
        </w:rPr>
        <w:t xml:space="preserve"> </w:t>
      </w:r>
      <w:r w:rsidR="00B07E03" w:rsidRPr="005A3F47">
        <w:rPr>
          <w:noProof/>
        </w:rPr>
        <w:t>which were amongst the most highlighted need</w:t>
      </w:r>
      <w:r w:rsidR="005329A4" w:rsidRPr="005A3F47">
        <w:rPr>
          <w:noProof/>
        </w:rPr>
        <w:t>s</w:t>
      </w:r>
      <w:r w:rsidR="00B07E03" w:rsidRPr="005A3F47">
        <w:rPr>
          <w:noProof/>
        </w:rPr>
        <w:t xml:space="preserve"> for action in the stakeholder consultations.</w:t>
      </w:r>
      <w:r w:rsidR="003C6017" w:rsidRPr="005A3F47">
        <w:rPr>
          <w:noProof/>
        </w:rPr>
        <w:t xml:space="preserve"> This approach</w:t>
      </w:r>
      <w:r w:rsidR="007647A6" w:rsidRPr="005A3F47">
        <w:rPr>
          <w:noProof/>
        </w:rPr>
        <w:t xml:space="preserve"> is </w:t>
      </w:r>
      <w:r w:rsidR="00300912" w:rsidRPr="005A3F47">
        <w:rPr>
          <w:noProof/>
        </w:rPr>
        <w:t xml:space="preserve">roughly </w:t>
      </w:r>
      <w:r w:rsidR="007647A6" w:rsidRPr="005A3F47">
        <w:rPr>
          <w:noProof/>
        </w:rPr>
        <w:t>estimated to reduce compliance costs</w:t>
      </w:r>
      <w:r w:rsidR="009D5809" w:rsidRPr="005A3F47">
        <w:rPr>
          <w:noProof/>
        </w:rPr>
        <w:t xml:space="preserve"> (recurrent costs related to administrative burden)</w:t>
      </w:r>
      <w:r w:rsidR="007647A6" w:rsidRPr="005A3F47">
        <w:rPr>
          <w:noProof/>
        </w:rPr>
        <w:t xml:space="preserve"> by </w:t>
      </w:r>
      <w:r w:rsidR="0022175D" w:rsidRPr="005A3F47">
        <w:rPr>
          <w:noProof/>
        </w:rPr>
        <w:t xml:space="preserve">around </w:t>
      </w:r>
      <w:r w:rsidR="00C237F0" w:rsidRPr="005A3F47">
        <w:rPr>
          <w:b/>
          <w:bCs/>
          <w:noProof/>
        </w:rPr>
        <w:t>0.</w:t>
      </w:r>
      <w:r w:rsidR="00D9377A" w:rsidRPr="005A3F47">
        <w:rPr>
          <w:b/>
          <w:bCs/>
          <w:noProof/>
        </w:rPr>
        <w:t>1</w:t>
      </w:r>
      <w:r w:rsidR="009B1A01" w:rsidRPr="005A3F47">
        <w:rPr>
          <w:b/>
          <w:bCs/>
          <w:noProof/>
        </w:rPr>
        <w:t>-</w:t>
      </w:r>
      <w:r w:rsidR="00C237F0" w:rsidRPr="005A3F47">
        <w:rPr>
          <w:b/>
          <w:bCs/>
          <w:noProof/>
        </w:rPr>
        <w:t>0.</w:t>
      </w:r>
      <w:r w:rsidR="009B1A01" w:rsidRPr="005A3F47">
        <w:rPr>
          <w:b/>
          <w:bCs/>
          <w:noProof/>
        </w:rPr>
        <w:t>2</w:t>
      </w:r>
      <w:r w:rsidR="00F617D6" w:rsidRPr="005A3F47">
        <w:rPr>
          <w:b/>
          <w:bCs/>
          <w:noProof/>
        </w:rPr>
        <w:t xml:space="preserve"> </w:t>
      </w:r>
      <w:r w:rsidR="00281203" w:rsidRPr="005A3F47">
        <w:rPr>
          <w:b/>
          <w:bCs/>
          <w:noProof/>
        </w:rPr>
        <w:t>billion</w:t>
      </w:r>
      <w:r w:rsidR="006415FE" w:rsidRPr="005A3F47">
        <w:rPr>
          <w:noProof/>
        </w:rPr>
        <w:t>.</w:t>
      </w:r>
      <w:r w:rsidR="007647A6" w:rsidRPr="005A3F47">
        <w:rPr>
          <w:noProof/>
        </w:rPr>
        <w:t xml:space="preserve"> </w:t>
      </w:r>
    </w:p>
    <w:p w14:paraId="4F3C15D7" w14:textId="30AE783D" w:rsidR="003648BA" w:rsidRPr="005A3F47" w:rsidRDefault="003648BA" w:rsidP="003648BA">
      <w:pPr>
        <w:rPr>
          <w:noProof/>
        </w:rPr>
      </w:pPr>
      <w:r w:rsidRPr="005A3F47">
        <w:rPr>
          <w:b/>
          <w:bCs/>
          <w:noProof/>
        </w:rPr>
        <w:t xml:space="preserve">Efficiency: </w:t>
      </w:r>
      <w:r w:rsidR="00E42D56" w:rsidRPr="005A3F47">
        <w:rPr>
          <w:noProof/>
        </w:rPr>
        <w:t xml:space="preserve">While this approach does not entail </w:t>
      </w:r>
      <w:r w:rsidR="00AA576E" w:rsidRPr="005A3F47">
        <w:rPr>
          <w:noProof/>
        </w:rPr>
        <w:t xml:space="preserve">what could be considered </w:t>
      </w:r>
      <w:r w:rsidR="00E42D56" w:rsidRPr="005A3F47">
        <w:rPr>
          <w:noProof/>
        </w:rPr>
        <w:t xml:space="preserve">the biggest simplification measures, </w:t>
      </w:r>
      <w:r w:rsidR="00865CAD" w:rsidRPr="005A3F47">
        <w:rPr>
          <w:noProof/>
        </w:rPr>
        <w:t>it</w:t>
      </w:r>
      <w:r w:rsidR="00EA2E31" w:rsidRPr="005A3F47">
        <w:rPr>
          <w:noProof/>
        </w:rPr>
        <w:t xml:space="preserve"> </w:t>
      </w:r>
      <w:r w:rsidR="004024A0" w:rsidRPr="005A3F47">
        <w:rPr>
          <w:noProof/>
        </w:rPr>
        <w:t>has</w:t>
      </w:r>
      <w:r w:rsidR="00EA2E31" w:rsidRPr="005A3F47">
        <w:rPr>
          <w:noProof/>
        </w:rPr>
        <w:t xml:space="preserve"> some merit, as it </w:t>
      </w:r>
      <w:r w:rsidR="000A6F4D" w:rsidRPr="005A3F47">
        <w:rPr>
          <w:noProof/>
        </w:rPr>
        <w:t xml:space="preserve">would </w:t>
      </w:r>
      <w:r w:rsidR="005329A4" w:rsidRPr="005A3F47">
        <w:rPr>
          <w:noProof/>
        </w:rPr>
        <w:t xml:space="preserve">deliver on the objectives </w:t>
      </w:r>
      <w:r w:rsidR="00AA576E" w:rsidRPr="005A3F47">
        <w:rPr>
          <w:noProof/>
        </w:rPr>
        <w:t xml:space="preserve">of the omnibus </w:t>
      </w:r>
      <w:r w:rsidR="005329A4" w:rsidRPr="005A3F47">
        <w:rPr>
          <w:noProof/>
        </w:rPr>
        <w:t xml:space="preserve">without entailing </w:t>
      </w:r>
      <w:r w:rsidR="00AF7127" w:rsidRPr="005A3F47">
        <w:rPr>
          <w:noProof/>
        </w:rPr>
        <w:t xml:space="preserve">considerable implementation and transition costs. </w:t>
      </w:r>
      <w:r w:rsidR="004024A0" w:rsidRPr="005A3F47">
        <w:rPr>
          <w:noProof/>
        </w:rPr>
        <w:t>At the same time, it has already been stated that the expected economic benefits of the comprehensive approach are low, so it</w:t>
      </w:r>
      <w:r w:rsidR="005F6A72" w:rsidRPr="005A3F47">
        <w:rPr>
          <w:noProof/>
        </w:rPr>
        <w:t xml:space="preserve"> </w:t>
      </w:r>
      <w:r w:rsidR="002F7F2A" w:rsidRPr="005A3F47">
        <w:rPr>
          <w:noProof/>
        </w:rPr>
        <w:t>is an approach which neither entail</w:t>
      </w:r>
      <w:r w:rsidR="009D51EE" w:rsidRPr="005A3F47">
        <w:rPr>
          <w:noProof/>
        </w:rPr>
        <w:t>s</w:t>
      </w:r>
      <w:r w:rsidR="002F7F2A" w:rsidRPr="005A3F47">
        <w:rPr>
          <w:noProof/>
        </w:rPr>
        <w:t xml:space="preserve"> economic benefits,</w:t>
      </w:r>
      <w:r w:rsidR="005F6A72" w:rsidRPr="005A3F47">
        <w:rPr>
          <w:noProof/>
        </w:rPr>
        <w:t xml:space="preserve"> no</w:t>
      </w:r>
      <w:r w:rsidR="00732A15" w:rsidRPr="005A3F47">
        <w:rPr>
          <w:noProof/>
        </w:rPr>
        <w:t>r</w:t>
      </w:r>
      <w:r w:rsidR="005F6A72" w:rsidRPr="005A3F47">
        <w:rPr>
          <w:noProof/>
        </w:rPr>
        <w:t xml:space="preserve"> </w:t>
      </w:r>
      <w:r w:rsidR="002F7F2A" w:rsidRPr="005A3F47">
        <w:rPr>
          <w:noProof/>
        </w:rPr>
        <w:t>costs, resulting in no considerable impact.</w:t>
      </w:r>
    </w:p>
    <w:p w14:paraId="20D42B73" w14:textId="1D2BD590" w:rsidR="003E5AFB" w:rsidRPr="005A3F47" w:rsidRDefault="00EA02C1" w:rsidP="003648BA">
      <w:pPr>
        <w:rPr>
          <w:noProof/>
        </w:rPr>
      </w:pPr>
      <w:r w:rsidRPr="005A3F47">
        <w:rPr>
          <w:b/>
          <w:noProof/>
        </w:rPr>
        <w:t>Coherence</w:t>
      </w:r>
      <w:r w:rsidRPr="005A3F47">
        <w:rPr>
          <w:noProof/>
        </w:rPr>
        <w:t>:</w:t>
      </w:r>
      <w:r w:rsidR="00051C25" w:rsidRPr="005A3F47">
        <w:rPr>
          <w:noProof/>
        </w:rPr>
        <w:t xml:space="preserve"> The limited ambition approach is coherent within the proposal itself as it offers a broad range of simplification measures across the existing EU tax framework, building on the achievements already made at EU level.</w:t>
      </w:r>
      <w:r w:rsidR="003E5AFB" w:rsidRPr="005A3F47">
        <w:rPr>
          <w:noProof/>
        </w:rPr>
        <w:t xml:space="preserve"> However, it does not contribute significantly to other EU policies and it falls short </w:t>
      </w:r>
      <w:r w:rsidR="00547BB9" w:rsidRPr="005A3F47">
        <w:rPr>
          <w:noProof/>
        </w:rPr>
        <w:t>of</w:t>
      </w:r>
      <w:r w:rsidR="003E5AFB" w:rsidRPr="005A3F47">
        <w:rPr>
          <w:noProof/>
        </w:rPr>
        <w:t xml:space="preserve"> delivering on the Commission’s </w:t>
      </w:r>
      <w:r w:rsidR="002036E8" w:rsidRPr="005A3F47">
        <w:rPr>
          <w:noProof/>
        </w:rPr>
        <w:t>aim to cut recurring administrative costs by EUR 37.5 billion</w:t>
      </w:r>
      <w:r w:rsidR="002036E8" w:rsidRPr="005A3F47">
        <w:rPr>
          <w:b/>
          <w:bCs/>
          <w:noProof/>
        </w:rPr>
        <w:t> </w:t>
      </w:r>
      <w:r w:rsidR="002036E8" w:rsidRPr="005A3F47">
        <w:rPr>
          <w:noProof/>
        </w:rPr>
        <w:t>by the end of the </w:t>
      </w:r>
      <w:r w:rsidR="008958DE" w:rsidRPr="005A3F47">
        <w:rPr>
          <w:noProof/>
        </w:rPr>
        <w:t>2024-2029 Commission</w:t>
      </w:r>
      <w:r w:rsidR="002036E8" w:rsidRPr="005A3F47">
        <w:rPr>
          <w:noProof/>
        </w:rPr>
        <w:t> mandate.</w:t>
      </w:r>
    </w:p>
    <w:p w14:paraId="75A4AF65" w14:textId="2825F09D" w:rsidR="00F83DFD" w:rsidRPr="005A3F47" w:rsidRDefault="004F4DA8" w:rsidP="00F83DFD">
      <w:pPr>
        <w:rPr>
          <w:noProof/>
        </w:rPr>
      </w:pPr>
      <w:r w:rsidRPr="005A3F47">
        <w:rPr>
          <w:noProof/>
        </w:rPr>
        <w:t xml:space="preserve">In </w:t>
      </w:r>
      <w:r w:rsidR="00804E62" w:rsidRPr="005A3F47">
        <w:rPr>
          <w:noProof/>
        </w:rPr>
        <w:t>sum</w:t>
      </w:r>
      <w:r w:rsidR="001D3523" w:rsidRPr="005A3F47">
        <w:rPr>
          <w:noProof/>
        </w:rPr>
        <w:t xml:space="preserve">, simplification by the least extensive means has the advantage that the legislative proposal would be very targeted, focusing on the Interest Limitation Rule, the Hybrid Mismatch Rules, the TMD and the DRM. Although, these elements would contribute to achieving the specific and general objectives, this version is expected to be less effective than the others as it </w:t>
      </w:r>
      <w:r w:rsidR="003375EB" w:rsidRPr="005A3F47">
        <w:rPr>
          <w:noProof/>
        </w:rPr>
        <w:t>misses</w:t>
      </w:r>
      <w:r w:rsidR="001D3523" w:rsidRPr="005A3F47">
        <w:rPr>
          <w:noProof/>
        </w:rPr>
        <w:t xml:space="preserve"> out on the opportunity to simplify the rules to a greater extent and fail</w:t>
      </w:r>
      <w:r w:rsidR="005256E2" w:rsidRPr="005A3F47">
        <w:rPr>
          <w:noProof/>
        </w:rPr>
        <w:t>s</w:t>
      </w:r>
      <w:r w:rsidR="001D3523" w:rsidRPr="005A3F47">
        <w:rPr>
          <w:noProof/>
        </w:rPr>
        <w:t xml:space="preserve"> to meet the request</w:t>
      </w:r>
      <w:r w:rsidR="001B4BB3" w:rsidRPr="005A3F47">
        <w:rPr>
          <w:noProof/>
        </w:rPr>
        <w:t xml:space="preserve">s from </w:t>
      </w:r>
      <w:r w:rsidR="00894957" w:rsidRPr="005A3F47">
        <w:rPr>
          <w:noProof/>
        </w:rPr>
        <w:t>the vast majority of stakeholders</w:t>
      </w:r>
      <w:r w:rsidR="001D3523" w:rsidRPr="005A3F47">
        <w:rPr>
          <w:noProof/>
        </w:rPr>
        <w:t xml:space="preserve"> in the stakeholder consultations to table an ambitious and holistic Omnibus on Taxation.</w:t>
      </w:r>
      <w:r w:rsidR="00F83DFD" w:rsidRPr="005A3F47">
        <w:rPr>
          <w:noProof/>
        </w:rPr>
        <w:t xml:space="preserve"> Consequently, </w:t>
      </w:r>
      <w:r w:rsidR="002203EB" w:rsidRPr="005A3F47">
        <w:rPr>
          <w:noProof/>
        </w:rPr>
        <w:t>th</w:t>
      </w:r>
      <w:r w:rsidR="00904D0E" w:rsidRPr="005A3F47">
        <w:rPr>
          <w:noProof/>
        </w:rPr>
        <w:t xml:space="preserve">e assessment of </w:t>
      </w:r>
      <w:r w:rsidR="0051043C" w:rsidRPr="005A3F47">
        <w:rPr>
          <w:noProof/>
        </w:rPr>
        <w:t xml:space="preserve">the </w:t>
      </w:r>
      <w:r w:rsidR="00F83DFD" w:rsidRPr="005A3F47">
        <w:rPr>
          <w:noProof/>
        </w:rPr>
        <w:t>limited ambition approach</w:t>
      </w:r>
      <w:r w:rsidR="00904D0E" w:rsidRPr="005A3F47">
        <w:rPr>
          <w:noProof/>
        </w:rPr>
        <w:t xml:space="preserve"> demonstrates well the importance of </w:t>
      </w:r>
      <w:r w:rsidR="00D927DB" w:rsidRPr="005A3F47">
        <w:rPr>
          <w:noProof/>
        </w:rPr>
        <w:t xml:space="preserve">proposing </w:t>
      </w:r>
      <w:r w:rsidR="000E5116" w:rsidRPr="005A3F47">
        <w:rPr>
          <w:noProof/>
        </w:rPr>
        <w:t>a reform of</w:t>
      </w:r>
      <w:r w:rsidR="00904D0E" w:rsidRPr="005A3F47">
        <w:rPr>
          <w:noProof/>
        </w:rPr>
        <w:t xml:space="preserve"> wide scope, </w:t>
      </w:r>
      <w:r w:rsidR="000E5116" w:rsidRPr="005A3F47">
        <w:rPr>
          <w:noProof/>
        </w:rPr>
        <w:t xml:space="preserve">since various </w:t>
      </w:r>
      <w:r w:rsidR="005144AF" w:rsidRPr="005A3F47">
        <w:rPr>
          <w:noProof/>
        </w:rPr>
        <w:t xml:space="preserve">specific objectives </w:t>
      </w:r>
      <w:r w:rsidR="003347D1" w:rsidRPr="005A3F47">
        <w:rPr>
          <w:noProof/>
        </w:rPr>
        <w:t xml:space="preserve">would be </w:t>
      </w:r>
      <w:r w:rsidR="000E5116" w:rsidRPr="005A3F47">
        <w:rPr>
          <w:noProof/>
        </w:rPr>
        <w:t xml:space="preserve">less </w:t>
      </w:r>
      <w:r w:rsidR="003347D1" w:rsidRPr="005A3F47">
        <w:rPr>
          <w:noProof/>
        </w:rPr>
        <w:t xml:space="preserve">supported </w:t>
      </w:r>
      <w:r w:rsidR="000E5116" w:rsidRPr="005A3F47">
        <w:rPr>
          <w:noProof/>
        </w:rPr>
        <w:t>if</w:t>
      </w:r>
      <w:r w:rsidR="003347D1" w:rsidRPr="005A3F47">
        <w:rPr>
          <w:noProof/>
        </w:rPr>
        <w:t xml:space="preserve"> the status quo</w:t>
      </w:r>
      <w:r w:rsidR="00D80E18" w:rsidRPr="005A3F47">
        <w:rPr>
          <w:noProof/>
        </w:rPr>
        <w:t xml:space="preserve"> were to be retained</w:t>
      </w:r>
      <w:r w:rsidR="003347D1" w:rsidRPr="005A3F47">
        <w:rPr>
          <w:noProof/>
        </w:rPr>
        <w:t xml:space="preserve"> in several areas. For this reason, focussing on</w:t>
      </w:r>
      <w:r w:rsidR="009E0A3D" w:rsidRPr="005A3F47">
        <w:rPr>
          <w:noProof/>
        </w:rPr>
        <w:t>ly on</w:t>
      </w:r>
      <w:r w:rsidR="003347D1" w:rsidRPr="005A3F47">
        <w:rPr>
          <w:noProof/>
        </w:rPr>
        <w:t xml:space="preserve"> </w:t>
      </w:r>
      <w:r w:rsidR="009E0A3D" w:rsidRPr="005A3F47">
        <w:rPr>
          <w:noProof/>
        </w:rPr>
        <w:t>the two key</w:t>
      </w:r>
      <w:r w:rsidR="003347D1" w:rsidRPr="005A3F47">
        <w:rPr>
          <w:noProof/>
        </w:rPr>
        <w:t xml:space="preserve"> measures </w:t>
      </w:r>
      <w:r w:rsidR="008E7839" w:rsidRPr="005A3F47">
        <w:rPr>
          <w:noProof/>
        </w:rPr>
        <w:t>appears less effective and efficient than proposing a</w:t>
      </w:r>
      <w:r w:rsidR="006F2CD0" w:rsidRPr="005A3F47">
        <w:rPr>
          <w:noProof/>
        </w:rPr>
        <w:t xml:space="preserve">n Omnibus </w:t>
      </w:r>
      <w:r w:rsidR="28D36563" w:rsidRPr="005A3F47">
        <w:rPr>
          <w:noProof/>
        </w:rPr>
        <w:t xml:space="preserve">on Taxation </w:t>
      </w:r>
      <w:r w:rsidR="006F2CD0" w:rsidRPr="005A3F47">
        <w:rPr>
          <w:noProof/>
        </w:rPr>
        <w:t>with a broad</w:t>
      </w:r>
      <w:r w:rsidR="00BA6E6E" w:rsidRPr="005A3F47">
        <w:rPr>
          <w:noProof/>
        </w:rPr>
        <w:t>er</w:t>
      </w:r>
      <w:r w:rsidR="006F2CD0" w:rsidRPr="005A3F47">
        <w:rPr>
          <w:noProof/>
        </w:rPr>
        <w:t xml:space="preserve"> </w:t>
      </w:r>
      <w:r w:rsidR="00D3703A" w:rsidRPr="005A3F47">
        <w:rPr>
          <w:noProof/>
        </w:rPr>
        <w:t>and more ambitious</w:t>
      </w:r>
      <w:r w:rsidR="006F2CD0" w:rsidRPr="005A3F47">
        <w:rPr>
          <w:noProof/>
        </w:rPr>
        <w:t xml:space="preserve"> scope.</w:t>
      </w:r>
    </w:p>
    <w:p w14:paraId="2BF8B3CB" w14:textId="75AA6BF3" w:rsidR="006B087E" w:rsidRPr="005A3F47" w:rsidRDefault="00562FEF" w:rsidP="00FA5B5C">
      <w:pPr>
        <w:pStyle w:val="Heading1"/>
        <w:numPr>
          <w:ilvl w:val="0"/>
          <w:numId w:val="216"/>
        </w:numPr>
        <w:rPr>
          <w:noProof/>
        </w:rPr>
      </w:pPr>
      <w:bookmarkStart w:id="223" w:name="_Ref226463400"/>
      <w:bookmarkStart w:id="224" w:name="_Toc226466604"/>
      <w:bookmarkStart w:id="225" w:name="_Toc226466843"/>
      <w:bookmarkStart w:id="226" w:name="_Toc226467204"/>
      <w:bookmarkStart w:id="227" w:name="_Toc226467304"/>
      <w:bookmarkStart w:id="228" w:name="_Toc226467523"/>
      <w:r w:rsidRPr="005A3F47">
        <w:rPr>
          <w:noProof/>
        </w:rPr>
        <w:t xml:space="preserve"> </w:t>
      </w:r>
      <w:bookmarkStart w:id="229" w:name="_Toc230258079"/>
      <w:r w:rsidR="006B087E" w:rsidRPr="005A3F47">
        <w:rPr>
          <w:noProof/>
        </w:rPr>
        <w:t>Preferred option</w:t>
      </w:r>
      <w:bookmarkEnd w:id="223"/>
      <w:bookmarkEnd w:id="224"/>
      <w:bookmarkEnd w:id="225"/>
      <w:bookmarkEnd w:id="226"/>
      <w:bookmarkEnd w:id="227"/>
      <w:bookmarkEnd w:id="228"/>
      <w:bookmarkEnd w:id="229"/>
    </w:p>
    <w:p w14:paraId="579F3F9D" w14:textId="3C064B1B" w:rsidR="005F0C86" w:rsidRPr="005A3F47" w:rsidRDefault="00DE3F55" w:rsidP="00C003D9">
      <w:pPr>
        <w:pStyle w:val="Text1"/>
        <w:ind w:left="0"/>
        <w:rPr>
          <w:noProof/>
        </w:rPr>
      </w:pPr>
      <w:r w:rsidRPr="005A3F47">
        <w:rPr>
          <w:noProof/>
        </w:rPr>
        <w:t>Based</w:t>
      </w:r>
      <w:r w:rsidR="005F0C86" w:rsidRPr="005A3F47">
        <w:rPr>
          <w:noProof/>
        </w:rPr>
        <w:t xml:space="preserve"> on the </w:t>
      </w:r>
      <w:r w:rsidRPr="005A3F47">
        <w:rPr>
          <w:noProof/>
        </w:rPr>
        <w:t xml:space="preserve">outcome of the previous section, where the </w:t>
      </w:r>
      <w:r w:rsidR="000F394E" w:rsidRPr="005A3F47">
        <w:rPr>
          <w:noProof/>
        </w:rPr>
        <w:t>different</w:t>
      </w:r>
      <w:r w:rsidR="00272536" w:rsidRPr="005A3F47">
        <w:rPr>
          <w:noProof/>
        </w:rPr>
        <w:t xml:space="preserve"> simplification</w:t>
      </w:r>
      <w:r w:rsidR="00557317" w:rsidRPr="005A3F47">
        <w:rPr>
          <w:noProof/>
        </w:rPr>
        <w:t xml:space="preserve"> </w:t>
      </w:r>
      <w:r w:rsidR="00894957" w:rsidRPr="005A3F47">
        <w:rPr>
          <w:noProof/>
        </w:rPr>
        <w:t xml:space="preserve">approaches </w:t>
      </w:r>
      <w:r w:rsidR="00272536" w:rsidRPr="005A3F47">
        <w:rPr>
          <w:noProof/>
        </w:rPr>
        <w:t>w</w:t>
      </w:r>
      <w:r w:rsidR="00894957" w:rsidRPr="005A3F47">
        <w:rPr>
          <w:noProof/>
        </w:rPr>
        <w:t>ere</w:t>
      </w:r>
      <w:r w:rsidR="00272536" w:rsidRPr="005A3F47">
        <w:rPr>
          <w:noProof/>
        </w:rPr>
        <w:t xml:space="preserve"> assessed</w:t>
      </w:r>
      <w:r w:rsidR="00894957" w:rsidRPr="005A3F47">
        <w:rPr>
          <w:noProof/>
        </w:rPr>
        <w:t xml:space="preserve"> and compared</w:t>
      </w:r>
      <w:r w:rsidR="005F0C86" w:rsidRPr="005A3F47">
        <w:rPr>
          <w:noProof/>
        </w:rPr>
        <w:t xml:space="preserve">, the preferred </w:t>
      </w:r>
      <w:r w:rsidR="003D2AB8" w:rsidRPr="005A3F47">
        <w:rPr>
          <w:noProof/>
        </w:rPr>
        <w:t xml:space="preserve">approach </w:t>
      </w:r>
      <w:r w:rsidR="00D50226" w:rsidRPr="005A3F47">
        <w:rPr>
          <w:noProof/>
        </w:rPr>
        <w:t>is</w:t>
      </w:r>
      <w:r w:rsidR="003D2AB8" w:rsidRPr="005A3F47">
        <w:rPr>
          <w:noProof/>
        </w:rPr>
        <w:t xml:space="preserve"> the </w:t>
      </w:r>
      <w:r w:rsidR="00046235" w:rsidRPr="005A3F47">
        <w:rPr>
          <w:noProof/>
        </w:rPr>
        <w:t xml:space="preserve">comprehensive approach to the Omnibus on Taxation. </w:t>
      </w:r>
      <w:r w:rsidR="005F0C86" w:rsidRPr="005A3F47">
        <w:rPr>
          <w:noProof/>
        </w:rPr>
        <w:t xml:space="preserve">Each of the options, which feature in </w:t>
      </w:r>
      <w:r w:rsidR="00E06A3D" w:rsidRPr="005A3F47">
        <w:rPr>
          <w:noProof/>
        </w:rPr>
        <w:t>the pre</w:t>
      </w:r>
      <w:r w:rsidR="00DC70D5" w:rsidRPr="005A3F47">
        <w:rPr>
          <w:noProof/>
        </w:rPr>
        <w:t>ferred approach</w:t>
      </w:r>
      <w:r w:rsidR="005F0C86" w:rsidRPr="005A3F47">
        <w:rPr>
          <w:noProof/>
        </w:rPr>
        <w:t xml:space="preserve">, are analysed </w:t>
      </w:r>
      <w:r w:rsidR="006977DF" w:rsidRPr="005A3F47">
        <w:rPr>
          <w:noProof/>
        </w:rPr>
        <w:t>in more detail</w:t>
      </w:r>
      <w:r w:rsidR="005F0C86" w:rsidRPr="005A3F47">
        <w:rPr>
          <w:noProof/>
        </w:rPr>
        <w:t xml:space="preserve"> below.</w:t>
      </w:r>
    </w:p>
    <w:p w14:paraId="7F164F21" w14:textId="2E84F72B" w:rsidR="006B087E" w:rsidRPr="005A3F47" w:rsidRDefault="00441577" w:rsidP="00965B24">
      <w:pPr>
        <w:pStyle w:val="Heading2"/>
        <w:numPr>
          <w:ilvl w:val="1"/>
          <w:numId w:val="216"/>
        </w:numPr>
        <w:rPr>
          <w:noProof/>
        </w:rPr>
      </w:pPr>
      <w:bookmarkStart w:id="230" w:name="_Ref226464079"/>
      <w:bookmarkStart w:id="231" w:name="_Toc226466844"/>
      <w:bookmarkStart w:id="232" w:name="_Toc226467205"/>
      <w:bookmarkStart w:id="233" w:name="_Toc226467305"/>
      <w:bookmarkStart w:id="234" w:name="_Toc226467524"/>
      <w:r w:rsidRPr="005A3F47">
        <w:rPr>
          <w:noProof/>
        </w:rPr>
        <w:t xml:space="preserve"> </w:t>
      </w:r>
      <w:r w:rsidR="002A1C4F" w:rsidRPr="005A3F47">
        <w:rPr>
          <w:noProof/>
        </w:rPr>
        <w:t>Comprehensive Omnibus</w:t>
      </w:r>
      <w:r w:rsidR="02591F68" w:rsidRPr="005A3F47">
        <w:rPr>
          <w:noProof/>
        </w:rPr>
        <w:t xml:space="preserve"> on Taxation</w:t>
      </w:r>
      <w:bookmarkEnd w:id="230"/>
      <w:bookmarkEnd w:id="231"/>
      <w:bookmarkEnd w:id="232"/>
      <w:bookmarkEnd w:id="233"/>
      <w:bookmarkEnd w:id="234"/>
    </w:p>
    <w:p w14:paraId="73CAFA42" w14:textId="0D7E83E8" w:rsidR="002A1C4F" w:rsidRPr="005A3F47" w:rsidRDefault="00CB4502" w:rsidP="00965B24">
      <w:pPr>
        <w:pStyle w:val="Heading3"/>
        <w:numPr>
          <w:ilvl w:val="2"/>
          <w:numId w:val="216"/>
        </w:numPr>
        <w:rPr>
          <w:noProof/>
        </w:rPr>
      </w:pPr>
      <w:bookmarkStart w:id="235" w:name="_Toc226466845"/>
      <w:bookmarkStart w:id="236" w:name="_Toc226467206"/>
      <w:bookmarkStart w:id="237" w:name="_Toc226467306"/>
      <w:bookmarkStart w:id="238" w:name="_Toc226467525"/>
      <w:r w:rsidRPr="005A3F47">
        <w:rPr>
          <w:noProof/>
        </w:rPr>
        <w:t>Withholding tax exemption for payments of</w:t>
      </w:r>
      <w:r w:rsidR="009746FF" w:rsidRPr="005A3F47">
        <w:rPr>
          <w:noProof/>
        </w:rPr>
        <w:t xml:space="preserve"> interest, royalt</w:t>
      </w:r>
      <w:r w:rsidRPr="005A3F47">
        <w:rPr>
          <w:noProof/>
        </w:rPr>
        <w:t>ies</w:t>
      </w:r>
      <w:r w:rsidR="00933C2A" w:rsidRPr="005A3F47">
        <w:rPr>
          <w:noProof/>
        </w:rPr>
        <w:t>,</w:t>
      </w:r>
      <w:r w:rsidR="009746FF" w:rsidRPr="005A3F47">
        <w:rPr>
          <w:noProof/>
        </w:rPr>
        <w:t xml:space="preserve"> and dividend</w:t>
      </w:r>
      <w:r w:rsidRPr="005A3F47">
        <w:rPr>
          <w:noProof/>
        </w:rPr>
        <w:t>s</w:t>
      </w:r>
      <w:bookmarkEnd w:id="235"/>
      <w:bookmarkEnd w:id="236"/>
      <w:bookmarkEnd w:id="237"/>
      <w:bookmarkEnd w:id="238"/>
    </w:p>
    <w:p w14:paraId="7EB7FF0E" w14:textId="39A5214E" w:rsidR="00F203DA" w:rsidRPr="005A3F47" w:rsidRDefault="00921253" w:rsidP="00F203DA">
      <w:pPr>
        <w:rPr>
          <w:noProof/>
        </w:rPr>
      </w:pPr>
      <w:r w:rsidRPr="005A3F47">
        <w:rPr>
          <w:noProof/>
        </w:rPr>
        <w:t xml:space="preserve">Option A accounts for the preferred simplification measure. </w:t>
      </w:r>
      <w:r w:rsidR="00D63FA1" w:rsidRPr="005A3F47">
        <w:rPr>
          <w:noProof/>
        </w:rPr>
        <w:t>T</w:t>
      </w:r>
      <w:r w:rsidRPr="005A3F47">
        <w:rPr>
          <w:noProof/>
        </w:rPr>
        <w:t>his is t</w:t>
      </w:r>
      <w:r w:rsidR="00D63FA1" w:rsidRPr="005A3F47">
        <w:rPr>
          <w:noProof/>
        </w:rPr>
        <w:t xml:space="preserve">o </w:t>
      </w:r>
      <w:r w:rsidR="00E35B07" w:rsidRPr="005A3F47">
        <w:rPr>
          <w:noProof/>
        </w:rPr>
        <w:t>facilitate the tax</w:t>
      </w:r>
      <w:r w:rsidR="00B02480" w:rsidRPr="005A3F47">
        <w:rPr>
          <w:noProof/>
        </w:rPr>
        <w:t xml:space="preserve"> exemption</w:t>
      </w:r>
      <w:r w:rsidR="00E35B07" w:rsidRPr="005A3F47">
        <w:rPr>
          <w:noProof/>
        </w:rPr>
        <w:t xml:space="preserve"> of cross-border interest, </w:t>
      </w:r>
      <w:r w:rsidR="00933C2A" w:rsidRPr="005A3F47">
        <w:rPr>
          <w:noProof/>
        </w:rPr>
        <w:t>royalties, and dividends</w:t>
      </w:r>
      <w:r w:rsidR="00FD6204" w:rsidRPr="005A3F47">
        <w:rPr>
          <w:noProof/>
        </w:rPr>
        <w:t xml:space="preserve"> within the EU,</w:t>
      </w:r>
      <w:r w:rsidR="00FD6204" w:rsidRPr="005A3F47" w:rsidDel="00921253">
        <w:rPr>
          <w:noProof/>
        </w:rPr>
        <w:t xml:space="preserve"> </w:t>
      </w:r>
      <w:r w:rsidR="00E659E5" w:rsidRPr="005A3F47">
        <w:rPr>
          <w:noProof/>
        </w:rPr>
        <w:t xml:space="preserve">i.e., </w:t>
      </w:r>
      <w:r w:rsidR="009C118A" w:rsidRPr="005A3F47">
        <w:rPr>
          <w:noProof/>
        </w:rPr>
        <w:t>a</w:t>
      </w:r>
      <w:r w:rsidR="00E659E5" w:rsidRPr="005A3F47" w:rsidDel="00AE6BA8">
        <w:rPr>
          <w:noProof/>
        </w:rPr>
        <w:t xml:space="preserve"> </w:t>
      </w:r>
      <w:r w:rsidR="00E659E5" w:rsidRPr="005A3F47">
        <w:rPr>
          <w:noProof/>
        </w:rPr>
        <w:t xml:space="preserve">tax exemption </w:t>
      </w:r>
      <w:r w:rsidR="00C40366" w:rsidRPr="005A3F47">
        <w:rPr>
          <w:noProof/>
        </w:rPr>
        <w:t xml:space="preserve">of all such payments without consideration of </w:t>
      </w:r>
      <w:r w:rsidR="000003BF" w:rsidRPr="005A3F47">
        <w:rPr>
          <w:noProof/>
        </w:rPr>
        <w:t xml:space="preserve">holding </w:t>
      </w:r>
      <w:r w:rsidR="00C40366" w:rsidRPr="005A3F47">
        <w:rPr>
          <w:noProof/>
        </w:rPr>
        <w:t>threshold</w:t>
      </w:r>
      <w:r w:rsidR="00382BCC" w:rsidRPr="005A3F47">
        <w:rPr>
          <w:noProof/>
        </w:rPr>
        <w:t xml:space="preserve"> and</w:t>
      </w:r>
      <w:r w:rsidR="00C40366" w:rsidRPr="005A3F47">
        <w:rPr>
          <w:noProof/>
        </w:rPr>
        <w:t xml:space="preserve"> </w:t>
      </w:r>
      <w:r w:rsidR="00E659E5" w:rsidRPr="005A3F47">
        <w:rPr>
          <w:noProof/>
        </w:rPr>
        <w:t>accompanied by</w:t>
      </w:r>
      <w:r w:rsidR="00F5537D" w:rsidRPr="005A3F47">
        <w:rPr>
          <w:noProof/>
        </w:rPr>
        <w:t xml:space="preserve"> reduced</w:t>
      </w:r>
      <w:r w:rsidR="00E95F48" w:rsidRPr="005A3F47">
        <w:rPr>
          <w:noProof/>
        </w:rPr>
        <w:t xml:space="preserve"> or no</w:t>
      </w:r>
      <w:r w:rsidR="00E659E5" w:rsidRPr="005A3F47">
        <w:rPr>
          <w:noProof/>
        </w:rPr>
        <w:t xml:space="preserve"> procedural</w:t>
      </w:r>
      <w:r w:rsidR="00E95F48" w:rsidRPr="005A3F47">
        <w:rPr>
          <w:noProof/>
        </w:rPr>
        <w:t xml:space="preserve"> requirements</w:t>
      </w:r>
      <w:r w:rsidR="003A5BC2" w:rsidRPr="005A3F47">
        <w:rPr>
          <w:noProof/>
        </w:rPr>
        <w:t>.</w:t>
      </w:r>
    </w:p>
    <w:p w14:paraId="343A18D1" w14:textId="5A27B1BB" w:rsidR="006E374F" w:rsidRPr="005A3F47" w:rsidRDefault="001152C3" w:rsidP="00F203DA">
      <w:pPr>
        <w:rPr>
          <w:noProof/>
        </w:rPr>
      </w:pPr>
      <w:r w:rsidRPr="005A3F47">
        <w:rPr>
          <w:noProof/>
        </w:rPr>
        <w:t xml:space="preserve">Overall, the option scores </w:t>
      </w:r>
      <w:r w:rsidR="00F37034" w:rsidRPr="005A3F47">
        <w:rPr>
          <w:noProof/>
        </w:rPr>
        <w:t xml:space="preserve">high in terms of </w:t>
      </w:r>
      <w:r w:rsidR="00310B7E" w:rsidRPr="005A3F47">
        <w:rPr>
          <w:noProof/>
        </w:rPr>
        <w:t>fulfilling</w:t>
      </w:r>
      <w:r w:rsidR="00F37034" w:rsidRPr="005A3F47">
        <w:rPr>
          <w:noProof/>
        </w:rPr>
        <w:t xml:space="preserve"> all the </w:t>
      </w:r>
      <w:r w:rsidR="00E630ED" w:rsidRPr="005A3F47">
        <w:rPr>
          <w:noProof/>
        </w:rPr>
        <w:t>specific objectives</w:t>
      </w:r>
      <w:r w:rsidR="005B0CA0" w:rsidRPr="005A3F47">
        <w:rPr>
          <w:noProof/>
        </w:rPr>
        <w:t>.</w:t>
      </w:r>
      <w:r w:rsidR="00690280" w:rsidRPr="005A3F47">
        <w:rPr>
          <w:noProof/>
        </w:rPr>
        <w:t xml:space="preserve"> It will, inter alia, </w:t>
      </w:r>
      <w:r w:rsidR="00B8249D" w:rsidRPr="005A3F47">
        <w:rPr>
          <w:noProof/>
        </w:rPr>
        <w:t xml:space="preserve">provide </w:t>
      </w:r>
      <w:r w:rsidR="00077ADF" w:rsidRPr="005A3F47">
        <w:rPr>
          <w:noProof/>
        </w:rPr>
        <w:t xml:space="preserve">consistency </w:t>
      </w:r>
      <w:r w:rsidR="0094761F" w:rsidRPr="005A3F47">
        <w:rPr>
          <w:noProof/>
        </w:rPr>
        <w:t>in the application</w:t>
      </w:r>
      <w:r w:rsidR="00B8249D" w:rsidRPr="005A3F47">
        <w:rPr>
          <w:noProof/>
        </w:rPr>
        <w:t xml:space="preserve"> of the IRD and the PSD </w:t>
      </w:r>
      <w:r w:rsidR="00D07DA3" w:rsidRPr="005A3F47">
        <w:rPr>
          <w:noProof/>
        </w:rPr>
        <w:t>by</w:t>
      </w:r>
      <w:r w:rsidR="00B8249D" w:rsidRPr="005A3F47">
        <w:rPr>
          <w:noProof/>
        </w:rPr>
        <w:t xml:space="preserve"> extending the </w:t>
      </w:r>
      <w:r w:rsidR="00E248B6" w:rsidRPr="005A3F47">
        <w:rPr>
          <w:noProof/>
        </w:rPr>
        <w:t>scope of the</w:t>
      </w:r>
      <w:r w:rsidR="6C32523E" w:rsidRPr="005A3F47">
        <w:rPr>
          <w:noProof/>
        </w:rPr>
        <w:t>se</w:t>
      </w:r>
      <w:r w:rsidR="00E248B6" w:rsidRPr="005A3F47">
        <w:rPr>
          <w:noProof/>
        </w:rPr>
        <w:t xml:space="preserve"> </w:t>
      </w:r>
      <w:r w:rsidR="1A6098DD" w:rsidRPr="005A3F47">
        <w:rPr>
          <w:noProof/>
        </w:rPr>
        <w:t>D</w:t>
      </w:r>
      <w:r w:rsidR="00E248B6" w:rsidRPr="005A3F47">
        <w:rPr>
          <w:noProof/>
        </w:rPr>
        <w:t>irectives to all</w:t>
      </w:r>
      <w:r w:rsidR="008E751A" w:rsidRPr="005A3F47">
        <w:rPr>
          <w:noProof/>
        </w:rPr>
        <w:t xml:space="preserve"> </w:t>
      </w:r>
      <w:r w:rsidR="007D4E8A" w:rsidRPr="005A3F47">
        <w:rPr>
          <w:noProof/>
        </w:rPr>
        <w:t>interest, royalty, and dividend payments within the EU</w:t>
      </w:r>
      <w:r w:rsidR="00B92D27" w:rsidRPr="005A3F47">
        <w:rPr>
          <w:noProof/>
        </w:rPr>
        <w:t>, while removing upfront procedural req</w:t>
      </w:r>
      <w:r w:rsidR="00214374" w:rsidRPr="005A3F47">
        <w:rPr>
          <w:noProof/>
        </w:rPr>
        <w:t>uirements.</w:t>
      </w:r>
      <w:r w:rsidR="005E0DFA" w:rsidRPr="005A3F47">
        <w:rPr>
          <w:noProof/>
        </w:rPr>
        <w:t xml:space="preserve"> The update and alignment of the Annexes will </w:t>
      </w:r>
      <w:r w:rsidR="008F60F8" w:rsidRPr="005A3F47">
        <w:rPr>
          <w:noProof/>
        </w:rPr>
        <w:t xml:space="preserve">contribute to </w:t>
      </w:r>
      <w:r w:rsidR="00431CC6" w:rsidRPr="005A3F47">
        <w:rPr>
          <w:noProof/>
        </w:rPr>
        <w:t>having clearer rules.</w:t>
      </w:r>
      <w:r w:rsidR="00D07DA3" w:rsidRPr="005A3F47">
        <w:rPr>
          <w:noProof/>
        </w:rPr>
        <w:t xml:space="preserve"> In this way,</w:t>
      </w:r>
      <w:r w:rsidR="00816C56" w:rsidRPr="005A3F47">
        <w:rPr>
          <w:noProof/>
        </w:rPr>
        <w:t xml:space="preserve"> </w:t>
      </w:r>
      <w:r w:rsidR="00A247A7" w:rsidRPr="005A3F47">
        <w:rPr>
          <w:noProof/>
        </w:rPr>
        <w:t xml:space="preserve">unnecessary </w:t>
      </w:r>
      <w:r w:rsidR="00C23265" w:rsidRPr="005A3F47">
        <w:rPr>
          <w:noProof/>
        </w:rPr>
        <w:t>tax compliance burdens</w:t>
      </w:r>
      <w:r w:rsidR="008D6FBA" w:rsidRPr="005A3F47">
        <w:rPr>
          <w:noProof/>
        </w:rPr>
        <w:t xml:space="preserve"> linked to the application of the</w:t>
      </w:r>
      <w:r w:rsidR="3B84B6BE" w:rsidRPr="005A3F47">
        <w:rPr>
          <w:noProof/>
        </w:rPr>
        <w:t>se</w:t>
      </w:r>
      <w:r w:rsidR="008D6FBA" w:rsidRPr="005A3F47">
        <w:rPr>
          <w:noProof/>
        </w:rPr>
        <w:t xml:space="preserve"> </w:t>
      </w:r>
      <w:r w:rsidR="262403EC" w:rsidRPr="005A3F47">
        <w:rPr>
          <w:noProof/>
        </w:rPr>
        <w:t>D</w:t>
      </w:r>
      <w:r w:rsidR="00C834E0" w:rsidRPr="005A3F47">
        <w:rPr>
          <w:noProof/>
        </w:rPr>
        <w:t xml:space="preserve">irectives should be </w:t>
      </w:r>
      <w:r w:rsidR="00A86756" w:rsidRPr="005A3F47">
        <w:rPr>
          <w:noProof/>
        </w:rPr>
        <w:t>significantly</w:t>
      </w:r>
      <w:r w:rsidR="00C834E0" w:rsidRPr="005A3F47">
        <w:rPr>
          <w:noProof/>
        </w:rPr>
        <w:t xml:space="preserve"> reduced as </w:t>
      </w:r>
      <w:r w:rsidR="00DC61E9" w:rsidRPr="005A3F47">
        <w:rPr>
          <w:noProof/>
        </w:rPr>
        <w:t>fewer requirements will have to be met</w:t>
      </w:r>
      <w:r w:rsidR="00C81BD9" w:rsidRPr="005A3F47">
        <w:rPr>
          <w:noProof/>
        </w:rPr>
        <w:t>, in order</w:t>
      </w:r>
      <w:r w:rsidR="00DC61E9" w:rsidRPr="005A3F47">
        <w:rPr>
          <w:noProof/>
        </w:rPr>
        <w:t xml:space="preserve"> to benefit from the rules</w:t>
      </w:r>
      <w:r w:rsidR="00A86756" w:rsidRPr="005A3F47">
        <w:rPr>
          <w:noProof/>
        </w:rPr>
        <w:t xml:space="preserve"> and as the </w:t>
      </w:r>
      <w:r w:rsidR="00350137" w:rsidRPr="005A3F47">
        <w:rPr>
          <w:noProof/>
        </w:rPr>
        <w:t>option also provide</w:t>
      </w:r>
      <w:r w:rsidR="005542CD" w:rsidRPr="005A3F47">
        <w:rPr>
          <w:noProof/>
        </w:rPr>
        <w:t>s</w:t>
      </w:r>
      <w:r w:rsidR="00350137" w:rsidRPr="005A3F47">
        <w:rPr>
          <w:noProof/>
        </w:rPr>
        <w:t xml:space="preserve"> for </w:t>
      </w:r>
      <w:r w:rsidR="00D97245" w:rsidRPr="005A3F47">
        <w:rPr>
          <w:noProof/>
        </w:rPr>
        <w:t>greater harmonisation of the procedures</w:t>
      </w:r>
      <w:r w:rsidR="003C55D4" w:rsidRPr="005A3F47">
        <w:rPr>
          <w:noProof/>
        </w:rPr>
        <w:t xml:space="preserve">, thereby also delivering on </w:t>
      </w:r>
      <w:r w:rsidR="00B512AB" w:rsidRPr="005A3F47">
        <w:rPr>
          <w:noProof/>
        </w:rPr>
        <w:t xml:space="preserve">reducing remaining tax obstacles to cross-border </w:t>
      </w:r>
      <w:r w:rsidR="004373EC" w:rsidRPr="005A3F47">
        <w:rPr>
          <w:noProof/>
        </w:rPr>
        <w:t>investment and commercial activity</w:t>
      </w:r>
      <w:r w:rsidR="00450DE1" w:rsidRPr="005A3F47">
        <w:rPr>
          <w:noProof/>
        </w:rPr>
        <w:t>.</w:t>
      </w:r>
      <w:r w:rsidR="00164DB7" w:rsidRPr="005A3F47">
        <w:rPr>
          <w:noProof/>
        </w:rPr>
        <w:t xml:space="preserve"> </w:t>
      </w:r>
    </w:p>
    <w:p w14:paraId="54D85E3F" w14:textId="49651BDE" w:rsidR="00B50012" w:rsidRPr="005A3F47" w:rsidRDefault="006E374F" w:rsidP="00FA5980">
      <w:pPr>
        <w:rPr>
          <w:noProof/>
        </w:rPr>
      </w:pPr>
      <w:r w:rsidRPr="005A3F47">
        <w:rPr>
          <w:noProof/>
        </w:rPr>
        <w:t>These results</w:t>
      </w:r>
      <w:r w:rsidR="00386EED" w:rsidRPr="005A3F47">
        <w:rPr>
          <w:noProof/>
        </w:rPr>
        <w:t xml:space="preserve"> indicate </w:t>
      </w:r>
      <w:r w:rsidR="009A65DF" w:rsidRPr="005A3F47">
        <w:rPr>
          <w:noProof/>
        </w:rPr>
        <w:t xml:space="preserve">not only </w:t>
      </w:r>
      <w:r w:rsidR="00386EED" w:rsidRPr="005A3F47">
        <w:rPr>
          <w:noProof/>
        </w:rPr>
        <w:t xml:space="preserve">a significant contribution to reaching the general objectives </w:t>
      </w:r>
      <w:r w:rsidR="00E630ED" w:rsidRPr="005A3F47">
        <w:rPr>
          <w:noProof/>
        </w:rPr>
        <w:t xml:space="preserve">of the Omnibus </w:t>
      </w:r>
      <w:r w:rsidR="15AFC824" w:rsidRPr="005A3F47">
        <w:rPr>
          <w:noProof/>
        </w:rPr>
        <w:t xml:space="preserve">on Taxation </w:t>
      </w:r>
      <w:r w:rsidR="00E630ED" w:rsidRPr="005A3F47">
        <w:rPr>
          <w:noProof/>
        </w:rPr>
        <w:t>pro</w:t>
      </w:r>
      <w:r w:rsidR="009E76E6" w:rsidRPr="005A3F47">
        <w:rPr>
          <w:noProof/>
        </w:rPr>
        <w:t>posal</w:t>
      </w:r>
      <w:r w:rsidR="009A65DF" w:rsidRPr="005A3F47">
        <w:rPr>
          <w:noProof/>
        </w:rPr>
        <w:t xml:space="preserve"> itself,</w:t>
      </w:r>
      <w:r w:rsidR="00F835F5" w:rsidRPr="005A3F47">
        <w:rPr>
          <w:noProof/>
        </w:rPr>
        <w:t xml:space="preserve"> as</w:t>
      </w:r>
      <w:r w:rsidR="0092254B" w:rsidRPr="005A3F47">
        <w:rPr>
          <w:noProof/>
        </w:rPr>
        <w:t xml:space="preserve"> </w:t>
      </w:r>
      <w:r w:rsidR="4CB60A31" w:rsidRPr="005A3F47">
        <w:rPr>
          <w:noProof/>
        </w:rPr>
        <w:t xml:space="preserve">the proposal </w:t>
      </w:r>
      <w:r w:rsidR="00CE573E" w:rsidRPr="005A3F47">
        <w:rPr>
          <w:noProof/>
        </w:rPr>
        <w:t>simplifies EU tax rules with a view to boosting EU competitiveness</w:t>
      </w:r>
      <w:r w:rsidR="009A65DF" w:rsidRPr="005A3F47">
        <w:rPr>
          <w:noProof/>
        </w:rPr>
        <w:t xml:space="preserve">, but also </w:t>
      </w:r>
      <w:r w:rsidR="00DE7D83" w:rsidRPr="005A3F47">
        <w:rPr>
          <w:noProof/>
        </w:rPr>
        <w:t>to other EU policies such as the Savings and Investment Union</w:t>
      </w:r>
      <w:r w:rsidR="00F835F5" w:rsidRPr="005A3F47">
        <w:rPr>
          <w:noProof/>
        </w:rPr>
        <w:t xml:space="preserve">. At the same time, </w:t>
      </w:r>
      <w:r w:rsidR="00AC5B64" w:rsidRPr="005A3F47">
        <w:rPr>
          <w:noProof/>
        </w:rPr>
        <w:t xml:space="preserve">the option </w:t>
      </w:r>
      <w:r w:rsidR="008D2986" w:rsidRPr="005A3F47">
        <w:rPr>
          <w:noProof/>
        </w:rPr>
        <w:t>uphold</w:t>
      </w:r>
      <w:r w:rsidR="00B7007E" w:rsidRPr="005A3F47">
        <w:rPr>
          <w:noProof/>
        </w:rPr>
        <w:t>s</w:t>
      </w:r>
      <w:r w:rsidR="008D2986" w:rsidRPr="005A3F47">
        <w:rPr>
          <w:noProof/>
        </w:rPr>
        <w:t xml:space="preserve"> the </w:t>
      </w:r>
      <w:r w:rsidR="00F32424" w:rsidRPr="005A3F47">
        <w:rPr>
          <w:noProof/>
        </w:rPr>
        <w:t>original objective</w:t>
      </w:r>
      <w:r w:rsidR="00D34C5D" w:rsidRPr="005A3F47">
        <w:rPr>
          <w:noProof/>
        </w:rPr>
        <w:t>s</w:t>
      </w:r>
      <w:r w:rsidR="00F32424" w:rsidRPr="005A3F47">
        <w:rPr>
          <w:noProof/>
        </w:rPr>
        <w:t xml:space="preserve"> of the IRD</w:t>
      </w:r>
      <w:r w:rsidR="00D34C5D" w:rsidRPr="005A3F47">
        <w:rPr>
          <w:noProof/>
        </w:rPr>
        <w:t xml:space="preserve"> and the PSD</w:t>
      </w:r>
      <w:r w:rsidR="00F32424" w:rsidRPr="005A3F47">
        <w:rPr>
          <w:noProof/>
        </w:rPr>
        <w:t xml:space="preserve">, i.e., </w:t>
      </w:r>
      <w:r w:rsidR="00D34C5D" w:rsidRPr="005A3F47">
        <w:rPr>
          <w:noProof/>
        </w:rPr>
        <w:t>eliminating double</w:t>
      </w:r>
      <w:r w:rsidR="008A55B9" w:rsidRPr="005A3F47">
        <w:rPr>
          <w:noProof/>
        </w:rPr>
        <w:t xml:space="preserve"> </w:t>
      </w:r>
      <w:r w:rsidR="00D34C5D" w:rsidRPr="005A3F47">
        <w:rPr>
          <w:noProof/>
        </w:rPr>
        <w:t>taxation</w:t>
      </w:r>
      <w:r w:rsidR="003C388C" w:rsidRPr="005A3F47">
        <w:rPr>
          <w:noProof/>
        </w:rPr>
        <w:t xml:space="preserve"> and reducing administrative burdens within the EU</w:t>
      </w:r>
      <w:r w:rsidR="00A471D2" w:rsidRPr="005A3F47">
        <w:rPr>
          <w:noProof/>
        </w:rPr>
        <w:t>, while the</w:t>
      </w:r>
      <w:r w:rsidR="00CE573E" w:rsidRPr="005A3F47">
        <w:rPr>
          <w:noProof/>
        </w:rPr>
        <w:t xml:space="preserve"> </w:t>
      </w:r>
      <w:r w:rsidR="000642C2" w:rsidRPr="005A3F47">
        <w:rPr>
          <w:noProof/>
        </w:rPr>
        <w:t>accompanying</w:t>
      </w:r>
      <w:r w:rsidR="00992BD1" w:rsidRPr="005A3F47">
        <w:rPr>
          <w:noProof/>
        </w:rPr>
        <w:t xml:space="preserve"> protective measure targeting royalty and interest payments </w:t>
      </w:r>
      <w:r w:rsidR="002450EC" w:rsidRPr="005A3F47">
        <w:rPr>
          <w:noProof/>
        </w:rPr>
        <w:t xml:space="preserve">to zero-tax jurisdictions </w:t>
      </w:r>
      <w:r w:rsidR="009E7000" w:rsidRPr="005A3F47">
        <w:rPr>
          <w:noProof/>
        </w:rPr>
        <w:t xml:space="preserve">will </w:t>
      </w:r>
      <w:r w:rsidR="00772E61" w:rsidRPr="005A3F47">
        <w:rPr>
          <w:noProof/>
        </w:rPr>
        <w:t xml:space="preserve">remove the risk of unintended </w:t>
      </w:r>
      <w:r w:rsidR="00536510" w:rsidRPr="005A3F47">
        <w:rPr>
          <w:noProof/>
        </w:rPr>
        <w:t>consequences</w:t>
      </w:r>
      <w:r w:rsidR="00460E88" w:rsidRPr="005A3F47">
        <w:rPr>
          <w:noProof/>
        </w:rPr>
        <w:t xml:space="preserve">, such </w:t>
      </w:r>
      <w:r w:rsidR="0044069A" w:rsidRPr="005A3F47">
        <w:rPr>
          <w:noProof/>
        </w:rPr>
        <w:t xml:space="preserve">as </w:t>
      </w:r>
      <w:r w:rsidR="009230EC" w:rsidRPr="005A3F47">
        <w:rPr>
          <w:noProof/>
        </w:rPr>
        <w:t>leaving the door open for</w:t>
      </w:r>
      <w:r w:rsidR="00460E88" w:rsidRPr="005A3F47">
        <w:rPr>
          <w:noProof/>
        </w:rPr>
        <w:t xml:space="preserve"> tax planning </w:t>
      </w:r>
      <w:r w:rsidR="00FC4B80" w:rsidRPr="005A3F47">
        <w:rPr>
          <w:noProof/>
        </w:rPr>
        <w:t>practices</w:t>
      </w:r>
      <w:r w:rsidR="00460E88" w:rsidRPr="005A3F47">
        <w:rPr>
          <w:noProof/>
        </w:rPr>
        <w:t xml:space="preserve">. </w:t>
      </w:r>
      <w:r w:rsidR="007C6B3A" w:rsidRPr="005A3F47">
        <w:rPr>
          <w:noProof/>
        </w:rPr>
        <w:t xml:space="preserve">The </w:t>
      </w:r>
      <w:r w:rsidR="00A86E5F" w:rsidRPr="005A3F47">
        <w:rPr>
          <w:noProof/>
        </w:rPr>
        <w:t>protective measure</w:t>
      </w:r>
      <w:r w:rsidR="00992BD1" w:rsidRPr="005A3F47">
        <w:rPr>
          <w:noProof/>
        </w:rPr>
        <w:t xml:space="preserve"> </w:t>
      </w:r>
      <w:r w:rsidR="002B688A" w:rsidRPr="005A3F47">
        <w:rPr>
          <w:noProof/>
        </w:rPr>
        <w:t xml:space="preserve">will ensure that </w:t>
      </w:r>
      <w:r w:rsidR="00A857FA" w:rsidRPr="005A3F47">
        <w:rPr>
          <w:noProof/>
        </w:rPr>
        <w:t>the current level of protection,</w:t>
      </w:r>
      <w:r w:rsidR="001B19E5" w:rsidRPr="005A3F47">
        <w:rPr>
          <w:noProof/>
        </w:rPr>
        <w:t xml:space="preserve"> </w:t>
      </w:r>
      <w:r w:rsidR="00CA4605" w:rsidRPr="005A3F47">
        <w:rPr>
          <w:noProof/>
        </w:rPr>
        <w:t>and thereby</w:t>
      </w:r>
      <w:r w:rsidR="001B19E5" w:rsidRPr="005A3F47">
        <w:rPr>
          <w:noProof/>
        </w:rPr>
        <w:t xml:space="preserve"> </w:t>
      </w:r>
      <w:r w:rsidR="00F00565" w:rsidRPr="005A3F47">
        <w:rPr>
          <w:noProof/>
        </w:rPr>
        <w:t xml:space="preserve">the </w:t>
      </w:r>
      <w:r w:rsidR="009E7000" w:rsidRPr="005A3F47">
        <w:rPr>
          <w:noProof/>
        </w:rPr>
        <w:t>high tax standards</w:t>
      </w:r>
      <w:r w:rsidR="00F00565" w:rsidRPr="005A3F47">
        <w:rPr>
          <w:noProof/>
        </w:rPr>
        <w:t xml:space="preserve">, </w:t>
      </w:r>
      <w:r w:rsidR="00FF3223" w:rsidRPr="005A3F47">
        <w:rPr>
          <w:noProof/>
        </w:rPr>
        <w:t>are</w:t>
      </w:r>
      <w:r w:rsidR="00F00565" w:rsidRPr="005A3F47">
        <w:rPr>
          <w:noProof/>
        </w:rPr>
        <w:t xml:space="preserve"> maintained</w:t>
      </w:r>
      <w:r w:rsidR="00A86E5F" w:rsidRPr="005A3F47">
        <w:rPr>
          <w:noProof/>
        </w:rPr>
        <w:t xml:space="preserve"> </w:t>
      </w:r>
      <w:r w:rsidR="001B19E5" w:rsidRPr="005A3F47">
        <w:rPr>
          <w:noProof/>
        </w:rPr>
        <w:t>in the EU.</w:t>
      </w:r>
    </w:p>
    <w:p w14:paraId="2D38DA09" w14:textId="1C1BFE2F" w:rsidR="009746FF" w:rsidRPr="005A3F47" w:rsidRDefault="009746FF" w:rsidP="00965B24">
      <w:pPr>
        <w:pStyle w:val="Heading3"/>
        <w:numPr>
          <w:ilvl w:val="2"/>
          <w:numId w:val="216"/>
        </w:numPr>
        <w:rPr>
          <w:noProof/>
        </w:rPr>
      </w:pPr>
      <w:bookmarkStart w:id="239" w:name="_Toc226466846"/>
      <w:bookmarkStart w:id="240" w:name="_Toc226467207"/>
      <w:bookmarkStart w:id="241" w:name="_Toc226467307"/>
      <w:bookmarkStart w:id="242" w:name="_Toc226467526"/>
      <w:r w:rsidRPr="005A3F47">
        <w:rPr>
          <w:noProof/>
        </w:rPr>
        <w:t>Taxation of Controlled Foreign Companies</w:t>
      </w:r>
      <w:bookmarkEnd w:id="239"/>
      <w:bookmarkEnd w:id="240"/>
      <w:bookmarkEnd w:id="241"/>
      <w:bookmarkEnd w:id="242"/>
    </w:p>
    <w:p w14:paraId="6E2DBFF2" w14:textId="2EBFB70C" w:rsidR="00BE451F" w:rsidRPr="005A3F47" w:rsidRDefault="00AA4DC8" w:rsidP="00BE451F">
      <w:pPr>
        <w:rPr>
          <w:noProof/>
        </w:rPr>
      </w:pPr>
      <w:r w:rsidRPr="005A3F47">
        <w:rPr>
          <w:noProof/>
        </w:rPr>
        <w:t xml:space="preserve">To address the identified issues related to CFC rules in </w:t>
      </w:r>
      <w:r w:rsidR="00535BA7" w:rsidRPr="005A3F47">
        <w:rPr>
          <w:noProof/>
        </w:rPr>
        <w:t xml:space="preserve">the </w:t>
      </w:r>
      <w:r w:rsidRPr="005A3F47">
        <w:rPr>
          <w:noProof/>
        </w:rPr>
        <w:t>ATAD,</w:t>
      </w:r>
      <w:r w:rsidR="00B848C0" w:rsidRPr="005A3F47">
        <w:rPr>
          <w:noProof/>
        </w:rPr>
        <w:t xml:space="preserve"> the preferred </w:t>
      </w:r>
      <w:r w:rsidR="00602B44" w:rsidRPr="005A3F47">
        <w:rPr>
          <w:noProof/>
        </w:rPr>
        <w:t xml:space="preserve">simplification measures constitute a combination of </w:t>
      </w:r>
      <w:r w:rsidR="00DA5293" w:rsidRPr="005A3F47">
        <w:rPr>
          <w:noProof/>
        </w:rPr>
        <w:t>O</w:t>
      </w:r>
      <w:r w:rsidR="00602B44" w:rsidRPr="005A3F47">
        <w:rPr>
          <w:noProof/>
        </w:rPr>
        <w:t>ption</w:t>
      </w:r>
      <w:r w:rsidR="00B848C0" w:rsidRPr="005A3F47">
        <w:rPr>
          <w:noProof/>
        </w:rPr>
        <w:t xml:space="preserve"> </w:t>
      </w:r>
      <w:r w:rsidR="00206A02" w:rsidRPr="005A3F47">
        <w:rPr>
          <w:noProof/>
        </w:rPr>
        <w:t xml:space="preserve">1, </w:t>
      </w:r>
      <w:r w:rsidR="00944193" w:rsidRPr="005A3F47">
        <w:rPr>
          <w:noProof/>
        </w:rPr>
        <w:t xml:space="preserve">i.e., </w:t>
      </w:r>
      <w:r w:rsidR="00206A02" w:rsidRPr="005A3F47">
        <w:rPr>
          <w:noProof/>
        </w:rPr>
        <w:t>mandatory</w:t>
      </w:r>
      <w:r w:rsidR="00944193" w:rsidRPr="005A3F47">
        <w:rPr>
          <w:noProof/>
        </w:rPr>
        <w:t xml:space="preserve"> application of </w:t>
      </w:r>
      <w:r w:rsidR="00DA5293" w:rsidRPr="005A3F47">
        <w:rPr>
          <w:noProof/>
        </w:rPr>
        <w:t>‘M</w:t>
      </w:r>
      <w:r w:rsidR="00944193" w:rsidRPr="005A3F47">
        <w:rPr>
          <w:noProof/>
        </w:rPr>
        <w:t>odel A</w:t>
      </w:r>
      <w:r w:rsidR="00DA5293" w:rsidRPr="005A3F47">
        <w:rPr>
          <w:noProof/>
        </w:rPr>
        <w:t>’,</w:t>
      </w:r>
      <w:r w:rsidR="00E83396" w:rsidRPr="005A3F47">
        <w:rPr>
          <w:noProof/>
        </w:rPr>
        <w:t xml:space="preserve"> Option 2A, i.e., carveout of Pillar 2 companies, and Option 3, i.e., carveout of SMEs.</w:t>
      </w:r>
    </w:p>
    <w:p w14:paraId="0FD8F23D" w14:textId="1FC62AAB" w:rsidR="0052723A" w:rsidRPr="005A3F47" w:rsidRDefault="00EE274E" w:rsidP="00BE451F">
      <w:pPr>
        <w:rPr>
          <w:noProof/>
        </w:rPr>
      </w:pPr>
      <w:r w:rsidRPr="005A3F47">
        <w:rPr>
          <w:noProof/>
        </w:rPr>
        <w:t xml:space="preserve">The mandatory application of </w:t>
      </w:r>
      <w:r w:rsidR="00DB59B2" w:rsidRPr="005A3F47">
        <w:rPr>
          <w:noProof/>
        </w:rPr>
        <w:t>the CFC rules based on ‘Model A’</w:t>
      </w:r>
      <w:r w:rsidR="003231E3" w:rsidRPr="005A3F47">
        <w:rPr>
          <w:noProof/>
        </w:rPr>
        <w:t xml:space="preserve"> </w:t>
      </w:r>
      <w:r w:rsidR="0060568B" w:rsidRPr="005A3F47">
        <w:rPr>
          <w:noProof/>
        </w:rPr>
        <w:t>i</w:t>
      </w:r>
      <w:r w:rsidR="0094660A" w:rsidRPr="005A3F47">
        <w:rPr>
          <w:noProof/>
        </w:rPr>
        <w:t xml:space="preserve">ntroduces </w:t>
      </w:r>
      <w:r w:rsidR="002160F5" w:rsidRPr="005A3F47">
        <w:rPr>
          <w:noProof/>
        </w:rPr>
        <w:t xml:space="preserve">a </w:t>
      </w:r>
      <w:r w:rsidR="004144E8" w:rsidRPr="005A3F47">
        <w:rPr>
          <w:noProof/>
        </w:rPr>
        <w:t xml:space="preserve">common </w:t>
      </w:r>
      <w:r w:rsidR="000A789A" w:rsidRPr="005A3F47">
        <w:rPr>
          <w:noProof/>
        </w:rPr>
        <w:t>CFC standard in the EU</w:t>
      </w:r>
      <w:r w:rsidR="006C4746" w:rsidRPr="005A3F47">
        <w:rPr>
          <w:noProof/>
        </w:rPr>
        <w:t>.</w:t>
      </w:r>
      <w:r w:rsidR="00F1383A" w:rsidRPr="005A3F47">
        <w:rPr>
          <w:noProof/>
        </w:rPr>
        <w:t xml:space="preserve"> Compared to the </w:t>
      </w:r>
      <w:r w:rsidR="00562A47" w:rsidRPr="005A3F47">
        <w:rPr>
          <w:noProof/>
        </w:rPr>
        <w:t xml:space="preserve">current </w:t>
      </w:r>
      <w:r w:rsidR="00FB57A4" w:rsidRPr="005A3F47">
        <w:rPr>
          <w:noProof/>
        </w:rPr>
        <w:t xml:space="preserve">divergence </w:t>
      </w:r>
      <w:r w:rsidR="00C04B23" w:rsidRPr="005A3F47">
        <w:rPr>
          <w:noProof/>
        </w:rPr>
        <w:t>in the</w:t>
      </w:r>
      <w:r w:rsidR="00F1383A" w:rsidRPr="005A3F47">
        <w:rPr>
          <w:noProof/>
        </w:rPr>
        <w:t xml:space="preserve"> </w:t>
      </w:r>
      <w:r w:rsidR="00562A47" w:rsidRPr="005A3F47">
        <w:rPr>
          <w:noProof/>
        </w:rPr>
        <w:t>application of the rules,</w:t>
      </w:r>
      <w:r w:rsidR="00A41945" w:rsidRPr="005A3F47">
        <w:rPr>
          <w:noProof/>
        </w:rPr>
        <w:t xml:space="preserve"> the measure will</w:t>
      </w:r>
      <w:r w:rsidR="000C5CDA" w:rsidRPr="005A3F47">
        <w:rPr>
          <w:noProof/>
        </w:rPr>
        <w:t xml:space="preserve"> effectively</w:t>
      </w:r>
      <w:r w:rsidR="00A41945" w:rsidRPr="005A3F47">
        <w:rPr>
          <w:noProof/>
        </w:rPr>
        <w:t xml:space="preserve"> </w:t>
      </w:r>
      <w:r w:rsidR="00790D4A" w:rsidRPr="005A3F47">
        <w:rPr>
          <w:noProof/>
        </w:rPr>
        <w:t xml:space="preserve">improve the </w:t>
      </w:r>
      <w:r w:rsidR="004921FE" w:rsidRPr="005A3F47">
        <w:rPr>
          <w:noProof/>
        </w:rPr>
        <w:t>consistent</w:t>
      </w:r>
      <w:r w:rsidR="00790D4A" w:rsidRPr="005A3F47">
        <w:rPr>
          <w:noProof/>
        </w:rPr>
        <w:t xml:space="preserve"> application of the CFC rules</w:t>
      </w:r>
      <w:r w:rsidR="00D54801" w:rsidRPr="005A3F47">
        <w:rPr>
          <w:noProof/>
        </w:rPr>
        <w:t xml:space="preserve"> in</w:t>
      </w:r>
      <w:r w:rsidR="005C2F65" w:rsidRPr="005A3F47">
        <w:rPr>
          <w:noProof/>
        </w:rPr>
        <w:t xml:space="preserve"> the</w:t>
      </w:r>
      <w:r w:rsidR="00A41945" w:rsidRPr="005A3F47">
        <w:rPr>
          <w:noProof/>
        </w:rPr>
        <w:t xml:space="preserve"> ATAD</w:t>
      </w:r>
      <w:r w:rsidR="005F02A0" w:rsidRPr="005A3F47">
        <w:rPr>
          <w:noProof/>
        </w:rPr>
        <w:t xml:space="preserve"> and replace</w:t>
      </w:r>
      <w:r w:rsidR="001E14DA" w:rsidRPr="005A3F47">
        <w:rPr>
          <w:noProof/>
        </w:rPr>
        <w:t xml:space="preserve"> national </w:t>
      </w:r>
      <w:r w:rsidR="000F4FFE" w:rsidRPr="005A3F47">
        <w:rPr>
          <w:noProof/>
        </w:rPr>
        <w:t xml:space="preserve">specificities related </w:t>
      </w:r>
      <w:r w:rsidR="005C2F65" w:rsidRPr="005A3F47">
        <w:rPr>
          <w:noProof/>
        </w:rPr>
        <w:t>thereto</w:t>
      </w:r>
      <w:r w:rsidR="00D142F2" w:rsidRPr="005A3F47">
        <w:rPr>
          <w:noProof/>
        </w:rPr>
        <w:t>, thereby making the rules clearer</w:t>
      </w:r>
      <w:r w:rsidR="00A80B90" w:rsidRPr="005A3F47">
        <w:rPr>
          <w:noProof/>
        </w:rPr>
        <w:t>. While th</w:t>
      </w:r>
      <w:r w:rsidR="004E058C" w:rsidRPr="005A3F47">
        <w:rPr>
          <w:noProof/>
        </w:rPr>
        <w:t xml:space="preserve">is will </w:t>
      </w:r>
      <w:r w:rsidR="003C6EE7" w:rsidRPr="005A3F47">
        <w:rPr>
          <w:noProof/>
        </w:rPr>
        <w:t xml:space="preserve">simplify the application of the rules </w:t>
      </w:r>
      <w:r w:rsidR="003B2F86" w:rsidRPr="005A3F47">
        <w:rPr>
          <w:noProof/>
        </w:rPr>
        <w:t xml:space="preserve">for businesses </w:t>
      </w:r>
      <w:r w:rsidR="00E9250F" w:rsidRPr="005A3F47">
        <w:rPr>
          <w:noProof/>
        </w:rPr>
        <w:t xml:space="preserve">across the EU, the </w:t>
      </w:r>
      <w:r w:rsidR="002F4BFE" w:rsidRPr="005A3F47">
        <w:rPr>
          <w:noProof/>
        </w:rPr>
        <w:t>mandatory applicatio</w:t>
      </w:r>
      <w:r w:rsidR="00634EBE" w:rsidRPr="005A3F47">
        <w:rPr>
          <w:noProof/>
        </w:rPr>
        <w:t xml:space="preserve">n will </w:t>
      </w:r>
      <w:r w:rsidR="00806DDC" w:rsidRPr="005A3F47">
        <w:rPr>
          <w:noProof/>
        </w:rPr>
        <w:t xml:space="preserve">also </w:t>
      </w:r>
      <w:r w:rsidR="00676FCE" w:rsidRPr="005A3F47">
        <w:rPr>
          <w:noProof/>
        </w:rPr>
        <w:t>bring legislative approximation towards higher tax standards in the EU</w:t>
      </w:r>
      <w:r w:rsidR="00700CC1" w:rsidRPr="005A3F47">
        <w:rPr>
          <w:noProof/>
        </w:rPr>
        <w:t xml:space="preserve"> as </w:t>
      </w:r>
      <w:r w:rsidR="00C85235" w:rsidRPr="005A3F47">
        <w:rPr>
          <w:noProof/>
        </w:rPr>
        <w:t>‘</w:t>
      </w:r>
      <w:r w:rsidR="00700CC1" w:rsidRPr="005A3F47">
        <w:rPr>
          <w:noProof/>
        </w:rPr>
        <w:t>Model A</w:t>
      </w:r>
      <w:r w:rsidR="00C85235" w:rsidRPr="005A3F47">
        <w:rPr>
          <w:noProof/>
        </w:rPr>
        <w:t>’</w:t>
      </w:r>
      <w:r w:rsidR="00700CC1" w:rsidRPr="005A3F47">
        <w:rPr>
          <w:noProof/>
        </w:rPr>
        <w:t xml:space="preserve"> </w:t>
      </w:r>
      <w:r w:rsidR="0010602F" w:rsidRPr="005A3F47">
        <w:rPr>
          <w:noProof/>
        </w:rPr>
        <w:t>provides for a more objective test</w:t>
      </w:r>
      <w:r w:rsidR="00C85235" w:rsidRPr="005A3F47">
        <w:rPr>
          <w:noProof/>
        </w:rPr>
        <w:t xml:space="preserve"> than ‘Model B’</w:t>
      </w:r>
      <w:r w:rsidR="00C713DC" w:rsidRPr="005A3F47">
        <w:rPr>
          <w:noProof/>
        </w:rPr>
        <w:t xml:space="preserve"> which is based on Tran</w:t>
      </w:r>
      <w:r w:rsidR="00583E1C" w:rsidRPr="005A3F47">
        <w:rPr>
          <w:noProof/>
        </w:rPr>
        <w:t xml:space="preserve">sfer Pricing </w:t>
      </w:r>
      <w:r w:rsidR="004F4E72" w:rsidRPr="005A3F47">
        <w:rPr>
          <w:noProof/>
        </w:rPr>
        <w:t xml:space="preserve">rules </w:t>
      </w:r>
      <w:r w:rsidR="00191D84" w:rsidRPr="005A3F47">
        <w:rPr>
          <w:noProof/>
        </w:rPr>
        <w:t>entailing</w:t>
      </w:r>
      <w:r w:rsidR="004F4E72" w:rsidRPr="005A3F47">
        <w:rPr>
          <w:noProof/>
        </w:rPr>
        <w:t xml:space="preserve"> </w:t>
      </w:r>
      <w:r w:rsidR="008C4512" w:rsidRPr="005A3F47">
        <w:rPr>
          <w:noProof/>
        </w:rPr>
        <w:t xml:space="preserve">a high </w:t>
      </w:r>
      <w:r w:rsidR="004F4E72" w:rsidRPr="005A3F47">
        <w:rPr>
          <w:noProof/>
        </w:rPr>
        <w:t>degree</w:t>
      </w:r>
      <w:r w:rsidR="008C4512" w:rsidRPr="005A3F47">
        <w:rPr>
          <w:noProof/>
        </w:rPr>
        <w:t xml:space="preserve"> of </w:t>
      </w:r>
      <w:r w:rsidR="004F4E72" w:rsidRPr="005A3F47">
        <w:rPr>
          <w:noProof/>
        </w:rPr>
        <w:t>d</w:t>
      </w:r>
      <w:r w:rsidR="00191D84" w:rsidRPr="005A3F47">
        <w:rPr>
          <w:noProof/>
        </w:rPr>
        <w:t xml:space="preserve">iscretion. </w:t>
      </w:r>
    </w:p>
    <w:p w14:paraId="4B250479" w14:textId="3C546B75" w:rsidR="00EE1B1F" w:rsidRPr="005A3F47" w:rsidRDefault="00D16FB4" w:rsidP="00FA5980">
      <w:pPr>
        <w:rPr>
          <w:noProof/>
        </w:rPr>
      </w:pPr>
      <w:r w:rsidRPr="005A3F47">
        <w:rPr>
          <w:noProof/>
        </w:rPr>
        <w:t>The carveouts</w:t>
      </w:r>
      <w:r w:rsidR="00F13AC7" w:rsidRPr="005A3F47">
        <w:rPr>
          <w:noProof/>
        </w:rPr>
        <w:t xml:space="preserve"> </w:t>
      </w:r>
      <w:r w:rsidR="00E10693" w:rsidRPr="005A3F47">
        <w:rPr>
          <w:noProof/>
        </w:rPr>
        <w:t>ensure</w:t>
      </w:r>
      <w:r w:rsidR="007B2991" w:rsidRPr="005A3F47">
        <w:rPr>
          <w:noProof/>
        </w:rPr>
        <w:t xml:space="preserve"> </w:t>
      </w:r>
      <w:r w:rsidR="00E10693" w:rsidRPr="005A3F47">
        <w:rPr>
          <w:noProof/>
        </w:rPr>
        <w:t xml:space="preserve">that </w:t>
      </w:r>
      <w:r w:rsidR="007B2991" w:rsidRPr="005A3F47">
        <w:rPr>
          <w:noProof/>
        </w:rPr>
        <w:t xml:space="preserve">two low-risk cases will not have to apply the CFC rules: </w:t>
      </w:r>
      <w:r w:rsidR="00DE793A" w:rsidRPr="005A3F47">
        <w:rPr>
          <w:noProof/>
        </w:rPr>
        <w:t>SMEs</w:t>
      </w:r>
      <w:r w:rsidR="000E03DE" w:rsidRPr="005A3F47">
        <w:rPr>
          <w:noProof/>
        </w:rPr>
        <w:t>,</w:t>
      </w:r>
      <w:r w:rsidR="00C93EB1" w:rsidRPr="005A3F47">
        <w:rPr>
          <w:noProof/>
        </w:rPr>
        <w:t xml:space="preserve"> which </w:t>
      </w:r>
      <w:r w:rsidR="00CF50CD" w:rsidRPr="005A3F47">
        <w:rPr>
          <w:noProof/>
        </w:rPr>
        <w:t xml:space="preserve">present </w:t>
      </w:r>
      <w:r w:rsidR="71894A99" w:rsidRPr="005A3F47">
        <w:rPr>
          <w:noProof/>
        </w:rPr>
        <w:t xml:space="preserve">a </w:t>
      </w:r>
      <w:r w:rsidR="00CF50CD" w:rsidRPr="005A3F47">
        <w:rPr>
          <w:noProof/>
        </w:rPr>
        <w:t>low risk</w:t>
      </w:r>
      <w:r w:rsidR="00617878" w:rsidRPr="005A3F47">
        <w:rPr>
          <w:noProof/>
        </w:rPr>
        <w:t xml:space="preserve"> </w:t>
      </w:r>
      <w:r w:rsidR="00CF50CD" w:rsidRPr="005A3F47">
        <w:rPr>
          <w:noProof/>
        </w:rPr>
        <w:t>for engaging</w:t>
      </w:r>
      <w:r w:rsidR="00C93EB1" w:rsidRPr="005A3F47">
        <w:rPr>
          <w:noProof/>
        </w:rPr>
        <w:t xml:space="preserve"> in </w:t>
      </w:r>
      <w:r w:rsidR="00FC722F" w:rsidRPr="005A3F47">
        <w:rPr>
          <w:noProof/>
        </w:rPr>
        <w:t>abusive</w:t>
      </w:r>
      <w:r w:rsidR="019C073B" w:rsidRPr="005A3F47">
        <w:rPr>
          <w:noProof/>
        </w:rPr>
        <w:t xml:space="preserve"> cross-border</w:t>
      </w:r>
      <w:r w:rsidR="00FC722F" w:rsidRPr="005A3F47">
        <w:rPr>
          <w:noProof/>
        </w:rPr>
        <w:t xml:space="preserve"> tax practices</w:t>
      </w:r>
      <w:r w:rsidR="000E03DE" w:rsidRPr="005A3F47">
        <w:rPr>
          <w:noProof/>
        </w:rPr>
        <w:t>,</w:t>
      </w:r>
      <w:r w:rsidR="00FC722F" w:rsidRPr="005A3F47">
        <w:rPr>
          <w:noProof/>
        </w:rPr>
        <w:t xml:space="preserve"> </w:t>
      </w:r>
      <w:r w:rsidR="000E03DE" w:rsidRPr="005A3F47">
        <w:rPr>
          <w:noProof/>
        </w:rPr>
        <w:t xml:space="preserve">and </w:t>
      </w:r>
      <w:r w:rsidR="007B2991" w:rsidRPr="005A3F47">
        <w:rPr>
          <w:noProof/>
        </w:rPr>
        <w:t xml:space="preserve">large </w:t>
      </w:r>
      <w:r w:rsidR="000E03DE" w:rsidRPr="005A3F47">
        <w:rPr>
          <w:noProof/>
        </w:rPr>
        <w:t>MNEs, which</w:t>
      </w:r>
      <w:r w:rsidR="008E1CAD" w:rsidRPr="005A3F47">
        <w:rPr>
          <w:noProof/>
        </w:rPr>
        <w:t xml:space="preserve"> </w:t>
      </w:r>
      <w:r w:rsidR="00E70113" w:rsidRPr="005A3F47">
        <w:rPr>
          <w:noProof/>
        </w:rPr>
        <w:t xml:space="preserve">are </w:t>
      </w:r>
      <w:r w:rsidR="0022033A" w:rsidRPr="005A3F47">
        <w:rPr>
          <w:noProof/>
        </w:rPr>
        <w:t>subject to the Pillar 2 global</w:t>
      </w:r>
      <w:r w:rsidR="008E1CAD" w:rsidRPr="005A3F47">
        <w:rPr>
          <w:noProof/>
        </w:rPr>
        <w:t xml:space="preserve"> </w:t>
      </w:r>
      <w:r w:rsidR="00826074" w:rsidRPr="005A3F47">
        <w:rPr>
          <w:noProof/>
        </w:rPr>
        <w:t xml:space="preserve">minimum </w:t>
      </w:r>
      <w:r w:rsidR="0022033A" w:rsidRPr="005A3F47">
        <w:rPr>
          <w:noProof/>
        </w:rPr>
        <w:t>tax</w:t>
      </w:r>
      <w:r w:rsidR="00BA3AAF" w:rsidRPr="005A3F47">
        <w:rPr>
          <w:noProof/>
        </w:rPr>
        <w:t>. T</w:t>
      </w:r>
      <w:r w:rsidR="00A66A21" w:rsidRPr="005A3F47">
        <w:rPr>
          <w:noProof/>
        </w:rPr>
        <w:t>hereby,</w:t>
      </w:r>
      <w:r w:rsidR="00BA3AAF" w:rsidRPr="005A3F47">
        <w:rPr>
          <w:noProof/>
        </w:rPr>
        <w:t xml:space="preserve"> these measures</w:t>
      </w:r>
      <w:r w:rsidR="00A66A21" w:rsidRPr="005A3F47">
        <w:rPr>
          <w:noProof/>
        </w:rPr>
        <w:t xml:space="preserve"> </w:t>
      </w:r>
      <w:r w:rsidR="0029438C" w:rsidRPr="005A3F47">
        <w:rPr>
          <w:noProof/>
        </w:rPr>
        <w:t>will</w:t>
      </w:r>
      <w:r w:rsidR="00A66A21" w:rsidRPr="005A3F47">
        <w:rPr>
          <w:noProof/>
        </w:rPr>
        <w:t xml:space="preserve"> eliminat</w:t>
      </w:r>
      <w:r w:rsidR="00BA3AAF" w:rsidRPr="005A3F47">
        <w:rPr>
          <w:noProof/>
        </w:rPr>
        <w:t>e</w:t>
      </w:r>
      <w:r w:rsidR="00A66A21" w:rsidRPr="005A3F47">
        <w:rPr>
          <w:noProof/>
        </w:rPr>
        <w:t xml:space="preserve"> </w:t>
      </w:r>
      <w:r w:rsidR="00DE72DD" w:rsidRPr="005A3F47">
        <w:rPr>
          <w:noProof/>
        </w:rPr>
        <w:t xml:space="preserve">unnecessary compliance burdens for these </w:t>
      </w:r>
      <w:r w:rsidR="00B244BD" w:rsidRPr="005A3F47">
        <w:rPr>
          <w:noProof/>
        </w:rPr>
        <w:t>businesses</w:t>
      </w:r>
      <w:r w:rsidR="00444B42" w:rsidRPr="005A3F47">
        <w:rPr>
          <w:noProof/>
        </w:rPr>
        <w:t xml:space="preserve"> </w:t>
      </w:r>
      <w:r w:rsidR="00E136A2" w:rsidRPr="005A3F47">
        <w:rPr>
          <w:noProof/>
        </w:rPr>
        <w:t>and contribute to simplifying EU tax rules</w:t>
      </w:r>
      <w:r w:rsidR="00444B42" w:rsidRPr="005A3F47">
        <w:rPr>
          <w:noProof/>
        </w:rPr>
        <w:t xml:space="preserve"> </w:t>
      </w:r>
      <w:r w:rsidR="00275B2C" w:rsidRPr="005A3F47">
        <w:rPr>
          <w:noProof/>
        </w:rPr>
        <w:t>while keeping the</w:t>
      </w:r>
      <w:r w:rsidR="00C52327" w:rsidRPr="005A3F47">
        <w:rPr>
          <w:noProof/>
        </w:rPr>
        <w:t>m</w:t>
      </w:r>
      <w:r w:rsidR="00275B2C" w:rsidRPr="005A3F47">
        <w:rPr>
          <w:noProof/>
        </w:rPr>
        <w:t xml:space="preserve"> fully in place where the</w:t>
      </w:r>
      <w:r w:rsidR="00CD2242" w:rsidRPr="005A3F47">
        <w:rPr>
          <w:noProof/>
        </w:rPr>
        <w:t>se</w:t>
      </w:r>
      <w:r w:rsidR="00275B2C" w:rsidRPr="005A3F47">
        <w:rPr>
          <w:noProof/>
        </w:rPr>
        <w:t xml:space="preserve"> are necessary for maintaining</w:t>
      </w:r>
      <w:r w:rsidR="00444B42" w:rsidRPr="005A3F47">
        <w:rPr>
          <w:noProof/>
        </w:rPr>
        <w:t xml:space="preserve"> the </w:t>
      </w:r>
      <w:r w:rsidR="00BF173F" w:rsidRPr="005A3F47">
        <w:rPr>
          <w:noProof/>
        </w:rPr>
        <w:t xml:space="preserve">current </w:t>
      </w:r>
      <w:r w:rsidR="00F137B6" w:rsidRPr="005A3F47">
        <w:rPr>
          <w:noProof/>
        </w:rPr>
        <w:t>high tax standards in the EU.</w:t>
      </w:r>
      <w:r w:rsidR="00275B2C" w:rsidRPr="005A3F47">
        <w:rPr>
          <w:noProof/>
        </w:rPr>
        <w:t xml:space="preserve"> </w:t>
      </w:r>
      <w:r w:rsidR="001A5BB0" w:rsidRPr="005A3F47">
        <w:rPr>
          <w:noProof/>
        </w:rPr>
        <w:t xml:space="preserve">The original </w:t>
      </w:r>
      <w:r w:rsidR="001C56F5" w:rsidRPr="005A3F47">
        <w:rPr>
          <w:noProof/>
        </w:rPr>
        <w:t>objective of the CFC rules</w:t>
      </w:r>
      <w:r w:rsidR="00056AEA" w:rsidRPr="005A3F47">
        <w:rPr>
          <w:noProof/>
        </w:rPr>
        <w:t xml:space="preserve">, i.e., to prevent multinational groups from shifting profits from </w:t>
      </w:r>
      <w:r w:rsidR="00B974D8" w:rsidRPr="005A3F47">
        <w:rPr>
          <w:noProof/>
        </w:rPr>
        <w:t>a</w:t>
      </w:r>
      <w:r w:rsidR="00056AEA" w:rsidRPr="005A3F47">
        <w:rPr>
          <w:noProof/>
        </w:rPr>
        <w:t xml:space="preserve"> parent company in a high tax jurisdiction to subsidiaries in low or no tax jurisdictions to reduce the group’s tax liability, is</w:t>
      </w:r>
      <w:r w:rsidR="001C56F5" w:rsidRPr="005A3F47">
        <w:rPr>
          <w:noProof/>
        </w:rPr>
        <w:t xml:space="preserve"> thus </w:t>
      </w:r>
      <w:r w:rsidR="009622B5" w:rsidRPr="005A3F47">
        <w:rPr>
          <w:noProof/>
        </w:rPr>
        <w:t xml:space="preserve">well </w:t>
      </w:r>
      <w:r w:rsidR="001C56F5" w:rsidRPr="005A3F47">
        <w:rPr>
          <w:noProof/>
        </w:rPr>
        <w:t>preserved</w:t>
      </w:r>
      <w:r w:rsidR="0084685D" w:rsidRPr="005A3F47">
        <w:rPr>
          <w:noProof/>
        </w:rPr>
        <w:t xml:space="preserve"> in accordance with </w:t>
      </w:r>
      <w:r w:rsidR="00492E63" w:rsidRPr="005A3F47">
        <w:rPr>
          <w:noProof/>
        </w:rPr>
        <w:t xml:space="preserve">international standards </w:t>
      </w:r>
      <w:r w:rsidR="00BF48F9" w:rsidRPr="005A3F47">
        <w:rPr>
          <w:noProof/>
        </w:rPr>
        <w:t>laid down in</w:t>
      </w:r>
      <w:r w:rsidR="0084685D" w:rsidRPr="005A3F47">
        <w:rPr>
          <w:noProof/>
        </w:rPr>
        <w:t xml:space="preserve"> the OE</w:t>
      </w:r>
      <w:r w:rsidR="0657379B" w:rsidRPr="005A3F47">
        <w:rPr>
          <w:noProof/>
        </w:rPr>
        <w:t>C</w:t>
      </w:r>
      <w:r w:rsidR="0084685D" w:rsidRPr="005A3F47">
        <w:rPr>
          <w:noProof/>
        </w:rPr>
        <w:t>D</w:t>
      </w:r>
      <w:r w:rsidR="000727F3" w:rsidRPr="005A3F47">
        <w:rPr>
          <w:noProof/>
        </w:rPr>
        <w:t xml:space="preserve"> BEPS Action 3.</w:t>
      </w:r>
    </w:p>
    <w:p w14:paraId="6481F27E" w14:textId="77777777" w:rsidR="00C40AF7" w:rsidRPr="005A3F47" w:rsidRDefault="00C40AF7" w:rsidP="00965B24">
      <w:pPr>
        <w:pStyle w:val="Heading3"/>
        <w:numPr>
          <w:ilvl w:val="2"/>
          <w:numId w:val="216"/>
        </w:numPr>
        <w:rPr>
          <w:noProof/>
        </w:rPr>
      </w:pPr>
      <w:bookmarkStart w:id="243" w:name="_Toc226466847"/>
      <w:bookmarkStart w:id="244" w:name="_Toc226467208"/>
      <w:bookmarkStart w:id="245" w:name="_Toc226467308"/>
      <w:bookmarkStart w:id="246" w:name="_Toc226467527"/>
      <w:r w:rsidRPr="005A3F47">
        <w:rPr>
          <w:noProof/>
        </w:rPr>
        <w:t>Expensing of assets related to research and development (R&amp;D)</w:t>
      </w:r>
      <w:bookmarkEnd w:id="243"/>
      <w:bookmarkEnd w:id="244"/>
      <w:bookmarkEnd w:id="245"/>
      <w:bookmarkEnd w:id="246"/>
    </w:p>
    <w:p w14:paraId="0AAAA066" w14:textId="6ED1D672" w:rsidR="00D35874" w:rsidRPr="005A3F47" w:rsidRDefault="0049080D" w:rsidP="00FA5980">
      <w:pPr>
        <w:rPr>
          <w:noProof/>
        </w:rPr>
      </w:pPr>
      <w:r w:rsidRPr="005A3F47">
        <w:rPr>
          <w:noProof/>
        </w:rPr>
        <w:t xml:space="preserve">To boost EU competitiveness, </w:t>
      </w:r>
      <w:r w:rsidR="005C064C" w:rsidRPr="005A3F47">
        <w:rPr>
          <w:noProof/>
        </w:rPr>
        <w:t xml:space="preserve">this option </w:t>
      </w:r>
      <w:r w:rsidR="00064A2B" w:rsidRPr="005A3F47">
        <w:rPr>
          <w:noProof/>
        </w:rPr>
        <w:t xml:space="preserve">introduces a </w:t>
      </w:r>
      <w:r w:rsidR="00952F16" w:rsidRPr="005A3F47">
        <w:rPr>
          <w:noProof/>
        </w:rPr>
        <w:t xml:space="preserve">simplified and consistent </w:t>
      </w:r>
      <w:r w:rsidR="00064A2B" w:rsidRPr="005A3F47">
        <w:rPr>
          <w:noProof/>
        </w:rPr>
        <w:t>rule to</w:t>
      </w:r>
      <w:r w:rsidR="005C064C" w:rsidRPr="005A3F47">
        <w:rPr>
          <w:noProof/>
        </w:rPr>
        <w:t xml:space="preserve"> </w:t>
      </w:r>
      <w:r w:rsidRPr="005A3F47">
        <w:rPr>
          <w:noProof/>
        </w:rPr>
        <w:t>ensure immediate expensing for acquired tangible R&amp;D assets</w:t>
      </w:r>
      <w:r w:rsidR="002B082A" w:rsidRPr="005A3F47">
        <w:rPr>
          <w:noProof/>
        </w:rPr>
        <w:t xml:space="preserve">, </w:t>
      </w:r>
      <w:r w:rsidR="00962865" w:rsidRPr="005A3F47">
        <w:rPr>
          <w:noProof/>
        </w:rPr>
        <w:t>which is particularly important</w:t>
      </w:r>
      <w:r w:rsidR="002B082A" w:rsidRPr="005A3F47">
        <w:rPr>
          <w:noProof/>
        </w:rPr>
        <w:t xml:space="preserve"> given the existing </w:t>
      </w:r>
      <w:r w:rsidR="00C60EAE" w:rsidRPr="005A3F47">
        <w:rPr>
          <w:noProof/>
        </w:rPr>
        <w:t>favourable</w:t>
      </w:r>
      <w:r w:rsidR="002B082A" w:rsidRPr="005A3F47">
        <w:rPr>
          <w:noProof/>
        </w:rPr>
        <w:t xml:space="preserve"> treatment </w:t>
      </w:r>
      <w:r w:rsidR="00DA5422" w:rsidRPr="005A3F47">
        <w:rPr>
          <w:noProof/>
        </w:rPr>
        <w:t>of R&amp;D expenses</w:t>
      </w:r>
      <w:r w:rsidR="002B082A" w:rsidRPr="005A3F47">
        <w:rPr>
          <w:noProof/>
        </w:rPr>
        <w:t xml:space="preserve"> in key partner economies</w:t>
      </w:r>
      <w:r w:rsidR="00F754AC" w:rsidRPr="005A3F47">
        <w:rPr>
          <w:noProof/>
        </w:rPr>
        <w:t xml:space="preserve">. </w:t>
      </w:r>
      <w:r w:rsidR="00004DBF" w:rsidRPr="005A3F47">
        <w:rPr>
          <w:noProof/>
        </w:rPr>
        <w:t>This</w:t>
      </w:r>
      <w:r w:rsidR="00F754AC" w:rsidRPr="005A3F47">
        <w:rPr>
          <w:noProof/>
        </w:rPr>
        <w:t xml:space="preserve"> option</w:t>
      </w:r>
      <w:r w:rsidRPr="005A3F47">
        <w:rPr>
          <w:noProof/>
        </w:rPr>
        <w:t xml:space="preserve"> </w:t>
      </w:r>
      <w:r w:rsidR="00004DBF" w:rsidRPr="005A3F47">
        <w:rPr>
          <w:noProof/>
        </w:rPr>
        <w:t xml:space="preserve">will </w:t>
      </w:r>
      <w:r w:rsidR="0049542F" w:rsidRPr="005A3F47">
        <w:rPr>
          <w:noProof/>
        </w:rPr>
        <w:t xml:space="preserve">introduce </w:t>
      </w:r>
      <w:r w:rsidR="00C22D6E" w:rsidRPr="005A3F47">
        <w:rPr>
          <w:noProof/>
        </w:rPr>
        <w:t>clearer</w:t>
      </w:r>
      <w:r w:rsidRPr="005A3F47">
        <w:rPr>
          <w:noProof/>
        </w:rPr>
        <w:t xml:space="preserve"> and </w:t>
      </w:r>
      <w:r w:rsidR="00C22D6E" w:rsidRPr="005A3F47">
        <w:rPr>
          <w:noProof/>
        </w:rPr>
        <w:t>more predictable rules comp</w:t>
      </w:r>
      <w:r w:rsidR="003B1B9B" w:rsidRPr="005A3F47">
        <w:rPr>
          <w:noProof/>
        </w:rPr>
        <w:t>ared</w:t>
      </w:r>
      <w:r w:rsidR="00C22D6E" w:rsidRPr="005A3F47">
        <w:rPr>
          <w:noProof/>
        </w:rPr>
        <w:t xml:space="preserve"> to</w:t>
      </w:r>
      <w:r w:rsidRPr="005A3F47">
        <w:rPr>
          <w:noProof/>
        </w:rPr>
        <w:t xml:space="preserve"> </w:t>
      </w:r>
      <w:r w:rsidR="00DD37E5" w:rsidRPr="005A3F47">
        <w:rPr>
          <w:noProof/>
        </w:rPr>
        <w:t>the current national</w:t>
      </w:r>
      <w:r w:rsidR="002A00D1" w:rsidRPr="005A3F47">
        <w:rPr>
          <w:noProof/>
        </w:rPr>
        <w:t xml:space="preserve"> divergencies</w:t>
      </w:r>
      <w:r w:rsidRPr="005A3F47">
        <w:rPr>
          <w:noProof/>
        </w:rPr>
        <w:t xml:space="preserve"> and </w:t>
      </w:r>
      <w:r w:rsidR="00777ED6" w:rsidRPr="005A3F47">
        <w:rPr>
          <w:noProof/>
        </w:rPr>
        <w:t xml:space="preserve">will reduce an identified tax obstacle to cross-border </w:t>
      </w:r>
      <w:r w:rsidR="002D0F7D" w:rsidRPr="005A3F47">
        <w:rPr>
          <w:noProof/>
        </w:rPr>
        <w:t xml:space="preserve">investment and commercial activity </w:t>
      </w:r>
      <w:r w:rsidR="00E74867" w:rsidRPr="005A3F47">
        <w:rPr>
          <w:noProof/>
        </w:rPr>
        <w:t>in the internal market</w:t>
      </w:r>
      <w:r w:rsidR="00004DBF" w:rsidRPr="005A3F47">
        <w:rPr>
          <w:noProof/>
        </w:rPr>
        <w:t>, thereby simplifying tax rules across the EU and stimulating economic activity</w:t>
      </w:r>
      <w:r w:rsidRPr="005A3F47">
        <w:rPr>
          <w:noProof/>
        </w:rPr>
        <w:t xml:space="preserve"> </w:t>
      </w:r>
      <w:r w:rsidR="00D33D08" w:rsidRPr="005A3F47">
        <w:rPr>
          <w:noProof/>
        </w:rPr>
        <w:t>with an</w:t>
      </w:r>
      <w:r w:rsidR="00004DBF" w:rsidRPr="005A3F47">
        <w:rPr>
          <w:noProof/>
        </w:rPr>
        <w:t xml:space="preserve"> overall</w:t>
      </w:r>
      <w:r w:rsidRPr="005A3F47">
        <w:rPr>
          <w:noProof/>
        </w:rPr>
        <w:t xml:space="preserve"> </w:t>
      </w:r>
      <w:r w:rsidR="00004DBF" w:rsidRPr="005A3F47">
        <w:rPr>
          <w:noProof/>
        </w:rPr>
        <w:t xml:space="preserve">stable </w:t>
      </w:r>
      <w:r w:rsidR="00434B8D" w:rsidRPr="005A3F47">
        <w:rPr>
          <w:noProof/>
        </w:rPr>
        <w:t xml:space="preserve">tax collection. </w:t>
      </w:r>
      <w:r w:rsidRPr="005A3F47" w:rsidDel="0049080D">
        <w:rPr>
          <w:noProof/>
        </w:rPr>
        <w:t xml:space="preserve"> </w:t>
      </w:r>
      <w:r w:rsidR="00437472" w:rsidRPr="005A3F47">
        <w:rPr>
          <w:noProof/>
        </w:rPr>
        <w:t xml:space="preserve">To ensure that </w:t>
      </w:r>
      <w:r w:rsidR="008E561F" w:rsidRPr="005A3F47">
        <w:rPr>
          <w:noProof/>
        </w:rPr>
        <w:t xml:space="preserve">the measure </w:t>
      </w:r>
      <w:r w:rsidR="00046966" w:rsidRPr="005A3F47">
        <w:rPr>
          <w:noProof/>
        </w:rPr>
        <w:t>meets both general objectives, it</w:t>
      </w:r>
      <w:r w:rsidR="008E561F" w:rsidRPr="005A3F47">
        <w:rPr>
          <w:noProof/>
        </w:rPr>
        <w:t xml:space="preserve"> is designed in accordance with </w:t>
      </w:r>
      <w:r w:rsidR="00046966" w:rsidRPr="005A3F47">
        <w:rPr>
          <w:noProof/>
        </w:rPr>
        <w:t>the</w:t>
      </w:r>
      <w:r w:rsidR="008E561F" w:rsidRPr="005A3F47">
        <w:rPr>
          <w:noProof/>
        </w:rPr>
        <w:t xml:space="preserve"> high</w:t>
      </w:r>
      <w:r w:rsidR="00A6403A" w:rsidRPr="005A3F47">
        <w:rPr>
          <w:noProof/>
        </w:rPr>
        <w:t>est</w:t>
      </w:r>
      <w:r w:rsidR="00AA6D10" w:rsidRPr="005A3F47">
        <w:rPr>
          <w:noProof/>
        </w:rPr>
        <w:t xml:space="preserve"> tax standards</w:t>
      </w:r>
      <w:r w:rsidR="00530DD6" w:rsidRPr="005A3F47">
        <w:rPr>
          <w:noProof/>
        </w:rPr>
        <w:t xml:space="preserve">, </w:t>
      </w:r>
      <w:r w:rsidR="00967B66" w:rsidRPr="005A3F47">
        <w:rPr>
          <w:noProof/>
        </w:rPr>
        <w:t xml:space="preserve">as </w:t>
      </w:r>
      <w:r w:rsidR="00530DD6" w:rsidRPr="005A3F47">
        <w:rPr>
          <w:noProof/>
        </w:rPr>
        <w:t>the option w</w:t>
      </w:r>
      <w:r w:rsidR="00AA6E24" w:rsidRPr="005A3F47">
        <w:rPr>
          <w:noProof/>
        </w:rPr>
        <w:t>ill</w:t>
      </w:r>
      <w:r w:rsidR="00530DD6" w:rsidRPr="005A3F47">
        <w:rPr>
          <w:noProof/>
        </w:rPr>
        <w:t xml:space="preserve"> include a definition of qualifying R&amp;D </w:t>
      </w:r>
      <w:r w:rsidR="00AA6E24" w:rsidRPr="005A3F47">
        <w:rPr>
          <w:noProof/>
        </w:rPr>
        <w:t>expenses,</w:t>
      </w:r>
      <w:r w:rsidR="00530DD6" w:rsidRPr="005A3F47">
        <w:rPr>
          <w:noProof/>
        </w:rPr>
        <w:t xml:space="preserve"> and the </w:t>
      </w:r>
      <w:r w:rsidR="000D6E71" w:rsidRPr="005A3F47">
        <w:rPr>
          <w:noProof/>
        </w:rPr>
        <w:t>application</w:t>
      </w:r>
      <w:r w:rsidR="005C00D0" w:rsidRPr="005A3F47">
        <w:rPr>
          <w:noProof/>
        </w:rPr>
        <w:t xml:space="preserve"> w</w:t>
      </w:r>
      <w:r w:rsidR="00AA6E24" w:rsidRPr="005A3F47">
        <w:rPr>
          <w:noProof/>
        </w:rPr>
        <w:t>ill</w:t>
      </w:r>
      <w:r w:rsidR="005C00D0" w:rsidRPr="005A3F47">
        <w:rPr>
          <w:noProof/>
        </w:rPr>
        <w:t xml:space="preserve"> take </w:t>
      </w:r>
      <w:r w:rsidR="00AA6E24" w:rsidRPr="005A3F47">
        <w:rPr>
          <w:noProof/>
        </w:rPr>
        <w:t>inspiration from</w:t>
      </w:r>
      <w:r w:rsidR="005C00D0" w:rsidRPr="005A3F47">
        <w:rPr>
          <w:noProof/>
        </w:rPr>
        <w:t xml:space="preserve"> similar legislation adopted by other like-minded international partners</w:t>
      </w:r>
      <w:r w:rsidR="00FF232E" w:rsidRPr="005A3F47">
        <w:rPr>
          <w:noProof/>
        </w:rPr>
        <w:t>.</w:t>
      </w:r>
    </w:p>
    <w:p w14:paraId="2541DF9B" w14:textId="4AC4E77C" w:rsidR="00A25ED4" w:rsidRPr="005A3F47" w:rsidRDefault="00A25ED4" w:rsidP="00965B24">
      <w:pPr>
        <w:pStyle w:val="Heading3"/>
        <w:numPr>
          <w:ilvl w:val="2"/>
          <w:numId w:val="216"/>
        </w:numPr>
        <w:rPr>
          <w:noProof/>
        </w:rPr>
      </w:pPr>
      <w:bookmarkStart w:id="247" w:name="_Toc226466848"/>
      <w:bookmarkStart w:id="248" w:name="_Toc226467209"/>
      <w:bookmarkStart w:id="249" w:name="_Toc226467309"/>
      <w:bookmarkStart w:id="250" w:name="_Toc226467528"/>
      <w:r w:rsidRPr="005A3F47">
        <w:rPr>
          <w:noProof/>
        </w:rPr>
        <w:t xml:space="preserve">Interest </w:t>
      </w:r>
      <w:r w:rsidR="002F3C54" w:rsidRPr="005A3F47">
        <w:rPr>
          <w:noProof/>
        </w:rPr>
        <w:t>L</w:t>
      </w:r>
      <w:r w:rsidRPr="005A3F47">
        <w:rPr>
          <w:noProof/>
        </w:rPr>
        <w:t xml:space="preserve">imitation </w:t>
      </w:r>
      <w:r w:rsidR="002F3C54" w:rsidRPr="005A3F47">
        <w:rPr>
          <w:noProof/>
        </w:rPr>
        <w:t>R</w:t>
      </w:r>
      <w:r w:rsidRPr="005A3F47">
        <w:rPr>
          <w:noProof/>
        </w:rPr>
        <w:t>ule</w:t>
      </w:r>
      <w:r w:rsidR="1D935313" w:rsidRPr="005A3F47">
        <w:rPr>
          <w:noProof/>
        </w:rPr>
        <w:t xml:space="preserve"> </w:t>
      </w:r>
      <w:bookmarkEnd w:id="247"/>
      <w:bookmarkEnd w:id="248"/>
      <w:bookmarkEnd w:id="249"/>
      <w:bookmarkEnd w:id="250"/>
    </w:p>
    <w:p w14:paraId="67B01E4C" w14:textId="3E295957" w:rsidR="00DC03E9" w:rsidRPr="005A3F47" w:rsidRDefault="00DC03E9" w:rsidP="00DC03E9">
      <w:pPr>
        <w:rPr>
          <w:noProof/>
        </w:rPr>
      </w:pPr>
      <w:r w:rsidRPr="005A3F47">
        <w:rPr>
          <w:noProof/>
        </w:rPr>
        <w:t>To simplify the functioning of the</w:t>
      </w:r>
      <w:r w:rsidR="008B64DA" w:rsidRPr="005A3F47">
        <w:rPr>
          <w:noProof/>
        </w:rPr>
        <w:t xml:space="preserve"> </w:t>
      </w:r>
      <w:r w:rsidRPr="005A3F47">
        <w:rPr>
          <w:noProof/>
        </w:rPr>
        <w:t>I</w:t>
      </w:r>
      <w:r w:rsidR="00C731A5" w:rsidRPr="005A3F47">
        <w:rPr>
          <w:noProof/>
        </w:rPr>
        <w:t xml:space="preserve">nterest </w:t>
      </w:r>
      <w:r w:rsidRPr="005A3F47">
        <w:rPr>
          <w:noProof/>
        </w:rPr>
        <w:t>L</w:t>
      </w:r>
      <w:r w:rsidR="00C731A5" w:rsidRPr="005A3F47">
        <w:rPr>
          <w:noProof/>
        </w:rPr>
        <w:t xml:space="preserve">imitation </w:t>
      </w:r>
      <w:r w:rsidRPr="005A3F47">
        <w:rPr>
          <w:noProof/>
        </w:rPr>
        <w:t>R</w:t>
      </w:r>
      <w:r w:rsidR="00C731A5" w:rsidRPr="005A3F47">
        <w:rPr>
          <w:noProof/>
        </w:rPr>
        <w:t>ule</w:t>
      </w:r>
      <w:r w:rsidR="007E75FC" w:rsidRPr="005A3F47">
        <w:rPr>
          <w:noProof/>
        </w:rPr>
        <w:t xml:space="preserve"> in ATAD</w:t>
      </w:r>
      <w:r w:rsidRPr="005A3F47">
        <w:rPr>
          <w:noProof/>
        </w:rPr>
        <w:t xml:space="preserve">, </w:t>
      </w:r>
      <w:r w:rsidR="00D833DC" w:rsidRPr="005A3F47">
        <w:rPr>
          <w:noProof/>
        </w:rPr>
        <w:t>it is preferred to introduce</w:t>
      </w:r>
      <w:r w:rsidR="00A10D66" w:rsidRPr="005A3F47">
        <w:rPr>
          <w:noProof/>
        </w:rPr>
        <w:t xml:space="preserve"> </w:t>
      </w:r>
      <w:r w:rsidR="00D833DC" w:rsidRPr="005A3F47">
        <w:rPr>
          <w:noProof/>
        </w:rPr>
        <w:t xml:space="preserve">all envisaged options, as they will </w:t>
      </w:r>
      <w:r w:rsidR="003C0104" w:rsidRPr="005A3F47">
        <w:rPr>
          <w:noProof/>
        </w:rPr>
        <w:t>make the rule more efficient and effective</w:t>
      </w:r>
      <w:r w:rsidR="00D833DC" w:rsidRPr="005A3F47">
        <w:rPr>
          <w:noProof/>
        </w:rPr>
        <w:t xml:space="preserve"> compared to the status quo</w:t>
      </w:r>
      <w:r w:rsidR="007B08AE" w:rsidRPr="005A3F47">
        <w:rPr>
          <w:noProof/>
        </w:rPr>
        <w:t xml:space="preserve">. </w:t>
      </w:r>
    </w:p>
    <w:p w14:paraId="58F0E2D6" w14:textId="275470A2" w:rsidR="00765428" w:rsidRPr="005A3F47" w:rsidRDefault="009074AF" w:rsidP="00FA5980">
      <w:pPr>
        <w:rPr>
          <w:noProof/>
        </w:rPr>
      </w:pPr>
      <w:r w:rsidRPr="005A3F47">
        <w:rPr>
          <w:noProof/>
        </w:rPr>
        <w:t xml:space="preserve">In particular, </w:t>
      </w:r>
      <w:r w:rsidR="00685899" w:rsidRPr="005A3F47">
        <w:rPr>
          <w:noProof/>
        </w:rPr>
        <w:t xml:space="preserve">Option 2, i.e., mandatory application of the 30% </w:t>
      </w:r>
      <w:r w:rsidR="008B1571" w:rsidRPr="005A3F47">
        <w:rPr>
          <w:noProof/>
        </w:rPr>
        <w:t xml:space="preserve">fixed ratio of the </w:t>
      </w:r>
      <w:r w:rsidR="00685899" w:rsidRPr="005A3F47">
        <w:rPr>
          <w:noProof/>
        </w:rPr>
        <w:t xml:space="preserve">EBITDA, </w:t>
      </w:r>
      <w:r w:rsidR="002A40AC" w:rsidRPr="005A3F47">
        <w:rPr>
          <w:noProof/>
        </w:rPr>
        <w:t xml:space="preserve">and Option 3, </w:t>
      </w:r>
      <w:r w:rsidR="00212004" w:rsidRPr="005A3F47">
        <w:rPr>
          <w:noProof/>
        </w:rPr>
        <w:t xml:space="preserve">i.e., </w:t>
      </w:r>
      <w:r w:rsidR="00196B6C" w:rsidRPr="005A3F47">
        <w:rPr>
          <w:noProof/>
        </w:rPr>
        <w:t xml:space="preserve">reduction of implementation options, </w:t>
      </w:r>
      <w:r w:rsidR="005A7773" w:rsidRPr="005A3F47">
        <w:rPr>
          <w:noProof/>
        </w:rPr>
        <w:t>will simplify the EU tax environment</w:t>
      </w:r>
      <w:r w:rsidR="00CA1D21" w:rsidRPr="005A3F47">
        <w:rPr>
          <w:noProof/>
        </w:rPr>
        <w:t xml:space="preserve"> </w:t>
      </w:r>
      <w:r w:rsidR="0098234C" w:rsidRPr="005A3F47">
        <w:rPr>
          <w:noProof/>
        </w:rPr>
        <w:t xml:space="preserve">by </w:t>
      </w:r>
      <w:r w:rsidR="005A7773" w:rsidRPr="005A3F47">
        <w:rPr>
          <w:noProof/>
        </w:rPr>
        <w:t>ensuring a</w:t>
      </w:r>
      <w:r w:rsidR="005F5425" w:rsidRPr="005A3F47">
        <w:rPr>
          <w:noProof/>
        </w:rPr>
        <w:t xml:space="preserve"> </w:t>
      </w:r>
      <w:r w:rsidR="00F12AD0" w:rsidRPr="005A3F47">
        <w:rPr>
          <w:noProof/>
        </w:rPr>
        <w:t xml:space="preserve">more </w:t>
      </w:r>
      <w:r w:rsidR="004E708C" w:rsidRPr="005A3F47">
        <w:rPr>
          <w:noProof/>
        </w:rPr>
        <w:t xml:space="preserve">consistent </w:t>
      </w:r>
      <w:r w:rsidR="007D083F" w:rsidRPr="005A3F47">
        <w:rPr>
          <w:noProof/>
        </w:rPr>
        <w:t>application of</w:t>
      </w:r>
      <w:r w:rsidR="00F12AD0" w:rsidRPr="005A3F47">
        <w:rPr>
          <w:noProof/>
        </w:rPr>
        <w:t xml:space="preserve"> the </w:t>
      </w:r>
      <w:r w:rsidR="00C731A5" w:rsidRPr="005A3F47">
        <w:rPr>
          <w:noProof/>
        </w:rPr>
        <w:t xml:space="preserve">Interest Limitation Rule </w:t>
      </w:r>
      <w:r w:rsidR="007011DA" w:rsidRPr="005A3F47">
        <w:rPr>
          <w:noProof/>
        </w:rPr>
        <w:t xml:space="preserve">and replacing national </w:t>
      </w:r>
      <w:r w:rsidR="00541EEB" w:rsidRPr="005A3F47">
        <w:rPr>
          <w:noProof/>
        </w:rPr>
        <w:t>specificities</w:t>
      </w:r>
      <w:r w:rsidR="007011DA" w:rsidRPr="005A3F47">
        <w:rPr>
          <w:noProof/>
        </w:rPr>
        <w:t xml:space="preserve"> related </w:t>
      </w:r>
      <w:r w:rsidR="006B10CA" w:rsidRPr="005A3F47">
        <w:rPr>
          <w:noProof/>
        </w:rPr>
        <w:t>there</w:t>
      </w:r>
      <w:r w:rsidR="007011DA" w:rsidRPr="005A3F47">
        <w:rPr>
          <w:noProof/>
        </w:rPr>
        <w:t>to</w:t>
      </w:r>
      <w:r w:rsidR="006076F8" w:rsidRPr="005A3F47">
        <w:rPr>
          <w:noProof/>
        </w:rPr>
        <w:t>.</w:t>
      </w:r>
      <w:r w:rsidR="00364B26" w:rsidRPr="005A3F47">
        <w:rPr>
          <w:noProof/>
        </w:rPr>
        <w:t xml:space="preserve"> </w:t>
      </w:r>
      <w:r w:rsidR="00191A05" w:rsidRPr="005A3F47">
        <w:rPr>
          <w:noProof/>
        </w:rPr>
        <w:t>T</w:t>
      </w:r>
      <w:r w:rsidR="00CE4567" w:rsidRPr="005A3F47">
        <w:rPr>
          <w:noProof/>
        </w:rPr>
        <w:t xml:space="preserve">hese options respond directly </w:t>
      </w:r>
      <w:r w:rsidR="00FA4710" w:rsidRPr="005A3F47">
        <w:rPr>
          <w:noProof/>
        </w:rPr>
        <w:t>to</w:t>
      </w:r>
      <w:r w:rsidR="0088051A" w:rsidRPr="005A3F47">
        <w:rPr>
          <w:noProof/>
        </w:rPr>
        <w:t xml:space="preserve"> the</w:t>
      </w:r>
      <w:r w:rsidR="00FA4710" w:rsidRPr="005A3F47">
        <w:rPr>
          <w:noProof/>
        </w:rPr>
        <w:t xml:space="preserve"> </w:t>
      </w:r>
      <w:r w:rsidR="0088051A" w:rsidRPr="005A3F47">
        <w:rPr>
          <w:noProof/>
        </w:rPr>
        <w:t xml:space="preserve">simplifications </w:t>
      </w:r>
      <w:r w:rsidR="00CF3889" w:rsidRPr="005A3F47">
        <w:rPr>
          <w:noProof/>
        </w:rPr>
        <w:t xml:space="preserve">that </w:t>
      </w:r>
      <w:r w:rsidR="0088051A" w:rsidRPr="005A3F47">
        <w:rPr>
          <w:noProof/>
        </w:rPr>
        <w:t xml:space="preserve">stakeholders were asking for in the consultations and </w:t>
      </w:r>
      <w:r w:rsidR="00530140" w:rsidRPr="005A3F47">
        <w:rPr>
          <w:noProof/>
        </w:rPr>
        <w:t>to the findings of the ATAD evaluation</w:t>
      </w:r>
      <w:r w:rsidR="00F550FF" w:rsidRPr="005A3F47">
        <w:rPr>
          <w:noProof/>
        </w:rPr>
        <w:t>,</w:t>
      </w:r>
      <w:r w:rsidR="00530140" w:rsidRPr="005A3F47">
        <w:rPr>
          <w:noProof/>
        </w:rPr>
        <w:t xml:space="preserve"> </w:t>
      </w:r>
      <w:r w:rsidR="00B23141" w:rsidRPr="005A3F47">
        <w:rPr>
          <w:noProof/>
        </w:rPr>
        <w:t>where it</w:t>
      </w:r>
      <w:r w:rsidR="00935BAF" w:rsidRPr="005A3F47">
        <w:rPr>
          <w:noProof/>
        </w:rPr>
        <w:t xml:space="preserve"> has been pointed out in unison that </w:t>
      </w:r>
      <w:r w:rsidR="00C32EE2" w:rsidRPr="005A3F47">
        <w:rPr>
          <w:noProof/>
        </w:rPr>
        <w:t>the flexibility of the current rule creates problem</w:t>
      </w:r>
      <w:r w:rsidR="00F57E89" w:rsidRPr="005A3F47">
        <w:rPr>
          <w:noProof/>
        </w:rPr>
        <w:t>s</w:t>
      </w:r>
      <w:r w:rsidR="00C32EE2" w:rsidRPr="005A3F47">
        <w:rPr>
          <w:noProof/>
        </w:rPr>
        <w:t xml:space="preserve"> in practice.</w:t>
      </w:r>
      <w:r w:rsidR="00CA1331" w:rsidRPr="005A3F47">
        <w:rPr>
          <w:noProof/>
        </w:rPr>
        <w:t xml:space="preserve"> </w:t>
      </w:r>
      <w:r w:rsidR="005E0548" w:rsidRPr="005A3F47">
        <w:rPr>
          <w:noProof/>
        </w:rPr>
        <w:t>These options will</w:t>
      </w:r>
      <w:r w:rsidR="00F550FF" w:rsidRPr="005A3F47">
        <w:rPr>
          <w:noProof/>
        </w:rPr>
        <w:t>,</w:t>
      </w:r>
      <w:r w:rsidR="005E0548" w:rsidRPr="005A3F47">
        <w:rPr>
          <w:noProof/>
        </w:rPr>
        <w:t xml:space="preserve"> therefore</w:t>
      </w:r>
      <w:r w:rsidR="00F550FF" w:rsidRPr="005A3F47">
        <w:rPr>
          <w:noProof/>
        </w:rPr>
        <w:t>,</w:t>
      </w:r>
      <w:r w:rsidR="005E0548" w:rsidRPr="005A3F47">
        <w:rPr>
          <w:noProof/>
        </w:rPr>
        <w:t xml:space="preserve"> contribute to </w:t>
      </w:r>
      <w:r w:rsidR="00D23243" w:rsidRPr="005A3F47">
        <w:rPr>
          <w:noProof/>
        </w:rPr>
        <w:t xml:space="preserve">the general objectives of the Omnibus </w:t>
      </w:r>
      <w:r w:rsidR="7F54C7E0" w:rsidRPr="005A3F47">
        <w:rPr>
          <w:noProof/>
        </w:rPr>
        <w:t xml:space="preserve">on Taxation </w:t>
      </w:r>
      <w:r w:rsidR="00D23243" w:rsidRPr="005A3F47">
        <w:rPr>
          <w:noProof/>
        </w:rPr>
        <w:t>by</w:t>
      </w:r>
      <w:r w:rsidR="005E0548" w:rsidRPr="005A3F47">
        <w:rPr>
          <w:noProof/>
        </w:rPr>
        <w:t xml:space="preserve"> simplifying the I</w:t>
      </w:r>
      <w:r w:rsidR="00C731A5" w:rsidRPr="005A3F47">
        <w:rPr>
          <w:noProof/>
        </w:rPr>
        <w:t>nterest Limitation Rule</w:t>
      </w:r>
      <w:r w:rsidR="005E0548" w:rsidRPr="005A3F47">
        <w:rPr>
          <w:noProof/>
        </w:rPr>
        <w:t xml:space="preserve"> with a view to boosting EU </w:t>
      </w:r>
      <w:r w:rsidR="004A5C76" w:rsidRPr="005A3F47">
        <w:rPr>
          <w:noProof/>
        </w:rPr>
        <w:t xml:space="preserve">competitiveness. </w:t>
      </w:r>
      <w:r w:rsidR="00DE4F03" w:rsidRPr="005A3F47">
        <w:rPr>
          <w:noProof/>
        </w:rPr>
        <w:t xml:space="preserve">Enhancing the harmonisation </w:t>
      </w:r>
      <w:r w:rsidR="00C67AC4" w:rsidRPr="005A3F47">
        <w:rPr>
          <w:noProof/>
        </w:rPr>
        <w:t>of the rule</w:t>
      </w:r>
      <w:r w:rsidR="00DE4F03" w:rsidRPr="005A3F47">
        <w:rPr>
          <w:noProof/>
        </w:rPr>
        <w:t xml:space="preserve"> will</w:t>
      </w:r>
      <w:r w:rsidR="00714AEE" w:rsidRPr="005A3F47">
        <w:rPr>
          <w:noProof/>
        </w:rPr>
        <w:t xml:space="preserve"> also</w:t>
      </w:r>
      <w:r w:rsidR="00266BE0" w:rsidRPr="005A3F47">
        <w:rPr>
          <w:noProof/>
        </w:rPr>
        <w:t xml:space="preserve"> </w:t>
      </w:r>
      <w:r w:rsidR="005039EA" w:rsidRPr="005A3F47">
        <w:rPr>
          <w:noProof/>
        </w:rPr>
        <w:t>contribute to maintain</w:t>
      </w:r>
      <w:r w:rsidR="00AD0A6A" w:rsidRPr="005A3F47">
        <w:rPr>
          <w:noProof/>
        </w:rPr>
        <w:t>ing</w:t>
      </w:r>
      <w:r w:rsidR="005039EA" w:rsidRPr="005A3F47">
        <w:rPr>
          <w:noProof/>
        </w:rPr>
        <w:t xml:space="preserve"> </w:t>
      </w:r>
      <w:r w:rsidR="0023445F" w:rsidRPr="005A3F47">
        <w:rPr>
          <w:noProof/>
        </w:rPr>
        <w:t xml:space="preserve">high tax standards in </w:t>
      </w:r>
      <w:r w:rsidR="005039EA" w:rsidRPr="005A3F47">
        <w:rPr>
          <w:noProof/>
        </w:rPr>
        <w:t xml:space="preserve">the </w:t>
      </w:r>
      <w:r w:rsidR="00564E9C" w:rsidRPr="005A3F47">
        <w:rPr>
          <w:noProof/>
        </w:rPr>
        <w:t xml:space="preserve">EU as it will provide for a more uniform </w:t>
      </w:r>
      <w:r w:rsidR="00137CE2" w:rsidRPr="005A3F47">
        <w:rPr>
          <w:noProof/>
        </w:rPr>
        <w:t>EU</w:t>
      </w:r>
      <w:r w:rsidR="00564E9C" w:rsidRPr="005A3F47">
        <w:rPr>
          <w:noProof/>
        </w:rPr>
        <w:t xml:space="preserve"> </w:t>
      </w:r>
      <w:r w:rsidR="00D560BB" w:rsidRPr="005A3F47">
        <w:rPr>
          <w:noProof/>
        </w:rPr>
        <w:t>approach</w:t>
      </w:r>
      <w:r w:rsidR="00B72464" w:rsidRPr="005A3F47">
        <w:rPr>
          <w:noProof/>
        </w:rPr>
        <w:t xml:space="preserve"> </w:t>
      </w:r>
      <w:r w:rsidR="00137CE2" w:rsidRPr="005A3F47">
        <w:rPr>
          <w:noProof/>
        </w:rPr>
        <w:t xml:space="preserve">that </w:t>
      </w:r>
      <w:r w:rsidR="00B16A9D" w:rsidRPr="005A3F47">
        <w:rPr>
          <w:noProof/>
        </w:rPr>
        <w:t xml:space="preserve">still </w:t>
      </w:r>
      <w:r w:rsidR="00137CE2" w:rsidRPr="005A3F47">
        <w:rPr>
          <w:noProof/>
        </w:rPr>
        <w:t>meets international standards</w:t>
      </w:r>
      <w:r w:rsidR="00404D16" w:rsidRPr="005A3F47">
        <w:rPr>
          <w:noProof/>
        </w:rPr>
        <w:t xml:space="preserve"> as </w:t>
      </w:r>
      <w:r w:rsidR="00F9240A" w:rsidRPr="005A3F47">
        <w:rPr>
          <w:noProof/>
        </w:rPr>
        <w:t xml:space="preserve">set out in the OECD BEPS Action </w:t>
      </w:r>
      <w:r w:rsidR="00E95158" w:rsidRPr="005A3F47">
        <w:rPr>
          <w:noProof/>
        </w:rPr>
        <w:t>4.</w:t>
      </w:r>
    </w:p>
    <w:p w14:paraId="22783D0B" w14:textId="0EDB36EF" w:rsidR="00A101DB" w:rsidRPr="005A3F47" w:rsidRDefault="00364B26" w:rsidP="00FA5980">
      <w:pPr>
        <w:rPr>
          <w:noProof/>
        </w:rPr>
      </w:pPr>
      <w:r w:rsidRPr="005A3F47">
        <w:rPr>
          <w:noProof/>
        </w:rPr>
        <w:t xml:space="preserve">In turn, </w:t>
      </w:r>
      <w:r w:rsidR="00BC6548" w:rsidRPr="005A3F47">
        <w:rPr>
          <w:noProof/>
        </w:rPr>
        <w:t xml:space="preserve">Option </w:t>
      </w:r>
      <w:r w:rsidR="001E457D" w:rsidRPr="005A3F47">
        <w:rPr>
          <w:noProof/>
        </w:rPr>
        <w:t>1</w:t>
      </w:r>
      <w:r w:rsidR="00BC6548" w:rsidRPr="005A3F47">
        <w:rPr>
          <w:noProof/>
        </w:rPr>
        <w:t xml:space="preserve">, i.e., </w:t>
      </w:r>
      <w:r w:rsidRPr="005A3F47">
        <w:rPr>
          <w:noProof/>
        </w:rPr>
        <w:t>a carveout for SMEs</w:t>
      </w:r>
      <w:r w:rsidR="00A8061D" w:rsidRPr="005A3F47">
        <w:rPr>
          <w:noProof/>
        </w:rPr>
        <w:t xml:space="preserve">, and Option </w:t>
      </w:r>
      <w:r w:rsidR="00E30740" w:rsidRPr="005A3F47">
        <w:rPr>
          <w:noProof/>
        </w:rPr>
        <w:t>4</w:t>
      </w:r>
      <w:r w:rsidR="00866594" w:rsidRPr="005A3F47">
        <w:rPr>
          <w:noProof/>
        </w:rPr>
        <w:t xml:space="preserve">, i.e., </w:t>
      </w:r>
      <w:r w:rsidR="00825E60" w:rsidRPr="005A3F47">
        <w:rPr>
          <w:noProof/>
        </w:rPr>
        <w:t xml:space="preserve">carveout of third-party loans, </w:t>
      </w:r>
      <w:r w:rsidR="00745A99" w:rsidRPr="005A3F47">
        <w:rPr>
          <w:noProof/>
        </w:rPr>
        <w:t xml:space="preserve">will ensure that </w:t>
      </w:r>
      <w:r w:rsidR="005556CC" w:rsidRPr="005A3F47">
        <w:rPr>
          <w:noProof/>
        </w:rPr>
        <w:t>the rule is more targeted</w:t>
      </w:r>
      <w:r w:rsidR="004976E5" w:rsidRPr="005A3F47">
        <w:rPr>
          <w:noProof/>
        </w:rPr>
        <w:t>, as</w:t>
      </w:r>
      <w:r w:rsidR="005556CC" w:rsidRPr="005A3F47">
        <w:rPr>
          <w:noProof/>
        </w:rPr>
        <w:t xml:space="preserve"> </w:t>
      </w:r>
      <w:r w:rsidR="00294387" w:rsidRPr="005A3F47">
        <w:rPr>
          <w:noProof/>
        </w:rPr>
        <w:t>low</w:t>
      </w:r>
      <w:r w:rsidR="004976E5" w:rsidRPr="005A3F47">
        <w:rPr>
          <w:noProof/>
        </w:rPr>
        <w:t>-</w:t>
      </w:r>
      <w:r w:rsidR="00294387" w:rsidRPr="005A3F47">
        <w:rPr>
          <w:noProof/>
        </w:rPr>
        <w:t xml:space="preserve">risk </w:t>
      </w:r>
      <w:r w:rsidR="006705B0" w:rsidRPr="005A3F47">
        <w:rPr>
          <w:noProof/>
        </w:rPr>
        <w:t>cases</w:t>
      </w:r>
      <w:r w:rsidR="004976E5" w:rsidRPr="005A3F47">
        <w:rPr>
          <w:noProof/>
        </w:rPr>
        <w:t xml:space="preserve"> will be alleviated</w:t>
      </w:r>
      <w:r w:rsidR="006705B0" w:rsidRPr="005A3F47">
        <w:rPr>
          <w:noProof/>
        </w:rPr>
        <w:t xml:space="preserve"> from the associated compliance burdens</w:t>
      </w:r>
      <w:r w:rsidR="00332ACC" w:rsidRPr="005A3F47">
        <w:rPr>
          <w:noProof/>
        </w:rPr>
        <w:t>.</w:t>
      </w:r>
      <w:r w:rsidR="00DB2400" w:rsidRPr="005A3F47">
        <w:rPr>
          <w:noProof/>
        </w:rPr>
        <w:t xml:space="preserve"> </w:t>
      </w:r>
      <w:r w:rsidR="00801477" w:rsidRPr="005A3F47">
        <w:rPr>
          <w:noProof/>
        </w:rPr>
        <w:t>The carveout will not alter t</w:t>
      </w:r>
      <w:r w:rsidR="002E03CF" w:rsidRPr="005A3F47">
        <w:rPr>
          <w:noProof/>
        </w:rPr>
        <w:t xml:space="preserve">he original objective of </w:t>
      </w:r>
      <w:r w:rsidR="001C05C1" w:rsidRPr="005A3F47">
        <w:rPr>
          <w:noProof/>
        </w:rPr>
        <w:t>the I</w:t>
      </w:r>
      <w:r w:rsidR="00EE15CB" w:rsidRPr="005A3F47">
        <w:rPr>
          <w:noProof/>
        </w:rPr>
        <w:t xml:space="preserve">nterest </w:t>
      </w:r>
      <w:r w:rsidR="001C05C1" w:rsidRPr="005A3F47">
        <w:rPr>
          <w:noProof/>
        </w:rPr>
        <w:t>L</w:t>
      </w:r>
      <w:r w:rsidR="001A0033" w:rsidRPr="005A3F47">
        <w:rPr>
          <w:noProof/>
        </w:rPr>
        <w:t xml:space="preserve">imitation </w:t>
      </w:r>
      <w:r w:rsidR="001C05C1" w:rsidRPr="005A3F47">
        <w:rPr>
          <w:noProof/>
        </w:rPr>
        <w:t>R</w:t>
      </w:r>
      <w:r w:rsidR="001A0033" w:rsidRPr="005A3F47">
        <w:rPr>
          <w:noProof/>
        </w:rPr>
        <w:t>ule</w:t>
      </w:r>
      <w:r w:rsidR="00284DA5" w:rsidRPr="005A3F47">
        <w:rPr>
          <w:noProof/>
        </w:rPr>
        <w:t xml:space="preserve">, i.e., </w:t>
      </w:r>
      <w:r w:rsidR="00C51351" w:rsidRPr="005A3F47">
        <w:rPr>
          <w:noProof/>
        </w:rPr>
        <w:t xml:space="preserve">to prevent using high debt financing to artificially reduce taxable profits in </w:t>
      </w:r>
      <w:r w:rsidR="00695D61" w:rsidRPr="005A3F47">
        <w:rPr>
          <w:noProof/>
        </w:rPr>
        <w:t>high-tax jurisdictions</w:t>
      </w:r>
      <w:r w:rsidR="0036355A" w:rsidRPr="005A3F47">
        <w:rPr>
          <w:noProof/>
        </w:rPr>
        <w:t>,</w:t>
      </w:r>
      <w:r w:rsidR="004F2DD3" w:rsidRPr="005A3F47">
        <w:rPr>
          <w:noProof/>
        </w:rPr>
        <w:t xml:space="preserve"> as the</w:t>
      </w:r>
      <w:r w:rsidR="00C51351" w:rsidRPr="005A3F47">
        <w:rPr>
          <w:noProof/>
        </w:rPr>
        <w:t xml:space="preserve"> rule </w:t>
      </w:r>
      <w:r w:rsidR="004F2DD3" w:rsidRPr="005A3F47">
        <w:rPr>
          <w:noProof/>
        </w:rPr>
        <w:t xml:space="preserve">is </w:t>
      </w:r>
      <w:r w:rsidR="0036355A" w:rsidRPr="005A3F47">
        <w:rPr>
          <w:noProof/>
        </w:rPr>
        <w:t>intended</w:t>
      </w:r>
      <w:r w:rsidR="004F2DD3" w:rsidRPr="005A3F47">
        <w:rPr>
          <w:noProof/>
        </w:rPr>
        <w:t xml:space="preserve"> to</w:t>
      </w:r>
      <w:r w:rsidR="000E000D" w:rsidRPr="005A3F47">
        <w:rPr>
          <w:noProof/>
        </w:rPr>
        <w:t xml:space="preserve"> </w:t>
      </w:r>
      <w:r w:rsidR="00C51351" w:rsidRPr="005A3F47">
        <w:rPr>
          <w:noProof/>
        </w:rPr>
        <w:t xml:space="preserve">align taxation with genuine financing needs and prevent base erosion by ensuring that interest deductions correspond to actual earnings. </w:t>
      </w:r>
      <w:r w:rsidR="00536D62" w:rsidRPr="005A3F47">
        <w:rPr>
          <w:noProof/>
        </w:rPr>
        <w:t>In</w:t>
      </w:r>
      <w:r w:rsidR="007B36BD" w:rsidRPr="005A3F47">
        <w:rPr>
          <w:noProof/>
        </w:rPr>
        <w:t xml:space="preserve"> the</w:t>
      </w:r>
      <w:r w:rsidR="00536D62" w:rsidRPr="005A3F47">
        <w:rPr>
          <w:noProof/>
        </w:rPr>
        <w:t xml:space="preserve"> low-risk cases</w:t>
      </w:r>
      <w:r w:rsidR="00376790" w:rsidRPr="005A3F47">
        <w:rPr>
          <w:noProof/>
        </w:rPr>
        <w:t xml:space="preserve"> in question</w:t>
      </w:r>
      <w:r w:rsidR="007B3D9A" w:rsidRPr="005A3F47">
        <w:rPr>
          <w:noProof/>
        </w:rPr>
        <w:t>,</w:t>
      </w:r>
      <w:r w:rsidR="007B36BD" w:rsidRPr="005A3F47">
        <w:rPr>
          <w:noProof/>
        </w:rPr>
        <w:t xml:space="preserve"> </w:t>
      </w:r>
      <w:r w:rsidR="00A0321B" w:rsidRPr="005A3F47">
        <w:rPr>
          <w:noProof/>
        </w:rPr>
        <w:t>taking out a loan</w:t>
      </w:r>
      <w:r w:rsidR="00AD6D79" w:rsidRPr="005A3F47">
        <w:rPr>
          <w:noProof/>
        </w:rPr>
        <w:t xml:space="preserve"> will generally</w:t>
      </w:r>
      <w:r w:rsidR="00AB1A65" w:rsidRPr="005A3F47">
        <w:rPr>
          <w:noProof/>
        </w:rPr>
        <w:t xml:space="preserve"> reflect </w:t>
      </w:r>
      <w:r w:rsidR="00991C1A" w:rsidRPr="005A3F47">
        <w:rPr>
          <w:noProof/>
        </w:rPr>
        <w:t>the company</w:t>
      </w:r>
      <w:r w:rsidR="006F2FB2" w:rsidRPr="005A3F47">
        <w:rPr>
          <w:noProof/>
        </w:rPr>
        <w:t xml:space="preserve">’s financing needs and </w:t>
      </w:r>
      <w:r w:rsidR="00A0321B" w:rsidRPr="005A3F47">
        <w:rPr>
          <w:noProof/>
        </w:rPr>
        <w:t>the</w:t>
      </w:r>
      <w:r w:rsidR="00812357" w:rsidRPr="005A3F47">
        <w:rPr>
          <w:noProof/>
        </w:rPr>
        <w:t xml:space="preserve"> </w:t>
      </w:r>
      <w:r w:rsidR="00331273" w:rsidRPr="005A3F47">
        <w:rPr>
          <w:noProof/>
        </w:rPr>
        <w:t>current le</w:t>
      </w:r>
      <w:r w:rsidR="00A12AD6" w:rsidRPr="005A3F47">
        <w:rPr>
          <w:noProof/>
        </w:rPr>
        <w:t>vel of protection will not be</w:t>
      </w:r>
      <w:r w:rsidR="00A101DB" w:rsidRPr="005A3F47">
        <w:rPr>
          <w:noProof/>
        </w:rPr>
        <w:t xml:space="preserve"> adversely affected </w:t>
      </w:r>
      <w:r w:rsidR="00047B14" w:rsidRPr="005A3F47">
        <w:rPr>
          <w:noProof/>
        </w:rPr>
        <w:t xml:space="preserve">by </w:t>
      </w:r>
      <w:r w:rsidR="00223864" w:rsidRPr="005A3F47">
        <w:rPr>
          <w:noProof/>
        </w:rPr>
        <w:t>un</w:t>
      </w:r>
      <w:r w:rsidR="007507BA" w:rsidRPr="005A3F47">
        <w:rPr>
          <w:noProof/>
        </w:rPr>
        <w:t xml:space="preserve">intended consequences </w:t>
      </w:r>
      <w:r w:rsidR="00773D6E" w:rsidRPr="005A3F47">
        <w:rPr>
          <w:noProof/>
        </w:rPr>
        <w:t xml:space="preserve">linked </w:t>
      </w:r>
      <w:r w:rsidR="00047B14" w:rsidRPr="005A3F47">
        <w:rPr>
          <w:noProof/>
        </w:rPr>
        <w:t>to</w:t>
      </w:r>
      <w:r w:rsidR="00A101DB" w:rsidRPr="005A3F47">
        <w:rPr>
          <w:noProof/>
        </w:rPr>
        <w:t xml:space="preserve"> these options.</w:t>
      </w:r>
      <w:r w:rsidR="00410A16" w:rsidRPr="005A3F47">
        <w:rPr>
          <w:noProof/>
        </w:rPr>
        <w:t xml:space="preserve"> </w:t>
      </w:r>
      <w:r w:rsidR="00487FE3" w:rsidRPr="005A3F47">
        <w:rPr>
          <w:noProof/>
        </w:rPr>
        <w:t>Hence, h</w:t>
      </w:r>
      <w:r w:rsidR="00410A16" w:rsidRPr="005A3F47">
        <w:rPr>
          <w:noProof/>
        </w:rPr>
        <w:t xml:space="preserve">igh </w:t>
      </w:r>
      <w:r w:rsidR="000F71C7" w:rsidRPr="005A3F47">
        <w:rPr>
          <w:noProof/>
        </w:rPr>
        <w:t>tax standards rema</w:t>
      </w:r>
      <w:r w:rsidR="00487FE3" w:rsidRPr="005A3F47">
        <w:rPr>
          <w:noProof/>
        </w:rPr>
        <w:t>in within the EU.</w:t>
      </w:r>
    </w:p>
    <w:p w14:paraId="0C222F5A" w14:textId="0BE9AAA9" w:rsidR="00D96193" w:rsidRPr="005A3F47" w:rsidRDefault="005641F6" w:rsidP="00FA5980">
      <w:pPr>
        <w:rPr>
          <w:noProof/>
        </w:rPr>
      </w:pPr>
      <w:r w:rsidRPr="005A3F47">
        <w:rPr>
          <w:noProof/>
        </w:rPr>
        <w:t xml:space="preserve">Finally, </w:t>
      </w:r>
      <w:r w:rsidR="00D96193" w:rsidRPr="005A3F47">
        <w:rPr>
          <w:noProof/>
        </w:rPr>
        <w:t xml:space="preserve">Option 5, i.e., </w:t>
      </w:r>
      <w:r w:rsidR="00676421" w:rsidRPr="005A3F47">
        <w:rPr>
          <w:noProof/>
        </w:rPr>
        <w:t xml:space="preserve">exemption </w:t>
      </w:r>
      <w:r w:rsidR="00F8304C" w:rsidRPr="005A3F47">
        <w:rPr>
          <w:noProof/>
        </w:rPr>
        <w:t xml:space="preserve">in case of </w:t>
      </w:r>
      <w:r w:rsidR="008F6373" w:rsidRPr="005A3F47">
        <w:rPr>
          <w:noProof/>
        </w:rPr>
        <w:t>profitability shock</w:t>
      </w:r>
      <w:r w:rsidR="00407CBF" w:rsidRPr="005A3F47">
        <w:rPr>
          <w:noProof/>
        </w:rPr>
        <w:t xml:space="preserve">, </w:t>
      </w:r>
      <w:r w:rsidR="00AA7D8D" w:rsidRPr="005A3F47">
        <w:rPr>
          <w:noProof/>
        </w:rPr>
        <w:t>addresses</w:t>
      </w:r>
      <w:r w:rsidR="00472E65" w:rsidRPr="005A3F47">
        <w:rPr>
          <w:noProof/>
        </w:rPr>
        <w:t xml:space="preserve"> </w:t>
      </w:r>
      <w:r w:rsidR="00AA7D8D" w:rsidRPr="005A3F47">
        <w:rPr>
          <w:noProof/>
        </w:rPr>
        <w:t>the specific case where the I</w:t>
      </w:r>
      <w:r w:rsidR="00FF1CFC" w:rsidRPr="005A3F47">
        <w:rPr>
          <w:noProof/>
        </w:rPr>
        <w:t xml:space="preserve">nterest </w:t>
      </w:r>
      <w:r w:rsidR="00AA7D8D" w:rsidRPr="005A3F47">
        <w:rPr>
          <w:noProof/>
        </w:rPr>
        <w:t>L</w:t>
      </w:r>
      <w:r w:rsidR="00FF1CFC" w:rsidRPr="005A3F47">
        <w:rPr>
          <w:noProof/>
        </w:rPr>
        <w:t xml:space="preserve">imitation </w:t>
      </w:r>
      <w:r w:rsidR="00AA7D8D" w:rsidRPr="005A3F47">
        <w:rPr>
          <w:noProof/>
        </w:rPr>
        <w:t>R</w:t>
      </w:r>
      <w:r w:rsidR="00FF1CFC" w:rsidRPr="005A3F47">
        <w:rPr>
          <w:noProof/>
        </w:rPr>
        <w:t>ule</w:t>
      </w:r>
      <w:r w:rsidR="00AA7D8D" w:rsidRPr="005A3F47">
        <w:rPr>
          <w:noProof/>
        </w:rPr>
        <w:t xml:space="preserve"> should not be imposing </w:t>
      </w:r>
      <w:r w:rsidR="000E6C2A" w:rsidRPr="005A3F47">
        <w:rPr>
          <w:noProof/>
        </w:rPr>
        <w:t>additional compliance or tax burden</w:t>
      </w:r>
      <w:r w:rsidR="00CD044D" w:rsidRPr="005A3F47">
        <w:rPr>
          <w:noProof/>
        </w:rPr>
        <w:t xml:space="preserve"> </w:t>
      </w:r>
      <w:r w:rsidR="0028630E" w:rsidRPr="005A3F47">
        <w:rPr>
          <w:noProof/>
        </w:rPr>
        <w:t>o</w:t>
      </w:r>
      <w:r w:rsidR="00DB1A22" w:rsidRPr="005A3F47">
        <w:rPr>
          <w:noProof/>
        </w:rPr>
        <w:t xml:space="preserve">n a </w:t>
      </w:r>
      <w:r w:rsidR="003D180A" w:rsidRPr="005A3F47">
        <w:rPr>
          <w:noProof/>
        </w:rPr>
        <w:t>company which experience</w:t>
      </w:r>
      <w:r w:rsidR="00675D3D" w:rsidRPr="005A3F47">
        <w:rPr>
          <w:noProof/>
        </w:rPr>
        <w:t>s</w:t>
      </w:r>
      <w:r w:rsidR="003D180A" w:rsidRPr="005A3F47">
        <w:rPr>
          <w:noProof/>
        </w:rPr>
        <w:t xml:space="preserve"> </w:t>
      </w:r>
      <w:r w:rsidR="00662271" w:rsidRPr="005A3F47">
        <w:rPr>
          <w:noProof/>
        </w:rPr>
        <w:t>a sig</w:t>
      </w:r>
      <w:r w:rsidR="0090478D" w:rsidRPr="005A3F47">
        <w:rPr>
          <w:noProof/>
        </w:rPr>
        <w:t xml:space="preserve">nificant drop in </w:t>
      </w:r>
      <w:r w:rsidR="00675D3D" w:rsidRPr="005A3F47">
        <w:rPr>
          <w:noProof/>
        </w:rPr>
        <w:t>its</w:t>
      </w:r>
      <w:r w:rsidR="0090478D" w:rsidRPr="005A3F47">
        <w:rPr>
          <w:noProof/>
        </w:rPr>
        <w:t xml:space="preserve"> EBITDA.</w:t>
      </w:r>
      <w:r w:rsidR="00F61CE7" w:rsidRPr="005A3F47">
        <w:rPr>
          <w:noProof/>
        </w:rPr>
        <w:t xml:space="preserve"> This option will </w:t>
      </w:r>
      <w:r w:rsidR="00232451" w:rsidRPr="005A3F47">
        <w:rPr>
          <w:noProof/>
        </w:rPr>
        <w:t xml:space="preserve">facilitate doing business in the EU </w:t>
      </w:r>
      <w:r w:rsidR="00C57F9C" w:rsidRPr="005A3F47">
        <w:rPr>
          <w:noProof/>
        </w:rPr>
        <w:t xml:space="preserve">in periods of </w:t>
      </w:r>
      <w:r w:rsidR="00B44D47" w:rsidRPr="005A3F47">
        <w:rPr>
          <w:noProof/>
        </w:rPr>
        <w:t xml:space="preserve">general </w:t>
      </w:r>
      <w:r w:rsidR="00C57F9C" w:rsidRPr="005A3F47">
        <w:rPr>
          <w:noProof/>
        </w:rPr>
        <w:t xml:space="preserve">economic difficulty </w:t>
      </w:r>
      <w:r w:rsidR="00B44D47" w:rsidRPr="005A3F47">
        <w:rPr>
          <w:noProof/>
        </w:rPr>
        <w:t xml:space="preserve">or when a company faces </w:t>
      </w:r>
      <w:r w:rsidR="00BC3C18" w:rsidRPr="005A3F47">
        <w:rPr>
          <w:noProof/>
        </w:rPr>
        <w:t xml:space="preserve">occasional </w:t>
      </w:r>
      <w:r w:rsidR="00FD7321" w:rsidRPr="005A3F47">
        <w:rPr>
          <w:noProof/>
        </w:rPr>
        <w:t xml:space="preserve">economic challenges </w:t>
      </w:r>
      <w:r w:rsidR="00C57F9C" w:rsidRPr="005A3F47">
        <w:rPr>
          <w:noProof/>
        </w:rPr>
        <w:t xml:space="preserve">and, thereby, </w:t>
      </w:r>
      <w:r w:rsidR="00CE4D97" w:rsidRPr="005A3F47">
        <w:rPr>
          <w:noProof/>
        </w:rPr>
        <w:t>it</w:t>
      </w:r>
      <w:r w:rsidR="00C57F9C" w:rsidRPr="005A3F47">
        <w:rPr>
          <w:noProof/>
        </w:rPr>
        <w:t xml:space="preserve"> improve</w:t>
      </w:r>
      <w:r w:rsidR="00CE4D97" w:rsidRPr="005A3F47">
        <w:rPr>
          <w:noProof/>
        </w:rPr>
        <w:t>s</w:t>
      </w:r>
      <w:r w:rsidR="00C57F9C" w:rsidRPr="005A3F47">
        <w:rPr>
          <w:noProof/>
        </w:rPr>
        <w:t xml:space="preserve"> the </w:t>
      </w:r>
      <w:r w:rsidR="00A17243" w:rsidRPr="005A3F47">
        <w:rPr>
          <w:noProof/>
        </w:rPr>
        <w:t xml:space="preserve">competitiveness </w:t>
      </w:r>
      <w:r w:rsidR="007313E2" w:rsidRPr="005A3F47">
        <w:rPr>
          <w:noProof/>
        </w:rPr>
        <w:t>of EU companies.</w:t>
      </w:r>
      <w:r w:rsidR="0012408E" w:rsidRPr="005A3F47">
        <w:rPr>
          <w:noProof/>
        </w:rPr>
        <w:t xml:space="preserve"> The option does not lower the current level of protection as </w:t>
      </w:r>
      <w:r w:rsidR="00DA44C6" w:rsidRPr="005A3F47">
        <w:rPr>
          <w:noProof/>
        </w:rPr>
        <w:t>it</w:t>
      </w:r>
      <w:r w:rsidR="0012408E" w:rsidRPr="005A3F47">
        <w:rPr>
          <w:noProof/>
        </w:rPr>
        <w:t xml:space="preserve"> </w:t>
      </w:r>
      <w:r w:rsidR="000C22D1" w:rsidRPr="005A3F47">
        <w:rPr>
          <w:noProof/>
        </w:rPr>
        <w:t>will only apply</w:t>
      </w:r>
      <w:r w:rsidR="007C3C68" w:rsidRPr="005A3F47">
        <w:rPr>
          <w:noProof/>
        </w:rPr>
        <w:t xml:space="preserve"> in cases where </w:t>
      </w:r>
      <w:r w:rsidR="00FD57EE" w:rsidRPr="005A3F47">
        <w:rPr>
          <w:noProof/>
        </w:rPr>
        <w:t>a</w:t>
      </w:r>
      <w:r w:rsidR="007C3C68" w:rsidRPr="005A3F47">
        <w:rPr>
          <w:noProof/>
        </w:rPr>
        <w:t xml:space="preserve"> compan</w:t>
      </w:r>
      <w:r w:rsidR="00ED63C1" w:rsidRPr="005A3F47">
        <w:rPr>
          <w:noProof/>
        </w:rPr>
        <w:t>y’s</w:t>
      </w:r>
      <w:r w:rsidR="007C3C68" w:rsidRPr="005A3F47">
        <w:rPr>
          <w:noProof/>
        </w:rPr>
        <w:t xml:space="preserve"> difficulties </w:t>
      </w:r>
      <w:r w:rsidR="004E29A5" w:rsidRPr="005A3F47">
        <w:rPr>
          <w:noProof/>
        </w:rPr>
        <w:t xml:space="preserve">reflect </w:t>
      </w:r>
      <w:r w:rsidR="0015567C" w:rsidRPr="005A3F47">
        <w:rPr>
          <w:noProof/>
        </w:rPr>
        <w:t xml:space="preserve">its </w:t>
      </w:r>
      <w:r w:rsidR="004E29A5" w:rsidRPr="005A3F47">
        <w:rPr>
          <w:noProof/>
        </w:rPr>
        <w:t>economic reality</w:t>
      </w:r>
      <w:r w:rsidR="009E51A8" w:rsidRPr="005A3F47">
        <w:rPr>
          <w:noProof/>
        </w:rPr>
        <w:t>.</w:t>
      </w:r>
      <w:r w:rsidR="00FB6300" w:rsidRPr="005A3F47">
        <w:rPr>
          <w:noProof/>
        </w:rPr>
        <w:t xml:space="preserve"> Tax planning opp</w:t>
      </w:r>
      <w:r w:rsidR="003E61E2" w:rsidRPr="005A3F47">
        <w:rPr>
          <w:noProof/>
        </w:rPr>
        <w:t xml:space="preserve">ortunities </w:t>
      </w:r>
      <w:r w:rsidR="00453CFB" w:rsidRPr="005A3F47">
        <w:rPr>
          <w:noProof/>
        </w:rPr>
        <w:t>will</w:t>
      </w:r>
      <w:r w:rsidR="003E61E2" w:rsidRPr="005A3F47">
        <w:rPr>
          <w:noProof/>
        </w:rPr>
        <w:t xml:space="preserve">, therefore, not be an </w:t>
      </w:r>
      <w:r w:rsidR="00372FB1" w:rsidRPr="005A3F47">
        <w:rPr>
          <w:noProof/>
        </w:rPr>
        <w:t>unintended consequence</w:t>
      </w:r>
      <w:r w:rsidR="00C840C0" w:rsidRPr="005A3F47">
        <w:rPr>
          <w:noProof/>
        </w:rPr>
        <w:t xml:space="preserve"> of the option,</w:t>
      </w:r>
      <w:r w:rsidR="00372FB1" w:rsidRPr="005A3F47">
        <w:rPr>
          <w:noProof/>
        </w:rPr>
        <w:t xml:space="preserve"> </w:t>
      </w:r>
      <w:r w:rsidR="001621D9" w:rsidRPr="005A3F47">
        <w:rPr>
          <w:noProof/>
        </w:rPr>
        <w:t>and</w:t>
      </w:r>
      <w:r w:rsidR="00453CFB" w:rsidRPr="005A3F47">
        <w:rPr>
          <w:noProof/>
        </w:rPr>
        <w:t xml:space="preserve"> the high tax standards </w:t>
      </w:r>
      <w:r w:rsidR="00C840C0" w:rsidRPr="005A3F47">
        <w:rPr>
          <w:noProof/>
        </w:rPr>
        <w:t xml:space="preserve">in the EU </w:t>
      </w:r>
      <w:r w:rsidR="00EA2621" w:rsidRPr="005A3F47">
        <w:rPr>
          <w:noProof/>
        </w:rPr>
        <w:t xml:space="preserve">will continue to apply. </w:t>
      </w:r>
    </w:p>
    <w:p w14:paraId="16233C14" w14:textId="08F659A3" w:rsidR="0010064D" w:rsidRPr="005A3F47" w:rsidRDefault="0010064D" w:rsidP="00965B24">
      <w:pPr>
        <w:pStyle w:val="Heading3"/>
        <w:numPr>
          <w:ilvl w:val="2"/>
          <w:numId w:val="216"/>
        </w:numPr>
        <w:rPr>
          <w:noProof/>
        </w:rPr>
      </w:pPr>
      <w:bookmarkStart w:id="251" w:name="_Toc226466849"/>
      <w:bookmarkStart w:id="252" w:name="_Toc226467210"/>
      <w:bookmarkStart w:id="253" w:name="_Toc226467310"/>
      <w:bookmarkStart w:id="254" w:name="_Toc226467529"/>
      <w:r w:rsidRPr="005A3F47">
        <w:rPr>
          <w:noProof/>
        </w:rPr>
        <w:t>Hybrid mismatches</w:t>
      </w:r>
      <w:bookmarkEnd w:id="251"/>
      <w:bookmarkEnd w:id="252"/>
      <w:bookmarkEnd w:id="253"/>
      <w:bookmarkEnd w:id="254"/>
    </w:p>
    <w:p w14:paraId="5C27071A" w14:textId="0B980BBC" w:rsidR="006E7E0B" w:rsidRPr="005A3F47" w:rsidRDefault="004F7D06" w:rsidP="00FA5980">
      <w:pPr>
        <w:rPr>
          <w:noProof/>
        </w:rPr>
      </w:pPr>
      <w:r w:rsidRPr="005A3F47">
        <w:rPr>
          <w:noProof/>
        </w:rPr>
        <w:t xml:space="preserve">To </w:t>
      </w:r>
      <w:r w:rsidR="00CB13BC" w:rsidRPr="005A3F47">
        <w:rPr>
          <w:noProof/>
        </w:rPr>
        <w:t xml:space="preserve">reduce </w:t>
      </w:r>
      <w:r w:rsidR="005319A9" w:rsidRPr="005A3F47">
        <w:rPr>
          <w:noProof/>
        </w:rPr>
        <w:t>the complexity</w:t>
      </w:r>
      <w:r w:rsidR="00CB13BC" w:rsidRPr="005A3F47">
        <w:rPr>
          <w:noProof/>
        </w:rPr>
        <w:t xml:space="preserve"> </w:t>
      </w:r>
      <w:r w:rsidR="00625EA3" w:rsidRPr="005A3F47">
        <w:rPr>
          <w:noProof/>
        </w:rPr>
        <w:t>related to</w:t>
      </w:r>
      <w:r w:rsidRPr="005A3F47">
        <w:rPr>
          <w:noProof/>
        </w:rPr>
        <w:t xml:space="preserve"> the </w:t>
      </w:r>
      <w:r w:rsidR="00F55A4B" w:rsidRPr="005A3F47">
        <w:rPr>
          <w:noProof/>
        </w:rPr>
        <w:t xml:space="preserve">hybrid mismatch rules, the </w:t>
      </w:r>
      <w:r w:rsidR="00625EA3" w:rsidRPr="005A3F47">
        <w:rPr>
          <w:noProof/>
        </w:rPr>
        <w:t xml:space="preserve">preferred simplification measure </w:t>
      </w:r>
      <w:r w:rsidR="005F1774" w:rsidRPr="005A3F47">
        <w:rPr>
          <w:noProof/>
        </w:rPr>
        <w:t>is</w:t>
      </w:r>
      <w:r w:rsidR="0012563A" w:rsidRPr="005A3F47">
        <w:rPr>
          <w:noProof/>
        </w:rPr>
        <w:t xml:space="preserve"> </w:t>
      </w:r>
      <w:r w:rsidR="00D52FAC" w:rsidRPr="005A3F47">
        <w:rPr>
          <w:noProof/>
        </w:rPr>
        <w:t xml:space="preserve">to abolish </w:t>
      </w:r>
      <w:r w:rsidR="00EC0D49" w:rsidRPr="005A3F47">
        <w:rPr>
          <w:noProof/>
        </w:rPr>
        <w:t xml:space="preserve">the </w:t>
      </w:r>
      <w:r w:rsidR="00D52FAC" w:rsidRPr="005A3F47">
        <w:rPr>
          <w:noProof/>
        </w:rPr>
        <w:t>rules on imported mismatches</w:t>
      </w:r>
      <w:r w:rsidR="005538CA" w:rsidRPr="005A3F47">
        <w:rPr>
          <w:noProof/>
        </w:rPr>
        <w:t xml:space="preserve">, </w:t>
      </w:r>
      <w:r w:rsidR="00E01BD3" w:rsidRPr="005A3F47">
        <w:rPr>
          <w:noProof/>
        </w:rPr>
        <w:t>i.e., Option 1</w:t>
      </w:r>
      <w:r w:rsidR="57183F7B" w:rsidRPr="005A3F47">
        <w:rPr>
          <w:noProof/>
        </w:rPr>
        <w:t>A</w:t>
      </w:r>
      <w:r w:rsidR="00E01BD3" w:rsidRPr="005A3F47">
        <w:rPr>
          <w:noProof/>
        </w:rPr>
        <w:t>,</w:t>
      </w:r>
      <w:r w:rsidR="005538CA" w:rsidRPr="005A3F47">
        <w:rPr>
          <w:noProof/>
        </w:rPr>
        <w:t xml:space="preserve"> due to the</w:t>
      </w:r>
      <w:r w:rsidR="00336C2E" w:rsidRPr="005A3F47">
        <w:rPr>
          <w:noProof/>
        </w:rPr>
        <w:t>ir</w:t>
      </w:r>
      <w:r w:rsidR="005538CA" w:rsidRPr="005A3F47">
        <w:rPr>
          <w:noProof/>
        </w:rPr>
        <w:t xml:space="preserve"> limited use</w:t>
      </w:r>
      <w:r w:rsidR="002E64CF" w:rsidRPr="005A3F47">
        <w:rPr>
          <w:noProof/>
        </w:rPr>
        <w:t xml:space="preserve">, </w:t>
      </w:r>
      <w:r w:rsidR="006120D8" w:rsidRPr="005A3F47">
        <w:rPr>
          <w:noProof/>
        </w:rPr>
        <w:t>practical difficulties</w:t>
      </w:r>
      <w:r w:rsidR="00D06CD4" w:rsidRPr="005A3F47">
        <w:rPr>
          <w:noProof/>
        </w:rPr>
        <w:t xml:space="preserve"> in application</w:t>
      </w:r>
      <w:r w:rsidR="002E64CF" w:rsidRPr="005A3F47">
        <w:rPr>
          <w:noProof/>
        </w:rPr>
        <w:t xml:space="preserve">, </w:t>
      </w:r>
      <w:r w:rsidR="00336C2E" w:rsidRPr="005A3F47">
        <w:rPr>
          <w:noProof/>
        </w:rPr>
        <w:t>and, as a result,</w:t>
      </w:r>
      <w:r w:rsidR="00A01958" w:rsidRPr="005A3F47">
        <w:rPr>
          <w:noProof/>
        </w:rPr>
        <w:t xml:space="preserve"> </w:t>
      </w:r>
      <w:r w:rsidR="00894DB8" w:rsidRPr="005A3F47">
        <w:rPr>
          <w:noProof/>
        </w:rPr>
        <w:t>little</w:t>
      </w:r>
      <w:r w:rsidR="00C367B8" w:rsidRPr="005A3F47">
        <w:rPr>
          <w:noProof/>
        </w:rPr>
        <w:t>-</w:t>
      </w:r>
      <w:r w:rsidR="00894DB8" w:rsidRPr="005A3F47">
        <w:rPr>
          <w:noProof/>
        </w:rPr>
        <w:t>to</w:t>
      </w:r>
      <w:r w:rsidR="00C367B8" w:rsidRPr="005A3F47">
        <w:rPr>
          <w:noProof/>
        </w:rPr>
        <w:t>-</w:t>
      </w:r>
      <w:r w:rsidR="00894DB8" w:rsidRPr="005A3F47">
        <w:rPr>
          <w:noProof/>
        </w:rPr>
        <w:t>no practical effect</w:t>
      </w:r>
      <w:r w:rsidR="00D52FAC" w:rsidRPr="005A3F47">
        <w:rPr>
          <w:noProof/>
        </w:rPr>
        <w:t>.</w:t>
      </w:r>
      <w:r w:rsidR="00D22567" w:rsidRPr="005A3F47">
        <w:rPr>
          <w:noProof/>
        </w:rPr>
        <w:t xml:space="preserve"> </w:t>
      </w:r>
      <w:r w:rsidR="001B41C4" w:rsidRPr="005A3F47">
        <w:rPr>
          <w:noProof/>
        </w:rPr>
        <w:t>This will make the rules clearer</w:t>
      </w:r>
      <w:r w:rsidR="003C54EF" w:rsidRPr="005A3F47">
        <w:rPr>
          <w:noProof/>
        </w:rPr>
        <w:t xml:space="preserve"> without altering</w:t>
      </w:r>
      <w:r w:rsidR="00D96837" w:rsidRPr="005A3F47">
        <w:rPr>
          <w:noProof/>
        </w:rPr>
        <w:t xml:space="preserve"> the original objective of the rules, i.e</w:t>
      </w:r>
      <w:r w:rsidR="003D7F8D" w:rsidRPr="005A3F47">
        <w:rPr>
          <w:noProof/>
        </w:rPr>
        <w:t xml:space="preserve">., </w:t>
      </w:r>
      <w:r w:rsidR="00420557" w:rsidRPr="005A3F47">
        <w:rPr>
          <w:noProof/>
        </w:rPr>
        <w:t>eliminating</w:t>
      </w:r>
      <w:r w:rsidR="00D96837" w:rsidRPr="005A3F47">
        <w:rPr>
          <w:noProof/>
        </w:rPr>
        <w:t xml:space="preserve"> hybrid mismatch arrangements </w:t>
      </w:r>
      <w:r w:rsidR="00CC2326" w:rsidRPr="005A3F47">
        <w:rPr>
          <w:noProof/>
        </w:rPr>
        <w:t xml:space="preserve">that </w:t>
      </w:r>
      <w:r w:rsidR="00D96837" w:rsidRPr="005A3F47">
        <w:rPr>
          <w:noProof/>
        </w:rPr>
        <w:t>exploit differences in the tax treatment of instruments, entities, or transfers between two or more countries to achieve double non-taxation</w:t>
      </w:r>
      <w:r w:rsidR="006856CA" w:rsidRPr="005A3F47">
        <w:rPr>
          <w:noProof/>
        </w:rPr>
        <w:t xml:space="preserve">, as </w:t>
      </w:r>
      <w:r w:rsidR="00F31ED4" w:rsidRPr="005A3F47">
        <w:rPr>
          <w:noProof/>
        </w:rPr>
        <w:t xml:space="preserve">it is </w:t>
      </w:r>
      <w:r w:rsidR="001441F1" w:rsidRPr="005A3F47">
        <w:rPr>
          <w:noProof/>
        </w:rPr>
        <w:t xml:space="preserve">only </w:t>
      </w:r>
      <w:r w:rsidR="00F31ED4" w:rsidRPr="005A3F47">
        <w:rPr>
          <w:noProof/>
        </w:rPr>
        <w:t xml:space="preserve">doing away with a rule </w:t>
      </w:r>
      <w:r w:rsidR="00913C7D" w:rsidRPr="005A3F47">
        <w:rPr>
          <w:noProof/>
        </w:rPr>
        <w:t xml:space="preserve">which does not </w:t>
      </w:r>
      <w:r w:rsidR="004E7FF5" w:rsidRPr="005A3F47">
        <w:rPr>
          <w:noProof/>
        </w:rPr>
        <w:t>offer</w:t>
      </w:r>
      <w:r w:rsidR="007A14B5" w:rsidRPr="005A3F47">
        <w:rPr>
          <w:noProof/>
        </w:rPr>
        <w:t xml:space="preserve"> any protection</w:t>
      </w:r>
      <w:r w:rsidR="00DC2ED2" w:rsidRPr="005A3F47">
        <w:rPr>
          <w:noProof/>
        </w:rPr>
        <w:t xml:space="preserve"> in practice</w:t>
      </w:r>
      <w:r w:rsidR="00232D75" w:rsidRPr="005A3F47">
        <w:rPr>
          <w:noProof/>
        </w:rPr>
        <w:t>.</w:t>
      </w:r>
      <w:r w:rsidR="00514D89" w:rsidRPr="005A3F47">
        <w:rPr>
          <w:noProof/>
        </w:rPr>
        <w:t xml:space="preserve"> </w:t>
      </w:r>
      <w:r w:rsidR="0090496D" w:rsidRPr="005A3F47">
        <w:rPr>
          <w:noProof/>
        </w:rPr>
        <w:t xml:space="preserve">The </w:t>
      </w:r>
      <w:r w:rsidR="001835A2" w:rsidRPr="005A3F47">
        <w:rPr>
          <w:noProof/>
        </w:rPr>
        <w:t xml:space="preserve">hybrid </w:t>
      </w:r>
      <w:r w:rsidR="001C7FC9" w:rsidRPr="005A3F47">
        <w:rPr>
          <w:noProof/>
        </w:rPr>
        <w:t xml:space="preserve">mismatch </w:t>
      </w:r>
      <w:r w:rsidR="0090496D" w:rsidRPr="005A3F47">
        <w:rPr>
          <w:noProof/>
        </w:rPr>
        <w:t>rules</w:t>
      </w:r>
      <w:r w:rsidR="001C7FC9" w:rsidRPr="005A3F47">
        <w:rPr>
          <w:noProof/>
        </w:rPr>
        <w:t xml:space="preserve"> in the EU</w:t>
      </w:r>
      <w:r w:rsidR="0090496D" w:rsidRPr="005A3F47">
        <w:rPr>
          <w:noProof/>
        </w:rPr>
        <w:t xml:space="preserve"> would therefore remain in line with </w:t>
      </w:r>
      <w:r w:rsidR="66E69EDE" w:rsidRPr="005A3F47">
        <w:rPr>
          <w:noProof/>
        </w:rPr>
        <w:t xml:space="preserve">the primary rules of the </w:t>
      </w:r>
      <w:r w:rsidR="0090496D" w:rsidRPr="005A3F47">
        <w:rPr>
          <w:noProof/>
        </w:rPr>
        <w:t xml:space="preserve">international standards </w:t>
      </w:r>
      <w:r w:rsidR="00DB1937" w:rsidRPr="005A3F47">
        <w:rPr>
          <w:noProof/>
        </w:rPr>
        <w:t xml:space="preserve">as set out in the OECD BEPS Action </w:t>
      </w:r>
      <w:r w:rsidR="00CD607E" w:rsidRPr="005A3F47">
        <w:rPr>
          <w:noProof/>
        </w:rPr>
        <w:t>2.</w:t>
      </w:r>
      <w:r w:rsidR="00514D89" w:rsidRPr="005A3F47">
        <w:rPr>
          <w:noProof/>
        </w:rPr>
        <w:t xml:space="preserve"> </w:t>
      </w:r>
      <w:r w:rsidR="001D1AE9" w:rsidRPr="005A3F47">
        <w:rPr>
          <w:noProof/>
        </w:rPr>
        <w:t>Th</w:t>
      </w:r>
      <w:r w:rsidR="0090012F" w:rsidRPr="005A3F47">
        <w:rPr>
          <w:noProof/>
        </w:rPr>
        <w:t>e option</w:t>
      </w:r>
      <w:r w:rsidR="0042563E" w:rsidRPr="005A3F47">
        <w:rPr>
          <w:noProof/>
        </w:rPr>
        <w:t xml:space="preserve"> </w:t>
      </w:r>
      <w:r w:rsidR="009850A1" w:rsidRPr="005A3F47">
        <w:rPr>
          <w:noProof/>
        </w:rPr>
        <w:t>will</w:t>
      </w:r>
      <w:r w:rsidR="009850A1" w:rsidRPr="005A3F47" w:rsidDel="00363A75">
        <w:rPr>
          <w:noProof/>
        </w:rPr>
        <w:t xml:space="preserve"> </w:t>
      </w:r>
      <w:r w:rsidR="00363A75" w:rsidRPr="005A3F47">
        <w:rPr>
          <w:noProof/>
        </w:rPr>
        <w:t xml:space="preserve">thereby </w:t>
      </w:r>
      <w:r w:rsidR="001D1AE9" w:rsidRPr="005A3F47">
        <w:rPr>
          <w:noProof/>
        </w:rPr>
        <w:t>contribute to</w:t>
      </w:r>
      <w:r w:rsidR="00087CB8" w:rsidRPr="005A3F47">
        <w:rPr>
          <w:noProof/>
        </w:rPr>
        <w:t xml:space="preserve"> </w:t>
      </w:r>
      <w:r w:rsidR="001D1AE9" w:rsidRPr="005A3F47">
        <w:rPr>
          <w:noProof/>
        </w:rPr>
        <w:t xml:space="preserve">simplifying the EU tax landscape by </w:t>
      </w:r>
      <w:r w:rsidR="00087CB8" w:rsidRPr="005A3F47">
        <w:rPr>
          <w:noProof/>
        </w:rPr>
        <w:t>eliminat</w:t>
      </w:r>
      <w:r w:rsidR="001D1AE9" w:rsidRPr="005A3F47">
        <w:rPr>
          <w:noProof/>
        </w:rPr>
        <w:t>ing</w:t>
      </w:r>
      <w:r w:rsidR="00087CB8" w:rsidRPr="005A3F47">
        <w:rPr>
          <w:noProof/>
        </w:rPr>
        <w:t xml:space="preserve"> </w:t>
      </w:r>
      <w:r w:rsidR="00664B00" w:rsidRPr="005A3F47">
        <w:rPr>
          <w:noProof/>
        </w:rPr>
        <w:t xml:space="preserve">compliance </w:t>
      </w:r>
      <w:r w:rsidR="00A20CB2" w:rsidRPr="005A3F47">
        <w:rPr>
          <w:noProof/>
        </w:rPr>
        <w:t xml:space="preserve">burdens </w:t>
      </w:r>
      <w:r w:rsidR="00363A75" w:rsidRPr="005A3F47">
        <w:rPr>
          <w:noProof/>
        </w:rPr>
        <w:t xml:space="preserve">in a certain field </w:t>
      </w:r>
      <w:r w:rsidR="005F1D3B" w:rsidRPr="005A3F47">
        <w:rPr>
          <w:noProof/>
        </w:rPr>
        <w:t xml:space="preserve">without </w:t>
      </w:r>
      <w:r w:rsidR="005F1D3B" w:rsidRPr="005A3F47" w:rsidDel="00894DB8">
        <w:rPr>
          <w:noProof/>
        </w:rPr>
        <w:t>low</w:t>
      </w:r>
      <w:r w:rsidR="00C367B8" w:rsidRPr="005A3F47">
        <w:rPr>
          <w:noProof/>
        </w:rPr>
        <w:t>er</w:t>
      </w:r>
      <w:r w:rsidR="005F1D3B" w:rsidRPr="005A3F47" w:rsidDel="00894DB8">
        <w:rPr>
          <w:noProof/>
        </w:rPr>
        <w:t>ing</w:t>
      </w:r>
      <w:r w:rsidR="005F1D3B" w:rsidRPr="005A3F47">
        <w:rPr>
          <w:noProof/>
        </w:rPr>
        <w:t xml:space="preserve"> </w:t>
      </w:r>
      <w:r w:rsidR="004929DD" w:rsidRPr="005A3F47">
        <w:rPr>
          <w:noProof/>
        </w:rPr>
        <w:t>high</w:t>
      </w:r>
      <w:r w:rsidR="00EF20AF" w:rsidRPr="005A3F47">
        <w:rPr>
          <w:noProof/>
        </w:rPr>
        <w:t xml:space="preserve"> </w:t>
      </w:r>
      <w:r w:rsidR="004929DD" w:rsidRPr="005A3F47">
        <w:rPr>
          <w:noProof/>
        </w:rPr>
        <w:t xml:space="preserve">tax standards. </w:t>
      </w:r>
    </w:p>
    <w:p w14:paraId="7BC8CC72" w14:textId="132CB5FA" w:rsidR="00F203DA" w:rsidRPr="005A3F47" w:rsidRDefault="00F203DA" w:rsidP="00FA5B5C">
      <w:pPr>
        <w:pStyle w:val="Heading3"/>
        <w:numPr>
          <w:ilvl w:val="2"/>
          <w:numId w:val="216"/>
        </w:numPr>
        <w:rPr>
          <w:noProof/>
        </w:rPr>
      </w:pPr>
      <w:bookmarkStart w:id="255" w:name="_Toc226466850"/>
      <w:bookmarkStart w:id="256" w:name="_Toc226467211"/>
      <w:bookmarkStart w:id="257" w:name="_Toc226467311"/>
      <w:bookmarkStart w:id="258" w:name="_Toc226467530"/>
      <w:r w:rsidRPr="005A3F47">
        <w:rPr>
          <w:noProof/>
        </w:rPr>
        <w:t>Tax mergers</w:t>
      </w:r>
      <w:bookmarkEnd w:id="255"/>
      <w:bookmarkEnd w:id="256"/>
      <w:bookmarkEnd w:id="257"/>
      <w:bookmarkEnd w:id="258"/>
    </w:p>
    <w:p w14:paraId="2A40406B" w14:textId="0504817F" w:rsidR="00BA122C" w:rsidRPr="005A3F47" w:rsidRDefault="00BD52F4" w:rsidP="00FA5980">
      <w:pPr>
        <w:rPr>
          <w:noProof/>
        </w:rPr>
      </w:pPr>
      <w:r w:rsidRPr="005A3F47">
        <w:rPr>
          <w:noProof/>
        </w:rPr>
        <w:t xml:space="preserve">As </w:t>
      </w:r>
      <w:r w:rsidR="008E5AFC" w:rsidRPr="005A3F47">
        <w:rPr>
          <w:noProof/>
        </w:rPr>
        <w:t>for</w:t>
      </w:r>
      <w:r w:rsidRPr="005A3F47">
        <w:rPr>
          <w:noProof/>
        </w:rPr>
        <w:t xml:space="preserve"> the </w:t>
      </w:r>
      <w:r w:rsidR="00F80FA3" w:rsidRPr="005A3F47">
        <w:rPr>
          <w:noProof/>
        </w:rPr>
        <w:t>TMD</w:t>
      </w:r>
      <w:r w:rsidRPr="005A3F47">
        <w:rPr>
          <w:noProof/>
        </w:rPr>
        <w:t xml:space="preserve">, the preferred option is to </w:t>
      </w:r>
      <w:r w:rsidR="001A4E38" w:rsidRPr="005A3F47">
        <w:rPr>
          <w:noProof/>
        </w:rPr>
        <w:t xml:space="preserve">update the existing definitions </w:t>
      </w:r>
      <w:r w:rsidR="00625DB1" w:rsidRPr="005A3F47">
        <w:rPr>
          <w:noProof/>
        </w:rPr>
        <w:t>to include the new re</w:t>
      </w:r>
      <w:r w:rsidR="00A94032" w:rsidRPr="005A3F47">
        <w:rPr>
          <w:noProof/>
        </w:rPr>
        <w:t xml:space="preserve">structuring </w:t>
      </w:r>
      <w:r w:rsidR="00C52C74" w:rsidRPr="005A3F47">
        <w:rPr>
          <w:noProof/>
        </w:rPr>
        <w:t>transactions in the Mobility Directive</w:t>
      </w:r>
      <w:r w:rsidR="00A16156" w:rsidRPr="005A3F47">
        <w:rPr>
          <w:noProof/>
        </w:rPr>
        <w:t xml:space="preserve"> (Option 1B)</w:t>
      </w:r>
      <w:r w:rsidR="0058197A" w:rsidRPr="005A3F47">
        <w:rPr>
          <w:noProof/>
        </w:rPr>
        <w:t xml:space="preserve">. This will ensure the most consistent </w:t>
      </w:r>
      <w:r w:rsidR="008A3AAB" w:rsidRPr="005A3F47">
        <w:rPr>
          <w:noProof/>
        </w:rPr>
        <w:t>application</w:t>
      </w:r>
      <w:r w:rsidR="00862734" w:rsidRPr="005A3F47">
        <w:rPr>
          <w:noProof/>
        </w:rPr>
        <w:t xml:space="preserve"> </w:t>
      </w:r>
      <w:r w:rsidR="0058197A" w:rsidRPr="005A3F47">
        <w:rPr>
          <w:noProof/>
        </w:rPr>
        <w:t xml:space="preserve">and </w:t>
      </w:r>
      <w:r w:rsidR="00862734" w:rsidRPr="005A3F47">
        <w:rPr>
          <w:noProof/>
        </w:rPr>
        <w:t>remove a</w:t>
      </w:r>
      <w:r w:rsidR="001C7072" w:rsidRPr="005A3F47">
        <w:rPr>
          <w:noProof/>
        </w:rPr>
        <w:t xml:space="preserve"> tax obstacle</w:t>
      </w:r>
      <w:r w:rsidR="0058197A" w:rsidRPr="005A3F47">
        <w:rPr>
          <w:noProof/>
        </w:rPr>
        <w:t xml:space="preserve"> for </w:t>
      </w:r>
      <w:r w:rsidR="00D06E1A" w:rsidRPr="005A3F47">
        <w:rPr>
          <w:noProof/>
        </w:rPr>
        <w:t>business re</w:t>
      </w:r>
      <w:r w:rsidR="0058197A" w:rsidRPr="005A3F47">
        <w:rPr>
          <w:noProof/>
        </w:rPr>
        <w:t xml:space="preserve">organisations which are </w:t>
      </w:r>
      <w:r w:rsidR="005B2312" w:rsidRPr="005A3F47">
        <w:rPr>
          <w:noProof/>
        </w:rPr>
        <w:t xml:space="preserve">already </w:t>
      </w:r>
      <w:r w:rsidR="008A3AAB" w:rsidRPr="005A3F47">
        <w:rPr>
          <w:noProof/>
        </w:rPr>
        <w:t>acknowle</w:t>
      </w:r>
      <w:r w:rsidR="00844BA2" w:rsidRPr="005A3F47">
        <w:rPr>
          <w:noProof/>
        </w:rPr>
        <w:t>dged</w:t>
      </w:r>
      <w:r w:rsidR="008A3AAB" w:rsidRPr="005A3F47">
        <w:rPr>
          <w:noProof/>
        </w:rPr>
        <w:t xml:space="preserve"> </w:t>
      </w:r>
      <w:r w:rsidR="005B2312" w:rsidRPr="005A3F47">
        <w:rPr>
          <w:noProof/>
        </w:rPr>
        <w:t xml:space="preserve">by EU law. </w:t>
      </w:r>
      <w:r w:rsidR="00075975" w:rsidRPr="005A3F47">
        <w:rPr>
          <w:noProof/>
        </w:rPr>
        <w:t xml:space="preserve">The original objectives of the TMD, i.e., </w:t>
      </w:r>
      <w:r w:rsidR="0052119E" w:rsidRPr="005A3F47">
        <w:rPr>
          <w:noProof/>
        </w:rPr>
        <w:t>harmonising the tax treatment of cross-border corporate reorgani</w:t>
      </w:r>
      <w:r w:rsidR="00563140" w:rsidRPr="005A3F47">
        <w:rPr>
          <w:noProof/>
        </w:rPr>
        <w:t>s</w:t>
      </w:r>
      <w:r w:rsidR="0052119E" w:rsidRPr="005A3F47">
        <w:rPr>
          <w:noProof/>
        </w:rPr>
        <w:t>ations</w:t>
      </w:r>
      <w:r w:rsidR="00075975" w:rsidRPr="005A3F47">
        <w:rPr>
          <w:noProof/>
        </w:rPr>
        <w:t xml:space="preserve">, would be </w:t>
      </w:r>
      <w:r w:rsidR="00AF468C" w:rsidRPr="005A3F47">
        <w:rPr>
          <w:noProof/>
        </w:rPr>
        <w:t xml:space="preserve">fully </w:t>
      </w:r>
      <w:r w:rsidR="000E729C" w:rsidRPr="005A3F47">
        <w:rPr>
          <w:noProof/>
        </w:rPr>
        <w:t>pursued</w:t>
      </w:r>
      <w:r w:rsidR="00075975" w:rsidRPr="005A3F47">
        <w:rPr>
          <w:noProof/>
        </w:rPr>
        <w:t xml:space="preserve"> and extended to </w:t>
      </w:r>
      <w:r w:rsidR="000E729C" w:rsidRPr="005A3F47">
        <w:rPr>
          <w:noProof/>
        </w:rPr>
        <w:t>new restructurings</w:t>
      </w:r>
      <w:r w:rsidR="007E30FE" w:rsidRPr="005A3F47">
        <w:rPr>
          <w:noProof/>
        </w:rPr>
        <w:t xml:space="preserve">, thereby </w:t>
      </w:r>
      <w:r w:rsidR="00514B4B" w:rsidRPr="005A3F47">
        <w:rPr>
          <w:noProof/>
        </w:rPr>
        <w:t xml:space="preserve">ensuring a wider level of protection for </w:t>
      </w:r>
      <w:r w:rsidR="003A7D2B" w:rsidRPr="005A3F47">
        <w:rPr>
          <w:noProof/>
        </w:rPr>
        <w:t>EU companies</w:t>
      </w:r>
      <w:r w:rsidR="00246A32" w:rsidRPr="005A3F47">
        <w:rPr>
          <w:noProof/>
        </w:rPr>
        <w:t xml:space="preserve"> and f</w:t>
      </w:r>
      <w:r w:rsidR="005314F1" w:rsidRPr="005A3F47">
        <w:rPr>
          <w:noProof/>
        </w:rPr>
        <w:t xml:space="preserve">acilitating </w:t>
      </w:r>
      <w:r w:rsidR="00905BBB" w:rsidRPr="005A3F47">
        <w:rPr>
          <w:noProof/>
        </w:rPr>
        <w:t>more types of re</w:t>
      </w:r>
      <w:r w:rsidR="000E449F" w:rsidRPr="005A3F47">
        <w:rPr>
          <w:noProof/>
        </w:rPr>
        <w:t>structuring</w:t>
      </w:r>
      <w:r w:rsidR="004A7996" w:rsidRPr="005A3F47">
        <w:rPr>
          <w:noProof/>
        </w:rPr>
        <w:t xml:space="preserve">s to </w:t>
      </w:r>
      <w:r w:rsidR="00A90144" w:rsidRPr="005A3F47">
        <w:rPr>
          <w:noProof/>
        </w:rPr>
        <w:t>boost</w:t>
      </w:r>
      <w:r w:rsidR="004A7996" w:rsidRPr="005A3F47">
        <w:rPr>
          <w:noProof/>
        </w:rPr>
        <w:t xml:space="preserve"> EU competi</w:t>
      </w:r>
      <w:r w:rsidR="0041232F" w:rsidRPr="005A3F47">
        <w:rPr>
          <w:noProof/>
        </w:rPr>
        <w:t>tiveness.</w:t>
      </w:r>
      <w:r w:rsidR="000E729C" w:rsidRPr="005A3F47">
        <w:rPr>
          <w:noProof/>
        </w:rPr>
        <w:t xml:space="preserve"> </w:t>
      </w:r>
      <w:r w:rsidR="005B2312" w:rsidRPr="005A3F47">
        <w:rPr>
          <w:noProof/>
        </w:rPr>
        <w:t xml:space="preserve">It would </w:t>
      </w:r>
      <w:r w:rsidR="0041232F" w:rsidRPr="005A3F47">
        <w:rPr>
          <w:noProof/>
        </w:rPr>
        <w:t xml:space="preserve">also </w:t>
      </w:r>
      <w:r w:rsidR="00A90144" w:rsidRPr="005A3F47">
        <w:rPr>
          <w:noProof/>
        </w:rPr>
        <w:t>run</w:t>
      </w:r>
      <w:r w:rsidR="005B2312" w:rsidRPr="005A3F47">
        <w:rPr>
          <w:noProof/>
        </w:rPr>
        <w:t xml:space="preserve"> counter to the objectives of the Omnibus </w:t>
      </w:r>
      <w:r w:rsidR="25CEA8C3" w:rsidRPr="005A3F47">
        <w:rPr>
          <w:noProof/>
        </w:rPr>
        <w:t>on Taxation</w:t>
      </w:r>
      <w:r w:rsidR="005B2312" w:rsidRPr="005A3F47">
        <w:rPr>
          <w:noProof/>
        </w:rPr>
        <w:t xml:space="preserve"> </w:t>
      </w:r>
      <w:r w:rsidR="00D06E1A" w:rsidRPr="005A3F47">
        <w:rPr>
          <w:noProof/>
        </w:rPr>
        <w:t>if</w:t>
      </w:r>
      <w:r w:rsidR="005B2312" w:rsidRPr="005A3F47">
        <w:rPr>
          <w:noProof/>
        </w:rPr>
        <w:t xml:space="preserve"> these cases </w:t>
      </w:r>
      <w:r w:rsidR="00D06E1A" w:rsidRPr="005A3F47">
        <w:rPr>
          <w:noProof/>
        </w:rPr>
        <w:t xml:space="preserve">were left </w:t>
      </w:r>
      <w:r w:rsidR="00AF0D5C" w:rsidRPr="005A3F47">
        <w:rPr>
          <w:noProof/>
        </w:rPr>
        <w:t xml:space="preserve">to be regulated in accordance with </w:t>
      </w:r>
      <w:r w:rsidR="005B2312" w:rsidRPr="005A3F47">
        <w:rPr>
          <w:noProof/>
        </w:rPr>
        <w:t xml:space="preserve">diverging national </w:t>
      </w:r>
      <w:r w:rsidR="00FD1CDD" w:rsidRPr="005A3F47">
        <w:rPr>
          <w:noProof/>
        </w:rPr>
        <w:t xml:space="preserve">tax </w:t>
      </w:r>
      <w:r w:rsidR="005B2312" w:rsidRPr="005A3F47">
        <w:rPr>
          <w:noProof/>
        </w:rPr>
        <w:t xml:space="preserve">approaches. </w:t>
      </w:r>
    </w:p>
    <w:p w14:paraId="0D4CBF41" w14:textId="12F79AF7" w:rsidR="00F203DA" w:rsidRPr="005A3F47" w:rsidRDefault="00F203DA" w:rsidP="00FA5B5C">
      <w:pPr>
        <w:pStyle w:val="Heading3"/>
        <w:numPr>
          <w:ilvl w:val="2"/>
          <w:numId w:val="216"/>
        </w:numPr>
        <w:rPr>
          <w:noProof/>
        </w:rPr>
      </w:pPr>
      <w:bookmarkStart w:id="259" w:name="_Toc226466851"/>
      <w:bookmarkStart w:id="260" w:name="_Toc226467212"/>
      <w:bookmarkStart w:id="261" w:name="_Toc226467312"/>
      <w:bookmarkStart w:id="262" w:name="_Toc226467531"/>
      <w:r w:rsidRPr="005A3F47">
        <w:rPr>
          <w:noProof/>
        </w:rPr>
        <w:t>Dispute resolution mechanisms</w:t>
      </w:r>
      <w:bookmarkEnd w:id="259"/>
      <w:bookmarkEnd w:id="260"/>
      <w:bookmarkEnd w:id="261"/>
      <w:bookmarkEnd w:id="262"/>
    </w:p>
    <w:p w14:paraId="07F29CDE" w14:textId="28FED996" w:rsidR="008E0BA1" w:rsidRPr="005A3F47" w:rsidRDefault="001632C2" w:rsidP="000E3086">
      <w:pPr>
        <w:rPr>
          <w:noProof/>
        </w:rPr>
      </w:pPr>
      <w:r w:rsidRPr="005A3F47">
        <w:rPr>
          <w:noProof/>
        </w:rPr>
        <w:t>Regarding the DRM,</w:t>
      </w:r>
      <w:r w:rsidRPr="005A3F47">
        <w:rPr>
          <w:rFonts w:eastAsia="Times New Roman"/>
          <w:noProof/>
        </w:rPr>
        <w:t xml:space="preserve"> </w:t>
      </w:r>
      <w:r w:rsidR="098CC1FF" w:rsidRPr="005A3F47">
        <w:rPr>
          <w:rFonts w:eastAsia="Times New Roman"/>
          <w:noProof/>
        </w:rPr>
        <w:t xml:space="preserve">the preferred approach is a combination of targeted legislative amendments to the text of the </w:t>
      </w:r>
      <w:r w:rsidR="1DDA14DD" w:rsidRPr="005A3F47">
        <w:rPr>
          <w:rFonts w:eastAsia="Times New Roman"/>
          <w:noProof/>
        </w:rPr>
        <w:t xml:space="preserve">DRM </w:t>
      </w:r>
      <w:r w:rsidR="098CC1FF" w:rsidRPr="005A3F47">
        <w:rPr>
          <w:rFonts w:eastAsia="Times New Roman"/>
          <w:noProof/>
        </w:rPr>
        <w:t>(</w:t>
      </w:r>
      <w:r w:rsidR="00562C07" w:rsidRPr="005A3F47">
        <w:rPr>
          <w:rFonts w:eastAsia="Times New Roman"/>
          <w:noProof/>
        </w:rPr>
        <w:t>O</w:t>
      </w:r>
      <w:r w:rsidR="098CC1FF" w:rsidRPr="005A3F47">
        <w:rPr>
          <w:rFonts w:eastAsia="Times New Roman"/>
          <w:noProof/>
        </w:rPr>
        <w:t xml:space="preserve">ption 1) </w:t>
      </w:r>
      <w:r w:rsidR="707AA53A" w:rsidRPr="005A3F47">
        <w:rPr>
          <w:rFonts w:eastAsia="Times New Roman"/>
          <w:noProof/>
        </w:rPr>
        <w:t>coupled with the possibility of adopting Council implementing acts (Option 2), depending on the nature of each issue.</w:t>
      </w:r>
      <w:r w:rsidR="098CC1FF" w:rsidRPr="005A3F47">
        <w:rPr>
          <w:rFonts w:eastAsia="Times New Roman"/>
          <w:noProof/>
        </w:rPr>
        <w:t xml:space="preserve"> </w:t>
      </w:r>
      <w:r w:rsidR="00D4670A" w:rsidRPr="005A3F47">
        <w:rPr>
          <w:rFonts w:eastAsia="Times New Roman"/>
          <w:noProof/>
        </w:rPr>
        <w:t xml:space="preserve">The original objective of the DRM, i.e., </w:t>
      </w:r>
      <w:r w:rsidR="00B75BCA" w:rsidRPr="005A3F47">
        <w:rPr>
          <w:rFonts w:eastAsia="Times New Roman"/>
          <w:noProof/>
        </w:rPr>
        <w:t xml:space="preserve">improving procedures for resolving double taxation disputes between Member States, </w:t>
      </w:r>
      <w:r w:rsidR="00D4670A" w:rsidRPr="005A3F47">
        <w:rPr>
          <w:rFonts w:eastAsia="Times New Roman"/>
          <w:noProof/>
        </w:rPr>
        <w:t xml:space="preserve">will not be affected. </w:t>
      </w:r>
      <w:r w:rsidR="578A1FC0" w:rsidRPr="005A3F47">
        <w:rPr>
          <w:rFonts w:eastAsia="Times New Roman"/>
          <w:noProof/>
        </w:rPr>
        <w:t>In fact</w:t>
      </w:r>
      <w:r w:rsidR="00893BD7" w:rsidRPr="005A3F47">
        <w:rPr>
          <w:rFonts w:eastAsia="Times New Roman"/>
          <w:noProof/>
        </w:rPr>
        <w:t>,</w:t>
      </w:r>
      <w:r w:rsidR="578A1FC0" w:rsidRPr="005A3F47">
        <w:rPr>
          <w:rFonts w:eastAsia="Times New Roman"/>
          <w:noProof/>
        </w:rPr>
        <w:t xml:space="preserve"> the interpretative issues identified in the application of the </w:t>
      </w:r>
      <w:r w:rsidR="62CDE0D3" w:rsidRPr="005A3F47">
        <w:rPr>
          <w:rFonts w:eastAsia="Times New Roman"/>
          <w:noProof/>
        </w:rPr>
        <w:t xml:space="preserve">DRM </w:t>
      </w:r>
      <w:r w:rsidR="578A1FC0" w:rsidRPr="005A3F47">
        <w:rPr>
          <w:rFonts w:eastAsia="Times New Roman"/>
          <w:noProof/>
        </w:rPr>
        <w:t>cannot be effectively addressed through a single instrument</w:t>
      </w:r>
      <w:r w:rsidR="30A79C54" w:rsidRPr="005A3F47">
        <w:rPr>
          <w:rFonts w:eastAsia="Times New Roman"/>
          <w:noProof/>
        </w:rPr>
        <w:t>; instead t</w:t>
      </w:r>
      <w:r w:rsidR="235DF733" w:rsidRPr="005A3F47">
        <w:rPr>
          <w:rFonts w:eastAsia="Times New Roman"/>
          <w:noProof/>
        </w:rPr>
        <w:t xml:space="preserve">he combination </w:t>
      </w:r>
      <w:r w:rsidR="00FD29AE" w:rsidRPr="005A3F47">
        <w:rPr>
          <w:rFonts w:eastAsia="Times New Roman"/>
          <w:noProof/>
        </w:rPr>
        <w:t>of the options</w:t>
      </w:r>
      <w:r w:rsidR="00743DB9" w:rsidRPr="005A3F47">
        <w:rPr>
          <w:rFonts w:eastAsia="Times New Roman"/>
          <w:noProof/>
        </w:rPr>
        <w:t xml:space="preserve"> </w:t>
      </w:r>
      <w:r w:rsidR="235DF733" w:rsidRPr="005A3F47">
        <w:rPr>
          <w:rFonts w:eastAsia="Times New Roman"/>
          <w:noProof/>
        </w:rPr>
        <w:t xml:space="preserve"> </w:t>
      </w:r>
      <w:r w:rsidR="007462CC" w:rsidRPr="005A3F47">
        <w:rPr>
          <w:rFonts w:eastAsia="Times New Roman"/>
          <w:noProof/>
        </w:rPr>
        <w:t>will</w:t>
      </w:r>
      <w:r w:rsidR="235DF733" w:rsidRPr="005A3F47">
        <w:rPr>
          <w:rFonts w:eastAsia="Times New Roman"/>
          <w:noProof/>
        </w:rPr>
        <w:t xml:space="preserve"> effectively eliminate interpretative divergences and </w:t>
      </w:r>
      <w:r w:rsidR="001042BB" w:rsidRPr="005A3F47">
        <w:rPr>
          <w:noProof/>
        </w:rPr>
        <w:t xml:space="preserve">deliver </w:t>
      </w:r>
      <w:r w:rsidR="00C65847" w:rsidRPr="005A3F47">
        <w:rPr>
          <w:noProof/>
        </w:rPr>
        <w:t xml:space="preserve">to the greatest extent </w:t>
      </w:r>
      <w:r w:rsidR="001042BB" w:rsidRPr="005A3F47">
        <w:rPr>
          <w:noProof/>
        </w:rPr>
        <w:t xml:space="preserve">on </w:t>
      </w:r>
      <w:r w:rsidR="0086463E" w:rsidRPr="005A3F47">
        <w:rPr>
          <w:noProof/>
        </w:rPr>
        <w:t xml:space="preserve">providing </w:t>
      </w:r>
      <w:r w:rsidR="00934C3C" w:rsidRPr="005A3F47">
        <w:rPr>
          <w:noProof/>
        </w:rPr>
        <w:t xml:space="preserve">clear and predictable EU tax </w:t>
      </w:r>
      <w:r w:rsidR="0015402E" w:rsidRPr="005A3F47">
        <w:rPr>
          <w:noProof/>
        </w:rPr>
        <w:t>rules and terms</w:t>
      </w:r>
      <w:r w:rsidR="00D74FDB" w:rsidRPr="005A3F47">
        <w:rPr>
          <w:noProof/>
        </w:rPr>
        <w:t>,</w:t>
      </w:r>
      <w:r w:rsidR="004A19A6" w:rsidRPr="005A3F47">
        <w:rPr>
          <w:noProof/>
        </w:rPr>
        <w:t xml:space="preserve"> while also largely ensuring a uniform </w:t>
      </w:r>
      <w:r w:rsidR="005D20D9" w:rsidRPr="005A3F47">
        <w:rPr>
          <w:noProof/>
        </w:rPr>
        <w:t>treatment</w:t>
      </w:r>
      <w:r w:rsidR="004A19A6" w:rsidRPr="005A3F47">
        <w:rPr>
          <w:noProof/>
        </w:rPr>
        <w:t xml:space="preserve"> of matters </w:t>
      </w:r>
      <w:r w:rsidR="00AF2CF6" w:rsidRPr="005A3F47">
        <w:rPr>
          <w:noProof/>
        </w:rPr>
        <w:t xml:space="preserve">within the scope of the </w:t>
      </w:r>
      <w:r w:rsidR="00330290" w:rsidRPr="005A3F47">
        <w:rPr>
          <w:noProof/>
        </w:rPr>
        <w:t xml:space="preserve">DRM </w:t>
      </w:r>
      <w:r w:rsidR="00A57F8A" w:rsidRPr="005A3F47">
        <w:rPr>
          <w:noProof/>
        </w:rPr>
        <w:t>by</w:t>
      </w:r>
      <w:r w:rsidR="002F0F97" w:rsidRPr="005A3F47">
        <w:rPr>
          <w:noProof/>
        </w:rPr>
        <w:t xml:space="preserve"> replacing national rules related </w:t>
      </w:r>
      <w:r w:rsidR="00B03CC2" w:rsidRPr="005A3F47">
        <w:rPr>
          <w:noProof/>
        </w:rPr>
        <w:t xml:space="preserve">to the DRM with a harmonised approach. </w:t>
      </w:r>
      <w:r w:rsidR="004A025D" w:rsidRPr="005A3F47">
        <w:rPr>
          <w:noProof/>
        </w:rPr>
        <w:t xml:space="preserve">These measures </w:t>
      </w:r>
      <w:r w:rsidR="00862283" w:rsidRPr="005A3F47">
        <w:rPr>
          <w:noProof/>
        </w:rPr>
        <w:t xml:space="preserve">are </w:t>
      </w:r>
      <w:r w:rsidR="0368D068" w:rsidRPr="005A3F47">
        <w:rPr>
          <w:noProof/>
        </w:rPr>
        <w:t xml:space="preserve">complementary and </w:t>
      </w:r>
      <w:r w:rsidR="00CE11D9" w:rsidRPr="005A3F47">
        <w:rPr>
          <w:noProof/>
        </w:rPr>
        <w:t>expected to</w:t>
      </w:r>
      <w:r w:rsidR="004A025D" w:rsidRPr="005A3F47">
        <w:rPr>
          <w:noProof/>
        </w:rPr>
        <w:t xml:space="preserve"> simplify the application of the DRM</w:t>
      </w:r>
      <w:r w:rsidR="009C6E0A" w:rsidRPr="005A3F47">
        <w:rPr>
          <w:noProof/>
        </w:rPr>
        <w:t xml:space="preserve"> while </w:t>
      </w:r>
      <w:r w:rsidR="000E5E84" w:rsidRPr="005A3F47">
        <w:rPr>
          <w:noProof/>
        </w:rPr>
        <w:t xml:space="preserve">the improved functioning of the </w:t>
      </w:r>
      <w:r w:rsidR="53BD3A3B" w:rsidRPr="005A3F47">
        <w:rPr>
          <w:noProof/>
        </w:rPr>
        <w:t xml:space="preserve">DRM </w:t>
      </w:r>
      <w:r w:rsidR="000E5E84" w:rsidRPr="005A3F47">
        <w:rPr>
          <w:noProof/>
        </w:rPr>
        <w:t>will</w:t>
      </w:r>
      <w:r w:rsidR="000E2144" w:rsidRPr="005A3F47">
        <w:rPr>
          <w:noProof/>
        </w:rPr>
        <w:t xml:space="preserve"> offer a higher level of protection and</w:t>
      </w:r>
      <w:r w:rsidR="000E5E84" w:rsidRPr="005A3F47">
        <w:rPr>
          <w:noProof/>
        </w:rPr>
        <w:t xml:space="preserve"> </w:t>
      </w:r>
      <w:r w:rsidR="00C5783C" w:rsidRPr="005A3F47">
        <w:rPr>
          <w:noProof/>
        </w:rPr>
        <w:t xml:space="preserve">enhance the </w:t>
      </w:r>
      <w:r w:rsidR="005153F2" w:rsidRPr="005A3F47">
        <w:rPr>
          <w:noProof/>
        </w:rPr>
        <w:t>tax standards in the EU.</w:t>
      </w:r>
    </w:p>
    <w:p w14:paraId="4C257CEE" w14:textId="78D07AD1" w:rsidR="006B087E" w:rsidRPr="005A3F47" w:rsidRDefault="00AC6B57" w:rsidP="00DA2DBD">
      <w:pPr>
        <w:pStyle w:val="Heading2"/>
        <w:numPr>
          <w:ilvl w:val="1"/>
          <w:numId w:val="216"/>
        </w:numPr>
        <w:rPr>
          <w:noProof/>
        </w:rPr>
      </w:pPr>
      <w:bookmarkStart w:id="263" w:name="_Toc226466852"/>
      <w:bookmarkStart w:id="264" w:name="_Toc226467213"/>
      <w:bookmarkStart w:id="265" w:name="_Toc226467313"/>
      <w:bookmarkStart w:id="266" w:name="_Toc226467532"/>
      <w:r w:rsidRPr="005A3F47">
        <w:rPr>
          <w:noProof/>
        </w:rPr>
        <w:t xml:space="preserve"> </w:t>
      </w:r>
      <w:r w:rsidR="006B087E" w:rsidRPr="005A3F47">
        <w:rPr>
          <w:noProof/>
        </w:rPr>
        <w:t>REFIT (simplification and improved efficiency)</w:t>
      </w:r>
      <w:bookmarkEnd w:id="263"/>
      <w:bookmarkEnd w:id="264"/>
      <w:bookmarkEnd w:id="265"/>
      <w:bookmarkEnd w:id="266"/>
    </w:p>
    <w:p w14:paraId="46F7E9EA" w14:textId="54C9706F" w:rsidR="0078395E" w:rsidRPr="005A3F47" w:rsidRDefault="00192513" w:rsidP="0078395E">
      <w:pPr>
        <w:pStyle w:val="Text2"/>
        <w:ind w:left="0"/>
        <w:rPr>
          <w:noProof/>
        </w:rPr>
      </w:pPr>
      <w:r w:rsidRPr="005A3F47">
        <w:rPr>
          <w:noProof/>
        </w:rPr>
        <w:t xml:space="preserve">Under this programme, the Commission ensures that EU laws deliver their intended benefits for individuals and businesses while </w:t>
      </w:r>
      <w:r w:rsidR="00CD58F3" w:rsidRPr="005A3F47">
        <w:rPr>
          <w:noProof/>
        </w:rPr>
        <w:t xml:space="preserve">achieving simplification </w:t>
      </w:r>
      <w:r w:rsidRPr="005A3F47">
        <w:rPr>
          <w:noProof/>
        </w:rPr>
        <w:t>and cutting red tape, whenever possible</w:t>
      </w:r>
      <w:r w:rsidR="000656D2" w:rsidRPr="005A3F47">
        <w:rPr>
          <w:noProof/>
        </w:rPr>
        <w:t>.</w:t>
      </w:r>
      <w:r w:rsidR="00305812" w:rsidRPr="005A3F47">
        <w:rPr>
          <w:noProof/>
        </w:rPr>
        <w:t xml:space="preserve"> </w:t>
      </w:r>
      <w:r w:rsidR="00175527" w:rsidRPr="005A3F47">
        <w:rPr>
          <w:noProof/>
        </w:rPr>
        <w:t>This condition is fulfilled</w:t>
      </w:r>
      <w:r w:rsidR="00826CA8" w:rsidRPr="005A3F47">
        <w:rPr>
          <w:noProof/>
        </w:rPr>
        <w:t xml:space="preserve">, given the very intention </w:t>
      </w:r>
      <w:r w:rsidR="004F7130" w:rsidRPr="005A3F47">
        <w:rPr>
          <w:noProof/>
        </w:rPr>
        <w:t xml:space="preserve">of the proposed package: </w:t>
      </w:r>
      <w:r w:rsidR="00B47E1D" w:rsidRPr="005A3F47">
        <w:rPr>
          <w:noProof/>
        </w:rPr>
        <w:t xml:space="preserve">to simplify and cut red tape. </w:t>
      </w:r>
      <w:r w:rsidR="00305812" w:rsidRPr="005A3F47">
        <w:rPr>
          <w:noProof/>
        </w:rPr>
        <w:t xml:space="preserve">As noted in Section </w:t>
      </w:r>
      <w:r w:rsidR="00A11492" w:rsidRPr="005A3F47">
        <w:rPr>
          <w:noProof/>
        </w:rPr>
        <w:fldChar w:fldCharType="begin"/>
      </w:r>
      <w:r w:rsidR="00A11492" w:rsidRPr="005A3F47">
        <w:rPr>
          <w:noProof/>
        </w:rPr>
        <w:instrText xml:space="preserve"> REF _Ref226464079 \r \h </w:instrText>
      </w:r>
      <w:r w:rsidR="005A3F47">
        <w:rPr>
          <w:noProof/>
        </w:rPr>
        <w:instrText xml:space="preserve"> \* MERGEFORMAT </w:instrText>
      </w:r>
      <w:r w:rsidR="00A11492" w:rsidRPr="005A3F47">
        <w:rPr>
          <w:noProof/>
        </w:rPr>
      </w:r>
      <w:r w:rsidR="00A11492" w:rsidRPr="005A3F47">
        <w:rPr>
          <w:noProof/>
        </w:rPr>
        <w:fldChar w:fldCharType="separate"/>
      </w:r>
      <w:r w:rsidR="00CF3380">
        <w:rPr>
          <w:noProof/>
        </w:rPr>
        <w:t>8.1</w:t>
      </w:r>
      <w:r w:rsidR="00A11492" w:rsidRPr="005A3F47">
        <w:rPr>
          <w:noProof/>
        </w:rPr>
        <w:fldChar w:fldCharType="end"/>
      </w:r>
      <w:r w:rsidR="00305812" w:rsidRPr="005A3F47">
        <w:rPr>
          <w:noProof/>
        </w:rPr>
        <w:t>, a</w:t>
      </w:r>
      <w:r w:rsidR="00F16801" w:rsidRPr="005A3F47">
        <w:rPr>
          <w:noProof/>
        </w:rPr>
        <w:t xml:space="preserve">ll businesses </w:t>
      </w:r>
      <w:r w:rsidR="009A2658" w:rsidRPr="005A3F47">
        <w:rPr>
          <w:noProof/>
        </w:rPr>
        <w:t>in</w:t>
      </w:r>
      <w:r w:rsidR="00F16801" w:rsidRPr="005A3F47">
        <w:rPr>
          <w:noProof/>
        </w:rPr>
        <w:t xml:space="preserve"> the scope of the EU </w:t>
      </w:r>
      <w:r w:rsidR="009A2658" w:rsidRPr="005A3F47">
        <w:rPr>
          <w:noProof/>
        </w:rPr>
        <w:t>acquis</w:t>
      </w:r>
      <w:r w:rsidR="0045085C" w:rsidRPr="005A3F47">
        <w:rPr>
          <w:noProof/>
        </w:rPr>
        <w:t xml:space="preserve"> will benefit from</w:t>
      </w:r>
      <w:r w:rsidR="007B22D2" w:rsidRPr="005A3F47">
        <w:rPr>
          <w:noProof/>
        </w:rPr>
        <w:t xml:space="preserve"> the simplification</w:t>
      </w:r>
      <w:r w:rsidR="00434F5E" w:rsidRPr="005A3F47">
        <w:rPr>
          <w:noProof/>
        </w:rPr>
        <w:t xml:space="preserve">s </w:t>
      </w:r>
      <w:r w:rsidR="009A2658" w:rsidRPr="005A3F47">
        <w:rPr>
          <w:noProof/>
        </w:rPr>
        <w:t>which are envisaged under</w:t>
      </w:r>
      <w:r w:rsidR="00434F5E" w:rsidRPr="005A3F47">
        <w:rPr>
          <w:noProof/>
        </w:rPr>
        <w:t xml:space="preserve"> the Omnibus </w:t>
      </w:r>
      <w:r w:rsidR="5DC312AF" w:rsidRPr="005A3F47">
        <w:rPr>
          <w:noProof/>
        </w:rPr>
        <w:t xml:space="preserve">on Taxation </w:t>
      </w:r>
      <w:r w:rsidR="00434F5E" w:rsidRPr="005A3F47">
        <w:rPr>
          <w:noProof/>
        </w:rPr>
        <w:t>proposal</w:t>
      </w:r>
      <w:r w:rsidR="00297059" w:rsidRPr="005A3F47">
        <w:rPr>
          <w:noProof/>
        </w:rPr>
        <w:t>.</w:t>
      </w:r>
      <w:r w:rsidR="00E94DC2" w:rsidRPr="005A3F47">
        <w:rPr>
          <w:noProof/>
        </w:rPr>
        <w:t xml:space="preserve"> </w:t>
      </w:r>
      <w:r w:rsidR="0078395E" w:rsidRPr="005A3F47">
        <w:rPr>
          <w:noProof/>
        </w:rPr>
        <w:t>The Omnibus on Taxation is therefore in accordance with REFIT.</w:t>
      </w:r>
    </w:p>
    <w:p w14:paraId="4F911883" w14:textId="2035042A" w:rsidR="00E52A20" w:rsidRPr="005A3F47" w:rsidRDefault="00DC0061" w:rsidP="003C67EA">
      <w:pPr>
        <w:pStyle w:val="Text2"/>
        <w:ind w:left="0"/>
        <w:rPr>
          <w:noProof/>
        </w:rPr>
      </w:pPr>
      <w:r w:rsidRPr="005A3F47">
        <w:rPr>
          <w:noProof/>
        </w:rPr>
        <w:t>For further details</w:t>
      </w:r>
      <w:r w:rsidR="00241272" w:rsidRPr="005A3F47">
        <w:rPr>
          <w:noProof/>
        </w:rPr>
        <w:t>,</w:t>
      </w:r>
      <w:r w:rsidRPr="005A3F47">
        <w:rPr>
          <w:noProof/>
        </w:rPr>
        <w:t xml:space="preserve"> see Section</w:t>
      </w:r>
      <w:r w:rsidR="00241272" w:rsidRPr="005A3F47">
        <w:rPr>
          <w:noProof/>
        </w:rPr>
        <w:t>s</w:t>
      </w:r>
      <w:r w:rsidRPr="005A3F47">
        <w:rPr>
          <w:noProof/>
        </w:rPr>
        <w:t xml:space="preserve"> </w:t>
      </w:r>
      <w:r w:rsidR="00A11492" w:rsidRPr="005A3F47">
        <w:rPr>
          <w:noProof/>
        </w:rPr>
        <w:fldChar w:fldCharType="begin"/>
      </w:r>
      <w:r w:rsidR="00A11492" w:rsidRPr="005A3F47">
        <w:rPr>
          <w:noProof/>
        </w:rPr>
        <w:instrText xml:space="preserve"> REF _Ref226464093 \r \h </w:instrText>
      </w:r>
      <w:r w:rsidR="005A3F47">
        <w:rPr>
          <w:noProof/>
        </w:rPr>
        <w:instrText xml:space="preserve"> \* MERGEFORMAT </w:instrText>
      </w:r>
      <w:r w:rsidR="00A11492" w:rsidRPr="005A3F47">
        <w:rPr>
          <w:noProof/>
        </w:rPr>
      </w:r>
      <w:r w:rsidR="00A11492" w:rsidRPr="005A3F47">
        <w:rPr>
          <w:noProof/>
        </w:rPr>
        <w:fldChar w:fldCharType="separate"/>
      </w:r>
      <w:r w:rsidR="00CF3380">
        <w:rPr>
          <w:noProof/>
        </w:rPr>
        <w:t>4.1</w:t>
      </w:r>
      <w:r w:rsidR="00A11492" w:rsidRPr="005A3F47">
        <w:rPr>
          <w:noProof/>
        </w:rPr>
        <w:fldChar w:fldCharType="end"/>
      </w:r>
      <w:r w:rsidR="009F58B4" w:rsidRPr="005A3F47">
        <w:rPr>
          <w:noProof/>
        </w:rPr>
        <w:t xml:space="preserve">, </w:t>
      </w:r>
      <w:r w:rsidR="00A11492" w:rsidRPr="005A3F47">
        <w:rPr>
          <w:noProof/>
        </w:rPr>
        <w:fldChar w:fldCharType="begin"/>
      </w:r>
      <w:r w:rsidR="00A11492" w:rsidRPr="005A3F47">
        <w:rPr>
          <w:noProof/>
        </w:rPr>
        <w:instrText xml:space="preserve"> REF _Ref226464110 \r \h </w:instrText>
      </w:r>
      <w:r w:rsidR="005A3F47">
        <w:rPr>
          <w:noProof/>
        </w:rPr>
        <w:instrText xml:space="preserve"> \* MERGEFORMAT </w:instrText>
      </w:r>
      <w:r w:rsidR="00A11492" w:rsidRPr="005A3F47">
        <w:rPr>
          <w:noProof/>
        </w:rPr>
      </w:r>
      <w:r w:rsidR="00A11492" w:rsidRPr="005A3F47">
        <w:rPr>
          <w:noProof/>
        </w:rPr>
        <w:fldChar w:fldCharType="separate"/>
      </w:r>
      <w:r w:rsidR="00CF3380">
        <w:rPr>
          <w:noProof/>
        </w:rPr>
        <w:t>5.2</w:t>
      </w:r>
      <w:r w:rsidR="00A11492" w:rsidRPr="005A3F47">
        <w:rPr>
          <w:noProof/>
        </w:rPr>
        <w:fldChar w:fldCharType="end"/>
      </w:r>
      <w:r w:rsidR="00241272" w:rsidRPr="005A3F47">
        <w:rPr>
          <w:noProof/>
        </w:rPr>
        <w:t xml:space="preserve">, </w:t>
      </w:r>
      <w:r w:rsidR="00A11492" w:rsidRPr="005A3F47">
        <w:rPr>
          <w:noProof/>
        </w:rPr>
        <w:fldChar w:fldCharType="begin"/>
      </w:r>
      <w:r w:rsidR="00A11492" w:rsidRPr="005A3F47">
        <w:rPr>
          <w:noProof/>
        </w:rPr>
        <w:instrText xml:space="preserve"> REF _Ref226464120 \r \h </w:instrText>
      </w:r>
      <w:r w:rsidR="005A3F47">
        <w:rPr>
          <w:noProof/>
        </w:rPr>
        <w:instrText xml:space="preserve"> \* MERGEFORMAT </w:instrText>
      </w:r>
      <w:r w:rsidR="00A11492" w:rsidRPr="005A3F47">
        <w:rPr>
          <w:noProof/>
        </w:rPr>
      </w:r>
      <w:r w:rsidR="00A11492" w:rsidRPr="005A3F47">
        <w:rPr>
          <w:noProof/>
        </w:rPr>
        <w:fldChar w:fldCharType="separate"/>
      </w:r>
      <w:r w:rsidR="00CF3380">
        <w:rPr>
          <w:noProof/>
        </w:rPr>
        <w:t>6</w:t>
      </w:r>
      <w:r w:rsidR="00A11492" w:rsidRPr="005A3F47">
        <w:rPr>
          <w:noProof/>
        </w:rPr>
        <w:fldChar w:fldCharType="end"/>
      </w:r>
      <w:r w:rsidR="00241272" w:rsidRPr="005A3F47">
        <w:rPr>
          <w:noProof/>
        </w:rPr>
        <w:t xml:space="preserve">, and </w:t>
      </w:r>
      <w:r w:rsidR="00A11492" w:rsidRPr="005A3F47">
        <w:rPr>
          <w:noProof/>
        </w:rPr>
        <w:fldChar w:fldCharType="begin"/>
      </w:r>
      <w:r w:rsidR="00A11492" w:rsidRPr="005A3F47">
        <w:rPr>
          <w:noProof/>
        </w:rPr>
        <w:instrText xml:space="preserve"> REF _Ref226464130 \r \h </w:instrText>
      </w:r>
      <w:r w:rsidR="005A3F47">
        <w:rPr>
          <w:noProof/>
        </w:rPr>
        <w:instrText xml:space="preserve"> \* MERGEFORMAT </w:instrText>
      </w:r>
      <w:r w:rsidR="00A11492" w:rsidRPr="005A3F47">
        <w:rPr>
          <w:noProof/>
        </w:rPr>
      </w:r>
      <w:r w:rsidR="00A11492" w:rsidRPr="005A3F47">
        <w:rPr>
          <w:noProof/>
        </w:rPr>
        <w:fldChar w:fldCharType="separate"/>
      </w:r>
      <w:r w:rsidR="00CF3380">
        <w:rPr>
          <w:noProof/>
        </w:rPr>
        <w:t>0</w:t>
      </w:r>
      <w:r w:rsidR="00A11492" w:rsidRPr="005A3F47">
        <w:rPr>
          <w:noProof/>
        </w:rPr>
        <w:fldChar w:fldCharType="end"/>
      </w:r>
      <w:r w:rsidR="00241272" w:rsidRPr="005A3F47">
        <w:rPr>
          <w:noProof/>
        </w:rPr>
        <w:t>.</w:t>
      </w:r>
    </w:p>
    <w:p w14:paraId="5536916C" w14:textId="35A79373" w:rsidR="009409F1" w:rsidRPr="005A3F47" w:rsidRDefault="00AC6B57" w:rsidP="00DA2DBD">
      <w:pPr>
        <w:pStyle w:val="Heading2"/>
        <w:numPr>
          <w:ilvl w:val="1"/>
          <w:numId w:val="216"/>
        </w:numPr>
        <w:rPr>
          <w:noProof/>
        </w:rPr>
      </w:pPr>
      <w:bookmarkStart w:id="267" w:name="_Toc226466853"/>
      <w:bookmarkStart w:id="268" w:name="_Toc226467214"/>
      <w:bookmarkStart w:id="269" w:name="_Toc226467314"/>
      <w:bookmarkStart w:id="270" w:name="_Toc226467533"/>
      <w:r w:rsidRPr="005A3F47">
        <w:rPr>
          <w:noProof/>
        </w:rPr>
        <w:t xml:space="preserve"> </w:t>
      </w:r>
      <w:r w:rsidR="009409F1" w:rsidRPr="005A3F47">
        <w:rPr>
          <w:noProof/>
        </w:rPr>
        <w:t>Application of the ‘one in, one out’ approach</w:t>
      </w:r>
      <w:bookmarkEnd w:id="267"/>
      <w:bookmarkEnd w:id="268"/>
      <w:bookmarkEnd w:id="269"/>
      <w:bookmarkEnd w:id="270"/>
    </w:p>
    <w:p w14:paraId="2820BE16" w14:textId="77777777" w:rsidR="00E31B98" w:rsidRPr="005A3F47" w:rsidRDefault="00272C5E" w:rsidP="000E3086">
      <w:pPr>
        <w:rPr>
          <w:noProof/>
        </w:rPr>
      </w:pPr>
      <w:r w:rsidRPr="005A3F47">
        <w:rPr>
          <w:noProof/>
        </w:rPr>
        <w:t xml:space="preserve">According to the </w:t>
      </w:r>
      <w:r w:rsidR="00862C90" w:rsidRPr="005A3F47">
        <w:rPr>
          <w:noProof/>
        </w:rPr>
        <w:t>‘one in, one out’</w:t>
      </w:r>
      <w:r w:rsidRPr="005A3F47">
        <w:rPr>
          <w:noProof/>
        </w:rPr>
        <w:t xml:space="preserve"> approach, </w:t>
      </w:r>
      <w:r w:rsidR="000F7FD2" w:rsidRPr="005A3F47">
        <w:rPr>
          <w:noProof/>
        </w:rPr>
        <w:t>new administrative burdens resulting from the Commission’s proposals should be offset by reducing existing burdens in the same policy area.</w:t>
      </w:r>
      <w:r w:rsidR="00FC13B9" w:rsidRPr="005A3F47">
        <w:rPr>
          <w:noProof/>
        </w:rPr>
        <w:t xml:space="preserve"> As noted in Section 8.1, the preferred option has the potential to significantly reduce tax compliance costs for businesses in the EU.</w:t>
      </w:r>
    </w:p>
    <w:p w14:paraId="0823B201" w14:textId="33648C44" w:rsidR="00E31B98" w:rsidRPr="005A3F47" w:rsidRDefault="00E31B98" w:rsidP="00E31B98">
      <w:pPr>
        <w:pStyle w:val="Text2"/>
        <w:ind w:left="0"/>
        <w:rPr>
          <w:noProof/>
        </w:rPr>
      </w:pPr>
      <w:r w:rsidRPr="005A3F47">
        <w:rPr>
          <w:noProof/>
        </w:rPr>
        <w:t xml:space="preserve">Proposals are designed so that the cost of implementation </w:t>
      </w:r>
      <w:r w:rsidR="00E42C9A" w:rsidRPr="005A3F47">
        <w:rPr>
          <w:noProof/>
        </w:rPr>
        <w:t>is</w:t>
      </w:r>
      <w:r w:rsidR="00FB26C0" w:rsidRPr="005A3F47">
        <w:rPr>
          <w:noProof/>
        </w:rPr>
        <w:t xml:space="preserve"> </w:t>
      </w:r>
      <w:r w:rsidRPr="005A3F47">
        <w:rPr>
          <w:noProof/>
        </w:rPr>
        <w:t xml:space="preserve">minimal, especially if expressed as annualised present value (i.e., distributed over the entire period a company will exist). It </w:t>
      </w:r>
      <w:r w:rsidR="00E42C9A" w:rsidRPr="005A3F47">
        <w:rPr>
          <w:noProof/>
        </w:rPr>
        <w:t>is</w:t>
      </w:r>
      <w:r w:rsidRPr="005A3F47">
        <w:rPr>
          <w:noProof/>
        </w:rPr>
        <w:t xml:space="preserve"> so low that they cannot be seriously estimated for both companies and financial administrations. </w:t>
      </w:r>
    </w:p>
    <w:p w14:paraId="0B55C597" w14:textId="49956FE2" w:rsidR="009B324C" w:rsidRPr="005A3F47" w:rsidRDefault="00764775" w:rsidP="00AA6589">
      <w:pPr>
        <w:rPr>
          <w:noProof/>
        </w:rPr>
      </w:pPr>
      <w:r w:rsidRPr="005A3F47">
        <w:rPr>
          <w:noProof/>
        </w:rPr>
        <w:t>As a result</w:t>
      </w:r>
      <w:r w:rsidR="00B23472" w:rsidRPr="005A3F47">
        <w:rPr>
          <w:noProof/>
        </w:rPr>
        <w:t>, it is difficult to</w:t>
      </w:r>
      <w:r w:rsidR="00B82C8F" w:rsidRPr="005A3F47">
        <w:rPr>
          <w:noProof/>
        </w:rPr>
        <w:t xml:space="preserve"> fully</w:t>
      </w:r>
      <w:r w:rsidR="00B23472" w:rsidRPr="005A3F47">
        <w:rPr>
          <w:noProof/>
        </w:rPr>
        <w:t xml:space="preserve"> </w:t>
      </w:r>
      <w:r w:rsidR="0021777A" w:rsidRPr="005A3F47">
        <w:rPr>
          <w:noProof/>
        </w:rPr>
        <w:t>apply the</w:t>
      </w:r>
      <w:r w:rsidR="00B23472" w:rsidRPr="005A3F47">
        <w:rPr>
          <w:noProof/>
        </w:rPr>
        <w:t xml:space="preserve"> </w:t>
      </w:r>
      <w:r w:rsidR="00C55503" w:rsidRPr="005A3F47">
        <w:rPr>
          <w:noProof/>
        </w:rPr>
        <w:t>‘one in, one out’</w:t>
      </w:r>
      <w:r w:rsidR="00B82C8F" w:rsidRPr="005A3F47">
        <w:rPr>
          <w:noProof/>
        </w:rPr>
        <w:t xml:space="preserve"> </w:t>
      </w:r>
      <w:r w:rsidR="009C4E70" w:rsidRPr="005A3F47">
        <w:rPr>
          <w:noProof/>
        </w:rPr>
        <w:t xml:space="preserve">approach </w:t>
      </w:r>
      <w:r w:rsidR="00C55503" w:rsidRPr="005A3F47">
        <w:rPr>
          <w:noProof/>
        </w:rPr>
        <w:t>in this situation</w:t>
      </w:r>
      <w:r w:rsidR="00B82C8F" w:rsidRPr="005A3F47">
        <w:rPr>
          <w:noProof/>
        </w:rPr>
        <w:t xml:space="preserve"> as the </w:t>
      </w:r>
      <w:r w:rsidR="00272886" w:rsidRPr="005A3F47">
        <w:rPr>
          <w:noProof/>
        </w:rPr>
        <w:t xml:space="preserve">Omnibus on Taxation is meant to </w:t>
      </w:r>
      <w:r w:rsidR="00C55503" w:rsidRPr="005A3F47">
        <w:rPr>
          <w:noProof/>
        </w:rPr>
        <w:t>amend</w:t>
      </w:r>
      <w:r w:rsidR="00E0360D" w:rsidRPr="005A3F47">
        <w:rPr>
          <w:noProof/>
        </w:rPr>
        <w:t xml:space="preserve"> the existing rules </w:t>
      </w:r>
      <w:r w:rsidR="00325D33" w:rsidRPr="005A3F47">
        <w:rPr>
          <w:noProof/>
        </w:rPr>
        <w:t>to make them simpler and more effective</w:t>
      </w:r>
      <w:r w:rsidR="00E0360D" w:rsidRPr="005A3F47">
        <w:rPr>
          <w:noProof/>
        </w:rPr>
        <w:t xml:space="preserve"> rather than removing</w:t>
      </w:r>
      <w:r w:rsidR="009C4E70" w:rsidRPr="005A3F47">
        <w:rPr>
          <w:noProof/>
        </w:rPr>
        <w:t xml:space="preserve"> </w:t>
      </w:r>
      <w:r w:rsidR="009D6628" w:rsidRPr="005A3F47">
        <w:rPr>
          <w:noProof/>
        </w:rPr>
        <w:t>or add</w:t>
      </w:r>
      <w:r w:rsidR="006708DF" w:rsidRPr="005A3F47">
        <w:rPr>
          <w:noProof/>
        </w:rPr>
        <w:t>ing rules. On the basis o</w:t>
      </w:r>
      <w:r w:rsidR="00730C24" w:rsidRPr="005A3F47">
        <w:rPr>
          <w:noProof/>
        </w:rPr>
        <w:t>f</w:t>
      </w:r>
      <w:r w:rsidR="006708DF" w:rsidRPr="005A3F47">
        <w:rPr>
          <w:noProof/>
        </w:rPr>
        <w:t xml:space="preserve"> the Omnibus on Taxation, the</w:t>
      </w:r>
      <w:r w:rsidR="00FC13B9" w:rsidRPr="005A3F47" w:rsidDel="006708DF">
        <w:rPr>
          <w:noProof/>
        </w:rPr>
        <w:t xml:space="preserve"> </w:t>
      </w:r>
      <w:r w:rsidR="006708DF" w:rsidRPr="005A3F47">
        <w:rPr>
          <w:noProof/>
        </w:rPr>
        <w:t>e</w:t>
      </w:r>
      <w:r w:rsidR="00FC13B9" w:rsidRPr="005A3F47">
        <w:rPr>
          <w:noProof/>
        </w:rPr>
        <w:t xml:space="preserve">stimated </w:t>
      </w:r>
      <w:r w:rsidR="00286C20" w:rsidRPr="005A3F47">
        <w:rPr>
          <w:noProof/>
        </w:rPr>
        <w:t>administrative</w:t>
      </w:r>
      <w:r w:rsidR="00FC13B9" w:rsidRPr="005A3F47">
        <w:rPr>
          <w:noProof/>
        </w:rPr>
        <w:t xml:space="preserve"> cost savings </w:t>
      </w:r>
      <w:r w:rsidR="00286C20" w:rsidRPr="005A3F47">
        <w:rPr>
          <w:noProof/>
        </w:rPr>
        <w:t>is</w:t>
      </w:r>
      <w:r w:rsidR="00FC13B9" w:rsidRPr="005A3F47">
        <w:rPr>
          <w:noProof/>
        </w:rPr>
        <w:t xml:space="preserve"> </w:t>
      </w:r>
      <w:r w:rsidR="003E6358" w:rsidRPr="005A3F47">
        <w:rPr>
          <w:noProof/>
        </w:rPr>
        <w:t xml:space="preserve">about EUR </w:t>
      </w:r>
      <w:r w:rsidR="009779A3" w:rsidRPr="005A3F47">
        <w:rPr>
          <w:noProof/>
        </w:rPr>
        <w:t>2</w:t>
      </w:r>
      <w:r w:rsidR="003E6358" w:rsidRPr="005A3F47">
        <w:rPr>
          <w:noProof/>
        </w:rPr>
        <w:t xml:space="preserve"> billion</w:t>
      </w:r>
      <w:r w:rsidR="00655BFA" w:rsidRPr="005A3F47">
        <w:rPr>
          <w:noProof/>
        </w:rPr>
        <w:t>.</w:t>
      </w:r>
      <w:r w:rsidR="009665BC" w:rsidRPr="005A3F47">
        <w:rPr>
          <w:rStyle w:val="FootnoteReference"/>
          <w:noProof/>
        </w:rPr>
        <w:footnoteReference w:id="118"/>
      </w:r>
      <w:r w:rsidR="00BC0260" w:rsidRPr="005A3F47">
        <w:rPr>
          <w:noProof/>
        </w:rPr>
        <w:t xml:space="preserve"> </w:t>
      </w:r>
    </w:p>
    <w:p w14:paraId="747BAC36" w14:textId="2FEC5EB7" w:rsidR="0055732A" w:rsidRPr="005A3F47" w:rsidRDefault="00D56766" w:rsidP="00AA6589">
      <w:pPr>
        <w:rPr>
          <w:noProof/>
        </w:rPr>
      </w:pPr>
      <w:r w:rsidRPr="005A3F47">
        <w:rPr>
          <w:noProof/>
        </w:rPr>
        <w:t>However, a</w:t>
      </w:r>
      <w:r w:rsidR="003E0D82" w:rsidRPr="005A3F47">
        <w:rPr>
          <w:noProof/>
        </w:rPr>
        <w:t xml:space="preserve">s </w:t>
      </w:r>
      <w:r w:rsidR="0000582D" w:rsidRPr="005A3F47">
        <w:rPr>
          <w:noProof/>
        </w:rPr>
        <w:t xml:space="preserve">mentioned in the context of model simulations presented </w:t>
      </w:r>
      <w:r w:rsidR="003E0D82" w:rsidRPr="005A3F47">
        <w:rPr>
          <w:noProof/>
        </w:rPr>
        <w:t xml:space="preserve">in Chapter </w:t>
      </w:r>
      <w:r w:rsidR="009A0E28" w:rsidRPr="005A3F47">
        <w:rPr>
          <w:noProof/>
        </w:rPr>
        <w:fldChar w:fldCharType="begin"/>
      </w:r>
      <w:r w:rsidR="009A0E28" w:rsidRPr="005A3F47">
        <w:rPr>
          <w:noProof/>
        </w:rPr>
        <w:instrText xml:space="preserve"> REF _Ref226464120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6</w:t>
      </w:r>
      <w:r w:rsidR="009A0E28" w:rsidRPr="005A3F47">
        <w:rPr>
          <w:noProof/>
        </w:rPr>
        <w:fldChar w:fldCharType="end"/>
      </w:r>
      <w:r w:rsidR="003E0D82" w:rsidRPr="005A3F47">
        <w:rPr>
          <w:noProof/>
        </w:rPr>
        <w:t xml:space="preserve">, </w:t>
      </w:r>
      <w:r w:rsidR="009D7BC4" w:rsidRPr="005A3F47">
        <w:rPr>
          <w:noProof/>
        </w:rPr>
        <w:t xml:space="preserve">the </w:t>
      </w:r>
      <w:r w:rsidR="00661EF0" w:rsidRPr="005A3F47">
        <w:rPr>
          <w:b/>
          <w:noProof/>
        </w:rPr>
        <w:t xml:space="preserve">full </w:t>
      </w:r>
      <w:r w:rsidR="003E0D82" w:rsidRPr="005A3F47">
        <w:rPr>
          <w:b/>
          <w:noProof/>
        </w:rPr>
        <w:t xml:space="preserve">macro-economic </w:t>
      </w:r>
      <w:r w:rsidR="00661EF0" w:rsidRPr="005A3F47">
        <w:rPr>
          <w:b/>
          <w:noProof/>
        </w:rPr>
        <w:t>benefit</w:t>
      </w:r>
      <w:r w:rsidR="006F3C39" w:rsidRPr="005A3F47">
        <w:rPr>
          <w:b/>
          <w:noProof/>
        </w:rPr>
        <w:t>s</w:t>
      </w:r>
      <w:r w:rsidR="00661EF0" w:rsidRPr="005A3F47">
        <w:rPr>
          <w:noProof/>
        </w:rPr>
        <w:t xml:space="preserve"> of the proposed simplification </w:t>
      </w:r>
      <w:r w:rsidR="008A1737" w:rsidRPr="005A3F47">
        <w:rPr>
          <w:noProof/>
        </w:rPr>
        <w:t xml:space="preserve">measures </w:t>
      </w:r>
      <w:r w:rsidR="001D31A7" w:rsidRPr="005A3F47">
        <w:rPr>
          <w:noProof/>
        </w:rPr>
        <w:t>for businesses</w:t>
      </w:r>
      <w:r w:rsidR="0084611B" w:rsidRPr="005A3F47">
        <w:rPr>
          <w:noProof/>
        </w:rPr>
        <w:t xml:space="preserve"> </w:t>
      </w:r>
      <w:r w:rsidR="0084611B" w:rsidRPr="005A3F47">
        <w:rPr>
          <w:b/>
          <w:noProof/>
        </w:rPr>
        <w:t xml:space="preserve">outweigh by far </w:t>
      </w:r>
      <w:r w:rsidR="0047665F" w:rsidRPr="005A3F47">
        <w:rPr>
          <w:b/>
          <w:noProof/>
        </w:rPr>
        <w:t>these direct cost savings</w:t>
      </w:r>
      <w:r w:rsidR="0047665F" w:rsidRPr="005A3F47">
        <w:rPr>
          <w:noProof/>
        </w:rPr>
        <w:t xml:space="preserve"> and</w:t>
      </w:r>
      <w:r w:rsidR="00B90629" w:rsidRPr="005A3F47">
        <w:rPr>
          <w:noProof/>
        </w:rPr>
        <w:t>,</w:t>
      </w:r>
      <w:r w:rsidR="0047665F" w:rsidRPr="005A3F47">
        <w:rPr>
          <w:noProof/>
        </w:rPr>
        <w:t xml:space="preserve"> </w:t>
      </w:r>
      <w:r w:rsidR="00C43761" w:rsidRPr="005A3F47">
        <w:rPr>
          <w:noProof/>
        </w:rPr>
        <w:t>all the</w:t>
      </w:r>
      <w:r w:rsidR="0047665F" w:rsidRPr="005A3F47">
        <w:rPr>
          <w:noProof/>
        </w:rPr>
        <w:t xml:space="preserve"> more so</w:t>
      </w:r>
      <w:r w:rsidR="00C43761" w:rsidRPr="005A3F47">
        <w:rPr>
          <w:noProof/>
        </w:rPr>
        <w:t>,</w:t>
      </w:r>
      <w:r w:rsidR="0047665F" w:rsidRPr="005A3F47">
        <w:rPr>
          <w:noProof/>
        </w:rPr>
        <w:t xml:space="preserve"> </w:t>
      </w:r>
      <w:r w:rsidR="0084611B" w:rsidRPr="005A3F47">
        <w:rPr>
          <w:noProof/>
        </w:rPr>
        <w:t xml:space="preserve">the cost of </w:t>
      </w:r>
      <w:r w:rsidR="00E01597" w:rsidRPr="005A3F47">
        <w:rPr>
          <w:noProof/>
        </w:rPr>
        <w:t xml:space="preserve">their </w:t>
      </w:r>
      <w:r w:rsidR="0084611B" w:rsidRPr="005A3F47">
        <w:rPr>
          <w:noProof/>
        </w:rPr>
        <w:t>implementation</w:t>
      </w:r>
      <w:r w:rsidR="00F5564E" w:rsidRPr="005A3F47">
        <w:rPr>
          <w:noProof/>
        </w:rPr>
        <w:t>.</w:t>
      </w:r>
      <w:r w:rsidR="001F0832" w:rsidRPr="005A3F47">
        <w:rPr>
          <w:noProof/>
        </w:rPr>
        <w:t xml:space="preserve"> This is because </w:t>
      </w:r>
      <w:r w:rsidR="00344E8E" w:rsidRPr="005A3F47">
        <w:rPr>
          <w:noProof/>
        </w:rPr>
        <w:t xml:space="preserve">these cost savings </w:t>
      </w:r>
      <w:r w:rsidR="00530D46" w:rsidRPr="005A3F47">
        <w:rPr>
          <w:noProof/>
        </w:rPr>
        <w:t>will play a role</w:t>
      </w:r>
      <w:r w:rsidR="00316FAF" w:rsidRPr="005A3F47">
        <w:rPr>
          <w:noProof/>
        </w:rPr>
        <w:t xml:space="preserve"> </w:t>
      </w:r>
      <w:r w:rsidR="00976D8D" w:rsidRPr="005A3F47">
        <w:rPr>
          <w:noProof/>
        </w:rPr>
        <w:t xml:space="preserve">each time </w:t>
      </w:r>
      <w:r w:rsidR="00530D46" w:rsidRPr="005A3F47">
        <w:rPr>
          <w:noProof/>
        </w:rPr>
        <w:t xml:space="preserve">that </w:t>
      </w:r>
      <w:r w:rsidR="00B54D67" w:rsidRPr="005A3F47">
        <w:rPr>
          <w:noProof/>
        </w:rPr>
        <w:t>companies</w:t>
      </w:r>
      <w:r w:rsidR="00E60D6D" w:rsidRPr="005A3F47">
        <w:rPr>
          <w:noProof/>
        </w:rPr>
        <w:t xml:space="preserve"> </w:t>
      </w:r>
      <w:r w:rsidR="00BB1DAF" w:rsidRPr="005A3F47">
        <w:rPr>
          <w:noProof/>
        </w:rPr>
        <w:t>make</w:t>
      </w:r>
      <w:r w:rsidR="00976D8D" w:rsidRPr="005A3F47">
        <w:rPr>
          <w:noProof/>
        </w:rPr>
        <w:t xml:space="preserve"> a </w:t>
      </w:r>
      <w:r w:rsidR="00BB1DAF" w:rsidRPr="005A3F47">
        <w:rPr>
          <w:noProof/>
        </w:rPr>
        <w:t>decision about whether or not to invest</w:t>
      </w:r>
      <w:r w:rsidR="00976D8D" w:rsidRPr="005A3F47">
        <w:rPr>
          <w:noProof/>
        </w:rPr>
        <w:t xml:space="preserve"> cross-border. </w:t>
      </w:r>
      <w:r w:rsidR="00405BA7" w:rsidRPr="005A3F47">
        <w:rPr>
          <w:noProof/>
        </w:rPr>
        <w:t>This will create important second-round effects.</w:t>
      </w:r>
    </w:p>
    <w:p w14:paraId="135391D6" w14:textId="44A69C35" w:rsidR="003D0091" w:rsidRPr="00266412" w:rsidRDefault="00485117" w:rsidP="00D56725">
      <w:pPr>
        <w:rPr>
          <w:noProof/>
        </w:rPr>
      </w:pPr>
      <w:r w:rsidRPr="005A3F47">
        <w:rPr>
          <w:noProof/>
        </w:rPr>
        <w:t xml:space="preserve">Consider that </w:t>
      </w:r>
      <w:r w:rsidR="003D0091" w:rsidRPr="005A3F47">
        <w:rPr>
          <w:noProof/>
        </w:rPr>
        <w:t xml:space="preserve">withholding taxes </w:t>
      </w:r>
      <w:r w:rsidR="00240CAD" w:rsidRPr="005A3F47">
        <w:rPr>
          <w:noProof/>
        </w:rPr>
        <w:t>at</w:t>
      </w:r>
      <w:r w:rsidR="003D0091" w:rsidRPr="005A3F47">
        <w:rPr>
          <w:noProof/>
        </w:rPr>
        <w:t xml:space="preserve"> zero</w:t>
      </w:r>
      <w:r w:rsidR="00240CAD" w:rsidRPr="005A3F47">
        <w:rPr>
          <w:noProof/>
        </w:rPr>
        <w:t xml:space="preserve"> percent</w:t>
      </w:r>
      <w:r w:rsidR="003D0091" w:rsidRPr="005A3F47">
        <w:rPr>
          <w:noProof/>
        </w:rPr>
        <w:t xml:space="preserve"> across the EU w</w:t>
      </w:r>
      <w:r w:rsidR="0005524A" w:rsidRPr="005A3F47">
        <w:rPr>
          <w:noProof/>
        </w:rPr>
        <w:t>ill</w:t>
      </w:r>
      <w:r w:rsidR="003D0091" w:rsidRPr="005A3F47">
        <w:rPr>
          <w:noProof/>
        </w:rPr>
        <w:t xml:space="preserve"> make complex refund procedures unnecessary</w:t>
      </w:r>
      <w:r w:rsidR="008F3DF3" w:rsidRPr="005A3F47">
        <w:rPr>
          <w:noProof/>
        </w:rPr>
        <w:t xml:space="preserve"> (</w:t>
      </w:r>
      <w:r w:rsidR="009D6A80" w:rsidRPr="005A3F47">
        <w:rPr>
          <w:noProof/>
        </w:rPr>
        <w:t>S</w:t>
      </w:r>
      <w:r w:rsidR="008F3DF3" w:rsidRPr="005A3F47">
        <w:rPr>
          <w:noProof/>
        </w:rPr>
        <w:t xml:space="preserve">ection </w:t>
      </w:r>
      <w:r w:rsidR="00E47CBD" w:rsidRPr="005A3F47">
        <w:rPr>
          <w:noProof/>
        </w:rPr>
        <w:fldChar w:fldCharType="begin"/>
      </w:r>
      <w:r w:rsidR="00E47CBD" w:rsidRPr="005A3F47">
        <w:rPr>
          <w:noProof/>
        </w:rPr>
        <w:instrText xml:space="preserve"> REF _Ref226464155 \r \h </w:instrText>
      </w:r>
      <w:r w:rsidR="00D50E8F" w:rsidRPr="005A3F47">
        <w:rPr>
          <w:noProof/>
        </w:rPr>
        <w:instrText xml:space="preserve"> \* MERGEFORMAT </w:instrText>
      </w:r>
      <w:r w:rsidR="00E47CBD" w:rsidRPr="005A3F47">
        <w:rPr>
          <w:noProof/>
        </w:rPr>
      </w:r>
      <w:r w:rsidR="00E47CBD" w:rsidRPr="005A3F47">
        <w:rPr>
          <w:noProof/>
        </w:rPr>
        <w:fldChar w:fldCharType="separate"/>
      </w:r>
      <w:r w:rsidR="00CF3380">
        <w:rPr>
          <w:noProof/>
        </w:rPr>
        <w:t>6.2.1.1</w:t>
      </w:r>
      <w:r w:rsidR="00E47CBD" w:rsidRPr="005A3F47">
        <w:rPr>
          <w:noProof/>
        </w:rPr>
        <w:fldChar w:fldCharType="end"/>
      </w:r>
      <w:r w:rsidR="008F3DF3" w:rsidRPr="005A3F47">
        <w:rPr>
          <w:noProof/>
        </w:rPr>
        <w:t>)</w:t>
      </w:r>
      <w:r w:rsidR="00F5564E" w:rsidRPr="005A3F47">
        <w:rPr>
          <w:noProof/>
        </w:rPr>
        <w:t>;</w:t>
      </w:r>
      <w:r w:rsidR="003D0091" w:rsidRPr="005A3F47">
        <w:rPr>
          <w:noProof/>
        </w:rPr>
        <w:t xml:space="preserve"> </w:t>
      </w:r>
      <w:r w:rsidR="00DE6D18" w:rsidRPr="005A3F47">
        <w:rPr>
          <w:noProof/>
        </w:rPr>
        <w:t xml:space="preserve">or that </w:t>
      </w:r>
      <w:r w:rsidR="00F5564E" w:rsidRPr="005A3F47">
        <w:rPr>
          <w:noProof/>
        </w:rPr>
        <w:t>m</w:t>
      </w:r>
      <w:r w:rsidR="003D0091" w:rsidRPr="005A3F47">
        <w:rPr>
          <w:noProof/>
        </w:rPr>
        <w:t xml:space="preserve">any companies </w:t>
      </w:r>
      <w:r w:rsidR="008F3DF3" w:rsidRPr="005A3F47">
        <w:rPr>
          <w:noProof/>
        </w:rPr>
        <w:t xml:space="preserve">having </w:t>
      </w:r>
      <w:r w:rsidR="003D0091" w:rsidRPr="005A3F47">
        <w:rPr>
          <w:noProof/>
        </w:rPr>
        <w:t xml:space="preserve">to comply with P2-related rules </w:t>
      </w:r>
      <w:r w:rsidR="0005524A" w:rsidRPr="005A3F47">
        <w:rPr>
          <w:noProof/>
        </w:rPr>
        <w:t xml:space="preserve">will </w:t>
      </w:r>
      <w:r w:rsidR="003D0091" w:rsidRPr="005A3F47">
        <w:rPr>
          <w:noProof/>
        </w:rPr>
        <w:t xml:space="preserve">be relieved from having </w:t>
      </w:r>
      <w:r w:rsidR="0005524A" w:rsidRPr="005A3F47">
        <w:rPr>
          <w:noProof/>
        </w:rPr>
        <w:t>t</w:t>
      </w:r>
      <w:r w:rsidR="003D0091" w:rsidRPr="005A3F47">
        <w:rPr>
          <w:noProof/>
        </w:rPr>
        <w:t xml:space="preserve">o </w:t>
      </w:r>
      <w:r w:rsidR="003A2465" w:rsidRPr="005A3F47">
        <w:rPr>
          <w:noProof/>
        </w:rPr>
        <w:t xml:space="preserve">also </w:t>
      </w:r>
      <w:r w:rsidR="003D0091" w:rsidRPr="005A3F47">
        <w:rPr>
          <w:noProof/>
        </w:rPr>
        <w:t>comply with CFC</w:t>
      </w:r>
      <w:r w:rsidR="00A15006" w:rsidRPr="005A3F47">
        <w:rPr>
          <w:noProof/>
        </w:rPr>
        <w:t xml:space="preserve"> </w:t>
      </w:r>
      <w:r w:rsidR="003D0091" w:rsidRPr="005A3F47">
        <w:rPr>
          <w:noProof/>
        </w:rPr>
        <w:t>rules</w:t>
      </w:r>
      <w:r w:rsidR="0005524A" w:rsidRPr="005A3F47">
        <w:rPr>
          <w:noProof/>
        </w:rPr>
        <w:t xml:space="preserve"> (</w:t>
      </w:r>
      <w:r w:rsidR="00A935D7" w:rsidRPr="005A3F47">
        <w:rPr>
          <w:noProof/>
        </w:rPr>
        <w:t>S</w:t>
      </w:r>
      <w:r w:rsidR="00D87F2B" w:rsidRPr="005A3F47">
        <w:rPr>
          <w:noProof/>
        </w:rPr>
        <w:t xml:space="preserve">ection </w:t>
      </w:r>
      <w:hyperlink w:anchor="_Option_2a:_" w:history="1">
        <w:r w:rsidR="00466874" w:rsidRPr="005A3F47">
          <w:rPr>
            <w:noProof/>
          </w:rPr>
          <w:fldChar w:fldCharType="begin"/>
        </w:r>
        <w:r w:rsidR="00466874" w:rsidRPr="005A3F47">
          <w:rPr>
            <w:noProof/>
          </w:rPr>
          <w:instrText xml:space="preserve"> REF _Ref226464179 \r \h </w:instrText>
        </w:r>
        <w:r w:rsidR="00D50E8F" w:rsidRPr="005A3F47">
          <w:rPr>
            <w:noProof/>
          </w:rPr>
          <w:instrText xml:space="preserve"> \* MERGEFORMAT </w:instrText>
        </w:r>
        <w:r w:rsidR="00466874" w:rsidRPr="005A3F47">
          <w:rPr>
            <w:noProof/>
          </w:rPr>
        </w:r>
        <w:r w:rsidR="00466874" w:rsidRPr="005A3F47">
          <w:rPr>
            <w:noProof/>
          </w:rPr>
          <w:fldChar w:fldCharType="separate"/>
        </w:r>
        <w:r w:rsidR="00CF3380">
          <w:rPr>
            <w:noProof/>
          </w:rPr>
          <w:t>6.2.2.2</w:t>
        </w:r>
        <w:r w:rsidR="00466874" w:rsidRPr="005A3F47">
          <w:rPr>
            <w:noProof/>
          </w:rPr>
          <w:fldChar w:fldCharType="end"/>
        </w:r>
      </w:hyperlink>
      <w:r w:rsidR="0005524A" w:rsidRPr="005A3F47">
        <w:rPr>
          <w:noProof/>
        </w:rPr>
        <w:t>)</w:t>
      </w:r>
      <w:r w:rsidR="00CB6E61" w:rsidRPr="005A3F47">
        <w:rPr>
          <w:noProof/>
        </w:rPr>
        <w:t>;</w:t>
      </w:r>
      <w:r w:rsidR="003D0091" w:rsidRPr="005A3F47">
        <w:rPr>
          <w:noProof/>
        </w:rPr>
        <w:t xml:space="preserve"> </w:t>
      </w:r>
      <w:r w:rsidR="003A2465" w:rsidRPr="005A3F47">
        <w:rPr>
          <w:noProof/>
        </w:rPr>
        <w:t xml:space="preserve">or that </w:t>
      </w:r>
      <w:r w:rsidR="00CB6E61" w:rsidRPr="005A3F47">
        <w:rPr>
          <w:noProof/>
        </w:rPr>
        <w:t>many c</w:t>
      </w:r>
      <w:r w:rsidR="003D0091" w:rsidRPr="005A3F47">
        <w:rPr>
          <w:noProof/>
        </w:rPr>
        <w:t xml:space="preserve">ompanies now subject to interest limitation rules would </w:t>
      </w:r>
      <w:r w:rsidR="001F63B0" w:rsidRPr="005A3F47">
        <w:rPr>
          <w:noProof/>
        </w:rPr>
        <w:t xml:space="preserve">no longer have to </w:t>
      </w:r>
      <w:r w:rsidR="00A15006" w:rsidRPr="005A3F47">
        <w:rPr>
          <w:noProof/>
        </w:rPr>
        <w:t>check compliance with</w:t>
      </w:r>
      <w:r w:rsidR="001F63B0" w:rsidRPr="005A3F47">
        <w:rPr>
          <w:noProof/>
        </w:rPr>
        <w:t xml:space="preserve"> these rules </w:t>
      </w:r>
      <w:r w:rsidR="003D0091" w:rsidRPr="005A3F47">
        <w:rPr>
          <w:noProof/>
        </w:rPr>
        <w:t>in the future</w:t>
      </w:r>
      <w:r w:rsidR="0054399B" w:rsidRPr="005A3F47">
        <w:rPr>
          <w:noProof/>
        </w:rPr>
        <w:t xml:space="preserve"> (</w:t>
      </w:r>
      <w:r w:rsidR="00466874" w:rsidRPr="005A3F47">
        <w:rPr>
          <w:noProof/>
        </w:rPr>
        <w:t>S</w:t>
      </w:r>
      <w:r w:rsidR="00624B08" w:rsidRPr="005A3F47">
        <w:rPr>
          <w:noProof/>
        </w:rPr>
        <w:t xml:space="preserve">ections </w:t>
      </w:r>
      <w:r w:rsidR="00494CA6" w:rsidRPr="005A3F47">
        <w:rPr>
          <w:noProof/>
        </w:rPr>
        <w:t>6.2.</w:t>
      </w:r>
      <w:r w:rsidR="00A03DC8" w:rsidRPr="005A3F47">
        <w:rPr>
          <w:noProof/>
        </w:rPr>
        <w:t>4.</w:t>
      </w:r>
      <w:r w:rsidR="00463C1E" w:rsidRPr="005A3F47">
        <w:rPr>
          <w:noProof/>
        </w:rPr>
        <w:t>1</w:t>
      </w:r>
      <w:r w:rsidR="00BF2F58" w:rsidRPr="005A3F47">
        <w:rPr>
          <w:noProof/>
        </w:rPr>
        <w:t xml:space="preserve"> and </w:t>
      </w:r>
      <w:r w:rsidR="00494CA6" w:rsidRPr="005A3F47">
        <w:rPr>
          <w:noProof/>
        </w:rPr>
        <w:t>6.2.4.4</w:t>
      </w:r>
      <w:r w:rsidR="0054399B" w:rsidRPr="005A3F47">
        <w:rPr>
          <w:noProof/>
        </w:rPr>
        <w:t>)</w:t>
      </w:r>
      <w:r w:rsidR="003D0091" w:rsidRPr="005A3F47">
        <w:rPr>
          <w:noProof/>
        </w:rPr>
        <w:t>.</w:t>
      </w:r>
      <w:r w:rsidR="001331D8" w:rsidRPr="005A3F47">
        <w:rPr>
          <w:noProof/>
        </w:rPr>
        <w:t xml:space="preserve"> </w:t>
      </w:r>
      <w:r w:rsidR="00911CCF" w:rsidRPr="005A3F47">
        <w:rPr>
          <w:noProof/>
        </w:rPr>
        <w:t xml:space="preserve">All these measures </w:t>
      </w:r>
      <w:r w:rsidR="00D56725" w:rsidRPr="005A3F47">
        <w:rPr>
          <w:noProof/>
        </w:rPr>
        <w:t xml:space="preserve">create </w:t>
      </w:r>
      <w:r w:rsidR="0055220C" w:rsidRPr="005A3F47">
        <w:rPr>
          <w:b/>
          <w:noProof/>
        </w:rPr>
        <w:t>more legal certainty</w:t>
      </w:r>
      <w:r w:rsidR="0055220C" w:rsidRPr="005A3F47">
        <w:rPr>
          <w:noProof/>
        </w:rPr>
        <w:t xml:space="preserve"> </w:t>
      </w:r>
      <w:r w:rsidR="007F24CF" w:rsidRPr="005A3F47">
        <w:rPr>
          <w:noProof/>
        </w:rPr>
        <w:t xml:space="preserve">for a significant </w:t>
      </w:r>
      <w:r w:rsidR="004C207D" w:rsidRPr="005A3F47">
        <w:rPr>
          <w:noProof/>
        </w:rPr>
        <w:t>number</w:t>
      </w:r>
      <w:r w:rsidR="007F24CF" w:rsidRPr="005A3F47">
        <w:rPr>
          <w:noProof/>
        </w:rPr>
        <w:t xml:space="preserve"> of companies</w:t>
      </w:r>
      <w:r w:rsidR="00AF2539" w:rsidRPr="005A3F47">
        <w:rPr>
          <w:noProof/>
        </w:rPr>
        <w:t xml:space="preserve"> which, in turn, will </w:t>
      </w:r>
      <w:r w:rsidR="004D7E83" w:rsidRPr="005A3F47">
        <w:rPr>
          <w:noProof/>
        </w:rPr>
        <w:t>foster</w:t>
      </w:r>
      <w:r w:rsidR="00583FB5" w:rsidRPr="005A3F47">
        <w:rPr>
          <w:b/>
          <w:noProof/>
        </w:rPr>
        <w:t xml:space="preserve"> confidence in future investment</w:t>
      </w:r>
      <w:r w:rsidR="00583FB5" w:rsidRPr="005A3F47">
        <w:rPr>
          <w:noProof/>
        </w:rPr>
        <w:t xml:space="preserve">. </w:t>
      </w:r>
      <w:r w:rsidR="005225AA" w:rsidRPr="005A3F47">
        <w:rPr>
          <w:noProof/>
        </w:rPr>
        <w:t xml:space="preserve">It will </w:t>
      </w:r>
      <w:r w:rsidR="00AF2539" w:rsidRPr="005A3F47">
        <w:rPr>
          <w:noProof/>
        </w:rPr>
        <w:t xml:space="preserve">motivate more of those companies to </w:t>
      </w:r>
      <w:r w:rsidR="005225AA" w:rsidRPr="005A3F47">
        <w:rPr>
          <w:noProof/>
        </w:rPr>
        <w:t xml:space="preserve">actually </w:t>
      </w:r>
      <w:r w:rsidR="008C1C53" w:rsidRPr="005A3F47">
        <w:rPr>
          <w:noProof/>
        </w:rPr>
        <w:t xml:space="preserve">decide in favour of </w:t>
      </w:r>
      <w:r w:rsidR="00955A42" w:rsidRPr="005A3F47">
        <w:rPr>
          <w:noProof/>
        </w:rPr>
        <w:t xml:space="preserve">a given </w:t>
      </w:r>
      <w:r w:rsidR="005225AA" w:rsidRPr="005A3F47">
        <w:rPr>
          <w:noProof/>
        </w:rPr>
        <w:t>investment</w:t>
      </w:r>
      <w:r w:rsidR="00314137" w:rsidRPr="005A3F47">
        <w:rPr>
          <w:noProof/>
        </w:rPr>
        <w:t>,</w:t>
      </w:r>
      <w:r w:rsidR="00320485" w:rsidRPr="005A3F47">
        <w:rPr>
          <w:noProof/>
        </w:rPr>
        <w:t xml:space="preserve"> which today still </w:t>
      </w:r>
      <w:r w:rsidR="00641118" w:rsidRPr="005A3F47">
        <w:rPr>
          <w:noProof/>
        </w:rPr>
        <w:t xml:space="preserve">consider that their cost </w:t>
      </w:r>
      <w:r w:rsidR="003F5D85" w:rsidRPr="005A3F47">
        <w:rPr>
          <w:noProof/>
        </w:rPr>
        <w:t xml:space="preserve">is no match to </w:t>
      </w:r>
      <w:r w:rsidR="00314137" w:rsidRPr="005A3F47">
        <w:rPr>
          <w:noProof/>
        </w:rPr>
        <w:t xml:space="preserve">the </w:t>
      </w:r>
      <w:r w:rsidR="000E45EA" w:rsidRPr="005A3F47">
        <w:rPr>
          <w:noProof/>
        </w:rPr>
        <w:t>potential return</w:t>
      </w:r>
      <w:r w:rsidR="00DB1BCD" w:rsidRPr="005A3F47">
        <w:rPr>
          <w:noProof/>
        </w:rPr>
        <w:t>.</w:t>
      </w:r>
      <w:r w:rsidR="00A064D4" w:rsidRPr="005A3F47">
        <w:rPr>
          <w:noProof/>
        </w:rPr>
        <w:t xml:space="preserve"> As a result, more companies </w:t>
      </w:r>
      <w:r w:rsidR="00530D46" w:rsidRPr="005A3F47">
        <w:rPr>
          <w:noProof/>
        </w:rPr>
        <w:t>will</w:t>
      </w:r>
      <w:r w:rsidR="005225AA" w:rsidRPr="005A3F47">
        <w:rPr>
          <w:noProof/>
        </w:rPr>
        <w:t xml:space="preserve"> </w:t>
      </w:r>
      <w:r w:rsidR="00AF2539" w:rsidRPr="005A3F47">
        <w:rPr>
          <w:noProof/>
        </w:rPr>
        <w:t xml:space="preserve">invest in </w:t>
      </w:r>
      <w:r w:rsidR="004E121B" w:rsidRPr="005A3F47">
        <w:rPr>
          <w:noProof/>
        </w:rPr>
        <w:t xml:space="preserve">other EU countries, tapping into the full potential of the </w:t>
      </w:r>
      <w:r w:rsidR="00530D46" w:rsidRPr="005A3F47">
        <w:rPr>
          <w:noProof/>
        </w:rPr>
        <w:t>internal m</w:t>
      </w:r>
      <w:r w:rsidR="004E121B" w:rsidRPr="005A3F47">
        <w:rPr>
          <w:noProof/>
        </w:rPr>
        <w:t>arket.</w:t>
      </w:r>
      <w:r w:rsidR="003D0091" w:rsidRPr="00266412">
        <w:rPr>
          <w:noProof/>
        </w:rPr>
        <w:t xml:space="preserve">    </w:t>
      </w:r>
    </w:p>
    <w:p w14:paraId="5002F8E7" w14:textId="77777777" w:rsidR="006B087E" w:rsidRPr="005A3F47" w:rsidRDefault="006B087E" w:rsidP="000E3086">
      <w:pPr>
        <w:rPr>
          <w:noProof/>
        </w:rPr>
      </w:pPr>
    </w:p>
    <w:p w14:paraId="26C7E6B1" w14:textId="098AECB0" w:rsidR="006B087E" w:rsidRPr="005A3F47" w:rsidRDefault="001D5B9E" w:rsidP="00E61923">
      <w:pPr>
        <w:pStyle w:val="Heading1"/>
        <w:numPr>
          <w:ilvl w:val="0"/>
          <w:numId w:val="216"/>
        </w:numPr>
        <w:rPr>
          <w:noProof/>
        </w:rPr>
      </w:pPr>
      <w:bookmarkStart w:id="271" w:name="_Toc226466605"/>
      <w:bookmarkStart w:id="272" w:name="_Toc226466854"/>
      <w:bookmarkStart w:id="273" w:name="_Toc226467215"/>
      <w:bookmarkStart w:id="274" w:name="_Toc226467315"/>
      <w:bookmarkStart w:id="275" w:name="_Toc226467534"/>
      <w:r w:rsidRPr="005A3F47">
        <w:rPr>
          <w:noProof/>
        </w:rPr>
        <w:t xml:space="preserve"> </w:t>
      </w:r>
      <w:bookmarkStart w:id="276" w:name="_Toc230258080"/>
      <w:r w:rsidR="006B087E" w:rsidRPr="005A3F47">
        <w:rPr>
          <w:noProof/>
        </w:rPr>
        <w:t>How will actual impacts be monitored and evaluated?</w:t>
      </w:r>
      <w:bookmarkEnd w:id="271"/>
      <w:bookmarkEnd w:id="272"/>
      <w:bookmarkEnd w:id="273"/>
      <w:bookmarkEnd w:id="274"/>
      <w:bookmarkEnd w:id="275"/>
      <w:bookmarkEnd w:id="276"/>
    </w:p>
    <w:p w14:paraId="17AD7DF9" w14:textId="258898DD" w:rsidR="00E63C27" w:rsidRPr="005A3F47" w:rsidRDefault="00C51EFD" w:rsidP="000E3086">
      <w:pPr>
        <w:rPr>
          <w:noProof/>
        </w:rPr>
      </w:pPr>
      <w:r w:rsidRPr="005A3F47">
        <w:rPr>
          <w:noProof/>
        </w:rPr>
        <w:t xml:space="preserve">Monitoring and evaluation are key constituents of this </w:t>
      </w:r>
      <w:r w:rsidR="00FE1741" w:rsidRPr="005A3F47">
        <w:rPr>
          <w:noProof/>
        </w:rPr>
        <w:t>simplification</w:t>
      </w:r>
      <w:r w:rsidRPr="005A3F47">
        <w:rPr>
          <w:noProof/>
        </w:rPr>
        <w:t xml:space="preserve"> initiative, regardless of the policy options to be finally selected. Progress towards achieving the objectives will be monitored and evaluated on the basis of the data already collected </w:t>
      </w:r>
      <w:r w:rsidR="00C12D6E" w:rsidRPr="005A3F47">
        <w:rPr>
          <w:noProof/>
        </w:rPr>
        <w:t>in combination with</w:t>
      </w:r>
      <w:r w:rsidRPr="005A3F47">
        <w:rPr>
          <w:noProof/>
        </w:rPr>
        <w:t xml:space="preserve"> </w:t>
      </w:r>
      <w:r w:rsidR="00C12D6E" w:rsidRPr="005A3F47">
        <w:rPr>
          <w:noProof/>
        </w:rPr>
        <w:t xml:space="preserve">potential </w:t>
      </w:r>
      <w:r w:rsidRPr="005A3F47">
        <w:rPr>
          <w:noProof/>
        </w:rPr>
        <w:t>new information.</w:t>
      </w:r>
      <w:r w:rsidR="00F619E1" w:rsidRPr="005A3F47">
        <w:rPr>
          <w:noProof/>
        </w:rPr>
        <w:t xml:space="preserve"> </w:t>
      </w:r>
    </w:p>
    <w:p w14:paraId="4419672C" w14:textId="10955096" w:rsidR="00303D59" w:rsidRPr="005A3F47" w:rsidRDefault="002170D3" w:rsidP="00E61923">
      <w:pPr>
        <w:pStyle w:val="Heading2"/>
        <w:numPr>
          <w:ilvl w:val="1"/>
          <w:numId w:val="216"/>
        </w:numPr>
        <w:rPr>
          <w:noProof/>
        </w:rPr>
      </w:pPr>
      <w:bookmarkStart w:id="277" w:name="_Toc226466855"/>
      <w:bookmarkStart w:id="278" w:name="_Toc226467216"/>
      <w:bookmarkStart w:id="279" w:name="_Toc226467316"/>
      <w:bookmarkStart w:id="280" w:name="_Toc226467535"/>
      <w:r w:rsidRPr="005A3F47">
        <w:rPr>
          <w:noProof/>
        </w:rPr>
        <w:t xml:space="preserve"> </w:t>
      </w:r>
      <w:r w:rsidR="00303D59" w:rsidRPr="005A3F47">
        <w:rPr>
          <w:noProof/>
        </w:rPr>
        <w:t>Monitoring</w:t>
      </w:r>
      <w:bookmarkEnd w:id="277"/>
      <w:bookmarkEnd w:id="278"/>
      <w:bookmarkEnd w:id="279"/>
      <w:bookmarkEnd w:id="280"/>
    </w:p>
    <w:p w14:paraId="76151416" w14:textId="525DF52B" w:rsidR="00E045F2" w:rsidRPr="005A3F47" w:rsidRDefault="00E045F2" w:rsidP="00436EE0">
      <w:pPr>
        <w:pStyle w:val="HeaderLandscape"/>
        <w:rPr>
          <w:noProof/>
        </w:rPr>
      </w:pPr>
      <w:r w:rsidRPr="005A3F47">
        <w:rPr>
          <w:noProof/>
        </w:rPr>
        <w:t xml:space="preserve">The Commission will periodically monitor the implementation of the </w:t>
      </w:r>
      <w:r w:rsidR="00FE1741" w:rsidRPr="005A3F47">
        <w:rPr>
          <w:noProof/>
        </w:rPr>
        <w:t>Omnibus</w:t>
      </w:r>
      <w:r w:rsidRPr="005A3F47">
        <w:rPr>
          <w:noProof/>
        </w:rPr>
        <w:t xml:space="preserve"> </w:t>
      </w:r>
      <w:r w:rsidR="2FF30679" w:rsidRPr="005A3F47">
        <w:rPr>
          <w:noProof/>
        </w:rPr>
        <w:t xml:space="preserve">on Taxation </w:t>
      </w:r>
      <w:r w:rsidRPr="005A3F47">
        <w:rPr>
          <w:noProof/>
        </w:rPr>
        <w:t>proposal and its application in close cooperation with the Member States. Monitoring in a continuous and systematic way will allow the Commission to identify whether the policy proposal is being applied as expected and to address implementation problems in a timely manner. Collection of factual data on the suggested monitoring indicators will also provide the basis for the future evaluation of the initiative (</w:t>
      </w:r>
      <w:r w:rsidR="002F6BE9" w:rsidRPr="005A3F47">
        <w:rPr>
          <w:noProof/>
        </w:rPr>
        <w:t xml:space="preserve">Section </w:t>
      </w:r>
      <w:r w:rsidR="00466874" w:rsidRPr="005A3F47">
        <w:rPr>
          <w:noProof/>
        </w:rPr>
        <w:fldChar w:fldCharType="begin"/>
      </w:r>
      <w:r w:rsidR="00466874" w:rsidRPr="005A3F47">
        <w:rPr>
          <w:noProof/>
        </w:rPr>
        <w:instrText xml:space="preserve"> REF _Ref226464263 \r \h </w:instrText>
      </w:r>
      <w:r w:rsidR="005A3F47">
        <w:rPr>
          <w:noProof/>
        </w:rPr>
        <w:instrText xml:space="preserve"> \* MERGEFORMAT </w:instrText>
      </w:r>
      <w:r w:rsidR="00466874" w:rsidRPr="005A3F47">
        <w:rPr>
          <w:noProof/>
        </w:rPr>
      </w:r>
      <w:r w:rsidR="00466874" w:rsidRPr="005A3F47">
        <w:rPr>
          <w:noProof/>
        </w:rPr>
        <w:fldChar w:fldCharType="separate"/>
      </w:r>
      <w:r w:rsidR="00CF3380">
        <w:rPr>
          <w:noProof/>
        </w:rPr>
        <w:t>9.2</w:t>
      </w:r>
      <w:r w:rsidR="00466874" w:rsidRPr="005A3F47">
        <w:rPr>
          <w:noProof/>
        </w:rPr>
        <w:fldChar w:fldCharType="end"/>
      </w:r>
      <w:r w:rsidRPr="005A3F47">
        <w:rPr>
          <w:noProof/>
        </w:rPr>
        <w:t>).</w:t>
      </w:r>
    </w:p>
    <w:p w14:paraId="70C712CC" w14:textId="1F0EF2A8" w:rsidR="00DD6647" w:rsidRPr="005A3F47" w:rsidRDefault="00E045F2" w:rsidP="00E045F2">
      <w:pPr>
        <w:pStyle w:val="HeaderLandscape"/>
        <w:rPr>
          <w:noProof/>
        </w:rPr>
      </w:pPr>
      <w:r w:rsidRPr="005A3F47">
        <w:rPr>
          <w:noProof/>
        </w:rPr>
        <w:t>Below, indicators are suggested to measure the success of the initiative in light of the</w:t>
      </w:r>
      <w:r w:rsidR="0001174F" w:rsidRPr="005A3F47">
        <w:rPr>
          <w:noProof/>
        </w:rPr>
        <w:t xml:space="preserve"> specific</w:t>
      </w:r>
      <w:r w:rsidRPr="005A3F47">
        <w:rPr>
          <w:noProof/>
        </w:rPr>
        <w:t xml:space="preserve"> objectives</w:t>
      </w:r>
      <w:r w:rsidR="00F427AF" w:rsidRPr="005A3F47">
        <w:rPr>
          <w:noProof/>
        </w:rPr>
        <w:t xml:space="preserve"> (</w:t>
      </w:r>
      <w:r w:rsidR="00EB3B25" w:rsidRPr="005A3F47">
        <w:rPr>
          <w:noProof/>
        </w:rPr>
        <w:t>Tabel 1) and general objectives</w:t>
      </w:r>
      <w:r w:rsidR="00F427AF" w:rsidRPr="005A3F47">
        <w:rPr>
          <w:noProof/>
        </w:rPr>
        <w:t xml:space="preserve"> (</w:t>
      </w:r>
      <w:r w:rsidR="00EB3B25" w:rsidRPr="005A3F47">
        <w:rPr>
          <w:noProof/>
        </w:rPr>
        <w:t>Tabel 2</w:t>
      </w:r>
      <w:r w:rsidR="00F427AF" w:rsidRPr="005A3F47">
        <w:rPr>
          <w:noProof/>
        </w:rPr>
        <w:t>)</w:t>
      </w:r>
      <w:r w:rsidR="006D6381" w:rsidRPr="005A3F47">
        <w:rPr>
          <w:noProof/>
        </w:rPr>
        <w:t>:</w:t>
      </w:r>
      <w:r w:rsidR="00F67CA0" w:rsidRPr="005A3F47">
        <w:rPr>
          <w:noProof/>
        </w:rPr>
        <w:t xml:space="preserve"> </w:t>
      </w:r>
    </w:p>
    <w:p w14:paraId="736471ED" w14:textId="7560B360" w:rsidR="009F6AED" w:rsidRPr="005A3F47" w:rsidRDefault="009F6AED" w:rsidP="003C67EA">
      <w:pPr>
        <w:pStyle w:val="Caption"/>
        <w:keepNext/>
        <w:rPr>
          <w:noProof/>
        </w:rPr>
      </w:pPr>
      <w:r w:rsidRPr="005A3F47">
        <w:rPr>
          <w:noProof/>
          <w:color w:val="auto"/>
        </w:rPr>
        <w:t xml:space="preserve">Table </w:t>
      </w:r>
      <w:r w:rsidRPr="005A3F47">
        <w:rPr>
          <w:noProof/>
          <w:color w:val="auto"/>
        </w:rPr>
        <w:fldChar w:fldCharType="begin"/>
      </w:r>
      <w:r w:rsidRPr="005A3F47">
        <w:rPr>
          <w:noProof/>
          <w:color w:val="auto"/>
        </w:rPr>
        <w:instrText xml:space="preserve"> SEQ Table \* ARABIC </w:instrText>
      </w:r>
      <w:r w:rsidRPr="005A3F47">
        <w:rPr>
          <w:noProof/>
          <w:color w:val="auto"/>
        </w:rPr>
        <w:fldChar w:fldCharType="separate"/>
      </w:r>
      <w:r w:rsidR="00CF3380">
        <w:rPr>
          <w:noProof/>
          <w:color w:val="auto"/>
        </w:rPr>
        <w:t>1</w:t>
      </w:r>
      <w:r w:rsidRPr="005A3F47">
        <w:rPr>
          <w:noProof/>
          <w:color w:val="auto"/>
        </w:rPr>
        <w:fldChar w:fldCharType="end"/>
      </w:r>
      <w:r w:rsidRPr="005A3F47">
        <w:rPr>
          <w:noProof/>
          <w:color w:val="auto"/>
        </w:rPr>
        <w:t xml:space="preserve">: </w:t>
      </w:r>
      <w:r w:rsidR="00EB3B25" w:rsidRPr="005A3F47">
        <w:rPr>
          <w:noProof/>
          <w:color w:val="auto"/>
        </w:rPr>
        <w:t xml:space="preserve">Monitoring </w:t>
      </w:r>
      <w:r w:rsidR="001763F4" w:rsidRPr="005A3F47">
        <w:rPr>
          <w:noProof/>
          <w:color w:val="auto"/>
        </w:rPr>
        <w:t xml:space="preserve">of </w:t>
      </w:r>
      <w:r w:rsidR="009851CB" w:rsidRPr="005A3F47">
        <w:rPr>
          <w:noProof/>
          <w:color w:val="auto"/>
        </w:rPr>
        <w:t>specific objectives</w:t>
      </w:r>
    </w:p>
    <w:tbl>
      <w:tblPr>
        <w:tblStyle w:val="TableGrid"/>
        <w:tblW w:w="9629" w:type="dxa"/>
        <w:tblInd w:w="118" w:type="dxa"/>
        <w:tblLook w:val="04A0" w:firstRow="1" w:lastRow="0" w:firstColumn="1" w:lastColumn="0" w:noHBand="0" w:noVBand="1"/>
      </w:tblPr>
      <w:tblGrid>
        <w:gridCol w:w="2912"/>
        <w:gridCol w:w="6717"/>
      </w:tblGrid>
      <w:tr w:rsidR="004F6337" w:rsidRPr="005A3F47" w14:paraId="6772A6C5" w14:textId="77777777" w:rsidTr="00181AEB">
        <w:tc>
          <w:tcPr>
            <w:tcW w:w="2912" w:type="dxa"/>
            <w:shd w:val="clear" w:color="auto" w:fill="C6D9F1" w:themeFill="text2" w:themeFillTint="33"/>
          </w:tcPr>
          <w:p w14:paraId="042F7CE9" w14:textId="04F2150F" w:rsidR="00423A72" w:rsidRPr="005A3F47" w:rsidRDefault="001A709E">
            <w:pPr>
              <w:pStyle w:val="HeaderLandscape"/>
              <w:rPr>
                <w:b/>
                <w:noProof/>
              </w:rPr>
            </w:pPr>
            <w:r w:rsidRPr="005A3F47">
              <w:rPr>
                <w:b/>
                <w:noProof/>
              </w:rPr>
              <w:t>Target</w:t>
            </w:r>
          </w:p>
        </w:tc>
        <w:tc>
          <w:tcPr>
            <w:tcW w:w="6717" w:type="dxa"/>
            <w:shd w:val="clear" w:color="auto" w:fill="C6D9F1" w:themeFill="text2" w:themeFillTint="33"/>
          </w:tcPr>
          <w:p w14:paraId="2CD7A21B" w14:textId="77777777" w:rsidR="00423A72" w:rsidRPr="005A3F47" w:rsidRDefault="00423A72">
            <w:pPr>
              <w:pStyle w:val="HeaderLandscape"/>
              <w:rPr>
                <w:b/>
                <w:noProof/>
              </w:rPr>
            </w:pPr>
            <w:r w:rsidRPr="005A3F47">
              <w:rPr>
                <w:b/>
                <w:noProof/>
              </w:rPr>
              <w:t>Indicators</w:t>
            </w:r>
          </w:p>
        </w:tc>
      </w:tr>
      <w:tr w:rsidR="00423A72" w:rsidRPr="005A3F47" w14:paraId="3E732764" w14:textId="77777777" w:rsidTr="00181AEB">
        <w:tc>
          <w:tcPr>
            <w:tcW w:w="2912" w:type="dxa"/>
          </w:tcPr>
          <w:p w14:paraId="3474BFEA" w14:textId="155505AF" w:rsidR="00423A72" w:rsidRPr="005A3F47" w:rsidRDefault="00B36924">
            <w:pPr>
              <w:jc w:val="left"/>
              <w:rPr>
                <w:noProof/>
                <w:lang w:val="fr-BE"/>
              </w:rPr>
            </w:pPr>
            <w:r w:rsidRPr="005A3F47">
              <w:rPr>
                <w:noProof/>
                <w:lang w:val="fr-BE"/>
              </w:rPr>
              <w:t>Eliminat</w:t>
            </w:r>
            <w:r w:rsidR="00DE3161" w:rsidRPr="005A3F47">
              <w:rPr>
                <w:noProof/>
                <w:lang w:val="fr-BE"/>
              </w:rPr>
              <w:t>e</w:t>
            </w:r>
            <w:r w:rsidRPr="005A3F47">
              <w:rPr>
                <w:noProof/>
                <w:lang w:val="fr-BE"/>
              </w:rPr>
              <w:t xml:space="preserve"> </w:t>
            </w:r>
            <w:r w:rsidR="00423A72" w:rsidRPr="005A3F47">
              <w:rPr>
                <w:noProof/>
                <w:lang w:val="fr-BE"/>
              </w:rPr>
              <w:t>disproportionate EU tax compliance burdens</w:t>
            </w:r>
          </w:p>
        </w:tc>
        <w:tc>
          <w:tcPr>
            <w:tcW w:w="6717" w:type="dxa"/>
          </w:tcPr>
          <w:p w14:paraId="7DF34082" w14:textId="79C7C756" w:rsidR="00423A72" w:rsidRPr="005A3F47" w:rsidRDefault="00B36924" w:rsidP="00423A72">
            <w:pPr>
              <w:pStyle w:val="ListParagraph"/>
              <w:numPr>
                <w:ilvl w:val="0"/>
                <w:numId w:val="210"/>
              </w:numPr>
              <w:jc w:val="left"/>
              <w:rPr>
                <w:noProof/>
              </w:rPr>
            </w:pPr>
            <w:r w:rsidRPr="005A3F47">
              <w:rPr>
                <w:noProof/>
              </w:rPr>
              <w:t>Significant c</w:t>
            </w:r>
            <w:r w:rsidR="00423A72" w:rsidRPr="005A3F47">
              <w:rPr>
                <w:noProof/>
              </w:rPr>
              <w:t xml:space="preserve">hange in tax compliance costs for businesses, relative to their turnover </w:t>
            </w:r>
            <w:r w:rsidR="00ED642A" w:rsidRPr="005A3F47">
              <w:rPr>
                <w:noProof/>
              </w:rPr>
              <w:t xml:space="preserve">(established through </w:t>
            </w:r>
            <w:r w:rsidR="00AB0501" w:rsidRPr="005A3F47">
              <w:rPr>
                <w:noProof/>
              </w:rPr>
              <w:t xml:space="preserve">a </w:t>
            </w:r>
            <w:r w:rsidR="00ED642A" w:rsidRPr="005A3F47">
              <w:rPr>
                <w:noProof/>
              </w:rPr>
              <w:t>dedicated survey).</w:t>
            </w:r>
          </w:p>
          <w:p w14:paraId="7F4740B6" w14:textId="314917AF" w:rsidR="00423A72" w:rsidRPr="005A3F47" w:rsidRDefault="00423A72" w:rsidP="00423A72">
            <w:pPr>
              <w:pStyle w:val="ListParagraph"/>
              <w:numPr>
                <w:ilvl w:val="0"/>
                <w:numId w:val="210"/>
              </w:numPr>
              <w:jc w:val="left"/>
              <w:rPr>
                <w:noProof/>
              </w:rPr>
            </w:pPr>
            <w:r w:rsidRPr="005A3F47">
              <w:rPr>
                <w:noProof/>
              </w:rPr>
              <w:t>Share of companies for whom exceeding borrowing costs remain non-deductible</w:t>
            </w:r>
            <w:r w:rsidR="00A55488" w:rsidRPr="005A3F47">
              <w:rPr>
                <w:noProof/>
              </w:rPr>
              <w:t xml:space="preserve"> </w:t>
            </w:r>
            <w:r w:rsidR="00A53672" w:rsidRPr="005A3F47">
              <w:rPr>
                <w:noProof/>
              </w:rPr>
              <w:t>for both groups and SMEs</w:t>
            </w:r>
            <w:r w:rsidR="00CB705D" w:rsidRPr="005A3F47">
              <w:rPr>
                <w:noProof/>
              </w:rPr>
              <w:t xml:space="preserve">, established on the basis of a firm-level sample </w:t>
            </w:r>
            <w:r w:rsidR="007C78C4" w:rsidRPr="005A3F47">
              <w:rPr>
                <w:noProof/>
              </w:rPr>
              <w:t xml:space="preserve">as done for this Impact Assessment </w:t>
            </w:r>
            <w:r w:rsidR="00CA6234" w:rsidRPr="005A3F47">
              <w:rPr>
                <w:noProof/>
              </w:rPr>
              <w:t>(</w:t>
            </w:r>
            <w:r w:rsidR="007F2744" w:rsidRPr="005A3F47">
              <w:rPr>
                <w:noProof/>
              </w:rPr>
              <w:t>Chapter 6 and Annex 4, Section 4</w:t>
            </w:r>
            <w:r w:rsidR="002D4523" w:rsidRPr="005A3F47">
              <w:rPr>
                <w:noProof/>
              </w:rPr>
              <w:t xml:space="preserve"> for 2024</w:t>
            </w:r>
            <w:r w:rsidR="007F2744" w:rsidRPr="005A3F47">
              <w:rPr>
                <w:noProof/>
              </w:rPr>
              <w:t>).</w:t>
            </w:r>
          </w:p>
          <w:p w14:paraId="6B8A84D2" w14:textId="77777777" w:rsidR="00423A72" w:rsidRPr="005A3F47" w:rsidRDefault="00423A72" w:rsidP="00423A72">
            <w:pPr>
              <w:pStyle w:val="ListParagraph"/>
              <w:numPr>
                <w:ilvl w:val="0"/>
                <w:numId w:val="210"/>
              </w:numPr>
              <w:jc w:val="left"/>
              <w:rPr>
                <w:noProof/>
              </w:rPr>
            </w:pPr>
            <w:r w:rsidRPr="005A3F47">
              <w:rPr>
                <w:noProof/>
              </w:rPr>
              <w:t>Change in R&amp;D expenditure as percent of GDP</w:t>
            </w:r>
          </w:p>
          <w:p w14:paraId="3C164C1F" w14:textId="7BFDB50F" w:rsidR="00423A72" w:rsidRPr="005A3F47" w:rsidRDefault="00423A72" w:rsidP="00423A72">
            <w:pPr>
              <w:pStyle w:val="ListParagraph"/>
              <w:numPr>
                <w:ilvl w:val="0"/>
                <w:numId w:val="210"/>
              </w:numPr>
              <w:jc w:val="left"/>
              <w:rPr>
                <w:noProof/>
              </w:rPr>
            </w:pPr>
            <w:r w:rsidRPr="005A3F47">
              <w:rPr>
                <w:noProof/>
              </w:rPr>
              <w:t>Level of costs and cost savings borne by tax administrations</w:t>
            </w:r>
            <w:r w:rsidR="00FB4729" w:rsidRPr="005A3F47">
              <w:rPr>
                <w:noProof/>
              </w:rPr>
              <w:t xml:space="preserve"> (established </w:t>
            </w:r>
            <w:r w:rsidR="00D528E4" w:rsidRPr="005A3F47">
              <w:rPr>
                <w:noProof/>
              </w:rPr>
              <w:t>through dedicated surveys)</w:t>
            </w:r>
          </w:p>
        </w:tc>
      </w:tr>
      <w:tr w:rsidR="00423A72" w:rsidRPr="005A3F47" w14:paraId="00D9F6A0" w14:textId="77777777" w:rsidTr="00181AEB">
        <w:tc>
          <w:tcPr>
            <w:tcW w:w="2912" w:type="dxa"/>
          </w:tcPr>
          <w:p w14:paraId="62BAF0E8" w14:textId="7C72E63B" w:rsidR="00423A72" w:rsidRPr="005A3F47" w:rsidRDefault="001E381B">
            <w:pPr>
              <w:jc w:val="left"/>
              <w:rPr>
                <w:noProof/>
              </w:rPr>
            </w:pPr>
            <w:r w:rsidRPr="005A3F47">
              <w:rPr>
                <w:noProof/>
              </w:rPr>
              <w:t>P</w:t>
            </w:r>
            <w:r w:rsidR="00423A72" w:rsidRPr="005A3F47">
              <w:rPr>
                <w:noProof/>
              </w:rPr>
              <w:t xml:space="preserve">redictable EU tax rules and terms </w:t>
            </w:r>
          </w:p>
        </w:tc>
        <w:tc>
          <w:tcPr>
            <w:tcW w:w="6717" w:type="dxa"/>
          </w:tcPr>
          <w:p w14:paraId="0B7EDD71" w14:textId="2D47F496" w:rsidR="00423A72" w:rsidRPr="005A3F47" w:rsidRDefault="00F513CC" w:rsidP="00EB3DFA">
            <w:pPr>
              <w:pStyle w:val="ListParagraph"/>
              <w:numPr>
                <w:ilvl w:val="0"/>
                <w:numId w:val="210"/>
              </w:numPr>
              <w:jc w:val="left"/>
              <w:rPr>
                <w:noProof/>
              </w:rPr>
            </w:pPr>
            <w:r w:rsidRPr="005A3F47">
              <w:rPr>
                <w:noProof/>
              </w:rPr>
              <w:t>Stakeholder vie</w:t>
            </w:r>
            <w:r w:rsidR="00124E99" w:rsidRPr="005A3F47">
              <w:rPr>
                <w:noProof/>
              </w:rPr>
              <w:t>w</w:t>
            </w:r>
            <w:r w:rsidRPr="005A3F47">
              <w:rPr>
                <w:noProof/>
              </w:rPr>
              <w:t>s on i</w:t>
            </w:r>
            <w:r w:rsidR="00423A72" w:rsidRPr="005A3F47">
              <w:rPr>
                <w:noProof/>
              </w:rPr>
              <w:t>ssues with the interpretation of specific provisions</w:t>
            </w:r>
            <w:r w:rsidR="00E83949" w:rsidRPr="005A3F47">
              <w:rPr>
                <w:noProof/>
              </w:rPr>
              <w:t>, the e</w:t>
            </w:r>
            <w:r w:rsidR="00423A72" w:rsidRPr="005A3F47">
              <w:rPr>
                <w:noProof/>
              </w:rPr>
              <w:t>xistence of operational and technical inconsistencies (e.g. different definitions, different reporting standards)</w:t>
            </w:r>
            <w:r w:rsidR="00094C56" w:rsidRPr="005A3F47">
              <w:rPr>
                <w:noProof/>
              </w:rPr>
              <w:t xml:space="preserve">, </w:t>
            </w:r>
            <w:r w:rsidR="00312B84" w:rsidRPr="005A3F47">
              <w:rPr>
                <w:noProof/>
              </w:rPr>
              <w:t xml:space="preserve">and </w:t>
            </w:r>
            <w:r w:rsidR="00423A72" w:rsidRPr="005A3F47">
              <w:rPr>
                <w:noProof/>
              </w:rPr>
              <w:t>how different policy choices in implementation affect effectiveness</w:t>
            </w:r>
          </w:p>
          <w:p w14:paraId="1D0200BC" w14:textId="77777777" w:rsidR="00423A72" w:rsidRPr="005A3F47" w:rsidRDefault="00423A72" w:rsidP="00423A72">
            <w:pPr>
              <w:pStyle w:val="ListParagraph"/>
              <w:numPr>
                <w:ilvl w:val="0"/>
                <w:numId w:val="210"/>
              </w:numPr>
              <w:jc w:val="left"/>
              <w:rPr>
                <w:noProof/>
              </w:rPr>
            </w:pPr>
            <w:r w:rsidRPr="005A3F47">
              <w:rPr>
                <w:noProof/>
              </w:rPr>
              <w:t>Change in the number of cases resolved using the DRM</w:t>
            </w:r>
          </w:p>
          <w:p w14:paraId="4BC933ED" w14:textId="6FEB3A00" w:rsidR="00423A72" w:rsidRPr="005A3F47" w:rsidRDefault="00FD652F" w:rsidP="00423A72">
            <w:pPr>
              <w:pStyle w:val="ListParagraph"/>
              <w:numPr>
                <w:ilvl w:val="0"/>
                <w:numId w:val="210"/>
              </w:numPr>
              <w:jc w:val="left"/>
              <w:rPr>
                <w:noProof/>
              </w:rPr>
            </w:pPr>
            <w:r w:rsidRPr="005A3F47">
              <w:rPr>
                <w:noProof/>
              </w:rPr>
              <w:t>(</w:t>
            </w:r>
            <w:r w:rsidR="00423A72" w:rsidRPr="005A3F47">
              <w:rPr>
                <w:noProof/>
              </w:rPr>
              <w:t>Change in tax compliance costs for businesses, relative to their turnover</w:t>
            </w:r>
            <w:r w:rsidRPr="005A3F47">
              <w:rPr>
                <w:noProof/>
              </w:rPr>
              <w:t>)</w:t>
            </w:r>
          </w:p>
        </w:tc>
      </w:tr>
      <w:tr w:rsidR="00423A72" w:rsidRPr="005A3F47" w14:paraId="3A0A2667" w14:textId="77777777" w:rsidTr="00181AEB">
        <w:tc>
          <w:tcPr>
            <w:tcW w:w="2912" w:type="dxa"/>
          </w:tcPr>
          <w:p w14:paraId="44D6FE57" w14:textId="719A6EBD" w:rsidR="00423A72" w:rsidRPr="005A3F47" w:rsidRDefault="001B70D6">
            <w:pPr>
              <w:jc w:val="left"/>
              <w:rPr>
                <w:noProof/>
                <w:lang w:val="fr-FR"/>
              </w:rPr>
            </w:pPr>
            <w:r w:rsidRPr="005A3F47">
              <w:rPr>
                <w:noProof/>
                <w:lang w:val="fr-FR"/>
              </w:rPr>
              <w:t>C</w:t>
            </w:r>
            <w:r w:rsidR="00423A72" w:rsidRPr="005A3F47">
              <w:rPr>
                <w:noProof/>
                <w:lang w:val="fr-FR"/>
              </w:rPr>
              <w:t>onsisten</w:t>
            </w:r>
            <w:r w:rsidRPr="005A3F47">
              <w:rPr>
                <w:noProof/>
                <w:lang w:val="fr-FR"/>
              </w:rPr>
              <w:t xml:space="preserve">t </w:t>
            </w:r>
            <w:r w:rsidR="00423A72" w:rsidRPr="005A3F47">
              <w:rPr>
                <w:noProof/>
                <w:lang w:val="fr-FR"/>
              </w:rPr>
              <w:t>application of EU tax directive</w:t>
            </w:r>
          </w:p>
        </w:tc>
        <w:tc>
          <w:tcPr>
            <w:tcW w:w="6717" w:type="dxa"/>
          </w:tcPr>
          <w:p w14:paraId="31531DEF" w14:textId="77777777" w:rsidR="00423A72" w:rsidRPr="005A3F47" w:rsidRDefault="00423A72" w:rsidP="00423A72">
            <w:pPr>
              <w:pStyle w:val="ListParagraph"/>
              <w:numPr>
                <w:ilvl w:val="0"/>
                <w:numId w:val="210"/>
              </w:numPr>
              <w:jc w:val="left"/>
              <w:rPr>
                <w:noProof/>
              </w:rPr>
            </w:pPr>
            <w:r w:rsidRPr="005A3F47">
              <w:rPr>
                <w:noProof/>
              </w:rPr>
              <w:t>Stakeholders’ views on harmonisation and on the variation of options for transpositions and effects on business operations</w:t>
            </w:r>
          </w:p>
          <w:p w14:paraId="5CB01E62" w14:textId="77772637" w:rsidR="00423A72" w:rsidRPr="005A3F47" w:rsidRDefault="00423A72" w:rsidP="00423A72">
            <w:pPr>
              <w:pStyle w:val="ListParagraph"/>
              <w:numPr>
                <w:ilvl w:val="0"/>
                <w:numId w:val="210"/>
              </w:numPr>
              <w:jc w:val="left"/>
              <w:rPr>
                <w:noProof/>
              </w:rPr>
            </w:pPr>
            <w:r w:rsidRPr="005A3F47">
              <w:rPr>
                <w:noProof/>
              </w:rPr>
              <w:t>Existence of</w:t>
            </w:r>
            <w:r w:rsidR="001B70D6" w:rsidRPr="005A3F47">
              <w:rPr>
                <w:noProof/>
              </w:rPr>
              <w:t xml:space="preserve"> tax</w:t>
            </w:r>
            <w:r w:rsidRPr="005A3F47">
              <w:rPr>
                <w:noProof/>
              </w:rPr>
              <w:t xml:space="preserve"> gaps and overlaps</w:t>
            </w:r>
          </w:p>
          <w:p w14:paraId="6B8A7728" w14:textId="6DA1F542" w:rsidR="00423A72" w:rsidRPr="005A3F47" w:rsidRDefault="00FD652F" w:rsidP="00423A72">
            <w:pPr>
              <w:pStyle w:val="ListParagraph"/>
              <w:numPr>
                <w:ilvl w:val="0"/>
                <w:numId w:val="210"/>
              </w:numPr>
              <w:jc w:val="left"/>
              <w:rPr>
                <w:noProof/>
              </w:rPr>
            </w:pPr>
            <w:r w:rsidRPr="005A3F47">
              <w:rPr>
                <w:noProof/>
              </w:rPr>
              <w:t>(</w:t>
            </w:r>
            <w:r w:rsidR="00423A72" w:rsidRPr="005A3F47">
              <w:rPr>
                <w:noProof/>
              </w:rPr>
              <w:t>Change in tax compliance costs for businesses, relative to their turnover</w:t>
            </w:r>
            <w:r w:rsidRPr="005A3F47">
              <w:rPr>
                <w:noProof/>
              </w:rPr>
              <w:t>)</w:t>
            </w:r>
          </w:p>
        </w:tc>
      </w:tr>
    </w:tbl>
    <w:p w14:paraId="2753B449" w14:textId="77777777" w:rsidR="00191BF8" w:rsidRPr="005A3F47" w:rsidRDefault="00191BF8" w:rsidP="00B33A49">
      <w:pPr>
        <w:rPr>
          <w:noProof/>
          <w:lang w:val="en-IE"/>
        </w:rPr>
      </w:pPr>
    </w:p>
    <w:p w14:paraId="33F62227" w14:textId="7AA13918" w:rsidR="00320009" w:rsidRPr="005A3F47" w:rsidRDefault="00320009" w:rsidP="00E61923">
      <w:pPr>
        <w:pStyle w:val="Caption"/>
        <w:keepNext/>
        <w:rPr>
          <w:noProof/>
        </w:rPr>
      </w:pPr>
      <w:r w:rsidRPr="005A3F47">
        <w:rPr>
          <w:noProof/>
          <w:color w:val="auto"/>
        </w:rPr>
        <w:t xml:space="preserve">Table </w:t>
      </w:r>
      <w:r w:rsidRPr="005A3F47">
        <w:rPr>
          <w:noProof/>
          <w:color w:val="auto"/>
        </w:rPr>
        <w:fldChar w:fldCharType="begin"/>
      </w:r>
      <w:r w:rsidRPr="005A3F47">
        <w:rPr>
          <w:noProof/>
          <w:color w:val="auto"/>
        </w:rPr>
        <w:instrText xml:space="preserve"> SEQ Table \* ARABIC </w:instrText>
      </w:r>
      <w:r w:rsidRPr="005A3F47">
        <w:rPr>
          <w:noProof/>
          <w:color w:val="auto"/>
        </w:rPr>
        <w:fldChar w:fldCharType="separate"/>
      </w:r>
      <w:r w:rsidR="00CF3380">
        <w:rPr>
          <w:noProof/>
          <w:color w:val="auto"/>
        </w:rPr>
        <w:t>2</w:t>
      </w:r>
      <w:r w:rsidRPr="005A3F47">
        <w:rPr>
          <w:noProof/>
          <w:color w:val="auto"/>
        </w:rPr>
        <w:fldChar w:fldCharType="end"/>
      </w:r>
      <w:r w:rsidRPr="005A3F47">
        <w:rPr>
          <w:noProof/>
          <w:color w:val="auto"/>
        </w:rPr>
        <w:t>: Monitoring of general objectives</w:t>
      </w:r>
    </w:p>
    <w:tbl>
      <w:tblPr>
        <w:tblStyle w:val="TableGrid"/>
        <w:tblW w:w="9747" w:type="dxa"/>
        <w:tblLook w:val="04A0" w:firstRow="1" w:lastRow="0" w:firstColumn="1" w:lastColumn="0" w:noHBand="0" w:noVBand="1"/>
      </w:tblPr>
      <w:tblGrid>
        <w:gridCol w:w="3004"/>
        <w:gridCol w:w="6743"/>
      </w:tblGrid>
      <w:tr w:rsidR="00320009" w:rsidRPr="005A3F47" w14:paraId="7AF78AAA" w14:textId="77777777" w:rsidTr="00E61923">
        <w:tc>
          <w:tcPr>
            <w:tcW w:w="3004" w:type="dxa"/>
            <w:shd w:val="clear" w:color="auto" w:fill="C6D9F1" w:themeFill="text2" w:themeFillTint="33"/>
          </w:tcPr>
          <w:p w14:paraId="5CBBA6DC" w14:textId="495BB934" w:rsidR="00320009" w:rsidRPr="005A3F47" w:rsidRDefault="00E30814">
            <w:pPr>
              <w:jc w:val="left"/>
              <w:rPr>
                <w:b/>
                <w:noProof/>
              </w:rPr>
            </w:pPr>
            <w:r w:rsidRPr="005A3F47">
              <w:rPr>
                <w:b/>
                <w:noProof/>
              </w:rPr>
              <w:t>Target</w:t>
            </w:r>
          </w:p>
        </w:tc>
        <w:tc>
          <w:tcPr>
            <w:tcW w:w="6743" w:type="dxa"/>
            <w:shd w:val="clear" w:color="auto" w:fill="C6D9F1" w:themeFill="text2" w:themeFillTint="33"/>
          </w:tcPr>
          <w:p w14:paraId="25FD2169" w14:textId="77777777" w:rsidR="00320009" w:rsidRPr="005A3F47" w:rsidRDefault="00320009">
            <w:pPr>
              <w:pStyle w:val="ListParagraph"/>
              <w:ind w:left="360"/>
              <w:rPr>
                <w:b/>
                <w:noProof/>
              </w:rPr>
            </w:pPr>
            <w:r w:rsidRPr="005A3F47">
              <w:rPr>
                <w:b/>
                <w:noProof/>
              </w:rPr>
              <w:t>Indicators</w:t>
            </w:r>
          </w:p>
        </w:tc>
      </w:tr>
      <w:tr w:rsidR="00320009" w:rsidRPr="005A3F47" w14:paraId="07877CDD" w14:textId="77777777" w:rsidTr="00E61923">
        <w:tc>
          <w:tcPr>
            <w:tcW w:w="3004" w:type="dxa"/>
          </w:tcPr>
          <w:p w14:paraId="058F8D94" w14:textId="5C348E9A" w:rsidR="00320009" w:rsidRPr="005A3F47" w:rsidRDefault="00383268">
            <w:pPr>
              <w:jc w:val="left"/>
              <w:rPr>
                <w:noProof/>
              </w:rPr>
            </w:pPr>
            <w:r w:rsidRPr="005A3F47">
              <w:rPr>
                <w:noProof/>
              </w:rPr>
              <w:t xml:space="preserve">Simpler tax rules boosting </w:t>
            </w:r>
            <w:r w:rsidR="00171F2B" w:rsidRPr="005A3F47">
              <w:rPr>
                <w:noProof/>
              </w:rPr>
              <w:t>EU competitiveness</w:t>
            </w:r>
          </w:p>
        </w:tc>
        <w:tc>
          <w:tcPr>
            <w:tcW w:w="6743" w:type="dxa"/>
          </w:tcPr>
          <w:p w14:paraId="5551EB20" w14:textId="0D131C18" w:rsidR="006C1A19" w:rsidRPr="005A3F47" w:rsidRDefault="006C1A19" w:rsidP="006C1A19">
            <w:pPr>
              <w:pStyle w:val="ListParagraph"/>
              <w:numPr>
                <w:ilvl w:val="0"/>
                <w:numId w:val="212"/>
              </w:numPr>
              <w:jc w:val="left"/>
              <w:rPr>
                <w:noProof/>
              </w:rPr>
            </w:pPr>
            <w:r w:rsidRPr="005A3F47">
              <w:rPr>
                <w:noProof/>
              </w:rPr>
              <w:t>Change in FDI within the EU (Balance of Payment Statistics)</w:t>
            </w:r>
          </w:p>
          <w:p w14:paraId="2F7813E3" w14:textId="77777777" w:rsidR="00320009" w:rsidRPr="005A3F47" w:rsidRDefault="00320009" w:rsidP="00D02155">
            <w:pPr>
              <w:pStyle w:val="ListParagraph"/>
              <w:numPr>
                <w:ilvl w:val="0"/>
                <w:numId w:val="212"/>
              </w:numPr>
              <w:jc w:val="left"/>
              <w:rPr>
                <w:noProof/>
              </w:rPr>
            </w:pPr>
            <w:r w:rsidRPr="005A3F47">
              <w:rPr>
                <w:noProof/>
              </w:rPr>
              <w:t>Change in tax compliance costs for businesses, relative to their turnover</w:t>
            </w:r>
          </w:p>
          <w:p w14:paraId="06C325A2" w14:textId="6151473C" w:rsidR="00320009" w:rsidRPr="005A3F47" w:rsidRDefault="00320009" w:rsidP="00DE6B6A">
            <w:pPr>
              <w:pStyle w:val="ListParagraph"/>
              <w:numPr>
                <w:ilvl w:val="0"/>
                <w:numId w:val="212"/>
              </w:numPr>
              <w:rPr>
                <w:noProof/>
              </w:rPr>
            </w:pPr>
            <w:r w:rsidRPr="005A3F47">
              <w:rPr>
                <w:noProof/>
              </w:rPr>
              <w:t>Comparison of costs and benefits</w:t>
            </w:r>
            <w:r w:rsidR="00BB4387" w:rsidRPr="005A3F47">
              <w:rPr>
                <w:noProof/>
              </w:rPr>
              <w:t xml:space="preserve"> from stakeholders</w:t>
            </w:r>
            <w:r w:rsidR="001A2B9F" w:rsidRPr="005A3F47">
              <w:rPr>
                <w:noProof/>
              </w:rPr>
              <w:t>’ perspective</w:t>
            </w:r>
            <w:r w:rsidR="00733A0F" w:rsidRPr="005A3F47">
              <w:rPr>
                <w:noProof/>
              </w:rPr>
              <w:t xml:space="preserve"> (</w:t>
            </w:r>
            <w:r w:rsidRPr="005A3F47">
              <w:rPr>
                <w:noProof/>
              </w:rPr>
              <w:t>feedback on the issues addressed by the Tax Omnibus</w:t>
            </w:r>
            <w:r w:rsidR="00733A0F" w:rsidRPr="005A3F47">
              <w:rPr>
                <w:noProof/>
              </w:rPr>
              <w:t>)</w:t>
            </w:r>
            <w:r w:rsidR="00F619E1" w:rsidRPr="005A3F47">
              <w:rPr>
                <w:noProof/>
              </w:rPr>
              <w:t xml:space="preserve"> </w:t>
            </w:r>
          </w:p>
        </w:tc>
      </w:tr>
      <w:tr w:rsidR="00320009" w:rsidRPr="005A3F47" w14:paraId="2628B7CC" w14:textId="77777777" w:rsidTr="00E61923">
        <w:tc>
          <w:tcPr>
            <w:tcW w:w="3004" w:type="dxa"/>
          </w:tcPr>
          <w:p w14:paraId="73CDE8EC" w14:textId="4F932AAF" w:rsidR="00320009" w:rsidRPr="005A3F47" w:rsidRDefault="00D5786A">
            <w:pPr>
              <w:jc w:val="left"/>
              <w:rPr>
                <w:noProof/>
              </w:rPr>
            </w:pPr>
            <w:r w:rsidRPr="005A3F47">
              <w:rPr>
                <w:noProof/>
              </w:rPr>
              <w:t>M</w:t>
            </w:r>
            <w:r w:rsidR="00320009" w:rsidRPr="005A3F47">
              <w:rPr>
                <w:noProof/>
              </w:rPr>
              <w:t>aintain</w:t>
            </w:r>
            <w:r w:rsidRPr="005A3F47">
              <w:rPr>
                <w:noProof/>
              </w:rPr>
              <w:t>ing</w:t>
            </w:r>
            <w:r w:rsidR="00320009" w:rsidRPr="005A3F47">
              <w:rPr>
                <w:noProof/>
              </w:rPr>
              <w:t xml:space="preserve"> high tax standard in the EU</w:t>
            </w:r>
          </w:p>
        </w:tc>
        <w:tc>
          <w:tcPr>
            <w:tcW w:w="6743" w:type="dxa"/>
          </w:tcPr>
          <w:p w14:paraId="3D6DA03E" w14:textId="5BD95FAD" w:rsidR="00320009" w:rsidRPr="005A3F47" w:rsidRDefault="00320009" w:rsidP="00320009">
            <w:pPr>
              <w:pStyle w:val="ListParagraph"/>
              <w:numPr>
                <w:ilvl w:val="0"/>
                <w:numId w:val="213"/>
              </w:numPr>
              <w:jc w:val="left"/>
              <w:rPr>
                <w:noProof/>
              </w:rPr>
            </w:pPr>
            <w:r w:rsidRPr="005A3F47">
              <w:rPr>
                <w:noProof/>
              </w:rPr>
              <w:t>Evidence of issues in the design of the Tax Omnibus</w:t>
            </w:r>
            <w:r w:rsidR="00060B75" w:rsidRPr="005A3F47">
              <w:rPr>
                <w:noProof/>
              </w:rPr>
              <w:t xml:space="preserve">, </w:t>
            </w:r>
            <w:r w:rsidRPr="005A3F47">
              <w:rPr>
                <w:noProof/>
              </w:rPr>
              <w:t>e.g.</w:t>
            </w:r>
            <w:r w:rsidR="00060B75" w:rsidRPr="005A3F47">
              <w:rPr>
                <w:noProof/>
              </w:rPr>
              <w:t>,</w:t>
            </w:r>
            <w:r w:rsidRPr="005A3F47">
              <w:rPr>
                <w:noProof/>
              </w:rPr>
              <w:t xml:space="preserve"> gaps or loopholes that make the </w:t>
            </w:r>
            <w:r w:rsidR="00060B75" w:rsidRPr="005A3F47">
              <w:rPr>
                <w:noProof/>
              </w:rPr>
              <w:t>existing Directives</w:t>
            </w:r>
            <w:r w:rsidRPr="005A3F47">
              <w:rPr>
                <w:noProof/>
              </w:rPr>
              <w:t xml:space="preserve"> prone to be circumvente</w:t>
            </w:r>
            <w:r w:rsidR="00525113" w:rsidRPr="005A3F47">
              <w:rPr>
                <w:noProof/>
              </w:rPr>
              <w:t>d (stakeholder views)</w:t>
            </w:r>
          </w:p>
          <w:p w14:paraId="31A943C4" w14:textId="224BEC4D" w:rsidR="00320009" w:rsidRPr="005A3F47" w:rsidRDefault="00320009" w:rsidP="00320009">
            <w:pPr>
              <w:pStyle w:val="ListParagraph"/>
              <w:numPr>
                <w:ilvl w:val="0"/>
                <w:numId w:val="213"/>
              </w:numPr>
              <w:jc w:val="left"/>
              <w:rPr>
                <w:noProof/>
              </w:rPr>
            </w:pPr>
            <w:r w:rsidRPr="005A3F47">
              <w:rPr>
                <w:noProof/>
              </w:rPr>
              <w:t>Change in the use of aggressive tax planning</w:t>
            </w:r>
            <w:r w:rsidR="008742C4" w:rsidRPr="005A3F47">
              <w:rPr>
                <w:noProof/>
              </w:rPr>
              <w:t xml:space="preserve"> as indicated by </w:t>
            </w:r>
            <w:r w:rsidR="00480F33" w:rsidRPr="005A3F47">
              <w:rPr>
                <w:noProof/>
              </w:rPr>
              <w:t xml:space="preserve">the amount of interest and royalty payments bound </w:t>
            </w:r>
            <w:r w:rsidR="007361D9" w:rsidRPr="005A3F47">
              <w:rPr>
                <w:noProof/>
              </w:rPr>
              <w:t>for jurisdictions outside the EU</w:t>
            </w:r>
          </w:p>
          <w:p w14:paraId="2B6393C5" w14:textId="2F733E4E" w:rsidR="00320009" w:rsidRPr="005A3F47" w:rsidRDefault="00320009" w:rsidP="00DE6B6A">
            <w:pPr>
              <w:pStyle w:val="ListParagraph"/>
              <w:numPr>
                <w:ilvl w:val="0"/>
                <w:numId w:val="213"/>
              </w:numPr>
              <w:jc w:val="left"/>
              <w:rPr>
                <w:noProof/>
              </w:rPr>
            </w:pPr>
            <w:r w:rsidRPr="005A3F47">
              <w:rPr>
                <w:noProof/>
              </w:rPr>
              <w:t>Stakeholders’ views of the extent to which the Tax Omnibus influenced business organisation and tax planning choices</w:t>
            </w:r>
          </w:p>
        </w:tc>
      </w:tr>
    </w:tbl>
    <w:p w14:paraId="4F47A6AE" w14:textId="77777777" w:rsidR="004F6337" w:rsidRPr="005A3F47" w:rsidRDefault="004F6337" w:rsidP="00E61923">
      <w:pPr>
        <w:spacing w:after="0"/>
        <w:rPr>
          <w:noProof/>
        </w:rPr>
      </w:pPr>
    </w:p>
    <w:p w14:paraId="54500E53" w14:textId="4542559A" w:rsidR="00D2781F" w:rsidRPr="005A3F47" w:rsidRDefault="009A7729" w:rsidP="00085AC2">
      <w:pPr>
        <w:rPr>
          <w:noProof/>
        </w:rPr>
      </w:pPr>
      <w:r w:rsidRPr="005A3F47">
        <w:rPr>
          <w:noProof/>
        </w:rPr>
        <w:t xml:space="preserve">To measure the indicators, the Commission will use different tools, such as </w:t>
      </w:r>
      <w:r w:rsidR="00FA2695" w:rsidRPr="005A3F47">
        <w:rPr>
          <w:noProof/>
        </w:rPr>
        <w:t>stakeholder</w:t>
      </w:r>
      <w:r w:rsidRPr="005A3F47">
        <w:rPr>
          <w:noProof/>
        </w:rPr>
        <w:t xml:space="preserve"> </w:t>
      </w:r>
      <w:r w:rsidR="00FA2695" w:rsidRPr="005A3F47">
        <w:rPr>
          <w:noProof/>
        </w:rPr>
        <w:t xml:space="preserve">surveys/questionnaires, </w:t>
      </w:r>
      <w:r w:rsidR="00DF3806" w:rsidRPr="005A3F47">
        <w:rPr>
          <w:noProof/>
        </w:rPr>
        <w:t xml:space="preserve">public information, e.g., from Eurostat, </w:t>
      </w:r>
      <w:r w:rsidR="008C5259" w:rsidRPr="005A3F47">
        <w:rPr>
          <w:noProof/>
        </w:rPr>
        <w:t xml:space="preserve">company level databases, e.g., Orbis, </w:t>
      </w:r>
      <w:r w:rsidR="004B6C49" w:rsidRPr="005A3F47">
        <w:rPr>
          <w:noProof/>
        </w:rPr>
        <w:t xml:space="preserve">external and internal </w:t>
      </w:r>
      <w:r w:rsidR="00205589" w:rsidRPr="005A3F47">
        <w:rPr>
          <w:noProof/>
        </w:rPr>
        <w:t>research</w:t>
      </w:r>
      <w:r w:rsidR="00DA6B13" w:rsidRPr="005A3F47">
        <w:rPr>
          <w:noProof/>
        </w:rPr>
        <w:t xml:space="preserve">, and statistics, </w:t>
      </w:r>
      <w:r w:rsidR="006D70D3" w:rsidRPr="005A3F47">
        <w:rPr>
          <w:noProof/>
        </w:rPr>
        <w:t>e.g., on the ju</w:t>
      </w:r>
      <w:r w:rsidR="00FA3615" w:rsidRPr="005A3F47">
        <w:rPr>
          <w:noProof/>
        </w:rPr>
        <w:t xml:space="preserve">dicial activity of the </w:t>
      </w:r>
      <w:r w:rsidR="00AA5E49" w:rsidRPr="005A3F47">
        <w:rPr>
          <w:noProof/>
        </w:rPr>
        <w:t>CJEU</w:t>
      </w:r>
      <w:r w:rsidR="00977E55" w:rsidRPr="005A3F47">
        <w:rPr>
          <w:noProof/>
        </w:rPr>
        <w:t>.</w:t>
      </w:r>
      <w:r w:rsidR="0060549D" w:rsidRPr="005A3F47">
        <w:rPr>
          <w:noProof/>
        </w:rPr>
        <w:t xml:space="preserve"> </w:t>
      </w:r>
      <w:r w:rsidR="00E045F2" w:rsidRPr="005A3F47">
        <w:rPr>
          <w:noProof/>
        </w:rPr>
        <w:t xml:space="preserve">The Commission will </w:t>
      </w:r>
      <w:r w:rsidR="0060549D" w:rsidRPr="005A3F47">
        <w:rPr>
          <w:noProof/>
        </w:rPr>
        <w:t>also</w:t>
      </w:r>
      <w:r w:rsidR="00E045F2" w:rsidRPr="005A3F47">
        <w:rPr>
          <w:noProof/>
        </w:rPr>
        <w:t xml:space="preserve"> review the situation in the Member States regularly and publish a report. The monitoring framework will be subject to further adjustments in accordance with the final legal and implementation requirements and timeline. </w:t>
      </w:r>
      <w:r w:rsidR="00612730" w:rsidRPr="005A3F47">
        <w:rPr>
          <w:noProof/>
        </w:rPr>
        <w:t xml:space="preserve">Given the current lack of data, it will be difficult to isolate </w:t>
      </w:r>
      <w:r w:rsidR="006853C6" w:rsidRPr="005A3F47">
        <w:rPr>
          <w:noProof/>
        </w:rPr>
        <w:t>the impacts of the Omnibus. Hence, s</w:t>
      </w:r>
      <w:r w:rsidR="00FC6599" w:rsidRPr="005A3F47">
        <w:rPr>
          <w:noProof/>
        </w:rPr>
        <w:t xml:space="preserve">takeholder will </w:t>
      </w:r>
      <w:r w:rsidR="006853C6" w:rsidRPr="005A3F47">
        <w:rPr>
          <w:noProof/>
        </w:rPr>
        <w:t xml:space="preserve">also </w:t>
      </w:r>
      <w:r w:rsidR="001963BA" w:rsidRPr="005A3F47">
        <w:rPr>
          <w:noProof/>
        </w:rPr>
        <w:t xml:space="preserve">be surveyed </w:t>
      </w:r>
      <w:r w:rsidR="009917A1" w:rsidRPr="005A3F47">
        <w:rPr>
          <w:noProof/>
        </w:rPr>
        <w:t>on the basis of generalised question</w:t>
      </w:r>
      <w:r w:rsidR="00FC6BC9" w:rsidRPr="005A3F47">
        <w:rPr>
          <w:noProof/>
        </w:rPr>
        <w:t xml:space="preserve">s </w:t>
      </w:r>
      <w:r w:rsidR="006853C6" w:rsidRPr="005A3F47">
        <w:rPr>
          <w:noProof/>
        </w:rPr>
        <w:t>to obtain broad-ranging</w:t>
      </w:r>
      <w:r w:rsidR="00FC6BC9" w:rsidRPr="005A3F47">
        <w:rPr>
          <w:noProof/>
        </w:rPr>
        <w:t xml:space="preserve"> qualitative data. </w:t>
      </w:r>
      <w:r w:rsidR="00E75F41" w:rsidRPr="005A3F47">
        <w:rPr>
          <w:noProof/>
        </w:rPr>
        <w:t>Similarly, a</w:t>
      </w:r>
      <w:r w:rsidR="009D2016" w:rsidRPr="005A3F47">
        <w:rPr>
          <w:noProof/>
        </w:rPr>
        <w:t xml:space="preserve"> survey specifically on </w:t>
      </w:r>
      <w:r w:rsidR="00663113" w:rsidRPr="005A3F47">
        <w:rPr>
          <w:noProof/>
        </w:rPr>
        <w:t xml:space="preserve">ATAD-related </w:t>
      </w:r>
      <w:r w:rsidR="009D2016" w:rsidRPr="005A3F47">
        <w:rPr>
          <w:noProof/>
        </w:rPr>
        <w:t xml:space="preserve">compliance costs </w:t>
      </w:r>
      <w:r w:rsidR="00096272" w:rsidRPr="005A3F47">
        <w:rPr>
          <w:noProof/>
        </w:rPr>
        <w:t xml:space="preserve">will be carried out. </w:t>
      </w:r>
      <w:r w:rsidR="0075377D" w:rsidRPr="005A3F47">
        <w:rPr>
          <w:noProof/>
        </w:rPr>
        <w:t xml:space="preserve">It </w:t>
      </w:r>
      <w:r w:rsidR="00663113" w:rsidRPr="005A3F47">
        <w:rPr>
          <w:noProof/>
        </w:rPr>
        <w:t>must be sufficiently large</w:t>
      </w:r>
      <w:r w:rsidR="0027461A" w:rsidRPr="005A3F47">
        <w:rPr>
          <w:noProof/>
        </w:rPr>
        <w:t xml:space="preserve"> to allow </w:t>
      </w:r>
      <w:r w:rsidR="004E1FCB" w:rsidRPr="005A3F47">
        <w:rPr>
          <w:noProof/>
        </w:rPr>
        <w:t xml:space="preserve">for </w:t>
      </w:r>
      <w:r w:rsidR="0027461A" w:rsidRPr="005A3F47">
        <w:rPr>
          <w:noProof/>
        </w:rPr>
        <w:t>econometric techniques</w:t>
      </w:r>
      <w:r w:rsidR="004E1FCB" w:rsidRPr="005A3F47">
        <w:rPr>
          <w:noProof/>
        </w:rPr>
        <w:t>.</w:t>
      </w:r>
      <w:r w:rsidR="00E33A7B" w:rsidRPr="005A3F47">
        <w:rPr>
          <w:rStyle w:val="FootnoteReference"/>
          <w:noProof/>
        </w:rPr>
        <w:footnoteReference w:id="119"/>
      </w:r>
      <w:r w:rsidR="004E1FCB" w:rsidRPr="005A3F47">
        <w:rPr>
          <w:noProof/>
        </w:rPr>
        <w:t xml:space="preserve"> </w:t>
      </w:r>
      <w:r w:rsidR="000E5958" w:rsidRPr="005A3F47">
        <w:rPr>
          <w:noProof/>
        </w:rPr>
        <w:t xml:space="preserve">Those </w:t>
      </w:r>
      <w:r w:rsidR="004A6BC5" w:rsidRPr="005A3F47">
        <w:rPr>
          <w:noProof/>
        </w:rPr>
        <w:t>will be used to analyse</w:t>
      </w:r>
      <w:r w:rsidR="00262358" w:rsidRPr="005A3F47">
        <w:rPr>
          <w:noProof/>
        </w:rPr>
        <w:t xml:space="preserve"> </w:t>
      </w:r>
      <w:r w:rsidR="00C7452B" w:rsidRPr="005A3F47">
        <w:rPr>
          <w:noProof/>
        </w:rPr>
        <w:t xml:space="preserve">the </w:t>
      </w:r>
      <w:r w:rsidR="00262358" w:rsidRPr="005A3F47">
        <w:rPr>
          <w:noProof/>
        </w:rPr>
        <w:t>effec</w:t>
      </w:r>
      <w:r w:rsidR="00C7452B" w:rsidRPr="005A3F47">
        <w:rPr>
          <w:noProof/>
        </w:rPr>
        <w:t>t</w:t>
      </w:r>
      <w:r w:rsidR="00262358" w:rsidRPr="005A3F47">
        <w:rPr>
          <w:noProof/>
        </w:rPr>
        <w:t xml:space="preserve"> </w:t>
      </w:r>
      <w:r w:rsidR="00D20134" w:rsidRPr="005A3F47">
        <w:rPr>
          <w:noProof/>
        </w:rPr>
        <w:t xml:space="preserve">of </w:t>
      </w:r>
      <w:r w:rsidR="00F933AD" w:rsidRPr="005A3F47">
        <w:rPr>
          <w:noProof/>
        </w:rPr>
        <w:t xml:space="preserve">the Omnibus </w:t>
      </w:r>
      <w:r w:rsidR="00C7452B" w:rsidRPr="005A3F47">
        <w:rPr>
          <w:noProof/>
        </w:rPr>
        <w:t>on compliance cost</w:t>
      </w:r>
      <w:r w:rsidR="00B23CC9" w:rsidRPr="005A3F47">
        <w:rPr>
          <w:noProof/>
        </w:rPr>
        <w:t>s</w:t>
      </w:r>
      <w:r w:rsidR="00C7452B" w:rsidRPr="005A3F47">
        <w:rPr>
          <w:noProof/>
        </w:rPr>
        <w:t xml:space="preserve">, </w:t>
      </w:r>
      <w:r w:rsidR="00262358" w:rsidRPr="005A3F47">
        <w:rPr>
          <w:noProof/>
        </w:rPr>
        <w:t xml:space="preserve">controlling </w:t>
      </w:r>
      <w:r w:rsidR="000D241F" w:rsidRPr="005A3F47">
        <w:rPr>
          <w:noProof/>
        </w:rPr>
        <w:t xml:space="preserve">to the largest possible extent </w:t>
      </w:r>
      <w:r w:rsidR="00262358" w:rsidRPr="005A3F47">
        <w:rPr>
          <w:noProof/>
        </w:rPr>
        <w:t xml:space="preserve">for </w:t>
      </w:r>
      <w:r w:rsidR="0056369E" w:rsidRPr="005A3F47">
        <w:rPr>
          <w:noProof/>
        </w:rPr>
        <w:t>o</w:t>
      </w:r>
      <w:r w:rsidR="00EE192F" w:rsidRPr="005A3F47">
        <w:rPr>
          <w:noProof/>
        </w:rPr>
        <w:t xml:space="preserve">ther observable and non-observable </w:t>
      </w:r>
      <w:r w:rsidR="006921ED" w:rsidRPr="005A3F47">
        <w:rPr>
          <w:noProof/>
        </w:rPr>
        <w:t>cost drivers</w:t>
      </w:r>
      <w:r w:rsidR="00FD75FF" w:rsidRPr="005A3F47">
        <w:rPr>
          <w:noProof/>
        </w:rPr>
        <w:t xml:space="preserve">. </w:t>
      </w:r>
    </w:p>
    <w:p w14:paraId="22A234D8" w14:textId="0F031674" w:rsidR="00296FA4" w:rsidRPr="005A3F47" w:rsidRDefault="00AC544C" w:rsidP="00E61923">
      <w:pPr>
        <w:pStyle w:val="Heading2"/>
        <w:numPr>
          <w:ilvl w:val="1"/>
          <w:numId w:val="216"/>
        </w:numPr>
        <w:rPr>
          <w:noProof/>
        </w:rPr>
      </w:pPr>
      <w:bookmarkStart w:id="281" w:name="_Ref226464263"/>
      <w:bookmarkStart w:id="282" w:name="_Toc226466856"/>
      <w:bookmarkStart w:id="283" w:name="_Toc226467217"/>
      <w:bookmarkStart w:id="284" w:name="_Toc226467317"/>
      <w:bookmarkStart w:id="285" w:name="_Toc226467536"/>
      <w:r w:rsidRPr="005A3F47">
        <w:rPr>
          <w:noProof/>
        </w:rPr>
        <w:t xml:space="preserve"> </w:t>
      </w:r>
      <w:r w:rsidR="00296FA4" w:rsidRPr="005A3F47">
        <w:rPr>
          <w:noProof/>
        </w:rPr>
        <w:t>Evaluation</w:t>
      </w:r>
      <w:bookmarkEnd w:id="281"/>
      <w:bookmarkEnd w:id="282"/>
      <w:bookmarkEnd w:id="283"/>
      <w:bookmarkEnd w:id="284"/>
      <w:bookmarkEnd w:id="285"/>
    </w:p>
    <w:p w14:paraId="2F4F7B97" w14:textId="6A76A31C" w:rsidR="00703702" w:rsidRPr="005A3F47" w:rsidRDefault="00850764" w:rsidP="00850764">
      <w:pPr>
        <w:rPr>
          <w:noProof/>
        </w:rPr>
      </w:pPr>
      <w:r w:rsidRPr="005A3F47">
        <w:rPr>
          <w:noProof/>
        </w:rPr>
        <w:t xml:space="preserve">Considering the </w:t>
      </w:r>
      <w:r w:rsidR="00477263" w:rsidRPr="005A3F47">
        <w:rPr>
          <w:noProof/>
        </w:rPr>
        <w:t>impact</w:t>
      </w:r>
      <w:r w:rsidRPr="005A3F47">
        <w:rPr>
          <w:noProof/>
        </w:rPr>
        <w:t xml:space="preserve"> of the initiative </w:t>
      </w:r>
      <w:r w:rsidR="00477263" w:rsidRPr="005A3F47">
        <w:rPr>
          <w:noProof/>
        </w:rPr>
        <w:t xml:space="preserve">on </w:t>
      </w:r>
      <w:r w:rsidR="00E1317A" w:rsidRPr="005A3F47">
        <w:rPr>
          <w:noProof/>
        </w:rPr>
        <w:t xml:space="preserve">several existing EU direct tax </w:t>
      </w:r>
      <w:r w:rsidR="0B77C382" w:rsidRPr="005A3F47">
        <w:rPr>
          <w:noProof/>
        </w:rPr>
        <w:t>D</w:t>
      </w:r>
      <w:r w:rsidR="00E1317A" w:rsidRPr="005A3F47">
        <w:rPr>
          <w:noProof/>
        </w:rPr>
        <w:t>irectives</w:t>
      </w:r>
      <w:r w:rsidRPr="005A3F47">
        <w:rPr>
          <w:noProof/>
        </w:rPr>
        <w:t>,</w:t>
      </w:r>
      <w:r w:rsidR="00CC38C4" w:rsidRPr="005A3F47">
        <w:rPr>
          <w:noProof/>
        </w:rPr>
        <w:t xml:space="preserve"> which have been transposed by the Member States,</w:t>
      </w:r>
      <w:r w:rsidRPr="005A3F47">
        <w:rPr>
          <w:noProof/>
        </w:rPr>
        <w:t xml:space="preserve"> it will be necessary to give Member States time to properly implement the </w:t>
      </w:r>
      <w:r w:rsidR="00691466" w:rsidRPr="005A3F47">
        <w:rPr>
          <w:noProof/>
        </w:rPr>
        <w:t xml:space="preserve">adjustments </w:t>
      </w:r>
      <w:r w:rsidR="00A675F7" w:rsidRPr="005A3F47">
        <w:rPr>
          <w:noProof/>
        </w:rPr>
        <w:t>which will be adopted in Council as part of</w:t>
      </w:r>
      <w:r w:rsidR="00331740" w:rsidRPr="005A3F47">
        <w:rPr>
          <w:noProof/>
        </w:rPr>
        <w:t xml:space="preserve"> the</w:t>
      </w:r>
      <w:r w:rsidRPr="005A3F47">
        <w:rPr>
          <w:noProof/>
        </w:rPr>
        <w:t xml:space="preserve"> </w:t>
      </w:r>
      <w:r w:rsidR="00CC38C4" w:rsidRPr="005A3F47">
        <w:rPr>
          <w:noProof/>
        </w:rPr>
        <w:t xml:space="preserve">Omnibus </w:t>
      </w:r>
      <w:r w:rsidR="6FA6C57E" w:rsidRPr="005A3F47">
        <w:rPr>
          <w:noProof/>
        </w:rPr>
        <w:t xml:space="preserve">on Taxation </w:t>
      </w:r>
      <w:r w:rsidR="001A6B30" w:rsidRPr="005A3F47">
        <w:rPr>
          <w:noProof/>
        </w:rPr>
        <w:t>p</w:t>
      </w:r>
      <w:r w:rsidR="00CC38C4" w:rsidRPr="005A3F47">
        <w:rPr>
          <w:noProof/>
        </w:rPr>
        <w:t>roposal</w:t>
      </w:r>
      <w:r w:rsidRPr="005A3F47">
        <w:rPr>
          <w:noProof/>
        </w:rPr>
        <w:t>. On this premise, the first evaluation</w:t>
      </w:r>
      <w:r w:rsidR="006A0C3E" w:rsidRPr="005A3F47">
        <w:rPr>
          <w:noProof/>
        </w:rPr>
        <w:t xml:space="preserve"> should</w:t>
      </w:r>
      <w:r w:rsidRPr="005A3F47">
        <w:rPr>
          <w:noProof/>
        </w:rPr>
        <w:t xml:space="preserve"> not </w:t>
      </w:r>
      <w:r w:rsidR="006A0C3E" w:rsidRPr="005A3F47">
        <w:rPr>
          <w:noProof/>
        </w:rPr>
        <w:t xml:space="preserve">take place </w:t>
      </w:r>
      <w:r w:rsidRPr="005A3F47">
        <w:rPr>
          <w:noProof/>
        </w:rPr>
        <w:t xml:space="preserve">earlier than five years </w:t>
      </w:r>
      <w:r w:rsidR="00A458BF" w:rsidRPr="005A3F47">
        <w:rPr>
          <w:noProof/>
        </w:rPr>
        <w:t>after</w:t>
      </w:r>
      <w:r w:rsidRPr="005A3F47">
        <w:rPr>
          <w:noProof/>
        </w:rPr>
        <w:t xml:space="preserve"> the </w:t>
      </w:r>
      <w:r w:rsidR="00A458BF" w:rsidRPr="005A3F47">
        <w:rPr>
          <w:noProof/>
        </w:rPr>
        <w:t xml:space="preserve">new </w:t>
      </w:r>
      <w:r w:rsidRPr="005A3F47">
        <w:rPr>
          <w:noProof/>
        </w:rPr>
        <w:t>rules start to apply.</w:t>
      </w:r>
    </w:p>
    <w:p w14:paraId="0DDC91FF" w14:textId="21B801E0" w:rsidR="00D77FFA" w:rsidRPr="005A3F47" w:rsidRDefault="0084564A" w:rsidP="00B4109D">
      <w:pPr>
        <w:rPr>
          <w:noProof/>
        </w:rPr>
      </w:pPr>
      <w:r w:rsidRPr="005A3F47">
        <w:rPr>
          <w:noProof/>
        </w:rPr>
        <w:t xml:space="preserve">In addition to the </w:t>
      </w:r>
      <w:r w:rsidR="007F0A70" w:rsidRPr="005A3F47">
        <w:rPr>
          <w:noProof/>
        </w:rPr>
        <w:t xml:space="preserve">data </w:t>
      </w:r>
      <w:r w:rsidR="003C5740" w:rsidRPr="005A3F47">
        <w:rPr>
          <w:noProof/>
        </w:rPr>
        <w:t>outlined in Section 9.</w:t>
      </w:r>
      <w:r w:rsidR="008E6219" w:rsidRPr="005A3F47">
        <w:rPr>
          <w:noProof/>
        </w:rPr>
        <w:t>1</w:t>
      </w:r>
      <w:r w:rsidR="00E82DB5" w:rsidRPr="005A3F47">
        <w:rPr>
          <w:noProof/>
        </w:rPr>
        <w:t>,</w:t>
      </w:r>
      <w:r w:rsidR="007F0A70" w:rsidRPr="005A3F47">
        <w:rPr>
          <w:noProof/>
        </w:rPr>
        <w:t xml:space="preserve"> </w:t>
      </w:r>
      <w:r w:rsidR="00556159" w:rsidRPr="005A3F47">
        <w:rPr>
          <w:noProof/>
        </w:rPr>
        <w:t xml:space="preserve">Member States will be asked to communicate to the Commission any relevant information </w:t>
      </w:r>
      <w:r w:rsidR="00075097" w:rsidRPr="005A3F47">
        <w:rPr>
          <w:noProof/>
        </w:rPr>
        <w:t xml:space="preserve">that is </w:t>
      </w:r>
      <w:r w:rsidR="00556159" w:rsidRPr="005A3F47">
        <w:rPr>
          <w:noProof/>
        </w:rPr>
        <w:t xml:space="preserve">necessary for the monitoring and evaluation of the </w:t>
      </w:r>
      <w:r w:rsidR="004B71FB" w:rsidRPr="005A3F47">
        <w:rPr>
          <w:noProof/>
        </w:rPr>
        <w:t xml:space="preserve">Omnibus </w:t>
      </w:r>
      <w:r w:rsidR="4522A4C7" w:rsidRPr="005A3F47">
        <w:rPr>
          <w:noProof/>
        </w:rPr>
        <w:t xml:space="preserve">on Taxation </w:t>
      </w:r>
      <w:r w:rsidR="004B71FB" w:rsidRPr="005A3F47">
        <w:rPr>
          <w:noProof/>
        </w:rPr>
        <w:t>proposal.</w:t>
      </w:r>
      <w:r w:rsidR="009C3949" w:rsidRPr="005A3F47">
        <w:rPr>
          <w:noProof/>
        </w:rPr>
        <w:t xml:space="preserve"> </w:t>
      </w:r>
      <w:r w:rsidR="00850764" w:rsidRPr="005A3F47">
        <w:rPr>
          <w:noProof/>
        </w:rPr>
        <w:t xml:space="preserve">After </w:t>
      </w:r>
      <w:r w:rsidR="00254F64" w:rsidRPr="005A3F47">
        <w:rPr>
          <w:noProof/>
        </w:rPr>
        <w:t>giving</w:t>
      </w:r>
      <w:r w:rsidR="00850764" w:rsidRPr="005A3F47">
        <w:rPr>
          <w:noProof/>
        </w:rPr>
        <w:t xml:space="preserve"> a picture </w:t>
      </w:r>
      <w:r w:rsidR="00254F64" w:rsidRPr="005A3F47">
        <w:rPr>
          <w:noProof/>
        </w:rPr>
        <w:t>of the functioning of the new EU tax rules</w:t>
      </w:r>
      <w:r w:rsidR="00850764" w:rsidRPr="005A3F47">
        <w:rPr>
          <w:noProof/>
        </w:rPr>
        <w:t xml:space="preserve">, the evaluation should assess </w:t>
      </w:r>
      <w:r w:rsidR="00CA7C73" w:rsidRPr="005A3F47">
        <w:rPr>
          <w:noProof/>
        </w:rPr>
        <w:t>whether</w:t>
      </w:r>
      <w:r w:rsidR="00850764" w:rsidRPr="005A3F47">
        <w:rPr>
          <w:noProof/>
        </w:rPr>
        <w:t xml:space="preserve"> the outlined objectives have been met</w:t>
      </w:r>
      <w:r w:rsidR="009A2739" w:rsidRPr="005A3F47">
        <w:rPr>
          <w:noProof/>
        </w:rPr>
        <w:t xml:space="preserve">, including </w:t>
      </w:r>
      <w:r w:rsidR="00850764" w:rsidRPr="005A3F47">
        <w:rPr>
          <w:noProof/>
        </w:rPr>
        <w:t xml:space="preserve">to </w:t>
      </w:r>
      <w:r w:rsidR="009A2739" w:rsidRPr="005A3F47">
        <w:rPr>
          <w:noProof/>
        </w:rPr>
        <w:t>what</w:t>
      </w:r>
      <w:r w:rsidR="00850764" w:rsidRPr="005A3F47">
        <w:rPr>
          <w:noProof/>
        </w:rPr>
        <w:t xml:space="preserve"> extent the expected simplifications have materialised. The Commission will inform about the evaluation results in the form of a</w:t>
      </w:r>
      <w:r w:rsidR="009A5FF7" w:rsidRPr="005A3F47">
        <w:rPr>
          <w:noProof/>
        </w:rPr>
        <w:t>n evaluation r</w:t>
      </w:r>
      <w:r w:rsidR="00850764" w:rsidRPr="005A3F47">
        <w:rPr>
          <w:noProof/>
        </w:rPr>
        <w:t>eport</w:t>
      </w:r>
      <w:r w:rsidR="007A294D" w:rsidRPr="005A3F47">
        <w:rPr>
          <w:noProof/>
        </w:rPr>
        <w:t>,</w:t>
      </w:r>
      <w:r w:rsidR="009A5FF7" w:rsidRPr="005A3F47">
        <w:rPr>
          <w:noProof/>
        </w:rPr>
        <w:t xml:space="preserve"> which will be submitted to the Council.</w:t>
      </w:r>
    </w:p>
    <w:p w14:paraId="4A19DDD4" w14:textId="444A8041" w:rsidR="00D77FFA" w:rsidRPr="005A3F47" w:rsidRDefault="00D77FFA" w:rsidP="00B4109D">
      <w:pPr>
        <w:rPr>
          <w:noProof/>
        </w:rPr>
        <w:sectPr w:rsidR="00D77FFA" w:rsidRPr="005A3F47" w:rsidSect="001F419E">
          <w:headerReference w:type="default" r:id="rId32"/>
          <w:footerReference w:type="default" r:id="rId33"/>
          <w:headerReference w:type="first" r:id="rId34"/>
          <w:footerReference w:type="first" r:id="rId35"/>
          <w:type w:val="continuous"/>
          <w:pgSz w:w="11906" w:h="16838"/>
          <w:pgMar w:top="1021" w:right="709" w:bottom="1021" w:left="1588" w:header="601" w:footer="1077" w:gutter="0"/>
          <w:pgNumType w:start="1"/>
          <w:cols w:space="720"/>
          <w:titlePg/>
          <w:docGrid w:linePitch="326"/>
        </w:sectPr>
      </w:pPr>
    </w:p>
    <w:p w14:paraId="0B2A9D5F" w14:textId="77777777" w:rsidR="00D77FFA" w:rsidRPr="005A3F47" w:rsidRDefault="00D77FFA" w:rsidP="00B4109D">
      <w:pPr>
        <w:rPr>
          <w:noProof/>
        </w:rPr>
      </w:pPr>
    </w:p>
    <w:p w14:paraId="637B405C" w14:textId="77777777" w:rsidR="006B3B6E" w:rsidRPr="005A3F47" w:rsidRDefault="006B3B6E">
      <w:pPr>
        <w:spacing w:after="200" w:line="276" w:lineRule="auto"/>
        <w:jc w:val="left"/>
        <w:rPr>
          <w:noProof/>
        </w:rPr>
      </w:pPr>
      <w:r w:rsidRPr="005A3F47">
        <w:rPr>
          <w:noProof/>
        </w:rPr>
        <w:br w:type="page"/>
      </w:r>
    </w:p>
    <w:p w14:paraId="717BB718" w14:textId="77777777" w:rsidR="006B087E" w:rsidRPr="005A3F47" w:rsidRDefault="006B087E" w:rsidP="00C22AB4">
      <w:pPr>
        <w:pStyle w:val="AnnexTitle"/>
        <w:rPr>
          <w:noProof/>
        </w:rPr>
      </w:pPr>
      <w:bookmarkStart w:id="286" w:name="_Toc226466606"/>
      <w:bookmarkStart w:id="287" w:name="_Toc226466857"/>
      <w:bookmarkStart w:id="288" w:name="_Toc226467218"/>
      <w:bookmarkStart w:id="289" w:name="_Toc226467318"/>
      <w:bookmarkStart w:id="290" w:name="_Toc226467537"/>
      <w:bookmarkStart w:id="291" w:name="_Toc230258081"/>
      <w:r w:rsidRPr="005A3F47">
        <w:rPr>
          <w:noProof/>
        </w:rPr>
        <w:t>Annex 1: Procedural information</w:t>
      </w:r>
      <w:bookmarkEnd w:id="286"/>
      <w:bookmarkEnd w:id="287"/>
      <w:bookmarkEnd w:id="288"/>
      <w:bookmarkEnd w:id="289"/>
      <w:bookmarkEnd w:id="290"/>
      <w:bookmarkEnd w:id="291"/>
    </w:p>
    <w:p w14:paraId="5D9DF228" w14:textId="302159C1" w:rsidR="006B087E" w:rsidRPr="005A3F47" w:rsidRDefault="006B087E" w:rsidP="00F56419">
      <w:pPr>
        <w:pStyle w:val="Heading2"/>
        <w:rPr>
          <w:noProof/>
        </w:rPr>
      </w:pPr>
      <w:bookmarkStart w:id="292" w:name="_Toc471997754"/>
      <w:bookmarkStart w:id="293" w:name="_Toc226466607"/>
      <w:bookmarkStart w:id="294" w:name="_Toc226466858"/>
      <w:bookmarkStart w:id="295" w:name="_Toc226467219"/>
      <w:bookmarkStart w:id="296" w:name="_Toc226467319"/>
      <w:bookmarkStart w:id="297" w:name="_Toc226467538"/>
      <w:r w:rsidRPr="005A3F47">
        <w:rPr>
          <w:noProof/>
        </w:rPr>
        <w:t>Lead DG, Decide Planning/CWP references</w:t>
      </w:r>
      <w:bookmarkEnd w:id="292"/>
      <w:bookmarkEnd w:id="293"/>
      <w:bookmarkEnd w:id="294"/>
      <w:bookmarkEnd w:id="295"/>
      <w:bookmarkEnd w:id="296"/>
      <w:bookmarkEnd w:id="297"/>
    </w:p>
    <w:p w14:paraId="39DD9B8D" w14:textId="77777777" w:rsidR="003E37F0" w:rsidRPr="005A3F47" w:rsidRDefault="003E37F0" w:rsidP="00B84C1E">
      <w:pPr>
        <w:rPr>
          <w:noProof/>
        </w:rPr>
      </w:pPr>
      <w:r w:rsidRPr="005A3F47">
        <w:rPr>
          <w:noProof/>
        </w:rPr>
        <w:t>The lead Directorate General is the Directorate General for Taxation and the Customs Union (DG TAXUD).</w:t>
      </w:r>
    </w:p>
    <w:p w14:paraId="5B81BC52" w14:textId="77777777" w:rsidR="003E37F0" w:rsidRPr="005A3F47" w:rsidRDefault="003E37F0" w:rsidP="00B84C1E">
      <w:pPr>
        <w:rPr>
          <w:noProof/>
        </w:rPr>
      </w:pPr>
      <w:r w:rsidRPr="005A3F47">
        <w:rPr>
          <w:noProof/>
        </w:rPr>
        <w:t xml:space="preserve">References: </w:t>
      </w:r>
    </w:p>
    <w:p w14:paraId="27C50F84" w14:textId="645ED7D4" w:rsidR="003E37F0" w:rsidRPr="005A3F47" w:rsidRDefault="003E37F0" w:rsidP="0083417A">
      <w:pPr>
        <w:pStyle w:val="Text1"/>
        <w:numPr>
          <w:ilvl w:val="0"/>
          <w:numId w:val="177"/>
        </w:numPr>
        <w:spacing w:after="0"/>
        <w:rPr>
          <w:noProof/>
        </w:rPr>
      </w:pPr>
      <w:r w:rsidRPr="005A3F47">
        <w:rPr>
          <w:noProof/>
        </w:rPr>
        <w:t xml:space="preserve">Agenda Planning: </w:t>
      </w:r>
      <w:r w:rsidR="001C54DB" w:rsidRPr="005A3F47">
        <w:rPr>
          <w:noProof/>
        </w:rPr>
        <w:t>Omnibus on Tax Simplification</w:t>
      </w:r>
      <w:r w:rsidRPr="005A3F47">
        <w:rPr>
          <w:noProof/>
        </w:rPr>
        <w:t xml:space="preserve"> (PLAN/20</w:t>
      </w:r>
      <w:r w:rsidR="00F3368A" w:rsidRPr="005A3F47">
        <w:rPr>
          <w:noProof/>
        </w:rPr>
        <w:t>25</w:t>
      </w:r>
      <w:r w:rsidRPr="005A3F47">
        <w:rPr>
          <w:noProof/>
        </w:rPr>
        <w:t>/</w:t>
      </w:r>
      <w:r w:rsidR="00F3368A" w:rsidRPr="005A3F47">
        <w:rPr>
          <w:noProof/>
        </w:rPr>
        <w:t>2875</w:t>
      </w:r>
      <w:r w:rsidRPr="005A3F47">
        <w:rPr>
          <w:noProof/>
        </w:rPr>
        <w:t xml:space="preserve">) </w:t>
      </w:r>
    </w:p>
    <w:p w14:paraId="21C9843B" w14:textId="7C8E8F00" w:rsidR="00F90885" w:rsidRPr="005A3F47" w:rsidRDefault="008C3182" w:rsidP="0083417A">
      <w:pPr>
        <w:pStyle w:val="Text1"/>
        <w:numPr>
          <w:ilvl w:val="0"/>
          <w:numId w:val="177"/>
        </w:numPr>
        <w:spacing w:after="0"/>
        <w:rPr>
          <w:noProof/>
        </w:rPr>
      </w:pPr>
      <w:r w:rsidRPr="005A3F47">
        <w:rPr>
          <w:noProof/>
        </w:rPr>
        <w:t xml:space="preserve">Call for evidence on simplifying EU rules on direct taxation </w:t>
      </w:r>
      <w:r w:rsidR="003E37F0" w:rsidRPr="005A3F47">
        <w:rPr>
          <w:noProof/>
        </w:rPr>
        <w:t>(</w:t>
      </w:r>
      <w:r w:rsidR="00B6766A" w:rsidRPr="005A3F47">
        <w:rPr>
          <w:noProof/>
        </w:rPr>
        <w:t>Ref. Ares(2026)1712759</w:t>
      </w:r>
      <w:r w:rsidR="003E37F0" w:rsidRPr="005A3F47">
        <w:rPr>
          <w:noProof/>
        </w:rPr>
        <w:t xml:space="preserve">) </w:t>
      </w:r>
    </w:p>
    <w:p w14:paraId="1EC36B71" w14:textId="73457946" w:rsidR="000905C3" w:rsidRPr="005A3F47" w:rsidRDefault="00F90885" w:rsidP="0083417A">
      <w:pPr>
        <w:pStyle w:val="Text1"/>
        <w:numPr>
          <w:ilvl w:val="0"/>
          <w:numId w:val="177"/>
        </w:numPr>
        <w:spacing w:after="0"/>
        <w:rPr>
          <w:noProof/>
        </w:rPr>
      </w:pPr>
      <w:r w:rsidRPr="005A3F47">
        <w:rPr>
          <w:noProof/>
        </w:rPr>
        <w:t>The</w:t>
      </w:r>
      <w:r w:rsidR="00DE45AC" w:rsidRPr="005A3F47">
        <w:rPr>
          <w:noProof/>
        </w:rPr>
        <w:t xml:space="preserve"> initiative was announced in the Communication from the Commission to the European Parliament, the Council, the European Economic and Social Committee, and the Committee of the Regions on the Commission work programme 2026 (COM(2025) 870 final)</w:t>
      </w:r>
    </w:p>
    <w:p w14:paraId="5A5E2540" w14:textId="77777777" w:rsidR="00F56419" w:rsidRPr="005A3F47" w:rsidRDefault="00F56419" w:rsidP="00F56419">
      <w:pPr>
        <w:rPr>
          <w:noProof/>
        </w:rPr>
      </w:pPr>
      <w:bookmarkStart w:id="298" w:name="_Toc471997755"/>
      <w:bookmarkStart w:id="299" w:name="_Toc226466608"/>
      <w:bookmarkStart w:id="300" w:name="_Toc226466859"/>
      <w:bookmarkStart w:id="301" w:name="_Toc226467220"/>
      <w:bookmarkStart w:id="302" w:name="_Toc226467320"/>
      <w:bookmarkStart w:id="303" w:name="_Toc226467539"/>
    </w:p>
    <w:p w14:paraId="68995DB5" w14:textId="68228E54" w:rsidR="006B087E" w:rsidRPr="005A3F47" w:rsidRDefault="006B087E" w:rsidP="00F56419">
      <w:pPr>
        <w:pStyle w:val="Heading2"/>
        <w:rPr>
          <w:noProof/>
        </w:rPr>
      </w:pPr>
      <w:r w:rsidRPr="005A3F47">
        <w:rPr>
          <w:noProof/>
        </w:rPr>
        <w:t>Organisation and timing</w:t>
      </w:r>
      <w:bookmarkEnd w:id="298"/>
      <w:bookmarkEnd w:id="299"/>
      <w:bookmarkEnd w:id="300"/>
      <w:bookmarkEnd w:id="301"/>
      <w:bookmarkEnd w:id="302"/>
      <w:bookmarkEnd w:id="303"/>
    </w:p>
    <w:p w14:paraId="5EACCD9B" w14:textId="5974C8BE" w:rsidR="006B087E" w:rsidRPr="005A3F47" w:rsidRDefault="00216068" w:rsidP="0083417A">
      <w:pPr>
        <w:rPr>
          <w:noProof/>
        </w:rPr>
      </w:pPr>
      <w:r w:rsidRPr="005A3F47">
        <w:rPr>
          <w:noProof/>
        </w:rPr>
        <w:t xml:space="preserve">An </w:t>
      </w:r>
      <w:r w:rsidR="008F2520" w:rsidRPr="005A3F47">
        <w:rPr>
          <w:noProof/>
        </w:rPr>
        <w:t>I</w:t>
      </w:r>
      <w:r w:rsidRPr="005A3F47">
        <w:rPr>
          <w:noProof/>
        </w:rPr>
        <w:t>nter</w:t>
      </w:r>
      <w:r w:rsidR="008F2520" w:rsidRPr="005A3F47">
        <w:rPr>
          <w:noProof/>
        </w:rPr>
        <w:t>-S</w:t>
      </w:r>
      <w:r w:rsidRPr="005A3F47">
        <w:rPr>
          <w:noProof/>
        </w:rPr>
        <w:t xml:space="preserve">ervice </w:t>
      </w:r>
      <w:r w:rsidR="008F2520" w:rsidRPr="005A3F47">
        <w:rPr>
          <w:noProof/>
        </w:rPr>
        <w:t>S</w:t>
      </w:r>
      <w:r w:rsidRPr="005A3F47">
        <w:rPr>
          <w:noProof/>
        </w:rPr>
        <w:t xml:space="preserve">teering </w:t>
      </w:r>
      <w:r w:rsidR="008F2520" w:rsidRPr="005A3F47">
        <w:rPr>
          <w:noProof/>
        </w:rPr>
        <w:t>G</w:t>
      </w:r>
      <w:r w:rsidRPr="005A3F47">
        <w:rPr>
          <w:noProof/>
        </w:rPr>
        <w:t>roup</w:t>
      </w:r>
      <w:r w:rsidR="008F2520" w:rsidRPr="005A3F47">
        <w:rPr>
          <w:noProof/>
        </w:rPr>
        <w:t xml:space="preserve"> (ISSG)</w:t>
      </w:r>
      <w:r w:rsidRPr="005A3F47">
        <w:rPr>
          <w:noProof/>
        </w:rPr>
        <w:t xml:space="preserve"> was set up to steer and provide input to this impact assessment report. The steering group, led by the Secretariat-General, met on: </w:t>
      </w:r>
      <w:r w:rsidR="00307BEA" w:rsidRPr="005A3F47">
        <w:rPr>
          <w:noProof/>
        </w:rPr>
        <w:t xml:space="preserve">23 January, </w:t>
      </w:r>
      <w:r w:rsidR="00F468A6" w:rsidRPr="005A3F47">
        <w:rPr>
          <w:noProof/>
        </w:rPr>
        <w:t>25 Feb</w:t>
      </w:r>
      <w:r w:rsidR="008F2520" w:rsidRPr="005A3F47">
        <w:rPr>
          <w:noProof/>
        </w:rPr>
        <w:t xml:space="preserve">ruary </w:t>
      </w:r>
      <w:r w:rsidR="00E7427F" w:rsidRPr="005A3F47">
        <w:rPr>
          <w:noProof/>
        </w:rPr>
        <w:t xml:space="preserve">and </w:t>
      </w:r>
      <w:r w:rsidR="008C7A96" w:rsidRPr="005A3F47">
        <w:rPr>
          <w:noProof/>
        </w:rPr>
        <w:t>20</w:t>
      </w:r>
      <w:r w:rsidR="00E7427F" w:rsidRPr="005A3F47">
        <w:rPr>
          <w:noProof/>
        </w:rPr>
        <w:t xml:space="preserve"> March 2026</w:t>
      </w:r>
      <w:r w:rsidR="008F2520" w:rsidRPr="005A3F47">
        <w:rPr>
          <w:noProof/>
        </w:rPr>
        <w:t>.</w:t>
      </w:r>
    </w:p>
    <w:p w14:paraId="12C16E38" w14:textId="1682123A" w:rsidR="001F790C" w:rsidRPr="005A3F47" w:rsidRDefault="001F790C" w:rsidP="0083417A">
      <w:pPr>
        <w:rPr>
          <w:noProof/>
        </w:rPr>
      </w:pPr>
      <w:r w:rsidRPr="005A3F47">
        <w:rPr>
          <w:noProof/>
        </w:rPr>
        <w:t>The following Directorates General were invited to the Steering Group</w:t>
      </w:r>
      <w:r w:rsidR="008F2520" w:rsidRPr="005A3F47">
        <w:rPr>
          <w:noProof/>
        </w:rPr>
        <w:t>:</w:t>
      </w:r>
      <w:r w:rsidRPr="005A3F47">
        <w:rPr>
          <w:noProof/>
        </w:rPr>
        <w:t xml:space="preserve"> AGRI, BUDG, CNECT, COMM, COMP, ECFIN, EEAS, EMPL, ESTAT, FISMA, GROW, INPTA, JRC, JUST, REGIO, SJ, OLAF, TRADE</w:t>
      </w:r>
      <w:r w:rsidR="008F2520" w:rsidRPr="005A3F47">
        <w:rPr>
          <w:noProof/>
        </w:rPr>
        <w:t>.</w:t>
      </w:r>
      <w:r w:rsidR="0005194D" w:rsidRPr="005A3F47">
        <w:rPr>
          <w:noProof/>
        </w:rPr>
        <w:t xml:space="preserve"> In addition to the meetings of the Inter-Service Steering Group, DG TAXUD met in bilateral meetings with representatives of the following Directorates General to discuss the analysis in the impact assessment, the design of options, and other policy issues:</w:t>
      </w:r>
      <w:r w:rsidR="009A754B" w:rsidRPr="005A3F47">
        <w:rPr>
          <w:noProof/>
        </w:rPr>
        <w:t xml:space="preserve"> COMP, FISMA</w:t>
      </w:r>
      <w:r w:rsidR="0095177A" w:rsidRPr="005A3F47">
        <w:rPr>
          <w:noProof/>
        </w:rPr>
        <w:t xml:space="preserve">, </w:t>
      </w:r>
      <w:r w:rsidR="00384F1C" w:rsidRPr="005A3F47">
        <w:rPr>
          <w:noProof/>
        </w:rPr>
        <w:t>JRC,</w:t>
      </w:r>
      <w:r w:rsidR="0095177A" w:rsidRPr="005A3F47">
        <w:rPr>
          <w:noProof/>
        </w:rPr>
        <w:t xml:space="preserve"> and </w:t>
      </w:r>
      <w:r w:rsidR="00E46F86" w:rsidRPr="005A3F47">
        <w:rPr>
          <w:noProof/>
        </w:rPr>
        <w:t xml:space="preserve">the Secretariat-General. </w:t>
      </w:r>
    </w:p>
    <w:p w14:paraId="5A048F1A" w14:textId="77777777" w:rsidR="00F56419" w:rsidRPr="005A3F47" w:rsidRDefault="00F56419" w:rsidP="00F56419">
      <w:pPr>
        <w:spacing w:after="0"/>
        <w:rPr>
          <w:noProof/>
        </w:rPr>
      </w:pPr>
      <w:bookmarkStart w:id="304" w:name="_Toc471997757"/>
      <w:bookmarkStart w:id="305" w:name="_Toc226466609"/>
      <w:bookmarkStart w:id="306" w:name="_Toc226466860"/>
      <w:bookmarkStart w:id="307" w:name="_Toc226467221"/>
      <w:bookmarkStart w:id="308" w:name="_Toc226467321"/>
      <w:bookmarkStart w:id="309" w:name="_Toc226467540"/>
    </w:p>
    <w:p w14:paraId="26589FE2" w14:textId="77777777" w:rsidR="006B087E" w:rsidRPr="005A3F47" w:rsidRDefault="006B087E" w:rsidP="00F56419">
      <w:pPr>
        <w:pStyle w:val="Heading2"/>
        <w:rPr>
          <w:noProof/>
        </w:rPr>
      </w:pPr>
      <w:r w:rsidRPr="005A3F47">
        <w:rPr>
          <w:noProof/>
        </w:rPr>
        <w:t>Consultation of the RSB</w:t>
      </w:r>
      <w:bookmarkEnd w:id="304"/>
      <w:bookmarkEnd w:id="305"/>
      <w:bookmarkEnd w:id="306"/>
      <w:bookmarkEnd w:id="307"/>
      <w:bookmarkEnd w:id="308"/>
      <w:bookmarkEnd w:id="309"/>
    </w:p>
    <w:p w14:paraId="7C1E346F" w14:textId="77777777" w:rsidR="00BB75F1" w:rsidRPr="005A3F47" w:rsidRDefault="00D62EDB" w:rsidP="0083417A">
      <w:pPr>
        <w:rPr>
          <w:noProof/>
        </w:rPr>
      </w:pPr>
      <w:r w:rsidRPr="005A3F47">
        <w:rPr>
          <w:noProof/>
        </w:rPr>
        <w:t xml:space="preserve">The preparation of the </w:t>
      </w:r>
      <w:r w:rsidR="009029FF" w:rsidRPr="005A3F47">
        <w:rPr>
          <w:noProof/>
        </w:rPr>
        <w:t xml:space="preserve">Impact Assessment report was discussed with the </w:t>
      </w:r>
      <w:r w:rsidR="004E1034" w:rsidRPr="005A3F47">
        <w:rPr>
          <w:noProof/>
        </w:rPr>
        <w:t xml:space="preserve">Regulatory </w:t>
      </w:r>
      <w:r w:rsidR="0007689A" w:rsidRPr="005A3F47">
        <w:rPr>
          <w:noProof/>
        </w:rPr>
        <w:t>Scrutiny Board</w:t>
      </w:r>
      <w:r w:rsidR="00B34554" w:rsidRPr="005A3F47">
        <w:rPr>
          <w:noProof/>
        </w:rPr>
        <w:t xml:space="preserve"> in an upstream meeting on 9 March 2026. </w:t>
      </w:r>
    </w:p>
    <w:p w14:paraId="74DE8EC2" w14:textId="15A2326B" w:rsidR="0094744B" w:rsidRPr="005A3F47" w:rsidRDefault="00BB75F1" w:rsidP="0083417A">
      <w:pPr>
        <w:rPr>
          <w:noProof/>
        </w:rPr>
      </w:pPr>
      <w:r w:rsidRPr="005A3F47">
        <w:rPr>
          <w:noProof/>
        </w:rPr>
        <w:t>T</w:t>
      </w:r>
      <w:r w:rsidR="0060725C" w:rsidRPr="005A3F47">
        <w:rPr>
          <w:noProof/>
        </w:rPr>
        <w:t>he</w:t>
      </w:r>
      <w:r w:rsidR="0094744B" w:rsidRPr="005A3F47">
        <w:rPr>
          <w:noProof/>
        </w:rPr>
        <w:t xml:space="preserve"> report was submitted to the Regulatory Scrutiny Report on 8 April 2026.</w:t>
      </w:r>
    </w:p>
    <w:p w14:paraId="6CD8D9D2" w14:textId="0898CDB1" w:rsidR="00577E98" w:rsidRPr="005A3F47" w:rsidRDefault="00A73946" w:rsidP="0083417A">
      <w:pPr>
        <w:rPr>
          <w:noProof/>
        </w:rPr>
      </w:pPr>
      <w:r w:rsidRPr="005A3F47">
        <w:rPr>
          <w:noProof/>
        </w:rPr>
        <w:t xml:space="preserve">The Impact Assessment report was scrutinised by the Regulatory Scrutiny Board and discussed in the relevant meeting on </w:t>
      </w:r>
      <w:r w:rsidR="00F07753" w:rsidRPr="005A3F47">
        <w:rPr>
          <w:noProof/>
        </w:rPr>
        <w:t>29</w:t>
      </w:r>
      <w:r w:rsidRPr="005A3F47">
        <w:rPr>
          <w:noProof/>
        </w:rPr>
        <w:t xml:space="preserve"> </w:t>
      </w:r>
      <w:r w:rsidR="00FE1879" w:rsidRPr="005A3F47">
        <w:rPr>
          <w:noProof/>
        </w:rPr>
        <w:t>April 2026</w:t>
      </w:r>
      <w:r w:rsidRPr="005A3F47">
        <w:rPr>
          <w:noProof/>
        </w:rPr>
        <w:t xml:space="preserve">. </w:t>
      </w:r>
      <w:r w:rsidR="002C74A5" w:rsidRPr="005A3F47">
        <w:rPr>
          <w:noProof/>
        </w:rPr>
        <w:t>In the opinion dated 4 May 2026</w:t>
      </w:r>
      <w:r w:rsidR="00CB696D" w:rsidRPr="005A3F47">
        <w:rPr>
          <w:noProof/>
        </w:rPr>
        <w:t xml:space="preserve"> and in line with the decision of the President of the Commission P(2026)1 of 28 April 2026,</w:t>
      </w:r>
      <w:r w:rsidR="002C74A5" w:rsidRPr="005A3F47">
        <w:rPr>
          <w:noProof/>
        </w:rPr>
        <w:t xml:space="preserve"> the Regulatory Scru</w:t>
      </w:r>
      <w:r w:rsidR="00F16337" w:rsidRPr="005A3F47">
        <w:rPr>
          <w:noProof/>
        </w:rPr>
        <w:t>tiny Board provided recommendations on how the quality of the draft report submitted should be improved</w:t>
      </w:r>
      <w:r w:rsidR="009352DA" w:rsidRPr="005A3F47">
        <w:rPr>
          <w:noProof/>
        </w:rPr>
        <w:t>.</w:t>
      </w:r>
    </w:p>
    <w:p w14:paraId="42AA66FE" w14:textId="129ED17B" w:rsidR="000615EC" w:rsidRPr="005A3F47" w:rsidRDefault="000615EC" w:rsidP="0083417A">
      <w:pPr>
        <w:rPr>
          <w:noProof/>
        </w:rPr>
      </w:pPr>
      <w:r w:rsidRPr="005A3F47">
        <w:rPr>
          <w:noProof/>
        </w:rPr>
        <w:t>On this basis, the Impact Assessment report has been revised</w:t>
      </w:r>
      <w:r w:rsidR="00496A5E" w:rsidRPr="005A3F47">
        <w:rPr>
          <w:noProof/>
        </w:rPr>
        <w:t xml:space="preserve">. The </w:t>
      </w:r>
      <w:r w:rsidR="00317069" w:rsidRPr="005A3F47">
        <w:rPr>
          <w:noProof/>
        </w:rPr>
        <w:t xml:space="preserve">main changes to the report are summarised in Table </w:t>
      </w:r>
      <w:r w:rsidR="00D65CD8" w:rsidRPr="005A3F47">
        <w:rPr>
          <w:noProof/>
        </w:rPr>
        <w:t>3</w:t>
      </w:r>
      <w:r w:rsidR="00317069" w:rsidRPr="005A3F47">
        <w:rPr>
          <w:noProof/>
        </w:rPr>
        <w:t>:</w:t>
      </w:r>
    </w:p>
    <w:p w14:paraId="28568D96" w14:textId="029AAE86" w:rsidR="00D65CD8" w:rsidRPr="005A3F47" w:rsidRDefault="00D65CD8" w:rsidP="00E61923">
      <w:pPr>
        <w:pStyle w:val="Caption"/>
        <w:keepNext/>
        <w:rPr>
          <w:noProof/>
        </w:rPr>
      </w:pPr>
      <w:r w:rsidRPr="005A3F47">
        <w:rPr>
          <w:noProof/>
          <w:color w:val="auto"/>
        </w:rPr>
        <w:t xml:space="preserve">Table </w:t>
      </w:r>
      <w:r w:rsidR="000F1E4E" w:rsidRPr="005A3F47">
        <w:rPr>
          <w:noProof/>
          <w:color w:val="auto"/>
        </w:rPr>
        <w:fldChar w:fldCharType="begin"/>
      </w:r>
      <w:r w:rsidR="000F1E4E" w:rsidRPr="005A3F47">
        <w:rPr>
          <w:noProof/>
        </w:rPr>
        <w:instrText xml:space="preserve"> SEQ Table \* ARABIC </w:instrText>
      </w:r>
      <w:r w:rsidR="000F1E4E" w:rsidRPr="005A3F47">
        <w:rPr>
          <w:noProof/>
          <w:color w:val="auto"/>
        </w:rPr>
        <w:fldChar w:fldCharType="separate"/>
      </w:r>
      <w:r w:rsidR="00CF3380">
        <w:rPr>
          <w:noProof/>
        </w:rPr>
        <w:t>3</w:t>
      </w:r>
      <w:r w:rsidR="000F1E4E" w:rsidRPr="005A3F47">
        <w:rPr>
          <w:noProof/>
          <w:color w:val="auto"/>
        </w:rPr>
        <w:fldChar w:fldCharType="end"/>
      </w:r>
      <w:r w:rsidRPr="005A3F47">
        <w:rPr>
          <w:noProof/>
          <w:color w:val="auto"/>
        </w:rPr>
        <w:t>: TAXUD revisions following the RSB recommendations</w:t>
      </w:r>
    </w:p>
    <w:tbl>
      <w:tblPr>
        <w:tblStyle w:val="TableGrid"/>
        <w:tblW w:w="0" w:type="auto"/>
        <w:tblLook w:val="04A0" w:firstRow="1" w:lastRow="0" w:firstColumn="1" w:lastColumn="0" w:noHBand="0" w:noVBand="1"/>
      </w:tblPr>
      <w:tblGrid>
        <w:gridCol w:w="4859"/>
        <w:gridCol w:w="4855"/>
        <w:gridCol w:w="33"/>
      </w:tblGrid>
      <w:tr w:rsidR="00EC3670" w:rsidRPr="005A3F47" w14:paraId="06CD148E" w14:textId="77777777" w:rsidTr="00E61923">
        <w:trPr>
          <w:gridAfter w:val="1"/>
          <w:wAfter w:w="33" w:type="dxa"/>
        </w:trPr>
        <w:tc>
          <w:tcPr>
            <w:tcW w:w="4859" w:type="dxa"/>
            <w:shd w:val="clear" w:color="auto" w:fill="8DB3E2" w:themeFill="text2" w:themeFillTint="66"/>
            <w:vAlign w:val="center"/>
          </w:tcPr>
          <w:p w14:paraId="710F05CC" w14:textId="1501647B" w:rsidR="00EC3670" w:rsidRPr="005A3F47" w:rsidRDefault="00EC3670" w:rsidP="00E61923">
            <w:pPr>
              <w:jc w:val="left"/>
              <w:rPr>
                <w:i/>
                <w:iCs/>
                <w:noProof/>
              </w:rPr>
            </w:pPr>
            <w:r w:rsidRPr="005A3F47">
              <w:rPr>
                <w:i/>
                <w:iCs/>
                <w:noProof/>
              </w:rPr>
              <w:t>Comments of the RSB</w:t>
            </w:r>
          </w:p>
        </w:tc>
        <w:tc>
          <w:tcPr>
            <w:tcW w:w="4855" w:type="dxa"/>
            <w:shd w:val="clear" w:color="auto" w:fill="8DB3E2" w:themeFill="text2" w:themeFillTint="66"/>
            <w:vAlign w:val="center"/>
          </w:tcPr>
          <w:p w14:paraId="685E5AC5" w14:textId="2443F471" w:rsidR="00EC3670" w:rsidRPr="005A3F47" w:rsidRDefault="00EC3670" w:rsidP="00E61923">
            <w:pPr>
              <w:jc w:val="left"/>
              <w:rPr>
                <w:i/>
                <w:iCs/>
                <w:noProof/>
              </w:rPr>
            </w:pPr>
            <w:r w:rsidRPr="005A3F47">
              <w:rPr>
                <w:i/>
                <w:iCs/>
                <w:noProof/>
              </w:rPr>
              <w:t>How and where comments have been addressed</w:t>
            </w:r>
          </w:p>
        </w:tc>
      </w:tr>
      <w:tr w:rsidR="00BD2012" w:rsidRPr="005A3F47" w14:paraId="7431AA5F" w14:textId="77777777" w:rsidTr="00E61923">
        <w:trPr>
          <w:gridAfter w:val="1"/>
          <w:wAfter w:w="33" w:type="dxa"/>
        </w:trPr>
        <w:tc>
          <w:tcPr>
            <w:tcW w:w="9714" w:type="dxa"/>
            <w:gridSpan w:val="2"/>
            <w:shd w:val="clear" w:color="auto" w:fill="C6D9F1" w:themeFill="text2" w:themeFillTint="33"/>
            <w:vAlign w:val="center"/>
          </w:tcPr>
          <w:p w14:paraId="47B13456" w14:textId="69AB702C" w:rsidR="00BD2012" w:rsidRPr="005A3F47" w:rsidRDefault="00BD2012" w:rsidP="00E61923">
            <w:pPr>
              <w:jc w:val="left"/>
              <w:rPr>
                <w:b/>
                <w:bCs/>
                <w:noProof/>
              </w:rPr>
            </w:pPr>
            <w:r w:rsidRPr="005A3F47">
              <w:rPr>
                <w:b/>
                <w:bCs/>
                <w:noProof/>
              </w:rPr>
              <w:t>(C) What to improve</w:t>
            </w:r>
          </w:p>
        </w:tc>
      </w:tr>
      <w:tr w:rsidR="0016407F" w:rsidRPr="005A3F47" w14:paraId="75DB7B5B" w14:textId="77777777" w:rsidTr="00E61923">
        <w:tc>
          <w:tcPr>
            <w:tcW w:w="4859" w:type="dxa"/>
          </w:tcPr>
          <w:p w14:paraId="5654C939" w14:textId="2CA115E1" w:rsidR="0016407F" w:rsidRPr="005A3F47" w:rsidRDefault="006950F7" w:rsidP="006950F7">
            <w:pPr>
              <w:rPr>
                <w:noProof/>
              </w:rPr>
            </w:pPr>
            <w:r w:rsidRPr="005A3F47">
              <w:rPr>
                <w:noProof/>
              </w:rPr>
              <w:t xml:space="preserve">(1) The report should provide more robust evidence including quantitative observational data, to demonstrate the extent to which the identified problems impose costs and burdens on economic operators. It should explain how this constrains economic activity and impacts growth and competitiveness and also their impacts on public authorities. To the extent possible, observational as well as more granular opinion data should be used to demonstrate the size of the problems and establish the dynamic baseline. The report should also bring forth relevant evidence from key sources, such as the ATAD evaluation and its support study. </w:t>
            </w:r>
          </w:p>
        </w:tc>
        <w:tc>
          <w:tcPr>
            <w:tcW w:w="4888" w:type="dxa"/>
            <w:gridSpan w:val="2"/>
          </w:tcPr>
          <w:p w14:paraId="0DB863DB" w14:textId="3EC838F1" w:rsidR="0016407F" w:rsidRPr="005A3F47" w:rsidRDefault="005B4D49" w:rsidP="0083417A">
            <w:pPr>
              <w:rPr>
                <w:noProof/>
              </w:rPr>
            </w:pPr>
            <w:r w:rsidRPr="005A3F47">
              <w:rPr>
                <w:noProof/>
              </w:rPr>
              <w:t>More data, e.g., from the Call for Evidence</w:t>
            </w:r>
            <w:r w:rsidR="008F2783" w:rsidRPr="005A3F47">
              <w:rPr>
                <w:noProof/>
              </w:rPr>
              <w:t>, the ATAD evaluation</w:t>
            </w:r>
            <w:r w:rsidRPr="005A3F47">
              <w:rPr>
                <w:noProof/>
              </w:rPr>
              <w:t xml:space="preserve"> and </w:t>
            </w:r>
            <w:r w:rsidR="008F2783" w:rsidRPr="005A3F47">
              <w:rPr>
                <w:noProof/>
              </w:rPr>
              <w:t xml:space="preserve">other </w:t>
            </w:r>
            <w:r w:rsidR="00BE7503" w:rsidRPr="005A3F47">
              <w:rPr>
                <w:noProof/>
              </w:rPr>
              <w:t xml:space="preserve">publicly available </w:t>
            </w:r>
            <w:r w:rsidR="008F2783" w:rsidRPr="005A3F47">
              <w:rPr>
                <w:noProof/>
              </w:rPr>
              <w:t>studies</w:t>
            </w:r>
            <w:r w:rsidR="00BE7503" w:rsidRPr="005A3F47">
              <w:rPr>
                <w:noProof/>
              </w:rPr>
              <w:t>, has been added</w:t>
            </w:r>
            <w:r w:rsidR="005E7C55" w:rsidRPr="005A3F47">
              <w:rPr>
                <w:noProof/>
              </w:rPr>
              <w:t xml:space="preserve"> in Chapter 2 to </w:t>
            </w:r>
            <w:r w:rsidR="005C4D79" w:rsidRPr="005A3F47">
              <w:rPr>
                <w:noProof/>
              </w:rPr>
              <w:t xml:space="preserve">provide more robust evidence </w:t>
            </w:r>
            <w:r w:rsidR="002D6291" w:rsidRPr="005A3F47">
              <w:rPr>
                <w:noProof/>
              </w:rPr>
              <w:t>on the identified problems.</w:t>
            </w:r>
            <w:r w:rsidR="00C3207A" w:rsidRPr="005A3F47">
              <w:rPr>
                <w:noProof/>
              </w:rPr>
              <w:t xml:space="preserve"> It has also been clarified </w:t>
            </w:r>
            <w:r w:rsidR="004B5317" w:rsidRPr="005A3F47">
              <w:rPr>
                <w:noProof/>
              </w:rPr>
              <w:t xml:space="preserve">in </w:t>
            </w:r>
            <w:r w:rsidR="0013238B" w:rsidRPr="005A3F47">
              <w:rPr>
                <w:noProof/>
              </w:rPr>
              <w:t>Chapter 3 (</w:t>
            </w:r>
            <w:r w:rsidR="004D7BE1" w:rsidRPr="005A3F47">
              <w:rPr>
                <w:noProof/>
              </w:rPr>
              <w:t>EU action</w:t>
            </w:r>
            <w:r w:rsidR="0013238B" w:rsidRPr="005A3F47">
              <w:rPr>
                <w:noProof/>
              </w:rPr>
              <w:t>) and 5</w:t>
            </w:r>
            <w:r w:rsidR="00C3207A" w:rsidRPr="005A3F47">
              <w:rPr>
                <w:noProof/>
              </w:rPr>
              <w:t xml:space="preserve"> </w:t>
            </w:r>
            <w:r w:rsidR="004D7BE1" w:rsidRPr="005A3F47">
              <w:rPr>
                <w:noProof/>
              </w:rPr>
              <w:t xml:space="preserve">(baseline scenario) </w:t>
            </w:r>
            <w:r w:rsidR="00C3207A" w:rsidRPr="005A3F47">
              <w:rPr>
                <w:noProof/>
              </w:rPr>
              <w:t xml:space="preserve">that not all problems that are </w:t>
            </w:r>
            <w:r w:rsidR="002276AA" w:rsidRPr="005A3F47">
              <w:rPr>
                <w:noProof/>
              </w:rPr>
              <w:t>identified, e.g., in the ATAD evaluation and in the Call for Evidence</w:t>
            </w:r>
            <w:r w:rsidR="00E71A23" w:rsidRPr="005A3F47">
              <w:rPr>
                <w:noProof/>
              </w:rPr>
              <w:t>, feature in the report</w:t>
            </w:r>
            <w:r w:rsidR="00800128" w:rsidRPr="005A3F47">
              <w:rPr>
                <w:noProof/>
              </w:rPr>
              <w:t xml:space="preserve"> as </w:t>
            </w:r>
            <w:r w:rsidR="00FA5706" w:rsidRPr="005A3F47">
              <w:rPr>
                <w:noProof/>
              </w:rPr>
              <w:t xml:space="preserve">the report focuses on identified problems </w:t>
            </w:r>
            <w:r w:rsidR="00F530F4" w:rsidRPr="005A3F47">
              <w:rPr>
                <w:noProof/>
              </w:rPr>
              <w:t>that can only be addressed by</w:t>
            </w:r>
            <w:r w:rsidR="00987CF8" w:rsidRPr="005A3F47">
              <w:rPr>
                <w:noProof/>
              </w:rPr>
              <w:t xml:space="preserve"> legislative action.</w:t>
            </w:r>
          </w:p>
        </w:tc>
      </w:tr>
      <w:tr w:rsidR="0016407F" w:rsidRPr="005A3F47" w14:paraId="261CBDD3" w14:textId="77777777" w:rsidTr="00E61923">
        <w:tc>
          <w:tcPr>
            <w:tcW w:w="4859" w:type="dxa"/>
          </w:tcPr>
          <w:p w14:paraId="0018581C" w14:textId="7705AF8A" w:rsidR="0016407F" w:rsidRPr="005A3F47" w:rsidRDefault="000D194A" w:rsidP="0083417A">
            <w:pPr>
              <w:rPr>
                <w:noProof/>
              </w:rPr>
            </w:pPr>
            <w:r w:rsidRPr="005A3F47">
              <w:rPr>
                <w:noProof/>
              </w:rPr>
              <w:t>(2) The report should strengthen the intervention logic by providing a clearer description of some of the proposed measures and how they correspond to the identified problems and objectives - especially for measures concerning R&amp;D expensing and imported hybrid mismatches. It should, for example, include an analysis of legal uncertainties and diverging national rules on expensing of R&amp;D, and also clarify that the measure is a new initiative rather than a change of existing EU rules regarding expensing. As regards imported hybrid mismatches, it should better describe the problems. The report should also outline the underlying logic guiding the combination of individual measures into the proposed options, and provide further clarification on the main differences between the ‘comprehensive’ and ‘medium’ ambitions.</w:t>
            </w:r>
          </w:p>
        </w:tc>
        <w:tc>
          <w:tcPr>
            <w:tcW w:w="4888" w:type="dxa"/>
            <w:gridSpan w:val="2"/>
          </w:tcPr>
          <w:p w14:paraId="5D408CE0" w14:textId="1435A927" w:rsidR="00912CC3" w:rsidRPr="005A3F47" w:rsidRDefault="00AB051C" w:rsidP="0083417A">
            <w:pPr>
              <w:rPr>
                <w:noProof/>
              </w:rPr>
            </w:pPr>
            <w:r w:rsidRPr="005A3F47">
              <w:rPr>
                <w:noProof/>
              </w:rPr>
              <w:t>The intervention logic has been revised to</w:t>
            </w:r>
            <w:r w:rsidR="0094263C" w:rsidRPr="005A3F47">
              <w:rPr>
                <w:noProof/>
              </w:rPr>
              <w:t xml:space="preserve"> ensure that</w:t>
            </w:r>
            <w:r w:rsidR="003A563F" w:rsidRPr="005A3F47">
              <w:rPr>
                <w:noProof/>
              </w:rPr>
              <w:t xml:space="preserve"> there is a clearer link between the</w:t>
            </w:r>
            <w:r w:rsidR="00AF77FD" w:rsidRPr="005A3F47">
              <w:rPr>
                <w:noProof/>
              </w:rPr>
              <w:t xml:space="preserve"> identified </w:t>
            </w:r>
            <w:r w:rsidR="00F33961" w:rsidRPr="005A3F47">
              <w:rPr>
                <w:noProof/>
              </w:rPr>
              <w:t xml:space="preserve">problems </w:t>
            </w:r>
            <w:r w:rsidR="00523F0E" w:rsidRPr="005A3F47">
              <w:rPr>
                <w:noProof/>
              </w:rPr>
              <w:t>(Chapter 2)</w:t>
            </w:r>
            <w:r w:rsidR="00F33961" w:rsidRPr="005A3F47">
              <w:rPr>
                <w:noProof/>
              </w:rPr>
              <w:t xml:space="preserve"> and </w:t>
            </w:r>
            <w:r w:rsidR="002F3685" w:rsidRPr="005A3F47">
              <w:rPr>
                <w:noProof/>
              </w:rPr>
              <w:t>envisaged objectives</w:t>
            </w:r>
            <w:r w:rsidR="00523F0E" w:rsidRPr="005A3F47">
              <w:rPr>
                <w:noProof/>
              </w:rPr>
              <w:t xml:space="preserve"> (</w:t>
            </w:r>
            <w:r w:rsidR="00146AD6" w:rsidRPr="005A3F47">
              <w:rPr>
                <w:noProof/>
              </w:rPr>
              <w:t>Chapter 4)</w:t>
            </w:r>
            <w:r w:rsidR="003A563F" w:rsidRPr="005A3F47">
              <w:rPr>
                <w:noProof/>
              </w:rPr>
              <w:t>.</w:t>
            </w:r>
            <w:r w:rsidR="00596DB4" w:rsidRPr="005A3F47">
              <w:rPr>
                <w:noProof/>
              </w:rPr>
              <w:t xml:space="preserve"> </w:t>
            </w:r>
            <w:r w:rsidR="00C81079" w:rsidRPr="005A3F47">
              <w:rPr>
                <w:noProof/>
              </w:rPr>
              <w:t xml:space="preserve">The wording of the </w:t>
            </w:r>
            <w:r w:rsidR="00635897" w:rsidRPr="005A3F47">
              <w:rPr>
                <w:noProof/>
              </w:rPr>
              <w:t xml:space="preserve">specific objectives </w:t>
            </w:r>
            <w:r w:rsidR="00AC57C4" w:rsidRPr="005A3F47">
              <w:rPr>
                <w:noProof/>
              </w:rPr>
              <w:t>has</w:t>
            </w:r>
            <w:r w:rsidR="00635897" w:rsidRPr="005A3F47">
              <w:rPr>
                <w:noProof/>
              </w:rPr>
              <w:t xml:space="preserve"> also been slightly adjusted to make </w:t>
            </w:r>
            <w:r w:rsidR="007C6BFB" w:rsidRPr="005A3F47">
              <w:rPr>
                <w:noProof/>
              </w:rPr>
              <w:t>it</w:t>
            </w:r>
            <w:r w:rsidR="005A48CC" w:rsidRPr="005A3F47">
              <w:rPr>
                <w:noProof/>
              </w:rPr>
              <w:t xml:space="preserve"> less </w:t>
            </w:r>
            <w:r w:rsidR="00CB7597" w:rsidRPr="005A3F47">
              <w:rPr>
                <w:noProof/>
              </w:rPr>
              <w:t xml:space="preserve">prescriptive </w:t>
            </w:r>
            <w:r w:rsidR="00994352" w:rsidRPr="005A3F47">
              <w:rPr>
                <w:noProof/>
              </w:rPr>
              <w:t xml:space="preserve">and more </w:t>
            </w:r>
            <w:r w:rsidR="002E78B6" w:rsidRPr="005A3F47">
              <w:rPr>
                <w:noProof/>
              </w:rPr>
              <w:t xml:space="preserve">open to different </w:t>
            </w:r>
            <w:r w:rsidR="00FE4DA7" w:rsidRPr="005A3F47">
              <w:rPr>
                <w:noProof/>
              </w:rPr>
              <w:t>simplification options.</w:t>
            </w:r>
            <w:r w:rsidR="00547BDA" w:rsidRPr="005A3F47">
              <w:rPr>
                <w:noProof/>
              </w:rPr>
              <w:t xml:space="preserve"> More </w:t>
            </w:r>
            <w:r w:rsidR="00F42D5E" w:rsidRPr="005A3F47">
              <w:rPr>
                <w:noProof/>
              </w:rPr>
              <w:t xml:space="preserve">attention has been given to the </w:t>
            </w:r>
            <w:r w:rsidR="00804F8C" w:rsidRPr="005A3F47">
              <w:rPr>
                <w:noProof/>
              </w:rPr>
              <w:t xml:space="preserve">SMART criteria </w:t>
            </w:r>
            <w:r w:rsidR="009949DD" w:rsidRPr="005A3F47">
              <w:rPr>
                <w:noProof/>
              </w:rPr>
              <w:t>in the Better Regulation Guidelines</w:t>
            </w:r>
            <w:r w:rsidR="001367DF" w:rsidRPr="005A3F47">
              <w:rPr>
                <w:noProof/>
              </w:rPr>
              <w:t>,</w:t>
            </w:r>
            <w:r w:rsidR="009949DD" w:rsidRPr="005A3F47">
              <w:rPr>
                <w:noProof/>
              </w:rPr>
              <w:t xml:space="preserve"> </w:t>
            </w:r>
            <w:r w:rsidR="00804F8C" w:rsidRPr="005A3F47">
              <w:rPr>
                <w:noProof/>
              </w:rPr>
              <w:t>and th</w:t>
            </w:r>
            <w:r w:rsidR="00273EC9" w:rsidRPr="005A3F47">
              <w:rPr>
                <w:noProof/>
              </w:rPr>
              <w:t xml:space="preserve">e </w:t>
            </w:r>
            <w:r w:rsidR="00956F2E" w:rsidRPr="005A3F47">
              <w:rPr>
                <w:noProof/>
              </w:rPr>
              <w:t xml:space="preserve">measurability </w:t>
            </w:r>
            <w:r w:rsidR="00E52DE5" w:rsidRPr="005A3F47">
              <w:rPr>
                <w:noProof/>
              </w:rPr>
              <w:t xml:space="preserve">of the envisaged objectives has been improved, e.g., by </w:t>
            </w:r>
            <w:r w:rsidR="001367DF" w:rsidRPr="005A3F47">
              <w:rPr>
                <w:noProof/>
              </w:rPr>
              <w:t>the use of</w:t>
            </w:r>
            <w:r w:rsidR="00E52DE5" w:rsidRPr="005A3F47">
              <w:rPr>
                <w:noProof/>
              </w:rPr>
              <w:t xml:space="preserve"> qualitative metrics as indicators for success</w:t>
            </w:r>
            <w:r w:rsidR="00FC4E85" w:rsidRPr="005A3F47">
              <w:rPr>
                <w:noProof/>
              </w:rPr>
              <w:t xml:space="preserve"> (Chapter 9).</w:t>
            </w:r>
          </w:p>
          <w:p w14:paraId="0403CFB9" w14:textId="77777777" w:rsidR="0016407F" w:rsidRPr="005A3F47" w:rsidRDefault="00DE3E1D" w:rsidP="0083417A">
            <w:pPr>
              <w:rPr>
                <w:noProof/>
              </w:rPr>
            </w:pPr>
            <w:r w:rsidRPr="005A3F47">
              <w:rPr>
                <w:noProof/>
              </w:rPr>
              <w:t>M</w:t>
            </w:r>
            <w:r w:rsidR="00596DB4" w:rsidRPr="005A3F47">
              <w:rPr>
                <w:noProof/>
              </w:rPr>
              <w:t xml:space="preserve">ore explanations have been added concerning R&amp;D expensing and </w:t>
            </w:r>
            <w:r w:rsidR="003B7284" w:rsidRPr="005A3F47">
              <w:rPr>
                <w:noProof/>
              </w:rPr>
              <w:t>Hybrid Mismatch Rules</w:t>
            </w:r>
            <w:r w:rsidR="002A06DE" w:rsidRPr="005A3F47">
              <w:rPr>
                <w:noProof/>
              </w:rPr>
              <w:t xml:space="preserve"> </w:t>
            </w:r>
            <w:r w:rsidR="00146AD6" w:rsidRPr="005A3F47">
              <w:rPr>
                <w:noProof/>
              </w:rPr>
              <w:t>to the e</w:t>
            </w:r>
            <w:r w:rsidR="00B76352" w:rsidRPr="005A3F47">
              <w:rPr>
                <w:noProof/>
              </w:rPr>
              <w:t xml:space="preserve">xplanations concerning the </w:t>
            </w:r>
            <w:r w:rsidR="00F42812" w:rsidRPr="005A3F47">
              <w:rPr>
                <w:noProof/>
              </w:rPr>
              <w:t>problems</w:t>
            </w:r>
            <w:r w:rsidR="00B055A9" w:rsidRPr="005A3F47">
              <w:rPr>
                <w:noProof/>
              </w:rPr>
              <w:t xml:space="preserve"> (Chapter 2)</w:t>
            </w:r>
            <w:r w:rsidR="00B76352" w:rsidRPr="005A3F47">
              <w:rPr>
                <w:noProof/>
              </w:rPr>
              <w:t>, the</w:t>
            </w:r>
            <w:r w:rsidR="001A38B5" w:rsidRPr="005A3F47">
              <w:rPr>
                <w:noProof/>
              </w:rPr>
              <w:t xml:space="preserve"> </w:t>
            </w:r>
            <w:r w:rsidR="00F42812" w:rsidRPr="005A3F47">
              <w:rPr>
                <w:noProof/>
              </w:rPr>
              <w:t xml:space="preserve">baseline scenario and </w:t>
            </w:r>
            <w:r w:rsidR="00E93AF2" w:rsidRPr="005A3F47">
              <w:rPr>
                <w:noProof/>
              </w:rPr>
              <w:t xml:space="preserve">the </w:t>
            </w:r>
            <w:r w:rsidR="00F42812" w:rsidRPr="005A3F47">
              <w:rPr>
                <w:noProof/>
              </w:rPr>
              <w:t>policy options</w:t>
            </w:r>
            <w:r w:rsidR="00E93AF2" w:rsidRPr="005A3F47">
              <w:rPr>
                <w:noProof/>
              </w:rPr>
              <w:t xml:space="preserve"> (Chapter 5</w:t>
            </w:r>
            <w:r w:rsidR="00F42812" w:rsidRPr="005A3F47">
              <w:rPr>
                <w:noProof/>
              </w:rPr>
              <w:t>)</w:t>
            </w:r>
            <w:r w:rsidR="001A38B5" w:rsidRPr="005A3F47">
              <w:rPr>
                <w:noProof/>
              </w:rPr>
              <w:t>.</w:t>
            </w:r>
          </w:p>
          <w:p w14:paraId="40F8DC00" w14:textId="1DCA9856" w:rsidR="0016407F" w:rsidRPr="005A3F47" w:rsidRDefault="005966B7" w:rsidP="0083417A">
            <w:pPr>
              <w:rPr>
                <w:noProof/>
              </w:rPr>
            </w:pPr>
            <w:r w:rsidRPr="005A3F47">
              <w:rPr>
                <w:noProof/>
              </w:rPr>
              <w:t xml:space="preserve">The </w:t>
            </w:r>
            <w:r w:rsidR="00216823" w:rsidRPr="005A3F47">
              <w:rPr>
                <w:noProof/>
              </w:rPr>
              <w:t>underlying logic</w:t>
            </w:r>
            <w:r w:rsidR="007970F2" w:rsidRPr="005A3F47">
              <w:rPr>
                <w:noProof/>
              </w:rPr>
              <w:t>, i.e., different levels of ambition,</w:t>
            </w:r>
            <w:r w:rsidR="00216823" w:rsidRPr="005A3F47">
              <w:rPr>
                <w:noProof/>
              </w:rPr>
              <w:t xml:space="preserve"> for the composition of the different approaches</w:t>
            </w:r>
            <w:r w:rsidR="003161B5" w:rsidRPr="005A3F47">
              <w:rPr>
                <w:noProof/>
              </w:rPr>
              <w:t xml:space="preserve"> to the Omnibus on Taxation </w:t>
            </w:r>
            <w:r w:rsidR="0087301B" w:rsidRPr="005A3F47">
              <w:rPr>
                <w:noProof/>
              </w:rPr>
              <w:t xml:space="preserve">has been clarified </w:t>
            </w:r>
            <w:r w:rsidR="00236D3C" w:rsidRPr="005A3F47">
              <w:rPr>
                <w:noProof/>
              </w:rPr>
              <w:t xml:space="preserve">(Chapter 7). In the </w:t>
            </w:r>
            <w:r w:rsidR="00B27BF2" w:rsidRPr="005A3F47">
              <w:rPr>
                <w:noProof/>
              </w:rPr>
              <w:t xml:space="preserve">same vein, the </w:t>
            </w:r>
            <w:r w:rsidR="00BF0159" w:rsidRPr="005A3F47">
              <w:rPr>
                <w:noProof/>
              </w:rPr>
              <w:t>‘</w:t>
            </w:r>
            <w:r w:rsidR="00225693" w:rsidRPr="005A3F47">
              <w:rPr>
                <w:noProof/>
              </w:rPr>
              <w:t>medium ambition’ and ‘limited ambition</w:t>
            </w:r>
            <w:r w:rsidR="00E72C69" w:rsidRPr="005A3F47">
              <w:rPr>
                <w:noProof/>
              </w:rPr>
              <w:t>’ approaches have been modified to provide three</w:t>
            </w:r>
            <w:r w:rsidR="00006FB5" w:rsidRPr="005A3F47">
              <w:rPr>
                <w:noProof/>
              </w:rPr>
              <w:t xml:space="preserve"> </w:t>
            </w:r>
            <w:r w:rsidR="00E32F47" w:rsidRPr="005A3F47">
              <w:rPr>
                <w:noProof/>
              </w:rPr>
              <w:t>ways</w:t>
            </w:r>
            <w:r w:rsidR="00006FB5" w:rsidRPr="005A3F47">
              <w:rPr>
                <w:noProof/>
              </w:rPr>
              <w:t xml:space="preserve">, which are more </w:t>
            </w:r>
            <w:r w:rsidR="00A26FDA" w:rsidRPr="005A3F47">
              <w:rPr>
                <w:noProof/>
              </w:rPr>
              <w:t>differentiated,</w:t>
            </w:r>
            <w:r w:rsidR="00E32F47" w:rsidRPr="005A3F47">
              <w:rPr>
                <w:noProof/>
              </w:rPr>
              <w:t xml:space="preserve"> </w:t>
            </w:r>
            <w:r w:rsidR="00DA2D41" w:rsidRPr="005A3F47">
              <w:rPr>
                <w:noProof/>
              </w:rPr>
              <w:t xml:space="preserve">in which </w:t>
            </w:r>
            <w:r w:rsidR="00984A2E" w:rsidRPr="005A3F47">
              <w:rPr>
                <w:noProof/>
              </w:rPr>
              <w:t xml:space="preserve">the different policy options </w:t>
            </w:r>
            <w:r w:rsidR="00DA2D41" w:rsidRPr="005A3F47">
              <w:rPr>
                <w:noProof/>
              </w:rPr>
              <w:t xml:space="preserve">could be compiled in </w:t>
            </w:r>
            <w:r w:rsidR="00984A2E" w:rsidRPr="005A3F47">
              <w:rPr>
                <w:noProof/>
              </w:rPr>
              <w:t>the Omnibus on Taxation.</w:t>
            </w:r>
            <w:r w:rsidR="00F463A2" w:rsidRPr="005A3F47">
              <w:rPr>
                <w:noProof/>
              </w:rPr>
              <w:t xml:space="preserve"> The assessments of the three approaches have </w:t>
            </w:r>
            <w:r w:rsidR="00CB09A3" w:rsidRPr="005A3F47">
              <w:rPr>
                <w:noProof/>
              </w:rPr>
              <w:t xml:space="preserve">been </w:t>
            </w:r>
            <w:r w:rsidR="00402802" w:rsidRPr="005A3F47">
              <w:rPr>
                <w:noProof/>
              </w:rPr>
              <w:t>improved and adjusted accordingly.</w:t>
            </w:r>
          </w:p>
        </w:tc>
      </w:tr>
      <w:tr w:rsidR="0016407F" w:rsidRPr="005A3F47" w14:paraId="38ABD334" w14:textId="77777777" w:rsidTr="00E61923">
        <w:tc>
          <w:tcPr>
            <w:tcW w:w="4859" w:type="dxa"/>
          </w:tcPr>
          <w:p w14:paraId="37AB1641" w14:textId="3B7B78D8" w:rsidR="0016407F" w:rsidRPr="005A3F47" w:rsidRDefault="00DD7DAA" w:rsidP="00DD7DAA">
            <w:pPr>
              <w:rPr>
                <w:noProof/>
              </w:rPr>
            </w:pPr>
            <w:r w:rsidRPr="005A3F47">
              <w:rPr>
                <w:noProof/>
              </w:rPr>
              <w:t>(3) The report should elaborate on the impact on public administrations, including costs, cost savings, and short-term and long-term effects on tax bases and tax revenues. The report should analyse potential obstacles that could hinder the effective and timely implementation of the proposed options by Member States.</w:t>
            </w:r>
          </w:p>
        </w:tc>
        <w:tc>
          <w:tcPr>
            <w:tcW w:w="4888" w:type="dxa"/>
            <w:gridSpan w:val="2"/>
          </w:tcPr>
          <w:p w14:paraId="398183D8" w14:textId="30ECC0AB" w:rsidR="0016407F" w:rsidRPr="005A3F47" w:rsidRDefault="00D3105B" w:rsidP="0083417A">
            <w:pPr>
              <w:rPr>
                <w:noProof/>
              </w:rPr>
            </w:pPr>
            <w:r w:rsidRPr="005A3F47">
              <w:rPr>
                <w:noProof/>
              </w:rPr>
              <w:t>The analysis in chapter 6 has been supplanted with addition</w:t>
            </w:r>
            <w:r w:rsidR="003E5899" w:rsidRPr="005A3F47">
              <w:rPr>
                <w:noProof/>
              </w:rPr>
              <w:t>al elements on costs and impact on public revenues, where such analysis is possible taking into account significant data limitations</w:t>
            </w:r>
            <w:r w:rsidR="009F0931" w:rsidRPr="005A3F47">
              <w:rPr>
                <w:noProof/>
              </w:rPr>
              <w:t xml:space="preserve">, as well as further elements of a macroeconomic nature to the extent </w:t>
            </w:r>
            <w:r w:rsidR="002F18B5" w:rsidRPr="005A3F47">
              <w:rPr>
                <w:noProof/>
              </w:rPr>
              <w:t>growth, employment, investment impact can be assessed through existing economic models</w:t>
            </w:r>
            <w:r w:rsidR="003E5899" w:rsidRPr="005A3F47">
              <w:rPr>
                <w:noProof/>
              </w:rPr>
              <w:t>.</w:t>
            </w:r>
            <w:r w:rsidR="002F18B5" w:rsidRPr="005A3F47">
              <w:rPr>
                <w:noProof/>
              </w:rPr>
              <w:t xml:space="preserve"> Further explanations on assumptions underlying points of analysis have also been added (either in the text or details in Annex to support conclusions).</w:t>
            </w:r>
          </w:p>
        </w:tc>
      </w:tr>
      <w:tr w:rsidR="0016407F" w:rsidRPr="005A3F47" w14:paraId="691B4AAF" w14:textId="77777777" w:rsidTr="00E61923">
        <w:tc>
          <w:tcPr>
            <w:tcW w:w="4859" w:type="dxa"/>
          </w:tcPr>
          <w:p w14:paraId="32D254A6" w14:textId="40A62CCB" w:rsidR="0016407F" w:rsidRPr="005A3F47" w:rsidRDefault="001A45CF" w:rsidP="0083417A">
            <w:pPr>
              <w:rPr>
                <w:noProof/>
              </w:rPr>
            </w:pPr>
            <w:r w:rsidRPr="005A3F47">
              <w:rPr>
                <w:noProof/>
              </w:rPr>
              <w:t>4) The report should enhance its analysis of costs, cost savings, and risks, including an examination of potential impacts on objectives such as removing double taxation, eliminating unnecessary or disproportionate tax compliance cost, ensuring tax neutrality, and tackling tax avoidance and evasion. The analysis should also better assess the resulting costs and benefits from applicable efficiency perspectives, and also consider the distributional effects on various stakeholders. The report should further assess the effects on the EU business environment and economic growth.</w:t>
            </w:r>
          </w:p>
        </w:tc>
        <w:tc>
          <w:tcPr>
            <w:tcW w:w="4888" w:type="dxa"/>
            <w:gridSpan w:val="2"/>
          </w:tcPr>
          <w:p w14:paraId="4A062737" w14:textId="5F449F51" w:rsidR="0016407F" w:rsidRPr="005A3F47" w:rsidRDefault="002F18B5" w:rsidP="0083417A">
            <w:pPr>
              <w:rPr>
                <w:noProof/>
              </w:rPr>
            </w:pPr>
            <w:r w:rsidRPr="005A3F47">
              <w:rPr>
                <w:noProof/>
              </w:rPr>
              <w:t xml:space="preserve">In addition to the points above, the analysis has been better </w:t>
            </w:r>
            <w:r w:rsidR="008E39DE" w:rsidRPr="005A3F47">
              <w:rPr>
                <w:noProof/>
              </w:rPr>
              <w:t>delineated</w:t>
            </w:r>
            <w:r w:rsidRPr="005A3F47">
              <w:rPr>
                <w:noProof/>
              </w:rPr>
              <w:t xml:space="preserve"> by stakeholder group, clarifying impacts on companies (corporate taxpayers), tax </w:t>
            </w:r>
            <w:r w:rsidR="00A84172" w:rsidRPr="005A3F47">
              <w:rPr>
                <w:noProof/>
              </w:rPr>
              <w:t>administrations</w:t>
            </w:r>
            <w:r w:rsidRPr="005A3F47">
              <w:rPr>
                <w:noProof/>
              </w:rPr>
              <w:t>, and in macr</w:t>
            </w:r>
            <w:r w:rsidR="00A84172" w:rsidRPr="005A3F47">
              <w:rPr>
                <w:noProof/>
              </w:rPr>
              <w:t>o</w:t>
            </w:r>
            <w:r w:rsidRPr="005A3F47">
              <w:rPr>
                <w:noProof/>
              </w:rPr>
              <w:t xml:space="preserve">/economic terms. </w:t>
            </w:r>
            <w:r w:rsidR="00A84172" w:rsidRPr="005A3F47">
              <w:rPr>
                <w:noProof/>
              </w:rPr>
              <w:t xml:space="preserve">The analysis also provides </w:t>
            </w:r>
            <w:r w:rsidR="00581375" w:rsidRPr="005A3F47">
              <w:rPr>
                <w:noProof/>
              </w:rPr>
              <w:t xml:space="preserve">assessment on the impact of </w:t>
            </w:r>
            <w:r w:rsidR="008E39DE" w:rsidRPr="005A3F47">
              <w:rPr>
                <w:noProof/>
              </w:rPr>
              <w:t>maintaining</w:t>
            </w:r>
            <w:r w:rsidR="00581375" w:rsidRPr="005A3F47">
              <w:rPr>
                <w:noProof/>
              </w:rPr>
              <w:t xml:space="preserve"> high tax standards in the Union for all relevant measures and policy options. </w:t>
            </w:r>
          </w:p>
        </w:tc>
      </w:tr>
      <w:tr w:rsidR="0016407F" w:rsidRPr="005A3F47" w14:paraId="754C7EFD" w14:textId="77777777" w:rsidTr="00E61923">
        <w:tc>
          <w:tcPr>
            <w:tcW w:w="4859" w:type="dxa"/>
          </w:tcPr>
          <w:p w14:paraId="570D1661" w14:textId="2A663AC3" w:rsidR="0016407F" w:rsidRPr="005A3F47" w:rsidRDefault="001A45CF" w:rsidP="0083417A">
            <w:pPr>
              <w:rPr>
                <w:noProof/>
              </w:rPr>
            </w:pPr>
            <w:r w:rsidRPr="005A3F47">
              <w:rPr>
                <w:noProof/>
              </w:rPr>
              <w:t>(5) The report should provide more empirical evidence to support the assumptions used in the analysis and provide a sensitivity analysis where appropriate. It should, for example, demonstrate the robustness of assumptions such as 0.5% CIT compliance cost savings for R&amp;D, the 5% ILR-related cost reduction, and the assumption on CFC and ILR related compliance costs. Additional explanations on the assumptions and data sources used in the model should be included.</w:t>
            </w:r>
          </w:p>
        </w:tc>
        <w:tc>
          <w:tcPr>
            <w:tcW w:w="4888" w:type="dxa"/>
            <w:gridSpan w:val="2"/>
          </w:tcPr>
          <w:p w14:paraId="2C207C47" w14:textId="3317B202" w:rsidR="0016407F" w:rsidRPr="005A3F47" w:rsidRDefault="009D03B2" w:rsidP="0083417A">
            <w:pPr>
              <w:rPr>
                <w:noProof/>
              </w:rPr>
            </w:pPr>
            <w:r w:rsidRPr="005A3F47">
              <w:rPr>
                <w:noProof/>
              </w:rPr>
              <w:t xml:space="preserve">Detailed explanations of the empirical evidence used, where available, has been added and explanations provided for assumptions and data sources when those are necessary/used.  </w:t>
            </w:r>
          </w:p>
        </w:tc>
      </w:tr>
      <w:tr w:rsidR="0016407F" w:rsidRPr="005A3F47" w14:paraId="2063FEF9" w14:textId="77777777" w:rsidTr="00E61923">
        <w:tc>
          <w:tcPr>
            <w:tcW w:w="4859" w:type="dxa"/>
          </w:tcPr>
          <w:p w14:paraId="12B0AFE4" w14:textId="7FA31D3E" w:rsidR="0016407F" w:rsidRPr="005A3F47" w:rsidRDefault="00F97D6F" w:rsidP="0083417A">
            <w:pPr>
              <w:rPr>
                <w:noProof/>
              </w:rPr>
            </w:pPr>
            <w:r w:rsidRPr="005A3F47">
              <w:rPr>
                <w:noProof/>
              </w:rPr>
              <w:t>(6) The report should be written using non-technical language and be a self-standing document that is accessible to non-expert readers.</w:t>
            </w:r>
          </w:p>
        </w:tc>
        <w:tc>
          <w:tcPr>
            <w:tcW w:w="4888" w:type="dxa"/>
            <w:gridSpan w:val="2"/>
          </w:tcPr>
          <w:p w14:paraId="24A287DB" w14:textId="77777777" w:rsidR="001F7B5A" w:rsidRPr="005A3F47" w:rsidRDefault="009D1916" w:rsidP="0083417A">
            <w:pPr>
              <w:rPr>
                <w:noProof/>
              </w:rPr>
            </w:pPr>
            <w:r w:rsidRPr="005A3F47">
              <w:rPr>
                <w:noProof/>
              </w:rPr>
              <w:t>The report</w:t>
            </w:r>
            <w:r w:rsidR="0044241D" w:rsidRPr="005A3F47">
              <w:rPr>
                <w:noProof/>
              </w:rPr>
              <w:t>, and particularly Chapter 2 (problems</w:t>
            </w:r>
            <w:r w:rsidR="00B064A5" w:rsidRPr="005A3F47">
              <w:rPr>
                <w:noProof/>
              </w:rPr>
              <w:t>)</w:t>
            </w:r>
            <w:r w:rsidR="00E049AE" w:rsidRPr="005A3F47">
              <w:rPr>
                <w:noProof/>
              </w:rPr>
              <w:t>,</w:t>
            </w:r>
            <w:r w:rsidR="0044241D" w:rsidRPr="005A3F47">
              <w:rPr>
                <w:noProof/>
              </w:rPr>
              <w:t xml:space="preserve"> ha</w:t>
            </w:r>
            <w:r w:rsidR="00DF0C95" w:rsidRPr="005A3F47">
              <w:rPr>
                <w:noProof/>
              </w:rPr>
              <w:t xml:space="preserve">s been revised to </w:t>
            </w:r>
            <w:r w:rsidR="00551241" w:rsidRPr="005A3F47">
              <w:rPr>
                <w:noProof/>
              </w:rPr>
              <w:t>give a simpler and clearer presentation of</w:t>
            </w:r>
            <w:r w:rsidR="008306FE" w:rsidRPr="005A3F47">
              <w:rPr>
                <w:noProof/>
              </w:rPr>
              <w:t xml:space="preserve"> identified problems</w:t>
            </w:r>
            <w:r w:rsidR="003D6556" w:rsidRPr="005A3F47">
              <w:rPr>
                <w:noProof/>
              </w:rPr>
              <w:t>.</w:t>
            </w:r>
          </w:p>
          <w:p w14:paraId="24D052E5" w14:textId="3E883E95" w:rsidR="001F7B5A" w:rsidRPr="005A3F47" w:rsidRDefault="001F7B5A" w:rsidP="0083417A">
            <w:pPr>
              <w:rPr>
                <w:noProof/>
              </w:rPr>
            </w:pPr>
            <w:r w:rsidRPr="005A3F47">
              <w:rPr>
                <w:noProof/>
              </w:rPr>
              <w:t>To provide a better overview, a</w:t>
            </w:r>
            <w:r w:rsidR="0038273D" w:rsidRPr="005A3F47">
              <w:rPr>
                <w:noProof/>
              </w:rPr>
              <w:t xml:space="preserve"> timeline </w:t>
            </w:r>
            <w:r w:rsidR="00FF695A" w:rsidRPr="005A3F47">
              <w:rPr>
                <w:noProof/>
              </w:rPr>
              <w:t>for the adoption of the existing Directives has been added in Annex 7.</w:t>
            </w:r>
          </w:p>
          <w:p w14:paraId="1F587A99" w14:textId="4498BA33" w:rsidR="0016407F" w:rsidRPr="005A3F47" w:rsidRDefault="0061011D" w:rsidP="0083417A">
            <w:pPr>
              <w:rPr>
                <w:noProof/>
              </w:rPr>
            </w:pPr>
            <w:r w:rsidRPr="005A3F47">
              <w:rPr>
                <w:noProof/>
              </w:rPr>
              <w:t>The use of abbreviations has been limited</w:t>
            </w:r>
            <w:r w:rsidR="0095360F" w:rsidRPr="005A3F47">
              <w:rPr>
                <w:noProof/>
              </w:rPr>
              <w:t>,</w:t>
            </w:r>
            <w:r w:rsidR="00417207" w:rsidRPr="005A3F47">
              <w:rPr>
                <w:noProof/>
              </w:rPr>
              <w:t xml:space="preserve"> and more definitions of key concepts have been added</w:t>
            </w:r>
            <w:r w:rsidR="0095360F" w:rsidRPr="005A3F47">
              <w:rPr>
                <w:noProof/>
              </w:rPr>
              <w:t xml:space="preserve"> to make the report more accessible to non-expert readers</w:t>
            </w:r>
            <w:r w:rsidR="00417207" w:rsidRPr="005A3F47">
              <w:rPr>
                <w:noProof/>
              </w:rPr>
              <w:t xml:space="preserve">. The baseline scenario </w:t>
            </w:r>
            <w:r w:rsidR="0095360F" w:rsidRPr="005A3F47">
              <w:rPr>
                <w:noProof/>
              </w:rPr>
              <w:t xml:space="preserve">has been moved from an Annex to the main body of the report to ensure that </w:t>
            </w:r>
            <w:r w:rsidR="00A8444B" w:rsidRPr="005A3F47">
              <w:rPr>
                <w:noProof/>
              </w:rPr>
              <w:t>the report</w:t>
            </w:r>
            <w:r w:rsidR="0095360F" w:rsidRPr="005A3F47">
              <w:rPr>
                <w:noProof/>
              </w:rPr>
              <w:t xml:space="preserve"> is self-standing.</w:t>
            </w:r>
          </w:p>
        </w:tc>
      </w:tr>
    </w:tbl>
    <w:p w14:paraId="1E116417" w14:textId="77777777" w:rsidR="00317069" w:rsidRPr="005A3F47" w:rsidRDefault="00317069" w:rsidP="0083417A">
      <w:pPr>
        <w:rPr>
          <w:noProof/>
        </w:rPr>
      </w:pPr>
    </w:p>
    <w:p w14:paraId="375DEBBF" w14:textId="77777777" w:rsidR="00F56419" w:rsidRPr="005A3F47" w:rsidRDefault="00F56419" w:rsidP="00F56419">
      <w:pPr>
        <w:spacing w:after="0"/>
        <w:rPr>
          <w:noProof/>
        </w:rPr>
      </w:pPr>
      <w:bookmarkStart w:id="310" w:name="_Toc471997758"/>
      <w:bookmarkStart w:id="311" w:name="_Toc226466610"/>
      <w:bookmarkStart w:id="312" w:name="_Toc226466861"/>
      <w:bookmarkStart w:id="313" w:name="_Toc226467222"/>
      <w:bookmarkStart w:id="314" w:name="_Toc226467322"/>
      <w:bookmarkStart w:id="315" w:name="_Toc226467541"/>
    </w:p>
    <w:p w14:paraId="0FADD661" w14:textId="77777777" w:rsidR="006B087E" w:rsidRPr="005A3F47" w:rsidRDefault="006B087E" w:rsidP="00F56419">
      <w:pPr>
        <w:pStyle w:val="Heading2"/>
        <w:rPr>
          <w:noProof/>
        </w:rPr>
      </w:pPr>
      <w:r w:rsidRPr="005A3F47">
        <w:rPr>
          <w:noProof/>
        </w:rPr>
        <w:t>Evidence, sources and quality</w:t>
      </w:r>
      <w:bookmarkEnd w:id="310"/>
      <w:bookmarkEnd w:id="311"/>
      <w:bookmarkEnd w:id="312"/>
      <w:bookmarkEnd w:id="313"/>
      <w:bookmarkEnd w:id="314"/>
      <w:bookmarkEnd w:id="315"/>
    </w:p>
    <w:p w14:paraId="477AA524" w14:textId="6A93C1E6" w:rsidR="007552B5" w:rsidRPr="005A3F47" w:rsidRDefault="007552B5" w:rsidP="0083417A">
      <w:pPr>
        <w:rPr>
          <w:noProof/>
        </w:rPr>
      </w:pPr>
      <w:r w:rsidRPr="005A3F47">
        <w:rPr>
          <w:noProof/>
        </w:rPr>
        <w:t>The evidence base for this impact assessment report is based on various different sources</w:t>
      </w:r>
      <w:r w:rsidR="00037438" w:rsidRPr="005A3F47">
        <w:rPr>
          <w:noProof/>
        </w:rPr>
        <w:t>, such as</w:t>
      </w:r>
      <w:r w:rsidRPr="005A3F47">
        <w:rPr>
          <w:noProof/>
        </w:rPr>
        <w:t xml:space="preserve">: </w:t>
      </w:r>
    </w:p>
    <w:p w14:paraId="61225BC8" w14:textId="6FF3B656" w:rsidR="007552B5" w:rsidRPr="005A3F47" w:rsidRDefault="007552B5" w:rsidP="00D77FFA">
      <w:pPr>
        <w:pStyle w:val="ListParagraph"/>
        <w:numPr>
          <w:ilvl w:val="0"/>
          <w:numId w:val="10"/>
        </w:numPr>
        <w:rPr>
          <w:noProof/>
        </w:rPr>
      </w:pPr>
      <w:r w:rsidRPr="005A3F47">
        <w:rPr>
          <w:noProof/>
        </w:rPr>
        <w:t xml:space="preserve">Modelling by the European Commission’s Joint Research Centre </w:t>
      </w:r>
      <w:r w:rsidR="00354AD9" w:rsidRPr="005A3F47">
        <w:rPr>
          <w:noProof/>
        </w:rPr>
        <w:t>using</w:t>
      </w:r>
      <w:r w:rsidRPr="005A3F47">
        <w:rPr>
          <w:noProof/>
        </w:rPr>
        <w:t xml:space="preserve"> the CORTAX model. </w:t>
      </w:r>
    </w:p>
    <w:p w14:paraId="4A908F32" w14:textId="77777777" w:rsidR="007552B5" w:rsidRPr="005A3F47" w:rsidRDefault="007552B5" w:rsidP="00D77FFA">
      <w:pPr>
        <w:pStyle w:val="ListParagraph"/>
        <w:numPr>
          <w:ilvl w:val="0"/>
          <w:numId w:val="10"/>
        </w:numPr>
        <w:rPr>
          <w:noProof/>
        </w:rPr>
      </w:pPr>
      <w:r w:rsidRPr="005A3F47">
        <w:rPr>
          <w:noProof/>
        </w:rPr>
        <w:t>Feedback from the targeted stakeholder consultations and call for evidence, as summarised in the synopsis report in Annex 2.</w:t>
      </w:r>
    </w:p>
    <w:p w14:paraId="6021A9D2" w14:textId="48692892" w:rsidR="00464E30" w:rsidRPr="005A3F47" w:rsidRDefault="00464E30" w:rsidP="00D77FFA">
      <w:pPr>
        <w:pStyle w:val="ListParagraph"/>
        <w:numPr>
          <w:ilvl w:val="0"/>
          <w:numId w:val="10"/>
        </w:numPr>
        <w:rPr>
          <w:noProof/>
        </w:rPr>
      </w:pPr>
      <w:r w:rsidRPr="005A3F47">
        <w:rPr>
          <w:noProof/>
        </w:rPr>
        <w:t>The ATAD evaluation.</w:t>
      </w:r>
    </w:p>
    <w:p w14:paraId="3647D1DE" w14:textId="7CCC5BCC" w:rsidR="009A6DEF" w:rsidRPr="005A3F47" w:rsidRDefault="007552B5" w:rsidP="00D77FFA">
      <w:pPr>
        <w:pStyle w:val="ListParagraph"/>
        <w:numPr>
          <w:ilvl w:val="0"/>
          <w:numId w:val="11"/>
        </w:numPr>
        <w:rPr>
          <w:noProof/>
        </w:rPr>
      </w:pPr>
      <w:r w:rsidRPr="005A3F47">
        <w:rPr>
          <w:noProof/>
        </w:rPr>
        <w:t>Exchanges with additional stakeholders through the Platform for Tax Good Governance and with Member States in Commission Working Party IV</w:t>
      </w:r>
      <w:r w:rsidR="0075728D" w:rsidRPr="005A3F47">
        <w:rPr>
          <w:noProof/>
        </w:rPr>
        <w:t>.</w:t>
      </w:r>
    </w:p>
    <w:p w14:paraId="1B060009" w14:textId="1489FFB8" w:rsidR="006B087E" w:rsidRPr="005A3F47" w:rsidRDefault="007552B5" w:rsidP="00D77FFA">
      <w:pPr>
        <w:pStyle w:val="ListParagraph"/>
        <w:numPr>
          <w:ilvl w:val="0"/>
          <w:numId w:val="11"/>
        </w:numPr>
        <w:rPr>
          <w:noProof/>
        </w:rPr>
      </w:pPr>
      <w:r w:rsidRPr="005A3F47">
        <w:rPr>
          <w:noProof/>
        </w:rPr>
        <w:t>Desk research and quantitative analysis</w:t>
      </w:r>
      <w:r w:rsidR="0075728D" w:rsidRPr="005A3F47">
        <w:rPr>
          <w:noProof/>
        </w:rPr>
        <w:t>.</w:t>
      </w:r>
    </w:p>
    <w:p w14:paraId="503C26F8" w14:textId="77777777" w:rsidR="006B087E" w:rsidRPr="005A3F47" w:rsidRDefault="006B087E" w:rsidP="000E3086">
      <w:pPr>
        <w:pStyle w:val="Text1"/>
        <w:rPr>
          <w:noProof/>
        </w:rPr>
      </w:pPr>
    </w:p>
    <w:p w14:paraId="2EAFDFCC" w14:textId="77777777" w:rsidR="006B087E" w:rsidRPr="005A3F47" w:rsidRDefault="006B087E" w:rsidP="000E3086">
      <w:pPr>
        <w:rPr>
          <w:rFonts w:eastAsia="Times New Roman"/>
          <w:noProof/>
          <w:szCs w:val="20"/>
        </w:rPr>
      </w:pPr>
      <w:r w:rsidRPr="005A3F47">
        <w:rPr>
          <w:noProof/>
        </w:rPr>
        <w:br w:type="page"/>
      </w:r>
    </w:p>
    <w:p w14:paraId="2C295793" w14:textId="77777777" w:rsidR="006B087E" w:rsidRPr="005A3F47" w:rsidRDefault="006B087E" w:rsidP="00C22AB4">
      <w:pPr>
        <w:pStyle w:val="AnnexTitle"/>
        <w:rPr>
          <w:noProof/>
        </w:rPr>
      </w:pPr>
      <w:bookmarkStart w:id="316" w:name="_Toc226466611"/>
      <w:bookmarkStart w:id="317" w:name="_Toc226466862"/>
      <w:bookmarkStart w:id="318" w:name="_Toc226467223"/>
      <w:bookmarkStart w:id="319" w:name="_Toc226467323"/>
      <w:bookmarkStart w:id="320" w:name="_Toc226467542"/>
      <w:bookmarkStart w:id="321" w:name="_Toc230258082"/>
      <w:r w:rsidRPr="005A3F47">
        <w:rPr>
          <w:noProof/>
        </w:rPr>
        <w:t xml:space="preserve">Annex 2: Stakeholder consultation </w:t>
      </w:r>
      <w:r w:rsidR="00A84A61" w:rsidRPr="005A3F47">
        <w:rPr>
          <w:noProof/>
        </w:rPr>
        <w:t>(Synopsis report)</w:t>
      </w:r>
      <w:bookmarkEnd w:id="316"/>
      <w:bookmarkEnd w:id="317"/>
      <w:bookmarkEnd w:id="318"/>
      <w:bookmarkEnd w:id="319"/>
      <w:bookmarkEnd w:id="320"/>
      <w:bookmarkEnd w:id="321"/>
    </w:p>
    <w:p w14:paraId="5891B03C" w14:textId="26455372" w:rsidR="00466C8A" w:rsidRPr="005A3F47" w:rsidRDefault="0007223C" w:rsidP="00682E6E">
      <w:pPr>
        <w:pStyle w:val="Heading2"/>
        <w:rPr>
          <w:noProof/>
        </w:rPr>
      </w:pPr>
      <w:bookmarkStart w:id="322" w:name="_Toc226466612"/>
      <w:bookmarkStart w:id="323" w:name="_Toc226466863"/>
      <w:bookmarkStart w:id="324" w:name="_Toc226467224"/>
      <w:bookmarkStart w:id="325" w:name="_Toc226467324"/>
      <w:bookmarkStart w:id="326" w:name="_Toc226467543"/>
      <w:r w:rsidRPr="005A3F47">
        <w:rPr>
          <w:noProof/>
        </w:rPr>
        <w:t>Stakeholders</w:t>
      </w:r>
      <w:r w:rsidR="007626AE" w:rsidRPr="005A3F47">
        <w:rPr>
          <w:noProof/>
        </w:rPr>
        <w:t>’ engagement strategy</w:t>
      </w:r>
      <w:bookmarkEnd w:id="322"/>
      <w:bookmarkEnd w:id="323"/>
      <w:bookmarkEnd w:id="324"/>
      <w:bookmarkEnd w:id="325"/>
      <w:bookmarkEnd w:id="326"/>
    </w:p>
    <w:p w14:paraId="2E1258B0" w14:textId="08B78907" w:rsidR="00A0468E" w:rsidRPr="005A3F47" w:rsidRDefault="00A0468E" w:rsidP="000E3086">
      <w:pPr>
        <w:rPr>
          <w:noProof/>
        </w:rPr>
      </w:pPr>
      <w:r w:rsidRPr="005A3F47">
        <w:rPr>
          <w:noProof/>
        </w:rPr>
        <w:t xml:space="preserve">The consultation strategy for the </w:t>
      </w:r>
      <w:r w:rsidR="00213CB9" w:rsidRPr="005A3F47">
        <w:rPr>
          <w:noProof/>
        </w:rPr>
        <w:t>Omnibus on Taxation</w:t>
      </w:r>
      <w:r w:rsidRPr="005A3F47">
        <w:rPr>
          <w:noProof/>
        </w:rPr>
        <w:t xml:space="preserve"> encompasses the following activities:</w:t>
      </w:r>
    </w:p>
    <w:p w14:paraId="48D1B526" w14:textId="2B1F345D" w:rsidR="00DE0045" w:rsidRPr="005A3F47" w:rsidRDefault="0001773A" w:rsidP="00D77FFA">
      <w:pPr>
        <w:pStyle w:val="ListParagraph"/>
        <w:numPr>
          <w:ilvl w:val="0"/>
          <w:numId w:val="12"/>
        </w:numPr>
        <w:rPr>
          <w:noProof/>
        </w:rPr>
      </w:pPr>
      <w:r w:rsidRPr="005A3F47">
        <w:rPr>
          <w:noProof/>
        </w:rPr>
        <w:t xml:space="preserve">Feedback to the Call for Evidence published on the Commission website on </w:t>
      </w:r>
      <w:r w:rsidR="00110361" w:rsidRPr="005A3F47">
        <w:rPr>
          <w:noProof/>
        </w:rPr>
        <w:t>16</w:t>
      </w:r>
      <w:r w:rsidR="001C7ED9" w:rsidRPr="005A3F47">
        <w:rPr>
          <w:noProof/>
        </w:rPr>
        <w:t xml:space="preserve"> Feb</w:t>
      </w:r>
      <w:r w:rsidR="00910B6A" w:rsidRPr="005A3F47">
        <w:rPr>
          <w:noProof/>
        </w:rPr>
        <w:t xml:space="preserve">ruary </w:t>
      </w:r>
      <w:r w:rsidRPr="005A3F47">
        <w:rPr>
          <w:noProof/>
        </w:rPr>
        <w:t>2026</w:t>
      </w:r>
    </w:p>
    <w:p w14:paraId="249F04F3" w14:textId="63B297D0" w:rsidR="008D7868" w:rsidRPr="005A3F47" w:rsidRDefault="00CB2D85" w:rsidP="00D77FFA">
      <w:pPr>
        <w:pStyle w:val="ListParagraph"/>
        <w:numPr>
          <w:ilvl w:val="0"/>
          <w:numId w:val="12"/>
        </w:numPr>
        <w:rPr>
          <w:noProof/>
        </w:rPr>
      </w:pPr>
      <w:r w:rsidRPr="005A3F47">
        <w:rPr>
          <w:noProof/>
        </w:rPr>
        <w:t xml:space="preserve">Targeted consultations with </w:t>
      </w:r>
      <w:r w:rsidR="00745F54" w:rsidRPr="005A3F47">
        <w:rPr>
          <w:noProof/>
        </w:rPr>
        <w:t xml:space="preserve">a wide range and large number of </w:t>
      </w:r>
      <w:r w:rsidRPr="005A3F47">
        <w:rPr>
          <w:noProof/>
        </w:rPr>
        <w:t>key stakeholders</w:t>
      </w:r>
    </w:p>
    <w:p w14:paraId="40CA52BC" w14:textId="32C62079" w:rsidR="00CF5C52" w:rsidRPr="005A3F47" w:rsidRDefault="00CB2D85" w:rsidP="000E3086">
      <w:pPr>
        <w:rPr>
          <w:noProof/>
        </w:rPr>
      </w:pPr>
      <w:r w:rsidRPr="005A3F47">
        <w:rPr>
          <w:noProof/>
        </w:rPr>
        <w:t>N</w:t>
      </w:r>
      <w:r w:rsidR="006B087E" w:rsidRPr="005A3F47">
        <w:rPr>
          <w:noProof/>
        </w:rPr>
        <w:t xml:space="preserve">o public consultation has been conducted </w:t>
      </w:r>
      <w:r w:rsidRPr="005A3F47">
        <w:rPr>
          <w:noProof/>
        </w:rPr>
        <w:t xml:space="preserve">as </w:t>
      </w:r>
      <w:r w:rsidR="00F4475F" w:rsidRPr="005A3F47">
        <w:rPr>
          <w:noProof/>
        </w:rPr>
        <w:t xml:space="preserve">extensive </w:t>
      </w:r>
      <w:r w:rsidRPr="005A3F47">
        <w:rPr>
          <w:noProof/>
        </w:rPr>
        <w:t>targeted consultations have been held with</w:t>
      </w:r>
      <w:r w:rsidR="00A21D1D" w:rsidRPr="005A3F47">
        <w:rPr>
          <w:noProof/>
        </w:rPr>
        <w:t xml:space="preserve"> key stake</w:t>
      </w:r>
      <w:r w:rsidR="00A24733" w:rsidRPr="005A3F47">
        <w:rPr>
          <w:noProof/>
        </w:rPr>
        <w:t xml:space="preserve">holders over </w:t>
      </w:r>
      <w:r w:rsidR="00C84828" w:rsidRPr="005A3F47">
        <w:rPr>
          <w:noProof/>
        </w:rPr>
        <w:t xml:space="preserve">the </w:t>
      </w:r>
      <w:r w:rsidR="002C0C65" w:rsidRPr="005A3F47">
        <w:rPr>
          <w:noProof/>
        </w:rPr>
        <w:t>course of</w:t>
      </w:r>
      <w:r w:rsidR="00C84828" w:rsidRPr="005A3F47">
        <w:rPr>
          <w:noProof/>
        </w:rPr>
        <w:t xml:space="preserve"> </w:t>
      </w:r>
      <w:r w:rsidR="00032EC5" w:rsidRPr="005A3F47">
        <w:rPr>
          <w:noProof/>
        </w:rPr>
        <w:t xml:space="preserve">15 months. </w:t>
      </w:r>
    </w:p>
    <w:p w14:paraId="37768651" w14:textId="77777777" w:rsidR="00682E6E" w:rsidRPr="005A3F47" w:rsidRDefault="00682E6E" w:rsidP="00682E6E">
      <w:pPr>
        <w:spacing w:after="0"/>
        <w:rPr>
          <w:noProof/>
        </w:rPr>
      </w:pPr>
    </w:p>
    <w:p w14:paraId="63172419" w14:textId="393E3D40" w:rsidR="002A0863" w:rsidRPr="005A3F47" w:rsidRDefault="002A0863" w:rsidP="00682E6E">
      <w:pPr>
        <w:pStyle w:val="Heading2"/>
        <w:rPr>
          <w:noProof/>
        </w:rPr>
      </w:pPr>
      <w:bookmarkStart w:id="327" w:name="_Toc226466613"/>
      <w:bookmarkStart w:id="328" w:name="_Toc226466864"/>
      <w:bookmarkStart w:id="329" w:name="_Toc226467225"/>
      <w:bookmarkStart w:id="330" w:name="_Toc226467325"/>
      <w:bookmarkStart w:id="331" w:name="_Toc226467544"/>
      <w:r w:rsidRPr="005A3F47">
        <w:rPr>
          <w:noProof/>
        </w:rPr>
        <w:t>Fee</w:t>
      </w:r>
      <w:r w:rsidR="000A7250" w:rsidRPr="005A3F47">
        <w:rPr>
          <w:noProof/>
        </w:rPr>
        <w:t>dback on the Call for Evidence</w:t>
      </w:r>
      <w:bookmarkEnd w:id="327"/>
      <w:bookmarkEnd w:id="328"/>
      <w:bookmarkEnd w:id="329"/>
      <w:bookmarkEnd w:id="330"/>
      <w:bookmarkEnd w:id="331"/>
    </w:p>
    <w:p w14:paraId="50EEE1BC" w14:textId="7FE81106" w:rsidR="00837EBB" w:rsidRPr="005A3F47" w:rsidRDefault="00837EBB" w:rsidP="003F259C">
      <w:pPr>
        <w:spacing w:after="200"/>
        <w:rPr>
          <w:noProof/>
        </w:rPr>
      </w:pPr>
      <w:r w:rsidRPr="005A3F47">
        <w:rPr>
          <w:noProof/>
        </w:rPr>
        <w:t xml:space="preserve">The consultation period through this feedback mechanism took place between </w:t>
      </w:r>
      <w:r w:rsidR="00110361" w:rsidRPr="005A3F47">
        <w:rPr>
          <w:noProof/>
        </w:rPr>
        <w:t>16</w:t>
      </w:r>
      <w:r w:rsidRPr="005A3F47">
        <w:rPr>
          <w:noProof/>
        </w:rPr>
        <w:t xml:space="preserve"> February and </w:t>
      </w:r>
      <w:r w:rsidR="00110361" w:rsidRPr="005A3F47">
        <w:rPr>
          <w:noProof/>
        </w:rPr>
        <w:t>30 March 2026</w:t>
      </w:r>
      <w:r w:rsidRPr="005A3F47">
        <w:rPr>
          <w:noProof/>
        </w:rPr>
        <w:t xml:space="preserve"> via the Commission website</w:t>
      </w:r>
      <w:r w:rsidR="00B51CB4" w:rsidRPr="005A3F47">
        <w:rPr>
          <w:rStyle w:val="FootnoteReference"/>
          <w:noProof/>
        </w:rPr>
        <w:footnoteReference w:id="120"/>
      </w:r>
      <w:r w:rsidRPr="005A3F47">
        <w:rPr>
          <w:noProof/>
        </w:rPr>
        <w:t xml:space="preserve">. </w:t>
      </w:r>
      <w:r w:rsidR="001142DA" w:rsidRPr="005A3F47">
        <w:rPr>
          <w:noProof/>
        </w:rPr>
        <w:t>117</w:t>
      </w:r>
      <w:r w:rsidRPr="005A3F47">
        <w:rPr>
          <w:noProof/>
        </w:rPr>
        <w:t xml:space="preserve"> contributions were submitted during this consultation period by the following categories of stakeholders:</w:t>
      </w:r>
    </w:p>
    <w:p w14:paraId="7AF5839B" w14:textId="2D76EFC1" w:rsidR="00A1069A" w:rsidRPr="005A3F47" w:rsidRDefault="00A1069A" w:rsidP="00FA5980">
      <w:pPr>
        <w:pStyle w:val="Caption"/>
        <w:keepNext/>
        <w:jc w:val="lef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10</w:t>
      </w:r>
      <w:r w:rsidRPr="005A3F47">
        <w:rPr>
          <w:noProof/>
          <w:color w:val="auto"/>
        </w:rPr>
        <w:fldChar w:fldCharType="end"/>
      </w:r>
      <w:r w:rsidRPr="005A3F47">
        <w:rPr>
          <w:noProof/>
          <w:color w:val="auto"/>
        </w:rPr>
        <w:t xml:space="preserve">: </w:t>
      </w:r>
      <w:r w:rsidR="00E36D4B" w:rsidRPr="005A3F47">
        <w:rPr>
          <w:noProof/>
          <w:color w:val="auto"/>
        </w:rPr>
        <w:t xml:space="preserve">Respondents </w:t>
      </w:r>
      <w:r w:rsidR="008412D1" w:rsidRPr="005A3F47">
        <w:rPr>
          <w:noProof/>
          <w:color w:val="auto"/>
        </w:rPr>
        <w:t>to the Call for Evidence</w:t>
      </w:r>
      <w:r w:rsidR="00E36D4B" w:rsidRPr="005A3F47">
        <w:rPr>
          <w:noProof/>
          <w:color w:val="auto"/>
        </w:rPr>
        <w:t xml:space="preserve"> by category</w:t>
      </w:r>
    </w:p>
    <w:p w14:paraId="532EAA46" w14:textId="77777777" w:rsidR="00406105" w:rsidRPr="005A3F47" w:rsidRDefault="00406105" w:rsidP="00E61923">
      <w:pPr>
        <w:keepNext/>
        <w:spacing w:after="200"/>
        <w:jc w:val="left"/>
        <w:rPr>
          <w:noProof/>
        </w:rPr>
      </w:pPr>
      <w:r w:rsidRPr="005A3F47">
        <w:rPr>
          <w:noProof/>
          <w:lang w:eastAsia="en-GB"/>
        </w:rPr>
        <w:drawing>
          <wp:inline distT="0" distB="0" distL="0" distR="0" wp14:anchorId="6F6505FA" wp14:editId="0EA9971C">
            <wp:extent cx="6093948" cy="2615492"/>
            <wp:effectExtent l="0" t="0" r="0" b="0"/>
            <wp:docPr id="947229972" name="Picture 1" descr="A pi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29972" name="Picture 1" descr="A pie chart with text&#10;&#10;AI-generated content may be incorrect."/>
                    <pic:cNvPicPr/>
                  </pic:nvPicPr>
                  <pic:blipFill rotWithShape="1">
                    <a:blip r:embed="rId36"/>
                    <a:srcRect t="21154"/>
                    <a:stretch>
                      <a:fillRect/>
                    </a:stretch>
                  </pic:blipFill>
                  <pic:spPr bwMode="auto">
                    <a:xfrm>
                      <a:off x="0" y="0"/>
                      <a:ext cx="6104823" cy="2620160"/>
                    </a:xfrm>
                    <a:prstGeom prst="rect">
                      <a:avLst/>
                    </a:prstGeom>
                    <a:ln>
                      <a:noFill/>
                    </a:ln>
                    <a:extLst>
                      <a:ext uri="{53640926-AAD7-44D8-BBD7-CCE9431645EC}">
                        <a14:shadowObscured xmlns:a14="http://schemas.microsoft.com/office/drawing/2010/main"/>
                      </a:ext>
                    </a:extLst>
                  </pic:spPr>
                </pic:pic>
              </a:graphicData>
            </a:graphic>
          </wp:inline>
        </w:drawing>
      </w:r>
    </w:p>
    <w:p w14:paraId="40472A47" w14:textId="370D7572" w:rsidR="00406105" w:rsidRPr="005A3F47" w:rsidRDefault="00406105" w:rsidP="00E61923">
      <w:pPr>
        <w:pStyle w:val="Caption"/>
        <w:jc w:val="left"/>
        <w:rPr>
          <w:noProof/>
          <w:color w:val="auto"/>
          <w:lang w:val="fr-FR"/>
        </w:rPr>
      </w:pPr>
      <w:r w:rsidRPr="005A3F47">
        <w:rPr>
          <w:noProof/>
          <w:color w:val="auto"/>
          <w:lang w:val="fr-FR"/>
        </w:rPr>
        <w:t xml:space="preserve">Source: </w:t>
      </w:r>
      <w:hyperlink r:id="rId37" w:history="1">
        <w:r w:rsidRPr="005A3F47">
          <w:rPr>
            <w:rStyle w:val="Hyperlink"/>
            <w:noProof/>
            <w:color w:val="auto"/>
            <w:lang w:val="fr-FR"/>
          </w:rPr>
          <w:t>https://ec.europa.eu/info/law/better-regulation/have-your-say/initiatives/16912-Simplifying-EU-rules-on-direct-taxation-omnibus/feedback_en?p_id=22324</w:t>
        </w:r>
      </w:hyperlink>
      <w:r w:rsidRPr="005A3F47">
        <w:rPr>
          <w:noProof/>
          <w:color w:val="auto"/>
          <w:lang w:val="fr-FR"/>
        </w:rPr>
        <w:t xml:space="preserve"> </w:t>
      </w:r>
    </w:p>
    <w:p w14:paraId="78CF77C6" w14:textId="749EE6C0" w:rsidR="00A1280A" w:rsidRPr="005A3F47" w:rsidRDefault="00A1280A" w:rsidP="003F259C">
      <w:pPr>
        <w:spacing w:after="200"/>
        <w:jc w:val="left"/>
        <w:rPr>
          <w:noProof/>
          <w:lang w:val="fr-FR"/>
        </w:rPr>
      </w:pPr>
    </w:p>
    <w:p w14:paraId="505B2394" w14:textId="16BADD3B" w:rsidR="000E157C" w:rsidRPr="005A3F47" w:rsidRDefault="007373FD" w:rsidP="003F259C">
      <w:pPr>
        <w:spacing w:after="200"/>
        <w:rPr>
          <w:noProof/>
        </w:rPr>
      </w:pPr>
      <w:r w:rsidRPr="005A3F47">
        <w:rPr>
          <w:noProof/>
        </w:rPr>
        <w:t xml:space="preserve">Overall, stakeholders </w:t>
      </w:r>
      <w:r w:rsidR="007D6AF3" w:rsidRPr="005A3F47">
        <w:rPr>
          <w:noProof/>
        </w:rPr>
        <w:t xml:space="preserve">fully </w:t>
      </w:r>
      <w:r w:rsidR="00975030" w:rsidRPr="005A3F47">
        <w:rPr>
          <w:noProof/>
        </w:rPr>
        <w:t xml:space="preserve">supported the </w:t>
      </w:r>
      <w:r w:rsidR="00EE2883" w:rsidRPr="005A3F47">
        <w:rPr>
          <w:noProof/>
        </w:rPr>
        <w:t>initiative to</w:t>
      </w:r>
      <w:r w:rsidRPr="005A3F47">
        <w:rPr>
          <w:noProof/>
        </w:rPr>
        <w:t xml:space="preserve"> </w:t>
      </w:r>
      <w:r w:rsidR="00EE2883" w:rsidRPr="005A3F47">
        <w:rPr>
          <w:noProof/>
        </w:rPr>
        <w:t>simplify</w:t>
      </w:r>
      <w:r w:rsidR="002406A9" w:rsidRPr="005A3F47">
        <w:rPr>
          <w:noProof/>
        </w:rPr>
        <w:t xml:space="preserve"> existing EU tax rules </w:t>
      </w:r>
      <w:r w:rsidR="00A977F5" w:rsidRPr="005A3F47">
        <w:rPr>
          <w:noProof/>
        </w:rPr>
        <w:t>with a view to improving the functioning of the internal market</w:t>
      </w:r>
      <w:r w:rsidR="00407474" w:rsidRPr="005A3F47">
        <w:rPr>
          <w:noProof/>
        </w:rPr>
        <w:t xml:space="preserve"> and ensuring Europe’s attractiveness as a place to invest and </w:t>
      </w:r>
      <w:r w:rsidR="00A3724E" w:rsidRPr="005A3F47">
        <w:rPr>
          <w:noProof/>
        </w:rPr>
        <w:t>to</w:t>
      </w:r>
      <w:r w:rsidR="00407474" w:rsidRPr="005A3F47">
        <w:rPr>
          <w:noProof/>
        </w:rPr>
        <w:t xml:space="preserve"> do business</w:t>
      </w:r>
      <w:r w:rsidR="00A977F5" w:rsidRPr="005A3F47">
        <w:rPr>
          <w:noProof/>
        </w:rPr>
        <w:t>.</w:t>
      </w:r>
      <w:r w:rsidR="00E36CB2" w:rsidRPr="005A3F47">
        <w:rPr>
          <w:noProof/>
        </w:rPr>
        <w:t xml:space="preserve"> </w:t>
      </w:r>
      <w:r w:rsidR="002462D4" w:rsidRPr="005A3F47">
        <w:rPr>
          <w:noProof/>
        </w:rPr>
        <w:t>Nonetheless, t</w:t>
      </w:r>
      <w:r w:rsidR="00E36CB2" w:rsidRPr="005A3F47">
        <w:rPr>
          <w:noProof/>
        </w:rPr>
        <w:t xml:space="preserve">he views on how </w:t>
      </w:r>
      <w:r w:rsidR="00DE6076" w:rsidRPr="005A3F47">
        <w:rPr>
          <w:noProof/>
        </w:rPr>
        <w:t xml:space="preserve">exactly </w:t>
      </w:r>
      <w:r w:rsidR="00E36CB2" w:rsidRPr="005A3F47">
        <w:rPr>
          <w:noProof/>
        </w:rPr>
        <w:t xml:space="preserve">the simplification should be </w:t>
      </w:r>
      <w:r w:rsidR="0024564D" w:rsidRPr="005A3F47">
        <w:rPr>
          <w:noProof/>
        </w:rPr>
        <w:t>conducted</w:t>
      </w:r>
      <w:r w:rsidR="0067148F" w:rsidRPr="005A3F47">
        <w:rPr>
          <w:noProof/>
        </w:rPr>
        <w:t xml:space="preserve"> varied.</w:t>
      </w:r>
      <w:r w:rsidR="007B3D97" w:rsidRPr="005A3F47">
        <w:rPr>
          <w:noProof/>
        </w:rPr>
        <w:t xml:space="preserve"> </w:t>
      </w:r>
    </w:p>
    <w:p w14:paraId="1BB4D1F7" w14:textId="05D1F81B" w:rsidR="00056DC3" w:rsidRPr="005A3F47" w:rsidRDefault="002C1F32" w:rsidP="003F259C">
      <w:pPr>
        <w:spacing w:after="200"/>
        <w:rPr>
          <w:noProof/>
        </w:rPr>
      </w:pPr>
      <w:r w:rsidRPr="005A3F47">
        <w:rPr>
          <w:noProof/>
        </w:rPr>
        <w:t>The majority of stakeholders</w:t>
      </w:r>
      <w:r w:rsidR="002572FE" w:rsidRPr="005A3F47">
        <w:rPr>
          <w:noProof/>
        </w:rPr>
        <w:t xml:space="preserve">, i.e., approximately </w:t>
      </w:r>
      <w:r w:rsidR="005E1584" w:rsidRPr="005A3F47">
        <w:rPr>
          <w:noProof/>
        </w:rPr>
        <w:t>77%</w:t>
      </w:r>
      <w:r w:rsidR="002572FE" w:rsidRPr="005A3F47">
        <w:rPr>
          <w:noProof/>
        </w:rPr>
        <w:t>,</w:t>
      </w:r>
      <w:r w:rsidR="005E1584" w:rsidRPr="005A3F47">
        <w:rPr>
          <w:noProof/>
        </w:rPr>
        <w:t xml:space="preserve"> expressed the need for enhancing harmonisation and limiting</w:t>
      </w:r>
      <w:r w:rsidR="005967D8" w:rsidRPr="005A3F47">
        <w:rPr>
          <w:noProof/>
        </w:rPr>
        <w:t xml:space="preserve"> national discretion in implementing the existing Directives. </w:t>
      </w:r>
      <w:r w:rsidR="00823017" w:rsidRPr="005A3F47">
        <w:rPr>
          <w:noProof/>
        </w:rPr>
        <w:t xml:space="preserve">Other </w:t>
      </w:r>
      <w:r w:rsidR="00765418" w:rsidRPr="005A3F47">
        <w:rPr>
          <w:noProof/>
        </w:rPr>
        <w:t>recurrent</w:t>
      </w:r>
      <w:r w:rsidR="0068074D" w:rsidRPr="005A3F47">
        <w:rPr>
          <w:noProof/>
        </w:rPr>
        <w:t xml:space="preserve"> askes concerned</w:t>
      </w:r>
      <w:r w:rsidR="000D523B" w:rsidRPr="005A3F47">
        <w:rPr>
          <w:noProof/>
        </w:rPr>
        <w:t>, e.g.,</w:t>
      </w:r>
      <w:r w:rsidR="009A452C" w:rsidRPr="005A3F47">
        <w:rPr>
          <w:noProof/>
        </w:rPr>
        <w:t xml:space="preserve"> </w:t>
      </w:r>
      <w:r w:rsidR="00E279FA" w:rsidRPr="005A3F47">
        <w:rPr>
          <w:noProof/>
        </w:rPr>
        <w:t xml:space="preserve">rationalising and modernising </w:t>
      </w:r>
      <w:r w:rsidR="006204B4" w:rsidRPr="005A3F47">
        <w:rPr>
          <w:noProof/>
        </w:rPr>
        <w:t>the existing Directives</w:t>
      </w:r>
      <w:r w:rsidR="0013327E" w:rsidRPr="005A3F47">
        <w:rPr>
          <w:noProof/>
        </w:rPr>
        <w:t>,</w:t>
      </w:r>
      <w:r w:rsidR="00D861D2" w:rsidRPr="005A3F47">
        <w:rPr>
          <w:noProof/>
        </w:rPr>
        <w:t xml:space="preserve"> </w:t>
      </w:r>
      <w:r w:rsidR="00233DC5" w:rsidRPr="005A3F47">
        <w:rPr>
          <w:noProof/>
        </w:rPr>
        <w:t>re</w:t>
      </w:r>
      <w:r w:rsidR="002644DD" w:rsidRPr="005A3F47">
        <w:rPr>
          <w:noProof/>
        </w:rPr>
        <w:t>duc</w:t>
      </w:r>
      <w:r w:rsidR="008E1CB2" w:rsidRPr="005A3F47">
        <w:rPr>
          <w:noProof/>
        </w:rPr>
        <w:t>ing</w:t>
      </w:r>
      <w:r w:rsidR="002644DD" w:rsidRPr="005A3F47">
        <w:rPr>
          <w:noProof/>
        </w:rPr>
        <w:t xml:space="preserve"> overlaps, </w:t>
      </w:r>
      <w:r w:rsidR="008A7FE4" w:rsidRPr="005A3F47">
        <w:rPr>
          <w:noProof/>
        </w:rPr>
        <w:t>inconsistencies</w:t>
      </w:r>
      <w:r w:rsidR="00D861D2" w:rsidRPr="005A3F47">
        <w:rPr>
          <w:noProof/>
        </w:rPr>
        <w:t xml:space="preserve">, </w:t>
      </w:r>
      <w:r w:rsidR="002644DD" w:rsidRPr="005A3F47">
        <w:rPr>
          <w:noProof/>
        </w:rPr>
        <w:t>and administrative burdens</w:t>
      </w:r>
      <w:r w:rsidR="00962ADB" w:rsidRPr="005A3F47">
        <w:rPr>
          <w:noProof/>
        </w:rPr>
        <w:t xml:space="preserve">, </w:t>
      </w:r>
      <w:r w:rsidR="005617F0" w:rsidRPr="005A3F47">
        <w:rPr>
          <w:noProof/>
        </w:rPr>
        <w:t>as well as</w:t>
      </w:r>
      <w:r w:rsidR="002A4E34" w:rsidRPr="005A3F47">
        <w:rPr>
          <w:noProof/>
        </w:rPr>
        <w:t xml:space="preserve"> </w:t>
      </w:r>
      <w:r w:rsidR="00FC4A1F" w:rsidRPr="005A3F47">
        <w:rPr>
          <w:noProof/>
        </w:rPr>
        <w:t xml:space="preserve">standardising and clarifying </w:t>
      </w:r>
      <w:r w:rsidR="002C4B0F" w:rsidRPr="005A3F47">
        <w:rPr>
          <w:noProof/>
        </w:rPr>
        <w:t xml:space="preserve">the </w:t>
      </w:r>
      <w:r w:rsidR="00DC4163" w:rsidRPr="005A3F47">
        <w:rPr>
          <w:noProof/>
        </w:rPr>
        <w:t>terms</w:t>
      </w:r>
      <w:r w:rsidR="005617F0" w:rsidRPr="005A3F47">
        <w:rPr>
          <w:noProof/>
        </w:rPr>
        <w:t xml:space="preserve"> and</w:t>
      </w:r>
      <w:r w:rsidR="00DC4163" w:rsidRPr="005A3F47">
        <w:rPr>
          <w:noProof/>
        </w:rPr>
        <w:t xml:space="preserve"> </w:t>
      </w:r>
      <w:r w:rsidR="007168CA" w:rsidRPr="005A3F47">
        <w:rPr>
          <w:noProof/>
        </w:rPr>
        <w:t>rules</w:t>
      </w:r>
      <w:r w:rsidR="008F2FE8" w:rsidRPr="005A3F47">
        <w:rPr>
          <w:noProof/>
        </w:rPr>
        <w:t xml:space="preserve">. Around 50% of </w:t>
      </w:r>
      <w:r w:rsidR="000D77DA" w:rsidRPr="005A3F47">
        <w:rPr>
          <w:noProof/>
        </w:rPr>
        <w:t xml:space="preserve">the stakeholders found </w:t>
      </w:r>
      <w:r w:rsidR="00585E70" w:rsidRPr="005A3F47">
        <w:rPr>
          <w:noProof/>
        </w:rPr>
        <w:t>that the</w:t>
      </w:r>
      <w:r w:rsidR="007168CA" w:rsidRPr="005A3F47">
        <w:rPr>
          <w:noProof/>
        </w:rPr>
        <w:t xml:space="preserve"> procedures </w:t>
      </w:r>
      <w:r w:rsidR="00D10588" w:rsidRPr="005A3F47">
        <w:rPr>
          <w:noProof/>
        </w:rPr>
        <w:t>following from</w:t>
      </w:r>
      <w:r w:rsidR="002C4B0F" w:rsidRPr="005A3F47">
        <w:rPr>
          <w:noProof/>
        </w:rPr>
        <w:t xml:space="preserve"> the </w:t>
      </w:r>
      <w:r w:rsidR="17202782" w:rsidRPr="005A3F47">
        <w:rPr>
          <w:noProof/>
        </w:rPr>
        <w:t>D</w:t>
      </w:r>
      <w:r w:rsidR="002C4B0F" w:rsidRPr="005A3F47">
        <w:rPr>
          <w:noProof/>
        </w:rPr>
        <w:t>irectives</w:t>
      </w:r>
      <w:r w:rsidR="00585E70" w:rsidRPr="005A3F47">
        <w:rPr>
          <w:noProof/>
        </w:rPr>
        <w:t xml:space="preserve"> should be standardised</w:t>
      </w:r>
      <w:r w:rsidR="00807F3E" w:rsidRPr="005A3F47">
        <w:rPr>
          <w:noProof/>
        </w:rPr>
        <w:t>, including through the use of digital tools</w:t>
      </w:r>
      <w:r w:rsidR="00751749" w:rsidRPr="005A3F47">
        <w:rPr>
          <w:noProof/>
        </w:rPr>
        <w:t xml:space="preserve">. </w:t>
      </w:r>
      <w:r w:rsidR="007F7053" w:rsidRPr="005A3F47">
        <w:rPr>
          <w:noProof/>
        </w:rPr>
        <w:t xml:space="preserve">Around </w:t>
      </w:r>
      <w:r w:rsidR="0055596D" w:rsidRPr="005A3F47">
        <w:rPr>
          <w:noProof/>
        </w:rPr>
        <w:t>60%</w:t>
      </w:r>
      <w:r w:rsidR="000058F2" w:rsidRPr="005A3F47">
        <w:rPr>
          <w:noProof/>
        </w:rPr>
        <w:t xml:space="preserve"> also pointed out the importance of making the rules </w:t>
      </w:r>
      <w:r w:rsidR="005B36E1" w:rsidRPr="005A3F47">
        <w:rPr>
          <w:noProof/>
        </w:rPr>
        <w:t>and procedures</w:t>
      </w:r>
      <w:r w:rsidR="000058F2" w:rsidRPr="005A3F47">
        <w:rPr>
          <w:noProof/>
        </w:rPr>
        <w:t xml:space="preserve"> simpler for SMEs.</w:t>
      </w:r>
    </w:p>
    <w:p w14:paraId="38D47895" w14:textId="1339DA01" w:rsidR="00E17261" w:rsidRPr="005A3F47" w:rsidRDefault="00604399" w:rsidP="003F259C">
      <w:pPr>
        <w:spacing w:after="200"/>
        <w:rPr>
          <w:noProof/>
        </w:rPr>
      </w:pPr>
      <w:r w:rsidRPr="005A3F47">
        <w:rPr>
          <w:noProof/>
        </w:rPr>
        <w:t>In terms of specific</w:t>
      </w:r>
      <w:r w:rsidR="0010451D" w:rsidRPr="005A3F47">
        <w:rPr>
          <w:noProof/>
        </w:rPr>
        <w:t xml:space="preserve"> issues and</w:t>
      </w:r>
      <w:r w:rsidR="002578D1" w:rsidRPr="005A3F47">
        <w:rPr>
          <w:noProof/>
        </w:rPr>
        <w:t xml:space="preserve"> possible</w:t>
      </w:r>
      <w:r w:rsidRPr="005A3F47">
        <w:rPr>
          <w:noProof/>
        </w:rPr>
        <w:t xml:space="preserve"> simplifications to the existing </w:t>
      </w:r>
      <w:r w:rsidR="6FFB2EDD" w:rsidRPr="005A3F47">
        <w:rPr>
          <w:noProof/>
        </w:rPr>
        <w:t>D</w:t>
      </w:r>
      <w:r w:rsidRPr="005A3F47">
        <w:rPr>
          <w:noProof/>
        </w:rPr>
        <w:t xml:space="preserve">irectives, </w:t>
      </w:r>
      <w:r w:rsidR="00582672" w:rsidRPr="005A3F47">
        <w:rPr>
          <w:noProof/>
        </w:rPr>
        <w:t>for the IRD</w:t>
      </w:r>
      <w:r w:rsidRPr="005A3F47">
        <w:rPr>
          <w:noProof/>
        </w:rPr>
        <w:t xml:space="preserve"> </w:t>
      </w:r>
      <w:r w:rsidR="00E17261" w:rsidRPr="005A3F47">
        <w:rPr>
          <w:noProof/>
        </w:rPr>
        <w:t>and the PSD</w:t>
      </w:r>
      <w:r w:rsidR="001D71D1" w:rsidRPr="005A3F47">
        <w:rPr>
          <w:noProof/>
        </w:rPr>
        <w:t>,</w:t>
      </w:r>
      <w:r w:rsidRPr="005A3F47">
        <w:rPr>
          <w:noProof/>
        </w:rPr>
        <w:t xml:space="preserve"> </w:t>
      </w:r>
      <w:r w:rsidR="00831CB3" w:rsidRPr="005A3F47">
        <w:rPr>
          <w:noProof/>
        </w:rPr>
        <w:t xml:space="preserve">approximately </w:t>
      </w:r>
      <w:r w:rsidR="00B00543" w:rsidRPr="005A3F47">
        <w:rPr>
          <w:noProof/>
        </w:rPr>
        <w:t xml:space="preserve">67% of the stakeholders expressed the </w:t>
      </w:r>
      <w:r w:rsidR="007B0395" w:rsidRPr="005A3F47">
        <w:rPr>
          <w:noProof/>
        </w:rPr>
        <w:t xml:space="preserve">need to </w:t>
      </w:r>
      <w:r w:rsidR="00AC4C50" w:rsidRPr="005A3F47">
        <w:rPr>
          <w:noProof/>
        </w:rPr>
        <w:t>simplify the current withholding tax relief framework.</w:t>
      </w:r>
      <w:r w:rsidRPr="005A3F47">
        <w:rPr>
          <w:noProof/>
        </w:rPr>
        <w:t xml:space="preserve"> </w:t>
      </w:r>
      <w:r w:rsidR="007E16E2" w:rsidRPr="005A3F47">
        <w:rPr>
          <w:noProof/>
        </w:rPr>
        <w:t xml:space="preserve">The main </w:t>
      </w:r>
      <w:r w:rsidR="00F13126" w:rsidRPr="005A3F47">
        <w:rPr>
          <w:noProof/>
        </w:rPr>
        <w:t xml:space="preserve">issues </w:t>
      </w:r>
      <w:r w:rsidR="00B2591F" w:rsidRPr="005A3F47">
        <w:rPr>
          <w:noProof/>
        </w:rPr>
        <w:t>concentrated around th</w:t>
      </w:r>
      <w:r w:rsidR="00785905" w:rsidRPr="005A3F47">
        <w:rPr>
          <w:noProof/>
        </w:rPr>
        <w:t>e</w:t>
      </w:r>
      <w:r w:rsidR="007E16E2" w:rsidRPr="005A3F47">
        <w:rPr>
          <w:noProof/>
        </w:rPr>
        <w:t xml:space="preserve"> </w:t>
      </w:r>
      <w:r w:rsidR="00F60D7F" w:rsidRPr="005A3F47">
        <w:rPr>
          <w:noProof/>
        </w:rPr>
        <w:t xml:space="preserve">access to </w:t>
      </w:r>
      <w:r w:rsidR="007E16E2" w:rsidRPr="005A3F47">
        <w:rPr>
          <w:noProof/>
        </w:rPr>
        <w:t xml:space="preserve">withholding tax relief </w:t>
      </w:r>
      <w:r w:rsidR="00EC49F8" w:rsidRPr="005A3F47">
        <w:rPr>
          <w:noProof/>
        </w:rPr>
        <w:t>which was considered as</w:t>
      </w:r>
      <w:r w:rsidR="007E16E2" w:rsidRPr="005A3F47">
        <w:rPr>
          <w:noProof/>
        </w:rPr>
        <w:t xml:space="preserve"> too complex</w:t>
      </w:r>
      <w:r w:rsidR="00785905" w:rsidRPr="005A3F47">
        <w:rPr>
          <w:noProof/>
        </w:rPr>
        <w:t xml:space="preserve">, </w:t>
      </w:r>
      <w:r w:rsidR="00A320B1" w:rsidRPr="005A3F47">
        <w:rPr>
          <w:noProof/>
        </w:rPr>
        <w:t xml:space="preserve">the </w:t>
      </w:r>
      <w:r w:rsidR="00EC49F8" w:rsidRPr="005A3F47">
        <w:rPr>
          <w:noProof/>
        </w:rPr>
        <w:t xml:space="preserve">eligibility requirements </w:t>
      </w:r>
      <w:r w:rsidR="001B5D84" w:rsidRPr="005A3F47">
        <w:rPr>
          <w:noProof/>
        </w:rPr>
        <w:t>too strict and the application of the Directives too inconsistent.</w:t>
      </w:r>
      <w:r w:rsidR="007E16E2" w:rsidRPr="005A3F47">
        <w:rPr>
          <w:noProof/>
        </w:rPr>
        <w:t xml:space="preserve"> On this basis, </w:t>
      </w:r>
      <w:r w:rsidR="00F0390B" w:rsidRPr="005A3F47">
        <w:rPr>
          <w:noProof/>
        </w:rPr>
        <w:t xml:space="preserve">it was </w:t>
      </w:r>
      <w:r w:rsidR="00A8715C" w:rsidRPr="005A3F47">
        <w:rPr>
          <w:i/>
          <w:noProof/>
        </w:rPr>
        <w:t>inter alia</w:t>
      </w:r>
      <w:r w:rsidR="00F0390B" w:rsidRPr="005A3F47">
        <w:rPr>
          <w:noProof/>
        </w:rPr>
        <w:t xml:space="preserve"> suggested to </w:t>
      </w:r>
      <w:r w:rsidR="007B0466" w:rsidRPr="005A3F47">
        <w:rPr>
          <w:noProof/>
        </w:rPr>
        <w:t>remove</w:t>
      </w:r>
      <w:r w:rsidR="00B80AF7" w:rsidRPr="005A3F47">
        <w:rPr>
          <w:noProof/>
        </w:rPr>
        <w:t xml:space="preserve"> upfront requirements, such as attestations, in order to benefit from the tax exemption</w:t>
      </w:r>
      <w:r w:rsidR="003C5F84" w:rsidRPr="005A3F47">
        <w:rPr>
          <w:noProof/>
        </w:rPr>
        <w:t xml:space="preserve">, or to </w:t>
      </w:r>
      <w:r w:rsidR="00E211DB" w:rsidRPr="005A3F47">
        <w:rPr>
          <w:noProof/>
        </w:rPr>
        <w:t>increase administrative cooperation between</w:t>
      </w:r>
      <w:r w:rsidR="0031042F" w:rsidRPr="005A3F47">
        <w:rPr>
          <w:noProof/>
        </w:rPr>
        <w:t xml:space="preserve"> </w:t>
      </w:r>
      <w:r w:rsidR="00B478CC" w:rsidRPr="005A3F47">
        <w:rPr>
          <w:noProof/>
        </w:rPr>
        <w:t xml:space="preserve">the </w:t>
      </w:r>
      <w:r w:rsidR="00E211DB" w:rsidRPr="005A3F47">
        <w:rPr>
          <w:noProof/>
        </w:rPr>
        <w:t>Member States by</w:t>
      </w:r>
      <w:r w:rsidR="003C5F84" w:rsidRPr="005A3F47">
        <w:rPr>
          <w:noProof/>
        </w:rPr>
        <w:t xml:space="preserve"> harmonis</w:t>
      </w:r>
      <w:r w:rsidR="00E211DB" w:rsidRPr="005A3F47">
        <w:rPr>
          <w:noProof/>
        </w:rPr>
        <w:t>ing</w:t>
      </w:r>
      <w:r w:rsidR="0031042F" w:rsidRPr="005A3F47">
        <w:rPr>
          <w:noProof/>
        </w:rPr>
        <w:t xml:space="preserve"> </w:t>
      </w:r>
      <w:r w:rsidR="00B478CC" w:rsidRPr="005A3F47">
        <w:rPr>
          <w:noProof/>
        </w:rPr>
        <w:t>the procedural rules</w:t>
      </w:r>
      <w:r w:rsidR="00180316" w:rsidRPr="005A3F47">
        <w:rPr>
          <w:noProof/>
        </w:rPr>
        <w:t xml:space="preserve">, including </w:t>
      </w:r>
      <w:r w:rsidR="00A70A0E" w:rsidRPr="005A3F47">
        <w:rPr>
          <w:noProof/>
        </w:rPr>
        <w:t>by</w:t>
      </w:r>
      <w:r w:rsidR="00180316" w:rsidRPr="005A3F47">
        <w:rPr>
          <w:noProof/>
        </w:rPr>
        <w:t xml:space="preserve"> </w:t>
      </w:r>
      <w:r w:rsidR="003D3D03" w:rsidRPr="005A3F47">
        <w:rPr>
          <w:noProof/>
        </w:rPr>
        <w:t xml:space="preserve">introducing </w:t>
      </w:r>
      <w:r w:rsidR="00180316" w:rsidRPr="005A3F47">
        <w:rPr>
          <w:noProof/>
        </w:rPr>
        <w:t>a standa</w:t>
      </w:r>
      <w:r w:rsidR="00675FF2" w:rsidRPr="005A3F47">
        <w:rPr>
          <w:noProof/>
        </w:rPr>
        <w:t>rd</w:t>
      </w:r>
      <w:r w:rsidR="00482FB2" w:rsidRPr="005A3F47">
        <w:rPr>
          <w:noProof/>
        </w:rPr>
        <w:t>ised</w:t>
      </w:r>
      <w:r w:rsidR="00675FF2" w:rsidRPr="005A3F47">
        <w:rPr>
          <w:noProof/>
        </w:rPr>
        <w:t xml:space="preserve"> documentation framework,</w:t>
      </w:r>
      <w:r w:rsidR="00B478CC" w:rsidRPr="005A3F47">
        <w:rPr>
          <w:noProof/>
        </w:rPr>
        <w:t xml:space="preserve"> across the EU.</w:t>
      </w:r>
      <w:r w:rsidR="00FF7F5D" w:rsidRPr="005A3F47">
        <w:rPr>
          <w:noProof/>
        </w:rPr>
        <w:t xml:space="preserve"> It was also suggested to</w:t>
      </w:r>
      <w:r w:rsidR="00DE7B48" w:rsidRPr="005A3F47">
        <w:rPr>
          <w:noProof/>
        </w:rPr>
        <w:t xml:space="preserve"> remove with</w:t>
      </w:r>
      <w:r w:rsidR="00170C6D" w:rsidRPr="005A3F47">
        <w:rPr>
          <w:noProof/>
        </w:rPr>
        <w:t>holding taxes within the EU</w:t>
      </w:r>
      <w:r w:rsidR="004E609D" w:rsidRPr="005A3F47">
        <w:rPr>
          <w:noProof/>
        </w:rPr>
        <w:t xml:space="preserve"> </w:t>
      </w:r>
      <w:r w:rsidR="00B03FC8" w:rsidRPr="005A3F47">
        <w:rPr>
          <w:noProof/>
        </w:rPr>
        <w:t>entirely</w:t>
      </w:r>
      <w:r w:rsidR="004E609D" w:rsidRPr="005A3F47">
        <w:rPr>
          <w:noProof/>
        </w:rPr>
        <w:t xml:space="preserve"> or to harmonise the </w:t>
      </w:r>
      <w:r w:rsidR="00AE06D6" w:rsidRPr="005A3F47">
        <w:rPr>
          <w:noProof/>
        </w:rPr>
        <w:t>withholding tax rates. It</w:t>
      </w:r>
      <w:r w:rsidR="00D10C64" w:rsidRPr="005A3F47">
        <w:rPr>
          <w:noProof/>
        </w:rPr>
        <w:t xml:space="preserve"> was</w:t>
      </w:r>
      <w:r w:rsidR="00FF7F5D" w:rsidRPr="005A3F47">
        <w:rPr>
          <w:noProof/>
        </w:rPr>
        <w:t xml:space="preserve"> suggested to update the list of company forms in annex to </w:t>
      </w:r>
      <w:r w:rsidR="0051301E" w:rsidRPr="005A3F47">
        <w:rPr>
          <w:noProof/>
        </w:rPr>
        <w:t xml:space="preserve">each </w:t>
      </w:r>
      <w:r w:rsidR="1AE095AC" w:rsidRPr="005A3F47">
        <w:rPr>
          <w:noProof/>
        </w:rPr>
        <w:t>D</w:t>
      </w:r>
      <w:r w:rsidR="00FF7F5D" w:rsidRPr="005A3F47">
        <w:rPr>
          <w:noProof/>
        </w:rPr>
        <w:t xml:space="preserve">irective to incorporate changes </w:t>
      </w:r>
      <w:r w:rsidR="00E622DB" w:rsidRPr="005A3F47">
        <w:rPr>
          <w:noProof/>
        </w:rPr>
        <w:t xml:space="preserve">seen </w:t>
      </w:r>
      <w:r w:rsidR="00FF7F5D" w:rsidRPr="005A3F47">
        <w:rPr>
          <w:noProof/>
        </w:rPr>
        <w:t xml:space="preserve">during the last years or even make the list more flexible and </w:t>
      </w:r>
      <w:r w:rsidR="00DB5674" w:rsidRPr="005A3F47">
        <w:rPr>
          <w:noProof/>
        </w:rPr>
        <w:t xml:space="preserve">to </w:t>
      </w:r>
      <w:r w:rsidR="009E4D56" w:rsidRPr="005A3F47">
        <w:rPr>
          <w:noProof/>
        </w:rPr>
        <w:t>harmonise the beneficial ownership</w:t>
      </w:r>
      <w:r w:rsidR="00C268CC" w:rsidRPr="005A3F47">
        <w:rPr>
          <w:noProof/>
        </w:rPr>
        <w:t xml:space="preserve"> requirements</w:t>
      </w:r>
      <w:r w:rsidR="00A01E40" w:rsidRPr="005A3F47">
        <w:rPr>
          <w:noProof/>
        </w:rPr>
        <w:t xml:space="preserve"> </w:t>
      </w:r>
      <w:r w:rsidR="00315B23" w:rsidRPr="005A3F47">
        <w:rPr>
          <w:noProof/>
        </w:rPr>
        <w:t>and</w:t>
      </w:r>
      <w:r w:rsidR="00661D05" w:rsidRPr="005A3F47">
        <w:rPr>
          <w:noProof/>
        </w:rPr>
        <w:t xml:space="preserve"> </w:t>
      </w:r>
      <w:r w:rsidR="00B958C0" w:rsidRPr="005A3F47">
        <w:rPr>
          <w:noProof/>
        </w:rPr>
        <w:t xml:space="preserve">the </w:t>
      </w:r>
      <w:r w:rsidR="00315B23" w:rsidRPr="005A3F47">
        <w:rPr>
          <w:noProof/>
        </w:rPr>
        <w:t>participation exemption method.</w:t>
      </w:r>
      <w:r w:rsidR="00912C89" w:rsidRPr="005A3F47">
        <w:rPr>
          <w:noProof/>
        </w:rPr>
        <w:t xml:space="preserve"> </w:t>
      </w:r>
      <w:r w:rsidR="0056279B" w:rsidRPr="005A3F47">
        <w:rPr>
          <w:noProof/>
        </w:rPr>
        <w:t>The need for clarifying the scope of the specific anti-abuse rules w</w:t>
      </w:r>
      <w:r w:rsidR="00DC3511" w:rsidRPr="005A3F47">
        <w:rPr>
          <w:noProof/>
        </w:rPr>
        <w:t>as</w:t>
      </w:r>
      <w:r w:rsidR="0056279B" w:rsidRPr="005A3F47">
        <w:rPr>
          <w:noProof/>
        </w:rPr>
        <w:t xml:space="preserve"> mentioned.</w:t>
      </w:r>
      <w:r w:rsidR="00912C89" w:rsidRPr="005A3F47">
        <w:rPr>
          <w:noProof/>
        </w:rPr>
        <w:t xml:space="preserve"> </w:t>
      </w:r>
      <w:r w:rsidR="0056279B" w:rsidRPr="005A3F47">
        <w:rPr>
          <w:noProof/>
        </w:rPr>
        <w:t>Moreover, it</w:t>
      </w:r>
      <w:r w:rsidR="00912C89" w:rsidRPr="005A3F47">
        <w:rPr>
          <w:noProof/>
        </w:rPr>
        <w:t xml:space="preserve"> was pointed out that the current requirement of a 25% direct holding requirement </w:t>
      </w:r>
      <w:r w:rsidR="000D2CB3" w:rsidRPr="005A3F47">
        <w:rPr>
          <w:noProof/>
        </w:rPr>
        <w:t>in the IRD</w:t>
      </w:r>
      <w:r w:rsidR="00912C89" w:rsidRPr="005A3F47">
        <w:rPr>
          <w:noProof/>
        </w:rPr>
        <w:t xml:space="preserve"> </w:t>
      </w:r>
      <w:r w:rsidR="00961F26" w:rsidRPr="005A3F47">
        <w:rPr>
          <w:noProof/>
        </w:rPr>
        <w:t xml:space="preserve">is too restrictive and </w:t>
      </w:r>
      <w:r w:rsidR="00410CDB" w:rsidRPr="005A3F47">
        <w:rPr>
          <w:noProof/>
        </w:rPr>
        <w:t>should be aligned with the holding requirements under the PSD</w:t>
      </w:r>
      <w:r w:rsidR="00912C89" w:rsidRPr="005A3F47">
        <w:rPr>
          <w:noProof/>
        </w:rPr>
        <w:t>.</w:t>
      </w:r>
      <w:r w:rsidR="0010451D" w:rsidRPr="005A3F47">
        <w:rPr>
          <w:noProof/>
        </w:rPr>
        <w:t xml:space="preserve"> Also</w:t>
      </w:r>
      <w:r w:rsidR="002578D1" w:rsidRPr="005A3F47">
        <w:rPr>
          <w:noProof/>
        </w:rPr>
        <w:t>,</w:t>
      </w:r>
      <w:r w:rsidR="0010451D" w:rsidRPr="005A3F47">
        <w:rPr>
          <w:noProof/>
        </w:rPr>
        <w:t xml:space="preserve"> for the IRD, it was highlighted that the material scope </w:t>
      </w:r>
      <w:r w:rsidR="00702199" w:rsidRPr="005A3F47">
        <w:rPr>
          <w:noProof/>
        </w:rPr>
        <w:t>is too</w:t>
      </w:r>
      <w:r w:rsidR="0010451D" w:rsidRPr="005A3F47">
        <w:rPr>
          <w:noProof/>
        </w:rPr>
        <w:t xml:space="preserve"> narrow,</w:t>
      </w:r>
      <w:r w:rsidR="00D4280F" w:rsidRPr="005A3F47">
        <w:rPr>
          <w:noProof/>
        </w:rPr>
        <w:t xml:space="preserve"> e.g.,</w:t>
      </w:r>
      <w:r w:rsidR="0010451D" w:rsidRPr="005A3F47">
        <w:rPr>
          <w:noProof/>
        </w:rPr>
        <w:t xml:space="preserve"> excluding payments that, from an economic perspective, perform the same function as interest or royalties</w:t>
      </w:r>
      <w:r w:rsidR="00702199" w:rsidRPr="005A3F47">
        <w:rPr>
          <w:noProof/>
        </w:rPr>
        <w:t>, such as</w:t>
      </w:r>
      <w:r w:rsidR="0010451D" w:rsidRPr="005A3F47">
        <w:rPr>
          <w:noProof/>
        </w:rPr>
        <w:t xml:space="preserve"> remuneration arising from hybrid financial instruments, loans with variable or profit</w:t>
      </w:r>
      <w:r w:rsidR="00702199" w:rsidRPr="005A3F47">
        <w:rPr>
          <w:noProof/>
        </w:rPr>
        <w:t>-</w:t>
      </w:r>
      <w:r w:rsidR="0010451D" w:rsidRPr="005A3F47">
        <w:rPr>
          <w:noProof/>
        </w:rPr>
        <w:t xml:space="preserve">linked components, redemption premia, </w:t>
      </w:r>
      <w:r w:rsidR="00C9694C" w:rsidRPr="005A3F47">
        <w:rPr>
          <w:noProof/>
        </w:rPr>
        <w:t>and</w:t>
      </w:r>
      <w:r w:rsidR="0010451D" w:rsidRPr="005A3F47">
        <w:rPr>
          <w:noProof/>
        </w:rPr>
        <w:t xml:space="preserve"> other financial returns</w:t>
      </w:r>
      <w:r w:rsidR="007546B5" w:rsidRPr="005A3F47">
        <w:rPr>
          <w:noProof/>
        </w:rPr>
        <w:t>, and that the concept of interest should be harmonised</w:t>
      </w:r>
      <w:r w:rsidR="00C9694C" w:rsidRPr="005A3F47">
        <w:rPr>
          <w:noProof/>
        </w:rPr>
        <w:t>.</w:t>
      </w:r>
      <w:r w:rsidR="005A026B" w:rsidRPr="005A3F47">
        <w:rPr>
          <w:noProof/>
        </w:rPr>
        <w:t xml:space="preserve"> For the PSD, it was suggested to harmonise the concept of </w:t>
      </w:r>
      <w:r w:rsidR="003D67E0" w:rsidRPr="005A3F47">
        <w:rPr>
          <w:noProof/>
        </w:rPr>
        <w:t>‘</w:t>
      </w:r>
      <w:r w:rsidR="005A026B" w:rsidRPr="005A3F47">
        <w:rPr>
          <w:noProof/>
        </w:rPr>
        <w:t xml:space="preserve">profit </w:t>
      </w:r>
      <w:r w:rsidR="009A00CE" w:rsidRPr="005A3F47">
        <w:rPr>
          <w:noProof/>
        </w:rPr>
        <w:t>distribution</w:t>
      </w:r>
      <w:r w:rsidR="00235127" w:rsidRPr="005A3F47">
        <w:rPr>
          <w:noProof/>
        </w:rPr>
        <w:t>’</w:t>
      </w:r>
      <w:r w:rsidR="006860B1" w:rsidRPr="005A3F47">
        <w:rPr>
          <w:noProof/>
        </w:rPr>
        <w:t xml:space="preserve"> across the EU</w:t>
      </w:r>
      <w:r w:rsidR="009C7CAA" w:rsidRPr="005A3F47">
        <w:rPr>
          <w:noProof/>
        </w:rPr>
        <w:t>, to ensure that all Member States interpret the holding requirements as covering indirect ownership</w:t>
      </w:r>
      <w:r w:rsidR="00E63843" w:rsidRPr="005A3F47">
        <w:rPr>
          <w:noProof/>
        </w:rPr>
        <w:t xml:space="preserve">, to consider holding </w:t>
      </w:r>
      <w:r w:rsidR="003700F9" w:rsidRPr="005A3F47">
        <w:rPr>
          <w:noProof/>
        </w:rPr>
        <w:t>periods</w:t>
      </w:r>
      <w:r w:rsidR="009C7CAA" w:rsidRPr="005A3F47">
        <w:rPr>
          <w:noProof/>
        </w:rPr>
        <w:t xml:space="preserve"> </w:t>
      </w:r>
      <w:r w:rsidR="00A672FA" w:rsidRPr="005A3F47">
        <w:rPr>
          <w:noProof/>
        </w:rPr>
        <w:t>at group level,</w:t>
      </w:r>
      <w:r w:rsidR="009C7CAA" w:rsidRPr="005A3F47">
        <w:rPr>
          <w:noProof/>
        </w:rPr>
        <w:t xml:space="preserve"> </w:t>
      </w:r>
      <w:r w:rsidR="00EC1A6A" w:rsidRPr="005A3F47">
        <w:rPr>
          <w:noProof/>
        </w:rPr>
        <w:t xml:space="preserve">and </w:t>
      </w:r>
      <w:r w:rsidR="00F31523" w:rsidRPr="005A3F47">
        <w:rPr>
          <w:noProof/>
        </w:rPr>
        <w:t xml:space="preserve">to avoid </w:t>
      </w:r>
      <w:r w:rsidR="00C952D2" w:rsidRPr="005A3F47">
        <w:rPr>
          <w:noProof/>
        </w:rPr>
        <w:t>distortive outcomes from the 5% exemption limitation</w:t>
      </w:r>
      <w:r w:rsidR="00261F39" w:rsidRPr="005A3F47">
        <w:rPr>
          <w:noProof/>
        </w:rPr>
        <w:t>.</w:t>
      </w:r>
    </w:p>
    <w:p w14:paraId="1F055CEE" w14:textId="7EBC7331" w:rsidR="00604399" w:rsidRPr="005A3F47" w:rsidRDefault="00191E9C" w:rsidP="003F259C">
      <w:pPr>
        <w:spacing w:after="200"/>
        <w:rPr>
          <w:noProof/>
        </w:rPr>
      </w:pPr>
      <w:r w:rsidRPr="005A3F47">
        <w:rPr>
          <w:noProof/>
        </w:rPr>
        <w:t xml:space="preserve">For the ATAD, </w:t>
      </w:r>
      <w:r w:rsidR="00EC1B8B" w:rsidRPr="005A3F47">
        <w:rPr>
          <w:noProof/>
        </w:rPr>
        <w:t xml:space="preserve">the main message from stakeholders was to address </w:t>
      </w:r>
      <w:r w:rsidR="00F00150" w:rsidRPr="005A3F47">
        <w:rPr>
          <w:noProof/>
        </w:rPr>
        <w:t>the complexity</w:t>
      </w:r>
      <w:r w:rsidR="00374F38" w:rsidRPr="005A3F47">
        <w:rPr>
          <w:noProof/>
        </w:rPr>
        <w:t xml:space="preserve"> and keep the protection.</w:t>
      </w:r>
      <w:r w:rsidR="008F5ADE" w:rsidRPr="005A3F47">
        <w:rPr>
          <w:noProof/>
        </w:rPr>
        <w:t xml:space="preserve"> </w:t>
      </w:r>
      <w:r w:rsidR="004C05DE" w:rsidRPr="005A3F47">
        <w:rPr>
          <w:noProof/>
        </w:rPr>
        <w:t>More specifically, approximately 68%</w:t>
      </w:r>
      <w:r w:rsidR="00191E33" w:rsidRPr="005A3F47">
        <w:rPr>
          <w:noProof/>
        </w:rPr>
        <w:t xml:space="preserve"> of the stakeholders found the parallel application of</w:t>
      </w:r>
      <w:r w:rsidR="00BE4FD4" w:rsidRPr="005A3F47">
        <w:rPr>
          <w:noProof/>
        </w:rPr>
        <w:t xml:space="preserve"> ATAD and Pillar 2 disproportionate</w:t>
      </w:r>
      <w:r w:rsidR="00D9305E" w:rsidRPr="005A3F47">
        <w:rPr>
          <w:noProof/>
        </w:rPr>
        <w:t>. In this regard,</w:t>
      </w:r>
      <w:r w:rsidRPr="005A3F47">
        <w:rPr>
          <w:noProof/>
        </w:rPr>
        <w:t xml:space="preserve"> it</w:t>
      </w:r>
      <w:r w:rsidR="0017297F" w:rsidRPr="005A3F47">
        <w:rPr>
          <w:noProof/>
        </w:rPr>
        <w:t xml:space="preserve"> </w:t>
      </w:r>
      <w:r w:rsidRPr="005A3F47">
        <w:rPr>
          <w:noProof/>
        </w:rPr>
        <w:t xml:space="preserve">was </w:t>
      </w:r>
      <w:r w:rsidR="003B121A" w:rsidRPr="005A3F47">
        <w:rPr>
          <w:i/>
          <w:noProof/>
        </w:rPr>
        <w:t>inter alia</w:t>
      </w:r>
      <w:r w:rsidRPr="005A3F47">
        <w:rPr>
          <w:noProof/>
        </w:rPr>
        <w:t xml:space="preserve"> suggested </w:t>
      </w:r>
      <w:r w:rsidR="00F66F92" w:rsidRPr="005A3F47">
        <w:rPr>
          <w:noProof/>
        </w:rPr>
        <w:t>that</w:t>
      </w:r>
      <w:r w:rsidR="004F5473" w:rsidRPr="005A3F47">
        <w:rPr>
          <w:noProof/>
        </w:rPr>
        <w:t xml:space="preserve">: The </w:t>
      </w:r>
      <w:r w:rsidR="00CC7A4C" w:rsidRPr="005A3F47">
        <w:rPr>
          <w:noProof/>
        </w:rPr>
        <w:t>I</w:t>
      </w:r>
      <w:r w:rsidR="00DA1D2C" w:rsidRPr="005A3F47">
        <w:rPr>
          <w:noProof/>
        </w:rPr>
        <w:t xml:space="preserve">nterest </w:t>
      </w:r>
      <w:r w:rsidR="00CC7A4C" w:rsidRPr="005A3F47">
        <w:rPr>
          <w:noProof/>
        </w:rPr>
        <w:t>L</w:t>
      </w:r>
      <w:r w:rsidR="00DA1D2C" w:rsidRPr="005A3F47">
        <w:rPr>
          <w:noProof/>
        </w:rPr>
        <w:t xml:space="preserve">imitation </w:t>
      </w:r>
      <w:r w:rsidR="00CC7A4C" w:rsidRPr="005A3F47">
        <w:rPr>
          <w:noProof/>
        </w:rPr>
        <w:t>R</w:t>
      </w:r>
      <w:r w:rsidR="00DA1D2C" w:rsidRPr="005A3F47">
        <w:rPr>
          <w:noProof/>
        </w:rPr>
        <w:t>ule</w:t>
      </w:r>
      <w:r w:rsidR="004F5473" w:rsidRPr="005A3F47">
        <w:rPr>
          <w:noProof/>
        </w:rPr>
        <w:t xml:space="preserve"> could be abolished</w:t>
      </w:r>
      <w:r w:rsidR="00D44745" w:rsidRPr="005A3F47">
        <w:rPr>
          <w:noProof/>
        </w:rPr>
        <w:t xml:space="preserve"> if the </w:t>
      </w:r>
      <w:r w:rsidR="003E121A" w:rsidRPr="005A3F47">
        <w:rPr>
          <w:noProof/>
        </w:rPr>
        <w:t xml:space="preserve">lender is established in a jurisdiction which has implemented </w:t>
      </w:r>
      <w:r w:rsidR="00EF352E" w:rsidRPr="005A3F47">
        <w:rPr>
          <w:noProof/>
        </w:rPr>
        <w:t>a QDMTT</w:t>
      </w:r>
      <w:r w:rsidR="00542FA9" w:rsidRPr="005A3F47">
        <w:rPr>
          <w:noProof/>
        </w:rPr>
        <w:t xml:space="preserve">, and </w:t>
      </w:r>
      <w:r w:rsidR="00F0390B" w:rsidRPr="005A3F47">
        <w:rPr>
          <w:noProof/>
        </w:rPr>
        <w:t>CFC</w:t>
      </w:r>
      <w:r w:rsidR="003B121A" w:rsidRPr="005A3F47">
        <w:rPr>
          <w:noProof/>
        </w:rPr>
        <w:t xml:space="preserve"> </w:t>
      </w:r>
      <w:r w:rsidR="001B405D" w:rsidRPr="005A3F47">
        <w:rPr>
          <w:noProof/>
        </w:rPr>
        <w:t>rules</w:t>
      </w:r>
      <w:r w:rsidR="00B0060C" w:rsidRPr="005A3F47">
        <w:rPr>
          <w:noProof/>
        </w:rPr>
        <w:t xml:space="preserve"> and rules on hybrid mismatches could be abolished for </w:t>
      </w:r>
      <w:r w:rsidR="005C139F" w:rsidRPr="005A3F47">
        <w:rPr>
          <w:noProof/>
        </w:rPr>
        <w:t>Pillar 2 companies</w:t>
      </w:r>
      <w:r w:rsidR="006E26F2" w:rsidRPr="005A3F47">
        <w:rPr>
          <w:noProof/>
        </w:rPr>
        <w:t>.</w:t>
      </w:r>
      <w:r w:rsidR="003B6A26" w:rsidRPr="005A3F47">
        <w:rPr>
          <w:noProof/>
        </w:rPr>
        <w:t xml:space="preserve"> </w:t>
      </w:r>
      <w:r w:rsidR="00F90DFF" w:rsidRPr="005A3F47">
        <w:rPr>
          <w:noProof/>
        </w:rPr>
        <w:t>Concerning CFC rules, it wa</w:t>
      </w:r>
      <w:r w:rsidR="00F67546" w:rsidRPr="005A3F47">
        <w:rPr>
          <w:noProof/>
        </w:rPr>
        <w:t xml:space="preserve">s </w:t>
      </w:r>
      <w:r w:rsidR="00FC3162" w:rsidRPr="005A3F47">
        <w:rPr>
          <w:noProof/>
        </w:rPr>
        <w:t>also</w:t>
      </w:r>
      <w:r w:rsidR="00F67546" w:rsidRPr="005A3F47">
        <w:rPr>
          <w:noProof/>
        </w:rPr>
        <w:t xml:space="preserve"> </w:t>
      </w:r>
      <w:r w:rsidR="000E4A12" w:rsidRPr="005A3F47">
        <w:rPr>
          <w:noProof/>
        </w:rPr>
        <w:t>pointed out that</w:t>
      </w:r>
      <w:r w:rsidR="00BF53C4" w:rsidRPr="005A3F47">
        <w:rPr>
          <w:noProof/>
        </w:rPr>
        <w:t xml:space="preserve"> </w:t>
      </w:r>
      <w:r w:rsidR="0017084B" w:rsidRPr="005A3F47">
        <w:rPr>
          <w:noProof/>
        </w:rPr>
        <w:t>by around 60% of the stakeholders that</w:t>
      </w:r>
      <w:r w:rsidR="00BF53C4" w:rsidRPr="005A3F47">
        <w:rPr>
          <w:noProof/>
        </w:rPr>
        <w:t xml:space="preserve"> </w:t>
      </w:r>
      <w:r w:rsidR="005D7AB9" w:rsidRPr="005A3F47">
        <w:rPr>
          <w:noProof/>
        </w:rPr>
        <w:t>fragmentation and legal uncertainty</w:t>
      </w:r>
      <w:r w:rsidR="00BF53C4" w:rsidRPr="005A3F47">
        <w:rPr>
          <w:noProof/>
        </w:rPr>
        <w:t xml:space="preserve"> </w:t>
      </w:r>
      <w:r w:rsidR="00F26527" w:rsidRPr="005A3F47">
        <w:rPr>
          <w:noProof/>
        </w:rPr>
        <w:t>should</w:t>
      </w:r>
      <w:r w:rsidR="00F7594F" w:rsidRPr="005A3F47">
        <w:rPr>
          <w:noProof/>
        </w:rPr>
        <w:t xml:space="preserve"> be </w:t>
      </w:r>
      <w:r w:rsidR="00F26527" w:rsidRPr="005A3F47">
        <w:rPr>
          <w:noProof/>
        </w:rPr>
        <w:t>reduced, e.g., by harmonising</w:t>
      </w:r>
      <w:r w:rsidR="00BF53C4" w:rsidRPr="005A3F47">
        <w:rPr>
          <w:noProof/>
        </w:rPr>
        <w:t xml:space="preserve"> </w:t>
      </w:r>
      <w:r w:rsidR="00BC76E2" w:rsidRPr="005A3F47">
        <w:rPr>
          <w:noProof/>
        </w:rPr>
        <w:t>rules and</w:t>
      </w:r>
      <w:r w:rsidR="00BF53C4" w:rsidRPr="005A3F47">
        <w:rPr>
          <w:noProof/>
        </w:rPr>
        <w:t xml:space="preserve"> </w:t>
      </w:r>
      <w:r w:rsidR="00F7594F" w:rsidRPr="005A3F47">
        <w:rPr>
          <w:noProof/>
        </w:rPr>
        <w:t xml:space="preserve">reporting obligations </w:t>
      </w:r>
      <w:r w:rsidR="006F29CB" w:rsidRPr="005A3F47">
        <w:rPr>
          <w:noProof/>
        </w:rPr>
        <w:t xml:space="preserve">(e.g., </w:t>
      </w:r>
      <w:r w:rsidR="003D0115" w:rsidRPr="005A3F47">
        <w:rPr>
          <w:noProof/>
        </w:rPr>
        <w:t xml:space="preserve">by allowing only the implementation of </w:t>
      </w:r>
      <w:r w:rsidR="004856B9" w:rsidRPr="005A3F47">
        <w:rPr>
          <w:noProof/>
        </w:rPr>
        <w:t>one</w:t>
      </w:r>
      <w:r w:rsidR="003D0115" w:rsidRPr="005A3F47">
        <w:rPr>
          <w:noProof/>
        </w:rPr>
        <w:t xml:space="preserve"> Model)</w:t>
      </w:r>
      <w:r w:rsidR="00AD6947" w:rsidRPr="005A3F47">
        <w:rPr>
          <w:noProof/>
        </w:rPr>
        <w:t>.</w:t>
      </w:r>
      <w:r w:rsidR="005C139F" w:rsidRPr="005A3F47">
        <w:rPr>
          <w:noProof/>
        </w:rPr>
        <w:t xml:space="preserve"> </w:t>
      </w:r>
      <w:r w:rsidR="00D92103" w:rsidRPr="005A3F47">
        <w:rPr>
          <w:noProof/>
        </w:rPr>
        <w:t xml:space="preserve">Concerning the </w:t>
      </w:r>
      <w:r w:rsidR="00CC7A4C" w:rsidRPr="005A3F47">
        <w:rPr>
          <w:noProof/>
        </w:rPr>
        <w:t>I</w:t>
      </w:r>
      <w:r w:rsidR="00DA1D2C" w:rsidRPr="005A3F47">
        <w:rPr>
          <w:noProof/>
        </w:rPr>
        <w:t xml:space="preserve">nterest </w:t>
      </w:r>
      <w:r w:rsidR="00CC7A4C" w:rsidRPr="005A3F47">
        <w:rPr>
          <w:noProof/>
        </w:rPr>
        <w:t>L</w:t>
      </w:r>
      <w:r w:rsidR="00DA1D2C" w:rsidRPr="005A3F47">
        <w:rPr>
          <w:noProof/>
        </w:rPr>
        <w:t xml:space="preserve">imitation </w:t>
      </w:r>
      <w:r w:rsidR="00CC7A4C" w:rsidRPr="005A3F47">
        <w:rPr>
          <w:noProof/>
        </w:rPr>
        <w:t>R</w:t>
      </w:r>
      <w:r w:rsidR="00DA1D2C" w:rsidRPr="005A3F47">
        <w:rPr>
          <w:noProof/>
        </w:rPr>
        <w:t>ule</w:t>
      </w:r>
      <w:r w:rsidR="00D92103" w:rsidRPr="005A3F47">
        <w:rPr>
          <w:noProof/>
        </w:rPr>
        <w:t>,</w:t>
      </w:r>
      <w:r w:rsidR="00B75FD7" w:rsidRPr="005A3F47">
        <w:rPr>
          <w:noProof/>
        </w:rPr>
        <w:t xml:space="preserve"> issues were pointed out by approximately </w:t>
      </w:r>
      <w:r w:rsidR="00B42196" w:rsidRPr="005A3F47">
        <w:rPr>
          <w:noProof/>
        </w:rPr>
        <w:t>52% of the stakeholders. In this regard</w:t>
      </w:r>
      <w:r w:rsidR="00D92103" w:rsidRPr="005A3F47">
        <w:rPr>
          <w:noProof/>
        </w:rPr>
        <w:t xml:space="preserve">, it was stressed that </w:t>
      </w:r>
      <w:r w:rsidR="00C55105" w:rsidRPr="005A3F47">
        <w:rPr>
          <w:noProof/>
        </w:rPr>
        <w:t xml:space="preserve">the current economic conditions, </w:t>
      </w:r>
      <w:r w:rsidR="004B2DD7" w:rsidRPr="005A3F47">
        <w:rPr>
          <w:noProof/>
        </w:rPr>
        <w:t>such as inflation</w:t>
      </w:r>
      <w:r w:rsidR="00FA684C" w:rsidRPr="005A3F47">
        <w:rPr>
          <w:noProof/>
        </w:rPr>
        <w:t>, financing needs,</w:t>
      </w:r>
      <w:r w:rsidR="004B2DD7" w:rsidRPr="005A3F47">
        <w:rPr>
          <w:noProof/>
        </w:rPr>
        <w:t xml:space="preserve"> and </w:t>
      </w:r>
      <w:r w:rsidR="00732A0D" w:rsidRPr="005A3F47">
        <w:rPr>
          <w:noProof/>
        </w:rPr>
        <w:t>income volatility</w:t>
      </w:r>
      <w:r w:rsidR="00787E2C" w:rsidRPr="005A3F47">
        <w:rPr>
          <w:noProof/>
        </w:rPr>
        <w:t>, should be addressed</w:t>
      </w:r>
      <w:r w:rsidR="00732A0D" w:rsidRPr="005A3F47">
        <w:rPr>
          <w:noProof/>
        </w:rPr>
        <w:t xml:space="preserve">. </w:t>
      </w:r>
      <w:r w:rsidR="00CF1DFC" w:rsidRPr="005A3F47">
        <w:rPr>
          <w:noProof/>
        </w:rPr>
        <w:t>In addition, it was suggested to</w:t>
      </w:r>
      <w:r w:rsidR="004D7F31" w:rsidRPr="005A3F47">
        <w:rPr>
          <w:noProof/>
        </w:rPr>
        <w:t xml:space="preserve"> enhance the</w:t>
      </w:r>
      <w:r w:rsidR="00EE79DF" w:rsidRPr="005A3F47">
        <w:rPr>
          <w:noProof/>
        </w:rPr>
        <w:t xml:space="preserve"> target and</w:t>
      </w:r>
      <w:r w:rsidR="004D7F31" w:rsidRPr="005A3F47">
        <w:rPr>
          <w:noProof/>
        </w:rPr>
        <w:t xml:space="preserve"> proportionality of the rule</w:t>
      </w:r>
      <w:r w:rsidR="00F87A96" w:rsidRPr="005A3F47">
        <w:rPr>
          <w:noProof/>
        </w:rPr>
        <w:t>, e.g.,</w:t>
      </w:r>
      <w:r w:rsidR="004D7F31" w:rsidRPr="005A3F47">
        <w:rPr>
          <w:noProof/>
        </w:rPr>
        <w:t xml:space="preserve"> by</w:t>
      </w:r>
      <w:r w:rsidR="00F87A96" w:rsidRPr="005A3F47">
        <w:rPr>
          <w:noProof/>
        </w:rPr>
        <w:t xml:space="preserve"> excluding third party loans, </w:t>
      </w:r>
      <w:r w:rsidR="004F5335" w:rsidRPr="005A3F47">
        <w:rPr>
          <w:noProof/>
        </w:rPr>
        <w:t xml:space="preserve">introducing more </w:t>
      </w:r>
      <w:r w:rsidR="00723B8D" w:rsidRPr="005A3F47">
        <w:rPr>
          <w:noProof/>
        </w:rPr>
        <w:t xml:space="preserve">coherent </w:t>
      </w:r>
      <w:r w:rsidR="004F5335" w:rsidRPr="005A3F47">
        <w:rPr>
          <w:noProof/>
        </w:rPr>
        <w:t>definition</w:t>
      </w:r>
      <w:r w:rsidR="00C83F6B" w:rsidRPr="005A3F47">
        <w:rPr>
          <w:noProof/>
        </w:rPr>
        <w:t>s</w:t>
      </w:r>
      <w:r w:rsidR="004F5335" w:rsidRPr="005A3F47">
        <w:rPr>
          <w:noProof/>
        </w:rPr>
        <w:t xml:space="preserve"> of </w:t>
      </w:r>
      <w:r w:rsidR="003D67E0" w:rsidRPr="005A3F47">
        <w:rPr>
          <w:noProof/>
        </w:rPr>
        <w:t>‘EBITDA’</w:t>
      </w:r>
      <w:r w:rsidR="008E6C6D" w:rsidRPr="005A3F47">
        <w:rPr>
          <w:noProof/>
        </w:rPr>
        <w:t>, ‘inte</w:t>
      </w:r>
      <w:r w:rsidR="00C83F6B" w:rsidRPr="005A3F47">
        <w:rPr>
          <w:noProof/>
        </w:rPr>
        <w:t>rest expense’</w:t>
      </w:r>
      <w:r w:rsidR="00DB6C3D" w:rsidRPr="005A3F47">
        <w:rPr>
          <w:noProof/>
        </w:rPr>
        <w:t xml:space="preserve"> and ‘borrowing costs’</w:t>
      </w:r>
      <w:r w:rsidR="003D67E0" w:rsidRPr="005A3F47">
        <w:rPr>
          <w:noProof/>
        </w:rPr>
        <w:t xml:space="preserve">, </w:t>
      </w:r>
      <w:r w:rsidR="00A739F0" w:rsidRPr="005A3F47">
        <w:rPr>
          <w:noProof/>
        </w:rPr>
        <w:t xml:space="preserve">allowing for certain sector specific requirements, </w:t>
      </w:r>
      <w:r w:rsidR="00481F23" w:rsidRPr="005A3F47">
        <w:rPr>
          <w:noProof/>
        </w:rPr>
        <w:t>making some of the safeguards mandatory, such as</w:t>
      </w:r>
      <w:r w:rsidR="00FE51A6" w:rsidRPr="005A3F47">
        <w:rPr>
          <w:noProof/>
        </w:rPr>
        <w:t xml:space="preserve"> the group escape rule and the </w:t>
      </w:r>
      <w:r w:rsidR="00326115" w:rsidRPr="005A3F47">
        <w:rPr>
          <w:noProof/>
        </w:rPr>
        <w:t>infrastructure project exemption</w:t>
      </w:r>
      <w:r w:rsidR="003A538D" w:rsidRPr="005A3F47">
        <w:rPr>
          <w:noProof/>
        </w:rPr>
        <w:t xml:space="preserve">, while </w:t>
      </w:r>
      <w:r w:rsidR="00330A84" w:rsidRPr="005A3F47">
        <w:rPr>
          <w:noProof/>
        </w:rPr>
        <w:t>broadening</w:t>
      </w:r>
      <w:r w:rsidR="003A538D" w:rsidRPr="005A3F47">
        <w:rPr>
          <w:noProof/>
        </w:rPr>
        <w:t xml:space="preserve"> its scope</w:t>
      </w:r>
      <w:r w:rsidR="004A66AA" w:rsidRPr="005A3F47">
        <w:rPr>
          <w:noProof/>
        </w:rPr>
        <w:t xml:space="preserve">, and </w:t>
      </w:r>
      <w:r w:rsidR="008142E0" w:rsidRPr="005A3F47">
        <w:rPr>
          <w:noProof/>
        </w:rPr>
        <w:t>clarifying the treatment in liquidation scenarios</w:t>
      </w:r>
      <w:r w:rsidR="00326115" w:rsidRPr="005A3F47">
        <w:rPr>
          <w:noProof/>
        </w:rPr>
        <w:t xml:space="preserve">. </w:t>
      </w:r>
      <w:r w:rsidR="00134290" w:rsidRPr="005A3F47">
        <w:rPr>
          <w:noProof/>
        </w:rPr>
        <w:t xml:space="preserve">Concerning the hybrid mismatches, </w:t>
      </w:r>
      <w:r w:rsidR="009622AC" w:rsidRPr="005A3F47">
        <w:rPr>
          <w:noProof/>
        </w:rPr>
        <w:t>concerns were rai</w:t>
      </w:r>
      <w:r w:rsidR="00BE48BD" w:rsidRPr="005A3F47">
        <w:rPr>
          <w:noProof/>
        </w:rPr>
        <w:t xml:space="preserve">sed by around </w:t>
      </w:r>
      <w:r w:rsidR="006650F3" w:rsidRPr="005A3F47">
        <w:rPr>
          <w:noProof/>
        </w:rPr>
        <w:t>43% of the stakeholders.</w:t>
      </w:r>
      <w:r w:rsidR="00134290" w:rsidRPr="005A3F47">
        <w:rPr>
          <w:noProof/>
        </w:rPr>
        <w:t xml:space="preserve"> </w:t>
      </w:r>
      <w:r w:rsidR="00F63FB9" w:rsidRPr="005A3F47">
        <w:rPr>
          <w:noProof/>
        </w:rPr>
        <w:t>I</w:t>
      </w:r>
      <w:r w:rsidR="00E90E09" w:rsidRPr="005A3F47">
        <w:rPr>
          <w:noProof/>
        </w:rPr>
        <w:t>t was</w:t>
      </w:r>
      <w:r w:rsidR="00F63FB9" w:rsidRPr="005A3F47">
        <w:rPr>
          <w:noProof/>
        </w:rPr>
        <w:t>, e.g.,</w:t>
      </w:r>
      <w:r w:rsidR="00E90E09" w:rsidRPr="005A3F47">
        <w:rPr>
          <w:noProof/>
        </w:rPr>
        <w:t xml:space="preserve"> </w:t>
      </w:r>
      <w:r w:rsidR="001D72B4" w:rsidRPr="005A3F47">
        <w:rPr>
          <w:noProof/>
        </w:rPr>
        <w:t>mentioned</w:t>
      </w:r>
      <w:r w:rsidR="00E90E09" w:rsidRPr="005A3F47">
        <w:rPr>
          <w:noProof/>
        </w:rPr>
        <w:t xml:space="preserve"> that the applicability of the rules should be limited to intra-group transactions</w:t>
      </w:r>
      <w:r w:rsidR="002704F1" w:rsidRPr="005A3F47">
        <w:rPr>
          <w:noProof/>
        </w:rPr>
        <w:t xml:space="preserve">, </w:t>
      </w:r>
      <w:r w:rsidR="00E90E09" w:rsidRPr="005A3F47">
        <w:rPr>
          <w:noProof/>
        </w:rPr>
        <w:t>that the rule on imported mismatches should be</w:t>
      </w:r>
      <w:r w:rsidR="00100144" w:rsidRPr="005A3F47">
        <w:rPr>
          <w:noProof/>
        </w:rPr>
        <w:t>:</w:t>
      </w:r>
      <w:r w:rsidR="00E90E09" w:rsidRPr="005A3F47">
        <w:rPr>
          <w:noProof/>
        </w:rPr>
        <w:t xml:space="preserve"> removed</w:t>
      </w:r>
      <w:r w:rsidR="00C837CB" w:rsidRPr="005A3F47">
        <w:rPr>
          <w:noProof/>
        </w:rPr>
        <w:t>, limited to ‘back-to-back structures’</w:t>
      </w:r>
      <w:r w:rsidR="0058037A" w:rsidRPr="005A3F47">
        <w:rPr>
          <w:noProof/>
        </w:rPr>
        <w:t>,</w:t>
      </w:r>
      <w:r w:rsidR="00DF4808" w:rsidRPr="005A3F47">
        <w:rPr>
          <w:noProof/>
        </w:rPr>
        <w:t xml:space="preserve"> or clarified</w:t>
      </w:r>
      <w:r w:rsidR="0058037A" w:rsidRPr="005A3F47">
        <w:rPr>
          <w:noProof/>
        </w:rPr>
        <w:t>.</w:t>
      </w:r>
      <w:r w:rsidR="00187B74" w:rsidRPr="005A3F47">
        <w:rPr>
          <w:noProof/>
        </w:rPr>
        <w:t xml:space="preserve"> In addition, it was requested</w:t>
      </w:r>
      <w:r w:rsidR="002704F1" w:rsidRPr="005A3F47">
        <w:rPr>
          <w:noProof/>
        </w:rPr>
        <w:t xml:space="preserve"> </w:t>
      </w:r>
      <w:r w:rsidR="000E1651" w:rsidRPr="005A3F47">
        <w:rPr>
          <w:noProof/>
        </w:rPr>
        <w:t>that</w:t>
      </w:r>
      <w:r w:rsidR="00FC668C" w:rsidRPr="005A3F47">
        <w:rPr>
          <w:noProof/>
        </w:rPr>
        <w:t xml:space="preserve"> the definition of ‘acting together’ should be </w:t>
      </w:r>
      <w:r w:rsidR="000964FC" w:rsidRPr="005A3F47">
        <w:rPr>
          <w:noProof/>
        </w:rPr>
        <w:t xml:space="preserve">clarified, </w:t>
      </w:r>
      <w:r w:rsidR="00220361" w:rsidRPr="005A3F47">
        <w:rPr>
          <w:noProof/>
        </w:rPr>
        <w:t>and that a de minimis threshold should be introduced</w:t>
      </w:r>
      <w:r w:rsidR="00E90E09" w:rsidRPr="005A3F47">
        <w:rPr>
          <w:noProof/>
        </w:rPr>
        <w:t xml:space="preserve">. </w:t>
      </w:r>
      <w:r w:rsidR="001F2D23" w:rsidRPr="005A3F47">
        <w:rPr>
          <w:noProof/>
        </w:rPr>
        <w:t>Concerning the general anti-abuse rule</w:t>
      </w:r>
      <w:r w:rsidR="00757A0C" w:rsidRPr="005A3F47">
        <w:rPr>
          <w:noProof/>
        </w:rPr>
        <w:t xml:space="preserve"> (GAAR)</w:t>
      </w:r>
      <w:r w:rsidR="001F2D23" w:rsidRPr="005A3F47">
        <w:rPr>
          <w:noProof/>
        </w:rPr>
        <w:t xml:space="preserve">, </w:t>
      </w:r>
      <w:r w:rsidR="00F3694F" w:rsidRPr="005A3F47">
        <w:rPr>
          <w:noProof/>
        </w:rPr>
        <w:t>approximately 44% of the s</w:t>
      </w:r>
      <w:r w:rsidR="00523896" w:rsidRPr="005A3F47">
        <w:rPr>
          <w:noProof/>
        </w:rPr>
        <w:t>takeholders</w:t>
      </w:r>
      <w:r w:rsidR="001F2D23" w:rsidRPr="005A3F47">
        <w:rPr>
          <w:noProof/>
        </w:rPr>
        <w:t xml:space="preserve"> suggested to clarify</w:t>
      </w:r>
      <w:r w:rsidR="00F96353" w:rsidRPr="005A3F47">
        <w:rPr>
          <w:noProof/>
        </w:rPr>
        <w:t xml:space="preserve"> </w:t>
      </w:r>
      <w:r w:rsidR="008F34E0" w:rsidRPr="005A3F47">
        <w:rPr>
          <w:noProof/>
        </w:rPr>
        <w:t>and target its scope</w:t>
      </w:r>
      <w:r w:rsidR="00500300" w:rsidRPr="005A3F47">
        <w:rPr>
          <w:noProof/>
        </w:rPr>
        <w:t xml:space="preserve">, e.g., by providing </w:t>
      </w:r>
      <w:r w:rsidR="002C1201" w:rsidRPr="005A3F47">
        <w:rPr>
          <w:noProof/>
        </w:rPr>
        <w:t>guidance on its interpretation</w:t>
      </w:r>
      <w:r w:rsidR="006B0A2A" w:rsidRPr="005A3F47">
        <w:rPr>
          <w:noProof/>
        </w:rPr>
        <w:t xml:space="preserve"> and </w:t>
      </w:r>
      <w:r w:rsidR="00F16B49" w:rsidRPr="005A3F47">
        <w:rPr>
          <w:noProof/>
        </w:rPr>
        <w:t>by refining the interaction with Pillar 2</w:t>
      </w:r>
      <w:r w:rsidR="008F34E0" w:rsidRPr="005A3F47">
        <w:rPr>
          <w:noProof/>
        </w:rPr>
        <w:t>.</w:t>
      </w:r>
      <w:r w:rsidR="00462491" w:rsidRPr="005A3F47">
        <w:rPr>
          <w:noProof/>
        </w:rPr>
        <w:t xml:space="preserve"> </w:t>
      </w:r>
      <w:r w:rsidR="00611F41" w:rsidRPr="005A3F47">
        <w:rPr>
          <w:noProof/>
        </w:rPr>
        <w:t xml:space="preserve">Concerning exit taxation, </w:t>
      </w:r>
      <w:r w:rsidR="00F716E9" w:rsidRPr="005A3F47">
        <w:rPr>
          <w:noProof/>
        </w:rPr>
        <w:t>it was suggested to</w:t>
      </w:r>
      <w:r w:rsidR="00C14753" w:rsidRPr="005A3F47">
        <w:rPr>
          <w:noProof/>
        </w:rPr>
        <w:t xml:space="preserve"> </w:t>
      </w:r>
      <w:r w:rsidR="008513C6" w:rsidRPr="005A3F47">
        <w:rPr>
          <w:noProof/>
        </w:rPr>
        <w:t>introduce</w:t>
      </w:r>
      <w:r w:rsidR="00C14753" w:rsidRPr="005A3F47">
        <w:rPr>
          <w:noProof/>
        </w:rPr>
        <w:t xml:space="preserve"> tax deferral upon exit</w:t>
      </w:r>
      <w:r w:rsidR="00867441" w:rsidRPr="005A3F47">
        <w:rPr>
          <w:noProof/>
        </w:rPr>
        <w:t xml:space="preserve"> or </w:t>
      </w:r>
      <w:r w:rsidR="00DD0B66" w:rsidRPr="005A3F47">
        <w:rPr>
          <w:noProof/>
        </w:rPr>
        <w:t>until realisation of gains</w:t>
      </w:r>
      <w:r w:rsidR="00C14753" w:rsidRPr="005A3F47">
        <w:rPr>
          <w:noProof/>
        </w:rPr>
        <w:t>, instead of an instalment</w:t>
      </w:r>
      <w:r w:rsidR="00720782" w:rsidRPr="005A3F47">
        <w:rPr>
          <w:noProof/>
        </w:rPr>
        <w:t xml:space="preserve">, </w:t>
      </w:r>
      <w:r w:rsidR="00D7104E" w:rsidRPr="005A3F47">
        <w:rPr>
          <w:noProof/>
        </w:rPr>
        <w:t xml:space="preserve">and to </w:t>
      </w:r>
      <w:r w:rsidR="00505558" w:rsidRPr="005A3F47">
        <w:rPr>
          <w:noProof/>
        </w:rPr>
        <w:t xml:space="preserve">standardise </w:t>
      </w:r>
      <w:r w:rsidR="00CB1AC1" w:rsidRPr="005A3F47">
        <w:rPr>
          <w:noProof/>
        </w:rPr>
        <w:t>the method for determining the market value</w:t>
      </w:r>
      <w:r w:rsidR="00CF1420" w:rsidRPr="005A3F47">
        <w:rPr>
          <w:noProof/>
        </w:rPr>
        <w:t xml:space="preserve">. </w:t>
      </w:r>
      <w:r w:rsidR="002F4A2A" w:rsidRPr="005A3F47">
        <w:rPr>
          <w:noProof/>
        </w:rPr>
        <w:t>Lastly, o</w:t>
      </w:r>
      <w:r w:rsidR="005827BE" w:rsidRPr="005A3F47">
        <w:rPr>
          <w:noProof/>
        </w:rPr>
        <w:t>n a general note</w:t>
      </w:r>
      <w:r w:rsidR="00462491" w:rsidRPr="005A3F47">
        <w:rPr>
          <w:noProof/>
        </w:rPr>
        <w:t xml:space="preserve">, </w:t>
      </w:r>
      <w:r w:rsidR="00903B2C" w:rsidRPr="005A3F47">
        <w:rPr>
          <w:noProof/>
        </w:rPr>
        <w:t>around 67% of the stakeholders</w:t>
      </w:r>
      <w:r w:rsidR="00462491" w:rsidRPr="005A3F47">
        <w:rPr>
          <w:noProof/>
        </w:rPr>
        <w:t xml:space="preserve"> stressed that the minimum standards in ATAD</w:t>
      </w:r>
      <w:r w:rsidR="00F23F36" w:rsidRPr="005A3F47">
        <w:rPr>
          <w:noProof/>
        </w:rPr>
        <w:t>, which are transposed differently in the Member States,</w:t>
      </w:r>
      <w:r w:rsidR="00462491" w:rsidRPr="005A3F47">
        <w:rPr>
          <w:noProof/>
        </w:rPr>
        <w:t xml:space="preserve"> create fragmentation and complexity which could be addressed by enhancing harmonisation in this area</w:t>
      </w:r>
      <w:r w:rsidR="00C45BA0" w:rsidRPr="005A3F47">
        <w:rPr>
          <w:noProof/>
        </w:rPr>
        <w:t xml:space="preserve">, e.g., by </w:t>
      </w:r>
      <w:r w:rsidR="006B3D8C" w:rsidRPr="005A3F47">
        <w:rPr>
          <w:noProof/>
        </w:rPr>
        <w:t>limiting</w:t>
      </w:r>
      <w:r w:rsidR="00C45BA0" w:rsidRPr="005A3F47">
        <w:rPr>
          <w:noProof/>
        </w:rPr>
        <w:t xml:space="preserve"> </w:t>
      </w:r>
      <w:r w:rsidR="00E039E2" w:rsidRPr="005A3F47">
        <w:rPr>
          <w:noProof/>
        </w:rPr>
        <w:t>implementation options</w:t>
      </w:r>
      <w:r w:rsidR="006B3D8C" w:rsidRPr="005A3F47">
        <w:rPr>
          <w:noProof/>
        </w:rPr>
        <w:t xml:space="preserve"> as much as possible</w:t>
      </w:r>
      <w:r w:rsidR="0025588D" w:rsidRPr="005A3F47">
        <w:rPr>
          <w:noProof/>
        </w:rPr>
        <w:t xml:space="preserve"> </w:t>
      </w:r>
      <w:r w:rsidR="003B0432" w:rsidRPr="005A3F47">
        <w:rPr>
          <w:noProof/>
        </w:rPr>
        <w:t>and by reducing ‘gold plating’, i.e., unilateral introduction of additional requirements above the minimum set out in EU legislation, in the Member States</w:t>
      </w:r>
      <w:r w:rsidR="00E039E2" w:rsidRPr="005A3F47">
        <w:rPr>
          <w:noProof/>
        </w:rPr>
        <w:t>.</w:t>
      </w:r>
      <w:r w:rsidR="00462491" w:rsidRPr="005A3F47">
        <w:rPr>
          <w:noProof/>
        </w:rPr>
        <w:t xml:space="preserve"> </w:t>
      </w:r>
      <w:r w:rsidR="004B12FF" w:rsidRPr="005A3F47">
        <w:rPr>
          <w:noProof/>
        </w:rPr>
        <w:t xml:space="preserve">It was also noted </w:t>
      </w:r>
      <w:r w:rsidR="0090485E" w:rsidRPr="005A3F47">
        <w:rPr>
          <w:noProof/>
        </w:rPr>
        <w:t xml:space="preserve">by approximately 45% of the stakeholders that the ATAD rules are disproportionate for SMEs and which could be </w:t>
      </w:r>
      <w:r w:rsidR="00272F93" w:rsidRPr="005A3F47">
        <w:rPr>
          <w:noProof/>
        </w:rPr>
        <w:t>solved by introducing</w:t>
      </w:r>
      <w:r w:rsidR="004B12FF" w:rsidRPr="005A3F47">
        <w:rPr>
          <w:noProof/>
        </w:rPr>
        <w:t xml:space="preserve"> carve-outs for SMEs</w:t>
      </w:r>
      <w:r w:rsidR="00492904" w:rsidRPr="005A3F47">
        <w:rPr>
          <w:noProof/>
        </w:rPr>
        <w:t xml:space="preserve">. </w:t>
      </w:r>
    </w:p>
    <w:p w14:paraId="5D6E8DA6" w14:textId="2AE6D63E" w:rsidR="007A23CD" w:rsidRPr="005A3F47" w:rsidRDefault="007A23CD" w:rsidP="003F259C">
      <w:pPr>
        <w:spacing w:after="200"/>
        <w:rPr>
          <w:noProof/>
        </w:rPr>
      </w:pPr>
      <w:r w:rsidRPr="005A3F47">
        <w:rPr>
          <w:noProof/>
        </w:rPr>
        <w:t xml:space="preserve">For the TMD, </w:t>
      </w:r>
      <w:r w:rsidR="00C67B57" w:rsidRPr="005A3F47">
        <w:rPr>
          <w:noProof/>
        </w:rPr>
        <w:t>approximately 38% of the stakeholders found that the scope should be extended and updated.</w:t>
      </w:r>
      <w:r w:rsidRPr="005A3F47">
        <w:rPr>
          <w:noProof/>
        </w:rPr>
        <w:t xml:space="preserve"> </w:t>
      </w:r>
      <w:r w:rsidR="00C67B57" w:rsidRPr="005A3F47">
        <w:rPr>
          <w:noProof/>
        </w:rPr>
        <w:t>I</w:t>
      </w:r>
      <w:r w:rsidR="00471885" w:rsidRPr="005A3F47">
        <w:rPr>
          <w:noProof/>
        </w:rPr>
        <w:t xml:space="preserve">t was </w:t>
      </w:r>
      <w:r w:rsidR="00471885" w:rsidRPr="005A3F47">
        <w:rPr>
          <w:i/>
          <w:noProof/>
        </w:rPr>
        <w:t>inter alia</w:t>
      </w:r>
      <w:r w:rsidR="00471885" w:rsidRPr="005A3F47">
        <w:rPr>
          <w:noProof/>
        </w:rPr>
        <w:t xml:space="preserve"> pointed out that </w:t>
      </w:r>
      <w:r w:rsidR="009916E7" w:rsidRPr="005A3F47">
        <w:rPr>
          <w:noProof/>
        </w:rPr>
        <w:t>it has not kept pace with developments in EU company law</w:t>
      </w:r>
      <w:r w:rsidR="000A227F" w:rsidRPr="005A3F47">
        <w:rPr>
          <w:noProof/>
        </w:rPr>
        <w:t xml:space="preserve">, i.e., the </w:t>
      </w:r>
      <w:r w:rsidR="0043250F" w:rsidRPr="005A3F47">
        <w:rPr>
          <w:noProof/>
        </w:rPr>
        <w:t>Company Merger Directive as amended by the Mobility Directive,</w:t>
      </w:r>
      <w:r w:rsidR="009916E7" w:rsidRPr="005A3F47">
        <w:rPr>
          <w:noProof/>
        </w:rPr>
        <w:t xml:space="preserve"> and modern business practices. </w:t>
      </w:r>
      <w:r w:rsidR="00B64240" w:rsidRPr="005A3F47">
        <w:rPr>
          <w:noProof/>
        </w:rPr>
        <w:t>I</w:t>
      </w:r>
      <w:r w:rsidR="007B42A4" w:rsidRPr="005A3F47">
        <w:rPr>
          <w:noProof/>
        </w:rPr>
        <w:t xml:space="preserve">t was </w:t>
      </w:r>
      <w:r w:rsidR="00B64240" w:rsidRPr="005A3F47">
        <w:rPr>
          <w:noProof/>
        </w:rPr>
        <w:t xml:space="preserve">also </w:t>
      </w:r>
      <w:r w:rsidR="007B42A4" w:rsidRPr="005A3F47">
        <w:rPr>
          <w:noProof/>
        </w:rPr>
        <w:t>stressed that</w:t>
      </w:r>
      <w:r w:rsidR="00471885" w:rsidRPr="005A3F47">
        <w:rPr>
          <w:noProof/>
        </w:rPr>
        <w:t xml:space="preserve"> there is a need for clarification of the specific anti-abuse rule</w:t>
      </w:r>
      <w:r w:rsidR="00270FEC" w:rsidRPr="005A3F47">
        <w:rPr>
          <w:noProof/>
        </w:rPr>
        <w:t xml:space="preserve">, the </w:t>
      </w:r>
      <w:r w:rsidR="00FB1526" w:rsidRPr="005A3F47">
        <w:rPr>
          <w:noProof/>
        </w:rPr>
        <w:t xml:space="preserve">treatment of losses carried forward, </w:t>
      </w:r>
      <w:r w:rsidR="00270FEC" w:rsidRPr="005A3F47">
        <w:rPr>
          <w:noProof/>
        </w:rPr>
        <w:t>the eff</w:t>
      </w:r>
      <w:r w:rsidR="00C23E95" w:rsidRPr="005A3F47">
        <w:rPr>
          <w:noProof/>
        </w:rPr>
        <w:t>ective dates,</w:t>
      </w:r>
      <w:r w:rsidR="001A1533" w:rsidRPr="005A3F47">
        <w:rPr>
          <w:noProof/>
        </w:rPr>
        <w:t xml:space="preserve"> and the </w:t>
      </w:r>
      <w:r w:rsidR="005A026B" w:rsidRPr="005A3F47">
        <w:rPr>
          <w:noProof/>
        </w:rPr>
        <w:t>rules concerning partial divisions</w:t>
      </w:r>
      <w:r w:rsidR="005D59E4" w:rsidRPr="005A3F47">
        <w:rPr>
          <w:noProof/>
        </w:rPr>
        <w:t xml:space="preserve">, </w:t>
      </w:r>
      <w:r w:rsidR="005C20E9" w:rsidRPr="005A3F47">
        <w:rPr>
          <w:noProof/>
        </w:rPr>
        <w:t xml:space="preserve">including the </w:t>
      </w:r>
      <w:r w:rsidR="005C20E9" w:rsidRPr="005A3F47">
        <w:rPr>
          <w:noProof/>
          <w:lang w:val="en-IE"/>
        </w:rPr>
        <w:t>rules for allocating shared or functionally important assets.</w:t>
      </w:r>
      <w:r w:rsidR="002823EE" w:rsidRPr="005A3F47">
        <w:rPr>
          <w:noProof/>
          <w:lang w:val="en-IE"/>
        </w:rPr>
        <w:t xml:space="preserve"> </w:t>
      </w:r>
      <w:r w:rsidR="004D3E88" w:rsidRPr="005A3F47">
        <w:rPr>
          <w:noProof/>
          <w:lang w:val="en-IE"/>
        </w:rPr>
        <w:t>Finally, it was noted that t</w:t>
      </w:r>
      <w:r w:rsidR="005D59E4" w:rsidRPr="005A3F47">
        <w:rPr>
          <w:noProof/>
        </w:rPr>
        <w:t>he scope</w:t>
      </w:r>
      <w:r w:rsidR="00445376" w:rsidRPr="005A3F47">
        <w:rPr>
          <w:noProof/>
        </w:rPr>
        <w:t xml:space="preserve"> and eligibility requirements</w:t>
      </w:r>
      <w:r w:rsidR="005D59E4" w:rsidRPr="005A3F47">
        <w:rPr>
          <w:noProof/>
        </w:rPr>
        <w:t xml:space="preserve"> should be aligned with the IRD and the</w:t>
      </w:r>
      <w:r w:rsidR="00E61AEA" w:rsidRPr="005A3F47">
        <w:rPr>
          <w:noProof/>
        </w:rPr>
        <w:t xml:space="preserve"> PSD</w:t>
      </w:r>
      <w:r w:rsidR="00E1015E" w:rsidRPr="005A3F47">
        <w:rPr>
          <w:noProof/>
        </w:rPr>
        <w:t xml:space="preserve"> and extended to cover transparent entities</w:t>
      </w:r>
      <w:r w:rsidR="00840345" w:rsidRPr="005A3F47">
        <w:rPr>
          <w:noProof/>
        </w:rPr>
        <w:t xml:space="preserve"> and that it should be ensured that the benefits are not denied where the merger or division includes a tax transparent entity.</w:t>
      </w:r>
    </w:p>
    <w:p w14:paraId="24650C82" w14:textId="62F56E43" w:rsidR="00106942" w:rsidRPr="005A3F47" w:rsidRDefault="00106942" w:rsidP="003F259C">
      <w:pPr>
        <w:spacing w:after="200"/>
        <w:rPr>
          <w:noProof/>
        </w:rPr>
      </w:pPr>
      <w:r w:rsidRPr="005A3F47">
        <w:rPr>
          <w:noProof/>
        </w:rPr>
        <w:t>For the DRM,</w:t>
      </w:r>
      <w:r w:rsidR="00791AD0" w:rsidRPr="005A3F47">
        <w:rPr>
          <w:noProof/>
        </w:rPr>
        <w:t xml:space="preserve"> </w:t>
      </w:r>
      <w:r w:rsidR="00D2202A" w:rsidRPr="005A3F47">
        <w:rPr>
          <w:noProof/>
        </w:rPr>
        <w:t>around 38% of the stakeholders found that dispute resolution remains too slow and complex</w:t>
      </w:r>
      <w:r w:rsidR="007913D8" w:rsidRPr="005A3F47">
        <w:rPr>
          <w:noProof/>
        </w:rPr>
        <w:t>. It</w:t>
      </w:r>
      <w:r w:rsidR="00791AD0" w:rsidRPr="005A3F47">
        <w:rPr>
          <w:noProof/>
        </w:rPr>
        <w:t xml:space="preserve"> was </w:t>
      </w:r>
      <w:r w:rsidR="00791AD0" w:rsidRPr="005A3F47">
        <w:rPr>
          <w:i/>
          <w:noProof/>
        </w:rPr>
        <w:t>inter alia</w:t>
      </w:r>
      <w:r w:rsidR="00791AD0" w:rsidRPr="005A3F47">
        <w:rPr>
          <w:noProof/>
        </w:rPr>
        <w:t xml:space="preserve"> pointed out that there is a need for a more </w:t>
      </w:r>
      <w:r w:rsidR="004F2656" w:rsidRPr="005A3F47">
        <w:rPr>
          <w:noProof/>
        </w:rPr>
        <w:t xml:space="preserve">meaningful participation of the taxpayer and more </w:t>
      </w:r>
      <w:r w:rsidR="00791AD0" w:rsidRPr="005A3F47">
        <w:rPr>
          <w:noProof/>
        </w:rPr>
        <w:t>timely and effective resolution of double taxation disputes</w:t>
      </w:r>
      <w:r w:rsidR="00AB7E93" w:rsidRPr="005A3F47">
        <w:rPr>
          <w:noProof/>
        </w:rPr>
        <w:t>, e.g.,</w:t>
      </w:r>
      <w:r w:rsidR="00791AD0" w:rsidRPr="005A3F47">
        <w:rPr>
          <w:noProof/>
        </w:rPr>
        <w:t xml:space="preserve"> under the supervision of the Commission.</w:t>
      </w:r>
      <w:r w:rsidR="000814B5" w:rsidRPr="005A3F47">
        <w:rPr>
          <w:noProof/>
        </w:rPr>
        <w:t xml:space="preserve"> </w:t>
      </w:r>
      <w:r w:rsidR="00107FDA" w:rsidRPr="005A3F47">
        <w:rPr>
          <w:noProof/>
        </w:rPr>
        <w:t>In this regard, it was e.g., suggested to</w:t>
      </w:r>
      <w:r w:rsidR="005264CF" w:rsidRPr="005A3F47">
        <w:rPr>
          <w:noProof/>
        </w:rPr>
        <w:t xml:space="preserve"> </w:t>
      </w:r>
      <w:r w:rsidR="00516FCF" w:rsidRPr="005A3F47">
        <w:rPr>
          <w:noProof/>
        </w:rPr>
        <w:t>enhance transparency, to</w:t>
      </w:r>
      <w:r w:rsidR="00107FDA" w:rsidRPr="005A3F47">
        <w:rPr>
          <w:noProof/>
        </w:rPr>
        <w:t xml:space="preserve"> ensure a consistent </w:t>
      </w:r>
      <w:r w:rsidR="007B17EE" w:rsidRPr="005A3F47">
        <w:rPr>
          <w:noProof/>
        </w:rPr>
        <w:t>interpretation of the admission criteria,</w:t>
      </w:r>
      <w:r w:rsidR="00504EFE" w:rsidRPr="005A3F47">
        <w:rPr>
          <w:noProof/>
        </w:rPr>
        <w:t xml:space="preserve"> </w:t>
      </w:r>
      <w:r w:rsidR="00C33B56" w:rsidRPr="005A3F47">
        <w:rPr>
          <w:noProof/>
        </w:rPr>
        <w:t xml:space="preserve">to </w:t>
      </w:r>
      <w:r w:rsidR="00504EFE" w:rsidRPr="005A3F47">
        <w:rPr>
          <w:noProof/>
        </w:rPr>
        <w:t>enforce timelines more strictly</w:t>
      </w:r>
      <w:r w:rsidR="00E61AEA" w:rsidRPr="005A3F47">
        <w:rPr>
          <w:noProof/>
        </w:rPr>
        <w:t xml:space="preserve"> and impose interest and penalties, where applicable,</w:t>
      </w:r>
      <w:r w:rsidR="00504EFE" w:rsidRPr="005A3F47">
        <w:rPr>
          <w:noProof/>
        </w:rPr>
        <w:t xml:space="preserve"> </w:t>
      </w:r>
      <w:r w:rsidR="00C33B56" w:rsidRPr="005A3F47">
        <w:rPr>
          <w:noProof/>
        </w:rPr>
        <w:t xml:space="preserve">to </w:t>
      </w:r>
      <w:r w:rsidR="00A31DB8" w:rsidRPr="005A3F47">
        <w:rPr>
          <w:noProof/>
        </w:rPr>
        <w:t>clarify the interaction with MAP procedures</w:t>
      </w:r>
      <w:r w:rsidR="00AE2E7B" w:rsidRPr="005A3F47">
        <w:rPr>
          <w:noProof/>
        </w:rPr>
        <w:t>, to establish a permanent arbitration body</w:t>
      </w:r>
      <w:r w:rsidR="005A3098" w:rsidRPr="005A3F47">
        <w:rPr>
          <w:noProof/>
        </w:rPr>
        <w:t xml:space="preserve">, to clarify the definition </w:t>
      </w:r>
      <w:r w:rsidR="00F96ED8" w:rsidRPr="005A3F47">
        <w:rPr>
          <w:noProof/>
        </w:rPr>
        <w:t>of affected person</w:t>
      </w:r>
      <w:r w:rsidR="00B84FA1" w:rsidRPr="005A3F47">
        <w:rPr>
          <w:noProof/>
        </w:rPr>
        <w:t>, and to extend the scope to</w:t>
      </w:r>
      <w:r w:rsidR="00C81CB5" w:rsidRPr="005A3F47">
        <w:rPr>
          <w:noProof/>
        </w:rPr>
        <w:t xml:space="preserve"> disputes arising from the application of </w:t>
      </w:r>
      <w:r w:rsidR="00A57344" w:rsidRPr="005A3F47">
        <w:rPr>
          <w:noProof/>
        </w:rPr>
        <w:t xml:space="preserve">the </w:t>
      </w:r>
      <w:r w:rsidR="00C81CB5" w:rsidRPr="005A3F47">
        <w:rPr>
          <w:noProof/>
        </w:rPr>
        <w:t>Pillar 2</w:t>
      </w:r>
      <w:r w:rsidR="00A57344" w:rsidRPr="005A3F47">
        <w:rPr>
          <w:noProof/>
        </w:rPr>
        <w:t xml:space="preserve"> Directive</w:t>
      </w:r>
      <w:r w:rsidR="00A31DB8" w:rsidRPr="005A3F47" w:rsidDel="005A3098">
        <w:rPr>
          <w:noProof/>
        </w:rPr>
        <w:t>.</w:t>
      </w:r>
      <w:r w:rsidR="000814B5" w:rsidRPr="005A3F47">
        <w:rPr>
          <w:noProof/>
        </w:rPr>
        <w:t xml:space="preserve"> It was also s</w:t>
      </w:r>
      <w:r w:rsidR="00084AC1" w:rsidRPr="005A3F47">
        <w:rPr>
          <w:noProof/>
        </w:rPr>
        <w:t xml:space="preserve">tressed that there is a need for </w:t>
      </w:r>
      <w:r w:rsidR="000347CF" w:rsidRPr="005A3F47">
        <w:rPr>
          <w:noProof/>
        </w:rPr>
        <w:t>an EU framework for dispute prevention</w:t>
      </w:r>
      <w:r w:rsidR="00084AC1" w:rsidRPr="005A3F47">
        <w:rPr>
          <w:noProof/>
        </w:rPr>
        <w:t>, e.g.</w:t>
      </w:r>
      <w:r w:rsidR="000347CF" w:rsidRPr="005A3F47">
        <w:rPr>
          <w:noProof/>
        </w:rPr>
        <w:t>,</w:t>
      </w:r>
      <w:r w:rsidR="00084AC1" w:rsidRPr="005A3F47">
        <w:rPr>
          <w:noProof/>
        </w:rPr>
        <w:t xml:space="preserve"> in transfer pricing</w:t>
      </w:r>
      <w:r w:rsidR="007611E4" w:rsidRPr="005A3F47">
        <w:rPr>
          <w:noProof/>
        </w:rPr>
        <w:t>,</w:t>
      </w:r>
      <w:r w:rsidR="000347CF" w:rsidRPr="005A3F47">
        <w:rPr>
          <w:noProof/>
        </w:rPr>
        <w:t xml:space="preserve"> which </w:t>
      </w:r>
      <w:r w:rsidR="00084AC1" w:rsidRPr="005A3F47">
        <w:rPr>
          <w:noProof/>
        </w:rPr>
        <w:t xml:space="preserve">can be bilaterally or </w:t>
      </w:r>
      <w:r w:rsidR="007611E4" w:rsidRPr="005A3F47">
        <w:rPr>
          <w:noProof/>
        </w:rPr>
        <w:t>multilaterally</w:t>
      </w:r>
      <w:r w:rsidR="00084AC1" w:rsidRPr="005A3F47">
        <w:rPr>
          <w:noProof/>
        </w:rPr>
        <w:t xml:space="preserve"> adopted by Member States.</w:t>
      </w:r>
    </w:p>
    <w:p w14:paraId="1F55ADD5" w14:textId="7FAAC37D" w:rsidR="00FE3356" w:rsidRPr="005A3F47" w:rsidRDefault="00B9376F" w:rsidP="003F259C">
      <w:pPr>
        <w:spacing w:after="200"/>
        <w:rPr>
          <w:noProof/>
        </w:rPr>
      </w:pPr>
      <w:r w:rsidRPr="005A3F47">
        <w:rPr>
          <w:noProof/>
        </w:rPr>
        <w:t xml:space="preserve">The feedback </w:t>
      </w:r>
      <w:r w:rsidR="00920FF7" w:rsidRPr="005A3F47">
        <w:rPr>
          <w:noProof/>
        </w:rPr>
        <w:t>show</w:t>
      </w:r>
      <w:r w:rsidR="00717FB1" w:rsidRPr="005A3F47">
        <w:rPr>
          <w:noProof/>
        </w:rPr>
        <w:t>ed</w:t>
      </w:r>
      <w:r w:rsidR="00920FF7" w:rsidRPr="005A3F47">
        <w:rPr>
          <w:noProof/>
        </w:rPr>
        <w:t xml:space="preserve"> no demand for </w:t>
      </w:r>
      <w:r w:rsidR="00B60B03" w:rsidRPr="005A3F47">
        <w:rPr>
          <w:noProof/>
        </w:rPr>
        <w:t>modifying</w:t>
      </w:r>
      <w:r w:rsidR="00426D52" w:rsidRPr="005A3F47">
        <w:rPr>
          <w:noProof/>
        </w:rPr>
        <w:t xml:space="preserve"> the</w:t>
      </w:r>
      <w:r w:rsidRPr="005A3F47">
        <w:rPr>
          <w:noProof/>
        </w:rPr>
        <w:t xml:space="preserve"> </w:t>
      </w:r>
      <w:r w:rsidR="0082702D" w:rsidRPr="005A3F47">
        <w:rPr>
          <w:noProof/>
        </w:rPr>
        <w:t>original policy objectives of the</w:t>
      </w:r>
      <w:r w:rsidR="00801662" w:rsidRPr="005A3F47">
        <w:rPr>
          <w:noProof/>
        </w:rPr>
        <w:t xml:space="preserve"> existing Directive</w:t>
      </w:r>
      <w:r w:rsidR="002B3098" w:rsidRPr="005A3F47">
        <w:rPr>
          <w:noProof/>
        </w:rPr>
        <w:t>s</w:t>
      </w:r>
      <w:r w:rsidR="00801662" w:rsidRPr="005A3F47">
        <w:rPr>
          <w:noProof/>
        </w:rPr>
        <w:t>.</w:t>
      </w:r>
      <w:r w:rsidR="00801662" w:rsidRPr="005A3F47">
        <w:rPr>
          <w:b/>
          <w:noProof/>
        </w:rPr>
        <w:t xml:space="preserve"> </w:t>
      </w:r>
      <w:r w:rsidR="00F76AC2" w:rsidRPr="005A3F47">
        <w:rPr>
          <w:noProof/>
        </w:rPr>
        <w:t>Conversely, a</w:t>
      </w:r>
      <w:r w:rsidR="00B71416" w:rsidRPr="005A3F47">
        <w:rPr>
          <w:noProof/>
        </w:rPr>
        <w:t xml:space="preserve"> few </w:t>
      </w:r>
      <w:r w:rsidR="00FE3356" w:rsidRPr="005A3F47">
        <w:rPr>
          <w:noProof/>
        </w:rPr>
        <w:t xml:space="preserve">stakeholders emphasised that simplification efforts should be done in a way </w:t>
      </w:r>
      <w:r w:rsidR="00B15D07" w:rsidRPr="005A3F47">
        <w:rPr>
          <w:noProof/>
        </w:rPr>
        <w:t>that</w:t>
      </w:r>
      <w:r w:rsidR="00FE3356" w:rsidRPr="005A3F47">
        <w:rPr>
          <w:noProof/>
        </w:rPr>
        <w:t xml:space="preserve"> do</w:t>
      </w:r>
      <w:r w:rsidR="00BC57BD" w:rsidRPr="005A3F47">
        <w:rPr>
          <w:noProof/>
        </w:rPr>
        <w:t>es</w:t>
      </w:r>
      <w:r w:rsidR="00FE3356" w:rsidRPr="005A3F47">
        <w:rPr>
          <w:noProof/>
        </w:rPr>
        <w:t xml:space="preserve"> not undermine the important policy objectives of the existing </w:t>
      </w:r>
      <w:r w:rsidR="05F76CD2" w:rsidRPr="005A3F47">
        <w:rPr>
          <w:noProof/>
        </w:rPr>
        <w:t>D</w:t>
      </w:r>
      <w:r w:rsidR="00FE3356" w:rsidRPr="005A3F47">
        <w:rPr>
          <w:noProof/>
        </w:rPr>
        <w:t xml:space="preserve">irectives. </w:t>
      </w:r>
      <w:r w:rsidR="00566352" w:rsidRPr="005A3F47">
        <w:rPr>
          <w:noProof/>
        </w:rPr>
        <w:t xml:space="preserve">Some went further and noted that </w:t>
      </w:r>
      <w:r w:rsidR="002B178B" w:rsidRPr="005A3F47">
        <w:rPr>
          <w:noProof/>
        </w:rPr>
        <w:t>the existing Directives</w:t>
      </w:r>
      <w:r w:rsidR="007975EE" w:rsidRPr="005A3F47">
        <w:rPr>
          <w:noProof/>
        </w:rPr>
        <w:t xml:space="preserve"> should be reinforced</w:t>
      </w:r>
      <w:r w:rsidR="0082105C" w:rsidRPr="005A3F47">
        <w:rPr>
          <w:noProof/>
        </w:rPr>
        <w:t>, e.g.,</w:t>
      </w:r>
      <w:r w:rsidR="007975EE" w:rsidRPr="005A3F47">
        <w:rPr>
          <w:noProof/>
        </w:rPr>
        <w:t xml:space="preserve"> with</w:t>
      </w:r>
      <w:r w:rsidR="007C261C" w:rsidRPr="005A3F47">
        <w:rPr>
          <w:noProof/>
        </w:rPr>
        <w:t xml:space="preserve"> new dedicated anti-abuse rules and</w:t>
      </w:r>
      <w:r w:rsidR="007975EE" w:rsidRPr="005A3F47">
        <w:rPr>
          <w:noProof/>
        </w:rPr>
        <w:t xml:space="preserve"> </w:t>
      </w:r>
      <w:r w:rsidR="00566352" w:rsidRPr="005A3F47">
        <w:rPr>
          <w:noProof/>
          <w:lang w:val="en-IE"/>
        </w:rPr>
        <w:t>minimum substance requirements</w:t>
      </w:r>
      <w:r w:rsidR="0082105C" w:rsidRPr="005A3F47">
        <w:rPr>
          <w:noProof/>
          <w:lang w:val="en-IE"/>
        </w:rPr>
        <w:t xml:space="preserve">. </w:t>
      </w:r>
      <w:r w:rsidR="00EF6941" w:rsidRPr="005A3F47">
        <w:rPr>
          <w:noProof/>
        </w:rPr>
        <w:t>Others</w:t>
      </w:r>
      <w:r w:rsidR="00281249" w:rsidRPr="005A3F47">
        <w:rPr>
          <w:noProof/>
        </w:rPr>
        <w:t xml:space="preserve"> also</w:t>
      </w:r>
      <w:r w:rsidR="005A1E29" w:rsidRPr="005A3F47">
        <w:rPr>
          <w:noProof/>
        </w:rPr>
        <w:t xml:space="preserve"> suggested</w:t>
      </w:r>
      <w:r w:rsidR="005A1E29" w:rsidRPr="005A3F47">
        <w:rPr>
          <w:noProof/>
          <w:lang w:val="en-IE"/>
        </w:rPr>
        <w:t xml:space="preserve"> that new tax initiatives </w:t>
      </w:r>
      <w:r w:rsidR="005429CC" w:rsidRPr="005A3F47">
        <w:rPr>
          <w:noProof/>
          <w:lang w:val="en-IE"/>
        </w:rPr>
        <w:t xml:space="preserve">should </w:t>
      </w:r>
      <w:r w:rsidR="005A1E29" w:rsidRPr="005A3F47">
        <w:rPr>
          <w:noProof/>
          <w:lang w:val="en-IE"/>
        </w:rPr>
        <w:t xml:space="preserve">entail systematic reviews of existing measures, </w:t>
      </w:r>
      <w:r w:rsidR="00235999" w:rsidRPr="005A3F47">
        <w:rPr>
          <w:noProof/>
          <w:lang w:val="en-IE"/>
        </w:rPr>
        <w:t xml:space="preserve">e.g., to </w:t>
      </w:r>
      <w:r w:rsidR="00573883" w:rsidRPr="005A3F47">
        <w:rPr>
          <w:noProof/>
          <w:lang w:val="en-IE"/>
        </w:rPr>
        <w:t>ensur</w:t>
      </w:r>
      <w:r w:rsidR="00235999" w:rsidRPr="005A3F47">
        <w:rPr>
          <w:noProof/>
          <w:lang w:val="en-IE"/>
        </w:rPr>
        <w:t>e</w:t>
      </w:r>
      <w:r w:rsidR="00573883" w:rsidRPr="005A3F47">
        <w:rPr>
          <w:noProof/>
          <w:lang w:val="en-IE"/>
        </w:rPr>
        <w:t xml:space="preserve"> that</w:t>
      </w:r>
      <w:r w:rsidR="005A1E29" w:rsidRPr="005A3F47">
        <w:rPr>
          <w:noProof/>
          <w:lang w:val="en-IE"/>
        </w:rPr>
        <w:t xml:space="preserve"> simplification is continuous rather than a one</w:t>
      </w:r>
      <w:r w:rsidR="00130192" w:rsidRPr="005A3F47">
        <w:rPr>
          <w:noProof/>
          <w:lang w:val="en-IE"/>
        </w:rPr>
        <w:t>-</w:t>
      </w:r>
      <w:r w:rsidR="005A1E29" w:rsidRPr="005A3F47">
        <w:rPr>
          <w:noProof/>
          <w:lang w:val="en-IE"/>
        </w:rPr>
        <w:t>off mat</w:t>
      </w:r>
      <w:r w:rsidR="00130192" w:rsidRPr="005A3F47">
        <w:rPr>
          <w:noProof/>
          <w:lang w:val="en-IE"/>
        </w:rPr>
        <w:t>ter</w:t>
      </w:r>
      <w:r w:rsidR="00720B88" w:rsidRPr="005A3F47">
        <w:rPr>
          <w:noProof/>
          <w:lang w:val="en-IE"/>
        </w:rPr>
        <w:t xml:space="preserve"> and that t</w:t>
      </w:r>
      <w:r w:rsidR="002E2BA9" w:rsidRPr="005A3F47">
        <w:rPr>
          <w:noProof/>
          <w:lang w:val="en-IE"/>
        </w:rPr>
        <w:t>he</w:t>
      </w:r>
      <w:r w:rsidR="00971394" w:rsidRPr="005A3F47">
        <w:rPr>
          <w:noProof/>
          <w:lang w:val="en-IE"/>
        </w:rPr>
        <w:t xml:space="preserve"> impact </w:t>
      </w:r>
      <w:r w:rsidR="000A4DFF" w:rsidRPr="005A3F47">
        <w:rPr>
          <w:noProof/>
          <w:lang w:val="en-IE"/>
        </w:rPr>
        <w:t>for</w:t>
      </w:r>
      <w:r w:rsidR="00971394" w:rsidRPr="005A3F47">
        <w:rPr>
          <w:noProof/>
          <w:lang w:val="en-IE"/>
        </w:rPr>
        <w:t xml:space="preserve"> SMEs</w:t>
      </w:r>
      <w:r w:rsidR="00613395" w:rsidRPr="005A3F47">
        <w:rPr>
          <w:noProof/>
          <w:lang w:val="en-IE"/>
        </w:rPr>
        <w:t xml:space="preserve"> </w:t>
      </w:r>
      <w:r w:rsidR="00235999" w:rsidRPr="005A3F47">
        <w:rPr>
          <w:noProof/>
          <w:lang w:val="en-IE"/>
        </w:rPr>
        <w:t>is</w:t>
      </w:r>
      <w:r w:rsidR="007617D8" w:rsidRPr="005A3F47">
        <w:rPr>
          <w:noProof/>
          <w:lang w:val="en-IE"/>
        </w:rPr>
        <w:t xml:space="preserve"> regularly evaluated. </w:t>
      </w:r>
    </w:p>
    <w:p w14:paraId="587A3103" w14:textId="7B9C3252" w:rsidR="00837EBB" w:rsidRPr="005A3F47" w:rsidRDefault="009065AF" w:rsidP="003F259C">
      <w:pPr>
        <w:spacing w:after="200"/>
        <w:rPr>
          <w:noProof/>
        </w:rPr>
      </w:pPr>
      <w:r w:rsidRPr="005A3F47">
        <w:rPr>
          <w:noProof/>
        </w:rPr>
        <w:t xml:space="preserve">Finally, </w:t>
      </w:r>
      <w:r w:rsidR="004A7422" w:rsidRPr="005A3F47">
        <w:rPr>
          <w:noProof/>
        </w:rPr>
        <w:t xml:space="preserve">approximately </w:t>
      </w:r>
      <w:r w:rsidR="00C01240" w:rsidRPr="005A3F47">
        <w:rPr>
          <w:noProof/>
        </w:rPr>
        <w:t>61% of the</w:t>
      </w:r>
      <w:r w:rsidR="00965BBD" w:rsidRPr="005A3F47">
        <w:rPr>
          <w:noProof/>
        </w:rPr>
        <w:t xml:space="preserve"> stakeholders </w:t>
      </w:r>
      <w:r w:rsidR="00427EBA" w:rsidRPr="005A3F47">
        <w:rPr>
          <w:noProof/>
        </w:rPr>
        <w:t>expressed that the</w:t>
      </w:r>
      <w:r w:rsidR="00B31B88" w:rsidRPr="005A3F47">
        <w:rPr>
          <w:noProof/>
        </w:rPr>
        <w:t xml:space="preserve"> simplification should go beyond amending the existing </w:t>
      </w:r>
      <w:r w:rsidR="378A5B98" w:rsidRPr="005A3F47">
        <w:rPr>
          <w:noProof/>
        </w:rPr>
        <w:t>D</w:t>
      </w:r>
      <w:r w:rsidR="00B31B88" w:rsidRPr="005A3F47">
        <w:rPr>
          <w:noProof/>
        </w:rPr>
        <w:t>irectives</w:t>
      </w:r>
      <w:r w:rsidR="00357783" w:rsidRPr="005A3F47">
        <w:rPr>
          <w:noProof/>
        </w:rPr>
        <w:t>, e.g., to</w:t>
      </w:r>
      <w:r w:rsidR="00776099" w:rsidRPr="005A3F47">
        <w:rPr>
          <w:noProof/>
        </w:rPr>
        <w:t xml:space="preserve"> </w:t>
      </w:r>
      <w:r w:rsidR="00EE2A1E" w:rsidRPr="005A3F47">
        <w:rPr>
          <w:noProof/>
        </w:rPr>
        <w:t xml:space="preserve">further </w:t>
      </w:r>
      <w:r w:rsidR="00776099" w:rsidRPr="005A3F47">
        <w:rPr>
          <w:noProof/>
        </w:rPr>
        <w:t>support innovation and growth</w:t>
      </w:r>
      <w:r w:rsidR="00492B6B" w:rsidRPr="005A3F47">
        <w:rPr>
          <w:noProof/>
        </w:rPr>
        <w:t xml:space="preserve"> through a more ambitious and holistic tax agenda. </w:t>
      </w:r>
      <w:r w:rsidR="000509E4" w:rsidRPr="005A3F47">
        <w:rPr>
          <w:noProof/>
        </w:rPr>
        <w:t xml:space="preserve">Other </w:t>
      </w:r>
      <w:r w:rsidR="009B35DE" w:rsidRPr="005A3F47">
        <w:rPr>
          <w:noProof/>
        </w:rPr>
        <w:t xml:space="preserve">asks in this </w:t>
      </w:r>
      <w:r w:rsidR="006B3588" w:rsidRPr="005A3F47">
        <w:rPr>
          <w:noProof/>
        </w:rPr>
        <w:t>area</w:t>
      </w:r>
      <w:r w:rsidR="000509E4" w:rsidRPr="005A3F47">
        <w:rPr>
          <w:noProof/>
        </w:rPr>
        <w:t xml:space="preserve"> </w:t>
      </w:r>
      <w:r w:rsidR="00AE2905" w:rsidRPr="005A3F47">
        <w:rPr>
          <w:noProof/>
        </w:rPr>
        <w:t>related</w:t>
      </w:r>
      <w:r w:rsidR="000642C1" w:rsidRPr="005A3F47">
        <w:rPr>
          <w:noProof/>
        </w:rPr>
        <w:t>:</w:t>
      </w:r>
      <w:r w:rsidR="00AE2905" w:rsidRPr="005A3F47">
        <w:rPr>
          <w:noProof/>
        </w:rPr>
        <w:t xml:space="preserve"> to taxation of un</w:t>
      </w:r>
      <w:r w:rsidR="00391463" w:rsidRPr="005A3F47">
        <w:rPr>
          <w:noProof/>
        </w:rPr>
        <w:t xml:space="preserve">realised capital gains, </w:t>
      </w:r>
      <w:r w:rsidR="00CF2C68" w:rsidRPr="005A3F47">
        <w:rPr>
          <w:noProof/>
        </w:rPr>
        <w:t xml:space="preserve">to introduce a </w:t>
      </w:r>
      <w:r w:rsidR="008E4567" w:rsidRPr="005A3F47">
        <w:rPr>
          <w:noProof/>
        </w:rPr>
        <w:t>common distribution-based t</w:t>
      </w:r>
      <w:r w:rsidR="000F6FC7" w:rsidRPr="005A3F47">
        <w:rPr>
          <w:noProof/>
        </w:rPr>
        <w:t>ax system in the EU</w:t>
      </w:r>
      <w:r w:rsidR="007412ED" w:rsidRPr="005A3F47">
        <w:rPr>
          <w:noProof/>
        </w:rPr>
        <w:t xml:space="preserve"> and </w:t>
      </w:r>
      <w:r w:rsidR="007E2097" w:rsidRPr="005A3F47">
        <w:rPr>
          <w:noProof/>
        </w:rPr>
        <w:t>a centralised EU reporting and one-stop-shop model</w:t>
      </w:r>
      <w:r w:rsidR="000F6FC7" w:rsidRPr="005A3F47">
        <w:rPr>
          <w:noProof/>
        </w:rPr>
        <w:t>, to shift</w:t>
      </w:r>
      <w:r w:rsidR="00866C6D" w:rsidRPr="005A3F47">
        <w:rPr>
          <w:noProof/>
        </w:rPr>
        <w:t xml:space="preserve"> from taxing income to taxing </w:t>
      </w:r>
      <w:r w:rsidR="00C42F12" w:rsidRPr="005A3F47">
        <w:rPr>
          <w:noProof/>
        </w:rPr>
        <w:t xml:space="preserve">pollution </w:t>
      </w:r>
      <w:r w:rsidR="00C605F9" w:rsidRPr="005A3F47">
        <w:rPr>
          <w:noProof/>
        </w:rPr>
        <w:t>and resource</w:t>
      </w:r>
      <w:r w:rsidRPr="005A3F47">
        <w:rPr>
          <w:noProof/>
        </w:rPr>
        <w:t>-</w:t>
      </w:r>
      <w:r w:rsidR="00C605F9" w:rsidRPr="005A3F47">
        <w:rPr>
          <w:noProof/>
        </w:rPr>
        <w:t>use</w:t>
      </w:r>
      <w:r w:rsidR="00A84377" w:rsidRPr="005A3F47">
        <w:rPr>
          <w:noProof/>
        </w:rPr>
        <w:t>, to have more incentives for SMEs</w:t>
      </w:r>
      <w:r w:rsidR="00F934C5" w:rsidRPr="005A3F47">
        <w:rPr>
          <w:noProof/>
        </w:rPr>
        <w:t xml:space="preserve">, </w:t>
      </w:r>
      <w:r w:rsidR="009D00A5" w:rsidRPr="005A3F47">
        <w:rPr>
          <w:noProof/>
        </w:rPr>
        <w:t xml:space="preserve">to </w:t>
      </w:r>
      <w:r w:rsidR="001B0B55" w:rsidRPr="005A3F47">
        <w:rPr>
          <w:noProof/>
        </w:rPr>
        <w:t xml:space="preserve">improve </w:t>
      </w:r>
      <w:r w:rsidR="00015C7C" w:rsidRPr="005A3F47">
        <w:rPr>
          <w:noProof/>
        </w:rPr>
        <w:t xml:space="preserve">Transfer Pricing </w:t>
      </w:r>
      <w:r w:rsidR="00251668" w:rsidRPr="005A3F47">
        <w:rPr>
          <w:noProof/>
        </w:rPr>
        <w:t xml:space="preserve">within the EU, </w:t>
      </w:r>
      <w:r w:rsidR="009D00A5" w:rsidRPr="005A3F47">
        <w:rPr>
          <w:noProof/>
        </w:rPr>
        <w:t xml:space="preserve">to </w:t>
      </w:r>
      <w:r w:rsidR="003B723C" w:rsidRPr="005A3F47">
        <w:rPr>
          <w:noProof/>
        </w:rPr>
        <w:t>int</w:t>
      </w:r>
      <w:r w:rsidR="00967F30" w:rsidRPr="005A3F47">
        <w:rPr>
          <w:noProof/>
        </w:rPr>
        <w:t>roduce mutual recognition of tax-exempt pu</w:t>
      </w:r>
      <w:r w:rsidR="00673981" w:rsidRPr="005A3F47">
        <w:rPr>
          <w:noProof/>
        </w:rPr>
        <w:t>blic benefit entities,</w:t>
      </w:r>
      <w:r w:rsidR="00251668" w:rsidRPr="005A3F47">
        <w:rPr>
          <w:noProof/>
        </w:rPr>
        <w:t xml:space="preserve"> </w:t>
      </w:r>
      <w:r w:rsidR="009D00A5" w:rsidRPr="005A3F47">
        <w:rPr>
          <w:noProof/>
        </w:rPr>
        <w:t>to exclude</w:t>
      </w:r>
      <w:r w:rsidR="00F934C5" w:rsidRPr="005A3F47">
        <w:rPr>
          <w:noProof/>
        </w:rPr>
        <w:t xml:space="preserve"> </w:t>
      </w:r>
      <w:r w:rsidR="00FA6BBE" w:rsidRPr="005A3F47">
        <w:rPr>
          <w:noProof/>
        </w:rPr>
        <w:t>jurisdictions with a QDMTT from the EU list of non-cooperative jurisdictions,</w:t>
      </w:r>
      <w:r w:rsidR="00F934C5" w:rsidRPr="005A3F47">
        <w:rPr>
          <w:noProof/>
        </w:rPr>
        <w:t xml:space="preserve"> </w:t>
      </w:r>
      <w:r w:rsidR="001C74AA" w:rsidRPr="005A3F47">
        <w:rPr>
          <w:noProof/>
        </w:rPr>
        <w:t xml:space="preserve">to review the </w:t>
      </w:r>
      <w:r w:rsidR="00EB2E15" w:rsidRPr="005A3F47">
        <w:rPr>
          <w:noProof/>
        </w:rPr>
        <w:t>implementation of the OECD Pillar 2</w:t>
      </w:r>
      <w:r w:rsidR="008552D2" w:rsidRPr="005A3F47">
        <w:rPr>
          <w:noProof/>
        </w:rPr>
        <w:t xml:space="preserve">, </w:t>
      </w:r>
      <w:r w:rsidR="00400338" w:rsidRPr="005A3F47">
        <w:rPr>
          <w:noProof/>
        </w:rPr>
        <w:t xml:space="preserve">and </w:t>
      </w:r>
      <w:r w:rsidR="00F934C5" w:rsidRPr="005A3F47">
        <w:rPr>
          <w:noProof/>
        </w:rPr>
        <w:t>to ex</w:t>
      </w:r>
      <w:r w:rsidR="00400338" w:rsidRPr="005A3F47">
        <w:rPr>
          <w:noProof/>
        </w:rPr>
        <w:t>pand the scope of simplification to indirect taxation</w:t>
      </w:r>
      <w:r w:rsidR="001C6D42" w:rsidRPr="005A3F47">
        <w:rPr>
          <w:noProof/>
        </w:rPr>
        <w:t xml:space="preserve">, </w:t>
      </w:r>
      <w:r w:rsidR="00374FC4" w:rsidRPr="005A3F47">
        <w:rPr>
          <w:noProof/>
        </w:rPr>
        <w:t>cross-border workers</w:t>
      </w:r>
      <w:r w:rsidR="00CF168A" w:rsidRPr="005A3F47">
        <w:rPr>
          <w:noProof/>
        </w:rPr>
        <w:t xml:space="preserve">, </w:t>
      </w:r>
      <w:r w:rsidR="00DE64C8" w:rsidRPr="005A3F47">
        <w:rPr>
          <w:noProof/>
        </w:rPr>
        <w:t xml:space="preserve">and </w:t>
      </w:r>
      <w:r w:rsidR="006B308F" w:rsidRPr="005A3F47">
        <w:rPr>
          <w:noProof/>
        </w:rPr>
        <w:t>existing</w:t>
      </w:r>
      <w:r w:rsidR="001C6D42" w:rsidRPr="005A3F47">
        <w:rPr>
          <w:noProof/>
        </w:rPr>
        <w:t xml:space="preserve"> proposals, such as BEFIT</w:t>
      </w:r>
      <w:r w:rsidR="00DE64C8" w:rsidRPr="005A3F47">
        <w:rPr>
          <w:noProof/>
        </w:rPr>
        <w:t>,</w:t>
      </w:r>
      <w:r w:rsidR="00CF168A" w:rsidRPr="005A3F47">
        <w:rPr>
          <w:noProof/>
        </w:rPr>
        <w:t xml:space="preserve"> and the Pillar 2 Directive</w:t>
      </w:r>
      <w:r w:rsidR="00400338" w:rsidRPr="005A3F47" w:rsidDel="00A067D6">
        <w:rPr>
          <w:noProof/>
        </w:rPr>
        <w:t>.</w:t>
      </w:r>
    </w:p>
    <w:p w14:paraId="26E17224" w14:textId="77777777" w:rsidR="00682E6E" w:rsidRPr="005A3F47" w:rsidRDefault="00682E6E" w:rsidP="00682E6E">
      <w:pPr>
        <w:spacing w:after="0"/>
        <w:rPr>
          <w:noProof/>
        </w:rPr>
      </w:pPr>
    </w:p>
    <w:p w14:paraId="4950C683" w14:textId="24BBB6ED" w:rsidR="003A23F6" w:rsidRPr="005A3F47" w:rsidRDefault="007F5759" w:rsidP="00682E6E">
      <w:pPr>
        <w:pStyle w:val="Heading2"/>
        <w:rPr>
          <w:noProof/>
        </w:rPr>
      </w:pPr>
      <w:bookmarkStart w:id="332" w:name="_Toc226466614"/>
      <w:bookmarkStart w:id="333" w:name="_Toc226466865"/>
      <w:bookmarkStart w:id="334" w:name="_Toc226467226"/>
      <w:bookmarkStart w:id="335" w:name="_Toc226467326"/>
      <w:bookmarkStart w:id="336" w:name="_Toc226467545"/>
      <w:r w:rsidRPr="005A3F47">
        <w:rPr>
          <w:noProof/>
        </w:rPr>
        <w:t xml:space="preserve">Targeted </w:t>
      </w:r>
      <w:r w:rsidR="003F3C5F" w:rsidRPr="005A3F47">
        <w:rPr>
          <w:noProof/>
        </w:rPr>
        <w:t>Consultations</w:t>
      </w:r>
      <w:bookmarkEnd w:id="332"/>
      <w:bookmarkEnd w:id="333"/>
      <w:bookmarkEnd w:id="334"/>
      <w:bookmarkEnd w:id="335"/>
      <w:bookmarkEnd w:id="336"/>
    </w:p>
    <w:p w14:paraId="5F0446F7" w14:textId="759A3A6D" w:rsidR="000C4D00" w:rsidRPr="005A3F47" w:rsidRDefault="00045269" w:rsidP="00CC0F5A">
      <w:pPr>
        <w:pStyle w:val="Declassification"/>
        <w:rPr>
          <w:noProof/>
        </w:rPr>
      </w:pPr>
      <w:r w:rsidRPr="005A3F47">
        <w:rPr>
          <w:noProof/>
        </w:rPr>
        <w:t xml:space="preserve">Over the course of the policy development process, a number of interviews and meetings were carried out with different </w:t>
      </w:r>
      <w:r w:rsidR="00BD5F87" w:rsidRPr="005A3F47">
        <w:rPr>
          <w:noProof/>
        </w:rPr>
        <w:t xml:space="preserve">private </w:t>
      </w:r>
      <w:r w:rsidRPr="005A3F47">
        <w:rPr>
          <w:noProof/>
        </w:rPr>
        <w:t xml:space="preserve">stakeholders, including businesses of different sizes operating in different sectors. </w:t>
      </w:r>
      <w:r w:rsidR="00B814B7" w:rsidRPr="005A3F47">
        <w:rPr>
          <w:noProof/>
        </w:rPr>
        <w:t xml:space="preserve">The consultations mainly covered </w:t>
      </w:r>
      <w:r w:rsidR="00BC555F" w:rsidRPr="005A3F47">
        <w:rPr>
          <w:noProof/>
        </w:rPr>
        <w:t xml:space="preserve">issues related to </w:t>
      </w:r>
      <w:r w:rsidR="002E0183" w:rsidRPr="005A3F47">
        <w:rPr>
          <w:noProof/>
        </w:rPr>
        <w:t>the IRD, PS</w:t>
      </w:r>
      <w:r w:rsidR="001F7A92" w:rsidRPr="005A3F47">
        <w:rPr>
          <w:noProof/>
        </w:rPr>
        <w:t>D</w:t>
      </w:r>
      <w:r w:rsidR="002E0183" w:rsidRPr="005A3F47">
        <w:rPr>
          <w:noProof/>
        </w:rPr>
        <w:t>, TMD, and DRM as a separate study was carried out for the ATAD</w:t>
      </w:r>
      <w:r w:rsidR="00ED3AF7" w:rsidRPr="005A3F47">
        <w:rPr>
          <w:noProof/>
        </w:rPr>
        <w:t xml:space="preserve"> by an external contractor</w:t>
      </w:r>
      <w:r w:rsidR="00D63CA0" w:rsidRPr="005A3F47">
        <w:rPr>
          <w:noProof/>
        </w:rPr>
        <w:t xml:space="preserve"> as part of the evaluation of the </w:t>
      </w:r>
      <w:r w:rsidR="64F45D7C" w:rsidRPr="005A3F47">
        <w:rPr>
          <w:noProof/>
        </w:rPr>
        <w:t>ATAD</w:t>
      </w:r>
      <w:r w:rsidR="00D63CA0" w:rsidRPr="005A3F47">
        <w:rPr>
          <w:noProof/>
        </w:rPr>
        <w:t xml:space="preserve">. </w:t>
      </w:r>
    </w:p>
    <w:p w14:paraId="0EB509DD" w14:textId="77777777" w:rsidR="00D20E89" w:rsidRPr="005A3F47" w:rsidRDefault="00D20E89" w:rsidP="00C531BB">
      <w:pPr>
        <w:pStyle w:val="Declassification"/>
        <w:rPr>
          <w:noProof/>
        </w:rPr>
      </w:pPr>
    </w:p>
    <w:p w14:paraId="4561504E" w14:textId="3519B2EF" w:rsidR="003C168A" w:rsidRPr="005A3F47" w:rsidRDefault="00045269" w:rsidP="008236B8">
      <w:pPr>
        <w:pStyle w:val="Declassification"/>
        <w:rPr>
          <w:noProof/>
        </w:rPr>
      </w:pPr>
      <w:r w:rsidRPr="005A3F47">
        <w:rPr>
          <w:noProof/>
        </w:rPr>
        <w:t xml:space="preserve">Overall, it can be said that the stakeholders favour the objectives of simplification and tax competitiveness but their </w:t>
      </w:r>
      <w:r w:rsidR="006E652C" w:rsidRPr="005A3F47">
        <w:rPr>
          <w:noProof/>
        </w:rPr>
        <w:t xml:space="preserve">current issues and </w:t>
      </w:r>
      <w:r w:rsidR="0040381D" w:rsidRPr="005A3F47">
        <w:rPr>
          <w:noProof/>
        </w:rPr>
        <w:t>needs for simplification</w:t>
      </w:r>
      <w:r w:rsidRPr="005A3F47">
        <w:rPr>
          <w:noProof/>
        </w:rPr>
        <w:t xml:space="preserve"> vary relative to their size</w:t>
      </w:r>
      <w:r w:rsidR="00760760" w:rsidRPr="005A3F47">
        <w:rPr>
          <w:noProof/>
        </w:rPr>
        <w:t>,</w:t>
      </w:r>
      <w:r w:rsidRPr="005A3F47">
        <w:rPr>
          <w:noProof/>
        </w:rPr>
        <w:t xml:space="preserve"> activities</w:t>
      </w:r>
      <w:r w:rsidR="00760760" w:rsidRPr="005A3F47">
        <w:rPr>
          <w:noProof/>
        </w:rPr>
        <w:t xml:space="preserve">, and the Member States in which they are </w:t>
      </w:r>
      <w:r w:rsidR="006D5467" w:rsidRPr="005A3F47">
        <w:rPr>
          <w:noProof/>
        </w:rPr>
        <w:t>operating</w:t>
      </w:r>
      <w:r w:rsidRPr="005A3F47">
        <w:rPr>
          <w:noProof/>
        </w:rPr>
        <w:t>.</w:t>
      </w:r>
      <w:r w:rsidR="0040381D" w:rsidRPr="005A3F47">
        <w:rPr>
          <w:noProof/>
        </w:rPr>
        <w:t xml:space="preserve"> The key take-aways from the discussions can be summarised as follows: </w:t>
      </w:r>
    </w:p>
    <w:p w14:paraId="2FC1FAA4" w14:textId="77777777" w:rsidR="00CD7344" w:rsidRPr="005A3F47" w:rsidRDefault="00CD7344" w:rsidP="00EE36AF">
      <w:pPr>
        <w:spacing w:after="0"/>
        <w:rPr>
          <w:noProof/>
        </w:rPr>
      </w:pPr>
    </w:p>
    <w:p w14:paraId="756B8581" w14:textId="69CBAE64" w:rsidR="00427632" w:rsidRPr="005A3F47" w:rsidRDefault="00EE36AF" w:rsidP="0033552C">
      <w:pPr>
        <w:spacing w:after="0"/>
        <w:rPr>
          <w:noProof/>
        </w:rPr>
      </w:pPr>
      <w:r w:rsidRPr="005A3F47">
        <w:rPr>
          <w:noProof/>
        </w:rPr>
        <w:t>Concerning the IRD and the PSD,</w:t>
      </w:r>
      <w:r w:rsidR="00695CB3" w:rsidRPr="005A3F47">
        <w:rPr>
          <w:noProof/>
        </w:rPr>
        <w:t xml:space="preserve"> </w:t>
      </w:r>
      <w:r w:rsidR="00003696" w:rsidRPr="005A3F47">
        <w:rPr>
          <w:noProof/>
        </w:rPr>
        <w:t>most</w:t>
      </w:r>
      <w:r w:rsidR="00695CB3" w:rsidRPr="005A3F47">
        <w:rPr>
          <w:noProof/>
        </w:rPr>
        <w:t xml:space="preserve"> stakeholders face compliance burdens, particularly in some Member States where taxpayers have to </w:t>
      </w:r>
      <w:r w:rsidR="000920C5" w:rsidRPr="005A3F47">
        <w:rPr>
          <w:noProof/>
        </w:rPr>
        <w:t>either</w:t>
      </w:r>
      <w:r w:rsidR="00695CB3" w:rsidRPr="005A3F47">
        <w:rPr>
          <w:noProof/>
        </w:rPr>
        <w:t xml:space="preserve"> request a refund</w:t>
      </w:r>
      <w:r w:rsidR="00934733" w:rsidRPr="005A3F47">
        <w:rPr>
          <w:noProof/>
        </w:rPr>
        <w:t xml:space="preserve"> of paid withholding tax </w:t>
      </w:r>
      <w:r w:rsidR="003432C0" w:rsidRPr="005A3F47">
        <w:rPr>
          <w:noProof/>
        </w:rPr>
        <w:t>or undergo lengthy and costly upfront procedures to benefit from the tax exemption</w:t>
      </w:r>
      <w:r w:rsidR="00695CB3" w:rsidRPr="005A3F47">
        <w:rPr>
          <w:noProof/>
        </w:rPr>
        <w:t xml:space="preserve">. </w:t>
      </w:r>
      <w:r w:rsidR="003432C0" w:rsidRPr="005A3F47">
        <w:rPr>
          <w:noProof/>
        </w:rPr>
        <w:t>Stakeholders</w:t>
      </w:r>
      <w:r w:rsidR="00E22239" w:rsidRPr="005A3F47">
        <w:rPr>
          <w:noProof/>
        </w:rPr>
        <w:t xml:space="preserve"> suggested to </w:t>
      </w:r>
      <w:r w:rsidR="00C5636D" w:rsidRPr="005A3F47">
        <w:rPr>
          <w:noProof/>
        </w:rPr>
        <w:t>align formalities and deadlines</w:t>
      </w:r>
      <w:r w:rsidR="00D23EAE" w:rsidRPr="005A3F47">
        <w:rPr>
          <w:noProof/>
        </w:rPr>
        <w:t>,</w:t>
      </w:r>
      <w:r w:rsidR="00C5636D" w:rsidRPr="005A3F47">
        <w:rPr>
          <w:noProof/>
        </w:rPr>
        <w:t xml:space="preserve"> </w:t>
      </w:r>
      <w:r w:rsidR="00791DD5" w:rsidRPr="005A3F47">
        <w:rPr>
          <w:noProof/>
        </w:rPr>
        <w:t xml:space="preserve">and </w:t>
      </w:r>
      <w:r w:rsidR="00D23EAE" w:rsidRPr="005A3F47">
        <w:rPr>
          <w:noProof/>
        </w:rPr>
        <w:t>to</w:t>
      </w:r>
      <w:r w:rsidR="00791DD5" w:rsidRPr="005A3F47">
        <w:rPr>
          <w:noProof/>
        </w:rPr>
        <w:t xml:space="preserve"> introduce</w:t>
      </w:r>
      <w:r w:rsidR="00695CB3" w:rsidRPr="005A3F47">
        <w:rPr>
          <w:noProof/>
        </w:rPr>
        <w:t xml:space="preserve"> a digitalised and standardised procedure across the EU</w:t>
      </w:r>
      <w:r w:rsidR="006E246D" w:rsidRPr="005A3F47">
        <w:rPr>
          <w:noProof/>
        </w:rPr>
        <w:t xml:space="preserve">, including EU </w:t>
      </w:r>
      <w:r w:rsidR="003E270E" w:rsidRPr="005A3F47">
        <w:rPr>
          <w:noProof/>
        </w:rPr>
        <w:t>digital</w:t>
      </w:r>
      <w:r w:rsidR="004B799F" w:rsidRPr="005A3F47">
        <w:rPr>
          <w:noProof/>
        </w:rPr>
        <w:t xml:space="preserve"> tax</w:t>
      </w:r>
      <w:r w:rsidR="003E270E" w:rsidRPr="005A3F47">
        <w:rPr>
          <w:noProof/>
        </w:rPr>
        <w:t xml:space="preserve"> resident</w:t>
      </w:r>
      <w:r w:rsidR="004B799F" w:rsidRPr="005A3F47">
        <w:rPr>
          <w:noProof/>
        </w:rPr>
        <w:t xml:space="preserve"> certificates</w:t>
      </w:r>
      <w:r w:rsidR="003D2798" w:rsidRPr="005A3F47">
        <w:rPr>
          <w:noProof/>
        </w:rPr>
        <w:t>,</w:t>
      </w:r>
      <w:r w:rsidR="00D213B2" w:rsidRPr="005A3F47">
        <w:rPr>
          <w:noProof/>
        </w:rPr>
        <w:t xml:space="preserve"> building on the FASTER Directive</w:t>
      </w:r>
      <w:r w:rsidR="004B799F" w:rsidRPr="005A3F47">
        <w:rPr>
          <w:noProof/>
        </w:rPr>
        <w:t xml:space="preserve">. </w:t>
      </w:r>
      <w:r w:rsidR="00812570" w:rsidRPr="005A3F47">
        <w:rPr>
          <w:noProof/>
        </w:rPr>
        <w:t xml:space="preserve">Some </w:t>
      </w:r>
      <w:r w:rsidR="004D29A3" w:rsidRPr="005A3F47">
        <w:rPr>
          <w:noProof/>
        </w:rPr>
        <w:t xml:space="preserve">stakeholders </w:t>
      </w:r>
      <w:r w:rsidR="006B7380" w:rsidRPr="005A3F47">
        <w:rPr>
          <w:noProof/>
        </w:rPr>
        <w:t xml:space="preserve">also highlighted </w:t>
      </w:r>
      <w:r w:rsidR="00B15337" w:rsidRPr="005A3F47">
        <w:rPr>
          <w:noProof/>
        </w:rPr>
        <w:t>heavy compliance burdens related to beneficial ownership</w:t>
      </w:r>
      <w:r w:rsidR="001D6C50" w:rsidRPr="005A3F47">
        <w:rPr>
          <w:noProof/>
        </w:rPr>
        <w:t xml:space="preserve"> </w:t>
      </w:r>
      <w:r w:rsidR="00B15337" w:rsidRPr="005A3F47">
        <w:rPr>
          <w:noProof/>
        </w:rPr>
        <w:t>test</w:t>
      </w:r>
      <w:r w:rsidR="001D6C50" w:rsidRPr="005A3F47">
        <w:rPr>
          <w:noProof/>
        </w:rPr>
        <w:t>s</w:t>
      </w:r>
      <w:r w:rsidR="00DC712A" w:rsidRPr="005A3F47">
        <w:rPr>
          <w:noProof/>
        </w:rPr>
        <w:t xml:space="preserve"> and </w:t>
      </w:r>
      <w:r w:rsidR="00660225" w:rsidRPr="005A3F47">
        <w:rPr>
          <w:noProof/>
        </w:rPr>
        <w:t xml:space="preserve">noted </w:t>
      </w:r>
      <w:r w:rsidR="00DC712A" w:rsidRPr="005A3F47">
        <w:rPr>
          <w:noProof/>
        </w:rPr>
        <w:t xml:space="preserve">that complex rules </w:t>
      </w:r>
      <w:r w:rsidR="002008C8" w:rsidRPr="005A3F47">
        <w:rPr>
          <w:noProof/>
        </w:rPr>
        <w:t xml:space="preserve">have a deterrent effect </w:t>
      </w:r>
      <w:r w:rsidR="00956A59" w:rsidRPr="005A3F47">
        <w:rPr>
          <w:noProof/>
        </w:rPr>
        <w:t>on</w:t>
      </w:r>
      <w:r w:rsidR="002008C8" w:rsidRPr="005A3F47">
        <w:rPr>
          <w:noProof/>
        </w:rPr>
        <w:t xml:space="preserve"> distr</w:t>
      </w:r>
      <w:r w:rsidR="007E0746" w:rsidRPr="005A3F47">
        <w:rPr>
          <w:noProof/>
        </w:rPr>
        <w:t>ibuting profits across borders</w:t>
      </w:r>
      <w:r w:rsidR="001A3DF1" w:rsidRPr="005A3F47">
        <w:rPr>
          <w:noProof/>
        </w:rPr>
        <w:t xml:space="preserve"> – contrary to the objectives of the </w:t>
      </w:r>
      <w:r w:rsidR="071E973A" w:rsidRPr="005A3F47">
        <w:rPr>
          <w:noProof/>
        </w:rPr>
        <w:t>D</w:t>
      </w:r>
      <w:r w:rsidR="001A3DF1" w:rsidRPr="005A3F47">
        <w:rPr>
          <w:noProof/>
        </w:rPr>
        <w:t xml:space="preserve">irectives. </w:t>
      </w:r>
      <w:r w:rsidR="0033552C" w:rsidRPr="005A3F47">
        <w:rPr>
          <w:noProof/>
        </w:rPr>
        <w:t>S</w:t>
      </w:r>
      <w:r w:rsidR="004864CA" w:rsidRPr="005A3F47">
        <w:rPr>
          <w:noProof/>
        </w:rPr>
        <w:t>ome</w:t>
      </w:r>
      <w:r w:rsidR="00917B31" w:rsidRPr="005A3F47">
        <w:rPr>
          <w:noProof/>
        </w:rPr>
        <w:t xml:space="preserve"> </w:t>
      </w:r>
      <w:r w:rsidR="00D12629" w:rsidRPr="005A3F47">
        <w:rPr>
          <w:noProof/>
        </w:rPr>
        <w:t>stakeholders</w:t>
      </w:r>
      <w:r w:rsidR="00917B31" w:rsidRPr="005A3F47">
        <w:rPr>
          <w:noProof/>
        </w:rPr>
        <w:t xml:space="preserve"> </w:t>
      </w:r>
      <w:r w:rsidR="00962497" w:rsidRPr="005A3F47">
        <w:rPr>
          <w:noProof/>
        </w:rPr>
        <w:t xml:space="preserve">found that </w:t>
      </w:r>
      <w:r w:rsidR="002F723E" w:rsidRPr="005A3F47">
        <w:rPr>
          <w:noProof/>
        </w:rPr>
        <w:t>withholding tax</w:t>
      </w:r>
      <w:r w:rsidR="001F019F" w:rsidRPr="005A3F47">
        <w:rPr>
          <w:noProof/>
        </w:rPr>
        <w:t xml:space="preserve">es could be </w:t>
      </w:r>
      <w:r w:rsidR="002F723E" w:rsidRPr="005A3F47">
        <w:rPr>
          <w:noProof/>
        </w:rPr>
        <w:t>fully removed within the EU</w:t>
      </w:r>
      <w:r w:rsidR="001F019F" w:rsidRPr="005A3F47">
        <w:rPr>
          <w:noProof/>
        </w:rPr>
        <w:t>, or at least</w:t>
      </w:r>
      <w:r w:rsidR="0033552C" w:rsidRPr="005A3F47">
        <w:rPr>
          <w:noProof/>
        </w:rPr>
        <w:t xml:space="preserve"> </w:t>
      </w:r>
      <w:r w:rsidR="001F019F" w:rsidRPr="005A3F47">
        <w:rPr>
          <w:noProof/>
        </w:rPr>
        <w:t>procedures</w:t>
      </w:r>
      <w:r w:rsidR="0033552C" w:rsidRPr="005A3F47">
        <w:rPr>
          <w:noProof/>
        </w:rPr>
        <w:t xml:space="preserve"> with</w:t>
      </w:r>
      <w:r w:rsidR="001F019F" w:rsidRPr="005A3F47">
        <w:rPr>
          <w:noProof/>
        </w:rPr>
        <w:t xml:space="preserve"> upfront compliance requirement</w:t>
      </w:r>
      <w:r w:rsidR="0033552C" w:rsidRPr="005A3F47">
        <w:rPr>
          <w:noProof/>
        </w:rPr>
        <w:t>s should be abolished.</w:t>
      </w:r>
    </w:p>
    <w:p w14:paraId="301941A0" w14:textId="77777777" w:rsidR="00427632" w:rsidRPr="005A3F47" w:rsidRDefault="00427632" w:rsidP="0033552C">
      <w:pPr>
        <w:spacing w:after="0"/>
        <w:rPr>
          <w:noProof/>
        </w:rPr>
      </w:pPr>
    </w:p>
    <w:p w14:paraId="347731F8" w14:textId="79A79B5A" w:rsidR="00505948" w:rsidRPr="005A3F47" w:rsidRDefault="00427632" w:rsidP="0033552C">
      <w:pPr>
        <w:spacing w:after="0"/>
        <w:rPr>
          <w:noProof/>
        </w:rPr>
      </w:pPr>
      <w:r w:rsidRPr="005A3F47">
        <w:rPr>
          <w:noProof/>
        </w:rPr>
        <w:t>In addition</w:t>
      </w:r>
      <w:r w:rsidR="00DD6681" w:rsidRPr="005A3F47">
        <w:rPr>
          <w:noProof/>
        </w:rPr>
        <w:t xml:space="preserve">, concerning the IRD and the PSD, </w:t>
      </w:r>
      <w:r w:rsidR="00314D3E" w:rsidRPr="005A3F47">
        <w:rPr>
          <w:noProof/>
        </w:rPr>
        <w:t xml:space="preserve">many </w:t>
      </w:r>
      <w:r w:rsidR="00DD6681" w:rsidRPr="005A3F47">
        <w:rPr>
          <w:noProof/>
        </w:rPr>
        <w:t xml:space="preserve">stakeholders </w:t>
      </w:r>
      <w:r w:rsidR="007B2D4D" w:rsidRPr="005A3F47">
        <w:rPr>
          <w:noProof/>
        </w:rPr>
        <w:t xml:space="preserve">stressed the need </w:t>
      </w:r>
      <w:r w:rsidR="006323A3" w:rsidRPr="005A3F47">
        <w:rPr>
          <w:noProof/>
        </w:rPr>
        <w:t>for a common definition of beneficial ownership</w:t>
      </w:r>
      <w:r w:rsidR="000F2022" w:rsidRPr="005A3F47">
        <w:rPr>
          <w:noProof/>
        </w:rPr>
        <w:t xml:space="preserve"> and common beneficial ownership test</w:t>
      </w:r>
      <w:r w:rsidR="006323A3" w:rsidRPr="005A3F47">
        <w:rPr>
          <w:noProof/>
        </w:rPr>
        <w:t xml:space="preserve"> within the EU </w:t>
      </w:r>
      <w:r w:rsidR="002B36C4" w:rsidRPr="005A3F47">
        <w:rPr>
          <w:noProof/>
        </w:rPr>
        <w:t xml:space="preserve">to provide </w:t>
      </w:r>
      <w:r w:rsidR="00B352BE" w:rsidRPr="005A3F47">
        <w:rPr>
          <w:noProof/>
        </w:rPr>
        <w:t>more certainty to taxpayers and tax authorities.</w:t>
      </w:r>
      <w:r w:rsidR="00595027" w:rsidRPr="005A3F47">
        <w:rPr>
          <w:noProof/>
        </w:rPr>
        <w:t xml:space="preserve"> It was also noted by some stakeholder that the PSD does not include </w:t>
      </w:r>
      <w:r w:rsidR="000F1E50" w:rsidRPr="005A3F47">
        <w:rPr>
          <w:noProof/>
        </w:rPr>
        <w:t>a</w:t>
      </w:r>
      <w:r w:rsidR="00595027" w:rsidRPr="005A3F47">
        <w:rPr>
          <w:noProof/>
        </w:rPr>
        <w:t xml:space="preserve"> </w:t>
      </w:r>
      <w:r w:rsidR="00D41D8D" w:rsidRPr="005A3F47">
        <w:rPr>
          <w:noProof/>
        </w:rPr>
        <w:t>‘</w:t>
      </w:r>
      <w:r w:rsidR="00595027" w:rsidRPr="005A3F47">
        <w:rPr>
          <w:noProof/>
        </w:rPr>
        <w:t>beneficial owner</w:t>
      </w:r>
      <w:r w:rsidR="00D41D8D" w:rsidRPr="005A3F47">
        <w:rPr>
          <w:noProof/>
        </w:rPr>
        <w:t>’</w:t>
      </w:r>
      <w:r w:rsidR="00595027" w:rsidRPr="005A3F47">
        <w:rPr>
          <w:noProof/>
        </w:rPr>
        <w:t xml:space="preserve"> definition. Nonetheless, several Member States limit the application of the PSD in situations where the recipient is not considered </w:t>
      </w:r>
      <w:r w:rsidR="00610844" w:rsidRPr="005A3F47">
        <w:rPr>
          <w:noProof/>
        </w:rPr>
        <w:t>the</w:t>
      </w:r>
      <w:r w:rsidR="00595027" w:rsidRPr="005A3F47">
        <w:rPr>
          <w:noProof/>
        </w:rPr>
        <w:t xml:space="preserve"> beneficial owner, which </w:t>
      </w:r>
      <w:r w:rsidR="00610844" w:rsidRPr="005A3F47">
        <w:rPr>
          <w:noProof/>
        </w:rPr>
        <w:t>is</w:t>
      </w:r>
      <w:r w:rsidR="00595027" w:rsidRPr="005A3F47">
        <w:rPr>
          <w:noProof/>
        </w:rPr>
        <w:t xml:space="preserve"> clashing with the legal concept of </w:t>
      </w:r>
      <w:r w:rsidR="00C84D8B" w:rsidRPr="005A3F47">
        <w:rPr>
          <w:noProof/>
        </w:rPr>
        <w:t xml:space="preserve">a </w:t>
      </w:r>
      <w:r w:rsidR="00D41D8D" w:rsidRPr="005A3F47">
        <w:rPr>
          <w:noProof/>
        </w:rPr>
        <w:t>‘</w:t>
      </w:r>
      <w:r w:rsidR="00595027" w:rsidRPr="005A3F47">
        <w:rPr>
          <w:noProof/>
        </w:rPr>
        <w:t>shareholder</w:t>
      </w:r>
      <w:r w:rsidR="007925B3" w:rsidRPr="005A3F47">
        <w:rPr>
          <w:noProof/>
        </w:rPr>
        <w:t>’</w:t>
      </w:r>
      <w:r w:rsidR="00785971" w:rsidRPr="005A3F47">
        <w:rPr>
          <w:noProof/>
        </w:rPr>
        <w:t>.</w:t>
      </w:r>
      <w:r w:rsidR="00632DE5" w:rsidRPr="005A3F47">
        <w:rPr>
          <w:noProof/>
        </w:rPr>
        <w:t xml:space="preserve"> </w:t>
      </w:r>
      <w:r w:rsidR="00947A92" w:rsidRPr="005A3F47">
        <w:rPr>
          <w:noProof/>
        </w:rPr>
        <w:t>Some stakeholders also highlighted the</w:t>
      </w:r>
      <w:r w:rsidR="00A2501D" w:rsidRPr="005A3F47">
        <w:rPr>
          <w:noProof/>
        </w:rPr>
        <w:t xml:space="preserve"> general</w:t>
      </w:r>
      <w:r w:rsidR="00947A92" w:rsidRPr="005A3F47">
        <w:rPr>
          <w:noProof/>
        </w:rPr>
        <w:t xml:space="preserve"> need for common understanding and interpretation of terms</w:t>
      </w:r>
      <w:r w:rsidR="00A2501D" w:rsidRPr="005A3F47">
        <w:rPr>
          <w:noProof/>
        </w:rPr>
        <w:t xml:space="preserve"> in the </w:t>
      </w:r>
      <w:r w:rsidR="6C6FDB3B" w:rsidRPr="005A3F47">
        <w:rPr>
          <w:noProof/>
        </w:rPr>
        <w:t>D</w:t>
      </w:r>
      <w:r w:rsidR="00A2501D" w:rsidRPr="005A3F47">
        <w:rPr>
          <w:noProof/>
        </w:rPr>
        <w:t>irectives.</w:t>
      </w:r>
      <w:r w:rsidR="00061704" w:rsidRPr="005A3F47">
        <w:rPr>
          <w:noProof/>
        </w:rPr>
        <w:t xml:space="preserve"> Particularly concerning the </w:t>
      </w:r>
      <w:r w:rsidR="00D41D8D" w:rsidRPr="005A3F47">
        <w:rPr>
          <w:noProof/>
        </w:rPr>
        <w:t>‘</w:t>
      </w:r>
      <w:r w:rsidR="00061704" w:rsidRPr="005A3F47">
        <w:rPr>
          <w:noProof/>
        </w:rPr>
        <w:t>eligible companies</w:t>
      </w:r>
      <w:r w:rsidR="007925B3" w:rsidRPr="005A3F47">
        <w:rPr>
          <w:noProof/>
        </w:rPr>
        <w:t>’</w:t>
      </w:r>
      <w:r w:rsidR="00061704" w:rsidRPr="005A3F47">
        <w:rPr>
          <w:noProof/>
        </w:rPr>
        <w:t xml:space="preserve">, it was </w:t>
      </w:r>
      <w:r w:rsidR="00E4327B" w:rsidRPr="005A3F47">
        <w:rPr>
          <w:noProof/>
        </w:rPr>
        <w:t xml:space="preserve">pointed out that </w:t>
      </w:r>
      <w:r w:rsidR="00483D8A" w:rsidRPr="005A3F47">
        <w:rPr>
          <w:noProof/>
        </w:rPr>
        <w:t xml:space="preserve">the annexes should be updated and aligned. </w:t>
      </w:r>
      <w:r w:rsidR="007E0194" w:rsidRPr="005A3F47">
        <w:rPr>
          <w:noProof/>
        </w:rPr>
        <w:t xml:space="preserve">With regard to the holding requirements, </w:t>
      </w:r>
      <w:r w:rsidR="00DA3C43" w:rsidRPr="005A3F47">
        <w:rPr>
          <w:noProof/>
        </w:rPr>
        <w:t xml:space="preserve">most stakeholders </w:t>
      </w:r>
      <w:r w:rsidR="00505948" w:rsidRPr="005A3F47">
        <w:rPr>
          <w:noProof/>
        </w:rPr>
        <w:t xml:space="preserve">shared the view that the IRD and the PSD should be aligned </w:t>
      </w:r>
      <w:r w:rsidR="007D440B" w:rsidRPr="005A3F47">
        <w:rPr>
          <w:noProof/>
        </w:rPr>
        <w:t>on the use of</w:t>
      </w:r>
      <w:r w:rsidR="009223FA" w:rsidRPr="005A3F47">
        <w:rPr>
          <w:noProof/>
        </w:rPr>
        <w:t xml:space="preserve"> </w:t>
      </w:r>
      <w:r w:rsidR="00505948" w:rsidRPr="005A3F47">
        <w:rPr>
          <w:noProof/>
        </w:rPr>
        <w:t>indirect holding</w:t>
      </w:r>
      <w:r w:rsidR="009223FA" w:rsidRPr="005A3F47">
        <w:rPr>
          <w:noProof/>
        </w:rPr>
        <w:t>s</w:t>
      </w:r>
      <w:r w:rsidR="00505948" w:rsidRPr="005A3F47">
        <w:rPr>
          <w:noProof/>
        </w:rPr>
        <w:t xml:space="preserve"> and percentage</w:t>
      </w:r>
      <w:r w:rsidR="009223FA" w:rsidRPr="005A3F47">
        <w:rPr>
          <w:noProof/>
        </w:rPr>
        <w:t>s</w:t>
      </w:r>
      <w:r w:rsidR="00A369F8" w:rsidRPr="005A3F47">
        <w:rPr>
          <w:noProof/>
        </w:rPr>
        <w:t xml:space="preserve"> </w:t>
      </w:r>
      <w:r w:rsidR="00C95E9F" w:rsidRPr="005A3F47">
        <w:rPr>
          <w:noProof/>
        </w:rPr>
        <w:t>as the</w:t>
      </w:r>
      <w:r w:rsidR="00A369F8" w:rsidRPr="005A3F47">
        <w:rPr>
          <w:noProof/>
        </w:rPr>
        <w:t xml:space="preserve"> </w:t>
      </w:r>
      <w:r w:rsidR="002F6594" w:rsidRPr="005A3F47">
        <w:rPr>
          <w:noProof/>
        </w:rPr>
        <w:t>they are currently treated differently across the EU</w:t>
      </w:r>
      <w:r w:rsidR="00A369F8" w:rsidRPr="005A3F47">
        <w:rPr>
          <w:noProof/>
        </w:rPr>
        <w:t xml:space="preserve"> </w:t>
      </w:r>
      <w:r w:rsidR="00F6059C" w:rsidRPr="005A3F47">
        <w:rPr>
          <w:noProof/>
        </w:rPr>
        <w:t>because</w:t>
      </w:r>
      <w:r w:rsidR="00A369F8" w:rsidRPr="005A3F47">
        <w:rPr>
          <w:noProof/>
        </w:rPr>
        <w:t xml:space="preserve"> discre</w:t>
      </w:r>
      <w:r w:rsidR="00D53801" w:rsidRPr="005A3F47">
        <w:rPr>
          <w:noProof/>
        </w:rPr>
        <w:t xml:space="preserve">tion to the Member States led to </w:t>
      </w:r>
      <w:r w:rsidR="00D04568" w:rsidRPr="005A3F47">
        <w:rPr>
          <w:noProof/>
        </w:rPr>
        <w:t>deviations</w:t>
      </w:r>
      <w:r w:rsidR="00B83DD9" w:rsidRPr="005A3F47">
        <w:rPr>
          <w:noProof/>
        </w:rPr>
        <w:t xml:space="preserve"> in the conditions to benefit from the </w:t>
      </w:r>
      <w:r w:rsidR="7C6E0E38" w:rsidRPr="005A3F47">
        <w:rPr>
          <w:noProof/>
        </w:rPr>
        <w:t>D</w:t>
      </w:r>
      <w:r w:rsidR="00B83DD9" w:rsidRPr="005A3F47">
        <w:rPr>
          <w:noProof/>
        </w:rPr>
        <w:t xml:space="preserve">irectives. </w:t>
      </w:r>
      <w:r w:rsidR="00343BE5" w:rsidRPr="005A3F47">
        <w:rPr>
          <w:noProof/>
        </w:rPr>
        <w:t>Some stakeholder</w:t>
      </w:r>
      <w:r w:rsidR="00D045E3" w:rsidRPr="005A3F47">
        <w:rPr>
          <w:noProof/>
        </w:rPr>
        <w:t>s</w:t>
      </w:r>
      <w:r w:rsidR="00343BE5" w:rsidRPr="005A3F47">
        <w:rPr>
          <w:noProof/>
        </w:rPr>
        <w:t xml:space="preserve"> found that </w:t>
      </w:r>
      <w:r w:rsidR="00916136" w:rsidRPr="005A3F47">
        <w:rPr>
          <w:noProof/>
        </w:rPr>
        <w:t xml:space="preserve">the </w:t>
      </w:r>
      <w:r w:rsidR="00D045E3" w:rsidRPr="005A3F47">
        <w:rPr>
          <w:noProof/>
        </w:rPr>
        <w:t xml:space="preserve">scope of the </w:t>
      </w:r>
      <w:r w:rsidR="4E4F7E61" w:rsidRPr="005A3F47">
        <w:rPr>
          <w:noProof/>
        </w:rPr>
        <w:t>D</w:t>
      </w:r>
      <w:r w:rsidR="00D045E3" w:rsidRPr="005A3F47">
        <w:rPr>
          <w:noProof/>
        </w:rPr>
        <w:t>irective should be broader and that</w:t>
      </w:r>
      <w:r w:rsidR="00343BE5" w:rsidRPr="005A3F47">
        <w:rPr>
          <w:noProof/>
        </w:rPr>
        <w:t xml:space="preserve"> </w:t>
      </w:r>
      <w:r w:rsidR="00916136" w:rsidRPr="005A3F47">
        <w:rPr>
          <w:noProof/>
        </w:rPr>
        <w:t>the tax exemption should ideally apply irrespective of holding requirements</w:t>
      </w:r>
      <w:r w:rsidR="00D53801" w:rsidRPr="005A3F47">
        <w:rPr>
          <w:noProof/>
        </w:rPr>
        <w:t xml:space="preserve"> </w:t>
      </w:r>
      <w:r w:rsidR="009F0D0D" w:rsidRPr="005A3F47">
        <w:rPr>
          <w:noProof/>
        </w:rPr>
        <w:t>within the EU.</w:t>
      </w:r>
    </w:p>
    <w:p w14:paraId="2DF6C2E6" w14:textId="4441EC89" w:rsidR="004B2554" w:rsidRPr="005A3F47" w:rsidRDefault="004B2554" w:rsidP="0033552C">
      <w:pPr>
        <w:spacing w:after="0"/>
        <w:rPr>
          <w:noProof/>
        </w:rPr>
      </w:pPr>
    </w:p>
    <w:p w14:paraId="222EFA8C" w14:textId="51F27B88" w:rsidR="004B2554" w:rsidRPr="005A3F47" w:rsidRDefault="004B2554" w:rsidP="0033552C">
      <w:pPr>
        <w:spacing w:after="0"/>
        <w:rPr>
          <w:noProof/>
        </w:rPr>
      </w:pPr>
      <w:r w:rsidRPr="005A3F47">
        <w:rPr>
          <w:noProof/>
        </w:rPr>
        <w:t xml:space="preserve">Regarding PSD, </w:t>
      </w:r>
      <w:r w:rsidR="003608DF" w:rsidRPr="005A3F47">
        <w:rPr>
          <w:noProof/>
        </w:rPr>
        <w:t xml:space="preserve">some stakeholders raised concerns </w:t>
      </w:r>
      <w:r w:rsidR="005243A7" w:rsidRPr="005A3F47">
        <w:rPr>
          <w:noProof/>
        </w:rPr>
        <w:t xml:space="preserve">in relation to </w:t>
      </w:r>
      <w:r w:rsidR="003608DF" w:rsidRPr="005A3F47">
        <w:rPr>
          <w:noProof/>
        </w:rPr>
        <w:t xml:space="preserve">the </w:t>
      </w:r>
      <w:r w:rsidR="005243A7" w:rsidRPr="005A3F47">
        <w:rPr>
          <w:noProof/>
        </w:rPr>
        <w:t>implementation</w:t>
      </w:r>
      <w:r w:rsidR="003608DF" w:rsidRPr="005A3F47">
        <w:rPr>
          <w:noProof/>
        </w:rPr>
        <w:t xml:space="preserve"> of Article </w:t>
      </w:r>
      <w:r w:rsidR="004B1E2E" w:rsidRPr="005A3F47">
        <w:rPr>
          <w:noProof/>
        </w:rPr>
        <w:t>4</w:t>
      </w:r>
      <w:r w:rsidR="0056221B" w:rsidRPr="005A3F47">
        <w:rPr>
          <w:noProof/>
        </w:rPr>
        <w:t xml:space="preserve">(3) which allows Members States to </w:t>
      </w:r>
      <w:r w:rsidR="005C7C73" w:rsidRPr="005A3F47">
        <w:rPr>
          <w:noProof/>
        </w:rPr>
        <w:t>exclude, from the tax base,</w:t>
      </w:r>
      <w:r w:rsidR="0056221B" w:rsidRPr="005A3F47">
        <w:rPr>
          <w:noProof/>
        </w:rPr>
        <w:t xml:space="preserve"> the </w:t>
      </w:r>
      <w:r w:rsidR="005C7C73" w:rsidRPr="005A3F47">
        <w:rPr>
          <w:noProof/>
        </w:rPr>
        <w:t xml:space="preserve">deduction of </w:t>
      </w:r>
      <w:r w:rsidR="0056221B" w:rsidRPr="005A3F47">
        <w:rPr>
          <w:noProof/>
        </w:rPr>
        <w:t xml:space="preserve">management costs relating to the holding </w:t>
      </w:r>
      <w:r w:rsidR="005C7C73" w:rsidRPr="005A3F47">
        <w:rPr>
          <w:noProof/>
        </w:rPr>
        <w:t>for</w:t>
      </w:r>
      <w:r w:rsidR="0056221B" w:rsidRPr="005A3F47">
        <w:rPr>
          <w:noProof/>
        </w:rPr>
        <w:t xml:space="preserve"> a fixed amount </w:t>
      </w:r>
      <w:r w:rsidR="005C7C73" w:rsidRPr="005A3F47">
        <w:rPr>
          <w:noProof/>
        </w:rPr>
        <w:t xml:space="preserve">corresponding to </w:t>
      </w:r>
      <w:r w:rsidR="0056221B" w:rsidRPr="005A3F47">
        <w:rPr>
          <w:noProof/>
        </w:rPr>
        <w:t>5% of the profits distributed</w:t>
      </w:r>
      <w:r w:rsidR="005C7C73" w:rsidRPr="005A3F47">
        <w:rPr>
          <w:noProof/>
        </w:rPr>
        <w:t xml:space="preserve">. </w:t>
      </w:r>
      <w:r w:rsidR="005E12AC" w:rsidRPr="005A3F47">
        <w:rPr>
          <w:noProof/>
        </w:rPr>
        <w:t xml:space="preserve">According to stakeholders concerned, </w:t>
      </w:r>
      <w:r w:rsidR="00C11AF7" w:rsidRPr="005A3F47">
        <w:rPr>
          <w:noProof/>
        </w:rPr>
        <w:t>when the actual expenses are lower than the flat rate, this may result in a part of the dividends or profit distributions not being exempt</w:t>
      </w:r>
      <w:r w:rsidR="00D947D6" w:rsidRPr="005A3F47">
        <w:rPr>
          <w:noProof/>
        </w:rPr>
        <w:t xml:space="preserve">, leading to inconsistencies with the aim of the </w:t>
      </w:r>
      <w:r w:rsidR="4DAC4F4C" w:rsidRPr="005A3F47">
        <w:rPr>
          <w:noProof/>
        </w:rPr>
        <w:t xml:space="preserve">PSD </w:t>
      </w:r>
      <w:r w:rsidR="00D947D6" w:rsidRPr="005A3F47">
        <w:rPr>
          <w:noProof/>
        </w:rPr>
        <w:t xml:space="preserve">to eliminate double taxation. </w:t>
      </w:r>
    </w:p>
    <w:p w14:paraId="53F0ADE0" w14:textId="77777777" w:rsidR="005243A7" w:rsidRPr="005A3F47" w:rsidRDefault="005243A7" w:rsidP="005C7C73">
      <w:pPr>
        <w:spacing w:after="0"/>
        <w:rPr>
          <w:noProof/>
        </w:rPr>
      </w:pPr>
    </w:p>
    <w:p w14:paraId="35BA5310" w14:textId="249CED8B" w:rsidR="00786FC2" w:rsidRPr="005A3F47" w:rsidRDefault="002C09A7" w:rsidP="0033552C">
      <w:pPr>
        <w:spacing w:after="0"/>
        <w:rPr>
          <w:noProof/>
        </w:rPr>
      </w:pPr>
      <w:r w:rsidRPr="005A3F47">
        <w:rPr>
          <w:noProof/>
        </w:rPr>
        <w:t>On the anti-abuse rules in the IRD and the PSD, many stakeholders</w:t>
      </w:r>
      <w:r w:rsidR="00FE499D" w:rsidRPr="005A3F47">
        <w:rPr>
          <w:noProof/>
        </w:rPr>
        <w:t xml:space="preserve"> experienced difficulties in the application o</w:t>
      </w:r>
      <w:r w:rsidR="00A53ED3" w:rsidRPr="005A3F47">
        <w:rPr>
          <w:noProof/>
        </w:rPr>
        <w:t>f the specific anti-abuse rules, the beneficial ownership tests, and the general anti-abuse rule in the ATAD.</w:t>
      </w:r>
      <w:r w:rsidR="005400C9" w:rsidRPr="005A3F47">
        <w:rPr>
          <w:noProof/>
        </w:rPr>
        <w:t xml:space="preserve"> </w:t>
      </w:r>
      <w:r w:rsidR="009D2E19" w:rsidRPr="005A3F47">
        <w:rPr>
          <w:noProof/>
        </w:rPr>
        <w:t xml:space="preserve">It was highlighted that benefits should not be denied if the arrangement does not result in a tax advantage. </w:t>
      </w:r>
      <w:r w:rsidR="005400C9" w:rsidRPr="005A3F47">
        <w:rPr>
          <w:noProof/>
        </w:rPr>
        <w:t>While some stakeholders suggested to merge the anti-abuse provisions of the PSD and IRD</w:t>
      </w:r>
      <w:r w:rsidR="00C0085D" w:rsidRPr="005A3F47">
        <w:rPr>
          <w:noProof/>
        </w:rPr>
        <w:t>, other</w:t>
      </w:r>
      <w:r w:rsidR="00325B6D" w:rsidRPr="005A3F47">
        <w:rPr>
          <w:noProof/>
        </w:rPr>
        <w:t>s</w:t>
      </w:r>
      <w:r w:rsidR="00C0085D" w:rsidRPr="005A3F47">
        <w:rPr>
          <w:noProof/>
        </w:rPr>
        <w:t xml:space="preserve"> found that they could be abolished as the </w:t>
      </w:r>
      <w:r w:rsidR="00B45DE7" w:rsidRPr="005A3F47">
        <w:rPr>
          <w:noProof/>
        </w:rPr>
        <w:t xml:space="preserve">general anti-abuse rule in ATAD was sufficient. </w:t>
      </w:r>
      <w:r w:rsidR="00F0120D" w:rsidRPr="005A3F47">
        <w:rPr>
          <w:noProof/>
        </w:rPr>
        <w:t>It was also mentioned that a common understanding of key concepts, including clarifications on ‘tax advantage’ and timing of assessment for non-genuine arrangements, would be helpful.</w:t>
      </w:r>
    </w:p>
    <w:p w14:paraId="48544EA7" w14:textId="77777777" w:rsidR="00064BC9" w:rsidRPr="005A3F47" w:rsidRDefault="00064BC9" w:rsidP="0033552C">
      <w:pPr>
        <w:spacing w:after="0"/>
        <w:rPr>
          <w:noProof/>
        </w:rPr>
      </w:pPr>
    </w:p>
    <w:p w14:paraId="594FC6DF" w14:textId="440287C2" w:rsidR="00E4129F" w:rsidRPr="005A3F47" w:rsidRDefault="00031C33" w:rsidP="00802E44">
      <w:pPr>
        <w:spacing w:after="0"/>
        <w:rPr>
          <w:noProof/>
        </w:rPr>
      </w:pPr>
      <w:r w:rsidRPr="005A3F47">
        <w:rPr>
          <w:noProof/>
        </w:rPr>
        <w:t xml:space="preserve">Concerning the TMD, </w:t>
      </w:r>
      <w:r w:rsidR="008759F7" w:rsidRPr="005A3F47">
        <w:rPr>
          <w:noProof/>
        </w:rPr>
        <w:t xml:space="preserve">not all stakeholders had experience with restructurings. Among the relevant stakeholders, </w:t>
      </w:r>
      <w:r w:rsidR="00E4129F" w:rsidRPr="005A3F47">
        <w:rPr>
          <w:noProof/>
        </w:rPr>
        <w:t>s</w:t>
      </w:r>
      <w:r w:rsidR="00ED7F86" w:rsidRPr="005A3F47">
        <w:rPr>
          <w:noProof/>
        </w:rPr>
        <w:t>ome</w:t>
      </w:r>
      <w:r w:rsidR="00456F50" w:rsidRPr="005A3F47">
        <w:rPr>
          <w:noProof/>
        </w:rPr>
        <w:t xml:space="preserve"> found a need for clarification on the type of operations that fall within the scope of the </w:t>
      </w:r>
      <w:r w:rsidR="1A0D39AE" w:rsidRPr="005A3F47">
        <w:rPr>
          <w:noProof/>
        </w:rPr>
        <w:t>TMD</w:t>
      </w:r>
      <w:r w:rsidR="00456F50" w:rsidRPr="005A3F47">
        <w:rPr>
          <w:noProof/>
        </w:rPr>
        <w:t xml:space="preserve">. In this regard, it was also pointed out that </w:t>
      </w:r>
      <w:r w:rsidR="00C5483D" w:rsidRPr="005A3F47">
        <w:rPr>
          <w:noProof/>
        </w:rPr>
        <w:t xml:space="preserve">TMD should be aligned with the </w:t>
      </w:r>
      <w:r w:rsidR="000A03D7" w:rsidRPr="005A3F47">
        <w:rPr>
          <w:noProof/>
        </w:rPr>
        <w:t>Company Law Merger Directive as amended by the</w:t>
      </w:r>
      <w:r w:rsidR="00C5483D" w:rsidRPr="005A3F47">
        <w:rPr>
          <w:noProof/>
        </w:rPr>
        <w:t xml:space="preserve"> Mobility Directive to cover </w:t>
      </w:r>
      <w:r w:rsidR="00F00BDF" w:rsidRPr="005A3F47">
        <w:rPr>
          <w:noProof/>
        </w:rPr>
        <w:t xml:space="preserve">more </w:t>
      </w:r>
      <w:r w:rsidR="00C31258" w:rsidRPr="005A3F47">
        <w:rPr>
          <w:noProof/>
        </w:rPr>
        <w:t xml:space="preserve">restructuring </w:t>
      </w:r>
      <w:r w:rsidR="004530EA" w:rsidRPr="005A3F47">
        <w:rPr>
          <w:noProof/>
        </w:rPr>
        <w:t xml:space="preserve">forms. Few stakeholders advocated for </w:t>
      </w:r>
      <w:r w:rsidR="00015EE6" w:rsidRPr="005A3F47">
        <w:rPr>
          <w:noProof/>
        </w:rPr>
        <w:t xml:space="preserve">extending the scope of the TMD to all taxes, including real estate (transfer) taxes, stamp duties, local and regional taxes, to ensure full tax neutrality </w:t>
      </w:r>
      <w:r w:rsidR="00CF58B4" w:rsidRPr="005A3F47">
        <w:rPr>
          <w:noProof/>
        </w:rPr>
        <w:t xml:space="preserve">and </w:t>
      </w:r>
      <w:r w:rsidR="00B0659B" w:rsidRPr="005A3F47">
        <w:rPr>
          <w:noProof/>
        </w:rPr>
        <w:t xml:space="preserve">to make </w:t>
      </w:r>
      <w:r w:rsidR="00802E44" w:rsidRPr="005A3F47">
        <w:rPr>
          <w:noProof/>
        </w:rPr>
        <w:t>it easier for businesses</w:t>
      </w:r>
      <w:r w:rsidR="00B0659B" w:rsidRPr="005A3F47">
        <w:rPr>
          <w:noProof/>
        </w:rPr>
        <w:t xml:space="preserve"> re-organise within the EU.</w:t>
      </w:r>
      <w:r w:rsidR="00802E44" w:rsidRPr="005A3F47">
        <w:rPr>
          <w:noProof/>
        </w:rPr>
        <w:t xml:space="preserve"> </w:t>
      </w:r>
      <w:r w:rsidR="00E20183" w:rsidRPr="005A3F47">
        <w:rPr>
          <w:noProof/>
        </w:rPr>
        <w:t>A few</w:t>
      </w:r>
      <w:r w:rsidR="009260CE" w:rsidRPr="005A3F47">
        <w:rPr>
          <w:noProof/>
        </w:rPr>
        <w:t xml:space="preserve"> stakeholders also </w:t>
      </w:r>
      <w:r w:rsidR="00D915D2" w:rsidRPr="005A3F47">
        <w:rPr>
          <w:noProof/>
        </w:rPr>
        <w:t xml:space="preserve">suggested to have common rules on tax losses and valuation methods. </w:t>
      </w:r>
    </w:p>
    <w:p w14:paraId="65E2B33A" w14:textId="77777777" w:rsidR="00B676FD" w:rsidRPr="005A3F47" w:rsidRDefault="00B676FD" w:rsidP="00802E44">
      <w:pPr>
        <w:spacing w:after="0"/>
        <w:rPr>
          <w:noProof/>
        </w:rPr>
      </w:pPr>
    </w:p>
    <w:p w14:paraId="121401BF" w14:textId="28AA8430" w:rsidR="00B676FD" w:rsidRPr="005A3F47" w:rsidRDefault="00B676FD" w:rsidP="00802E44">
      <w:pPr>
        <w:spacing w:after="0"/>
        <w:rPr>
          <w:noProof/>
        </w:rPr>
      </w:pPr>
      <w:r w:rsidRPr="005A3F47">
        <w:rPr>
          <w:noProof/>
        </w:rPr>
        <w:t xml:space="preserve">Stakeholders in-scope of Pillar 2 </w:t>
      </w:r>
      <w:r w:rsidR="00BF6FFE" w:rsidRPr="005A3F47">
        <w:rPr>
          <w:noProof/>
        </w:rPr>
        <w:t>highlighted</w:t>
      </w:r>
      <w:r w:rsidRPr="005A3F47">
        <w:rPr>
          <w:noProof/>
        </w:rPr>
        <w:t xml:space="preserve"> the </w:t>
      </w:r>
      <w:r w:rsidR="00BF6FFE" w:rsidRPr="005A3F47">
        <w:rPr>
          <w:noProof/>
        </w:rPr>
        <w:t>need to review the EU</w:t>
      </w:r>
      <w:r w:rsidRPr="005A3F47">
        <w:rPr>
          <w:noProof/>
        </w:rPr>
        <w:t xml:space="preserve"> </w:t>
      </w:r>
      <w:r w:rsidR="005574CF" w:rsidRPr="005A3F47">
        <w:rPr>
          <w:noProof/>
        </w:rPr>
        <w:t>tax legislation</w:t>
      </w:r>
      <w:r w:rsidR="000C1D61" w:rsidRPr="005A3F47">
        <w:rPr>
          <w:noProof/>
        </w:rPr>
        <w:t xml:space="preserve"> in view of the implementation of Pillar 2</w:t>
      </w:r>
      <w:r w:rsidR="00542C48" w:rsidRPr="005A3F47">
        <w:rPr>
          <w:noProof/>
        </w:rPr>
        <w:t xml:space="preserve">. They </w:t>
      </w:r>
      <w:r w:rsidR="006366F0" w:rsidRPr="005A3F47">
        <w:rPr>
          <w:noProof/>
        </w:rPr>
        <w:t>pointed out</w:t>
      </w:r>
      <w:r w:rsidR="005574CF" w:rsidRPr="005A3F47">
        <w:rPr>
          <w:noProof/>
        </w:rPr>
        <w:t xml:space="preserve"> that certain elements of the EU tax legislation, particularly concerning ATAD, have been rendered obsolete, and </w:t>
      </w:r>
      <w:r w:rsidR="002054DE" w:rsidRPr="005A3F47">
        <w:rPr>
          <w:noProof/>
        </w:rPr>
        <w:t>should be withdrawn with a view to reducing administrative burden</w:t>
      </w:r>
      <w:r w:rsidR="00BE2992" w:rsidRPr="005A3F47">
        <w:rPr>
          <w:noProof/>
        </w:rPr>
        <w:t xml:space="preserve"> and boost</w:t>
      </w:r>
      <w:r w:rsidR="00B30C56" w:rsidRPr="005A3F47">
        <w:rPr>
          <w:noProof/>
        </w:rPr>
        <w:t>ing</w:t>
      </w:r>
      <w:r w:rsidR="00BE2992" w:rsidRPr="005A3F47">
        <w:rPr>
          <w:noProof/>
        </w:rPr>
        <w:t xml:space="preserve"> the EU’s competitiveness. </w:t>
      </w:r>
    </w:p>
    <w:p w14:paraId="28B08D84" w14:textId="77777777" w:rsidR="00D62076" w:rsidRPr="005A3F47" w:rsidRDefault="00D62076" w:rsidP="00802E44">
      <w:pPr>
        <w:spacing w:after="0"/>
        <w:rPr>
          <w:noProof/>
        </w:rPr>
      </w:pPr>
    </w:p>
    <w:p w14:paraId="2AFF6D1B" w14:textId="7457188C" w:rsidR="00BA0277" w:rsidRPr="005A3F47" w:rsidRDefault="00F96DF2" w:rsidP="00156413">
      <w:pPr>
        <w:spacing w:after="0"/>
        <w:rPr>
          <w:noProof/>
        </w:rPr>
      </w:pPr>
      <w:r w:rsidRPr="005A3F47">
        <w:rPr>
          <w:noProof/>
        </w:rPr>
        <w:t xml:space="preserve">Finally, concerning the DRM, most stakeholders </w:t>
      </w:r>
      <w:r w:rsidR="008F575D" w:rsidRPr="005A3F47">
        <w:rPr>
          <w:noProof/>
        </w:rPr>
        <w:t>found the procedures too lengthy</w:t>
      </w:r>
      <w:r w:rsidR="006900B7" w:rsidRPr="005A3F47">
        <w:rPr>
          <w:noProof/>
        </w:rPr>
        <w:t>, time-consuming,</w:t>
      </w:r>
      <w:r w:rsidR="008F575D" w:rsidRPr="005A3F47">
        <w:rPr>
          <w:noProof/>
        </w:rPr>
        <w:t xml:space="preserve"> and that there was a lack of uniformity amongst existing mechanism</w:t>
      </w:r>
      <w:r w:rsidR="00553CED" w:rsidRPr="005A3F47">
        <w:rPr>
          <w:noProof/>
        </w:rPr>
        <w:t>s</w:t>
      </w:r>
      <w:r w:rsidR="008F575D" w:rsidRPr="005A3F47">
        <w:rPr>
          <w:noProof/>
        </w:rPr>
        <w:t xml:space="preserve">. </w:t>
      </w:r>
      <w:r w:rsidR="00402585" w:rsidRPr="005A3F47">
        <w:rPr>
          <w:noProof/>
        </w:rPr>
        <w:t xml:space="preserve">In this regard, it was pointed out that it is important for tax certainty that the procedures are binding and have set deadlines. </w:t>
      </w:r>
      <w:r w:rsidR="00FD65DA" w:rsidRPr="005A3F47">
        <w:rPr>
          <w:noProof/>
        </w:rPr>
        <w:t xml:space="preserve">Some stakeholders also </w:t>
      </w:r>
      <w:r w:rsidR="00156413" w:rsidRPr="005A3F47">
        <w:rPr>
          <w:noProof/>
        </w:rPr>
        <w:t>called for allow</w:t>
      </w:r>
      <w:r w:rsidR="007370F0" w:rsidRPr="005A3F47">
        <w:rPr>
          <w:noProof/>
        </w:rPr>
        <w:t>ing</w:t>
      </w:r>
      <w:r w:rsidR="00156413" w:rsidRPr="005A3F47">
        <w:rPr>
          <w:noProof/>
        </w:rPr>
        <w:t xml:space="preserve"> procedures in English, or one or two additional big </w:t>
      </w:r>
      <w:r w:rsidR="007370F0" w:rsidRPr="005A3F47">
        <w:rPr>
          <w:noProof/>
        </w:rPr>
        <w:t>EU</w:t>
      </w:r>
      <w:r w:rsidR="00156413" w:rsidRPr="005A3F47">
        <w:rPr>
          <w:noProof/>
        </w:rPr>
        <w:t xml:space="preserve"> languages, and more </w:t>
      </w:r>
      <w:r w:rsidR="00DD7D38" w:rsidRPr="005A3F47">
        <w:rPr>
          <w:noProof/>
        </w:rPr>
        <w:t xml:space="preserve">extensive </w:t>
      </w:r>
      <w:r w:rsidR="00156413" w:rsidRPr="005A3F47">
        <w:rPr>
          <w:noProof/>
        </w:rPr>
        <w:t xml:space="preserve">involvement </w:t>
      </w:r>
      <w:r w:rsidR="00DD7D38" w:rsidRPr="005A3F47">
        <w:rPr>
          <w:noProof/>
        </w:rPr>
        <w:t xml:space="preserve">of taxpayers </w:t>
      </w:r>
      <w:r w:rsidR="00156413" w:rsidRPr="005A3F47">
        <w:rPr>
          <w:noProof/>
        </w:rPr>
        <w:t>during the procedures.</w:t>
      </w:r>
      <w:r w:rsidR="00E943E7" w:rsidRPr="005A3F47">
        <w:rPr>
          <w:noProof/>
        </w:rPr>
        <w:t xml:space="preserve"> </w:t>
      </w:r>
      <w:r w:rsidR="003E27CF" w:rsidRPr="005A3F47">
        <w:rPr>
          <w:noProof/>
        </w:rPr>
        <w:t>It was stressed that the DRM should create an obligation for Member States to solve the issue</w:t>
      </w:r>
      <w:r w:rsidR="007C1F06" w:rsidRPr="005A3F47">
        <w:rPr>
          <w:noProof/>
        </w:rPr>
        <w:t xml:space="preserve"> in question</w:t>
      </w:r>
      <w:r w:rsidR="00764A18" w:rsidRPr="005A3F47">
        <w:rPr>
          <w:noProof/>
        </w:rPr>
        <w:t xml:space="preserve"> and that </w:t>
      </w:r>
      <w:r w:rsidR="00004D01" w:rsidRPr="005A3F47">
        <w:rPr>
          <w:noProof/>
        </w:rPr>
        <w:t xml:space="preserve">Member States’ possibility to deny access should be limited. </w:t>
      </w:r>
      <w:r w:rsidR="00BA0277" w:rsidRPr="005A3F47">
        <w:rPr>
          <w:noProof/>
        </w:rPr>
        <w:t xml:space="preserve">Several stakeholders also expressed </w:t>
      </w:r>
      <w:r w:rsidR="00F96D50" w:rsidRPr="005A3F47">
        <w:rPr>
          <w:noProof/>
        </w:rPr>
        <w:t xml:space="preserve">the view </w:t>
      </w:r>
      <w:r w:rsidR="00BA0277" w:rsidRPr="005A3F47">
        <w:rPr>
          <w:noProof/>
        </w:rPr>
        <w:t xml:space="preserve">that </w:t>
      </w:r>
      <w:r w:rsidR="009B0556" w:rsidRPr="005A3F47">
        <w:rPr>
          <w:noProof/>
        </w:rPr>
        <w:t>th</w:t>
      </w:r>
      <w:r w:rsidR="00546FFD" w:rsidRPr="005A3F47">
        <w:rPr>
          <w:noProof/>
        </w:rPr>
        <w:t>e</w:t>
      </w:r>
      <w:r w:rsidR="009B0556" w:rsidRPr="005A3F47">
        <w:rPr>
          <w:noProof/>
        </w:rPr>
        <w:t xml:space="preserve"> scope of the DRM could be extended and</w:t>
      </w:r>
      <w:r w:rsidR="00BA0277" w:rsidRPr="005A3F47">
        <w:rPr>
          <w:noProof/>
        </w:rPr>
        <w:t xml:space="preserve"> that more </w:t>
      </w:r>
      <w:r w:rsidR="004B00C1" w:rsidRPr="005A3F47">
        <w:rPr>
          <w:noProof/>
        </w:rPr>
        <w:t>dispute p</w:t>
      </w:r>
      <w:r w:rsidR="00BA0277" w:rsidRPr="005A3F47">
        <w:rPr>
          <w:noProof/>
        </w:rPr>
        <w:t xml:space="preserve">revention </w:t>
      </w:r>
      <w:r w:rsidR="004B00C1" w:rsidRPr="005A3F47">
        <w:rPr>
          <w:noProof/>
        </w:rPr>
        <w:t>initiatives</w:t>
      </w:r>
      <w:r w:rsidR="008C05D3" w:rsidRPr="005A3F47">
        <w:rPr>
          <w:noProof/>
        </w:rPr>
        <w:t>, such a corporative compliance programmes,</w:t>
      </w:r>
      <w:r w:rsidR="004B00C1" w:rsidRPr="005A3F47">
        <w:rPr>
          <w:noProof/>
        </w:rPr>
        <w:t xml:space="preserve"> are needed</w:t>
      </w:r>
      <w:r w:rsidR="00C9473B" w:rsidRPr="005A3F47">
        <w:rPr>
          <w:noProof/>
        </w:rPr>
        <w:t xml:space="preserve"> in the EU</w:t>
      </w:r>
      <w:r w:rsidR="00BA0277" w:rsidRPr="005A3F47">
        <w:rPr>
          <w:noProof/>
        </w:rPr>
        <w:t xml:space="preserve">. </w:t>
      </w:r>
    </w:p>
    <w:p w14:paraId="39A0B56B" w14:textId="4AFA94EB" w:rsidR="00A758AC" w:rsidRPr="005A3F47" w:rsidRDefault="00917B31" w:rsidP="0033552C">
      <w:pPr>
        <w:spacing w:after="0"/>
        <w:rPr>
          <w:noProof/>
        </w:rPr>
      </w:pPr>
      <w:r w:rsidRPr="005A3F47">
        <w:rPr>
          <w:noProof/>
        </w:rPr>
        <w:t xml:space="preserve"> </w:t>
      </w:r>
    </w:p>
    <w:p w14:paraId="2514F91B" w14:textId="77777777" w:rsidR="00D73A1C" w:rsidRPr="005A3F47" w:rsidRDefault="00D73A1C">
      <w:pPr>
        <w:spacing w:after="200" w:line="276" w:lineRule="auto"/>
        <w:jc w:val="left"/>
        <w:rPr>
          <w:rFonts w:eastAsia="Times New Roman"/>
          <w:b/>
          <w:smallCaps/>
          <w:noProof/>
          <w:sz w:val="32"/>
          <w:szCs w:val="20"/>
        </w:rPr>
      </w:pPr>
      <w:r w:rsidRPr="005A3F47">
        <w:rPr>
          <w:noProof/>
        </w:rPr>
        <w:br w:type="page"/>
      </w:r>
    </w:p>
    <w:p w14:paraId="39C202C8" w14:textId="1A0AA2D1" w:rsidR="006B087E" w:rsidRPr="005A3F47" w:rsidRDefault="006B087E" w:rsidP="00C22AB4">
      <w:pPr>
        <w:pStyle w:val="AnnexTitle"/>
        <w:rPr>
          <w:noProof/>
        </w:rPr>
      </w:pPr>
      <w:bookmarkStart w:id="337" w:name="_Toc226466615"/>
      <w:bookmarkStart w:id="338" w:name="_Toc226466866"/>
      <w:bookmarkStart w:id="339" w:name="_Toc226467227"/>
      <w:bookmarkStart w:id="340" w:name="_Toc226467327"/>
      <w:bookmarkStart w:id="341" w:name="_Toc226467546"/>
      <w:bookmarkStart w:id="342" w:name="_Toc230258083"/>
      <w:r w:rsidRPr="005A3F47">
        <w:rPr>
          <w:noProof/>
        </w:rPr>
        <w:t>Annex 3: Who is affected and how?</w:t>
      </w:r>
      <w:bookmarkEnd w:id="337"/>
      <w:bookmarkEnd w:id="338"/>
      <w:bookmarkEnd w:id="339"/>
      <w:bookmarkEnd w:id="340"/>
      <w:bookmarkEnd w:id="341"/>
      <w:bookmarkEnd w:id="342"/>
    </w:p>
    <w:p w14:paraId="62F17F15" w14:textId="77777777" w:rsidR="006B087E" w:rsidRPr="005A3F47" w:rsidRDefault="006B087E" w:rsidP="009B2128">
      <w:pPr>
        <w:pStyle w:val="Heading2"/>
        <w:numPr>
          <w:ilvl w:val="0"/>
          <w:numId w:val="186"/>
        </w:numPr>
        <w:rPr>
          <w:noProof/>
        </w:rPr>
      </w:pPr>
      <w:bookmarkStart w:id="343" w:name="_Toc226466616"/>
      <w:bookmarkStart w:id="344" w:name="_Toc226466867"/>
      <w:bookmarkStart w:id="345" w:name="_Toc226467228"/>
      <w:bookmarkStart w:id="346" w:name="_Toc226467328"/>
      <w:bookmarkStart w:id="347" w:name="_Toc226467547"/>
      <w:r w:rsidRPr="005A3F47">
        <w:rPr>
          <w:noProof/>
        </w:rPr>
        <w:t>Practical implications of the initiative</w:t>
      </w:r>
      <w:bookmarkEnd w:id="343"/>
      <w:bookmarkEnd w:id="344"/>
      <w:bookmarkEnd w:id="345"/>
      <w:bookmarkEnd w:id="346"/>
      <w:bookmarkEnd w:id="347"/>
    </w:p>
    <w:p w14:paraId="65A52CF5" w14:textId="1A72D3CE" w:rsidR="006B087E" w:rsidRPr="005A3F47" w:rsidRDefault="00146352" w:rsidP="000E3086">
      <w:pPr>
        <w:rPr>
          <w:noProof/>
        </w:rPr>
      </w:pPr>
      <w:r w:rsidRPr="005A3F47">
        <w:rPr>
          <w:noProof/>
        </w:rPr>
        <w:t xml:space="preserve">The initiative directly affects the companies that will be subject to and thus liable to </w:t>
      </w:r>
      <w:r w:rsidR="00A427C4" w:rsidRPr="005A3F47">
        <w:rPr>
          <w:noProof/>
        </w:rPr>
        <w:t>domestic</w:t>
      </w:r>
      <w:r w:rsidR="004A1553" w:rsidRPr="005A3F47">
        <w:rPr>
          <w:noProof/>
        </w:rPr>
        <w:t xml:space="preserve"> taxes on companies </w:t>
      </w:r>
      <w:r w:rsidR="00A427C4" w:rsidRPr="005A3F47">
        <w:rPr>
          <w:noProof/>
        </w:rPr>
        <w:t>of</w:t>
      </w:r>
      <w:r w:rsidR="004A1553" w:rsidRPr="005A3F47">
        <w:rPr>
          <w:noProof/>
        </w:rPr>
        <w:t xml:space="preserve"> EU Member States</w:t>
      </w:r>
      <w:r w:rsidR="00A427C4" w:rsidRPr="005A3F47">
        <w:rPr>
          <w:noProof/>
        </w:rPr>
        <w:t xml:space="preserve">, as well as </w:t>
      </w:r>
      <w:r w:rsidR="00D96C16" w:rsidRPr="005A3F47">
        <w:rPr>
          <w:noProof/>
        </w:rPr>
        <w:t xml:space="preserve">their respective </w:t>
      </w:r>
      <w:r w:rsidR="001D48BF" w:rsidRPr="005A3F47">
        <w:rPr>
          <w:noProof/>
        </w:rPr>
        <w:t>national</w:t>
      </w:r>
      <w:r w:rsidR="00D96C16" w:rsidRPr="005A3F47">
        <w:rPr>
          <w:noProof/>
        </w:rPr>
        <w:t xml:space="preserve"> </w:t>
      </w:r>
      <w:r w:rsidR="00A427C4" w:rsidRPr="005A3F47">
        <w:rPr>
          <w:noProof/>
        </w:rPr>
        <w:t>tax administrations</w:t>
      </w:r>
      <w:r w:rsidR="00D96C16" w:rsidRPr="005A3F47">
        <w:rPr>
          <w:noProof/>
        </w:rPr>
        <w:t>,</w:t>
      </w:r>
      <w:r w:rsidRPr="005A3F47">
        <w:rPr>
          <w:noProof/>
        </w:rPr>
        <w:t xml:space="preserve"> by </w:t>
      </w:r>
      <w:r w:rsidR="00A427C4" w:rsidRPr="005A3F47">
        <w:rPr>
          <w:noProof/>
        </w:rPr>
        <w:t>simplifying EU tax rules</w:t>
      </w:r>
      <w:r w:rsidRPr="005A3F47">
        <w:rPr>
          <w:noProof/>
        </w:rPr>
        <w:t xml:space="preserve"> to </w:t>
      </w:r>
      <w:r w:rsidR="00A427C4" w:rsidRPr="005A3F47">
        <w:rPr>
          <w:noProof/>
        </w:rPr>
        <w:t>boos</w:t>
      </w:r>
      <w:r w:rsidR="00D96C16" w:rsidRPr="005A3F47">
        <w:rPr>
          <w:noProof/>
        </w:rPr>
        <w:t>t</w:t>
      </w:r>
      <w:r w:rsidR="00A427C4" w:rsidRPr="005A3F47">
        <w:rPr>
          <w:noProof/>
        </w:rPr>
        <w:t xml:space="preserve"> EU competitiveness</w:t>
      </w:r>
      <w:r w:rsidR="00D96C16" w:rsidRPr="005A3F47">
        <w:rPr>
          <w:noProof/>
        </w:rPr>
        <w:t>,</w:t>
      </w:r>
      <w:r w:rsidR="00A427C4" w:rsidRPr="005A3F47">
        <w:rPr>
          <w:noProof/>
        </w:rPr>
        <w:t xml:space="preserve"> while maintaining high tax standards in the EU</w:t>
      </w:r>
      <w:r w:rsidRPr="005A3F47">
        <w:rPr>
          <w:noProof/>
        </w:rPr>
        <w:t xml:space="preserve">. </w:t>
      </w:r>
      <w:r w:rsidR="009F0C1F" w:rsidRPr="005A3F47">
        <w:rPr>
          <w:noProof/>
        </w:rPr>
        <w:t xml:space="preserve">Citizens will indirectly benefit from the increase in GDP. </w:t>
      </w:r>
      <w:r w:rsidRPr="005A3F47">
        <w:rPr>
          <w:noProof/>
        </w:rPr>
        <w:t xml:space="preserve">It also </w:t>
      </w:r>
      <w:r w:rsidR="00A427C4" w:rsidRPr="005A3F47">
        <w:rPr>
          <w:noProof/>
        </w:rPr>
        <w:t xml:space="preserve">indirectly </w:t>
      </w:r>
      <w:r w:rsidRPr="005A3F47">
        <w:rPr>
          <w:noProof/>
        </w:rPr>
        <w:t xml:space="preserve">affects </w:t>
      </w:r>
      <w:r w:rsidR="00C47D89" w:rsidRPr="005A3F47">
        <w:rPr>
          <w:noProof/>
        </w:rPr>
        <w:t xml:space="preserve">the tax revenues of </w:t>
      </w:r>
      <w:r w:rsidRPr="005A3F47">
        <w:rPr>
          <w:noProof/>
        </w:rPr>
        <w:t>Member States</w:t>
      </w:r>
      <w:r w:rsidR="00D96C16" w:rsidRPr="005A3F47">
        <w:rPr>
          <w:noProof/>
        </w:rPr>
        <w:t>.</w:t>
      </w:r>
    </w:p>
    <w:p w14:paraId="3091C6EB" w14:textId="5B0FE9C1" w:rsidR="00936072" w:rsidRPr="005A3F47" w:rsidRDefault="00EB4057" w:rsidP="00936072">
      <w:pPr>
        <w:rPr>
          <w:noProof/>
        </w:rPr>
      </w:pPr>
      <w:r w:rsidRPr="005A3F47">
        <w:rPr>
          <w:noProof/>
        </w:rPr>
        <w:t>C</w:t>
      </w:r>
      <w:r w:rsidR="00936072" w:rsidRPr="005A3F47">
        <w:rPr>
          <w:noProof/>
        </w:rPr>
        <w:t>ompanies will bear minimal initial adjustment costs for training the personnel to the new rules</w:t>
      </w:r>
      <w:r w:rsidR="000C0800" w:rsidRPr="005A3F47">
        <w:rPr>
          <w:noProof/>
        </w:rPr>
        <w:t>. This is because</w:t>
      </w:r>
      <w:r w:rsidR="00936072" w:rsidRPr="005A3F47">
        <w:rPr>
          <w:noProof/>
        </w:rPr>
        <w:t xml:space="preserve"> the Omnibus </w:t>
      </w:r>
      <w:r w:rsidR="281B77B8" w:rsidRPr="005A3F47">
        <w:rPr>
          <w:noProof/>
        </w:rPr>
        <w:t>on Taxation</w:t>
      </w:r>
      <w:r w:rsidR="00936072" w:rsidRPr="005A3F47">
        <w:rPr>
          <w:noProof/>
        </w:rPr>
        <w:t xml:space="preserve"> </w:t>
      </w:r>
      <w:r w:rsidR="00C97F85" w:rsidRPr="005A3F47">
        <w:rPr>
          <w:noProof/>
        </w:rPr>
        <w:t>either eliminates</w:t>
      </w:r>
      <w:r w:rsidR="00A668AC" w:rsidRPr="005A3F47">
        <w:rPr>
          <w:noProof/>
        </w:rPr>
        <w:t>,</w:t>
      </w:r>
      <w:r w:rsidR="00C97F85" w:rsidRPr="005A3F47">
        <w:rPr>
          <w:noProof/>
        </w:rPr>
        <w:t xml:space="preserve"> </w:t>
      </w:r>
      <w:r w:rsidR="00406EC7" w:rsidRPr="005A3F47">
        <w:rPr>
          <w:noProof/>
        </w:rPr>
        <w:t>clarifies</w:t>
      </w:r>
      <w:r w:rsidR="00575DD2" w:rsidRPr="005A3F47">
        <w:rPr>
          <w:noProof/>
        </w:rPr>
        <w:t xml:space="preserve"> or updates existing </w:t>
      </w:r>
      <w:r w:rsidR="00D401DB" w:rsidRPr="005A3F47">
        <w:rPr>
          <w:noProof/>
        </w:rPr>
        <w:t xml:space="preserve">EU </w:t>
      </w:r>
      <w:r w:rsidR="00C97F85" w:rsidRPr="005A3F47">
        <w:rPr>
          <w:noProof/>
        </w:rPr>
        <w:t>rules</w:t>
      </w:r>
      <w:r w:rsidR="00575DD2" w:rsidRPr="005A3F47">
        <w:rPr>
          <w:noProof/>
        </w:rPr>
        <w:t xml:space="preserve">, </w:t>
      </w:r>
      <w:r w:rsidR="00171399" w:rsidRPr="005A3F47">
        <w:rPr>
          <w:noProof/>
        </w:rPr>
        <w:t>or</w:t>
      </w:r>
      <w:r w:rsidR="000C0800" w:rsidRPr="005A3F47">
        <w:rPr>
          <w:noProof/>
        </w:rPr>
        <w:t>, where the initiative introduces new harmonised rules,</w:t>
      </w:r>
      <w:r w:rsidR="00171399" w:rsidRPr="005A3F47">
        <w:rPr>
          <w:noProof/>
        </w:rPr>
        <w:t xml:space="preserve"> builds on </w:t>
      </w:r>
      <w:r w:rsidR="003006F7" w:rsidRPr="005A3F47">
        <w:rPr>
          <w:noProof/>
        </w:rPr>
        <w:t>existing</w:t>
      </w:r>
      <w:r w:rsidR="000C0800" w:rsidRPr="005A3F47">
        <w:rPr>
          <w:noProof/>
        </w:rPr>
        <w:t xml:space="preserve"> approach</w:t>
      </w:r>
      <w:r w:rsidR="009F4545" w:rsidRPr="005A3F47">
        <w:rPr>
          <w:noProof/>
        </w:rPr>
        <w:t>es</w:t>
      </w:r>
      <w:r w:rsidR="003006F7" w:rsidRPr="005A3F47">
        <w:rPr>
          <w:noProof/>
        </w:rPr>
        <w:t xml:space="preserve">, e.g. </w:t>
      </w:r>
      <w:r w:rsidR="000C0800" w:rsidRPr="005A3F47">
        <w:rPr>
          <w:noProof/>
        </w:rPr>
        <w:t>the FASTER Directive</w:t>
      </w:r>
      <w:r w:rsidR="003006F7" w:rsidRPr="005A3F47">
        <w:rPr>
          <w:noProof/>
        </w:rPr>
        <w:t xml:space="preserve"> for withholding tax procedures</w:t>
      </w:r>
      <w:r w:rsidR="009F4545" w:rsidRPr="005A3F47">
        <w:rPr>
          <w:noProof/>
        </w:rPr>
        <w:t xml:space="preserve">, or </w:t>
      </w:r>
      <w:r w:rsidR="00D401DB" w:rsidRPr="005A3F47">
        <w:rPr>
          <w:noProof/>
        </w:rPr>
        <w:t xml:space="preserve">simpler frameworks (e.g. the </w:t>
      </w:r>
      <w:r w:rsidR="00223F07" w:rsidRPr="005A3F47">
        <w:rPr>
          <w:noProof/>
        </w:rPr>
        <w:t>tax depreciation</w:t>
      </w:r>
      <w:r w:rsidR="00D401DB" w:rsidRPr="005A3F47">
        <w:rPr>
          <w:noProof/>
        </w:rPr>
        <w:t xml:space="preserve"> treatment of assets related to research and development)</w:t>
      </w:r>
      <w:r w:rsidR="000C0800" w:rsidRPr="005A3F47">
        <w:rPr>
          <w:noProof/>
        </w:rPr>
        <w:t xml:space="preserve">. </w:t>
      </w:r>
      <w:r w:rsidR="00927826" w:rsidRPr="005A3F47">
        <w:rPr>
          <w:noProof/>
        </w:rPr>
        <w:t>Accordingly</w:t>
      </w:r>
      <w:r w:rsidR="003006F7" w:rsidRPr="005A3F47">
        <w:rPr>
          <w:noProof/>
        </w:rPr>
        <w:t>, i</w:t>
      </w:r>
      <w:r w:rsidR="00936072" w:rsidRPr="005A3F47">
        <w:rPr>
          <w:noProof/>
        </w:rPr>
        <w:t xml:space="preserve">t is </w:t>
      </w:r>
      <w:r w:rsidR="00927826" w:rsidRPr="005A3F47">
        <w:rPr>
          <w:noProof/>
        </w:rPr>
        <w:t xml:space="preserve">also </w:t>
      </w:r>
      <w:r w:rsidR="00936072" w:rsidRPr="005A3F47">
        <w:rPr>
          <w:noProof/>
        </w:rPr>
        <w:t xml:space="preserve">expected that recurrent costs will </w:t>
      </w:r>
      <w:r w:rsidR="00927826" w:rsidRPr="005A3F47">
        <w:rPr>
          <w:noProof/>
        </w:rPr>
        <w:t xml:space="preserve">be </w:t>
      </w:r>
      <w:r w:rsidR="00E92904" w:rsidRPr="005A3F47">
        <w:rPr>
          <w:noProof/>
        </w:rPr>
        <w:t xml:space="preserve">very </w:t>
      </w:r>
      <w:r w:rsidR="00927826" w:rsidRPr="005A3F47">
        <w:rPr>
          <w:noProof/>
        </w:rPr>
        <w:t>low</w:t>
      </w:r>
      <w:r w:rsidR="00E92904" w:rsidRPr="005A3F47">
        <w:rPr>
          <w:noProof/>
        </w:rPr>
        <w:t>.</w:t>
      </w:r>
      <w:r w:rsidR="00936072" w:rsidRPr="005A3F47">
        <w:rPr>
          <w:noProof/>
        </w:rPr>
        <w:t xml:space="preserve"> </w:t>
      </w:r>
      <w:r w:rsidR="00E92904" w:rsidRPr="005A3F47">
        <w:rPr>
          <w:noProof/>
        </w:rPr>
        <w:t>Because</w:t>
      </w:r>
      <w:r w:rsidR="00757AA5" w:rsidRPr="005A3F47">
        <w:rPr>
          <w:noProof/>
        </w:rPr>
        <w:t xml:space="preserve"> </w:t>
      </w:r>
      <w:r w:rsidR="0080073C" w:rsidRPr="005A3F47">
        <w:rPr>
          <w:noProof/>
        </w:rPr>
        <w:t xml:space="preserve">the </w:t>
      </w:r>
      <w:r w:rsidR="00E92904" w:rsidRPr="005A3F47">
        <w:rPr>
          <w:noProof/>
        </w:rPr>
        <w:t>new measures aim to simplify EU</w:t>
      </w:r>
      <w:r w:rsidR="00936072" w:rsidRPr="005A3F47">
        <w:rPr>
          <w:noProof/>
        </w:rPr>
        <w:t xml:space="preserve"> tax </w:t>
      </w:r>
      <w:r w:rsidR="00E92904" w:rsidRPr="005A3F47">
        <w:rPr>
          <w:noProof/>
        </w:rPr>
        <w:t xml:space="preserve">rules, </w:t>
      </w:r>
      <w:r w:rsidR="00523B96" w:rsidRPr="005A3F47">
        <w:rPr>
          <w:noProof/>
        </w:rPr>
        <w:t>there</w:t>
      </w:r>
      <w:r w:rsidR="00E92904" w:rsidRPr="005A3F47">
        <w:rPr>
          <w:noProof/>
        </w:rPr>
        <w:t xml:space="preserve"> will be a significant cost</w:t>
      </w:r>
      <w:r w:rsidR="00523B96" w:rsidRPr="005A3F47">
        <w:rPr>
          <w:noProof/>
        </w:rPr>
        <w:t xml:space="preserve"> reduction overall</w:t>
      </w:r>
      <w:r w:rsidR="00BD2D6B" w:rsidRPr="005A3F47">
        <w:rPr>
          <w:noProof/>
        </w:rPr>
        <w:t xml:space="preserve"> for </w:t>
      </w:r>
      <w:r w:rsidR="0029472F" w:rsidRPr="005A3F47">
        <w:rPr>
          <w:noProof/>
        </w:rPr>
        <w:t xml:space="preserve">EU </w:t>
      </w:r>
      <w:r w:rsidR="00BD2D6B" w:rsidRPr="005A3F47">
        <w:rPr>
          <w:noProof/>
        </w:rPr>
        <w:t>businesses</w:t>
      </w:r>
      <w:r w:rsidR="00936072" w:rsidRPr="005A3F47">
        <w:rPr>
          <w:noProof/>
        </w:rPr>
        <w:t xml:space="preserve">. </w:t>
      </w:r>
    </w:p>
    <w:p w14:paraId="5A7F3CB0" w14:textId="6F429D12" w:rsidR="0029472F" w:rsidRPr="005A3F47" w:rsidRDefault="004177C7" w:rsidP="00E155F1">
      <w:pPr>
        <w:rPr>
          <w:noProof/>
        </w:rPr>
      </w:pPr>
      <w:r w:rsidRPr="005A3F47">
        <w:rPr>
          <w:noProof/>
        </w:rPr>
        <w:t>Similarly, the impact for t</w:t>
      </w:r>
      <w:r w:rsidR="0029472F" w:rsidRPr="005A3F47">
        <w:rPr>
          <w:noProof/>
        </w:rPr>
        <w:t xml:space="preserve">ax administrations </w:t>
      </w:r>
      <w:r w:rsidRPr="005A3F47">
        <w:rPr>
          <w:noProof/>
        </w:rPr>
        <w:t>should</w:t>
      </w:r>
      <w:r w:rsidR="0029472F" w:rsidRPr="005A3F47">
        <w:rPr>
          <w:noProof/>
        </w:rPr>
        <w:t xml:space="preserve"> be </w:t>
      </w:r>
      <w:r w:rsidR="007A3BAF" w:rsidRPr="005A3F47">
        <w:rPr>
          <w:noProof/>
        </w:rPr>
        <w:t>positive, because</w:t>
      </w:r>
      <w:r w:rsidR="0029472F" w:rsidRPr="005A3F47">
        <w:rPr>
          <w:noProof/>
        </w:rPr>
        <w:t xml:space="preserve">, apart from the initial cost for training, </w:t>
      </w:r>
      <w:r w:rsidR="007A3BAF" w:rsidRPr="005A3F47">
        <w:rPr>
          <w:noProof/>
        </w:rPr>
        <w:t xml:space="preserve">they can be </w:t>
      </w:r>
      <w:r w:rsidR="0029472F" w:rsidRPr="005A3F47">
        <w:rPr>
          <w:noProof/>
        </w:rPr>
        <w:t xml:space="preserve">expected to </w:t>
      </w:r>
      <w:r w:rsidR="007A3BAF" w:rsidRPr="005A3F47">
        <w:rPr>
          <w:noProof/>
        </w:rPr>
        <w:t>free up</w:t>
      </w:r>
      <w:r w:rsidR="0029472F" w:rsidRPr="005A3F47">
        <w:rPr>
          <w:noProof/>
        </w:rPr>
        <w:t xml:space="preserve"> human resources</w:t>
      </w:r>
      <w:r w:rsidR="007A3BAF" w:rsidRPr="005A3F47">
        <w:rPr>
          <w:noProof/>
        </w:rPr>
        <w:t xml:space="preserve"> thanks to </w:t>
      </w:r>
      <w:r w:rsidR="006C3488" w:rsidRPr="005A3F47">
        <w:rPr>
          <w:noProof/>
        </w:rPr>
        <w:t xml:space="preserve">exemptions from existing </w:t>
      </w:r>
      <w:r w:rsidR="00832856" w:rsidRPr="005A3F47">
        <w:rPr>
          <w:noProof/>
        </w:rPr>
        <w:t>administrative burdens</w:t>
      </w:r>
      <w:r w:rsidR="006C3488" w:rsidRPr="005A3F47">
        <w:rPr>
          <w:noProof/>
        </w:rPr>
        <w:t xml:space="preserve"> (e.g. </w:t>
      </w:r>
      <w:r w:rsidR="00D57449" w:rsidRPr="005A3F47">
        <w:rPr>
          <w:noProof/>
        </w:rPr>
        <w:t>withholding tax</w:t>
      </w:r>
      <w:r w:rsidR="006C3488" w:rsidRPr="005A3F47">
        <w:rPr>
          <w:noProof/>
        </w:rPr>
        <w:t>), a more targeted scope for some of the EU rules (e.g. CFC, I</w:t>
      </w:r>
      <w:r w:rsidR="003046CD" w:rsidRPr="005A3F47">
        <w:rPr>
          <w:noProof/>
        </w:rPr>
        <w:t xml:space="preserve">nterest </w:t>
      </w:r>
      <w:r w:rsidR="006C3488" w:rsidRPr="005A3F47">
        <w:rPr>
          <w:noProof/>
        </w:rPr>
        <w:t>L</w:t>
      </w:r>
      <w:r w:rsidR="003046CD" w:rsidRPr="005A3F47">
        <w:rPr>
          <w:noProof/>
        </w:rPr>
        <w:t xml:space="preserve">imitation </w:t>
      </w:r>
      <w:r w:rsidR="006C3488" w:rsidRPr="005A3F47">
        <w:rPr>
          <w:noProof/>
        </w:rPr>
        <w:t>R</w:t>
      </w:r>
      <w:r w:rsidR="003046CD" w:rsidRPr="005A3F47">
        <w:rPr>
          <w:noProof/>
        </w:rPr>
        <w:t>ule</w:t>
      </w:r>
      <w:r w:rsidR="006C3488" w:rsidRPr="005A3F47">
        <w:rPr>
          <w:noProof/>
        </w:rPr>
        <w:t xml:space="preserve">), and clearer mechanisms </w:t>
      </w:r>
      <w:r w:rsidR="00167CE7" w:rsidRPr="005A3F47">
        <w:rPr>
          <w:noProof/>
        </w:rPr>
        <w:t>such as for dispute resolution</w:t>
      </w:r>
      <w:r w:rsidR="0029472F" w:rsidRPr="005A3F47">
        <w:rPr>
          <w:noProof/>
        </w:rPr>
        <w:t>.</w:t>
      </w:r>
    </w:p>
    <w:p w14:paraId="0CBA952A" w14:textId="77777777" w:rsidR="006B087E" w:rsidRPr="005A3F47" w:rsidRDefault="006B087E" w:rsidP="00B61272">
      <w:pPr>
        <w:pStyle w:val="Heading2"/>
        <w:numPr>
          <w:ilvl w:val="0"/>
          <w:numId w:val="186"/>
        </w:numPr>
        <w:rPr>
          <w:noProof/>
        </w:rPr>
      </w:pPr>
      <w:bookmarkStart w:id="348" w:name="_Toc226466617"/>
      <w:bookmarkStart w:id="349" w:name="_Toc226466868"/>
      <w:bookmarkStart w:id="350" w:name="_Toc226467229"/>
      <w:bookmarkStart w:id="351" w:name="_Toc226467329"/>
      <w:bookmarkStart w:id="352" w:name="_Toc226467548"/>
      <w:r w:rsidRPr="005A3F47">
        <w:rPr>
          <w:noProof/>
        </w:rPr>
        <w:t>Summary of costs and benefits</w:t>
      </w:r>
      <w:bookmarkEnd w:id="348"/>
      <w:bookmarkEnd w:id="349"/>
      <w:bookmarkEnd w:id="350"/>
      <w:bookmarkEnd w:id="351"/>
      <w:bookmarkEnd w:id="352"/>
    </w:p>
    <w:p w14:paraId="6CF91DC8" w14:textId="7A1B0C3B" w:rsidR="006B087E" w:rsidRPr="005A3F47" w:rsidRDefault="008165A2" w:rsidP="000E3086">
      <w:pPr>
        <w:rPr>
          <w:noProof/>
        </w:rPr>
      </w:pPr>
      <w:r w:rsidRPr="005A3F47">
        <w:rPr>
          <w:noProof/>
        </w:rPr>
        <w:t xml:space="preserve">As explained in Chapter </w:t>
      </w:r>
      <w:r w:rsidR="009A0E28" w:rsidRPr="005A3F47">
        <w:rPr>
          <w:noProof/>
        </w:rPr>
        <w:fldChar w:fldCharType="begin"/>
      </w:r>
      <w:r w:rsidR="009A0E28" w:rsidRPr="005A3F47">
        <w:rPr>
          <w:noProof/>
        </w:rPr>
        <w:instrText xml:space="preserve"> REF _Ref226464120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6</w:t>
      </w:r>
      <w:r w:rsidR="009A0E28" w:rsidRPr="005A3F47">
        <w:rPr>
          <w:noProof/>
        </w:rPr>
        <w:fldChar w:fldCharType="end"/>
      </w:r>
      <w:r w:rsidRPr="005A3F47">
        <w:rPr>
          <w:noProof/>
        </w:rPr>
        <w:t xml:space="preserve">, it has not been possible to estimate costs </w:t>
      </w:r>
      <w:r w:rsidR="0024771C" w:rsidRPr="005A3F47">
        <w:rPr>
          <w:noProof/>
        </w:rPr>
        <w:t xml:space="preserve">for each of </w:t>
      </w:r>
      <w:r w:rsidRPr="005A3F47">
        <w:rPr>
          <w:noProof/>
        </w:rPr>
        <w:t xml:space="preserve">the envisaged </w:t>
      </w:r>
      <w:r w:rsidR="0024771C" w:rsidRPr="005A3F47">
        <w:rPr>
          <w:noProof/>
        </w:rPr>
        <w:t>policy options.</w:t>
      </w:r>
      <w:r w:rsidRPr="005A3F47">
        <w:rPr>
          <w:noProof/>
        </w:rPr>
        <w:t xml:space="preserve"> Also, </w:t>
      </w:r>
      <w:r w:rsidR="00433338" w:rsidRPr="005A3F47">
        <w:rPr>
          <w:noProof/>
        </w:rPr>
        <w:t>input from</w:t>
      </w:r>
      <w:r w:rsidR="0024771C" w:rsidRPr="005A3F47">
        <w:rPr>
          <w:noProof/>
        </w:rPr>
        <w:t xml:space="preserve"> </w:t>
      </w:r>
      <w:r w:rsidRPr="005A3F47">
        <w:rPr>
          <w:noProof/>
        </w:rPr>
        <w:t xml:space="preserve">stakeholders </w:t>
      </w:r>
      <w:r w:rsidR="00433338" w:rsidRPr="005A3F47">
        <w:rPr>
          <w:noProof/>
        </w:rPr>
        <w:t>has been</w:t>
      </w:r>
      <w:r w:rsidRPr="005A3F47">
        <w:rPr>
          <w:noProof/>
        </w:rPr>
        <w:t xml:space="preserve"> </w:t>
      </w:r>
      <w:r w:rsidR="00516D45" w:rsidRPr="005A3F47">
        <w:rPr>
          <w:noProof/>
        </w:rPr>
        <w:t>limited</w:t>
      </w:r>
      <w:r w:rsidRPr="005A3F47">
        <w:rPr>
          <w:noProof/>
        </w:rPr>
        <w:t xml:space="preserve"> in </w:t>
      </w:r>
      <w:r w:rsidR="00516D45" w:rsidRPr="005A3F47">
        <w:rPr>
          <w:noProof/>
        </w:rPr>
        <w:t>terms of</w:t>
      </w:r>
      <w:r w:rsidRPr="005A3F47">
        <w:rPr>
          <w:noProof/>
        </w:rPr>
        <w:t xml:space="preserve"> quantitative estimations of </w:t>
      </w:r>
      <w:r w:rsidR="0024771C" w:rsidRPr="005A3F47">
        <w:rPr>
          <w:noProof/>
        </w:rPr>
        <w:t>the relevant</w:t>
      </w:r>
      <w:r w:rsidRPr="005A3F47">
        <w:rPr>
          <w:noProof/>
        </w:rPr>
        <w:t xml:space="preserve"> costs, </w:t>
      </w:r>
      <w:r w:rsidR="00516D45" w:rsidRPr="005A3F47">
        <w:rPr>
          <w:noProof/>
        </w:rPr>
        <w:t>which accordingly makes it difficult</w:t>
      </w:r>
      <w:r w:rsidRPr="005A3F47">
        <w:rPr>
          <w:noProof/>
        </w:rPr>
        <w:t xml:space="preserve"> to provide</w:t>
      </w:r>
      <w:r w:rsidR="00CC12E5" w:rsidRPr="005A3F47">
        <w:rPr>
          <w:noProof/>
        </w:rPr>
        <w:t xml:space="preserve"> robust </w:t>
      </w:r>
      <w:r w:rsidR="002B359B" w:rsidRPr="005A3F47">
        <w:rPr>
          <w:noProof/>
        </w:rPr>
        <w:t>estimates</w:t>
      </w:r>
      <w:r w:rsidRPr="005A3F47">
        <w:rPr>
          <w:noProof/>
        </w:rPr>
        <w:t xml:space="preserve">. In addition, depending on the business model of the different groups, the cost of </w:t>
      </w:r>
      <w:r w:rsidR="002B359B" w:rsidRPr="005A3F47">
        <w:rPr>
          <w:noProof/>
        </w:rPr>
        <w:t>applying the existing EU rules</w:t>
      </w:r>
      <w:r w:rsidRPr="005A3F47">
        <w:rPr>
          <w:noProof/>
        </w:rPr>
        <w:t xml:space="preserve"> is expected to differ substantially. For instance, a group which is centrally organised would have less costs than a group which </w:t>
      </w:r>
      <w:r w:rsidR="002B359B" w:rsidRPr="005A3F47">
        <w:rPr>
          <w:noProof/>
        </w:rPr>
        <w:t>mainly operates its administrative functions at the level</w:t>
      </w:r>
      <w:r w:rsidRPr="005A3F47">
        <w:rPr>
          <w:noProof/>
        </w:rPr>
        <w:t xml:space="preserve"> of </w:t>
      </w:r>
      <w:r w:rsidR="002B359B" w:rsidRPr="005A3F47">
        <w:rPr>
          <w:noProof/>
        </w:rPr>
        <w:t>its</w:t>
      </w:r>
      <w:r w:rsidRPr="005A3F47">
        <w:rPr>
          <w:noProof/>
        </w:rPr>
        <w:t xml:space="preserve"> subsidiaries in </w:t>
      </w:r>
      <w:r w:rsidR="002B359B" w:rsidRPr="005A3F47">
        <w:rPr>
          <w:noProof/>
        </w:rPr>
        <w:t>different</w:t>
      </w:r>
      <w:r w:rsidRPr="005A3F47">
        <w:rPr>
          <w:noProof/>
        </w:rPr>
        <w:t xml:space="preserve"> Member States. Below, an attempt is made to describe some of the possible costs, noting that these are likely to be relatively very small</w:t>
      </w:r>
      <w:r w:rsidR="004B1E9E" w:rsidRPr="005A3F47">
        <w:rPr>
          <w:noProof/>
        </w:rPr>
        <w:t xml:space="preserve">, especially </w:t>
      </w:r>
      <w:r w:rsidRPr="005A3F47">
        <w:rPr>
          <w:noProof/>
        </w:rPr>
        <w:t>when compared to the potentially large cost savings derived from simplification.</w:t>
      </w:r>
      <w:r w:rsidR="004B1E9E" w:rsidRPr="005A3F47">
        <w:rPr>
          <w:noProof/>
        </w:rPr>
        <w:t xml:space="preserve"> </w:t>
      </w:r>
      <w:r w:rsidR="0008578D" w:rsidRPr="005A3F47">
        <w:rPr>
          <w:noProof/>
        </w:rPr>
        <w:t xml:space="preserve">No recurrent costs are expected, given that the very nature of the Omnibus on Taxation </w:t>
      </w:r>
      <w:r w:rsidR="00223F11" w:rsidRPr="005A3F47">
        <w:rPr>
          <w:noProof/>
        </w:rPr>
        <w:t xml:space="preserve">is to reduce </w:t>
      </w:r>
      <w:r w:rsidR="008F0BF3" w:rsidRPr="005A3F47">
        <w:rPr>
          <w:noProof/>
        </w:rPr>
        <w:t>recurrent compliance costs.</w:t>
      </w:r>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rsidR="00A77568" w:rsidRPr="005A3F47" w14:paraId="77F98253" w14:textId="77777777" w:rsidTr="00FF4148">
        <w:tc>
          <w:tcPr>
            <w:tcW w:w="10206" w:type="dxa"/>
            <w:gridSpan w:val="3"/>
            <w:tcBorders>
              <w:top w:val="double" w:sz="4" w:space="0" w:color="auto"/>
              <w:bottom w:val="single" w:sz="4" w:space="0" w:color="auto"/>
            </w:tcBorders>
            <w:shd w:val="clear" w:color="auto" w:fill="C6D9F1" w:themeFill="text2" w:themeFillTint="33"/>
          </w:tcPr>
          <w:p w14:paraId="2BF88455" w14:textId="77777777" w:rsidR="00801268" w:rsidRPr="005A3F47" w:rsidRDefault="00801268" w:rsidP="009D4C15">
            <w:pPr>
              <w:spacing w:after="0"/>
              <w:rPr>
                <w:b/>
                <w:noProof/>
                <w:sz w:val="20"/>
              </w:rPr>
            </w:pPr>
            <w:r w:rsidRPr="005A3F47">
              <w:rPr>
                <w:b/>
                <w:noProof/>
                <w:sz w:val="20"/>
              </w:rPr>
              <w:t>I. Overview of Benefits (total for all provisions) – Preferred Option</w:t>
            </w:r>
          </w:p>
        </w:tc>
      </w:tr>
      <w:tr w:rsidR="00E30F4E" w:rsidRPr="005A3F47" w14:paraId="630D315E" w14:textId="77777777" w:rsidTr="00315B43">
        <w:tc>
          <w:tcPr>
            <w:tcW w:w="2512" w:type="dxa"/>
            <w:tcBorders>
              <w:top w:val="single" w:sz="4" w:space="0" w:color="auto"/>
            </w:tcBorders>
            <w:shd w:val="clear" w:color="auto" w:fill="C6D9F1" w:themeFill="text2" w:themeFillTint="33"/>
          </w:tcPr>
          <w:p w14:paraId="3A099500" w14:textId="77777777" w:rsidR="00801268" w:rsidRPr="005A3F47" w:rsidRDefault="00801268" w:rsidP="009D4C15">
            <w:pPr>
              <w:spacing w:after="0"/>
              <w:jc w:val="center"/>
              <w:rPr>
                <w:b/>
                <w:i/>
                <w:noProof/>
                <w:sz w:val="20"/>
              </w:rPr>
            </w:pPr>
            <w:r w:rsidRPr="005A3F47">
              <w:rPr>
                <w:b/>
                <w:i/>
                <w:noProof/>
                <w:sz w:val="20"/>
              </w:rPr>
              <w:t>Description</w:t>
            </w:r>
          </w:p>
        </w:tc>
        <w:tc>
          <w:tcPr>
            <w:tcW w:w="4043" w:type="dxa"/>
            <w:tcBorders>
              <w:top w:val="single" w:sz="4" w:space="0" w:color="auto"/>
            </w:tcBorders>
            <w:shd w:val="clear" w:color="auto" w:fill="C6D9F1" w:themeFill="text2" w:themeFillTint="33"/>
          </w:tcPr>
          <w:p w14:paraId="1CA5FBBE" w14:textId="77777777" w:rsidR="00801268" w:rsidRPr="005A3F47" w:rsidRDefault="00801268" w:rsidP="009D4C15">
            <w:pPr>
              <w:spacing w:after="0"/>
              <w:jc w:val="center"/>
              <w:rPr>
                <w:b/>
                <w:i/>
                <w:noProof/>
                <w:sz w:val="20"/>
              </w:rPr>
            </w:pPr>
            <w:r w:rsidRPr="005A3F47">
              <w:rPr>
                <w:b/>
                <w:i/>
                <w:noProof/>
                <w:sz w:val="20"/>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14:paraId="26B75A3A" w14:textId="77777777" w:rsidR="00801268" w:rsidRPr="005A3F47" w:rsidRDefault="00801268" w:rsidP="009D4C15">
            <w:pPr>
              <w:spacing w:after="0"/>
              <w:jc w:val="center"/>
              <w:rPr>
                <w:b/>
                <w:i/>
                <w:noProof/>
                <w:sz w:val="20"/>
              </w:rPr>
            </w:pPr>
            <w:r w:rsidRPr="005A3F47">
              <w:rPr>
                <w:b/>
                <w:i/>
                <w:noProof/>
                <w:sz w:val="20"/>
              </w:rPr>
              <w:t>Comments</w:t>
            </w:r>
          </w:p>
        </w:tc>
      </w:tr>
      <w:tr w:rsidR="009A0BD9" w:rsidRPr="005A3F47" w14:paraId="09ACB1A8" w14:textId="77777777" w:rsidTr="00FF4148">
        <w:tc>
          <w:tcPr>
            <w:tcW w:w="10206" w:type="dxa"/>
            <w:gridSpan w:val="3"/>
            <w:tcBorders>
              <w:top w:val="double" w:sz="4" w:space="0" w:color="auto"/>
            </w:tcBorders>
            <w:shd w:val="clear" w:color="auto" w:fill="F2F2F2" w:themeFill="background1" w:themeFillShade="F2"/>
          </w:tcPr>
          <w:p w14:paraId="0C2BDC3C" w14:textId="77777777" w:rsidR="00801268" w:rsidRPr="005A3F47" w:rsidRDefault="00801268" w:rsidP="009D4C15">
            <w:pPr>
              <w:spacing w:after="0"/>
              <w:jc w:val="center"/>
              <w:rPr>
                <w:b/>
                <w:i/>
                <w:noProof/>
                <w:sz w:val="20"/>
              </w:rPr>
            </w:pPr>
            <w:r w:rsidRPr="005A3F47">
              <w:rPr>
                <w:b/>
                <w:i/>
                <w:noProof/>
                <w:sz w:val="20"/>
              </w:rPr>
              <w:t>Direct benefits</w:t>
            </w:r>
          </w:p>
        </w:tc>
      </w:tr>
      <w:tr w:rsidR="009806A0" w:rsidRPr="005A3F47" w14:paraId="602CB336" w14:textId="77777777" w:rsidTr="00FF4148">
        <w:tc>
          <w:tcPr>
            <w:tcW w:w="2512" w:type="dxa"/>
            <w:tcBorders>
              <w:top w:val="double" w:sz="4" w:space="0" w:color="auto"/>
            </w:tcBorders>
          </w:tcPr>
          <w:p w14:paraId="412834ED" w14:textId="2CD8F8FB" w:rsidR="00801268" w:rsidRPr="005A3F47" w:rsidRDefault="00A036D6" w:rsidP="00FD2FC7">
            <w:pPr>
              <w:spacing w:after="0"/>
              <w:jc w:val="left"/>
              <w:rPr>
                <w:noProof/>
                <w:sz w:val="20"/>
              </w:rPr>
            </w:pPr>
            <w:r w:rsidRPr="005A3F47">
              <w:rPr>
                <w:noProof/>
                <w:sz w:val="20"/>
              </w:rPr>
              <w:t xml:space="preserve">Reduction of </w:t>
            </w:r>
            <w:r w:rsidR="00264C5D" w:rsidRPr="005A3F47">
              <w:rPr>
                <w:noProof/>
                <w:sz w:val="20"/>
              </w:rPr>
              <w:t>tax</w:t>
            </w:r>
            <w:r w:rsidRPr="005A3F47">
              <w:rPr>
                <w:noProof/>
                <w:sz w:val="20"/>
              </w:rPr>
              <w:t>-related compliance costs for cross</w:t>
            </w:r>
            <w:r w:rsidR="00383036" w:rsidRPr="005A3F47">
              <w:rPr>
                <w:noProof/>
                <w:sz w:val="20"/>
              </w:rPr>
              <w:t>-</w:t>
            </w:r>
            <w:r w:rsidRPr="005A3F47">
              <w:rPr>
                <w:noProof/>
                <w:sz w:val="20"/>
              </w:rPr>
              <w:t xml:space="preserve">border operating </w:t>
            </w:r>
            <w:r w:rsidR="006D129C" w:rsidRPr="005A3F47">
              <w:rPr>
                <w:noProof/>
                <w:sz w:val="20"/>
              </w:rPr>
              <w:t>companies</w:t>
            </w:r>
            <w:r w:rsidRPr="005A3F47">
              <w:rPr>
                <w:noProof/>
                <w:sz w:val="20"/>
              </w:rPr>
              <w:t>.</w:t>
            </w:r>
          </w:p>
        </w:tc>
        <w:tc>
          <w:tcPr>
            <w:tcW w:w="4043" w:type="dxa"/>
            <w:tcBorders>
              <w:top w:val="double" w:sz="4" w:space="0" w:color="auto"/>
            </w:tcBorders>
            <w:tcMar>
              <w:top w:w="57" w:type="dxa"/>
              <w:left w:w="57" w:type="dxa"/>
              <w:bottom w:w="57" w:type="dxa"/>
              <w:right w:w="57" w:type="dxa"/>
            </w:tcMar>
          </w:tcPr>
          <w:p w14:paraId="1A3F89D0" w14:textId="1E9C23BA" w:rsidR="00165DBB" w:rsidRPr="005A3F47" w:rsidRDefault="00165DBB" w:rsidP="00165DBB">
            <w:pPr>
              <w:spacing w:after="0"/>
              <w:jc w:val="left"/>
              <w:rPr>
                <w:noProof/>
                <w:sz w:val="20"/>
              </w:rPr>
            </w:pPr>
            <w:r w:rsidRPr="005A3F47">
              <w:rPr>
                <w:noProof/>
                <w:sz w:val="20"/>
              </w:rPr>
              <w:t xml:space="preserve">For all companies: EUR </w:t>
            </w:r>
            <w:r w:rsidR="0082747C" w:rsidRPr="005A3F47">
              <w:rPr>
                <w:noProof/>
                <w:sz w:val="20"/>
              </w:rPr>
              <w:t>6.</w:t>
            </w:r>
            <w:r w:rsidR="001C4D42" w:rsidRPr="005A3F47">
              <w:rPr>
                <w:noProof/>
                <w:sz w:val="20"/>
              </w:rPr>
              <w:t>6</w:t>
            </w:r>
            <w:r w:rsidRPr="005A3F47">
              <w:rPr>
                <w:noProof/>
                <w:sz w:val="20"/>
              </w:rPr>
              <w:t xml:space="preserve"> billion per year</w:t>
            </w:r>
          </w:p>
          <w:p w14:paraId="1296AB29" w14:textId="6B657083" w:rsidR="00165DBB" w:rsidRPr="005A3F47" w:rsidRDefault="00165DBB" w:rsidP="00165DBB">
            <w:pPr>
              <w:spacing w:after="0"/>
              <w:jc w:val="left"/>
              <w:rPr>
                <w:noProof/>
                <w:sz w:val="20"/>
              </w:rPr>
            </w:pPr>
            <w:r w:rsidRPr="005A3F47">
              <w:rPr>
                <w:noProof/>
                <w:sz w:val="20"/>
              </w:rPr>
              <w:t xml:space="preserve">- Exemption from WHT on intra-EU cross-border interest, royalty and dividend payments: EUR </w:t>
            </w:r>
            <w:r w:rsidR="003A2533" w:rsidRPr="005A3F47">
              <w:rPr>
                <w:noProof/>
                <w:sz w:val="20"/>
              </w:rPr>
              <w:t>5.3</w:t>
            </w:r>
            <w:r w:rsidR="00AA4FC6" w:rsidRPr="005A3F47">
              <w:rPr>
                <w:noProof/>
                <w:sz w:val="20"/>
              </w:rPr>
              <w:t>4</w:t>
            </w:r>
            <w:r w:rsidRPr="005A3F47">
              <w:rPr>
                <w:noProof/>
                <w:sz w:val="20"/>
              </w:rPr>
              <w:t xml:space="preserve"> billion per year (of which EUR </w:t>
            </w:r>
            <w:r w:rsidR="0088071A" w:rsidRPr="005A3F47">
              <w:rPr>
                <w:noProof/>
                <w:sz w:val="20"/>
              </w:rPr>
              <w:t>4.</w:t>
            </w:r>
            <w:r w:rsidR="00280808" w:rsidRPr="005A3F47">
              <w:rPr>
                <w:noProof/>
                <w:sz w:val="20"/>
              </w:rPr>
              <w:t>59</w:t>
            </w:r>
            <w:r w:rsidRPr="005A3F47">
              <w:rPr>
                <w:noProof/>
                <w:sz w:val="20"/>
              </w:rPr>
              <w:t xml:space="preserve"> billion accrue to lower foregone tax relief and lower opportunity costs; EUR 0.</w:t>
            </w:r>
            <w:r w:rsidR="002B321B" w:rsidRPr="005A3F47">
              <w:rPr>
                <w:noProof/>
                <w:sz w:val="20"/>
              </w:rPr>
              <w:t>7</w:t>
            </w:r>
            <w:r w:rsidR="00BD14F1" w:rsidRPr="005A3F47">
              <w:rPr>
                <w:noProof/>
                <w:sz w:val="20"/>
              </w:rPr>
              <w:t>5</w:t>
            </w:r>
            <w:r w:rsidRPr="005A3F47">
              <w:rPr>
                <w:noProof/>
                <w:sz w:val="20"/>
              </w:rPr>
              <w:t xml:space="preserve"> billion accrue to incurred costs, i.e., lower administrative burden).</w:t>
            </w:r>
          </w:p>
          <w:p w14:paraId="5AA0E783" w14:textId="400EBBCA" w:rsidR="008104D8" w:rsidRPr="005A3F47" w:rsidRDefault="00F36DC6" w:rsidP="000E27ED">
            <w:pPr>
              <w:spacing w:after="0"/>
              <w:jc w:val="left"/>
              <w:rPr>
                <w:noProof/>
                <w:sz w:val="20"/>
              </w:rPr>
            </w:pPr>
            <w:r w:rsidRPr="005A3F47">
              <w:rPr>
                <w:noProof/>
                <w:sz w:val="20"/>
              </w:rPr>
              <w:t xml:space="preserve">- </w:t>
            </w:r>
            <w:r w:rsidR="002B7157" w:rsidRPr="005A3F47">
              <w:rPr>
                <w:noProof/>
                <w:sz w:val="20"/>
              </w:rPr>
              <w:t>Car</w:t>
            </w:r>
            <w:r w:rsidR="0061190D" w:rsidRPr="005A3F47">
              <w:rPr>
                <w:noProof/>
                <w:sz w:val="20"/>
              </w:rPr>
              <w:t>veout of Pillar 2 companies</w:t>
            </w:r>
            <w:r w:rsidR="008970DE" w:rsidRPr="005A3F47">
              <w:rPr>
                <w:noProof/>
                <w:sz w:val="20"/>
              </w:rPr>
              <w:t xml:space="preserve"> </w:t>
            </w:r>
            <w:r w:rsidR="008548BB" w:rsidRPr="005A3F47">
              <w:rPr>
                <w:noProof/>
                <w:sz w:val="20"/>
              </w:rPr>
              <w:t xml:space="preserve">and SMEs </w:t>
            </w:r>
            <w:r w:rsidR="008970DE" w:rsidRPr="005A3F47">
              <w:rPr>
                <w:noProof/>
                <w:sz w:val="20"/>
              </w:rPr>
              <w:t>from CFC rules</w:t>
            </w:r>
            <w:r w:rsidR="0061190D" w:rsidRPr="005A3F47">
              <w:rPr>
                <w:noProof/>
                <w:sz w:val="20"/>
              </w:rPr>
              <w:t xml:space="preserve">: EUR </w:t>
            </w:r>
            <w:r w:rsidR="008104D8" w:rsidRPr="005A3F47">
              <w:rPr>
                <w:noProof/>
                <w:sz w:val="20"/>
              </w:rPr>
              <w:t>160 million</w:t>
            </w:r>
            <w:r w:rsidR="00B0488C" w:rsidRPr="005A3F47">
              <w:rPr>
                <w:noProof/>
                <w:sz w:val="20"/>
              </w:rPr>
              <w:t xml:space="preserve"> </w:t>
            </w:r>
            <w:r w:rsidR="007A6C81" w:rsidRPr="005A3F47">
              <w:rPr>
                <w:noProof/>
                <w:sz w:val="20"/>
              </w:rPr>
              <w:t xml:space="preserve">respectively EUR 90 million </w:t>
            </w:r>
            <w:r w:rsidR="00B0488C" w:rsidRPr="005A3F47">
              <w:rPr>
                <w:noProof/>
                <w:sz w:val="20"/>
              </w:rPr>
              <w:t>per year</w:t>
            </w:r>
          </w:p>
          <w:p w14:paraId="35BB2BF5" w14:textId="1E1ED755" w:rsidR="0095608C" w:rsidRPr="005A3F47" w:rsidRDefault="008104D8" w:rsidP="00FD2FC7">
            <w:pPr>
              <w:spacing w:after="0"/>
              <w:jc w:val="left"/>
              <w:rPr>
                <w:noProof/>
                <w:sz w:val="20"/>
              </w:rPr>
            </w:pPr>
            <w:r w:rsidRPr="005A3F47">
              <w:rPr>
                <w:noProof/>
                <w:sz w:val="20"/>
              </w:rPr>
              <w:t xml:space="preserve">- </w:t>
            </w:r>
            <w:r w:rsidR="008970DE" w:rsidRPr="005A3F47">
              <w:rPr>
                <w:noProof/>
                <w:sz w:val="20"/>
              </w:rPr>
              <w:t xml:space="preserve">Mandatory application of </w:t>
            </w:r>
            <w:r w:rsidR="00B0488C" w:rsidRPr="005A3F47">
              <w:rPr>
                <w:noProof/>
                <w:sz w:val="20"/>
              </w:rPr>
              <w:t xml:space="preserve">CFC </w:t>
            </w:r>
            <w:r w:rsidR="004A6843" w:rsidRPr="005A3F47">
              <w:rPr>
                <w:noProof/>
                <w:sz w:val="20"/>
              </w:rPr>
              <w:t>Model A</w:t>
            </w:r>
            <w:r w:rsidR="00B0488C" w:rsidRPr="005A3F47">
              <w:rPr>
                <w:noProof/>
                <w:sz w:val="20"/>
              </w:rPr>
              <w:t xml:space="preserve">: EUR </w:t>
            </w:r>
            <w:r w:rsidR="004E7148" w:rsidRPr="005A3F47">
              <w:rPr>
                <w:noProof/>
                <w:sz w:val="20"/>
              </w:rPr>
              <w:t>45</w:t>
            </w:r>
            <w:r w:rsidR="00B0488C" w:rsidRPr="005A3F47">
              <w:rPr>
                <w:noProof/>
                <w:sz w:val="20"/>
              </w:rPr>
              <w:t xml:space="preserve"> million per year</w:t>
            </w:r>
          </w:p>
          <w:p w14:paraId="268A4D51" w14:textId="16E20272" w:rsidR="0095608C" w:rsidRPr="005A3F47" w:rsidRDefault="0095608C" w:rsidP="00FD2FC7">
            <w:pPr>
              <w:spacing w:after="0"/>
              <w:jc w:val="left"/>
              <w:rPr>
                <w:noProof/>
                <w:sz w:val="20"/>
              </w:rPr>
            </w:pPr>
            <w:r w:rsidRPr="005A3F47">
              <w:rPr>
                <w:noProof/>
                <w:sz w:val="20"/>
              </w:rPr>
              <w:t xml:space="preserve">- </w:t>
            </w:r>
            <w:r w:rsidR="00A34EEA" w:rsidRPr="005A3F47">
              <w:rPr>
                <w:noProof/>
                <w:sz w:val="20"/>
              </w:rPr>
              <w:t xml:space="preserve">Common </w:t>
            </w:r>
            <w:r w:rsidR="008F728E" w:rsidRPr="005A3F47">
              <w:rPr>
                <w:noProof/>
                <w:sz w:val="20"/>
              </w:rPr>
              <w:t xml:space="preserve">tax depreciation </w:t>
            </w:r>
            <w:r w:rsidR="00A34EEA" w:rsidRPr="005A3F47">
              <w:rPr>
                <w:noProof/>
                <w:sz w:val="20"/>
              </w:rPr>
              <w:t xml:space="preserve">treatment of R&amp;D </w:t>
            </w:r>
            <w:r w:rsidR="008F728E" w:rsidRPr="005A3F47">
              <w:rPr>
                <w:noProof/>
                <w:sz w:val="20"/>
              </w:rPr>
              <w:t>assets</w:t>
            </w:r>
            <w:r w:rsidRPr="005A3F47">
              <w:rPr>
                <w:noProof/>
                <w:sz w:val="20"/>
              </w:rPr>
              <w:t xml:space="preserve">: EUR </w:t>
            </w:r>
            <w:r w:rsidR="00165DBB" w:rsidRPr="005A3F47">
              <w:rPr>
                <w:noProof/>
                <w:sz w:val="20"/>
              </w:rPr>
              <w:t>265</w:t>
            </w:r>
            <w:r w:rsidRPr="005A3F47">
              <w:rPr>
                <w:noProof/>
                <w:sz w:val="20"/>
              </w:rPr>
              <w:t xml:space="preserve"> million </w:t>
            </w:r>
            <w:r w:rsidR="008123CF" w:rsidRPr="005A3F47">
              <w:rPr>
                <w:noProof/>
                <w:sz w:val="20"/>
              </w:rPr>
              <w:t>per year</w:t>
            </w:r>
          </w:p>
          <w:p w14:paraId="73A8A57F" w14:textId="260133E7" w:rsidR="00801268" w:rsidRPr="005A3F47" w:rsidRDefault="008123CF" w:rsidP="000E27ED">
            <w:pPr>
              <w:spacing w:after="0"/>
              <w:jc w:val="left"/>
              <w:rPr>
                <w:noProof/>
                <w:sz w:val="20"/>
              </w:rPr>
            </w:pPr>
            <w:r w:rsidRPr="005A3F47">
              <w:rPr>
                <w:noProof/>
                <w:sz w:val="20"/>
              </w:rPr>
              <w:t xml:space="preserve">- </w:t>
            </w:r>
            <w:r w:rsidR="00966191" w:rsidRPr="005A3F47">
              <w:rPr>
                <w:noProof/>
                <w:sz w:val="20"/>
              </w:rPr>
              <w:t xml:space="preserve">De </w:t>
            </w:r>
            <w:r w:rsidR="00EF5A89" w:rsidRPr="005A3F47">
              <w:rPr>
                <w:noProof/>
                <w:sz w:val="20"/>
              </w:rPr>
              <w:t xml:space="preserve">minimis </w:t>
            </w:r>
            <w:r w:rsidR="00966191" w:rsidRPr="005A3F47">
              <w:rPr>
                <w:noProof/>
                <w:sz w:val="20"/>
              </w:rPr>
              <w:t xml:space="preserve">exclusion </w:t>
            </w:r>
            <w:r w:rsidR="00EF5A89" w:rsidRPr="005A3F47">
              <w:rPr>
                <w:noProof/>
                <w:sz w:val="20"/>
              </w:rPr>
              <w:t>(</w:t>
            </w:r>
            <w:r w:rsidRPr="005A3F47">
              <w:rPr>
                <w:noProof/>
                <w:sz w:val="20"/>
              </w:rPr>
              <w:t>SMEs</w:t>
            </w:r>
            <w:r w:rsidR="00EF5A89" w:rsidRPr="005A3F47">
              <w:rPr>
                <w:noProof/>
                <w:sz w:val="20"/>
              </w:rPr>
              <w:t>)</w:t>
            </w:r>
            <w:r w:rsidR="00614C33" w:rsidRPr="005A3F47">
              <w:rPr>
                <w:noProof/>
                <w:sz w:val="20"/>
              </w:rPr>
              <w:t xml:space="preserve"> and </w:t>
            </w:r>
            <w:r w:rsidR="00966191" w:rsidRPr="005A3F47">
              <w:rPr>
                <w:noProof/>
                <w:sz w:val="20"/>
              </w:rPr>
              <w:t xml:space="preserve">carve-out of </w:t>
            </w:r>
            <w:r w:rsidR="00614C33" w:rsidRPr="005A3F47">
              <w:rPr>
                <w:noProof/>
                <w:sz w:val="20"/>
              </w:rPr>
              <w:t>qualifying third-party</w:t>
            </w:r>
            <w:r w:rsidRPr="005A3F47">
              <w:rPr>
                <w:noProof/>
                <w:sz w:val="20"/>
              </w:rPr>
              <w:t xml:space="preserve"> </w:t>
            </w:r>
            <w:r w:rsidR="00614C33" w:rsidRPr="005A3F47">
              <w:rPr>
                <w:noProof/>
                <w:sz w:val="20"/>
              </w:rPr>
              <w:t xml:space="preserve">loans </w:t>
            </w:r>
            <w:r w:rsidRPr="005A3F47">
              <w:rPr>
                <w:noProof/>
                <w:sz w:val="20"/>
              </w:rPr>
              <w:t>from the interest limitation rule</w:t>
            </w:r>
            <w:r w:rsidR="0086658D" w:rsidRPr="005A3F47">
              <w:rPr>
                <w:noProof/>
                <w:sz w:val="20"/>
              </w:rPr>
              <w:t xml:space="preserve">: EUR </w:t>
            </w:r>
            <w:r>
              <w:rPr>
                <w:noProof/>
                <w:sz w:val="20"/>
              </w:rPr>
              <w:t xml:space="preserve">69 </w:t>
            </w:r>
            <w:r w:rsidR="0086658D" w:rsidRPr="005A3F47">
              <w:rPr>
                <w:noProof/>
                <w:sz w:val="20"/>
              </w:rPr>
              <w:t>million</w:t>
            </w:r>
            <w:r w:rsidR="00614C33" w:rsidRPr="005A3F47">
              <w:rPr>
                <w:noProof/>
                <w:sz w:val="20"/>
              </w:rPr>
              <w:t xml:space="preserve"> </w:t>
            </w:r>
            <w:r>
              <w:rPr>
                <w:noProof/>
                <w:sz w:val="20"/>
              </w:rPr>
              <w:t xml:space="preserve">and </w:t>
            </w:r>
            <w:r w:rsidR="00614C33" w:rsidRPr="005A3F47">
              <w:rPr>
                <w:noProof/>
                <w:sz w:val="20"/>
              </w:rPr>
              <w:t xml:space="preserve">EUR </w:t>
            </w:r>
            <w:r w:rsidR="00125D4F" w:rsidRPr="005A3F47">
              <w:rPr>
                <w:noProof/>
                <w:sz w:val="20"/>
              </w:rPr>
              <w:t>430</w:t>
            </w:r>
            <w:r w:rsidR="00317E5F" w:rsidRPr="005A3F47">
              <w:rPr>
                <w:noProof/>
                <w:sz w:val="20"/>
              </w:rPr>
              <w:t xml:space="preserve"> </w:t>
            </w:r>
            <w:r w:rsidR="00614C33" w:rsidRPr="005A3F47">
              <w:rPr>
                <w:noProof/>
                <w:sz w:val="20"/>
              </w:rPr>
              <w:t>million</w:t>
            </w:r>
            <w:r w:rsidR="0086658D" w:rsidRPr="005A3F47">
              <w:rPr>
                <w:noProof/>
                <w:sz w:val="20"/>
              </w:rPr>
              <w:t xml:space="preserve"> per year</w:t>
            </w:r>
            <w:r>
              <w:rPr>
                <w:noProof/>
                <w:sz w:val="20"/>
              </w:rPr>
              <w:t xml:space="preserve"> respectively</w:t>
            </w:r>
          </w:p>
          <w:p w14:paraId="4E8C67BF" w14:textId="77777777" w:rsidR="0086658D" w:rsidRPr="005A3F47" w:rsidRDefault="0086658D" w:rsidP="000E27ED">
            <w:pPr>
              <w:spacing w:after="0"/>
              <w:jc w:val="left"/>
              <w:rPr>
                <w:noProof/>
                <w:sz w:val="20"/>
              </w:rPr>
            </w:pPr>
            <w:r w:rsidRPr="005A3F47">
              <w:rPr>
                <w:noProof/>
                <w:sz w:val="20"/>
              </w:rPr>
              <w:t xml:space="preserve">- </w:t>
            </w:r>
            <w:r w:rsidR="009A0BE9" w:rsidRPr="005A3F47">
              <w:rPr>
                <w:noProof/>
                <w:sz w:val="20"/>
              </w:rPr>
              <w:t>Other simplification</w:t>
            </w:r>
            <w:r w:rsidR="001D0A78" w:rsidRPr="005A3F47">
              <w:rPr>
                <w:noProof/>
                <w:sz w:val="20"/>
              </w:rPr>
              <w:t>s</w:t>
            </w:r>
            <w:r w:rsidR="009A0BE9" w:rsidRPr="005A3F47">
              <w:rPr>
                <w:noProof/>
                <w:sz w:val="20"/>
              </w:rPr>
              <w:t xml:space="preserve"> of the interest limitation rule</w:t>
            </w:r>
            <w:r w:rsidR="001D0A78" w:rsidRPr="005A3F47">
              <w:rPr>
                <w:noProof/>
                <w:sz w:val="20"/>
              </w:rPr>
              <w:t>: EUR 80 million per year</w:t>
            </w:r>
          </w:p>
          <w:p w14:paraId="3E833918" w14:textId="28086701" w:rsidR="00801268" w:rsidRPr="005A3F47" w:rsidRDefault="002D41FD" w:rsidP="00FD2FC7">
            <w:pPr>
              <w:spacing w:after="0"/>
              <w:jc w:val="left"/>
              <w:rPr>
                <w:noProof/>
                <w:sz w:val="20"/>
              </w:rPr>
            </w:pPr>
            <w:r w:rsidRPr="005A3F47">
              <w:rPr>
                <w:noProof/>
                <w:sz w:val="20"/>
              </w:rPr>
              <w:t xml:space="preserve">- Other measures (hybrid mismatches, tax mergers, dispute resolution): </w:t>
            </w:r>
            <w:r w:rsidR="004635D6" w:rsidRPr="005A3F47">
              <w:rPr>
                <w:noProof/>
                <w:sz w:val="20"/>
              </w:rPr>
              <w:t>EUR 80 million per year</w:t>
            </w:r>
            <w:r w:rsidR="00CB0742" w:rsidRPr="005A3F47">
              <w:rPr>
                <w:noProof/>
                <w:sz w:val="20"/>
              </w:rPr>
              <w:t xml:space="preserve"> </w:t>
            </w:r>
          </w:p>
        </w:tc>
        <w:tc>
          <w:tcPr>
            <w:tcW w:w="3651" w:type="dxa"/>
            <w:tcBorders>
              <w:top w:val="double" w:sz="4" w:space="0" w:color="auto"/>
            </w:tcBorders>
            <w:tcMar>
              <w:top w:w="57" w:type="dxa"/>
              <w:left w:w="57" w:type="dxa"/>
              <w:bottom w:w="57" w:type="dxa"/>
              <w:right w:w="57" w:type="dxa"/>
            </w:tcMar>
          </w:tcPr>
          <w:p w14:paraId="4B32351F" w14:textId="4564C215" w:rsidR="00801268" w:rsidRPr="005A3F47" w:rsidRDefault="00B21A81" w:rsidP="00FD2FC7">
            <w:pPr>
              <w:spacing w:after="0"/>
              <w:jc w:val="left"/>
              <w:rPr>
                <w:noProof/>
                <w:sz w:val="20"/>
              </w:rPr>
            </w:pPr>
            <w:r w:rsidRPr="005A3F47">
              <w:rPr>
                <w:noProof/>
                <w:sz w:val="20"/>
              </w:rPr>
              <w:t>Chapter 6 provides explanation for estimates under different scenarios.</w:t>
            </w:r>
          </w:p>
        </w:tc>
      </w:tr>
      <w:tr w:rsidR="009806A0" w:rsidRPr="005A3F47" w14:paraId="3256E675" w14:textId="77777777" w:rsidTr="00FF4148">
        <w:tc>
          <w:tcPr>
            <w:tcW w:w="2512" w:type="dxa"/>
            <w:tcBorders>
              <w:bottom w:val="double" w:sz="4" w:space="0" w:color="auto"/>
            </w:tcBorders>
          </w:tcPr>
          <w:p w14:paraId="2DE40D5D" w14:textId="7751048F" w:rsidR="00801268" w:rsidRPr="005A3F47" w:rsidRDefault="00E71509" w:rsidP="00FD2FC7">
            <w:pPr>
              <w:spacing w:after="0"/>
              <w:jc w:val="left"/>
              <w:rPr>
                <w:noProof/>
                <w:sz w:val="20"/>
              </w:rPr>
            </w:pPr>
            <w:r w:rsidRPr="005A3F47">
              <w:rPr>
                <w:noProof/>
                <w:sz w:val="20"/>
              </w:rPr>
              <w:t>Cost savings in legal advice and litigation procedures concerning dispute resolution and business reorganisations.</w:t>
            </w:r>
          </w:p>
        </w:tc>
        <w:tc>
          <w:tcPr>
            <w:tcW w:w="4043" w:type="dxa"/>
            <w:tcBorders>
              <w:bottom w:val="double" w:sz="4" w:space="0" w:color="auto"/>
            </w:tcBorders>
            <w:tcMar>
              <w:top w:w="57" w:type="dxa"/>
              <w:left w:w="57" w:type="dxa"/>
              <w:bottom w:w="57" w:type="dxa"/>
              <w:right w:w="57" w:type="dxa"/>
            </w:tcMar>
          </w:tcPr>
          <w:p w14:paraId="20E16E19" w14:textId="4B384F66" w:rsidR="00801268" w:rsidRPr="005A3F47" w:rsidRDefault="0093675A" w:rsidP="00FD2FC7">
            <w:pPr>
              <w:spacing w:after="0"/>
              <w:jc w:val="left"/>
              <w:rPr>
                <w:noProof/>
                <w:sz w:val="20"/>
                <w:szCs w:val="20"/>
              </w:rPr>
            </w:pPr>
            <w:r w:rsidRPr="005A3F47">
              <w:rPr>
                <w:noProof/>
                <w:sz w:val="20"/>
                <w:szCs w:val="20"/>
              </w:rPr>
              <w:t xml:space="preserve">Difficult to estimate. Legal advice and litigation costs for complex tax </w:t>
            </w:r>
            <w:r w:rsidR="00761F7F" w:rsidRPr="005A3F47">
              <w:rPr>
                <w:noProof/>
                <w:sz w:val="20"/>
                <w:szCs w:val="20"/>
              </w:rPr>
              <w:t xml:space="preserve">matters </w:t>
            </w:r>
            <w:r w:rsidRPr="005A3F47">
              <w:rPr>
                <w:noProof/>
                <w:sz w:val="20"/>
                <w:szCs w:val="20"/>
              </w:rPr>
              <w:t xml:space="preserve">can range from several thousands to a few millions per </w:t>
            </w:r>
            <w:r w:rsidR="2F00BCA0" w:rsidRPr="005A3F47">
              <w:rPr>
                <w:noProof/>
                <w:sz w:val="20"/>
                <w:szCs w:val="20"/>
              </w:rPr>
              <w:t xml:space="preserve">company </w:t>
            </w:r>
            <w:r w:rsidRPr="005A3F47">
              <w:rPr>
                <w:noProof/>
                <w:sz w:val="20"/>
                <w:szCs w:val="20"/>
              </w:rPr>
              <w:t>per case. More tax certainty and common rules can lead to a substantial reduction of such costs.</w:t>
            </w:r>
          </w:p>
        </w:tc>
        <w:tc>
          <w:tcPr>
            <w:tcW w:w="3651" w:type="dxa"/>
            <w:tcBorders>
              <w:bottom w:val="double" w:sz="4" w:space="0" w:color="auto"/>
            </w:tcBorders>
            <w:tcMar>
              <w:top w:w="57" w:type="dxa"/>
              <w:left w:w="57" w:type="dxa"/>
              <w:bottom w:w="57" w:type="dxa"/>
              <w:right w:w="57" w:type="dxa"/>
            </w:tcMar>
          </w:tcPr>
          <w:p w14:paraId="0349693C" w14:textId="6146E166" w:rsidR="00801268" w:rsidRPr="005A3F47" w:rsidRDefault="00CB6FBC" w:rsidP="00FD2FC7">
            <w:pPr>
              <w:spacing w:after="0"/>
              <w:jc w:val="left"/>
              <w:rPr>
                <w:noProof/>
                <w:sz w:val="20"/>
              </w:rPr>
            </w:pPr>
            <w:r w:rsidRPr="005A3F47">
              <w:rPr>
                <w:noProof/>
                <w:sz w:val="20"/>
              </w:rPr>
              <w:t>Chapter 6 provides explanation for estimates under different scenarios.</w:t>
            </w:r>
          </w:p>
        </w:tc>
      </w:tr>
      <w:tr w:rsidR="009806A0" w:rsidRPr="005A3F47" w14:paraId="65CA9591" w14:textId="77777777" w:rsidTr="00FF4148">
        <w:tc>
          <w:tcPr>
            <w:tcW w:w="2512" w:type="dxa"/>
            <w:tcBorders>
              <w:bottom w:val="double" w:sz="4" w:space="0" w:color="auto"/>
            </w:tcBorders>
          </w:tcPr>
          <w:p w14:paraId="2333CD34" w14:textId="5D4B6A8C" w:rsidR="00B030E8" w:rsidRPr="005A3F47" w:rsidRDefault="000E27ED" w:rsidP="00FD2FC7">
            <w:pPr>
              <w:spacing w:after="0"/>
              <w:jc w:val="left"/>
              <w:rPr>
                <w:noProof/>
                <w:sz w:val="20"/>
              </w:rPr>
            </w:pPr>
            <w:r w:rsidRPr="005A3F47">
              <w:rPr>
                <w:noProof/>
                <w:sz w:val="20"/>
              </w:rPr>
              <w:t xml:space="preserve">Supporting EU competitiveness through </w:t>
            </w:r>
            <w:r w:rsidR="006E7ACF" w:rsidRPr="005A3F47">
              <w:rPr>
                <w:noProof/>
                <w:sz w:val="20"/>
              </w:rPr>
              <w:t>exemption from WHT on</w:t>
            </w:r>
            <w:r w:rsidR="003C4106" w:rsidRPr="005A3F47">
              <w:rPr>
                <w:noProof/>
                <w:sz w:val="20"/>
              </w:rPr>
              <w:t xml:space="preserve"> intra-EU </w:t>
            </w:r>
            <w:r w:rsidR="006E7ACF" w:rsidRPr="005A3F47">
              <w:rPr>
                <w:noProof/>
                <w:sz w:val="20"/>
              </w:rPr>
              <w:t>cross-border interest, royalty and dividend payments</w:t>
            </w:r>
            <w:r w:rsidR="00176432" w:rsidRPr="005A3F47">
              <w:rPr>
                <w:noProof/>
                <w:sz w:val="20"/>
              </w:rPr>
              <w:t>.</w:t>
            </w:r>
          </w:p>
        </w:tc>
        <w:tc>
          <w:tcPr>
            <w:tcW w:w="4043" w:type="dxa"/>
            <w:tcBorders>
              <w:bottom w:val="double" w:sz="4" w:space="0" w:color="auto"/>
            </w:tcBorders>
            <w:tcMar>
              <w:top w:w="57" w:type="dxa"/>
              <w:left w:w="57" w:type="dxa"/>
              <w:bottom w:w="57" w:type="dxa"/>
              <w:right w:w="57" w:type="dxa"/>
            </w:tcMar>
          </w:tcPr>
          <w:p w14:paraId="1553F772" w14:textId="25C6F59C" w:rsidR="00B030E8" w:rsidRPr="005A3F47" w:rsidRDefault="00176432" w:rsidP="00FD2FC7">
            <w:pPr>
              <w:spacing w:after="0"/>
              <w:jc w:val="left"/>
              <w:rPr>
                <w:noProof/>
                <w:sz w:val="20"/>
              </w:rPr>
            </w:pPr>
            <w:r w:rsidRPr="005A3F47">
              <w:rPr>
                <w:noProof/>
                <w:sz w:val="20"/>
              </w:rPr>
              <w:t>In the long run: EU GDP could be higher by +0.</w:t>
            </w:r>
            <w:r w:rsidR="0003295C" w:rsidRPr="005A3F47">
              <w:rPr>
                <w:noProof/>
                <w:sz w:val="20"/>
              </w:rPr>
              <w:t>04</w:t>
            </w:r>
            <w:r w:rsidRPr="005A3F47">
              <w:rPr>
                <w:noProof/>
                <w:sz w:val="20"/>
              </w:rPr>
              <w:t>% relative to the status quo.</w:t>
            </w:r>
          </w:p>
        </w:tc>
        <w:tc>
          <w:tcPr>
            <w:tcW w:w="3651" w:type="dxa"/>
            <w:tcBorders>
              <w:bottom w:val="double" w:sz="4" w:space="0" w:color="auto"/>
            </w:tcBorders>
            <w:tcMar>
              <w:top w:w="57" w:type="dxa"/>
              <w:left w:w="57" w:type="dxa"/>
              <w:bottom w:w="57" w:type="dxa"/>
              <w:right w:w="57" w:type="dxa"/>
            </w:tcMar>
          </w:tcPr>
          <w:p w14:paraId="514882B1" w14:textId="7BFD7E13" w:rsidR="00B030E8" w:rsidRPr="005A3F47" w:rsidRDefault="00CB6FBC" w:rsidP="00FD2FC7">
            <w:pPr>
              <w:spacing w:after="0"/>
              <w:jc w:val="left"/>
              <w:rPr>
                <w:noProof/>
                <w:sz w:val="20"/>
              </w:rPr>
            </w:pPr>
            <w:r w:rsidRPr="005A3F47">
              <w:rPr>
                <w:noProof/>
                <w:sz w:val="20"/>
              </w:rPr>
              <w:t>Chapter 6 provides explanation for estimates under different scenarios.</w:t>
            </w:r>
          </w:p>
        </w:tc>
      </w:tr>
      <w:tr w:rsidR="009806A0" w:rsidRPr="005A3F47" w14:paraId="38DBFE41" w14:textId="77777777" w:rsidTr="00FF4148">
        <w:tc>
          <w:tcPr>
            <w:tcW w:w="2512" w:type="dxa"/>
            <w:tcBorders>
              <w:bottom w:val="double" w:sz="4" w:space="0" w:color="auto"/>
            </w:tcBorders>
          </w:tcPr>
          <w:p w14:paraId="65406805" w14:textId="2B23EF56" w:rsidR="00B030E8" w:rsidRPr="005A3F47" w:rsidRDefault="000E27ED" w:rsidP="00FD2FC7">
            <w:pPr>
              <w:spacing w:after="0"/>
              <w:jc w:val="left"/>
              <w:rPr>
                <w:noProof/>
                <w:sz w:val="20"/>
              </w:rPr>
            </w:pPr>
            <w:r w:rsidRPr="005A3F47">
              <w:rPr>
                <w:noProof/>
                <w:sz w:val="20"/>
              </w:rPr>
              <w:t>Supporting EU competitiveness through simpler, c</w:t>
            </w:r>
            <w:r w:rsidR="00B030E8" w:rsidRPr="005A3F47">
              <w:rPr>
                <w:noProof/>
                <w:sz w:val="20"/>
              </w:rPr>
              <w:t>ommon</w:t>
            </w:r>
            <w:r w:rsidRPr="005A3F47">
              <w:rPr>
                <w:noProof/>
                <w:sz w:val="20"/>
              </w:rPr>
              <w:t xml:space="preserve"> and</w:t>
            </w:r>
            <w:r w:rsidR="00B030E8" w:rsidRPr="005A3F47">
              <w:rPr>
                <w:noProof/>
                <w:sz w:val="20"/>
              </w:rPr>
              <w:t xml:space="preserve"> more beneficial tax depreciation treatment for investments in the area of research and development</w:t>
            </w:r>
            <w:r w:rsidR="00A44C00" w:rsidRPr="005A3F47">
              <w:rPr>
                <w:noProof/>
                <w:sz w:val="20"/>
              </w:rPr>
              <w:t xml:space="preserve"> (R&amp;D)</w:t>
            </w:r>
            <w:r w:rsidR="00B030E8" w:rsidRPr="005A3F47">
              <w:rPr>
                <w:noProof/>
                <w:sz w:val="20"/>
              </w:rPr>
              <w:t>.</w:t>
            </w:r>
          </w:p>
        </w:tc>
        <w:tc>
          <w:tcPr>
            <w:tcW w:w="4043" w:type="dxa"/>
            <w:tcBorders>
              <w:bottom w:val="double" w:sz="4" w:space="0" w:color="auto"/>
            </w:tcBorders>
            <w:tcMar>
              <w:top w:w="57" w:type="dxa"/>
              <w:left w:w="57" w:type="dxa"/>
              <w:bottom w:w="57" w:type="dxa"/>
              <w:right w:w="57" w:type="dxa"/>
            </w:tcMar>
          </w:tcPr>
          <w:p w14:paraId="72E36C4B" w14:textId="3E9C2CB2" w:rsidR="00B030E8" w:rsidRPr="005A3F47" w:rsidRDefault="00B030E8" w:rsidP="00FD2FC7">
            <w:pPr>
              <w:spacing w:after="0"/>
              <w:jc w:val="left"/>
              <w:rPr>
                <w:noProof/>
                <w:sz w:val="20"/>
              </w:rPr>
            </w:pPr>
            <w:r w:rsidRPr="005A3F47">
              <w:rPr>
                <w:noProof/>
                <w:sz w:val="20"/>
              </w:rPr>
              <w:t>In the long run: EU GDP could be higher by +0.2% relative to the status quo.</w:t>
            </w:r>
          </w:p>
        </w:tc>
        <w:tc>
          <w:tcPr>
            <w:tcW w:w="3651" w:type="dxa"/>
            <w:tcBorders>
              <w:bottom w:val="double" w:sz="4" w:space="0" w:color="auto"/>
            </w:tcBorders>
            <w:tcMar>
              <w:top w:w="57" w:type="dxa"/>
              <w:left w:w="57" w:type="dxa"/>
              <w:bottom w:w="57" w:type="dxa"/>
              <w:right w:w="57" w:type="dxa"/>
            </w:tcMar>
          </w:tcPr>
          <w:p w14:paraId="19BE6957" w14:textId="6737F937" w:rsidR="00B030E8" w:rsidRPr="005A3F47" w:rsidRDefault="00CB6FBC" w:rsidP="00FD2FC7">
            <w:pPr>
              <w:spacing w:after="0"/>
              <w:jc w:val="left"/>
              <w:rPr>
                <w:noProof/>
                <w:sz w:val="20"/>
              </w:rPr>
            </w:pPr>
            <w:r w:rsidRPr="005A3F47">
              <w:rPr>
                <w:noProof/>
                <w:sz w:val="20"/>
              </w:rPr>
              <w:t>Chapter 6 provides explanation for estimates under different scenarios.</w:t>
            </w:r>
          </w:p>
        </w:tc>
      </w:tr>
      <w:tr w:rsidR="00C94FE5" w:rsidRPr="005A3F47" w14:paraId="3FD7E739" w14:textId="77777777" w:rsidTr="00FF4148">
        <w:tc>
          <w:tcPr>
            <w:tcW w:w="10206" w:type="dxa"/>
            <w:gridSpan w:val="3"/>
            <w:shd w:val="clear" w:color="auto" w:fill="F2F2F2" w:themeFill="background1" w:themeFillShade="F2"/>
          </w:tcPr>
          <w:p w14:paraId="4AD3F12B" w14:textId="77777777" w:rsidR="00801268" w:rsidRPr="005A3F47" w:rsidRDefault="00801268" w:rsidP="009D4C15">
            <w:pPr>
              <w:spacing w:after="0"/>
              <w:jc w:val="center"/>
              <w:rPr>
                <w:b/>
                <w:i/>
                <w:noProof/>
                <w:sz w:val="20"/>
              </w:rPr>
            </w:pPr>
            <w:r w:rsidRPr="005A3F47">
              <w:rPr>
                <w:b/>
                <w:i/>
                <w:noProof/>
                <w:sz w:val="20"/>
              </w:rPr>
              <w:t>Indirect benefits</w:t>
            </w:r>
          </w:p>
        </w:tc>
      </w:tr>
      <w:tr w:rsidR="009806A0" w:rsidRPr="005A3F47" w14:paraId="0B293CCE" w14:textId="77777777" w:rsidTr="00FF4148">
        <w:tc>
          <w:tcPr>
            <w:tcW w:w="2512" w:type="dxa"/>
            <w:tcBorders>
              <w:top w:val="double" w:sz="4" w:space="0" w:color="auto"/>
            </w:tcBorders>
          </w:tcPr>
          <w:p w14:paraId="58CE3F10" w14:textId="2995AA12" w:rsidR="00801268" w:rsidRPr="005A3F47" w:rsidRDefault="00801268" w:rsidP="009D4C15">
            <w:pPr>
              <w:spacing w:after="0"/>
              <w:rPr>
                <w:noProof/>
                <w:sz w:val="20"/>
              </w:rPr>
            </w:pPr>
          </w:p>
        </w:tc>
        <w:tc>
          <w:tcPr>
            <w:tcW w:w="4043" w:type="dxa"/>
            <w:tcBorders>
              <w:top w:val="double" w:sz="4" w:space="0" w:color="auto"/>
            </w:tcBorders>
            <w:tcMar>
              <w:top w:w="57" w:type="dxa"/>
              <w:left w:w="57" w:type="dxa"/>
              <w:bottom w:w="57" w:type="dxa"/>
              <w:right w:w="57" w:type="dxa"/>
            </w:tcMar>
          </w:tcPr>
          <w:p w14:paraId="7B561BFB" w14:textId="77777777" w:rsidR="00801268" w:rsidRPr="005A3F47" w:rsidRDefault="00801268" w:rsidP="009D4C15">
            <w:pPr>
              <w:spacing w:after="0"/>
              <w:rPr>
                <w:noProof/>
                <w:sz w:val="20"/>
              </w:rPr>
            </w:pPr>
          </w:p>
        </w:tc>
        <w:tc>
          <w:tcPr>
            <w:tcW w:w="3651" w:type="dxa"/>
            <w:tcBorders>
              <w:top w:val="double" w:sz="4" w:space="0" w:color="auto"/>
            </w:tcBorders>
            <w:tcMar>
              <w:top w:w="57" w:type="dxa"/>
              <w:left w:w="57" w:type="dxa"/>
              <w:bottom w:w="57" w:type="dxa"/>
              <w:right w:w="57" w:type="dxa"/>
            </w:tcMar>
          </w:tcPr>
          <w:p w14:paraId="317C5DDA" w14:textId="77777777" w:rsidR="00801268" w:rsidRPr="005A3F47" w:rsidRDefault="00801268" w:rsidP="009D4C15">
            <w:pPr>
              <w:spacing w:after="0"/>
              <w:rPr>
                <w:noProof/>
                <w:sz w:val="20"/>
              </w:rPr>
            </w:pPr>
          </w:p>
        </w:tc>
      </w:tr>
    </w:tbl>
    <w:p w14:paraId="3B762D38" w14:textId="70EF3E1D" w:rsidR="00801268" w:rsidRPr="005A3F47" w:rsidRDefault="00801268" w:rsidP="000E3086">
      <w:pPr>
        <w:rPr>
          <w:i/>
          <w:noProof/>
          <w:sz w:val="20"/>
        </w:rPr>
      </w:pPr>
      <w:r w:rsidRPr="005A3F47">
        <w:rPr>
          <w:i/>
          <w:noProof/>
          <w:sz w:val="20"/>
        </w:rPr>
        <w:t xml:space="preserve">(1) Estimates are </w:t>
      </w:r>
      <w:r w:rsidR="00866FDC" w:rsidRPr="005A3F47">
        <w:rPr>
          <w:i/>
          <w:noProof/>
          <w:sz w:val="20"/>
        </w:rPr>
        <w:t xml:space="preserve">gross values </w:t>
      </w:r>
      <w:r w:rsidRPr="005A3F47">
        <w:rPr>
          <w:i/>
          <w:noProof/>
          <w:sz w:val="20"/>
        </w:rPr>
        <w:t xml:space="preserve">relative to the baseline for the preferred option as a whole (i.e. the impact of individual actions/obligations of the </w:t>
      </w:r>
      <w:r w:rsidRPr="005A3F47">
        <w:rPr>
          <w:i/>
          <w:noProof/>
          <w:sz w:val="20"/>
          <w:u w:val="single"/>
        </w:rPr>
        <w:t>preferred</w:t>
      </w:r>
      <w:r w:rsidRPr="005A3F47">
        <w:rPr>
          <w:i/>
          <w:noProof/>
          <w:sz w:val="20"/>
        </w:rPr>
        <w:t xml:space="preserve"> option are aggregated together); (2) Please indicate </w:t>
      </w:r>
      <w:r w:rsidR="000E345B" w:rsidRPr="005A3F47">
        <w:rPr>
          <w:i/>
          <w:noProof/>
          <w:sz w:val="20"/>
        </w:rPr>
        <w:t xml:space="preserve">in the comments column </w:t>
      </w:r>
      <w:r w:rsidRPr="005A3F47">
        <w:rPr>
          <w:i/>
          <w:noProof/>
          <w:sz w:val="20"/>
        </w:rPr>
        <w:t xml:space="preserve">which stakeholder group is the main recipient of the benefit;(3) For reductions in regulatory costs, please describe </w:t>
      </w:r>
      <w:r w:rsidR="000E345B" w:rsidRPr="005A3F47">
        <w:rPr>
          <w:i/>
          <w:noProof/>
          <w:sz w:val="20"/>
        </w:rPr>
        <w:t xml:space="preserve">in the comments column the </w:t>
      </w:r>
      <w:r w:rsidRPr="005A3F47">
        <w:rPr>
          <w:i/>
          <w:noProof/>
          <w:sz w:val="20"/>
        </w:rPr>
        <w:t xml:space="preserve">details as to how the saving arises (e.g. reductions in adjustment costs, administrative costs, regulatory charges, enforcement costs, etc.;);. </w:t>
      </w:r>
    </w:p>
    <w:p w14:paraId="3FB17E4F" w14:textId="77777777" w:rsidR="00801268" w:rsidRPr="005A3F47" w:rsidRDefault="00801268" w:rsidP="000E3086">
      <w:pPr>
        <w:rPr>
          <w:noProof/>
        </w:rPr>
      </w:pPr>
    </w:p>
    <w:tbl>
      <w:tblPr>
        <w:tblStyle w:val="CV11"/>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024"/>
        <w:gridCol w:w="1620"/>
        <w:gridCol w:w="1519"/>
        <w:gridCol w:w="1520"/>
        <w:gridCol w:w="1519"/>
        <w:gridCol w:w="1520"/>
        <w:gridCol w:w="484"/>
      </w:tblGrid>
      <w:tr w:rsidR="00F2349D" w:rsidRPr="005A3F47" w14:paraId="2754D2CB" w14:textId="77777777" w:rsidTr="00DE6B6A">
        <w:tc>
          <w:tcPr>
            <w:tcW w:w="10206" w:type="dxa"/>
            <w:gridSpan w:val="7"/>
            <w:shd w:val="clear" w:color="auto" w:fill="C6D9F1" w:themeFill="text2" w:themeFillTint="33"/>
            <w:tcMar>
              <w:top w:w="57" w:type="dxa"/>
              <w:left w:w="57" w:type="dxa"/>
              <w:bottom w:w="57" w:type="dxa"/>
              <w:right w:w="57" w:type="dxa"/>
            </w:tcMar>
          </w:tcPr>
          <w:p w14:paraId="0F82C88F" w14:textId="537DC31D" w:rsidR="00801268" w:rsidRPr="005A3F47" w:rsidRDefault="00801268" w:rsidP="009D4C15">
            <w:pPr>
              <w:spacing w:after="0"/>
              <w:rPr>
                <w:b/>
                <w:noProof/>
                <w:sz w:val="20"/>
                <w:szCs w:val="20"/>
              </w:rPr>
            </w:pPr>
            <w:r w:rsidRPr="005A3F47">
              <w:rPr>
                <w:b/>
                <w:noProof/>
                <w:sz w:val="20"/>
                <w:szCs w:val="20"/>
              </w:rPr>
              <w:t>II. Overview of costs – Preferred option</w:t>
            </w:r>
          </w:p>
        </w:tc>
      </w:tr>
      <w:tr w:rsidR="00A77568" w:rsidRPr="005A3F47" w14:paraId="5657FA00" w14:textId="77777777" w:rsidTr="008715F9">
        <w:trPr>
          <w:gridAfter w:val="1"/>
          <w:wAfter w:w="510" w:type="dxa"/>
        </w:trPr>
        <w:tc>
          <w:tcPr>
            <w:tcW w:w="3828"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C277C1A" w14:textId="77777777" w:rsidR="003325DF" w:rsidRPr="005A3F47" w:rsidRDefault="003325DF" w:rsidP="009D4C15">
            <w:pPr>
              <w:spacing w:after="0"/>
              <w:rPr>
                <w:b/>
                <w:noProof/>
                <w:sz w:val="20"/>
                <w:szCs w:val="20"/>
              </w:rPr>
            </w:pPr>
          </w:p>
        </w:tc>
        <w:tc>
          <w:tcPr>
            <w:tcW w:w="3189" w:type="dxa"/>
            <w:gridSpan w:val="2"/>
            <w:tcMar>
              <w:top w:w="57" w:type="dxa"/>
              <w:left w:w="57" w:type="dxa"/>
              <w:bottom w:w="57" w:type="dxa"/>
              <w:right w:w="57" w:type="dxa"/>
            </w:tcMar>
          </w:tcPr>
          <w:p w14:paraId="154C7C3A" w14:textId="77777777" w:rsidR="003325DF" w:rsidRPr="005A3F47" w:rsidRDefault="003325DF" w:rsidP="009D4C15">
            <w:pPr>
              <w:spacing w:after="0"/>
              <w:jc w:val="center"/>
              <w:rPr>
                <w:b/>
                <w:noProof/>
                <w:sz w:val="20"/>
                <w:szCs w:val="20"/>
              </w:rPr>
            </w:pPr>
            <w:r w:rsidRPr="005A3F47">
              <w:rPr>
                <w:b/>
                <w:noProof/>
                <w:sz w:val="20"/>
                <w:szCs w:val="20"/>
              </w:rPr>
              <w:t>Businesses</w:t>
            </w:r>
          </w:p>
        </w:tc>
        <w:tc>
          <w:tcPr>
            <w:tcW w:w="3189" w:type="dxa"/>
            <w:gridSpan w:val="2"/>
            <w:tcMar>
              <w:top w:w="57" w:type="dxa"/>
              <w:left w:w="57" w:type="dxa"/>
              <w:bottom w:w="57" w:type="dxa"/>
              <w:right w:w="57" w:type="dxa"/>
            </w:tcMar>
          </w:tcPr>
          <w:p w14:paraId="3246848E" w14:textId="72AE6B66" w:rsidR="003325DF" w:rsidRPr="005A3F47" w:rsidRDefault="003325DF" w:rsidP="009D4C15">
            <w:pPr>
              <w:spacing w:after="0"/>
              <w:jc w:val="center"/>
              <w:rPr>
                <w:b/>
                <w:noProof/>
                <w:sz w:val="20"/>
                <w:szCs w:val="20"/>
              </w:rPr>
            </w:pPr>
            <w:r w:rsidRPr="005A3F47">
              <w:rPr>
                <w:b/>
                <w:noProof/>
                <w:sz w:val="20"/>
                <w:szCs w:val="20"/>
              </w:rPr>
              <w:t>Administrations</w:t>
            </w:r>
          </w:p>
        </w:tc>
      </w:tr>
      <w:tr w:rsidR="00A77568" w:rsidRPr="005A3F47" w14:paraId="5E98ABF8" w14:textId="77777777" w:rsidTr="008715F9">
        <w:trPr>
          <w:gridAfter w:val="1"/>
          <w:wAfter w:w="510" w:type="dxa"/>
        </w:trPr>
        <w:tc>
          <w:tcPr>
            <w:tcW w:w="3828" w:type="dxa"/>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081EB79B" w14:textId="77777777" w:rsidR="003325DF" w:rsidRPr="005A3F47" w:rsidRDefault="003325DF" w:rsidP="009D4C15">
            <w:pPr>
              <w:spacing w:after="0"/>
              <w:rPr>
                <w:b/>
                <w:noProof/>
                <w:sz w:val="20"/>
                <w:szCs w:val="20"/>
              </w:rPr>
            </w:pPr>
          </w:p>
        </w:tc>
        <w:tc>
          <w:tcPr>
            <w:tcW w:w="1594" w:type="dxa"/>
            <w:tcBorders>
              <w:bottom w:val="double" w:sz="4" w:space="0" w:color="auto"/>
            </w:tcBorders>
            <w:tcMar>
              <w:top w:w="57" w:type="dxa"/>
              <w:left w:w="57" w:type="dxa"/>
              <w:bottom w:w="57" w:type="dxa"/>
              <w:right w:w="57" w:type="dxa"/>
            </w:tcMar>
          </w:tcPr>
          <w:p w14:paraId="3108BEA3" w14:textId="77777777" w:rsidR="003325DF" w:rsidRPr="005A3F47" w:rsidRDefault="003325DF" w:rsidP="009D4C15">
            <w:pPr>
              <w:spacing w:after="0"/>
              <w:jc w:val="center"/>
              <w:rPr>
                <w:b/>
                <w:noProof/>
                <w:sz w:val="20"/>
                <w:szCs w:val="20"/>
              </w:rPr>
            </w:pPr>
            <w:r w:rsidRPr="005A3F47">
              <w:rPr>
                <w:b/>
                <w:noProof/>
                <w:sz w:val="20"/>
                <w:szCs w:val="20"/>
              </w:rPr>
              <w:t>One-off</w:t>
            </w:r>
          </w:p>
        </w:tc>
        <w:tc>
          <w:tcPr>
            <w:tcW w:w="1595" w:type="dxa"/>
            <w:tcBorders>
              <w:bottom w:val="double" w:sz="4" w:space="0" w:color="auto"/>
            </w:tcBorders>
            <w:tcMar>
              <w:top w:w="57" w:type="dxa"/>
              <w:left w:w="57" w:type="dxa"/>
              <w:bottom w:w="57" w:type="dxa"/>
              <w:right w:w="57" w:type="dxa"/>
            </w:tcMar>
          </w:tcPr>
          <w:p w14:paraId="37862F29" w14:textId="77777777" w:rsidR="003325DF" w:rsidRPr="005A3F47" w:rsidRDefault="003325DF" w:rsidP="009D4C15">
            <w:pPr>
              <w:spacing w:after="0"/>
              <w:jc w:val="center"/>
              <w:rPr>
                <w:b/>
                <w:noProof/>
                <w:sz w:val="20"/>
                <w:szCs w:val="20"/>
              </w:rPr>
            </w:pPr>
            <w:r w:rsidRPr="005A3F47">
              <w:rPr>
                <w:b/>
                <w:noProof/>
                <w:sz w:val="20"/>
                <w:szCs w:val="20"/>
              </w:rPr>
              <w:t>Recurrent</w:t>
            </w:r>
          </w:p>
        </w:tc>
        <w:tc>
          <w:tcPr>
            <w:tcW w:w="1594" w:type="dxa"/>
            <w:tcBorders>
              <w:bottom w:val="double" w:sz="4" w:space="0" w:color="auto"/>
            </w:tcBorders>
            <w:tcMar>
              <w:top w:w="57" w:type="dxa"/>
              <w:left w:w="57" w:type="dxa"/>
              <w:bottom w:w="57" w:type="dxa"/>
              <w:right w:w="57" w:type="dxa"/>
            </w:tcMar>
          </w:tcPr>
          <w:p w14:paraId="31CBF75C" w14:textId="77777777" w:rsidR="003325DF" w:rsidRPr="005A3F47" w:rsidRDefault="003325DF" w:rsidP="009D4C15">
            <w:pPr>
              <w:spacing w:after="0"/>
              <w:jc w:val="center"/>
              <w:rPr>
                <w:b/>
                <w:noProof/>
                <w:sz w:val="20"/>
                <w:szCs w:val="20"/>
              </w:rPr>
            </w:pPr>
            <w:r w:rsidRPr="005A3F47">
              <w:rPr>
                <w:b/>
                <w:noProof/>
                <w:sz w:val="20"/>
                <w:szCs w:val="20"/>
              </w:rPr>
              <w:t>One-off</w:t>
            </w:r>
          </w:p>
        </w:tc>
        <w:tc>
          <w:tcPr>
            <w:tcW w:w="1595" w:type="dxa"/>
            <w:tcBorders>
              <w:bottom w:val="double" w:sz="4" w:space="0" w:color="auto"/>
            </w:tcBorders>
            <w:tcMar>
              <w:top w:w="57" w:type="dxa"/>
              <w:left w:w="57" w:type="dxa"/>
              <w:bottom w:w="57" w:type="dxa"/>
              <w:right w:w="57" w:type="dxa"/>
            </w:tcMar>
          </w:tcPr>
          <w:p w14:paraId="78DD587D" w14:textId="77777777" w:rsidR="003325DF" w:rsidRPr="005A3F47" w:rsidRDefault="003325DF" w:rsidP="009D4C15">
            <w:pPr>
              <w:spacing w:after="0"/>
              <w:jc w:val="center"/>
              <w:rPr>
                <w:b/>
                <w:noProof/>
                <w:sz w:val="20"/>
                <w:szCs w:val="20"/>
              </w:rPr>
            </w:pPr>
            <w:r w:rsidRPr="005A3F47">
              <w:rPr>
                <w:b/>
                <w:noProof/>
                <w:sz w:val="20"/>
                <w:szCs w:val="20"/>
              </w:rPr>
              <w:t>Recurrent</w:t>
            </w:r>
          </w:p>
        </w:tc>
      </w:tr>
      <w:tr w:rsidR="00F2349D" w:rsidRPr="005A3F47" w14:paraId="09A2C7EC" w14:textId="77777777" w:rsidTr="008715F9">
        <w:trPr>
          <w:gridAfter w:val="1"/>
          <w:wAfter w:w="510" w:type="dxa"/>
          <w:trHeight w:val="307"/>
        </w:trPr>
        <w:tc>
          <w:tcPr>
            <w:tcW w:w="2127" w:type="dxa"/>
            <w:vMerge w:val="restart"/>
            <w:tcMar>
              <w:top w:w="57" w:type="dxa"/>
              <w:left w:w="57" w:type="dxa"/>
              <w:bottom w:w="57" w:type="dxa"/>
              <w:right w:w="57" w:type="dxa"/>
            </w:tcMar>
            <w:vAlign w:val="center"/>
          </w:tcPr>
          <w:p w14:paraId="220A2CFA" w14:textId="097971F5" w:rsidR="00532086" w:rsidRPr="005A3F47" w:rsidRDefault="00532086" w:rsidP="00532086">
            <w:pPr>
              <w:spacing w:after="0"/>
              <w:rPr>
                <w:noProof/>
                <w:sz w:val="20"/>
                <w:szCs w:val="20"/>
              </w:rPr>
            </w:pPr>
            <w:r w:rsidRPr="005A3F47">
              <w:rPr>
                <w:noProof/>
                <w:sz w:val="20"/>
              </w:rPr>
              <w:t>Exemption from WHT on intra-EU cross-border interest, royalty and dividend payments</w:t>
            </w:r>
          </w:p>
        </w:tc>
        <w:tc>
          <w:tcPr>
            <w:tcW w:w="1701" w:type="dxa"/>
            <w:tcBorders>
              <w:right w:val="double" w:sz="4" w:space="0" w:color="auto"/>
            </w:tcBorders>
            <w:tcMar>
              <w:top w:w="57" w:type="dxa"/>
              <w:left w:w="57" w:type="dxa"/>
              <w:bottom w:w="57" w:type="dxa"/>
              <w:right w:w="57" w:type="dxa"/>
            </w:tcMar>
            <w:vAlign w:val="center"/>
          </w:tcPr>
          <w:p w14:paraId="7B6C2B2A" w14:textId="77777777" w:rsidR="00532086" w:rsidRPr="005A3F47" w:rsidRDefault="00532086" w:rsidP="00532086">
            <w:pPr>
              <w:spacing w:after="0"/>
              <w:jc w:val="left"/>
              <w:rPr>
                <w:noProof/>
                <w:sz w:val="20"/>
                <w:szCs w:val="20"/>
              </w:rPr>
            </w:pPr>
            <w:r w:rsidRPr="005A3F47">
              <w:rPr>
                <w:noProof/>
                <w:sz w:val="20"/>
                <w:szCs w:val="20"/>
              </w:rPr>
              <w:t>Direct adjustment costs</w:t>
            </w:r>
          </w:p>
        </w:tc>
        <w:tc>
          <w:tcPr>
            <w:tcW w:w="1594" w:type="dxa"/>
            <w:tcMar>
              <w:top w:w="57" w:type="dxa"/>
              <w:left w:w="57" w:type="dxa"/>
              <w:bottom w:w="57" w:type="dxa"/>
              <w:right w:w="57" w:type="dxa"/>
            </w:tcMar>
            <w:vAlign w:val="center"/>
          </w:tcPr>
          <w:p w14:paraId="343C9836" w14:textId="1D0923C6" w:rsidR="00532086" w:rsidRPr="005A3F47" w:rsidRDefault="00B0334E" w:rsidP="00532086">
            <w:pPr>
              <w:spacing w:after="0"/>
              <w:rPr>
                <w:noProof/>
                <w:sz w:val="20"/>
                <w:szCs w:val="20"/>
              </w:rPr>
            </w:pPr>
            <w:r w:rsidRPr="005A3F47">
              <w:rPr>
                <w:noProof/>
                <w:sz w:val="20"/>
                <w:szCs w:val="20"/>
              </w:rPr>
              <w:t>N</w:t>
            </w:r>
            <w:r w:rsidR="006323C0" w:rsidRPr="005A3F47">
              <w:rPr>
                <w:noProof/>
                <w:sz w:val="20"/>
                <w:szCs w:val="20"/>
              </w:rPr>
              <w:t>one</w:t>
            </w:r>
            <w:r w:rsidRPr="005A3F47">
              <w:rPr>
                <w:noProof/>
                <w:sz w:val="20"/>
                <w:szCs w:val="20"/>
              </w:rPr>
              <w:t>/very marginal</w:t>
            </w:r>
          </w:p>
        </w:tc>
        <w:tc>
          <w:tcPr>
            <w:tcW w:w="1595" w:type="dxa"/>
            <w:tcMar>
              <w:top w:w="57" w:type="dxa"/>
              <w:left w:w="57" w:type="dxa"/>
              <w:bottom w:w="57" w:type="dxa"/>
              <w:right w:w="57" w:type="dxa"/>
            </w:tcMar>
            <w:vAlign w:val="center"/>
          </w:tcPr>
          <w:p w14:paraId="13A81F7E" w14:textId="228F00D6"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vAlign w:val="center"/>
          </w:tcPr>
          <w:p w14:paraId="33CCF061" w14:textId="13F9E4A7" w:rsidR="00532086" w:rsidRPr="005A3F47" w:rsidRDefault="00145317"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582E7747" w14:textId="40005664" w:rsidR="00532086" w:rsidRPr="005A3F47" w:rsidRDefault="00532086" w:rsidP="00532086">
            <w:pPr>
              <w:spacing w:after="0"/>
              <w:rPr>
                <w:noProof/>
                <w:sz w:val="20"/>
                <w:szCs w:val="20"/>
              </w:rPr>
            </w:pPr>
            <w:r w:rsidRPr="005A3F47">
              <w:rPr>
                <w:noProof/>
                <w:sz w:val="20"/>
                <w:szCs w:val="20"/>
              </w:rPr>
              <w:t>n/a</w:t>
            </w:r>
          </w:p>
        </w:tc>
      </w:tr>
      <w:tr w:rsidR="00F2349D" w:rsidRPr="005A3F47" w14:paraId="0DCF9CD7" w14:textId="77777777" w:rsidTr="008715F9">
        <w:trPr>
          <w:gridAfter w:val="1"/>
          <w:wAfter w:w="510" w:type="dxa"/>
          <w:trHeight w:val="307"/>
        </w:trPr>
        <w:tc>
          <w:tcPr>
            <w:tcW w:w="2127" w:type="dxa"/>
            <w:vMerge/>
            <w:tcMar>
              <w:top w:w="57" w:type="dxa"/>
              <w:left w:w="57" w:type="dxa"/>
              <w:bottom w:w="57" w:type="dxa"/>
              <w:right w:w="57" w:type="dxa"/>
            </w:tcMar>
            <w:vAlign w:val="center"/>
          </w:tcPr>
          <w:p w14:paraId="44DC5624"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53E17FC3" w14:textId="77777777" w:rsidR="00532086" w:rsidRPr="005A3F47" w:rsidRDefault="00532086" w:rsidP="00532086">
            <w:pPr>
              <w:spacing w:after="0"/>
              <w:jc w:val="left"/>
              <w:rPr>
                <w:noProof/>
                <w:sz w:val="20"/>
                <w:szCs w:val="20"/>
              </w:rPr>
            </w:pPr>
            <w:r w:rsidRPr="005A3F47">
              <w:rPr>
                <w:noProof/>
                <w:sz w:val="20"/>
                <w:szCs w:val="20"/>
              </w:rPr>
              <w:t>Direct administrative costs</w:t>
            </w:r>
          </w:p>
        </w:tc>
        <w:tc>
          <w:tcPr>
            <w:tcW w:w="1594" w:type="dxa"/>
            <w:tcMar>
              <w:top w:w="57" w:type="dxa"/>
              <w:left w:w="57" w:type="dxa"/>
              <w:bottom w:w="57" w:type="dxa"/>
              <w:right w:w="57" w:type="dxa"/>
            </w:tcMar>
            <w:vAlign w:val="center"/>
          </w:tcPr>
          <w:p w14:paraId="1A312BE6" w14:textId="00E6D0C1" w:rsidR="00532086" w:rsidRPr="005A3F47" w:rsidRDefault="00B0334E"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6B6DCF93" w14:textId="6B172505"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vAlign w:val="center"/>
          </w:tcPr>
          <w:p w14:paraId="6EC11D01" w14:textId="5D016F8C" w:rsidR="00532086" w:rsidRPr="005A3F47" w:rsidRDefault="00145317"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0182B111" w14:textId="4243DC8D" w:rsidR="00532086" w:rsidRPr="005A3F47" w:rsidRDefault="00532086" w:rsidP="00532086">
            <w:pPr>
              <w:spacing w:after="0"/>
              <w:rPr>
                <w:noProof/>
                <w:sz w:val="20"/>
                <w:szCs w:val="20"/>
              </w:rPr>
            </w:pPr>
            <w:r w:rsidRPr="005A3F47">
              <w:rPr>
                <w:noProof/>
                <w:sz w:val="20"/>
                <w:szCs w:val="20"/>
              </w:rPr>
              <w:t>n/a</w:t>
            </w:r>
          </w:p>
        </w:tc>
      </w:tr>
      <w:tr w:rsidR="00F2349D" w:rsidRPr="005A3F47" w14:paraId="1B6000D7" w14:textId="77777777" w:rsidTr="008715F9">
        <w:trPr>
          <w:gridAfter w:val="1"/>
          <w:wAfter w:w="510" w:type="dxa"/>
          <w:trHeight w:val="307"/>
        </w:trPr>
        <w:tc>
          <w:tcPr>
            <w:tcW w:w="2127" w:type="dxa"/>
            <w:vMerge/>
            <w:tcMar>
              <w:top w:w="57" w:type="dxa"/>
              <w:left w:w="57" w:type="dxa"/>
              <w:bottom w:w="57" w:type="dxa"/>
              <w:right w:w="57" w:type="dxa"/>
            </w:tcMar>
            <w:vAlign w:val="center"/>
          </w:tcPr>
          <w:p w14:paraId="70C09867"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27A3AAE2" w14:textId="77777777" w:rsidR="00532086" w:rsidRPr="005A3F47" w:rsidRDefault="00532086" w:rsidP="00532086">
            <w:pPr>
              <w:spacing w:after="0"/>
              <w:jc w:val="left"/>
              <w:rPr>
                <w:noProof/>
                <w:sz w:val="20"/>
                <w:szCs w:val="20"/>
              </w:rPr>
            </w:pPr>
            <w:r w:rsidRPr="005A3F47">
              <w:rPr>
                <w:noProof/>
                <w:sz w:val="20"/>
                <w:szCs w:val="20"/>
              </w:rPr>
              <w:t>Direct regulatory fees and charges</w:t>
            </w:r>
          </w:p>
        </w:tc>
        <w:tc>
          <w:tcPr>
            <w:tcW w:w="1594" w:type="dxa"/>
            <w:tcMar>
              <w:top w:w="57" w:type="dxa"/>
              <w:left w:w="57" w:type="dxa"/>
              <w:bottom w:w="57" w:type="dxa"/>
              <w:right w:w="57" w:type="dxa"/>
            </w:tcMar>
            <w:vAlign w:val="center"/>
          </w:tcPr>
          <w:p w14:paraId="0841F95E" w14:textId="7CC2C7E3" w:rsidR="00532086" w:rsidRPr="005A3F47" w:rsidRDefault="00B0334E"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6608315C" w14:textId="4AB7B3B0"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vAlign w:val="center"/>
          </w:tcPr>
          <w:p w14:paraId="635A88B0" w14:textId="6491F1F4"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233AA1DB" w14:textId="26E62FE0" w:rsidR="00532086" w:rsidRPr="005A3F47" w:rsidRDefault="00532086" w:rsidP="00532086">
            <w:pPr>
              <w:spacing w:after="0"/>
              <w:rPr>
                <w:noProof/>
                <w:sz w:val="20"/>
                <w:szCs w:val="20"/>
              </w:rPr>
            </w:pPr>
            <w:r w:rsidRPr="005A3F47">
              <w:rPr>
                <w:noProof/>
                <w:sz w:val="20"/>
                <w:szCs w:val="20"/>
              </w:rPr>
              <w:t>n/a</w:t>
            </w:r>
          </w:p>
        </w:tc>
      </w:tr>
      <w:tr w:rsidR="00F2349D" w:rsidRPr="005A3F47" w14:paraId="607D29BE" w14:textId="77777777" w:rsidTr="008715F9">
        <w:trPr>
          <w:gridAfter w:val="1"/>
          <w:wAfter w:w="510" w:type="dxa"/>
          <w:trHeight w:val="307"/>
        </w:trPr>
        <w:tc>
          <w:tcPr>
            <w:tcW w:w="2127" w:type="dxa"/>
            <w:vMerge/>
            <w:tcMar>
              <w:top w:w="57" w:type="dxa"/>
              <w:left w:w="57" w:type="dxa"/>
              <w:bottom w:w="57" w:type="dxa"/>
              <w:right w:w="57" w:type="dxa"/>
            </w:tcMar>
            <w:vAlign w:val="center"/>
          </w:tcPr>
          <w:p w14:paraId="4D0CE703"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03072CB2" w14:textId="77777777" w:rsidR="00532086" w:rsidRPr="005A3F47" w:rsidRDefault="00532086" w:rsidP="00532086">
            <w:pPr>
              <w:spacing w:after="0"/>
              <w:jc w:val="left"/>
              <w:rPr>
                <w:noProof/>
                <w:sz w:val="20"/>
                <w:szCs w:val="20"/>
              </w:rPr>
            </w:pPr>
            <w:r w:rsidRPr="005A3F47">
              <w:rPr>
                <w:noProof/>
                <w:sz w:val="20"/>
                <w:szCs w:val="20"/>
              </w:rPr>
              <w:t>Direct enforcement costs</w:t>
            </w:r>
          </w:p>
        </w:tc>
        <w:tc>
          <w:tcPr>
            <w:tcW w:w="1594" w:type="dxa"/>
            <w:tcMar>
              <w:top w:w="57" w:type="dxa"/>
              <w:left w:w="57" w:type="dxa"/>
              <w:bottom w:w="57" w:type="dxa"/>
              <w:right w:w="57" w:type="dxa"/>
            </w:tcMar>
            <w:vAlign w:val="center"/>
          </w:tcPr>
          <w:p w14:paraId="5B765BD6" w14:textId="207027FD" w:rsidR="00532086" w:rsidRPr="005A3F47" w:rsidRDefault="00B0334E"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66AE00F3" w14:textId="1ECF1553"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vAlign w:val="center"/>
          </w:tcPr>
          <w:p w14:paraId="3C674CCF" w14:textId="57EFE8BB"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61FA7591" w14:textId="0D95DD8C" w:rsidR="00532086" w:rsidRPr="005A3F47" w:rsidRDefault="00532086" w:rsidP="00532086">
            <w:pPr>
              <w:spacing w:after="0"/>
              <w:rPr>
                <w:noProof/>
                <w:sz w:val="20"/>
                <w:szCs w:val="20"/>
              </w:rPr>
            </w:pPr>
            <w:r w:rsidRPr="005A3F47">
              <w:rPr>
                <w:noProof/>
                <w:sz w:val="20"/>
                <w:szCs w:val="20"/>
              </w:rPr>
              <w:t>n/a</w:t>
            </w:r>
          </w:p>
        </w:tc>
      </w:tr>
      <w:tr w:rsidR="00F2349D" w:rsidRPr="005A3F47" w14:paraId="5575DE90" w14:textId="77777777" w:rsidTr="00145317">
        <w:trPr>
          <w:gridAfter w:val="1"/>
          <w:wAfter w:w="510" w:type="dxa"/>
        </w:trPr>
        <w:tc>
          <w:tcPr>
            <w:tcW w:w="2127" w:type="dxa"/>
            <w:vMerge/>
            <w:tcMar>
              <w:top w:w="57" w:type="dxa"/>
              <w:left w:w="57" w:type="dxa"/>
              <w:bottom w:w="57" w:type="dxa"/>
              <w:right w:w="57" w:type="dxa"/>
            </w:tcMar>
          </w:tcPr>
          <w:p w14:paraId="3CB757B5"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tcPr>
          <w:p w14:paraId="60AC93FE" w14:textId="77777777" w:rsidR="00532086" w:rsidRPr="005A3F47" w:rsidRDefault="00532086" w:rsidP="00532086">
            <w:pPr>
              <w:spacing w:after="0"/>
              <w:jc w:val="left"/>
              <w:rPr>
                <w:noProof/>
                <w:sz w:val="20"/>
                <w:szCs w:val="20"/>
              </w:rPr>
            </w:pPr>
            <w:r w:rsidRPr="005A3F47">
              <w:rPr>
                <w:noProof/>
                <w:sz w:val="20"/>
                <w:szCs w:val="20"/>
              </w:rPr>
              <w:t>Indirect costs</w:t>
            </w:r>
          </w:p>
        </w:tc>
        <w:tc>
          <w:tcPr>
            <w:tcW w:w="1594" w:type="dxa"/>
            <w:tcMar>
              <w:top w:w="57" w:type="dxa"/>
              <w:left w:w="57" w:type="dxa"/>
              <w:bottom w:w="57" w:type="dxa"/>
              <w:right w:w="57" w:type="dxa"/>
            </w:tcMar>
          </w:tcPr>
          <w:p w14:paraId="0C8860F3" w14:textId="6BB1F227" w:rsidR="00532086" w:rsidRPr="005A3F47" w:rsidRDefault="005212BF"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66FC0BD6" w14:textId="73673BB8"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6E5F0E78" w14:textId="4EBF4633" w:rsidR="00532086" w:rsidRPr="005A3F47" w:rsidRDefault="00145317"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4FBB09DA" w14:textId="7D204A43" w:rsidR="00532086" w:rsidRPr="005A3F47" w:rsidRDefault="00532086" w:rsidP="00532086">
            <w:pPr>
              <w:spacing w:after="0"/>
              <w:rPr>
                <w:noProof/>
                <w:sz w:val="20"/>
                <w:szCs w:val="20"/>
              </w:rPr>
            </w:pPr>
            <w:r w:rsidRPr="005A3F47">
              <w:rPr>
                <w:noProof/>
                <w:sz w:val="20"/>
                <w:szCs w:val="20"/>
              </w:rPr>
              <w:t>n/a</w:t>
            </w:r>
          </w:p>
        </w:tc>
      </w:tr>
      <w:tr w:rsidR="00F2349D" w:rsidRPr="005A3F47" w14:paraId="5FB51192" w14:textId="77777777" w:rsidTr="00145317">
        <w:trPr>
          <w:gridAfter w:val="1"/>
          <w:wAfter w:w="510" w:type="dxa"/>
        </w:trPr>
        <w:tc>
          <w:tcPr>
            <w:tcW w:w="2127" w:type="dxa"/>
            <w:vMerge w:val="restart"/>
            <w:tcMar>
              <w:top w:w="57" w:type="dxa"/>
              <w:left w:w="57" w:type="dxa"/>
              <w:bottom w:w="57" w:type="dxa"/>
              <w:right w:w="57" w:type="dxa"/>
            </w:tcMar>
          </w:tcPr>
          <w:p w14:paraId="589C28B0" w14:textId="06CB36F1" w:rsidR="00532086" w:rsidRPr="005A3F47" w:rsidRDefault="00532086" w:rsidP="00532086">
            <w:pPr>
              <w:spacing w:after="0"/>
              <w:rPr>
                <w:noProof/>
                <w:sz w:val="20"/>
                <w:szCs w:val="20"/>
              </w:rPr>
            </w:pPr>
            <w:r w:rsidRPr="005A3F47">
              <w:rPr>
                <w:noProof/>
                <w:sz w:val="20"/>
                <w:szCs w:val="20"/>
              </w:rPr>
              <w:t>Taxation of CFCs</w:t>
            </w:r>
          </w:p>
        </w:tc>
        <w:tc>
          <w:tcPr>
            <w:tcW w:w="1701" w:type="dxa"/>
            <w:tcBorders>
              <w:right w:val="double" w:sz="4" w:space="0" w:color="auto"/>
            </w:tcBorders>
            <w:tcMar>
              <w:top w:w="57" w:type="dxa"/>
              <w:left w:w="57" w:type="dxa"/>
              <w:bottom w:w="57" w:type="dxa"/>
              <w:right w:w="57" w:type="dxa"/>
            </w:tcMar>
            <w:vAlign w:val="center"/>
          </w:tcPr>
          <w:p w14:paraId="79D1C6F2" w14:textId="43DD2FC3" w:rsidR="00532086" w:rsidRPr="005A3F47" w:rsidRDefault="00532086" w:rsidP="00532086">
            <w:pPr>
              <w:spacing w:after="0"/>
              <w:jc w:val="left"/>
              <w:rPr>
                <w:noProof/>
                <w:sz w:val="20"/>
                <w:szCs w:val="20"/>
              </w:rPr>
            </w:pPr>
            <w:r w:rsidRPr="005A3F47">
              <w:rPr>
                <w:noProof/>
                <w:sz w:val="20"/>
                <w:szCs w:val="20"/>
              </w:rPr>
              <w:t>Direct adjustment costs</w:t>
            </w:r>
          </w:p>
        </w:tc>
        <w:tc>
          <w:tcPr>
            <w:tcW w:w="1594" w:type="dxa"/>
            <w:tcMar>
              <w:top w:w="57" w:type="dxa"/>
              <w:left w:w="57" w:type="dxa"/>
              <w:bottom w:w="57" w:type="dxa"/>
              <w:right w:w="57" w:type="dxa"/>
            </w:tcMar>
          </w:tcPr>
          <w:p w14:paraId="0542FA6D" w14:textId="627B7025" w:rsidR="00532086" w:rsidRPr="005A3F47" w:rsidRDefault="001014EC" w:rsidP="00532086">
            <w:pPr>
              <w:spacing w:after="0"/>
              <w:rPr>
                <w:noProof/>
                <w:sz w:val="20"/>
                <w:szCs w:val="20"/>
              </w:rPr>
            </w:pPr>
            <w:r w:rsidRPr="005A3F47">
              <w:rPr>
                <w:noProof/>
                <w:sz w:val="20"/>
                <w:szCs w:val="20"/>
              </w:rPr>
              <w:t>None/very</w:t>
            </w:r>
            <w:r w:rsidR="005212BF" w:rsidRPr="005A3F47">
              <w:rPr>
                <w:noProof/>
                <w:sz w:val="20"/>
                <w:szCs w:val="20"/>
              </w:rPr>
              <w:t xml:space="preserve"> marginal</w:t>
            </w:r>
          </w:p>
        </w:tc>
        <w:tc>
          <w:tcPr>
            <w:tcW w:w="1595" w:type="dxa"/>
            <w:tcMar>
              <w:top w:w="57" w:type="dxa"/>
              <w:left w:w="57" w:type="dxa"/>
              <w:bottom w:w="57" w:type="dxa"/>
              <w:right w:w="57" w:type="dxa"/>
            </w:tcMar>
            <w:vAlign w:val="center"/>
          </w:tcPr>
          <w:p w14:paraId="758DE962" w14:textId="2DBDA0A3"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603F40DF" w14:textId="056FCAA6" w:rsidR="00532086" w:rsidRPr="005A3F47" w:rsidRDefault="00145317"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75A896FB" w14:textId="2C0856ED" w:rsidR="00532086" w:rsidRPr="005A3F47" w:rsidRDefault="00532086" w:rsidP="00532086">
            <w:pPr>
              <w:spacing w:after="0"/>
              <w:rPr>
                <w:noProof/>
                <w:sz w:val="20"/>
                <w:szCs w:val="20"/>
              </w:rPr>
            </w:pPr>
            <w:r w:rsidRPr="005A3F47">
              <w:rPr>
                <w:noProof/>
                <w:sz w:val="20"/>
                <w:szCs w:val="20"/>
              </w:rPr>
              <w:t>n/a</w:t>
            </w:r>
          </w:p>
        </w:tc>
      </w:tr>
      <w:tr w:rsidR="00F2349D" w:rsidRPr="005A3F47" w14:paraId="27521BD9" w14:textId="77777777" w:rsidTr="00145317">
        <w:trPr>
          <w:gridAfter w:val="1"/>
          <w:wAfter w:w="510" w:type="dxa"/>
        </w:trPr>
        <w:tc>
          <w:tcPr>
            <w:tcW w:w="2127" w:type="dxa"/>
            <w:vMerge/>
            <w:tcMar>
              <w:top w:w="57" w:type="dxa"/>
              <w:left w:w="57" w:type="dxa"/>
              <w:bottom w:w="57" w:type="dxa"/>
              <w:right w:w="57" w:type="dxa"/>
            </w:tcMar>
          </w:tcPr>
          <w:p w14:paraId="56D47FC3"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31364FD4" w14:textId="177E2F0C" w:rsidR="00532086" w:rsidRPr="005A3F47" w:rsidRDefault="00532086" w:rsidP="00532086">
            <w:pPr>
              <w:spacing w:after="0"/>
              <w:jc w:val="left"/>
              <w:rPr>
                <w:noProof/>
                <w:sz w:val="20"/>
                <w:szCs w:val="20"/>
              </w:rPr>
            </w:pPr>
            <w:r w:rsidRPr="005A3F47">
              <w:rPr>
                <w:noProof/>
                <w:sz w:val="20"/>
                <w:szCs w:val="20"/>
              </w:rPr>
              <w:t>Direct administrative costs</w:t>
            </w:r>
          </w:p>
        </w:tc>
        <w:tc>
          <w:tcPr>
            <w:tcW w:w="1594" w:type="dxa"/>
            <w:tcMar>
              <w:top w:w="57" w:type="dxa"/>
              <w:left w:w="57" w:type="dxa"/>
              <w:bottom w:w="57" w:type="dxa"/>
              <w:right w:w="57" w:type="dxa"/>
            </w:tcMar>
          </w:tcPr>
          <w:p w14:paraId="0B9F8EC5" w14:textId="31C15631" w:rsidR="00532086" w:rsidRPr="005A3F47" w:rsidRDefault="001014EC"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0334BF89" w14:textId="155D758A"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19A4A571" w14:textId="0EEC86EF" w:rsidR="00532086" w:rsidRPr="005A3F47" w:rsidRDefault="00145317"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5C6B9C25" w14:textId="30D514F2" w:rsidR="00532086" w:rsidRPr="005A3F47" w:rsidRDefault="00532086" w:rsidP="00532086">
            <w:pPr>
              <w:spacing w:after="0"/>
              <w:rPr>
                <w:noProof/>
                <w:sz w:val="20"/>
                <w:szCs w:val="20"/>
              </w:rPr>
            </w:pPr>
            <w:r w:rsidRPr="005A3F47">
              <w:rPr>
                <w:noProof/>
                <w:sz w:val="20"/>
                <w:szCs w:val="20"/>
              </w:rPr>
              <w:t>n/a</w:t>
            </w:r>
          </w:p>
        </w:tc>
      </w:tr>
      <w:tr w:rsidR="00F2349D" w:rsidRPr="005A3F47" w14:paraId="2F020823" w14:textId="77777777" w:rsidTr="00145317">
        <w:trPr>
          <w:gridAfter w:val="1"/>
          <w:wAfter w:w="510" w:type="dxa"/>
        </w:trPr>
        <w:tc>
          <w:tcPr>
            <w:tcW w:w="2127" w:type="dxa"/>
            <w:vMerge/>
            <w:tcMar>
              <w:top w:w="57" w:type="dxa"/>
              <w:left w:w="57" w:type="dxa"/>
              <w:bottom w:w="57" w:type="dxa"/>
              <w:right w:w="57" w:type="dxa"/>
            </w:tcMar>
          </w:tcPr>
          <w:p w14:paraId="6A0834CD"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57DE9F12" w14:textId="5EDFA5B7" w:rsidR="00532086" w:rsidRPr="005A3F47" w:rsidRDefault="00532086" w:rsidP="00532086">
            <w:pPr>
              <w:spacing w:after="0"/>
              <w:jc w:val="left"/>
              <w:rPr>
                <w:noProof/>
                <w:sz w:val="20"/>
                <w:szCs w:val="20"/>
              </w:rPr>
            </w:pPr>
            <w:r w:rsidRPr="005A3F47">
              <w:rPr>
                <w:noProof/>
                <w:sz w:val="20"/>
                <w:szCs w:val="20"/>
              </w:rPr>
              <w:t>Direct regulatory fees and charges</w:t>
            </w:r>
          </w:p>
        </w:tc>
        <w:tc>
          <w:tcPr>
            <w:tcW w:w="1594" w:type="dxa"/>
            <w:tcMar>
              <w:top w:w="57" w:type="dxa"/>
              <w:left w:w="57" w:type="dxa"/>
              <w:bottom w:w="57" w:type="dxa"/>
              <w:right w:w="57" w:type="dxa"/>
            </w:tcMar>
          </w:tcPr>
          <w:p w14:paraId="200E7978" w14:textId="036DA882"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6656BEBE" w14:textId="66BCC586"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28E06A2C" w14:textId="01E1EF68"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4455EA15" w14:textId="6609729F" w:rsidR="00532086" w:rsidRPr="005A3F47" w:rsidRDefault="00532086" w:rsidP="00532086">
            <w:pPr>
              <w:spacing w:after="0"/>
              <w:rPr>
                <w:noProof/>
                <w:sz w:val="20"/>
                <w:szCs w:val="20"/>
              </w:rPr>
            </w:pPr>
            <w:r w:rsidRPr="005A3F47">
              <w:rPr>
                <w:noProof/>
                <w:sz w:val="20"/>
                <w:szCs w:val="20"/>
              </w:rPr>
              <w:t>n/a</w:t>
            </w:r>
          </w:p>
        </w:tc>
      </w:tr>
      <w:tr w:rsidR="00F2349D" w:rsidRPr="005A3F47" w14:paraId="64E6AFF2" w14:textId="77777777" w:rsidTr="00145317">
        <w:trPr>
          <w:gridAfter w:val="1"/>
          <w:wAfter w:w="510" w:type="dxa"/>
        </w:trPr>
        <w:tc>
          <w:tcPr>
            <w:tcW w:w="2127" w:type="dxa"/>
            <w:vMerge/>
            <w:tcMar>
              <w:top w:w="57" w:type="dxa"/>
              <w:left w:w="57" w:type="dxa"/>
              <w:bottom w:w="57" w:type="dxa"/>
              <w:right w:w="57" w:type="dxa"/>
            </w:tcMar>
          </w:tcPr>
          <w:p w14:paraId="5FDDF265"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60A8F6DD" w14:textId="44E54CD3" w:rsidR="00532086" w:rsidRPr="005A3F47" w:rsidRDefault="00532086" w:rsidP="00532086">
            <w:pPr>
              <w:spacing w:after="0"/>
              <w:jc w:val="left"/>
              <w:rPr>
                <w:noProof/>
                <w:sz w:val="20"/>
                <w:szCs w:val="20"/>
              </w:rPr>
            </w:pPr>
            <w:r w:rsidRPr="005A3F47">
              <w:rPr>
                <w:noProof/>
                <w:sz w:val="20"/>
                <w:szCs w:val="20"/>
              </w:rPr>
              <w:t>Direct enforcement costs</w:t>
            </w:r>
          </w:p>
        </w:tc>
        <w:tc>
          <w:tcPr>
            <w:tcW w:w="1594" w:type="dxa"/>
            <w:tcMar>
              <w:top w:w="57" w:type="dxa"/>
              <w:left w:w="57" w:type="dxa"/>
              <w:bottom w:w="57" w:type="dxa"/>
              <w:right w:w="57" w:type="dxa"/>
            </w:tcMar>
          </w:tcPr>
          <w:p w14:paraId="5EA84875" w14:textId="78ACDA60"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78F0A251" w14:textId="23E82B16"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428FFA42" w14:textId="3D3C41FC"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28808122" w14:textId="4E1674B1" w:rsidR="00532086" w:rsidRPr="005A3F47" w:rsidRDefault="00532086" w:rsidP="00532086">
            <w:pPr>
              <w:spacing w:after="0"/>
              <w:rPr>
                <w:noProof/>
                <w:sz w:val="20"/>
                <w:szCs w:val="20"/>
              </w:rPr>
            </w:pPr>
            <w:r w:rsidRPr="005A3F47">
              <w:rPr>
                <w:noProof/>
                <w:sz w:val="20"/>
                <w:szCs w:val="20"/>
              </w:rPr>
              <w:t>n/a</w:t>
            </w:r>
          </w:p>
        </w:tc>
      </w:tr>
      <w:tr w:rsidR="00F2349D" w:rsidRPr="005A3F47" w14:paraId="6918BB92" w14:textId="77777777" w:rsidTr="00145317">
        <w:trPr>
          <w:gridAfter w:val="1"/>
          <w:wAfter w:w="510" w:type="dxa"/>
        </w:trPr>
        <w:tc>
          <w:tcPr>
            <w:tcW w:w="2127" w:type="dxa"/>
            <w:vMerge/>
            <w:tcMar>
              <w:top w:w="57" w:type="dxa"/>
              <w:left w:w="57" w:type="dxa"/>
              <w:bottom w:w="57" w:type="dxa"/>
              <w:right w:w="57" w:type="dxa"/>
            </w:tcMar>
          </w:tcPr>
          <w:p w14:paraId="25A7C079"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tcPr>
          <w:p w14:paraId="2F8F9B81" w14:textId="2BC11159" w:rsidR="00532086" w:rsidRPr="005A3F47" w:rsidRDefault="00532086" w:rsidP="00532086">
            <w:pPr>
              <w:spacing w:after="0"/>
              <w:jc w:val="left"/>
              <w:rPr>
                <w:noProof/>
                <w:sz w:val="20"/>
                <w:szCs w:val="20"/>
              </w:rPr>
            </w:pPr>
            <w:r w:rsidRPr="005A3F47">
              <w:rPr>
                <w:noProof/>
                <w:sz w:val="20"/>
                <w:szCs w:val="20"/>
              </w:rPr>
              <w:t>Indirect costs</w:t>
            </w:r>
          </w:p>
        </w:tc>
        <w:tc>
          <w:tcPr>
            <w:tcW w:w="1594" w:type="dxa"/>
            <w:tcMar>
              <w:top w:w="57" w:type="dxa"/>
              <w:left w:w="57" w:type="dxa"/>
              <w:bottom w:w="57" w:type="dxa"/>
              <w:right w:w="57" w:type="dxa"/>
            </w:tcMar>
          </w:tcPr>
          <w:p w14:paraId="5A5C3F31" w14:textId="19F6F4F4" w:rsidR="00532086" w:rsidRPr="005A3F47" w:rsidRDefault="001014EC"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1FF11C36" w14:textId="462B9A0A"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7FD3FC2F" w14:textId="0BE57E80" w:rsidR="00532086" w:rsidRPr="005A3F47" w:rsidRDefault="00145317" w:rsidP="00532086">
            <w:pPr>
              <w:spacing w:after="0"/>
              <w:rPr>
                <w:noProof/>
                <w:sz w:val="20"/>
                <w:szCs w:val="20"/>
              </w:rPr>
            </w:pPr>
            <w:r w:rsidRPr="005A3F47">
              <w:rPr>
                <w:noProof/>
                <w:sz w:val="20"/>
                <w:szCs w:val="20"/>
              </w:rPr>
              <w:t>None/very marginal</w:t>
            </w:r>
          </w:p>
        </w:tc>
        <w:tc>
          <w:tcPr>
            <w:tcW w:w="1595" w:type="dxa"/>
            <w:tcMar>
              <w:top w:w="57" w:type="dxa"/>
              <w:left w:w="57" w:type="dxa"/>
              <w:bottom w:w="57" w:type="dxa"/>
              <w:right w:w="57" w:type="dxa"/>
            </w:tcMar>
            <w:vAlign w:val="center"/>
          </w:tcPr>
          <w:p w14:paraId="027E9C9A" w14:textId="54A76186" w:rsidR="00532086" w:rsidRPr="005A3F47" w:rsidRDefault="00532086" w:rsidP="00532086">
            <w:pPr>
              <w:spacing w:after="0"/>
              <w:rPr>
                <w:noProof/>
                <w:sz w:val="20"/>
                <w:szCs w:val="20"/>
              </w:rPr>
            </w:pPr>
            <w:r w:rsidRPr="005A3F47">
              <w:rPr>
                <w:noProof/>
                <w:sz w:val="20"/>
                <w:szCs w:val="20"/>
              </w:rPr>
              <w:t>n/a</w:t>
            </w:r>
          </w:p>
        </w:tc>
      </w:tr>
      <w:tr w:rsidR="00F2349D" w:rsidRPr="005A3F47" w14:paraId="093174C7" w14:textId="77777777" w:rsidTr="00145317">
        <w:trPr>
          <w:gridAfter w:val="1"/>
          <w:wAfter w:w="510" w:type="dxa"/>
        </w:trPr>
        <w:tc>
          <w:tcPr>
            <w:tcW w:w="2127" w:type="dxa"/>
            <w:vMerge w:val="restart"/>
            <w:tcMar>
              <w:top w:w="57" w:type="dxa"/>
              <w:left w:w="57" w:type="dxa"/>
              <w:bottom w:w="57" w:type="dxa"/>
              <w:right w:w="57" w:type="dxa"/>
            </w:tcMar>
          </w:tcPr>
          <w:p w14:paraId="1028BCBA" w14:textId="5DF3C55A" w:rsidR="00532086" w:rsidRPr="005A3F47" w:rsidRDefault="00532086" w:rsidP="00532086">
            <w:pPr>
              <w:spacing w:after="0"/>
              <w:rPr>
                <w:noProof/>
                <w:sz w:val="20"/>
                <w:szCs w:val="20"/>
              </w:rPr>
            </w:pPr>
            <w:r w:rsidRPr="005A3F47">
              <w:rPr>
                <w:noProof/>
                <w:sz w:val="20"/>
              </w:rPr>
              <w:t>Simpler, common and more beneficial tax depreciation treatment for investments in the area of research and development (R&amp;D)</w:t>
            </w:r>
          </w:p>
        </w:tc>
        <w:tc>
          <w:tcPr>
            <w:tcW w:w="1701" w:type="dxa"/>
            <w:tcBorders>
              <w:right w:val="double" w:sz="4" w:space="0" w:color="auto"/>
            </w:tcBorders>
            <w:tcMar>
              <w:top w:w="57" w:type="dxa"/>
              <w:left w:w="57" w:type="dxa"/>
              <w:bottom w:w="57" w:type="dxa"/>
              <w:right w:w="57" w:type="dxa"/>
            </w:tcMar>
            <w:vAlign w:val="center"/>
          </w:tcPr>
          <w:p w14:paraId="05DCDBC1" w14:textId="795E1203" w:rsidR="00532086" w:rsidRPr="005A3F47" w:rsidRDefault="00532086" w:rsidP="00532086">
            <w:pPr>
              <w:spacing w:after="0"/>
              <w:jc w:val="left"/>
              <w:rPr>
                <w:noProof/>
                <w:sz w:val="20"/>
                <w:szCs w:val="20"/>
              </w:rPr>
            </w:pPr>
            <w:r w:rsidRPr="005A3F47">
              <w:rPr>
                <w:noProof/>
                <w:sz w:val="20"/>
                <w:szCs w:val="20"/>
              </w:rPr>
              <w:t>Direct adjustment costs</w:t>
            </w:r>
          </w:p>
        </w:tc>
        <w:tc>
          <w:tcPr>
            <w:tcW w:w="1594" w:type="dxa"/>
            <w:tcMar>
              <w:top w:w="57" w:type="dxa"/>
              <w:left w:w="57" w:type="dxa"/>
              <w:bottom w:w="57" w:type="dxa"/>
              <w:right w:w="57" w:type="dxa"/>
            </w:tcMar>
          </w:tcPr>
          <w:p w14:paraId="57852DE9" w14:textId="6DF83190" w:rsidR="00532086" w:rsidRPr="005A3F47" w:rsidRDefault="001014EC"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2B3F3743" w14:textId="46FB1B17"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3337C33B" w14:textId="321A489A" w:rsidR="00532086" w:rsidRPr="005A3F47" w:rsidRDefault="00145317"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7D49899E" w14:textId="34EDD100" w:rsidR="00532086" w:rsidRPr="005A3F47" w:rsidRDefault="00532086" w:rsidP="00532086">
            <w:pPr>
              <w:spacing w:after="0"/>
              <w:rPr>
                <w:noProof/>
                <w:sz w:val="20"/>
                <w:szCs w:val="20"/>
              </w:rPr>
            </w:pPr>
            <w:r w:rsidRPr="005A3F47">
              <w:rPr>
                <w:noProof/>
                <w:sz w:val="20"/>
                <w:szCs w:val="20"/>
              </w:rPr>
              <w:t>n/a</w:t>
            </w:r>
          </w:p>
        </w:tc>
      </w:tr>
      <w:tr w:rsidR="00F2349D" w:rsidRPr="005A3F47" w14:paraId="13991338" w14:textId="77777777" w:rsidTr="00145317">
        <w:trPr>
          <w:gridAfter w:val="1"/>
          <w:wAfter w:w="510" w:type="dxa"/>
        </w:trPr>
        <w:tc>
          <w:tcPr>
            <w:tcW w:w="2127" w:type="dxa"/>
            <w:vMerge/>
            <w:tcMar>
              <w:top w:w="57" w:type="dxa"/>
              <w:left w:w="57" w:type="dxa"/>
              <w:bottom w:w="57" w:type="dxa"/>
              <w:right w:w="57" w:type="dxa"/>
            </w:tcMar>
          </w:tcPr>
          <w:p w14:paraId="3A7856EB"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35AB4CF7" w14:textId="28E5FBF2" w:rsidR="00532086" w:rsidRPr="005A3F47" w:rsidRDefault="00532086" w:rsidP="00532086">
            <w:pPr>
              <w:spacing w:after="0"/>
              <w:jc w:val="left"/>
              <w:rPr>
                <w:noProof/>
                <w:sz w:val="20"/>
                <w:szCs w:val="20"/>
              </w:rPr>
            </w:pPr>
            <w:r w:rsidRPr="005A3F47">
              <w:rPr>
                <w:noProof/>
                <w:sz w:val="20"/>
                <w:szCs w:val="20"/>
              </w:rPr>
              <w:t>Direct administrative costs</w:t>
            </w:r>
          </w:p>
        </w:tc>
        <w:tc>
          <w:tcPr>
            <w:tcW w:w="1594" w:type="dxa"/>
            <w:tcMar>
              <w:top w:w="57" w:type="dxa"/>
              <w:left w:w="57" w:type="dxa"/>
              <w:bottom w:w="57" w:type="dxa"/>
              <w:right w:w="57" w:type="dxa"/>
            </w:tcMar>
          </w:tcPr>
          <w:p w14:paraId="26F89193" w14:textId="42F6E2E3" w:rsidR="00532086" w:rsidRPr="005A3F47" w:rsidRDefault="001014EC"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28F576B7" w14:textId="24FA32A7"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6BD81ACD" w14:textId="41BAB6FE" w:rsidR="00532086" w:rsidRPr="005A3F47" w:rsidRDefault="00145317"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5C891FE2" w14:textId="3E0979E1" w:rsidR="00532086" w:rsidRPr="005A3F47" w:rsidRDefault="00532086" w:rsidP="00532086">
            <w:pPr>
              <w:spacing w:after="0"/>
              <w:rPr>
                <w:noProof/>
                <w:sz w:val="20"/>
                <w:szCs w:val="20"/>
              </w:rPr>
            </w:pPr>
            <w:r w:rsidRPr="005A3F47">
              <w:rPr>
                <w:noProof/>
                <w:sz w:val="20"/>
                <w:szCs w:val="20"/>
              </w:rPr>
              <w:t>n/a</w:t>
            </w:r>
          </w:p>
        </w:tc>
      </w:tr>
      <w:tr w:rsidR="00F2349D" w:rsidRPr="005A3F47" w14:paraId="3D7A686D" w14:textId="77777777" w:rsidTr="00145317">
        <w:trPr>
          <w:gridAfter w:val="1"/>
          <w:wAfter w:w="510" w:type="dxa"/>
        </w:trPr>
        <w:tc>
          <w:tcPr>
            <w:tcW w:w="2127" w:type="dxa"/>
            <w:vMerge/>
            <w:tcMar>
              <w:top w:w="57" w:type="dxa"/>
              <w:left w:w="57" w:type="dxa"/>
              <w:bottom w:w="57" w:type="dxa"/>
              <w:right w:w="57" w:type="dxa"/>
            </w:tcMar>
          </w:tcPr>
          <w:p w14:paraId="6A1638D9"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718FBB8A" w14:textId="19FF3A53" w:rsidR="00532086" w:rsidRPr="005A3F47" w:rsidRDefault="00532086" w:rsidP="00532086">
            <w:pPr>
              <w:spacing w:after="0"/>
              <w:jc w:val="left"/>
              <w:rPr>
                <w:noProof/>
                <w:sz w:val="20"/>
                <w:szCs w:val="20"/>
              </w:rPr>
            </w:pPr>
            <w:r w:rsidRPr="005A3F47">
              <w:rPr>
                <w:noProof/>
                <w:sz w:val="20"/>
                <w:szCs w:val="20"/>
              </w:rPr>
              <w:t>Direct regulatory fees and charges</w:t>
            </w:r>
          </w:p>
        </w:tc>
        <w:tc>
          <w:tcPr>
            <w:tcW w:w="1594" w:type="dxa"/>
            <w:tcMar>
              <w:top w:w="57" w:type="dxa"/>
              <w:left w:w="57" w:type="dxa"/>
              <w:bottom w:w="57" w:type="dxa"/>
              <w:right w:w="57" w:type="dxa"/>
            </w:tcMar>
          </w:tcPr>
          <w:p w14:paraId="4AD96A02" w14:textId="02F0F352"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11C4BE00" w14:textId="5984DC51"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43B9AF5C" w14:textId="4B84D836"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45894073" w14:textId="61365ECB" w:rsidR="00532086" w:rsidRPr="005A3F47" w:rsidRDefault="00532086" w:rsidP="00532086">
            <w:pPr>
              <w:spacing w:after="0"/>
              <w:rPr>
                <w:noProof/>
                <w:sz w:val="20"/>
                <w:szCs w:val="20"/>
              </w:rPr>
            </w:pPr>
            <w:r w:rsidRPr="005A3F47">
              <w:rPr>
                <w:noProof/>
                <w:sz w:val="20"/>
                <w:szCs w:val="20"/>
              </w:rPr>
              <w:t>n/a</w:t>
            </w:r>
          </w:p>
        </w:tc>
      </w:tr>
      <w:tr w:rsidR="00F2349D" w:rsidRPr="005A3F47" w14:paraId="645F32E7" w14:textId="77777777" w:rsidTr="00145317">
        <w:trPr>
          <w:gridAfter w:val="1"/>
          <w:wAfter w:w="510" w:type="dxa"/>
        </w:trPr>
        <w:tc>
          <w:tcPr>
            <w:tcW w:w="2127" w:type="dxa"/>
            <w:vMerge/>
            <w:tcMar>
              <w:top w:w="57" w:type="dxa"/>
              <w:left w:w="57" w:type="dxa"/>
              <w:bottom w:w="57" w:type="dxa"/>
              <w:right w:w="57" w:type="dxa"/>
            </w:tcMar>
          </w:tcPr>
          <w:p w14:paraId="54FCE1DF"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04720141" w14:textId="6F6D3999" w:rsidR="00532086" w:rsidRPr="005A3F47" w:rsidRDefault="00532086" w:rsidP="00532086">
            <w:pPr>
              <w:spacing w:after="0"/>
              <w:jc w:val="left"/>
              <w:rPr>
                <w:noProof/>
                <w:sz w:val="20"/>
                <w:szCs w:val="20"/>
              </w:rPr>
            </w:pPr>
            <w:r w:rsidRPr="005A3F47">
              <w:rPr>
                <w:noProof/>
                <w:sz w:val="20"/>
                <w:szCs w:val="20"/>
              </w:rPr>
              <w:t>Direct enforcement costs</w:t>
            </w:r>
          </w:p>
        </w:tc>
        <w:tc>
          <w:tcPr>
            <w:tcW w:w="1594" w:type="dxa"/>
            <w:tcMar>
              <w:top w:w="57" w:type="dxa"/>
              <w:left w:w="57" w:type="dxa"/>
              <w:bottom w:w="57" w:type="dxa"/>
              <w:right w:w="57" w:type="dxa"/>
            </w:tcMar>
          </w:tcPr>
          <w:p w14:paraId="2225133D" w14:textId="0DF8000F"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035FCCBA" w14:textId="394D5792"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0D3DAC94" w14:textId="168D04ED"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1212554D" w14:textId="02647AB6" w:rsidR="00532086" w:rsidRPr="005A3F47" w:rsidRDefault="00532086" w:rsidP="00532086">
            <w:pPr>
              <w:spacing w:after="0"/>
              <w:rPr>
                <w:noProof/>
                <w:sz w:val="20"/>
                <w:szCs w:val="20"/>
              </w:rPr>
            </w:pPr>
            <w:r w:rsidRPr="005A3F47">
              <w:rPr>
                <w:noProof/>
                <w:sz w:val="20"/>
                <w:szCs w:val="20"/>
              </w:rPr>
              <w:t>n/a</w:t>
            </w:r>
          </w:p>
        </w:tc>
      </w:tr>
      <w:tr w:rsidR="00F2349D" w:rsidRPr="005A3F47" w14:paraId="5568BB69" w14:textId="77777777" w:rsidTr="00145317">
        <w:trPr>
          <w:gridAfter w:val="1"/>
          <w:wAfter w:w="510" w:type="dxa"/>
        </w:trPr>
        <w:tc>
          <w:tcPr>
            <w:tcW w:w="2127" w:type="dxa"/>
            <w:vMerge/>
            <w:tcMar>
              <w:top w:w="57" w:type="dxa"/>
              <w:left w:w="57" w:type="dxa"/>
              <w:bottom w:w="57" w:type="dxa"/>
              <w:right w:w="57" w:type="dxa"/>
            </w:tcMar>
          </w:tcPr>
          <w:p w14:paraId="527EE157"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tcPr>
          <w:p w14:paraId="6897A949" w14:textId="4C478C4E" w:rsidR="00532086" w:rsidRPr="005A3F47" w:rsidRDefault="00532086" w:rsidP="00532086">
            <w:pPr>
              <w:spacing w:after="0"/>
              <w:jc w:val="left"/>
              <w:rPr>
                <w:noProof/>
                <w:sz w:val="20"/>
                <w:szCs w:val="20"/>
              </w:rPr>
            </w:pPr>
            <w:r w:rsidRPr="005A3F47">
              <w:rPr>
                <w:noProof/>
                <w:sz w:val="20"/>
                <w:szCs w:val="20"/>
              </w:rPr>
              <w:t>Indirect costs</w:t>
            </w:r>
          </w:p>
        </w:tc>
        <w:tc>
          <w:tcPr>
            <w:tcW w:w="1594" w:type="dxa"/>
            <w:tcMar>
              <w:top w:w="57" w:type="dxa"/>
              <w:left w:w="57" w:type="dxa"/>
              <w:bottom w:w="57" w:type="dxa"/>
              <w:right w:w="57" w:type="dxa"/>
            </w:tcMar>
          </w:tcPr>
          <w:p w14:paraId="719F65C0" w14:textId="0D4D58CB"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0B0F6F50" w14:textId="175CC013"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6A2E0D94" w14:textId="71884C0B"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03CBC57B" w14:textId="48897922" w:rsidR="00532086" w:rsidRPr="005A3F47" w:rsidRDefault="00532086" w:rsidP="00532086">
            <w:pPr>
              <w:spacing w:after="0"/>
              <w:rPr>
                <w:noProof/>
                <w:sz w:val="20"/>
                <w:szCs w:val="20"/>
              </w:rPr>
            </w:pPr>
            <w:r w:rsidRPr="005A3F47">
              <w:rPr>
                <w:noProof/>
                <w:sz w:val="20"/>
                <w:szCs w:val="20"/>
              </w:rPr>
              <w:t>n/a</w:t>
            </w:r>
          </w:p>
        </w:tc>
      </w:tr>
      <w:tr w:rsidR="00F2349D" w:rsidRPr="005A3F47" w14:paraId="39479153" w14:textId="77777777" w:rsidTr="00145317">
        <w:trPr>
          <w:gridAfter w:val="1"/>
          <w:wAfter w:w="510" w:type="dxa"/>
        </w:trPr>
        <w:tc>
          <w:tcPr>
            <w:tcW w:w="2127" w:type="dxa"/>
            <w:vMerge w:val="restart"/>
            <w:tcMar>
              <w:top w:w="57" w:type="dxa"/>
              <w:left w:w="57" w:type="dxa"/>
              <w:bottom w:w="57" w:type="dxa"/>
              <w:right w:w="57" w:type="dxa"/>
            </w:tcMar>
          </w:tcPr>
          <w:p w14:paraId="42BCE881" w14:textId="6AA35AEF" w:rsidR="00532086" w:rsidRPr="005A3F47" w:rsidRDefault="00532086" w:rsidP="00532086">
            <w:pPr>
              <w:spacing w:after="0"/>
              <w:rPr>
                <w:noProof/>
                <w:sz w:val="20"/>
                <w:szCs w:val="20"/>
              </w:rPr>
            </w:pPr>
            <w:r w:rsidRPr="005A3F47">
              <w:rPr>
                <w:noProof/>
                <w:sz w:val="20"/>
                <w:szCs w:val="20"/>
              </w:rPr>
              <w:t>Other simplifications</w:t>
            </w:r>
          </w:p>
        </w:tc>
        <w:tc>
          <w:tcPr>
            <w:tcW w:w="1701" w:type="dxa"/>
            <w:tcBorders>
              <w:right w:val="double" w:sz="4" w:space="0" w:color="auto"/>
            </w:tcBorders>
            <w:tcMar>
              <w:top w:w="57" w:type="dxa"/>
              <w:left w:w="57" w:type="dxa"/>
              <w:bottom w:w="57" w:type="dxa"/>
              <w:right w:w="57" w:type="dxa"/>
            </w:tcMar>
            <w:vAlign w:val="center"/>
          </w:tcPr>
          <w:p w14:paraId="64307799" w14:textId="21A99D8B" w:rsidR="00532086" w:rsidRPr="005A3F47" w:rsidRDefault="00532086" w:rsidP="00532086">
            <w:pPr>
              <w:spacing w:after="0"/>
              <w:jc w:val="left"/>
              <w:rPr>
                <w:noProof/>
                <w:sz w:val="20"/>
                <w:szCs w:val="20"/>
              </w:rPr>
            </w:pPr>
            <w:r w:rsidRPr="005A3F47">
              <w:rPr>
                <w:noProof/>
                <w:sz w:val="20"/>
                <w:szCs w:val="20"/>
              </w:rPr>
              <w:t>Direct adjustment costs</w:t>
            </w:r>
          </w:p>
        </w:tc>
        <w:tc>
          <w:tcPr>
            <w:tcW w:w="1594" w:type="dxa"/>
            <w:tcMar>
              <w:top w:w="57" w:type="dxa"/>
              <w:left w:w="57" w:type="dxa"/>
              <w:bottom w:w="57" w:type="dxa"/>
              <w:right w:w="57" w:type="dxa"/>
            </w:tcMar>
          </w:tcPr>
          <w:p w14:paraId="15CBEF8D" w14:textId="0139238F" w:rsidR="00532086" w:rsidRPr="005A3F47" w:rsidRDefault="001014EC"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4BB1BC14" w14:textId="4710C856"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7C892C85" w14:textId="5A8B02C8" w:rsidR="00532086" w:rsidRPr="005A3F47" w:rsidRDefault="00145317"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357DE1AE" w14:textId="1AA1A609" w:rsidR="00532086" w:rsidRPr="005A3F47" w:rsidRDefault="00532086" w:rsidP="00532086">
            <w:pPr>
              <w:spacing w:after="0"/>
              <w:rPr>
                <w:noProof/>
                <w:sz w:val="20"/>
                <w:szCs w:val="20"/>
              </w:rPr>
            </w:pPr>
            <w:r w:rsidRPr="005A3F47">
              <w:rPr>
                <w:noProof/>
                <w:sz w:val="20"/>
                <w:szCs w:val="20"/>
              </w:rPr>
              <w:t>n/a</w:t>
            </w:r>
          </w:p>
        </w:tc>
      </w:tr>
      <w:tr w:rsidR="00F2349D" w:rsidRPr="005A3F47" w14:paraId="1E8A7B81" w14:textId="77777777" w:rsidTr="00145317">
        <w:trPr>
          <w:gridAfter w:val="1"/>
          <w:wAfter w:w="510" w:type="dxa"/>
        </w:trPr>
        <w:tc>
          <w:tcPr>
            <w:tcW w:w="2127" w:type="dxa"/>
            <w:vMerge/>
            <w:tcMar>
              <w:top w:w="57" w:type="dxa"/>
              <w:left w:w="57" w:type="dxa"/>
              <w:bottom w:w="57" w:type="dxa"/>
              <w:right w:w="57" w:type="dxa"/>
            </w:tcMar>
          </w:tcPr>
          <w:p w14:paraId="36D5DF61"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45E75033" w14:textId="030D91CD" w:rsidR="00532086" w:rsidRPr="005A3F47" w:rsidRDefault="00532086" w:rsidP="00532086">
            <w:pPr>
              <w:spacing w:after="0"/>
              <w:jc w:val="left"/>
              <w:rPr>
                <w:noProof/>
                <w:sz w:val="20"/>
                <w:szCs w:val="20"/>
              </w:rPr>
            </w:pPr>
            <w:r w:rsidRPr="005A3F47">
              <w:rPr>
                <w:noProof/>
                <w:sz w:val="20"/>
                <w:szCs w:val="20"/>
              </w:rPr>
              <w:t>Direct administrative costs</w:t>
            </w:r>
          </w:p>
        </w:tc>
        <w:tc>
          <w:tcPr>
            <w:tcW w:w="1594" w:type="dxa"/>
            <w:tcMar>
              <w:top w:w="57" w:type="dxa"/>
              <w:left w:w="57" w:type="dxa"/>
              <w:bottom w:w="57" w:type="dxa"/>
              <w:right w:w="57" w:type="dxa"/>
            </w:tcMar>
          </w:tcPr>
          <w:p w14:paraId="4AE25EC8" w14:textId="05CD312C" w:rsidR="00532086" w:rsidRPr="005A3F47" w:rsidRDefault="001014EC"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695B0947" w14:textId="0F98366F"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647FD4D6" w14:textId="0D025896" w:rsidR="00532086" w:rsidRPr="005A3F47" w:rsidRDefault="00145317" w:rsidP="00532086">
            <w:pPr>
              <w:spacing w:after="0"/>
              <w:rPr>
                <w:noProof/>
                <w:sz w:val="20"/>
                <w:szCs w:val="20"/>
              </w:rPr>
            </w:pPr>
            <w:r w:rsidRPr="005A3F47">
              <w:rPr>
                <w:noProof/>
                <w:sz w:val="20"/>
                <w:szCs w:val="20"/>
              </w:rPr>
              <w:t>Very marginal</w:t>
            </w:r>
          </w:p>
        </w:tc>
        <w:tc>
          <w:tcPr>
            <w:tcW w:w="1595" w:type="dxa"/>
            <w:tcMar>
              <w:top w:w="57" w:type="dxa"/>
              <w:left w:w="57" w:type="dxa"/>
              <w:bottom w:w="57" w:type="dxa"/>
              <w:right w:w="57" w:type="dxa"/>
            </w:tcMar>
            <w:vAlign w:val="center"/>
          </w:tcPr>
          <w:p w14:paraId="1715131A" w14:textId="3F47E10C" w:rsidR="00532086" w:rsidRPr="005A3F47" w:rsidRDefault="00532086" w:rsidP="00532086">
            <w:pPr>
              <w:spacing w:after="0"/>
              <w:rPr>
                <w:noProof/>
                <w:sz w:val="20"/>
                <w:szCs w:val="20"/>
              </w:rPr>
            </w:pPr>
            <w:r w:rsidRPr="005A3F47">
              <w:rPr>
                <w:noProof/>
                <w:sz w:val="20"/>
                <w:szCs w:val="20"/>
              </w:rPr>
              <w:t>n/a</w:t>
            </w:r>
          </w:p>
        </w:tc>
      </w:tr>
      <w:tr w:rsidR="00F2349D" w:rsidRPr="005A3F47" w14:paraId="37EF8C6E" w14:textId="77777777" w:rsidTr="00145317">
        <w:trPr>
          <w:gridAfter w:val="1"/>
          <w:wAfter w:w="510" w:type="dxa"/>
        </w:trPr>
        <w:tc>
          <w:tcPr>
            <w:tcW w:w="2127" w:type="dxa"/>
            <w:vMerge/>
            <w:tcMar>
              <w:top w:w="57" w:type="dxa"/>
              <w:left w:w="57" w:type="dxa"/>
              <w:bottom w:w="57" w:type="dxa"/>
              <w:right w:w="57" w:type="dxa"/>
            </w:tcMar>
          </w:tcPr>
          <w:p w14:paraId="263CAEDD"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010D2E21" w14:textId="3A9F10B5" w:rsidR="00532086" w:rsidRPr="005A3F47" w:rsidRDefault="00532086" w:rsidP="00532086">
            <w:pPr>
              <w:spacing w:after="0"/>
              <w:jc w:val="left"/>
              <w:rPr>
                <w:noProof/>
                <w:sz w:val="20"/>
                <w:szCs w:val="20"/>
              </w:rPr>
            </w:pPr>
            <w:r w:rsidRPr="005A3F47">
              <w:rPr>
                <w:noProof/>
                <w:sz w:val="20"/>
                <w:szCs w:val="20"/>
              </w:rPr>
              <w:t>Direct regulatory fees and charges</w:t>
            </w:r>
          </w:p>
        </w:tc>
        <w:tc>
          <w:tcPr>
            <w:tcW w:w="1594" w:type="dxa"/>
            <w:tcMar>
              <w:top w:w="57" w:type="dxa"/>
              <w:left w:w="57" w:type="dxa"/>
              <w:bottom w:w="57" w:type="dxa"/>
              <w:right w:w="57" w:type="dxa"/>
            </w:tcMar>
          </w:tcPr>
          <w:p w14:paraId="2BD82DD7" w14:textId="1AFD9A31"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1F6362DB" w14:textId="0BF4C105"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42D4258E" w14:textId="47CCFFE8"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5FB182B0" w14:textId="226CDE88" w:rsidR="00532086" w:rsidRPr="005A3F47" w:rsidRDefault="00532086" w:rsidP="00532086">
            <w:pPr>
              <w:spacing w:after="0"/>
              <w:rPr>
                <w:noProof/>
                <w:sz w:val="20"/>
                <w:szCs w:val="20"/>
              </w:rPr>
            </w:pPr>
            <w:r w:rsidRPr="005A3F47">
              <w:rPr>
                <w:noProof/>
                <w:sz w:val="20"/>
                <w:szCs w:val="20"/>
              </w:rPr>
              <w:t>n/a</w:t>
            </w:r>
          </w:p>
        </w:tc>
      </w:tr>
      <w:tr w:rsidR="00F2349D" w:rsidRPr="005A3F47" w14:paraId="386D5C57" w14:textId="77777777" w:rsidTr="00145317">
        <w:trPr>
          <w:gridAfter w:val="1"/>
          <w:wAfter w:w="510" w:type="dxa"/>
        </w:trPr>
        <w:tc>
          <w:tcPr>
            <w:tcW w:w="2127" w:type="dxa"/>
            <w:vMerge/>
            <w:tcMar>
              <w:top w:w="57" w:type="dxa"/>
              <w:left w:w="57" w:type="dxa"/>
              <w:bottom w:w="57" w:type="dxa"/>
              <w:right w:w="57" w:type="dxa"/>
            </w:tcMar>
          </w:tcPr>
          <w:p w14:paraId="23C00411" w14:textId="77777777" w:rsidR="00532086" w:rsidRPr="005A3F47" w:rsidRDefault="00532086" w:rsidP="00532086">
            <w:pPr>
              <w:spacing w:after="0"/>
              <w:rPr>
                <w:noProof/>
                <w:sz w:val="20"/>
                <w:szCs w:val="20"/>
              </w:rPr>
            </w:pPr>
          </w:p>
        </w:tc>
        <w:tc>
          <w:tcPr>
            <w:tcW w:w="1701" w:type="dxa"/>
            <w:tcBorders>
              <w:right w:val="double" w:sz="4" w:space="0" w:color="auto"/>
            </w:tcBorders>
            <w:tcMar>
              <w:top w:w="57" w:type="dxa"/>
              <w:left w:w="57" w:type="dxa"/>
              <w:bottom w:w="57" w:type="dxa"/>
              <w:right w:w="57" w:type="dxa"/>
            </w:tcMar>
            <w:vAlign w:val="center"/>
          </w:tcPr>
          <w:p w14:paraId="1868C111" w14:textId="0350C22E" w:rsidR="00532086" w:rsidRPr="005A3F47" w:rsidRDefault="00532086" w:rsidP="00532086">
            <w:pPr>
              <w:spacing w:after="0"/>
              <w:jc w:val="left"/>
              <w:rPr>
                <w:noProof/>
                <w:sz w:val="20"/>
                <w:szCs w:val="20"/>
              </w:rPr>
            </w:pPr>
            <w:r w:rsidRPr="005A3F47">
              <w:rPr>
                <w:noProof/>
                <w:sz w:val="20"/>
                <w:szCs w:val="20"/>
              </w:rPr>
              <w:t>Direct enforcement costs</w:t>
            </w:r>
          </w:p>
        </w:tc>
        <w:tc>
          <w:tcPr>
            <w:tcW w:w="1594" w:type="dxa"/>
            <w:tcMar>
              <w:top w:w="57" w:type="dxa"/>
              <w:left w:w="57" w:type="dxa"/>
              <w:bottom w:w="57" w:type="dxa"/>
              <w:right w:w="57" w:type="dxa"/>
            </w:tcMar>
          </w:tcPr>
          <w:p w14:paraId="51944A28" w14:textId="5244EAC4" w:rsidR="00532086" w:rsidRPr="005A3F47" w:rsidRDefault="001014EC"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40EDC217" w14:textId="6689E02B" w:rsidR="00532086" w:rsidRPr="005A3F47" w:rsidRDefault="002E6A32" w:rsidP="00532086">
            <w:pPr>
              <w:spacing w:after="0"/>
              <w:rPr>
                <w:noProof/>
                <w:sz w:val="20"/>
                <w:szCs w:val="20"/>
              </w:rPr>
            </w:pPr>
            <w:r w:rsidRPr="005A3F47">
              <w:rPr>
                <w:noProof/>
                <w:sz w:val="20"/>
                <w:szCs w:val="20"/>
              </w:rPr>
              <w:t>n/a</w:t>
            </w:r>
          </w:p>
        </w:tc>
        <w:tc>
          <w:tcPr>
            <w:tcW w:w="1594" w:type="dxa"/>
            <w:tcMar>
              <w:top w:w="57" w:type="dxa"/>
              <w:left w:w="57" w:type="dxa"/>
              <w:bottom w:w="57" w:type="dxa"/>
              <w:right w:w="57" w:type="dxa"/>
            </w:tcMar>
          </w:tcPr>
          <w:p w14:paraId="7C3BB2DC" w14:textId="05625B70" w:rsidR="00532086" w:rsidRPr="005A3F47" w:rsidRDefault="00145317" w:rsidP="00532086">
            <w:pPr>
              <w:spacing w:after="0"/>
              <w:rPr>
                <w:noProof/>
                <w:sz w:val="20"/>
                <w:szCs w:val="20"/>
              </w:rPr>
            </w:pPr>
            <w:r w:rsidRPr="005A3F47">
              <w:rPr>
                <w:noProof/>
                <w:sz w:val="20"/>
                <w:szCs w:val="20"/>
              </w:rPr>
              <w:t>none</w:t>
            </w:r>
          </w:p>
        </w:tc>
        <w:tc>
          <w:tcPr>
            <w:tcW w:w="1595" w:type="dxa"/>
            <w:tcMar>
              <w:top w:w="57" w:type="dxa"/>
              <w:left w:w="57" w:type="dxa"/>
              <w:bottom w:w="57" w:type="dxa"/>
              <w:right w:w="57" w:type="dxa"/>
            </w:tcMar>
            <w:vAlign w:val="center"/>
          </w:tcPr>
          <w:p w14:paraId="19499F34" w14:textId="218CE662" w:rsidR="00532086" w:rsidRPr="005A3F47" w:rsidRDefault="00532086" w:rsidP="00532086">
            <w:pPr>
              <w:spacing w:after="0"/>
              <w:rPr>
                <w:noProof/>
                <w:sz w:val="20"/>
                <w:szCs w:val="20"/>
              </w:rPr>
            </w:pPr>
            <w:r w:rsidRPr="005A3F47">
              <w:rPr>
                <w:noProof/>
                <w:sz w:val="20"/>
                <w:szCs w:val="20"/>
              </w:rPr>
              <w:t>n/a</w:t>
            </w:r>
          </w:p>
        </w:tc>
      </w:tr>
      <w:tr w:rsidR="00A77568" w:rsidRPr="005A3F47" w14:paraId="36103C49" w14:textId="77777777" w:rsidTr="00145317">
        <w:trPr>
          <w:gridAfter w:val="1"/>
          <w:wAfter w:w="510" w:type="dxa"/>
        </w:trPr>
        <w:tc>
          <w:tcPr>
            <w:tcW w:w="2127" w:type="dxa"/>
            <w:vMerge/>
            <w:tcBorders>
              <w:bottom w:val="double" w:sz="4" w:space="0" w:color="auto"/>
            </w:tcBorders>
            <w:tcMar>
              <w:top w:w="57" w:type="dxa"/>
              <w:left w:w="57" w:type="dxa"/>
              <w:bottom w:w="57" w:type="dxa"/>
              <w:right w:w="57" w:type="dxa"/>
            </w:tcMar>
          </w:tcPr>
          <w:p w14:paraId="5BD0CEE1" w14:textId="77777777" w:rsidR="00992610" w:rsidRPr="005A3F47" w:rsidRDefault="00992610" w:rsidP="009D4C15">
            <w:pPr>
              <w:spacing w:after="0"/>
              <w:rPr>
                <w:noProof/>
                <w:sz w:val="20"/>
                <w:szCs w:val="20"/>
              </w:rPr>
            </w:pPr>
          </w:p>
        </w:tc>
        <w:tc>
          <w:tcPr>
            <w:tcW w:w="1701" w:type="dxa"/>
            <w:tcBorders>
              <w:bottom w:val="double" w:sz="4" w:space="0" w:color="auto"/>
              <w:right w:val="double" w:sz="4" w:space="0" w:color="auto"/>
            </w:tcBorders>
            <w:tcMar>
              <w:top w:w="57" w:type="dxa"/>
              <w:left w:w="57" w:type="dxa"/>
              <w:bottom w:w="57" w:type="dxa"/>
              <w:right w:w="57" w:type="dxa"/>
            </w:tcMar>
          </w:tcPr>
          <w:p w14:paraId="749D7164" w14:textId="4C3621B2" w:rsidR="00992610" w:rsidRPr="005A3F47" w:rsidRDefault="00FE6404" w:rsidP="009D4C15">
            <w:pPr>
              <w:spacing w:after="0"/>
              <w:jc w:val="left"/>
              <w:rPr>
                <w:noProof/>
                <w:sz w:val="20"/>
                <w:szCs w:val="20"/>
              </w:rPr>
            </w:pPr>
            <w:r w:rsidRPr="005A3F47">
              <w:rPr>
                <w:noProof/>
                <w:sz w:val="20"/>
                <w:szCs w:val="20"/>
              </w:rPr>
              <w:t>Indirect costs</w:t>
            </w:r>
          </w:p>
        </w:tc>
        <w:tc>
          <w:tcPr>
            <w:tcW w:w="1594" w:type="dxa"/>
            <w:tcBorders>
              <w:bottom w:val="double" w:sz="4" w:space="0" w:color="auto"/>
            </w:tcBorders>
            <w:tcMar>
              <w:top w:w="57" w:type="dxa"/>
              <w:left w:w="57" w:type="dxa"/>
              <w:bottom w:w="57" w:type="dxa"/>
              <w:right w:w="57" w:type="dxa"/>
            </w:tcMar>
          </w:tcPr>
          <w:p w14:paraId="1537CBED" w14:textId="45B991F4" w:rsidR="00992610" w:rsidRPr="005A3F47" w:rsidRDefault="00CB0EB2" w:rsidP="009D4C15">
            <w:pPr>
              <w:spacing w:after="0"/>
              <w:rPr>
                <w:noProof/>
                <w:sz w:val="20"/>
                <w:szCs w:val="20"/>
              </w:rPr>
            </w:pPr>
            <w:r w:rsidRPr="005A3F47">
              <w:rPr>
                <w:noProof/>
                <w:sz w:val="20"/>
                <w:szCs w:val="20"/>
              </w:rPr>
              <w:t>none</w:t>
            </w:r>
          </w:p>
        </w:tc>
        <w:tc>
          <w:tcPr>
            <w:tcW w:w="1595" w:type="dxa"/>
            <w:tcBorders>
              <w:bottom w:val="double" w:sz="4" w:space="0" w:color="auto"/>
            </w:tcBorders>
            <w:tcMar>
              <w:top w:w="57" w:type="dxa"/>
              <w:left w:w="57" w:type="dxa"/>
              <w:bottom w:w="57" w:type="dxa"/>
              <w:right w:w="57" w:type="dxa"/>
            </w:tcMar>
            <w:vAlign w:val="center"/>
          </w:tcPr>
          <w:p w14:paraId="189709C2" w14:textId="7C74790E" w:rsidR="00992610" w:rsidRPr="005A3F47" w:rsidRDefault="002E6A32" w:rsidP="009D4C15">
            <w:pPr>
              <w:spacing w:after="0"/>
              <w:rPr>
                <w:noProof/>
                <w:sz w:val="20"/>
                <w:szCs w:val="20"/>
              </w:rPr>
            </w:pPr>
            <w:r w:rsidRPr="005A3F47">
              <w:rPr>
                <w:noProof/>
                <w:sz w:val="20"/>
                <w:szCs w:val="20"/>
              </w:rPr>
              <w:t>n/a</w:t>
            </w:r>
          </w:p>
        </w:tc>
        <w:tc>
          <w:tcPr>
            <w:tcW w:w="1594" w:type="dxa"/>
            <w:tcBorders>
              <w:bottom w:val="double" w:sz="4" w:space="0" w:color="auto"/>
            </w:tcBorders>
            <w:tcMar>
              <w:top w:w="57" w:type="dxa"/>
              <w:left w:w="57" w:type="dxa"/>
              <w:bottom w:w="57" w:type="dxa"/>
              <w:right w:w="57" w:type="dxa"/>
            </w:tcMar>
          </w:tcPr>
          <w:p w14:paraId="755E15F7" w14:textId="12DB8D73" w:rsidR="00992610" w:rsidRPr="005A3F47" w:rsidRDefault="00145317" w:rsidP="009D4C15">
            <w:pPr>
              <w:spacing w:after="0"/>
              <w:rPr>
                <w:noProof/>
                <w:sz w:val="20"/>
                <w:szCs w:val="20"/>
              </w:rPr>
            </w:pPr>
            <w:r w:rsidRPr="005A3F47">
              <w:rPr>
                <w:noProof/>
                <w:sz w:val="20"/>
                <w:szCs w:val="20"/>
              </w:rPr>
              <w:t>none</w:t>
            </w:r>
          </w:p>
        </w:tc>
        <w:tc>
          <w:tcPr>
            <w:tcW w:w="1595" w:type="dxa"/>
            <w:tcBorders>
              <w:bottom w:val="double" w:sz="4" w:space="0" w:color="auto"/>
            </w:tcBorders>
            <w:tcMar>
              <w:top w:w="57" w:type="dxa"/>
              <w:left w:w="57" w:type="dxa"/>
              <w:bottom w:w="57" w:type="dxa"/>
              <w:right w:w="57" w:type="dxa"/>
            </w:tcMar>
            <w:vAlign w:val="center"/>
          </w:tcPr>
          <w:p w14:paraId="357D914D" w14:textId="36FAF990" w:rsidR="00992610" w:rsidRPr="005A3F47" w:rsidRDefault="00532086" w:rsidP="009D4C15">
            <w:pPr>
              <w:spacing w:after="0"/>
              <w:rPr>
                <w:noProof/>
                <w:sz w:val="20"/>
                <w:szCs w:val="20"/>
              </w:rPr>
            </w:pPr>
            <w:r w:rsidRPr="005A3F47">
              <w:rPr>
                <w:noProof/>
                <w:sz w:val="20"/>
                <w:szCs w:val="20"/>
              </w:rPr>
              <w:t>n/a</w:t>
            </w:r>
          </w:p>
        </w:tc>
      </w:tr>
    </w:tbl>
    <w:p w14:paraId="0A85801A" w14:textId="1AEF85D9" w:rsidR="00801268" w:rsidRPr="005A3F47" w:rsidRDefault="00801268" w:rsidP="00D77FFA">
      <w:pPr>
        <w:pStyle w:val="ListParagraph"/>
        <w:numPr>
          <w:ilvl w:val="0"/>
          <w:numId w:val="6"/>
        </w:numPr>
        <w:rPr>
          <w:i/>
          <w:noProof/>
          <w:sz w:val="20"/>
        </w:rPr>
      </w:pPr>
      <w:r w:rsidRPr="005A3F47">
        <w:rPr>
          <w:i/>
          <w:noProof/>
          <w:sz w:val="20"/>
        </w:rPr>
        <w:t xml:space="preserve">Estimates </w:t>
      </w:r>
      <w:r w:rsidR="00866FDC" w:rsidRPr="005A3F47">
        <w:rPr>
          <w:i/>
          <w:noProof/>
          <w:sz w:val="20"/>
        </w:rPr>
        <w:t xml:space="preserve">(gross values) </w:t>
      </w:r>
      <w:r w:rsidRPr="005A3F47">
        <w:rPr>
          <w:i/>
          <w:noProof/>
          <w:sz w:val="20"/>
        </w:rPr>
        <w:t xml:space="preserve">to be provided with respect to the baseline; (2) costs are provided for each identifiable action/obligation of the </w:t>
      </w:r>
      <w:r w:rsidRPr="005A3F47">
        <w:rPr>
          <w:i/>
          <w:noProof/>
          <w:sz w:val="20"/>
          <w:u w:val="single"/>
        </w:rPr>
        <w:t>preferred</w:t>
      </w:r>
      <w:r w:rsidRPr="005A3F47">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 </w:t>
      </w:r>
    </w:p>
    <w:p w14:paraId="3C4C84A1" w14:textId="77777777" w:rsidR="003506A0" w:rsidRPr="005A3F47" w:rsidRDefault="003506A0" w:rsidP="00B8622B">
      <w:pPr>
        <w:pStyle w:val="ListParagraph"/>
        <w:ind w:left="-207"/>
        <w:rPr>
          <w:noProof/>
          <w:sz w:val="22"/>
          <w:szCs w:val="22"/>
        </w:rPr>
      </w:pPr>
    </w:p>
    <w:p w14:paraId="423DC00F" w14:textId="77777777" w:rsidR="00AA0A40" w:rsidRPr="005A3F47" w:rsidRDefault="00AA0A40" w:rsidP="00B8622B">
      <w:pPr>
        <w:pStyle w:val="ListParagraph"/>
        <w:ind w:left="-207"/>
        <w:rPr>
          <w:noProof/>
          <w:sz w:val="22"/>
          <w:szCs w:val="22"/>
        </w:rPr>
      </w:pPr>
    </w:p>
    <w:tbl>
      <w:tblPr>
        <w:tblW w:w="1012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9"/>
        <w:gridCol w:w="1345"/>
        <w:gridCol w:w="1762"/>
        <w:gridCol w:w="1341"/>
        <w:gridCol w:w="1904"/>
        <w:gridCol w:w="2059"/>
      </w:tblGrid>
      <w:tr w:rsidR="00AA0A40" w:rsidRPr="005A3F47" w14:paraId="753F9B2F" w14:textId="77777777" w:rsidTr="00DE6B6A">
        <w:trPr>
          <w:trHeight w:val="285"/>
        </w:trPr>
        <w:tc>
          <w:tcPr>
            <w:tcW w:w="10120" w:type="dxa"/>
            <w:gridSpan w:val="6"/>
            <w:tcBorders>
              <w:top w:val="double" w:sz="6" w:space="0" w:color="auto"/>
              <w:left w:val="double" w:sz="6" w:space="0" w:color="auto"/>
              <w:bottom w:val="single" w:sz="6" w:space="0" w:color="auto"/>
              <w:right w:val="double" w:sz="6" w:space="0" w:color="auto"/>
            </w:tcBorders>
            <w:shd w:val="clear" w:color="auto" w:fill="C6D9F1"/>
            <w:vAlign w:val="center"/>
            <w:hideMark/>
          </w:tcPr>
          <w:p w14:paraId="5026A2C7"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III. Contribution to the administrative burden reduction targets – Preferred option(s)</w:t>
            </w:r>
            <w:r w:rsidRPr="005A3F47">
              <w:rPr>
                <w:rFonts w:eastAsia="Aptos"/>
                <w:noProof/>
                <w:sz w:val="20"/>
                <w:szCs w:val="20"/>
                <w:lang w:val="en-IE"/>
              </w:rPr>
              <w:t> </w:t>
            </w:r>
          </w:p>
        </w:tc>
      </w:tr>
      <w:tr w:rsidR="00EE27D4" w:rsidRPr="005A3F47" w14:paraId="4C23185D" w14:textId="77777777" w:rsidTr="00DE6B6A">
        <w:trPr>
          <w:trHeight w:val="285"/>
        </w:trPr>
        <w:tc>
          <w:tcPr>
            <w:tcW w:w="1709" w:type="dxa"/>
            <w:tcBorders>
              <w:top w:val="nil"/>
              <w:left w:val="double" w:sz="6" w:space="0" w:color="auto"/>
              <w:bottom w:val="single" w:sz="6" w:space="0" w:color="auto"/>
              <w:right w:val="single" w:sz="6" w:space="0" w:color="auto"/>
            </w:tcBorders>
            <w:vAlign w:val="center"/>
            <w:hideMark/>
          </w:tcPr>
          <w:p w14:paraId="243153AF"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Administrative costs</w:t>
            </w:r>
            <w:r w:rsidRPr="005A3F47">
              <w:rPr>
                <w:rFonts w:eastAsia="Aptos"/>
                <w:noProof/>
                <w:sz w:val="20"/>
                <w:szCs w:val="20"/>
                <w:lang w:val="en-IE"/>
              </w:rPr>
              <w:t> </w:t>
            </w:r>
          </w:p>
          <w:p w14:paraId="136432EC"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 [M€]</w:t>
            </w:r>
            <w:r w:rsidRPr="005A3F47">
              <w:rPr>
                <w:rFonts w:eastAsia="Aptos"/>
                <w:noProof/>
                <w:sz w:val="20"/>
                <w:szCs w:val="20"/>
                <w:lang w:val="en-IE"/>
              </w:rPr>
              <w:t> </w:t>
            </w:r>
          </w:p>
        </w:tc>
        <w:tc>
          <w:tcPr>
            <w:tcW w:w="1345" w:type="dxa"/>
            <w:tcBorders>
              <w:top w:val="nil"/>
              <w:left w:val="nil"/>
              <w:bottom w:val="single" w:sz="6" w:space="0" w:color="auto"/>
              <w:right w:val="single" w:sz="6" w:space="0" w:color="auto"/>
            </w:tcBorders>
            <w:hideMark/>
          </w:tcPr>
          <w:p w14:paraId="0602531E"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New recurrent costs (INs)</w:t>
            </w:r>
            <w:r w:rsidRPr="005A3F47">
              <w:rPr>
                <w:rFonts w:eastAsia="Aptos"/>
                <w:noProof/>
                <w:sz w:val="20"/>
                <w:szCs w:val="20"/>
                <w:lang w:val="en-IE"/>
              </w:rPr>
              <w:t> </w:t>
            </w:r>
          </w:p>
          <w:p w14:paraId="223B4F09"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(nominal values per year)</w:t>
            </w:r>
            <w:r w:rsidRPr="005A3F47">
              <w:rPr>
                <w:rFonts w:eastAsia="Aptos"/>
                <w:noProof/>
                <w:sz w:val="20"/>
                <w:szCs w:val="20"/>
                <w:lang w:val="en-IE"/>
              </w:rPr>
              <w:t> </w:t>
            </w:r>
          </w:p>
        </w:tc>
        <w:tc>
          <w:tcPr>
            <w:tcW w:w="1762" w:type="dxa"/>
            <w:tcBorders>
              <w:top w:val="nil"/>
              <w:left w:val="nil"/>
              <w:bottom w:val="single" w:sz="6" w:space="0" w:color="auto"/>
              <w:right w:val="single" w:sz="6" w:space="0" w:color="auto"/>
            </w:tcBorders>
            <w:hideMark/>
          </w:tcPr>
          <w:p w14:paraId="5853DB65"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Removed recurrent costs (OUTs)</w:t>
            </w:r>
            <w:r w:rsidRPr="005A3F47">
              <w:rPr>
                <w:rFonts w:eastAsia="Aptos"/>
                <w:noProof/>
                <w:sz w:val="20"/>
                <w:szCs w:val="20"/>
                <w:lang w:val="en-IE"/>
              </w:rPr>
              <w:t> </w:t>
            </w:r>
          </w:p>
          <w:p w14:paraId="24148457"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(nominal values per year)</w:t>
            </w:r>
            <w:r w:rsidRPr="005A3F47">
              <w:rPr>
                <w:rFonts w:eastAsia="Aptos"/>
                <w:noProof/>
                <w:sz w:val="20"/>
                <w:szCs w:val="20"/>
                <w:lang w:val="en-IE"/>
              </w:rPr>
              <w:t> </w:t>
            </w:r>
          </w:p>
        </w:tc>
        <w:tc>
          <w:tcPr>
            <w:tcW w:w="1341" w:type="dxa"/>
            <w:tcBorders>
              <w:top w:val="nil"/>
              <w:left w:val="single" w:sz="6" w:space="0" w:color="auto"/>
              <w:bottom w:val="single" w:sz="6" w:space="0" w:color="auto"/>
              <w:right w:val="single" w:sz="6" w:space="0" w:color="auto"/>
            </w:tcBorders>
            <w:hideMark/>
          </w:tcPr>
          <w:p w14:paraId="4225BE7E"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Net cost   (INs – OUTs)</w:t>
            </w:r>
            <w:r w:rsidRPr="005A3F47">
              <w:rPr>
                <w:rFonts w:eastAsia="Aptos"/>
                <w:noProof/>
                <w:sz w:val="20"/>
                <w:szCs w:val="20"/>
                <w:lang w:val="en-IE"/>
              </w:rPr>
              <w:t> </w:t>
            </w:r>
          </w:p>
          <w:p w14:paraId="3D09CD27"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p w14:paraId="3C1021CB"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(nominal values per year)</w:t>
            </w:r>
            <w:r w:rsidRPr="005A3F47">
              <w:rPr>
                <w:rFonts w:eastAsia="Aptos"/>
                <w:b/>
                <w:noProof/>
                <w:sz w:val="20"/>
                <w:szCs w:val="20"/>
              </w:rPr>
              <w:t> </w:t>
            </w:r>
            <w:r w:rsidRPr="005A3F47">
              <w:rPr>
                <w:rFonts w:eastAsia="Aptos"/>
                <w:noProof/>
                <w:sz w:val="20"/>
                <w:szCs w:val="20"/>
                <w:lang w:val="en-IE"/>
              </w:rPr>
              <w:t> </w:t>
            </w:r>
          </w:p>
        </w:tc>
        <w:tc>
          <w:tcPr>
            <w:tcW w:w="1904" w:type="dxa"/>
            <w:tcBorders>
              <w:top w:val="nil"/>
              <w:left w:val="single" w:sz="6" w:space="0" w:color="auto"/>
              <w:bottom w:val="single" w:sz="6" w:space="0" w:color="auto"/>
              <w:right w:val="single" w:sz="6" w:space="0" w:color="auto"/>
            </w:tcBorders>
            <w:hideMark/>
          </w:tcPr>
          <w:p w14:paraId="51ED2D4E"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New one-off costs (INs)</w:t>
            </w:r>
            <w:r w:rsidRPr="005A3F47">
              <w:rPr>
                <w:rFonts w:eastAsia="Aptos"/>
                <w:noProof/>
                <w:sz w:val="20"/>
                <w:szCs w:val="20"/>
              </w:rPr>
              <w:t> </w:t>
            </w:r>
            <w:r w:rsidRPr="005A3F47">
              <w:rPr>
                <w:rFonts w:eastAsia="Aptos"/>
                <w:noProof/>
                <w:sz w:val="20"/>
                <w:szCs w:val="20"/>
                <w:lang w:val="en-IE"/>
              </w:rPr>
              <w:t> </w:t>
            </w:r>
          </w:p>
          <w:p w14:paraId="12EFEAE5"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(annualised total net present value over the relevant period)</w:t>
            </w:r>
            <w:r w:rsidRPr="005A3F47">
              <w:rPr>
                <w:rFonts w:eastAsia="Aptos"/>
                <w:noProof/>
                <w:sz w:val="20"/>
                <w:szCs w:val="20"/>
                <w:lang w:val="en-IE"/>
              </w:rPr>
              <w:t> </w:t>
            </w:r>
          </w:p>
        </w:tc>
        <w:tc>
          <w:tcPr>
            <w:tcW w:w="2059" w:type="dxa"/>
            <w:tcBorders>
              <w:top w:val="nil"/>
              <w:left w:val="single" w:sz="6" w:space="0" w:color="auto"/>
              <w:bottom w:val="single" w:sz="6" w:space="0" w:color="auto"/>
              <w:right w:val="double" w:sz="6" w:space="0" w:color="auto"/>
            </w:tcBorders>
            <w:hideMark/>
          </w:tcPr>
          <w:p w14:paraId="191319B4"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b/>
                <w:noProof/>
                <w:sz w:val="20"/>
                <w:szCs w:val="20"/>
              </w:rPr>
              <w:t>Removed one-off costs (OUTs)</w:t>
            </w:r>
            <w:r w:rsidRPr="005A3F47">
              <w:rPr>
                <w:rFonts w:eastAsia="Aptos"/>
                <w:noProof/>
                <w:sz w:val="20"/>
                <w:szCs w:val="20"/>
                <w:lang w:val="en-IE"/>
              </w:rPr>
              <w:t> </w:t>
            </w:r>
          </w:p>
          <w:p w14:paraId="0CCDBEF3"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(annualised total net present value over the relevant period)</w:t>
            </w:r>
            <w:r w:rsidRPr="005A3F47">
              <w:rPr>
                <w:rFonts w:eastAsia="Aptos"/>
                <w:noProof/>
                <w:sz w:val="20"/>
                <w:szCs w:val="20"/>
                <w:lang w:val="en-IE"/>
              </w:rPr>
              <w:t> </w:t>
            </w:r>
          </w:p>
        </w:tc>
      </w:tr>
      <w:tr w:rsidR="00EE27D4" w:rsidRPr="005A3F47" w14:paraId="2FAFB62B" w14:textId="77777777" w:rsidTr="00DE6B6A">
        <w:trPr>
          <w:trHeight w:val="285"/>
        </w:trPr>
        <w:tc>
          <w:tcPr>
            <w:tcW w:w="1709" w:type="dxa"/>
            <w:tcBorders>
              <w:top w:val="single" w:sz="6" w:space="0" w:color="auto"/>
              <w:left w:val="double" w:sz="6" w:space="0" w:color="auto"/>
              <w:bottom w:val="single" w:sz="6" w:space="0" w:color="auto"/>
              <w:right w:val="single" w:sz="6" w:space="0" w:color="auto"/>
            </w:tcBorders>
            <w:vAlign w:val="center"/>
            <w:hideMark/>
          </w:tcPr>
          <w:p w14:paraId="796A8871"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All businesses</w:t>
            </w:r>
            <w:r w:rsidRPr="005A3F47">
              <w:rPr>
                <w:rFonts w:eastAsia="Aptos"/>
                <w:noProof/>
                <w:sz w:val="20"/>
                <w:szCs w:val="20"/>
                <w:lang w:val="en-IE"/>
              </w:rPr>
              <w:t> </w:t>
            </w:r>
          </w:p>
        </w:tc>
        <w:tc>
          <w:tcPr>
            <w:tcW w:w="1345" w:type="dxa"/>
            <w:tcBorders>
              <w:top w:val="single" w:sz="6" w:space="0" w:color="auto"/>
              <w:left w:val="nil"/>
              <w:bottom w:val="single" w:sz="6" w:space="0" w:color="auto"/>
              <w:right w:val="single" w:sz="6" w:space="0" w:color="auto"/>
            </w:tcBorders>
            <w:vAlign w:val="center"/>
            <w:hideMark/>
          </w:tcPr>
          <w:p w14:paraId="07013D08"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762" w:type="dxa"/>
            <w:tcBorders>
              <w:top w:val="single" w:sz="6" w:space="0" w:color="auto"/>
              <w:left w:val="nil"/>
              <w:bottom w:val="single" w:sz="6" w:space="0" w:color="auto"/>
              <w:right w:val="single" w:sz="6" w:space="0" w:color="auto"/>
            </w:tcBorders>
            <w:hideMark/>
          </w:tcPr>
          <w:p w14:paraId="6D4F25EA" w14:textId="6A58DA88" w:rsidR="00513F1A" w:rsidRPr="005A3F47" w:rsidRDefault="00513F1A" w:rsidP="00513F1A">
            <w:pPr>
              <w:spacing w:after="0"/>
              <w:jc w:val="left"/>
              <w:rPr>
                <w:noProof/>
                <w:sz w:val="20"/>
              </w:rPr>
            </w:pPr>
            <w:r w:rsidRPr="005A3F47">
              <w:rPr>
                <w:noProof/>
                <w:sz w:val="20"/>
              </w:rPr>
              <w:t xml:space="preserve">For all companies: ~EUR </w:t>
            </w:r>
            <w:r w:rsidR="00B53E8A" w:rsidRPr="005A3F47">
              <w:rPr>
                <w:noProof/>
                <w:sz w:val="20"/>
              </w:rPr>
              <w:t>2</w:t>
            </w:r>
            <w:r w:rsidRPr="005A3F47">
              <w:rPr>
                <w:noProof/>
                <w:sz w:val="20"/>
              </w:rPr>
              <w:t xml:space="preserve"> billion per year</w:t>
            </w:r>
          </w:p>
          <w:p w14:paraId="106E6DAF" w14:textId="7E9678D1" w:rsidR="00513F1A" w:rsidRPr="005A3F47" w:rsidRDefault="00513F1A" w:rsidP="00513F1A">
            <w:pPr>
              <w:spacing w:after="0"/>
              <w:jc w:val="left"/>
              <w:rPr>
                <w:noProof/>
                <w:sz w:val="20"/>
              </w:rPr>
            </w:pPr>
            <w:r w:rsidRPr="005A3F47">
              <w:rPr>
                <w:noProof/>
                <w:sz w:val="20"/>
              </w:rPr>
              <w:t>- Exemption from WHT on intra-EU cross-border interest, royalty and dividend payments: EUR 0.7</w:t>
            </w:r>
            <w:r w:rsidR="00234BED" w:rsidRPr="005A3F47">
              <w:rPr>
                <w:noProof/>
                <w:sz w:val="20"/>
              </w:rPr>
              <w:t>5</w:t>
            </w:r>
            <w:r w:rsidRPr="005A3F47">
              <w:rPr>
                <w:noProof/>
                <w:sz w:val="20"/>
              </w:rPr>
              <w:t xml:space="preserve"> billion per year of lower administrative burden.</w:t>
            </w:r>
          </w:p>
          <w:p w14:paraId="777286CC" w14:textId="77777777" w:rsidR="00513F1A" w:rsidRPr="005A3F47" w:rsidRDefault="00513F1A" w:rsidP="00513F1A">
            <w:pPr>
              <w:spacing w:after="0"/>
              <w:jc w:val="left"/>
              <w:rPr>
                <w:noProof/>
                <w:sz w:val="20"/>
              </w:rPr>
            </w:pPr>
            <w:r w:rsidRPr="005A3F47">
              <w:rPr>
                <w:noProof/>
                <w:sz w:val="20"/>
              </w:rPr>
              <w:t>- Carveout of Pillar 2 companies and SMEs from CFC rules: EUR 160 million, EUR 90 million per year respectively</w:t>
            </w:r>
          </w:p>
          <w:p w14:paraId="7FAA3119" w14:textId="77777777" w:rsidR="00513F1A" w:rsidRPr="005A3F47" w:rsidRDefault="00513F1A" w:rsidP="00513F1A">
            <w:pPr>
              <w:spacing w:after="0"/>
              <w:jc w:val="left"/>
              <w:rPr>
                <w:noProof/>
                <w:sz w:val="20"/>
              </w:rPr>
            </w:pPr>
            <w:r w:rsidRPr="005A3F47">
              <w:rPr>
                <w:noProof/>
                <w:sz w:val="20"/>
              </w:rPr>
              <w:t>- Mandatory application of CFC Model A: EUR 45 million per year</w:t>
            </w:r>
          </w:p>
          <w:p w14:paraId="3F2A88FD" w14:textId="77777777" w:rsidR="00513F1A" w:rsidRPr="005A3F47" w:rsidRDefault="00513F1A" w:rsidP="00513F1A">
            <w:pPr>
              <w:spacing w:after="0"/>
              <w:jc w:val="left"/>
              <w:rPr>
                <w:noProof/>
                <w:sz w:val="20"/>
              </w:rPr>
            </w:pPr>
            <w:r w:rsidRPr="005A3F47">
              <w:rPr>
                <w:noProof/>
                <w:sz w:val="20"/>
              </w:rPr>
              <w:t>- Common tax depreciation treatment of R&amp;D assets: EUR 265 million per year</w:t>
            </w:r>
          </w:p>
          <w:p w14:paraId="5DD623F5" w14:textId="0341245C" w:rsidR="00513F1A" w:rsidRPr="005A3F47" w:rsidRDefault="00513F1A" w:rsidP="00513F1A">
            <w:pPr>
              <w:spacing w:after="0"/>
              <w:jc w:val="left"/>
              <w:rPr>
                <w:noProof/>
                <w:sz w:val="20"/>
              </w:rPr>
            </w:pPr>
            <w:r w:rsidRPr="005A3F47">
              <w:rPr>
                <w:noProof/>
                <w:sz w:val="20"/>
              </w:rPr>
              <w:t xml:space="preserve">- </w:t>
            </w:r>
            <w:r w:rsidR="00DC39C8" w:rsidRPr="005A3F47">
              <w:rPr>
                <w:noProof/>
                <w:sz w:val="20"/>
              </w:rPr>
              <w:t xml:space="preserve">De minimis exclusion (SMEs) and carve-out of qualifying third-party loans from the interest limitation rule: EUR </w:t>
            </w:r>
            <w:r>
              <w:rPr>
                <w:noProof/>
                <w:sz w:val="20"/>
              </w:rPr>
              <w:t xml:space="preserve">69 </w:t>
            </w:r>
            <w:r w:rsidR="00DC39C8" w:rsidRPr="005A3F47">
              <w:rPr>
                <w:noProof/>
                <w:sz w:val="20"/>
              </w:rPr>
              <w:t xml:space="preserve">million  </w:t>
            </w:r>
            <w:r w:rsidRPr="005A3F47">
              <w:rPr>
                <w:noProof/>
                <w:sz w:val="20"/>
              </w:rPr>
              <w:t>EUR 430 million per year</w:t>
            </w:r>
            <w:r>
              <w:rPr>
                <w:noProof/>
                <w:sz w:val="20"/>
              </w:rPr>
              <w:t xml:space="preserve"> respectively</w:t>
            </w:r>
          </w:p>
          <w:p w14:paraId="7B2E43DE" w14:textId="77777777" w:rsidR="00513F1A" w:rsidRPr="005A3F47" w:rsidRDefault="00513F1A" w:rsidP="00513F1A">
            <w:pPr>
              <w:spacing w:after="0"/>
              <w:jc w:val="left"/>
              <w:rPr>
                <w:noProof/>
                <w:sz w:val="20"/>
              </w:rPr>
            </w:pPr>
            <w:r w:rsidRPr="005A3F47">
              <w:rPr>
                <w:noProof/>
                <w:sz w:val="20"/>
              </w:rPr>
              <w:t>- Other simplifications of the interest limitation rule: EUR 80 million per year</w:t>
            </w:r>
          </w:p>
          <w:p w14:paraId="558F17A0" w14:textId="2917737F" w:rsidR="00AA0A40" w:rsidRPr="005A3F47" w:rsidRDefault="00513F1A" w:rsidP="00AA0A40">
            <w:pPr>
              <w:spacing w:after="160" w:line="259" w:lineRule="auto"/>
              <w:jc w:val="left"/>
              <w:rPr>
                <w:rFonts w:eastAsia="Aptos"/>
                <w:noProof/>
                <w:sz w:val="20"/>
                <w:szCs w:val="20"/>
                <w:lang w:val="en-IE"/>
              </w:rPr>
            </w:pPr>
            <w:r w:rsidRPr="005A3F47">
              <w:rPr>
                <w:noProof/>
                <w:sz w:val="20"/>
              </w:rPr>
              <w:t>- Other measures (hybrid mismatches, tax mergers, dispute resolution): EUR 80 million per year</w:t>
            </w:r>
          </w:p>
        </w:tc>
        <w:tc>
          <w:tcPr>
            <w:tcW w:w="1341" w:type="dxa"/>
            <w:tcBorders>
              <w:top w:val="single" w:sz="6" w:space="0" w:color="auto"/>
              <w:left w:val="single" w:sz="6" w:space="0" w:color="auto"/>
              <w:bottom w:val="single" w:sz="6" w:space="0" w:color="auto"/>
              <w:right w:val="single" w:sz="6" w:space="0" w:color="auto"/>
            </w:tcBorders>
            <w:vAlign w:val="center"/>
            <w:hideMark/>
          </w:tcPr>
          <w:p w14:paraId="6D8A260C"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904" w:type="dxa"/>
            <w:tcBorders>
              <w:top w:val="single" w:sz="6" w:space="0" w:color="auto"/>
              <w:left w:val="single" w:sz="6" w:space="0" w:color="auto"/>
              <w:bottom w:val="single" w:sz="6" w:space="0" w:color="auto"/>
              <w:right w:val="single" w:sz="6" w:space="0" w:color="auto"/>
            </w:tcBorders>
            <w:vAlign w:val="center"/>
            <w:hideMark/>
          </w:tcPr>
          <w:p w14:paraId="67E27ACA"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2059" w:type="dxa"/>
            <w:tcBorders>
              <w:top w:val="single" w:sz="6" w:space="0" w:color="auto"/>
              <w:left w:val="single" w:sz="6" w:space="0" w:color="auto"/>
              <w:bottom w:val="single" w:sz="6" w:space="0" w:color="auto"/>
              <w:right w:val="double" w:sz="6" w:space="0" w:color="auto"/>
            </w:tcBorders>
            <w:vAlign w:val="center"/>
            <w:hideMark/>
          </w:tcPr>
          <w:p w14:paraId="768D8EE4"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r>
      <w:tr w:rsidR="00EE27D4" w:rsidRPr="005A3F47" w14:paraId="32BEF783" w14:textId="77777777" w:rsidTr="00DE6B6A">
        <w:trPr>
          <w:trHeight w:val="285"/>
        </w:trPr>
        <w:tc>
          <w:tcPr>
            <w:tcW w:w="1709" w:type="dxa"/>
            <w:tcBorders>
              <w:top w:val="nil"/>
              <w:left w:val="double" w:sz="6" w:space="0" w:color="auto"/>
              <w:bottom w:val="single" w:sz="6" w:space="0" w:color="auto"/>
              <w:right w:val="single" w:sz="6" w:space="0" w:color="auto"/>
            </w:tcBorders>
            <w:vAlign w:val="center"/>
            <w:hideMark/>
          </w:tcPr>
          <w:p w14:paraId="02EC547C" w14:textId="77777777" w:rsidR="00AA0A40" w:rsidRPr="005A3F47" w:rsidRDefault="00AA0A40" w:rsidP="00AA0A40">
            <w:pPr>
              <w:numPr>
                <w:ilvl w:val="0"/>
                <w:numId w:val="235"/>
              </w:numPr>
              <w:spacing w:after="160" w:line="259" w:lineRule="auto"/>
              <w:jc w:val="left"/>
              <w:rPr>
                <w:rFonts w:eastAsia="Aptos"/>
                <w:noProof/>
                <w:sz w:val="20"/>
                <w:szCs w:val="20"/>
                <w:lang w:val="en-IE"/>
              </w:rPr>
            </w:pPr>
            <w:r w:rsidRPr="005A3F47">
              <w:rPr>
                <w:rFonts w:eastAsia="Aptos"/>
                <w:noProof/>
                <w:sz w:val="20"/>
                <w:szCs w:val="20"/>
              </w:rPr>
              <w:t>in which SMEs</w:t>
            </w:r>
            <w:r w:rsidRPr="005A3F47">
              <w:rPr>
                <w:rFonts w:eastAsia="Aptos"/>
                <w:noProof/>
                <w:sz w:val="20"/>
                <w:szCs w:val="20"/>
                <w:lang w:val="en-IE"/>
              </w:rPr>
              <w:t> </w:t>
            </w:r>
          </w:p>
        </w:tc>
        <w:tc>
          <w:tcPr>
            <w:tcW w:w="1345" w:type="dxa"/>
            <w:tcBorders>
              <w:top w:val="single" w:sz="6" w:space="0" w:color="auto"/>
              <w:left w:val="nil"/>
              <w:bottom w:val="single" w:sz="6" w:space="0" w:color="auto"/>
              <w:right w:val="single" w:sz="6" w:space="0" w:color="auto"/>
            </w:tcBorders>
            <w:vAlign w:val="center"/>
            <w:hideMark/>
          </w:tcPr>
          <w:p w14:paraId="3F71C9C0"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762" w:type="dxa"/>
            <w:tcBorders>
              <w:top w:val="single" w:sz="6" w:space="0" w:color="auto"/>
              <w:left w:val="nil"/>
              <w:bottom w:val="single" w:sz="6" w:space="0" w:color="auto"/>
              <w:right w:val="single" w:sz="6" w:space="0" w:color="auto"/>
            </w:tcBorders>
            <w:vAlign w:val="center"/>
            <w:hideMark/>
          </w:tcPr>
          <w:p w14:paraId="0B55A724"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341" w:type="dxa"/>
            <w:tcBorders>
              <w:top w:val="single" w:sz="6" w:space="0" w:color="auto"/>
              <w:left w:val="single" w:sz="6" w:space="0" w:color="auto"/>
              <w:bottom w:val="single" w:sz="6" w:space="0" w:color="auto"/>
              <w:right w:val="single" w:sz="6" w:space="0" w:color="auto"/>
            </w:tcBorders>
            <w:vAlign w:val="center"/>
            <w:hideMark/>
          </w:tcPr>
          <w:p w14:paraId="6FF9D921"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904" w:type="dxa"/>
            <w:tcBorders>
              <w:top w:val="single" w:sz="6" w:space="0" w:color="auto"/>
              <w:left w:val="single" w:sz="6" w:space="0" w:color="auto"/>
              <w:bottom w:val="single" w:sz="6" w:space="0" w:color="auto"/>
              <w:right w:val="single" w:sz="6" w:space="0" w:color="auto"/>
            </w:tcBorders>
            <w:vAlign w:val="center"/>
            <w:hideMark/>
          </w:tcPr>
          <w:p w14:paraId="5F0BCB03"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2059" w:type="dxa"/>
            <w:tcBorders>
              <w:top w:val="single" w:sz="6" w:space="0" w:color="auto"/>
              <w:left w:val="single" w:sz="6" w:space="0" w:color="auto"/>
              <w:bottom w:val="single" w:sz="6" w:space="0" w:color="auto"/>
              <w:right w:val="double" w:sz="6" w:space="0" w:color="auto"/>
            </w:tcBorders>
            <w:vAlign w:val="center"/>
            <w:hideMark/>
          </w:tcPr>
          <w:p w14:paraId="62780E06"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r>
      <w:tr w:rsidR="00EE27D4" w:rsidRPr="005A3F47" w14:paraId="47823771" w14:textId="77777777" w:rsidTr="00DE6B6A">
        <w:trPr>
          <w:trHeight w:val="285"/>
        </w:trPr>
        <w:tc>
          <w:tcPr>
            <w:tcW w:w="1709" w:type="dxa"/>
            <w:tcBorders>
              <w:top w:val="nil"/>
              <w:left w:val="double" w:sz="6" w:space="0" w:color="auto"/>
              <w:bottom w:val="single" w:sz="6" w:space="0" w:color="auto"/>
              <w:right w:val="single" w:sz="6" w:space="0" w:color="auto"/>
            </w:tcBorders>
            <w:vAlign w:val="center"/>
            <w:hideMark/>
          </w:tcPr>
          <w:p w14:paraId="632A35AE"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Public administrations</w:t>
            </w:r>
            <w:r w:rsidRPr="005A3F47">
              <w:rPr>
                <w:rFonts w:eastAsia="Aptos"/>
                <w:noProof/>
                <w:sz w:val="20"/>
                <w:szCs w:val="20"/>
                <w:lang w:val="en-IE"/>
              </w:rPr>
              <w:t> </w:t>
            </w:r>
          </w:p>
        </w:tc>
        <w:tc>
          <w:tcPr>
            <w:tcW w:w="1345" w:type="dxa"/>
            <w:tcBorders>
              <w:top w:val="single" w:sz="6" w:space="0" w:color="auto"/>
              <w:left w:val="nil"/>
              <w:bottom w:val="single" w:sz="6" w:space="0" w:color="auto"/>
              <w:right w:val="single" w:sz="6" w:space="0" w:color="auto"/>
            </w:tcBorders>
            <w:vAlign w:val="center"/>
            <w:hideMark/>
          </w:tcPr>
          <w:p w14:paraId="655A2CED"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762" w:type="dxa"/>
            <w:tcBorders>
              <w:top w:val="single" w:sz="6" w:space="0" w:color="auto"/>
              <w:left w:val="nil"/>
              <w:bottom w:val="single" w:sz="6" w:space="0" w:color="auto"/>
              <w:right w:val="single" w:sz="6" w:space="0" w:color="auto"/>
            </w:tcBorders>
            <w:vAlign w:val="center"/>
            <w:hideMark/>
          </w:tcPr>
          <w:p w14:paraId="4F7A5C55"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341" w:type="dxa"/>
            <w:tcBorders>
              <w:top w:val="single" w:sz="6" w:space="0" w:color="auto"/>
              <w:left w:val="single" w:sz="6" w:space="0" w:color="auto"/>
              <w:bottom w:val="single" w:sz="6" w:space="0" w:color="auto"/>
              <w:right w:val="single" w:sz="6" w:space="0" w:color="auto"/>
            </w:tcBorders>
            <w:vAlign w:val="center"/>
            <w:hideMark/>
          </w:tcPr>
          <w:p w14:paraId="243519B9"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904" w:type="dxa"/>
            <w:tcBorders>
              <w:top w:val="single" w:sz="6" w:space="0" w:color="auto"/>
              <w:left w:val="single" w:sz="6" w:space="0" w:color="auto"/>
              <w:bottom w:val="single" w:sz="6" w:space="0" w:color="auto"/>
              <w:right w:val="single" w:sz="6" w:space="0" w:color="auto"/>
            </w:tcBorders>
            <w:vAlign w:val="center"/>
            <w:hideMark/>
          </w:tcPr>
          <w:p w14:paraId="242896D1"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2059" w:type="dxa"/>
            <w:tcBorders>
              <w:top w:val="single" w:sz="6" w:space="0" w:color="auto"/>
              <w:left w:val="single" w:sz="6" w:space="0" w:color="auto"/>
              <w:bottom w:val="single" w:sz="6" w:space="0" w:color="auto"/>
              <w:right w:val="double" w:sz="6" w:space="0" w:color="auto"/>
            </w:tcBorders>
            <w:vAlign w:val="center"/>
            <w:hideMark/>
          </w:tcPr>
          <w:p w14:paraId="442E83C7"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r>
      <w:tr w:rsidR="00EE27D4" w:rsidRPr="005A3F47" w14:paraId="2FC9CD31" w14:textId="77777777" w:rsidTr="00DE6B6A">
        <w:trPr>
          <w:trHeight w:val="285"/>
        </w:trPr>
        <w:tc>
          <w:tcPr>
            <w:tcW w:w="1709" w:type="dxa"/>
            <w:tcBorders>
              <w:top w:val="nil"/>
              <w:left w:val="double" w:sz="6" w:space="0" w:color="auto"/>
              <w:bottom w:val="double" w:sz="6" w:space="0" w:color="auto"/>
              <w:right w:val="single" w:sz="6" w:space="0" w:color="auto"/>
            </w:tcBorders>
            <w:vAlign w:val="center"/>
            <w:hideMark/>
          </w:tcPr>
          <w:p w14:paraId="6995D532"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rPr>
              <w:t>Citizens</w:t>
            </w:r>
            <w:r w:rsidRPr="005A3F47">
              <w:rPr>
                <w:rFonts w:eastAsia="Aptos"/>
                <w:noProof/>
                <w:sz w:val="20"/>
                <w:szCs w:val="20"/>
                <w:lang w:val="en-IE"/>
              </w:rPr>
              <w:t> </w:t>
            </w:r>
          </w:p>
        </w:tc>
        <w:tc>
          <w:tcPr>
            <w:tcW w:w="1345" w:type="dxa"/>
            <w:tcBorders>
              <w:top w:val="single" w:sz="6" w:space="0" w:color="auto"/>
              <w:left w:val="nil"/>
              <w:bottom w:val="double" w:sz="6" w:space="0" w:color="auto"/>
              <w:right w:val="single" w:sz="6" w:space="0" w:color="auto"/>
            </w:tcBorders>
            <w:vAlign w:val="center"/>
            <w:hideMark/>
          </w:tcPr>
          <w:p w14:paraId="3420D5A0"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762" w:type="dxa"/>
            <w:tcBorders>
              <w:top w:val="single" w:sz="6" w:space="0" w:color="auto"/>
              <w:left w:val="nil"/>
              <w:bottom w:val="double" w:sz="6" w:space="0" w:color="auto"/>
              <w:right w:val="single" w:sz="6" w:space="0" w:color="auto"/>
            </w:tcBorders>
            <w:vAlign w:val="center"/>
            <w:hideMark/>
          </w:tcPr>
          <w:p w14:paraId="6AB03BA1"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341" w:type="dxa"/>
            <w:tcBorders>
              <w:top w:val="single" w:sz="6" w:space="0" w:color="auto"/>
              <w:left w:val="single" w:sz="6" w:space="0" w:color="auto"/>
              <w:bottom w:val="double" w:sz="6" w:space="0" w:color="auto"/>
              <w:right w:val="single" w:sz="6" w:space="0" w:color="auto"/>
            </w:tcBorders>
            <w:vAlign w:val="center"/>
            <w:hideMark/>
          </w:tcPr>
          <w:p w14:paraId="05EC8DE5"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1904" w:type="dxa"/>
            <w:tcBorders>
              <w:top w:val="single" w:sz="6" w:space="0" w:color="auto"/>
              <w:left w:val="single" w:sz="6" w:space="0" w:color="auto"/>
              <w:bottom w:val="double" w:sz="6" w:space="0" w:color="auto"/>
              <w:right w:val="single" w:sz="6" w:space="0" w:color="auto"/>
            </w:tcBorders>
            <w:vAlign w:val="center"/>
            <w:hideMark/>
          </w:tcPr>
          <w:p w14:paraId="5F0C4E13"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c>
          <w:tcPr>
            <w:tcW w:w="2059" w:type="dxa"/>
            <w:tcBorders>
              <w:top w:val="single" w:sz="6" w:space="0" w:color="auto"/>
              <w:left w:val="single" w:sz="6" w:space="0" w:color="auto"/>
              <w:bottom w:val="double" w:sz="6" w:space="0" w:color="auto"/>
              <w:right w:val="double" w:sz="6" w:space="0" w:color="auto"/>
            </w:tcBorders>
            <w:vAlign w:val="center"/>
            <w:hideMark/>
          </w:tcPr>
          <w:p w14:paraId="761C1E78" w14:textId="77777777" w:rsidR="00AA0A40" w:rsidRPr="005A3F47" w:rsidRDefault="00AA0A40" w:rsidP="00AA0A40">
            <w:pPr>
              <w:spacing w:after="160" w:line="259" w:lineRule="auto"/>
              <w:jc w:val="left"/>
              <w:rPr>
                <w:rFonts w:eastAsia="Aptos"/>
                <w:noProof/>
                <w:sz w:val="20"/>
                <w:szCs w:val="20"/>
                <w:lang w:val="en-IE"/>
              </w:rPr>
            </w:pPr>
            <w:r w:rsidRPr="005A3F47">
              <w:rPr>
                <w:rFonts w:eastAsia="Aptos"/>
                <w:noProof/>
                <w:sz w:val="20"/>
                <w:szCs w:val="20"/>
                <w:lang w:val="en-IE"/>
              </w:rPr>
              <w:t> </w:t>
            </w:r>
          </w:p>
        </w:tc>
      </w:tr>
    </w:tbl>
    <w:p w14:paraId="6F1C981A" w14:textId="77777777" w:rsidR="00AA0A40" w:rsidRPr="005A3F47" w:rsidRDefault="00AA0A40" w:rsidP="00DE6B6A">
      <w:pPr>
        <w:rPr>
          <w:noProof/>
          <w:sz w:val="22"/>
          <w:szCs w:val="22"/>
        </w:rPr>
      </w:pPr>
    </w:p>
    <w:p w14:paraId="37D9D5C3" w14:textId="77777777" w:rsidR="00BB2C31" w:rsidRPr="005A3F47" w:rsidRDefault="00BB2C31" w:rsidP="00B61272">
      <w:pPr>
        <w:pStyle w:val="Heading2"/>
        <w:numPr>
          <w:ilvl w:val="0"/>
          <w:numId w:val="186"/>
        </w:numPr>
        <w:rPr>
          <w:noProof/>
        </w:rPr>
      </w:pPr>
      <w:bookmarkStart w:id="353" w:name="_Toc226466618"/>
      <w:bookmarkStart w:id="354" w:name="_Toc226466869"/>
      <w:bookmarkStart w:id="355" w:name="_Toc226467230"/>
      <w:bookmarkStart w:id="356" w:name="_Toc226467330"/>
      <w:bookmarkStart w:id="357" w:name="_Toc226467549"/>
      <w:r w:rsidRPr="005A3F47">
        <w:rPr>
          <w:noProof/>
        </w:rPr>
        <w:t>Relevant sustainable development goals</w:t>
      </w:r>
      <w:bookmarkEnd w:id="353"/>
      <w:bookmarkEnd w:id="354"/>
      <w:bookmarkEnd w:id="355"/>
      <w:bookmarkEnd w:id="356"/>
      <w:bookmarkEnd w:id="357"/>
    </w:p>
    <w:p w14:paraId="3AEA704F" w14:textId="77F1EA2B" w:rsidR="009409F1" w:rsidRPr="005A3F47" w:rsidRDefault="00A428AC" w:rsidP="000E3086">
      <w:pPr>
        <w:rPr>
          <w:noProof/>
        </w:rPr>
      </w:pPr>
      <w:r w:rsidRPr="005A3F47">
        <w:rPr>
          <w:noProof/>
        </w:rPr>
        <w:t>The below table provides an overview of the Sustainable Development Goals (SDGs) that are at stake and the progress that is expected under the preferred option for the Omnibus</w:t>
      </w:r>
      <w:r w:rsidR="76C74501" w:rsidRPr="005A3F47">
        <w:rPr>
          <w:noProof/>
        </w:rPr>
        <w:t xml:space="preserve"> on Taxation</w:t>
      </w:r>
      <w:r w:rsidRPr="005A3F47">
        <w:rPr>
          <w:noProof/>
        </w:rPr>
        <w:t xml:space="preserve">, as described in Chapter </w:t>
      </w:r>
      <w:r w:rsidR="009A0E28" w:rsidRPr="005A3F47">
        <w:rPr>
          <w:noProof/>
        </w:rPr>
        <w:fldChar w:fldCharType="begin"/>
      </w:r>
      <w:r w:rsidR="009A0E28" w:rsidRPr="005A3F47">
        <w:rPr>
          <w:noProof/>
        </w:rPr>
        <w:instrText xml:space="preserve"> REF _Ref226463400 \r \h </w:instrText>
      </w:r>
      <w:r w:rsidR="005A3F47">
        <w:rPr>
          <w:noProof/>
        </w:rPr>
        <w:instrText xml:space="preserve"> \* MERGEFORMAT </w:instrText>
      </w:r>
      <w:r w:rsidR="009A0E28" w:rsidRPr="005A3F47">
        <w:rPr>
          <w:noProof/>
        </w:rPr>
      </w:r>
      <w:r w:rsidR="009A0E28" w:rsidRPr="005A3F47">
        <w:rPr>
          <w:noProof/>
        </w:rPr>
        <w:fldChar w:fldCharType="separate"/>
      </w:r>
      <w:r w:rsidR="00CF3380">
        <w:rPr>
          <w:noProof/>
        </w:rPr>
        <w:t>8</w:t>
      </w:r>
      <w:r w:rsidR="009A0E28" w:rsidRPr="005A3F47">
        <w:rPr>
          <w:noProof/>
        </w:rPr>
        <w:fldChar w:fldCharType="end"/>
      </w:r>
      <w:r w:rsidRPr="005A3F47">
        <w:rPr>
          <w:noProof/>
        </w:rPr>
        <w:t>.</w:t>
      </w:r>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rsidR="00A77568" w:rsidRPr="005A3F47" w14:paraId="01C2396A" w14:textId="77777777" w:rsidTr="00DE6B6A">
        <w:tc>
          <w:tcPr>
            <w:tcW w:w="10377" w:type="dxa"/>
            <w:gridSpan w:val="3"/>
            <w:tcBorders>
              <w:top w:val="double" w:sz="4" w:space="0" w:color="auto"/>
              <w:bottom w:val="single" w:sz="4" w:space="0" w:color="auto"/>
            </w:tcBorders>
            <w:shd w:val="clear" w:color="auto" w:fill="C6D9F1" w:themeFill="text2" w:themeFillTint="33"/>
          </w:tcPr>
          <w:p w14:paraId="4EE351B4" w14:textId="710EB024" w:rsidR="009409F1" w:rsidRPr="005A3F47" w:rsidRDefault="00315B43" w:rsidP="009D4C15">
            <w:pPr>
              <w:spacing w:after="0"/>
              <w:rPr>
                <w:b/>
                <w:noProof/>
                <w:sz w:val="20"/>
              </w:rPr>
            </w:pPr>
            <w:r w:rsidRPr="005A3F47">
              <w:rPr>
                <w:b/>
                <w:noProof/>
                <w:sz w:val="20"/>
              </w:rPr>
              <w:t>IV</w:t>
            </w:r>
            <w:r w:rsidR="009409F1" w:rsidRPr="005A3F47">
              <w:rPr>
                <w:b/>
                <w:noProof/>
                <w:sz w:val="20"/>
              </w:rPr>
              <w:t>. Overview of relevant Sustainable Development Goals – Preferred Option(s)</w:t>
            </w:r>
          </w:p>
        </w:tc>
      </w:tr>
      <w:tr w:rsidR="00E30F4E" w:rsidRPr="005A3F47" w14:paraId="0CE86597" w14:textId="77777777" w:rsidTr="002848A1">
        <w:tc>
          <w:tcPr>
            <w:tcW w:w="2552" w:type="dxa"/>
            <w:tcBorders>
              <w:top w:val="single" w:sz="4" w:space="0" w:color="auto"/>
            </w:tcBorders>
            <w:shd w:val="clear" w:color="auto" w:fill="C6D9F1" w:themeFill="text2" w:themeFillTint="33"/>
          </w:tcPr>
          <w:p w14:paraId="132154E1" w14:textId="77777777" w:rsidR="009409F1" w:rsidRPr="005A3F47" w:rsidRDefault="009409F1" w:rsidP="009D4C15">
            <w:pPr>
              <w:spacing w:after="0"/>
              <w:rPr>
                <w:b/>
                <w:noProof/>
                <w:sz w:val="20"/>
              </w:rPr>
            </w:pPr>
            <w:r w:rsidRPr="005A3F47">
              <w:rPr>
                <w:b/>
                <w:noProof/>
                <w:sz w:val="20"/>
              </w:rPr>
              <w:t>Relevant SDG</w:t>
            </w:r>
          </w:p>
        </w:tc>
        <w:tc>
          <w:tcPr>
            <w:tcW w:w="4111" w:type="dxa"/>
            <w:tcBorders>
              <w:top w:val="single" w:sz="4" w:space="0" w:color="auto"/>
            </w:tcBorders>
            <w:shd w:val="clear" w:color="auto" w:fill="C6D9F1" w:themeFill="text2" w:themeFillTint="33"/>
          </w:tcPr>
          <w:p w14:paraId="00C1E627" w14:textId="77777777" w:rsidR="009409F1" w:rsidRPr="005A3F47" w:rsidRDefault="009409F1" w:rsidP="009D4C15">
            <w:pPr>
              <w:spacing w:after="0"/>
              <w:rPr>
                <w:b/>
                <w:noProof/>
                <w:sz w:val="20"/>
              </w:rPr>
            </w:pPr>
            <w:r w:rsidRPr="005A3F47">
              <w:rPr>
                <w:b/>
                <w:noProof/>
                <w:sz w:val="20"/>
              </w:rPr>
              <w:t>Expected progress towards the Goal</w:t>
            </w:r>
          </w:p>
        </w:tc>
        <w:tc>
          <w:tcPr>
            <w:tcW w:w="3714" w:type="dxa"/>
            <w:tcBorders>
              <w:top w:val="single" w:sz="4" w:space="0" w:color="auto"/>
            </w:tcBorders>
            <w:shd w:val="clear" w:color="auto" w:fill="C6D9F1" w:themeFill="text2" w:themeFillTint="33"/>
            <w:tcMar>
              <w:top w:w="57" w:type="dxa"/>
              <w:left w:w="57" w:type="dxa"/>
              <w:bottom w:w="57" w:type="dxa"/>
              <w:right w:w="57" w:type="dxa"/>
            </w:tcMar>
          </w:tcPr>
          <w:p w14:paraId="29A7294E" w14:textId="77777777" w:rsidR="009409F1" w:rsidRPr="005A3F47" w:rsidRDefault="009409F1" w:rsidP="009D4C15">
            <w:pPr>
              <w:spacing w:after="0"/>
              <w:rPr>
                <w:b/>
                <w:noProof/>
                <w:sz w:val="20"/>
              </w:rPr>
            </w:pPr>
            <w:r w:rsidRPr="005A3F47">
              <w:rPr>
                <w:b/>
                <w:noProof/>
                <w:sz w:val="20"/>
              </w:rPr>
              <w:t>Comments</w:t>
            </w:r>
          </w:p>
        </w:tc>
      </w:tr>
      <w:tr w:rsidR="00F2349D" w:rsidRPr="005A3F47" w14:paraId="4CCA0544" w14:textId="77777777" w:rsidTr="00DE6B6A">
        <w:tc>
          <w:tcPr>
            <w:tcW w:w="2552" w:type="dxa"/>
            <w:tcBorders>
              <w:top w:val="double" w:sz="4" w:space="0" w:color="auto"/>
              <w:bottom w:val="single" w:sz="4" w:space="0" w:color="auto"/>
            </w:tcBorders>
          </w:tcPr>
          <w:p w14:paraId="4A8DFF13" w14:textId="48A29ED6" w:rsidR="009409F1" w:rsidRPr="005A3F47" w:rsidRDefault="009409F1" w:rsidP="009D4C15">
            <w:pPr>
              <w:spacing w:after="0"/>
              <w:rPr>
                <w:noProof/>
                <w:sz w:val="20"/>
              </w:rPr>
            </w:pPr>
            <w:r w:rsidRPr="005A3F47">
              <w:rPr>
                <w:noProof/>
                <w:sz w:val="20"/>
              </w:rPr>
              <w:t xml:space="preserve">e.g. SDG no. </w:t>
            </w:r>
            <w:r w:rsidR="00FD02C2" w:rsidRPr="005A3F47">
              <w:rPr>
                <w:noProof/>
                <w:sz w:val="20"/>
              </w:rPr>
              <w:t>8</w:t>
            </w:r>
            <w:r w:rsidRPr="005A3F47">
              <w:rPr>
                <w:noProof/>
                <w:sz w:val="20"/>
              </w:rPr>
              <w:t xml:space="preserve"> – </w:t>
            </w:r>
            <w:r w:rsidR="00FD02C2" w:rsidRPr="005A3F47">
              <w:rPr>
                <w:noProof/>
                <w:sz w:val="20"/>
              </w:rPr>
              <w:t>Promote sustained, inclusive and sustainable economic growth, full and productive employment and decent work for all</w:t>
            </w:r>
          </w:p>
        </w:tc>
        <w:tc>
          <w:tcPr>
            <w:tcW w:w="4111" w:type="dxa"/>
            <w:tcBorders>
              <w:top w:val="double" w:sz="4" w:space="0" w:color="auto"/>
              <w:bottom w:val="single" w:sz="4" w:space="0" w:color="auto"/>
            </w:tcBorders>
            <w:tcMar>
              <w:top w:w="57" w:type="dxa"/>
              <w:left w:w="57" w:type="dxa"/>
              <w:bottom w:w="57" w:type="dxa"/>
              <w:right w:w="57" w:type="dxa"/>
            </w:tcMar>
          </w:tcPr>
          <w:p w14:paraId="447F5A59" w14:textId="4984FF2D" w:rsidR="009409F1" w:rsidRPr="005A3F47" w:rsidRDefault="00C348AD" w:rsidP="009D4C15">
            <w:pPr>
              <w:spacing w:after="0"/>
              <w:rPr>
                <w:noProof/>
                <w:sz w:val="20"/>
                <w:szCs w:val="20"/>
              </w:rPr>
            </w:pPr>
            <w:r w:rsidRPr="005A3F47">
              <w:rPr>
                <w:noProof/>
                <w:sz w:val="20"/>
                <w:szCs w:val="20"/>
              </w:rPr>
              <w:t>The Omnibu</w:t>
            </w:r>
            <w:r w:rsidRPr="005A3F47">
              <w:rPr>
                <w:rFonts w:asciiTheme="minorHAnsi" w:eastAsiaTheme="minorEastAsia" w:hAnsiTheme="minorHAnsi" w:cstheme="minorBidi"/>
                <w:noProof/>
                <w:sz w:val="20"/>
                <w:szCs w:val="20"/>
              </w:rPr>
              <w:t>s</w:t>
            </w:r>
            <w:r w:rsidR="52168A14" w:rsidRPr="005A3F47">
              <w:rPr>
                <w:rFonts w:asciiTheme="minorHAnsi" w:eastAsiaTheme="minorEastAsia" w:hAnsiTheme="minorHAnsi" w:cstheme="minorBidi"/>
                <w:noProof/>
                <w:sz w:val="20"/>
                <w:szCs w:val="20"/>
              </w:rPr>
              <w:t xml:space="preserve"> </w:t>
            </w:r>
            <w:r w:rsidR="114E9B84" w:rsidRPr="005A3F47">
              <w:rPr>
                <w:rFonts w:eastAsiaTheme="minorEastAsia"/>
                <w:noProof/>
                <w:sz w:val="20"/>
                <w:szCs w:val="20"/>
              </w:rPr>
              <w:t>on Taxation</w:t>
            </w:r>
            <w:r w:rsidRPr="005A3F47">
              <w:rPr>
                <w:rFonts w:eastAsiaTheme="minorEastAsia"/>
                <w:noProof/>
                <w:sz w:val="20"/>
                <w:szCs w:val="20"/>
              </w:rPr>
              <w:t xml:space="preserve"> proposa</w:t>
            </w:r>
            <w:r w:rsidRPr="005A3F47">
              <w:rPr>
                <w:noProof/>
                <w:sz w:val="20"/>
                <w:szCs w:val="20"/>
              </w:rPr>
              <w:t xml:space="preserve">l contributes to SDG 8 by reducing tax compliance burdens, clarifying tax terminology, replacing </w:t>
            </w:r>
            <w:r w:rsidR="00E2781C" w:rsidRPr="005A3F47">
              <w:rPr>
                <w:noProof/>
                <w:sz w:val="20"/>
                <w:szCs w:val="20"/>
              </w:rPr>
              <w:t>uneven treatments and</w:t>
            </w:r>
            <w:r w:rsidRPr="005A3F47">
              <w:rPr>
                <w:noProof/>
                <w:sz w:val="20"/>
                <w:szCs w:val="20"/>
              </w:rPr>
              <w:t xml:space="preserve"> divergent national rules with a single EU </w:t>
            </w:r>
            <w:r w:rsidR="001E5D6D" w:rsidRPr="005A3F47">
              <w:rPr>
                <w:noProof/>
                <w:sz w:val="20"/>
                <w:szCs w:val="20"/>
              </w:rPr>
              <w:t>approach</w:t>
            </w:r>
            <w:r w:rsidRPr="005A3F47">
              <w:rPr>
                <w:noProof/>
                <w:sz w:val="20"/>
                <w:szCs w:val="20"/>
              </w:rPr>
              <w:t>, while maintaining high EU tax standards, thereby fostering a more efficient, predictable, and growth-supportive business environment across the EU.</w:t>
            </w:r>
          </w:p>
        </w:tc>
        <w:tc>
          <w:tcPr>
            <w:tcW w:w="3714" w:type="dxa"/>
            <w:tcBorders>
              <w:top w:val="double" w:sz="4" w:space="0" w:color="auto"/>
              <w:bottom w:val="single" w:sz="4" w:space="0" w:color="auto"/>
            </w:tcBorders>
            <w:tcMar>
              <w:top w:w="57" w:type="dxa"/>
              <w:left w:w="57" w:type="dxa"/>
              <w:bottom w:w="57" w:type="dxa"/>
              <w:right w:w="57" w:type="dxa"/>
            </w:tcMar>
          </w:tcPr>
          <w:p w14:paraId="64B9F3C7" w14:textId="602EB76D" w:rsidR="009409F1" w:rsidRPr="005A3F47" w:rsidRDefault="00811096" w:rsidP="009D4C15">
            <w:pPr>
              <w:spacing w:after="0"/>
              <w:rPr>
                <w:noProof/>
                <w:sz w:val="20"/>
                <w:szCs w:val="20"/>
              </w:rPr>
            </w:pPr>
            <w:r w:rsidRPr="005A3F47">
              <w:rPr>
                <w:noProof/>
                <w:sz w:val="20"/>
                <w:szCs w:val="20"/>
              </w:rPr>
              <w:t xml:space="preserve">The Omnibus </w:t>
            </w:r>
            <w:r w:rsidR="48E3F742" w:rsidRPr="005A3F47">
              <w:rPr>
                <w:rFonts w:eastAsiaTheme="minorEastAsia"/>
                <w:noProof/>
                <w:sz w:val="20"/>
                <w:szCs w:val="20"/>
              </w:rPr>
              <w:t xml:space="preserve">on Taxation </w:t>
            </w:r>
            <w:r w:rsidRPr="005A3F47">
              <w:rPr>
                <w:rFonts w:eastAsiaTheme="minorEastAsia"/>
                <w:noProof/>
                <w:sz w:val="20"/>
                <w:szCs w:val="20"/>
              </w:rPr>
              <w:t>i</w:t>
            </w:r>
            <w:r w:rsidRPr="005A3F47">
              <w:rPr>
                <w:noProof/>
                <w:sz w:val="20"/>
                <w:szCs w:val="20"/>
              </w:rPr>
              <w:t xml:space="preserve">s expected to lead – in the long term to a positive impact on GDP – see above. </w:t>
            </w:r>
          </w:p>
        </w:tc>
      </w:tr>
      <w:tr w:rsidR="009806A0" w:rsidRPr="005A3F47" w14:paraId="018144AF" w14:textId="77777777" w:rsidTr="00DE6B6A">
        <w:tc>
          <w:tcPr>
            <w:tcW w:w="2552" w:type="dxa"/>
            <w:tcBorders>
              <w:top w:val="single" w:sz="4" w:space="0" w:color="auto"/>
            </w:tcBorders>
          </w:tcPr>
          <w:p w14:paraId="04ECACBC" w14:textId="44B19D9B" w:rsidR="009409F1" w:rsidRPr="005A3F47" w:rsidRDefault="009409F1" w:rsidP="009D4C15">
            <w:pPr>
              <w:spacing w:after="0"/>
              <w:rPr>
                <w:noProof/>
                <w:sz w:val="20"/>
              </w:rPr>
            </w:pPr>
            <w:r w:rsidRPr="005A3F47">
              <w:rPr>
                <w:noProof/>
                <w:sz w:val="20"/>
              </w:rPr>
              <w:t xml:space="preserve">e.g. SDG no. </w:t>
            </w:r>
            <w:r w:rsidR="00D113FA" w:rsidRPr="005A3F47">
              <w:rPr>
                <w:noProof/>
                <w:sz w:val="20"/>
              </w:rPr>
              <w:t xml:space="preserve">9 - Build resilient infrastructure, promote inclusive and </w:t>
            </w:r>
            <w:r w:rsidR="00DB3C59" w:rsidRPr="005A3F47">
              <w:rPr>
                <w:noProof/>
                <w:sz w:val="20"/>
              </w:rPr>
              <w:t>s</w:t>
            </w:r>
            <w:r w:rsidR="00D113FA" w:rsidRPr="005A3F47">
              <w:rPr>
                <w:noProof/>
                <w:sz w:val="20"/>
              </w:rPr>
              <w:t>ustainable industriali</w:t>
            </w:r>
            <w:r w:rsidR="00F71B59" w:rsidRPr="005A3F47">
              <w:rPr>
                <w:noProof/>
                <w:sz w:val="20"/>
              </w:rPr>
              <w:t>s</w:t>
            </w:r>
            <w:r w:rsidR="00D113FA" w:rsidRPr="005A3F47">
              <w:rPr>
                <w:noProof/>
                <w:sz w:val="20"/>
              </w:rPr>
              <w:t>ation and foster innovation</w:t>
            </w:r>
          </w:p>
        </w:tc>
        <w:tc>
          <w:tcPr>
            <w:tcW w:w="4111" w:type="dxa"/>
            <w:tcBorders>
              <w:top w:val="single" w:sz="4" w:space="0" w:color="auto"/>
            </w:tcBorders>
            <w:tcMar>
              <w:top w:w="57" w:type="dxa"/>
              <w:left w:w="57" w:type="dxa"/>
              <w:bottom w:w="57" w:type="dxa"/>
              <w:right w:w="57" w:type="dxa"/>
            </w:tcMar>
          </w:tcPr>
          <w:p w14:paraId="06AB5C3A" w14:textId="608FBC21" w:rsidR="009409F1" w:rsidRPr="005A3F47" w:rsidRDefault="004B7CE4" w:rsidP="009D4C15">
            <w:pPr>
              <w:spacing w:after="0"/>
              <w:rPr>
                <w:noProof/>
                <w:sz w:val="20"/>
                <w:szCs w:val="20"/>
              </w:rPr>
            </w:pPr>
            <w:r w:rsidRPr="005A3F47">
              <w:rPr>
                <w:noProof/>
                <w:sz w:val="20"/>
                <w:szCs w:val="20"/>
              </w:rPr>
              <w:t>Through simpler and more coherent EU tax rules,</w:t>
            </w:r>
            <w:r w:rsidR="00126133" w:rsidRPr="005A3F47">
              <w:rPr>
                <w:noProof/>
                <w:sz w:val="20"/>
                <w:szCs w:val="20"/>
              </w:rPr>
              <w:t xml:space="preserve"> as well as a more beneficial treatment for investments in research and development,</w:t>
            </w:r>
            <w:r w:rsidRPr="005A3F47">
              <w:rPr>
                <w:noProof/>
                <w:sz w:val="20"/>
                <w:szCs w:val="20"/>
              </w:rPr>
              <w:t xml:space="preserve"> the Omnibus </w:t>
            </w:r>
            <w:r w:rsidR="4912A477" w:rsidRPr="005A3F47">
              <w:rPr>
                <w:noProof/>
                <w:sz w:val="20"/>
                <w:szCs w:val="20"/>
              </w:rPr>
              <w:t>on Taxation</w:t>
            </w:r>
            <w:r w:rsidR="4912A477" w:rsidRPr="005A3F47">
              <w:rPr>
                <w:noProof/>
              </w:rPr>
              <w:t xml:space="preserve"> </w:t>
            </w:r>
            <w:r w:rsidR="00126133" w:rsidRPr="005A3F47">
              <w:rPr>
                <w:noProof/>
                <w:sz w:val="20"/>
                <w:szCs w:val="20"/>
              </w:rPr>
              <w:t xml:space="preserve">will </w:t>
            </w:r>
            <w:r w:rsidR="00FF318E" w:rsidRPr="005A3F47">
              <w:rPr>
                <w:noProof/>
                <w:sz w:val="20"/>
                <w:szCs w:val="20"/>
              </w:rPr>
              <w:t xml:space="preserve">support </w:t>
            </w:r>
            <w:r w:rsidR="00917F7D" w:rsidRPr="005A3F47">
              <w:rPr>
                <w:noProof/>
                <w:sz w:val="20"/>
                <w:szCs w:val="20"/>
              </w:rPr>
              <w:t>EU industry</w:t>
            </w:r>
            <w:r w:rsidR="006706CB" w:rsidRPr="005A3F47">
              <w:rPr>
                <w:noProof/>
                <w:sz w:val="20"/>
                <w:szCs w:val="20"/>
              </w:rPr>
              <w:t xml:space="preserve"> and innovation</w:t>
            </w:r>
            <w:r w:rsidR="00D06647" w:rsidRPr="005A3F47">
              <w:rPr>
                <w:noProof/>
                <w:sz w:val="20"/>
                <w:szCs w:val="20"/>
              </w:rPr>
              <w:t xml:space="preserve">, including </w:t>
            </w:r>
            <w:r w:rsidR="0076642C" w:rsidRPr="005A3F47">
              <w:rPr>
                <w:noProof/>
                <w:sz w:val="20"/>
                <w:szCs w:val="20"/>
              </w:rPr>
              <w:t>infrastructure and digitalisation</w:t>
            </w:r>
            <w:r w:rsidR="00126133" w:rsidRPr="005A3F47">
              <w:rPr>
                <w:noProof/>
                <w:sz w:val="20"/>
                <w:szCs w:val="20"/>
              </w:rPr>
              <w:t>.</w:t>
            </w:r>
          </w:p>
        </w:tc>
        <w:tc>
          <w:tcPr>
            <w:tcW w:w="3714" w:type="dxa"/>
            <w:tcBorders>
              <w:top w:val="single" w:sz="4" w:space="0" w:color="auto"/>
            </w:tcBorders>
            <w:tcMar>
              <w:top w:w="57" w:type="dxa"/>
              <w:left w:w="57" w:type="dxa"/>
              <w:bottom w:w="57" w:type="dxa"/>
              <w:right w:w="57" w:type="dxa"/>
            </w:tcMar>
          </w:tcPr>
          <w:p w14:paraId="76FDCBD3" w14:textId="471C352D" w:rsidR="009409F1" w:rsidRPr="005A3F47" w:rsidRDefault="000A320E" w:rsidP="009D4C15">
            <w:pPr>
              <w:spacing w:after="0"/>
              <w:rPr>
                <w:noProof/>
                <w:sz w:val="20"/>
                <w:szCs w:val="20"/>
              </w:rPr>
            </w:pPr>
            <w:r w:rsidRPr="005A3F47">
              <w:rPr>
                <w:noProof/>
                <w:sz w:val="20"/>
                <w:szCs w:val="20"/>
              </w:rPr>
              <w:t>The Omnibus</w:t>
            </w:r>
            <w:r w:rsidR="31EAFF65" w:rsidRPr="005A3F47">
              <w:rPr>
                <w:noProof/>
                <w:sz w:val="20"/>
                <w:szCs w:val="20"/>
              </w:rPr>
              <w:t xml:space="preserve"> </w:t>
            </w:r>
            <w:r w:rsidR="14DEA65C" w:rsidRPr="005A3F47">
              <w:rPr>
                <w:noProof/>
              </w:rPr>
              <w:t xml:space="preserve">on </w:t>
            </w:r>
            <w:r w:rsidR="14DEA65C" w:rsidRPr="005A3F47">
              <w:rPr>
                <w:noProof/>
                <w:sz w:val="20"/>
                <w:szCs w:val="20"/>
              </w:rPr>
              <w:t>Taxation</w:t>
            </w:r>
            <w:r w:rsidRPr="005A3F47">
              <w:rPr>
                <w:noProof/>
              </w:rPr>
              <w:t xml:space="preserve"> </w:t>
            </w:r>
            <w:r w:rsidRPr="005A3F47">
              <w:rPr>
                <w:noProof/>
                <w:sz w:val="20"/>
                <w:szCs w:val="20"/>
              </w:rPr>
              <w:t xml:space="preserve">is expected to stimulate GDP growth, as said above, in particular also thanks to the positive impact of the proposed immediate expensing </w:t>
            </w:r>
            <w:r w:rsidR="00CA0E2D" w:rsidRPr="005A3F47">
              <w:rPr>
                <w:noProof/>
                <w:sz w:val="20"/>
                <w:szCs w:val="20"/>
              </w:rPr>
              <w:t>for the ac</w:t>
            </w:r>
            <w:r w:rsidR="000D2965" w:rsidRPr="005A3F47">
              <w:rPr>
                <w:noProof/>
                <w:sz w:val="20"/>
                <w:szCs w:val="20"/>
              </w:rPr>
              <w:t>quisition of</w:t>
            </w:r>
            <w:r w:rsidRPr="005A3F47">
              <w:rPr>
                <w:noProof/>
                <w:sz w:val="20"/>
                <w:szCs w:val="20"/>
              </w:rPr>
              <w:t xml:space="preserve"> </w:t>
            </w:r>
            <w:r w:rsidR="00CA0E2D" w:rsidRPr="005A3F47">
              <w:rPr>
                <w:noProof/>
                <w:sz w:val="20"/>
                <w:szCs w:val="20"/>
              </w:rPr>
              <w:t>R&amp;D-related</w:t>
            </w:r>
            <w:r w:rsidRPr="005A3F47">
              <w:rPr>
                <w:noProof/>
                <w:sz w:val="20"/>
                <w:szCs w:val="20"/>
              </w:rPr>
              <w:t xml:space="preserve"> </w:t>
            </w:r>
            <w:r w:rsidR="000D2965" w:rsidRPr="005A3F47">
              <w:rPr>
                <w:noProof/>
                <w:sz w:val="20"/>
                <w:szCs w:val="20"/>
              </w:rPr>
              <w:t xml:space="preserve">tangible assets. </w:t>
            </w:r>
          </w:p>
        </w:tc>
      </w:tr>
    </w:tbl>
    <w:p w14:paraId="1164FCD5" w14:textId="77777777" w:rsidR="009409F1" w:rsidRPr="005A3F47" w:rsidRDefault="009409F1" w:rsidP="000E3086">
      <w:pPr>
        <w:rPr>
          <w:noProof/>
        </w:rPr>
      </w:pPr>
    </w:p>
    <w:p w14:paraId="5B247505" w14:textId="77777777" w:rsidR="00CF5C52" w:rsidRPr="005A3F47" w:rsidRDefault="00CF5C52">
      <w:pPr>
        <w:spacing w:after="200" w:line="276" w:lineRule="auto"/>
        <w:jc w:val="left"/>
        <w:rPr>
          <w:rFonts w:eastAsia="Times New Roman"/>
          <w:b/>
          <w:smallCaps/>
          <w:noProof/>
          <w:sz w:val="32"/>
          <w:szCs w:val="20"/>
        </w:rPr>
      </w:pPr>
      <w:r w:rsidRPr="005A3F47">
        <w:rPr>
          <w:noProof/>
        </w:rPr>
        <w:br w:type="page"/>
      </w:r>
    </w:p>
    <w:p w14:paraId="6A4420AA" w14:textId="2EED2801" w:rsidR="006B087E" w:rsidRPr="005A3F47" w:rsidRDefault="006B087E" w:rsidP="00C22AB4">
      <w:pPr>
        <w:pStyle w:val="AnnexTitle"/>
        <w:rPr>
          <w:noProof/>
        </w:rPr>
      </w:pPr>
      <w:bookmarkStart w:id="358" w:name="_Toc226466619"/>
      <w:bookmarkStart w:id="359" w:name="_Toc226466870"/>
      <w:bookmarkStart w:id="360" w:name="_Toc226467231"/>
      <w:bookmarkStart w:id="361" w:name="_Toc226467331"/>
      <w:bookmarkStart w:id="362" w:name="_Toc226467550"/>
      <w:bookmarkStart w:id="363" w:name="_Toc230258084"/>
      <w:r w:rsidRPr="005A3F47">
        <w:rPr>
          <w:noProof/>
        </w:rPr>
        <w:t>Annex 4: Analytical methods</w:t>
      </w:r>
      <w:bookmarkEnd w:id="358"/>
      <w:bookmarkEnd w:id="359"/>
      <w:bookmarkEnd w:id="360"/>
      <w:bookmarkEnd w:id="361"/>
      <w:bookmarkEnd w:id="362"/>
      <w:bookmarkEnd w:id="363"/>
    </w:p>
    <w:p w14:paraId="730C6D62" w14:textId="2E41D493" w:rsidR="00421C26" w:rsidRPr="005A3F47" w:rsidRDefault="00C12C78" w:rsidP="00C12C78">
      <w:pPr>
        <w:pStyle w:val="Heading2"/>
        <w:rPr>
          <w:noProof/>
        </w:rPr>
      </w:pPr>
      <w:bookmarkStart w:id="364" w:name="_Toc226466620"/>
      <w:bookmarkStart w:id="365" w:name="_Toc226466871"/>
      <w:bookmarkStart w:id="366" w:name="_Toc226467232"/>
      <w:bookmarkStart w:id="367" w:name="_Toc226467332"/>
      <w:bookmarkStart w:id="368" w:name="_Toc226467551"/>
      <w:r w:rsidRPr="005A3F47">
        <w:rPr>
          <w:noProof/>
        </w:rPr>
        <w:t xml:space="preserve">1. </w:t>
      </w:r>
      <w:r w:rsidR="004A47AA" w:rsidRPr="005A3F47">
        <w:rPr>
          <w:noProof/>
        </w:rPr>
        <w:t>General remarks about compliance costs per MNE group</w:t>
      </w:r>
      <w:bookmarkEnd w:id="364"/>
      <w:bookmarkEnd w:id="365"/>
      <w:bookmarkEnd w:id="366"/>
      <w:bookmarkEnd w:id="367"/>
      <w:bookmarkEnd w:id="368"/>
    </w:p>
    <w:p w14:paraId="46034078" w14:textId="4714D782" w:rsidR="00311FDA" w:rsidRPr="005A3F47" w:rsidRDefault="004F3CC1" w:rsidP="00C12C78">
      <w:pPr>
        <w:rPr>
          <w:noProof/>
        </w:rPr>
      </w:pPr>
      <w:r w:rsidRPr="005A3F47">
        <w:rPr>
          <w:noProof/>
        </w:rPr>
        <w:t>It should be strongly noted that there is a general</w:t>
      </w:r>
      <w:r w:rsidR="00655FB3" w:rsidRPr="005A3F47">
        <w:rPr>
          <w:noProof/>
        </w:rPr>
        <w:t xml:space="preserve"> absence of </w:t>
      </w:r>
      <w:r w:rsidR="00D1669E" w:rsidRPr="005A3F47">
        <w:rPr>
          <w:noProof/>
        </w:rPr>
        <w:t xml:space="preserve">reliable statistics about the level of </w:t>
      </w:r>
      <w:r w:rsidR="005566FA" w:rsidRPr="005A3F47">
        <w:rPr>
          <w:noProof/>
        </w:rPr>
        <w:t>ATAD-related tax compliance costs for MNEs</w:t>
      </w:r>
      <w:r w:rsidRPr="005A3F47">
        <w:rPr>
          <w:noProof/>
        </w:rPr>
        <w:t>. The</w:t>
      </w:r>
      <w:r w:rsidR="00111F8B" w:rsidRPr="005A3F47">
        <w:rPr>
          <w:noProof/>
        </w:rPr>
        <w:t>refore, the</w:t>
      </w:r>
      <w:r w:rsidRPr="005A3F47">
        <w:rPr>
          <w:noProof/>
        </w:rPr>
        <w:t xml:space="preserve"> analysis presented in this impact assessment and the methodological approaches </w:t>
      </w:r>
      <w:r w:rsidR="003F0E43" w:rsidRPr="005A3F47">
        <w:rPr>
          <w:noProof/>
        </w:rPr>
        <w:t>explained in detail</w:t>
      </w:r>
      <w:r w:rsidRPr="005A3F47">
        <w:rPr>
          <w:noProof/>
        </w:rPr>
        <w:t xml:space="preserve"> in this Annex</w:t>
      </w:r>
      <w:r w:rsidR="00B60844" w:rsidRPr="005A3F47">
        <w:rPr>
          <w:noProof/>
        </w:rPr>
        <w:t xml:space="preserve"> rely </w:t>
      </w:r>
      <w:r w:rsidR="009A36EA" w:rsidRPr="005A3F47">
        <w:rPr>
          <w:noProof/>
        </w:rPr>
        <w:t xml:space="preserve">on information received from </w:t>
      </w:r>
      <w:r w:rsidR="00906EB8" w:rsidRPr="005A3F47">
        <w:rPr>
          <w:noProof/>
        </w:rPr>
        <w:t>stakeholder in</w:t>
      </w:r>
      <w:r w:rsidR="000325C4" w:rsidRPr="005A3F47">
        <w:rPr>
          <w:noProof/>
        </w:rPr>
        <w:t>t</w:t>
      </w:r>
      <w:r w:rsidR="00906EB8" w:rsidRPr="005A3F47">
        <w:rPr>
          <w:noProof/>
        </w:rPr>
        <w:t>erviews</w:t>
      </w:r>
      <w:r w:rsidR="00D30A24" w:rsidRPr="005A3F47">
        <w:rPr>
          <w:noProof/>
        </w:rPr>
        <w:t xml:space="preserve"> in the context of a related study carried out for the European Commission</w:t>
      </w:r>
      <w:r w:rsidR="000325C4" w:rsidRPr="005A3F47">
        <w:rPr>
          <w:noProof/>
        </w:rPr>
        <w:t xml:space="preserve"> in 2025</w:t>
      </w:r>
      <w:r w:rsidR="00D30A24" w:rsidRPr="005A3F47">
        <w:rPr>
          <w:noProof/>
        </w:rPr>
        <w:t>. The study concludes</w:t>
      </w:r>
      <w:r w:rsidR="006402B0" w:rsidRPr="005A3F47">
        <w:rPr>
          <w:noProof/>
        </w:rPr>
        <w:t xml:space="preserve"> that</w:t>
      </w:r>
      <w:r w:rsidR="00D30A24" w:rsidRPr="005A3F47">
        <w:rPr>
          <w:noProof/>
        </w:rPr>
        <w:t>:</w:t>
      </w:r>
    </w:p>
    <w:p w14:paraId="573F6E79" w14:textId="6961F63B" w:rsidR="004105A0" w:rsidRPr="005A3F47" w:rsidRDefault="004105A0" w:rsidP="00C12C78">
      <w:pPr>
        <w:rPr>
          <w:noProof/>
        </w:rPr>
      </w:pPr>
      <w:r w:rsidRPr="005A3F47">
        <w:rPr>
          <w:rFonts w:eastAsiaTheme="minorEastAsia"/>
          <w:noProof/>
        </w:rPr>
        <w:t>“Costs for large and more complex companies for which rules are relevant can be higher, although often hard to disaggregate from compliance with other EU provisions, typically managed by the same offices or teams. With the exception of one outlier, costs are in the order of EUR 100,000 per year</w:t>
      </w:r>
      <w:r w:rsidR="00713032" w:rsidRPr="005A3F47">
        <w:rPr>
          <w:rFonts w:eastAsiaTheme="minorEastAsia"/>
          <w:noProof/>
        </w:rPr>
        <w:t xml:space="preserve"> at the level of an MNE group</w:t>
      </w:r>
      <w:r w:rsidRPr="005A3F47">
        <w:rPr>
          <w:rFonts w:eastAsiaTheme="minorEastAsia"/>
          <w:noProof/>
        </w:rPr>
        <w:t xml:space="preserve"> (corresponding to two-three full-time staff dedicated to ATAD compliance).</w:t>
      </w:r>
      <w:r w:rsidR="00B1289C" w:rsidRPr="005A3F47">
        <w:rPr>
          <w:rFonts w:eastAsiaTheme="minorEastAsia"/>
          <w:noProof/>
        </w:rPr>
        <w:t>”</w:t>
      </w:r>
      <w:r w:rsidR="00337C09" w:rsidRPr="005A3F47">
        <w:rPr>
          <w:rStyle w:val="FootnoteReference"/>
          <w:rFonts w:eastAsiaTheme="minorEastAsia"/>
          <w:noProof/>
          <w:sz w:val="22"/>
          <w:szCs w:val="22"/>
        </w:rPr>
        <w:t xml:space="preserve"> </w:t>
      </w:r>
      <w:r w:rsidR="00337C09" w:rsidRPr="005A3F47">
        <w:rPr>
          <w:rStyle w:val="FootnoteReference"/>
          <w:noProof/>
          <w:sz w:val="22"/>
          <w:szCs w:val="22"/>
        </w:rPr>
        <w:footnoteReference w:id="121"/>
      </w:r>
    </w:p>
    <w:p w14:paraId="295FFEE2" w14:textId="58A292E3" w:rsidR="007E57C0" w:rsidRPr="00266412" w:rsidRDefault="00446598" w:rsidP="004E4ECC">
      <w:pPr>
        <w:rPr>
          <w:noProof/>
        </w:rPr>
      </w:pPr>
      <w:r w:rsidRPr="005A3F47">
        <w:rPr>
          <w:noProof/>
        </w:rPr>
        <w:t>For the purposes of analysing the impact of several possible measures, it</w:t>
      </w:r>
      <w:r w:rsidR="009B08BC" w:rsidRPr="005A3F47">
        <w:rPr>
          <w:noProof/>
        </w:rPr>
        <w:t xml:space="preserve"> is </w:t>
      </w:r>
      <w:r w:rsidR="00B1459D" w:rsidRPr="005A3F47">
        <w:rPr>
          <w:noProof/>
        </w:rPr>
        <w:t xml:space="preserve">thus </w:t>
      </w:r>
      <w:r w:rsidR="009B08BC" w:rsidRPr="005A3F47">
        <w:rPr>
          <w:noProof/>
        </w:rPr>
        <w:t>assumed</w:t>
      </w:r>
      <w:r w:rsidR="004E60CA" w:rsidRPr="005A3F47">
        <w:rPr>
          <w:noProof/>
        </w:rPr>
        <w:t xml:space="preserve"> that, at </w:t>
      </w:r>
      <w:r w:rsidR="00E6308C" w:rsidRPr="005A3F47">
        <w:rPr>
          <w:noProof/>
        </w:rPr>
        <w:t xml:space="preserve">the level of large </w:t>
      </w:r>
      <w:r w:rsidR="004E60CA" w:rsidRPr="005A3F47">
        <w:rPr>
          <w:noProof/>
        </w:rPr>
        <w:t>group</w:t>
      </w:r>
      <w:r w:rsidR="00E6308C" w:rsidRPr="005A3F47">
        <w:rPr>
          <w:noProof/>
        </w:rPr>
        <w:t>s</w:t>
      </w:r>
      <w:r w:rsidR="0053091E" w:rsidRPr="005A3F47">
        <w:rPr>
          <w:noProof/>
        </w:rPr>
        <w:t xml:space="preserve">, </w:t>
      </w:r>
      <w:r w:rsidR="004E60CA" w:rsidRPr="005A3F47">
        <w:rPr>
          <w:noProof/>
        </w:rPr>
        <w:t xml:space="preserve">ATAD related activities do </w:t>
      </w:r>
      <w:r w:rsidR="00BA5E0C" w:rsidRPr="005A3F47">
        <w:rPr>
          <w:noProof/>
        </w:rPr>
        <w:t>incur compliance costs</w:t>
      </w:r>
      <w:r w:rsidR="00B05CA2" w:rsidRPr="005A3F47">
        <w:rPr>
          <w:noProof/>
        </w:rPr>
        <w:t xml:space="preserve"> at the level of EUR 100,000 per year</w:t>
      </w:r>
      <w:r w:rsidR="00990743" w:rsidRPr="005A3F47">
        <w:rPr>
          <w:noProof/>
        </w:rPr>
        <w:t xml:space="preserve"> if the respective measure affects large </w:t>
      </w:r>
      <w:r w:rsidR="00E76948" w:rsidRPr="005A3F47">
        <w:rPr>
          <w:noProof/>
        </w:rPr>
        <w:t>groups</w:t>
      </w:r>
      <w:r w:rsidR="007D1494" w:rsidRPr="005A3F47">
        <w:rPr>
          <w:noProof/>
        </w:rPr>
        <w:t>, especially those subject to Pillar 2</w:t>
      </w:r>
      <w:r w:rsidR="00B05CA2" w:rsidRPr="005A3F47">
        <w:rPr>
          <w:noProof/>
        </w:rPr>
        <w:t>.</w:t>
      </w:r>
      <w:r w:rsidR="00D440A6" w:rsidRPr="005A3F47">
        <w:rPr>
          <w:noProof/>
        </w:rPr>
        <w:t xml:space="preserve"> </w:t>
      </w:r>
      <w:r w:rsidR="00247DBA" w:rsidRPr="005A3F47">
        <w:rPr>
          <w:noProof/>
        </w:rPr>
        <w:t>If the measure is broader, or affects</w:t>
      </w:r>
      <w:r w:rsidR="00E76948" w:rsidRPr="005A3F47">
        <w:rPr>
          <w:noProof/>
        </w:rPr>
        <w:t xml:space="preserve"> smaller </w:t>
      </w:r>
      <w:r w:rsidR="00247DBA" w:rsidRPr="005A3F47">
        <w:rPr>
          <w:noProof/>
        </w:rPr>
        <w:t>MNEs</w:t>
      </w:r>
      <w:r w:rsidR="00C45B90" w:rsidRPr="005A3F47">
        <w:rPr>
          <w:noProof/>
        </w:rPr>
        <w:t xml:space="preserve"> in particular,</w:t>
      </w:r>
      <w:r w:rsidR="00232411" w:rsidRPr="005A3F47">
        <w:rPr>
          <w:noProof/>
        </w:rPr>
        <w:t xml:space="preserve"> one third of this amount is assumed (about EUR 33,000). </w:t>
      </w:r>
      <w:r w:rsidR="008D7C45" w:rsidRPr="005A3F47">
        <w:rPr>
          <w:noProof/>
        </w:rPr>
        <w:t xml:space="preserve">As the </w:t>
      </w:r>
      <w:r w:rsidR="007008D0" w:rsidRPr="005A3F47">
        <w:rPr>
          <w:noProof/>
        </w:rPr>
        <w:t>study</w:t>
      </w:r>
      <w:r w:rsidR="008D7C45" w:rsidRPr="005A3F47">
        <w:rPr>
          <w:noProof/>
        </w:rPr>
        <w:t xml:space="preserve"> confirms, n</w:t>
      </w:r>
      <w:r w:rsidR="0055154B" w:rsidRPr="005A3F47">
        <w:rPr>
          <w:noProof/>
        </w:rPr>
        <w:t xml:space="preserve">o </w:t>
      </w:r>
      <w:r w:rsidR="008D7C45" w:rsidRPr="005A3F47">
        <w:rPr>
          <w:noProof/>
        </w:rPr>
        <w:t xml:space="preserve">empirical information is available concerning how these costs can be disaggregated </w:t>
      </w:r>
      <w:r w:rsidR="00A60841" w:rsidRPr="005A3F47">
        <w:rPr>
          <w:noProof/>
        </w:rPr>
        <w:t xml:space="preserve">to the single ATAD components. </w:t>
      </w:r>
      <w:r w:rsidR="00375450" w:rsidRPr="005A3F47">
        <w:rPr>
          <w:noProof/>
        </w:rPr>
        <w:t>Given these limitations, i</w:t>
      </w:r>
      <w:r w:rsidR="003C17FD" w:rsidRPr="005A3F47">
        <w:rPr>
          <w:noProof/>
        </w:rPr>
        <w:t xml:space="preserve">t is </w:t>
      </w:r>
      <w:r w:rsidR="00484309" w:rsidRPr="005A3F47">
        <w:rPr>
          <w:noProof/>
        </w:rPr>
        <w:t>thus</w:t>
      </w:r>
      <w:r w:rsidR="003C17FD" w:rsidRPr="005A3F47">
        <w:rPr>
          <w:noProof/>
        </w:rPr>
        <w:t xml:space="preserve"> assumed that </w:t>
      </w:r>
      <w:r w:rsidR="00580C17" w:rsidRPr="005A3F47">
        <w:rPr>
          <w:noProof/>
        </w:rPr>
        <w:t xml:space="preserve">CFC and ILR rules make up one third of </w:t>
      </w:r>
      <w:r w:rsidR="00580C17" w:rsidRPr="00266412">
        <w:rPr>
          <w:noProof/>
        </w:rPr>
        <w:t>these costs</w:t>
      </w:r>
      <w:r w:rsidR="00BC4932" w:rsidRPr="00266412">
        <w:rPr>
          <w:noProof/>
        </w:rPr>
        <w:t xml:space="preserve"> each</w:t>
      </w:r>
      <w:r w:rsidR="008875C6" w:rsidRPr="00266412">
        <w:rPr>
          <w:noProof/>
        </w:rPr>
        <w:t xml:space="preserve">, given the </w:t>
      </w:r>
      <w:r w:rsidR="00987AD3" w:rsidRPr="00266412">
        <w:rPr>
          <w:noProof/>
        </w:rPr>
        <w:t>importance and complexity of each of these rules</w:t>
      </w:r>
      <w:r w:rsidR="00580C17" w:rsidRPr="00266412">
        <w:rPr>
          <w:noProof/>
        </w:rPr>
        <w:t>.</w:t>
      </w:r>
      <w:r w:rsidR="00B3302D" w:rsidRPr="00266412">
        <w:rPr>
          <w:noProof/>
        </w:rPr>
        <w:t xml:space="preserve"> </w:t>
      </w:r>
    </w:p>
    <w:p w14:paraId="22604E2A" w14:textId="11B2180A" w:rsidR="008F4F6B" w:rsidRPr="00266412" w:rsidRDefault="007333ED" w:rsidP="004E4ECC">
      <w:pPr>
        <w:rPr>
          <w:noProof/>
        </w:rPr>
      </w:pPr>
      <w:r w:rsidRPr="00266412">
        <w:rPr>
          <w:noProof/>
        </w:rPr>
        <w:t>B</w:t>
      </w:r>
      <w:r w:rsidR="00376E78" w:rsidRPr="00266412">
        <w:rPr>
          <w:noProof/>
        </w:rPr>
        <w:t xml:space="preserve">y-and-large, </w:t>
      </w:r>
      <w:r w:rsidR="00A95202" w:rsidRPr="00266412">
        <w:rPr>
          <w:noProof/>
        </w:rPr>
        <w:t xml:space="preserve">the ATAD </w:t>
      </w:r>
      <w:r w:rsidR="00D579C3" w:rsidRPr="00266412">
        <w:rPr>
          <w:noProof/>
        </w:rPr>
        <w:t>consists of five rules</w:t>
      </w:r>
      <w:r w:rsidR="00CC2777" w:rsidRPr="00266412">
        <w:rPr>
          <w:noProof/>
        </w:rPr>
        <w:t>.</w:t>
      </w:r>
      <w:r w:rsidR="00D579C3" w:rsidRPr="00266412">
        <w:rPr>
          <w:noProof/>
        </w:rPr>
        <w:t xml:space="preserve"> </w:t>
      </w:r>
      <w:r w:rsidR="00CC2777" w:rsidRPr="00266412">
        <w:rPr>
          <w:noProof/>
        </w:rPr>
        <w:t>I</w:t>
      </w:r>
      <w:r w:rsidR="00D579C3" w:rsidRPr="00266412">
        <w:rPr>
          <w:noProof/>
        </w:rPr>
        <w:t xml:space="preserve">n principle </w:t>
      </w:r>
      <w:r w:rsidR="008500AE" w:rsidRPr="00266412">
        <w:rPr>
          <w:noProof/>
        </w:rPr>
        <w:t xml:space="preserve">it could </w:t>
      </w:r>
      <w:r w:rsidRPr="00266412">
        <w:rPr>
          <w:noProof/>
        </w:rPr>
        <w:t>thus</w:t>
      </w:r>
      <w:r w:rsidR="008500AE" w:rsidRPr="00266412">
        <w:rPr>
          <w:noProof/>
        </w:rPr>
        <w:t xml:space="preserve"> be assumed that each rule accounts for one fifth of the compliance costs, in absence of further information. However,</w:t>
      </w:r>
      <w:r w:rsidR="00A95202" w:rsidRPr="00266412">
        <w:rPr>
          <w:noProof/>
        </w:rPr>
        <w:t xml:space="preserve"> </w:t>
      </w:r>
      <w:r w:rsidR="008500AE" w:rsidRPr="00266412">
        <w:rPr>
          <w:noProof/>
        </w:rPr>
        <w:t>the ILR and CFC rules both</w:t>
      </w:r>
      <w:r w:rsidR="00150E5A" w:rsidRPr="00266412">
        <w:rPr>
          <w:noProof/>
        </w:rPr>
        <w:t xml:space="preserve"> have been </w:t>
      </w:r>
      <w:r w:rsidR="0025138E" w:rsidRPr="00266412">
        <w:rPr>
          <w:noProof/>
        </w:rPr>
        <w:t>brought forward predominantly by stakeholders in the targeted consultations as presenting</w:t>
      </w:r>
      <w:r w:rsidR="008500AE" w:rsidRPr="00266412">
        <w:rPr>
          <w:noProof/>
        </w:rPr>
        <w:t xml:space="preserve"> </w:t>
      </w:r>
      <w:r w:rsidR="0025138E" w:rsidRPr="00266412">
        <w:rPr>
          <w:noProof/>
        </w:rPr>
        <w:t>concerns</w:t>
      </w:r>
      <w:r w:rsidR="00DE3F09" w:rsidRPr="00266412">
        <w:rPr>
          <w:noProof/>
        </w:rPr>
        <w:t xml:space="preserve"> and </w:t>
      </w:r>
      <w:r w:rsidR="007F3FFF" w:rsidRPr="00266412">
        <w:rPr>
          <w:noProof/>
        </w:rPr>
        <w:t xml:space="preserve">both </w:t>
      </w:r>
      <w:r w:rsidR="00206A52" w:rsidRPr="00266412">
        <w:rPr>
          <w:noProof/>
        </w:rPr>
        <w:t>have a wide scope of application</w:t>
      </w:r>
      <w:r w:rsidR="00E84A1C" w:rsidRPr="00266412">
        <w:rPr>
          <w:noProof/>
        </w:rPr>
        <w:t xml:space="preserve">, compared to other </w:t>
      </w:r>
      <w:r w:rsidR="007F3FFF" w:rsidRPr="00266412">
        <w:rPr>
          <w:noProof/>
        </w:rPr>
        <w:t>rules</w:t>
      </w:r>
      <w:r w:rsidR="00E84A1C" w:rsidRPr="00266412">
        <w:rPr>
          <w:noProof/>
        </w:rPr>
        <w:t xml:space="preserve"> of the ATAD (e.g. the hybrid mismatch rules concern specific cases </w:t>
      </w:r>
      <w:r w:rsidR="00840700" w:rsidRPr="00266412">
        <w:rPr>
          <w:noProof/>
        </w:rPr>
        <w:t>depending on the legislation</w:t>
      </w:r>
      <w:r w:rsidR="00A72AFB" w:rsidRPr="00266412">
        <w:rPr>
          <w:noProof/>
        </w:rPr>
        <w:t xml:space="preserve"> gaps between different legal orders; exit taxation concerns specific transactions</w:t>
      </w:r>
      <w:r w:rsidR="0064401E" w:rsidRPr="00266412">
        <w:rPr>
          <w:noProof/>
        </w:rPr>
        <w:t>)</w:t>
      </w:r>
      <w:r w:rsidR="004D4FEA" w:rsidRPr="00266412">
        <w:rPr>
          <w:noProof/>
        </w:rPr>
        <w:t xml:space="preserve">. </w:t>
      </w:r>
    </w:p>
    <w:p w14:paraId="0372EF1F" w14:textId="77777777" w:rsidR="008F4F6B" w:rsidRPr="00266412" w:rsidRDefault="004D4FEA" w:rsidP="004E4ECC">
      <w:pPr>
        <w:rPr>
          <w:noProof/>
        </w:rPr>
      </w:pPr>
      <w:r w:rsidRPr="00266412">
        <w:rPr>
          <w:noProof/>
        </w:rPr>
        <w:t xml:space="preserve">In terms of volume and tax revenues at stake, the ILR </w:t>
      </w:r>
      <w:r w:rsidR="007F3FFF" w:rsidRPr="00266412">
        <w:rPr>
          <w:noProof/>
        </w:rPr>
        <w:t>would also appear as</w:t>
      </w:r>
      <w:r w:rsidRPr="00266412">
        <w:rPr>
          <w:noProof/>
        </w:rPr>
        <w:t xml:space="preserve"> most significant, which can be an additional indication that firms </w:t>
      </w:r>
      <w:r w:rsidR="00A10E44" w:rsidRPr="00266412">
        <w:rPr>
          <w:noProof/>
        </w:rPr>
        <w:t xml:space="preserve">may dedicate </w:t>
      </w:r>
      <w:r w:rsidR="007F3FFF" w:rsidRPr="00266412">
        <w:rPr>
          <w:noProof/>
        </w:rPr>
        <w:t>more</w:t>
      </w:r>
      <w:r w:rsidR="002E2BDF" w:rsidRPr="00266412">
        <w:rPr>
          <w:noProof/>
        </w:rPr>
        <w:t xml:space="preserve"> attention and efforts to it. Similarly, the CFC rules require </w:t>
      </w:r>
      <w:r w:rsidR="00221FFF" w:rsidRPr="00266412">
        <w:rPr>
          <w:noProof/>
        </w:rPr>
        <w:t xml:space="preserve">identifying ownership structures and </w:t>
      </w:r>
      <w:r w:rsidR="000F29BF" w:rsidRPr="00266412">
        <w:rPr>
          <w:noProof/>
        </w:rPr>
        <w:t xml:space="preserve">analysis </w:t>
      </w:r>
      <w:r w:rsidR="00610D72" w:rsidRPr="00266412">
        <w:rPr>
          <w:noProof/>
        </w:rPr>
        <w:t>of the operations and balance sheet of each relevant entity</w:t>
      </w:r>
      <w:r w:rsidR="008D1948" w:rsidRPr="00266412">
        <w:rPr>
          <w:noProof/>
        </w:rPr>
        <w:t>,</w:t>
      </w:r>
      <w:r w:rsidR="00DE2C56" w:rsidRPr="00266412">
        <w:rPr>
          <w:noProof/>
        </w:rPr>
        <w:t xml:space="preserve"> differentiating between different types of income and identifying relevant substance,</w:t>
      </w:r>
      <w:r w:rsidR="008D1948" w:rsidRPr="00266412">
        <w:rPr>
          <w:noProof/>
        </w:rPr>
        <w:t xml:space="preserve"> in order to </w:t>
      </w:r>
      <w:r w:rsidR="00DE2C56" w:rsidRPr="00266412">
        <w:rPr>
          <w:noProof/>
        </w:rPr>
        <w:t>determine whether and to what</w:t>
      </w:r>
      <w:r w:rsidR="001F374E" w:rsidRPr="00266412">
        <w:rPr>
          <w:noProof/>
        </w:rPr>
        <w:t xml:space="preserve"> extent </w:t>
      </w:r>
      <w:r w:rsidR="00EC5BA5" w:rsidRPr="00266412">
        <w:rPr>
          <w:noProof/>
        </w:rPr>
        <w:t xml:space="preserve">income should be attributed to other entities. </w:t>
      </w:r>
    </w:p>
    <w:p w14:paraId="637C82BF" w14:textId="08D27B1F" w:rsidR="00DB0EBB" w:rsidRPr="00266412" w:rsidRDefault="00A20BE0" w:rsidP="00A3764D">
      <w:pPr>
        <w:rPr>
          <w:noProof/>
        </w:rPr>
      </w:pPr>
      <w:r w:rsidRPr="00266412">
        <w:rPr>
          <w:noProof/>
        </w:rPr>
        <w:t xml:space="preserve">The other rules of the ATAD are less comprehensive. </w:t>
      </w:r>
      <w:r w:rsidR="00A3764D" w:rsidRPr="00266412">
        <w:rPr>
          <w:noProof/>
        </w:rPr>
        <w:t xml:space="preserve">Moreover, </w:t>
      </w:r>
      <w:r w:rsidR="00A3764D" w:rsidRPr="00266412">
        <w:rPr>
          <w:noProof/>
          <w:u w:val="single"/>
        </w:rPr>
        <w:t>b</w:t>
      </w:r>
      <w:r w:rsidR="004E4ECC" w:rsidRPr="00266412">
        <w:rPr>
          <w:noProof/>
        </w:rPr>
        <w:t>oth ILR and CFC</w:t>
      </w:r>
      <w:r w:rsidR="00DA57B7" w:rsidRPr="00266412">
        <w:rPr>
          <w:noProof/>
        </w:rPr>
        <w:t xml:space="preserve"> rules </w:t>
      </w:r>
      <w:r w:rsidR="008E49E9" w:rsidRPr="00266412">
        <w:rPr>
          <w:noProof/>
        </w:rPr>
        <w:t xml:space="preserve">impose </w:t>
      </w:r>
      <w:r w:rsidR="004E4ECC" w:rsidRPr="00266412">
        <w:rPr>
          <w:noProof/>
        </w:rPr>
        <w:t xml:space="preserve">ongoing </w:t>
      </w:r>
      <w:r w:rsidR="008E49E9" w:rsidRPr="00266412">
        <w:rPr>
          <w:noProof/>
        </w:rPr>
        <w:t xml:space="preserve">obligations </w:t>
      </w:r>
      <w:r w:rsidR="00184E82" w:rsidRPr="00266412">
        <w:rPr>
          <w:noProof/>
        </w:rPr>
        <w:t xml:space="preserve">on firms. </w:t>
      </w:r>
      <w:r w:rsidR="00B87BE0" w:rsidRPr="00266412">
        <w:rPr>
          <w:noProof/>
        </w:rPr>
        <w:t xml:space="preserve">The other ATAD </w:t>
      </w:r>
      <w:r w:rsidR="00313AF7" w:rsidRPr="00266412">
        <w:rPr>
          <w:noProof/>
        </w:rPr>
        <w:t>rules</w:t>
      </w:r>
      <w:r w:rsidR="00B87BE0" w:rsidRPr="00266412">
        <w:rPr>
          <w:noProof/>
        </w:rPr>
        <w:t xml:space="preserve"> </w:t>
      </w:r>
      <w:r w:rsidR="00395D64" w:rsidRPr="00266412">
        <w:rPr>
          <w:noProof/>
        </w:rPr>
        <w:t xml:space="preserve">can also be </w:t>
      </w:r>
      <w:r w:rsidR="00DD178F" w:rsidRPr="00266412">
        <w:rPr>
          <w:noProof/>
        </w:rPr>
        <w:t>complex</w:t>
      </w:r>
      <w:r w:rsidR="001970DE" w:rsidRPr="00266412">
        <w:rPr>
          <w:noProof/>
        </w:rPr>
        <w:t xml:space="preserve">. </w:t>
      </w:r>
      <w:r w:rsidR="002D054A" w:rsidRPr="00266412">
        <w:rPr>
          <w:noProof/>
        </w:rPr>
        <w:t>Y</w:t>
      </w:r>
      <w:r w:rsidR="001970DE" w:rsidRPr="00266412">
        <w:rPr>
          <w:noProof/>
        </w:rPr>
        <w:t>et</w:t>
      </w:r>
      <w:r w:rsidR="00CE1914" w:rsidRPr="00266412">
        <w:rPr>
          <w:noProof/>
        </w:rPr>
        <w:t>,</w:t>
      </w:r>
      <w:r w:rsidR="0045772E" w:rsidRPr="00266412">
        <w:rPr>
          <w:noProof/>
        </w:rPr>
        <w:t xml:space="preserve"> </w:t>
      </w:r>
      <w:r w:rsidR="00892951" w:rsidRPr="00266412">
        <w:rPr>
          <w:noProof/>
        </w:rPr>
        <w:t xml:space="preserve">on average they </w:t>
      </w:r>
      <w:r w:rsidR="009A6E73" w:rsidRPr="00266412">
        <w:rPr>
          <w:noProof/>
        </w:rPr>
        <w:t xml:space="preserve">likely </w:t>
      </w:r>
      <w:r w:rsidR="00DB0EBB" w:rsidRPr="00266412">
        <w:rPr>
          <w:noProof/>
        </w:rPr>
        <w:t xml:space="preserve">cause lower compliance costs because: </w:t>
      </w:r>
    </w:p>
    <w:p w14:paraId="33AAC0BE" w14:textId="77777777" w:rsidR="002A5FD9" w:rsidRPr="00266412" w:rsidRDefault="009D6C0E" w:rsidP="00DE6B6A">
      <w:pPr>
        <w:pStyle w:val="ListParagraph"/>
        <w:numPr>
          <w:ilvl w:val="0"/>
          <w:numId w:val="234"/>
        </w:numPr>
        <w:rPr>
          <w:noProof/>
        </w:rPr>
      </w:pPr>
      <w:r w:rsidRPr="00266412">
        <w:rPr>
          <w:noProof/>
        </w:rPr>
        <w:t>T</w:t>
      </w:r>
      <w:r w:rsidR="001970DE" w:rsidRPr="00266412">
        <w:rPr>
          <w:noProof/>
        </w:rPr>
        <w:t>he</w:t>
      </w:r>
      <w:r w:rsidR="007D6B78" w:rsidRPr="00266412">
        <w:rPr>
          <w:noProof/>
        </w:rPr>
        <w:t>ir likelihood of</w:t>
      </w:r>
      <w:r w:rsidR="007C787A" w:rsidRPr="00266412">
        <w:rPr>
          <w:noProof/>
        </w:rPr>
        <w:t xml:space="preserve"> impos</w:t>
      </w:r>
      <w:r w:rsidR="007D6B78" w:rsidRPr="00266412">
        <w:rPr>
          <w:noProof/>
        </w:rPr>
        <w:t>ing</w:t>
      </w:r>
      <w:r w:rsidR="007C787A" w:rsidRPr="00266412">
        <w:rPr>
          <w:noProof/>
        </w:rPr>
        <w:t xml:space="preserve"> </w:t>
      </w:r>
      <w:r w:rsidR="00B96EC1" w:rsidRPr="00266412">
        <w:rPr>
          <w:noProof/>
        </w:rPr>
        <w:t xml:space="preserve">an </w:t>
      </w:r>
      <w:r w:rsidR="007C787A" w:rsidRPr="00266412">
        <w:rPr>
          <w:noProof/>
        </w:rPr>
        <w:t xml:space="preserve">ongoing compliance burden </w:t>
      </w:r>
      <w:r w:rsidR="007D6B78" w:rsidRPr="00266412">
        <w:rPr>
          <w:noProof/>
        </w:rPr>
        <w:t xml:space="preserve">is lower </w:t>
      </w:r>
      <w:r w:rsidR="007C787A" w:rsidRPr="00266412">
        <w:rPr>
          <w:noProof/>
        </w:rPr>
        <w:t xml:space="preserve">as they are </w:t>
      </w:r>
      <w:r w:rsidR="0057603E" w:rsidRPr="00266412">
        <w:rPr>
          <w:noProof/>
        </w:rPr>
        <w:t>triggered by events</w:t>
      </w:r>
      <w:r w:rsidR="00464636" w:rsidRPr="00266412">
        <w:rPr>
          <w:noProof/>
        </w:rPr>
        <w:t xml:space="preserve"> (transactions)</w:t>
      </w:r>
      <w:r w:rsidR="008756F0" w:rsidRPr="00266412">
        <w:rPr>
          <w:noProof/>
        </w:rPr>
        <w:t xml:space="preserve">. </w:t>
      </w:r>
    </w:p>
    <w:p w14:paraId="7604CE8A" w14:textId="0A869F83" w:rsidR="002A5FD9" w:rsidRPr="00266412" w:rsidRDefault="002D054A" w:rsidP="00DE6B6A">
      <w:pPr>
        <w:pStyle w:val="ListParagraph"/>
        <w:numPr>
          <w:ilvl w:val="0"/>
          <w:numId w:val="234"/>
        </w:numPr>
        <w:rPr>
          <w:noProof/>
        </w:rPr>
      </w:pPr>
      <w:r w:rsidRPr="00266412">
        <w:rPr>
          <w:noProof/>
        </w:rPr>
        <w:t>T</w:t>
      </w:r>
      <w:r w:rsidR="008756F0" w:rsidRPr="00266412">
        <w:rPr>
          <w:noProof/>
        </w:rPr>
        <w:t>hey</w:t>
      </w:r>
      <w:r w:rsidR="00E76A3A" w:rsidRPr="00266412">
        <w:rPr>
          <w:noProof/>
        </w:rPr>
        <w:t xml:space="preserve"> are mostly relevant for </w:t>
      </w:r>
      <w:r w:rsidR="00D60795" w:rsidRPr="00266412">
        <w:rPr>
          <w:noProof/>
        </w:rPr>
        <w:t xml:space="preserve">MNE groups, </w:t>
      </w:r>
      <w:r w:rsidR="00C65E95" w:rsidRPr="00266412">
        <w:rPr>
          <w:noProof/>
        </w:rPr>
        <w:t xml:space="preserve">rather than constituting a permanent </w:t>
      </w:r>
      <w:r w:rsidR="00AC37B4" w:rsidRPr="00266412">
        <w:rPr>
          <w:noProof/>
        </w:rPr>
        <w:t>compliance obligation to a large number of firms.</w:t>
      </w:r>
      <w:r w:rsidR="00D1243D" w:rsidRPr="00266412">
        <w:rPr>
          <w:noProof/>
        </w:rPr>
        <w:t xml:space="preserve"> </w:t>
      </w:r>
    </w:p>
    <w:p w14:paraId="210355DA" w14:textId="104C007C" w:rsidR="0046578A" w:rsidRPr="00266412" w:rsidRDefault="002D054A" w:rsidP="00DE6B6A">
      <w:pPr>
        <w:pStyle w:val="ListParagraph"/>
        <w:numPr>
          <w:ilvl w:val="0"/>
          <w:numId w:val="234"/>
        </w:numPr>
        <w:rPr>
          <w:noProof/>
        </w:rPr>
      </w:pPr>
      <w:r w:rsidRPr="00266412">
        <w:rPr>
          <w:noProof/>
        </w:rPr>
        <w:t>GAAR</w:t>
      </w:r>
      <w:r w:rsidR="00BB66EB" w:rsidRPr="00266412">
        <w:rPr>
          <w:noProof/>
        </w:rPr>
        <w:t>,</w:t>
      </w:r>
      <w:r w:rsidR="0058099D" w:rsidRPr="00266412">
        <w:rPr>
          <w:noProof/>
        </w:rPr>
        <w:t xml:space="preserve"> in particular</w:t>
      </w:r>
      <w:r w:rsidR="00BB66EB" w:rsidRPr="00266412">
        <w:rPr>
          <w:noProof/>
        </w:rPr>
        <w:t>,</w:t>
      </w:r>
      <w:r w:rsidRPr="00266412">
        <w:rPr>
          <w:noProof/>
        </w:rPr>
        <w:t xml:space="preserve"> </w:t>
      </w:r>
      <w:r w:rsidR="00685E41" w:rsidRPr="00266412">
        <w:rPr>
          <w:noProof/>
        </w:rPr>
        <w:t xml:space="preserve">are </w:t>
      </w:r>
      <w:r w:rsidR="00452F61" w:rsidRPr="00266412">
        <w:rPr>
          <w:noProof/>
        </w:rPr>
        <w:t xml:space="preserve">based on broader principles (as opposed to </w:t>
      </w:r>
      <w:r w:rsidR="00194277" w:rsidRPr="00266412">
        <w:rPr>
          <w:noProof/>
        </w:rPr>
        <w:t xml:space="preserve">complex </w:t>
      </w:r>
      <w:r w:rsidR="00685E41" w:rsidRPr="00266412">
        <w:rPr>
          <w:noProof/>
        </w:rPr>
        <w:t>formulaic rules)</w:t>
      </w:r>
      <w:r w:rsidR="006D1ECD" w:rsidRPr="00266412">
        <w:rPr>
          <w:noProof/>
        </w:rPr>
        <w:t xml:space="preserve">. This is why they </w:t>
      </w:r>
      <w:r w:rsidR="00685E41" w:rsidRPr="00266412">
        <w:rPr>
          <w:noProof/>
        </w:rPr>
        <w:t xml:space="preserve">are less likely to trigger </w:t>
      </w:r>
      <w:r w:rsidR="00F37C2E" w:rsidRPr="00266412">
        <w:rPr>
          <w:noProof/>
        </w:rPr>
        <w:t xml:space="preserve">proactive restructuring </w:t>
      </w:r>
      <w:r w:rsidR="00923391" w:rsidRPr="00266412">
        <w:rPr>
          <w:noProof/>
        </w:rPr>
        <w:t xml:space="preserve">and to </w:t>
      </w:r>
      <w:r w:rsidR="000412C0" w:rsidRPr="00266412">
        <w:rPr>
          <w:noProof/>
        </w:rPr>
        <w:t>impos</w:t>
      </w:r>
      <w:r w:rsidR="00923391" w:rsidRPr="00266412">
        <w:rPr>
          <w:noProof/>
        </w:rPr>
        <w:t>e</w:t>
      </w:r>
      <w:r w:rsidR="000412C0" w:rsidRPr="00266412">
        <w:rPr>
          <w:noProof/>
        </w:rPr>
        <w:t xml:space="preserve"> a risk of disputes</w:t>
      </w:r>
      <w:r w:rsidR="00F37C2E" w:rsidRPr="00266412">
        <w:rPr>
          <w:noProof/>
        </w:rPr>
        <w:t xml:space="preserve">. </w:t>
      </w:r>
      <w:r w:rsidR="00D244D2" w:rsidRPr="00266412">
        <w:rPr>
          <w:noProof/>
        </w:rPr>
        <w:t xml:space="preserve"> </w:t>
      </w:r>
    </w:p>
    <w:p w14:paraId="523B665E" w14:textId="0F10CAED" w:rsidR="00132B15" w:rsidRPr="005A3F47" w:rsidRDefault="00D1243D" w:rsidP="00132B15">
      <w:pPr>
        <w:rPr>
          <w:noProof/>
        </w:rPr>
      </w:pPr>
      <w:r w:rsidRPr="005A3F47">
        <w:rPr>
          <w:noProof/>
        </w:rPr>
        <w:t xml:space="preserve">In the absence of </w:t>
      </w:r>
      <w:r w:rsidR="006219E9" w:rsidRPr="005A3F47">
        <w:rPr>
          <w:noProof/>
        </w:rPr>
        <w:t xml:space="preserve">more </w:t>
      </w:r>
      <w:r w:rsidR="0031333C" w:rsidRPr="005A3F47">
        <w:rPr>
          <w:noProof/>
        </w:rPr>
        <w:t>accurate</w:t>
      </w:r>
      <w:r w:rsidR="006219E9" w:rsidRPr="005A3F47">
        <w:rPr>
          <w:noProof/>
        </w:rPr>
        <w:t xml:space="preserve"> information we</w:t>
      </w:r>
      <w:r w:rsidR="0031333C" w:rsidRPr="005A3F47">
        <w:rPr>
          <w:noProof/>
        </w:rPr>
        <w:t xml:space="preserve"> therefore</w:t>
      </w:r>
      <w:r w:rsidR="006219E9" w:rsidRPr="005A3F47">
        <w:rPr>
          <w:noProof/>
        </w:rPr>
        <w:t xml:space="preserve"> apply the informed assumption that ILR and CFC-rules </w:t>
      </w:r>
      <w:r w:rsidR="00F3486B" w:rsidRPr="005A3F47">
        <w:rPr>
          <w:noProof/>
        </w:rPr>
        <w:t>make a share of one third in total ATAD-related compliance costs each</w:t>
      </w:r>
      <w:r w:rsidR="002D6F11" w:rsidRPr="005A3F47">
        <w:rPr>
          <w:noProof/>
        </w:rPr>
        <w:t>, with the other ATAD-elements accounting for the remaining third.</w:t>
      </w:r>
      <w:r w:rsidR="00A82F05" w:rsidRPr="005A3F47">
        <w:rPr>
          <w:noProof/>
        </w:rPr>
        <w:t xml:space="preserve"> </w:t>
      </w:r>
    </w:p>
    <w:p w14:paraId="4122DBE5" w14:textId="77777777" w:rsidR="0031333C" w:rsidRPr="005A3F47" w:rsidRDefault="0031333C" w:rsidP="00132B15">
      <w:pPr>
        <w:rPr>
          <w:noProof/>
        </w:rPr>
      </w:pPr>
    </w:p>
    <w:p w14:paraId="3E93ADCC" w14:textId="73130EA8" w:rsidR="00685B39" w:rsidRPr="005A3F47" w:rsidRDefault="00C12C78" w:rsidP="00C12C78">
      <w:pPr>
        <w:pStyle w:val="Heading2"/>
        <w:rPr>
          <w:noProof/>
        </w:rPr>
      </w:pPr>
      <w:bookmarkStart w:id="369" w:name="_Toc226466621"/>
      <w:bookmarkStart w:id="370" w:name="_Toc226466872"/>
      <w:bookmarkStart w:id="371" w:name="_Toc226467233"/>
      <w:bookmarkStart w:id="372" w:name="_Toc226467333"/>
      <w:bookmarkStart w:id="373" w:name="_Toc226467552"/>
      <w:r w:rsidRPr="005A3F47">
        <w:rPr>
          <w:noProof/>
        </w:rPr>
        <w:t xml:space="preserve">2. </w:t>
      </w:r>
      <w:r w:rsidR="00A528CC" w:rsidRPr="005A3F47">
        <w:rPr>
          <w:noProof/>
        </w:rPr>
        <w:t>Analysis of</w:t>
      </w:r>
      <w:r w:rsidR="00685B39" w:rsidRPr="005A3F47">
        <w:rPr>
          <w:noProof/>
        </w:rPr>
        <w:t xml:space="preserve"> options: tax exemptions for interest, royalty and dividend payments</w:t>
      </w:r>
      <w:bookmarkEnd w:id="369"/>
      <w:bookmarkEnd w:id="370"/>
      <w:bookmarkEnd w:id="371"/>
      <w:bookmarkEnd w:id="372"/>
      <w:bookmarkEnd w:id="373"/>
    </w:p>
    <w:p w14:paraId="0CAF673F" w14:textId="51E36584" w:rsidR="00D76DDA" w:rsidRPr="005A3F47" w:rsidRDefault="001279B2" w:rsidP="009613EB">
      <w:pPr>
        <w:ind w:firstLine="720"/>
        <w:rPr>
          <w:b/>
          <w:noProof/>
        </w:rPr>
      </w:pPr>
      <w:r w:rsidRPr="005A3F47">
        <w:rPr>
          <w:b/>
          <w:noProof/>
        </w:rPr>
        <w:t>Step 1:</w:t>
      </w:r>
      <w:r w:rsidR="00A4766B" w:rsidRPr="005A3F47">
        <w:rPr>
          <w:b/>
          <w:noProof/>
        </w:rPr>
        <w:t xml:space="preserve"> </w:t>
      </w:r>
      <w:r w:rsidR="00D76DDA" w:rsidRPr="005A3F47">
        <w:rPr>
          <w:b/>
          <w:noProof/>
        </w:rPr>
        <w:t xml:space="preserve">Cost characteristics </w:t>
      </w:r>
    </w:p>
    <w:p w14:paraId="1E0C6535" w14:textId="77777777" w:rsidR="00D76DDA" w:rsidRPr="005A3F47" w:rsidRDefault="00D76DDA" w:rsidP="00D76DDA">
      <w:pPr>
        <w:rPr>
          <w:noProof/>
        </w:rPr>
      </w:pPr>
      <w:r w:rsidRPr="005A3F47">
        <w:rPr>
          <w:noProof/>
        </w:rPr>
        <w:t>A tax exemption of cross-border intra-EU payments of interest, royalties and dividends from withholding tax would mean a significant cost reduction for investors. Investors currently have to incur three types of costs when seeking a refund of overpaid withholding taxes. If withholding taxes are set at zero in all Member States (i.e., no tax difference between Member States), these costs would no longer be incurred. The analysis conducted on the extension of this exemption across all EU Member States addresses three different angles of potential impact.</w:t>
      </w:r>
    </w:p>
    <w:p w14:paraId="08CDB9A2" w14:textId="5728911A" w:rsidR="00D76DDA" w:rsidRPr="005A3F47" w:rsidRDefault="0079685A" w:rsidP="00B21F9F">
      <w:pPr>
        <w:rPr>
          <w:noProof/>
        </w:rPr>
      </w:pPr>
      <w:r w:rsidRPr="005A3F47">
        <w:rPr>
          <w:noProof/>
        </w:rPr>
        <w:t>First, i</w:t>
      </w:r>
      <w:r w:rsidR="00D76DDA" w:rsidRPr="005A3F47">
        <w:rPr>
          <w:noProof/>
        </w:rPr>
        <w:t>ncurred costs</w:t>
      </w:r>
      <w:r w:rsidR="00AD225F" w:rsidRPr="005A3F47">
        <w:rPr>
          <w:noProof/>
        </w:rPr>
        <w:t xml:space="preserve"> that</w:t>
      </w:r>
      <w:r w:rsidR="00D76DDA" w:rsidRPr="005A3F47">
        <w:rPr>
          <w:noProof/>
        </w:rPr>
        <w:t xml:space="preserve"> arise directly to investors, or the relevant operations department of the custodian or an external service provider as they engage in paperwork required to comply with current refund rules</w:t>
      </w:r>
      <w:r w:rsidR="00AD225F" w:rsidRPr="005A3F47">
        <w:rPr>
          <w:noProof/>
        </w:rPr>
        <w:t>:</w:t>
      </w:r>
      <w:r w:rsidR="00D76DDA" w:rsidRPr="005A3F47">
        <w:rPr>
          <w:noProof/>
        </w:rPr>
        <w:t xml:space="preserve"> These costs are assumed to account for an average of 2% of the refundable amount. The calibration of the parameter is based on </w:t>
      </w:r>
      <w:r w:rsidR="00244CBD" w:rsidRPr="005A3F47">
        <w:rPr>
          <w:noProof/>
        </w:rPr>
        <w:t xml:space="preserve">earlier </w:t>
      </w:r>
      <w:r w:rsidR="00111519" w:rsidRPr="005A3F47">
        <w:rPr>
          <w:noProof/>
        </w:rPr>
        <w:t xml:space="preserve">Commission </w:t>
      </w:r>
      <w:r w:rsidR="00D76DDA" w:rsidRPr="005A3F47">
        <w:rPr>
          <w:noProof/>
        </w:rPr>
        <w:t>studies</w:t>
      </w:r>
      <w:r w:rsidR="00A82479" w:rsidRPr="005A3F47">
        <w:rPr>
          <w:noProof/>
        </w:rPr>
        <w:t>.</w:t>
      </w:r>
      <w:r w:rsidR="00A82479" w:rsidRPr="005A3F47">
        <w:rPr>
          <w:rStyle w:val="FootnoteReference"/>
          <w:noProof/>
          <w:sz w:val="22"/>
          <w:szCs w:val="22"/>
        </w:rPr>
        <w:footnoteReference w:id="122"/>
      </w:r>
      <w:r w:rsidR="000B05C6" w:rsidRPr="005A3F47">
        <w:rPr>
          <w:noProof/>
        </w:rPr>
        <w:t xml:space="preserve"> It includes the cost of </w:t>
      </w:r>
      <w:r w:rsidR="00A27E65" w:rsidRPr="005A3F47">
        <w:rPr>
          <w:noProof/>
        </w:rPr>
        <w:t xml:space="preserve">operations departments </w:t>
      </w:r>
      <w:r w:rsidR="00B713A3" w:rsidRPr="005A3F47">
        <w:rPr>
          <w:noProof/>
        </w:rPr>
        <w:t xml:space="preserve">of the custodian </w:t>
      </w:r>
      <w:r w:rsidR="00135BA1" w:rsidRPr="005A3F47">
        <w:rPr>
          <w:noProof/>
        </w:rPr>
        <w:t>itself</w:t>
      </w:r>
      <w:r w:rsidR="00317E84" w:rsidRPr="005A3F47">
        <w:rPr>
          <w:noProof/>
        </w:rPr>
        <w:t xml:space="preserve"> o</w:t>
      </w:r>
      <w:r w:rsidR="00DC0A94" w:rsidRPr="005A3F47">
        <w:rPr>
          <w:noProof/>
        </w:rPr>
        <w:t>r</w:t>
      </w:r>
      <w:r w:rsidR="00317E84" w:rsidRPr="005A3F47">
        <w:rPr>
          <w:noProof/>
        </w:rPr>
        <w:t xml:space="preserve"> </w:t>
      </w:r>
      <w:r w:rsidR="000222FB" w:rsidRPr="005A3F47">
        <w:rPr>
          <w:noProof/>
        </w:rPr>
        <w:t>of an external service provider</w:t>
      </w:r>
      <w:r w:rsidR="00F36BCA" w:rsidRPr="005A3F47">
        <w:rPr>
          <w:noProof/>
        </w:rPr>
        <w:t xml:space="preserve">, but also </w:t>
      </w:r>
      <w:r w:rsidR="00CB35AF" w:rsidRPr="005A3F47">
        <w:rPr>
          <w:noProof/>
        </w:rPr>
        <w:t>fees for the processing</w:t>
      </w:r>
      <w:r w:rsidR="00D06AA6" w:rsidRPr="005A3F47">
        <w:rPr>
          <w:noProof/>
        </w:rPr>
        <w:t xml:space="preserve"> </w:t>
      </w:r>
      <w:r w:rsidR="00F23A4A" w:rsidRPr="005A3F47">
        <w:rPr>
          <w:noProof/>
        </w:rPr>
        <w:t>o</w:t>
      </w:r>
      <w:r w:rsidR="00D60911" w:rsidRPr="005A3F47">
        <w:rPr>
          <w:noProof/>
        </w:rPr>
        <w:t>f</w:t>
      </w:r>
      <w:r w:rsidR="00F23A4A" w:rsidRPr="005A3F47">
        <w:rPr>
          <w:noProof/>
        </w:rPr>
        <w:t xml:space="preserve"> </w:t>
      </w:r>
      <w:r w:rsidR="00A64127" w:rsidRPr="005A3F47">
        <w:rPr>
          <w:noProof/>
        </w:rPr>
        <w:t>late filings</w:t>
      </w:r>
      <w:r w:rsidR="000222FB" w:rsidRPr="005A3F47">
        <w:rPr>
          <w:noProof/>
        </w:rPr>
        <w:t>.</w:t>
      </w:r>
      <w:r w:rsidR="007A6755" w:rsidRPr="005A3F47">
        <w:rPr>
          <w:noProof/>
        </w:rPr>
        <w:t xml:space="preserve"> </w:t>
      </w:r>
      <w:r w:rsidR="00ED2D93" w:rsidRPr="005A3F47">
        <w:rPr>
          <w:noProof/>
        </w:rPr>
        <w:t>P</w:t>
      </w:r>
      <w:r w:rsidR="005A452F" w:rsidRPr="005A3F47">
        <w:rPr>
          <w:noProof/>
        </w:rPr>
        <w:t xml:space="preserve">aperwork </w:t>
      </w:r>
      <w:r w:rsidR="00A22D25" w:rsidRPr="005A3F47">
        <w:rPr>
          <w:noProof/>
        </w:rPr>
        <w:t xml:space="preserve">and </w:t>
      </w:r>
      <w:r w:rsidR="00C44A2A" w:rsidRPr="005A3F47">
        <w:rPr>
          <w:noProof/>
        </w:rPr>
        <w:t xml:space="preserve">a </w:t>
      </w:r>
      <w:r w:rsidR="00122459" w:rsidRPr="005A3F47">
        <w:rPr>
          <w:noProof/>
        </w:rPr>
        <w:t xml:space="preserve">variety of </w:t>
      </w:r>
      <w:r w:rsidR="00FA1BAB" w:rsidRPr="005A3F47">
        <w:rPr>
          <w:noProof/>
        </w:rPr>
        <w:t>source country requirements</w:t>
      </w:r>
      <w:r w:rsidR="00ED2D93" w:rsidRPr="005A3F47">
        <w:rPr>
          <w:noProof/>
        </w:rPr>
        <w:t xml:space="preserve"> </w:t>
      </w:r>
      <w:r w:rsidR="00B72108" w:rsidRPr="005A3F47">
        <w:rPr>
          <w:noProof/>
        </w:rPr>
        <w:t>are amongst the cost drivers</w:t>
      </w:r>
      <w:r w:rsidR="0023121A" w:rsidRPr="005A3F47">
        <w:rPr>
          <w:noProof/>
        </w:rPr>
        <w:t>.</w:t>
      </w:r>
    </w:p>
    <w:p w14:paraId="57573A44" w14:textId="00BB1871" w:rsidR="00D76DDA" w:rsidRPr="005A3F47" w:rsidRDefault="0060541C" w:rsidP="00B21F9F">
      <w:pPr>
        <w:rPr>
          <w:noProof/>
        </w:rPr>
      </w:pPr>
      <w:r w:rsidRPr="005A3F47">
        <w:rPr>
          <w:noProof/>
        </w:rPr>
        <w:t>Second, o</w:t>
      </w:r>
      <w:r w:rsidR="00D76DDA" w:rsidRPr="005A3F47">
        <w:rPr>
          <w:noProof/>
        </w:rPr>
        <w:t>pportunity cost</w:t>
      </w:r>
      <w:r w:rsidRPr="005A3F47">
        <w:rPr>
          <w:noProof/>
        </w:rPr>
        <w:t>s</w:t>
      </w:r>
      <w:r w:rsidR="00D76DDA" w:rsidRPr="005A3F47">
        <w:rPr>
          <w:noProof/>
        </w:rPr>
        <w:t xml:space="preserve"> due to delayed claims and payments of tax refunds: Delays in refunding of withholding taxes paid currently entail a financial disadvantage for the investor. Studies confirm that refund procedures usually take between several months and years.</w:t>
      </w:r>
      <w:r w:rsidR="00D20737" w:rsidRPr="005A3F47">
        <w:rPr>
          <w:rStyle w:val="FootnoteReference"/>
          <w:noProof/>
          <w:sz w:val="22"/>
          <w:szCs w:val="22"/>
        </w:rPr>
        <w:footnoteReference w:id="123"/>
      </w:r>
      <w:r w:rsidR="00D76DDA" w:rsidRPr="005A3F47">
        <w:rPr>
          <w:noProof/>
        </w:rPr>
        <w:t xml:space="preserve"> The resulting delayed cash-flow may keep investors from funnelling liquid means into interest-bearing investment during the period of delay. </w:t>
      </w:r>
      <w:r w:rsidR="001343AA" w:rsidRPr="005A3F47">
        <w:rPr>
          <w:noProof/>
        </w:rPr>
        <w:t>T</w:t>
      </w:r>
      <w:r w:rsidR="00D76DDA" w:rsidRPr="005A3F47">
        <w:rPr>
          <w:noProof/>
        </w:rPr>
        <w:t>o assess the opportunity cost of this foregone cash-flow, the analysis uses a risk-free investment in government bonds as an example of one such missed opportunity and assumes that, based on 2024 numbers, such one-year investment would bear an average yield of 2.2%. We also assume an average refund period of one year</w:t>
      </w:r>
      <w:r w:rsidR="00C87A8E" w:rsidRPr="005A3F47">
        <w:rPr>
          <w:noProof/>
        </w:rPr>
        <w:t xml:space="preserve"> (which is already relatively generous compared to the time it takes in many Member States)</w:t>
      </w:r>
      <w:r w:rsidR="00D76DDA" w:rsidRPr="005A3F47">
        <w:rPr>
          <w:noProof/>
        </w:rPr>
        <w:t xml:space="preserve">, to assess then the possible financial impact. </w:t>
      </w:r>
    </w:p>
    <w:p w14:paraId="4863284E" w14:textId="6EAD80BF" w:rsidR="00D76DDA" w:rsidRPr="005A3F47" w:rsidRDefault="005C0291" w:rsidP="00B21F9F">
      <w:pPr>
        <w:rPr>
          <w:noProof/>
        </w:rPr>
      </w:pPr>
      <w:r w:rsidRPr="005A3F47">
        <w:rPr>
          <w:noProof/>
        </w:rPr>
        <w:t>Third, f</w:t>
      </w:r>
      <w:r w:rsidR="00D76DDA" w:rsidRPr="005A3F47">
        <w:rPr>
          <w:noProof/>
        </w:rPr>
        <w:t xml:space="preserve">oregone relief to investors: </w:t>
      </w:r>
      <w:r w:rsidR="004440CC" w:rsidRPr="005A3F47">
        <w:rPr>
          <w:noProof/>
        </w:rPr>
        <w:t>Due to c</w:t>
      </w:r>
      <w:r w:rsidR="00D76DDA" w:rsidRPr="005A3F47">
        <w:rPr>
          <w:noProof/>
        </w:rPr>
        <w:t>omplex and cumbersome refund procedures</w:t>
      </w:r>
      <w:r w:rsidR="004440CC" w:rsidRPr="005A3F47">
        <w:rPr>
          <w:noProof/>
        </w:rPr>
        <w:t>, taxpayers</w:t>
      </w:r>
      <w:r w:rsidR="00D76DDA" w:rsidRPr="005A3F47">
        <w:rPr>
          <w:noProof/>
        </w:rPr>
        <w:t xml:space="preserve"> may </w:t>
      </w:r>
      <w:r w:rsidR="0006666B" w:rsidRPr="005A3F47">
        <w:rPr>
          <w:noProof/>
        </w:rPr>
        <w:t xml:space="preserve">be </w:t>
      </w:r>
      <w:r w:rsidR="00D76DDA" w:rsidRPr="005A3F47">
        <w:rPr>
          <w:noProof/>
        </w:rPr>
        <w:t>dissuade</w:t>
      </w:r>
      <w:r w:rsidR="0006666B" w:rsidRPr="005A3F47">
        <w:rPr>
          <w:noProof/>
        </w:rPr>
        <w:t>d</w:t>
      </w:r>
      <w:r w:rsidR="007B7486" w:rsidRPr="005A3F47">
        <w:rPr>
          <w:noProof/>
        </w:rPr>
        <w:t xml:space="preserve"> from </w:t>
      </w:r>
      <w:r w:rsidR="00D76DDA" w:rsidRPr="005A3F47">
        <w:rPr>
          <w:noProof/>
        </w:rPr>
        <w:t xml:space="preserve">claiming back overpaid withholding tax. </w:t>
      </w:r>
      <w:r w:rsidR="00903CD9" w:rsidRPr="005A3F47">
        <w:rPr>
          <w:noProof/>
        </w:rPr>
        <w:t xml:space="preserve">This may be the case especially for smaller investors </w:t>
      </w:r>
      <w:r w:rsidR="0006501D" w:rsidRPr="005A3F47">
        <w:rPr>
          <w:noProof/>
        </w:rPr>
        <w:t xml:space="preserve">with </w:t>
      </w:r>
      <w:r w:rsidR="00293E8C" w:rsidRPr="005A3F47">
        <w:rPr>
          <w:noProof/>
        </w:rPr>
        <w:t xml:space="preserve">little resources </w:t>
      </w:r>
      <w:r w:rsidR="00844873" w:rsidRPr="005A3F47">
        <w:rPr>
          <w:noProof/>
        </w:rPr>
        <w:t xml:space="preserve">to deal with these procedures. </w:t>
      </w:r>
      <w:r w:rsidR="00D76DDA" w:rsidRPr="005A3F47">
        <w:rPr>
          <w:noProof/>
        </w:rPr>
        <w:t xml:space="preserve">Following assumptions made </w:t>
      </w:r>
      <w:r w:rsidR="00CA78C2" w:rsidRPr="005A3F47">
        <w:rPr>
          <w:noProof/>
        </w:rPr>
        <w:t xml:space="preserve">in </w:t>
      </w:r>
      <w:r w:rsidR="00D76DDA" w:rsidRPr="005A3F47">
        <w:rPr>
          <w:noProof/>
        </w:rPr>
        <w:t xml:space="preserve">earlier </w:t>
      </w:r>
      <w:r w:rsidR="00CA78C2" w:rsidRPr="005A3F47">
        <w:rPr>
          <w:noProof/>
        </w:rPr>
        <w:t>Commission analys</w:t>
      </w:r>
      <w:r w:rsidR="00495FAB" w:rsidRPr="005A3F47">
        <w:rPr>
          <w:noProof/>
        </w:rPr>
        <w:t>e</w:t>
      </w:r>
      <w:r w:rsidR="00CA78C2" w:rsidRPr="005A3F47">
        <w:rPr>
          <w:noProof/>
        </w:rPr>
        <w:t>s</w:t>
      </w:r>
      <w:r w:rsidR="00D76DDA" w:rsidRPr="005A3F47">
        <w:rPr>
          <w:noProof/>
        </w:rPr>
        <w:t>, it is assumed that foregone relief affects 10% of the relevant cross-border flows.</w:t>
      </w:r>
      <w:r w:rsidR="00CA78C2" w:rsidRPr="005A3F47">
        <w:rPr>
          <w:rStyle w:val="FootnoteReference"/>
          <w:noProof/>
          <w:sz w:val="22"/>
          <w:szCs w:val="22"/>
        </w:rPr>
        <w:footnoteReference w:id="124"/>
      </w:r>
      <w:r w:rsidR="00D76DDA" w:rsidRPr="005A3F47">
        <w:rPr>
          <w:noProof/>
        </w:rPr>
        <w:t xml:space="preserve"> </w:t>
      </w:r>
    </w:p>
    <w:p w14:paraId="1F0E1DDE" w14:textId="79E6CA01" w:rsidR="00D76DDA" w:rsidRPr="005A3F47" w:rsidRDefault="001279B2" w:rsidP="009613EB">
      <w:pPr>
        <w:ind w:firstLine="720"/>
        <w:rPr>
          <w:b/>
          <w:noProof/>
        </w:rPr>
      </w:pPr>
      <w:r w:rsidRPr="005A3F47">
        <w:rPr>
          <w:b/>
          <w:noProof/>
        </w:rPr>
        <w:t>Step 2:</w:t>
      </w:r>
      <w:r w:rsidR="00A4766B" w:rsidRPr="005A3F47">
        <w:rPr>
          <w:b/>
          <w:noProof/>
        </w:rPr>
        <w:t xml:space="preserve"> </w:t>
      </w:r>
      <w:r w:rsidR="00D76DDA" w:rsidRPr="005A3F47">
        <w:rPr>
          <w:b/>
          <w:noProof/>
        </w:rPr>
        <w:t>Estimating the underlying monetary flows for interest and dividend payments</w:t>
      </w:r>
    </w:p>
    <w:p w14:paraId="6A58F048" w14:textId="0B2C33F4" w:rsidR="00A168BD" w:rsidRPr="005A3F47" w:rsidRDefault="004B628D">
      <w:pPr>
        <w:rPr>
          <w:noProof/>
        </w:rPr>
      </w:pPr>
      <w:r w:rsidRPr="005A3F47">
        <w:rPr>
          <w:noProof/>
        </w:rPr>
        <w:t>As a starting point, the analysis estimates the amounts that are currently flowing from the source country (the company) to the country where the investor is located. These amounts may be subject to a tax at source which may be refunded to the investor. While information about cross-border income (interest, dividends) and royalty flows does exist in Eurostat’s Balance of Payment statistics, this information is patchy for certain country pairs. The analysis therefore uses this data only for royalty payments</w:t>
      </w:r>
      <w:r w:rsidR="000B7BE9" w:rsidRPr="005A3F47">
        <w:rPr>
          <w:noProof/>
        </w:rPr>
        <w:t xml:space="preserve"> (Step 3)</w:t>
      </w:r>
      <w:r w:rsidRPr="005A3F47">
        <w:rPr>
          <w:noProof/>
        </w:rPr>
        <w:t>. For interest and dividend payments, a different approach is used, which follows</w:t>
      </w:r>
      <w:r w:rsidR="00500F62" w:rsidRPr="005A3F47">
        <w:rPr>
          <w:noProof/>
        </w:rPr>
        <w:t xml:space="preserve"> earlier Commission analysis</w:t>
      </w:r>
      <w:r w:rsidR="00D14578" w:rsidRPr="005A3F47">
        <w:rPr>
          <w:noProof/>
        </w:rPr>
        <w:t>.</w:t>
      </w:r>
      <w:r w:rsidR="00B8100F" w:rsidRPr="005A3F47">
        <w:rPr>
          <w:rStyle w:val="FootnoteReference"/>
          <w:noProof/>
          <w:sz w:val="22"/>
          <w:szCs w:val="22"/>
        </w:rPr>
        <w:footnoteReference w:id="125"/>
      </w:r>
      <w:r w:rsidRPr="005A3F47">
        <w:rPr>
          <w:noProof/>
        </w:rPr>
        <w:t xml:space="preserve"> For interest and dividends</w:t>
      </w:r>
      <w:r w:rsidR="00320188" w:rsidRPr="005A3F47">
        <w:rPr>
          <w:noProof/>
        </w:rPr>
        <w:t>,</w:t>
      </w:r>
      <w:r w:rsidRPr="005A3F47">
        <w:rPr>
          <w:noProof/>
        </w:rPr>
        <w:t xml:space="preserve"> we start from information about the bilateral stock of the relevant investment, i.e., the investment position of an investor located in Member State A investing in Member State B. This information is available from the International Monetary Fund’s </w:t>
      </w:r>
      <w:r w:rsidR="000A274C" w:rsidRPr="005A3F47">
        <w:rPr>
          <w:noProof/>
        </w:rPr>
        <w:t xml:space="preserve">statistics on </w:t>
      </w:r>
      <w:r w:rsidRPr="005A3F47">
        <w:rPr>
          <w:noProof/>
        </w:rPr>
        <w:t xml:space="preserve">portfolio investment </w:t>
      </w:r>
      <w:r w:rsidR="00AD775A" w:rsidRPr="005A3F47">
        <w:rPr>
          <w:noProof/>
        </w:rPr>
        <w:t>positions</w:t>
      </w:r>
      <w:r w:rsidRPr="005A3F47">
        <w:rPr>
          <w:noProof/>
        </w:rPr>
        <w:t xml:space="preserve">. </w:t>
      </w:r>
    </w:p>
    <w:p w14:paraId="0987A520" w14:textId="3F05E36E" w:rsidR="00CC0431" w:rsidRPr="005A3F47" w:rsidRDefault="00CC0431" w:rsidP="00770D4A">
      <w:pPr>
        <w:rPr>
          <w:noProof/>
        </w:rPr>
      </w:pPr>
      <w:r w:rsidRPr="005A3F47">
        <w:rPr>
          <w:noProof/>
        </w:rPr>
        <w:t>We use the portfolio investment statistics</w:t>
      </w:r>
      <w:r w:rsidR="00EB0A30" w:rsidRPr="005A3F47">
        <w:rPr>
          <w:noProof/>
        </w:rPr>
        <w:t xml:space="preserve"> (as opposed to FDI statistics) because </w:t>
      </w:r>
      <w:r w:rsidR="003B1A25" w:rsidRPr="005A3F47">
        <w:rPr>
          <w:noProof/>
        </w:rPr>
        <w:t>these</w:t>
      </w:r>
      <w:r w:rsidR="00AD3091" w:rsidRPr="005A3F47">
        <w:rPr>
          <w:noProof/>
        </w:rPr>
        <w:t xml:space="preserve"> </w:t>
      </w:r>
      <w:r w:rsidR="00E57A76" w:rsidRPr="005A3F47">
        <w:rPr>
          <w:noProof/>
        </w:rPr>
        <w:t xml:space="preserve">better </w:t>
      </w:r>
      <w:r w:rsidR="00AD3091" w:rsidRPr="005A3F47">
        <w:rPr>
          <w:noProof/>
        </w:rPr>
        <w:t xml:space="preserve">capture </w:t>
      </w:r>
      <w:r w:rsidR="00E82FB7" w:rsidRPr="005A3F47">
        <w:rPr>
          <w:noProof/>
        </w:rPr>
        <w:t>the investment</w:t>
      </w:r>
      <w:r w:rsidR="00686C63" w:rsidRPr="005A3F47">
        <w:rPr>
          <w:noProof/>
        </w:rPr>
        <w:t>s</w:t>
      </w:r>
      <w:r w:rsidR="00E82FB7" w:rsidRPr="005A3F47">
        <w:rPr>
          <w:noProof/>
        </w:rPr>
        <w:t xml:space="preserve"> </w:t>
      </w:r>
      <w:r w:rsidR="0036591C" w:rsidRPr="005A3F47">
        <w:rPr>
          <w:noProof/>
        </w:rPr>
        <w:t xml:space="preserve">currently not covered by </w:t>
      </w:r>
      <w:r w:rsidR="00A67036" w:rsidRPr="005A3F47">
        <w:rPr>
          <w:noProof/>
        </w:rPr>
        <w:t xml:space="preserve">the </w:t>
      </w:r>
      <w:r w:rsidR="00FA20D6" w:rsidRPr="005A3F47">
        <w:rPr>
          <w:noProof/>
        </w:rPr>
        <w:t>PSD an</w:t>
      </w:r>
      <w:r w:rsidR="00E37819" w:rsidRPr="005A3F47">
        <w:rPr>
          <w:noProof/>
        </w:rPr>
        <w:t>d</w:t>
      </w:r>
      <w:r w:rsidR="00FA20D6" w:rsidRPr="005A3F47">
        <w:rPr>
          <w:noProof/>
        </w:rPr>
        <w:t xml:space="preserve"> </w:t>
      </w:r>
      <w:r w:rsidR="003835A9" w:rsidRPr="005A3F47">
        <w:rPr>
          <w:noProof/>
        </w:rPr>
        <w:t>IRD</w:t>
      </w:r>
      <w:r w:rsidR="001E6561" w:rsidRPr="005A3F47">
        <w:rPr>
          <w:noProof/>
        </w:rPr>
        <w:t xml:space="preserve">. Those directives </w:t>
      </w:r>
      <w:r w:rsidR="005438E8" w:rsidRPr="005A3F47">
        <w:rPr>
          <w:noProof/>
        </w:rPr>
        <w:t xml:space="preserve">foresee </w:t>
      </w:r>
      <w:r w:rsidR="00FB0426" w:rsidRPr="005A3F47">
        <w:rPr>
          <w:noProof/>
        </w:rPr>
        <w:t xml:space="preserve">no withholding taxes </w:t>
      </w:r>
      <w:r w:rsidR="0054499F" w:rsidRPr="005A3F47">
        <w:rPr>
          <w:noProof/>
        </w:rPr>
        <w:t>on</w:t>
      </w:r>
      <w:r w:rsidR="00FB0426" w:rsidRPr="005A3F47">
        <w:rPr>
          <w:noProof/>
        </w:rPr>
        <w:t xml:space="preserve"> cross-border </w:t>
      </w:r>
      <w:r w:rsidR="00D30A0F" w:rsidRPr="005A3F47">
        <w:rPr>
          <w:noProof/>
        </w:rPr>
        <w:t xml:space="preserve">dividend, </w:t>
      </w:r>
      <w:r w:rsidR="00FB0426" w:rsidRPr="005A3F47">
        <w:rPr>
          <w:noProof/>
        </w:rPr>
        <w:t>interest</w:t>
      </w:r>
      <w:r w:rsidR="00D30A0F" w:rsidRPr="005A3F47">
        <w:rPr>
          <w:noProof/>
        </w:rPr>
        <w:t xml:space="preserve"> and</w:t>
      </w:r>
      <w:r w:rsidR="00FB0426" w:rsidRPr="005A3F47">
        <w:rPr>
          <w:noProof/>
        </w:rPr>
        <w:t xml:space="preserve"> royalty</w:t>
      </w:r>
      <w:r w:rsidR="00D30A0F" w:rsidRPr="005A3F47">
        <w:rPr>
          <w:noProof/>
        </w:rPr>
        <w:t xml:space="preserve"> payments</w:t>
      </w:r>
      <w:r w:rsidR="00FB0426" w:rsidRPr="005A3F47">
        <w:rPr>
          <w:noProof/>
        </w:rPr>
        <w:t xml:space="preserve">, but </w:t>
      </w:r>
      <w:r w:rsidR="0054499F" w:rsidRPr="005A3F47">
        <w:rPr>
          <w:noProof/>
        </w:rPr>
        <w:t xml:space="preserve">this exemption </w:t>
      </w:r>
      <w:r w:rsidR="00BF7EC0" w:rsidRPr="005A3F47">
        <w:rPr>
          <w:noProof/>
        </w:rPr>
        <w:t xml:space="preserve">does </w:t>
      </w:r>
      <w:r w:rsidR="003175BD" w:rsidRPr="005A3F47">
        <w:rPr>
          <w:noProof/>
        </w:rPr>
        <w:t>not</w:t>
      </w:r>
      <w:r w:rsidR="00FB0426" w:rsidRPr="005A3F47">
        <w:rPr>
          <w:noProof/>
        </w:rPr>
        <w:t xml:space="preserve"> </w:t>
      </w:r>
      <w:r w:rsidR="00BF7EC0" w:rsidRPr="005A3F47">
        <w:rPr>
          <w:noProof/>
        </w:rPr>
        <w:t>apply</w:t>
      </w:r>
      <w:r w:rsidR="00B000C7" w:rsidRPr="005A3F47">
        <w:rPr>
          <w:noProof/>
        </w:rPr>
        <w:t xml:space="preserve"> </w:t>
      </w:r>
      <w:r w:rsidR="00D93FFF" w:rsidRPr="005A3F47">
        <w:rPr>
          <w:noProof/>
        </w:rPr>
        <w:t xml:space="preserve">if </w:t>
      </w:r>
      <w:r w:rsidR="00EA4DAF" w:rsidRPr="005A3F47">
        <w:rPr>
          <w:noProof/>
        </w:rPr>
        <w:t xml:space="preserve">the </w:t>
      </w:r>
      <w:r w:rsidR="00FD59A2" w:rsidRPr="005A3F47">
        <w:rPr>
          <w:noProof/>
        </w:rPr>
        <w:t>association between payer and payee</w:t>
      </w:r>
      <w:r w:rsidR="00495F3F" w:rsidRPr="005A3F47">
        <w:rPr>
          <w:noProof/>
        </w:rPr>
        <w:t xml:space="preserve"> involves a </w:t>
      </w:r>
      <w:r w:rsidR="009D2840" w:rsidRPr="005A3F47">
        <w:rPr>
          <w:noProof/>
        </w:rPr>
        <w:t>holding</w:t>
      </w:r>
      <w:r w:rsidR="00EA4DAF" w:rsidRPr="005A3F47">
        <w:rPr>
          <w:noProof/>
        </w:rPr>
        <w:t xml:space="preserve"> below 10% (PSD) or </w:t>
      </w:r>
      <w:r w:rsidR="00614585" w:rsidRPr="005A3F47">
        <w:rPr>
          <w:noProof/>
        </w:rPr>
        <w:t xml:space="preserve">below </w:t>
      </w:r>
      <w:r w:rsidR="00EA4DAF" w:rsidRPr="005A3F47">
        <w:rPr>
          <w:noProof/>
        </w:rPr>
        <w:t>25% (IRD)</w:t>
      </w:r>
      <w:r w:rsidR="005533F3" w:rsidRPr="005A3F47">
        <w:rPr>
          <w:noProof/>
        </w:rPr>
        <w:t>.</w:t>
      </w:r>
      <w:r w:rsidR="00DD4CC1" w:rsidRPr="005A3F47">
        <w:rPr>
          <w:noProof/>
        </w:rPr>
        <w:t xml:space="preserve"> </w:t>
      </w:r>
      <w:r w:rsidR="00495F3F" w:rsidRPr="005A3F47">
        <w:rPr>
          <w:noProof/>
        </w:rPr>
        <w:t>Thus,</w:t>
      </w:r>
      <w:r w:rsidR="009B5104" w:rsidRPr="005A3F47">
        <w:rPr>
          <w:noProof/>
        </w:rPr>
        <w:t xml:space="preserve"> </w:t>
      </w:r>
      <w:r w:rsidR="00CF1FD0" w:rsidRPr="005A3F47">
        <w:rPr>
          <w:noProof/>
        </w:rPr>
        <w:t>a withholding tax applies</w:t>
      </w:r>
      <w:r w:rsidR="009B5104" w:rsidRPr="005A3F47">
        <w:rPr>
          <w:noProof/>
        </w:rPr>
        <w:t xml:space="preserve"> below these thresholds. </w:t>
      </w:r>
      <w:r w:rsidR="00F65429" w:rsidRPr="005A3F47">
        <w:rPr>
          <w:noProof/>
        </w:rPr>
        <w:t xml:space="preserve">As </w:t>
      </w:r>
      <w:r w:rsidR="00D462F8" w:rsidRPr="005A3F47">
        <w:rPr>
          <w:noProof/>
        </w:rPr>
        <w:t xml:space="preserve">Member States </w:t>
      </w:r>
      <w:r w:rsidR="00F771F1" w:rsidRPr="005A3F47">
        <w:rPr>
          <w:noProof/>
        </w:rPr>
        <w:t xml:space="preserve">often </w:t>
      </w:r>
      <w:r w:rsidR="00CF1FD0" w:rsidRPr="005A3F47">
        <w:rPr>
          <w:noProof/>
        </w:rPr>
        <w:t>withhold tax</w:t>
      </w:r>
      <w:r w:rsidR="0079707D" w:rsidRPr="005A3F47">
        <w:rPr>
          <w:noProof/>
        </w:rPr>
        <w:t xml:space="preserve">es at the national rate, which is </w:t>
      </w:r>
      <w:r w:rsidR="00CD14F3" w:rsidRPr="005A3F47">
        <w:rPr>
          <w:noProof/>
        </w:rPr>
        <w:t xml:space="preserve">usually higher than the one of the tax treaty that is applicable to a specific </w:t>
      </w:r>
      <w:r w:rsidR="00972F4B" w:rsidRPr="005A3F47">
        <w:rPr>
          <w:noProof/>
        </w:rPr>
        <w:t xml:space="preserve">(bilateral) </w:t>
      </w:r>
      <w:r w:rsidR="00CD14F3" w:rsidRPr="005A3F47">
        <w:rPr>
          <w:noProof/>
        </w:rPr>
        <w:t>situation,</w:t>
      </w:r>
      <w:r w:rsidR="00BC4DD4" w:rsidRPr="005A3F47">
        <w:rPr>
          <w:noProof/>
        </w:rPr>
        <w:t xml:space="preserve"> </w:t>
      </w:r>
      <w:r w:rsidR="00963019" w:rsidRPr="005A3F47">
        <w:rPr>
          <w:noProof/>
        </w:rPr>
        <w:t xml:space="preserve">withholding taxes are </w:t>
      </w:r>
      <w:r w:rsidR="00BD787D" w:rsidRPr="005A3F47">
        <w:rPr>
          <w:noProof/>
        </w:rPr>
        <w:t xml:space="preserve">associated with </w:t>
      </w:r>
      <w:r w:rsidR="002154D1" w:rsidRPr="005A3F47">
        <w:rPr>
          <w:noProof/>
        </w:rPr>
        <w:t>refund procedures</w:t>
      </w:r>
      <w:r w:rsidR="006D684F" w:rsidRPr="005A3F47">
        <w:rPr>
          <w:noProof/>
        </w:rPr>
        <w:t xml:space="preserve"> which differ substantially </w:t>
      </w:r>
      <w:r w:rsidR="00BE1DF2" w:rsidRPr="005A3F47">
        <w:rPr>
          <w:noProof/>
        </w:rPr>
        <w:t xml:space="preserve">per Member State and lead to significant </w:t>
      </w:r>
      <w:r w:rsidR="00CE133E" w:rsidRPr="005A3F47">
        <w:rPr>
          <w:noProof/>
        </w:rPr>
        <w:t>compliance costs</w:t>
      </w:r>
      <w:r w:rsidR="007359D0" w:rsidRPr="005A3F47">
        <w:rPr>
          <w:noProof/>
        </w:rPr>
        <w:t>.</w:t>
      </w:r>
    </w:p>
    <w:p w14:paraId="4D0B886E" w14:textId="3CCBE8EA" w:rsidR="004B628D" w:rsidRPr="005A3F47" w:rsidRDefault="00770D4A" w:rsidP="000A457B">
      <w:pPr>
        <w:rPr>
          <w:noProof/>
        </w:rPr>
      </w:pPr>
      <w:r w:rsidRPr="005A3F47">
        <w:rPr>
          <w:noProof/>
        </w:rPr>
        <w:t>The statistics</w:t>
      </w:r>
      <w:r w:rsidR="004B628D" w:rsidRPr="005A3F47">
        <w:rPr>
          <w:noProof/>
        </w:rPr>
        <w:t xml:space="preserve"> give the amount of </w:t>
      </w:r>
      <w:r w:rsidR="00C91997" w:rsidRPr="005A3F47">
        <w:rPr>
          <w:noProof/>
        </w:rPr>
        <w:t>portfolio</w:t>
      </w:r>
      <w:r w:rsidR="004B628D" w:rsidRPr="005A3F47">
        <w:rPr>
          <w:noProof/>
        </w:rPr>
        <w:t xml:space="preserve"> investment in stock debt security assets and equity assets </w:t>
      </w:r>
      <w:r w:rsidR="00CF28A3" w:rsidRPr="005A3F47">
        <w:rPr>
          <w:noProof/>
        </w:rPr>
        <w:t>issued by a company in country B</w:t>
      </w:r>
      <w:r w:rsidR="003C0B33" w:rsidRPr="005A3F47">
        <w:rPr>
          <w:noProof/>
        </w:rPr>
        <w:t xml:space="preserve"> and </w:t>
      </w:r>
      <w:r w:rsidR="009363EF" w:rsidRPr="005A3F47">
        <w:rPr>
          <w:noProof/>
        </w:rPr>
        <w:t xml:space="preserve">held by the investor in </w:t>
      </w:r>
      <w:r w:rsidR="00E61E2D" w:rsidRPr="005A3F47">
        <w:rPr>
          <w:noProof/>
        </w:rPr>
        <w:t>country A</w:t>
      </w:r>
      <w:r w:rsidR="00C91997" w:rsidRPr="005A3F47">
        <w:rPr>
          <w:noProof/>
        </w:rPr>
        <w:t xml:space="preserve"> (</w:t>
      </w:r>
      <w:r w:rsidR="0048584F" w:rsidRPr="005A3F47">
        <w:rPr>
          <w:noProof/>
        </w:rPr>
        <w:t>i.</w:t>
      </w:r>
      <w:r w:rsidR="003C019E" w:rsidRPr="005A3F47" w:rsidDel="00C069D4">
        <w:rPr>
          <w:noProof/>
        </w:rPr>
        <w:t>e</w:t>
      </w:r>
      <w:r w:rsidR="0048584F" w:rsidRPr="005A3F47">
        <w:rPr>
          <w:noProof/>
        </w:rPr>
        <w:t>., stocks of assets per country pair A/B)</w:t>
      </w:r>
      <w:r w:rsidR="004B628D" w:rsidRPr="005A3F47">
        <w:rPr>
          <w:noProof/>
        </w:rPr>
        <w:t>. Next, these stocks are multiplied by average yields to obtain an estimate for bilateral flows</w:t>
      </w:r>
      <w:r w:rsidR="00470BF0" w:rsidRPr="005A3F47">
        <w:rPr>
          <w:noProof/>
        </w:rPr>
        <w:t xml:space="preserve"> of income payments </w:t>
      </w:r>
      <w:r w:rsidR="005B7BED" w:rsidRPr="005A3F47">
        <w:rPr>
          <w:noProof/>
        </w:rPr>
        <w:t xml:space="preserve">from </w:t>
      </w:r>
      <w:r w:rsidR="00BD5162" w:rsidRPr="005A3F47">
        <w:rPr>
          <w:noProof/>
        </w:rPr>
        <w:t>country B (source) to country A (investor)</w:t>
      </w:r>
      <w:r w:rsidR="004B628D" w:rsidRPr="005A3F47">
        <w:rPr>
          <w:noProof/>
        </w:rPr>
        <w:t xml:space="preserve">. For year 2024, interest flows are proxied by multiplying debt security assets by the 10-year government bond yield as given by the European Central Bank (2.4%), while dividend flows are obtained by multiplying equity stocks by the Eurostoxx 600 average yield (2.5%). </w:t>
      </w:r>
      <w:r w:rsidR="004D5195" w:rsidRPr="005A3F47">
        <w:rPr>
          <w:noProof/>
        </w:rPr>
        <w:t xml:space="preserve"> </w:t>
      </w:r>
    </w:p>
    <w:p w14:paraId="2DDEA86B" w14:textId="28184AF7" w:rsidR="001A34CB" w:rsidRPr="005A3F47" w:rsidRDefault="001279B2" w:rsidP="009613EB">
      <w:pPr>
        <w:ind w:firstLine="720"/>
        <w:rPr>
          <w:b/>
          <w:noProof/>
        </w:rPr>
      </w:pPr>
      <w:r w:rsidRPr="005A3F47">
        <w:rPr>
          <w:b/>
          <w:noProof/>
        </w:rPr>
        <w:t>Step 3:</w:t>
      </w:r>
      <w:r w:rsidR="00A4766B" w:rsidRPr="005A3F47">
        <w:rPr>
          <w:b/>
          <w:noProof/>
        </w:rPr>
        <w:t xml:space="preserve"> </w:t>
      </w:r>
      <w:r w:rsidR="001A34CB" w:rsidRPr="005A3F47">
        <w:rPr>
          <w:b/>
          <w:noProof/>
        </w:rPr>
        <w:t>Estimating the underlying monetary flows for royalty payments</w:t>
      </w:r>
    </w:p>
    <w:p w14:paraId="2BC98B16" w14:textId="1D62126B" w:rsidR="001A34CB" w:rsidRPr="005A3F47" w:rsidRDefault="001A34CB" w:rsidP="000A457B">
      <w:pPr>
        <w:rPr>
          <w:noProof/>
        </w:rPr>
      </w:pPr>
      <w:r w:rsidRPr="005A3F47">
        <w:rPr>
          <w:noProof/>
        </w:rPr>
        <w:t xml:space="preserve">Unlike interest and dividend payments, in the system of National Accounts, charges for the use of intellectual property are not considered income flows stemming from direct investment but a compensation for performing a service. We can therefore not rely on investment stocks as a starting point for flow estimates as it happened in </w:t>
      </w:r>
      <w:r w:rsidR="009C5704" w:rsidRPr="005A3F47">
        <w:rPr>
          <w:noProof/>
        </w:rPr>
        <w:t xml:space="preserve">Step </w:t>
      </w:r>
      <w:r w:rsidRPr="005A3F47">
        <w:rPr>
          <w:noProof/>
        </w:rPr>
        <w:t>2 above for interest and dividends. Rather, the approach for royalties looks directly at Eurostat’s Balance of Payments statistics which measure international royalty flows. The assumptions about the cost components (</w:t>
      </w:r>
      <w:r w:rsidR="009C5704" w:rsidRPr="005A3F47">
        <w:rPr>
          <w:noProof/>
        </w:rPr>
        <w:t xml:space="preserve">Step </w:t>
      </w:r>
      <w:r w:rsidRPr="005A3F47">
        <w:rPr>
          <w:noProof/>
        </w:rPr>
        <w:t>1) and using the bilateral levels of withholding taxes (</w:t>
      </w:r>
      <w:r w:rsidR="009C5704" w:rsidRPr="005A3F47">
        <w:rPr>
          <w:noProof/>
        </w:rPr>
        <w:t xml:space="preserve">Step </w:t>
      </w:r>
      <w:r w:rsidR="00556F8C" w:rsidRPr="005A3F47">
        <w:rPr>
          <w:noProof/>
        </w:rPr>
        <w:t>4</w:t>
      </w:r>
      <w:r w:rsidRPr="005A3F47">
        <w:rPr>
          <w:noProof/>
        </w:rPr>
        <w:t xml:space="preserve">) applied to royalties are the same as above. </w:t>
      </w:r>
    </w:p>
    <w:p w14:paraId="4E7DC6CA" w14:textId="4B69F6A3" w:rsidR="004B628D" w:rsidRPr="005A3F47" w:rsidRDefault="001279B2" w:rsidP="009613EB">
      <w:pPr>
        <w:ind w:firstLine="720"/>
        <w:rPr>
          <w:b/>
          <w:noProof/>
        </w:rPr>
      </w:pPr>
      <w:r w:rsidRPr="005A3F47">
        <w:rPr>
          <w:b/>
          <w:noProof/>
        </w:rPr>
        <w:t>Step 4:</w:t>
      </w:r>
      <w:r w:rsidR="00A4766B" w:rsidRPr="005A3F47">
        <w:rPr>
          <w:b/>
          <w:noProof/>
        </w:rPr>
        <w:t xml:space="preserve"> </w:t>
      </w:r>
      <w:r w:rsidR="008753D5" w:rsidRPr="005A3F47">
        <w:rPr>
          <w:b/>
          <w:noProof/>
        </w:rPr>
        <w:t>E</w:t>
      </w:r>
      <w:r w:rsidR="004B628D" w:rsidRPr="005A3F47">
        <w:rPr>
          <w:b/>
          <w:noProof/>
        </w:rPr>
        <w:t>stimating the refundable tax relief withheld at source on these flows</w:t>
      </w:r>
    </w:p>
    <w:p w14:paraId="4A4023A0" w14:textId="0C202A3E" w:rsidR="004B628D" w:rsidRPr="005A3F47" w:rsidRDefault="004B628D" w:rsidP="000A457B">
      <w:pPr>
        <w:rPr>
          <w:noProof/>
        </w:rPr>
      </w:pPr>
      <w:r w:rsidRPr="005A3F47">
        <w:rPr>
          <w:noProof/>
        </w:rPr>
        <w:t>In order to estimate the potential current tax refund for each country pair, these payment flows have to be multiplied by the corresponding withholding tax rate, or rather, the overpaid part of the withholding tax that would be up for refund if there were a positive difference between the domestic tax withheld at source (in the country of the company) and the tax due in the Member State of the investor. Domestic withholding tax rates in the country of the investor may apply if there is no bilateral agreement about the level of withholding taxes on flows between the two countries. However, such agreements exist between almost all Member States, so that the relevant refundable tax difference is usually the one between the domestic withholding tax at source and the tax rate applicable for bilateral interest</w:t>
      </w:r>
      <w:r w:rsidR="00A61AA6" w:rsidRPr="005A3F47">
        <w:rPr>
          <w:noProof/>
        </w:rPr>
        <w:t>,</w:t>
      </w:r>
      <w:r w:rsidRPr="005A3F47">
        <w:rPr>
          <w:noProof/>
        </w:rPr>
        <w:t xml:space="preserve"> dividend </w:t>
      </w:r>
      <w:r w:rsidR="00A61AA6" w:rsidRPr="005A3F47">
        <w:rPr>
          <w:noProof/>
        </w:rPr>
        <w:t xml:space="preserve">and royalty </w:t>
      </w:r>
      <w:r w:rsidRPr="005A3F47">
        <w:rPr>
          <w:noProof/>
        </w:rPr>
        <w:t>payments as stipulated in the treaty. Thus:</w:t>
      </w:r>
    </w:p>
    <w:p w14:paraId="19A38EB7" w14:textId="3E7981EB" w:rsidR="004B628D" w:rsidRPr="005A3F47" w:rsidRDefault="00B32CF3" w:rsidP="000A457B">
      <w:pPr>
        <w:rPr>
          <w:noProof/>
        </w:rPr>
      </w:pPr>
      <w:r w:rsidRPr="005A3F47">
        <w:rPr>
          <w:noProof/>
        </w:rPr>
        <w:t xml:space="preserve">(Equation 1) </w:t>
      </w:r>
      <w:r w:rsidR="004B628D" w:rsidRPr="005A3F47">
        <w:rPr>
          <w:noProof/>
        </w:rPr>
        <w:t>Refundable WHT = Domestic WHT (at source) – Treaty WHT</w:t>
      </w:r>
    </w:p>
    <w:p w14:paraId="32A6B0F0" w14:textId="24E5B552" w:rsidR="004B628D" w:rsidRPr="005A3F47" w:rsidRDefault="004B628D" w:rsidP="000A457B">
      <w:pPr>
        <w:rPr>
          <w:noProof/>
        </w:rPr>
      </w:pPr>
      <w:r w:rsidRPr="005A3F47">
        <w:rPr>
          <w:noProof/>
        </w:rPr>
        <w:t xml:space="preserve">Information about the level of bilateral withholding taxes </w:t>
      </w:r>
      <w:r w:rsidR="00950D52" w:rsidRPr="005A3F47">
        <w:rPr>
          <w:noProof/>
        </w:rPr>
        <w:t>applied to interest, dividend and royalty payments</w:t>
      </w:r>
      <w:r w:rsidRPr="005A3F47">
        <w:rPr>
          <w:noProof/>
        </w:rPr>
        <w:t xml:space="preserve"> is given by the International Bureau of Fiscal Documentation (IBFD). </w:t>
      </w:r>
    </w:p>
    <w:p w14:paraId="089CC881" w14:textId="337E06CA" w:rsidR="00141F61" w:rsidRPr="005A3F47" w:rsidRDefault="005D7AB4" w:rsidP="000A457B">
      <w:pPr>
        <w:rPr>
          <w:b/>
          <w:noProof/>
        </w:rPr>
      </w:pPr>
      <w:r w:rsidRPr="005A3F47">
        <w:rPr>
          <w:b/>
          <w:noProof/>
        </w:rPr>
        <w:t>Cost estimates for companies</w:t>
      </w:r>
      <w:r w:rsidR="00E95391" w:rsidRPr="005A3F47">
        <w:rPr>
          <w:b/>
          <w:noProof/>
        </w:rPr>
        <w:t xml:space="preserve">: </w:t>
      </w:r>
      <w:r w:rsidR="006912FD" w:rsidRPr="005A3F47">
        <w:rPr>
          <w:b/>
          <w:noProof/>
        </w:rPr>
        <w:t>Full exemption of interest, dividend and royalty payments</w:t>
      </w:r>
      <w:r w:rsidR="0030116D" w:rsidRPr="005A3F47">
        <w:rPr>
          <w:b/>
          <w:noProof/>
        </w:rPr>
        <w:t xml:space="preserve"> (Option </w:t>
      </w:r>
      <w:r w:rsidR="00E4787F" w:rsidRPr="005A3F47">
        <w:rPr>
          <w:b/>
          <w:noProof/>
        </w:rPr>
        <w:t>1</w:t>
      </w:r>
      <w:r w:rsidR="0030116D" w:rsidRPr="005A3F47">
        <w:rPr>
          <w:b/>
          <w:noProof/>
        </w:rPr>
        <w:t>A)</w:t>
      </w:r>
    </w:p>
    <w:p w14:paraId="5AE17373" w14:textId="77777777" w:rsidR="00504687" w:rsidRPr="005A3F47" w:rsidRDefault="00504687" w:rsidP="000A457B">
      <w:pPr>
        <w:rPr>
          <w:b/>
          <w:i/>
          <w:noProof/>
        </w:rPr>
      </w:pPr>
      <w:r w:rsidRPr="005A3F47">
        <w:rPr>
          <w:b/>
          <w:i/>
          <w:noProof/>
        </w:rPr>
        <w:t>Estimated interest and dividend payments</w:t>
      </w:r>
    </w:p>
    <w:p w14:paraId="1616DAE5" w14:textId="77777777" w:rsidR="00504687" w:rsidRPr="005A3F47" w:rsidRDefault="00504687" w:rsidP="000A457B">
      <w:pPr>
        <w:rPr>
          <w:noProof/>
        </w:rPr>
      </w:pPr>
      <w:r w:rsidRPr="005A3F47">
        <w:rPr>
          <w:noProof/>
        </w:rPr>
        <w:t xml:space="preserve">The following flow estimates are obtained for interest and dividend payments: </w:t>
      </w:r>
    </w:p>
    <w:p w14:paraId="05D84E0C" w14:textId="4F3A1F71" w:rsidR="00504687" w:rsidRPr="005A3F47" w:rsidRDefault="00504687" w:rsidP="000A457B">
      <w:pPr>
        <w:rPr>
          <w:noProof/>
        </w:rPr>
      </w:pPr>
      <w:r w:rsidRPr="005A3F47">
        <w:rPr>
          <w:noProof/>
        </w:rPr>
        <w:t>Estimated cost = cost-factor (</w:t>
      </w:r>
      <w:r w:rsidR="00E01A78" w:rsidRPr="005A3F47">
        <w:rPr>
          <w:noProof/>
        </w:rPr>
        <w:t xml:space="preserve">Step </w:t>
      </w:r>
      <w:r w:rsidRPr="005A3F47">
        <w:rPr>
          <w:noProof/>
        </w:rPr>
        <w:t xml:space="preserve">1) </w:t>
      </w:r>
      <w:r w:rsidRPr="005A3F47">
        <w:rPr>
          <w:i/>
          <w:noProof/>
        </w:rPr>
        <w:t>times</w:t>
      </w:r>
      <w:r w:rsidRPr="005A3F47">
        <w:rPr>
          <w:noProof/>
        </w:rPr>
        <w:t xml:space="preserve"> estimated flows (</w:t>
      </w:r>
      <w:r w:rsidR="00E01A78" w:rsidRPr="005A3F47">
        <w:rPr>
          <w:noProof/>
        </w:rPr>
        <w:t xml:space="preserve">Step </w:t>
      </w:r>
      <w:r w:rsidRPr="005A3F47">
        <w:rPr>
          <w:noProof/>
        </w:rPr>
        <w:t xml:space="preserve">2) </w:t>
      </w:r>
      <w:r w:rsidRPr="005A3F47">
        <w:rPr>
          <w:i/>
          <w:iCs/>
          <w:noProof/>
        </w:rPr>
        <w:t>times</w:t>
      </w:r>
      <w:r w:rsidRPr="005A3F47">
        <w:rPr>
          <w:noProof/>
        </w:rPr>
        <w:t xml:space="preserve"> withholding tax difference between source and investor country (</w:t>
      </w:r>
      <w:r w:rsidR="00E01A78" w:rsidRPr="005A3F47">
        <w:rPr>
          <w:noProof/>
        </w:rPr>
        <w:t>Step 4</w:t>
      </w:r>
      <w:r w:rsidRPr="005A3F47">
        <w:rPr>
          <w:noProof/>
        </w:rPr>
        <w:t>)</w:t>
      </w:r>
    </w:p>
    <w:p w14:paraId="5636E771" w14:textId="62623731" w:rsidR="00504687" w:rsidRPr="005A3F47" w:rsidRDefault="00D666A9" w:rsidP="000A457B">
      <w:pPr>
        <w:rPr>
          <w:i/>
          <w:noProof/>
        </w:rPr>
      </w:pPr>
      <w:r w:rsidRPr="005A3F47">
        <w:rPr>
          <w:i/>
          <w:noProof/>
        </w:rPr>
        <w:t>Table</w:t>
      </w:r>
      <w:r w:rsidR="00504687" w:rsidRPr="005A3F47">
        <w:rPr>
          <w:i/>
          <w:noProof/>
        </w:rPr>
        <w:t xml:space="preserve"> </w:t>
      </w:r>
      <w:r w:rsidR="001A1A94" w:rsidRPr="005A3F47">
        <w:rPr>
          <w:i/>
          <w:noProof/>
        </w:rPr>
        <w:t>1</w:t>
      </w:r>
      <w:r w:rsidR="00504687" w:rsidRPr="005A3F47">
        <w:rPr>
          <w:i/>
          <w:noProof/>
        </w:rPr>
        <w:t xml:space="preserve">: Assumptions and estimates for cross-border interest and dividend payments </w:t>
      </w:r>
      <w:r w:rsidR="00504687" w:rsidRPr="005A3F47">
        <w:rPr>
          <w:i/>
          <w:iCs/>
          <w:noProof/>
        </w:rPr>
        <w:t>within the EU</w:t>
      </w:r>
    </w:p>
    <w:p w14:paraId="1359C607" w14:textId="6CBAFC11" w:rsidR="00504687" w:rsidRPr="005A3F47" w:rsidRDefault="00D86F75" w:rsidP="00504687">
      <w:pPr>
        <w:pStyle w:val="Text2"/>
        <w:ind w:left="0"/>
        <w:rPr>
          <w:noProof/>
        </w:rPr>
      </w:pPr>
      <w:r w:rsidRPr="005A3F47">
        <w:rPr>
          <w:noProof/>
          <w:lang w:eastAsia="en-GB"/>
        </w:rPr>
        <w:drawing>
          <wp:inline distT="0" distB="0" distL="0" distR="0" wp14:anchorId="2AEE4C6A" wp14:editId="1FA5518C">
            <wp:extent cx="6101715" cy="2385695"/>
            <wp:effectExtent l="0" t="0" r="0" b="0"/>
            <wp:docPr id="482401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01715" cy="2385695"/>
                    </a:xfrm>
                    <a:prstGeom prst="rect">
                      <a:avLst/>
                    </a:prstGeom>
                    <a:noFill/>
                    <a:ln>
                      <a:noFill/>
                    </a:ln>
                  </pic:spPr>
                </pic:pic>
              </a:graphicData>
            </a:graphic>
          </wp:inline>
        </w:drawing>
      </w:r>
    </w:p>
    <w:p w14:paraId="760EA433" w14:textId="655A7659" w:rsidR="00504687" w:rsidRPr="005A3F47" w:rsidRDefault="00504687" w:rsidP="000A457B">
      <w:pPr>
        <w:rPr>
          <w:noProof/>
        </w:rPr>
      </w:pPr>
      <w:r w:rsidRPr="005A3F47">
        <w:rPr>
          <w:noProof/>
        </w:rPr>
        <w:t xml:space="preserve">The three estimated cost measures then cumulate to annual tax savings from the perspective of the investor of EUR </w:t>
      </w:r>
      <w:r w:rsidR="00906C08" w:rsidRPr="005A3F47">
        <w:rPr>
          <w:noProof/>
        </w:rPr>
        <w:t>3</w:t>
      </w:r>
      <w:r w:rsidRPr="005A3F47">
        <w:rPr>
          <w:noProof/>
        </w:rPr>
        <w:t>.</w:t>
      </w:r>
      <w:r w:rsidR="00906C08" w:rsidRPr="005A3F47">
        <w:rPr>
          <w:noProof/>
        </w:rPr>
        <w:t>6</w:t>
      </w:r>
      <w:r w:rsidRPr="005A3F47">
        <w:rPr>
          <w:noProof/>
        </w:rPr>
        <w:t xml:space="preserve"> billion for cross-country interest and dividend payments within the EU (rows 8-10). </w:t>
      </w:r>
      <w:r w:rsidR="00EE04C8" w:rsidRPr="005A3F47">
        <w:rPr>
          <w:noProof/>
        </w:rPr>
        <w:t>This is higher than the estimat</w:t>
      </w:r>
      <w:r w:rsidR="002C24EB" w:rsidRPr="005A3F47">
        <w:rPr>
          <w:noProof/>
        </w:rPr>
        <w:t>ion under</w:t>
      </w:r>
      <w:r w:rsidRPr="005A3F47">
        <w:rPr>
          <w:noProof/>
        </w:rPr>
        <w:t xml:space="preserve"> the FASTER Impact Assessment. </w:t>
      </w:r>
    </w:p>
    <w:p w14:paraId="2ABE386E" w14:textId="77777777" w:rsidR="00504687" w:rsidRPr="005A3F47" w:rsidRDefault="00504687" w:rsidP="000A457B">
      <w:pPr>
        <w:rPr>
          <w:b/>
          <w:noProof/>
        </w:rPr>
      </w:pPr>
      <w:r w:rsidRPr="005A3F47">
        <w:rPr>
          <w:b/>
          <w:noProof/>
        </w:rPr>
        <w:t>Estimated cost reduction: royalty payments</w:t>
      </w:r>
    </w:p>
    <w:p w14:paraId="5E87B032" w14:textId="6886A83D" w:rsidR="00504687" w:rsidRPr="005A3F47" w:rsidRDefault="00504687" w:rsidP="000A457B">
      <w:pPr>
        <w:rPr>
          <w:noProof/>
        </w:rPr>
      </w:pPr>
      <w:r w:rsidRPr="005A3F47">
        <w:rPr>
          <w:noProof/>
        </w:rPr>
        <w:t>Unlike interest and dividend payments, in the system of National Accounts, charges for the use of intellectual property are not considered income flows stimming from direct investment but a compensation for performing a service. We can therefore not recur on investment stocks as a starting point for flow estimates as it happened in (</w:t>
      </w:r>
      <w:r w:rsidR="00556F8C" w:rsidRPr="005A3F47">
        <w:rPr>
          <w:noProof/>
        </w:rPr>
        <w:t xml:space="preserve">Step </w:t>
      </w:r>
      <w:r w:rsidRPr="005A3F47">
        <w:rPr>
          <w:noProof/>
        </w:rPr>
        <w:t>2</w:t>
      </w:r>
      <w:r w:rsidR="00093566" w:rsidRPr="005A3F47">
        <w:rPr>
          <w:noProof/>
        </w:rPr>
        <w:t xml:space="preserve"> above</w:t>
      </w:r>
      <w:r w:rsidRPr="005A3F47">
        <w:rPr>
          <w:noProof/>
        </w:rPr>
        <w:t>) above for interest and dividends. Rather, the approach for royalties looks directly at Eurostat’s Balance of Payments statistics which measure international royalty flows</w:t>
      </w:r>
      <w:r w:rsidR="00392AA3" w:rsidRPr="005A3F47">
        <w:rPr>
          <w:noProof/>
        </w:rPr>
        <w:t xml:space="preserve"> (Step 3)</w:t>
      </w:r>
      <w:r w:rsidRPr="005A3F47">
        <w:rPr>
          <w:noProof/>
        </w:rPr>
        <w:t>. The assumptions about the cost components (</w:t>
      </w:r>
      <w:r w:rsidR="009E1A4E" w:rsidRPr="005A3F47">
        <w:rPr>
          <w:noProof/>
        </w:rPr>
        <w:t xml:space="preserve">Step </w:t>
      </w:r>
      <w:r w:rsidRPr="005A3F47">
        <w:rPr>
          <w:noProof/>
        </w:rPr>
        <w:t>1) and using the bilateral levels of withholding taxes (</w:t>
      </w:r>
      <w:r w:rsidR="009E1A4E" w:rsidRPr="005A3F47">
        <w:rPr>
          <w:noProof/>
        </w:rPr>
        <w:t>Step 4</w:t>
      </w:r>
      <w:r w:rsidRPr="005A3F47">
        <w:rPr>
          <w:noProof/>
        </w:rPr>
        <w:t xml:space="preserve">) applied to royalties are the same as above. </w:t>
      </w:r>
    </w:p>
    <w:p w14:paraId="27C2D5B0" w14:textId="10B93321" w:rsidR="00175719" w:rsidRPr="005A3F47" w:rsidRDefault="00175719" w:rsidP="000A457B">
      <w:pPr>
        <w:rPr>
          <w:noProof/>
        </w:rPr>
      </w:pPr>
      <w:r w:rsidRPr="005A3F47">
        <w:rPr>
          <w:noProof/>
        </w:rPr>
        <w:t xml:space="preserve">For royalties, the total cost amounts to EUR </w:t>
      </w:r>
      <w:r w:rsidR="00E81909" w:rsidRPr="005A3F47">
        <w:rPr>
          <w:noProof/>
        </w:rPr>
        <w:t>1.7</w:t>
      </w:r>
      <w:r w:rsidRPr="005A3F47">
        <w:rPr>
          <w:noProof/>
        </w:rPr>
        <w:t xml:space="preserve"> </w:t>
      </w:r>
      <w:r w:rsidR="00E81909" w:rsidRPr="005A3F47">
        <w:rPr>
          <w:noProof/>
        </w:rPr>
        <w:t>b</w:t>
      </w:r>
      <w:r w:rsidRPr="005A3F47">
        <w:rPr>
          <w:noProof/>
        </w:rPr>
        <w:t>illion (rows 5-7 in Table 2).</w:t>
      </w:r>
    </w:p>
    <w:p w14:paraId="167F5F02" w14:textId="56AC4F71" w:rsidR="00504687" w:rsidRPr="005A3F47" w:rsidRDefault="00D666A9" w:rsidP="00FD2FC7">
      <w:pPr>
        <w:pStyle w:val="Text2"/>
        <w:spacing w:after="0"/>
        <w:ind w:left="0"/>
        <w:rPr>
          <w:i/>
          <w:iCs/>
          <w:noProof/>
          <w:szCs w:val="24"/>
        </w:rPr>
      </w:pPr>
      <w:r w:rsidRPr="005A3F47">
        <w:rPr>
          <w:i/>
          <w:iCs/>
          <w:noProof/>
          <w:szCs w:val="24"/>
        </w:rPr>
        <w:t>Table</w:t>
      </w:r>
      <w:r w:rsidR="00504687" w:rsidRPr="005A3F47">
        <w:rPr>
          <w:i/>
          <w:iCs/>
          <w:noProof/>
          <w:szCs w:val="24"/>
        </w:rPr>
        <w:t xml:space="preserve"> </w:t>
      </w:r>
      <w:r w:rsidR="001A1A94" w:rsidRPr="005A3F47">
        <w:rPr>
          <w:i/>
          <w:iCs/>
          <w:noProof/>
          <w:szCs w:val="24"/>
        </w:rPr>
        <w:t>2</w:t>
      </w:r>
      <w:r w:rsidR="00504687" w:rsidRPr="005A3F47">
        <w:rPr>
          <w:i/>
          <w:iCs/>
          <w:noProof/>
          <w:szCs w:val="24"/>
        </w:rPr>
        <w:t>: Assumptions and estimates for cross-border royalty payments within the EU</w:t>
      </w:r>
    </w:p>
    <w:p w14:paraId="75E18A83" w14:textId="77777777" w:rsidR="00161704" w:rsidRPr="005A3F47" w:rsidRDefault="00161704" w:rsidP="00FD2FC7">
      <w:pPr>
        <w:pStyle w:val="Text2"/>
        <w:spacing w:after="0"/>
        <w:ind w:left="0"/>
        <w:rPr>
          <w:i/>
          <w:iCs/>
          <w:noProof/>
          <w:szCs w:val="24"/>
        </w:rPr>
      </w:pPr>
    </w:p>
    <w:p w14:paraId="2F6C9855" w14:textId="7DB99431" w:rsidR="00504687" w:rsidRPr="005A3F47" w:rsidRDefault="00516FCA" w:rsidP="00504687">
      <w:pPr>
        <w:pStyle w:val="Text2"/>
        <w:ind w:left="0"/>
        <w:rPr>
          <w:noProof/>
        </w:rPr>
      </w:pPr>
      <w:r w:rsidRPr="005A3F47">
        <w:rPr>
          <w:noProof/>
          <w:lang w:eastAsia="en-GB"/>
        </w:rPr>
        <w:drawing>
          <wp:inline distT="0" distB="0" distL="0" distR="0" wp14:anchorId="169B995C" wp14:editId="6BA425D4">
            <wp:extent cx="6101715" cy="1965325"/>
            <wp:effectExtent l="0" t="0" r="0" b="0"/>
            <wp:docPr id="21727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01715" cy="1965325"/>
                    </a:xfrm>
                    <a:prstGeom prst="rect">
                      <a:avLst/>
                    </a:prstGeom>
                    <a:noFill/>
                    <a:ln>
                      <a:noFill/>
                    </a:ln>
                  </pic:spPr>
                </pic:pic>
              </a:graphicData>
            </a:graphic>
          </wp:inline>
        </w:drawing>
      </w:r>
    </w:p>
    <w:p w14:paraId="4D74CDAC" w14:textId="51D58D58" w:rsidR="001D7880" w:rsidRPr="005A3F47" w:rsidRDefault="001D7880" w:rsidP="000A457B">
      <w:pPr>
        <w:rPr>
          <w:b/>
          <w:noProof/>
        </w:rPr>
      </w:pPr>
      <w:r w:rsidRPr="005A3F47">
        <w:rPr>
          <w:b/>
          <w:noProof/>
        </w:rPr>
        <w:t>Total estimated cost reduction</w:t>
      </w:r>
    </w:p>
    <w:p w14:paraId="060CAD99" w14:textId="7EE507D5" w:rsidR="004A4015" w:rsidRPr="005A3F47" w:rsidRDefault="004A4015" w:rsidP="000A457B">
      <w:pPr>
        <w:rPr>
          <w:noProof/>
        </w:rPr>
      </w:pPr>
      <w:r w:rsidRPr="005A3F47">
        <w:rPr>
          <w:noProof/>
        </w:rPr>
        <w:t xml:space="preserve">Overall, total cost reduction from the investor’s perspective (savings on foregone tax relief, opportunity costs and incurred costs) therefore amounts to an estimated EUR </w:t>
      </w:r>
      <w:r w:rsidR="00651F0B" w:rsidRPr="005A3F47">
        <w:rPr>
          <w:noProof/>
        </w:rPr>
        <w:t>5.</w:t>
      </w:r>
      <w:r w:rsidRPr="005A3F47">
        <w:rPr>
          <w:noProof/>
        </w:rPr>
        <w:t>3</w:t>
      </w:r>
      <w:r w:rsidR="0052588C">
        <w:rPr>
          <w:noProof/>
        </w:rPr>
        <w:t>4</w:t>
      </w:r>
      <w:r w:rsidRPr="005A3F47">
        <w:rPr>
          <w:noProof/>
        </w:rPr>
        <w:t xml:space="preserve"> billion per year for interest, dividend and royalty payments (rows 1-3 of Table 3).</w:t>
      </w:r>
    </w:p>
    <w:p w14:paraId="2CE6AC94" w14:textId="7278406E" w:rsidR="00332B1E" w:rsidRPr="005A3F47" w:rsidRDefault="00332B1E" w:rsidP="00DE6B6A">
      <w:pPr>
        <w:pStyle w:val="Text2"/>
        <w:spacing w:after="120"/>
        <w:ind w:left="0"/>
        <w:rPr>
          <w:i/>
          <w:iCs/>
          <w:noProof/>
          <w:szCs w:val="24"/>
        </w:rPr>
      </w:pPr>
      <w:r w:rsidRPr="005A3F47">
        <w:rPr>
          <w:i/>
          <w:iCs/>
          <w:noProof/>
          <w:szCs w:val="24"/>
        </w:rPr>
        <w:t xml:space="preserve">Table 3: </w:t>
      </w:r>
      <w:r w:rsidR="00373FFB" w:rsidRPr="005A3F47">
        <w:rPr>
          <w:i/>
          <w:iCs/>
          <w:noProof/>
          <w:szCs w:val="24"/>
        </w:rPr>
        <w:t>Total estimates for cross-border payments within the EU and tax revenue losses</w:t>
      </w:r>
      <w:r w:rsidR="00114A89" w:rsidRPr="005A3F47">
        <w:rPr>
          <w:i/>
          <w:iCs/>
          <w:noProof/>
          <w:szCs w:val="24"/>
        </w:rPr>
        <w:t>, Option 1A</w:t>
      </w:r>
      <w:r w:rsidR="009E445C" w:rsidRPr="005A3F47">
        <w:rPr>
          <w:i/>
          <w:iCs/>
          <w:noProof/>
          <w:szCs w:val="24"/>
        </w:rPr>
        <w:t xml:space="preserve"> (million EUR)</w:t>
      </w:r>
    </w:p>
    <w:p w14:paraId="5324D42A" w14:textId="6A08FAF7" w:rsidR="0030116D" w:rsidRPr="005A3F47" w:rsidRDefault="00651F0B" w:rsidP="004B628D">
      <w:pPr>
        <w:pStyle w:val="Text2"/>
        <w:ind w:left="0"/>
        <w:rPr>
          <w:noProof/>
        </w:rPr>
      </w:pPr>
      <w:r w:rsidRPr="005A3F47">
        <w:rPr>
          <w:noProof/>
          <w:lang w:eastAsia="en-GB"/>
        </w:rPr>
        <w:drawing>
          <wp:inline distT="0" distB="0" distL="0" distR="0" wp14:anchorId="27B66A44" wp14:editId="41D7297B">
            <wp:extent cx="6101715" cy="798195"/>
            <wp:effectExtent l="0" t="0" r="0" b="0"/>
            <wp:docPr id="243345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01715" cy="798195"/>
                    </a:xfrm>
                    <a:prstGeom prst="rect">
                      <a:avLst/>
                    </a:prstGeom>
                    <a:noFill/>
                    <a:ln>
                      <a:noFill/>
                    </a:ln>
                  </pic:spPr>
                </pic:pic>
              </a:graphicData>
            </a:graphic>
          </wp:inline>
        </w:drawing>
      </w:r>
    </w:p>
    <w:p w14:paraId="20EE6FD5" w14:textId="77777777" w:rsidR="0008699A" w:rsidRPr="005A3F47" w:rsidRDefault="0008699A" w:rsidP="004B628D">
      <w:pPr>
        <w:pStyle w:val="Text2"/>
        <w:ind w:left="0"/>
        <w:rPr>
          <w:noProof/>
        </w:rPr>
      </w:pPr>
    </w:p>
    <w:p w14:paraId="3F5F5BE7" w14:textId="1D004FB1" w:rsidR="000D3ED5" w:rsidRPr="005A3F47" w:rsidRDefault="000D3ED5" w:rsidP="000A457B">
      <w:pPr>
        <w:rPr>
          <w:b/>
          <w:noProof/>
        </w:rPr>
      </w:pPr>
      <w:r w:rsidRPr="005A3F47">
        <w:rPr>
          <w:b/>
          <w:noProof/>
        </w:rPr>
        <w:t>C</w:t>
      </w:r>
      <w:r w:rsidR="00B8364B" w:rsidRPr="005A3F47">
        <w:rPr>
          <w:b/>
          <w:noProof/>
        </w:rPr>
        <w:t>o</w:t>
      </w:r>
      <w:r w:rsidRPr="005A3F47">
        <w:rPr>
          <w:b/>
          <w:noProof/>
        </w:rPr>
        <w:t xml:space="preserve">st </w:t>
      </w:r>
      <w:r w:rsidR="003926D0" w:rsidRPr="005A3F47">
        <w:rPr>
          <w:b/>
          <w:noProof/>
        </w:rPr>
        <w:t xml:space="preserve">relief </w:t>
      </w:r>
      <w:r w:rsidRPr="005A3F47">
        <w:rPr>
          <w:b/>
          <w:noProof/>
        </w:rPr>
        <w:t xml:space="preserve">estimates for companies: </w:t>
      </w:r>
      <w:r w:rsidR="003A3203" w:rsidRPr="005A3F47">
        <w:rPr>
          <w:b/>
          <w:noProof/>
        </w:rPr>
        <w:t xml:space="preserve">Alignment of scope and procedures </w:t>
      </w:r>
      <w:r w:rsidRPr="005A3F47">
        <w:rPr>
          <w:b/>
          <w:noProof/>
        </w:rPr>
        <w:t xml:space="preserve">(Option </w:t>
      </w:r>
      <w:r w:rsidR="00E4787F" w:rsidRPr="005A3F47">
        <w:rPr>
          <w:b/>
          <w:noProof/>
        </w:rPr>
        <w:t>1</w:t>
      </w:r>
      <w:r w:rsidRPr="005A3F47">
        <w:rPr>
          <w:b/>
          <w:noProof/>
        </w:rPr>
        <w:t>B)</w:t>
      </w:r>
    </w:p>
    <w:p w14:paraId="3DEA4053" w14:textId="32974FF0" w:rsidR="002B6510" w:rsidRPr="005A3F47" w:rsidRDefault="004E0DE7" w:rsidP="00EB312C">
      <w:pPr>
        <w:rPr>
          <w:noProof/>
        </w:rPr>
      </w:pPr>
      <w:r w:rsidRPr="005A3F47">
        <w:rPr>
          <w:noProof/>
        </w:rPr>
        <w:t>We estimate the impact of lowering the holding requirement of the Interest and Royalty Directive (IRD) from today’s 25% down to 10%.</w:t>
      </w:r>
      <w:r w:rsidR="00ED7F9B" w:rsidRPr="005A3F47">
        <w:rPr>
          <w:noProof/>
        </w:rPr>
        <w:t xml:space="preserve"> </w:t>
      </w:r>
      <w:r w:rsidR="009C66D9" w:rsidRPr="005A3F47">
        <w:rPr>
          <w:noProof/>
        </w:rPr>
        <w:t>This lowering will bring more investors under the IRD</w:t>
      </w:r>
      <w:r w:rsidR="008F4F9C" w:rsidRPr="005A3F47">
        <w:rPr>
          <w:noProof/>
        </w:rPr>
        <w:t>, so that</w:t>
      </w:r>
      <w:r w:rsidR="004B64A4" w:rsidRPr="005A3F47">
        <w:rPr>
          <w:noProof/>
        </w:rPr>
        <w:t xml:space="preserve"> more investors would see their payments exempt form a WHT. </w:t>
      </w:r>
      <w:r w:rsidR="00F2194E" w:rsidRPr="005A3F47">
        <w:rPr>
          <w:noProof/>
        </w:rPr>
        <w:t xml:space="preserve">How many investors may be affected </w:t>
      </w:r>
      <w:r w:rsidR="00270C2C" w:rsidRPr="005A3F47">
        <w:rPr>
          <w:noProof/>
        </w:rPr>
        <w:t>by that?</w:t>
      </w:r>
      <w:r w:rsidR="00EB312C" w:rsidRPr="005A3F47">
        <w:rPr>
          <w:noProof/>
        </w:rPr>
        <w:t xml:space="preserve"> To </w:t>
      </w:r>
      <w:r w:rsidR="001700AD" w:rsidRPr="005A3F47">
        <w:rPr>
          <w:noProof/>
        </w:rPr>
        <w:t>roughly estimate</w:t>
      </w:r>
      <w:r w:rsidR="00EB312C" w:rsidRPr="005A3F47">
        <w:rPr>
          <w:noProof/>
        </w:rPr>
        <w:t xml:space="preserve"> this, one </w:t>
      </w:r>
      <w:r w:rsidR="005A6D1C" w:rsidRPr="005A3F47">
        <w:rPr>
          <w:noProof/>
        </w:rPr>
        <w:t>should first estimate</w:t>
      </w:r>
      <w:r w:rsidR="003448A7" w:rsidRPr="005A3F47">
        <w:rPr>
          <w:noProof/>
        </w:rPr>
        <w:t xml:space="preserve"> </w:t>
      </w:r>
      <w:r w:rsidR="00757BE6" w:rsidRPr="005A3F47">
        <w:rPr>
          <w:noProof/>
        </w:rPr>
        <w:t xml:space="preserve">the share of </w:t>
      </w:r>
      <w:r w:rsidR="000F1309" w:rsidRPr="005A3F47">
        <w:rPr>
          <w:noProof/>
        </w:rPr>
        <w:t xml:space="preserve">investors </w:t>
      </w:r>
      <w:r w:rsidR="00D52935" w:rsidRPr="005A3F47">
        <w:rPr>
          <w:noProof/>
        </w:rPr>
        <w:t>today holding shares between 10%</w:t>
      </w:r>
      <w:r w:rsidR="00F00522" w:rsidRPr="005A3F47">
        <w:rPr>
          <w:noProof/>
        </w:rPr>
        <w:t xml:space="preserve"> and 25%</w:t>
      </w:r>
      <w:r w:rsidR="00BF61F1" w:rsidRPr="005A3F47">
        <w:rPr>
          <w:noProof/>
        </w:rPr>
        <w:t>.</w:t>
      </w:r>
      <w:r w:rsidR="003F453F" w:rsidRPr="005A3F47">
        <w:rPr>
          <w:noProof/>
        </w:rPr>
        <w:t xml:space="preserve"> </w:t>
      </w:r>
    </w:p>
    <w:p w14:paraId="1B33189A" w14:textId="7754AFFB" w:rsidR="001848E3" w:rsidRPr="005A3F47" w:rsidRDefault="005F00ED" w:rsidP="00DE6B6A">
      <w:pPr>
        <w:pStyle w:val="Text2"/>
        <w:spacing w:after="120"/>
        <w:ind w:left="0"/>
        <w:rPr>
          <w:i/>
          <w:iCs/>
          <w:noProof/>
          <w:szCs w:val="24"/>
        </w:rPr>
      </w:pPr>
      <w:r w:rsidRPr="005A3F47">
        <w:rPr>
          <w:i/>
          <w:iCs/>
          <w:noProof/>
          <w:szCs w:val="24"/>
        </w:rPr>
        <w:t xml:space="preserve">Table </w:t>
      </w:r>
      <w:r w:rsidR="00955F24" w:rsidRPr="005A3F47">
        <w:rPr>
          <w:i/>
          <w:iCs/>
          <w:noProof/>
          <w:szCs w:val="24"/>
        </w:rPr>
        <w:t>4</w:t>
      </w:r>
      <w:r w:rsidRPr="005A3F47">
        <w:rPr>
          <w:i/>
          <w:iCs/>
          <w:noProof/>
          <w:szCs w:val="24"/>
        </w:rPr>
        <w:t xml:space="preserve">: </w:t>
      </w:r>
      <w:r w:rsidR="00E92449" w:rsidRPr="005A3F47">
        <w:rPr>
          <w:i/>
          <w:iCs/>
          <w:noProof/>
          <w:szCs w:val="24"/>
        </w:rPr>
        <w:t xml:space="preserve">Rough estimate of flows </w:t>
      </w:r>
      <w:r w:rsidR="00857F89" w:rsidRPr="005A3F47">
        <w:rPr>
          <w:i/>
          <w:iCs/>
          <w:noProof/>
          <w:szCs w:val="24"/>
        </w:rPr>
        <w:t xml:space="preserve">from </w:t>
      </w:r>
      <w:r w:rsidR="00A51996" w:rsidRPr="005A3F47">
        <w:rPr>
          <w:i/>
          <w:iCs/>
          <w:noProof/>
          <w:szCs w:val="24"/>
        </w:rPr>
        <w:t>shareholdings between 10% and 25%</w:t>
      </w:r>
      <w:r w:rsidR="007E1EBF" w:rsidRPr="005A3F47">
        <w:rPr>
          <w:i/>
          <w:iCs/>
          <w:noProof/>
          <w:szCs w:val="24"/>
        </w:rPr>
        <w:t xml:space="preserve"> </w:t>
      </w:r>
    </w:p>
    <w:p w14:paraId="211C54C9" w14:textId="77C7CB2E" w:rsidR="005F00ED" w:rsidRPr="005A3F47" w:rsidRDefault="004D6C1F" w:rsidP="002E359B">
      <w:pPr>
        <w:pStyle w:val="Text2"/>
        <w:ind w:left="0"/>
        <w:rPr>
          <w:noProof/>
        </w:rPr>
      </w:pPr>
      <w:r w:rsidRPr="005A3F47">
        <w:rPr>
          <w:noProof/>
          <w:lang w:eastAsia="en-GB"/>
        </w:rPr>
        <w:drawing>
          <wp:inline distT="0" distB="0" distL="0" distR="0" wp14:anchorId="0339E275" wp14:editId="2F128F07">
            <wp:extent cx="6101715" cy="560070"/>
            <wp:effectExtent l="0" t="0" r="0" b="0"/>
            <wp:docPr id="482572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01715" cy="560070"/>
                    </a:xfrm>
                    <a:prstGeom prst="rect">
                      <a:avLst/>
                    </a:prstGeom>
                    <a:noFill/>
                    <a:ln>
                      <a:noFill/>
                    </a:ln>
                  </pic:spPr>
                </pic:pic>
              </a:graphicData>
            </a:graphic>
          </wp:inline>
        </w:drawing>
      </w:r>
    </w:p>
    <w:p w14:paraId="3347BD58" w14:textId="2C716010" w:rsidR="00C47455" w:rsidRPr="005A3F47" w:rsidRDefault="002E359B" w:rsidP="00C47455">
      <w:pPr>
        <w:rPr>
          <w:noProof/>
        </w:rPr>
      </w:pPr>
      <w:r w:rsidRPr="005A3F47">
        <w:rPr>
          <w:noProof/>
        </w:rPr>
        <w:t xml:space="preserve">A query run on the </w:t>
      </w:r>
      <w:r w:rsidR="00B851B1" w:rsidRPr="005A3F47">
        <w:rPr>
          <w:noProof/>
        </w:rPr>
        <w:t>company</w:t>
      </w:r>
      <w:r w:rsidRPr="005A3F47">
        <w:rPr>
          <w:noProof/>
        </w:rPr>
        <w:t xml:space="preserve"> level database </w:t>
      </w:r>
      <w:r w:rsidRPr="005A3F47">
        <w:rPr>
          <w:i/>
          <w:noProof/>
        </w:rPr>
        <w:t>Orbis</w:t>
      </w:r>
      <w:r w:rsidRPr="005A3F47">
        <w:rPr>
          <w:noProof/>
        </w:rPr>
        <w:t xml:space="preserve"> shows that the percentage of EU-located shareholders holding </w:t>
      </w:r>
      <w:r w:rsidR="001848E3" w:rsidRPr="005A3F47">
        <w:rPr>
          <w:noProof/>
        </w:rPr>
        <w:t>less than</w:t>
      </w:r>
      <w:r w:rsidRPr="005A3F47">
        <w:rPr>
          <w:noProof/>
        </w:rPr>
        <w:t xml:space="preserve"> 10% shares in EU-located subsidiaries is </w:t>
      </w:r>
      <w:r w:rsidR="001848E3" w:rsidRPr="005A3F47">
        <w:rPr>
          <w:noProof/>
        </w:rPr>
        <w:t>10</w:t>
      </w:r>
      <w:r w:rsidRPr="005A3F47">
        <w:rPr>
          <w:noProof/>
        </w:rPr>
        <w:t>%</w:t>
      </w:r>
      <w:r w:rsidR="001848E3" w:rsidRPr="005A3F47">
        <w:rPr>
          <w:noProof/>
        </w:rPr>
        <w:t xml:space="preserve"> (Table 4)</w:t>
      </w:r>
      <w:r w:rsidRPr="005A3F47">
        <w:rPr>
          <w:noProof/>
        </w:rPr>
        <w:t xml:space="preserve">. For a share of at least 25% the percentage is </w:t>
      </w:r>
      <w:r w:rsidR="001848E3" w:rsidRPr="005A3F47">
        <w:rPr>
          <w:noProof/>
        </w:rPr>
        <w:t>17</w:t>
      </w:r>
      <w:r w:rsidRPr="005A3F47">
        <w:rPr>
          <w:noProof/>
        </w:rPr>
        <w:t>%</w:t>
      </w:r>
      <w:r w:rsidR="00AA115B" w:rsidRPr="005A3F47">
        <w:rPr>
          <w:noProof/>
        </w:rPr>
        <w:t xml:space="preserve">. </w:t>
      </w:r>
      <w:r w:rsidR="001316D0" w:rsidRPr="005A3F47">
        <w:rPr>
          <w:noProof/>
        </w:rPr>
        <w:t>A</w:t>
      </w:r>
      <w:r w:rsidR="00474FEA" w:rsidRPr="005A3F47">
        <w:rPr>
          <w:noProof/>
        </w:rPr>
        <w:t>lign</w:t>
      </w:r>
      <w:r w:rsidR="001316D0" w:rsidRPr="005A3F47">
        <w:rPr>
          <w:noProof/>
        </w:rPr>
        <w:t>ing</w:t>
      </w:r>
      <w:r w:rsidR="00474FEA" w:rsidRPr="005A3F47">
        <w:rPr>
          <w:noProof/>
        </w:rPr>
        <w:t xml:space="preserve"> </w:t>
      </w:r>
      <w:r w:rsidR="006F01A2" w:rsidRPr="005A3F47">
        <w:rPr>
          <w:noProof/>
        </w:rPr>
        <w:t xml:space="preserve">the </w:t>
      </w:r>
      <w:r w:rsidR="00284EE2" w:rsidRPr="005A3F47">
        <w:rPr>
          <w:noProof/>
        </w:rPr>
        <w:t xml:space="preserve">holding requirement </w:t>
      </w:r>
      <w:r w:rsidR="004B77B0" w:rsidRPr="005A3F47">
        <w:rPr>
          <w:noProof/>
        </w:rPr>
        <w:t xml:space="preserve">for interest and royalty </w:t>
      </w:r>
      <w:r w:rsidR="00284EE2" w:rsidRPr="005A3F47">
        <w:rPr>
          <w:noProof/>
        </w:rPr>
        <w:t xml:space="preserve">payments to </w:t>
      </w:r>
      <w:r w:rsidR="009651CB" w:rsidRPr="005A3F47">
        <w:rPr>
          <w:noProof/>
        </w:rPr>
        <w:t xml:space="preserve">the one stipulated in </w:t>
      </w:r>
      <w:r w:rsidR="002F7E22" w:rsidRPr="005A3F47">
        <w:rPr>
          <w:noProof/>
        </w:rPr>
        <w:t>the PSD</w:t>
      </w:r>
      <w:r w:rsidR="009651CB" w:rsidRPr="005A3F47">
        <w:rPr>
          <w:noProof/>
        </w:rPr>
        <w:t xml:space="preserve"> for </w:t>
      </w:r>
      <w:r w:rsidR="000C1D4D" w:rsidRPr="005A3F47">
        <w:rPr>
          <w:noProof/>
        </w:rPr>
        <w:t>dividends</w:t>
      </w:r>
      <w:r w:rsidR="00C84244" w:rsidRPr="005A3F47">
        <w:rPr>
          <w:noProof/>
        </w:rPr>
        <w:t xml:space="preserve"> would thus affect</w:t>
      </w:r>
      <w:r w:rsidR="000C6349" w:rsidRPr="005A3F47">
        <w:rPr>
          <w:noProof/>
        </w:rPr>
        <w:t xml:space="preserve"> </w:t>
      </w:r>
      <w:r w:rsidR="00E874D0" w:rsidRPr="005A3F47">
        <w:rPr>
          <w:noProof/>
        </w:rPr>
        <w:t>about 7% of interest and royalty payments</w:t>
      </w:r>
      <w:r w:rsidR="00A26767" w:rsidRPr="005A3F47">
        <w:rPr>
          <w:noProof/>
        </w:rPr>
        <w:t>,</w:t>
      </w:r>
      <w:r w:rsidR="00E874D0" w:rsidRPr="005A3F47">
        <w:rPr>
          <w:noProof/>
        </w:rPr>
        <w:t xml:space="preserve"> as those are the estimated shares of companies with holdings between 10% and 25%. </w:t>
      </w:r>
      <w:r w:rsidR="000118A9" w:rsidRPr="005A3F47">
        <w:rPr>
          <w:noProof/>
        </w:rPr>
        <w:t xml:space="preserve">In other words, </w:t>
      </w:r>
      <w:r w:rsidR="00F60130" w:rsidRPr="005A3F47">
        <w:rPr>
          <w:noProof/>
        </w:rPr>
        <w:t xml:space="preserve">Option 1B would </w:t>
      </w:r>
      <w:r w:rsidR="005A2C66" w:rsidRPr="005A3F47">
        <w:rPr>
          <w:noProof/>
        </w:rPr>
        <w:t xml:space="preserve">‘free’ </w:t>
      </w:r>
      <w:r w:rsidR="00F0405F" w:rsidRPr="005A3F47">
        <w:rPr>
          <w:noProof/>
        </w:rPr>
        <w:t xml:space="preserve">7% of </w:t>
      </w:r>
      <w:r w:rsidR="0013078B" w:rsidRPr="005A3F47">
        <w:rPr>
          <w:noProof/>
        </w:rPr>
        <w:t>royalt</w:t>
      </w:r>
      <w:r w:rsidR="00F0405F" w:rsidRPr="005A3F47">
        <w:rPr>
          <w:noProof/>
        </w:rPr>
        <w:t>y</w:t>
      </w:r>
      <w:r w:rsidR="0013078B" w:rsidRPr="005A3F47">
        <w:rPr>
          <w:noProof/>
        </w:rPr>
        <w:t xml:space="preserve"> and interest payments </w:t>
      </w:r>
      <w:r w:rsidR="00C5378C" w:rsidRPr="005A3F47">
        <w:rPr>
          <w:noProof/>
        </w:rPr>
        <w:t>from a withholding tax</w:t>
      </w:r>
      <w:r w:rsidR="006C66BE" w:rsidRPr="005A3F47">
        <w:rPr>
          <w:noProof/>
        </w:rPr>
        <w:t xml:space="preserve">, while Option </w:t>
      </w:r>
      <w:r w:rsidR="00A40613" w:rsidRPr="005A3F47">
        <w:rPr>
          <w:noProof/>
        </w:rPr>
        <w:t>1</w:t>
      </w:r>
      <w:r w:rsidR="006C66BE" w:rsidRPr="005A3F47">
        <w:rPr>
          <w:noProof/>
        </w:rPr>
        <w:t xml:space="preserve">A would free 17% </w:t>
      </w:r>
      <w:r w:rsidR="00947E26" w:rsidRPr="005A3F47">
        <w:rPr>
          <w:noProof/>
        </w:rPr>
        <w:t>of royalty and interest payments from a withholding tax.</w:t>
      </w:r>
      <w:r w:rsidR="00BF4921" w:rsidRPr="005A3F47">
        <w:rPr>
          <w:noProof/>
        </w:rPr>
        <w:t xml:space="preserve"> </w:t>
      </w:r>
      <w:r w:rsidR="00C152AE" w:rsidRPr="005A3F47">
        <w:rPr>
          <w:noProof/>
        </w:rPr>
        <w:t xml:space="preserve">The </w:t>
      </w:r>
      <w:r w:rsidR="00F62158" w:rsidRPr="005A3F47">
        <w:rPr>
          <w:noProof/>
        </w:rPr>
        <w:t xml:space="preserve">ratio </w:t>
      </w:r>
      <w:r w:rsidR="00F77D32" w:rsidRPr="005A3F47">
        <w:rPr>
          <w:noProof/>
        </w:rPr>
        <w:t>between</w:t>
      </w:r>
      <w:r w:rsidR="00F62158" w:rsidRPr="005A3F47">
        <w:rPr>
          <w:noProof/>
        </w:rPr>
        <w:t xml:space="preserve"> </w:t>
      </w:r>
      <w:r w:rsidR="00C152AE" w:rsidRPr="005A3F47">
        <w:rPr>
          <w:noProof/>
        </w:rPr>
        <w:t xml:space="preserve">savings </w:t>
      </w:r>
      <w:r w:rsidR="00783FAD" w:rsidRPr="005A3F47">
        <w:rPr>
          <w:noProof/>
        </w:rPr>
        <w:t xml:space="preserve">for royalties and interest payments </w:t>
      </w:r>
      <w:r w:rsidR="00F62158" w:rsidRPr="005A3F47">
        <w:rPr>
          <w:noProof/>
        </w:rPr>
        <w:t xml:space="preserve">between Option B and Option A </w:t>
      </w:r>
      <w:r w:rsidR="00F77D32" w:rsidRPr="005A3F47">
        <w:rPr>
          <w:noProof/>
        </w:rPr>
        <w:t xml:space="preserve">is </w:t>
      </w:r>
      <w:r w:rsidR="00040A41" w:rsidRPr="005A3F47">
        <w:rPr>
          <w:noProof/>
        </w:rPr>
        <w:t xml:space="preserve">therefore </w:t>
      </w:r>
      <w:r w:rsidR="008041AE" w:rsidRPr="005A3F47">
        <w:rPr>
          <w:noProof/>
        </w:rPr>
        <w:t>7%/17%.</w:t>
      </w:r>
      <w:r w:rsidR="00C32287" w:rsidRPr="005A3F47">
        <w:rPr>
          <w:noProof/>
        </w:rPr>
        <w:t xml:space="preserve"> </w:t>
      </w:r>
      <w:r w:rsidR="00581D98" w:rsidRPr="005A3F47">
        <w:rPr>
          <w:noProof/>
        </w:rPr>
        <w:t>With this assumption, l</w:t>
      </w:r>
      <w:r w:rsidR="00C47455" w:rsidRPr="005A3F47">
        <w:rPr>
          <w:noProof/>
        </w:rPr>
        <w:t xml:space="preserve">owering the IRD requirement could result in cost savings of about EUR </w:t>
      </w:r>
      <w:r w:rsidR="00D2060D" w:rsidRPr="005A3F47">
        <w:rPr>
          <w:noProof/>
        </w:rPr>
        <w:t>1.5</w:t>
      </w:r>
      <w:r w:rsidR="00C47455" w:rsidRPr="005A3F47">
        <w:rPr>
          <w:noProof/>
        </w:rPr>
        <w:t xml:space="preserve"> billion per year</w:t>
      </w:r>
      <w:r w:rsidR="00782AE1" w:rsidRPr="005A3F47">
        <w:rPr>
          <w:noProof/>
        </w:rPr>
        <w:t xml:space="preserve">. This is shown in </w:t>
      </w:r>
      <w:r w:rsidR="00C32287" w:rsidRPr="005A3F47">
        <w:rPr>
          <w:noProof/>
        </w:rPr>
        <w:t>Table 5</w:t>
      </w:r>
      <w:r w:rsidR="00FB637A" w:rsidRPr="005A3F47">
        <w:rPr>
          <w:noProof/>
        </w:rPr>
        <w:t>.</w:t>
      </w:r>
      <w:r w:rsidR="00782AE1" w:rsidRPr="005A3F47">
        <w:rPr>
          <w:noProof/>
        </w:rPr>
        <w:t xml:space="preserve"> </w:t>
      </w:r>
    </w:p>
    <w:p w14:paraId="7585EFE9" w14:textId="7AA0DC24" w:rsidR="00516116" w:rsidRPr="005A3F47" w:rsidRDefault="00516116" w:rsidP="00516116">
      <w:pPr>
        <w:pStyle w:val="Text2"/>
        <w:spacing w:after="0"/>
        <w:ind w:left="0"/>
        <w:rPr>
          <w:i/>
          <w:iCs/>
          <w:noProof/>
          <w:szCs w:val="24"/>
        </w:rPr>
      </w:pPr>
      <w:r w:rsidRPr="005A3F47">
        <w:rPr>
          <w:i/>
          <w:iCs/>
          <w:noProof/>
          <w:szCs w:val="24"/>
        </w:rPr>
        <w:t>Table 5</w:t>
      </w:r>
      <w:r w:rsidR="00114A89" w:rsidRPr="005A3F47">
        <w:rPr>
          <w:i/>
          <w:iCs/>
          <w:noProof/>
          <w:szCs w:val="24"/>
        </w:rPr>
        <w:t>: Cost estimate Option 1B</w:t>
      </w:r>
      <w:r w:rsidR="009E445C" w:rsidRPr="005A3F47">
        <w:rPr>
          <w:i/>
          <w:iCs/>
          <w:noProof/>
          <w:szCs w:val="24"/>
        </w:rPr>
        <w:t xml:space="preserve"> (million EUR)</w:t>
      </w:r>
    </w:p>
    <w:p w14:paraId="15753611" w14:textId="77777777" w:rsidR="00114A89" w:rsidRPr="005A3F47" w:rsidRDefault="00114A89" w:rsidP="00516116">
      <w:pPr>
        <w:pStyle w:val="Text2"/>
        <w:spacing w:after="0"/>
        <w:ind w:left="0"/>
        <w:rPr>
          <w:i/>
          <w:iCs/>
          <w:noProof/>
          <w:sz w:val="20"/>
        </w:rPr>
      </w:pPr>
    </w:p>
    <w:p w14:paraId="4E8858D7" w14:textId="39AC6E4B" w:rsidR="00516116" w:rsidRPr="005A3F47" w:rsidRDefault="00B70C61" w:rsidP="00E874D0">
      <w:pPr>
        <w:rPr>
          <w:noProof/>
        </w:rPr>
      </w:pPr>
      <w:r w:rsidRPr="005A3F47">
        <w:rPr>
          <w:noProof/>
          <w:lang w:eastAsia="en-GB"/>
        </w:rPr>
        <w:drawing>
          <wp:inline distT="0" distB="0" distL="0" distR="0" wp14:anchorId="7F47DE78" wp14:editId="39F4261D">
            <wp:extent cx="6101715" cy="690880"/>
            <wp:effectExtent l="0" t="0" r="0" b="0"/>
            <wp:docPr id="186943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01715" cy="690880"/>
                    </a:xfrm>
                    <a:prstGeom prst="rect">
                      <a:avLst/>
                    </a:prstGeom>
                    <a:noFill/>
                    <a:ln>
                      <a:noFill/>
                    </a:ln>
                  </pic:spPr>
                </pic:pic>
              </a:graphicData>
            </a:graphic>
          </wp:inline>
        </w:drawing>
      </w:r>
    </w:p>
    <w:p w14:paraId="54C2448B" w14:textId="77777777" w:rsidR="0008699A" w:rsidRPr="005A3F47" w:rsidRDefault="0008699A" w:rsidP="00E874D0">
      <w:pPr>
        <w:rPr>
          <w:noProof/>
        </w:rPr>
      </w:pPr>
    </w:p>
    <w:p w14:paraId="71638A84" w14:textId="1FCA84F7" w:rsidR="002B75E6" w:rsidRPr="005A3F47" w:rsidRDefault="002B75E6" w:rsidP="009613EB">
      <w:pPr>
        <w:ind w:firstLine="720"/>
        <w:rPr>
          <w:b/>
          <w:noProof/>
        </w:rPr>
      </w:pPr>
      <w:r w:rsidRPr="005A3F47">
        <w:rPr>
          <w:b/>
          <w:noProof/>
        </w:rPr>
        <w:t xml:space="preserve">Caveat for </w:t>
      </w:r>
      <w:r w:rsidR="009B1DB5" w:rsidRPr="005A3F47">
        <w:rPr>
          <w:b/>
          <w:noProof/>
        </w:rPr>
        <w:t>estimate</w:t>
      </w:r>
      <w:r w:rsidR="0010285A" w:rsidRPr="005A3F47">
        <w:rPr>
          <w:b/>
          <w:noProof/>
        </w:rPr>
        <w:t>s</w:t>
      </w:r>
      <w:r w:rsidR="00D5690C" w:rsidRPr="005A3F47">
        <w:rPr>
          <w:b/>
          <w:noProof/>
        </w:rPr>
        <w:t xml:space="preserve"> of </w:t>
      </w:r>
      <w:r w:rsidRPr="005A3F47">
        <w:rPr>
          <w:b/>
          <w:noProof/>
        </w:rPr>
        <w:t>both options</w:t>
      </w:r>
    </w:p>
    <w:p w14:paraId="1A7DC06A" w14:textId="336A8543" w:rsidR="002B75E6" w:rsidRPr="005A3F47" w:rsidRDefault="004D0295" w:rsidP="002B75E6">
      <w:pPr>
        <w:pStyle w:val="Text2"/>
        <w:ind w:left="0"/>
        <w:rPr>
          <w:noProof/>
        </w:rPr>
      </w:pPr>
      <w:r w:rsidRPr="005A3F47">
        <w:rPr>
          <w:noProof/>
        </w:rPr>
        <w:t>A</w:t>
      </w:r>
      <w:r w:rsidR="002918BA" w:rsidRPr="005A3F47">
        <w:rPr>
          <w:noProof/>
        </w:rPr>
        <w:t>s a</w:t>
      </w:r>
      <w:r w:rsidRPr="005A3F47">
        <w:rPr>
          <w:noProof/>
        </w:rPr>
        <w:t xml:space="preserve">n outcome </w:t>
      </w:r>
      <w:r w:rsidR="002918BA" w:rsidRPr="005A3F47">
        <w:rPr>
          <w:noProof/>
        </w:rPr>
        <w:t>of the approaches explained in detail above</w:t>
      </w:r>
      <w:r w:rsidRPr="005A3F47">
        <w:rPr>
          <w:noProof/>
        </w:rPr>
        <w:t xml:space="preserve">, the estimated cost savings of exempting intra-EU </w:t>
      </w:r>
      <w:r w:rsidR="00A207A4" w:rsidRPr="005A3F47">
        <w:rPr>
          <w:noProof/>
        </w:rPr>
        <w:t>interest, royalty and dividend payments from WHT</w:t>
      </w:r>
      <w:r w:rsidR="003E3533" w:rsidRPr="005A3F47">
        <w:rPr>
          <w:noProof/>
        </w:rPr>
        <w:t xml:space="preserve"> amount to</w:t>
      </w:r>
      <w:r w:rsidR="002B75E6" w:rsidRPr="005A3F47">
        <w:rPr>
          <w:noProof/>
        </w:rPr>
        <w:t xml:space="preserve"> about EUR </w:t>
      </w:r>
      <w:r w:rsidR="003A2533" w:rsidRPr="005A3F47">
        <w:rPr>
          <w:noProof/>
        </w:rPr>
        <w:t>5.</w:t>
      </w:r>
      <w:r w:rsidR="002B75E6" w:rsidRPr="005A3F47">
        <w:rPr>
          <w:noProof/>
        </w:rPr>
        <w:t>3</w:t>
      </w:r>
      <w:r w:rsidR="0052588C">
        <w:rPr>
          <w:noProof/>
        </w:rPr>
        <w:t>4</w:t>
      </w:r>
      <w:r w:rsidR="002B75E6" w:rsidRPr="005A3F47">
        <w:rPr>
          <w:noProof/>
        </w:rPr>
        <w:t xml:space="preserve"> billion per year (Option 1A) and EUR </w:t>
      </w:r>
      <w:r w:rsidR="007A6D72" w:rsidRPr="005A3F47">
        <w:rPr>
          <w:noProof/>
        </w:rPr>
        <w:t>1.5</w:t>
      </w:r>
      <w:r w:rsidR="002B75E6" w:rsidRPr="005A3F47">
        <w:rPr>
          <w:noProof/>
        </w:rPr>
        <w:t xml:space="preserve"> billion (Option 1B). There are</w:t>
      </w:r>
      <w:r w:rsidR="007E4EB2" w:rsidRPr="005A3F47">
        <w:rPr>
          <w:noProof/>
        </w:rPr>
        <w:t>, however,</w:t>
      </w:r>
      <w:r w:rsidR="002B75E6" w:rsidRPr="005A3F47">
        <w:rPr>
          <w:noProof/>
        </w:rPr>
        <w:t xml:space="preserve"> two uncertainties linked to these estimates</w:t>
      </w:r>
      <w:r w:rsidR="007E4EB2" w:rsidRPr="005A3F47">
        <w:rPr>
          <w:noProof/>
        </w:rPr>
        <w:t xml:space="preserve"> that should be taken into consideration</w:t>
      </w:r>
      <w:r w:rsidR="002B75E6" w:rsidRPr="005A3F47">
        <w:rPr>
          <w:noProof/>
        </w:rPr>
        <w:t xml:space="preserve">: </w:t>
      </w:r>
    </w:p>
    <w:p w14:paraId="654B60B2" w14:textId="1106C5BC" w:rsidR="002B75E6" w:rsidRPr="005A3F47" w:rsidRDefault="006C082A" w:rsidP="00747E08">
      <w:pPr>
        <w:pStyle w:val="Text2"/>
        <w:numPr>
          <w:ilvl w:val="0"/>
          <w:numId w:val="173"/>
        </w:numPr>
        <w:ind w:left="426"/>
        <w:rPr>
          <w:noProof/>
        </w:rPr>
      </w:pPr>
      <w:r w:rsidRPr="005A3F47">
        <w:rPr>
          <w:noProof/>
        </w:rPr>
        <w:t>Estimates could be adjusted down</w:t>
      </w:r>
      <w:r w:rsidR="003B34CC" w:rsidRPr="005A3F47">
        <w:rPr>
          <w:noProof/>
        </w:rPr>
        <w:t>wards</w:t>
      </w:r>
      <w:r w:rsidRPr="005A3F47">
        <w:rPr>
          <w:noProof/>
        </w:rPr>
        <w:t xml:space="preserve"> because</w:t>
      </w:r>
      <w:r w:rsidR="006B36E5" w:rsidRPr="005A3F47">
        <w:rPr>
          <w:noProof/>
        </w:rPr>
        <w:t xml:space="preserve"> t</w:t>
      </w:r>
      <w:r w:rsidRPr="005A3F47">
        <w:rPr>
          <w:noProof/>
        </w:rPr>
        <w:t xml:space="preserve">hey </w:t>
      </w:r>
      <w:r w:rsidR="002B75E6" w:rsidRPr="005A3F47">
        <w:rPr>
          <w:noProof/>
        </w:rPr>
        <w:t>are based on statistics about portfolio investment positions</w:t>
      </w:r>
      <w:r w:rsidR="00CB4E95" w:rsidRPr="005A3F47">
        <w:rPr>
          <w:noProof/>
        </w:rPr>
        <w:t xml:space="preserve">, which inevitably include </w:t>
      </w:r>
      <w:r w:rsidR="00020FD5" w:rsidRPr="005A3F47">
        <w:rPr>
          <w:noProof/>
        </w:rPr>
        <w:t>individuals as investors</w:t>
      </w:r>
      <w:r w:rsidR="002B75E6" w:rsidRPr="005A3F47">
        <w:rPr>
          <w:noProof/>
        </w:rPr>
        <w:t xml:space="preserve">. </w:t>
      </w:r>
      <w:r w:rsidR="0082761D" w:rsidRPr="005A3F47">
        <w:rPr>
          <w:noProof/>
        </w:rPr>
        <w:t>It is not possible</w:t>
      </w:r>
      <w:r w:rsidR="002B75E6" w:rsidRPr="005A3F47">
        <w:rPr>
          <w:noProof/>
        </w:rPr>
        <w:t xml:space="preserve"> to </w:t>
      </w:r>
      <w:r w:rsidR="0082761D" w:rsidRPr="005A3F47">
        <w:rPr>
          <w:noProof/>
        </w:rPr>
        <w:t>estimate</w:t>
      </w:r>
      <w:r w:rsidR="002B75E6" w:rsidRPr="005A3F47">
        <w:rPr>
          <w:noProof/>
        </w:rPr>
        <w:t xml:space="preserve"> </w:t>
      </w:r>
      <w:r w:rsidR="006516E0" w:rsidRPr="005A3F47">
        <w:rPr>
          <w:noProof/>
        </w:rPr>
        <w:t xml:space="preserve">with exactitude </w:t>
      </w:r>
      <w:r w:rsidR="006D3EA4" w:rsidRPr="005A3F47">
        <w:rPr>
          <w:noProof/>
        </w:rPr>
        <w:t xml:space="preserve">how </w:t>
      </w:r>
      <w:r w:rsidR="00EE6A04" w:rsidRPr="005A3F47">
        <w:rPr>
          <w:noProof/>
        </w:rPr>
        <w:t xml:space="preserve">investment by individuals compares to </w:t>
      </w:r>
      <w:r w:rsidR="00394A1E" w:rsidRPr="005A3F47">
        <w:rPr>
          <w:noProof/>
        </w:rPr>
        <w:t>portfolio investment by companies</w:t>
      </w:r>
      <w:r w:rsidR="002B75E6" w:rsidRPr="005A3F47">
        <w:rPr>
          <w:noProof/>
        </w:rPr>
        <w:t xml:space="preserve">. </w:t>
      </w:r>
      <w:r w:rsidR="00F93DA3" w:rsidRPr="005A3F47">
        <w:rPr>
          <w:noProof/>
        </w:rPr>
        <w:t>Based</w:t>
      </w:r>
      <w:r w:rsidR="00E30228" w:rsidRPr="005A3F47">
        <w:rPr>
          <w:noProof/>
        </w:rPr>
        <w:t xml:space="preserve"> on</w:t>
      </w:r>
      <w:r w:rsidR="00157E42" w:rsidRPr="005A3F47">
        <w:rPr>
          <w:noProof/>
        </w:rPr>
        <w:t xml:space="preserve"> </w:t>
      </w:r>
      <w:r w:rsidR="002B75E6" w:rsidRPr="005A3F47">
        <w:rPr>
          <w:noProof/>
        </w:rPr>
        <w:t xml:space="preserve">the </w:t>
      </w:r>
      <w:r w:rsidR="00E30228" w:rsidRPr="005A3F47">
        <w:rPr>
          <w:noProof/>
        </w:rPr>
        <w:t xml:space="preserve">limited </w:t>
      </w:r>
      <w:r w:rsidR="00381EAD" w:rsidRPr="005A3F47">
        <w:rPr>
          <w:noProof/>
        </w:rPr>
        <w:t>statistics,</w:t>
      </w:r>
      <w:r w:rsidR="002B75E6" w:rsidRPr="005A3F47">
        <w:rPr>
          <w:noProof/>
        </w:rPr>
        <w:t xml:space="preserve"> </w:t>
      </w:r>
      <w:r w:rsidR="00E30228" w:rsidRPr="005A3F47">
        <w:rPr>
          <w:noProof/>
        </w:rPr>
        <w:t>however</w:t>
      </w:r>
      <w:r w:rsidR="00381EAD" w:rsidRPr="005A3F47">
        <w:rPr>
          <w:noProof/>
        </w:rPr>
        <w:t>,</w:t>
      </w:r>
      <w:r w:rsidR="002B75E6" w:rsidRPr="005A3F47">
        <w:rPr>
          <w:noProof/>
        </w:rPr>
        <w:t xml:space="preserve"> it </w:t>
      </w:r>
      <w:r w:rsidR="00157E42" w:rsidRPr="005A3F47">
        <w:rPr>
          <w:noProof/>
        </w:rPr>
        <w:t>may</w:t>
      </w:r>
      <w:r w:rsidR="002B75E6" w:rsidRPr="005A3F47">
        <w:rPr>
          <w:noProof/>
        </w:rPr>
        <w:t xml:space="preserve"> be around 40%.</w:t>
      </w:r>
      <w:r w:rsidR="0095581F" w:rsidRPr="005A3F47">
        <w:rPr>
          <w:rStyle w:val="FootnoteReference"/>
          <w:noProof/>
        </w:rPr>
        <w:footnoteReference w:id="126"/>
      </w:r>
      <w:r w:rsidR="002B75E6" w:rsidRPr="005A3F47">
        <w:rPr>
          <w:noProof/>
        </w:rPr>
        <w:t xml:space="preserve"> However, the share in the actual investment volumes</w:t>
      </w:r>
      <w:r w:rsidR="00596D79" w:rsidRPr="005A3F47">
        <w:rPr>
          <w:noProof/>
        </w:rPr>
        <w:t xml:space="preserve"> held by private </w:t>
      </w:r>
      <w:r w:rsidR="002B7CAB" w:rsidRPr="005A3F47">
        <w:rPr>
          <w:noProof/>
        </w:rPr>
        <w:t>individuals</w:t>
      </w:r>
      <w:r w:rsidR="00596D79" w:rsidRPr="005A3F47">
        <w:rPr>
          <w:noProof/>
        </w:rPr>
        <w:t xml:space="preserve">, as opposed to </w:t>
      </w:r>
      <w:r w:rsidR="00B6166D" w:rsidRPr="005A3F47">
        <w:rPr>
          <w:noProof/>
        </w:rPr>
        <w:t>other investors</w:t>
      </w:r>
      <w:r w:rsidR="00AC5C74" w:rsidRPr="005A3F47">
        <w:rPr>
          <w:noProof/>
        </w:rPr>
        <w:t>,</w:t>
      </w:r>
      <w:r w:rsidR="002B75E6" w:rsidRPr="005A3F47">
        <w:rPr>
          <w:noProof/>
        </w:rPr>
        <w:t xml:space="preserve"> is likely </w:t>
      </w:r>
      <w:r w:rsidR="00540818" w:rsidRPr="005A3F47">
        <w:rPr>
          <w:noProof/>
        </w:rPr>
        <w:t xml:space="preserve">to be </w:t>
      </w:r>
      <w:r w:rsidR="002B75E6" w:rsidRPr="005A3F47">
        <w:rPr>
          <w:noProof/>
        </w:rPr>
        <w:t xml:space="preserve">lower. </w:t>
      </w:r>
      <w:r w:rsidR="009710A2" w:rsidRPr="005A3F47">
        <w:rPr>
          <w:noProof/>
        </w:rPr>
        <w:t xml:space="preserve">On this basis, </w:t>
      </w:r>
      <w:r w:rsidR="00E41E52" w:rsidRPr="005A3F47">
        <w:rPr>
          <w:noProof/>
        </w:rPr>
        <w:t>the statistics on portfolio investment</w:t>
      </w:r>
      <w:r w:rsidR="00F905D7" w:rsidRPr="005A3F47">
        <w:rPr>
          <w:noProof/>
        </w:rPr>
        <w:t xml:space="preserve">s </w:t>
      </w:r>
      <w:r w:rsidR="00AF4920" w:rsidRPr="005A3F47">
        <w:rPr>
          <w:noProof/>
        </w:rPr>
        <w:t>are deemed to</w:t>
      </w:r>
      <w:r w:rsidR="006C2D18" w:rsidRPr="005A3F47">
        <w:rPr>
          <w:noProof/>
        </w:rPr>
        <w:t xml:space="preserve"> provide a reliable source of information </w:t>
      </w:r>
      <w:r w:rsidR="00E21A77" w:rsidRPr="005A3F47">
        <w:rPr>
          <w:noProof/>
        </w:rPr>
        <w:t>for the purposes of this analysis</w:t>
      </w:r>
      <w:r w:rsidR="006C2D18" w:rsidRPr="005A3F47">
        <w:rPr>
          <w:noProof/>
        </w:rPr>
        <w:t>.</w:t>
      </w:r>
    </w:p>
    <w:p w14:paraId="17C983BA" w14:textId="49543CAF" w:rsidR="002B75E6" w:rsidRPr="005A3F47" w:rsidRDefault="00E21A77" w:rsidP="00747E08">
      <w:pPr>
        <w:pStyle w:val="Text2"/>
        <w:numPr>
          <w:ilvl w:val="0"/>
          <w:numId w:val="173"/>
        </w:numPr>
        <w:ind w:left="426"/>
        <w:rPr>
          <w:noProof/>
        </w:rPr>
      </w:pPr>
      <w:r w:rsidRPr="005A3F47">
        <w:rPr>
          <w:noProof/>
        </w:rPr>
        <w:t>On the other hand, e</w:t>
      </w:r>
      <w:r w:rsidR="006C082A" w:rsidRPr="005A3F47">
        <w:rPr>
          <w:noProof/>
        </w:rPr>
        <w:t>stimates could be adjusted up</w:t>
      </w:r>
      <w:r w:rsidR="003B34CC" w:rsidRPr="005A3F47">
        <w:rPr>
          <w:noProof/>
        </w:rPr>
        <w:t>wards</w:t>
      </w:r>
      <w:r w:rsidR="006C082A" w:rsidRPr="005A3F47">
        <w:rPr>
          <w:noProof/>
        </w:rPr>
        <w:t xml:space="preserve"> because</w:t>
      </w:r>
      <w:r w:rsidR="003B34CC" w:rsidRPr="005A3F47">
        <w:rPr>
          <w:noProof/>
        </w:rPr>
        <w:t xml:space="preserve"> t</w:t>
      </w:r>
      <w:r w:rsidR="006C082A" w:rsidRPr="005A3F47">
        <w:rPr>
          <w:noProof/>
        </w:rPr>
        <w:t>hey</w:t>
      </w:r>
      <w:r w:rsidR="002B75E6" w:rsidRPr="005A3F47">
        <w:rPr>
          <w:noProof/>
        </w:rPr>
        <w:t xml:space="preserve"> do not include the savings of compliance cost</w:t>
      </w:r>
      <w:r w:rsidR="00661FAF" w:rsidRPr="005A3F47">
        <w:rPr>
          <w:noProof/>
        </w:rPr>
        <w:t>s</w:t>
      </w:r>
      <w:r w:rsidR="002B75E6" w:rsidRPr="005A3F47">
        <w:rPr>
          <w:noProof/>
        </w:rPr>
        <w:t xml:space="preserve"> incurred </w:t>
      </w:r>
      <w:r w:rsidR="00D665EC" w:rsidRPr="005A3F47">
        <w:rPr>
          <w:noProof/>
        </w:rPr>
        <w:t>by</w:t>
      </w:r>
      <w:r w:rsidR="002B75E6" w:rsidRPr="005A3F47">
        <w:rPr>
          <w:noProof/>
        </w:rPr>
        <w:t xml:space="preserve"> investors </w:t>
      </w:r>
      <w:r w:rsidR="00CC0523" w:rsidRPr="005A3F47">
        <w:rPr>
          <w:noProof/>
        </w:rPr>
        <w:t xml:space="preserve">that </w:t>
      </w:r>
      <w:r w:rsidR="002B75E6" w:rsidRPr="005A3F47">
        <w:rPr>
          <w:noProof/>
        </w:rPr>
        <w:t>hold larger share</w:t>
      </w:r>
      <w:r w:rsidR="000E3A92" w:rsidRPr="005A3F47">
        <w:rPr>
          <w:noProof/>
        </w:rPr>
        <w:t>s</w:t>
      </w:r>
      <w:r w:rsidR="00323789" w:rsidRPr="005A3F47">
        <w:rPr>
          <w:noProof/>
        </w:rPr>
        <w:t xml:space="preserve"> (non-portfolio investment)</w:t>
      </w:r>
      <w:r w:rsidR="002B75E6" w:rsidRPr="005A3F47">
        <w:rPr>
          <w:noProof/>
        </w:rPr>
        <w:t xml:space="preserve"> </w:t>
      </w:r>
      <w:r w:rsidR="00CC0523" w:rsidRPr="005A3F47">
        <w:rPr>
          <w:noProof/>
        </w:rPr>
        <w:t xml:space="preserve">today, </w:t>
      </w:r>
      <w:r w:rsidR="002B75E6" w:rsidRPr="005A3F47">
        <w:rPr>
          <w:noProof/>
        </w:rPr>
        <w:t xml:space="preserve">i.e., investment that </w:t>
      </w:r>
      <w:r w:rsidR="006B4BB3" w:rsidRPr="005A3F47">
        <w:rPr>
          <w:noProof/>
        </w:rPr>
        <w:t xml:space="preserve">already </w:t>
      </w:r>
      <w:r w:rsidR="002B75E6" w:rsidRPr="005A3F47">
        <w:rPr>
          <w:noProof/>
        </w:rPr>
        <w:t xml:space="preserve">falls into the scope of </w:t>
      </w:r>
      <w:r w:rsidR="00661FAF" w:rsidRPr="005A3F47">
        <w:rPr>
          <w:noProof/>
        </w:rPr>
        <w:t>the</w:t>
      </w:r>
      <w:r w:rsidR="002B75E6" w:rsidRPr="005A3F47">
        <w:rPr>
          <w:noProof/>
        </w:rPr>
        <w:t xml:space="preserve"> IRD and PSD, resp</w:t>
      </w:r>
      <w:r w:rsidR="00E51CBA" w:rsidRPr="005A3F47">
        <w:rPr>
          <w:noProof/>
        </w:rPr>
        <w:t>ectively</w:t>
      </w:r>
      <w:r w:rsidR="002B75E6" w:rsidRPr="005A3F47">
        <w:rPr>
          <w:noProof/>
        </w:rPr>
        <w:t xml:space="preserve">. </w:t>
      </w:r>
      <w:r w:rsidR="00CC0523" w:rsidRPr="005A3F47">
        <w:rPr>
          <w:noProof/>
        </w:rPr>
        <w:t xml:space="preserve">These costs chiefly involve </w:t>
      </w:r>
      <w:r w:rsidR="00EC6780" w:rsidRPr="005A3F47">
        <w:rPr>
          <w:noProof/>
        </w:rPr>
        <w:t xml:space="preserve">compliance with the procedures for proving entitlement to the benefits of </w:t>
      </w:r>
      <w:r w:rsidRPr="005A3F47">
        <w:rPr>
          <w:noProof/>
        </w:rPr>
        <w:t xml:space="preserve">the </w:t>
      </w:r>
      <w:r w:rsidR="00EC6780" w:rsidRPr="005A3F47">
        <w:rPr>
          <w:noProof/>
        </w:rPr>
        <w:t xml:space="preserve">IRD and PSD. </w:t>
      </w:r>
      <w:r w:rsidR="00437097" w:rsidRPr="005A3F47">
        <w:rPr>
          <w:noProof/>
        </w:rPr>
        <w:t>Albeit to a possibly</w:t>
      </w:r>
      <w:r w:rsidR="002B75E6" w:rsidRPr="005A3F47">
        <w:rPr>
          <w:noProof/>
        </w:rPr>
        <w:t xml:space="preserve"> a lesser extent</w:t>
      </w:r>
      <w:r w:rsidR="00EC6780" w:rsidRPr="005A3F47">
        <w:rPr>
          <w:noProof/>
        </w:rPr>
        <w:t>,</w:t>
      </w:r>
      <w:r w:rsidR="002B75E6" w:rsidRPr="005A3F47">
        <w:rPr>
          <w:noProof/>
        </w:rPr>
        <w:t xml:space="preserve"> the measure leads to cost savings here too. This is because t</w:t>
      </w:r>
      <w:r w:rsidR="00C97C39" w:rsidRPr="005A3F47">
        <w:rPr>
          <w:noProof/>
        </w:rPr>
        <w:t xml:space="preserve">he measure results in </w:t>
      </w:r>
      <w:r w:rsidR="006101BD" w:rsidRPr="005A3F47">
        <w:rPr>
          <w:noProof/>
        </w:rPr>
        <w:t>eliminating</w:t>
      </w:r>
      <w:r w:rsidR="002B75E6" w:rsidRPr="005A3F47">
        <w:rPr>
          <w:noProof/>
        </w:rPr>
        <w:t xml:space="preserve"> upfront procedures </w:t>
      </w:r>
      <w:r w:rsidR="002C60C4" w:rsidRPr="005A3F47">
        <w:rPr>
          <w:noProof/>
        </w:rPr>
        <w:t>ahead of</w:t>
      </w:r>
      <w:r w:rsidR="00D27A70" w:rsidRPr="005A3F47">
        <w:rPr>
          <w:noProof/>
        </w:rPr>
        <w:t xml:space="preserve"> payments</w:t>
      </w:r>
      <w:r w:rsidR="0077006A" w:rsidRPr="005A3F47">
        <w:rPr>
          <w:noProof/>
        </w:rPr>
        <w:t xml:space="preserve"> of interest</w:t>
      </w:r>
      <w:r w:rsidR="006101BD" w:rsidRPr="005A3F47">
        <w:rPr>
          <w:noProof/>
        </w:rPr>
        <w:t xml:space="preserve">, </w:t>
      </w:r>
      <w:r w:rsidR="0077006A" w:rsidRPr="005A3F47">
        <w:rPr>
          <w:noProof/>
        </w:rPr>
        <w:t>royalties</w:t>
      </w:r>
      <w:r w:rsidR="006101BD" w:rsidRPr="005A3F47">
        <w:rPr>
          <w:noProof/>
        </w:rPr>
        <w:t xml:space="preserve"> and dividends</w:t>
      </w:r>
      <w:r w:rsidR="00617634" w:rsidRPr="005A3F47">
        <w:rPr>
          <w:noProof/>
        </w:rPr>
        <w:t>;</w:t>
      </w:r>
      <w:r w:rsidR="00B35AB9" w:rsidRPr="005A3F47">
        <w:rPr>
          <w:noProof/>
        </w:rPr>
        <w:t xml:space="preserve"> and this simplification will apply to all such payments</w:t>
      </w:r>
      <w:r w:rsidR="002E38BA" w:rsidRPr="005A3F47">
        <w:rPr>
          <w:noProof/>
        </w:rPr>
        <w:t xml:space="preserve">, regardless of </w:t>
      </w:r>
      <w:r w:rsidR="00002B8D" w:rsidRPr="005A3F47">
        <w:rPr>
          <w:noProof/>
        </w:rPr>
        <w:t xml:space="preserve">whether they are linked to </w:t>
      </w:r>
      <w:r w:rsidR="002E38BA" w:rsidRPr="005A3F47">
        <w:rPr>
          <w:noProof/>
        </w:rPr>
        <w:t>portfolio or direct investment</w:t>
      </w:r>
      <w:r w:rsidR="002B75E6" w:rsidRPr="005A3F47">
        <w:rPr>
          <w:noProof/>
        </w:rPr>
        <w:t xml:space="preserve">. The paying company would </w:t>
      </w:r>
      <w:r w:rsidR="00FB5886" w:rsidRPr="005A3F47">
        <w:rPr>
          <w:noProof/>
        </w:rPr>
        <w:t xml:space="preserve">thus </w:t>
      </w:r>
      <w:r w:rsidR="002B75E6" w:rsidRPr="005A3F47">
        <w:rPr>
          <w:noProof/>
        </w:rPr>
        <w:t>no longer have to assess whether the conditions to benefit from the exemption are fulfilled by the beneficiary.</w:t>
      </w:r>
    </w:p>
    <w:p w14:paraId="26635AB6" w14:textId="77777777" w:rsidR="002B75E6" w:rsidRPr="005A3F47" w:rsidRDefault="002B75E6" w:rsidP="003A231F">
      <w:pPr>
        <w:spacing w:after="0"/>
        <w:rPr>
          <w:noProof/>
        </w:rPr>
      </w:pPr>
    </w:p>
    <w:p w14:paraId="23678EFA" w14:textId="045C9B1E" w:rsidR="007F3FE3" w:rsidRPr="005A3F47" w:rsidRDefault="003A231F" w:rsidP="003A231F">
      <w:pPr>
        <w:pStyle w:val="Heading2"/>
        <w:rPr>
          <w:noProof/>
        </w:rPr>
      </w:pPr>
      <w:r w:rsidRPr="005A3F47">
        <w:rPr>
          <w:noProof/>
        </w:rPr>
        <w:t xml:space="preserve">3. </w:t>
      </w:r>
      <w:r w:rsidR="007F3FE3" w:rsidRPr="005A3F47">
        <w:rPr>
          <w:noProof/>
        </w:rPr>
        <w:t>Analysis of options: CFC Rules</w:t>
      </w:r>
    </w:p>
    <w:p w14:paraId="1463AD8F" w14:textId="322526D9" w:rsidR="00F92EA7" w:rsidRPr="005A3F47" w:rsidRDefault="00275D6E" w:rsidP="006A45A3">
      <w:pPr>
        <w:rPr>
          <w:noProof/>
        </w:rPr>
      </w:pPr>
      <w:r w:rsidRPr="005A3F47">
        <w:rPr>
          <w:bCs/>
          <w:noProof/>
        </w:rPr>
        <w:t>The o</w:t>
      </w:r>
      <w:r w:rsidR="000D22DA" w:rsidRPr="005A3F47">
        <w:rPr>
          <w:bCs/>
          <w:noProof/>
        </w:rPr>
        <w:t xml:space="preserve">ptions </w:t>
      </w:r>
      <w:r w:rsidRPr="005A3F47">
        <w:rPr>
          <w:bCs/>
          <w:noProof/>
        </w:rPr>
        <w:t>for which the methodological and analytical approach is detailed herein</w:t>
      </w:r>
      <w:r w:rsidR="000D22DA" w:rsidRPr="005A3F47">
        <w:rPr>
          <w:bCs/>
          <w:noProof/>
        </w:rPr>
        <w:t xml:space="preserve"> are analysed in </w:t>
      </w:r>
      <w:r w:rsidR="003A231F" w:rsidRPr="005A3F47">
        <w:rPr>
          <w:bCs/>
          <w:noProof/>
        </w:rPr>
        <w:t>S</w:t>
      </w:r>
      <w:r w:rsidR="000D22DA" w:rsidRPr="005A3F47">
        <w:rPr>
          <w:bCs/>
          <w:noProof/>
        </w:rPr>
        <w:t xml:space="preserve">ection </w:t>
      </w:r>
      <w:hyperlink w:anchor="_Why_simplifying_taxation" w:history="1">
        <w:r w:rsidR="000E324D" w:rsidRPr="005A3F47">
          <w:rPr>
            <w:rStyle w:val="Hyperlink"/>
            <w:bCs/>
            <w:noProof/>
          </w:rPr>
          <w:fldChar w:fldCharType="begin"/>
        </w:r>
        <w:r w:rsidR="000E324D" w:rsidRPr="005A3F47">
          <w:rPr>
            <w:bCs/>
            <w:noProof/>
          </w:rPr>
          <w:instrText xml:space="preserve"> REF _Ref226463262 \r \h </w:instrText>
        </w:r>
        <w:r w:rsidR="005A3F47">
          <w:rPr>
            <w:rStyle w:val="Hyperlink"/>
            <w:bCs/>
            <w:noProof/>
          </w:rPr>
          <w:instrText xml:space="preserve"> \* MERGEFORMAT </w:instrText>
        </w:r>
        <w:r w:rsidR="000E324D" w:rsidRPr="005A3F47">
          <w:rPr>
            <w:rStyle w:val="Hyperlink"/>
            <w:bCs/>
            <w:noProof/>
          </w:rPr>
        </w:r>
        <w:r w:rsidR="000E324D" w:rsidRPr="005A3F47">
          <w:rPr>
            <w:rStyle w:val="Hyperlink"/>
            <w:bCs/>
            <w:noProof/>
          </w:rPr>
          <w:fldChar w:fldCharType="separate"/>
        </w:r>
        <w:r w:rsidR="00CF3380">
          <w:rPr>
            <w:bCs/>
            <w:noProof/>
          </w:rPr>
          <w:t>6.2.2</w:t>
        </w:r>
        <w:r w:rsidR="000E324D" w:rsidRPr="005A3F47">
          <w:rPr>
            <w:rStyle w:val="Hyperlink"/>
            <w:bCs/>
            <w:noProof/>
          </w:rPr>
          <w:fldChar w:fldCharType="end"/>
        </w:r>
      </w:hyperlink>
      <w:r w:rsidR="000D22DA" w:rsidRPr="005A3F47">
        <w:rPr>
          <w:bCs/>
          <w:noProof/>
        </w:rPr>
        <w:t xml:space="preserve">. </w:t>
      </w:r>
      <w:r w:rsidR="00A64FB4" w:rsidRPr="005A3F47">
        <w:rPr>
          <w:bCs/>
          <w:noProof/>
        </w:rPr>
        <w:t>The purpose is to estimate the reduction in</w:t>
      </w:r>
      <w:r w:rsidR="00F92EA7" w:rsidRPr="005A3F47">
        <w:rPr>
          <w:noProof/>
        </w:rPr>
        <w:t xml:space="preserve"> compliance costs through </w:t>
      </w:r>
      <w:r w:rsidR="005C6A83" w:rsidRPr="005A3F47">
        <w:rPr>
          <w:noProof/>
        </w:rPr>
        <w:t>better aligning CFC-rules for Pillar 2 companies</w:t>
      </w:r>
      <w:r w:rsidR="00F16A12" w:rsidRPr="005A3F47">
        <w:rPr>
          <w:noProof/>
        </w:rPr>
        <w:t>.</w:t>
      </w:r>
    </w:p>
    <w:p w14:paraId="5FA11449" w14:textId="77777777" w:rsidR="009D02F0" w:rsidRPr="005A3F47" w:rsidRDefault="009D02F0" w:rsidP="006A45A3">
      <w:pPr>
        <w:rPr>
          <w:b/>
          <w:noProof/>
        </w:rPr>
      </w:pPr>
      <w:r w:rsidRPr="005A3F47">
        <w:rPr>
          <w:b/>
          <w:noProof/>
        </w:rPr>
        <w:t>Today’s potential economic double taxation</w:t>
      </w:r>
    </w:p>
    <w:p w14:paraId="41941E8B" w14:textId="724C0544" w:rsidR="009D02F0" w:rsidRPr="005A3F47" w:rsidRDefault="00030C02" w:rsidP="006A45A3">
      <w:pPr>
        <w:rPr>
          <w:noProof/>
        </w:rPr>
      </w:pPr>
      <w:r w:rsidRPr="005A3F47">
        <w:rPr>
          <w:noProof/>
        </w:rPr>
        <w:t>As the legal framework and applicable tax rules stand today, t</w:t>
      </w:r>
      <w:r w:rsidR="009D02F0" w:rsidRPr="005A3F47">
        <w:rPr>
          <w:noProof/>
        </w:rPr>
        <w:t>here is a</w:t>
      </w:r>
      <w:r w:rsidRPr="005A3F47">
        <w:rPr>
          <w:noProof/>
        </w:rPr>
        <w:t>n assessed</w:t>
      </w:r>
      <w:r w:rsidR="009D02F0" w:rsidRPr="005A3F47">
        <w:rPr>
          <w:noProof/>
        </w:rPr>
        <w:t xml:space="preserve"> partial overlap between CFC and Pillar 2</w:t>
      </w:r>
      <w:r w:rsidRPr="005A3F47">
        <w:rPr>
          <w:noProof/>
        </w:rPr>
        <w:t xml:space="preserve"> rules</w:t>
      </w:r>
      <w:r w:rsidR="009D02F0" w:rsidRPr="005A3F47">
        <w:rPr>
          <w:noProof/>
        </w:rPr>
        <w:t xml:space="preserve">, </w:t>
      </w:r>
      <w:r w:rsidRPr="005A3F47">
        <w:rPr>
          <w:noProof/>
        </w:rPr>
        <w:t>which</w:t>
      </w:r>
      <w:r w:rsidR="009D02F0" w:rsidRPr="005A3F47">
        <w:rPr>
          <w:noProof/>
        </w:rPr>
        <w:t xml:space="preserve"> potentially </w:t>
      </w:r>
      <w:r w:rsidRPr="005A3F47">
        <w:rPr>
          <w:noProof/>
        </w:rPr>
        <w:t>leads</w:t>
      </w:r>
      <w:r w:rsidR="009D02F0" w:rsidRPr="005A3F47">
        <w:rPr>
          <w:noProof/>
        </w:rPr>
        <w:t xml:space="preserve"> to instances of economic double taxation. These overlaps are outlined in the table below</w:t>
      </w:r>
      <w:r w:rsidRPr="005A3F47">
        <w:rPr>
          <w:noProof/>
        </w:rPr>
        <w:t xml:space="preserve"> (</w:t>
      </w:r>
      <w:r w:rsidR="009D02F0" w:rsidRPr="005A3F47">
        <w:rPr>
          <w:noProof/>
        </w:rPr>
        <w:t>see row 1</w:t>
      </w:r>
      <w:r w:rsidRPr="005A3F47">
        <w:rPr>
          <w:noProof/>
        </w:rPr>
        <w:t>)</w:t>
      </w:r>
      <w:r w:rsidR="009D02F0" w:rsidRPr="005A3F47">
        <w:rPr>
          <w:noProof/>
        </w:rPr>
        <w:t xml:space="preserve">. A shareholder-subsidiary pair may be subject to Pillar </w:t>
      </w:r>
      <w:r w:rsidR="007F593A" w:rsidRPr="005A3F47">
        <w:rPr>
          <w:noProof/>
        </w:rPr>
        <w:t>2</w:t>
      </w:r>
      <w:r w:rsidR="009D02F0" w:rsidRPr="005A3F47">
        <w:rPr>
          <w:noProof/>
        </w:rPr>
        <w:t xml:space="preserve"> either because the subsidiary is located in a jurisdiction that applies top-up taxes to companies in its territory (QDMTT, first column) and/or the shareholder in a jurisdiction that includes income in other low-taxed jurisdiction when calculating the minimum tax (i.e., Income Inclusion Rule - IIR, second column). Overlaps with CFC-rules can be particularly significant in cases where subsidiaries fall under QDMTT while their shareholders need to apply CFC</w:t>
      </w:r>
      <w:r w:rsidR="00BB2E24" w:rsidRPr="005A3F47">
        <w:rPr>
          <w:noProof/>
        </w:rPr>
        <w:t xml:space="preserve"> legislation</w:t>
      </w:r>
      <w:r w:rsidR="009D02F0" w:rsidRPr="005A3F47">
        <w:rPr>
          <w:noProof/>
        </w:rPr>
        <w:t xml:space="preserve">, see first column. Today, as QDMTT does not account for CFC, economic double taxation </w:t>
      </w:r>
      <w:r w:rsidR="003E59C9" w:rsidRPr="005A3F47">
        <w:rPr>
          <w:noProof/>
        </w:rPr>
        <w:t>may</w:t>
      </w:r>
      <w:r w:rsidR="009D02F0" w:rsidRPr="005A3F47">
        <w:rPr>
          <w:noProof/>
        </w:rPr>
        <w:t xml:space="preserve"> occur in the sense that the group pays both the CFC tax charge and QDMTT</w:t>
      </w:r>
      <w:r w:rsidR="00936BF5" w:rsidRPr="005A3F47">
        <w:rPr>
          <w:noProof/>
        </w:rPr>
        <w:t xml:space="preserve">, considering that not all </w:t>
      </w:r>
      <w:r w:rsidR="00413D1A" w:rsidRPr="005A3F47">
        <w:rPr>
          <w:noProof/>
        </w:rPr>
        <w:t xml:space="preserve">member States allow </w:t>
      </w:r>
      <w:r w:rsidR="00FA19CB" w:rsidRPr="005A3F47">
        <w:rPr>
          <w:noProof/>
        </w:rPr>
        <w:t xml:space="preserve">for </w:t>
      </w:r>
      <w:r w:rsidR="009D02F0" w:rsidRPr="005A3F47">
        <w:rPr>
          <w:noProof/>
        </w:rPr>
        <w:t>credit</w:t>
      </w:r>
      <w:r w:rsidR="00FA19CB" w:rsidRPr="005A3F47">
        <w:rPr>
          <w:noProof/>
        </w:rPr>
        <w:t>ing</w:t>
      </w:r>
      <w:r w:rsidR="009D02F0" w:rsidRPr="005A3F47">
        <w:rPr>
          <w:noProof/>
        </w:rPr>
        <w:t xml:space="preserve"> the latter against the former. By contrast, top-up taxes under IIR do take CFC taxes into account. That is, companies pay either the CFC or the Pillar </w:t>
      </w:r>
      <w:r w:rsidR="007F593A" w:rsidRPr="005A3F47">
        <w:rPr>
          <w:noProof/>
        </w:rPr>
        <w:t>2</w:t>
      </w:r>
      <w:r w:rsidR="009D02F0" w:rsidRPr="005A3F47">
        <w:rPr>
          <w:noProof/>
        </w:rPr>
        <w:t xml:space="preserve"> top-up, whatever higher. Note, however, that US-headquartered groups are taxed only domestically (QDMTT), but not under IIR, in the EU.</w:t>
      </w:r>
    </w:p>
    <w:p w14:paraId="6A649528" w14:textId="32B5F710" w:rsidR="009D02F0" w:rsidRPr="005A3F47" w:rsidRDefault="00161704" w:rsidP="009D02F0">
      <w:pPr>
        <w:pStyle w:val="Text2"/>
        <w:ind w:left="0"/>
        <w:rPr>
          <w:i/>
          <w:iCs/>
          <w:noProof/>
        </w:rPr>
      </w:pPr>
      <w:r w:rsidRPr="005A3F47">
        <w:rPr>
          <w:i/>
          <w:iCs/>
          <w:noProof/>
        </w:rPr>
        <w:t xml:space="preserve">Table 6: </w:t>
      </w:r>
      <w:r w:rsidR="009D02F0" w:rsidRPr="005A3F47">
        <w:rPr>
          <w:i/>
          <w:iCs/>
          <w:noProof/>
        </w:rPr>
        <w:t>Impact on EU shareholding entities of today’s situation and after applying two options</w:t>
      </w:r>
    </w:p>
    <w:p w14:paraId="2FBB177E" w14:textId="48D56DFC" w:rsidR="009D02F0" w:rsidRPr="005A3F47" w:rsidRDefault="002C7496" w:rsidP="009D02F0">
      <w:pPr>
        <w:spacing w:after="0"/>
        <w:rPr>
          <w:noProof/>
        </w:rPr>
      </w:pPr>
      <w:r w:rsidRPr="005A3F47">
        <w:rPr>
          <w:noProof/>
          <w:lang w:eastAsia="en-GB"/>
        </w:rPr>
        <w:drawing>
          <wp:inline distT="0" distB="0" distL="0" distR="0" wp14:anchorId="3D25C9C8" wp14:editId="1CE79BD5">
            <wp:extent cx="4735830" cy="2538730"/>
            <wp:effectExtent l="0" t="0" r="0" b="0"/>
            <wp:docPr id="237321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35830" cy="2538730"/>
                    </a:xfrm>
                    <a:prstGeom prst="rect">
                      <a:avLst/>
                    </a:prstGeom>
                    <a:noFill/>
                    <a:ln>
                      <a:noFill/>
                    </a:ln>
                  </pic:spPr>
                </pic:pic>
              </a:graphicData>
            </a:graphic>
          </wp:inline>
        </w:drawing>
      </w:r>
    </w:p>
    <w:p w14:paraId="37810F32" w14:textId="77777777" w:rsidR="009D02F0" w:rsidRPr="005A3F47" w:rsidRDefault="009D02F0" w:rsidP="009D02F0">
      <w:pPr>
        <w:rPr>
          <w:noProof/>
        </w:rPr>
      </w:pPr>
      <w:r w:rsidRPr="005A3F47">
        <w:rPr>
          <w:noProof/>
        </w:rPr>
        <w:t>Tax relief = positive</w:t>
      </w:r>
    </w:p>
    <w:p w14:paraId="0E4D3FEC" w14:textId="7FA93148" w:rsidR="003D1088" w:rsidRPr="005A3F47" w:rsidRDefault="003D1088" w:rsidP="00FC7FB7">
      <w:pPr>
        <w:pStyle w:val="Text2"/>
        <w:ind w:left="0"/>
        <w:rPr>
          <w:noProof/>
        </w:rPr>
      </w:pPr>
      <w:r w:rsidRPr="005A3F47">
        <w:rPr>
          <w:noProof/>
        </w:rPr>
        <w:t xml:space="preserve">Two options are assessed accordingly, explained in detail as follows: </w:t>
      </w:r>
    </w:p>
    <w:p w14:paraId="65011CC0" w14:textId="73B55365" w:rsidR="00FC7FB7" w:rsidRPr="005A3F47" w:rsidRDefault="00175692" w:rsidP="00FC7FB7">
      <w:pPr>
        <w:pStyle w:val="Text2"/>
        <w:ind w:left="0"/>
        <w:rPr>
          <w:noProof/>
        </w:rPr>
      </w:pPr>
      <w:r w:rsidRPr="005A3F47">
        <w:rPr>
          <w:noProof/>
        </w:rPr>
        <w:t>On c</w:t>
      </w:r>
      <w:r w:rsidR="00FC7FB7" w:rsidRPr="005A3F47">
        <w:rPr>
          <w:noProof/>
        </w:rPr>
        <w:t>arving out Pillar 2 companies from CFC rules</w:t>
      </w:r>
      <w:r w:rsidR="00B86E10" w:rsidRPr="005A3F47">
        <w:rPr>
          <w:noProof/>
        </w:rPr>
        <w:t xml:space="preserve"> (Option A)</w:t>
      </w:r>
      <w:r w:rsidR="006D55F5" w:rsidRPr="005A3F47">
        <w:rPr>
          <w:noProof/>
        </w:rPr>
        <w:t xml:space="preserve">: </w:t>
      </w:r>
      <w:r w:rsidR="00FC7FB7" w:rsidRPr="005A3F47">
        <w:rPr>
          <w:noProof/>
        </w:rPr>
        <w:t xml:space="preserve">MNEs whose CFCs are subject to Pillar 2 are carved out from CFC rules. Accordingly, for US-headquartered MNEs, this carve-out is only granted to shareholders whose CFC is subject to QDMTT. In other words, only the Pillar </w:t>
      </w:r>
      <w:r w:rsidR="007F593A" w:rsidRPr="005A3F47">
        <w:rPr>
          <w:noProof/>
        </w:rPr>
        <w:t>2</w:t>
      </w:r>
      <w:r w:rsidR="00FC7FB7" w:rsidRPr="005A3F47">
        <w:rPr>
          <w:noProof/>
        </w:rPr>
        <w:t xml:space="preserve"> QDMTT will be paid by all MNEs subject to Pillar </w:t>
      </w:r>
      <w:r w:rsidR="007F593A" w:rsidRPr="005A3F47">
        <w:rPr>
          <w:noProof/>
        </w:rPr>
        <w:t>2</w:t>
      </w:r>
      <w:r w:rsidR="00FC7FB7" w:rsidRPr="005A3F47">
        <w:rPr>
          <w:noProof/>
        </w:rPr>
        <w:t xml:space="preserve">, see row 2. Companies would namely save the CFC tax charges in case they are subject to QDMTT, see row 4, column 2. </w:t>
      </w:r>
    </w:p>
    <w:p w14:paraId="73353C78" w14:textId="2003BE1B" w:rsidR="00FC7FB7" w:rsidRPr="005A3F47" w:rsidRDefault="00175692" w:rsidP="00FC7FB7">
      <w:pPr>
        <w:pStyle w:val="Text2"/>
        <w:ind w:left="0"/>
        <w:rPr>
          <w:noProof/>
        </w:rPr>
      </w:pPr>
      <w:r w:rsidRPr="005A3F47">
        <w:rPr>
          <w:noProof/>
        </w:rPr>
        <w:t>On i</w:t>
      </w:r>
      <w:r w:rsidR="00FC7FB7" w:rsidRPr="005A3F47">
        <w:rPr>
          <w:noProof/>
        </w:rPr>
        <w:t>ncluding QDMTT in the CFC calculation</w:t>
      </w:r>
      <w:r w:rsidR="00B86E10" w:rsidRPr="005A3F47">
        <w:rPr>
          <w:noProof/>
        </w:rPr>
        <w:t xml:space="preserve"> (Option B)</w:t>
      </w:r>
      <w:r w:rsidR="006D55F5" w:rsidRPr="005A3F47">
        <w:rPr>
          <w:noProof/>
        </w:rPr>
        <w:t xml:space="preserve">: </w:t>
      </w:r>
      <w:r w:rsidR="00FC7FB7" w:rsidRPr="005A3F47">
        <w:rPr>
          <w:noProof/>
        </w:rPr>
        <w:t xml:space="preserve">Rather than carving out Pillar </w:t>
      </w:r>
      <w:r w:rsidR="007F593A" w:rsidRPr="005A3F47">
        <w:rPr>
          <w:noProof/>
        </w:rPr>
        <w:t>2</w:t>
      </w:r>
      <w:r w:rsidR="00FC7FB7" w:rsidRPr="005A3F47">
        <w:rPr>
          <w:noProof/>
        </w:rPr>
        <w:t xml:space="preserve"> MNEs from CFC</w:t>
      </w:r>
      <w:r w:rsidR="005570CA" w:rsidRPr="005A3F47">
        <w:rPr>
          <w:noProof/>
        </w:rPr>
        <w:t xml:space="preserve"> rules</w:t>
      </w:r>
      <w:r w:rsidR="00FC7FB7" w:rsidRPr="005A3F47">
        <w:rPr>
          <w:noProof/>
        </w:rPr>
        <w:t>, Member States would take into account the QDMTT liability to determine whether a foreign controlled subsidiary is low-taxed, therefore a CFC, and, consequently, CFC rules are triggered. In case that the CFC tax rate in a Member State is higher than 15% (which is achieved through the QDMTT), the CFC tax charge would apply</w:t>
      </w:r>
      <w:r w:rsidR="00670147" w:rsidRPr="005A3F47">
        <w:rPr>
          <w:noProof/>
        </w:rPr>
        <w:t>,</w:t>
      </w:r>
      <w:r w:rsidR="00FC7FB7" w:rsidRPr="005A3F47">
        <w:rPr>
          <w:noProof/>
        </w:rPr>
        <w:t xml:space="preserve"> and credit would be provided for the QDMTT</w:t>
      </w:r>
      <w:r w:rsidR="002A413B" w:rsidRPr="005A3F47">
        <w:rPr>
          <w:noProof/>
        </w:rPr>
        <w:t xml:space="preserve"> (</w:t>
      </w:r>
      <w:r w:rsidR="00FC7FB7" w:rsidRPr="005A3F47">
        <w:rPr>
          <w:noProof/>
        </w:rPr>
        <w:t>see row 5 of the table above</w:t>
      </w:r>
      <w:r w:rsidR="002A413B" w:rsidRPr="005A3F47">
        <w:rPr>
          <w:noProof/>
        </w:rPr>
        <w:t>)</w:t>
      </w:r>
      <w:r w:rsidR="00FC7FB7" w:rsidRPr="005A3F47">
        <w:rPr>
          <w:noProof/>
        </w:rPr>
        <w:t xml:space="preserve">. The </w:t>
      </w:r>
      <w:r w:rsidR="002A413B" w:rsidRPr="005A3F47">
        <w:rPr>
          <w:noProof/>
        </w:rPr>
        <w:t xml:space="preserve">outcome indicates that </w:t>
      </w:r>
      <w:r w:rsidR="00FC7FB7" w:rsidRPr="005A3F47">
        <w:rPr>
          <w:noProof/>
        </w:rPr>
        <w:t>tax charges saved by companies</w:t>
      </w:r>
      <w:r w:rsidR="00B96A1E" w:rsidRPr="005A3F47">
        <w:rPr>
          <w:noProof/>
        </w:rPr>
        <w:t xml:space="preserve"> under this scenario</w:t>
      </w:r>
      <w:r w:rsidR="00FC7FB7" w:rsidRPr="005A3F47">
        <w:rPr>
          <w:noProof/>
        </w:rPr>
        <w:t xml:space="preserve"> are lower than under Option A. </w:t>
      </w:r>
    </w:p>
    <w:p w14:paraId="3EEA0F4B" w14:textId="74952ED4" w:rsidR="00671FC6" w:rsidRPr="005A3F47" w:rsidRDefault="002E6E86" w:rsidP="002E6E86">
      <w:pPr>
        <w:pStyle w:val="Heading2"/>
        <w:rPr>
          <w:smallCaps/>
          <w:noProof/>
        </w:rPr>
      </w:pPr>
      <w:bookmarkStart w:id="374" w:name="_Toc226466623"/>
      <w:bookmarkStart w:id="375" w:name="_Toc226466874"/>
      <w:bookmarkStart w:id="376" w:name="_Toc226467235"/>
      <w:bookmarkStart w:id="377" w:name="_Toc226467335"/>
      <w:bookmarkStart w:id="378" w:name="_Toc226467554"/>
      <w:r w:rsidRPr="005A3F47">
        <w:rPr>
          <w:noProof/>
        </w:rPr>
        <w:t xml:space="preserve">4. </w:t>
      </w:r>
      <w:r w:rsidR="003F1B81" w:rsidRPr="005A3F47">
        <w:rPr>
          <w:rFonts w:eastAsiaTheme="minorHAnsi"/>
          <w:noProof/>
        </w:rPr>
        <w:t>Analysis of options: Interest Limitation Rule</w:t>
      </w:r>
      <w:bookmarkEnd w:id="374"/>
      <w:bookmarkEnd w:id="375"/>
      <w:bookmarkEnd w:id="376"/>
      <w:bookmarkEnd w:id="377"/>
      <w:bookmarkEnd w:id="378"/>
      <w:r w:rsidR="000B0BE6" w:rsidRPr="005A3F47">
        <w:rPr>
          <w:rFonts w:eastAsiaTheme="minorHAnsi"/>
          <w:noProof/>
        </w:rPr>
        <w:t xml:space="preserve"> (ILR)</w:t>
      </w:r>
    </w:p>
    <w:p w14:paraId="1BB34C84" w14:textId="77777777" w:rsidR="00F42981" w:rsidRPr="005A3F47" w:rsidRDefault="00F42981" w:rsidP="00F42981">
      <w:pPr>
        <w:pStyle w:val="Text2"/>
        <w:ind w:left="0"/>
        <w:rPr>
          <w:noProof/>
        </w:rPr>
      </w:pPr>
      <w:r w:rsidRPr="005A3F47">
        <w:rPr>
          <w:noProof/>
        </w:rPr>
        <w:t xml:space="preserve">The basis for the economic analysis and outcomes explained in Section 6.2 are set out in the sub-sections below. </w:t>
      </w:r>
    </w:p>
    <w:p w14:paraId="57909439" w14:textId="370C3C2C" w:rsidR="005168EA" w:rsidRPr="005A3F47" w:rsidRDefault="005168EA" w:rsidP="005168EA">
      <w:pPr>
        <w:pStyle w:val="Text2"/>
        <w:ind w:left="0"/>
        <w:rPr>
          <w:noProof/>
        </w:rPr>
      </w:pPr>
      <w:r w:rsidRPr="005A3F47">
        <w:rPr>
          <w:noProof/>
        </w:rPr>
        <w:t xml:space="preserve">To recall, Article 4 of the ATAD introduces an </w:t>
      </w:r>
      <w:r w:rsidR="00792063" w:rsidRPr="005A3F47">
        <w:rPr>
          <w:noProof/>
        </w:rPr>
        <w:t>Interest Limitation Rule</w:t>
      </w:r>
      <w:r w:rsidRPr="005A3F47">
        <w:rPr>
          <w:noProof/>
        </w:rPr>
        <w:t xml:space="preserve"> in the EU, which restricts the deductibility of a company’s interest expenses. Under the </w:t>
      </w:r>
      <w:r w:rsidR="00F81442">
        <w:rPr>
          <w:noProof/>
        </w:rPr>
        <w:t>Interest Limitation Rule</w:t>
      </w:r>
      <w:r w:rsidRPr="005A3F47">
        <w:rPr>
          <w:noProof/>
        </w:rPr>
        <w:t>, businesses are generally entitled to deduct net borrowing costs, i.e., net interest expenses, up to 30% of their earnings before interest, tax, depreciation and amortisation (so-called ‘EBITDA threshold’). Net borrowing costs below an optional threshold of EUR 3 million per year can still be deducted without limit (de minimis). Th</w:t>
      </w:r>
      <w:r w:rsidR="001B397C" w:rsidRPr="005A3F47">
        <w:rPr>
          <w:noProof/>
        </w:rPr>
        <w:t>e</w:t>
      </w:r>
      <w:r w:rsidRPr="005A3F47">
        <w:rPr>
          <w:noProof/>
        </w:rPr>
        <w:t xml:space="preserve"> safe harbour </w:t>
      </w:r>
      <w:r w:rsidR="00810E90" w:rsidRPr="005A3F47">
        <w:rPr>
          <w:noProof/>
        </w:rPr>
        <w:t xml:space="preserve">aims to exempt </w:t>
      </w:r>
      <w:r w:rsidRPr="005A3F47">
        <w:rPr>
          <w:noProof/>
        </w:rPr>
        <w:t>SMEs</w:t>
      </w:r>
      <w:r w:rsidR="00810E90" w:rsidRPr="005A3F47">
        <w:rPr>
          <w:noProof/>
        </w:rPr>
        <w:t xml:space="preserve"> from the scope of the Interest Limitation Rule</w:t>
      </w:r>
      <w:r w:rsidRPr="005A3F47">
        <w:rPr>
          <w:noProof/>
        </w:rPr>
        <w:t>. This is important because equity-funding is less of an option for small enterprises, and they are therefore heavily reliant on loans to fund their activities.</w:t>
      </w:r>
      <w:r w:rsidR="007A6F76" w:rsidRPr="005A3F47">
        <w:rPr>
          <w:noProof/>
        </w:rPr>
        <w:t xml:space="preserve"> These parameters are </w:t>
      </w:r>
      <w:r w:rsidR="00017B6A" w:rsidRPr="005A3F47">
        <w:rPr>
          <w:noProof/>
        </w:rPr>
        <w:t xml:space="preserve">to be seen as </w:t>
      </w:r>
      <w:r w:rsidR="007A6F76" w:rsidRPr="005A3F47">
        <w:rPr>
          <w:noProof/>
        </w:rPr>
        <w:t xml:space="preserve">the minimum </w:t>
      </w:r>
      <w:r w:rsidR="00017B6A" w:rsidRPr="005A3F47">
        <w:rPr>
          <w:noProof/>
        </w:rPr>
        <w:t xml:space="preserve">protection against </w:t>
      </w:r>
      <w:r w:rsidR="00BA2F97" w:rsidRPr="005A3F47">
        <w:rPr>
          <w:noProof/>
        </w:rPr>
        <w:t xml:space="preserve">profit shifting and base erosion. Member States can </w:t>
      </w:r>
      <w:r w:rsidR="00953A17" w:rsidRPr="005A3F47">
        <w:rPr>
          <w:noProof/>
        </w:rPr>
        <w:t>implement stricter rules.</w:t>
      </w:r>
      <w:r w:rsidR="00AD44EE" w:rsidRPr="005A3F47">
        <w:rPr>
          <w:noProof/>
        </w:rPr>
        <w:t xml:space="preserve"> This section will demonstrate that </w:t>
      </w:r>
      <w:r w:rsidR="00E04126" w:rsidRPr="005A3F47">
        <w:rPr>
          <w:noProof/>
        </w:rPr>
        <w:t>SMEs</w:t>
      </w:r>
      <w:r w:rsidR="00723D45" w:rsidRPr="005A3F47">
        <w:rPr>
          <w:noProof/>
        </w:rPr>
        <w:t xml:space="preserve"> </w:t>
      </w:r>
      <w:r w:rsidR="00B444B8" w:rsidRPr="005A3F47">
        <w:rPr>
          <w:noProof/>
        </w:rPr>
        <w:t>a</w:t>
      </w:r>
      <w:r w:rsidR="00B96BD6" w:rsidRPr="005A3F47">
        <w:rPr>
          <w:noProof/>
        </w:rPr>
        <w:t xml:space="preserve">re currently protected </w:t>
      </w:r>
      <w:r w:rsidR="0022569D" w:rsidRPr="005A3F47">
        <w:rPr>
          <w:noProof/>
        </w:rPr>
        <w:t xml:space="preserve">very effectively </w:t>
      </w:r>
      <w:r w:rsidR="00FF1127" w:rsidRPr="005A3F47">
        <w:rPr>
          <w:noProof/>
        </w:rPr>
        <w:t>from limitations in interest deduction.</w:t>
      </w:r>
      <w:r w:rsidR="00E220C8" w:rsidRPr="005A3F47">
        <w:rPr>
          <w:noProof/>
        </w:rPr>
        <w:t xml:space="preserve"> </w:t>
      </w:r>
      <w:r w:rsidR="002C5190" w:rsidRPr="005A3F47">
        <w:rPr>
          <w:noProof/>
        </w:rPr>
        <w:t>Yet</w:t>
      </w:r>
      <w:r w:rsidR="006E61BC" w:rsidRPr="005A3F47">
        <w:rPr>
          <w:noProof/>
        </w:rPr>
        <w:t xml:space="preserve"> the new</w:t>
      </w:r>
      <w:r w:rsidR="0015720A" w:rsidRPr="005A3F47">
        <w:rPr>
          <w:noProof/>
        </w:rPr>
        <w:t xml:space="preserve"> measures will improve protection even more.</w:t>
      </w:r>
      <w:r w:rsidR="00FF1127" w:rsidRPr="005A3F47">
        <w:rPr>
          <w:noProof/>
        </w:rPr>
        <w:t xml:space="preserve"> </w:t>
      </w:r>
    </w:p>
    <w:p w14:paraId="0DE231E7" w14:textId="534847D0" w:rsidR="003C1723" w:rsidRPr="005A3F47" w:rsidRDefault="003C1723" w:rsidP="00DE6B6A">
      <w:pPr>
        <w:pStyle w:val="Heading3"/>
        <w:rPr>
          <w:noProof/>
        </w:rPr>
      </w:pPr>
      <w:r w:rsidRPr="005A3F47">
        <w:rPr>
          <w:noProof/>
        </w:rPr>
        <w:t xml:space="preserve">4.1 </w:t>
      </w:r>
      <w:r w:rsidR="001F32EF" w:rsidRPr="005A3F47">
        <w:rPr>
          <w:noProof/>
        </w:rPr>
        <w:t xml:space="preserve">Carving out SMEs (mandatory de minimis of EUR </w:t>
      </w:r>
      <w:r>
        <w:rPr>
          <w:noProof/>
        </w:rPr>
        <w:t xml:space="preserve">3 </w:t>
      </w:r>
      <w:r w:rsidR="001F32EF" w:rsidRPr="005A3F47">
        <w:rPr>
          <w:noProof/>
        </w:rPr>
        <w:t>million)</w:t>
      </w:r>
    </w:p>
    <w:p w14:paraId="1900F99B" w14:textId="708D845F" w:rsidR="00EE6444" w:rsidRPr="00266412" w:rsidRDefault="00E83926" w:rsidP="00FB7151">
      <w:pPr>
        <w:pStyle w:val="Text2"/>
        <w:ind w:left="0"/>
        <w:rPr>
          <w:b/>
          <w:bCs/>
          <w:noProof/>
        </w:rPr>
      </w:pPr>
      <w:r w:rsidRPr="00266412">
        <w:rPr>
          <w:b/>
          <w:bCs/>
          <w:noProof/>
        </w:rPr>
        <w:t>Impact on companies</w:t>
      </w:r>
    </w:p>
    <w:p w14:paraId="25116E3D" w14:textId="7FFD89DB" w:rsidR="00FB7151" w:rsidRPr="005A3F47" w:rsidRDefault="005F24EB" w:rsidP="00FB7151">
      <w:pPr>
        <w:pStyle w:val="Text2"/>
        <w:ind w:left="0"/>
        <w:rPr>
          <w:noProof/>
        </w:rPr>
      </w:pPr>
      <w:r w:rsidRPr="005A3F47">
        <w:rPr>
          <w:noProof/>
        </w:rPr>
        <w:t>2</w:t>
      </w:r>
      <w:r w:rsidR="007B3B88" w:rsidRPr="005A3F47">
        <w:rPr>
          <w:noProof/>
        </w:rPr>
        <w:t>0</w:t>
      </w:r>
      <w:r w:rsidR="006374C2" w:rsidRPr="005A3F47">
        <w:rPr>
          <w:noProof/>
        </w:rPr>
        <w:t xml:space="preserve"> </w:t>
      </w:r>
      <w:r w:rsidR="00FB7151" w:rsidRPr="005A3F47">
        <w:rPr>
          <w:noProof/>
        </w:rPr>
        <w:t xml:space="preserve">Member States have implemented </w:t>
      </w:r>
      <w:r w:rsidR="00F90E31" w:rsidRPr="005A3F47">
        <w:rPr>
          <w:noProof/>
        </w:rPr>
        <w:t>a</w:t>
      </w:r>
      <w:r w:rsidR="00FB7151" w:rsidRPr="005A3F47">
        <w:rPr>
          <w:noProof/>
        </w:rPr>
        <w:t xml:space="preserve"> EUR 3 million de minimis</w:t>
      </w:r>
      <w:r w:rsidR="00F90E31" w:rsidRPr="005A3F47">
        <w:rPr>
          <w:noProof/>
        </w:rPr>
        <w:t xml:space="preserve"> or </w:t>
      </w:r>
      <w:r w:rsidR="0089782D" w:rsidRPr="005A3F47">
        <w:rPr>
          <w:noProof/>
        </w:rPr>
        <w:t>equivalent</w:t>
      </w:r>
      <w:r w:rsidR="00F90E31" w:rsidRPr="005A3F47">
        <w:rPr>
          <w:noProof/>
        </w:rPr>
        <w:t xml:space="preserve"> rule</w:t>
      </w:r>
      <w:r w:rsidR="00FB7151" w:rsidRPr="005A3F47">
        <w:rPr>
          <w:noProof/>
        </w:rPr>
        <w:t>.</w:t>
      </w:r>
      <w:r w:rsidRPr="005A3F47">
        <w:rPr>
          <w:rStyle w:val="FootnoteReference"/>
          <w:rFonts w:eastAsiaTheme="minorEastAsia"/>
          <w:noProof/>
        </w:rPr>
        <w:footnoteReference w:id="127"/>
      </w:r>
      <w:r w:rsidR="00FB7151" w:rsidRPr="005A3F47">
        <w:rPr>
          <w:noProof/>
        </w:rPr>
        <w:t xml:space="preserve"> </w:t>
      </w:r>
      <w:r w:rsidR="00096B81" w:rsidRPr="005A3F47">
        <w:rPr>
          <w:noProof/>
        </w:rPr>
        <w:t xml:space="preserve">Six </w:t>
      </w:r>
      <w:r w:rsidR="00944A3A" w:rsidRPr="005A3F47">
        <w:rPr>
          <w:noProof/>
        </w:rPr>
        <w:t>Member States have opted for</w:t>
      </w:r>
      <w:r w:rsidR="007F3195" w:rsidRPr="005A3F47">
        <w:rPr>
          <w:noProof/>
        </w:rPr>
        <w:t xml:space="preserve"> a</w:t>
      </w:r>
      <w:r w:rsidR="00944A3A" w:rsidRPr="005A3F47">
        <w:rPr>
          <w:noProof/>
        </w:rPr>
        <w:t xml:space="preserve"> lower threshold </w:t>
      </w:r>
      <w:r w:rsidR="00255CE2" w:rsidRPr="005A3F47">
        <w:rPr>
          <w:noProof/>
        </w:rPr>
        <w:t xml:space="preserve">of up to EUR 1 million </w:t>
      </w:r>
      <w:r w:rsidR="00944A3A" w:rsidRPr="005A3F47">
        <w:rPr>
          <w:noProof/>
        </w:rPr>
        <w:t xml:space="preserve">so that the number of firms protected from </w:t>
      </w:r>
      <w:r w:rsidR="003C185A" w:rsidRPr="005A3F47">
        <w:rPr>
          <w:noProof/>
        </w:rPr>
        <w:t xml:space="preserve">the </w:t>
      </w:r>
      <w:r w:rsidR="00944A3A" w:rsidRPr="005A3F47">
        <w:rPr>
          <w:noProof/>
        </w:rPr>
        <w:t xml:space="preserve">ILR may be lower. </w:t>
      </w:r>
      <w:r w:rsidR="002868E6" w:rsidRPr="005A3F47">
        <w:rPr>
          <w:noProof/>
        </w:rPr>
        <w:t>These</w:t>
      </w:r>
      <w:r w:rsidR="00236C6D" w:rsidRPr="005A3F47">
        <w:rPr>
          <w:noProof/>
        </w:rPr>
        <w:t xml:space="preserve"> include </w:t>
      </w:r>
      <w:r w:rsidR="00E143D3" w:rsidRPr="005A3F47">
        <w:rPr>
          <w:noProof/>
        </w:rPr>
        <w:t xml:space="preserve">the Netherlands, </w:t>
      </w:r>
      <w:r w:rsidR="00096B81" w:rsidRPr="005A3F47">
        <w:rPr>
          <w:noProof/>
        </w:rPr>
        <w:t xml:space="preserve">Poland, </w:t>
      </w:r>
      <w:r w:rsidR="00021BB0" w:rsidRPr="005A3F47">
        <w:rPr>
          <w:noProof/>
        </w:rPr>
        <w:t xml:space="preserve">Portugal, Romania, Spain and Sweden. </w:t>
      </w:r>
      <w:r w:rsidR="00944A3A" w:rsidRPr="005A3F47">
        <w:rPr>
          <w:noProof/>
        </w:rPr>
        <w:t xml:space="preserve">Of those, </w:t>
      </w:r>
      <w:r w:rsidR="00096B81" w:rsidRPr="005A3F47">
        <w:rPr>
          <w:noProof/>
        </w:rPr>
        <w:t xml:space="preserve">some </w:t>
      </w:r>
      <w:r w:rsidR="00944A3A" w:rsidRPr="005A3F47">
        <w:rPr>
          <w:noProof/>
        </w:rPr>
        <w:t xml:space="preserve">have other instruments in place, especially the possibility of an </w:t>
      </w:r>
      <w:r w:rsidR="00944A3A" w:rsidRPr="005A3F47">
        <w:rPr>
          <w:i/>
          <w:iCs/>
          <w:noProof/>
        </w:rPr>
        <w:t>indefinite</w:t>
      </w:r>
      <w:r w:rsidR="00944A3A" w:rsidRPr="005A3F47">
        <w:rPr>
          <w:noProof/>
        </w:rPr>
        <w:t xml:space="preserve"> carry-forward of interest expenses not deductible in a given year due to ILR. Non-allowed deductions can thus be indefinitely deferred to future years. This is notably the case in the Netherlands and Spain.</w:t>
      </w:r>
      <w:r w:rsidR="005678F5" w:rsidRPr="005A3F47">
        <w:rPr>
          <w:noProof/>
        </w:rPr>
        <w:t xml:space="preserve"> </w:t>
      </w:r>
      <w:r w:rsidR="008515B2" w:rsidRPr="005A3F47">
        <w:rPr>
          <w:noProof/>
        </w:rPr>
        <w:t xml:space="preserve">Italy </w:t>
      </w:r>
      <w:r w:rsidR="009F0556" w:rsidRPr="005A3F47">
        <w:rPr>
          <w:noProof/>
        </w:rPr>
        <w:t xml:space="preserve">has no de minimis threshold. </w:t>
      </w:r>
      <w:r w:rsidR="00CB3020" w:rsidRPr="005A3F47">
        <w:rPr>
          <w:noProof/>
        </w:rPr>
        <w:t xml:space="preserve">Yet it also has </w:t>
      </w:r>
      <w:r w:rsidR="00FB7151" w:rsidRPr="005A3F47">
        <w:rPr>
          <w:noProof/>
        </w:rPr>
        <w:t xml:space="preserve">significant protective tools in place that alleviate the impact of ILR for small businesses or </w:t>
      </w:r>
      <w:r w:rsidR="00186ED1" w:rsidRPr="005A3F47">
        <w:rPr>
          <w:noProof/>
        </w:rPr>
        <w:t>exclude them</w:t>
      </w:r>
      <w:r w:rsidR="00FB7151" w:rsidRPr="005A3F47">
        <w:rPr>
          <w:noProof/>
        </w:rPr>
        <w:t xml:space="preserve"> from ILR altogether. </w:t>
      </w:r>
      <w:r w:rsidR="00186ED1" w:rsidRPr="005A3F47">
        <w:rPr>
          <w:noProof/>
        </w:rPr>
        <w:t>N</w:t>
      </w:r>
      <w:r w:rsidR="00FB7151" w:rsidRPr="005A3F47">
        <w:rPr>
          <w:noProof/>
        </w:rPr>
        <w:t>on-realised deductions and non-utilized deduction capacities</w:t>
      </w:r>
      <w:r w:rsidR="00FB7151" w:rsidRPr="005A3F47">
        <w:rPr>
          <w:rStyle w:val="FootnoteReference"/>
          <w:noProof/>
        </w:rPr>
        <w:footnoteReference w:id="128"/>
      </w:r>
      <w:r w:rsidR="00FB7151" w:rsidRPr="005A3F47">
        <w:rPr>
          <w:noProof/>
        </w:rPr>
        <w:t xml:space="preserve"> can be carried forward</w:t>
      </w:r>
      <w:r w:rsidR="00E0581F" w:rsidRPr="005A3F47">
        <w:rPr>
          <w:noProof/>
        </w:rPr>
        <w:t xml:space="preserve">. </w:t>
      </w:r>
      <w:r w:rsidR="00D67FFD" w:rsidRPr="005A3F47">
        <w:rPr>
          <w:noProof/>
        </w:rPr>
        <w:t>Most i</w:t>
      </w:r>
      <w:r w:rsidR="00CB3020" w:rsidRPr="005A3F47">
        <w:rPr>
          <w:noProof/>
        </w:rPr>
        <w:t>mportantly</w:t>
      </w:r>
      <w:r w:rsidR="00FB7151" w:rsidRPr="005A3F47">
        <w:rPr>
          <w:noProof/>
        </w:rPr>
        <w:t>, sole traders and partnerships (</w:t>
      </w:r>
      <w:r w:rsidR="00FB7151" w:rsidRPr="005A3F47">
        <w:rPr>
          <w:i/>
          <w:iCs/>
          <w:noProof/>
        </w:rPr>
        <w:t>società di persone</w:t>
      </w:r>
      <w:r w:rsidR="00FB7151" w:rsidRPr="005A3F47">
        <w:rPr>
          <w:noProof/>
        </w:rPr>
        <w:t xml:space="preserve">) are explicitly excluded from the scope of </w:t>
      </w:r>
      <w:r w:rsidR="005678F5" w:rsidRPr="005A3F47">
        <w:rPr>
          <w:noProof/>
        </w:rPr>
        <w:t xml:space="preserve">the </w:t>
      </w:r>
      <w:r w:rsidR="00FB7151" w:rsidRPr="005A3F47">
        <w:rPr>
          <w:noProof/>
        </w:rPr>
        <w:t xml:space="preserve">ILR (Art. 96 of the Italian Income Tax Code - TUIR). This would </w:t>
      </w:r>
      <w:r w:rsidR="002E0CF1" w:rsidRPr="005A3F47">
        <w:rPr>
          <w:noProof/>
        </w:rPr>
        <w:t>exclude</w:t>
      </w:r>
      <w:r w:rsidR="00FB7151" w:rsidRPr="005A3F47">
        <w:rPr>
          <w:noProof/>
        </w:rPr>
        <w:t xml:space="preserve"> almost 80% of all companies in Italy.</w:t>
      </w:r>
      <w:r w:rsidR="00AC05EC" w:rsidRPr="005A3F47">
        <w:rPr>
          <w:rStyle w:val="FootnoteReference"/>
          <w:noProof/>
        </w:rPr>
        <w:footnoteReference w:id="129"/>
      </w:r>
      <w:r w:rsidR="00FB7151" w:rsidRPr="005A3F47">
        <w:rPr>
          <w:noProof/>
        </w:rPr>
        <w:t xml:space="preserve"> </w:t>
      </w:r>
    </w:p>
    <w:p w14:paraId="1CFBB260" w14:textId="7D8FF813" w:rsidR="007E51E0" w:rsidRPr="00266412" w:rsidRDefault="00EF3895" w:rsidP="00FB7151">
      <w:pPr>
        <w:pStyle w:val="Text2"/>
        <w:ind w:left="0"/>
        <w:rPr>
          <w:noProof/>
        </w:rPr>
      </w:pPr>
      <w:r w:rsidRPr="005A3F47">
        <w:rPr>
          <w:noProof/>
        </w:rPr>
        <w:t xml:space="preserve">We </w:t>
      </w:r>
      <w:r w:rsidR="00A91B4A" w:rsidRPr="005A3F47">
        <w:rPr>
          <w:noProof/>
        </w:rPr>
        <w:t xml:space="preserve">estimate </w:t>
      </w:r>
      <w:r w:rsidR="00897B35" w:rsidRPr="005A3F47">
        <w:rPr>
          <w:noProof/>
        </w:rPr>
        <w:t>the</w:t>
      </w:r>
      <w:r w:rsidR="00BE7803" w:rsidRPr="005A3F47">
        <w:rPr>
          <w:noProof/>
        </w:rPr>
        <w:t xml:space="preserve"> </w:t>
      </w:r>
      <w:r w:rsidR="00A91B4A" w:rsidRPr="005A3F47">
        <w:rPr>
          <w:noProof/>
        </w:rPr>
        <w:t xml:space="preserve">share of </w:t>
      </w:r>
      <w:r w:rsidR="00D92006" w:rsidRPr="005A3F47">
        <w:rPr>
          <w:noProof/>
        </w:rPr>
        <w:t>SMEs that</w:t>
      </w:r>
      <w:r w:rsidR="00BE7803" w:rsidRPr="005A3F47">
        <w:rPr>
          <w:noProof/>
        </w:rPr>
        <w:t xml:space="preserve"> today </w:t>
      </w:r>
      <w:r w:rsidR="00A7621B" w:rsidRPr="005A3F47">
        <w:rPr>
          <w:noProof/>
        </w:rPr>
        <w:t xml:space="preserve">do not </w:t>
      </w:r>
      <w:r w:rsidR="007C3288" w:rsidRPr="005A3F47">
        <w:rPr>
          <w:noProof/>
        </w:rPr>
        <w:t xml:space="preserve">see any limitation from </w:t>
      </w:r>
      <w:r w:rsidR="004A7A17" w:rsidRPr="005A3F47">
        <w:rPr>
          <w:noProof/>
        </w:rPr>
        <w:t xml:space="preserve">interest deduction limitation, and how this </w:t>
      </w:r>
      <w:r w:rsidR="00A91B4A" w:rsidRPr="005A3F47">
        <w:rPr>
          <w:noProof/>
        </w:rPr>
        <w:t xml:space="preserve">share </w:t>
      </w:r>
      <w:r>
        <w:rPr>
          <w:noProof/>
        </w:rPr>
        <w:t xml:space="preserve">would </w:t>
      </w:r>
      <w:r w:rsidR="00A91B4A" w:rsidRPr="005A3F47">
        <w:rPr>
          <w:noProof/>
        </w:rPr>
        <w:t xml:space="preserve">change after implementing a de minimis of </w:t>
      </w:r>
      <w:r>
        <w:rPr>
          <w:noProof/>
        </w:rPr>
        <w:t xml:space="preserve">3 </w:t>
      </w:r>
      <w:r w:rsidR="00A91B4A" w:rsidRPr="005A3F47">
        <w:rPr>
          <w:noProof/>
        </w:rPr>
        <w:t xml:space="preserve">EUR million in </w:t>
      </w:r>
      <w:r w:rsidR="00A91B4A" w:rsidRPr="00D01F36">
        <w:rPr>
          <w:noProof/>
        </w:rPr>
        <w:t>all</w:t>
      </w:r>
      <w:r w:rsidR="00A91B4A" w:rsidRPr="005A3F47">
        <w:rPr>
          <w:noProof/>
        </w:rPr>
        <w:t xml:space="preserve"> Member States</w:t>
      </w:r>
      <w:r>
        <w:rPr>
          <w:noProof/>
        </w:rPr>
        <w:t xml:space="preserve"> taking as the hypothesis that this would become mandatory</w:t>
      </w:r>
      <w:r w:rsidR="00A91B4A" w:rsidRPr="005A3F47">
        <w:rPr>
          <w:noProof/>
        </w:rPr>
        <w:t>.</w:t>
      </w:r>
      <w:r w:rsidR="009A0B77" w:rsidRPr="005A3F47">
        <w:rPr>
          <w:noProof/>
        </w:rPr>
        <w:t xml:space="preserve"> </w:t>
      </w:r>
      <w:r w:rsidR="00211F25" w:rsidRPr="005A3F47">
        <w:rPr>
          <w:noProof/>
        </w:rPr>
        <w:t xml:space="preserve">We simulate the current ILR rules </w:t>
      </w:r>
      <w:r w:rsidR="00DA12AD" w:rsidRPr="005A3F47">
        <w:rPr>
          <w:noProof/>
        </w:rPr>
        <w:t>in EU Member Stat</w:t>
      </w:r>
      <w:r w:rsidR="000B43FD" w:rsidRPr="005A3F47">
        <w:rPr>
          <w:noProof/>
        </w:rPr>
        <w:t>e</w:t>
      </w:r>
      <w:r w:rsidR="00DA12AD" w:rsidRPr="005A3F47">
        <w:rPr>
          <w:noProof/>
        </w:rPr>
        <w:t xml:space="preserve">s on an </w:t>
      </w:r>
      <w:r w:rsidR="009A0B77" w:rsidRPr="005A3F47">
        <w:rPr>
          <w:i/>
          <w:noProof/>
        </w:rPr>
        <w:t>Orbis</w:t>
      </w:r>
      <w:r w:rsidR="009A0B77" w:rsidRPr="005A3F47">
        <w:rPr>
          <w:noProof/>
        </w:rPr>
        <w:t xml:space="preserve"> sample of </w:t>
      </w:r>
      <w:r w:rsidR="0079298A" w:rsidRPr="005A3F47">
        <w:rPr>
          <w:noProof/>
        </w:rPr>
        <w:t xml:space="preserve">1.8 million </w:t>
      </w:r>
      <w:r w:rsidR="00C61F10" w:rsidRPr="005A3F47">
        <w:rPr>
          <w:noProof/>
        </w:rPr>
        <w:t>unconsolidated accounts</w:t>
      </w:r>
      <w:r w:rsidR="000B43FD" w:rsidRPr="005A3F47">
        <w:rPr>
          <w:noProof/>
        </w:rPr>
        <w:t xml:space="preserve"> from 2024</w:t>
      </w:r>
      <w:r w:rsidR="00547B8A" w:rsidRPr="005A3F47">
        <w:rPr>
          <w:noProof/>
        </w:rPr>
        <w:t xml:space="preserve"> with a positive taxable profit</w:t>
      </w:r>
      <w:r w:rsidR="00DA12AD" w:rsidRPr="005A3F47">
        <w:rPr>
          <w:noProof/>
        </w:rPr>
        <w:t>.</w:t>
      </w:r>
      <w:r w:rsidR="00AA5F3D" w:rsidRPr="005A3F47">
        <w:rPr>
          <w:noProof/>
        </w:rPr>
        <w:t xml:space="preserve"> </w:t>
      </w:r>
      <w:r w:rsidR="00D21422" w:rsidRPr="00266412">
        <w:rPr>
          <w:noProof/>
        </w:rPr>
        <w:t>The vast majority of these accounts are from SMEs.</w:t>
      </w:r>
      <w:r w:rsidR="005859F7" w:rsidRPr="00266412">
        <w:rPr>
          <w:rStyle w:val="FootnoteReference"/>
          <w:noProof/>
        </w:rPr>
        <w:footnoteReference w:id="130"/>
      </w:r>
      <w:r w:rsidR="00D21422" w:rsidRPr="00266412">
        <w:rPr>
          <w:noProof/>
        </w:rPr>
        <w:t xml:space="preserve"> </w:t>
      </w:r>
      <w:r w:rsidR="00A22FED" w:rsidRPr="00266412">
        <w:rPr>
          <w:noProof/>
        </w:rPr>
        <w:t>The following information</w:t>
      </w:r>
      <w:r w:rsidR="00D92006" w:rsidRPr="00266412">
        <w:rPr>
          <w:noProof/>
        </w:rPr>
        <w:t xml:space="preserve"> and</w:t>
      </w:r>
      <w:r w:rsidR="00E9279D" w:rsidRPr="00266412">
        <w:rPr>
          <w:noProof/>
        </w:rPr>
        <w:t xml:space="preserve"> assumptions </w:t>
      </w:r>
      <w:r w:rsidR="00C26A73" w:rsidRPr="00266412">
        <w:rPr>
          <w:noProof/>
        </w:rPr>
        <w:t>about the implementation of the I</w:t>
      </w:r>
      <w:r w:rsidR="00D92006" w:rsidRPr="00266412">
        <w:rPr>
          <w:noProof/>
        </w:rPr>
        <w:t xml:space="preserve">nterest </w:t>
      </w:r>
      <w:r w:rsidR="00C26A73" w:rsidRPr="00266412">
        <w:rPr>
          <w:noProof/>
        </w:rPr>
        <w:t>L</w:t>
      </w:r>
      <w:r w:rsidR="00D92006" w:rsidRPr="00266412">
        <w:rPr>
          <w:noProof/>
        </w:rPr>
        <w:t xml:space="preserve">imitation </w:t>
      </w:r>
      <w:r w:rsidR="00C26A73" w:rsidRPr="00266412">
        <w:rPr>
          <w:noProof/>
        </w:rPr>
        <w:t>R</w:t>
      </w:r>
      <w:r w:rsidR="00D92006" w:rsidRPr="00266412">
        <w:rPr>
          <w:noProof/>
        </w:rPr>
        <w:t>ule</w:t>
      </w:r>
      <w:r w:rsidR="00C26A73" w:rsidRPr="00266412">
        <w:rPr>
          <w:noProof/>
        </w:rPr>
        <w:t xml:space="preserve"> </w:t>
      </w:r>
      <w:r w:rsidR="00C14ACC" w:rsidRPr="00266412">
        <w:rPr>
          <w:noProof/>
        </w:rPr>
        <w:t xml:space="preserve">in Member States </w:t>
      </w:r>
      <w:r w:rsidR="00E9279D" w:rsidRPr="00266412">
        <w:rPr>
          <w:noProof/>
        </w:rPr>
        <w:t>is taken on board</w:t>
      </w:r>
      <w:r w:rsidR="008375FB" w:rsidRPr="00266412">
        <w:rPr>
          <w:noProof/>
        </w:rPr>
        <w:t xml:space="preserve"> for the simulation</w:t>
      </w:r>
      <w:r w:rsidR="00E9279D" w:rsidRPr="00266412">
        <w:rPr>
          <w:noProof/>
        </w:rPr>
        <w:t>:</w:t>
      </w:r>
    </w:p>
    <w:p w14:paraId="7EFA1EBA" w14:textId="77777777" w:rsidR="00B02A11" w:rsidRPr="00266412" w:rsidRDefault="00B02A11" w:rsidP="00DE6B6A">
      <w:pPr>
        <w:pStyle w:val="Text2"/>
        <w:numPr>
          <w:ilvl w:val="0"/>
          <w:numId w:val="232"/>
        </w:numPr>
        <w:spacing w:after="0"/>
        <w:ind w:left="714" w:hanging="357"/>
        <w:rPr>
          <w:noProof/>
        </w:rPr>
      </w:pPr>
      <w:r w:rsidRPr="00266412">
        <w:rPr>
          <w:noProof/>
        </w:rPr>
        <w:t>The EBITDA-threshold is 30% for all EU Member States but Finland (25%) and the Netherlands (24.5%).</w:t>
      </w:r>
    </w:p>
    <w:p w14:paraId="5C79B18A" w14:textId="3FA1888F" w:rsidR="00B02A11" w:rsidRPr="00266412" w:rsidRDefault="00B02A11" w:rsidP="00DE6B6A">
      <w:pPr>
        <w:pStyle w:val="Text2"/>
        <w:numPr>
          <w:ilvl w:val="0"/>
          <w:numId w:val="232"/>
        </w:numPr>
        <w:spacing w:after="0"/>
        <w:ind w:left="714" w:hanging="357"/>
        <w:rPr>
          <w:noProof/>
        </w:rPr>
      </w:pPr>
      <w:r w:rsidRPr="00266412">
        <w:rPr>
          <w:noProof/>
        </w:rPr>
        <w:t>The de minimis threshold is set at EUR 3 million in all Member States but the following seven: the Netherlands, Portugal, Romania, Spain (all EUR 1 million), Poland (EUR 0.7 million), Sweden (EUR 0.44 million) and Italy (nil).</w:t>
      </w:r>
    </w:p>
    <w:p w14:paraId="30E37D08" w14:textId="413A771A" w:rsidR="000E2C9D" w:rsidRPr="00266412" w:rsidRDefault="000E2C9D" w:rsidP="00DE6B6A">
      <w:pPr>
        <w:pStyle w:val="Text2"/>
        <w:numPr>
          <w:ilvl w:val="0"/>
          <w:numId w:val="232"/>
        </w:numPr>
        <w:spacing w:after="0"/>
        <w:ind w:left="714" w:hanging="357"/>
        <w:rPr>
          <w:noProof/>
        </w:rPr>
      </w:pPr>
      <w:r w:rsidRPr="00266412">
        <w:rPr>
          <w:noProof/>
        </w:rPr>
        <w:t xml:space="preserve">The stand-alone exemption </w:t>
      </w:r>
      <w:r w:rsidR="002E7EDC" w:rsidRPr="00266412">
        <w:rPr>
          <w:noProof/>
        </w:rPr>
        <w:t xml:space="preserve">of </w:t>
      </w:r>
      <w:r w:rsidRPr="00266412">
        <w:rPr>
          <w:noProof/>
        </w:rPr>
        <w:t xml:space="preserve">ATAD Article 4 (3) (b) is implemented in all </w:t>
      </w:r>
      <w:r w:rsidR="00522374" w:rsidRPr="00266412">
        <w:rPr>
          <w:noProof/>
        </w:rPr>
        <w:t>Member States</w:t>
      </w:r>
      <w:r w:rsidRPr="00266412">
        <w:rPr>
          <w:noProof/>
        </w:rPr>
        <w:t xml:space="preserve"> but Bulgaria, Czechia, Denmark, Greece, Italy, Latvia, the Netherlands, Poland, Portugal, Sweden and Croatia.</w:t>
      </w:r>
    </w:p>
    <w:p w14:paraId="1C1775D6" w14:textId="1870177E" w:rsidR="00752A5B" w:rsidRPr="00266412" w:rsidRDefault="00752A5B" w:rsidP="00DE6B6A">
      <w:pPr>
        <w:pStyle w:val="Text2"/>
        <w:numPr>
          <w:ilvl w:val="0"/>
          <w:numId w:val="232"/>
        </w:numPr>
        <w:spacing w:after="0"/>
        <w:ind w:left="714" w:hanging="357"/>
        <w:rPr>
          <w:noProof/>
        </w:rPr>
      </w:pPr>
      <w:r w:rsidRPr="00266412">
        <w:rPr>
          <w:noProof/>
        </w:rPr>
        <w:t xml:space="preserve">A company is </w:t>
      </w:r>
      <w:r w:rsidR="00C85453" w:rsidRPr="00266412">
        <w:rPr>
          <w:noProof/>
        </w:rPr>
        <w:t>considered</w:t>
      </w:r>
      <w:r w:rsidR="005062A1" w:rsidRPr="00266412">
        <w:rPr>
          <w:noProof/>
        </w:rPr>
        <w:t xml:space="preserve"> </w:t>
      </w:r>
      <w:r w:rsidRPr="00266412">
        <w:rPr>
          <w:noProof/>
        </w:rPr>
        <w:t xml:space="preserve">standalone if a consolidated account does not exist and the company is its own global ultimate owner. </w:t>
      </w:r>
      <w:r w:rsidR="00106D75" w:rsidRPr="00266412">
        <w:rPr>
          <w:noProof/>
        </w:rPr>
        <w:t xml:space="preserve">If </w:t>
      </w:r>
      <w:r w:rsidRPr="00266412">
        <w:rPr>
          <w:noProof/>
        </w:rPr>
        <w:t>there is no global owner given in the data</w:t>
      </w:r>
      <w:r w:rsidR="00106D75" w:rsidRPr="00266412">
        <w:rPr>
          <w:noProof/>
        </w:rPr>
        <w:t xml:space="preserve"> for a company</w:t>
      </w:r>
      <w:r w:rsidR="00DD0C53" w:rsidRPr="00266412">
        <w:rPr>
          <w:noProof/>
        </w:rPr>
        <w:t xml:space="preserve"> it is also </w:t>
      </w:r>
      <w:r w:rsidRPr="00266412">
        <w:rPr>
          <w:noProof/>
        </w:rPr>
        <w:t>consider</w:t>
      </w:r>
      <w:r w:rsidR="00DD0C53" w:rsidRPr="00266412">
        <w:rPr>
          <w:noProof/>
        </w:rPr>
        <w:t>ed</w:t>
      </w:r>
      <w:r w:rsidRPr="00266412">
        <w:rPr>
          <w:noProof/>
        </w:rPr>
        <w:t xml:space="preserve"> standalone. </w:t>
      </w:r>
    </w:p>
    <w:p w14:paraId="439CF198" w14:textId="1EF436D9" w:rsidR="00B02A11" w:rsidRPr="00266412" w:rsidRDefault="00B02A11" w:rsidP="00DE6B6A">
      <w:pPr>
        <w:pStyle w:val="Text2"/>
        <w:numPr>
          <w:ilvl w:val="0"/>
          <w:numId w:val="232"/>
        </w:numPr>
        <w:spacing w:after="0"/>
        <w:ind w:left="714" w:hanging="357"/>
        <w:rPr>
          <w:noProof/>
        </w:rPr>
      </w:pPr>
      <w:r w:rsidRPr="00266412">
        <w:rPr>
          <w:noProof/>
        </w:rPr>
        <w:t xml:space="preserve">The initiative will abolish the stand-alone exemption as it is deemed no longer necessary, given that standalone companies will be effectively </w:t>
      </w:r>
      <w:r w:rsidR="00752A5B" w:rsidRPr="00266412">
        <w:rPr>
          <w:noProof/>
        </w:rPr>
        <w:t xml:space="preserve">protected </w:t>
      </w:r>
      <w:r w:rsidRPr="00266412">
        <w:rPr>
          <w:noProof/>
        </w:rPr>
        <w:t xml:space="preserve">through the carve-out of </w:t>
      </w:r>
      <w:r w:rsidR="008A7321" w:rsidRPr="00266412">
        <w:rPr>
          <w:noProof/>
        </w:rPr>
        <w:t>SME</w:t>
      </w:r>
      <w:r w:rsidRPr="00266412">
        <w:rPr>
          <w:noProof/>
        </w:rPr>
        <w:t>s and of low-risk loans from the Interest Limitation Rule</w:t>
      </w:r>
      <w:r w:rsidR="008A7321" w:rsidRPr="00266412">
        <w:rPr>
          <w:noProof/>
        </w:rPr>
        <w:t xml:space="preserve"> (Section </w:t>
      </w:r>
      <w:r w:rsidR="008E176F" w:rsidRPr="00266412">
        <w:rPr>
          <w:noProof/>
        </w:rPr>
        <w:t>6.2.4.4)</w:t>
      </w:r>
      <w:r w:rsidRPr="00266412">
        <w:rPr>
          <w:noProof/>
        </w:rPr>
        <w:t>.</w:t>
      </w:r>
    </w:p>
    <w:p w14:paraId="4FBA99FF" w14:textId="7EB9298B" w:rsidR="00B02A11" w:rsidRPr="00266412" w:rsidRDefault="00880BE1" w:rsidP="00DE6B6A">
      <w:pPr>
        <w:pStyle w:val="Text2"/>
        <w:numPr>
          <w:ilvl w:val="0"/>
          <w:numId w:val="232"/>
        </w:numPr>
        <w:spacing w:after="0"/>
        <w:ind w:left="714" w:hanging="357"/>
        <w:rPr>
          <w:noProof/>
        </w:rPr>
      </w:pPr>
      <w:r w:rsidRPr="00266412">
        <w:rPr>
          <w:noProof/>
        </w:rPr>
        <w:t>N</w:t>
      </w:r>
      <w:r w:rsidR="00B02A11" w:rsidRPr="00266412">
        <w:rPr>
          <w:noProof/>
        </w:rPr>
        <w:t xml:space="preserve">ot being able to deduct interest expenses due to the Interest Limitation Rule </w:t>
      </w:r>
      <w:r w:rsidR="00083B37" w:rsidRPr="00266412">
        <w:rPr>
          <w:noProof/>
        </w:rPr>
        <w:t xml:space="preserve">increases the amount of </w:t>
      </w:r>
      <w:r w:rsidRPr="00266412">
        <w:rPr>
          <w:noProof/>
        </w:rPr>
        <w:t xml:space="preserve">corporate taxes a company must pay. This effect </w:t>
      </w:r>
      <w:r w:rsidR="00B02A11" w:rsidRPr="00266412">
        <w:rPr>
          <w:noProof/>
        </w:rPr>
        <w:t>is calculated by multiplying the non-deductible part of interest expenses by the national statutory Corporate Income Tax rate</w:t>
      </w:r>
      <w:r w:rsidR="00B400C5" w:rsidRPr="00266412">
        <w:rPr>
          <w:noProof/>
        </w:rPr>
        <w:t xml:space="preserve"> of the Member State </w:t>
      </w:r>
      <w:r w:rsidR="003B2392" w:rsidRPr="00266412">
        <w:rPr>
          <w:noProof/>
        </w:rPr>
        <w:t>where the respective company is resident</w:t>
      </w:r>
      <w:r w:rsidR="00B02A11" w:rsidRPr="00266412">
        <w:rPr>
          <w:noProof/>
        </w:rPr>
        <w:t xml:space="preserve">. </w:t>
      </w:r>
    </w:p>
    <w:p w14:paraId="17319706" w14:textId="77777777" w:rsidR="000D3DA0" w:rsidRPr="00266412" w:rsidRDefault="000D3DA0" w:rsidP="000D3DA0">
      <w:pPr>
        <w:pStyle w:val="Text2"/>
        <w:numPr>
          <w:ilvl w:val="0"/>
          <w:numId w:val="232"/>
        </w:numPr>
        <w:spacing w:after="0"/>
        <w:ind w:left="714" w:hanging="357"/>
        <w:rPr>
          <w:noProof/>
        </w:rPr>
      </w:pPr>
      <w:r w:rsidRPr="00266412">
        <w:rPr>
          <w:noProof/>
        </w:rPr>
        <w:t>Our approach includes the group approach for taxpayer qualification following Art. 4(1) (b) of ATAD: Member States may allow to calculate interest expenses and EBITDA at the level of the group (i.e., for group members on their respective territory) rather than for each entity separately. This rule is currently implemented in all but the following nine Member States: Bulgaria, Croatia, Czechia, Cyprus, Finland, Greece, Latvia, Slovakia and Sweden.</w:t>
      </w:r>
      <w:r w:rsidRPr="00266412">
        <w:rPr>
          <w:rStyle w:val="FootnoteReference"/>
          <w:noProof/>
        </w:rPr>
        <w:footnoteReference w:id="131"/>
      </w:r>
      <w:r w:rsidRPr="00266412">
        <w:rPr>
          <w:noProof/>
        </w:rPr>
        <w:t xml:space="preserve"> </w:t>
      </w:r>
    </w:p>
    <w:p w14:paraId="647B6FDC" w14:textId="77777777" w:rsidR="000D3DA0" w:rsidRPr="00266412" w:rsidRDefault="000D3DA0" w:rsidP="000D3DA0">
      <w:pPr>
        <w:pStyle w:val="Text2"/>
        <w:numPr>
          <w:ilvl w:val="0"/>
          <w:numId w:val="232"/>
        </w:numPr>
        <w:spacing w:after="0"/>
        <w:ind w:left="714" w:hanging="357"/>
        <w:rPr>
          <w:noProof/>
        </w:rPr>
      </w:pPr>
      <w:r w:rsidRPr="00266412">
        <w:rPr>
          <w:noProof/>
        </w:rPr>
        <w:t>Italy excludes sole traders and partnerships from the scope of the ILR. Those are taken out of the sample.</w:t>
      </w:r>
    </w:p>
    <w:p w14:paraId="44B29BCF" w14:textId="53F19B39" w:rsidR="00B02A11" w:rsidRPr="00266412" w:rsidRDefault="00532B37" w:rsidP="00DE6B6A">
      <w:pPr>
        <w:pStyle w:val="Text2"/>
        <w:numPr>
          <w:ilvl w:val="0"/>
          <w:numId w:val="232"/>
        </w:numPr>
        <w:spacing w:after="0"/>
        <w:ind w:left="714" w:hanging="357"/>
        <w:rPr>
          <w:noProof/>
        </w:rPr>
      </w:pPr>
      <w:r w:rsidRPr="00266412">
        <w:rPr>
          <w:noProof/>
        </w:rPr>
        <w:t xml:space="preserve">Increasing the </w:t>
      </w:r>
      <w:r w:rsidR="003F7FB4" w:rsidRPr="00266412">
        <w:rPr>
          <w:noProof/>
        </w:rPr>
        <w:t xml:space="preserve">de minimis threshold </w:t>
      </w:r>
      <w:r w:rsidR="001E21F0" w:rsidRPr="00266412">
        <w:rPr>
          <w:noProof/>
        </w:rPr>
        <w:t xml:space="preserve">will </w:t>
      </w:r>
      <w:r w:rsidR="001269C2" w:rsidRPr="00266412">
        <w:rPr>
          <w:noProof/>
        </w:rPr>
        <w:t>reduce the amount of corporate tax</w:t>
      </w:r>
      <w:r w:rsidR="00221C5A" w:rsidRPr="00266412">
        <w:rPr>
          <w:noProof/>
        </w:rPr>
        <w:t xml:space="preserve"> revenues </w:t>
      </w:r>
      <w:r w:rsidR="005C762F" w:rsidRPr="00266412">
        <w:rPr>
          <w:noProof/>
        </w:rPr>
        <w:t>as more companies will be exempt</w:t>
      </w:r>
      <w:r w:rsidRPr="00266412">
        <w:rPr>
          <w:noProof/>
        </w:rPr>
        <w:t xml:space="preserve">. </w:t>
      </w:r>
      <w:r w:rsidR="00FC2A03" w:rsidRPr="00266412">
        <w:rPr>
          <w:noProof/>
        </w:rPr>
        <w:t>However, t</w:t>
      </w:r>
      <w:r w:rsidR="00296795" w:rsidRPr="00266412">
        <w:rPr>
          <w:noProof/>
        </w:rPr>
        <w:t xml:space="preserve">his effect is </w:t>
      </w:r>
      <w:r w:rsidR="003D43A9" w:rsidRPr="00266412">
        <w:rPr>
          <w:noProof/>
        </w:rPr>
        <w:t xml:space="preserve">significantly reduced by existing </w:t>
      </w:r>
      <w:r w:rsidR="000061CB" w:rsidRPr="00266412">
        <w:rPr>
          <w:noProof/>
        </w:rPr>
        <w:t>loss carry-forward mechanisms</w:t>
      </w:r>
      <w:r w:rsidR="009623DA" w:rsidRPr="00266412">
        <w:rPr>
          <w:noProof/>
        </w:rPr>
        <w:t>:</w:t>
      </w:r>
      <w:r w:rsidR="000061CB" w:rsidRPr="00266412">
        <w:rPr>
          <w:noProof/>
        </w:rPr>
        <w:t xml:space="preserve"> </w:t>
      </w:r>
      <w:r w:rsidR="00FE2F02" w:rsidRPr="00266412">
        <w:rPr>
          <w:noProof/>
        </w:rPr>
        <w:t>In</w:t>
      </w:r>
      <w:r w:rsidR="005F5C8A" w:rsidRPr="00266412">
        <w:rPr>
          <w:noProof/>
        </w:rPr>
        <w:t>terest expense deduction</w:t>
      </w:r>
      <w:r w:rsidR="005B1F75" w:rsidRPr="00266412">
        <w:rPr>
          <w:noProof/>
        </w:rPr>
        <w:t xml:space="preserve"> </w:t>
      </w:r>
      <w:r w:rsidR="00FE2F02" w:rsidRPr="00266412">
        <w:rPr>
          <w:noProof/>
        </w:rPr>
        <w:t xml:space="preserve">may be </w:t>
      </w:r>
      <w:r w:rsidR="005B1F75" w:rsidRPr="00266412">
        <w:rPr>
          <w:noProof/>
        </w:rPr>
        <w:t>limited in a given year</w:t>
      </w:r>
      <w:r w:rsidR="00FE2F02" w:rsidRPr="00266412">
        <w:rPr>
          <w:noProof/>
        </w:rPr>
        <w:t>. Yet</w:t>
      </w:r>
      <w:r w:rsidR="005B1F75" w:rsidRPr="00266412">
        <w:rPr>
          <w:noProof/>
        </w:rPr>
        <w:t xml:space="preserve"> those mechanisms would allow </w:t>
      </w:r>
      <w:r w:rsidR="00AB0135" w:rsidRPr="00266412">
        <w:rPr>
          <w:noProof/>
        </w:rPr>
        <w:t>deduction in a later year so that these costs are not ‘lost’ for deduction.</w:t>
      </w:r>
      <w:r w:rsidR="005F5C8A" w:rsidRPr="00266412">
        <w:rPr>
          <w:noProof/>
        </w:rPr>
        <w:t xml:space="preserve"> </w:t>
      </w:r>
      <w:r w:rsidR="002A7788" w:rsidRPr="00266412">
        <w:rPr>
          <w:noProof/>
        </w:rPr>
        <w:t xml:space="preserve">As a result, </w:t>
      </w:r>
      <w:r w:rsidR="006F757A" w:rsidRPr="00266412">
        <w:rPr>
          <w:noProof/>
        </w:rPr>
        <w:t xml:space="preserve">the effect of </w:t>
      </w:r>
      <w:r w:rsidR="002A7788" w:rsidRPr="00266412">
        <w:rPr>
          <w:noProof/>
        </w:rPr>
        <w:t xml:space="preserve">a higher de minimis </w:t>
      </w:r>
      <w:r w:rsidR="006F757A" w:rsidRPr="00266412">
        <w:rPr>
          <w:noProof/>
        </w:rPr>
        <w:t xml:space="preserve">on the deductible amount would be </w:t>
      </w:r>
      <w:r w:rsidR="009F1C2A" w:rsidRPr="00266412">
        <w:rPr>
          <w:noProof/>
        </w:rPr>
        <w:t>cushioned.</w:t>
      </w:r>
      <w:r w:rsidR="002A7788" w:rsidRPr="00266412">
        <w:rPr>
          <w:noProof/>
        </w:rPr>
        <w:t xml:space="preserve"> </w:t>
      </w:r>
      <w:r w:rsidR="00115B61" w:rsidRPr="00266412">
        <w:rPr>
          <w:noProof/>
        </w:rPr>
        <w:t xml:space="preserve">Based </w:t>
      </w:r>
      <w:r w:rsidR="0096118C" w:rsidRPr="00266412">
        <w:rPr>
          <w:noProof/>
        </w:rPr>
        <w:t xml:space="preserve">on </w:t>
      </w:r>
      <w:r w:rsidR="00B02A11" w:rsidRPr="00266412">
        <w:rPr>
          <w:noProof/>
        </w:rPr>
        <w:t xml:space="preserve">the Joint Research Centre’s </w:t>
      </w:r>
      <w:r w:rsidR="00295474" w:rsidRPr="00266412">
        <w:rPr>
          <w:noProof/>
        </w:rPr>
        <w:t>corporate microsimulation model</w:t>
      </w:r>
      <w:r w:rsidR="00B02A11" w:rsidRPr="00266412">
        <w:rPr>
          <w:noProof/>
        </w:rPr>
        <w:t xml:space="preserve"> DiRECT </w:t>
      </w:r>
      <w:r w:rsidR="00F91A0D" w:rsidRPr="00266412">
        <w:rPr>
          <w:rStyle w:val="FootnoteReference"/>
          <w:noProof/>
        </w:rPr>
        <w:footnoteReference w:id="132"/>
      </w:r>
      <w:r w:rsidR="00B02A11" w:rsidRPr="00266412">
        <w:rPr>
          <w:noProof/>
        </w:rPr>
        <w:t xml:space="preserve">, the effect </w:t>
      </w:r>
      <w:r w:rsidR="003F7FB4" w:rsidRPr="00266412">
        <w:rPr>
          <w:noProof/>
        </w:rPr>
        <w:t xml:space="preserve">of implementing a </w:t>
      </w:r>
      <w:r>
        <w:rPr>
          <w:noProof/>
        </w:rPr>
        <w:t xml:space="preserve">mandatory </w:t>
      </w:r>
      <w:r w:rsidR="003F7FB4" w:rsidRPr="00266412">
        <w:rPr>
          <w:noProof/>
        </w:rPr>
        <w:t xml:space="preserve">de minimis threshold </w:t>
      </w:r>
      <w:r w:rsidR="00606A4C" w:rsidRPr="00266412">
        <w:rPr>
          <w:noProof/>
        </w:rPr>
        <w:t xml:space="preserve">of </w:t>
      </w:r>
      <w:r w:rsidR="003F7FB4" w:rsidRPr="00266412">
        <w:rPr>
          <w:noProof/>
        </w:rPr>
        <w:t xml:space="preserve">EUR </w:t>
      </w:r>
      <w:r>
        <w:rPr>
          <w:noProof/>
        </w:rPr>
        <w:t xml:space="preserve">3 </w:t>
      </w:r>
      <w:r w:rsidR="003F7FB4" w:rsidRPr="00266412">
        <w:rPr>
          <w:noProof/>
        </w:rPr>
        <w:t xml:space="preserve">million </w:t>
      </w:r>
      <w:r>
        <w:rPr>
          <w:noProof/>
        </w:rPr>
        <w:t xml:space="preserve">in all Member States </w:t>
      </w:r>
      <w:r w:rsidR="00B02A11" w:rsidRPr="00266412">
        <w:rPr>
          <w:noProof/>
        </w:rPr>
        <w:t xml:space="preserve">on </w:t>
      </w:r>
      <w:r w:rsidR="008C0B32" w:rsidRPr="00266412">
        <w:rPr>
          <w:noProof/>
        </w:rPr>
        <w:t xml:space="preserve">tax revenue losses </w:t>
      </w:r>
      <w:r w:rsidR="00165EA5" w:rsidRPr="00266412">
        <w:rPr>
          <w:noProof/>
        </w:rPr>
        <w:t xml:space="preserve">could be </w:t>
      </w:r>
      <w:r w:rsidR="008C0B32" w:rsidRPr="00266412">
        <w:rPr>
          <w:noProof/>
        </w:rPr>
        <w:t xml:space="preserve">reduced by </w:t>
      </w:r>
      <w:r w:rsidR="00F841AD" w:rsidRPr="00266412">
        <w:rPr>
          <w:noProof/>
        </w:rPr>
        <w:t>about</w:t>
      </w:r>
      <w:r w:rsidR="00553624" w:rsidRPr="00266412">
        <w:rPr>
          <w:noProof/>
        </w:rPr>
        <w:t xml:space="preserve"> </w:t>
      </w:r>
      <w:r w:rsidR="00F841AD" w:rsidRPr="00266412">
        <w:rPr>
          <w:noProof/>
        </w:rPr>
        <w:t>3</w:t>
      </w:r>
      <w:r w:rsidR="00B02A11" w:rsidRPr="00266412">
        <w:rPr>
          <w:noProof/>
        </w:rPr>
        <w:t xml:space="preserve">0% if </w:t>
      </w:r>
      <w:r w:rsidR="00010349" w:rsidRPr="00266412">
        <w:rPr>
          <w:noProof/>
        </w:rPr>
        <w:t xml:space="preserve">we allow </w:t>
      </w:r>
      <w:r w:rsidR="00E511F9" w:rsidRPr="00266412">
        <w:rPr>
          <w:noProof/>
        </w:rPr>
        <w:t xml:space="preserve">in the model that </w:t>
      </w:r>
      <w:r w:rsidR="00B02A11" w:rsidRPr="00266412">
        <w:rPr>
          <w:noProof/>
        </w:rPr>
        <w:t>losses can be carried forward.</w:t>
      </w:r>
    </w:p>
    <w:p w14:paraId="1DB5BFB8" w14:textId="77777777" w:rsidR="00E9279D" w:rsidRPr="005A3F47" w:rsidRDefault="00E9279D" w:rsidP="00FB7151">
      <w:pPr>
        <w:pStyle w:val="Text2"/>
        <w:ind w:left="0"/>
        <w:rPr>
          <w:noProof/>
        </w:rPr>
      </w:pPr>
    </w:p>
    <w:p w14:paraId="63DBFA81" w14:textId="283E9174" w:rsidR="00754815" w:rsidRPr="00266412" w:rsidRDefault="00A45AF5" w:rsidP="00816D11">
      <w:pPr>
        <w:pStyle w:val="Text2"/>
        <w:ind w:left="0"/>
        <w:rPr>
          <w:noProof/>
        </w:rPr>
      </w:pPr>
      <w:r w:rsidRPr="00266412">
        <w:rPr>
          <w:noProof/>
        </w:rPr>
        <w:t xml:space="preserve">With this information, </w:t>
      </w:r>
      <w:r w:rsidR="002809C0" w:rsidRPr="00266412">
        <w:rPr>
          <w:noProof/>
        </w:rPr>
        <w:t xml:space="preserve">for the EU as a whole, </w:t>
      </w:r>
      <w:r w:rsidR="00EF1F5D" w:rsidRPr="00266412">
        <w:rPr>
          <w:noProof/>
        </w:rPr>
        <w:t>about 9</w:t>
      </w:r>
      <w:r w:rsidR="004B07FA" w:rsidRPr="00266412">
        <w:rPr>
          <w:noProof/>
        </w:rPr>
        <w:t>6</w:t>
      </w:r>
      <w:r w:rsidR="00400F17" w:rsidRPr="00266412">
        <w:rPr>
          <w:noProof/>
        </w:rPr>
        <w:t>%</w:t>
      </w:r>
      <w:r w:rsidR="008D2B02" w:rsidRPr="00266412">
        <w:rPr>
          <w:noProof/>
        </w:rPr>
        <w:t xml:space="preserve"> </w:t>
      </w:r>
      <w:r w:rsidR="00EF1F5D" w:rsidRPr="00266412">
        <w:rPr>
          <w:noProof/>
        </w:rPr>
        <w:t xml:space="preserve">of the </w:t>
      </w:r>
      <w:r w:rsidR="006A3E5A" w:rsidRPr="00266412">
        <w:rPr>
          <w:noProof/>
        </w:rPr>
        <w:t xml:space="preserve">unconsolidated accounts </w:t>
      </w:r>
      <w:r w:rsidR="00EF1F5D" w:rsidRPr="00266412">
        <w:rPr>
          <w:noProof/>
        </w:rPr>
        <w:t xml:space="preserve">in the sample </w:t>
      </w:r>
      <w:r w:rsidR="0094624C" w:rsidRPr="00266412">
        <w:rPr>
          <w:noProof/>
        </w:rPr>
        <w:t>d</w:t>
      </w:r>
      <w:r w:rsidR="00EF1F5D" w:rsidRPr="00266412">
        <w:rPr>
          <w:noProof/>
        </w:rPr>
        <w:t xml:space="preserve">o </w:t>
      </w:r>
      <w:r w:rsidR="00EF1F5D" w:rsidRPr="0073007F">
        <w:rPr>
          <w:noProof/>
        </w:rPr>
        <w:t>not</w:t>
      </w:r>
      <w:r w:rsidR="00EF1F5D" w:rsidRPr="00266412">
        <w:rPr>
          <w:noProof/>
        </w:rPr>
        <w:t xml:space="preserve"> see</w:t>
      </w:r>
      <w:r w:rsidR="006A3E5A" w:rsidRPr="00266412">
        <w:rPr>
          <w:noProof/>
        </w:rPr>
        <w:t xml:space="preserve"> any limitation in </w:t>
      </w:r>
      <w:r w:rsidR="0047481E" w:rsidRPr="00266412">
        <w:rPr>
          <w:noProof/>
        </w:rPr>
        <w:t>interest deduction</w:t>
      </w:r>
      <w:r w:rsidR="005E6320" w:rsidRPr="00266412">
        <w:rPr>
          <w:noProof/>
        </w:rPr>
        <w:t>.</w:t>
      </w:r>
      <w:r w:rsidR="009319B8" w:rsidRPr="00266412">
        <w:rPr>
          <w:noProof/>
        </w:rPr>
        <w:t xml:space="preserve"> </w:t>
      </w:r>
      <w:r w:rsidR="002E15E9" w:rsidRPr="00266412">
        <w:rPr>
          <w:noProof/>
        </w:rPr>
        <w:t xml:space="preserve">In reality, </w:t>
      </w:r>
      <w:r w:rsidR="00AF6EB1" w:rsidRPr="00266412">
        <w:rPr>
          <w:noProof/>
        </w:rPr>
        <w:t>that</w:t>
      </w:r>
      <w:r w:rsidR="00004FB2" w:rsidRPr="00266412">
        <w:rPr>
          <w:noProof/>
        </w:rPr>
        <w:t xml:space="preserve"> share </w:t>
      </w:r>
      <w:r w:rsidR="003240C6" w:rsidRPr="00266412">
        <w:rPr>
          <w:noProof/>
        </w:rPr>
        <w:t xml:space="preserve">is </w:t>
      </w:r>
      <w:r w:rsidR="00F6272C" w:rsidRPr="00266412">
        <w:rPr>
          <w:noProof/>
        </w:rPr>
        <w:t xml:space="preserve">likely </w:t>
      </w:r>
      <w:r w:rsidR="003240C6" w:rsidRPr="00266412">
        <w:rPr>
          <w:noProof/>
        </w:rPr>
        <w:t xml:space="preserve">higher, given that small entities are underrepresented in </w:t>
      </w:r>
      <w:r w:rsidR="003240C6" w:rsidRPr="00266412">
        <w:rPr>
          <w:i/>
          <w:iCs/>
          <w:noProof/>
        </w:rPr>
        <w:t>Orbis</w:t>
      </w:r>
      <w:r w:rsidR="003240C6" w:rsidRPr="00266412">
        <w:rPr>
          <w:noProof/>
        </w:rPr>
        <w:t>.</w:t>
      </w:r>
      <w:r w:rsidR="0091238C" w:rsidRPr="00266412">
        <w:rPr>
          <w:rStyle w:val="FootnoteReference"/>
          <w:noProof/>
        </w:rPr>
        <w:t xml:space="preserve"> </w:t>
      </w:r>
      <w:r w:rsidR="0091238C" w:rsidRPr="00266412">
        <w:rPr>
          <w:rStyle w:val="FootnoteReference"/>
          <w:noProof/>
        </w:rPr>
        <w:footnoteReference w:id="133"/>
      </w:r>
      <w:r w:rsidR="003240C6" w:rsidRPr="00266412">
        <w:rPr>
          <w:noProof/>
        </w:rPr>
        <w:t xml:space="preserve"> </w:t>
      </w:r>
    </w:p>
    <w:p w14:paraId="138EAA65" w14:textId="1E0C5919" w:rsidR="00F15ADA" w:rsidRPr="00266412" w:rsidRDefault="00C912A0" w:rsidP="00816D11">
      <w:pPr>
        <w:pStyle w:val="Text2"/>
        <w:ind w:left="0"/>
        <w:rPr>
          <w:noProof/>
        </w:rPr>
      </w:pPr>
      <w:r w:rsidRPr="00266412">
        <w:rPr>
          <w:noProof/>
        </w:rPr>
        <w:t xml:space="preserve">Implementing </w:t>
      </w:r>
      <w:r w:rsidR="00C54C5A">
        <w:rPr>
          <w:noProof/>
        </w:rPr>
        <w:t xml:space="preserve">in all Member States </w:t>
      </w:r>
      <w:r w:rsidRPr="00266412">
        <w:rPr>
          <w:noProof/>
        </w:rPr>
        <w:t xml:space="preserve">a common </w:t>
      </w:r>
      <w:r w:rsidR="00754815" w:rsidRPr="00266412">
        <w:rPr>
          <w:noProof/>
        </w:rPr>
        <w:t xml:space="preserve">and mandatory </w:t>
      </w:r>
      <w:r w:rsidRPr="00266412">
        <w:rPr>
          <w:noProof/>
        </w:rPr>
        <w:t xml:space="preserve">de </w:t>
      </w:r>
      <w:r w:rsidRPr="0073007F">
        <w:rPr>
          <w:noProof/>
        </w:rPr>
        <w:t xml:space="preserve">minimis of EUR </w:t>
      </w:r>
      <w:r w:rsidR="00C54C5A">
        <w:rPr>
          <w:noProof/>
        </w:rPr>
        <w:t xml:space="preserve">3 </w:t>
      </w:r>
      <w:r w:rsidRPr="0073007F">
        <w:rPr>
          <w:noProof/>
        </w:rPr>
        <w:t xml:space="preserve">million </w:t>
      </w:r>
      <w:r w:rsidR="00596096" w:rsidRPr="0073007F">
        <w:rPr>
          <w:noProof/>
        </w:rPr>
        <w:t>in</w:t>
      </w:r>
      <w:r w:rsidR="00596096" w:rsidRPr="00266412">
        <w:rPr>
          <w:noProof/>
        </w:rPr>
        <w:t xml:space="preserve"> the same model </w:t>
      </w:r>
      <w:r w:rsidRPr="00266412">
        <w:rPr>
          <w:noProof/>
        </w:rPr>
        <w:t xml:space="preserve">will </w:t>
      </w:r>
      <w:r w:rsidR="000E1C15" w:rsidRPr="00266412">
        <w:rPr>
          <w:noProof/>
        </w:rPr>
        <w:t>increase</w:t>
      </w:r>
      <w:r w:rsidRPr="00266412">
        <w:rPr>
          <w:noProof/>
        </w:rPr>
        <w:t xml:space="preserve"> that share </w:t>
      </w:r>
      <w:r w:rsidR="00D400AA" w:rsidRPr="00266412">
        <w:rPr>
          <w:noProof/>
        </w:rPr>
        <w:t xml:space="preserve">of companies </w:t>
      </w:r>
      <w:r w:rsidR="004840AA" w:rsidRPr="00266412">
        <w:rPr>
          <w:noProof/>
        </w:rPr>
        <w:t xml:space="preserve">not impacted by the </w:t>
      </w:r>
      <w:r w:rsidR="00050BBB" w:rsidRPr="00266412">
        <w:rPr>
          <w:noProof/>
        </w:rPr>
        <w:t xml:space="preserve">Interest Limitation Rule </w:t>
      </w:r>
      <w:r w:rsidR="00DF3FA6" w:rsidRPr="00266412">
        <w:rPr>
          <w:noProof/>
        </w:rPr>
        <w:t xml:space="preserve">from 96% </w:t>
      </w:r>
      <w:r w:rsidRPr="00266412">
        <w:rPr>
          <w:noProof/>
        </w:rPr>
        <w:t xml:space="preserve">to </w:t>
      </w:r>
      <w:r w:rsidR="00BA4E67" w:rsidRPr="00266412">
        <w:rPr>
          <w:noProof/>
        </w:rPr>
        <w:t xml:space="preserve">above </w:t>
      </w:r>
      <w:r w:rsidR="00DE59BA" w:rsidRPr="00266412">
        <w:rPr>
          <w:noProof/>
        </w:rPr>
        <w:t>99%.</w:t>
      </w:r>
      <w:r w:rsidR="008335A0" w:rsidRPr="00266412">
        <w:rPr>
          <w:noProof/>
        </w:rPr>
        <w:t xml:space="preserve"> The number of unconsolidated accounts </w:t>
      </w:r>
      <w:r w:rsidR="008D2B02" w:rsidRPr="00266412">
        <w:rPr>
          <w:noProof/>
        </w:rPr>
        <w:t xml:space="preserve">impacted by </w:t>
      </w:r>
      <w:r w:rsidR="005E6320" w:rsidRPr="00266412">
        <w:rPr>
          <w:noProof/>
        </w:rPr>
        <w:t xml:space="preserve">the </w:t>
      </w:r>
      <w:r w:rsidR="00050BBB" w:rsidRPr="00266412">
        <w:rPr>
          <w:noProof/>
        </w:rPr>
        <w:t>rule</w:t>
      </w:r>
      <w:r w:rsidR="005E6320" w:rsidRPr="00266412">
        <w:rPr>
          <w:noProof/>
        </w:rPr>
        <w:t xml:space="preserve"> in the sample will decline considerably</w:t>
      </w:r>
      <w:r w:rsidR="00934F00" w:rsidRPr="00266412">
        <w:rPr>
          <w:noProof/>
        </w:rPr>
        <w:t xml:space="preserve">, from 75,000 </w:t>
      </w:r>
      <w:r w:rsidR="0077144B" w:rsidRPr="00266412">
        <w:rPr>
          <w:noProof/>
        </w:rPr>
        <w:t>before</w:t>
      </w:r>
      <w:r w:rsidR="00934F00" w:rsidRPr="00266412">
        <w:rPr>
          <w:noProof/>
        </w:rPr>
        <w:t xml:space="preserve"> to </w:t>
      </w:r>
      <w:r w:rsidR="00300DF7" w:rsidRPr="00266412">
        <w:rPr>
          <w:noProof/>
        </w:rPr>
        <w:t xml:space="preserve">only </w:t>
      </w:r>
      <w:r w:rsidR="00934F00" w:rsidRPr="00266412">
        <w:rPr>
          <w:noProof/>
        </w:rPr>
        <w:t xml:space="preserve">about </w:t>
      </w:r>
      <w:r w:rsidR="00C54C5A">
        <w:rPr>
          <w:noProof/>
        </w:rPr>
        <w:t>12,000</w:t>
      </w:r>
      <w:r w:rsidR="00934F00" w:rsidRPr="00266412">
        <w:rPr>
          <w:noProof/>
        </w:rPr>
        <w:t xml:space="preserve"> </w:t>
      </w:r>
      <w:r w:rsidR="0077144B" w:rsidRPr="00266412">
        <w:rPr>
          <w:noProof/>
        </w:rPr>
        <w:t xml:space="preserve">after implementing the </w:t>
      </w:r>
      <w:r w:rsidR="00934F00" w:rsidRPr="00266412">
        <w:rPr>
          <w:noProof/>
        </w:rPr>
        <w:t>new de minimis.</w:t>
      </w:r>
      <w:r w:rsidR="006D2846" w:rsidRPr="00266412">
        <w:rPr>
          <w:noProof/>
        </w:rPr>
        <w:t xml:space="preserve"> </w:t>
      </w:r>
      <w:r w:rsidR="00E106F2" w:rsidRPr="00266412">
        <w:rPr>
          <w:noProof/>
        </w:rPr>
        <w:t xml:space="preserve">In other words, about </w:t>
      </w:r>
      <w:r w:rsidR="00C54C5A">
        <w:rPr>
          <w:noProof/>
        </w:rPr>
        <w:t xml:space="preserve">63,000 </w:t>
      </w:r>
      <w:r w:rsidR="00E106F2" w:rsidRPr="00266412">
        <w:rPr>
          <w:noProof/>
        </w:rPr>
        <w:t xml:space="preserve">companies </w:t>
      </w:r>
      <w:r w:rsidR="00F221D8" w:rsidRPr="00266412">
        <w:rPr>
          <w:noProof/>
        </w:rPr>
        <w:t xml:space="preserve">(mainly SMEs) </w:t>
      </w:r>
      <w:r w:rsidR="00E106F2" w:rsidRPr="00266412">
        <w:rPr>
          <w:noProof/>
        </w:rPr>
        <w:t xml:space="preserve">so far </w:t>
      </w:r>
      <w:r w:rsidR="00A86231" w:rsidRPr="00266412">
        <w:rPr>
          <w:noProof/>
        </w:rPr>
        <w:t xml:space="preserve">dealing with interest deduction limitations will in the future </w:t>
      </w:r>
      <w:r w:rsidR="0026552F" w:rsidRPr="00266412">
        <w:rPr>
          <w:noProof/>
        </w:rPr>
        <w:t xml:space="preserve">be carved out. </w:t>
      </w:r>
      <w:r w:rsidR="00C0069D" w:rsidRPr="00266412">
        <w:rPr>
          <w:noProof/>
        </w:rPr>
        <w:t>This information will be used to estimate compliance cost reductions</w:t>
      </w:r>
      <w:r w:rsidR="00B90537" w:rsidRPr="00266412">
        <w:rPr>
          <w:noProof/>
        </w:rPr>
        <w:t xml:space="preserve"> for SMEs in Section </w:t>
      </w:r>
      <w:r w:rsidR="00A1255F" w:rsidRPr="00266412">
        <w:rPr>
          <w:noProof/>
        </w:rPr>
        <w:t>6.2.4.1</w:t>
      </w:r>
      <w:r w:rsidR="001A6AD2" w:rsidRPr="00266412">
        <w:rPr>
          <w:noProof/>
        </w:rPr>
        <w:t>.</w:t>
      </w:r>
      <w:r w:rsidR="007A724E" w:rsidRPr="00266412">
        <w:rPr>
          <w:noProof/>
        </w:rPr>
        <w:t xml:space="preserve"> </w:t>
      </w:r>
    </w:p>
    <w:p w14:paraId="788A122A" w14:textId="1A003A77" w:rsidR="00816D11" w:rsidRPr="00266412" w:rsidRDefault="00F15ADA" w:rsidP="00816D11">
      <w:pPr>
        <w:pStyle w:val="Text2"/>
        <w:ind w:left="0"/>
        <w:rPr>
          <w:noProof/>
        </w:rPr>
      </w:pPr>
      <w:r w:rsidRPr="00266412">
        <w:rPr>
          <w:noProof/>
        </w:rPr>
        <w:t>For</w:t>
      </w:r>
      <w:r w:rsidR="00CE1739" w:rsidRPr="00266412">
        <w:rPr>
          <w:noProof/>
        </w:rPr>
        <w:t xml:space="preserve"> the </w:t>
      </w:r>
      <w:r w:rsidRPr="00266412">
        <w:rPr>
          <w:i/>
          <w:iCs/>
          <w:noProof/>
        </w:rPr>
        <w:t>Orbis</w:t>
      </w:r>
      <w:r w:rsidRPr="00266412">
        <w:rPr>
          <w:noProof/>
        </w:rPr>
        <w:t xml:space="preserve"> </w:t>
      </w:r>
      <w:r w:rsidR="00CE1739" w:rsidRPr="00266412">
        <w:rPr>
          <w:noProof/>
        </w:rPr>
        <w:t>sample</w:t>
      </w:r>
      <w:r w:rsidRPr="00266412">
        <w:rPr>
          <w:noProof/>
        </w:rPr>
        <w:t xml:space="preserve">, </w:t>
      </w:r>
      <w:r w:rsidR="00816D11" w:rsidRPr="00266412">
        <w:rPr>
          <w:noProof/>
        </w:rPr>
        <w:t xml:space="preserve">EU corporate tax savings for SMEs could amount to EUR </w:t>
      </w:r>
      <w:r>
        <w:rPr>
          <w:noProof/>
        </w:rPr>
        <w:t xml:space="preserve"> 900 million</w:t>
      </w:r>
      <w:r w:rsidR="00816D11" w:rsidRPr="00266412">
        <w:rPr>
          <w:noProof/>
        </w:rPr>
        <w:t>.</w:t>
      </w:r>
      <w:r w:rsidR="00CE1739" w:rsidRPr="005A3F47">
        <w:rPr>
          <w:noProof/>
        </w:rPr>
        <w:t xml:space="preserve"> </w:t>
      </w:r>
      <w:r w:rsidR="00F32BC9" w:rsidRPr="00266412">
        <w:rPr>
          <w:noProof/>
        </w:rPr>
        <w:t xml:space="preserve">These effects </w:t>
      </w:r>
      <w:r>
        <w:rPr>
          <w:noProof/>
        </w:rPr>
        <w:t>affect</w:t>
      </w:r>
      <w:r w:rsidR="00F32BC9" w:rsidRPr="00266412">
        <w:rPr>
          <w:noProof/>
        </w:rPr>
        <w:t xml:space="preserve"> those Member States </w:t>
      </w:r>
      <w:r w:rsidR="00AD1603" w:rsidRPr="00266412">
        <w:rPr>
          <w:noProof/>
        </w:rPr>
        <w:t xml:space="preserve">where the current de minimis threshold is </w:t>
      </w:r>
      <w:r w:rsidR="00771532" w:rsidRPr="00266412">
        <w:rPr>
          <w:noProof/>
        </w:rPr>
        <w:t xml:space="preserve">lower than </w:t>
      </w:r>
      <w:r w:rsidR="00A44581" w:rsidRPr="00266412">
        <w:rPr>
          <w:noProof/>
        </w:rPr>
        <w:t xml:space="preserve">the </w:t>
      </w:r>
      <w:r>
        <w:rPr>
          <w:noProof/>
        </w:rPr>
        <w:t xml:space="preserve">current </w:t>
      </w:r>
      <w:r w:rsidR="00A44581" w:rsidRPr="00266412">
        <w:rPr>
          <w:noProof/>
        </w:rPr>
        <w:t>ATAD-ceiling of EUR 3 million</w:t>
      </w:r>
      <w:r w:rsidR="00BA7EB7" w:rsidRPr="00266412">
        <w:rPr>
          <w:noProof/>
        </w:rPr>
        <w:t xml:space="preserve"> or </w:t>
      </w:r>
      <w:r w:rsidR="009920E8" w:rsidRPr="00266412">
        <w:rPr>
          <w:noProof/>
        </w:rPr>
        <w:t>where no</w:t>
      </w:r>
      <w:r w:rsidR="004A131F" w:rsidRPr="00266412">
        <w:rPr>
          <w:noProof/>
        </w:rPr>
        <w:t xml:space="preserve"> </w:t>
      </w:r>
      <w:r w:rsidR="00BA7EB7" w:rsidRPr="00266412">
        <w:rPr>
          <w:noProof/>
        </w:rPr>
        <w:t xml:space="preserve">de minimis </w:t>
      </w:r>
      <w:r w:rsidR="004A131F" w:rsidRPr="00266412">
        <w:rPr>
          <w:noProof/>
        </w:rPr>
        <w:t>is implemented</w:t>
      </w:r>
      <w:r w:rsidR="00A44581" w:rsidRPr="00266412">
        <w:rPr>
          <w:noProof/>
        </w:rPr>
        <w:t>.</w:t>
      </w:r>
    </w:p>
    <w:p w14:paraId="4F5CD1A1" w14:textId="696E7D17" w:rsidR="00A91ADD" w:rsidRPr="00266412" w:rsidRDefault="00F40250" w:rsidP="00DE6B6A">
      <w:pPr>
        <w:pStyle w:val="Text2"/>
        <w:ind w:left="0"/>
        <w:rPr>
          <w:noProof/>
        </w:rPr>
      </w:pPr>
      <w:r w:rsidRPr="00266412">
        <w:rPr>
          <w:noProof/>
        </w:rPr>
        <w:t>Orb</w:t>
      </w:r>
      <w:r w:rsidR="00727B49" w:rsidRPr="00266412">
        <w:rPr>
          <w:noProof/>
        </w:rPr>
        <w:t>i</w:t>
      </w:r>
      <w:r w:rsidRPr="00266412">
        <w:rPr>
          <w:noProof/>
        </w:rPr>
        <w:t xml:space="preserve">s does not cover the entire </w:t>
      </w:r>
      <w:r w:rsidR="00DC5F12" w:rsidRPr="00266412">
        <w:rPr>
          <w:noProof/>
        </w:rPr>
        <w:t xml:space="preserve">firm </w:t>
      </w:r>
      <w:r w:rsidRPr="00266412">
        <w:rPr>
          <w:noProof/>
        </w:rPr>
        <w:t>population</w:t>
      </w:r>
      <w:r w:rsidR="00334F8A" w:rsidRPr="00266412">
        <w:rPr>
          <w:noProof/>
        </w:rPr>
        <w:t xml:space="preserve">. </w:t>
      </w:r>
      <w:r w:rsidR="005D41FF" w:rsidRPr="00266412">
        <w:rPr>
          <w:noProof/>
        </w:rPr>
        <w:t>That is, all estimates provided here</w:t>
      </w:r>
      <w:r w:rsidR="00CE1739" w:rsidRPr="00266412">
        <w:rPr>
          <w:noProof/>
        </w:rPr>
        <w:t xml:space="preserve"> are lower</w:t>
      </w:r>
      <w:r w:rsidR="005D41FF" w:rsidRPr="00266412">
        <w:rPr>
          <w:noProof/>
        </w:rPr>
        <w:t xml:space="preserve"> </w:t>
      </w:r>
      <w:r w:rsidR="00CE1739" w:rsidRPr="00266412">
        <w:rPr>
          <w:noProof/>
        </w:rPr>
        <w:t xml:space="preserve">bound. </w:t>
      </w:r>
      <w:r w:rsidR="00854316" w:rsidRPr="00266412">
        <w:rPr>
          <w:noProof/>
        </w:rPr>
        <w:t xml:space="preserve">This holds especially for the </w:t>
      </w:r>
      <w:r>
        <w:rPr>
          <w:noProof/>
        </w:rPr>
        <w:t>63,000</w:t>
      </w:r>
      <w:r w:rsidR="00795C5B" w:rsidRPr="00266412">
        <w:rPr>
          <w:noProof/>
        </w:rPr>
        <w:t xml:space="preserve"> </w:t>
      </w:r>
      <w:r w:rsidR="00854316" w:rsidRPr="00266412">
        <w:rPr>
          <w:noProof/>
        </w:rPr>
        <w:t>comp</w:t>
      </w:r>
      <w:r w:rsidR="006064AA" w:rsidRPr="00266412">
        <w:rPr>
          <w:noProof/>
        </w:rPr>
        <w:t xml:space="preserve">anies </w:t>
      </w:r>
      <w:r w:rsidR="001C56E3" w:rsidRPr="00266412">
        <w:rPr>
          <w:noProof/>
        </w:rPr>
        <w:t>that will</w:t>
      </w:r>
      <w:r w:rsidR="00795C5B" w:rsidRPr="00266412">
        <w:rPr>
          <w:noProof/>
        </w:rPr>
        <w:t xml:space="preserve"> </w:t>
      </w:r>
      <w:r w:rsidR="001C56E3" w:rsidRPr="00266412">
        <w:rPr>
          <w:noProof/>
        </w:rPr>
        <w:t xml:space="preserve">no longer be limited in their interest deduction </w:t>
      </w:r>
      <w:r w:rsidR="00795C5B" w:rsidRPr="00266412">
        <w:rPr>
          <w:noProof/>
        </w:rPr>
        <w:t xml:space="preserve">as the de minimis </w:t>
      </w:r>
      <w:r>
        <w:rPr>
          <w:noProof/>
        </w:rPr>
        <w:t xml:space="preserve">of </w:t>
      </w:r>
      <w:r w:rsidR="00795C5B" w:rsidRPr="00266412">
        <w:rPr>
          <w:noProof/>
        </w:rPr>
        <w:t xml:space="preserve">EUR </w:t>
      </w:r>
      <w:r>
        <w:rPr>
          <w:noProof/>
        </w:rPr>
        <w:t>3</w:t>
      </w:r>
      <w:r w:rsidR="00795C5B" w:rsidRPr="00266412">
        <w:rPr>
          <w:noProof/>
        </w:rPr>
        <w:t xml:space="preserve"> million</w:t>
      </w:r>
      <w:r>
        <w:rPr>
          <w:noProof/>
        </w:rPr>
        <w:t xml:space="preserve"> would become mandatory in all Member States</w:t>
      </w:r>
      <w:r w:rsidR="00795C5B" w:rsidRPr="00266412">
        <w:rPr>
          <w:noProof/>
        </w:rPr>
        <w:t xml:space="preserve">. </w:t>
      </w:r>
      <w:r w:rsidR="00CE1739" w:rsidRPr="00266412">
        <w:rPr>
          <w:noProof/>
        </w:rPr>
        <w:t>Given the underrepresentation</w:t>
      </w:r>
      <w:r>
        <w:rPr>
          <w:noProof/>
        </w:rPr>
        <w:t>,</w:t>
      </w:r>
      <w:r w:rsidR="00CE1739" w:rsidRPr="00266412">
        <w:rPr>
          <w:noProof/>
        </w:rPr>
        <w:t xml:space="preserve"> especially of </w:t>
      </w:r>
      <w:r w:rsidR="00F77B13" w:rsidRPr="00266412">
        <w:rPr>
          <w:noProof/>
        </w:rPr>
        <w:t>small entities</w:t>
      </w:r>
      <w:r w:rsidR="00CE1739" w:rsidRPr="00266412">
        <w:rPr>
          <w:noProof/>
        </w:rPr>
        <w:t xml:space="preserve"> in Orbis</w:t>
      </w:r>
      <w:r w:rsidR="004212A7">
        <w:rPr>
          <w:noProof/>
        </w:rPr>
        <w:t>,</w:t>
      </w:r>
      <w:r w:rsidR="00CE1739" w:rsidRPr="00266412">
        <w:rPr>
          <w:noProof/>
        </w:rPr>
        <w:t xml:space="preserve"> </w:t>
      </w:r>
      <w:r w:rsidR="0043169B" w:rsidRPr="00266412">
        <w:rPr>
          <w:noProof/>
        </w:rPr>
        <w:t xml:space="preserve">the </w:t>
      </w:r>
      <w:r w:rsidR="000937AB" w:rsidRPr="00266412">
        <w:rPr>
          <w:noProof/>
        </w:rPr>
        <w:t xml:space="preserve">‘true’ effect </w:t>
      </w:r>
      <w:r w:rsidR="00354BEE" w:rsidRPr="00266412">
        <w:rPr>
          <w:noProof/>
        </w:rPr>
        <w:t>is likely</w:t>
      </w:r>
      <w:r w:rsidR="000937AB" w:rsidRPr="00266412">
        <w:rPr>
          <w:noProof/>
        </w:rPr>
        <w:t xml:space="preserve"> higher than </w:t>
      </w:r>
      <w:r w:rsidR="002D4AF2" w:rsidRPr="00266412">
        <w:rPr>
          <w:noProof/>
        </w:rPr>
        <w:t>expressed through th</w:t>
      </w:r>
      <w:r w:rsidR="00CB1B5A" w:rsidRPr="00266412">
        <w:rPr>
          <w:noProof/>
        </w:rPr>
        <w:t>is</w:t>
      </w:r>
      <w:r w:rsidR="002D4AF2" w:rsidRPr="00266412">
        <w:rPr>
          <w:noProof/>
        </w:rPr>
        <w:t xml:space="preserve"> number. </w:t>
      </w:r>
      <w:r w:rsidR="00EB78D2" w:rsidRPr="00266412">
        <w:rPr>
          <w:noProof/>
        </w:rPr>
        <w:t>However, t</w:t>
      </w:r>
      <w:r w:rsidR="00D42275" w:rsidRPr="00266412">
        <w:rPr>
          <w:noProof/>
        </w:rPr>
        <w:t>he estimated impact on</w:t>
      </w:r>
      <w:r w:rsidR="0046617E" w:rsidRPr="00266412">
        <w:rPr>
          <w:noProof/>
        </w:rPr>
        <w:t xml:space="preserve"> corporate tax savings of EUR </w:t>
      </w:r>
      <w:r w:rsidR="007011E3">
        <w:rPr>
          <w:noProof/>
        </w:rPr>
        <w:t xml:space="preserve"> </w:t>
      </w:r>
      <w:r>
        <w:rPr>
          <w:noProof/>
        </w:rPr>
        <w:t>900 million</w:t>
      </w:r>
      <w:r w:rsidR="0046617E" w:rsidRPr="00266412">
        <w:rPr>
          <w:noProof/>
        </w:rPr>
        <w:t xml:space="preserve"> is</w:t>
      </w:r>
      <w:r w:rsidR="00846582" w:rsidRPr="00266412">
        <w:rPr>
          <w:noProof/>
        </w:rPr>
        <w:t xml:space="preserve"> </w:t>
      </w:r>
      <w:r w:rsidR="00015F37" w:rsidRPr="00266412">
        <w:rPr>
          <w:noProof/>
        </w:rPr>
        <w:t xml:space="preserve">likely </w:t>
      </w:r>
      <w:r w:rsidR="00846582" w:rsidRPr="00266412">
        <w:rPr>
          <w:noProof/>
        </w:rPr>
        <w:t xml:space="preserve">less </w:t>
      </w:r>
      <w:r w:rsidR="00AF3963" w:rsidRPr="00266412">
        <w:rPr>
          <w:noProof/>
        </w:rPr>
        <w:t>biased</w:t>
      </w:r>
      <w:r w:rsidR="00DC14ED" w:rsidRPr="00266412">
        <w:rPr>
          <w:noProof/>
        </w:rPr>
        <w:t xml:space="preserve"> through coverage issues in Orbis</w:t>
      </w:r>
      <w:r w:rsidR="005D6E18" w:rsidRPr="00266412">
        <w:rPr>
          <w:noProof/>
        </w:rPr>
        <w:t>. This is</w:t>
      </w:r>
      <w:r w:rsidR="00AF3963" w:rsidRPr="00266412">
        <w:rPr>
          <w:noProof/>
        </w:rPr>
        <w:t xml:space="preserve"> </w:t>
      </w:r>
      <w:r w:rsidR="005D6E18" w:rsidRPr="00266412">
        <w:rPr>
          <w:noProof/>
        </w:rPr>
        <w:t xml:space="preserve">because </w:t>
      </w:r>
      <w:r w:rsidR="0033638E" w:rsidRPr="00266412">
        <w:rPr>
          <w:noProof/>
        </w:rPr>
        <w:t xml:space="preserve">small entities contribute very little to </w:t>
      </w:r>
      <w:r w:rsidR="0074088D" w:rsidRPr="00266412">
        <w:rPr>
          <w:noProof/>
        </w:rPr>
        <w:t xml:space="preserve">the </w:t>
      </w:r>
      <w:r w:rsidR="00424D60" w:rsidRPr="00266412">
        <w:rPr>
          <w:noProof/>
        </w:rPr>
        <w:t>aggregate</w:t>
      </w:r>
      <w:r w:rsidR="00A9649A" w:rsidRPr="00266412">
        <w:rPr>
          <w:noProof/>
        </w:rPr>
        <w:t xml:space="preserve"> </w:t>
      </w:r>
      <w:r w:rsidR="0074088D" w:rsidRPr="00266412">
        <w:rPr>
          <w:noProof/>
        </w:rPr>
        <w:t xml:space="preserve">volume of interest </w:t>
      </w:r>
      <w:r w:rsidR="00A9649A" w:rsidRPr="00266412">
        <w:rPr>
          <w:noProof/>
        </w:rPr>
        <w:t>expenses</w:t>
      </w:r>
      <w:r w:rsidR="008B4E09" w:rsidRPr="00266412">
        <w:rPr>
          <w:noProof/>
        </w:rPr>
        <w:t xml:space="preserve"> and </w:t>
      </w:r>
      <w:r w:rsidR="00C45BD4" w:rsidRPr="00266412">
        <w:rPr>
          <w:noProof/>
        </w:rPr>
        <w:t>earnings</w:t>
      </w:r>
      <w:r w:rsidR="00AF3963" w:rsidRPr="00266412">
        <w:rPr>
          <w:noProof/>
        </w:rPr>
        <w:t xml:space="preserve">. </w:t>
      </w:r>
      <w:r w:rsidR="00A91ADD" w:rsidRPr="00266412">
        <w:rPr>
          <w:noProof/>
        </w:rPr>
        <w:t xml:space="preserve">For example, excluding the smallest 50% of observations does not </w:t>
      </w:r>
      <w:r>
        <w:rPr>
          <w:noProof/>
        </w:rPr>
        <w:t xml:space="preserve">significantly </w:t>
      </w:r>
      <w:r w:rsidR="00A91ADD" w:rsidRPr="00266412">
        <w:rPr>
          <w:noProof/>
        </w:rPr>
        <w:t>alter the estimated effect on corporate tax savings.</w:t>
      </w:r>
    </w:p>
    <w:p w14:paraId="17ED1A2F" w14:textId="78DDF6AE" w:rsidR="00B2314D" w:rsidRPr="00266412" w:rsidRDefault="00B2314D" w:rsidP="00B2314D">
      <w:pPr>
        <w:pStyle w:val="Text2"/>
        <w:ind w:left="0"/>
        <w:rPr>
          <w:noProof/>
        </w:rPr>
      </w:pPr>
      <w:r w:rsidRPr="00266412">
        <w:rPr>
          <w:noProof/>
        </w:rPr>
        <w:t xml:space="preserve">Conclusion: While the current Interest Limitation Rules already protects EU SMEs very well from being impacted by the ILR, </w:t>
      </w:r>
      <w:r>
        <w:rPr>
          <w:noProof/>
        </w:rPr>
        <w:t xml:space="preserve">making the de minimis of EUR 3 million mandatory in all Member States  </w:t>
      </w:r>
      <w:r w:rsidRPr="00266412">
        <w:rPr>
          <w:noProof/>
        </w:rPr>
        <w:t>will further improve the level of protection</w:t>
      </w:r>
      <w:r>
        <w:rPr>
          <w:noProof/>
        </w:rPr>
        <w:t>, while ensuring a level playing and consistent approach towards companies across all EU Member States</w:t>
      </w:r>
      <w:r w:rsidRPr="00266412">
        <w:rPr>
          <w:noProof/>
        </w:rPr>
        <w:t>.</w:t>
      </w:r>
    </w:p>
    <w:p w14:paraId="3ADD480E" w14:textId="7139F7DE" w:rsidR="00E83926" w:rsidRPr="00266412" w:rsidRDefault="00E83926" w:rsidP="00E83926">
      <w:pPr>
        <w:pStyle w:val="Text2"/>
        <w:ind w:left="0"/>
        <w:rPr>
          <w:b/>
          <w:bCs/>
          <w:noProof/>
        </w:rPr>
      </w:pPr>
      <w:r w:rsidRPr="00266412">
        <w:rPr>
          <w:b/>
          <w:bCs/>
          <w:noProof/>
        </w:rPr>
        <w:t>Impact on public finances</w:t>
      </w:r>
    </w:p>
    <w:p w14:paraId="01F3DAC1" w14:textId="2BBC9C56" w:rsidR="00E83926" w:rsidRPr="005A3F47" w:rsidRDefault="00E83926" w:rsidP="00E83926">
      <w:pPr>
        <w:pStyle w:val="Text2"/>
        <w:ind w:left="0"/>
        <w:rPr>
          <w:noProof/>
        </w:rPr>
      </w:pPr>
      <w:r w:rsidRPr="00266412">
        <w:rPr>
          <w:noProof/>
        </w:rPr>
        <w:t xml:space="preserve">The previous </w:t>
      </w:r>
      <w:r>
        <w:rPr>
          <w:noProof/>
        </w:rPr>
        <w:t xml:space="preserve">analysis </w:t>
      </w:r>
      <w:r w:rsidRPr="00266412">
        <w:rPr>
          <w:noProof/>
        </w:rPr>
        <w:t xml:space="preserve">showed that companies will save corporate tax expenditure of around EUR </w:t>
      </w:r>
      <w:r>
        <w:rPr>
          <w:noProof/>
        </w:rPr>
        <w:t xml:space="preserve"> 900 million, which constitutes the impact on </w:t>
      </w:r>
      <w:r w:rsidRPr="00266412">
        <w:rPr>
          <w:noProof/>
        </w:rPr>
        <w:t>public finance</w:t>
      </w:r>
      <w:r>
        <w:rPr>
          <w:noProof/>
        </w:rPr>
        <w:t>s. If the threshold were aligned across all Member States, that impact would be</w:t>
      </w:r>
      <w:r w:rsidRPr="00266412">
        <w:rPr>
          <w:noProof/>
        </w:rPr>
        <w:t xml:space="preserve"> sustained in those Member States which do not currently implement the EUR 3 million de minimis.</w:t>
      </w:r>
      <w:r w:rsidRPr="005A3F47">
        <w:rPr>
          <w:noProof/>
        </w:rPr>
        <w:t xml:space="preserve"> </w:t>
      </w:r>
    </w:p>
    <w:p w14:paraId="4ADAF885" w14:textId="77777777" w:rsidR="00D70527" w:rsidRPr="005A3F47" w:rsidRDefault="00D70527" w:rsidP="00D70527">
      <w:pPr>
        <w:pStyle w:val="Heading3"/>
        <w:rPr>
          <w:noProof/>
        </w:rPr>
      </w:pPr>
      <w:r w:rsidRPr="005A3F47">
        <w:rPr>
          <w:noProof/>
        </w:rPr>
        <w:t>4.2 Carving out low-risk third-party interest payments</w:t>
      </w:r>
    </w:p>
    <w:p w14:paraId="4B9397E0" w14:textId="173E2774" w:rsidR="00ED616D" w:rsidRPr="005A3F47" w:rsidRDefault="00ED616D" w:rsidP="00ED616D">
      <w:pPr>
        <w:rPr>
          <w:b/>
          <w:bCs/>
          <w:noProof/>
        </w:rPr>
      </w:pPr>
      <w:r w:rsidRPr="005A3F47">
        <w:rPr>
          <w:b/>
          <w:bCs/>
          <w:noProof/>
        </w:rPr>
        <w:t>Impact on companies</w:t>
      </w:r>
    </w:p>
    <w:p w14:paraId="7D57B8D8" w14:textId="34FCF848" w:rsidR="00EA3D91" w:rsidRPr="005A3F47" w:rsidRDefault="00294131" w:rsidP="003C1325">
      <w:pPr>
        <w:pStyle w:val="Text2"/>
        <w:ind w:left="0"/>
        <w:rPr>
          <w:noProof/>
        </w:rPr>
      </w:pPr>
      <w:r w:rsidRPr="005A3F47">
        <w:rPr>
          <w:noProof/>
        </w:rPr>
        <w:t>The prime purpose of the ATAD Interest Limitation Rules is to prevent MNEs from exploiting interest payments as a means of shifting profits.</w:t>
      </w:r>
      <w:r w:rsidR="00876AA1" w:rsidRPr="005A3F47">
        <w:rPr>
          <w:noProof/>
        </w:rPr>
        <w:t xml:space="preserve"> W</w:t>
      </w:r>
      <w:r w:rsidR="002E153D" w:rsidRPr="005A3F47">
        <w:rPr>
          <w:noProof/>
        </w:rPr>
        <w:t xml:space="preserve">hile </w:t>
      </w:r>
      <w:r w:rsidR="003C1325" w:rsidRPr="005A3F47">
        <w:rPr>
          <w:noProof/>
        </w:rPr>
        <w:t>ensuring this, t</w:t>
      </w:r>
      <w:r w:rsidR="00EA3D91" w:rsidRPr="005A3F47">
        <w:rPr>
          <w:noProof/>
        </w:rPr>
        <w:t xml:space="preserve">he rationale </w:t>
      </w:r>
      <w:r w:rsidR="00E91898" w:rsidRPr="005A3F47">
        <w:rPr>
          <w:noProof/>
        </w:rPr>
        <w:t>for</w:t>
      </w:r>
      <w:r w:rsidR="00EA3D91" w:rsidRPr="005A3F47">
        <w:rPr>
          <w:noProof/>
        </w:rPr>
        <w:t xml:space="preserve"> setting the </w:t>
      </w:r>
      <w:r w:rsidR="008C6E7D" w:rsidRPr="005A3F47">
        <w:rPr>
          <w:noProof/>
        </w:rPr>
        <w:t>EBITDA threshold</w:t>
      </w:r>
      <w:r w:rsidR="00EA3D91" w:rsidRPr="005A3F47">
        <w:rPr>
          <w:noProof/>
        </w:rPr>
        <w:t xml:space="preserve"> to 30% in Council Directive 2016/1164 was to ensure that most businesses would not be limited in deducting their </w:t>
      </w:r>
      <w:r w:rsidR="00EA3D91" w:rsidRPr="005A3F47">
        <w:rPr>
          <w:i/>
          <w:iCs/>
          <w:noProof/>
        </w:rPr>
        <w:t>third-party</w:t>
      </w:r>
      <w:r w:rsidR="00EA3D91" w:rsidRPr="005A3F47">
        <w:rPr>
          <w:noProof/>
        </w:rPr>
        <w:t xml:space="preserve"> interest payments from their tax base. </w:t>
      </w:r>
      <w:r w:rsidR="007F49FB" w:rsidRPr="005A3F47">
        <w:rPr>
          <w:noProof/>
        </w:rPr>
        <w:t>This is important in the context of MNE group</w:t>
      </w:r>
      <w:r w:rsidR="00537F12" w:rsidRPr="005A3F47">
        <w:rPr>
          <w:noProof/>
        </w:rPr>
        <w:t>s</w:t>
      </w:r>
      <w:r w:rsidR="007F49FB" w:rsidRPr="005A3F47">
        <w:rPr>
          <w:noProof/>
        </w:rPr>
        <w:t xml:space="preserve">: </w:t>
      </w:r>
      <w:r w:rsidR="007D2502" w:rsidRPr="005A3F47">
        <w:rPr>
          <w:noProof/>
        </w:rPr>
        <w:t xml:space="preserve">these are </w:t>
      </w:r>
      <w:r w:rsidR="00EA3D91" w:rsidRPr="005A3F47">
        <w:rPr>
          <w:noProof/>
        </w:rPr>
        <w:t>payments</w:t>
      </w:r>
      <w:r w:rsidR="007D2502" w:rsidRPr="005A3F47">
        <w:rPr>
          <w:noProof/>
        </w:rPr>
        <w:t xml:space="preserve"> </w:t>
      </w:r>
      <w:r w:rsidR="00E97945" w:rsidRPr="005A3F47">
        <w:rPr>
          <w:noProof/>
        </w:rPr>
        <w:t>from parties</w:t>
      </w:r>
      <w:r w:rsidR="00EA3D91" w:rsidRPr="005A3F47">
        <w:rPr>
          <w:noProof/>
        </w:rPr>
        <w:t xml:space="preserve"> </w:t>
      </w:r>
      <w:r w:rsidR="007D2502" w:rsidRPr="005A3F47">
        <w:rPr>
          <w:noProof/>
        </w:rPr>
        <w:t xml:space="preserve">that </w:t>
      </w:r>
      <w:r w:rsidR="00EA3D91" w:rsidRPr="005A3F47">
        <w:rPr>
          <w:noProof/>
        </w:rPr>
        <w:t>have no association with the borrower, either as members of the same MNE group or because of common control (without being part of the same consolidated financial accounts). An OECD study of 2015</w:t>
      </w:r>
      <w:r w:rsidR="00EA3D91" w:rsidRPr="005A3F47">
        <w:rPr>
          <w:rStyle w:val="FootnoteReference"/>
          <w:noProof/>
        </w:rPr>
        <w:footnoteReference w:id="134"/>
      </w:r>
      <w:r w:rsidR="00EA3D91" w:rsidRPr="005A3F47">
        <w:rPr>
          <w:noProof/>
        </w:rPr>
        <w:t xml:space="preserve"> found that the share of </w:t>
      </w:r>
      <w:r w:rsidR="009558BE" w:rsidRPr="005A3F47">
        <w:rPr>
          <w:noProof/>
        </w:rPr>
        <w:t xml:space="preserve">publicly traded </w:t>
      </w:r>
      <w:r w:rsidR="00EA3D91" w:rsidRPr="005A3F47">
        <w:rPr>
          <w:noProof/>
        </w:rPr>
        <w:t xml:space="preserve">groups able to deduct all their net third-party interest expenses was 87% if the ratio to EBITDA were fixed at 30%. This is shown in the chart which displays the percentage of </w:t>
      </w:r>
      <w:r w:rsidR="006B2723" w:rsidRPr="005A3F47">
        <w:rPr>
          <w:noProof/>
        </w:rPr>
        <w:t xml:space="preserve">these </w:t>
      </w:r>
      <w:r w:rsidR="00EA3D91" w:rsidRPr="005A3F47">
        <w:rPr>
          <w:noProof/>
        </w:rPr>
        <w:t>groups who, as a matter of principle, are able to fully deduct their third-party interest payments for alternative EBITDA</w:t>
      </w:r>
      <w:r w:rsidR="00EE42F6" w:rsidRPr="005A3F47">
        <w:rPr>
          <w:noProof/>
        </w:rPr>
        <w:t xml:space="preserve"> </w:t>
      </w:r>
      <w:r w:rsidR="00EA3D91" w:rsidRPr="005A3F47">
        <w:rPr>
          <w:noProof/>
        </w:rPr>
        <w:t xml:space="preserve">thresholds. </w:t>
      </w:r>
      <w:r w:rsidR="00B56D89" w:rsidRPr="005A3F47">
        <w:rPr>
          <w:noProof/>
        </w:rPr>
        <w:t xml:space="preserve">This percentage obviously depends on the level of the EBITDA threshold. </w:t>
      </w:r>
      <w:r w:rsidR="00EA3D91" w:rsidRPr="005A3F47">
        <w:rPr>
          <w:noProof/>
        </w:rPr>
        <w:t>The</w:t>
      </w:r>
      <w:r w:rsidR="00EA3D91" w:rsidRPr="005A3F47" w:rsidDel="0072389B">
        <w:rPr>
          <w:noProof/>
        </w:rPr>
        <w:t xml:space="preserve"> </w:t>
      </w:r>
      <w:r w:rsidR="00EA3D91" w:rsidRPr="005A3F47">
        <w:rPr>
          <w:noProof/>
        </w:rPr>
        <w:t xml:space="preserve">green-dotted line is the original 2015 </w:t>
      </w:r>
      <w:r w:rsidR="00EA3D91" w:rsidRPr="005A3F47" w:rsidDel="00B5019A">
        <w:rPr>
          <w:noProof/>
        </w:rPr>
        <w:t>O</w:t>
      </w:r>
      <w:r w:rsidR="00EA3D91" w:rsidRPr="005A3F47">
        <w:rPr>
          <w:noProof/>
        </w:rPr>
        <w:t>ECD estimate</w:t>
      </w:r>
      <w:r w:rsidR="00EA3D91" w:rsidRPr="005A3F47" w:rsidDel="0072389B">
        <w:rPr>
          <w:noProof/>
        </w:rPr>
        <w:t xml:space="preserve">. </w:t>
      </w:r>
    </w:p>
    <w:p w14:paraId="295B382C" w14:textId="67CDBE3E" w:rsidR="00EA3D91" w:rsidRPr="005A3F47" w:rsidRDefault="008876D5" w:rsidP="00EA3D91">
      <w:pPr>
        <w:pStyle w:val="Text2"/>
        <w:ind w:left="0"/>
        <w:rPr>
          <w:i/>
          <w:iCs/>
          <w:noProof/>
        </w:rPr>
      </w:pPr>
      <w:r w:rsidRPr="005A3F47">
        <w:rPr>
          <w:i/>
          <w:iCs/>
          <w:noProof/>
        </w:rPr>
        <w:t xml:space="preserve">Figure 1: </w:t>
      </w:r>
      <w:r w:rsidR="0014039C" w:rsidRPr="005A3F47">
        <w:rPr>
          <w:i/>
          <w:iCs/>
          <w:noProof/>
        </w:rPr>
        <w:t>A</w:t>
      </w:r>
      <w:r w:rsidR="00EA3D91" w:rsidRPr="005A3F47">
        <w:rPr>
          <w:i/>
          <w:iCs/>
          <w:noProof/>
        </w:rPr>
        <w:t xml:space="preserve">lternative parameters. Impact on the </w:t>
      </w:r>
      <w:r w:rsidR="00E01CEB" w:rsidRPr="005A3F47">
        <w:rPr>
          <w:i/>
          <w:iCs/>
          <w:noProof/>
        </w:rPr>
        <w:t xml:space="preserve">share of groups </w:t>
      </w:r>
      <w:r w:rsidR="00EA3D91" w:rsidRPr="005A3F47">
        <w:rPr>
          <w:i/>
          <w:iCs/>
          <w:noProof/>
        </w:rPr>
        <w:t>able to deduct their third-party interest payments</w:t>
      </w:r>
    </w:p>
    <w:p w14:paraId="4CE28E4C" w14:textId="255A40AD" w:rsidR="006A64C0" w:rsidRPr="005A3F47" w:rsidRDefault="00F64EDD" w:rsidP="00320C66">
      <w:pPr>
        <w:pStyle w:val="Text2"/>
        <w:ind w:left="0"/>
        <w:rPr>
          <w:noProof/>
        </w:rPr>
      </w:pPr>
      <w:r w:rsidRPr="005A3F47">
        <w:rPr>
          <w:noProof/>
        </w:rPr>
        <w:t xml:space="preserve"> </w:t>
      </w:r>
      <w:r w:rsidR="001E1BF5" w:rsidRPr="005A3F47">
        <w:rPr>
          <w:noProof/>
          <w:lang w:eastAsia="en-GB"/>
        </w:rPr>
        <w:drawing>
          <wp:inline distT="0" distB="0" distL="0" distR="0" wp14:anchorId="0F0ACD77" wp14:editId="62D87701">
            <wp:extent cx="5855970" cy="3328670"/>
            <wp:effectExtent l="0" t="0" r="0" b="0"/>
            <wp:docPr id="124101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55970" cy="3328670"/>
                    </a:xfrm>
                    <a:prstGeom prst="rect">
                      <a:avLst/>
                    </a:prstGeom>
                    <a:noFill/>
                    <a:ln>
                      <a:noFill/>
                    </a:ln>
                  </pic:spPr>
                </pic:pic>
              </a:graphicData>
            </a:graphic>
          </wp:inline>
        </w:drawing>
      </w:r>
    </w:p>
    <w:p w14:paraId="6C3FCE0C" w14:textId="54279FF3" w:rsidR="00953112" w:rsidRPr="005A3F47" w:rsidRDefault="00E00BE3" w:rsidP="00320C66">
      <w:pPr>
        <w:pStyle w:val="Text2"/>
        <w:ind w:left="0"/>
        <w:rPr>
          <w:noProof/>
        </w:rPr>
      </w:pPr>
      <w:r w:rsidRPr="005A3F47">
        <w:rPr>
          <w:noProof/>
        </w:rPr>
        <w:t xml:space="preserve">The OECD analysis at the time used </w:t>
      </w:r>
      <w:r w:rsidR="00F123CF" w:rsidRPr="005A3F47">
        <w:rPr>
          <w:noProof/>
        </w:rPr>
        <w:t xml:space="preserve">publicly traded multinational groups’ </w:t>
      </w:r>
      <w:r w:rsidRPr="005A3F47">
        <w:rPr>
          <w:noProof/>
        </w:rPr>
        <w:t>consolidated financial accounts from years 2009-2013; th</w:t>
      </w:r>
      <w:r w:rsidR="00F123CF" w:rsidRPr="005A3F47">
        <w:rPr>
          <w:noProof/>
        </w:rPr>
        <w:t>e analysis</w:t>
      </w:r>
      <w:r w:rsidRPr="005A3F47">
        <w:rPr>
          <w:noProof/>
        </w:rPr>
        <w:t xml:space="preserve"> has now been updated for the purposes of this Omnibus on Taxation for the year 2024, using the firm database </w:t>
      </w:r>
      <w:r w:rsidRPr="005A3F47">
        <w:rPr>
          <w:i/>
          <w:iCs/>
          <w:noProof/>
        </w:rPr>
        <w:t>Orbis</w:t>
      </w:r>
      <w:r w:rsidRPr="005A3F47">
        <w:rPr>
          <w:noProof/>
        </w:rPr>
        <w:t xml:space="preserve">. </w:t>
      </w:r>
      <w:r w:rsidR="000E5881" w:rsidRPr="005A3F47">
        <w:rPr>
          <w:noProof/>
        </w:rPr>
        <w:t>To replicate the OECD analysis, t</w:t>
      </w:r>
      <w:r w:rsidR="000114B5" w:rsidRPr="005A3F47">
        <w:rPr>
          <w:noProof/>
        </w:rPr>
        <w:t xml:space="preserve">he </w:t>
      </w:r>
      <w:r w:rsidR="00901E3F" w:rsidRPr="005A3F47">
        <w:rPr>
          <w:noProof/>
        </w:rPr>
        <w:t xml:space="preserve">current </w:t>
      </w:r>
      <w:r w:rsidR="000114B5" w:rsidRPr="005A3F47">
        <w:rPr>
          <w:noProof/>
        </w:rPr>
        <w:t>analysis</w:t>
      </w:r>
      <w:r w:rsidR="00F81101" w:rsidRPr="005A3F47">
        <w:rPr>
          <w:noProof/>
        </w:rPr>
        <w:t xml:space="preserve"> </w:t>
      </w:r>
      <w:r w:rsidR="009A3C3F" w:rsidRPr="005A3F47">
        <w:rPr>
          <w:noProof/>
        </w:rPr>
        <w:t xml:space="preserve">draws on a sample of about 3,500 consolidated accounts </w:t>
      </w:r>
      <w:r w:rsidR="00E56FC3" w:rsidRPr="005A3F47">
        <w:rPr>
          <w:noProof/>
        </w:rPr>
        <w:t xml:space="preserve">for listed groups </w:t>
      </w:r>
      <w:r w:rsidR="009A3C3F" w:rsidRPr="005A3F47">
        <w:rPr>
          <w:noProof/>
        </w:rPr>
        <w:t xml:space="preserve">for year 2024. These accounts contain information about EBITDA and the level of interest payments which – given that </w:t>
      </w:r>
      <w:r w:rsidR="00AB5E1A" w:rsidRPr="005A3F47">
        <w:rPr>
          <w:noProof/>
        </w:rPr>
        <w:t xml:space="preserve">the analysis is </w:t>
      </w:r>
      <w:r w:rsidR="009A3C3F" w:rsidRPr="005A3F47">
        <w:rPr>
          <w:noProof/>
        </w:rPr>
        <w:t>bas</w:t>
      </w:r>
      <w:r w:rsidR="00AB5E1A" w:rsidRPr="005A3F47">
        <w:rPr>
          <w:noProof/>
        </w:rPr>
        <w:t>ed</w:t>
      </w:r>
      <w:r w:rsidR="009A3C3F" w:rsidRPr="005A3F47">
        <w:rPr>
          <w:noProof/>
        </w:rPr>
        <w:t xml:space="preserve"> o</w:t>
      </w:r>
      <w:r w:rsidR="001E4AED" w:rsidRPr="005A3F47">
        <w:rPr>
          <w:noProof/>
        </w:rPr>
        <w:t>n</w:t>
      </w:r>
      <w:r w:rsidR="009A3C3F" w:rsidRPr="005A3F47">
        <w:rPr>
          <w:noProof/>
        </w:rPr>
        <w:t xml:space="preserve"> consolidated accounts – should net out group-internal interest payments and</w:t>
      </w:r>
      <w:r w:rsidR="001E4AED" w:rsidRPr="005A3F47">
        <w:rPr>
          <w:noProof/>
        </w:rPr>
        <w:t>,</w:t>
      </w:r>
      <w:r w:rsidR="009A3C3F" w:rsidRPr="005A3F47">
        <w:rPr>
          <w:noProof/>
        </w:rPr>
        <w:t xml:space="preserve"> in this wa</w:t>
      </w:r>
      <w:r w:rsidR="002651E4" w:rsidRPr="005A3F47">
        <w:rPr>
          <w:noProof/>
        </w:rPr>
        <w:t>y</w:t>
      </w:r>
      <w:r w:rsidR="001E4AED" w:rsidRPr="005A3F47">
        <w:rPr>
          <w:b/>
          <w:bCs/>
          <w:noProof/>
        </w:rPr>
        <w:t>,</w:t>
      </w:r>
      <w:r w:rsidR="009A3C3F" w:rsidRPr="005A3F47">
        <w:rPr>
          <w:b/>
          <w:bCs/>
          <w:noProof/>
        </w:rPr>
        <w:t xml:space="preserve"> </w:t>
      </w:r>
      <w:r w:rsidR="009A3C3F" w:rsidRPr="00CA1DFF">
        <w:rPr>
          <w:noProof/>
        </w:rPr>
        <w:t>include third-party payments only.</w:t>
      </w:r>
      <w:r w:rsidR="009A3C3F" w:rsidRPr="005A3F47">
        <w:rPr>
          <w:noProof/>
        </w:rPr>
        <w:t xml:space="preserve"> Only accounts with positive EBITDA are considered. </w:t>
      </w:r>
    </w:p>
    <w:p w14:paraId="1F85929A" w14:textId="05F0F6F4" w:rsidR="00320C66" w:rsidRPr="005A3F47" w:rsidRDefault="009A3C3F" w:rsidP="00320C66">
      <w:pPr>
        <w:pStyle w:val="Text2"/>
        <w:ind w:left="0"/>
        <w:rPr>
          <w:noProof/>
        </w:rPr>
      </w:pPr>
      <w:r w:rsidRPr="005A3F47">
        <w:rPr>
          <w:noProof/>
        </w:rPr>
        <w:t>For an EBITDA-threshold of 15% or higher, findings closely match the original OECD estimate</w:t>
      </w:r>
      <w:r w:rsidR="00AB5E1A" w:rsidRPr="005A3F47">
        <w:rPr>
          <w:noProof/>
        </w:rPr>
        <w:t xml:space="preserve"> as can be seen in </w:t>
      </w:r>
      <w:r w:rsidR="001121B1" w:rsidRPr="005A3F47">
        <w:rPr>
          <w:noProof/>
        </w:rPr>
        <w:t xml:space="preserve">the </w:t>
      </w:r>
      <w:r w:rsidR="003F20C3" w:rsidRPr="005A3F47">
        <w:rPr>
          <w:noProof/>
        </w:rPr>
        <w:t>Chart</w:t>
      </w:r>
      <w:r w:rsidRPr="005A3F47">
        <w:rPr>
          <w:noProof/>
        </w:rPr>
        <w:t>.</w:t>
      </w:r>
      <w:r w:rsidR="00320C66" w:rsidRPr="005A3F47">
        <w:rPr>
          <w:noProof/>
        </w:rPr>
        <w:t xml:space="preserve"> </w:t>
      </w:r>
      <w:r w:rsidR="002A436C" w:rsidRPr="005A3F47">
        <w:rPr>
          <w:noProof/>
        </w:rPr>
        <w:t xml:space="preserve">The line </w:t>
      </w:r>
      <w:r w:rsidR="00472C12" w:rsidRPr="005A3F47">
        <w:rPr>
          <w:noProof/>
        </w:rPr>
        <w:t>sh</w:t>
      </w:r>
      <w:r w:rsidR="00EE3E78" w:rsidRPr="005A3F47">
        <w:rPr>
          <w:noProof/>
        </w:rPr>
        <w:t xml:space="preserve">ows the </w:t>
      </w:r>
      <w:r w:rsidR="00F958D8" w:rsidRPr="005A3F47">
        <w:rPr>
          <w:noProof/>
        </w:rPr>
        <w:t>share of groups</w:t>
      </w:r>
      <w:r w:rsidR="00A65F58" w:rsidRPr="005A3F47">
        <w:rPr>
          <w:noProof/>
        </w:rPr>
        <w:t xml:space="preserve"> which today should</w:t>
      </w:r>
      <w:r w:rsidR="00B5795E" w:rsidRPr="005A3F47">
        <w:rPr>
          <w:noProof/>
        </w:rPr>
        <w:t xml:space="preserve"> be able to fully deduct their </w:t>
      </w:r>
      <w:r w:rsidR="00953112" w:rsidRPr="005A3F47">
        <w:rPr>
          <w:noProof/>
        </w:rPr>
        <w:t xml:space="preserve">third-party </w:t>
      </w:r>
      <w:r w:rsidR="00B5795E" w:rsidRPr="005A3F47">
        <w:rPr>
          <w:noProof/>
        </w:rPr>
        <w:t xml:space="preserve">interest expenses, assuming </w:t>
      </w:r>
      <w:r w:rsidR="00FB268D" w:rsidRPr="005A3F47">
        <w:rPr>
          <w:noProof/>
        </w:rPr>
        <w:t xml:space="preserve">the </w:t>
      </w:r>
      <w:r w:rsidR="00C745D8" w:rsidRPr="005A3F47">
        <w:rPr>
          <w:noProof/>
        </w:rPr>
        <w:t xml:space="preserve">de minimis </w:t>
      </w:r>
      <w:r w:rsidR="00D00B07" w:rsidRPr="005A3F47">
        <w:rPr>
          <w:noProof/>
        </w:rPr>
        <w:t>at EUR 3 million</w:t>
      </w:r>
      <w:r w:rsidR="007B44BC" w:rsidRPr="005A3F47">
        <w:rPr>
          <w:noProof/>
        </w:rPr>
        <w:t xml:space="preserve"> </w:t>
      </w:r>
      <w:r w:rsidR="00FE1BBD" w:rsidRPr="005A3F47">
        <w:rPr>
          <w:noProof/>
        </w:rPr>
        <w:t>(</w:t>
      </w:r>
      <w:r w:rsidR="007B44BC" w:rsidRPr="005A3F47">
        <w:rPr>
          <w:noProof/>
        </w:rPr>
        <w:t>as in ATAD</w:t>
      </w:r>
      <w:r w:rsidR="00FE1BBD" w:rsidRPr="005A3F47">
        <w:rPr>
          <w:noProof/>
        </w:rPr>
        <w:t>)</w:t>
      </w:r>
      <w:r w:rsidR="00D00B07" w:rsidRPr="005A3F47">
        <w:rPr>
          <w:noProof/>
        </w:rPr>
        <w:t>.</w:t>
      </w:r>
      <w:r w:rsidR="00320C66" w:rsidRPr="005A3F47">
        <w:rPr>
          <w:noProof/>
        </w:rPr>
        <w:t xml:space="preserve"> </w:t>
      </w:r>
      <w:r w:rsidR="009B382C" w:rsidRPr="005A3F47">
        <w:rPr>
          <w:noProof/>
        </w:rPr>
        <w:t xml:space="preserve">It </w:t>
      </w:r>
      <w:r w:rsidR="005E409A" w:rsidRPr="005A3F47">
        <w:rPr>
          <w:noProof/>
        </w:rPr>
        <w:t xml:space="preserve">shows </w:t>
      </w:r>
      <w:r w:rsidR="009B382C" w:rsidRPr="005A3F47">
        <w:rPr>
          <w:noProof/>
        </w:rPr>
        <w:t>that</w:t>
      </w:r>
      <w:r w:rsidR="00320C66" w:rsidRPr="005A3F47">
        <w:rPr>
          <w:noProof/>
        </w:rPr>
        <w:t xml:space="preserve"> at </w:t>
      </w:r>
      <w:r w:rsidR="00345464" w:rsidRPr="005A3F47">
        <w:rPr>
          <w:noProof/>
        </w:rPr>
        <w:t xml:space="preserve">the </w:t>
      </w:r>
      <w:r w:rsidR="00F00A1C" w:rsidRPr="005A3F47">
        <w:rPr>
          <w:noProof/>
        </w:rPr>
        <w:t>ATAD-</w:t>
      </w:r>
      <w:r w:rsidR="00320C66" w:rsidRPr="005A3F47">
        <w:rPr>
          <w:noProof/>
        </w:rPr>
        <w:t xml:space="preserve">threshold of 30% of EBITDA, the share of </w:t>
      </w:r>
      <w:r w:rsidR="00FD1B0A" w:rsidRPr="005A3F47">
        <w:rPr>
          <w:noProof/>
        </w:rPr>
        <w:t xml:space="preserve">groups </w:t>
      </w:r>
      <w:r w:rsidR="00320C66" w:rsidRPr="005A3F47">
        <w:rPr>
          <w:noProof/>
        </w:rPr>
        <w:t xml:space="preserve">who, as a matter of principal, are able to deduct their third-party interest payments without limitation is 86%. </w:t>
      </w:r>
    </w:p>
    <w:p w14:paraId="38D42B19" w14:textId="31841154" w:rsidR="00423050" w:rsidRPr="002037F0" w:rsidRDefault="00C77594" w:rsidP="006C695E">
      <w:pPr>
        <w:pStyle w:val="Text2"/>
        <w:ind w:left="0"/>
        <w:rPr>
          <w:noProof/>
        </w:rPr>
      </w:pPr>
      <w:r w:rsidRPr="002037F0">
        <w:rPr>
          <w:noProof/>
        </w:rPr>
        <w:t>The</w:t>
      </w:r>
      <w:r w:rsidR="003728E9" w:rsidRPr="002037F0">
        <w:rPr>
          <w:noProof/>
        </w:rPr>
        <w:t xml:space="preserve"> reality is, however, that</w:t>
      </w:r>
      <w:r w:rsidRPr="002037F0">
        <w:rPr>
          <w:noProof/>
        </w:rPr>
        <w:t xml:space="preserve"> </w:t>
      </w:r>
      <w:r w:rsidR="00C302F5" w:rsidRPr="002037F0">
        <w:rPr>
          <w:noProof/>
        </w:rPr>
        <w:t xml:space="preserve">both the </w:t>
      </w:r>
      <w:r w:rsidR="00453536" w:rsidRPr="002037F0">
        <w:rPr>
          <w:noProof/>
        </w:rPr>
        <w:t xml:space="preserve">EUR 3 million </w:t>
      </w:r>
      <w:r w:rsidR="00C302F5" w:rsidRPr="002037F0">
        <w:rPr>
          <w:noProof/>
        </w:rPr>
        <w:t xml:space="preserve">de minimis </w:t>
      </w:r>
      <w:r w:rsidR="003728E9" w:rsidRPr="002037F0">
        <w:rPr>
          <w:noProof/>
        </w:rPr>
        <w:t xml:space="preserve">threshold </w:t>
      </w:r>
      <w:r w:rsidR="00C302F5" w:rsidRPr="002037F0">
        <w:rPr>
          <w:noProof/>
        </w:rPr>
        <w:t xml:space="preserve">and the 30% EBITDA threshold are </w:t>
      </w:r>
      <w:r w:rsidR="00475E00" w:rsidRPr="002037F0">
        <w:rPr>
          <w:noProof/>
        </w:rPr>
        <w:t>currently a minimum standard in the ATAD</w:t>
      </w:r>
      <w:r w:rsidR="00583005" w:rsidRPr="002037F0">
        <w:rPr>
          <w:noProof/>
        </w:rPr>
        <w:t xml:space="preserve">. </w:t>
      </w:r>
      <w:r w:rsidR="005E4ABE" w:rsidRPr="002037F0">
        <w:rPr>
          <w:noProof/>
        </w:rPr>
        <w:t xml:space="preserve">The thresholds have </w:t>
      </w:r>
      <w:r w:rsidR="00211FF3" w:rsidRPr="002037F0">
        <w:rPr>
          <w:noProof/>
        </w:rPr>
        <w:t xml:space="preserve">been implemented </w:t>
      </w:r>
      <w:r w:rsidR="00475E00" w:rsidRPr="002037F0">
        <w:rPr>
          <w:noProof/>
        </w:rPr>
        <w:t>more stringently in some</w:t>
      </w:r>
      <w:r w:rsidR="00211FF3" w:rsidRPr="002037F0">
        <w:rPr>
          <w:noProof/>
        </w:rPr>
        <w:t xml:space="preserve"> Member States</w:t>
      </w:r>
      <w:r w:rsidR="005E4ABE" w:rsidRPr="002037F0">
        <w:rPr>
          <w:noProof/>
        </w:rPr>
        <w:t xml:space="preserve"> (see previous section)</w:t>
      </w:r>
      <w:r w:rsidR="00211FF3" w:rsidRPr="002037F0">
        <w:rPr>
          <w:noProof/>
        </w:rPr>
        <w:t xml:space="preserve">. </w:t>
      </w:r>
      <w:r w:rsidR="001F0C99" w:rsidRPr="002037F0">
        <w:rPr>
          <w:noProof/>
        </w:rPr>
        <w:t>Taking into account</w:t>
      </w:r>
      <w:r w:rsidR="00C20E9B" w:rsidRPr="002037F0">
        <w:rPr>
          <w:noProof/>
        </w:rPr>
        <w:t xml:space="preserve"> </w:t>
      </w:r>
      <w:r w:rsidR="00475E00" w:rsidRPr="002037F0">
        <w:rPr>
          <w:noProof/>
        </w:rPr>
        <w:t xml:space="preserve">how </w:t>
      </w:r>
      <w:r w:rsidR="0026480D" w:rsidRPr="002037F0">
        <w:rPr>
          <w:noProof/>
        </w:rPr>
        <w:t xml:space="preserve">the respective de minimis </w:t>
      </w:r>
      <w:r w:rsidR="00702621" w:rsidRPr="002037F0">
        <w:rPr>
          <w:noProof/>
        </w:rPr>
        <w:t>and EBITDA thresholds</w:t>
      </w:r>
      <w:r w:rsidR="0026480D" w:rsidRPr="002037F0">
        <w:rPr>
          <w:noProof/>
        </w:rPr>
        <w:t xml:space="preserve"> </w:t>
      </w:r>
      <w:r w:rsidR="00702621" w:rsidRPr="002037F0">
        <w:rPr>
          <w:noProof/>
        </w:rPr>
        <w:t xml:space="preserve">are </w:t>
      </w:r>
      <w:r w:rsidR="004C407A" w:rsidRPr="002037F0">
        <w:rPr>
          <w:noProof/>
        </w:rPr>
        <w:t>effectively</w:t>
      </w:r>
      <w:r w:rsidR="001F0C99" w:rsidRPr="002037F0">
        <w:rPr>
          <w:noProof/>
        </w:rPr>
        <w:t xml:space="preserve"> appl</w:t>
      </w:r>
      <w:r w:rsidR="00C97A9C" w:rsidRPr="002037F0">
        <w:rPr>
          <w:noProof/>
        </w:rPr>
        <w:t xml:space="preserve">ied </w:t>
      </w:r>
      <w:r w:rsidR="0072341D" w:rsidRPr="002037F0">
        <w:rPr>
          <w:noProof/>
        </w:rPr>
        <w:t>in</w:t>
      </w:r>
      <w:r w:rsidR="00C97A9C" w:rsidRPr="002037F0">
        <w:rPr>
          <w:noProof/>
        </w:rPr>
        <w:t xml:space="preserve"> Member States, </w:t>
      </w:r>
      <w:r w:rsidR="0072341D" w:rsidRPr="002037F0">
        <w:rPr>
          <w:noProof/>
        </w:rPr>
        <w:t>the analysis shows that currently</w:t>
      </w:r>
      <w:r w:rsidR="005B658A" w:rsidRPr="002037F0">
        <w:rPr>
          <w:noProof/>
        </w:rPr>
        <w:t xml:space="preserve"> </w:t>
      </w:r>
      <w:r w:rsidR="00C07354" w:rsidRPr="002037F0">
        <w:rPr>
          <w:noProof/>
        </w:rPr>
        <w:t xml:space="preserve">only </w:t>
      </w:r>
      <w:r w:rsidR="00B46A66" w:rsidRPr="002037F0">
        <w:rPr>
          <w:noProof/>
        </w:rPr>
        <w:t xml:space="preserve">about </w:t>
      </w:r>
      <w:r w:rsidR="00620281" w:rsidRPr="002037F0">
        <w:rPr>
          <w:noProof/>
        </w:rPr>
        <w:t>8</w:t>
      </w:r>
      <w:r w:rsidR="00117229" w:rsidRPr="002037F0">
        <w:rPr>
          <w:noProof/>
        </w:rPr>
        <w:t>3</w:t>
      </w:r>
      <w:r w:rsidR="00620281" w:rsidRPr="002037F0">
        <w:rPr>
          <w:noProof/>
        </w:rPr>
        <w:t>%</w:t>
      </w:r>
      <w:r w:rsidR="00727621" w:rsidRPr="002037F0">
        <w:rPr>
          <w:noProof/>
        </w:rPr>
        <w:t xml:space="preserve"> </w:t>
      </w:r>
      <w:r w:rsidR="000755D9" w:rsidRPr="002037F0">
        <w:rPr>
          <w:noProof/>
        </w:rPr>
        <w:t xml:space="preserve">of groups </w:t>
      </w:r>
      <w:r w:rsidR="00727621" w:rsidRPr="002037F0">
        <w:rPr>
          <w:noProof/>
        </w:rPr>
        <w:t xml:space="preserve">in </w:t>
      </w:r>
      <w:r w:rsidR="000755D9" w:rsidRPr="002037F0">
        <w:rPr>
          <w:noProof/>
        </w:rPr>
        <w:t>the</w:t>
      </w:r>
      <w:r w:rsidR="00727621" w:rsidRPr="002037F0">
        <w:rPr>
          <w:noProof/>
        </w:rPr>
        <w:t xml:space="preserve"> </w:t>
      </w:r>
      <w:r w:rsidR="00727621" w:rsidRPr="002037F0">
        <w:rPr>
          <w:i/>
          <w:iCs/>
          <w:noProof/>
        </w:rPr>
        <w:t xml:space="preserve">Orbis </w:t>
      </w:r>
      <w:r w:rsidR="00727621" w:rsidRPr="002037F0">
        <w:rPr>
          <w:noProof/>
        </w:rPr>
        <w:t>sample</w:t>
      </w:r>
      <w:r w:rsidR="006D41D8" w:rsidRPr="002037F0">
        <w:rPr>
          <w:noProof/>
        </w:rPr>
        <w:t xml:space="preserve"> end up </w:t>
      </w:r>
      <w:r w:rsidR="00B14477" w:rsidRPr="002037F0">
        <w:rPr>
          <w:noProof/>
        </w:rPr>
        <w:t xml:space="preserve">having their interest </w:t>
      </w:r>
      <w:r w:rsidR="00E11FA6" w:rsidRPr="002037F0">
        <w:rPr>
          <w:noProof/>
        </w:rPr>
        <w:t>fully deductible.</w:t>
      </w:r>
      <w:r w:rsidR="00F14AB3" w:rsidRPr="002037F0">
        <w:rPr>
          <w:noProof/>
        </w:rPr>
        <w:t xml:space="preserve"> </w:t>
      </w:r>
      <w:r w:rsidR="003334E9" w:rsidRPr="002037F0">
        <w:rPr>
          <w:noProof/>
        </w:rPr>
        <w:t>This represents a</w:t>
      </w:r>
      <w:r w:rsidR="00C07354" w:rsidRPr="002037F0">
        <w:rPr>
          <w:noProof/>
        </w:rPr>
        <w:t xml:space="preserve">n important difference </w:t>
      </w:r>
      <w:r w:rsidR="003334E9" w:rsidRPr="002037F0">
        <w:rPr>
          <w:noProof/>
        </w:rPr>
        <w:t>from the 8</w:t>
      </w:r>
      <w:r w:rsidR="007A427E" w:rsidRPr="002037F0">
        <w:rPr>
          <w:noProof/>
        </w:rPr>
        <w:t>6</w:t>
      </w:r>
      <w:r w:rsidR="003334E9" w:rsidRPr="002037F0">
        <w:rPr>
          <w:noProof/>
        </w:rPr>
        <w:t>% that was originally targeted</w:t>
      </w:r>
      <w:r w:rsidR="00DE5E41" w:rsidRPr="002037F0">
        <w:rPr>
          <w:noProof/>
        </w:rPr>
        <w:t xml:space="preserve"> in the OECD analysis or the 86% if </w:t>
      </w:r>
      <w:r w:rsidR="00D73AEB" w:rsidRPr="002037F0">
        <w:rPr>
          <w:noProof/>
        </w:rPr>
        <w:t xml:space="preserve">thresholds </w:t>
      </w:r>
      <w:r w:rsidR="00C07354" w:rsidRPr="002037F0">
        <w:rPr>
          <w:noProof/>
        </w:rPr>
        <w:t xml:space="preserve">were applied </w:t>
      </w:r>
      <w:r w:rsidR="00D73AEB" w:rsidRPr="002037F0">
        <w:rPr>
          <w:noProof/>
        </w:rPr>
        <w:t xml:space="preserve">as in ATAD </w:t>
      </w:r>
      <w:r w:rsidR="00C07354" w:rsidRPr="002037F0">
        <w:rPr>
          <w:noProof/>
        </w:rPr>
        <w:t>across the EU</w:t>
      </w:r>
      <w:r w:rsidR="00702621" w:rsidRPr="002037F0">
        <w:rPr>
          <w:noProof/>
        </w:rPr>
        <w:t>-</w:t>
      </w:r>
      <w:r w:rsidR="00C07354" w:rsidRPr="002037F0">
        <w:rPr>
          <w:noProof/>
        </w:rPr>
        <w:t>27</w:t>
      </w:r>
      <w:r w:rsidR="003334E9" w:rsidRPr="002037F0">
        <w:rPr>
          <w:noProof/>
        </w:rPr>
        <w:t xml:space="preserve">. </w:t>
      </w:r>
    </w:p>
    <w:p w14:paraId="1949DCE1" w14:textId="0FAF7E12" w:rsidR="000F28D2" w:rsidRPr="005A3F47" w:rsidRDefault="001570AD" w:rsidP="006939B0">
      <w:pPr>
        <w:pStyle w:val="Text2"/>
        <w:ind w:left="0"/>
        <w:rPr>
          <w:noProof/>
        </w:rPr>
      </w:pPr>
      <w:r w:rsidRPr="005A3F47">
        <w:rPr>
          <w:noProof/>
        </w:rPr>
        <w:t xml:space="preserve">For the purposes of this analysis, </w:t>
      </w:r>
      <w:r w:rsidR="00A76EA9" w:rsidRPr="005A3F47">
        <w:rPr>
          <w:noProof/>
        </w:rPr>
        <w:t>we assume</w:t>
      </w:r>
      <w:r w:rsidR="0016329F" w:rsidRPr="005A3F47">
        <w:rPr>
          <w:noProof/>
        </w:rPr>
        <w:t xml:space="preserve"> that </w:t>
      </w:r>
      <w:r w:rsidR="00FF4F38" w:rsidRPr="005A3F47">
        <w:rPr>
          <w:noProof/>
        </w:rPr>
        <w:t>8</w:t>
      </w:r>
      <w:r w:rsidR="00117229" w:rsidRPr="005A3F47">
        <w:rPr>
          <w:noProof/>
        </w:rPr>
        <w:t>3</w:t>
      </w:r>
      <w:r w:rsidR="00FF4F38" w:rsidRPr="005A3F47">
        <w:rPr>
          <w:noProof/>
        </w:rPr>
        <w:t xml:space="preserve">% </w:t>
      </w:r>
      <w:r w:rsidR="003D375D" w:rsidRPr="005A3F47">
        <w:rPr>
          <w:noProof/>
        </w:rPr>
        <w:t>is</w:t>
      </w:r>
      <w:r w:rsidR="002005B9" w:rsidRPr="005A3F47">
        <w:rPr>
          <w:noProof/>
        </w:rPr>
        <w:t xml:space="preserve"> the share of groups whose third-party interest payments remain fully deductible </w:t>
      </w:r>
      <w:r w:rsidR="00756D6D" w:rsidRPr="005A3F47">
        <w:rPr>
          <w:noProof/>
        </w:rPr>
        <w:t xml:space="preserve">today </w:t>
      </w:r>
      <w:r w:rsidR="003D375D" w:rsidRPr="005A3F47">
        <w:rPr>
          <w:noProof/>
        </w:rPr>
        <w:t xml:space="preserve">(as explained in the </w:t>
      </w:r>
      <w:r w:rsidR="00346C21" w:rsidRPr="005A3F47">
        <w:rPr>
          <w:noProof/>
        </w:rPr>
        <w:t xml:space="preserve">previous </w:t>
      </w:r>
      <w:r w:rsidR="003D375D" w:rsidRPr="005A3F47">
        <w:rPr>
          <w:noProof/>
        </w:rPr>
        <w:t xml:space="preserve">section), this means </w:t>
      </w:r>
      <w:r w:rsidR="00AD36F6" w:rsidRPr="005A3F47">
        <w:rPr>
          <w:noProof/>
        </w:rPr>
        <w:t>that</w:t>
      </w:r>
      <w:r w:rsidR="006E120A" w:rsidRPr="005A3F47">
        <w:rPr>
          <w:noProof/>
        </w:rPr>
        <w:t xml:space="preserve"> </w:t>
      </w:r>
      <w:r w:rsidR="003025EA" w:rsidRPr="005A3F47">
        <w:rPr>
          <w:noProof/>
        </w:rPr>
        <w:t>1</w:t>
      </w:r>
      <w:r w:rsidR="006E120A" w:rsidRPr="005A3F47">
        <w:rPr>
          <w:noProof/>
        </w:rPr>
        <w:t>7</w:t>
      </w:r>
      <w:r w:rsidR="003025EA" w:rsidRPr="005A3F47">
        <w:rPr>
          <w:noProof/>
        </w:rPr>
        <w:t>% of groups in the sample are not able to (fully) deduct their interest expenses.</w:t>
      </w:r>
      <w:r w:rsidR="00FA3451" w:rsidRPr="005A3F47">
        <w:rPr>
          <w:noProof/>
        </w:rPr>
        <w:t xml:space="preserve"> </w:t>
      </w:r>
      <w:r w:rsidR="00AD5FA0" w:rsidRPr="005A3F47">
        <w:rPr>
          <w:noProof/>
        </w:rPr>
        <w:t>However, n</w:t>
      </w:r>
      <w:r w:rsidR="00346575" w:rsidRPr="005A3F47">
        <w:rPr>
          <w:noProof/>
        </w:rPr>
        <w:t xml:space="preserve">ot all of </w:t>
      </w:r>
      <w:r w:rsidR="0004757A" w:rsidRPr="005A3F47">
        <w:rPr>
          <w:noProof/>
        </w:rPr>
        <w:t>these</w:t>
      </w:r>
      <w:r w:rsidR="00346575" w:rsidRPr="005A3F47">
        <w:rPr>
          <w:noProof/>
        </w:rPr>
        <w:t xml:space="preserve"> 1</w:t>
      </w:r>
      <w:r w:rsidR="00AA0C90" w:rsidRPr="005A3F47">
        <w:rPr>
          <w:noProof/>
        </w:rPr>
        <w:t>7</w:t>
      </w:r>
      <w:r w:rsidR="00346575" w:rsidRPr="005A3F47">
        <w:rPr>
          <w:noProof/>
        </w:rPr>
        <w:t xml:space="preserve">% of groups are being carved out </w:t>
      </w:r>
      <w:r w:rsidR="00AD5FA0" w:rsidRPr="005A3F47">
        <w:rPr>
          <w:noProof/>
        </w:rPr>
        <w:t>under the proposed measure</w:t>
      </w:r>
      <w:r w:rsidR="000A0C03" w:rsidRPr="005A3F47">
        <w:rPr>
          <w:noProof/>
        </w:rPr>
        <w:t xml:space="preserve"> because not all of the</w:t>
      </w:r>
      <w:r w:rsidR="00DD6431" w:rsidRPr="005A3F47">
        <w:rPr>
          <w:noProof/>
        </w:rPr>
        <w:t xml:space="preserve"> corresponding</w:t>
      </w:r>
      <w:r w:rsidR="000A0C03" w:rsidRPr="005A3F47">
        <w:rPr>
          <w:noProof/>
        </w:rPr>
        <w:t xml:space="preserve"> </w:t>
      </w:r>
      <w:r w:rsidR="00454934" w:rsidRPr="005A3F47">
        <w:rPr>
          <w:noProof/>
        </w:rPr>
        <w:t>third-party interest expenses stem fr</w:t>
      </w:r>
      <w:r w:rsidR="005D2EF5" w:rsidRPr="005A3F47">
        <w:rPr>
          <w:noProof/>
        </w:rPr>
        <w:t>o</w:t>
      </w:r>
      <w:r w:rsidR="00454934" w:rsidRPr="005A3F47">
        <w:rPr>
          <w:noProof/>
        </w:rPr>
        <w:t xml:space="preserve">m low-risk </w:t>
      </w:r>
      <w:r w:rsidR="00CD4B57" w:rsidRPr="005A3F47">
        <w:rPr>
          <w:noProof/>
        </w:rPr>
        <w:t xml:space="preserve">loans. </w:t>
      </w:r>
    </w:p>
    <w:p w14:paraId="12AF56CF" w14:textId="5978DA91" w:rsidR="00067912" w:rsidRPr="005A3F47" w:rsidRDefault="00CD4B57" w:rsidP="00633591">
      <w:pPr>
        <w:rPr>
          <w:noProof/>
        </w:rPr>
      </w:pPr>
      <w:r w:rsidRPr="005A3F47">
        <w:rPr>
          <w:noProof/>
        </w:rPr>
        <w:t>There is strong empirical evidence that group members often take third-party loans and then lend on to other group members. More generally, group members may engage in structured arrangements whereby the group in its entirety would gain an advantage, often in the form of tax savings.</w:t>
      </w:r>
      <w:r w:rsidRPr="005A3F47">
        <w:rPr>
          <w:rStyle w:val="FootnoteReference"/>
          <w:noProof/>
        </w:rPr>
        <w:footnoteReference w:id="135"/>
      </w:r>
      <w:r w:rsidRPr="005A3F47">
        <w:rPr>
          <w:noProof/>
        </w:rPr>
        <w:t xml:space="preserve"> An inter-company loan could, for example, consist of “inflated” interest payments to other members of the same group in low-tax jurisdictions, with the effect of shifting part of the group’s tax base thereto. Indeed, it was found that inter-company loans actually react to tax-rate differences within the MNE.</w:t>
      </w:r>
      <w:r w:rsidRPr="005A3F47">
        <w:rPr>
          <w:rStyle w:val="FootnoteReference"/>
          <w:noProof/>
        </w:rPr>
        <w:footnoteReference w:id="136"/>
      </w:r>
      <w:r w:rsidRPr="005A3F47">
        <w:rPr>
          <w:noProof/>
        </w:rPr>
        <w:t xml:space="preserve"> To prevent this practice, a restrictive definition of third-party loans would be introduced under this option, to make sure that the entity taking out the loan will use the debt to finance its own activities, with no possibility of on-lending within the group (see </w:t>
      </w:r>
      <w:r w:rsidR="009101C8" w:rsidRPr="005A3F47">
        <w:rPr>
          <w:noProof/>
        </w:rPr>
        <w:t>S</w:t>
      </w:r>
      <w:r w:rsidRPr="005A3F47">
        <w:rPr>
          <w:noProof/>
        </w:rPr>
        <w:t xml:space="preserve">ection </w:t>
      </w:r>
      <w:r w:rsidR="00117633" w:rsidRPr="005A3F47">
        <w:rPr>
          <w:noProof/>
        </w:rPr>
        <w:fldChar w:fldCharType="begin"/>
      </w:r>
      <w:r w:rsidR="00117633" w:rsidRPr="005A3F47">
        <w:rPr>
          <w:noProof/>
        </w:rPr>
        <w:instrText xml:space="preserve"> REF _Ref226471578 \r \h </w:instrText>
      </w:r>
      <w:r w:rsidR="005A3F47">
        <w:rPr>
          <w:noProof/>
        </w:rPr>
        <w:instrText xml:space="preserve"> \* MERGEFORMAT </w:instrText>
      </w:r>
      <w:r w:rsidR="00117633" w:rsidRPr="005A3F47">
        <w:rPr>
          <w:noProof/>
        </w:rPr>
      </w:r>
      <w:r w:rsidR="00117633" w:rsidRPr="005A3F47">
        <w:rPr>
          <w:noProof/>
        </w:rPr>
        <w:fldChar w:fldCharType="separate"/>
      </w:r>
      <w:r w:rsidR="00CF3380">
        <w:rPr>
          <w:noProof/>
        </w:rPr>
        <w:t>5.2.4.4</w:t>
      </w:r>
      <w:r w:rsidR="00117633" w:rsidRPr="005A3F47">
        <w:rPr>
          <w:noProof/>
        </w:rPr>
        <w:fldChar w:fldCharType="end"/>
      </w:r>
      <w:r w:rsidRPr="005A3F47">
        <w:rPr>
          <w:noProof/>
        </w:rPr>
        <w:t xml:space="preserve">). </w:t>
      </w:r>
    </w:p>
    <w:p w14:paraId="5EC13983" w14:textId="5CF8F016" w:rsidR="00B6652E" w:rsidRPr="005A3F47" w:rsidRDefault="00CD4B57" w:rsidP="00F964A5">
      <w:pPr>
        <w:rPr>
          <w:noProof/>
        </w:rPr>
      </w:pPr>
      <w:r w:rsidRPr="005A3F47">
        <w:rPr>
          <w:noProof/>
        </w:rPr>
        <w:t xml:space="preserve">Interest payments shown in the consolidated accounts from </w:t>
      </w:r>
      <w:r w:rsidRPr="005A3F47">
        <w:rPr>
          <w:i/>
          <w:iCs/>
          <w:noProof/>
        </w:rPr>
        <w:t>Orbis</w:t>
      </w:r>
      <w:r w:rsidRPr="005A3F47">
        <w:rPr>
          <w:noProof/>
        </w:rPr>
        <w:t xml:space="preserve"> used to analyse the effect of this carve-out contain external </w:t>
      </w:r>
      <w:r w:rsidR="00035A3D" w:rsidRPr="005A3F47">
        <w:rPr>
          <w:noProof/>
        </w:rPr>
        <w:t>loans from a third party</w:t>
      </w:r>
      <w:r w:rsidR="00491D23" w:rsidRPr="005A3F47">
        <w:rPr>
          <w:noProof/>
        </w:rPr>
        <w:t>,</w:t>
      </w:r>
      <w:r w:rsidRPr="005A3F47">
        <w:rPr>
          <w:noProof/>
        </w:rPr>
        <w:t xml:space="preserve"> but would not accurately capture any on-lending to other group members. </w:t>
      </w:r>
      <w:r w:rsidR="00FB5C24" w:rsidRPr="005A3F47">
        <w:rPr>
          <w:noProof/>
        </w:rPr>
        <w:t xml:space="preserve">The consolidated account of the group illustrated in Figure 2 will show </w:t>
      </w:r>
      <w:r w:rsidR="0050646F" w:rsidRPr="005A3F47">
        <w:rPr>
          <w:noProof/>
        </w:rPr>
        <w:t xml:space="preserve">the </w:t>
      </w:r>
      <w:r w:rsidR="00AC1C55" w:rsidRPr="005A3F47">
        <w:rPr>
          <w:noProof/>
        </w:rPr>
        <w:t xml:space="preserve">interest payments from a </w:t>
      </w:r>
      <w:r w:rsidR="0050646F" w:rsidRPr="005A3F47">
        <w:rPr>
          <w:noProof/>
        </w:rPr>
        <w:t>third</w:t>
      </w:r>
      <w:r w:rsidR="00C21924" w:rsidRPr="005A3F47">
        <w:rPr>
          <w:noProof/>
        </w:rPr>
        <w:t>-</w:t>
      </w:r>
      <w:r w:rsidR="0050646F" w:rsidRPr="005A3F47">
        <w:rPr>
          <w:noProof/>
        </w:rPr>
        <w:t>party loan</w:t>
      </w:r>
      <w:r w:rsidR="000A1465" w:rsidRPr="005A3F47">
        <w:rPr>
          <w:noProof/>
        </w:rPr>
        <w:t xml:space="preserve">, irrespective of whether this loan is lent </w:t>
      </w:r>
      <w:r w:rsidR="00CC6362" w:rsidRPr="005A3F47">
        <w:rPr>
          <w:noProof/>
        </w:rPr>
        <w:t>on</w:t>
      </w:r>
      <w:r w:rsidR="000A1465" w:rsidRPr="005A3F47">
        <w:rPr>
          <w:noProof/>
        </w:rPr>
        <w:t xml:space="preserve"> into the group </w:t>
      </w:r>
      <w:r w:rsidR="00236F88" w:rsidRPr="005A3F47">
        <w:rPr>
          <w:noProof/>
        </w:rPr>
        <w:t xml:space="preserve">by Entity 2 </w:t>
      </w:r>
      <w:r w:rsidR="000A1465" w:rsidRPr="005A3F47">
        <w:rPr>
          <w:noProof/>
        </w:rPr>
        <w:t>(</w:t>
      </w:r>
      <w:r w:rsidR="002638F1" w:rsidRPr="005A3F47">
        <w:rPr>
          <w:noProof/>
        </w:rPr>
        <w:t>right</w:t>
      </w:r>
      <w:r w:rsidR="0049425C" w:rsidRPr="005A3F47">
        <w:rPr>
          <w:noProof/>
        </w:rPr>
        <w:t xml:space="preserve"> chart</w:t>
      </w:r>
      <w:r w:rsidR="002638F1" w:rsidRPr="005A3F47">
        <w:rPr>
          <w:noProof/>
        </w:rPr>
        <w:t xml:space="preserve">) or </w:t>
      </w:r>
      <w:r w:rsidR="00A06377" w:rsidRPr="005A3F47">
        <w:rPr>
          <w:noProof/>
        </w:rPr>
        <w:t xml:space="preserve">directly channelled to the </w:t>
      </w:r>
      <w:r w:rsidR="008E1BD7" w:rsidRPr="005A3F47">
        <w:rPr>
          <w:noProof/>
        </w:rPr>
        <w:t xml:space="preserve">ultimate </w:t>
      </w:r>
      <w:r w:rsidR="004A0154" w:rsidRPr="005A3F47">
        <w:rPr>
          <w:noProof/>
        </w:rPr>
        <w:t>borrower</w:t>
      </w:r>
      <w:r w:rsidR="007716B1" w:rsidRPr="005A3F47">
        <w:rPr>
          <w:noProof/>
        </w:rPr>
        <w:t>, Entity 1</w:t>
      </w:r>
      <w:r w:rsidR="002638F1" w:rsidRPr="005A3F47">
        <w:rPr>
          <w:noProof/>
        </w:rPr>
        <w:t xml:space="preserve"> (left</w:t>
      </w:r>
      <w:r w:rsidR="0049425C" w:rsidRPr="005A3F47">
        <w:rPr>
          <w:noProof/>
        </w:rPr>
        <w:t xml:space="preserve"> chart</w:t>
      </w:r>
      <w:r w:rsidR="002638F1" w:rsidRPr="005A3F47">
        <w:rPr>
          <w:noProof/>
        </w:rPr>
        <w:t xml:space="preserve">). </w:t>
      </w:r>
    </w:p>
    <w:p w14:paraId="006E8886" w14:textId="0CE89B75" w:rsidR="00946BAA" w:rsidRPr="005A3F47" w:rsidRDefault="00946BAA" w:rsidP="001A1222">
      <w:pPr>
        <w:pStyle w:val="Text2"/>
        <w:ind w:left="0"/>
        <w:rPr>
          <w:i/>
          <w:noProof/>
        </w:rPr>
      </w:pPr>
      <w:r w:rsidRPr="005A3F47">
        <w:rPr>
          <w:i/>
          <w:iCs/>
          <w:noProof/>
        </w:rPr>
        <w:t xml:space="preserve">Figure 2: </w:t>
      </w:r>
      <w:r w:rsidR="002C0C8A" w:rsidRPr="005A3F47">
        <w:rPr>
          <w:i/>
          <w:iCs/>
          <w:noProof/>
        </w:rPr>
        <w:t xml:space="preserve">Direct </w:t>
      </w:r>
      <w:r w:rsidR="00A268D5" w:rsidRPr="005A3F47">
        <w:rPr>
          <w:i/>
          <w:iCs/>
          <w:noProof/>
        </w:rPr>
        <w:t xml:space="preserve">and </w:t>
      </w:r>
      <w:r w:rsidR="00D52748" w:rsidRPr="005A3F47">
        <w:rPr>
          <w:i/>
          <w:iCs/>
          <w:noProof/>
        </w:rPr>
        <w:t xml:space="preserve">on-lent </w:t>
      </w:r>
      <w:r w:rsidR="00EF61F4" w:rsidRPr="005A3F47">
        <w:rPr>
          <w:i/>
          <w:iCs/>
          <w:noProof/>
        </w:rPr>
        <w:t xml:space="preserve">third-party </w:t>
      </w:r>
      <w:r w:rsidR="00D52748" w:rsidRPr="005A3F47">
        <w:rPr>
          <w:i/>
          <w:iCs/>
          <w:noProof/>
        </w:rPr>
        <w:t>loans</w:t>
      </w:r>
      <w:r w:rsidR="0022364D" w:rsidRPr="005A3F47">
        <w:rPr>
          <w:i/>
          <w:iCs/>
          <w:noProof/>
        </w:rPr>
        <w:t xml:space="preserve"> from an MNE perspective</w:t>
      </w:r>
    </w:p>
    <w:p w14:paraId="12EF8640" w14:textId="47E6A9A7" w:rsidR="007E40CC" w:rsidRPr="005A3F47" w:rsidRDefault="00465165" w:rsidP="00DE6B6A">
      <w:pPr>
        <w:pStyle w:val="Text2"/>
        <w:spacing w:after="120"/>
        <w:ind w:left="0"/>
        <w:rPr>
          <w:noProof/>
          <w:sz w:val="20"/>
        </w:rPr>
      </w:pPr>
      <w:r w:rsidRPr="005A3F47">
        <w:rPr>
          <w:rFonts w:eastAsiaTheme="minorHAnsi"/>
          <w:i/>
          <w:noProof/>
          <w:sz w:val="20"/>
        </w:rPr>
        <w:t xml:space="preserve">                    </w:t>
      </w:r>
      <w:r w:rsidR="00B0556D" w:rsidRPr="005A3F47">
        <w:rPr>
          <w:i/>
          <w:iCs/>
          <w:noProof/>
          <w:sz w:val="20"/>
        </w:rPr>
        <w:t xml:space="preserve">    </w:t>
      </w:r>
      <w:r w:rsidR="007E40CC" w:rsidRPr="005A3F47">
        <w:rPr>
          <w:rFonts w:eastAsiaTheme="minorHAnsi"/>
          <w:i/>
          <w:noProof/>
          <w:sz w:val="20"/>
        </w:rPr>
        <w:t xml:space="preserve">Direct </w:t>
      </w:r>
      <w:r w:rsidR="00B0556D" w:rsidRPr="005A3F47">
        <w:rPr>
          <w:rFonts w:eastAsiaTheme="minorHAnsi"/>
          <w:i/>
          <w:noProof/>
          <w:sz w:val="20"/>
        </w:rPr>
        <w:t xml:space="preserve">loan </w:t>
      </w:r>
      <w:r w:rsidR="007E40CC" w:rsidRPr="005A3F47">
        <w:rPr>
          <w:rFonts w:eastAsiaTheme="minorHAnsi"/>
          <w:i/>
          <w:noProof/>
          <w:sz w:val="20"/>
        </w:rPr>
        <w:t>(</w:t>
      </w:r>
      <w:r w:rsidRPr="005A3F47">
        <w:rPr>
          <w:rFonts w:eastAsiaTheme="minorHAnsi"/>
          <w:i/>
          <w:noProof/>
          <w:sz w:val="20"/>
        </w:rPr>
        <w:t>low-risk</w:t>
      </w:r>
      <w:r w:rsidR="007E40CC" w:rsidRPr="005A3F47">
        <w:rPr>
          <w:rFonts w:eastAsiaTheme="minorHAnsi"/>
          <w:i/>
          <w:noProof/>
          <w:sz w:val="20"/>
        </w:rPr>
        <w:t>)</w:t>
      </w:r>
      <w:r w:rsidR="00D57193" w:rsidRPr="005A3F47">
        <w:rPr>
          <w:rFonts w:eastAsiaTheme="minorHAnsi"/>
          <w:i/>
          <w:noProof/>
          <w:sz w:val="20"/>
        </w:rPr>
        <w:tab/>
      </w:r>
      <w:r w:rsidR="00D57193" w:rsidRPr="005A3F47">
        <w:rPr>
          <w:rFonts w:eastAsiaTheme="minorHAnsi"/>
          <w:i/>
          <w:noProof/>
          <w:sz w:val="20"/>
        </w:rPr>
        <w:tab/>
      </w:r>
      <w:r w:rsidR="00D57193" w:rsidRPr="005A3F47">
        <w:rPr>
          <w:rFonts w:eastAsiaTheme="minorHAnsi"/>
          <w:i/>
          <w:noProof/>
          <w:sz w:val="20"/>
        </w:rPr>
        <w:tab/>
      </w:r>
      <w:r w:rsidR="00B0556D" w:rsidRPr="005A3F47">
        <w:rPr>
          <w:rFonts w:eastAsiaTheme="minorHAnsi"/>
          <w:i/>
          <w:noProof/>
          <w:sz w:val="20"/>
        </w:rPr>
        <w:t xml:space="preserve">       </w:t>
      </w:r>
      <w:r w:rsidR="00B0556D" w:rsidRPr="005A3F47">
        <w:rPr>
          <w:i/>
          <w:iCs/>
          <w:noProof/>
          <w:sz w:val="20"/>
        </w:rPr>
        <w:t xml:space="preserve">     </w:t>
      </w:r>
      <w:r w:rsidR="0063053C" w:rsidRPr="005A3F47">
        <w:rPr>
          <w:i/>
          <w:iCs/>
          <w:noProof/>
          <w:sz w:val="20"/>
        </w:rPr>
        <w:t>L</w:t>
      </w:r>
      <w:r w:rsidR="00B0556D" w:rsidRPr="005A3F47">
        <w:rPr>
          <w:rFonts w:eastAsiaTheme="minorHAnsi"/>
          <w:i/>
          <w:noProof/>
          <w:sz w:val="20"/>
        </w:rPr>
        <w:t>oan</w:t>
      </w:r>
      <w:r w:rsidRPr="005A3F47">
        <w:rPr>
          <w:rFonts w:eastAsiaTheme="minorHAnsi"/>
          <w:i/>
          <w:noProof/>
          <w:sz w:val="20"/>
        </w:rPr>
        <w:t xml:space="preserve"> </w:t>
      </w:r>
      <w:r w:rsidR="00D57193" w:rsidRPr="005A3F47">
        <w:rPr>
          <w:i/>
          <w:noProof/>
          <w:sz w:val="20"/>
        </w:rPr>
        <w:t>lent</w:t>
      </w:r>
      <w:r w:rsidRPr="005A3F47">
        <w:rPr>
          <w:i/>
          <w:noProof/>
          <w:sz w:val="20"/>
        </w:rPr>
        <w:t xml:space="preserve"> </w:t>
      </w:r>
      <w:r w:rsidR="0063053C" w:rsidRPr="005A3F47">
        <w:rPr>
          <w:i/>
          <w:iCs/>
          <w:noProof/>
          <w:sz w:val="20"/>
        </w:rPr>
        <w:t>on</w:t>
      </w:r>
      <w:r w:rsidRPr="005A3F47">
        <w:rPr>
          <w:i/>
          <w:noProof/>
          <w:sz w:val="20"/>
        </w:rPr>
        <w:t xml:space="preserve"> </w:t>
      </w:r>
      <w:r w:rsidRPr="005A3F47">
        <w:rPr>
          <w:rFonts w:eastAsiaTheme="minorHAnsi"/>
          <w:i/>
          <w:noProof/>
          <w:sz w:val="20"/>
        </w:rPr>
        <w:t>(‘risky’)</w:t>
      </w:r>
    </w:p>
    <w:p w14:paraId="6F56DF8B" w14:textId="2617A66C" w:rsidR="00B6652E" w:rsidRPr="005A3F47" w:rsidRDefault="00946BAA" w:rsidP="00DE6B6A">
      <w:pPr>
        <w:spacing w:after="0"/>
        <w:rPr>
          <w:noProof/>
        </w:rPr>
      </w:pPr>
      <w:r w:rsidRPr="005A3F47">
        <w:rPr>
          <w:noProof/>
        </w:rPr>
        <w:t xml:space="preserve">   </w:t>
      </w:r>
      <w:r w:rsidR="00B13401" w:rsidRPr="005A3F47">
        <w:rPr>
          <w:noProof/>
        </w:rPr>
        <w:t xml:space="preserve">        </w:t>
      </w:r>
      <w:r w:rsidR="00B13401" w:rsidRPr="005A3F47">
        <w:rPr>
          <w:noProof/>
          <w:lang w:eastAsia="en-GB"/>
        </w:rPr>
        <w:drawing>
          <wp:inline distT="0" distB="0" distL="0" distR="0" wp14:anchorId="326F3DC7" wp14:editId="70A1C698">
            <wp:extent cx="2635015" cy="1562252"/>
            <wp:effectExtent l="0" t="0" r="0" b="0"/>
            <wp:docPr id="1899416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69596" cy="1582755"/>
                    </a:xfrm>
                    <a:prstGeom prst="rect">
                      <a:avLst/>
                    </a:prstGeom>
                    <a:noFill/>
                    <a:ln>
                      <a:noFill/>
                    </a:ln>
                  </pic:spPr>
                </pic:pic>
              </a:graphicData>
            </a:graphic>
          </wp:inline>
        </w:drawing>
      </w:r>
      <w:r w:rsidR="001A1222" w:rsidRPr="005A3F47">
        <w:rPr>
          <w:noProof/>
        </w:rPr>
        <w:t xml:space="preserve">    </w:t>
      </w:r>
      <w:r w:rsidR="008D237A" w:rsidRPr="005A3F47">
        <w:rPr>
          <w:noProof/>
          <w:lang w:eastAsia="en-GB"/>
        </w:rPr>
        <w:drawing>
          <wp:inline distT="0" distB="0" distL="0" distR="0" wp14:anchorId="2D43EB4C" wp14:editId="5A9F9741">
            <wp:extent cx="2653200" cy="1573200"/>
            <wp:effectExtent l="0" t="0" r="0" b="0"/>
            <wp:docPr id="21132323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53200" cy="1573200"/>
                    </a:xfrm>
                    <a:prstGeom prst="rect">
                      <a:avLst/>
                    </a:prstGeom>
                    <a:noFill/>
                    <a:ln>
                      <a:noFill/>
                    </a:ln>
                  </pic:spPr>
                </pic:pic>
              </a:graphicData>
            </a:graphic>
          </wp:inline>
        </w:drawing>
      </w:r>
    </w:p>
    <w:p w14:paraId="5D17D05C" w14:textId="5CFFE1F9" w:rsidR="00F779EA" w:rsidRPr="005A3F47" w:rsidRDefault="00F779EA" w:rsidP="00F964A5">
      <w:pPr>
        <w:rPr>
          <w:i/>
          <w:iCs/>
          <w:noProof/>
          <w:sz w:val="20"/>
          <w:szCs w:val="20"/>
        </w:rPr>
      </w:pPr>
      <w:r w:rsidRPr="005A3F47">
        <w:rPr>
          <w:i/>
          <w:iCs/>
          <w:noProof/>
          <w:sz w:val="20"/>
          <w:szCs w:val="20"/>
        </w:rPr>
        <w:t>Taxud illustration</w:t>
      </w:r>
    </w:p>
    <w:p w14:paraId="1EC65550" w14:textId="6FB49605" w:rsidR="007176A8" w:rsidRPr="005A3F47" w:rsidRDefault="00263382" w:rsidP="00F964A5">
      <w:pPr>
        <w:rPr>
          <w:noProof/>
        </w:rPr>
      </w:pPr>
      <w:r w:rsidRPr="005A3F47">
        <w:rPr>
          <w:noProof/>
        </w:rPr>
        <w:t xml:space="preserve">Only the </w:t>
      </w:r>
      <w:r w:rsidR="00B14792" w:rsidRPr="005A3F47">
        <w:rPr>
          <w:noProof/>
        </w:rPr>
        <w:t xml:space="preserve">(‘risky’) </w:t>
      </w:r>
      <w:r w:rsidRPr="005A3F47">
        <w:rPr>
          <w:noProof/>
        </w:rPr>
        <w:t xml:space="preserve">on-lending scenario is problematic and would therefore be excluded in the future. </w:t>
      </w:r>
      <w:r w:rsidR="00DA2746" w:rsidRPr="005A3F47">
        <w:rPr>
          <w:noProof/>
        </w:rPr>
        <w:t xml:space="preserve">The carve-out would affect only </w:t>
      </w:r>
      <w:r w:rsidR="00591AFC" w:rsidRPr="005A3F47">
        <w:rPr>
          <w:noProof/>
        </w:rPr>
        <w:t xml:space="preserve">low-risk loans. </w:t>
      </w:r>
      <w:r w:rsidR="00CD4B57" w:rsidRPr="005A3F47">
        <w:rPr>
          <w:noProof/>
        </w:rPr>
        <w:t xml:space="preserve">In the absence of accurate statistics about the </w:t>
      </w:r>
      <w:r w:rsidR="00DB755A" w:rsidRPr="005A3F47">
        <w:rPr>
          <w:noProof/>
        </w:rPr>
        <w:t xml:space="preserve">exact </w:t>
      </w:r>
      <w:r w:rsidR="00CD4B57" w:rsidRPr="005A3F47">
        <w:rPr>
          <w:noProof/>
        </w:rPr>
        <w:t xml:space="preserve">extent of on-lending relative to the entire stock of third-party loans, </w:t>
      </w:r>
      <w:r w:rsidR="00D651AD" w:rsidRPr="005A3F47">
        <w:rPr>
          <w:noProof/>
        </w:rPr>
        <w:t>the</w:t>
      </w:r>
      <w:r w:rsidR="003138BA" w:rsidRPr="005A3F47">
        <w:rPr>
          <w:noProof/>
        </w:rPr>
        <w:t xml:space="preserve"> analysis </w:t>
      </w:r>
      <w:r w:rsidR="00D651AD" w:rsidRPr="005A3F47">
        <w:rPr>
          <w:noProof/>
        </w:rPr>
        <w:t>assumes</w:t>
      </w:r>
      <w:r w:rsidR="00CD4B57" w:rsidRPr="005A3F47">
        <w:rPr>
          <w:noProof/>
        </w:rPr>
        <w:t xml:space="preserve"> </w:t>
      </w:r>
      <w:r w:rsidR="009A6ECA" w:rsidRPr="005A3F47">
        <w:rPr>
          <w:noProof/>
        </w:rPr>
        <w:t xml:space="preserve">an on-lending probability of 50% (i.e., </w:t>
      </w:r>
      <w:r w:rsidR="00076A24" w:rsidRPr="005A3F47">
        <w:rPr>
          <w:noProof/>
        </w:rPr>
        <w:t xml:space="preserve">a </w:t>
      </w:r>
      <w:r w:rsidR="009A6ECA" w:rsidRPr="005A3F47">
        <w:rPr>
          <w:noProof/>
        </w:rPr>
        <w:t xml:space="preserve">50% </w:t>
      </w:r>
      <w:r w:rsidR="00076A24" w:rsidRPr="005A3F47">
        <w:rPr>
          <w:noProof/>
        </w:rPr>
        <w:t xml:space="preserve">share of </w:t>
      </w:r>
      <w:r w:rsidR="009A6ECA" w:rsidRPr="005A3F47">
        <w:rPr>
          <w:noProof/>
        </w:rPr>
        <w:t>‘risky’ loans on average).</w:t>
      </w:r>
    </w:p>
    <w:p w14:paraId="215EDD5E" w14:textId="20450644" w:rsidR="00DD400B" w:rsidRPr="005A3F47" w:rsidRDefault="000766AD" w:rsidP="002F7B1C">
      <w:pPr>
        <w:rPr>
          <w:noProof/>
        </w:rPr>
      </w:pPr>
      <w:r w:rsidRPr="005A3F47">
        <w:rPr>
          <w:noProof/>
        </w:rPr>
        <w:t xml:space="preserve">The main motivation for MNEs to on-lend loans into the group </w:t>
      </w:r>
      <w:r w:rsidR="00587DF5" w:rsidRPr="005A3F47">
        <w:rPr>
          <w:noProof/>
        </w:rPr>
        <w:t>may be</w:t>
      </w:r>
      <w:r w:rsidRPr="005A3F47">
        <w:rPr>
          <w:noProof/>
        </w:rPr>
        <w:t xml:space="preserve"> to avoid taxes. In that case it is fair to assume that loans so far lent on </w:t>
      </w:r>
      <w:r w:rsidR="000947BF" w:rsidRPr="005A3F47">
        <w:rPr>
          <w:noProof/>
        </w:rPr>
        <w:t>via</w:t>
      </w:r>
      <w:r w:rsidR="00360138" w:rsidRPr="005A3F47">
        <w:rPr>
          <w:noProof/>
        </w:rPr>
        <w:t xml:space="preserve"> Entity 2</w:t>
      </w:r>
      <w:r w:rsidRPr="005A3F47">
        <w:rPr>
          <w:noProof/>
        </w:rPr>
        <w:t xml:space="preserve"> will</w:t>
      </w:r>
      <w:r w:rsidR="0087142F" w:rsidRPr="005A3F47">
        <w:rPr>
          <w:noProof/>
        </w:rPr>
        <w:t xml:space="preserve">, after </w:t>
      </w:r>
      <w:r w:rsidR="000F399B" w:rsidRPr="005A3F47">
        <w:rPr>
          <w:noProof/>
        </w:rPr>
        <w:t xml:space="preserve">the </w:t>
      </w:r>
      <w:r w:rsidR="0035020E" w:rsidRPr="005A3F47">
        <w:rPr>
          <w:noProof/>
        </w:rPr>
        <w:t>exclusion</w:t>
      </w:r>
      <w:r w:rsidR="0087142F" w:rsidRPr="005A3F47">
        <w:rPr>
          <w:noProof/>
        </w:rPr>
        <w:t xml:space="preserve"> </w:t>
      </w:r>
      <w:r w:rsidR="000F399B" w:rsidRPr="005A3F47">
        <w:rPr>
          <w:noProof/>
        </w:rPr>
        <w:t xml:space="preserve">of </w:t>
      </w:r>
      <w:r w:rsidR="0087142F" w:rsidRPr="005A3F47">
        <w:rPr>
          <w:noProof/>
        </w:rPr>
        <w:t>on-lending,</w:t>
      </w:r>
      <w:r w:rsidRPr="005A3F47">
        <w:rPr>
          <w:noProof/>
        </w:rPr>
        <w:t xml:space="preserve"> not be taken any longer in the future</w:t>
      </w:r>
      <w:r w:rsidR="00F41BAA" w:rsidRPr="005A3F47">
        <w:rPr>
          <w:noProof/>
        </w:rPr>
        <w:t xml:space="preserve"> as the group would not be able to avoid taxes via on-lending any </w:t>
      </w:r>
      <w:r w:rsidR="004801A4" w:rsidRPr="005A3F47">
        <w:rPr>
          <w:noProof/>
        </w:rPr>
        <w:t>more</w:t>
      </w:r>
      <w:r w:rsidRPr="005A3F47">
        <w:rPr>
          <w:noProof/>
        </w:rPr>
        <w:t xml:space="preserve">. The other 50% of (low-risk) loans will be carved out through the initiative. </w:t>
      </w:r>
      <w:r w:rsidR="00CD4B57" w:rsidRPr="005A3F47">
        <w:rPr>
          <w:noProof/>
        </w:rPr>
        <w:t xml:space="preserve">We </w:t>
      </w:r>
      <w:r w:rsidR="00427926" w:rsidRPr="005A3F47">
        <w:rPr>
          <w:noProof/>
        </w:rPr>
        <w:t>thus</w:t>
      </w:r>
      <w:r w:rsidR="00CD4B57" w:rsidRPr="005A3F47">
        <w:rPr>
          <w:noProof/>
        </w:rPr>
        <w:t xml:space="preserve"> assume that the share of </w:t>
      </w:r>
      <w:r w:rsidR="003A1DB9" w:rsidRPr="005A3F47">
        <w:rPr>
          <w:noProof/>
        </w:rPr>
        <w:t>groups</w:t>
      </w:r>
      <w:r w:rsidR="00CD4B57" w:rsidRPr="005A3F47">
        <w:rPr>
          <w:noProof/>
        </w:rPr>
        <w:t xml:space="preserve"> which </w:t>
      </w:r>
      <w:r w:rsidR="00402F4C" w:rsidRPr="005A3F47">
        <w:rPr>
          <w:noProof/>
        </w:rPr>
        <w:t>see limitations in their interest deduction</w:t>
      </w:r>
      <w:r w:rsidR="00CD4B57" w:rsidRPr="005A3F47">
        <w:rPr>
          <w:noProof/>
        </w:rPr>
        <w:t xml:space="preserve"> due to the ILR</w:t>
      </w:r>
      <w:r w:rsidR="009A6ECA" w:rsidRPr="005A3F47">
        <w:rPr>
          <w:noProof/>
        </w:rPr>
        <w:t xml:space="preserve"> – today 17% </w:t>
      </w:r>
      <w:r w:rsidR="009F0FDA" w:rsidRPr="005A3F47">
        <w:rPr>
          <w:noProof/>
        </w:rPr>
        <w:t xml:space="preserve">– </w:t>
      </w:r>
      <w:r w:rsidR="00CD4B57" w:rsidRPr="005A3F47">
        <w:rPr>
          <w:noProof/>
        </w:rPr>
        <w:t xml:space="preserve">will be </w:t>
      </w:r>
      <w:r w:rsidR="009426F9" w:rsidRPr="005A3F47">
        <w:rPr>
          <w:noProof/>
        </w:rPr>
        <w:t>half that share</w:t>
      </w:r>
      <w:r w:rsidR="0073589D" w:rsidRPr="005A3F47">
        <w:rPr>
          <w:noProof/>
        </w:rPr>
        <w:t xml:space="preserve"> (</w:t>
      </w:r>
      <w:r w:rsidR="009426F9" w:rsidRPr="005A3F47">
        <w:rPr>
          <w:noProof/>
        </w:rPr>
        <w:t>8.5%</w:t>
      </w:r>
      <w:r w:rsidR="0073589D" w:rsidRPr="005A3F47">
        <w:rPr>
          <w:noProof/>
        </w:rPr>
        <w:t>)</w:t>
      </w:r>
      <w:r w:rsidR="009426F9" w:rsidRPr="005A3F47">
        <w:rPr>
          <w:noProof/>
        </w:rPr>
        <w:t xml:space="preserve"> </w:t>
      </w:r>
      <w:r w:rsidR="00CD4B57" w:rsidRPr="005A3F47">
        <w:rPr>
          <w:noProof/>
        </w:rPr>
        <w:t>in the future</w:t>
      </w:r>
      <w:r w:rsidR="00A82507" w:rsidRPr="005A3F47">
        <w:rPr>
          <w:noProof/>
        </w:rPr>
        <w:t xml:space="preserve"> due to the carve-out of low-risk loans</w:t>
      </w:r>
      <w:r w:rsidR="00CD4B57" w:rsidRPr="005A3F47">
        <w:rPr>
          <w:noProof/>
        </w:rPr>
        <w:t xml:space="preserve">. </w:t>
      </w:r>
      <w:r w:rsidR="00A87C60" w:rsidRPr="005A3F47">
        <w:rPr>
          <w:noProof/>
        </w:rPr>
        <w:t xml:space="preserve">This information will be used to calculate compliance cost savings in </w:t>
      </w:r>
      <w:r w:rsidR="00784E34" w:rsidRPr="005A3F47">
        <w:rPr>
          <w:noProof/>
        </w:rPr>
        <w:t>Section</w:t>
      </w:r>
      <w:r w:rsidR="00A87C60" w:rsidRPr="005A3F47">
        <w:rPr>
          <w:noProof/>
        </w:rPr>
        <w:t xml:space="preserve"> 6</w:t>
      </w:r>
      <w:r w:rsidR="00784E34" w:rsidRPr="005A3F47">
        <w:rPr>
          <w:noProof/>
        </w:rPr>
        <w:t>.2.4.</w:t>
      </w:r>
      <w:r w:rsidR="003E336F" w:rsidRPr="005A3F47">
        <w:rPr>
          <w:noProof/>
        </w:rPr>
        <w:t>4</w:t>
      </w:r>
      <w:r w:rsidR="00A87C60" w:rsidRPr="005A3F47">
        <w:rPr>
          <w:noProof/>
        </w:rPr>
        <w:t xml:space="preserve">. </w:t>
      </w:r>
    </w:p>
    <w:p w14:paraId="4B4624A4" w14:textId="551022DB" w:rsidR="00D56F63" w:rsidRPr="005A3F47" w:rsidRDefault="00D56F63" w:rsidP="00F964A5">
      <w:pPr>
        <w:rPr>
          <w:b/>
          <w:bCs/>
          <w:noProof/>
        </w:rPr>
      </w:pPr>
      <w:r w:rsidRPr="005A3F47">
        <w:rPr>
          <w:b/>
          <w:bCs/>
          <w:noProof/>
        </w:rPr>
        <w:t>Impact on public finances</w:t>
      </w:r>
    </w:p>
    <w:p w14:paraId="61F075AC" w14:textId="130E32B3" w:rsidR="00EF39AE" w:rsidRPr="005A3F47" w:rsidRDefault="00D56F63" w:rsidP="00F964A5">
      <w:pPr>
        <w:rPr>
          <w:noProof/>
        </w:rPr>
      </w:pPr>
      <w:r w:rsidRPr="005A3F47">
        <w:rPr>
          <w:noProof/>
        </w:rPr>
        <w:t>We</w:t>
      </w:r>
      <w:r w:rsidR="00350534" w:rsidRPr="005A3F47">
        <w:rPr>
          <w:noProof/>
        </w:rPr>
        <w:t xml:space="preserve"> </w:t>
      </w:r>
      <w:r w:rsidR="001E5BA1" w:rsidRPr="005A3F47">
        <w:rPr>
          <w:noProof/>
        </w:rPr>
        <w:t>appl</w:t>
      </w:r>
      <w:r w:rsidRPr="005A3F47">
        <w:rPr>
          <w:noProof/>
        </w:rPr>
        <w:t>y</w:t>
      </w:r>
      <w:r w:rsidR="001E5BA1" w:rsidRPr="005A3F47">
        <w:rPr>
          <w:noProof/>
        </w:rPr>
        <w:t xml:space="preserve"> the assumption of a</w:t>
      </w:r>
      <w:r w:rsidR="006619CE" w:rsidRPr="005A3F47">
        <w:rPr>
          <w:noProof/>
        </w:rPr>
        <w:t xml:space="preserve"> 50% </w:t>
      </w:r>
      <w:r w:rsidR="001E5BA1" w:rsidRPr="005A3F47">
        <w:rPr>
          <w:noProof/>
        </w:rPr>
        <w:t xml:space="preserve">on-lending probability for third party loans. </w:t>
      </w:r>
      <w:r w:rsidR="001F1D01" w:rsidRPr="005A3F47">
        <w:rPr>
          <w:noProof/>
        </w:rPr>
        <w:t xml:space="preserve">50% of loans </w:t>
      </w:r>
      <w:r w:rsidR="00DA4A08" w:rsidRPr="005A3F47">
        <w:rPr>
          <w:noProof/>
        </w:rPr>
        <w:t xml:space="preserve">taken by </w:t>
      </w:r>
      <w:r w:rsidR="001F1D01" w:rsidRPr="005A3F47">
        <w:rPr>
          <w:noProof/>
        </w:rPr>
        <w:t>MNE</w:t>
      </w:r>
      <w:r w:rsidR="00DA4A08" w:rsidRPr="005A3F47">
        <w:rPr>
          <w:noProof/>
        </w:rPr>
        <w:t>s</w:t>
      </w:r>
      <w:r w:rsidR="001F1D01" w:rsidRPr="005A3F47">
        <w:rPr>
          <w:noProof/>
        </w:rPr>
        <w:t xml:space="preserve"> </w:t>
      </w:r>
      <w:r w:rsidR="00DA4A08" w:rsidRPr="005A3F47">
        <w:rPr>
          <w:noProof/>
        </w:rPr>
        <w:t xml:space="preserve">today </w:t>
      </w:r>
      <w:r w:rsidR="001F1D01" w:rsidRPr="005A3F47">
        <w:rPr>
          <w:noProof/>
        </w:rPr>
        <w:t>could therefore be classified as ‘risky’</w:t>
      </w:r>
      <w:r w:rsidR="00DA4A08" w:rsidRPr="005A3F47">
        <w:rPr>
          <w:noProof/>
        </w:rPr>
        <w:t xml:space="preserve"> as they may be used for tax avoidance purposes through on-lending into the group. </w:t>
      </w:r>
      <w:r w:rsidR="00350534" w:rsidRPr="005A3F47">
        <w:rPr>
          <w:noProof/>
        </w:rPr>
        <w:t xml:space="preserve">It was </w:t>
      </w:r>
      <w:r w:rsidR="001E5BA1" w:rsidRPr="005A3F47">
        <w:rPr>
          <w:noProof/>
        </w:rPr>
        <w:t>further assumed that</w:t>
      </w:r>
      <w:r w:rsidR="0061193F" w:rsidRPr="005A3F47">
        <w:rPr>
          <w:noProof/>
        </w:rPr>
        <w:t xml:space="preserve">, due to the exclusion of on-lending in the future, firms would not have an incentive to lend </w:t>
      </w:r>
      <w:r w:rsidR="00C55C11" w:rsidRPr="005A3F47">
        <w:rPr>
          <w:noProof/>
        </w:rPr>
        <w:t xml:space="preserve">these ‘risky’ loans </w:t>
      </w:r>
      <w:r w:rsidR="0061193F" w:rsidRPr="005A3F47">
        <w:rPr>
          <w:noProof/>
        </w:rPr>
        <w:t>from third parties</w:t>
      </w:r>
      <w:r w:rsidR="00997A41" w:rsidRPr="005A3F47">
        <w:rPr>
          <w:noProof/>
        </w:rPr>
        <w:t xml:space="preserve"> and would thus not take the corresponding loans any</w:t>
      </w:r>
      <w:r w:rsidR="00B819A4" w:rsidRPr="005A3F47">
        <w:rPr>
          <w:noProof/>
        </w:rPr>
        <w:t>more</w:t>
      </w:r>
      <w:r w:rsidR="00997A41" w:rsidRPr="005A3F47">
        <w:rPr>
          <w:noProof/>
        </w:rPr>
        <w:t>.</w:t>
      </w:r>
    </w:p>
    <w:p w14:paraId="00AFD4B6" w14:textId="649E751F" w:rsidR="00997A41" w:rsidRPr="005A3F47" w:rsidRDefault="009956DD" w:rsidP="00F964A5">
      <w:pPr>
        <w:rPr>
          <w:noProof/>
        </w:rPr>
      </w:pPr>
      <w:r w:rsidRPr="005A3F47">
        <w:rPr>
          <w:noProof/>
        </w:rPr>
        <w:t xml:space="preserve">Under these assumptions </w:t>
      </w:r>
      <w:r w:rsidR="00806356" w:rsidRPr="005A3F47">
        <w:rPr>
          <w:noProof/>
        </w:rPr>
        <w:t>the</w:t>
      </w:r>
      <w:r w:rsidRPr="005A3F47">
        <w:rPr>
          <w:noProof/>
        </w:rPr>
        <w:t xml:space="preserve"> budgetary effect could be neutral</w:t>
      </w:r>
      <w:r w:rsidR="003A7FB9" w:rsidRPr="005A3F47">
        <w:rPr>
          <w:noProof/>
        </w:rPr>
        <w:t>:</w:t>
      </w:r>
      <w:r w:rsidR="006E42E6" w:rsidRPr="005A3F47">
        <w:rPr>
          <w:noProof/>
        </w:rPr>
        <w:t xml:space="preserve"> </w:t>
      </w:r>
      <w:r w:rsidR="0072774B" w:rsidRPr="005A3F47">
        <w:rPr>
          <w:noProof/>
        </w:rPr>
        <w:t xml:space="preserve">interest expenses stemming from </w:t>
      </w:r>
      <w:r w:rsidR="006E42E6" w:rsidRPr="005A3F47">
        <w:rPr>
          <w:noProof/>
        </w:rPr>
        <w:t xml:space="preserve">half of MNEs’ </w:t>
      </w:r>
      <w:r w:rsidR="0072774B" w:rsidRPr="005A3F47">
        <w:rPr>
          <w:noProof/>
        </w:rPr>
        <w:t xml:space="preserve">third-party </w:t>
      </w:r>
      <w:r w:rsidR="006E42E6" w:rsidRPr="005A3F47">
        <w:rPr>
          <w:noProof/>
        </w:rPr>
        <w:t xml:space="preserve">loans would no longer be </w:t>
      </w:r>
      <w:r w:rsidR="00C71488" w:rsidRPr="005A3F47">
        <w:rPr>
          <w:noProof/>
        </w:rPr>
        <w:t>deducted from the tax base</w:t>
      </w:r>
      <w:r w:rsidR="0072774B" w:rsidRPr="005A3F47">
        <w:rPr>
          <w:noProof/>
        </w:rPr>
        <w:t>, and no longer</w:t>
      </w:r>
      <w:r w:rsidR="00DF085D" w:rsidRPr="005A3F47">
        <w:rPr>
          <w:noProof/>
        </w:rPr>
        <w:t xml:space="preserve"> </w:t>
      </w:r>
      <w:r w:rsidR="006E42E6" w:rsidRPr="005A3F47">
        <w:rPr>
          <w:noProof/>
        </w:rPr>
        <w:t>used for tax avoidance</w:t>
      </w:r>
      <w:r w:rsidR="003A7FB9" w:rsidRPr="005A3F47">
        <w:rPr>
          <w:noProof/>
        </w:rPr>
        <w:t>, generating additional tax revenue</w:t>
      </w:r>
      <w:r w:rsidR="006E42E6" w:rsidRPr="005A3F47">
        <w:rPr>
          <w:noProof/>
        </w:rPr>
        <w:t xml:space="preserve">. </w:t>
      </w:r>
      <w:r w:rsidR="000B3D74" w:rsidRPr="005A3F47">
        <w:rPr>
          <w:noProof/>
        </w:rPr>
        <w:t>The other</w:t>
      </w:r>
      <w:r w:rsidR="00407A07" w:rsidRPr="005A3F47">
        <w:rPr>
          <w:noProof/>
        </w:rPr>
        <w:t xml:space="preserve"> (low risk)</w:t>
      </w:r>
      <w:r w:rsidR="000B3D74" w:rsidRPr="005A3F47">
        <w:rPr>
          <w:noProof/>
        </w:rPr>
        <w:t xml:space="preserve"> half, however, will be carved out from ILR and will therefore </w:t>
      </w:r>
      <w:r w:rsidR="007A6D62" w:rsidRPr="005A3F47">
        <w:rPr>
          <w:noProof/>
        </w:rPr>
        <w:t xml:space="preserve">become immediately deductible from the tax base. </w:t>
      </w:r>
    </w:p>
    <w:p w14:paraId="5C1A3F82" w14:textId="22BBC842" w:rsidR="000D1B0E" w:rsidRPr="005A3F47" w:rsidRDefault="000D1B0E" w:rsidP="00F964A5">
      <w:pPr>
        <w:rPr>
          <w:noProof/>
        </w:rPr>
      </w:pPr>
    </w:p>
    <w:p w14:paraId="15A5D31D" w14:textId="1CDFA843" w:rsidR="62FE738E" w:rsidRPr="005A3F47" w:rsidRDefault="0014386A" w:rsidP="0014386A">
      <w:pPr>
        <w:pStyle w:val="Heading2"/>
        <w:rPr>
          <w:rStyle w:val="SubtleEmphasis"/>
          <w:b w:val="0"/>
          <w:i w:val="0"/>
          <w:smallCaps/>
          <w:noProof/>
        </w:rPr>
      </w:pPr>
      <w:r w:rsidRPr="005A3F47">
        <w:rPr>
          <w:rStyle w:val="SubtleEmphasis"/>
          <w:i w:val="0"/>
          <w:noProof/>
        </w:rPr>
        <w:t xml:space="preserve">5. </w:t>
      </w:r>
      <w:r w:rsidR="00D770C7" w:rsidRPr="005A3F47">
        <w:rPr>
          <w:rStyle w:val="SubtleEmphasis"/>
          <w:i w:val="0"/>
          <w:noProof/>
        </w:rPr>
        <w:t>Simulating the long-</w:t>
      </w:r>
      <w:r w:rsidR="008723C5" w:rsidRPr="005A3F47">
        <w:rPr>
          <w:rStyle w:val="SubtleEmphasis"/>
          <w:i w:val="0"/>
          <w:noProof/>
        </w:rPr>
        <w:t>term</w:t>
      </w:r>
      <w:r w:rsidR="00D770C7" w:rsidRPr="005A3F47">
        <w:rPr>
          <w:rStyle w:val="SubtleEmphasis"/>
          <w:i w:val="0"/>
          <w:noProof/>
        </w:rPr>
        <w:t xml:space="preserve"> </w:t>
      </w:r>
      <w:r w:rsidR="009D398E" w:rsidRPr="005A3F47">
        <w:rPr>
          <w:rStyle w:val="SubtleEmphasis"/>
          <w:i w:val="0"/>
          <w:noProof/>
        </w:rPr>
        <w:t>economic impact</w:t>
      </w:r>
      <w:r w:rsidR="00671FC6" w:rsidRPr="005A3F47">
        <w:rPr>
          <w:rStyle w:val="SubtleEmphasis"/>
          <w:i w:val="0"/>
          <w:noProof/>
        </w:rPr>
        <w:t>s</w:t>
      </w:r>
      <w:r w:rsidR="009D398E" w:rsidRPr="005A3F47">
        <w:rPr>
          <w:rStyle w:val="SubtleEmphasis"/>
          <w:i w:val="0"/>
          <w:noProof/>
        </w:rPr>
        <w:t xml:space="preserve"> </w:t>
      </w:r>
      <w:r w:rsidR="008723C5" w:rsidRPr="005A3F47">
        <w:rPr>
          <w:rStyle w:val="SubtleEmphasis"/>
          <w:i w:val="0"/>
          <w:noProof/>
        </w:rPr>
        <w:t>of the measures</w:t>
      </w:r>
      <w:r w:rsidR="006A2501" w:rsidRPr="005A3F47">
        <w:rPr>
          <w:rStyle w:val="SubtleEmphasis"/>
          <w:i w:val="0"/>
          <w:noProof/>
        </w:rPr>
        <w:t xml:space="preserve"> with CORTAX</w:t>
      </w:r>
    </w:p>
    <w:p w14:paraId="671408DF" w14:textId="34BC73F3" w:rsidR="0037366E" w:rsidRPr="005A3F47" w:rsidRDefault="000127C4">
      <w:pPr>
        <w:pStyle w:val="LegalNumPar2"/>
        <w:numPr>
          <w:ilvl w:val="0"/>
          <w:numId w:val="0"/>
        </w:numPr>
        <w:ind w:left="953"/>
        <w:rPr>
          <w:rFonts w:eastAsia="Times New Roman"/>
          <w:i/>
          <w:noProof/>
          <w:szCs w:val="20"/>
        </w:rPr>
      </w:pPr>
      <w:r w:rsidRPr="001A2331">
        <w:rPr>
          <w:i/>
          <w:noProof/>
        </w:rPr>
        <w:t xml:space="preserve">5.1 </w:t>
      </w:r>
      <w:r w:rsidR="0037366E" w:rsidRPr="001A2331">
        <w:rPr>
          <w:rFonts w:eastAsia="Times New Roman"/>
          <w:i/>
          <w:noProof/>
          <w:szCs w:val="20"/>
        </w:rPr>
        <w:t xml:space="preserve">Modelling tax exemption for </w:t>
      </w:r>
      <w:r w:rsidR="0037366E" w:rsidRPr="005A3F47">
        <w:rPr>
          <w:rStyle w:val="SubtleEmphasis"/>
          <w:bCs/>
          <w:noProof/>
        </w:rPr>
        <w:t>interest, royalt</w:t>
      </w:r>
      <w:r w:rsidR="00B56A29" w:rsidRPr="005A3F47">
        <w:rPr>
          <w:rStyle w:val="SubtleEmphasis"/>
          <w:bCs/>
          <w:noProof/>
        </w:rPr>
        <w:t>y</w:t>
      </w:r>
      <w:r w:rsidR="0037366E" w:rsidRPr="005A3F47">
        <w:rPr>
          <w:rStyle w:val="SubtleEmphasis"/>
          <w:bCs/>
          <w:noProof/>
        </w:rPr>
        <w:t xml:space="preserve"> and dividend</w:t>
      </w:r>
      <w:r w:rsidR="00DD7930" w:rsidRPr="005A3F47">
        <w:rPr>
          <w:rStyle w:val="SubtleEmphasis"/>
          <w:b/>
          <w:noProof/>
        </w:rPr>
        <w:t xml:space="preserve"> </w:t>
      </w:r>
      <w:r w:rsidR="0037366E">
        <w:rPr>
          <w:rFonts w:eastAsia="Times New Roman"/>
          <w:i/>
          <w:noProof/>
          <w:szCs w:val="20"/>
        </w:rPr>
        <w:t xml:space="preserve">payments </w:t>
      </w:r>
      <w:r w:rsidR="00181FD3">
        <w:rPr>
          <w:rFonts w:eastAsia="Times New Roman"/>
          <w:i/>
          <w:noProof/>
          <w:szCs w:val="20"/>
        </w:rPr>
        <w:t>and</w:t>
      </w:r>
      <w:r w:rsidR="00155238">
        <w:rPr>
          <w:rFonts w:eastAsia="Times New Roman"/>
          <w:i/>
          <w:noProof/>
          <w:szCs w:val="20"/>
        </w:rPr>
        <w:t xml:space="preserve"> lowering of compliance costs</w:t>
      </w:r>
    </w:p>
    <w:p w14:paraId="7CDE58B5" w14:textId="3351C5D0" w:rsidR="00DD7930" w:rsidRPr="005A3F47" w:rsidRDefault="00910CF4" w:rsidP="00910CF4">
      <w:pPr>
        <w:spacing w:before="100" w:beforeAutospacing="1" w:after="100" w:afterAutospacing="1"/>
        <w:rPr>
          <w:rFonts w:eastAsia="Times New Roman"/>
          <w:noProof/>
        </w:rPr>
      </w:pPr>
      <w:r w:rsidRPr="005A3F47">
        <w:rPr>
          <w:rFonts w:eastAsia="Times New Roman"/>
          <w:noProof/>
        </w:rPr>
        <w:t>The</w:t>
      </w:r>
      <w:r w:rsidRPr="005A3F47" w:rsidDel="00DD7930">
        <w:rPr>
          <w:rFonts w:eastAsia="Times New Roman"/>
          <w:noProof/>
        </w:rPr>
        <w:t xml:space="preserve"> </w:t>
      </w:r>
      <w:r w:rsidR="00DD7930" w:rsidRPr="005A3F47">
        <w:rPr>
          <w:rFonts w:eastAsia="Times New Roman"/>
          <w:noProof/>
        </w:rPr>
        <w:t>tax exemption</w:t>
      </w:r>
      <w:r w:rsidRPr="005A3F47">
        <w:rPr>
          <w:rFonts w:eastAsia="Times New Roman"/>
          <w:noProof/>
        </w:rPr>
        <w:t xml:space="preserve"> is approximated by translating the estimated foregone tax revenue from intra-EU withholding taxes into an equivalent reduction in the tax rates that exist in the model. Since the model does not explicitly include withholding taxes on cross-border payments between </w:t>
      </w:r>
      <w:r w:rsidR="00625AE0" w:rsidRPr="005A3F47">
        <w:rPr>
          <w:rFonts w:eastAsia="Times New Roman"/>
          <w:noProof/>
        </w:rPr>
        <w:t>companies</w:t>
      </w:r>
      <w:r w:rsidRPr="005A3F47">
        <w:rPr>
          <w:rFonts w:eastAsia="Times New Roman"/>
          <w:noProof/>
        </w:rPr>
        <w:t>, the policy reform is approximated by lowering the tax rates applied to interest and dividend income.</w:t>
      </w:r>
    </w:p>
    <w:p w14:paraId="3DCB41D5" w14:textId="3E3D2EEF" w:rsidR="00910CF4" w:rsidRPr="005A3F47" w:rsidRDefault="00910CF4" w:rsidP="00910CF4">
      <w:pPr>
        <w:spacing w:before="100" w:beforeAutospacing="1" w:after="100" w:afterAutospacing="1"/>
        <w:rPr>
          <w:rFonts w:eastAsia="Times New Roman"/>
          <w:noProof/>
        </w:rPr>
      </w:pPr>
      <w:r w:rsidRPr="005A3F47">
        <w:rPr>
          <w:rFonts w:eastAsia="Times New Roman"/>
          <w:noProof/>
        </w:rPr>
        <w:t xml:space="preserve">To do this, </w:t>
      </w:r>
      <w:r w:rsidR="00791E39" w:rsidRPr="005A3F47">
        <w:rPr>
          <w:rFonts w:eastAsia="Times New Roman"/>
          <w:noProof/>
        </w:rPr>
        <w:t xml:space="preserve">first </w:t>
      </w:r>
      <w:r w:rsidRPr="005A3F47">
        <w:rPr>
          <w:rFonts w:eastAsia="Times New Roman"/>
          <w:noProof/>
        </w:rPr>
        <w:t>the amount of tax revenue currently associated with interest and dividend flows received by corporations is approximated. National accounts data on these income flows are used, and it is assumed that most inter-corporate dividends are already exempt, so only a small share of dividends remains taxable</w:t>
      </w:r>
      <w:r w:rsidR="00A8479D" w:rsidRPr="005A3F47">
        <w:rPr>
          <w:rFonts w:eastAsia="Times New Roman"/>
          <w:noProof/>
        </w:rPr>
        <w:t xml:space="preserve"> (10%)</w:t>
      </w:r>
      <w:r w:rsidRPr="005A3F47">
        <w:rPr>
          <w:rFonts w:eastAsia="Times New Roman"/>
          <w:noProof/>
        </w:rPr>
        <w:t>. Applying corporate income tax rates to interest and the remaining dividend income provides an estimate of the revenue generated from these capital income flows.</w:t>
      </w:r>
    </w:p>
    <w:p w14:paraId="39A95BED" w14:textId="15AF5557" w:rsidR="00910CF4" w:rsidRPr="005A3F47" w:rsidRDefault="00910CF4" w:rsidP="00910CF4">
      <w:pPr>
        <w:spacing w:before="100" w:beforeAutospacing="1" w:after="100" w:afterAutospacing="1"/>
        <w:rPr>
          <w:rFonts w:eastAsia="Times New Roman"/>
          <w:noProof/>
        </w:rPr>
      </w:pPr>
      <w:r w:rsidRPr="005A3F47">
        <w:rPr>
          <w:rFonts w:eastAsia="Times New Roman"/>
          <w:noProof/>
        </w:rPr>
        <w:t xml:space="preserve">This revenue is then compared with the estimated </w:t>
      </w:r>
      <w:r w:rsidR="004E2C04" w:rsidRPr="005A3F47">
        <w:rPr>
          <w:rFonts w:eastAsia="Times New Roman"/>
          <w:noProof/>
        </w:rPr>
        <w:t xml:space="preserve">foregone tax revenue </w:t>
      </w:r>
      <w:r w:rsidR="000A4606" w:rsidRPr="005A3F47">
        <w:rPr>
          <w:rFonts w:eastAsia="Times New Roman"/>
          <w:noProof/>
        </w:rPr>
        <w:t xml:space="preserve">resulting from the abolishment of </w:t>
      </w:r>
      <w:r w:rsidRPr="005A3F47">
        <w:rPr>
          <w:rFonts w:eastAsia="Times New Roman"/>
          <w:noProof/>
        </w:rPr>
        <w:t xml:space="preserve">intra-EU withholding taxes. Expressing the </w:t>
      </w:r>
      <w:r w:rsidR="000A4606" w:rsidRPr="005A3F47">
        <w:rPr>
          <w:rFonts w:eastAsia="Times New Roman"/>
          <w:noProof/>
        </w:rPr>
        <w:t xml:space="preserve">foregone </w:t>
      </w:r>
      <w:r w:rsidRPr="005A3F47">
        <w:rPr>
          <w:rFonts w:eastAsia="Times New Roman"/>
          <w:noProof/>
        </w:rPr>
        <w:t>withholding tax revenue as a share of the broader revenue from interest and dividend taxation yields a percentage that reflects the relative importance of withholding taxes within capital income taxation.</w:t>
      </w:r>
    </w:p>
    <w:p w14:paraId="52CFB443" w14:textId="3536DC57" w:rsidR="00510014" w:rsidRPr="005A3F47" w:rsidRDefault="00910CF4" w:rsidP="00910CF4">
      <w:pPr>
        <w:spacing w:before="100" w:beforeAutospacing="1" w:after="100" w:afterAutospacing="1"/>
        <w:rPr>
          <w:rFonts w:eastAsia="Times New Roman"/>
          <w:noProof/>
        </w:rPr>
      </w:pPr>
      <w:r w:rsidRPr="005A3F47">
        <w:rPr>
          <w:rFonts w:eastAsia="Times New Roman"/>
          <w:noProof/>
        </w:rPr>
        <w:t>Finally, the reform is approximated as a proportional cut in the tax rates applied to interest and dividend income equal to this percentage, so that the reduction in tax revenue in the model corresponds approximately to the revenue loss that would occur if withholding taxes were abolished.</w:t>
      </w:r>
      <w:r w:rsidR="005841E3" w:rsidRPr="005A3F47">
        <w:rPr>
          <w:noProof/>
        </w:rPr>
        <w:t xml:space="preserve"> </w:t>
      </w:r>
      <w:r w:rsidR="005841E3" w:rsidRPr="005A3F47">
        <w:rPr>
          <w:rFonts w:eastAsia="Times New Roman"/>
          <w:noProof/>
        </w:rPr>
        <w:t>In the calibration, this corresponds to a reduction of 0.83% in the tax rate on interest income and 6.48% in the tax rate on dividend income.</w:t>
      </w:r>
    </w:p>
    <w:p w14:paraId="16DA218A" w14:textId="6FCC4CAA" w:rsidR="00D23020" w:rsidRPr="005A3F47" w:rsidRDefault="00D23020" w:rsidP="00D23020">
      <w:pPr>
        <w:spacing w:before="100" w:beforeAutospacing="1" w:after="100" w:afterAutospacing="1"/>
        <w:rPr>
          <w:rFonts w:eastAsia="Times New Roman"/>
          <w:noProof/>
        </w:rPr>
      </w:pPr>
      <w:r w:rsidRPr="005A3F47">
        <w:rPr>
          <w:rFonts w:eastAsia="Times New Roman"/>
          <w:noProof/>
        </w:rPr>
        <w:t xml:space="preserve">The reduction of compliance costs </w:t>
      </w:r>
      <w:r w:rsidR="00A4512F" w:rsidRPr="005A3F47">
        <w:rPr>
          <w:rFonts w:eastAsia="Times New Roman"/>
          <w:noProof/>
        </w:rPr>
        <w:t xml:space="preserve">is introduced </w:t>
      </w:r>
      <w:r w:rsidR="00DF1457" w:rsidRPr="005A3F47">
        <w:rPr>
          <w:rFonts w:eastAsia="Times New Roman"/>
          <w:noProof/>
        </w:rPr>
        <w:t xml:space="preserve">via </w:t>
      </w:r>
      <w:r w:rsidR="009B4168" w:rsidRPr="005A3F47">
        <w:rPr>
          <w:rFonts w:eastAsia="Times New Roman"/>
          <w:noProof/>
        </w:rPr>
        <w:t xml:space="preserve">targeted savings </w:t>
      </w:r>
      <w:r w:rsidRPr="005A3F47">
        <w:rPr>
          <w:rFonts w:eastAsia="Times New Roman"/>
          <w:noProof/>
        </w:rPr>
        <w:t xml:space="preserve">for cross-border </w:t>
      </w:r>
      <w:r w:rsidR="13935416" w:rsidRPr="005A3F47">
        <w:rPr>
          <w:noProof/>
        </w:rPr>
        <w:t>businesses</w:t>
      </w:r>
      <w:r w:rsidR="13935416" w:rsidRPr="005A3F47">
        <w:rPr>
          <w:rFonts w:eastAsia="Times New Roman"/>
          <w:noProof/>
        </w:rPr>
        <w:t xml:space="preserve"> </w:t>
      </w:r>
      <w:r w:rsidRPr="005A3F47">
        <w:rPr>
          <w:rFonts w:eastAsia="Times New Roman"/>
          <w:noProof/>
        </w:rPr>
        <w:t>(from MNE headquarters to subsidiaries).</w:t>
      </w:r>
    </w:p>
    <w:p w14:paraId="7034F060" w14:textId="44FD8809" w:rsidR="00451FA9" w:rsidRPr="005A3F47" w:rsidRDefault="000127C4" w:rsidP="00DE6B6A">
      <w:pPr>
        <w:pStyle w:val="LegalNumPar2"/>
        <w:numPr>
          <w:ilvl w:val="0"/>
          <w:numId w:val="0"/>
        </w:numPr>
        <w:ind w:left="953"/>
        <w:rPr>
          <w:rFonts w:eastAsia="Times New Roman"/>
          <w:i/>
          <w:noProof/>
        </w:rPr>
      </w:pPr>
      <w:r w:rsidRPr="005A3F47">
        <w:rPr>
          <w:rFonts w:eastAsia="Times New Roman"/>
          <w:i/>
          <w:noProof/>
          <w:szCs w:val="20"/>
        </w:rPr>
        <w:t xml:space="preserve">5.2 </w:t>
      </w:r>
      <w:r w:rsidR="002E65D8" w:rsidRPr="005A3F47">
        <w:rPr>
          <w:rFonts w:eastAsia="Times New Roman"/>
          <w:i/>
          <w:noProof/>
          <w:szCs w:val="20"/>
        </w:rPr>
        <w:t xml:space="preserve">Modelling of immediate </w:t>
      </w:r>
      <w:r w:rsidR="00F636F5" w:rsidRPr="005A3F47">
        <w:rPr>
          <w:rFonts w:eastAsia="Times New Roman"/>
          <w:i/>
          <w:noProof/>
          <w:szCs w:val="20"/>
        </w:rPr>
        <w:t xml:space="preserve">expensing </w:t>
      </w:r>
      <w:r w:rsidR="00EF3D8A" w:rsidRPr="005A3F47">
        <w:rPr>
          <w:rFonts w:eastAsia="Times New Roman"/>
          <w:i/>
          <w:noProof/>
          <w:szCs w:val="20"/>
        </w:rPr>
        <w:t xml:space="preserve">of </w:t>
      </w:r>
      <w:r w:rsidR="008140F8" w:rsidRPr="005A3F47">
        <w:rPr>
          <w:rFonts w:eastAsia="Times New Roman"/>
          <w:i/>
          <w:noProof/>
          <w:szCs w:val="20"/>
        </w:rPr>
        <w:t xml:space="preserve">acquired tangible </w:t>
      </w:r>
      <w:r w:rsidR="005D0C90" w:rsidRPr="005A3F47">
        <w:rPr>
          <w:rFonts w:eastAsia="Times New Roman"/>
          <w:i/>
          <w:noProof/>
          <w:szCs w:val="20"/>
        </w:rPr>
        <w:t xml:space="preserve">R&amp;D </w:t>
      </w:r>
      <w:r w:rsidR="008140F8" w:rsidRPr="005A3F47">
        <w:rPr>
          <w:rFonts w:eastAsia="Times New Roman"/>
          <w:i/>
          <w:noProof/>
          <w:szCs w:val="20"/>
        </w:rPr>
        <w:t>assets</w:t>
      </w:r>
    </w:p>
    <w:p w14:paraId="3D411183" w14:textId="48117751" w:rsidR="001B3DA7" w:rsidRPr="005A3F47" w:rsidRDefault="001B3DA7" w:rsidP="00FA5980">
      <w:pPr>
        <w:spacing w:before="100" w:beforeAutospacing="1" w:after="100" w:afterAutospacing="1"/>
        <w:rPr>
          <w:noProof/>
        </w:rPr>
      </w:pPr>
      <w:r w:rsidRPr="005A3F47">
        <w:rPr>
          <w:rFonts w:eastAsia="Times New Roman"/>
          <w:noProof/>
        </w:rPr>
        <w:t>The reform introduces direct expensing for R&amp;D-related tangible assets</w:t>
      </w:r>
      <w:r w:rsidRPr="005A3F47">
        <w:rPr>
          <w:noProof/>
        </w:rPr>
        <w:t xml:space="preserve"> such as plant, machinery, and buildings used for R&amp;D activities. Since CORTAX does not explicitly model R&amp;D investment separately or allow a distinct depreciation regime for such assets, the reform is approximated by modifying the depreciation parameters applied to the corresponding share of the capital stock.</w:t>
      </w:r>
    </w:p>
    <w:p w14:paraId="03EBCC70" w14:textId="50ADD307" w:rsidR="001B3DA7" w:rsidRPr="005A3F47" w:rsidRDefault="001B3DA7" w:rsidP="00FA5980">
      <w:pPr>
        <w:spacing w:before="100" w:beforeAutospacing="1" w:after="100" w:afterAutospacing="1"/>
        <w:rPr>
          <w:rFonts w:eastAsia="Times New Roman"/>
          <w:noProof/>
        </w:rPr>
      </w:pPr>
      <w:r w:rsidRPr="005A3F47">
        <w:rPr>
          <w:rFonts w:eastAsia="Times New Roman"/>
          <w:noProof/>
        </w:rPr>
        <w:t xml:space="preserve">First, the share of total assets corresponding to R&amp;D-related tangible assets is estimated. This share is constructed by combining three components: the proportion of R&amp;D expenditure on tangible assets relative to total capitalisable R&amp;D expenditure (based on the JRC Dashboard of Innovative </w:t>
      </w:r>
      <w:r w:rsidR="003170D6" w:rsidRPr="005A3F47">
        <w:rPr>
          <w:rFonts w:eastAsia="Times New Roman"/>
          <w:noProof/>
        </w:rPr>
        <w:t>Companies</w:t>
      </w:r>
      <w:r w:rsidRPr="005A3F47">
        <w:rPr>
          <w:rFonts w:eastAsia="Times New Roman"/>
          <w:noProof/>
        </w:rPr>
        <w:t>), the ratio of R&amp;D capital assets to total fixed assets (from Eurostat capital stock data), and the ratio of fixed assets to total assets used in the model calibration. Multiplying these three elements yields an estimate of the share of total assets that corresponds to tangible assets used for R&amp;D.</w:t>
      </w:r>
    </w:p>
    <w:p w14:paraId="7E660E90" w14:textId="77777777" w:rsidR="001B3DA7" w:rsidRPr="005A3F47" w:rsidRDefault="001B3DA7" w:rsidP="00F9194E">
      <w:pPr>
        <w:spacing w:before="100" w:beforeAutospacing="1" w:after="100" w:afterAutospacing="1"/>
        <w:rPr>
          <w:rFonts w:eastAsia="Times New Roman"/>
          <w:noProof/>
        </w:rPr>
      </w:pPr>
      <w:r w:rsidRPr="005A3F47">
        <w:rPr>
          <w:rFonts w:eastAsia="Times New Roman"/>
          <w:noProof/>
        </w:rPr>
        <w:t>In the model, the tax treatment of investment is represented through two depreciation components: an immediate deduction in the first year and the net present value (NPV) of deductions in subsequent years. To approximate direct expensing for the estimated share of R&amp;D tangible assets, the depreciation structure is adjusted by shifting part of the depreciation allowances from future years to the first year. Specifically, the NPV of depreciation allowances in later years is reduced in proportion to the estimated share of R&amp;D assets, while the immediate expensing component is increased accordingly.</w:t>
      </w:r>
    </w:p>
    <w:p w14:paraId="4806DCA4" w14:textId="4C22E780" w:rsidR="00AF3FED" w:rsidRPr="005A3F47" w:rsidRDefault="001B3DA7" w:rsidP="00AF3FED">
      <w:pPr>
        <w:spacing w:before="100" w:beforeAutospacing="1" w:after="100" w:afterAutospacing="1"/>
        <w:rPr>
          <w:rFonts w:eastAsia="Times New Roman"/>
          <w:noProof/>
        </w:rPr>
      </w:pPr>
      <w:r w:rsidRPr="005A3F47">
        <w:rPr>
          <w:rFonts w:eastAsia="Times New Roman"/>
          <w:noProof/>
        </w:rPr>
        <w:t>This adjustment preserves the overall magnitude of depreciation allowances while bringing forward part of the deductions to the first year, thereby generating accelerated depreciation for the relevant share of capital. The resulting country-specific depreciation parameters constitute the policy shock introduced into the model.</w:t>
      </w:r>
    </w:p>
    <w:p w14:paraId="6EFBCAE6" w14:textId="4268CEEC" w:rsidR="00E84434" w:rsidRPr="005A3F47" w:rsidRDefault="00E84434" w:rsidP="00117633">
      <w:pPr>
        <w:rPr>
          <w:noProof/>
        </w:rPr>
        <w:sectPr w:rsidR="00E84434" w:rsidRPr="005A3F47" w:rsidSect="00F9194E">
          <w:headerReference w:type="default" r:id="rId47"/>
          <w:footerReference w:type="default" r:id="rId48"/>
          <w:headerReference w:type="first" r:id="rId49"/>
          <w:footerReference w:type="first" r:id="rId50"/>
          <w:type w:val="continuous"/>
          <w:pgSz w:w="11906" w:h="16838"/>
          <w:pgMar w:top="1021" w:right="709" w:bottom="1021" w:left="1588" w:header="601" w:footer="1077" w:gutter="0"/>
          <w:cols w:space="720"/>
          <w:titlePg/>
          <w:docGrid w:linePitch="326"/>
        </w:sectPr>
      </w:pPr>
    </w:p>
    <w:p w14:paraId="4560AD8C" w14:textId="5999417E" w:rsidR="00AE1E12" w:rsidRPr="005A3F47" w:rsidRDefault="00AE1E12" w:rsidP="00FD2FC7">
      <w:pPr>
        <w:pStyle w:val="AnnexTitle"/>
        <w:rPr>
          <w:noProof/>
        </w:rPr>
      </w:pPr>
      <w:bookmarkStart w:id="379" w:name="_Toc226466624"/>
      <w:bookmarkStart w:id="380" w:name="_Toc226466875"/>
      <w:bookmarkStart w:id="381" w:name="_Toc226467236"/>
      <w:bookmarkStart w:id="382" w:name="_Toc226467336"/>
      <w:bookmarkStart w:id="383" w:name="_Toc226467555"/>
      <w:bookmarkStart w:id="384" w:name="_Toc230258085"/>
      <w:r w:rsidRPr="005A3F47">
        <w:rPr>
          <w:noProof/>
        </w:rPr>
        <w:t>Annex 5: Competit</w:t>
      </w:r>
      <w:r w:rsidR="00E84434" w:rsidRPr="005A3F47">
        <w:rPr>
          <w:noProof/>
        </w:rPr>
        <w:t>iveness</w:t>
      </w:r>
      <w:r w:rsidRPr="005A3F47">
        <w:rPr>
          <w:noProof/>
        </w:rPr>
        <w:t xml:space="preserve"> check</w:t>
      </w:r>
      <w:bookmarkEnd w:id="379"/>
      <w:bookmarkEnd w:id="380"/>
      <w:bookmarkEnd w:id="381"/>
      <w:bookmarkEnd w:id="382"/>
      <w:bookmarkEnd w:id="383"/>
      <w:bookmarkEnd w:id="384"/>
      <w:r w:rsidRPr="005A3F47">
        <w:rPr>
          <w:noProof/>
        </w:rPr>
        <w:t xml:space="preserve"> </w:t>
      </w:r>
    </w:p>
    <w:p w14:paraId="5D5670CC" w14:textId="7756F661" w:rsidR="007544D3" w:rsidRPr="005A3F47" w:rsidRDefault="007544D3" w:rsidP="0096545C">
      <w:pPr>
        <w:pStyle w:val="Heading2"/>
        <w:rPr>
          <w:noProof/>
        </w:rPr>
      </w:pPr>
      <w:bookmarkStart w:id="385" w:name="_Toc226466625"/>
      <w:bookmarkStart w:id="386" w:name="_Toc226466876"/>
      <w:bookmarkStart w:id="387" w:name="_Toc226467237"/>
      <w:bookmarkStart w:id="388" w:name="_Toc226467337"/>
      <w:bookmarkStart w:id="389" w:name="_Toc226467556"/>
      <w:r w:rsidRPr="005A3F47">
        <w:rPr>
          <w:noProof/>
        </w:rPr>
        <w:t>Overview of the impacts on competitiveness</w:t>
      </w:r>
      <w:bookmarkEnd w:id="385"/>
      <w:bookmarkEnd w:id="386"/>
      <w:bookmarkEnd w:id="387"/>
      <w:bookmarkEnd w:id="388"/>
      <w:bookmarkEnd w:id="389"/>
      <w:r w:rsidRPr="005A3F47">
        <w:rPr>
          <w:noProof/>
        </w:rPr>
        <w:t xml:space="preserve"> </w:t>
      </w:r>
    </w:p>
    <w:tbl>
      <w:tblPr>
        <w:tblStyle w:val="TableGrid"/>
        <w:tblW w:w="9889" w:type="dxa"/>
        <w:tblLook w:val="04A0" w:firstRow="1" w:lastRow="0" w:firstColumn="1" w:lastColumn="0" w:noHBand="0" w:noVBand="1"/>
      </w:tblPr>
      <w:tblGrid>
        <w:gridCol w:w="3281"/>
        <w:gridCol w:w="2639"/>
        <w:gridCol w:w="3969"/>
      </w:tblGrid>
      <w:tr w:rsidR="00C22AB4" w:rsidRPr="005A3F47" w14:paraId="67A7C491" w14:textId="77777777" w:rsidTr="00DE6B6A">
        <w:tc>
          <w:tcPr>
            <w:tcW w:w="3281" w:type="dxa"/>
            <w:vAlign w:val="center"/>
          </w:tcPr>
          <w:p w14:paraId="3F9E640E" w14:textId="77777777" w:rsidR="00C22AB4" w:rsidRPr="005A3F47" w:rsidRDefault="00C22AB4" w:rsidP="00EA4C16">
            <w:pPr>
              <w:spacing w:before="60" w:after="60"/>
              <w:jc w:val="center"/>
              <w:rPr>
                <w:b/>
                <w:noProof/>
              </w:rPr>
            </w:pPr>
            <w:r w:rsidRPr="005A3F47">
              <w:rPr>
                <w:b/>
                <w:noProof/>
              </w:rPr>
              <w:t>Dimensions of Competitiveness</w:t>
            </w:r>
          </w:p>
        </w:tc>
        <w:tc>
          <w:tcPr>
            <w:tcW w:w="2639" w:type="dxa"/>
            <w:vAlign w:val="center"/>
          </w:tcPr>
          <w:p w14:paraId="3A713A7D" w14:textId="77777777" w:rsidR="00C22AB4" w:rsidRPr="005A3F47" w:rsidRDefault="00C22AB4" w:rsidP="00EA4C16">
            <w:pPr>
              <w:spacing w:before="60" w:after="60"/>
              <w:jc w:val="center"/>
              <w:rPr>
                <w:b/>
                <w:noProof/>
              </w:rPr>
            </w:pPr>
            <w:r w:rsidRPr="005A3F47">
              <w:rPr>
                <w:b/>
                <w:noProof/>
              </w:rPr>
              <w:t>Impact of the initiative</w:t>
            </w:r>
          </w:p>
          <w:p w14:paraId="24DD993D" w14:textId="77777777" w:rsidR="00C22AB4" w:rsidRPr="005A3F47" w:rsidRDefault="00C22AB4" w:rsidP="00EA4C16">
            <w:pPr>
              <w:spacing w:before="60" w:after="60"/>
              <w:jc w:val="center"/>
              <w:rPr>
                <w:b/>
                <w:noProof/>
              </w:rPr>
            </w:pPr>
            <w:r w:rsidRPr="005A3F47">
              <w:rPr>
                <w:b/>
                <w:noProof/>
              </w:rPr>
              <w:t>(++ / + / 0 / - / -- / n.a.)</w:t>
            </w:r>
          </w:p>
        </w:tc>
        <w:tc>
          <w:tcPr>
            <w:tcW w:w="3969" w:type="dxa"/>
            <w:vAlign w:val="center"/>
          </w:tcPr>
          <w:p w14:paraId="644C8C1B" w14:textId="77777777" w:rsidR="00C22AB4" w:rsidRPr="005A3F47" w:rsidRDefault="00C22AB4" w:rsidP="00EA4C16">
            <w:pPr>
              <w:spacing w:before="60" w:after="60"/>
              <w:jc w:val="center"/>
              <w:rPr>
                <w:b/>
                <w:noProof/>
              </w:rPr>
            </w:pPr>
            <w:r w:rsidRPr="005A3F47">
              <w:rPr>
                <w:b/>
                <w:noProof/>
              </w:rPr>
              <w:t>References to sub-sections of the main report or annexes</w:t>
            </w:r>
          </w:p>
        </w:tc>
      </w:tr>
      <w:tr w:rsidR="00C22AB4" w:rsidRPr="005A3F47" w14:paraId="5974009C" w14:textId="77777777" w:rsidTr="00DE6B6A">
        <w:tc>
          <w:tcPr>
            <w:tcW w:w="3281" w:type="dxa"/>
            <w:vAlign w:val="center"/>
          </w:tcPr>
          <w:p w14:paraId="2A2CE9EF" w14:textId="77777777" w:rsidR="00C22AB4" w:rsidRPr="005A3F47" w:rsidRDefault="00C22AB4" w:rsidP="00EA4C16">
            <w:pPr>
              <w:spacing w:before="60" w:after="60"/>
              <w:rPr>
                <w:noProof/>
              </w:rPr>
            </w:pPr>
            <w:r w:rsidRPr="005A3F47">
              <w:rPr>
                <w:noProof/>
              </w:rPr>
              <w:t>Cost and price competitiveness</w:t>
            </w:r>
          </w:p>
        </w:tc>
        <w:tc>
          <w:tcPr>
            <w:tcW w:w="2639" w:type="dxa"/>
            <w:vAlign w:val="center"/>
          </w:tcPr>
          <w:p w14:paraId="181747F3" w14:textId="2B4F45AC" w:rsidR="00C22AB4" w:rsidRPr="005A3F47" w:rsidRDefault="003F58D0" w:rsidP="00EA4C16">
            <w:pPr>
              <w:spacing w:before="60" w:after="60"/>
              <w:rPr>
                <w:noProof/>
              </w:rPr>
            </w:pPr>
            <w:r w:rsidRPr="005A3F47">
              <w:rPr>
                <w:noProof/>
              </w:rPr>
              <w:t>++</w:t>
            </w:r>
          </w:p>
        </w:tc>
        <w:tc>
          <w:tcPr>
            <w:tcW w:w="3969" w:type="dxa"/>
            <w:vAlign w:val="center"/>
          </w:tcPr>
          <w:p w14:paraId="502FEBC0" w14:textId="6A850AB1" w:rsidR="00C22AB4" w:rsidRPr="005A3F47" w:rsidRDefault="006B1781" w:rsidP="00EA4C16">
            <w:pPr>
              <w:spacing w:before="60" w:after="60"/>
              <w:rPr>
                <w:noProof/>
              </w:rPr>
            </w:pPr>
            <w:r w:rsidRPr="005A3F47">
              <w:rPr>
                <w:noProof/>
              </w:rPr>
              <w:t>Chapters 5, 6, 7</w:t>
            </w:r>
          </w:p>
        </w:tc>
      </w:tr>
      <w:tr w:rsidR="00C22AB4" w:rsidRPr="005A3F47" w14:paraId="4CCC9FF0" w14:textId="77777777" w:rsidTr="00DE6B6A">
        <w:tc>
          <w:tcPr>
            <w:tcW w:w="3281" w:type="dxa"/>
            <w:vAlign w:val="center"/>
          </w:tcPr>
          <w:p w14:paraId="52485509" w14:textId="77777777" w:rsidR="00C22AB4" w:rsidRPr="005A3F47" w:rsidRDefault="00C22AB4" w:rsidP="00EA4C16">
            <w:pPr>
              <w:spacing w:before="60" w:after="60"/>
              <w:rPr>
                <w:noProof/>
              </w:rPr>
            </w:pPr>
            <w:r w:rsidRPr="005A3F47">
              <w:rPr>
                <w:noProof/>
              </w:rPr>
              <w:t xml:space="preserve">International competitiveness </w:t>
            </w:r>
          </w:p>
        </w:tc>
        <w:tc>
          <w:tcPr>
            <w:tcW w:w="2639" w:type="dxa"/>
            <w:vAlign w:val="center"/>
          </w:tcPr>
          <w:p w14:paraId="3BF3177B" w14:textId="155889C1" w:rsidR="00C22AB4" w:rsidRPr="005A3F47" w:rsidRDefault="003F58D0" w:rsidP="00EA4C16">
            <w:pPr>
              <w:spacing w:before="60" w:after="60"/>
              <w:rPr>
                <w:noProof/>
              </w:rPr>
            </w:pPr>
            <w:r w:rsidRPr="005A3F47">
              <w:rPr>
                <w:noProof/>
              </w:rPr>
              <w:t>+</w:t>
            </w:r>
          </w:p>
        </w:tc>
        <w:tc>
          <w:tcPr>
            <w:tcW w:w="3969" w:type="dxa"/>
            <w:vAlign w:val="center"/>
          </w:tcPr>
          <w:p w14:paraId="77D8A205" w14:textId="75DDDA18" w:rsidR="00C22AB4" w:rsidRPr="005A3F47" w:rsidRDefault="006B1781" w:rsidP="00EA4C16">
            <w:pPr>
              <w:spacing w:before="60" w:after="60"/>
              <w:rPr>
                <w:noProof/>
              </w:rPr>
            </w:pPr>
            <w:r w:rsidRPr="005A3F47">
              <w:rPr>
                <w:noProof/>
              </w:rPr>
              <w:t>Chapters 5, 6, 7</w:t>
            </w:r>
          </w:p>
        </w:tc>
      </w:tr>
      <w:tr w:rsidR="00C22AB4" w:rsidRPr="005A3F47" w14:paraId="72B12655" w14:textId="77777777" w:rsidTr="00DE6B6A">
        <w:tc>
          <w:tcPr>
            <w:tcW w:w="3281" w:type="dxa"/>
            <w:vAlign w:val="center"/>
          </w:tcPr>
          <w:p w14:paraId="6120996B" w14:textId="4BC4E3F9" w:rsidR="00C22AB4" w:rsidRPr="005A3F47" w:rsidRDefault="00C22AB4" w:rsidP="00EA4C16">
            <w:pPr>
              <w:spacing w:before="60" w:after="60"/>
              <w:rPr>
                <w:noProof/>
              </w:rPr>
            </w:pPr>
            <w:r w:rsidRPr="005A3F47">
              <w:rPr>
                <w:noProof/>
              </w:rPr>
              <w:t>Capacity to innovate</w:t>
            </w:r>
          </w:p>
        </w:tc>
        <w:tc>
          <w:tcPr>
            <w:tcW w:w="2639" w:type="dxa"/>
            <w:vAlign w:val="center"/>
          </w:tcPr>
          <w:p w14:paraId="3AAA98E7" w14:textId="131CB6FF" w:rsidR="00C22AB4" w:rsidRPr="005A3F47" w:rsidRDefault="00964D02" w:rsidP="00EA4C16">
            <w:pPr>
              <w:spacing w:before="60" w:after="60"/>
              <w:rPr>
                <w:noProof/>
              </w:rPr>
            </w:pPr>
            <w:r w:rsidRPr="005A3F47">
              <w:rPr>
                <w:noProof/>
              </w:rPr>
              <w:t>+</w:t>
            </w:r>
          </w:p>
        </w:tc>
        <w:tc>
          <w:tcPr>
            <w:tcW w:w="3969" w:type="dxa"/>
            <w:vAlign w:val="center"/>
          </w:tcPr>
          <w:p w14:paraId="3DB8B980" w14:textId="3B21C6BE" w:rsidR="00C22AB4" w:rsidRPr="005A3F47" w:rsidRDefault="006B1781" w:rsidP="00EA4C16">
            <w:pPr>
              <w:spacing w:before="60" w:after="60"/>
              <w:rPr>
                <w:noProof/>
              </w:rPr>
            </w:pPr>
            <w:r w:rsidRPr="005A3F47">
              <w:rPr>
                <w:noProof/>
              </w:rPr>
              <w:t>Chapters 5, 6, 7</w:t>
            </w:r>
          </w:p>
        </w:tc>
      </w:tr>
      <w:tr w:rsidR="00C22AB4" w:rsidRPr="005A3F47" w14:paraId="0C79877D" w14:textId="77777777" w:rsidTr="00DE6B6A">
        <w:tc>
          <w:tcPr>
            <w:tcW w:w="3281" w:type="dxa"/>
            <w:vAlign w:val="center"/>
          </w:tcPr>
          <w:p w14:paraId="11188BFC" w14:textId="77777777" w:rsidR="00C22AB4" w:rsidRPr="005A3F47" w:rsidRDefault="00C22AB4" w:rsidP="00EA4C16">
            <w:pPr>
              <w:spacing w:before="60" w:after="60"/>
              <w:rPr>
                <w:noProof/>
              </w:rPr>
            </w:pPr>
            <w:r w:rsidRPr="005A3F47">
              <w:rPr>
                <w:noProof/>
              </w:rPr>
              <w:t>SME competitiveness</w:t>
            </w:r>
          </w:p>
        </w:tc>
        <w:tc>
          <w:tcPr>
            <w:tcW w:w="2639" w:type="dxa"/>
            <w:vAlign w:val="center"/>
          </w:tcPr>
          <w:p w14:paraId="75BEF4D2" w14:textId="6A471A36" w:rsidR="00C22AB4" w:rsidRPr="005A3F47" w:rsidRDefault="00964D02" w:rsidP="00EA4C16">
            <w:pPr>
              <w:spacing w:before="60" w:after="60"/>
              <w:rPr>
                <w:noProof/>
              </w:rPr>
            </w:pPr>
            <w:r w:rsidRPr="005A3F47">
              <w:rPr>
                <w:noProof/>
              </w:rPr>
              <w:t>++</w:t>
            </w:r>
          </w:p>
        </w:tc>
        <w:tc>
          <w:tcPr>
            <w:tcW w:w="3969" w:type="dxa"/>
            <w:vAlign w:val="center"/>
          </w:tcPr>
          <w:p w14:paraId="39C317EC" w14:textId="48CE1A13" w:rsidR="00C22AB4" w:rsidRPr="005A3F47" w:rsidRDefault="006B1781" w:rsidP="00EA4C16">
            <w:pPr>
              <w:spacing w:before="60" w:after="60"/>
              <w:rPr>
                <w:noProof/>
              </w:rPr>
            </w:pPr>
            <w:r w:rsidRPr="005A3F47">
              <w:rPr>
                <w:noProof/>
              </w:rPr>
              <w:t>Chapters 5, 6, 7</w:t>
            </w:r>
          </w:p>
        </w:tc>
      </w:tr>
    </w:tbl>
    <w:p w14:paraId="2D4F7637" w14:textId="77777777" w:rsidR="00C22AB4" w:rsidRPr="005A3F47" w:rsidRDefault="00C22AB4" w:rsidP="00C22AB4">
      <w:pPr>
        <w:rPr>
          <w:b/>
          <w:noProof/>
          <w:u w:val="single"/>
        </w:rPr>
      </w:pPr>
    </w:p>
    <w:p w14:paraId="5C76F179" w14:textId="77777777" w:rsidR="00C22AB4" w:rsidRPr="005A3F47" w:rsidRDefault="00C22AB4" w:rsidP="0096545C">
      <w:pPr>
        <w:pStyle w:val="Heading2"/>
        <w:rPr>
          <w:noProof/>
        </w:rPr>
      </w:pPr>
      <w:bookmarkStart w:id="390" w:name="_Toc226466626"/>
      <w:bookmarkStart w:id="391" w:name="_Toc226466877"/>
      <w:bookmarkStart w:id="392" w:name="_Toc226467238"/>
      <w:bookmarkStart w:id="393" w:name="_Toc226467338"/>
      <w:bookmarkStart w:id="394" w:name="_Toc226467557"/>
      <w:r w:rsidRPr="005A3F47">
        <w:rPr>
          <w:noProof/>
        </w:rPr>
        <w:t>Synthetic assessment</w:t>
      </w:r>
      <w:bookmarkEnd w:id="390"/>
      <w:bookmarkEnd w:id="391"/>
      <w:bookmarkEnd w:id="392"/>
      <w:bookmarkEnd w:id="393"/>
      <w:bookmarkEnd w:id="394"/>
      <w:r w:rsidRPr="005A3F47">
        <w:rPr>
          <w:noProof/>
        </w:rPr>
        <w:t xml:space="preserve"> </w:t>
      </w:r>
    </w:p>
    <w:p w14:paraId="1CD63017" w14:textId="7D3C31BF" w:rsidR="001F267C" w:rsidRPr="005A3F47" w:rsidRDefault="0007050B" w:rsidP="003B333C">
      <w:pPr>
        <w:spacing w:before="100" w:beforeAutospacing="1" w:after="100" w:afterAutospacing="1"/>
        <w:rPr>
          <w:rFonts w:eastAsia="Times New Roman"/>
          <w:noProof/>
        </w:rPr>
      </w:pPr>
      <w:r w:rsidRPr="005A3F47">
        <w:rPr>
          <w:rFonts w:eastAsia="Times New Roman"/>
          <w:noProof/>
        </w:rPr>
        <w:t>The preferred option is expected to have a</w:t>
      </w:r>
      <w:r w:rsidR="00F313B9" w:rsidRPr="005A3F47">
        <w:rPr>
          <w:rFonts w:eastAsia="Times New Roman"/>
          <w:noProof/>
        </w:rPr>
        <w:t>n</w:t>
      </w:r>
      <w:r w:rsidRPr="005A3F47">
        <w:rPr>
          <w:rFonts w:eastAsia="Times New Roman"/>
          <w:noProof/>
        </w:rPr>
        <w:t xml:space="preserve"> overall positive effect on competitiveness. By reducing unnecessary tax compliance and reporting burdens, clarifying concepts and terminology, and replacing overlapping or divergent national approaches with a more coherent EU framework while maintaining high tax standards, the initiative should lower </w:t>
      </w:r>
      <w:r w:rsidR="0015716C" w:rsidRPr="005A3F47">
        <w:rPr>
          <w:rFonts w:eastAsia="Times New Roman"/>
          <w:noProof/>
        </w:rPr>
        <w:t>compliance and</w:t>
      </w:r>
      <w:r w:rsidRPr="005A3F47">
        <w:rPr>
          <w:rFonts w:eastAsia="Times New Roman"/>
          <w:noProof/>
        </w:rPr>
        <w:t xml:space="preserve"> administrative costs, </w:t>
      </w:r>
      <w:r w:rsidR="0099709C" w:rsidRPr="005A3F47">
        <w:rPr>
          <w:rFonts w:eastAsia="Times New Roman"/>
          <w:noProof/>
        </w:rPr>
        <w:t>improve</w:t>
      </w:r>
      <w:r w:rsidRPr="005A3F47">
        <w:rPr>
          <w:rFonts w:eastAsia="Times New Roman"/>
          <w:noProof/>
        </w:rPr>
        <w:t xml:space="preserve"> legal certainty and </w:t>
      </w:r>
      <w:r w:rsidR="0099709C" w:rsidRPr="005A3F47">
        <w:rPr>
          <w:rFonts w:eastAsia="Times New Roman"/>
          <w:noProof/>
        </w:rPr>
        <w:t>remove some continued tax barriers</w:t>
      </w:r>
      <w:r w:rsidRPr="005A3F47">
        <w:rPr>
          <w:rFonts w:eastAsia="Times New Roman"/>
          <w:noProof/>
        </w:rPr>
        <w:t xml:space="preserve"> for cross-border business activity</w:t>
      </w:r>
      <w:r w:rsidR="0099709C" w:rsidRPr="005A3F47">
        <w:rPr>
          <w:rFonts w:eastAsia="Times New Roman"/>
          <w:noProof/>
        </w:rPr>
        <w:t xml:space="preserve"> in the internal market</w:t>
      </w:r>
      <w:r w:rsidRPr="005A3F47">
        <w:rPr>
          <w:rFonts w:eastAsia="Times New Roman"/>
          <w:noProof/>
        </w:rPr>
        <w:t xml:space="preserve">. These effects are expected to strengthen cost competitiveness, support investment decisions, and foster a more innovation-friendly and resilient business environment in the Union. </w:t>
      </w:r>
    </w:p>
    <w:p w14:paraId="05D0F5DD" w14:textId="5C3B0A42" w:rsidR="00340A6F" w:rsidRPr="005A3F47" w:rsidRDefault="00340A6F" w:rsidP="0096545C">
      <w:pPr>
        <w:pStyle w:val="Heading2"/>
        <w:rPr>
          <w:noProof/>
        </w:rPr>
      </w:pPr>
      <w:bookmarkStart w:id="395" w:name="_Toc226466627"/>
      <w:bookmarkStart w:id="396" w:name="_Toc226466878"/>
      <w:bookmarkStart w:id="397" w:name="_Toc226467239"/>
      <w:bookmarkStart w:id="398" w:name="_Toc226467339"/>
      <w:bookmarkStart w:id="399" w:name="_Toc226467558"/>
      <w:r w:rsidRPr="005A3F47">
        <w:rPr>
          <w:noProof/>
        </w:rPr>
        <w:t xml:space="preserve">Competitive position </w:t>
      </w:r>
      <w:r w:rsidR="007053D2" w:rsidRPr="005A3F47">
        <w:rPr>
          <w:noProof/>
        </w:rPr>
        <w:t>of the most affected sectors</w:t>
      </w:r>
      <w:bookmarkEnd w:id="395"/>
      <w:bookmarkEnd w:id="396"/>
      <w:bookmarkEnd w:id="397"/>
      <w:bookmarkEnd w:id="398"/>
      <w:bookmarkEnd w:id="399"/>
    </w:p>
    <w:p w14:paraId="5A1A9276" w14:textId="335CC354" w:rsidR="00C22AB4" w:rsidRPr="005A3F47" w:rsidRDefault="00851F24" w:rsidP="003B333C">
      <w:pPr>
        <w:spacing w:before="100" w:beforeAutospacing="1" w:after="100" w:afterAutospacing="1"/>
        <w:rPr>
          <w:rFonts w:eastAsia="Times New Roman"/>
          <w:b/>
          <w:smallCaps/>
          <w:noProof/>
          <w:sz w:val="32"/>
          <w:szCs w:val="32"/>
        </w:rPr>
      </w:pPr>
      <w:r w:rsidRPr="005A3F47">
        <w:rPr>
          <w:rFonts w:eastAsia="Times New Roman"/>
          <w:noProof/>
        </w:rPr>
        <w:t xml:space="preserve">In principle, the </w:t>
      </w:r>
      <w:r w:rsidR="00A64F0F" w:rsidRPr="005A3F47">
        <w:rPr>
          <w:rFonts w:eastAsia="Times New Roman"/>
          <w:noProof/>
        </w:rPr>
        <w:t>Omnibus</w:t>
      </w:r>
      <w:r w:rsidRPr="005A3F47">
        <w:rPr>
          <w:rFonts w:eastAsia="Times New Roman"/>
          <w:noProof/>
        </w:rPr>
        <w:t xml:space="preserve"> </w:t>
      </w:r>
      <w:r w:rsidR="7CA07B84" w:rsidRPr="005A3F47">
        <w:rPr>
          <w:rFonts w:eastAsia="Times New Roman"/>
          <w:noProof/>
        </w:rPr>
        <w:t>on Taxation</w:t>
      </w:r>
      <w:r w:rsidRPr="005A3F47">
        <w:rPr>
          <w:rFonts w:eastAsia="Times New Roman"/>
          <w:noProof/>
        </w:rPr>
        <w:t xml:space="preserve"> is not sector-specific in nature but horizontal, as it seeks to streamline and clarify the EU framework for direct taxation across the internal market. </w:t>
      </w:r>
      <w:r w:rsidR="007F49DB" w:rsidRPr="005A3F47">
        <w:rPr>
          <w:rFonts w:eastAsia="Times New Roman"/>
          <w:noProof/>
        </w:rPr>
        <w:t xml:space="preserve">The most directly affected sectors are likely to be those with the greatest exposure to cross-border group structures and transactions covered by the </w:t>
      </w:r>
      <w:r w:rsidR="5BAE1C34" w:rsidRPr="005A3F47">
        <w:rPr>
          <w:rFonts w:eastAsia="Times New Roman"/>
          <w:noProof/>
        </w:rPr>
        <w:t>D</w:t>
      </w:r>
      <w:r w:rsidR="007F49DB" w:rsidRPr="005A3F47">
        <w:rPr>
          <w:rFonts w:eastAsia="Times New Roman"/>
          <w:noProof/>
        </w:rPr>
        <w:t xml:space="preserve">irectives in scope, notably sectors </w:t>
      </w:r>
      <w:r w:rsidR="00D621A7" w:rsidRPr="005A3F47">
        <w:rPr>
          <w:rFonts w:eastAsia="Times New Roman"/>
          <w:noProof/>
        </w:rPr>
        <w:t>featuring</w:t>
      </w:r>
      <w:r w:rsidR="007F49DB" w:rsidRPr="005A3F47">
        <w:rPr>
          <w:rFonts w:eastAsia="Times New Roman"/>
          <w:noProof/>
        </w:rPr>
        <w:t xml:space="preserve"> significant intra-group financing, royalty payments, reorganisations or </w:t>
      </w:r>
      <w:r w:rsidR="0008525E" w:rsidRPr="005A3F47">
        <w:rPr>
          <w:rFonts w:eastAsia="Times New Roman"/>
          <w:noProof/>
        </w:rPr>
        <w:t xml:space="preserve">frequency in </w:t>
      </w:r>
      <w:r w:rsidR="007F49DB" w:rsidRPr="005A3F47">
        <w:rPr>
          <w:rFonts w:eastAsia="Times New Roman"/>
          <w:noProof/>
        </w:rPr>
        <w:t>tax</w:t>
      </w:r>
      <w:r w:rsidR="0008525E" w:rsidRPr="005A3F47">
        <w:rPr>
          <w:rFonts w:eastAsia="Times New Roman"/>
          <w:noProof/>
        </w:rPr>
        <w:t xml:space="preserve"> </w:t>
      </w:r>
      <w:r w:rsidR="007F49DB" w:rsidRPr="005A3F47">
        <w:rPr>
          <w:rFonts w:eastAsia="Times New Roman"/>
          <w:noProof/>
        </w:rPr>
        <w:t>dispute</w:t>
      </w:r>
      <w:r w:rsidR="0008525E" w:rsidRPr="005A3F47">
        <w:rPr>
          <w:rFonts w:eastAsia="Times New Roman"/>
          <w:noProof/>
        </w:rPr>
        <w:t>s</w:t>
      </w:r>
      <w:r w:rsidR="007F49DB" w:rsidRPr="005A3F47">
        <w:rPr>
          <w:rFonts w:eastAsia="Times New Roman"/>
          <w:noProof/>
        </w:rPr>
        <w:t xml:space="preserve">. </w:t>
      </w:r>
      <w:r w:rsidR="002A6C07" w:rsidRPr="005A3F47">
        <w:rPr>
          <w:rFonts w:eastAsia="Times New Roman"/>
          <w:noProof/>
        </w:rPr>
        <w:t xml:space="preserve">Furthermore, </w:t>
      </w:r>
      <w:r w:rsidR="006C1443" w:rsidRPr="005A3F47">
        <w:rPr>
          <w:rFonts w:eastAsia="Times New Roman"/>
          <w:noProof/>
        </w:rPr>
        <w:t xml:space="preserve">large MNEs which </w:t>
      </w:r>
      <w:r w:rsidR="006E54DD" w:rsidRPr="005A3F47">
        <w:rPr>
          <w:rFonts w:eastAsia="Times New Roman"/>
          <w:noProof/>
        </w:rPr>
        <w:t xml:space="preserve">are subject to the additional compliance burden and requirements related to the EU Pillar 2 Directive, will </w:t>
      </w:r>
      <w:r w:rsidR="00D13D00" w:rsidRPr="005A3F47">
        <w:rPr>
          <w:rFonts w:eastAsia="Times New Roman"/>
          <w:noProof/>
        </w:rPr>
        <w:t xml:space="preserve">benefit </w:t>
      </w:r>
      <w:r w:rsidR="00137B57" w:rsidRPr="005A3F47">
        <w:rPr>
          <w:rFonts w:eastAsia="Times New Roman"/>
          <w:noProof/>
        </w:rPr>
        <w:t>in particular under the preferred options, e.g.</w:t>
      </w:r>
      <w:r w:rsidR="006E0772" w:rsidRPr="005A3F47">
        <w:rPr>
          <w:rFonts w:eastAsia="Times New Roman"/>
          <w:noProof/>
        </w:rPr>
        <w:t>,</w:t>
      </w:r>
      <w:r w:rsidR="00137B57" w:rsidRPr="005A3F47">
        <w:rPr>
          <w:rFonts w:eastAsia="Times New Roman"/>
          <w:noProof/>
        </w:rPr>
        <w:t xml:space="preserve"> the</w:t>
      </w:r>
      <w:r w:rsidR="00D13D00" w:rsidRPr="005A3F47">
        <w:rPr>
          <w:rFonts w:eastAsia="Times New Roman"/>
          <w:noProof/>
        </w:rPr>
        <w:t xml:space="preserve"> </w:t>
      </w:r>
      <w:r w:rsidR="00054802" w:rsidRPr="005A3F47">
        <w:rPr>
          <w:rFonts w:eastAsia="Times New Roman"/>
          <w:noProof/>
        </w:rPr>
        <w:t>carveout from CFC rules in light of Pillar 2.</w:t>
      </w:r>
      <w:r w:rsidR="00D13D00" w:rsidRPr="005A3F47">
        <w:rPr>
          <w:rFonts w:eastAsia="Times New Roman"/>
          <w:noProof/>
        </w:rPr>
        <w:t xml:space="preserve"> </w:t>
      </w:r>
      <w:r w:rsidR="00316123" w:rsidRPr="005A3F47">
        <w:rPr>
          <w:rFonts w:eastAsia="Times New Roman"/>
          <w:noProof/>
        </w:rPr>
        <w:t>In addition</w:t>
      </w:r>
      <w:r w:rsidRPr="005A3F47">
        <w:rPr>
          <w:rFonts w:eastAsia="Times New Roman"/>
          <w:noProof/>
        </w:rPr>
        <w:t xml:space="preserve">, some sectors benefit </w:t>
      </w:r>
      <w:r w:rsidR="00316123" w:rsidRPr="005A3F47">
        <w:rPr>
          <w:rFonts w:eastAsia="Times New Roman"/>
          <w:noProof/>
        </w:rPr>
        <w:t>from targeted measures</w:t>
      </w:r>
      <w:r w:rsidRPr="005A3F47">
        <w:rPr>
          <w:rFonts w:eastAsia="Times New Roman"/>
          <w:noProof/>
        </w:rPr>
        <w:t xml:space="preserve">: </w:t>
      </w:r>
      <w:r w:rsidR="00FB5E88" w:rsidRPr="005A3F47">
        <w:rPr>
          <w:rFonts w:eastAsia="Times New Roman"/>
          <w:noProof/>
        </w:rPr>
        <w:t>the defence</w:t>
      </w:r>
      <w:r w:rsidR="00FB5E88" w:rsidRPr="005A3F47" w:rsidDel="00F02D8A">
        <w:rPr>
          <w:rFonts w:eastAsia="Times New Roman"/>
          <w:noProof/>
        </w:rPr>
        <w:t xml:space="preserve"> </w:t>
      </w:r>
      <w:r w:rsidR="00DA458A" w:rsidRPr="005A3F47">
        <w:rPr>
          <w:rFonts w:eastAsia="Times New Roman"/>
          <w:noProof/>
        </w:rPr>
        <w:t>sector, for example,</w:t>
      </w:r>
      <w:r w:rsidR="00FB5E88" w:rsidRPr="005A3F47" w:rsidDel="00F02D8A">
        <w:rPr>
          <w:rFonts w:eastAsia="Times New Roman"/>
          <w:noProof/>
        </w:rPr>
        <w:t xml:space="preserve"> </w:t>
      </w:r>
      <w:r w:rsidR="00FB5E88" w:rsidRPr="005A3F47">
        <w:rPr>
          <w:rFonts w:eastAsia="Times New Roman"/>
          <w:noProof/>
        </w:rPr>
        <w:t>will b</w:t>
      </w:r>
      <w:r w:rsidR="005D413F" w:rsidRPr="005A3F47">
        <w:rPr>
          <w:rFonts w:eastAsia="Times New Roman"/>
          <w:noProof/>
        </w:rPr>
        <w:t>e alleviated from the interest limitation rule</w:t>
      </w:r>
      <w:r w:rsidR="00F02D8A" w:rsidRPr="005A3F47">
        <w:rPr>
          <w:rFonts w:eastAsia="Times New Roman"/>
          <w:noProof/>
        </w:rPr>
        <w:t>, as well as, optionally, other sectors</w:t>
      </w:r>
      <w:r w:rsidR="006C3428" w:rsidRPr="005A3F47">
        <w:rPr>
          <w:rFonts w:eastAsia="Times New Roman"/>
          <w:noProof/>
        </w:rPr>
        <w:t>,</w:t>
      </w:r>
      <w:r w:rsidR="00F02D8A" w:rsidRPr="005A3F47">
        <w:rPr>
          <w:rFonts w:eastAsia="Times New Roman"/>
          <w:noProof/>
        </w:rPr>
        <w:t xml:space="preserve"> such as social housing</w:t>
      </w:r>
      <w:r w:rsidR="005D413F" w:rsidRPr="005A3F47">
        <w:rPr>
          <w:rFonts w:eastAsia="Times New Roman"/>
          <w:noProof/>
        </w:rPr>
        <w:t>.</w:t>
      </w:r>
      <w:r w:rsidR="005D413F" w:rsidRPr="005A3F47">
        <w:rPr>
          <w:noProof/>
        </w:rPr>
        <w:t xml:space="preserve"> </w:t>
      </w:r>
      <w:r w:rsidR="00C22AB4" w:rsidRPr="005A3F47">
        <w:rPr>
          <w:noProof/>
        </w:rPr>
        <w:br w:type="page"/>
      </w:r>
    </w:p>
    <w:p w14:paraId="76593344" w14:textId="1F1CAF0D" w:rsidR="00380909" w:rsidRPr="005A3F47" w:rsidRDefault="00380909" w:rsidP="00380909">
      <w:pPr>
        <w:pStyle w:val="AnnexTitle"/>
        <w:rPr>
          <w:noProof/>
        </w:rPr>
      </w:pPr>
      <w:bookmarkStart w:id="400" w:name="_Toc226466628"/>
      <w:bookmarkStart w:id="401" w:name="_Toc226466879"/>
      <w:bookmarkStart w:id="402" w:name="_Toc226467240"/>
      <w:bookmarkStart w:id="403" w:name="_Toc226467340"/>
      <w:bookmarkStart w:id="404" w:name="_Toc226467559"/>
      <w:bookmarkStart w:id="405" w:name="_Toc230258086"/>
      <w:r w:rsidRPr="005A3F47">
        <w:rPr>
          <w:noProof/>
        </w:rPr>
        <w:t>Annex 6: SME check</w:t>
      </w:r>
      <w:bookmarkEnd w:id="400"/>
      <w:bookmarkEnd w:id="401"/>
      <w:bookmarkEnd w:id="402"/>
      <w:bookmarkEnd w:id="403"/>
      <w:bookmarkEnd w:id="404"/>
      <w:bookmarkEnd w:id="405"/>
      <w:r w:rsidR="003F0664" w:rsidRPr="005A3F47">
        <w:rPr>
          <w:noProof/>
        </w:rPr>
        <w:t xml:space="preserve"> </w:t>
      </w:r>
    </w:p>
    <w:p w14:paraId="38CFB9EB" w14:textId="77777777" w:rsidR="001A529D" w:rsidRPr="005A3F47" w:rsidRDefault="001A529D" w:rsidP="0096545C">
      <w:pPr>
        <w:pStyle w:val="Heading2"/>
        <w:rPr>
          <w:b w:val="0"/>
          <w:bCs/>
          <w:smallCaps/>
          <w:noProof/>
          <w:color w:val="000000" w:themeColor="text1"/>
        </w:rPr>
      </w:pPr>
      <w:r w:rsidRPr="005A3F47">
        <w:rPr>
          <w:noProof/>
        </w:rPr>
        <w:t>Overview of impacts on SMEs</w:t>
      </w:r>
    </w:p>
    <w:tbl>
      <w:tblPr>
        <w:tblStyle w:val="TableGrid"/>
        <w:tblW w:w="0" w:type="auto"/>
        <w:tblInd w:w="-34" w:type="dxa"/>
        <w:tblLook w:val="04A0" w:firstRow="1" w:lastRow="0" w:firstColumn="1" w:lastColumn="0" w:noHBand="0" w:noVBand="1"/>
      </w:tblPr>
      <w:tblGrid>
        <w:gridCol w:w="9322"/>
      </w:tblGrid>
      <w:tr w:rsidR="001A529D" w:rsidRPr="005A3F47" w14:paraId="1B98F8F9" w14:textId="77777777" w:rsidTr="00DE6B6A">
        <w:tc>
          <w:tcPr>
            <w:tcW w:w="9322" w:type="dxa"/>
          </w:tcPr>
          <w:p w14:paraId="141C453D" w14:textId="77777777" w:rsidR="001A529D" w:rsidRPr="005A3F47" w:rsidRDefault="001A529D">
            <w:pPr>
              <w:pStyle w:val="ListParagraph"/>
              <w:ind w:left="0"/>
              <w:rPr>
                <w:b/>
                <w:bCs/>
                <w:noProof/>
                <w:color w:val="000000" w:themeColor="text1"/>
              </w:rPr>
            </w:pPr>
            <w:r w:rsidRPr="005A3F47">
              <w:rPr>
                <w:b/>
                <w:bCs/>
                <w:noProof/>
                <w:color w:val="000000" w:themeColor="text1"/>
              </w:rPr>
              <w:t xml:space="preserve">Relevance for SMEs </w:t>
            </w:r>
          </w:p>
        </w:tc>
      </w:tr>
      <w:tr w:rsidR="001A529D" w:rsidRPr="005A3F47" w14:paraId="0D36B806" w14:textId="77777777" w:rsidTr="00DE6B6A">
        <w:tc>
          <w:tcPr>
            <w:tcW w:w="9322" w:type="dxa"/>
          </w:tcPr>
          <w:p w14:paraId="56942AB1" w14:textId="3A447F03" w:rsidR="001A529D" w:rsidRPr="005A3F47" w:rsidRDefault="002D10C3">
            <w:pPr>
              <w:pStyle w:val="ListParagraph"/>
              <w:ind w:left="0"/>
              <w:rPr>
                <w:i/>
                <w:iCs/>
                <w:noProof/>
                <w:color w:val="000000" w:themeColor="text1"/>
              </w:rPr>
            </w:pPr>
            <w:r w:rsidRPr="005A3F47">
              <w:rPr>
                <w:noProof/>
                <w:color w:val="000000" w:themeColor="text1"/>
              </w:rPr>
              <w:t xml:space="preserve">The initiative is relevant for SMEs because tax-compliance burdens fall proportionately more heavily on smaller </w:t>
            </w:r>
            <w:r w:rsidR="4615C83D" w:rsidRPr="005A3F47">
              <w:rPr>
                <w:noProof/>
              </w:rPr>
              <w:t>businesses</w:t>
            </w:r>
            <w:r w:rsidR="4615C83D" w:rsidRPr="005A3F47">
              <w:rPr>
                <w:noProof/>
                <w:color w:val="000000" w:themeColor="text1"/>
              </w:rPr>
              <w:t xml:space="preserve"> </w:t>
            </w:r>
            <w:r w:rsidRPr="005A3F47">
              <w:rPr>
                <w:noProof/>
                <w:color w:val="000000" w:themeColor="text1"/>
              </w:rPr>
              <w:t xml:space="preserve">and this Omnibus </w:t>
            </w:r>
            <w:r w:rsidR="0680CCDE" w:rsidRPr="005A3F47">
              <w:rPr>
                <w:noProof/>
              </w:rPr>
              <w:t>on Taxation</w:t>
            </w:r>
            <w:r w:rsidR="16056211" w:rsidRPr="005A3F47">
              <w:rPr>
                <w:noProof/>
                <w:color w:val="000000" w:themeColor="text1"/>
              </w:rPr>
              <w:t xml:space="preserve"> </w:t>
            </w:r>
            <w:r w:rsidRPr="005A3F47">
              <w:rPr>
                <w:noProof/>
                <w:color w:val="000000" w:themeColor="text1"/>
              </w:rPr>
              <w:t>aims to specifically exempt SMEs from some EU tax obligations</w:t>
            </w:r>
            <w:r w:rsidR="00202F4F" w:rsidRPr="005A3F47">
              <w:rPr>
                <w:noProof/>
                <w:color w:val="000000" w:themeColor="text1"/>
              </w:rPr>
              <w:t xml:space="preserve"> in a targ</w:t>
            </w:r>
            <w:r w:rsidR="00557AA7" w:rsidRPr="005A3F47">
              <w:rPr>
                <w:noProof/>
                <w:color w:val="000000" w:themeColor="text1"/>
              </w:rPr>
              <w:t>e</w:t>
            </w:r>
            <w:r w:rsidR="00202F4F" w:rsidRPr="005A3F47">
              <w:rPr>
                <w:noProof/>
                <w:color w:val="000000" w:themeColor="text1"/>
              </w:rPr>
              <w:t>ted manner</w:t>
            </w:r>
            <w:r w:rsidRPr="005A3F47">
              <w:rPr>
                <w:noProof/>
                <w:color w:val="000000" w:themeColor="text1"/>
              </w:rPr>
              <w:t>. Also more generally, greater clarity, fewer overlaps, and more coherent EU rules can materially reduce legal, advisory, and administrative costs</w:t>
            </w:r>
            <w:r w:rsidR="009967BB" w:rsidRPr="005A3F47">
              <w:rPr>
                <w:noProof/>
                <w:color w:val="000000" w:themeColor="text1"/>
              </w:rPr>
              <w:t>, which often represent a significant</w:t>
            </w:r>
            <w:r w:rsidRPr="005A3F47">
              <w:rPr>
                <w:noProof/>
                <w:color w:val="000000" w:themeColor="text1"/>
              </w:rPr>
              <w:t xml:space="preserve"> for SMEs </w:t>
            </w:r>
            <w:r w:rsidR="009967BB" w:rsidRPr="005A3F47">
              <w:rPr>
                <w:noProof/>
                <w:color w:val="000000" w:themeColor="text1"/>
              </w:rPr>
              <w:t>to engage</w:t>
            </w:r>
            <w:r w:rsidRPr="005A3F47">
              <w:rPr>
                <w:noProof/>
                <w:color w:val="000000" w:themeColor="text1"/>
              </w:rPr>
              <w:t xml:space="preserve"> in cross-border activity. The direct effects are expected to be </w:t>
            </w:r>
            <w:r w:rsidR="0029369E" w:rsidRPr="005A3F47">
              <w:rPr>
                <w:noProof/>
                <w:color w:val="000000" w:themeColor="text1"/>
              </w:rPr>
              <w:t>the</w:t>
            </w:r>
            <w:r w:rsidRPr="005A3F47">
              <w:rPr>
                <w:noProof/>
                <w:color w:val="000000" w:themeColor="text1"/>
              </w:rPr>
              <w:t xml:space="preserve"> strongest for small and medium-sized enterprises with </w:t>
            </w:r>
            <w:r w:rsidR="009967BB" w:rsidRPr="005A3F47">
              <w:rPr>
                <w:noProof/>
                <w:color w:val="000000" w:themeColor="text1"/>
              </w:rPr>
              <w:t>foreign</w:t>
            </w:r>
            <w:r w:rsidRPr="005A3F47">
              <w:rPr>
                <w:noProof/>
                <w:color w:val="000000" w:themeColor="text1"/>
              </w:rPr>
              <w:t xml:space="preserve"> subsidiaries</w:t>
            </w:r>
            <w:r w:rsidR="00F34871" w:rsidRPr="005A3F47">
              <w:rPr>
                <w:noProof/>
                <w:color w:val="000000" w:themeColor="text1"/>
              </w:rPr>
              <w:t xml:space="preserve"> or</w:t>
            </w:r>
            <w:r w:rsidRPr="005A3F47">
              <w:rPr>
                <w:noProof/>
                <w:color w:val="000000" w:themeColor="text1"/>
              </w:rPr>
              <w:t xml:space="preserve"> </w:t>
            </w:r>
            <w:r w:rsidR="00F34871" w:rsidRPr="005A3F47">
              <w:rPr>
                <w:noProof/>
                <w:color w:val="000000" w:themeColor="text1"/>
              </w:rPr>
              <w:t>high reliance on debt</w:t>
            </w:r>
            <w:r w:rsidRPr="005A3F47">
              <w:rPr>
                <w:noProof/>
                <w:color w:val="000000" w:themeColor="text1"/>
              </w:rPr>
              <w:t xml:space="preserve"> financing The </w:t>
            </w:r>
            <w:r w:rsidR="00F34871" w:rsidRPr="005A3F47">
              <w:rPr>
                <w:noProof/>
                <w:color w:val="000000" w:themeColor="text1"/>
              </w:rPr>
              <w:t xml:space="preserve">Omnibus </w:t>
            </w:r>
            <w:r w:rsidR="7162A2B2" w:rsidRPr="005A3F47">
              <w:rPr>
                <w:noProof/>
              </w:rPr>
              <w:t xml:space="preserve">on Taxation </w:t>
            </w:r>
            <w:r w:rsidR="00F34871" w:rsidRPr="005A3F47">
              <w:rPr>
                <w:noProof/>
                <w:color w:val="000000" w:themeColor="text1"/>
              </w:rPr>
              <w:t>is</w:t>
            </w:r>
            <w:r w:rsidRPr="005A3F47">
              <w:rPr>
                <w:noProof/>
                <w:color w:val="000000" w:themeColor="text1"/>
              </w:rPr>
              <w:t xml:space="preserve"> designed so that simplification is real for SMEs in practice, </w:t>
            </w:r>
            <w:r w:rsidR="00F34871" w:rsidRPr="005A3F47">
              <w:rPr>
                <w:noProof/>
                <w:color w:val="000000" w:themeColor="text1"/>
              </w:rPr>
              <w:t xml:space="preserve">especially by providing </w:t>
            </w:r>
            <w:r w:rsidR="00BF3936" w:rsidRPr="005A3F47">
              <w:rPr>
                <w:noProof/>
                <w:color w:val="000000" w:themeColor="text1"/>
              </w:rPr>
              <w:t>full carveouts where possible, but also</w:t>
            </w:r>
            <w:r w:rsidRPr="005A3F47">
              <w:rPr>
                <w:noProof/>
                <w:color w:val="000000" w:themeColor="text1"/>
              </w:rPr>
              <w:t xml:space="preserve"> through </w:t>
            </w:r>
            <w:r w:rsidR="00BF3936" w:rsidRPr="005A3F47">
              <w:rPr>
                <w:noProof/>
                <w:color w:val="000000" w:themeColor="text1"/>
              </w:rPr>
              <w:t>clearer EU tax</w:t>
            </w:r>
            <w:r w:rsidRPr="005A3F47">
              <w:rPr>
                <w:noProof/>
                <w:color w:val="000000" w:themeColor="text1"/>
              </w:rPr>
              <w:t xml:space="preserve"> terminology</w:t>
            </w:r>
            <w:r w:rsidR="00BF3936" w:rsidRPr="005A3F47">
              <w:rPr>
                <w:noProof/>
                <w:color w:val="000000" w:themeColor="text1"/>
              </w:rPr>
              <w:t xml:space="preserve"> and mechanisms</w:t>
            </w:r>
            <w:r w:rsidRPr="005A3F47">
              <w:rPr>
                <w:noProof/>
                <w:color w:val="000000" w:themeColor="text1"/>
              </w:rPr>
              <w:t>, and the elimination</w:t>
            </w:r>
            <w:r w:rsidR="00BF3936" w:rsidRPr="005A3F47">
              <w:rPr>
                <w:noProof/>
                <w:color w:val="000000" w:themeColor="text1"/>
              </w:rPr>
              <w:t xml:space="preserve"> </w:t>
            </w:r>
            <w:r w:rsidRPr="005A3F47">
              <w:rPr>
                <w:noProof/>
                <w:color w:val="000000" w:themeColor="text1"/>
              </w:rPr>
              <w:t>of national processes</w:t>
            </w:r>
            <w:r w:rsidR="00BF3936" w:rsidRPr="005A3F47">
              <w:rPr>
                <w:noProof/>
                <w:color w:val="000000" w:themeColor="text1"/>
              </w:rPr>
              <w:t xml:space="preserve"> for some cross-border payments.</w:t>
            </w:r>
            <w:r w:rsidR="001A529D" w:rsidRPr="005A3F47">
              <w:rPr>
                <w:i/>
                <w:iCs/>
                <w:noProof/>
                <w:color w:val="000000" w:themeColor="text1"/>
              </w:rPr>
              <w:t xml:space="preserve"> </w:t>
            </w:r>
          </w:p>
        </w:tc>
      </w:tr>
    </w:tbl>
    <w:p w14:paraId="073E6AFE" w14:textId="77777777" w:rsidR="001A529D" w:rsidRPr="005A3F47" w:rsidRDefault="001A529D" w:rsidP="001A529D">
      <w:pPr>
        <w:rPr>
          <w:b/>
          <w:bCs/>
          <w:smallCaps/>
          <w:noProof/>
          <w:color w:val="000000" w:themeColor="text1"/>
        </w:rPr>
      </w:pPr>
    </w:p>
    <w:tbl>
      <w:tblPr>
        <w:tblStyle w:val="TableGrid"/>
        <w:tblW w:w="0" w:type="auto"/>
        <w:tblInd w:w="-34" w:type="dxa"/>
        <w:tblLook w:val="04A0" w:firstRow="1" w:lastRow="0" w:firstColumn="1" w:lastColumn="0" w:noHBand="0" w:noVBand="1"/>
      </w:tblPr>
      <w:tblGrid>
        <w:gridCol w:w="9322"/>
      </w:tblGrid>
      <w:tr w:rsidR="001A529D" w:rsidRPr="005A3F47" w14:paraId="5DA20182" w14:textId="77777777" w:rsidTr="00DE6B6A">
        <w:tc>
          <w:tcPr>
            <w:tcW w:w="9322" w:type="dxa"/>
          </w:tcPr>
          <w:p w14:paraId="009B3738" w14:textId="77777777" w:rsidR="001A529D" w:rsidRPr="005A3F47" w:rsidRDefault="001A529D">
            <w:pPr>
              <w:pStyle w:val="ListParagraph"/>
              <w:ind w:left="0"/>
              <w:rPr>
                <w:b/>
                <w:bCs/>
                <w:noProof/>
                <w:color w:val="000000" w:themeColor="text1"/>
              </w:rPr>
            </w:pPr>
            <w:r w:rsidRPr="005A3F47">
              <w:rPr>
                <w:b/>
                <w:bCs/>
                <w:noProof/>
                <w:color w:val="000000" w:themeColor="text1"/>
              </w:rPr>
              <w:t>(1)</w:t>
            </w:r>
            <w:r w:rsidRPr="005A3F47">
              <w:rPr>
                <w:noProof/>
              </w:rPr>
              <w:tab/>
            </w:r>
            <w:r w:rsidRPr="005A3F47">
              <w:rPr>
                <w:b/>
                <w:bCs/>
                <w:smallCaps/>
                <w:noProof/>
                <w:color w:val="000000" w:themeColor="text1"/>
              </w:rPr>
              <w:t>Identification of affected businesses and assessment of relevance</w:t>
            </w:r>
          </w:p>
        </w:tc>
      </w:tr>
      <w:tr w:rsidR="001A529D" w:rsidRPr="005A3F47" w14:paraId="251EDC7B" w14:textId="77777777" w:rsidTr="00DE6B6A">
        <w:tc>
          <w:tcPr>
            <w:tcW w:w="9322" w:type="dxa"/>
          </w:tcPr>
          <w:p w14:paraId="2B20D1D7" w14:textId="77777777" w:rsidR="001A529D" w:rsidRPr="005A3F47" w:rsidRDefault="001A529D">
            <w:pPr>
              <w:pStyle w:val="ListParagraph"/>
              <w:ind w:left="0"/>
              <w:rPr>
                <w:b/>
                <w:bCs/>
                <w:noProof/>
                <w:color w:val="000000" w:themeColor="text1"/>
              </w:rPr>
            </w:pPr>
            <w:r w:rsidRPr="005A3F47">
              <w:rPr>
                <w:b/>
                <w:bCs/>
                <w:noProof/>
                <w:color w:val="000000" w:themeColor="text1"/>
              </w:rPr>
              <w:t>Are SMEs directly affected?</w:t>
            </w:r>
            <w:r w:rsidRPr="005A3F47">
              <w:rPr>
                <w:noProof/>
                <w:color w:val="000000" w:themeColor="text1"/>
              </w:rPr>
              <w:t xml:space="preserve"> </w:t>
            </w:r>
            <w:r w:rsidRPr="005A3F47">
              <w:rPr>
                <w:i/>
                <w:iCs/>
                <w:noProof/>
                <w:color w:val="000000" w:themeColor="text1"/>
              </w:rPr>
              <w:t>(Yes/No)</w:t>
            </w:r>
            <w:r w:rsidRPr="005A3F47">
              <w:rPr>
                <w:noProof/>
                <w:color w:val="000000" w:themeColor="text1"/>
              </w:rPr>
              <w:t xml:space="preserve"> </w:t>
            </w:r>
            <w:r w:rsidRPr="005A3F47">
              <w:rPr>
                <w:b/>
                <w:bCs/>
                <w:noProof/>
                <w:color w:val="000000" w:themeColor="text1"/>
              </w:rPr>
              <w:t>In which sectors?</w:t>
            </w:r>
          </w:p>
        </w:tc>
      </w:tr>
      <w:tr w:rsidR="001A529D" w:rsidRPr="005A3F47" w14:paraId="276B1D2E" w14:textId="77777777" w:rsidTr="00DE6B6A">
        <w:tc>
          <w:tcPr>
            <w:tcW w:w="9322" w:type="dxa"/>
          </w:tcPr>
          <w:p w14:paraId="2BFD1714" w14:textId="0A9253B1" w:rsidR="001A529D" w:rsidRPr="00266412" w:rsidRDefault="00276926">
            <w:pPr>
              <w:pStyle w:val="ListParagraph"/>
              <w:ind w:left="0"/>
              <w:rPr>
                <w:i/>
                <w:noProof/>
                <w:color w:val="000000" w:themeColor="text1"/>
              </w:rPr>
            </w:pPr>
            <w:r w:rsidRPr="005A3F47">
              <w:rPr>
                <w:noProof/>
                <w:color w:val="000000" w:themeColor="text1"/>
              </w:rPr>
              <w:t>Yes, all sectors.</w:t>
            </w:r>
          </w:p>
        </w:tc>
      </w:tr>
      <w:tr w:rsidR="001A529D" w:rsidRPr="005A3F47" w14:paraId="0572D289" w14:textId="77777777" w:rsidTr="00DE6B6A">
        <w:tc>
          <w:tcPr>
            <w:tcW w:w="9322" w:type="dxa"/>
          </w:tcPr>
          <w:p w14:paraId="534B290E" w14:textId="77777777" w:rsidR="001A529D" w:rsidRPr="005A3F47" w:rsidRDefault="001A529D">
            <w:pPr>
              <w:pStyle w:val="ListParagraph"/>
              <w:ind w:left="0"/>
              <w:contextualSpacing w:val="0"/>
              <w:rPr>
                <w:rFonts w:cstheme="minorHAnsi"/>
                <w:b/>
                <w:noProof/>
                <w:color w:val="000000" w:themeColor="text1"/>
              </w:rPr>
            </w:pPr>
            <w:r w:rsidRPr="005A3F47">
              <w:rPr>
                <w:rFonts w:cstheme="minorHAnsi"/>
                <w:b/>
                <w:noProof/>
                <w:color w:val="000000" w:themeColor="text1"/>
              </w:rPr>
              <w:t>Estimated number of directly affected SMEs</w:t>
            </w:r>
          </w:p>
        </w:tc>
      </w:tr>
      <w:tr w:rsidR="001A529D" w:rsidRPr="005A3F47" w14:paraId="1D6F46D5" w14:textId="77777777" w:rsidTr="00DE6B6A">
        <w:tc>
          <w:tcPr>
            <w:tcW w:w="9322" w:type="dxa"/>
          </w:tcPr>
          <w:p w14:paraId="21037A15" w14:textId="70C977DE" w:rsidR="001A529D" w:rsidRPr="005A3F47" w:rsidRDefault="001E0609">
            <w:pPr>
              <w:pStyle w:val="ListParagraph"/>
              <w:ind w:left="0"/>
              <w:rPr>
                <w:rFonts w:eastAsiaTheme="minorEastAsia"/>
                <w:noProof/>
                <w:color w:val="000000" w:themeColor="text1"/>
              </w:rPr>
            </w:pPr>
            <w:r w:rsidRPr="005A3F47">
              <w:rPr>
                <w:rFonts w:eastAsiaTheme="minorEastAsia"/>
                <w:noProof/>
                <w:color w:val="000000" w:themeColor="text1"/>
              </w:rPr>
              <w:t xml:space="preserve">In the Orbis </w:t>
            </w:r>
            <w:r w:rsidR="003170D6" w:rsidRPr="005A3F47">
              <w:rPr>
                <w:rFonts w:eastAsiaTheme="minorEastAsia"/>
                <w:noProof/>
                <w:color w:val="000000" w:themeColor="text1"/>
              </w:rPr>
              <w:t xml:space="preserve">company </w:t>
            </w:r>
            <w:r w:rsidRPr="005A3F47">
              <w:rPr>
                <w:rFonts w:eastAsiaTheme="minorEastAsia"/>
                <w:noProof/>
                <w:color w:val="000000" w:themeColor="text1"/>
              </w:rPr>
              <w:t xml:space="preserve">database, the number of SMEs </w:t>
            </w:r>
            <w:r w:rsidR="00602176" w:rsidRPr="005A3F47">
              <w:rPr>
                <w:rFonts w:eastAsiaTheme="minorEastAsia"/>
                <w:noProof/>
                <w:color w:val="000000" w:themeColor="text1"/>
              </w:rPr>
              <w:t xml:space="preserve">affected by the EU direct tax acquis under this Omnibus </w:t>
            </w:r>
            <w:r w:rsidR="5D5DA18A" w:rsidRPr="005A3F47">
              <w:rPr>
                <w:noProof/>
              </w:rPr>
              <w:t xml:space="preserve">on Taxation </w:t>
            </w:r>
            <w:r w:rsidR="00602176" w:rsidRPr="005A3F47">
              <w:rPr>
                <w:rFonts w:eastAsiaTheme="minorEastAsia"/>
                <w:noProof/>
                <w:color w:val="000000" w:themeColor="text1"/>
              </w:rPr>
              <w:t>(SMEs with cross-border subsidiaries)</w:t>
            </w:r>
            <w:r w:rsidRPr="005A3F47">
              <w:rPr>
                <w:rFonts w:eastAsiaTheme="minorEastAsia"/>
                <w:noProof/>
                <w:color w:val="000000" w:themeColor="text1"/>
              </w:rPr>
              <w:t xml:space="preserve"> is estimated at 55 000.</w:t>
            </w:r>
          </w:p>
        </w:tc>
      </w:tr>
      <w:tr w:rsidR="001A529D" w:rsidRPr="005A3F47" w14:paraId="16DA5F9F" w14:textId="77777777" w:rsidTr="00DE6B6A">
        <w:tc>
          <w:tcPr>
            <w:tcW w:w="9322" w:type="dxa"/>
          </w:tcPr>
          <w:p w14:paraId="50FD0CA1" w14:textId="77777777" w:rsidR="001A529D" w:rsidRPr="005A3F47" w:rsidRDefault="001A529D">
            <w:pPr>
              <w:pStyle w:val="ListParagraph"/>
              <w:ind w:left="0"/>
              <w:contextualSpacing w:val="0"/>
              <w:rPr>
                <w:rFonts w:cstheme="minorHAnsi"/>
                <w:b/>
                <w:noProof/>
                <w:color w:val="000000" w:themeColor="text1"/>
              </w:rPr>
            </w:pPr>
            <w:r w:rsidRPr="005A3F47">
              <w:rPr>
                <w:rFonts w:cstheme="minorHAnsi"/>
                <w:b/>
                <w:noProof/>
                <w:color w:val="000000" w:themeColor="text1"/>
              </w:rPr>
              <w:t>Estimated number of employees in directly affected SMEs</w:t>
            </w:r>
          </w:p>
        </w:tc>
      </w:tr>
      <w:tr w:rsidR="001A529D" w:rsidRPr="005A3F47" w14:paraId="6FC5A344" w14:textId="77777777" w:rsidTr="00DE6B6A">
        <w:tc>
          <w:tcPr>
            <w:tcW w:w="9322" w:type="dxa"/>
          </w:tcPr>
          <w:p w14:paraId="52931626" w14:textId="3211AE1E" w:rsidR="001A529D" w:rsidRPr="005A3F47" w:rsidRDefault="001E0609">
            <w:pPr>
              <w:pStyle w:val="ListParagraph"/>
              <w:ind w:left="0"/>
              <w:rPr>
                <w:rFonts w:eastAsiaTheme="minorEastAsia"/>
                <w:noProof/>
                <w:color w:val="000000" w:themeColor="text1"/>
              </w:rPr>
            </w:pPr>
            <w:r w:rsidRPr="005A3F47">
              <w:rPr>
                <w:rFonts w:eastAsiaTheme="minorEastAsia"/>
                <w:noProof/>
                <w:color w:val="000000" w:themeColor="text1"/>
              </w:rPr>
              <w:t>n/a</w:t>
            </w:r>
          </w:p>
        </w:tc>
      </w:tr>
      <w:tr w:rsidR="001A529D" w:rsidRPr="005A3F47" w14:paraId="2BB8E708" w14:textId="77777777" w:rsidTr="00DE6B6A">
        <w:tc>
          <w:tcPr>
            <w:tcW w:w="9322" w:type="dxa"/>
          </w:tcPr>
          <w:p w14:paraId="0C156463" w14:textId="77777777" w:rsidR="001A529D" w:rsidRPr="005A3F47" w:rsidRDefault="001A529D">
            <w:pPr>
              <w:pStyle w:val="ListParagraph"/>
              <w:ind w:left="0"/>
              <w:rPr>
                <w:b/>
                <w:bCs/>
                <w:noProof/>
                <w:color w:val="000000" w:themeColor="text1"/>
              </w:rPr>
            </w:pPr>
            <w:r w:rsidRPr="005A3F47">
              <w:rPr>
                <w:b/>
                <w:bCs/>
                <w:noProof/>
                <w:color w:val="000000" w:themeColor="text1"/>
              </w:rPr>
              <w:t xml:space="preserve">Are SMEs indirectly affected? </w:t>
            </w:r>
            <w:r w:rsidRPr="005A3F47">
              <w:rPr>
                <w:i/>
                <w:iCs/>
                <w:noProof/>
                <w:color w:val="000000" w:themeColor="text1"/>
              </w:rPr>
              <w:t>(Yes/No)</w:t>
            </w:r>
            <w:r w:rsidRPr="005A3F47">
              <w:rPr>
                <w:b/>
                <w:bCs/>
                <w:noProof/>
                <w:color w:val="000000" w:themeColor="text1"/>
              </w:rPr>
              <w:t xml:space="preserve"> In which sectors? What is the estimated number of indirectly affected SMEs and employees?</w:t>
            </w:r>
          </w:p>
        </w:tc>
      </w:tr>
      <w:tr w:rsidR="001A529D" w:rsidRPr="005A3F47" w14:paraId="34FAC99A" w14:textId="77777777" w:rsidTr="00DE6B6A">
        <w:trPr>
          <w:trHeight w:val="300"/>
        </w:trPr>
        <w:tc>
          <w:tcPr>
            <w:tcW w:w="9322" w:type="dxa"/>
          </w:tcPr>
          <w:p w14:paraId="6F83F92B" w14:textId="72423A28" w:rsidR="001A529D" w:rsidRPr="005A3F47" w:rsidRDefault="001E0609">
            <w:pPr>
              <w:pStyle w:val="ListParagraph"/>
              <w:ind w:left="0"/>
              <w:rPr>
                <w:noProof/>
                <w:color w:val="000000" w:themeColor="text1"/>
              </w:rPr>
            </w:pPr>
            <w:r w:rsidRPr="005A3F47">
              <w:rPr>
                <w:noProof/>
                <w:color w:val="000000" w:themeColor="text1"/>
              </w:rPr>
              <w:t xml:space="preserve">SMEs are directly affected. </w:t>
            </w:r>
          </w:p>
        </w:tc>
      </w:tr>
    </w:tbl>
    <w:p w14:paraId="1414F0D7" w14:textId="77777777" w:rsidR="001A529D" w:rsidRPr="005A3F47" w:rsidRDefault="001A529D" w:rsidP="001A529D">
      <w:pPr>
        <w:pStyle w:val="ListParagraph"/>
        <w:spacing w:after="0"/>
        <w:ind w:left="357"/>
        <w:contextualSpacing w:val="0"/>
        <w:rPr>
          <w:rFonts w:cstheme="minorHAnsi"/>
          <w:b/>
          <w:noProof/>
          <w:color w:val="000000" w:themeColor="text1"/>
        </w:rPr>
      </w:pPr>
    </w:p>
    <w:p w14:paraId="02681E0F" w14:textId="77777777" w:rsidR="001A529D" w:rsidRPr="005A3F47" w:rsidRDefault="001A529D" w:rsidP="001A529D">
      <w:pPr>
        <w:pStyle w:val="ListParagraph"/>
        <w:spacing w:after="0"/>
        <w:ind w:left="357"/>
        <w:contextualSpacing w:val="0"/>
        <w:rPr>
          <w:rFonts w:cstheme="minorHAnsi"/>
          <w:b/>
          <w:smallCaps/>
          <w:noProof/>
          <w:color w:val="000000" w:themeColor="text1"/>
        </w:rPr>
      </w:pPr>
    </w:p>
    <w:tbl>
      <w:tblPr>
        <w:tblStyle w:val="TableGrid"/>
        <w:tblW w:w="9311" w:type="dxa"/>
        <w:tblInd w:w="-34" w:type="dxa"/>
        <w:tblLook w:val="04A0" w:firstRow="1" w:lastRow="0" w:firstColumn="1" w:lastColumn="0" w:noHBand="0" w:noVBand="1"/>
      </w:tblPr>
      <w:tblGrid>
        <w:gridCol w:w="9311"/>
      </w:tblGrid>
      <w:tr w:rsidR="001A529D" w:rsidRPr="005A3F47" w14:paraId="4A2DDC42" w14:textId="77777777" w:rsidTr="00DE6B6A">
        <w:tc>
          <w:tcPr>
            <w:tcW w:w="9311" w:type="dxa"/>
          </w:tcPr>
          <w:p w14:paraId="6F55D088" w14:textId="2769BD47" w:rsidR="001A529D" w:rsidRPr="005A3F47" w:rsidRDefault="001A529D" w:rsidP="00D77FFA">
            <w:pPr>
              <w:pStyle w:val="ListParagraph"/>
              <w:numPr>
                <w:ilvl w:val="0"/>
                <w:numId w:val="7"/>
              </w:numPr>
              <w:spacing w:after="0"/>
              <w:rPr>
                <w:smallCaps/>
                <w:noProof/>
                <w:color w:val="000000" w:themeColor="text1"/>
              </w:rPr>
            </w:pPr>
            <w:r w:rsidRPr="005A3F47">
              <w:rPr>
                <w:b/>
                <w:bCs/>
                <w:smallCaps/>
                <w:noProof/>
                <w:color w:val="000000" w:themeColor="text1"/>
              </w:rPr>
              <w:t>Consultation of SME stakeholders</w:t>
            </w:r>
          </w:p>
        </w:tc>
      </w:tr>
      <w:tr w:rsidR="001A529D" w:rsidRPr="005A3F47" w14:paraId="0DBCE1B1" w14:textId="77777777" w:rsidTr="00DE6B6A">
        <w:tc>
          <w:tcPr>
            <w:tcW w:w="9311" w:type="dxa"/>
          </w:tcPr>
          <w:p w14:paraId="5C679B47" w14:textId="77777777" w:rsidR="001A529D" w:rsidRPr="00266412" w:rsidRDefault="001A529D">
            <w:pPr>
              <w:pStyle w:val="ListParagraph"/>
              <w:ind w:left="0"/>
              <w:contextualSpacing w:val="0"/>
              <w:rPr>
                <w:rFonts w:cstheme="minorHAnsi"/>
                <w:b/>
                <w:noProof/>
                <w:color w:val="000000" w:themeColor="text1"/>
              </w:rPr>
            </w:pPr>
            <w:r w:rsidRPr="005A3F47">
              <w:rPr>
                <w:rFonts w:cstheme="minorHAnsi"/>
                <w:b/>
                <w:noProof/>
                <w:color w:val="000000" w:themeColor="text1"/>
              </w:rPr>
              <w:t>How has the input from the SME community been taken into consideration?</w:t>
            </w:r>
          </w:p>
        </w:tc>
      </w:tr>
      <w:tr w:rsidR="001A529D" w:rsidRPr="005A3F47" w14:paraId="644D0D58" w14:textId="77777777" w:rsidTr="00DE6B6A">
        <w:tc>
          <w:tcPr>
            <w:tcW w:w="9311" w:type="dxa"/>
          </w:tcPr>
          <w:p w14:paraId="222AF02F" w14:textId="48B1D8BF" w:rsidR="001A529D" w:rsidRPr="005A3F47" w:rsidRDefault="003A4657">
            <w:pPr>
              <w:pStyle w:val="ListParagraph"/>
              <w:ind w:left="0"/>
              <w:rPr>
                <w:noProof/>
                <w:color w:val="000000" w:themeColor="text1"/>
              </w:rPr>
            </w:pPr>
            <w:r w:rsidRPr="005A3F47">
              <w:rPr>
                <w:noProof/>
              </w:rPr>
              <w:t xml:space="preserve"> </w:t>
            </w:r>
            <w:r w:rsidRPr="005A3F47">
              <w:rPr>
                <w:noProof/>
                <w:color w:val="000000" w:themeColor="text1"/>
              </w:rPr>
              <w:t>SME interests were considered mainly through engagement with representative business associations, which aggregate and articulate the views of their SME constituencies. This channel provided a pragmatic and proportionate means of integrating SME-relevant concerns and practical insights into the assessment, complemented by other available evidence.</w:t>
            </w:r>
          </w:p>
        </w:tc>
      </w:tr>
      <w:tr w:rsidR="001A529D" w:rsidRPr="005A3F47" w14:paraId="2998F3A5" w14:textId="77777777" w:rsidTr="00DE6B6A">
        <w:tc>
          <w:tcPr>
            <w:tcW w:w="9311" w:type="dxa"/>
          </w:tcPr>
          <w:p w14:paraId="7B05D3BD" w14:textId="77777777" w:rsidR="001A529D" w:rsidRPr="005A3F47" w:rsidRDefault="001A529D">
            <w:pPr>
              <w:pStyle w:val="ListParagraph"/>
              <w:ind w:left="0"/>
              <w:rPr>
                <w:noProof/>
                <w:color w:val="000000" w:themeColor="text1"/>
              </w:rPr>
            </w:pPr>
            <w:r w:rsidRPr="005A3F47">
              <w:rPr>
                <w:b/>
                <w:bCs/>
                <w:noProof/>
                <w:color w:val="000000" w:themeColor="text1"/>
              </w:rPr>
              <w:t xml:space="preserve">Are SMEs’ views different from those of large businesses? </w:t>
            </w:r>
            <w:r w:rsidRPr="005A3F47">
              <w:rPr>
                <w:i/>
                <w:iCs/>
                <w:noProof/>
                <w:color w:val="000000" w:themeColor="text1"/>
              </w:rPr>
              <w:t>(Yes/No)</w:t>
            </w:r>
          </w:p>
        </w:tc>
      </w:tr>
      <w:tr w:rsidR="001A529D" w:rsidRPr="005A3F47" w14:paraId="6B778F77" w14:textId="77777777" w:rsidTr="00DE6B6A">
        <w:tc>
          <w:tcPr>
            <w:tcW w:w="9311" w:type="dxa"/>
          </w:tcPr>
          <w:p w14:paraId="6BC7CFB0" w14:textId="09761A30" w:rsidR="001A529D" w:rsidRPr="005A3F47" w:rsidRDefault="006E468F">
            <w:pPr>
              <w:pStyle w:val="ListParagraph"/>
              <w:ind w:left="0"/>
              <w:rPr>
                <w:noProof/>
                <w:color w:val="000000" w:themeColor="text1"/>
              </w:rPr>
            </w:pPr>
            <w:r w:rsidRPr="005A3F47">
              <w:rPr>
                <w:noProof/>
                <w:color w:val="000000" w:themeColor="text1"/>
              </w:rPr>
              <w:t xml:space="preserve">Yes. </w:t>
            </w:r>
            <w:r w:rsidR="00DE189C" w:rsidRPr="005A3F47">
              <w:rPr>
                <w:noProof/>
                <w:color w:val="000000" w:themeColor="text1"/>
              </w:rPr>
              <w:t xml:space="preserve">As regards SMEs, </w:t>
            </w:r>
            <w:r w:rsidR="00104117" w:rsidRPr="005A3F47">
              <w:rPr>
                <w:noProof/>
                <w:color w:val="000000" w:themeColor="text1"/>
              </w:rPr>
              <w:t xml:space="preserve">business associations argue that </w:t>
            </w:r>
            <w:r w:rsidR="009D47FF" w:rsidRPr="005A3F47">
              <w:rPr>
                <w:noProof/>
                <w:color w:val="000000" w:themeColor="text1"/>
              </w:rPr>
              <w:t>tax compliance costs are a significant hurdle for smaller businesses to enter cross-border markets, while in any case they are less concerned by the EU tax protections, as they</w:t>
            </w:r>
            <w:r w:rsidR="00104117" w:rsidRPr="005A3F47">
              <w:rPr>
                <w:noProof/>
                <w:color w:val="000000" w:themeColor="text1"/>
              </w:rPr>
              <w:t xml:space="preserve"> </w:t>
            </w:r>
            <w:r w:rsidR="00DE189C" w:rsidRPr="005A3F47">
              <w:rPr>
                <w:noProof/>
                <w:color w:val="000000" w:themeColor="text1"/>
              </w:rPr>
              <w:t xml:space="preserve">often do not </w:t>
            </w:r>
            <w:r w:rsidR="00104117" w:rsidRPr="005A3F47">
              <w:rPr>
                <w:noProof/>
                <w:color w:val="000000" w:themeColor="text1"/>
              </w:rPr>
              <w:t xml:space="preserve">even </w:t>
            </w:r>
            <w:r w:rsidR="00DE189C" w:rsidRPr="005A3F47">
              <w:rPr>
                <w:noProof/>
                <w:color w:val="000000" w:themeColor="text1"/>
              </w:rPr>
              <w:t xml:space="preserve">have </w:t>
            </w:r>
            <w:r w:rsidR="009B310C" w:rsidRPr="005A3F47">
              <w:rPr>
                <w:noProof/>
                <w:color w:val="000000" w:themeColor="text1"/>
              </w:rPr>
              <w:t xml:space="preserve">sufficient </w:t>
            </w:r>
            <w:r w:rsidR="00DE189C" w:rsidRPr="005A3F47">
              <w:rPr>
                <w:noProof/>
                <w:color w:val="000000" w:themeColor="text1"/>
              </w:rPr>
              <w:t>size</w:t>
            </w:r>
            <w:r w:rsidR="009B310C" w:rsidRPr="005A3F47">
              <w:rPr>
                <w:noProof/>
                <w:color w:val="000000" w:themeColor="text1"/>
              </w:rPr>
              <w:t xml:space="preserve"> or the </w:t>
            </w:r>
            <w:r w:rsidR="00761E2F" w:rsidRPr="005A3F47">
              <w:rPr>
                <w:noProof/>
                <w:color w:val="000000" w:themeColor="text1"/>
              </w:rPr>
              <w:t xml:space="preserve">type of </w:t>
            </w:r>
            <w:r w:rsidR="00DE189C" w:rsidRPr="005A3F47">
              <w:rPr>
                <w:noProof/>
                <w:color w:val="000000" w:themeColor="text1"/>
              </w:rPr>
              <w:t>structure or cross-border footprint</w:t>
            </w:r>
            <w:r w:rsidR="00761E2F" w:rsidRPr="005A3F47">
              <w:rPr>
                <w:noProof/>
                <w:color w:val="000000" w:themeColor="text1"/>
              </w:rPr>
              <w:t>,</w:t>
            </w:r>
            <w:r w:rsidR="00DE189C" w:rsidRPr="005A3F47">
              <w:rPr>
                <w:noProof/>
                <w:color w:val="000000" w:themeColor="text1"/>
              </w:rPr>
              <w:t xml:space="preserve"> to use the tax planning strategies, </w:t>
            </w:r>
            <w:r w:rsidR="006B134E" w:rsidRPr="005A3F47">
              <w:rPr>
                <w:noProof/>
                <w:color w:val="000000" w:themeColor="text1"/>
              </w:rPr>
              <w:t>compared to</w:t>
            </w:r>
            <w:r w:rsidR="00DE189C" w:rsidRPr="005A3F47">
              <w:rPr>
                <w:noProof/>
                <w:color w:val="000000" w:themeColor="text1"/>
              </w:rPr>
              <w:t xml:space="preserve"> large</w:t>
            </w:r>
            <w:r w:rsidR="006B134E" w:rsidRPr="005A3F47">
              <w:rPr>
                <w:noProof/>
                <w:color w:val="000000" w:themeColor="text1"/>
              </w:rPr>
              <w:t>r</w:t>
            </w:r>
            <w:r w:rsidR="00DE189C" w:rsidRPr="005A3F47">
              <w:rPr>
                <w:noProof/>
                <w:color w:val="000000" w:themeColor="text1"/>
              </w:rPr>
              <w:t xml:space="preserve"> enterprises </w:t>
            </w:r>
            <w:r w:rsidR="006B134E" w:rsidRPr="005A3F47">
              <w:rPr>
                <w:noProof/>
                <w:color w:val="000000" w:themeColor="text1"/>
              </w:rPr>
              <w:t>which are</w:t>
            </w:r>
            <w:r w:rsidR="00DE189C" w:rsidRPr="005A3F47">
              <w:rPr>
                <w:noProof/>
                <w:color w:val="000000" w:themeColor="text1"/>
              </w:rPr>
              <w:t xml:space="preserve"> more internationally active.</w:t>
            </w:r>
          </w:p>
        </w:tc>
      </w:tr>
    </w:tbl>
    <w:p w14:paraId="64C7C43C" w14:textId="77777777" w:rsidR="001A529D" w:rsidRPr="005A3F47" w:rsidRDefault="001A529D" w:rsidP="001A529D">
      <w:pPr>
        <w:spacing w:after="0"/>
        <w:rPr>
          <w:rFonts w:cstheme="minorHAns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1A529D" w:rsidRPr="005A3F47" w14:paraId="0C179506" w14:textId="77777777" w:rsidTr="00DE6B6A">
        <w:trPr>
          <w:trHeight w:val="300"/>
        </w:trPr>
        <w:tc>
          <w:tcPr>
            <w:tcW w:w="9288" w:type="dxa"/>
          </w:tcPr>
          <w:p w14:paraId="5EC02350" w14:textId="77777777" w:rsidR="001A529D" w:rsidRPr="005A3F47" w:rsidRDefault="001A529D" w:rsidP="00D77FFA">
            <w:pPr>
              <w:pStyle w:val="ListParagraph"/>
              <w:numPr>
                <w:ilvl w:val="0"/>
                <w:numId w:val="7"/>
              </w:numPr>
              <w:spacing w:after="0"/>
              <w:jc w:val="left"/>
              <w:rPr>
                <w:b/>
                <w:smallCaps/>
                <w:noProof/>
                <w:color w:val="000000" w:themeColor="text1"/>
                <w:sz w:val="24"/>
              </w:rPr>
            </w:pPr>
            <w:r w:rsidRPr="005A3F47">
              <w:rPr>
                <w:b/>
                <w:bCs/>
                <w:smallCaps/>
                <w:noProof/>
                <w:color w:val="000000" w:themeColor="text1"/>
              </w:rPr>
              <w:t>Assessment of impacts on SMEs</w:t>
            </w:r>
            <w:r w:rsidRPr="005A3F47">
              <w:rPr>
                <w:rStyle w:val="FootnoteReference"/>
                <w:b/>
                <w:bCs/>
                <w:smallCaps/>
                <w:noProof/>
                <w:color w:val="000000" w:themeColor="text1"/>
              </w:rPr>
              <w:footnoteReference w:id="137"/>
            </w:r>
          </w:p>
        </w:tc>
      </w:tr>
      <w:tr w:rsidR="001A529D" w:rsidRPr="005A3F47" w14:paraId="0690CDDD" w14:textId="77777777" w:rsidTr="00DE6B6A">
        <w:trPr>
          <w:trHeight w:val="300"/>
        </w:trPr>
        <w:tc>
          <w:tcPr>
            <w:tcW w:w="9288" w:type="dxa"/>
          </w:tcPr>
          <w:p w14:paraId="7FBCBC4D" w14:textId="010F545C" w:rsidR="001A529D" w:rsidRPr="005A3F47" w:rsidRDefault="001A529D">
            <w:pPr>
              <w:rPr>
                <w:noProof/>
                <w:color w:val="000000" w:themeColor="text1"/>
                <w:sz w:val="24"/>
              </w:rPr>
            </w:pPr>
            <w:r w:rsidRPr="005A3F47">
              <w:rPr>
                <w:b/>
                <w:bCs/>
                <w:noProof/>
                <w:color w:val="000000" w:themeColor="text1"/>
              </w:rPr>
              <w:t>What are the estimated direct costs for SMEs of the preferred policy option</w:t>
            </w:r>
            <w:r w:rsidRPr="005A3F47">
              <w:rPr>
                <w:b/>
                <w:bCs/>
                <w:i/>
                <w:iCs/>
                <w:noProof/>
                <w:color w:val="000000" w:themeColor="text1"/>
              </w:rPr>
              <w:t>?</w:t>
            </w:r>
            <w:r w:rsidRPr="005A3F47">
              <w:rPr>
                <w:noProof/>
                <w:color w:val="000000" w:themeColor="text1"/>
              </w:rPr>
              <w:t xml:space="preserve"> </w:t>
            </w:r>
          </w:p>
        </w:tc>
      </w:tr>
      <w:tr w:rsidR="001A529D" w:rsidRPr="005A3F47" w14:paraId="47B70558" w14:textId="77777777" w:rsidTr="00DE6B6A">
        <w:trPr>
          <w:trHeight w:val="300"/>
        </w:trPr>
        <w:tc>
          <w:tcPr>
            <w:tcW w:w="9288" w:type="dxa"/>
          </w:tcPr>
          <w:p w14:paraId="7C363C5F" w14:textId="77777777" w:rsidR="001A529D" w:rsidRPr="005A3F47" w:rsidRDefault="001A529D">
            <w:pPr>
              <w:rPr>
                <w:i/>
                <w:noProof/>
                <w:color w:val="000000" w:themeColor="text1"/>
                <w:sz w:val="24"/>
              </w:rPr>
            </w:pPr>
            <w:bookmarkStart w:id="406" w:name="_Hlk189835363"/>
            <w:r w:rsidRPr="005A3F47">
              <w:rPr>
                <w:b/>
                <w:bCs/>
                <w:i/>
                <w:iCs/>
                <w:noProof/>
                <w:color w:val="000000" w:themeColor="text1"/>
              </w:rPr>
              <w:t>Qualitative assessment</w:t>
            </w:r>
          </w:p>
        </w:tc>
      </w:tr>
      <w:tr w:rsidR="001A529D" w:rsidRPr="005A3F47" w14:paraId="7727A237" w14:textId="77777777" w:rsidTr="00DE6B6A">
        <w:trPr>
          <w:trHeight w:val="300"/>
        </w:trPr>
        <w:tc>
          <w:tcPr>
            <w:tcW w:w="9288" w:type="dxa"/>
          </w:tcPr>
          <w:p w14:paraId="5354CC1F" w14:textId="76E87061" w:rsidR="001A529D" w:rsidRPr="005A3F47" w:rsidRDefault="002E5F84">
            <w:pPr>
              <w:rPr>
                <w:i/>
                <w:noProof/>
                <w:color w:val="000000" w:themeColor="text1"/>
                <w:sz w:val="24"/>
              </w:rPr>
            </w:pPr>
            <w:r w:rsidRPr="005A3F47">
              <w:rPr>
                <w:noProof/>
                <w:color w:val="000000" w:themeColor="text1"/>
              </w:rPr>
              <w:t xml:space="preserve">The initiative should bring no or very limited direct costs for SMEs. </w:t>
            </w:r>
            <w:r w:rsidR="000139EB" w:rsidRPr="005A3F47">
              <w:rPr>
                <w:noProof/>
                <w:color w:val="000000" w:themeColor="text1"/>
              </w:rPr>
              <w:t xml:space="preserve">Like all companies, SMEs may need to </w:t>
            </w:r>
            <w:r w:rsidR="003827B6" w:rsidRPr="005A3F47">
              <w:rPr>
                <w:noProof/>
                <w:color w:val="000000" w:themeColor="text1"/>
              </w:rPr>
              <w:t>acquaint</w:t>
            </w:r>
            <w:r w:rsidR="00A30F5B" w:rsidRPr="005A3F47">
              <w:rPr>
                <w:noProof/>
                <w:color w:val="000000" w:themeColor="text1"/>
              </w:rPr>
              <w:t xml:space="preserve"> with</w:t>
            </w:r>
            <w:r w:rsidR="000139EB" w:rsidRPr="005A3F47">
              <w:rPr>
                <w:noProof/>
                <w:color w:val="000000" w:themeColor="text1"/>
              </w:rPr>
              <w:t xml:space="preserve"> some</w:t>
            </w:r>
            <w:r w:rsidR="00A30F5B" w:rsidRPr="005A3F47">
              <w:rPr>
                <w:noProof/>
                <w:color w:val="000000" w:themeColor="text1"/>
              </w:rPr>
              <w:t xml:space="preserve"> of the </w:t>
            </w:r>
            <w:r w:rsidR="0020747F" w:rsidRPr="005A3F47">
              <w:rPr>
                <w:noProof/>
                <w:color w:val="000000" w:themeColor="text1"/>
              </w:rPr>
              <w:t>simplified</w:t>
            </w:r>
            <w:r w:rsidR="00A30F5B" w:rsidRPr="005A3F47">
              <w:rPr>
                <w:noProof/>
                <w:color w:val="000000" w:themeColor="text1"/>
              </w:rPr>
              <w:t xml:space="preserve"> rules</w:t>
            </w:r>
            <w:r w:rsidR="0020747F" w:rsidRPr="005A3F47">
              <w:rPr>
                <w:noProof/>
                <w:color w:val="000000" w:themeColor="text1"/>
              </w:rPr>
              <w:t xml:space="preserve"> and clarifications, but the Omnibus </w:t>
            </w:r>
            <w:r w:rsidR="71E909EE" w:rsidRPr="005A3F47">
              <w:rPr>
                <w:noProof/>
              </w:rPr>
              <w:t xml:space="preserve">on Taxation </w:t>
            </w:r>
            <w:r w:rsidR="0020747F" w:rsidRPr="005A3F47">
              <w:rPr>
                <w:noProof/>
                <w:color w:val="000000" w:themeColor="text1"/>
              </w:rPr>
              <w:t xml:space="preserve">mainly brings exemptions </w:t>
            </w:r>
            <w:r w:rsidR="00413752" w:rsidRPr="005A3F47">
              <w:rPr>
                <w:noProof/>
                <w:color w:val="000000" w:themeColor="text1"/>
              </w:rPr>
              <w:t>regarding</w:t>
            </w:r>
            <w:r w:rsidR="00A74FED" w:rsidRPr="005A3F47">
              <w:rPr>
                <w:noProof/>
                <w:color w:val="000000" w:themeColor="text1"/>
              </w:rPr>
              <w:t xml:space="preserve"> SMEs. Thanks to the </w:t>
            </w:r>
            <w:r w:rsidR="001B43E6" w:rsidRPr="005A3F47">
              <w:rPr>
                <w:noProof/>
                <w:color w:val="000000" w:themeColor="text1"/>
              </w:rPr>
              <w:t>explicit carve-out</w:t>
            </w:r>
            <w:r w:rsidR="00A74FED" w:rsidRPr="005A3F47">
              <w:rPr>
                <w:noProof/>
                <w:color w:val="000000" w:themeColor="text1"/>
              </w:rPr>
              <w:t xml:space="preserve"> </w:t>
            </w:r>
            <w:r w:rsidR="001B43E6" w:rsidRPr="005A3F47">
              <w:rPr>
                <w:noProof/>
                <w:color w:val="000000" w:themeColor="text1"/>
              </w:rPr>
              <w:t>in favour</w:t>
            </w:r>
            <w:r w:rsidR="00A74FED" w:rsidRPr="005A3F47">
              <w:rPr>
                <w:noProof/>
                <w:color w:val="000000" w:themeColor="text1"/>
              </w:rPr>
              <w:t xml:space="preserve"> of SMEs from the CFC rules and </w:t>
            </w:r>
            <w:r w:rsidR="00351B41" w:rsidRPr="005A3F47">
              <w:rPr>
                <w:noProof/>
                <w:color w:val="000000" w:themeColor="text1"/>
              </w:rPr>
              <w:t xml:space="preserve">de facto exclusion from </w:t>
            </w:r>
            <w:r w:rsidR="00A74FED" w:rsidRPr="005A3F47">
              <w:rPr>
                <w:noProof/>
                <w:color w:val="000000" w:themeColor="text1"/>
              </w:rPr>
              <w:t>the interest limitation rule, SMEs</w:t>
            </w:r>
            <w:r w:rsidR="00677EE8" w:rsidRPr="005A3F47">
              <w:rPr>
                <w:noProof/>
                <w:color w:val="000000" w:themeColor="text1"/>
              </w:rPr>
              <w:t xml:space="preserve"> will not be concerned by the mandatory application (and therefore legislative change with a one-off cost) of Model A under CFC, nor by </w:t>
            </w:r>
            <w:r w:rsidR="00A802DA" w:rsidRPr="005A3F47">
              <w:rPr>
                <w:noProof/>
                <w:color w:val="000000" w:themeColor="text1"/>
              </w:rPr>
              <w:t xml:space="preserve">the mandatory application of the existing </w:t>
            </w:r>
            <w:r w:rsidR="008315C3" w:rsidRPr="005A3F47">
              <w:rPr>
                <w:noProof/>
                <w:color w:val="000000" w:themeColor="text1"/>
              </w:rPr>
              <w:t>options</w:t>
            </w:r>
            <w:r w:rsidR="00A802DA" w:rsidRPr="005A3F47">
              <w:rPr>
                <w:noProof/>
                <w:color w:val="000000" w:themeColor="text1"/>
              </w:rPr>
              <w:t xml:space="preserve"> for the </w:t>
            </w:r>
            <w:r w:rsidR="008315C3" w:rsidRPr="005A3F47">
              <w:rPr>
                <w:noProof/>
                <w:color w:val="000000" w:themeColor="text1"/>
              </w:rPr>
              <w:t xml:space="preserve">interest limitation rule. </w:t>
            </w:r>
          </w:p>
        </w:tc>
      </w:tr>
      <w:tr w:rsidR="001A529D" w:rsidRPr="005A3F47" w14:paraId="47F6D1FA" w14:textId="77777777" w:rsidTr="00DE6B6A">
        <w:trPr>
          <w:trHeight w:val="300"/>
        </w:trPr>
        <w:tc>
          <w:tcPr>
            <w:tcW w:w="9288" w:type="dxa"/>
          </w:tcPr>
          <w:p w14:paraId="468719D5" w14:textId="77777777" w:rsidR="001A529D" w:rsidRPr="005A3F47" w:rsidRDefault="001A529D">
            <w:pPr>
              <w:rPr>
                <w:b/>
                <w:noProof/>
                <w:color w:val="000000" w:themeColor="text1"/>
                <w:sz w:val="24"/>
              </w:rPr>
            </w:pPr>
            <w:r w:rsidRPr="005A3F47">
              <w:rPr>
                <w:b/>
                <w:bCs/>
                <w:noProof/>
                <w:color w:val="000000" w:themeColor="text1"/>
              </w:rPr>
              <w:t>Quantitative assessment</w:t>
            </w:r>
          </w:p>
        </w:tc>
      </w:tr>
      <w:bookmarkEnd w:id="406"/>
      <w:tr w:rsidR="001A529D" w:rsidRPr="005A3F47" w14:paraId="1B47BADF" w14:textId="77777777" w:rsidTr="00DE6B6A">
        <w:trPr>
          <w:trHeight w:val="300"/>
        </w:trPr>
        <w:tc>
          <w:tcPr>
            <w:tcW w:w="9288" w:type="dxa"/>
          </w:tcPr>
          <w:p w14:paraId="62E2363D" w14:textId="621D7AC5" w:rsidR="001A529D" w:rsidRPr="005A3F47" w:rsidRDefault="001A529D">
            <w:pPr>
              <w:rPr>
                <w:i/>
                <w:noProof/>
                <w:color w:val="000000" w:themeColor="text1"/>
                <w:sz w:val="24"/>
              </w:rPr>
            </w:pPr>
          </w:p>
        </w:tc>
      </w:tr>
      <w:tr w:rsidR="001A529D" w:rsidRPr="005A3F47" w14:paraId="7C8C73D3" w14:textId="77777777" w:rsidTr="00DE6B6A">
        <w:trPr>
          <w:trHeight w:val="300"/>
        </w:trPr>
        <w:tc>
          <w:tcPr>
            <w:tcW w:w="9288" w:type="dxa"/>
          </w:tcPr>
          <w:p w14:paraId="29D8C864" w14:textId="77777777" w:rsidR="001A529D" w:rsidRPr="005A3F47" w:rsidRDefault="001A529D">
            <w:pPr>
              <w:rPr>
                <w:b/>
                <w:noProof/>
                <w:color w:val="000000" w:themeColor="text1"/>
                <w:sz w:val="24"/>
              </w:rPr>
            </w:pPr>
            <w:r w:rsidRPr="005A3F47">
              <w:rPr>
                <w:b/>
                <w:bCs/>
                <w:noProof/>
                <w:color w:val="000000" w:themeColor="text1"/>
              </w:rPr>
              <w:t>What are the estimated direct benefits/cost savings for SMEs of the preferred policy option</w:t>
            </w:r>
            <w:r w:rsidRPr="005A3F47">
              <w:rPr>
                <w:rStyle w:val="FootnoteReference"/>
                <w:b/>
                <w:bCs/>
                <w:noProof/>
                <w:color w:val="000000" w:themeColor="text1"/>
              </w:rPr>
              <w:footnoteReference w:id="138"/>
            </w:r>
            <w:r w:rsidRPr="005A3F47">
              <w:rPr>
                <w:b/>
                <w:bCs/>
                <w:noProof/>
                <w:color w:val="000000" w:themeColor="text1"/>
              </w:rPr>
              <w:t>?</w:t>
            </w:r>
          </w:p>
        </w:tc>
      </w:tr>
      <w:tr w:rsidR="001A529D" w:rsidRPr="005A3F47" w14:paraId="606946B9" w14:textId="77777777" w:rsidTr="00DE6B6A">
        <w:trPr>
          <w:trHeight w:val="300"/>
        </w:trPr>
        <w:tc>
          <w:tcPr>
            <w:tcW w:w="9288" w:type="dxa"/>
          </w:tcPr>
          <w:p w14:paraId="33445B24" w14:textId="77777777" w:rsidR="001A529D" w:rsidRPr="005A3F47" w:rsidRDefault="001A529D">
            <w:pPr>
              <w:rPr>
                <w:noProof/>
                <w:color w:val="000000" w:themeColor="text1"/>
                <w:sz w:val="24"/>
              </w:rPr>
            </w:pPr>
            <w:r w:rsidRPr="005A3F47">
              <w:rPr>
                <w:b/>
                <w:bCs/>
                <w:noProof/>
                <w:color w:val="000000" w:themeColor="text1"/>
              </w:rPr>
              <w:t>Qualitative assessment</w:t>
            </w:r>
          </w:p>
        </w:tc>
      </w:tr>
      <w:tr w:rsidR="001A529D" w:rsidRPr="005A3F47" w14:paraId="25F683E2" w14:textId="77777777" w:rsidTr="00DE6B6A">
        <w:trPr>
          <w:trHeight w:val="300"/>
        </w:trPr>
        <w:tc>
          <w:tcPr>
            <w:tcW w:w="9288" w:type="dxa"/>
          </w:tcPr>
          <w:p w14:paraId="41CB0E75" w14:textId="4B9C18B2" w:rsidR="001A529D" w:rsidRPr="005A3F47" w:rsidRDefault="0055662B">
            <w:pPr>
              <w:rPr>
                <w:noProof/>
                <w:color w:val="000000" w:themeColor="text1"/>
                <w:sz w:val="24"/>
              </w:rPr>
            </w:pPr>
            <w:r w:rsidRPr="005A3F47">
              <w:rPr>
                <w:noProof/>
                <w:color w:val="000000" w:themeColor="text1"/>
              </w:rPr>
              <w:t>In principle, a</w:t>
            </w:r>
            <w:r w:rsidR="00233E4E" w:rsidRPr="005A3F47">
              <w:rPr>
                <w:noProof/>
                <w:color w:val="000000" w:themeColor="text1"/>
              </w:rPr>
              <w:t xml:space="preserve">ny impact of the policy options will not differ between large companies and </w:t>
            </w:r>
            <w:r w:rsidR="00DD7B0B" w:rsidRPr="005A3F47">
              <w:rPr>
                <w:noProof/>
                <w:color w:val="000000" w:themeColor="text1"/>
              </w:rPr>
              <w:t>SMEs</w:t>
            </w:r>
            <w:r w:rsidR="001A7674" w:rsidRPr="005A3F47">
              <w:rPr>
                <w:noProof/>
                <w:color w:val="000000" w:themeColor="text1"/>
              </w:rPr>
              <w:t xml:space="preserve">. </w:t>
            </w:r>
            <w:r w:rsidR="008F4DAC" w:rsidRPr="005A3F47">
              <w:rPr>
                <w:noProof/>
                <w:color w:val="000000" w:themeColor="text1"/>
              </w:rPr>
              <w:t xml:space="preserve">In addition, the </w:t>
            </w:r>
            <w:r w:rsidR="00A159F3" w:rsidRPr="005A3F47">
              <w:rPr>
                <w:noProof/>
                <w:color w:val="000000" w:themeColor="text1"/>
              </w:rPr>
              <w:t xml:space="preserve">Omnibus </w:t>
            </w:r>
            <w:r w:rsidR="6FCA7735" w:rsidRPr="005A3F47">
              <w:rPr>
                <w:noProof/>
              </w:rPr>
              <w:t xml:space="preserve">on Taxation </w:t>
            </w:r>
            <w:r w:rsidR="00A159F3" w:rsidRPr="005A3F47">
              <w:rPr>
                <w:noProof/>
                <w:color w:val="000000" w:themeColor="text1"/>
              </w:rPr>
              <w:t xml:space="preserve">includes </w:t>
            </w:r>
            <w:r w:rsidR="00AF129F" w:rsidRPr="005A3F47">
              <w:rPr>
                <w:noProof/>
                <w:color w:val="000000" w:themeColor="text1"/>
              </w:rPr>
              <w:t xml:space="preserve">measures </w:t>
            </w:r>
            <w:r w:rsidR="00D27D7F" w:rsidRPr="005A3F47">
              <w:rPr>
                <w:noProof/>
                <w:color w:val="000000" w:themeColor="text1"/>
              </w:rPr>
              <w:t>in favour of</w:t>
            </w:r>
            <w:r w:rsidR="00AF129F" w:rsidRPr="005A3F47">
              <w:rPr>
                <w:noProof/>
                <w:color w:val="000000" w:themeColor="text1"/>
              </w:rPr>
              <w:t xml:space="preserve"> SMEs: a </w:t>
            </w:r>
            <w:r w:rsidR="00D27D7F" w:rsidRPr="005A3F47">
              <w:rPr>
                <w:noProof/>
                <w:color w:val="000000" w:themeColor="text1"/>
              </w:rPr>
              <w:t xml:space="preserve">targeted </w:t>
            </w:r>
            <w:r w:rsidR="00AF129F" w:rsidRPr="005A3F47">
              <w:rPr>
                <w:noProof/>
                <w:color w:val="000000" w:themeColor="text1"/>
              </w:rPr>
              <w:t xml:space="preserve">carveout from the CFC rules and </w:t>
            </w:r>
            <w:r w:rsidR="00D27D7F" w:rsidRPr="005A3F47">
              <w:rPr>
                <w:noProof/>
                <w:color w:val="000000" w:themeColor="text1"/>
              </w:rPr>
              <w:t xml:space="preserve">a de facto exclusion </w:t>
            </w:r>
            <w:r w:rsidR="00AF129F" w:rsidRPr="005A3F47">
              <w:rPr>
                <w:noProof/>
                <w:color w:val="000000" w:themeColor="text1"/>
              </w:rPr>
              <w:t xml:space="preserve">from the interest limitation rule of the ATAD. </w:t>
            </w:r>
            <w:r w:rsidR="00233E4E" w:rsidRPr="005A3F47">
              <w:rPr>
                <w:noProof/>
                <w:color w:val="000000" w:themeColor="text1"/>
              </w:rPr>
              <w:t xml:space="preserve"> </w:t>
            </w:r>
          </w:p>
        </w:tc>
      </w:tr>
      <w:tr w:rsidR="001A529D" w:rsidRPr="005A3F47" w14:paraId="7335B520" w14:textId="77777777" w:rsidTr="00DE6B6A">
        <w:trPr>
          <w:trHeight w:val="300"/>
        </w:trPr>
        <w:tc>
          <w:tcPr>
            <w:tcW w:w="9288" w:type="dxa"/>
          </w:tcPr>
          <w:p w14:paraId="7D2E45B9" w14:textId="77777777" w:rsidR="001A529D" w:rsidRPr="005A3F47" w:rsidRDefault="001A529D">
            <w:pPr>
              <w:rPr>
                <w:noProof/>
                <w:color w:val="000000" w:themeColor="text1"/>
                <w:sz w:val="24"/>
              </w:rPr>
            </w:pPr>
            <w:r w:rsidRPr="005A3F47">
              <w:rPr>
                <w:b/>
                <w:bCs/>
                <w:noProof/>
                <w:color w:val="000000" w:themeColor="text1"/>
              </w:rPr>
              <w:t>Quantitative assessment</w:t>
            </w:r>
          </w:p>
        </w:tc>
      </w:tr>
      <w:tr w:rsidR="001A529D" w:rsidRPr="005A3F47" w14:paraId="3CBC6550" w14:textId="77777777" w:rsidTr="00DE6B6A">
        <w:trPr>
          <w:trHeight w:val="300"/>
        </w:trPr>
        <w:tc>
          <w:tcPr>
            <w:tcW w:w="9288" w:type="dxa"/>
          </w:tcPr>
          <w:p w14:paraId="6E72949E" w14:textId="4477EC1A" w:rsidR="001A529D" w:rsidRPr="00266412" w:rsidRDefault="00AF129F">
            <w:pPr>
              <w:rPr>
                <w:noProof/>
                <w:color w:val="000000" w:themeColor="text1"/>
                <w:sz w:val="24"/>
              </w:rPr>
            </w:pPr>
            <w:r w:rsidRPr="005A3F47">
              <w:rPr>
                <w:noProof/>
                <w:color w:val="000000" w:themeColor="text1"/>
              </w:rPr>
              <w:t xml:space="preserve">SMEs </w:t>
            </w:r>
            <w:r w:rsidR="00F13AE6" w:rsidRPr="005A3F47">
              <w:rPr>
                <w:noProof/>
                <w:color w:val="000000" w:themeColor="text1"/>
              </w:rPr>
              <w:t xml:space="preserve">in line with the Commission objective to </w:t>
            </w:r>
            <w:r w:rsidR="00283EC5" w:rsidRPr="005A3F47">
              <w:rPr>
                <w:noProof/>
                <w:color w:val="000000" w:themeColor="text1"/>
              </w:rPr>
              <w:t xml:space="preserve">prioritise </w:t>
            </w:r>
            <w:r w:rsidR="004647DB" w:rsidRPr="005A3F47">
              <w:rPr>
                <w:noProof/>
                <w:color w:val="000000" w:themeColor="text1"/>
              </w:rPr>
              <w:t xml:space="preserve">burden reduction for SMEs (35%, compared to 25% generally), the specific </w:t>
            </w:r>
            <w:r w:rsidR="003520D6" w:rsidRPr="005A3F47">
              <w:rPr>
                <w:noProof/>
                <w:color w:val="000000" w:themeColor="text1"/>
              </w:rPr>
              <w:t>exemption</w:t>
            </w:r>
            <w:r w:rsidR="00FA65D9" w:rsidRPr="005A3F47">
              <w:rPr>
                <w:noProof/>
                <w:color w:val="000000" w:themeColor="text1"/>
              </w:rPr>
              <w:t xml:space="preserve"> of</w:t>
            </w:r>
            <w:r w:rsidR="003520D6" w:rsidRPr="005A3F47">
              <w:rPr>
                <w:noProof/>
                <w:color w:val="000000" w:themeColor="text1"/>
              </w:rPr>
              <w:t xml:space="preserve"> SMEs </w:t>
            </w:r>
            <w:r w:rsidR="00FA65D9" w:rsidRPr="005A3F47">
              <w:rPr>
                <w:noProof/>
                <w:color w:val="000000" w:themeColor="text1"/>
              </w:rPr>
              <w:t xml:space="preserve">from </w:t>
            </w:r>
            <w:r w:rsidR="006C2A16" w:rsidRPr="005A3F47">
              <w:rPr>
                <w:noProof/>
                <w:color w:val="000000" w:themeColor="text1"/>
              </w:rPr>
              <w:t xml:space="preserve">CFC rules and </w:t>
            </w:r>
            <w:r w:rsidR="007E04DA" w:rsidRPr="005A3F47">
              <w:rPr>
                <w:noProof/>
                <w:color w:val="000000" w:themeColor="text1"/>
              </w:rPr>
              <w:t xml:space="preserve">the </w:t>
            </w:r>
            <w:r w:rsidR="00FA65D9" w:rsidRPr="005A3F47">
              <w:rPr>
                <w:noProof/>
                <w:color w:val="000000" w:themeColor="text1"/>
              </w:rPr>
              <w:t xml:space="preserve">de facto </w:t>
            </w:r>
            <w:r w:rsidR="007E04DA" w:rsidRPr="005A3F47">
              <w:rPr>
                <w:noProof/>
                <w:color w:val="000000" w:themeColor="text1"/>
              </w:rPr>
              <w:t>carve-out from</w:t>
            </w:r>
            <w:r w:rsidR="006C2A16" w:rsidRPr="005A3F47">
              <w:rPr>
                <w:noProof/>
                <w:color w:val="000000" w:themeColor="text1"/>
              </w:rPr>
              <w:t xml:space="preserve"> the interest limitation rule</w:t>
            </w:r>
            <w:r w:rsidR="003520D6" w:rsidRPr="005A3F47">
              <w:rPr>
                <w:noProof/>
                <w:color w:val="000000" w:themeColor="text1"/>
              </w:rPr>
              <w:t xml:space="preserve"> are estimated to bring </w:t>
            </w:r>
            <w:r w:rsidR="000725E6" w:rsidRPr="005A3F47">
              <w:rPr>
                <w:noProof/>
                <w:color w:val="000000" w:themeColor="text1"/>
              </w:rPr>
              <w:t>additional cost savings of around</w:t>
            </w:r>
            <w:r w:rsidR="003520D6" w:rsidRPr="005A3F47">
              <w:rPr>
                <w:noProof/>
                <w:color w:val="000000" w:themeColor="text1"/>
              </w:rPr>
              <w:t xml:space="preserve"> EUR </w:t>
            </w:r>
            <w:r w:rsidR="002439FB" w:rsidRPr="005A3F47">
              <w:rPr>
                <w:noProof/>
                <w:color w:val="000000" w:themeColor="text1"/>
              </w:rPr>
              <w:t xml:space="preserve">90 million </w:t>
            </w:r>
            <w:r w:rsidR="000725E6" w:rsidRPr="005A3F47">
              <w:rPr>
                <w:noProof/>
                <w:color w:val="000000" w:themeColor="text1"/>
              </w:rPr>
              <w:t>per year</w:t>
            </w:r>
            <w:r w:rsidR="002439FB" w:rsidRPr="005A3F47">
              <w:rPr>
                <w:noProof/>
                <w:color w:val="000000" w:themeColor="text1"/>
              </w:rPr>
              <w:t xml:space="preserve"> respectively EUR </w:t>
            </w:r>
            <w:r w:rsidR="00CC729A" w:rsidRPr="005A3F47">
              <w:rPr>
                <w:noProof/>
                <w:color w:val="000000" w:themeColor="text1"/>
              </w:rPr>
              <w:t>33</w:t>
            </w:r>
            <w:r w:rsidR="000725E6" w:rsidRPr="005A3F47">
              <w:rPr>
                <w:noProof/>
                <w:color w:val="000000" w:themeColor="text1"/>
              </w:rPr>
              <w:t xml:space="preserve"> million per year, on top of the general cost savings from the other </w:t>
            </w:r>
            <w:r w:rsidR="00A10493" w:rsidRPr="005A3F47">
              <w:rPr>
                <w:noProof/>
                <w:color w:val="000000" w:themeColor="text1"/>
              </w:rPr>
              <w:t xml:space="preserve">simplification </w:t>
            </w:r>
            <w:r w:rsidR="007A5011" w:rsidRPr="005A3F47">
              <w:rPr>
                <w:noProof/>
                <w:color w:val="000000" w:themeColor="text1"/>
              </w:rPr>
              <w:t xml:space="preserve">measures, </w:t>
            </w:r>
            <w:r w:rsidR="00A10493" w:rsidRPr="005A3F47">
              <w:rPr>
                <w:noProof/>
                <w:color w:val="000000" w:themeColor="text1"/>
              </w:rPr>
              <w:t xml:space="preserve">which will benefit </w:t>
            </w:r>
            <w:r w:rsidR="002442F7" w:rsidRPr="005A3F47">
              <w:rPr>
                <w:noProof/>
                <w:color w:val="000000" w:themeColor="text1"/>
              </w:rPr>
              <w:t xml:space="preserve">both SMEs and larger </w:t>
            </w:r>
            <w:r w:rsidR="16198908" w:rsidRPr="005A3F47">
              <w:rPr>
                <w:noProof/>
              </w:rPr>
              <w:t xml:space="preserve"> businesses</w:t>
            </w:r>
            <w:r w:rsidR="002442F7" w:rsidRPr="005A3F47">
              <w:rPr>
                <w:noProof/>
                <w:color w:val="000000" w:themeColor="text1"/>
              </w:rPr>
              <w:t xml:space="preserve">. </w:t>
            </w:r>
            <w:r w:rsidR="000725E6" w:rsidRPr="005A3F47">
              <w:rPr>
                <w:noProof/>
                <w:color w:val="000000" w:themeColor="text1"/>
              </w:rPr>
              <w:t xml:space="preserve"> </w:t>
            </w:r>
            <w:r w:rsidR="004647DB" w:rsidRPr="005A3F47">
              <w:rPr>
                <w:noProof/>
                <w:color w:val="000000" w:themeColor="text1"/>
              </w:rPr>
              <w:t xml:space="preserve"> </w:t>
            </w:r>
          </w:p>
        </w:tc>
      </w:tr>
      <w:tr w:rsidR="001A529D" w:rsidRPr="005A3F47" w14:paraId="44757A97" w14:textId="77777777" w:rsidTr="00DE6B6A">
        <w:trPr>
          <w:trHeight w:val="300"/>
        </w:trPr>
        <w:tc>
          <w:tcPr>
            <w:tcW w:w="9288" w:type="dxa"/>
          </w:tcPr>
          <w:p w14:paraId="228787E7" w14:textId="77777777" w:rsidR="001A529D" w:rsidRPr="005A3F47" w:rsidRDefault="001A529D">
            <w:pPr>
              <w:rPr>
                <w:b/>
                <w:noProof/>
                <w:color w:val="000000" w:themeColor="text1"/>
                <w:sz w:val="24"/>
              </w:rPr>
            </w:pPr>
            <w:r w:rsidRPr="005A3F47">
              <w:rPr>
                <w:b/>
                <w:bCs/>
                <w:noProof/>
                <w:color w:val="000000" w:themeColor="text1"/>
              </w:rPr>
              <w:t xml:space="preserve">What are the indirect impacts of this initiative on SMEs? </w:t>
            </w:r>
            <w:r w:rsidRPr="005A3F47">
              <w:rPr>
                <w:i/>
                <w:iCs/>
                <w:noProof/>
                <w:color w:val="000000" w:themeColor="text1"/>
              </w:rPr>
              <w:t>(Fill in only if step 1 flags indirect impacts)</w:t>
            </w:r>
          </w:p>
        </w:tc>
      </w:tr>
      <w:tr w:rsidR="001A529D" w:rsidRPr="005A3F47" w14:paraId="3C645B1D" w14:textId="77777777" w:rsidTr="00DE6B6A">
        <w:trPr>
          <w:trHeight w:val="300"/>
        </w:trPr>
        <w:tc>
          <w:tcPr>
            <w:tcW w:w="9288" w:type="dxa"/>
          </w:tcPr>
          <w:p w14:paraId="69ECCC3E" w14:textId="1A848C03" w:rsidR="001A529D" w:rsidRPr="005A3F47" w:rsidRDefault="007D491A">
            <w:pPr>
              <w:rPr>
                <w:noProof/>
                <w:color w:val="000000" w:themeColor="text1"/>
                <w:sz w:val="24"/>
              </w:rPr>
            </w:pPr>
            <w:r w:rsidRPr="005A3F47">
              <w:rPr>
                <w:noProof/>
                <w:color w:val="000000" w:themeColor="text1"/>
              </w:rPr>
              <w:t>n/a</w:t>
            </w:r>
          </w:p>
        </w:tc>
      </w:tr>
    </w:tbl>
    <w:p w14:paraId="71083349" w14:textId="77777777" w:rsidR="001A529D" w:rsidRPr="005A3F47" w:rsidRDefault="001A529D" w:rsidP="001A529D">
      <w:pPr>
        <w:spacing w:after="0"/>
        <w:rPr>
          <w:b/>
          <w:bCs/>
          <w:noProof/>
          <w:color w:val="000000" w:themeColor="text1"/>
        </w:rPr>
      </w:pPr>
    </w:p>
    <w:tbl>
      <w:tblPr>
        <w:tblStyle w:val="TableGrid"/>
        <w:tblW w:w="0" w:type="auto"/>
        <w:tblLook w:val="04A0" w:firstRow="1" w:lastRow="0" w:firstColumn="1" w:lastColumn="0" w:noHBand="0" w:noVBand="1"/>
      </w:tblPr>
      <w:tblGrid>
        <w:gridCol w:w="9288"/>
      </w:tblGrid>
      <w:tr w:rsidR="001A529D" w:rsidRPr="005A3F47" w14:paraId="587DFDF4" w14:textId="77777777" w:rsidTr="00DE6B6A">
        <w:tc>
          <w:tcPr>
            <w:tcW w:w="9288" w:type="dxa"/>
          </w:tcPr>
          <w:p w14:paraId="62A469DC" w14:textId="77777777" w:rsidR="001A529D" w:rsidRPr="005A3F47" w:rsidRDefault="001A529D" w:rsidP="00D77FFA">
            <w:pPr>
              <w:pStyle w:val="ListParagraph"/>
              <w:numPr>
                <w:ilvl w:val="0"/>
                <w:numId w:val="7"/>
              </w:numPr>
              <w:spacing w:after="0"/>
              <w:jc w:val="left"/>
              <w:rPr>
                <w:b/>
                <w:bCs/>
                <w:smallCaps/>
                <w:noProof/>
                <w:color w:val="000000" w:themeColor="text1"/>
              </w:rPr>
            </w:pPr>
            <w:r w:rsidRPr="005A3F47">
              <w:rPr>
                <w:b/>
                <w:bCs/>
                <w:smallCaps/>
                <w:noProof/>
                <w:color w:val="000000" w:themeColor="text1"/>
              </w:rPr>
              <w:t>Minimising negative impacts on SMEs</w:t>
            </w:r>
          </w:p>
        </w:tc>
      </w:tr>
      <w:tr w:rsidR="001A529D" w:rsidRPr="005A3F47" w14:paraId="3CC278F3" w14:textId="77777777" w:rsidTr="00DE6B6A">
        <w:tc>
          <w:tcPr>
            <w:tcW w:w="9288" w:type="dxa"/>
          </w:tcPr>
          <w:p w14:paraId="74845C18" w14:textId="77777777" w:rsidR="001A529D" w:rsidRPr="005A3F47" w:rsidRDefault="001A529D">
            <w:pPr>
              <w:rPr>
                <w:noProof/>
                <w:color w:val="000000" w:themeColor="text1"/>
              </w:rPr>
            </w:pPr>
            <w:r w:rsidRPr="005A3F47">
              <w:rPr>
                <w:b/>
                <w:bCs/>
                <w:noProof/>
                <w:color w:val="000000" w:themeColor="text1"/>
              </w:rPr>
              <w:t xml:space="preserve">Are SMEs disproportionately affected compared to large companies? </w:t>
            </w:r>
            <w:r w:rsidRPr="005A3F47">
              <w:rPr>
                <w:noProof/>
                <w:color w:val="000000" w:themeColor="text1"/>
              </w:rPr>
              <w:t>(</w:t>
            </w:r>
            <w:r w:rsidRPr="005A3F47">
              <w:rPr>
                <w:i/>
                <w:iCs/>
                <w:noProof/>
                <w:color w:val="000000" w:themeColor="text1"/>
              </w:rPr>
              <w:t>Yes/No)</w:t>
            </w:r>
          </w:p>
          <w:p w14:paraId="14CDF87C" w14:textId="77777777" w:rsidR="001A529D" w:rsidRPr="005A3F47" w:rsidRDefault="001A529D">
            <w:pPr>
              <w:rPr>
                <w:b/>
                <w:bCs/>
                <w:noProof/>
                <w:color w:val="000000" w:themeColor="text1"/>
              </w:rPr>
            </w:pPr>
            <w:r w:rsidRPr="005A3F47">
              <w:rPr>
                <w:b/>
                <w:bCs/>
                <w:noProof/>
                <w:color w:val="000000" w:themeColor="text1"/>
              </w:rPr>
              <w:t>If yes, are there any specific subgroups</w:t>
            </w:r>
            <w:r w:rsidRPr="005A3F47">
              <w:rPr>
                <w:noProof/>
              </w:rPr>
              <w:t xml:space="preserve"> </w:t>
            </w:r>
            <w:r w:rsidRPr="005A3F47">
              <w:rPr>
                <w:b/>
                <w:bCs/>
                <w:noProof/>
                <w:color w:val="000000" w:themeColor="text1"/>
              </w:rPr>
              <w:t>of SMEs more exposed than others?</w:t>
            </w:r>
          </w:p>
        </w:tc>
      </w:tr>
      <w:tr w:rsidR="001A529D" w:rsidRPr="005A3F47" w14:paraId="1B5A1C72" w14:textId="77777777" w:rsidTr="00DE6B6A">
        <w:tc>
          <w:tcPr>
            <w:tcW w:w="9288" w:type="dxa"/>
          </w:tcPr>
          <w:p w14:paraId="0BA6DC32" w14:textId="06B81A24" w:rsidR="001A529D" w:rsidRPr="005A3F47" w:rsidRDefault="00111037">
            <w:pPr>
              <w:rPr>
                <w:i/>
                <w:iCs/>
                <w:noProof/>
                <w:color w:val="000000" w:themeColor="text1"/>
              </w:rPr>
            </w:pPr>
            <w:r w:rsidRPr="005A3F47">
              <w:rPr>
                <w:noProof/>
                <w:color w:val="000000" w:themeColor="text1"/>
              </w:rPr>
              <w:t xml:space="preserve">SMEs are disproportionately affected compared to large companies under the baseline scenario </w:t>
            </w:r>
            <w:r w:rsidR="00C41FBD" w:rsidRPr="005A3F47">
              <w:rPr>
                <w:noProof/>
                <w:color w:val="000000" w:themeColor="text1"/>
              </w:rPr>
              <w:t xml:space="preserve">because SMEs </w:t>
            </w:r>
            <w:r w:rsidR="00BD5226" w:rsidRPr="005A3F47">
              <w:rPr>
                <w:noProof/>
                <w:color w:val="000000" w:themeColor="text1"/>
              </w:rPr>
              <w:t>currently bear higher tax compliance costs in proportion to their size</w:t>
            </w:r>
            <w:r w:rsidR="004473DC" w:rsidRPr="005A3F47">
              <w:rPr>
                <w:noProof/>
                <w:color w:val="000000" w:themeColor="text1"/>
              </w:rPr>
              <w:t xml:space="preserve">. To address this issue in the area of EU direct tax legislation, the Omnibus </w:t>
            </w:r>
            <w:r w:rsidR="6C0B9BBE" w:rsidRPr="005A3F47">
              <w:rPr>
                <w:noProof/>
              </w:rPr>
              <w:t xml:space="preserve">on Taxation </w:t>
            </w:r>
            <w:r w:rsidR="004473DC" w:rsidRPr="005A3F47">
              <w:rPr>
                <w:noProof/>
                <w:color w:val="000000" w:themeColor="text1"/>
              </w:rPr>
              <w:t xml:space="preserve">proposes </w:t>
            </w:r>
            <w:r w:rsidR="00FB69C8" w:rsidRPr="005A3F47">
              <w:rPr>
                <w:noProof/>
                <w:color w:val="000000" w:themeColor="text1"/>
              </w:rPr>
              <w:t xml:space="preserve">explicit and de facto </w:t>
            </w:r>
            <w:r w:rsidR="00D95B17" w:rsidRPr="005A3F47">
              <w:rPr>
                <w:noProof/>
                <w:color w:val="000000" w:themeColor="text1"/>
              </w:rPr>
              <w:t>exclusions</w:t>
            </w:r>
            <w:r w:rsidR="004473DC" w:rsidRPr="005A3F47">
              <w:rPr>
                <w:noProof/>
                <w:color w:val="000000" w:themeColor="text1"/>
              </w:rPr>
              <w:t xml:space="preserve"> </w:t>
            </w:r>
            <w:r w:rsidR="00FB69C8" w:rsidRPr="005A3F47">
              <w:rPr>
                <w:noProof/>
                <w:color w:val="000000" w:themeColor="text1"/>
              </w:rPr>
              <w:t>in favour of</w:t>
            </w:r>
            <w:r w:rsidR="004473DC" w:rsidRPr="005A3F47">
              <w:rPr>
                <w:noProof/>
                <w:color w:val="000000" w:themeColor="text1"/>
              </w:rPr>
              <w:t xml:space="preserve"> SMEs. </w:t>
            </w:r>
            <w:r w:rsidR="000B1539" w:rsidRPr="005A3F47">
              <w:rPr>
                <w:noProof/>
                <w:color w:val="000000" w:themeColor="text1"/>
              </w:rPr>
              <w:t xml:space="preserve">The Omnibus </w:t>
            </w:r>
            <w:r w:rsidR="5D829106" w:rsidRPr="005A3F47">
              <w:rPr>
                <w:noProof/>
              </w:rPr>
              <w:t>on Taxation</w:t>
            </w:r>
            <w:r w:rsidR="000B1539" w:rsidRPr="005A3F47">
              <w:rPr>
                <w:noProof/>
              </w:rPr>
              <w:t xml:space="preserve"> </w:t>
            </w:r>
            <w:r w:rsidR="000B1539" w:rsidRPr="005A3F47">
              <w:rPr>
                <w:noProof/>
                <w:color w:val="000000" w:themeColor="text1"/>
              </w:rPr>
              <w:t xml:space="preserve">should </w:t>
            </w:r>
            <w:r w:rsidR="008A64B6" w:rsidRPr="005A3F47">
              <w:rPr>
                <w:noProof/>
                <w:color w:val="000000" w:themeColor="text1"/>
              </w:rPr>
              <w:t>consequently</w:t>
            </w:r>
            <w:r w:rsidR="000B1539" w:rsidRPr="005A3F47">
              <w:rPr>
                <w:noProof/>
                <w:color w:val="000000" w:themeColor="text1"/>
              </w:rPr>
              <w:t xml:space="preserve"> </w:t>
            </w:r>
            <w:r w:rsidR="000F0723" w:rsidRPr="005A3F47">
              <w:rPr>
                <w:noProof/>
                <w:color w:val="000000" w:themeColor="text1"/>
              </w:rPr>
              <w:t xml:space="preserve">particularly benefit SMEs, thereby minimising any negative impacts </w:t>
            </w:r>
            <w:r w:rsidR="008A64B6" w:rsidRPr="005A3F47">
              <w:rPr>
                <w:noProof/>
                <w:color w:val="000000" w:themeColor="text1"/>
              </w:rPr>
              <w:t>thereon</w:t>
            </w:r>
            <w:r w:rsidR="000F0723" w:rsidRPr="005A3F47">
              <w:rPr>
                <w:noProof/>
                <w:color w:val="000000" w:themeColor="text1"/>
              </w:rPr>
              <w:t xml:space="preserve">. </w:t>
            </w:r>
          </w:p>
        </w:tc>
      </w:tr>
      <w:tr w:rsidR="001A529D" w:rsidRPr="005A3F47" w14:paraId="446D4864" w14:textId="77777777" w:rsidTr="00DE6B6A">
        <w:tc>
          <w:tcPr>
            <w:tcW w:w="9288" w:type="dxa"/>
          </w:tcPr>
          <w:p w14:paraId="6B01F051" w14:textId="77777777" w:rsidR="001A529D" w:rsidRPr="005A3F47" w:rsidRDefault="001A529D">
            <w:pPr>
              <w:rPr>
                <w:b/>
                <w:bCs/>
                <w:noProof/>
                <w:color w:val="000000" w:themeColor="text1"/>
              </w:rPr>
            </w:pPr>
            <w:r w:rsidRPr="005A3F47">
              <w:rPr>
                <w:b/>
                <w:bCs/>
                <w:noProof/>
                <w:color w:val="000000" w:themeColor="text1"/>
              </w:rPr>
              <w:t xml:space="preserve">Have mitigating measures been included in the preferred option/proposal? </w:t>
            </w:r>
            <w:r w:rsidRPr="005A3F47">
              <w:rPr>
                <w:noProof/>
                <w:color w:val="000000" w:themeColor="text1"/>
              </w:rPr>
              <w:t xml:space="preserve">(Yes/No) </w:t>
            </w:r>
          </w:p>
        </w:tc>
      </w:tr>
      <w:tr w:rsidR="001A529D" w:rsidRPr="005A3F47" w14:paraId="3348E78E" w14:textId="77777777" w:rsidTr="00DE6B6A">
        <w:tc>
          <w:tcPr>
            <w:tcW w:w="9288" w:type="dxa"/>
          </w:tcPr>
          <w:p w14:paraId="2F7EECA3" w14:textId="345046A7" w:rsidR="001A529D" w:rsidRPr="005A3F47" w:rsidRDefault="002203B4">
            <w:pPr>
              <w:rPr>
                <w:i/>
                <w:iCs/>
                <w:noProof/>
                <w:color w:val="000000" w:themeColor="text1"/>
              </w:rPr>
            </w:pPr>
            <w:r w:rsidRPr="005A3F47">
              <w:rPr>
                <w:noProof/>
                <w:color w:val="000000" w:themeColor="text1"/>
              </w:rPr>
              <w:t xml:space="preserve">As mentioned, the proposal includes measures specifically to alleviate compliance burdens for SMEs. </w:t>
            </w:r>
          </w:p>
        </w:tc>
      </w:tr>
    </w:tbl>
    <w:p w14:paraId="0EE81139" w14:textId="77777777" w:rsidR="001A529D" w:rsidRPr="005A3F47" w:rsidRDefault="001A529D" w:rsidP="001A529D">
      <w:pPr>
        <w:spacing w:after="0"/>
        <w:rPr>
          <w:b/>
          <w:bCs/>
          <w:smallCaps/>
          <w:noProof/>
          <w:color w:val="000000" w:themeColor="text1"/>
        </w:rPr>
      </w:pPr>
    </w:p>
    <w:tbl>
      <w:tblPr>
        <w:tblStyle w:val="TableGrid"/>
        <w:tblW w:w="9277" w:type="dxa"/>
        <w:tblLayout w:type="fixed"/>
        <w:tblLook w:val="06A0" w:firstRow="1" w:lastRow="0" w:firstColumn="1" w:lastColumn="0" w:noHBand="1" w:noVBand="1"/>
      </w:tblPr>
      <w:tblGrid>
        <w:gridCol w:w="9277"/>
      </w:tblGrid>
      <w:tr w:rsidR="001A529D" w:rsidRPr="005A3F47" w14:paraId="53204075" w14:textId="77777777" w:rsidTr="00DE6B6A">
        <w:trPr>
          <w:trHeight w:val="300"/>
        </w:trPr>
        <w:tc>
          <w:tcPr>
            <w:tcW w:w="9277" w:type="dxa"/>
          </w:tcPr>
          <w:p w14:paraId="77E97AFD" w14:textId="77777777" w:rsidR="001A529D" w:rsidRPr="005A3F47" w:rsidRDefault="001A529D">
            <w:pPr>
              <w:rPr>
                <w:b/>
                <w:bCs/>
                <w:smallCaps/>
                <w:noProof/>
                <w:color w:val="000000" w:themeColor="text1"/>
              </w:rPr>
            </w:pPr>
            <w:r w:rsidRPr="005A3F47">
              <w:rPr>
                <w:b/>
                <w:bCs/>
                <w:smallCaps/>
                <w:noProof/>
                <w:color w:val="000000" w:themeColor="text1"/>
              </w:rPr>
              <w:t>Contribution to the 35% burden reduction target for SMEs</w:t>
            </w:r>
          </w:p>
        </w:tc>
      </w:tr>
      <w:tr w:rsidR="001A529D" w:rsidRPr="005A3F47" w14:paraId="4D1F062C" w14:textId="77777777" w:rsidTr="00DE6B6A">
        <w:trPr>
          <w:trHeight w:val="300"/>
        </w:trPr>
        <w:tc>
          <w:tcPr>
            <w:tcW w:w="9277" w:type="dxa"/>
          </w:tcPr>
          <w:p w14:paraId="1755AEC9" w14:textId="77777777" w:rsidR="001A529D" w:rsidRPr="005A3F47" w:rsidRDefault="001A529D">
            <w:pPr>
              <w:rPr>
                <w:b/>
                <w:bCs/>
                <w:noProof/>
                <w:color w:val="000000" w:themeColor="text1"/>
              </w:rPr>
            </w:pPr>
            <w:r w:rsidRPr="005A3F47">
              <w:rPr>
                <w:b/>
                <w:bCs/>
                <w:noProof/>
                <w:color w:val="000000" w:themeColor="text1"/>
              </w:rPr>
              <w:t>Are there any administrative cost savings relevant for the 35% burden reduction target for SMEs?</w:t>
            </w:r>
          </w:p>
        </w:tc>
      </w:tr>
      <w:tr w:rsidR="001A529D" w:rsidRPr="005A3F47" w14:paraId="43B228FA" w14:textId="77777777" w:rsidTr="00DE6B6A">
        <w:trPr>
          <w:trHeight w:val="300"/>
        </w:trPr>
        <w:tc>
          <w:tcPr>
            <w:tcW w:w="9277" w:type="dxa"/>
          </w:tcPr>
          <w:p w14:paraId="3A3CA5D1" w14:textId="37CC0C5E" w:rsidR="001A529D" w:rsidRPr="005A3F47" w:rsidRDefault="0046296F">
            <w:pPr>
              <w:rPr>
                <w:noProof/>
                <w:color w:val="000000" w:themeColor="text1"/>
              </w:rPr>
            </w:pPr>
            <w:r w:rsidRPr="005A3F47">
              <w:rPr>
                <w:noProof/>
                <w:color w:val="000000" w:themeColor="text1"/>
              </w:rPr>
              <w:t xml:space="preserve">The proposal includes specific exemptions for SMEs in two areas, estimated to bring additional cost savings for SMEs of around EUR 90 million per year respectively EUR </w:t>
            </w:r>
            <w:r w:rsidR="00CC729A" w:rsidRPr="005A3F47">
              <w:rPr>
                <w:noProof/>
                <w:color w:val="000000" w:themeColor="text1"/>
              </w:rPr>
              <w:t>33</w:t>
            </w:r>
            <w:r w:rsidRPr="005A3F47">
              <w:rPr>
                <w:noProof/>
                <w:color w:val="000000" w:themeColor="text1"/>
              </w:rPr>
              <w:t xml:space="preserve"> million per year. This will contribute to the 35% burden reduction target for SMEs. </w:t>
            </w:r>
          </w:p>
        </w:tc>
      </w:tr>
    </w:tbl>
    <w:p w14:paraId="215E1C41" w14:textId="4AC97C1A" w:rsidR="00925012" w:rsidRPr="005A3F47" w:rsidRDefault="00925012">
      <w:pPr>
        <w:spacing w:after="200" w:line="276" w:lineRule="auto"/>
        <w:jc w:val="left"/>
        <w:rPr>
          <w:noProof/>
        </w:rPr>
      </w:pPr>
      <w:r w:rsidRPr="005A3F47">
        <w:rPr>
          <w:noProof/>
        </w:rPr>
        <w:br w:type="page"/>
      </w:r>
    </w:p>
    <w:p w14:paraId="1C5A834F" w14:textId="77777777" w:rsidR="00AC4A3C" w:rsidRPr="005A3F47" w:rsidRDefault="00925012" w:rsidP="00925012">
      <w:pPr>
        <w:pStyle w:val="AnnexTitle"/>
        <w:rPr>
          <w:noProof/>
          <w:lang w:val="en-IE"/>
        </w:rPr>
      </w:pPr>
      <w:bookmarkStart w:id="407" w:name="_Toc230258087"/>
      <w:r w:rsidRPr="005A3F47">
        <w:rPr>
          <w:noProof/>
          <w:lang w:val="en-IE"/>
        </w:rPr>
        <w:t xml:space="preserve">Annex 7: </w:t>
      </w:r>
      <w:r w:rsidR="00EE14F9" w:rsidRPr="005A3F47">
        <w:rPr>
          <w:noProof/>
          <w:lang w:val="en-IE"/>
        </w:rPr>
        <w:t xml:space="preserve"> Timeline of EU Directives in Direct Taxation</w:t>
      </w:r>
      <w:bookmarkEnd w:id="407"/>
    </w:p>
    <w:p w14:paraId="3FA8FD9A" w14:textId="7299ED22" w:rsidR="00415909" w:rsidRPr="005A3F47" w:rsidRDefault="00415909" w:rsidP="00415909">
      <w:pPr>
        <w:rPr>
          <w:noProof/>
          <w:lang w:val="en-IE"/>
        </w:rPr>
      </w:pPr>
      <w:r w:rsidRPr="005A3F47">
        <w:rPr>
          <w:noProof/>
          <w:lang w:val="en-IE"/>
        </w:rPr>
        <w:t>Over the last 35 years, the EU has adopted a relatively limited but highly influential body of legislation in the field of direct taxation, mainly targeting:</w:t>
      </w:r>
    </w:p>
    <w:p w14:paraId="5115CB8B" w14:textId="77777777" w:rsidR="00415909" w:rsidRPr="005A3F47" w:rsidRDefault="00415909" w:rsidP="00415909">
      <w:pPr>
        <w:numPr>
          <w:ilvl w:val="0"/>
          <w:numId w:val="190"/>
        </w:numPr>
        <w:rPr>
          <w:noProof/>
          <w:lang w:val="en-IE"/>
        </w:rPr>
      </w:pPr>
      <w:r w:rsidRPr="005A3F47">
        <w:rPr>
          <w:noProof/>
          <w:lang w:val="en-IE"/>
        </w:rPr>
        <w:t xml:space="preserve">corporate taxation, </w:t>
      </w:r>
    </w:p>
    <w:p w14:paraId="4C2E8217" w14:textId="77777777" w:rsidR="00415909" w:rsidRPr="005A3F47" w:rsidRDefault="00415909" w:rsidP="00415909">
      <w:pPr>
        <w:numPr>
          <w:ilvl w:val="0"/>
          <w:numId w:val="190"/>
        </w:numPr>
        <w:rPr>
          <w:noProof/>
          <w:lang w:val="en-IE"/>
        </w:rPr>
      </w:pPr>
      <w:r w:rsidRPr="005A3F47">
        <w:rPr>
          <w:noProof/>
          <w:lang w:val="en-IE"/>
        </w:rPr>
        <w:t xml:space="preserve">cross-border restructuring, </w:t>
      </w:r>
    </w:p>
    <w:p w14:paraId="2F418A18" w14:textId="77777777" w:rsidR="00415909" w:rsidRPr="005A3F47" w:rsidRDefault="00415909" w:rsidP="00415909">
      <w:pPr>
        <w:numPr>
          <w:ilvl w:val="0"/>
          <w:numId w:val="190"/>
        </w:numPr>
        <w:rPr>
          <w:noProof/>
          <w:lang w:val="en-IE"/>
        </w:rPr>
      </w:pPr>
      <w:r w:rsidRPr="005A3F47">
        <w:rPr>
          <w:noProof/>
          <w:lang w:val="en-IE"/>
        </w:rPr>
        <w:t xml:space="preserve">anti-tax avoidance, </w:t>
      </w:r>
    </w:p>
    <w:p w14:paraId="005B771D" w14:textId="77777777" w:rsidR="00415909" w:rsidRPr="005A3F47" w:rsidRDefault="00415909" w:rsidP="00415909">
      <w:pPr>
        <w:numPr>
          <w:ilvl w:val="0"/>
          <w:numId w:val="190"/>
        </w:numPr>
        <w:rPr>
          <w:noProof/>
          <w:lang w:val="en-IE"/>
        </w:rPr>
      </w:pPr>
      <w:r w:rsidRPr="005A3F47">
        <w:rPr>
          <w:noProof/>
          <w:lang w:val="en-IE"/>
        </w:rPr>
        <w:t xml:space="preserve">administrative cooperation, and </w:t>
      </w:r>
    </w:p>
    <w:p w14:paraId="4FF55672" w14:textId="77777777" w:rsidR="00415909" w:rsidRPr="005A3F47" w:rsidRDefault="00415909" w:rsidP="00415909">
      <w:pPr>
        <w:numPr>
          <w:ilvl w:val="0"/>
          <w:numId w:val="190"/>
        </w:numPr>
        <w:rPr>
          <w:noProof/>
          <w:lang w:val="en-IE"/>
        </w:rPr>
      </w:pPr>
      <w:r w:rsidRPr="005A3F47">
        <w:rPr>
          <w:noProof/>
          <w:lang w:val="en-IE"/>
        </w:rPr>
        <w:t xml:space="preserve">dispute resolution. </w:t>
      </w:r>
    </w:p>
    <w:p w14:paraId="12023520" w14:textId="6711E1DD" w:rsidR="00415909" w:rsidRPr="005A3F47" w:rsidRDefault="00415909" w:rsidP="00415909">
      <w:pPr>
        <w:rPr>
          <w:noProof/>
          <w:lang w:val="en-IE"/>
        </w:rPr>
      </w:pPr>
      <w:r w:rsidRPr="005A3F47">
        <w:rPr>
          <w:noProof/>
          <w:lang w:val="en-IE"/>
        </w:rPr>
        <w:t>Below is a chronological timeline of the principal directives</w:t>
      </w:r>
      <w:r w:rsidR="0007617B" w:rsidRPr="005A3F47">
        <w:rPr>
          <w:noProof/>
          <w:lang w:val="en-IE"/>
        </w:rPr>
        <w:t xml:space="preserve"> (excluding </w:t>
      </w:r>
      <w:r w:rsidR="00F24BD7" w:rsidRPr="005A3F47">
        <w:rPr>
          <w:noProof/>
          <w:lang w:val="en-IE"/>
        </w:rPr>
        <w:t>administrative corporation)</w:t>
      </w:r>
      <w:r w:rsidR="0007617B" w:rsidRPr="005A3F47">
        <w:rPr>
          <w:noProof/>
          <w:lang w:val="en-IE"/>
        </w:rPr>
        <w:t xml:space="preserve"> that has been a</w:t>
      </w:r>
      <w:r w:rsidR="00F24BD7" w:rsidRPr="005A3F47">
        <w:rPr>
          <w:noProof/>
          <w:lang w:val="en-IE"/>
        </w:rPr>
        <w:t>dopted within the</w:t>
      </w:r>
      <w:r w:rsidR="00E676AD" w:rsidRPr="005A3F47">
        <w:rPr>
          <w:noProof/>
          <w:lang w:val="en-IE"/>
        </w:rPr>
        <w:t xml:space="preserve"> area of direct taxation.</w:t>
      </w:r>
    </w:p>
    <w:p w14:paraId="362CB6AD" w14:textId="30A80107" w:rsidR="005D1976" w:rsidRPr="005A3F47" w:rsidRDefault="005D1976" w:rsidP="00DE6B6A">
      <w:pPr>
        <w:pStyle w:val="Caption"/>
        <w:keepNext/>
        <w:rPr>
          <w:noProof/>
          <w:color w:val="auto"/>
        </w:rPr>
      </w:pPr>
      <w:r w:rsidRPr="005A3F47">
        <w:rPr>
          <w:noProof/>
          <w:color w:val="auto"/>
        </w:rPr>
        <w:t xml:space="preserve">Figure </w:t>
      </w:r>
      <w:r w:rsidRPr="005A3F47">
        <w:rPr>
          <w:noProof/>
          <w:color w:val="auto"/>
        </w:rPr>
        <w:fldChar w:fldCharType="begin"/>
      </w:r>
      <w:r w:rsidRPr="005A3F47">
        <w:rPr>
          <w:noProof/>
          <w:color w:val="auto"/>
        </w:rPr>
        <w:instrText xml:space="preserve"> SEQ Figure \* ARABIC </w:instrText>
      </w:r>
      <w:r w:rsidRPr="005A3F47">
        <w:rPr>
          <w:noProof/>
          <w:color w:val="auto"/>
        </w:rPr>
        <w:fldChar w:fldCharType="separate"/>
      </w:r>
      <w:r w:rsidR="00CF3380">
        <w:rPr>
          <w:noProof/>
          <w:color w:val="auto"/>
        </w:rPr>
        <w:t>11</w:t>
      </w:r>
      <w:r w:rsidRPr="005A3F47">
        <w:rPr>
          <w:noProof/>
          <w:color w:val="auto"/>
        </w:rPr>
        <w:fldChar w:fldCharType="end"/>
      </w:r>
      <w:r w:rsidRPr="005A3F47">
        <w:rPr>
          <w:noProof/>
          <w:color w:val="auto"/>
        </w:rPr>
        <w:t xml:space="preserve">: </w:t>
      </w:r>
      <w:r w:rsidRPr="005A3F47">
        <w:rPr>
          <w:noProof/>
          <w:color w:val="auto"/>
          <w:lang w:val="fr-FR"/>
        </w:rPr>
        <w:t>Timeline of EU direct taxation directives</w:t>
      </w:r>
    </w:p>
    <w:p w14:paraId="4D5239C8" w14:textId="6F6BE0CB" w:rsidR="009D3D0F" w:rsidRPr="005A3F47" w:rsidRDefault="001472B0" w:rsidP="00415909">
      <w:pPr>
        <w:rPr>
          <w:noProof/>
          <w:lang w:val="en-IE"/>
        </w:rPr>
      </w:pPr>
      <w:r w:rsidRPr="005A3F47">
        <w:rPr>
          <w:noProof/>
          <w:lang w:eastAsia="en-GB"/>
        </w:rPr>
        <w:drawing>
          <wp:inline distT="0" distB="0" distL="0" distR="0" wp14:anchorId="79132CC9" wp14:editId="6FE85196">
            <wp:extent cx="5805170" cy="1765005"/>
            <wp:effectExtent l="0" t="0" r="0" b="0"/>
            <wp:docPr id="810881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a:fillRect/>
                    </a:stretch>
                  </pic:blipFill>
                  <pic:spPr bwMode="auto">
                    <a:xfrm>
                      <a:off x="0" y="0"/>
                      <a:ext cx="5846623" cy="1777608"/>
                    </a:xfrm>
                    <a:prstGeom prst="rect">
                      <a:avLst/>
                    </a:prstGeom>
                    <a:noFill/>
                    <a:ln>
                      <a:noFill/>
                    </a:ln>
                    <a:extLst>
                      <a:ext uri="{53640926-AAD7-44D8-BBD7-CCE9431645EC}">
                        <a14:shadowObscured xmlns:a14="http://schemas.microsoft.com/office/drawing/2010/main"/>
                      </a:ext>
                    </a:extLst>
                  </pic:spPr>
                </pic:pic>
              </a:graphicData>
            </a:graphic>
          </wp:inline>
        </w:drawing>
      </w:r>
    </w:p>
    <w:p w14:paraId="30CE19B9" w14:textId="0D7B71BF" w:rsidR="00EE14F9" w:rsidRPr="005A3F47" w:rsidRDefault="009B1812" w:rsidP="00EE14F9">
      <w:pPr>
        <w:rPr>
          <w:noProof/>
          <w:lang w:val="en-IE"/>
        </w:rPr>
      </w:pPr>
      <w:r>
        <w:rPr>
          <w:noProof/>
          <w:lang w:val="en-IE"/>
        </w:rPr>
        <w:pict w14:anchorId="6EF022FF">
          <v:rect id="_x0000_i1026" style="width:0;height:1.5pt" o:hralign="center" o:hrstd="t" o:hr="t" fillcolor="#a0a0a0" stroked="f"/>
        </w:pict>
      </w:r>
    </w:p>
    <w:p w14:paraId="7F407F84" w14:textId="77777777" w:rsidR="00E63D46" w:rsidRPr="005A3F47" w:rsidRDefault="00E63D46" w:rsidP="00E63D46">
      <w:pPr>
        <w:rPr>
          <w:b/>
          <w:bCs/>
          <w:noProof/>
          <w:lang w:val="en-IE"/>
        </w:rPr>
      </w:pPr>
      <w:r w:rsidRPr="005A3F47">
        <w:rPr>
          <w:b/>
          <w:bCs/>
          <w:noProof/>
          <w:lang w:val="en-IE"/>
        </w:rPr>
        <w:t>1990 — First Generation of Corporate Tax Directives</w:t>
      </w:r>
    </w:p>
    <w:p w14:paraId="6868F3FF" w14:textId="77777777" w:rsidR="00E63D46" w:rsidRPr="005A3F47" w:rsidRDefault="00E63D46" w:rsidP="00E63D46">
      <w:pPr>
        <w:rPr>
          <w:b/>
          <w:bCs/>
          <w:noProof/>
          <w:lang w:val="en-IE"/>
        </w:rPr>
      </w:pPr>
      <w:r w:rsidRPr="005A3F47">
        <w:rPr>
          <w:b/>
          <w:bCs/>
          <w:noProof/>
          <w:lang w:val="en-IE"/>
        </w:rPr>
        <w:t>Parent-Subsidiary Directive</w:t>
      </w:r>
    </w:p>
    <w:p w14:paraId="1D656005" w14:textId="77777777" w:rsidR="00E63D46" w:rsidRPr="005A3F47" w:rsidRDefault="00E63D46" w:rsidP="00E63D46">
      <w:pPr>
        <w:numPr>
          <w:ilvl w:val="0"/>
          <w:numId w:val="191"/>
        </w:numPr>
        <w:rPr>
          <w:noProof/>
          <w:lang w:val="en-IE"/>
        </w:rPr>
      </w:pPr>
      <w:r w:rsidRPr="005A3F47">
        <w:rPr>
          <w:b/>
          <w:bCs/>
          <w:noProof/>
          <w:lang w:val="en-IE"/>
        </w:rPr>
        <w:t>Directive 90/435/EEC</w:t>
      </w:r>
      <w:r w:rsidRPr="005A3F47">
        <w:rPr>
          <w:noProof/>
          <w:lang w:val="en-IE"/>
        </w:rPr>
        <w:t xml:space="preserve"> </w:t>
      </w:r>
    </w:p>
    <w:p w14:paraId="5521663F" w14:textId="77777777" w:rsidR="00E63D46" w:rsidRPr="005A3F47" w:rsidRDefault="00E63D46" w:rsidP="00E63D46">
      <w:pPr>
        <w:numPr>
          <w:ilvl w:val="0"/>
          <w:numId w:val="191"/>
        </w:numPr>
        <w:rPr>
          <w:noProof/>
          <w:lang w:val="en-IE"/>
        </w:rPr>
      </w:pPr>
      <w:r w:rsidRPr="005A3F47">
        <w:rPr>
          <w:noProof/>
          <w:lang w:val="en-IE"/>
        </w:rPr>
        <w:t xml:space="preserve">Eliminated withholding taxes and double taxation on profit distributions between associated companies in different Member States. </w:t>
      </w:r>
    </w:p>
    <w:p w14:paraId="7D5C7532" w14:textId="77777777" w:rsidR="00E63D46" w:rsidRPr="005A3F47" w:rsidRDefault="00E63D46" w:rsidP="00E63D46">
      <w:pPr>
        <w:numPr>
          <w:ilvl w:val="0"/>
          <w:numId w:val="191"/>
        </w:numPr>
        <w:rPr>
          <w:noProof/>
          <w:lang w:val="en-IE"/>
        </w:rPr>
      </w:pPr>
      <w:r w:rsidRPr="005A3F47">
        <w:rPr>
          <w:noProof/>
          <w:lang w:val="en-IE"/>
        </w:rPr>
        <w:t xml:space="preserve">Later recast as </w:t>
      </w:r>
      <w:r w:rsidRPr="005A3F47">
        <w:rPr>
          <w:b/>
          <w:bCs/>
          <w:noProof/>
          <w:lang w:val="en-IE"/>
        </w:rPr>
        <w:t>Directive 2011/96/EU</w:t>
      </w:r>
      <w:r w:rsidRPr="005A3F47">
        <w:rPr>
          <w:noProof/>
          <w:lang w:val="en-IE"/>
        </w:rPr>
        <w:t xml:space="preserve">. </w:t>
      </w:r>
    </w:p>
    <w:p w14:paraId="5F08F819" w14:textId="77777777" w:rsidR="00E63D46" w:rsidRPr="005A3F47" w:rsidRDefault="00E63D46" w:rsidP="00E63D46">
      <w:pPr>
        <w:rPr>
          <w:b/>
          <w:bCs/>
          <w:noProof/>
          <w:lang w:val="en-IE"/>
        </w:rPr>
      </w:pPr>
      <w:r w:rsidRPr="005A3F47">
        <w:rPr>
          <w:b/>
          <w:bCs/>
          <w:noProof/>
          <w:lang w:val="en-IE"/>
        </w:rPr>
        <w:t>Merger Directive</w:t>
      </w:r>
    </w:p>
    <w:p w14:paraId="7622B783" w14:textId="77777777" w:rsidR="00E63D46" w:rsidRPr="005A3F47" w:rsidRDefault="00E63D46" w:rsidP="00E63D46">
      <w:pPr>
        <w:numPr>
          <w:ilvl w:val="0"/>
          <w:numId w:val="192"/>
        </w:numPr>
        <w:rPr>
          <w:noProof/>
          <w:lang w:val="en-IE"/>
        </w:rPr>
      </w:pPr>
      <w:r w:rsidRPr="005A3F47">
        <w:rPr>
          <w:b/>
          <w:bCs/>
          <w:noProof/>
          <w:lang w:val="en-IE"/>
        </w:rPr>
        <w:t>Directive 90/434/EEC</w:t>
      </w:r>
      <w:r w:rsidRPr="005A3F47">
        <w:rPr>
          <w:noProof/>
          <w:lang w:val="en-IE"/>
        </w:rPr>
        <w:t xml:space="preserve"> </w:t>
      </w:r>
    </w:p>
    <w:p w14:paraId="2CE71407" w14:textId="77777777" w:rsidR="00E63D46" w:rsidRPr="005A3F47" w:rsidRDefault="00E63D46" w:rsidP="00E63D46">
      <w:pPr>
        <w:numPr>
          <w:ilvl w:val="0"/>
          <w:numId w:val="192"/>
        </w:numPr>
        <w:rPr>
          <w:noProof/>
          <w:lang w:val="en-IE"/>
        </w:rPr>
      </w:pPr>
      <w:r w:rsidRPr="005A3F47">
        <w:rPr>
          <w:noProof/>
          <w:lang w:val="en-IE"/>
        </w:rPr>
        <w:t xml:space="preserve">Introduced tax neutrality for cross-border mergers, divisions, transfers of assets, and exchanges of shares. </w:t>
      </w:r>
    </w:p>
    <w:p w14:paraId="37F818B3" w14:textId="77777777" w:rsidR="00E63D46" w:rsidRPr="005A3F47" w:rsidRDefault="00E63D46" w:rsidP="00E63D46">
      <w:pPr>
        <w:numPr>
          <w:ilvl w:val="0"/>
          <w:numId w:val="192"/>
        </w:numPr>
        <w:rPr>
          <w:noProof/>
          <w:lang w:val="en-IE"/>
        </w:rPr>
      </w:pPr>
      <w:r w:rsidRPr="005A3F47">
        <w:rPr>
          <w:noProof/>
          <w:lang w:val="en-IE"/>
        </w:rPr>
        <w:t xml:space="preserve">Later recast as </w:t>
      </w:r>
      <w:r w:rsidRPr="005A3F47">
        <w:rPr>
          <w:b/>
          <w:bCs/>
          <w:noProof/>
          <w:lang w:val="en-IE"/>
        </w:rPr>
        <w:t>Directive 2009/133/EC</w:t>
      </w:r>
      <w:r w:rsidRPr="005A3F47">
        <w:rPr>
          <w:noProof/>
          <w:lang w:val="en-IE"/>
        </w:rPr>
        <w:t xml:space="preserve">. </w:t>
      </w:r>
    </w:p>
    <w:p w14:paraId="43D861CB" w14:textId="77777777" w:rsidR="00E63D46" w:rsidRPr="005A3F47" w:rsidRDefault="009B1812" w:rsidP="00E63D46">
      <w:pPr>
        <w:rPr>
          <w:noProof/>
          <w:lang w:val="en-IE"/>
        </w:rPr>
      </w:pPr>
      <w:r>
        <w:rPr>
          <w:noProof/>
          <w:lang w:val="en-IE"/>
        </w:rPr>
        <w:pict w14:anchorId="5FA14A80">
          <v:rect id="_x0000_i1027" style="width:0;height:1.5pt" o:hralign="center" o:hrstd="t" o:hr="t" fillcolor="#a0a0a0" stroked="f"/>
        </w:pict>
      </w:r>
    </w:p>
    <w:p w14:paraId="5F2C8F9F" w14:textId="77777777" w:rsidR="00E63D46" w:rsidRPr="005A3F47" w:rsidRDefault="00E63D46" w:rsidP="00E63D46">
      <w:pPr>
        <w:rPr>
          <w:b/>
          <w:bCs/>
          <w:noProof/>
          <w:lang w:val="en-IE"/>
        </w:rPr>
      </w:pPr>
      <w:r w:rsidRPr="005A3F47">
        <w:rPr>
          <w:b/>
          <w:bCs/>
          <w:noProof/>
          <w:lang w:val="en-IE"/>
        </w:rPr>
        <w:t>2003 — Taxation of Savings and Interest</w:t>
      </w:r>
    </w:p>
    <w:p w14:paraId="4B8EAFA9" w14:textId="77777777" w:rsidR="00E63D46" w:rsidRPr="005A3F47" w:rsidRDefault="00E63D46" w:rsidP="00E63D46">
      <w:pPr>
        <w:rPr>
          <w:b/>
          <w:bCs/>
          <w:noProof/>
          <w:lang w:val="en-IE"/>
        </w:rPr>
      </w:pPr>
      <w:r w:rsidRPr="005A3F47">
        <w:rPr>
          <w:b/>
          <w:bCs/>
          <w:noProof/>
          <w:lang w:val="en-IE"/>
        </w:rPr>
        <w:t>Interest and Royalties Directive</w:t>
      </w:r>
    </w:p>
    <w:p w14:paraId="3BF5CBA0" w14:textId="77777777" w:rsidR="00E63D46" w:rsidRPr="005A3F47" w:rsidRDefault="00E63D46" w:rsidP="00E63D46">
      <w:pPr>
        <w:numPr>
          <w:ilvl w:val="0"/>
          <w:numId w:val="193"/>
        </w:numPr>
        <w:rPr>
          <w:noProof/>
          <w:lang w:val="en-IE"/>
        </w:rPr>
      </w:pPr>
      <w:r w:rsidRPr="005A3F47">
        <w:rPr>
          <w:b/>
          <w:bCs/>
          <w:noProof/>
          <w:lang w:val="en-IE"/>
        </w:rPr>
        <w:t>Directive 2003/49/EC</w:t>
      </w:r>
      <w:r w:rsidRPr="005A3F47">
        <w:rPr>
          <w:noProof/>
          <w:lang w:val="en-IE"/>
        </w:rPr>
        <w:t xml:space="preserve"> </w:t>
      </w:r>
    </w:p>
    <w:p w14:paraId="5F917BCF" w14:textId="77777777" w:rsidR="00E63D46" w:rsidRPr="005A3F47" w:rsidRDefault="00E63D46" w:rsidP="00E63D46">
      <w:pPr>
        <w:numPr>
          <w:ilvl w:val="0"/>
          <w:numId w:val="193"/>
        </w:numPr>
        <w:rPr>
          <w:noProof/>
          <w:lang w:val="en-IE"/>
        </w:rPr>
      </w:pPr>
      <w:r w:rsidRPr="005A3F47">
        <w:rPr>
          <w:noProof/>
          <w:lang w:val="en-IE"/>
        </w:rPr>
        <w:t xml:space="preserve">Abolished withholding taxes on cross-border interest and royalty payments between associated companies. </w:t>
      </w:r>
    </w:p>
    <w:p w14:paraId="7681A594" w14:textId="77777777" w:rsidR="00E63D46" w:rsidRPr="005A3F47" w:rsidRDefault="009B1812" w:rsidP="00E63D46">
      <w:pPr>
        <w:rPr>
          <w:noProof/>
          <w:lang w:val="en-IE"/>
        </w:rPr>
      </w:pPr>
      <w:r>
        <w:rPr>
          <w:noProof/>
          <w:lang w:val="en-IE"/>
        </w:rPr>
        <w:pict w14:anchorId="49B3EAB7">
          <v:rect id="_x0000_i1028" style="width:0;height:1.5pt" o:hralign="center" o:hrstd="t" o:hr="t" fillcolor="#a0a0a0" stroked="f"/>
        </w:pict>
      </w:r>
    </w:p>
    <w:p w14:paraId="66BA22A3" w14:textId="291134BA" w:rsidR="00E63D46" w:rsidRPr="005A3F47" w:rsidRDefault="00E63D46" w:rsidP="00E63D46">
      <w:pPr>
        <w:rPr>
          <w:b/>
          <w:bCs/>
          <w:noProof/>
          <w:lang w:val="en-IE"/>
        </w:rPr>
      </w:pPr>
      <w:r w:rsidRPr="005A3F47">
        <w:rPr>
          <w:b/>
          <w:bCs/>
          <w:noProof/>
          <w:lang w:val="en-IE"/>
        </w:rPr>
        <w:t>2011 — Recast</w:t>
      </w:r>
    </w:p>
    <w:p w14:paraId="0DCFBB6F" w14:textId="77777777" w:rsidR="00E63D46" w:rsidRPr="005A3F47" w:rsidRDefault="00E63D46" w:rsidP="00E63D46">
      <w:pPr>
        <w:rPr>
          <w:b/>
          <w:bCs/>
          <w:noProof/>
          <w:lang w:val="en-IE"/>
        </w:rPr>
      </w:pPr>
      <w:r w:rsidRPr="005A3F47">
        <w:rPr>
          <w:b/>
          <w:bCs/>
          <w:noProof/>
          <w:lang w:val="en-IE"/>
        </w:rPr>
        <w:t>Recast Parent-Subsidiary Directive</w:t>
      </w:r>
    </w:p>
    <w:p w14:paraId="75563A3B" w14:textId="77777777" w:rsidR="00E63D46" w:rsidRPr="005A3F47" w:rsidRDefault="00E63D46" w:rsidP="00E63D46">
      <w:pPr>
        <w:numPr>
          <w:ilvl w:val="0"/>
          <w:numId w:val="195"/>
        </w:numPr>
        <w:rPr>
          <w:noProof/>
          <w:lang w:val="en-IE"/>
        </w:rPr>
      </w:pPr>
      <w:r w:rsidRPr="005A3F47">
        <w:rPr>
          <w:b/>
          <w:bCs/>
          <w:noProof/>
          <w:lang w:val="en-IE"/>
        </w:rPr>
        <w:t>Directive 2011/96/EU</w:t>
      </w:r>
      <w:r w:rsidRPr="005A3F47">
        <w:rPr>
          <w:noProof/>
          <w:lang w:val="en-IE"/>
        </w:rPr>
        <w:t xml:space="preserve"> </w:t>
      </w:r>
    </w:p>
    <w:p w14:paraId="0804F062" w14:textId="77777777" w:rsidR="00E63D46" w:rsidRPr="005A3F47" w:rsidRDefault="00E63D46" w:rsidP="00E63D46">
      <w:pPr>
        <w:numPr>
          <w:ilvl w:val="0"/>
          <w:numId w:val="195"/>
        </w:numPr>
        <w:rPr>
          <w:noProof/>
          <w:lang w:val="en-IE"/>
        </w:rPr>
      </w:pPr>
      <w:r w:rsidRPr="005A3F47">
        <w:rPr>
          <w:noProof/>
          <w:lang w:val="en-IE"/>
        </w:rPr>
        <w:t xml:space="preserve">Consolidated and modernized the 1990 directive. </w:t>
      </w:r>
    </w:p>
    <w:p w14:paraId="0FDA51DC" w14:textId="77777777" w:rsidR="00E63D46" w:rsidRPr="005A3F47" w:rsidRDefault="009B1812" w:rsidP="00E63D46">
      <w:pPr>
        <w:rPr>
          <w:noProof/>
          <w:lang w:val="en-IE"/>
        </w:rPr>
      </w:pPr>
      <w:r>
        <w:rPr>
          <w:noProof/>
          <w:lang w:val="en-IE"/>
        </w:rPr>
        <w:pict w14:anchorId="16403CA2">
          <v:rect id="_x0000_i1029" style="width:0;height:1.5pt" o:hralign="center" o:hrstd="t" o:hr="t" fillcolor="#a0a0a0" stroked="f"/>
        </w:pict>
      </w:r>
    </w:p>
    <w:p w14:paraId="458319F9" w14:textId="77777777" w:rsidR="00E63D46" w:rsidRPr="005A3F47" w:rsidRDefault="00E63D46" w:rsidP="00E63D46">
      <w:pPr>
        <w:rPr>
          <w:b/>
          <w:bCs/>
          <w:noProof/>
          <w:lang w:val="en-IE"/>
        </w:rPr>
      </w:pPr>
      <w:r w:rsidRPr="005A3F47">
        <w:rPr>
          <w:b/>
          <w:bCs/>
          <w:noProof/>
          <w:lang w:val="en-IE"/>
        </w:rPr>
        <w:t>2014–2015 — Anti-Abuse Measures</w:t>
      </w:r>
    </w:p>
    <w:p w14:paraId="51883003" w14:textId="77777777" w:rsidR="00E63D46" w:rsidRPr="005A3F47" w:rsidRDefault="00E63D46" w:rsidP="00E63D46">
      <w:pPr>
        <w:rPr>
          <w:b/>
          <w:bCs/>
          <w:noProof/>
          <w:lang w:val="en-IE"/>
        </w:rPr>
      </w:pPr>
      <w:r w:rsidRPr="005A3F47">
        <w:rPr>
          <w:b/>
          <w:bCs/>
          <w:noProof/>
          <w:lang w:val="en-IE"/>
        </w:rPr>
        <w:t>Amendment to Parent-Subsidiary Directive</w:t>
      </w:r>
    </w:p>
    <w:p w14:paraId="70A6B2A9" w14:textId="77777777" w:rsidR="00E63D46" w:rsidRPr="005A3F47" w:rsidRDefault="00E63D46" w:rsidP="00E63D46">
      <w:pPr>
        <w:numPr>
          <w:ilvl w:val="0"/>
          <w:numId w:val="197"/>
        </w:numPr>
        <w:rPr>
          <w:noProof/>
          <w:lang w:val="en-IE"/>
        </w:rPr>
      </w:pPr>
      <w:r w:rsidRPr="005A3F47">
        <w:rPr>
          <w:b/>
          <w:bCs/>
          <w:noProof/>
          <w:lang w:val="en-IE"/>
        </w:rPr>
        <w:t>Directive 2014/86/EU</w:t>
      </w:r>
      <w:r w:rsidRPr="005A3F47">
        <w:rPr>
          <w:noProof/>
          <w:lang w:val="en-IE"/>
        </w:rPr>
        <w:t xml:space="preserve"> </w:t>
      </w:r>
    </w:p>
    <w:p w14:paraId="4620F9DA" w14:textId="77777777" w:rsidR="00E63D46" w:rsidRPr="005A3F47" w:rsidRDefault="00E63D46" w:rsidP="00E63D46">
      <w:pPr>
        <w:numPr>
          <w:ilvl w:val="0"/>
          <w:numId w:val="197"/>
        </w:numPr>
        <w:rPr>
          <w:noProof/>
          <w:lang w:val="en-IE"/>
        </w:rPr>
      </w:pPr>
      <w:r w:rsidRPr="005A3F47">
        <w:rPr>
          <w:noProof/>
          <w:lang w:val="en-IE"/>
        </w:rPr>
        <w:t xml:space="preserve">Addressed hybrid loan mismatches. </w:t>
      </w:r>
    </w:p>
    <w:p w14:paraId="695ED057" w14:textId="77777777" w:rsidR="00E63D46" w:rsidRPr="005A3F47" w:rsidRDefault="00E63D46" w:rsidP="00E63D46">
      <w:pPr>
        <w:numPr>
          <w:ilvl w:val="0"/>
          <w:numId w:val="198"/>
        </w:numPr>
        <w:rPr>
          <w:noProof/>
          <w:lang w:val="en-IE"/>
        </w:rPr>
      </w:pPr>
      <w:r w:rsidRPr="005A3F47">
        <w:rPr>
          <w:b/>
          <w:bCs/>
          <w:noProof/>
          <w:lang w:val="en-IE"/>
        </w:rPr>
        <w:t>Directive 2015/121/EU</w:t>
      </w:r>
      <w:r w:rsidRPr="005A3F47">
        <w:rPr>
          <w:noProof/>
          <w:lang w:val="en-IE"/>
        </w:rPr>
        <w:t xml:space="preserve"> </w:t>
      </w:r>
    </w:p>
    <w:p w14:paraId="756B7756" w14:textId="77777777" w:rsidR="00E63D46" w:rsidRPr="005A3F47" w:rsidRDefault="00E63D46" w:rsidP="00E63D46">
      <w:pPr>
        <w:numPr>
          <w:ilvl w:val="0"/>
          <w:numId w:val="198"/>
        </w:numPr>
        <w:rPr>
          <w:noProof/>
          <w:lang w:val="en-IE"/>
        </w:rPr>
      </w:pPr>
      <w:r w:rsidRPr="005A3F47">
        <w:rPr>
          <w:noProof/>
          <w:lang w:val="en-IE"/>
        </w:rPr>
        <w:t xml:space="preserve">Added a mandatory anti-abuse rule to the Parent-Subsidiary Directive. </w:t>
      </w:r>
    </w:p>
    <w:p w14:paraId="7E2EC803" w14:textId="704C2B01" w:rsidR="00E63D46" w:rsidRPr="005A3F47" w:rsidRDefault="009B1812" w:rsidP="00E63D46">
      <w:pPr>
        <w:rPr>
          <w:noProof/>
          <w:lang w:val="en-IE"/>
        </w:rPr>
      </w:pPr>
      <w:r>
        <w:rPr>
          <w:noProof/>
          <w:lang w:val="en-IE"/>
        </w:rPr>
        <w:pict w14:anchorId="1FF75851">
          <v:rect id="_x0000_i1030" style="width:0;height:1.5pt" o:hralign="center" o:hrstd="t" o:hr="t" fillcolor="#a0a0a0" stroked="f"/>
        </w:pict>
      </w:r>
    </w:p>
    <w:p w14:paraId="63BC1A3E" w14:textId="77777777" w:rsidR="00E63D46" w:rsidRPr="005A3F47" w:rsidRDefault="00E63D46" w:rsidP="00E63D46">
      <w:pPr>
        <w:rPr>
          <w:b/>
          <w:bCs/>
          <w:noProof/>
          <w:lang w:val="en-IE"/>
        </w:rPr>
      </w:pPr>
      <w:r w:rsidRPr="005A3F47">
        <w:rPr>
          <w:b/>
          <w:bCs/>
          <w:noProof/>
          <w:lang w:val="en-IE"/>
        </w:rPr>
        <w:t>2016 — Anti-Tax Avoidance Package</w:t>
      </w:r>
    </w:p>
    <w:p w14:paraId="42479FCE" w14:textId="77777777" w:rsidR="00E63D46" w:rsidRPr="005A3F47" w:rsidRDefault="00E63D46" w:rsidP="00E63D46">
      <w:pPr>
        <w:rPr>
          <w:b/>
          <w:bCs/>
          <w:noProof/>
          <w:lang w:val="en-IE"/>
        </w:rPr>
      </w:pPr>
      <w:r w:rsidRPr="005A3F47">
        <w:rPr>
          <w:b/>
          <w:bCs/>
          <w:noProof/>
          <w:lang w:val="en-IE"/>
        </w:rPr>
        <w:t>Anti-Tax Avoidance Directive (ATAD I)</w:t>
      </w:r>
    </w:p>
    <w:p w14:paraId="50CA6F29" w14:textId="77777777" w:rsidR="00E63D46" w:rsidRPr="005A3F47" w:rsidRDefault="00E63D46" w:rsidP="00E63D46">
      <w:pPr>
        <w:numPr>
          <w:ilvl w:val="0"/>
          <w:numId w:val="199"/>
        </w:numPr>
        <w:rPr>
          <w:noProof/>
          <w:lang w:val="en-IE"/>
        </w:rPr>
      </w:pPr>
      <w:r w:rsidRPr="005A3F47">
        <w:rPr>
          <w:b/>
          <w:bCs/>
          <w:noProof/>
          <w:lang w:val="en-IE"/>
        </w:rPr>
        <w:t>Directive (EU) 2016/1164</w:t>
      </w:r>
      <w:r w:rsidRPr="005A3F47">
        <w:rPr>
          <w:noProof/>
          <w:lang w:val="en-IE"/>
        </w:rPr>
        <w:t xml:space="preserve"> </w:t>
      </w:r>
    </w:p>
    <w:p w14:paraId="0117631F" w14:textId="77777777" w:rsidR="00E63D46" w:rsidRPr="005A3F47" w:rsidRDefault="00E63D46" w:rsidP="00E63D46">
      <w:pPr>
        <w:numPr>
          <w:ilvl w:val="0"/>
          <w:numId w:val="199"/>
        </w:numPr>
        <w:rPr>
          <w:noProof/>
          <w:lang w:val="en-IE"/>
        </w:rPr>
      </w:pPr>
      <w:r w:rsidRPr="005A3F47">
        <w:rPr>
          <w:noProof/>
          <w:lang w:val="en-IE"/>
        </w:rPr>
        <w:t xml:space="preserve">Introduced: </w:t>
      </w:r>
    </w:p>
    <w:p w14:paraId="79424CF6" w14:textId="77777777" w:rsidR="00E63D46" w:rsidRPr="005A3F47" w:rsidRDefault="00E63D46" w:rsidP="00E63D46">
      <w:pPr>
        <w:numPr>
          <w:ilvl w:val="1"/>
          <w:numId w:val="199"/>
        </w:numPr>
        <w:rPr>
          <w:noProof/>
          <w:lang w:val="en-IE"/>
        </w:rPr>
      </w:pPr>
      <w:r w:rsidRPr="005A3F47">
        <w:rPr>
          <w:noProof/>
          <w:lang w:val="en-IE"/>
        </w:rPr>
        <w:t xml:space="preserve">interest limitation rules, </w:t>
      </w:r>
    </w:p>
    <w:p w14:paraId="7F8F7C1D" w14:textId="77777777" w:rsidR="00E63D46" w:rsidRPr="005A3F47" w:rsidRDefault="00E63D46" w:rsidP="00E63D46">
      <w:pPr>
        <w:numPr>
          <w:ilvl w:val="1"/>
          <w:numId w:val="199"/>
        </w:numPr>
        <w:rPr>
          <w:noProof/>
          <w:lang w:val="en-IE"/>
        </w:rPr>
      </w:pPr>
      <w:r w:rsidRPr="005A3F47">
        <w:rPr>
          <w:noProof/>
          <w:lang w:val="en-IE"/>
        </w:rPr>
        <w:t xml:space="preserve">exit taxation, </w:t>
      </w:r>
    </w:p>
    <w:p w14:paraId="3E996EEE" w14:textId="77777777" w:rsidR="00E63D46" w:rsidRPr="005A3F47" w:rsidRDefault="00E63D46" w:rsidP="00E63D46">
      <w:pPr>
        <w:numPr>
          <w:ilvl w:val="1"/>
          <w:numId w:val="199"/>
        </w:numPr>
        <w:rPr>
          <w:noProof/>
          <w:lang w:val="en-IE"/>
        </w:rPr>
      </w:pPr>
      <w:r w:rsidRPr="005A3F47">
        <w:rPr>
          <w:noProof/>
          <w:lang w:val="en-IE"/>
        </w:rPr>
        <w:t xml:space="preserve">GAAR, </w:t>
      </w:r>
    </w:p>
    <w:p w14:paraId="1F4166D2" w14:textId="77777777" w:rsidR="00E63D46" w:rsidRPr="005A3F47" w:rsidRDefault="00E63D46" w:rsidP="00E63D46">
      <w:pPr>
        <w:numPr>
          <w:ilvl w:val="1"/>
          <w:numId w:val="199"/>
        </w:numPr>
        <w:rPr>
          <w:noProof/>
          <w:lang w:val="en-IE"/>
        </w:rPr>
      </w:pPr>
      <w:r w:rsidRPr="005A3F47">
        <w:rPr>
          <w:noProof/>
          <w:lang w:val="en-IE"/>
        </w:rPr>
        <w:t xml:space="preserve">controlled foreign company (CFC) rules, </w:t>
      </w:r>
    </w:p>
    <w:p w14:paraId="2B124F45" w14:textId="77777777" w:rsidR="00E63D46" w:rsidRPr="005A3F47" w:rsidRDefault="00E63D46" w:rsidP="00E63D46">
      <w:pPr>
        <w:numPr>
          <w:ilvl w:val="1"/>
          <w:numId w:val="199"/>
        </w:numPr>
        <w:rPr>
          <w:noProof/>
          <w:lang w:val="en-IE"/>
        </w:rPr>
      </w:pPr>
      <w:r w:rsidRPr="005A3F47">
        <w:rPr>
          <w:noProof/>
          <w:lang w:val="en-IE"/>
        </w:rPr>
        <w:t xml:space="preserve">hybrid mismatch rules. </w:t>
      </w:r>
    </w:p>
    <w:p w14:paraId="7877E0C1" w14:textId="77777777" w:rsidR="00E63D46" w:rsidRPr="005A3F47" w:rsidRDefault="00E63D46" w:rsidP="00E63D46">
      <w:pPr>
        <w:rPr>
          <w:b/>
          <w:bCs/>
          <w:noProof/>
          <w:lang w:val="en-IE"/>
        </w:rPr>
      </w:pPr>
      <w:r w:rsidRPr="005A3F47">
        <w:rPr>
          <w:b/>
          <w:bCs/>
          <w:noProof/>
          <w:lang w:val="en-IE"/>
        </w:rPr>
        <w:t>ATAD II</w:t>
      </w:r>
    </w:p>
    <w:p w14:paraId="29F65263" w14:textId="77777777" w:rsidR="00E63D46" w:rsidRPr="005A3F47" w:rsidRDefault="00E63D46" w:rsidP="00E63D46">
      <w:pPr>
        <w:numPr>
          <w:ilvl w:val="0"/>
          <w:numId w:val="200"/>
        </w:numPr>
        <w:rPr>
          <w:noProof/>
          <w:lang w:val="en-IE"/>
        </w:rPr>
      </w:pPr>
      <w:r w:rsidRPr="005A3F47">
        <w:rPr>
          <w:b/>
          <w:bCs/>
          <w:noProof/>
          <w:lang w:val="en-IE"/>
        </w:rPr>
        <w:t>Directive (EU) 2017/952</w:t>
      </w:r>
      <w:r w:rsidRPr="005A3F47">
        <w:rPr>
          <w:noProof/>
          <w:lang w:val="en-IE"/>
        </w:rPr>
        <w:t xml:space="preserve"> </w:t>
      </w:r>
    </w:p>
    <w:p w14:paraId="69C3669F" w14:textId="77777777" w:rsidR="00E63D46" w:rsidRPr="005A3F47" w:rsidRDefault="00E63D46" w:rsidP="00E63D46">
      <w:pPr>
        <w:numPr>
          <w:ilvl w:val="0"/>
          <w:numId w:val="200"/>
        </w:numPr>
        <w:rPr>
          <w:noProof/>
          <w:lang w:val="en-IE"/>
        </w:rPr>
      </w:pPr>
      <w:r w:rsidRPr="005A3F47">
        <w:rPr>
          <w:noProof/>
          <w:lang w:val="en-IE"/>
        </w:rPr>
        <w:t xml:space="preserve">Extended hybrid mismatch rules to third countries. </w:t>
      </w:r>
    </w:p>
    <w:p w14:paraId="0844C69E" w14:textId="77777777" w:rsidR="00E63D46" w:rsidRPr="005A3F47" w:rsidRDefault="009B1812" w:rsidP="00E63D46">
      <w:pPr>
        <w:rPr>
          <w:noProof/>
          <w:lang w:val="en-IE"/>
        </w:rPr>
      </w:pPr>
      <w:r>
        <w:rPr>
          <w:noProof/>
          <w:lang w:val="en-IE"/>
        </w:rPr>
        <w:pict w14:anchorId="6F03D591">
          <v:rect id="_x0000_i1031" style="width:0;height:1.5pt" o:hralign="center" o:hrstd="t" o:hr="t" fillcolor="#a0a0a0" stroked="f"/>
        </w:pict>
      </w:r>
    </w:p>
    <w:p w14:paraId="5184619B" w14:textId="77777777" w:rsidR="00E63D46" w:rsidRPr="005A3F47" w:rsidRDefault="00E63D46" w:rsidP="00E63D46">
      <w:pPr>
        <w:rPr>
          <w:b/>
          <w:bCs/>
          <w:noProof/>
          <w:lang w:val="en-IE"/>
        </w:rPr>
      </w:pPr>
      <w:r w:rsidRPr="005A3F47">
        <w:rPr>
          <w:b/>
          <w:bCs/>
          <w:noProof/>
          <w:lang w:val="en-IE"/>
        </w:rPr>
        <w:t>2017 — Tax Dispute Resolution</w:t>
      </w:r>
    </w:p>
    <w:p w14:paraId="5EA158B7" w14:textId="77777777" w:rsidR="00E63D46" w:rsidRPr="005A3F47" w:rsidRDefault="00E63D46" w:rsidP="00E63D46">
      <w:pPr>
        <w:rPr>
          <w:b/>
          <w:bCs/>
          <w:noProof/>
          <w:lang w:val="en-IE"/>
        </w:rPr>
      </w:pPr>
      <w:r w:rsidRPr="005A3F47">
        <w:rPr>
          <w:b/>
          <w:bCs/>
          <w:noProof/>
          <w:lang w:val="en-IE"/>
        </w:rPr>
        <w:t>Tax Dispute Resolution Directive</w:t>
      </w:r>
    </w:p>
    <w:p w14:paraId="6ED54369" w14:textId="77777777" w:rsidR="00E63D46" w:rsidRPr="005A3F47" w:rsidRDefault="00E63D46" w:rsidP="00E63D46">
      <w:pPr>
        <w:numPr>
          <w:ilvl w:val="0"/>
          <w:numId w:val="201"/>
        </w:numPr>
        <w:rPr>
          <w:noProof/>
          <w:lang w:val="en-IE"/>
        </w:rPr>
      </w:pPr>
      <w:r w:rsidRPr="005A3F47">
        <w:rPr>
          <w:b/>
          <w:bCs/>
          <w:noProof/>
          <w:lang w:val="en-IE"/>
        </w:rPr>
        <w:t>Directive (EU) 2017/1852</w:t>
      </w:r>
      <w:r w:rsidRPr="005A3F47">
        <w:rPr>
          <w:noProof/>
          <w:lang w:val="en-IE"/>
        </w:rPr>
        <w:t xml:space="preserve"> </w:t>
      </w:r>
    </w:p>
    <w:p w14:paraId="068818AC" w14:textId="77777777" w:rsidR="00E63D46" w:rsidRPr="005A3F47" w:rsidRDefault="00E63D46" w:rsidP="00E63D46">
      <w:pPr>
        <w:numPr>
          <w:ilvl w:val="0"/>
          <w:numId w:val="201"/>
        </w:numPr>
        <w:rPr>
          <w:noProof/>
          <w:lang w:val="en-IE"/>
        </w:rPr>
      </w:pPr>
      <w:r w:rsidRPr="005A3F47">
        <w:rPr>
          <w:noProof/>
          <w:lang w:val="en-IE"/>
        </w:rPr>
        <w:t xml:space="preserve">Improved mechanisms for resolving double taxation disputes within the EU. </w:t>
      </w:r>
    </w:p>
    <w:p w14:paraId="36389530" w14:textId="52BF2F85" w:rsidR="00E63D46" w:rsidRPr="005A3F47" w:rsidRDefault="009B1812" w:rsidP="00E63D46">
      <w:pPr>
        <w:rPr>
          <w:noProof/>
          <w:lang w:val="en-IE"/>
        </w:rPr>
      </w:pPr>
      <w:r>
        <w:rPr>
          <w:noProof/>
          <w:lang w:val="en-IE"/>
        </w:rPr>
        <w:pict w14:anchorId="07665B98">
          <v:rect id="_x0000_i1032" style="width:0;height:1.5pt" o:hralign="center" o:hrstd="t" o:hr="t" fillcolor="#a0a0a0" stroked="f"/>
        </w:pict>
      </w:r>
    </w:p>
    <w:p w14:paraId="33C01CEB" w14:textId="2A8328CF" w:rsidR="00E63D46" w:rsidRPr="005A3F47" w:rsidRDefault="00E63D46" w:rsidP="00E63D46">
      <w:pPr>
        <w:rPr>
          <w:b/>
          <w:bCs/>
          <w:noProof/>
          <w:lang w:val="en-IE"/>
        </w:rPr>
      </w:pPr>
      <w:r w:rsidRPr="005A3F47">
        <w:rPr>
          <w:b/>
          <w:bCs/>
          <w:noProof/>
          <w:lang w:val="en-IE"/>
        </w:rPr>
        <w:t xml:space="preserve">2022 — Global Minimum Tax </w:t>
      </w:r>
    </w:p>
    <w:p w14:paraId="6C222BF9" w14:textId="00581D63" w:rsidR="00E63D46" w:rsidRPr="005A3F47" w:rsidRDefault="00E63D46" w:rsidP="00E63D46">
      <w:pPr>
        <w:rPr>
          <w:b/>
          <w:bCs/>
          <w:noProof/>
          <w:lang w:val="en-IE"/>
        </w:rPr>
      </w:pPr>
      <w:r w:rsidRPr="005A3F47">
        <w:rPr>
          <w:b/>
          <w:bCs/>
          <w:noProof/>
          <w:lang w:val="en-IE"/>
        </w:rPr>
        <w:t xml:space="preserve">Pillar </w:t>
      </w:r>
      <w:r w:rsidR="00AC5602" w:rsidRPr="005A3F47">
        <w:rPr>
          <w:b/>
          <w:bCs/>
          <w:noProof/>
          <w:lang w:val="en-IE"/>
        </w:rPr>
        <w:t>2</w:t>
      </w:r>
      <w:r w:rsidRPr="005A3F47">
        <w:rPr>
          <w:b/>
          <w:bCs/>
          <w:noProof/>
          <w:lang w:val="en-IE"/>
        </w:rPr>
        <w:t xml:space="preserve"> / Minimum Tax Directive</w:t>
      </w:r>
    </w:p>
    <w:p w14:paraId="75FDF008" w14:textId="77777777" w:rsidR="00E63D46" w:rsidRPr="005A3F47" w:rsidRDefault="00E63D46" w:rsidP="00E63D46">
      <w:pPr>
        <w:numPr>
          <w:ilvl w:val="0"/>
          <w:numId w:val="204"/>
        </w:numPr>
        <w:rPr>
          <w:noProof/>
          <w:lang w:val="en-IE"/>
        </w:rPr>
      </w:pPr>
      <w:r w:rsidRPr="005A3F47">
        <w:rPr>
          <w:b/>
          <w:bCs/>
          <w:noProof/>
          <w:lang w:val="en-IE"/>
        </w:rPr>
        <w:t>Directive (EU) 2022/2523</w:t>
      </w:r>
      <w:r w:rsidRPr="005A3F47">
        <w:rPr>
          <w:noProof/>
          <w:lang w:val="en-IE"/>
        </w:rPr>
        <w:t xml:space="preserve"> </w:t>
      </w:r>
    </w:p>
    <w:p w14:paraId="29EE576C" w14:textId="77777777" w:rsidR="00E63D46" w:rsidRPr="005A3F47" w:rsidRDefault="00E63D46" w:rsidP="00E63D46">
      <w:pPr>
        <w:numPr>
          <w:ilvl w:val="0"/>
          <w:numId w:val="204"/>
        </w:numPr>
        <w:rPr>
          <w:noProof/>
          <w:lang w:val="en-IE"/>
        </w:rPr>
      </w:pPr>
      <w:r w:rsidRPr="005A3F47">
        <w:rPr>
          <w:noProof/>
          <w:lang w:val="en-IE"/>
        </w:rPr>
        <w:t xml:space="preserve">Implemented the OECD global minimum effective tax rate of 15% for large multinational groups. </w:t>
      </w:r>
    </w:p>
    <w:p w14:paraId="7C45884B" w14:textId="77777777" w:rsidR="00C86FB9" w:rsidRDefault="009B1812" w:rsidP="00EE14F9">
      <w:pPr>
        <w:rPr>
          <w:noProof/>
          <w:lang w:val="en-IE"/>
        </w:rPr>
      </w:pPr>
      <w:r>
        <w:rPr>
          <w:noProof/>
          <w:lang w:val="en-IE"/>
        </w:rPr>
        <w:pict w14:anchorId="7CD48007">
          <v:rect id="_x0000_i1033" style="width:0;height:1.5pt" o:hralign="center" o:hrstd="t" o:hr="t" fillcolor="#a0a0a0" stroked="f"/>
        </w:pict>
      </w:r>
    </w:p>
    <w:sectPr w:rsidR="00C86FB9" w:rsidSect="00F9194E">
      <w:headerReference w:type="default" r:id="rId52"/>
      <w:footerReference w:type="default" r:id="rId53"/>
      <w:headerReference w:type="first" r:id="rId54"/>
      <w:footerReference w:type="first" r:id="rId55"/>
      <w:pgSz w:w="11906" w:h="16838"/>
      <w:pgMar w:top="1021" w:right="709" w:bottom="1021" w:left="1588"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E0EB0" w14:textId="77777777" w:rsidR="00463989" w:rsidRDefault="00463989" w:rsidP="000E3086">
      <w:r>
        <w:separator/>
      </w:r>
    </w:p>
  </w:endnote>
  <w:endnote w:type="continuationSeparator" w:id="0">
    <w:p w14:paraId="6835C2D8" w14:textId="77777777" w:rsidR="00463989" w:rsidRDefault="00463989" w:rsidP="000E3086">
      <w:r>
        <w:continuationSeparator/>
      </w:r>
    </w:p>
  </w:endnote>
  <w:endnote w:type="continuationNotice" w:id="1">
    <w:p w14:paraId="75478433" w14:textId="77777777" w:rsidR="00463989" w:rsidRDefault="0046398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enir Next LT Pro">
    <w:altName w:val="Arial"/>
    <w:charset w:val="00"/>
    <w:family w:val="swiss"/>
    <w:pitch w:val="variable"/>
    <w:sig w:usb0="00000001"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C7CB9" w14:textId="700DBFBC" w:rsidR="009B1812" w:rsidRPr="009B1812" w:rsidRDefault="009B1812" w:rsidP="009B1812">
    <w:pPr>
      <w:pStyle w:val="FooterCoverPage"/>
      <w:rPr>
        <w:rFonts w:ascii="Arial" w:hAnsi="Arial" w:cs="Arial"/>
        <w:b/>
        <w:sz w:val="48"/>
      </w:rPr>
    </w:pPr>
    <w:r w:rsidRPr="009B1812">
      <w:rPr>
        <w:rFonts w:ascii="Arial" w:hAnsi="Arial" w:cs="Arial"/>
        <w:b/>
        <w:sz w:val="48"/>
      </w:rPr>
      <w:t>EN</w:t>
    </w:r>
    <w:r w:rsidRPr="009B1812">
      <w:rPr>
        <w:rFonts w:ascii="Arial" w:hAnsi="Arial" w:cs="Arial"/>
        <w:b/>
        <w:sz w:val="48"/>
      </w:rPr>
      <w:tab/>
    </w:r>
    <w:r w:rsidRPr="009B1812">
      <w:rPr>
        <w:rFonts w:ascii="Arial" w:hAnsi="Arial" w:cs="Arial"/>
        <w:b/>
        <w:sz w:val="48"/>
      </w:rPr>
      <w:tab/>
    </w:r>
    <w:r w:rsidRPr="009B1812">
      <w:tab/>
    </w:r>
    <w:r w:rsidRPr="009B181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FB5ED" w14:textId="3DD58E9E" w:rsidR="009B1812" w:rsidRPr="009B1812" w:rsidRDefault="009B1812" w:rsidP="009B1812">
    <w:pPr>
      <w:pStyle w:val="FooterCoverPage"/>
      <w:rPr>
        <w:rFonts w:ascii="Arial" w:hAnsi="Arial" w:cs="Arial"/>
        <w:b/>
        <w:sz w:val="48"/>
      </w:rPr>
    </w:pPr>
    <w:r w:rsidRPr="009B1812">
      <w:rPr>
        <w:rFonts w:ascii="Arial" w:hAnsi="Arial" w:cs="Arial"/>
        <w:b/>
        <w:sz w:val="48"/>
      </w:rPr>
      <w:t>EN</w:t>
    </w:r>
    <w:r w:rsidRPr="009B1812">
      <w:rPr>
        <w:rFonts w:ascii="Arial" w:hAnsi="Arial" w:cs="Arial"/>
        <w:b/>
        <w:sz w:val="48"/>
      </w:rPr>
      <w:tab/>
    </w:r>
    <w:r w:rsidRPr="009B1812">
      <w:rPr>
        <w:rFonts w:ascii="Arial" w:hAnsi="Arial" w:cs="Arial"/>
        <w:b/>
        <w:sz w:val="48"/>
      </w:rPr>
      <w:tab/>
    </w:r>
    <w:r w:rsidRPr="009B1812">
      <w:tab/>
    </w:r>
    <w:r w:rsidRPr="009B181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81E61" w14:textId="77777777" w:rsidR="009B1812" w:rsidRPr="009B1812" w:rsidRDefault="009B1812" w:rsidP="009B181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B74B9" w14:textId="59CAF53D" w:rsidR="00BA217C" w:rsidRPr="00B47DD4" w:rsidRDefault="00BA217C" w:rsidP="00B47DD4">
    <w:pPr>
      <w:pStyle w:val="FooterCoverPage"/>
      <w:rPr>
        <w:rFonts w:ascii="Arial" w:hAnsi="Arial" w:cs="Arial"/>
        <w:b/>
        <w:sz w:val="48"/>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3F5A9" w14:textId="0C1C0298" w:rsidR="007C5137" w:rsidRDefault="007C5137" w:rsidP="00B15719">
    <w:pPr>
      <w:pStyle w:val="Footer"/>
      <w:tabs>
        <w:tab w:val="clear" w:pos="4535"/>
        <w:tab w:val="clear" w:pos="9071"/>
        <w:tab w:val="clear" w:pos="9921"/>
        <w:tab w:val="left" w:pos="5400"/>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0AF75" w14:textId="69949BE1" w:rsidR="00B23F6E" w:rsidRDefault="00B23F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986C" w14:textId="77777777" w:rsidR="007C5137" w:rsidRDefault="007C51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8EB9C" w14:textId="77777777" w:rsidR="00570C5E" w:rsidRPr="00B47DD4" w:rsidRDefault="00570C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65A1" w14:textId="77777777" w:rsidR="00BA217C" w:rsidRDefault="00BA21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5330" w14:textId="77777777" w:rsidR="00BA217C" w:rsidRPr="00B47DD4" w:rsidRDefault="00BA21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A87DB" w14:textId="77777777" w:rsidR="00BA217C" w:rsidRPr="00CD516A" w:rsidRDefault="00BA217C"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AE33" w14:textId="77777777" w:rsidR="00BA217C" w:rsidRDefault="00BA217C"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A07FC" w14:textId="77777777" w:rsidR="00463989" w:rsidRDefault="00463989" w:rsidP="000E3086">
      <w:r>
        <w:separator/>
      </w:r>
    </w:p>
  </w:footnote>
  <w:footnote w:type="continuationSeparator" w:id="0">
    <w:p w14:paraId="515D9BAB" w14:textId="77777777" w:rsidR="00463989" w:rsidRDefault="00463989" w:rsidP="000E3086">
      <w:r>
        <w:continuationSeparator/>
      </w:r>
    </w:p>
  </w:footnote>
  <w:footnote w:type="continuationNotice" w:id="1">
    <w:p w14:paraId="51687307" w14:textId="77777777" w:rsidR="00463989" w:rsidRDefault="00463989">
      <w:pPr>
        <w:spacing w:after="0"/>
      </w:pPr>
    </w:p>
  </w:footnote>
  <w:footnote w:id="2">
    <w:p w14:paraId="345E8BAD" w14:textId="76AA4C27" w:rsidR="0073506C" w:rsidRPr="00130CCE" w:rsidRDefault="0073506C" w:rsidP="0073506C">
      <w:pPr>
        <w:pStyle w:val="FootnoteText"/>
      </w:pPr>
      <w:r w:rsidRPr="00130CCE">
        <w:rPr>
          <w:rStyle w:val="FootnoteReference"/>
        </w:rPr>
        <w:footnoteRef/>
      </w:r>
      <w:r w:rsidRPr="00130CCE">
        <w:t xml:space="preserve"> </w:t>
      </w:r>
      <w:hyperlink r:id="rId1" w:history="1">
        <w:r w:rsidRPr="00130CCE">
          <w:rPr>
            <w:rStyle w:val="Hyperlink"/>
          </w:rPr>
          <w:t>Political Guidelines 2024 -2029</w:t>
        </w:r>
      </w:hyperlink>
      <w:r w:rsidRPr="00130CCE">
        <w:t xml:space="preserve">. </w:t>
      </w:r>
    </w:p>
  </w:footnote>
  <w:footnote w:id="3">
    <w:p w14:paraId="1488814A" w14:textId="4BFB9C67" w:rsidR="00904433" w:rsidRPr="00130CCE" w:rsidRDefault="00904433">
      <w:pPr>
        <w:pStyle w:val="FootnoteText"/>
      </w:pPr>
      <w:r w:rsidRPr="00130CCE">
        <w:rPr>
          <w:rStyle w:val="FootnoteReference"/>
        </w:rPr>
        <w:footnoteRef/>
      </w:r>
      <w:r w:rsidRPr="00130CCE">
        <w:t xml:space="preserve"> </w:t>
      </w:r>
      <w:r w:rsidR="008A5AE7" w:rsidRPr="00130CCE">
        <w:t>Political Guidelines 2024-2029</w:t>
      </w:r>
      <w:r w:rsidR="002B2455" w:rsidRPr="00130CCE">
        <w:t>.</w:t>
      </w:r>
      <w:r w:rsidR="002B2455" w:rsidRPr="00130CCE" w:rsidDel="002B2455">
        <w:t xml:space="preserve"> </w:t>
      </w:r>
    </w:p>
  </w:footnote>
  <w:footnote w:id="4">
    <w:p w14:paraId="3654DA50" w14:textId="27C4C79D" w:rsidR="007E1E4A" w:rsidRPr="00130CCE" w:rsidRDefault="007E1E4A">
      <w:pPr>
        <w:pStyle w:val="FootnoteText"/>
      </w:pPr>
      <w:r w:rsidRPr="00130CCE">
        <w:rPr>
          <w:rStyle w:val="FootnoteReference"/>
        </w:rPr>
        <w:footnoteRef/>
      </w:r>
      <w:r w:rsidRPr="00130CCE">
        <w:t xml:space="preserve"> </w:t>
      </w:r>
      <w:hyperlink r:id="rId2" w:history="1">
        <w:r w:rsidR="00347C7F" w:rsidRPr="00130CCE">
          <w:rPr>
            <w:rStyle w:val="Hyperlink"/>
          </w:rPr>
          <w:t>Simplification - European Commission</w:t>
        </w:r>
      </w:hyperlink>
    </w:p>
  </w:footnote>
  <w:footnote w:id="5">
    <w:p w14:paraId="5E677B51" w14:textId="77777777" w:rsidR="004E25DB" w:rsidRPr="00130CCE" w:rsidRDefault="004E25DB" w:rsidP="004E25DB">
      <w:pPr>
        <w:pStyle w:val="FootnoteText"/>
      </w:pPr>
      <w:r w:rsidRPr="00130CCE">
        <w:rPr>
          <w:rStyle w:val="FootnoteReference"/>
        </w:rPr>
        <w:footnoteRef/>
      </w:r>
      <w:r w:rsidRPr="00130CCE">
        <w:t xml:space="preserve"> President von der Leyen’s mission letter to Wopke Hoekstra; </w:t>
      </w:r>
      <w:hyperlink r:id="rId3" w:history="1">
        <w:r w:rsidRPr="00130CCE">
          <w:rPr>
            <w:rStyle w:val="Hyperlink"/>
          </w:rPr>
          <w:t>Mission-letter-Wopke-Hoekstra.pdf</w:t>
        </w:r>
      </w:hyperlink>
    </w:p>
  </w:footnote>
  <w:footnote w:id="6">
    <w:p w14:paraId="42F2C152" w14:textId="77777777" w:rsidR="005F066E" w:rsidRPr="00130CCE" w:rsidRDefault="00637F46" w:rsidP="00633DB1">
      <w:pPr>
        <w:pStyle w:val="FootnoteText"/>
      </w:pPr>
      <w:r w:rsidRPr="00130CCE">
        <w:rPr>
          <w:rStyle w:val="FootnoteReference"/>
        </w:rPr>
        <w:footnoteRef/>
      </w:r>
      <w:r w:rsidRPr="00130CCE">
        <w:t xml:space="preserve"> </w:t>
      </w:r>
      <w:hyperlink r:id="rId4" w:history="1">
        <w:r w:rsidRPr="00130CCE">
          <w:rPr>
            <w:rStyle w:val="Hyperlink"/>
          </w:rPr>
          <w:t>Commission work programme 2026 - European Commission</w:t>
        </w:r>
        <w:hyperlink r:id="rId5" w:history="1">
          <w:r w:rsidRPr="00130CCE">
            <w:rPr>
              <w:rStyle w:val="Hyperlink"/>
            </w:rPr>
            <w:t>Commission work programme 2026 - European Commission</w:t>
          </w:r>
        </w:hyperlink>
        <w:hyperlink r:id="rId6" w:history="1">
          <w:r w:rsidRPr="00130CCE">
            <w:rPr>
              <w:rStyle w:val="Hyperlink"/>
            </w:rPr>
            <w:t>Commission work programme 2026 - European Commission</w:t>
          </w:r>
          <w:hyperlink r:id="rId7" w:history="1">
            <w:r w:rsidRPr="00130CCE">
              <w:rPr>
                <w:rStyle w:val="Hyperlink"/>
              </w:rPr>
              <w:t>Commission work programme 2026 - European Commission</w:t>
            </w:r>
          </w:hyperlink>
        </w:hyperlink>
      </w:hyperlink>
    </w:p>
  </w:footnote>
  <w:footnote w:id="7">
    <w:p w14:paraId="3CAA79D4" w14:textId="5FD0F589" w:rsidR="00EA0BB5" w:rsidRPr="00130CCE" w:rsidRDefault="00633DB1" w:rsidP="00633DB1">
      <w:pPr>
        <w:pStyle w:val="FootnoteText"/>
      </w:pPr>
      <w:r w:rsidRPr="00130CCE">
        <w:rPr>
          <w:rStyle w:val="FootnoteReference"/>
        </w:rPr>
        <w:footnoteRef/>
      </w:r>
      <w:r w:rsidRPr="00130CCE">
        <w:t xml:space="preserve"> Council Directive 2003/49/EC of 3 June 2003 on a common system of taxation applicable to interest and royalty payments made between associated companies of different Member States.</w:t>
      </w:r>
    </w:p>
  </w:footnote>
  <w:footnote w:id="8">
    <w:p w14:paraId="75923D8A" w14:textId="3346BD8E" w:rsidR="00633DB1" w:rsidRPr="00130CCE" w:rsidRDefault="00633DB1" w:rsidP="00633DB1">
      <w:pPr>
        <w:pStyle w:val="FootnoteText"/>
      </w:pPr>
      <w:r w:rsidRPr="00130CCE">
        <w:rPr>
          <w:rStyle w:val="FootnoteReference"/>
        </w:rPr>
        <w:footnoteRef/>
      </w:r>
      <w:r w:rsidRPr="00130CCE">
        <w:t xml:space="preserve"> Council Directive 2011/96/EU of 30 November 2011 on the common system of taxation applicable in the case of parent companies and subsidiaries of different Member States.</w:t>
      </w:r>
    </w:p>
  </w:footnote>
  <w:footnote w:id="9">
    <w:p w14:paraId="064FC20F" w14:textId="77777777" w:rsidR="00633DB1" w:rsidRPr="00130CCE" w:rsidRDefault="00633DB1" w:rsidP="00633DB1">
      <w:pPr>
        <w:pStyle w:val="FootnoteText"/>
      </w:pPr>
      <w:r w:rsidRPr="00130CCE">
        <w:rPr>
          <w:rStyle w:val="FootnoteReference"/>
        </w:rPr>
        <w:footnoteRef/>
      </w:r>
      <w:r w:rsidRPr="00130CCE">
        <w:t xml:space="preserve"> 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w:t>
      </w:r>
    </w:p>
  </w:footnote>
  <w:footnote w:id="10">
    <w:p w14:paraId="3CD474B8" w14:textId="77777777" w:rsidR="00633DB1" w:rsidRPr="00130CCE" w:rsidRDefault="00633DB1" w:rsidP="00633DB1">
      <w:pPr>
        <w:pStyle w:val="FootnoteText"/>
      </w:pPr>
      <w:r w:rsidRPr="00130CCE">
        <w:rPr>
          <w:rStyle w:val="FootnoteReference"/>
        </w:rPr>
        <w:footnoteRef/>
      </w:r>
      <w:r w:rsidRPr="00130CCE">
        <w:t xml:space="preserve"> Council Directive (EU) 2016/1164 of 12 July 2016 laying down rules against tax avoidance practices that directly affect the functioning of the internal market. </w:t>
      </w:r>
    </w:p>
  </w:footnote>
  <w:footnote w:id="11">
    <w:p w14:paraId="3D8E8452" w14:textId="77777777" w:rsidR="00633DB1" w:rsidRPr="00130CCE" w:rsidRDefault="00633DB1" w:rsidP="00633DB1">
      <w:pPr>
        <w:pStyle w:val="FootnoteText"/>
      </w:pPr>
      <w:r w:rsidRPr="00130CCE">
        <w:rPr>
          <w:rStyle w:val="FootnoteReference"/>
        </w:rPr>
        <w:footnoteRef/>
      </w:r>
      <w:r w:rsidRPr="00130CCE">
        <w:t xml:space="preserve"> </w:t>
      </w:r>
      <w:r w:rsidRPr="00130CCE">
        <w:rPr>
          <w:rFonts w:eastAsia="Aptos"/>
        </w:rPr>
        <w:t>Council Directive (EU) 2017/1852 of 10 October 2017 on tax dispute resolution mechanisms in the European Union</w:t>
      </w:r>
      <w:r w:rsidR="00E7669F" w:rsidRPr="00130CCE">
        <w:rPr>
          <w:rFonts w:eastAsia="Aptos"/>
        </w:rPr>
        <w:t>.</w:t>
      </w:r>
    </w:p>
  </w:footnote>
  <w:footnote w:id="12">
    <w:p w14:paraId="7BDD4815" w14:textId="33D66F8C" w:rsidR="001667FE" w:rsidRPr="00130CCE" w:rsidRDefault="001667FE">
      <w:pPr>
        <w:pStyle w:val="FootnoteText"/>
      </w:pPr>
      <w:r w:rsidRPr="00130CCE">
        <w:rPr>
          <w:rStyle w:val="FootnoteReference"/>
        </w:rPr>
        <w:footnoteRef/>
      </w:r>
      <w:r w:rsidRPr="00130CCE">
        <w:t xml:space="preserve"> </w:t>
      </w:r>
      <w:r w:rsidR="00B05AC9" w:rsidRPr="00130CCE">
        <w:t>Council Directive (EU) 2022/2523 of 14 December 2022 on ensuring a global minimum level of taxation for multinational enterprise groups and large-scale domestic groups in the Union.</w:t>
      </w:r>
    </w:p>
  </w:footnote>
  <w:footnote w:id="13">
    <w:p w14:paraId="593B8FE5" w14:textId="29983D3B" w:rsidR="009146F9" w:rsidRPr="00130CCE" w:rsidRDefault="009146F9">
      <w:pPr>
        <w:pStyle w:val="FootnoteText"/>
      </w:pPr>
      <w:r w:rsidRPr="00130CCE">
        <w:rPr>
          <w:rStyle w:val="FootnoteReference"/>
        </w:rPr>
        <w:footnoteRef/>
      </w:r>
      <w:r w:rsidRPr="00130CCE">
        <w:t xml:space="preserve"> </w:t>
      </w:r>
      <w:hyperlink r:id="rId8" w:history="1">
        <w:r w:rsidR="00CA2B4E" w:rsidRPr="00130CCE">
          <w:rPr>
            <w:rStyle w:val="Hyperlink"/>
          </w:rPr>
          <w:t>Taxation: Council sets tax decluttering and simplification agenda - Consilium</w:t>
        </w:r>
      </w:hyperlink>
    </w:p>
  </w:footnote>
  <w:footnote w:id="14">
    <w:p w14:paraId="158496DA" w14:textId="4EAB4FAE" w:rsidR="00633E90" w:rsidRPr="00DE6B6A" w:rsidRDefault="00633E90" w:rsidP="005C6FD3">
      <w:pPr>
        <w:spacing w:before="240" w:after="0"/>
        <w:rPr>
          <w:sz w:val="20"/>
          <w:szCs w:val="20"/>
          <w:lang w:val="en-IE"/>
        </w:rPr>
      </w:pPr>
      <w:r w:rsidRPr="00DE6B6A">
        <w:rPr>
          <w:rStyle w:val="FootnoteReference"/>
          <w:sz w:val="20"/>
          <w:szCs w:val="20"/>
        </w:rPr>
        <w:footnoteRef/>
      </w:r>
      <w:r w:rsidRPr="00DE6B6A">
        <w:rPr>
          <w:sz w:val="20"/>
          <w:szCs w:val="20"/>
        </w:rPr>
        <w:t xml:space="preserve"> </w:t>
      </w:r>
      <w:r w:rsidR="00B91812" w:rsidRPr="00130CCE">
        <w:rPr>
          <w:sz w:val="20"/>
          <w:szCs w:val="20"/>
          <w:lang w:val="en-IE"/>
        </w:rPr>
        <w:t>Commission Staff Working Document: Evaluation of Council Directive 2016/1164 laying down rules against tax avoidance practices that directly affect the functioning of the internal market</w:t>
      </w:r>
      <w:r w:rsidR="00CE3A2A" w:rsidRPr="00130CCE">
        <w:rPr>
          <w:sz w:val="20"/>
          <w:szCs w:val="20"/>
          <w:lang w:val="en-IE"/>
        </w:rPr>
        <w:t>.</w:t>
      </w:r>
    </w:p>
  </w:footnote>
  <w:footnote w:id="15">
    <w:p w14:paraId="37AB9FD2" w14:textId="77777777" w:rsidR="00A204D7" w:rsidRPr="00130CCE" w:rsidRDefault="00A204D7" w:rsidP="00A204D7">
      <w:pPr>
        <w:pStyle w:val="FootnoteText"/>
        <w:rPr>
          <w:lang w:val="en-IE"/>
        </w:rPr>
      </w:pPr>
      <w:r w:rsidRPr="00130CCE">
        <w:rPr>
          <w:rStyle w:val="FootnoteReference"/>
        </w:rPr>
        <w:footnoteRef/>
      </w:r>
      <w:r w:rsidRPr="00130CCE">
        <w:t xml:space="preserve"> European Parliamentary Research Service, </w:t>
      </w:r>
      <w:hyperlink r:id="rId9" w:history="1">
        <w:r w:rsidRPr="00130CCE">
          <w:rPr>
            <w:rStyle w:val="Hyperlink"/>
          </w:rPr>
          <w:t>Tax compliance costs in the EU: Striking the right balance</w:t>
        </w:r>
      </w:hyperlink>
      <w:r w:rsidRPr="00130CCE">
        <w:t xml:space="preserve"> p. 1; Study requested by the FISC Subcommittee, European Parliament, </w:t>
      </w:r>
      <w:hyperlink r:id="rId10" w:history="1">
        <w:r w:rsidRPr="00130CCE">
          <w:rPr>
            <w:rStyle w:val="Hyperlink"/>
          </w:rPr>
          <w:t>Removal of taxation-based obstacles and distortions in the Single Market in order to encourage cross border investment</w:t>
        </w:r>
      </w:hyperlink>
      <w:r w:rsidRPr="00130CCE">
        <w:t>, p. 9-11.</w:t>
      </w:r>
    </w:p>
  </w:footnote>
  <w:footnote w:id="16">
    <w:p w14:paraId="555AA0D2" w14:textId="77777777" w:rsidR="007152D5" w:rsidRPr="00130CCE" w:rsidRDefault="007152D5" w:rsidP="007152D5">
      <w:pPr>
        <w:pStyle w:val="FootnoteText"/>
      </w:pPr>
      <w:r w:rsidRPr="00130CCE">
        <w:rPr>
          <w:rStyle w:val="FootnoteReference"/>
        </w:rPr>
        <w:footnoteRef/>
      </w:r>
      <w:r w:rsidRPr="00130CCE">
        <w:t xml:space="preserve"> VVA/KPMG (2022), </w:t>
      </w:r>
      <w:hyperlink r:id="rId11">
        <w:r w:rsidRPr="00130CCE">
          <w:rPr>
            <w:rStyle w:val="Hyperlink"/>
          </w:rPr>
          <w:t>Tax compliance costs for SMEs: An update and a complement Final Report KPMG/VVA 2022</w:t>
        </w:r>
      </w:hyperlink>
      <w:r w:rsidRPr="00130CCE">
        <w:t>.</w:t>
      </w:r>
    </w:p>
  </w:footnote>
  <w:footnote w:id="17">
    <w:p w14:paraId="75AEFC43" w14:textId="77777777" w:rsidR="00547926" w:rsidRPr="00130CCE" w:rsidRDefault="00547926" w:rsidP="00547926">
      <w:pPr>
        <w:pStyle w:val="FootnoteText"/>
      </w:pPr>
      <w:r w:rsidRPr="00130CCE">
        <w:rPr>
          <w:rStyle w:val="FootnoteReference"/>
        </w:rPr>
        <w:footnoteRef/>
      </w:r>
      <w:r w:rsidRPr="00130CCE">
        <w:t xml:space="preserve"> Impact Assessment Report Accompanying the proposal for a Council Directive establishing a Head Office Taxation (HOT) system (2023), </w:t>
      </w:r>
      <w:hyperlink r:id="rId12" w:history="1">
        <w:r w:rsidRPr="00130CCE">
          <w:rPr>
            <w:rStyle w:val="Hyperlink"/>
          </w:rPr>
          <w:t>eur-lex.europa.eu/legal-content/EN/TXT/PDF/?uri=CELEX%3A52023SC0308.</w:t>
        </w:r>
      </w:hyperlink>
    </w:p>
  </w:footnote>
  <w:footnote w:id="18">
    <w:p w14:paraId="0C70AD85" w14:textId="46F1FFBF" w:rsidR="0042545F" w:rsidRPr="00130CCE" w:rsidRDefault="0042545F">
      <w:pPr>
        <w:pStyle w:val="FootnoteText"/>
        <w:rPr>
          <w:lang w:val="en-IE"/>
        </w:rPr>
      </w:pPr>
      <w:r w:rsidRPr="00130CCE">
        <w:rPr>
          <w:rStyle w:val="FootnoteReference"/>
        </w:rPr>
        <w:footnoteRef/>
      </w:r>
      <w:r w:rsidRPr="00130CCE">
        <w:t xml:space="preserve"> </w:t>
      </w:r>
      <w:hyperlink r:id="rId13" w:history="1">
        <w:r w:rsidR="00435EFE" w:rsidRPr="00130CCE">
          <w:rPr>
            <w:rStyle w:val="Hyperlink"/>
          </w:rPr>
          <w:t>Simplifying EU rules on direct taxation – omnibus</w:t>
        </w:r>
      </w:hyperlink>
      <w:r w:rsidR="00435EFE" w:rsidRPr="00130CCE">
        <w:t xml:space="preserve">; </w:t>
      </w:r>
      <w:r w:rsidR="00FA4A38" w:rsidRPr="00130CCE">
        <w:rPr>
          <w:lang w:val="en-IE"/>
        </w:rPr>
        <w:t xml:space="preserve">Annex </w:t>
      </w:r>
      <w:r w:rsidR="00E80715" w:rsidRPr="00130CCE">
        <w:rPr>
          <w:lang w:val="en-IE"/>
        </w:rPr>
        <w:t>2: Stakeholder consultation synopsis report</w:t>
      </w:r>
    </w:p>
  </w:footnote>
  <w:footnote w:id="19">
    <w:p w14:paraId="73E2D0ED" w14:textId="6C75C5E9" w:rsidR="00370BBF" w:rsidRPr="00130CCE" w:rsidRDefault="00370BBF">
      <w:pPr>
        <w:pStyle w:val="FootnoteText"/>
      </w:pPr>
      <w:r w:rsidRPr="00130CCE">
        <w:rPr>
          <w:rStyle w:val="FootnoteReference"/>
        </w:rPr>
        <w:footnoteRef/>
      </w:r>
      <w:r w:rsidRPr="00130CCE">
        <w:t xml:space="preserve"> Ibid.</w:t>
      </w:r>
    </w:p>
  </w:footnote>
  <w:footnote w:id="20">
    <w:p w14:paraId="491FD64C" w14:textId="0B6F2548" w:rsidR="00B51AE0" w:rsidRPr="00130CCE" w:rsidRDefault="00B51AE0" w:rsidP="00A93CAC">
      <w:pPr>
        <w:pStyle w:val="FootnoteText"/>
      </w:pPr>
      <w:r w:rsidRPr="00130CCE">
        <w:rPr>
          <w:rStyle w:val="FootnoteReference"/>
        </w:rPr>
        <w:footnoteRef/>
      </w:r>
      <w:r w:rsidRPr="00130CCE">
        <w:t xml:space="preserve"> </w:t>
      </w:r>
      <w:r w:rsidR="00A93CAC" w:rsidRPr="00130CCE">
        <w:t xml:space="preserve">OECD Pillar </w:t>
      </w:r>
      <w:r w:rsidR="007F593A" w:rsidRPr="00130CCE">
        <w:t xml:space="preserve">2 </w:t>
      </w:r>
      <w:r w:rsidR="00A93CAC" w:rsidRPr="00130CCE">
        <w:t>Compliance Costs. A Quantitative Assessment for EU-Headquartered Groups</w:t>
      </w:r>
      <w:r w:rsidR="00C84E4B" w:rsidRPr="00130CCE">
        <w:t xml:space="preserve"> (2025)</w:t>
      </w:r>
      <w:r w:rsidR="00A93CAC" w:rsidRPr="00130CCE">
        <w:t xml:space="preserve">, </w:t>
      </w:r>
      <w:r w:rsidR="00C84E4B" w:rsidRPr="00130CCE">
        <w:t>Sean Bray, Daniel Bunn, Johannes J. Gaul, Christoph Spengel</w:t>
      </w:r>
      <w:r w:rsidR="00A93CAC" w:rsidRPr="00130CCE">
        <w:t xml:space="preserve">, </w:t>
      </w:r>
      <w:hyperlink r:id="rId14" w:history="1">
        <w:r w:rsidR="00A93CAC" w:rsidRPr="00130CCE">
          <w:rPr>
            <w:rStyle w:val="Hyperlink"/>
          </w:rPr>
          <w:t>DP 25-053</w:t>
        </w:r>
      </w:hyperlink>
      <w:r w:rsidR="00A93CAC" w:rsidRPr="00130CCE">
        <w:t>.</w:t>
      </w:r>
    </w:p>
  </w:footnote>
  <w:footnote w:id="21">
    <w:p w14:paraId="3D54420D" w14:textId="3BB4671B" w:rsidR="008073D1" w:rsidRPr="00130CCE" w:rsidRDefault="007D565E">
      <w:pPr>
        <w:pStyle w:val="FootnoteText"/>
      </w:pPr>
      <w:r w:rsidRPr="00130CCE">
        <w:rPr>
          <w:rStyle w:val="FootnoteReference"/>
        </w:rPr>
        <w:footnoteRef/>
      </w:r>
      <w:r w:rsidRPr="00130CCE">
        <w:t xml:space="preserve"> </w:t>
      </w:r>
      <w:r w:rsidR="00CE3A2A" w:rsidRPr="00130CCE">
        <w:rPr>
          <w:lang w:val="en-IE"/>
        </w:rPr>
        <w:t>Commission Staff Working Document: Evaluation of Council Directive 2016/1164 laying down rules against tax avoidance practices that directly affect the functioning of the internal market</w:t>
      </w:r>
      <w:r w:rsidR="00A94A9F" w:rsidRPr="00130CCE">
        <w:rPr>
          <w:lang w:val="en-IE"/>
        </w:rPr>
        <w:t>, p. 37</w:t>
      </w:r>
      <w:r w:rsidR="00CE3A2A" w:rsidRPr="00130CCE">
        <w:rPr>
          <w:lang w:val="en-IE"/>
        </w:rPr>
        <w:t>.</w:t>
      </w:r>
    </w:p>
  </w:footnote>
  <w:footnote w:id="22">
    <w:p w14:paraId="4BD68155" w14:textId="77777777" w:rsidR="00934BB8" w:rsidRPr="00130CCE" w:rsidRDefault="00934BB8" w:rsidP="00934BB8">
      <w:pPr>
        <w:pStyle w:val="FootnoteText"/>
      </w:pPr>
      <w:r w:rsidRPr="00130CCE">
        <w:rPr>
          <w:rStyle w:val="FootnoteReference"/>
        </w:rPr>
        <w:footnoteRef/>
      </w:r>
      <w:r w:rsidRPr="00130CCE">
        <w:t xml:space="preserve"> </w:t>
      </w:r>
      <w:hyperlink r:id="rId15" w:history="1">
        <w:r w:rsidRPr="00130CCE">
          <w:rPr>
            <w:rStyle w:val="Hyperlink"/>
          </w:rPr>
          <w:t>Simplifying EU rules on direct taxation – omnibus</w:t>
        </w:r>
      </w:hyperlink>
      <w:r w:rsidRPr="00130CCE">
        <w:t xml:space="preserve">; </w:t>
      </w:r>
      <w:r w:rsidRPr="00130CCE">
        <w:rPr>
          <w:lang w:val="en-IE"/>
        </w:rPr>
        <w:t>Annex 2: Stakeholder consultation synopsis report</w:t>
      </w:r>
    </w:p>
  </w:footnote>
  <w:footnote w:id="23">
    <w:p w14:paraId="1EE5B004" w14:textId="357B57D5" w:rsidR="004B6E36" w:rsidRPr="00130CCE" w:rsidRDefault="004B6E36" w:rsidP="004B6E36">
      <w:pPr>
        <w:pStyle w:val="FootnoteText"/>
      </w:pPr>
      <w:r w:rsidRPr="00130CCE">
        <w:rPr>
          <w:rStyle w:val="FootnoteReference"/>
        </w:rPr>
        <w:footnoteRef/>
      </w:r>
      <w:r w:rsidRPr="00130CCE">
        <w:t xml:space="preserve"> </w:t>
      </w:r>
      <w:hyperlink r:id="rId16" w:history="1">
        <w:r w:rsidR="00493175" w:rsidRPr="00130CCE">
          <w:rPr>
            <w:rStyle w:val="Hyperlink"/>
          </w:rPr>
          <w:t>Base erosion and profit shifting (BEPS) | OECD</w:t>
        </w:r>
      </w:hyperlink>
      <w:r w:rsidR="005B0E6E" w:rsidRPr="00130CCE">
        <w:rPr>
          <w:lang w:val="en-IE"/>
        </w:rPr>
        <w:t xml:space="preserve"> and Commission Staff Working Document: Evaluation of Council Directive 2016/1164 laying down rules against tax avoidance practices that directly affect the functioning of the internal market, p</w:t>
      </w:r>
      <w:r w:rsidR="0018740F" w:rsidRPr="00130CCE">
        <w:rPr>
          <w:lang w:val="en-IE"/>
        </w:rPr>
        <w:t>. 39.</w:t>
      </w:r>
    </w:p>
  </w:footnote>
  <w:footnote w:id="24">
    <w:p w14:paraId="5FE5C4DB" w14:textId="3FDA6482" w:rsidR="00CD3765" w:rsidRPr="00130CCE" w:rsidRDefault="00CD3765">
      <w:pPr>
        <w:pStyle w:val="FootnoteText"/>
      </w:pPr>
      <w:r w:rsidRPr="00130CCE">
        <w:rPr>
          <w:rStyle w:val="FootnoteReference"/>
        </w:rPr>
        <w:footnoteRef/>
      </w:r>
      <w:r w:rsidRPr="00130CCE">
        <w:t xml:space="preserve"> </w:t>
      </w:r>
      <w:hyperlink r:id="rId17" w:history="1">
        <w:r w:rsidRPr="00130CCE">
          <w:rPr>
            <w:rStyle w:val="Hyperlink"/>
          </w:rPr>
          <w:t>Simplifying EU rules on direct taxation – omnibus</w:t>
        </w:r>
      </w:hyperlink>
      <w:r w:rsidRPr="00130CCE">
        <w:t xml:space="preserve">; </w:t>
      </w:r>
      <w:r w:rsidRPr="00130CCE">
        <w:rPr>
          <w:lang w:val="en-IE"/>
        </w:rPr>
        <w:t>Annex 2: Stake</w:t>
      </w:r>
      <w:r w:rsidR="008E4AFB" w:rsidRPr="00130CCE">
        <w:rPr>
          <w:lang w:val="en-IE"/>
        </w:rPr>
        <w:t xml:space="preserve"> </w:t>
      </w:r>
      <w:r w:rsidRPr="00130CCE">
        <w:rPr>
          <w:lang w:val="en-IE"/>
        </w:rPr>
        <w:t>holder consultation synopsis report</w:t>
      </w:r>
    </w:p>
  </w:footnote>
  <w:footnote w:id="25">
    <w:p w14:paraId="66E5216C" w14:textId="432CEEEF" w:rsidR="00445E76" w:rsidRPr="00130CCE" w:rsidRDefault="00445E76">
      <w:pPr>
        <w:pStyle w:val="FootnoteText"/>
      </w:pPr>
      <w:r w:rsidRPr="00130CCE">
        <w:rPr>
          <w:rStyle w:val="FootnoteReference"/>
        </w:rPr>
        <w:footnoteRef/>
      </w:r>
      <w:r w:rsidRPr="00130CCE">
        <w:t xml:space="preserve"> </w:t>
      </w:r>
      <w:r w:rsidRPr="00130CCE">
        <w:rPr>
          <w:lang w:val="en-IE"/>
        </w:rPr>
        <w:t xml:space="preserve">Commission Staff Working Document: Evaluation of Council Directive 2016/1164 laying down rules against tax avoidance practices that directly affect the functioning of the internal market, p. </w:t>
      </w:r>
      <w:r w:rsidR="009A2660" w:rsidRPr="00130CCE">
        <w:rPr>
          <w:lang w:val="en-IE"/>
        </w:rPr>
        <w:t>48.</w:t>
      </w:r>
    </w:p>
  </w:footnote>
  <w:footnote w:id="26">
    <w:p w14:paraId="162DE4CD" w14:textId="059B25A4" w:rsidR="00A64A85" w:rsidRPr="00130CCE" w:rsidRDefault="00A64A85">
      <w:pPr>
        <w:pStyle w:val="FootnoteText"/>
        <w:rPr>
          <w:lang w:val="en-IE"/>
        </w:rPr>
      </w:pPr>
      <w:r w:rsidRPr="00130CCE">
        <w:rPr>
          <w:rStyle w:val="FootnoteReference"/>
        </w:rPr>
        <w:footnoteRef/>
      </w:r>
      <w:r w:rsidRPr="00130CCE">
        <w:t xml:space="preserve"> </w:t>
      </w:r>
      <w:r w:rsidR="00CD382F" w:rsidRPr="00130CCE">
        <w:t>Ibid., p. 29.</w:t>
      </w:r>
    </w:p>
  </w:footnote>
  <w:footnote w:id="27">
    <w:p w14:paraId="1608D1AD" w14:textId="4C6BCF64" w:rsidR="00D51ABB" w:rsidRPr="00130CCE" w:rsidRDefault="00D51ABB">
      <w:pPr>
        <w:pStyle w:val="FootnoteText"/>
      </w:pPr>
      <w:r w:rsidRPr="00130CCE">
        <w:rPr>
          <w:rStyle w:val="FootnoteReference"/>
        </w:rPr>
        <w:footnoteRef/>
      </w:r>
      <w:r w:rsidRPr="00130CCE">
        <w:t xml:space="preserve"> </w:t>
      </w:r>
      <w:hyperlink r:id="rId18" w:history="1">
        <w:r w:rsidRPr="00130CCE">
          <w:rPr>
            <w:rStyle w:val="Hyperlink"/>
          </w:rPr>
          <w:t>Simplifying EU rules on direct taxation – omnibus</w:t>
        </w:r>
      </w:hyperlink>
      <w:r w:rsidRPr="00130CCE">
        <w:t xml:space="preserve">; </w:t>
      </w:r>
      <w:r w:rsidRPr="00130CCE">
        <w:rPr>
          <w:lang w:val="en-IE"/>
        </w:rPr>
        <w:t>Annex 2: Stakeholder consultation synopsis report</w:t>
      </w:r>
    </w:p>
  </w:footnote>
  <w:footnote w:id="28">
    <w:p w14:paraId="25ADE6EC" w14:textId="3CB3DF78" w:rsidR="00DF31EA" w:rsidRPr="00130CCE" w:rsidRDefault="00DF31EA" w:rsidP="00DF31EA">
      <w:pPr>
        <w:pStyle w:val="FootnoteText"/>
      </w:pPr>
      <w:r w:rsidRPr="00130CCE">
        <w:rPr>
          <w:rStyle w:val="FootnoteReference"/>
        </w:rPr>
        <w:footnoteRef/>
      </w:r>
      <w:r w:rsidRPr="00130CCE">
        <w:t xml:space="preserve"> </w:t>
      </w:r>
      <w:r w:rsidR="00077F67" w:rsidRPr="00130CCE">
        <w:t>Ibid.</w:t>
      </w:r>
    </w:p>
  </w:footnote>
  <w:footnote w:id="29">
    <w:p w14:paraId="1B80B6E4" w14:textId="77777777" w:rsidR="00DF31EA" w:rsidRPr="00130CCE" w:rsidRDefault="00DF31EA" w:rsidP="00DF31EA">
      <w:pPr>
        <w:pStyle w:val="FootnoteText"/>
      </w:pPr>
      <w:r w:rsidRPr="00130CCE">
        <w:rPr>
          <w:rStyle w:val="FootnoteReference"/>
        </w:rPr>
        <w:footnoteRef/>
      </w:r>
      <w:r w:rsidRPr="00130CCE">
        <w:t xml:space="preserve"> </w:t>
      </w:r>
      <w:r w:rsidRPr="00130CCE">
        <w:rPr>
          <w:lang w:val="en-IE"/>
        </w:rPr>
        <w:t>Commission Staff Working Document: Evaluation of Council Directive 2016/1164 laying down rules against tax avoidance practices that directly affect the functioning of the internal market, p. 46-47</w:t>
      </w:r>
    </w:p>
  </w:footnote>
  <w:footnote w:id="30">
    <w:p w14:paraId="33F5036C" w14:textId="77777777" w:rsidR="00DF31EA" w:rsidRPr="00130CCE" w:rsidRDefault="00DF31EA" w:rsidP="00DF31EA">
      <w:pPr>
        <w:pStyle w:val="FootnoteText"/>
      </w:pPr>
      <w:r w:rsidRPr="00130CCE">
        <w:rPr>
          <w:rStyle w:val="FootnoteReference"/>
        </w:rPr>
        <w:footnoteRef/>
      </w:r>
      <w:r w:rsidRPr="00130CCE">
        <w:t xml:space="preserve"> </w:t>
      </w:r>
      <w:r w:rsidRPr="00130CCE">
        <w:rPr>
          <w:lang w:val="en-IE"/>
        </w:rPr>
        <w:t>Ibid., p. 46-47</w:t>
      </w:r>
    </w:p>
  </w:footnote>
  <w:footnote w:id="31">
    <w:p w14:paraId="2FC787BB" w14:textId="60B16A26" w:rsidR="00DF31EA" w:rsidRPr="00130CCE" w:rsidRDefault="00DF31EA" w:rsidP="00DF31EA">
      <w:pPr>
        <w:pStyle w:val="FootnoteText"/>
      </w:pPr>
      <w:r w:rsidRPr="00130CCE">
        <w:rPr>
          <w:rStyle w:val="FootnoteReference"/>
        </w:rPr>
        <w:footnoteRef/>
      </w:r>
      <w:r w:rsidRPr="00130CCE">
        <w:t xml:space="preserve"> Ibid.</w:t>
      </w:r>
      <w:r w:rsidR="00626390" w:rsidRPr="00130CCE">
        <w:t>,</w:t>
      </w:r>
      <w:r w:rsidR="006149C1" w:rsidRPr="00130CCE">
        <w:t xml:space="preserve"> p. 12-14.</w:t>
      </w:r>
    </w:p>
  </w:footnote>
  <w:footnote w:id="32">
    <w:p w14:paraId="79AC9D9C" w14:textId="1D6C0B0A" w:rsidR="00C6275B" w:rsidRPr="00130CCE" w:rsidRDefault="00C6275B">
      <w:pPr>
        <w:pStyle w:val="FootnoteText"/>
      </w:pPr>
      <w:r w:rsidRPr="00130CCE">
        <w:rPr>
          <w:rStyle w:val="FootnoteReference"/>
        </w:rPr>
        <w:footnoteRef/>
      </w:r>
      <w:r w:rsidRPr="00130CCE">
        <w:t xml:space="preserve"> </w:t>
      </w:r>
      <w:hyperlink r:id="rId19" w:history="1">
        <w:r w:rsidR="00F078C1" w:rsidRPr="00130CCE">
          <w:rPr>
            <w:rStyle w:val="Hyperlink"/>
          </w:rPr>
          <w:t>Simplifying EU rules on direct taxation – omnibus</w:t>
        </w:r>
      </w:hyperlink>
      <w:r w:rsidR="00F078C1" w:rsidRPr="00130CCE">
        <w:t xml:space="preserve">; </w:t>
      </w:r>
      <w:r w:rsidR="00F078C1" w:rsidRPr="00130CCE">
        <w:rPr>
          <w:lang w:val="en-IE"/>
        </w:rPr>
        <w:t>Annex 2: Stakeholder consultation synopsis report</w:t>
      </w:r>
    </w:p>
  </w:footnote>
  <w:footnote w:id="33">
    <w:p w14:paraId="10D8FA54" w14:textId="77777777" w:rsidR="00981BED" w:rsidRPr="00130CCE" w:rsidRDefault="00981BED" w:rsidP="00981BED">
      <w:pPr>
        <w:pStyle w:val="FootnoteText"/>
        <w:rPr>
          <w:lang w:val="en-IE"/>
        </w:rPr>
      </w:pPr>
      <w:r w:rsidRPr="00130CCE">
        <w:rPr>
          <w:rStyle w:val="FootnoteReference"/>
        </w:rPr>
        <w:footnoteRef/>
      </w:r>
      <w:r w:rsidRPr="00130CCE">
        <w:t xml:space="preserve"> European Parliamentary Research Service, </w:t>
      </w:r>
      <w:hyperlink r:id="rId20" w:history="1">
        <w:r w:rsidRPr="00130CCE">
          <w:rPr>
            <w:rStyle w:val="Hyperlink"/>
          </w:rPr>
          <w:t>Tax compliance costs in the EU: Striking the right balance</w:t>
        </w:r>
      </w:hyperlink>
      <w:r w:rsidRPr="00130CCE">
        <w:t xml:space="preserve"> p. 1; Study requested by the FISC Subcommittee, European Parliament, </w:t>
      </w:r>
      <w:hyperlink r:id="rId21" w:history="1">
        <w:r w:rsidRPr="00130CCE">
          <w:rPr>
            <w:rStyle w:val="Hyperlink"/>
          </w:rPr>
          <w:t>Removal of taxation-based obstacles and distortions in the Single Market in order to encourage cross border investment</w:t>
        </w:r>
      </w:hyperlink>
      <w:r w:rsidRPr="00130CCE">
        <w:t>, p. 9-11.</w:t>
      </w:r>
    </w:p>
  </w:footnote>
  <w:footnote w:id="34">
    <w:p w14:paraId="44844101" w14:textId="3C393823" w:rsidR="009A15BA" w:rsidRPr="00130CCE" w:rsidRDefault="009A15BA">
      <w:pPr>
        <w:pStyle w:val="FootnoteText"/>
      </w:pPr>
      <w:r w:rsidRPr="00130CCE">
        <w:rPr>
          <w:rStyle w:val="FootnoteReference"/>
        </w:rPr>
        <w:footnoteRef/>
      </w:r>
      <w:r w:rsidRPr="00130CCE">
        <w:t xml:space="preserve"> </w:t>
      </w:r>
      <w:hyperlink r:id="rId22" w:history="1">
        <w:r w:rsidR="0034220C" w:rsidRPr="00130CCE">
          <w:rPr>
            <w:rStyle w:val="Hyperlink"/>
          </w:rPr>
          <w:t>Tax Complexity Index</w:t>
        </w:r>
      </w:hyperlink>
      <w:r w:rsidR="00A32B67" w:rsidRPr="00130CCE">
        <w:t xml:space="preserve">; </w:t>
      </w:r>
      <w:r w:rsidR="00AB7BF1" w:rsidRPr="00130CCE">
        <w:t xml:space="preserve">In 2024, </w:t>
      </w:r>
      <w:r w:rsidR="00A32B67" w:rsidRPr="00130CCE">
        <w:t>13 Member States are found to have higher</w:t>
      </w:r>
      <w:r w:rsidR="003E671C" w:rsidRPr="00130CCE">
        <w:t xml:space="preserve"> tax</w:t>
      </w:r>
      <w:r w:rsidR="00A32B67" w:rsidRPr="00130CCE">
        <w:t xml:space="preserve"> complexity than</w:t>
      </w:r>
      <w:r w:rsidR="00DC3189" w:rsidRPr="00130CCE">
        <w:t xml:space="preserve"> the US</w:t>
      </w:r>
      <w:r w:rsidR="00AB7BF1" w:rsidRPr="00130CCE">
        <w:t xml:space="preserve"> and 20 Member States are found to have </w:t>
      </w:r>
      <w:r w:rsidR="003E671C" w:rsidRPr="00130CCE">
        <w:t>higher tax complexity than China.</w:t>
      </w:r>
    </w:p>
  </w:footnote>
  <w:footnote w:id="35">
    <w:p w14:paraId="7DCE6307" w14:textId="544335C4" w:rsidR="005860AB" w:rsidRPr="00130CCE" w:rsidRDefault="005860AB" w:rsidP="00391316">
      <w:pPr>
        <w:spacing w:after="0"/>
        <w:rPr>
          <w:sz w:val="20"/>
          <w:szCs w:val="20"/>
          <w:lang w:val="en-IE"/>
        </w:rPr>
      </w:pPr>
      <w:r w:rsidRPr="00130CCE">
        <w:rPr>
          <w:rStyle w:val="FootnoteReference"/>
          <w:sz w:val="20"/>
          <w:szCs w:val="20"/>
        </w:rPr>
        <w:footnoteRef/>
      </w:r>
      <w:r w:rsidRPr="00130CCE">
        <w:rPr>
          <w:sz w:val="20"/>
          <w:szCs w:val="20"/>
          <w:lang w:val="en-IE"/>
        </w:rPr>
        <w:t xml:space="preserve"> </w:t>
      </w:r>
      <w:r w:rsidR="00863528" w:rsidRPr="00130CCE">
        <w:rPr>
          <w:sz w:val="20"/>
          <w:szCs w:val="20"/>
          <w:lang w:val="en-IE"/>
        </w:rPr>
        <w:t>Judgment of the Court (First Chamber) of 1 October 2009, Gaz de France - Berliner Investissement SA v Bundeszentralamt für Steuern, Case C-247/08, ECLI:EU:C:2009:600.</w:t>
      </w:r>
    </w:p>
  </w:footnote>
  <w:footnote w:id="36">
    <w:p w14:paraId="14E40B4A" w14:textId="363DE79F" w:rsidR="00120F2F" w:rsidRPr="00130CCE" w:rsidRDefault="00120F2F">
      <w:pPr>
        <w:pStyle w:val="FootnoteText"/>
      </w:pPr>
      <w:r w:rsidRPr="00130CCE">
        <w:rPr>
          <w:rStyle w:val="FootnoteReference"/>
        </w:rPr>
        <w:footnoteRef/>
      </w:r>
      <w:r w:rsidRPr="00130CCE">
        <w:t xml:space="preserve"> </w:t>
      </w:r>
      <w:hyperlink r:id="rId23" w:history="1">
        <w:r w:rsidRPr="00130CCE">
          <w:rPr>
            <w:rStyle w:val="Hyperlink"/>
          </w:rPr>
          <w:t>Simplifying EU rules on direct taxation – omnibus</w:t>
        </w:r>
      </w:hyperlink>
      <w:r w:rsidRPr="00130CCE">
        <w:t xml:space="preserve">; </w:t>
      </w:r>
      <w:r w:rsidRPr="00130CCE">
        <w:rPr>
          <w:lang w:val="en-IE"/>
        </w:rPr>
        <w:t>Annex 2: Stakeholder consultation synopsis report</w:t>
      </w:r>
    </w:p>
  </w:footnote>
  <w:footnote w:id="37">
    <w:p w14:paraId="376371A5" w14:textId="1EA0BE13" w:rsidR="00E9675A" w:rsidRPr="00130CCE" w:rsidRDefault="00E9675A">
      <w:pPr>
        <w:pStyle w:val="FootnoteText"/>
        <w:rPr>
          <w:lang w:val="en-IE"/>
        </w:rPr>
      </w:pPr>
      <w:r w:rsidRPr="00130CCE">
        <w:rPr>
          <w:rStyle w:val="FootnoteReference"/>
        </w:rPr>
        <w:footnoteRef/>
      </w:r>
      <w:r w:rsidRPr="00130CCE">
        <w:t xml:space="preserve"> </w:t>
      </w:r>
      <w:r w:rsidR="005B223B" w:rsidRPr="00130CCE">
        <w:t xml:space="preserve">Study requested by the FISC Subcommittee, European Parliament, </w:t>
      </w:r>
      <w:hyperlink r:id="rId24" w:history="1">
        <w:r w:rsidR="005B223B" w:rsidRPr="00130CCE">
          <w:rPr>
            <w:rStyle w:val="Hyperlink"/>
          </w:rPr>
          <w:t>Removal of taxation-based obstacles and distortions in the Single Market in order to encourage cross border investment</w:t>
        </w:r>
      </w:hyperlink>
      <w:r w:rsidR="005B223B" w:rsidRPr="00130CCE">
        <w:t>, p. 17.</w:t>
      </w:r>
    </w:p>
  </w:footnote>
  <w:footnote w:id="38">
    <w:p w14:paraId="143BD93E" w14:textId="4A3470CF" w:rsidR="0055375C" w:rsidRPr="00130CCE" w:rsidRDefault="0055375C">
      <w:pPr>
        <w:pStyle w:val="FootnoteText"/>
      </w:pPr>
      <w:r w:rsidRPr="00130CCE">
        <w:rPr>
          <w:rStyle w:val="FootnoteReference"/>
        </w:rPr>
        <w:footnoteRef/>
      </w:r>
      <w:r w:rsidRPr="00130CCE">
        <w:t xml:space="preserve"> </w:t>
      </w:r>
      <w:r w:rsidR="00335FEA" w:rsidRPr="00130CCE">
        <w:t>Ibid.</w:t>
      </w:r>
    </w:p>
  </w:footnote>
  <w:footnote w:id="39">
    <w:p w14:paraId="2E99DAE9" w14:textId="1D53B5E3" w:rsidR="5CA76628" w:rsidRPr="00DE6B6A" w:rsidRDefault="5CA76628">
      <w:pPr>
        <w:rPr>
          <w:sz w:val="20"/>
          <w:szCs w:val="20"/>
        </w:rPr>
      </w:pPr>
      <w:r w:rsidRPr="00DE6B6A">
        <w:rPr>
          <w:sz w:val="20"/>
          <w:szCs w:val="20"/>
          <w:vertAlign w:val="superscript"/>
        </w:rPr>
        <w:footnoteRef/>
      </w:r>
      <w:r w:rsidRPr="00DE6B6A">
        <w:rPr>
          <w:sz w:val="20"/>
          <w:szCs w:val="20"/>
        </w:rPr>
        <w:t xml:space="preserve"> Communication from the Commission to the European Parliament, the Council, the European Economic and Social Committee and the Committee of the Regions (Commission Staff Working Document), The EU Startup and Scaleup Strategy, </w:t>
      </w:r>
      <w:hyperlink r:id="rId25">
        <w:r w:rsidRPr="00DE6B6A">
          <w:rPr>
            <w:rStyle w:val="Hyperlink"/>
            <w:sz w:val="20"/>
            <w:szCs w:val="20"/>
          </w:rPr>
          <w:t xml:space="preserve">COM(2025)270 final, pages 53 and 54. </w:t>
        </w:r>
      </w:hyperlink>
    </w:p>
  </w:footnote>
  <w:footnote w:id="40">
    <w:p w14:paraId="4E79DC37" w14:textId="7BD18CD5" w:rsidR="6B5DE07B" w:rsidRPr="005A4F29" w:rsidRDefault="6B5DE07B" w:rsidP="005A4F29">
      <w:pPr>
        <w:spacing w:after="0"/>
        <w:rPr>
          <w:rFonts w:eastAsia="Times New Roman"/>
          <w:sz w:val="20"/>
          <w:szCs w:val="20"/>
        </w:rPr>
      </w:pPr>
      <w:r w:rsidRPr="005A4F29">
        <w:rPr>
          <w:sz w:val="20"/>
          <w:szCs w:val="20"/>
        </w:rPr>
        <w:footnoteRef/>
      </w:r>
      <w:r w:rsidRPr="005A4F29">
        <w:rPr>
          <w:sz w:val="20"/>
          <w:szCs w:val="20"/>
        </w:rPr>
        <w:t xml:space="preserve"> M. Draghi, </w:t>
      </w:r>
      <w:r w:rsidRPr="00DE6B6A">
        <w:rPr>
          <w:rFonts w:eastAsia="Times New Roman"/>
          <w:i/>
          <w:sz w:val="20"/>
          <w:szCs w:val="20"/>
        </w:rPr>
        <w:t>The future of European competitiveness (Part A, A competitiveness strategy for Europe)</w:t>
      </w:r>
      <w:r w:rsidRPr="005A4F29">
        <w:rPr>
          <w:rFonts w:eastAsia="Times New Roman"/>
          <w:sz w:val="20"/>
          <w:szCs w:val="20"/>
        </w:rPr>
        <w:t>, September 2024.</w:t>
      </w:r>
    </w:p>
  </w:footnote>
  <w:footnote w:id="41">
    <w:p w14:paraId="68B756B1" w14:textId="080EC987" w:rsidR="6B5DE07B" w:rsidRPr="005A4F29" w:rsidRDefault="6B5DE07B" w:rsidP="005A4F29">
      <w:pPr>
        <w:spacing w:after="0"/>
        <w:rPr>
          <w:sz w:val="20"/>
          <w:szCs w:val="20"/>
        </w:rPr>
      </w:pPr>
      <w:r w:rsidRPr="005A4F29">
        <w:rPr>
          <w:sz w:val="20"/>
          <w:szCs w:val="20"/>
        </w:rPr>
        <w:footnoteRef/>
      </w:r>
      <w:r w:rsidRPr="005A4F29">
        <w:rPr>
          <w:sz w:val="20"/>
          <w:szCs w:val="20"/>
        </w:rPr>
        <w:t xml:space="preserve"> Ibid, p. 6.</w:t>
      </w:r>
    </w:p>
  </w:footnote>
  <w:footnote w:id="42">
    <w:p w14:paraId="6C687518" w14:textId="34D1130C" w:rsidR="2474DD45" w:rsidRPr="005A4F29" w:rsidRDefault="2474DD45" w:rsidP="005A4F29">
      <w:pPr>
        <w:spacing w:after="0"/>
        <w:rPr>
          <w:sz w:val="20"/>
          <w:szCs w:val="20"/>
        </w:rPr>
      </w:pPr>
      <w:r w:rsidRPr="005A4F29">
        <w:rPr>
          <w:sz w:val="20"/>
          <w:szCs w:val="20"/>
        </w:rPr>
        <w:footnoteRef/>
      </w:r>
      <w:r w:rsidRPr="005A4F29">
        <w:rPr>
          <w:sz w:val="20"/>
          <w:szCs w:val="20"/>
        </w:rPr>
        <w:t xml:space="preserve"> European Law Institute, </w:t>
      </w:r>
      <w:r w:rsidRPr="005A4F29">
        <w:rPr>
          <w:i/>
          <w:iCs/>
          <w:sz w:val="20"/>
          <w:szCs w:val="20"/>
        </w:rPr>
        <w:t>For a European Approach to R&amp;D Tax Incentive(s)</w:t>
      </w:r>
      <w:r w:rsidRPr="005A4F29">
        <w:rPr>
          <w:sz w:val="20"/>
          <w:szCs w:val="20"/>
        </w:rPr>
        <w:t>, 2021.</w:t>
      </w:r>
    </w:p>
  </w:footnote>
  <w:footnote w:id="43">
    <w:p w14:paraId="64914E5F" w14:textId="680557E4" w:rsidR="3EA83278" w:rsidRPr="005A4F29" w:rsidRDefault="3EA83278" w:rsidP="005A4F29">
      <w:pPr>
        <w:spacing w:after="0"/>
        <w:rPr>
          <w:sz w:val="20"/>
          <w:szCs w:val="20"/>
        </w:rPr>
      </w:pPr>
      <w:r w:rsidRPr="005A4F29">
        <w:rPr>
          <w:sz w:val="20"/>
          <w:szCs w:val="20"/>
        </w:rPr>
        <w:footnoteRef/>
      </w:r>
      <w:r w:rsidR="5FA38E9A" w:rsidRPr="005A4F29">
        <w:rPr>
          <w:sz w:val="20"/>
          <w:szCs w:val="20"/>
        </w:rPr>
        <w:t xml:space="preserve"> D. D’Andria, D. Pontikakis, A. Skonieczna, </w:t>
      </w:r>
      <w:r w:rsidR="5FA38E9A" w:rsidRPr="005A4F29">
        <w:rPr>
          <w:i/>
          <w:iCs/>
          <w:sz w:val="20"/>
          <w:szCs w:val="20"/>
        </w:rPr>
        <w:t xml:space="preserve">Towards a European R&amp;D Incentive? </w:t>
      </w:r>
      <w:r w:rsidR="012DFF8D" w:rsidRPr="005A4F29">
        <w:rPr>
          <w:i/>
          <w:iCs/>
          <w:sz w:val="20"/>
          <w:szCs w:val="20"/>
        </w:rPr>
        <w:t>An assessment of R&amp;D Provisions under a Common Corporate Tax Base</w:t>
      </w:r>
      <w:r w:rsidR="012DFF8D" w:rsidRPr="005A4F29">
        <w:rPr>
          <w:sz w:val="20"/>
          <w:szCs w:val="20"/>
        </w:rPr>
        <w:t xml:space="preserve">, Working Paper </w:t>
      </w:r>
      <w:r w:rsidR="6FC11E25" w:rsidRPr="005A4F29">
        <w:rPr>
          <w:sz w:val="20"/>
          <w:szCs w:val="20"/>
        </w:rPr>
        <w:t>No 69 – 2017, p. 4.</w:t>
      </w:r>
    </w:p>
  </w:footnote>
  <w:footnote w:id="44">
    <w:p w14:paraId="33130E05" w14:textId="320FA1C1" w:rsidR="003303F7" w:rsidRPr="00130CCE" w:rsidRDefault="003303F7" w:rsidP="005A4F29">
      <w:pPr>
        <w:pStyle w:val="FootnoteText"/>
      </w:pPr>
      <w:r w:rsidRPr="005A4F29">
        <w:rPr>
          <w:rStyle w:val="FootnoteReference"/>
        </w:rPr>
        <w:footnoteRef/>
      </w:r>
      <w:r w:rsidR="4CE5D387" w:rsidRPr="005A4F29">
        <w:t xml:space="preserve"> OECD R&amp;D statistics released on 31 March 2026, cf. </w:t>
      </w:r>
      <w:hyperlink r:id="rId26" w:history="1">
        <w:r w:rsidR="4CE5D387" w:rsidRPr="005A4F29">
          <w:rPr>
            <w:rStyle w:val="Hyperlink"/>
          </w:rPr>
          <w:t>https://www.oecd.org/en/data/insights/statistical-releases/2026/03/oecd-overall-rd-growth-stable-government-rd-budgets-decline-and-reorient-towards-defence.html</w:t>
        </w:r>
      </w:hyperlink>
      <w:r w:rsidR="4CE5D387" w:rsidRPr="005A4F29">
        <w:t>.</w:t>
      </w:r>
    </w:p>
  </w:footnote>
  <w:footnote w:id="45">
    <w:p w14:paraId="4DB20AB2" w14:textId="3AB089FB" w:rsidR="4CE5D387" w:rsidRPr="00130CCE" w:rsidRDefault="4CE5D387" w:rsidP="00391316">
      <w:pPr>
        <w:shd w:val="clear" w:color="auto" w:fill="FFFFFF" w:themeFill="background1"/>
        <w:spacing w:after="0"/>
        <w:rPr>
          <w:rFonts w:eastAsia="Times New Roman"/>
          <w:color w:val="00002E"/>
          <w:sz w:val="20"/>
          <w:szCs w:val="20"/>
        </w:rPr>
      </w:pPr>
      <w:r w:rsidRPr="00130CCE">
        <w:rPr>
          <w:sz w:val="20"/>
          <w:szCs w:val="20"/>
          <w:vertAlign w:val="superscript"/>
        </w:rPr>
        <w:footnoteRef/>
      </w:r>
      <w:r w:rsidRPr="00130CCE">
        <w:rPr>
          <w:sz w:val="20"/>
          <w:szCs w:val="20"/>
        </w:rPr>
        <w:t xml:space="preserve"> </w:t>
      </w:r>
      <w:r w:rsidRPr="00130CCE">
        <w:rPr>
          <w:rFonts w:eastAsia="Times New Roman"/>
          <w:color w:val="00002E"/>
          <w:sz w:val="20"/>
          <w:szCs w:val="20"/>
        </w:rPr>
        <w:t xml:space="preserve">Science, Research and Innovation performance of the EU 2024 report, Chapter 2, cf. </w:t>
      </w:r>
      <w:hyperlink r:id="rId27" w:history="1">
        <w:r w:rsidRPr="00130CCE">
          <w:rPr>
            <w:rStyle w:val="Hyperlink"/>
            <w:rFonts w:eastAsia="Times New Roman"/>
            <w:sz w:val="20"/>
            <w:szCs w:val="20"/>
          </w:rPr>
          <w:t>https://op.europa.eu/en/publication-detail/-/publication/c683268c-3cdc-11ef-ab8f-01aa75ed71a1/language-en</w:t>
        </w:r>
      </w:hyperlink>
      <w:r w:rsidRPr="00130CCE">
        <w:rPr>
          <w:rFonts w:eastAsia="Times New Roman"/>
          <w:color w:val="00002E"/>
          <w:sz w:val="20"/>
          <w:szCs w:val="20"/>
        </w:rPr>
        <w:t xml:space="preserve"> </w:t>
      </w:r>
    </w:p>
  </w:footnote>
  <w:footnote w:id="46">
    <w:p w14:paraId="242ED980" w14:textId="45E8CFCD" w:rsidR="00BB7EA0" w:rsidRPr="00130CCE" w:rsidRDefault="00BB7EA0">
      <w:pPr>
        <w:pStyle w:val="FootnoteText"/>
        <w:rPr>
          <w:lang w:val="en-IE"/>
        </w:rPr>
      </w:pPr>
      <w:r w:rsidRPr="00130CCE">
        <w:rPr>
          <w:rStyle w:val="FootnoteReference"/>
        </w:rPr>
        <w:footnoteRef/>
      </w:r>
      <w:r w:rsidRPr="00130CCE">
        <w:t xml:space="preserve"> </w:t>
      </w:r>
      <w:r w:rsidR="00FC13D0" w:rsidRPr="00130CCE">
        <w:rPr>
          <w:lang w:val="en-IE"/>
        </w:rPr>
        <w:t>Commission Staff Working Document: Evaluation of Council Directive 2016/1164 laying down rules against tax avoidance practices that directly affect the functioning of the internal market, p.</w:t>
      </w:r>
      <w:r w:rsidR="00643213" w:rsidRPr="00130CCE">
        <w:rPr>
          <w:lang w:val="en-IE"/>
        </w:rPr>
        <w:t xml:space="preserve"> 4</w:t>
      </w:r>
      <w:r w:rsidR="00DA1E74" w:rsidRPr="00130CCE">
        <w:rPr>
          <w:lang w:val="en-IE"/>
        </w:rPr>
        <w:t>6</w:t>
      </w:r>
      <w:r w:rsidR="00643213" w:rsidRPr="00130CCE">
        <w:rPr>
          <w:lang w:val="en-IE"/>
        </w:rPr>
        <w:t>-48.</w:t>
      </w:r>
    </w:p>
  </w:footnote>
  <w:footnote w:id="47">
    <w:p w14:paraId="3C012385" w14:textId="584F5D2B" w:rsidR="00AF7609" w:rsidRPr="00130CCE" w:rsidRDefault="00AF7609">
      <w:pPr>
        <w:pStyle w:val="FootnoteText"/>
      </w:pPr>
      <w:r w:rsidRPr="00130CCE">
        <w:rPr>
          <w:rStyle w:val="FootnoteReference"/>
        </w:rPr>
        <w:footnoteRef/>
      </w:r>
      <w:r w:rsidR="00B41A10" w:rsidRPr="00130CCE">
        <w:t xml:space="preserve"> </w:t>
      </w:r>
      <w:hyperlink r:id="rId28" w:history="1">
        <w:r w:rsidR="00553F4B" w:rsidRPr="00130CCE">
          <w:rPr>
            <w:rStyle w:val="Hyperlink"/>
          </w:rPr>
          <w:t>Simplifying EU rules on direct taxation – omnibus</w:t>
        </w:r>
      </w:hyperlink>
      <w:r w:rsidR="00553F4B" w:rsidRPr="00130CCE">
        <w:t xml:space="preserve">; </w:t>
      </w:r>
      <w:r w:rsidR="00553F4B" w:rsidRPr="00130CCE">
        <w:rPr>
          <w:lang w:val="en-IE"/>
        </w:rPr>
        <w:t>Annex 2: Stakeholder consultation synopsis report</w:t>
      </w:r>
    </w:p>
  </w:footnote>
  <w:footnote w:id="48">
    <w:p w14:paraId="1F433074" w14:textId="439BB8B9" w:rsidR="00583ED8" w:rsidRPr="00130CCE" w:rsidRDefault="00583ED8">
      <w:pPr>
        <w:pStyle w:val="FootnoteText"/>
      </w:pPr>
      <w:r w:rsidRPr="00130CCE">
        <w:rPr>
          <w:rStyle w:val="FootnoteReference"/>
        </w:rPr>
        <w:footnoteRef/>
      </w:r>
      <w:r w:rsidRPr="00130CCE">
        <w:t xml:space="preserve"> </w:t>
      </w:r>
      <w:r w:rsidR="00DA1E74" w:rsidRPr="00130CCE">
        <w:t>Ibid.</w:t>
      </w:r>
    </w:p>
  </w:footnote>
  <w:footnote w:id="49">
    <w:p w14:paraId="3B9E3AA5" w14:textId="0D5CBCFA" w:rsidR="002D0CBD" w:rsidRPr="00130CCE" w:rsidRDefault="002D0CBD" w:rsidP="002D0CBD">
      <w:pPr>
        <w:pStyle w:val="FootnoteText"/>
      </w:pPr>
      <w:r w:rsidRPr="00130CCE">
        <w:rPr>
          <w:rStyle w:val="FootnoteReference"/>
        </w:rPr>
        <w:footnoteRef/>
      </w:r>
      <w:r w:rsidRPr="00130CCE">
        <w:t xml:space="preserve"> </w:t>
      </w:r>
      <w:r w:rsidR="00583ED8" w:rsidRPr="00130CCE">
        <w:t>Ibid.</w:t>
      </w:r>
    </w:p>
  </w:footnote>
  <w:footnote w:id="50">
    <w:p w14:paraId="47BC544D" w14:textId="77777777" w:rsidR="00416534" w:rsidRPr="00130CCE" w:rsidRDefault="00416534" w:rsidP="00416534">
      <w:pPr>
        <w:pStyle w:val="FootnoteText"/>
      </w:pPr>
      <w:r w:rsidRPr="00130CCE">
        <w:rPr>
          <w:rStyle w:val="FootnoteReference"/>
        </w:rPr>
        <w:footnoteRef/>
      </w:r>
      <w:r w:rsidRPr="00130CCE">
        <w:t xml:space="preserve"> European Parliamentary Research Service, </w:t>
      </w:r>
      <w:hyperlink r:id="rId29" w:history="1">
        <w:r w:rsidRPr="00130CCE">
          <w:rPr>
            <w:rStyle w:val="Hyperlink"/>
          </w:rPr>
          <w:t>Tax compliance costs in the EU: Striking the right balance</w:t>
        </w:r>
      </w:hyperlink>
      <w:r w:rsidRPr="00130CCE">
        <w:t xml:space="preserve"> p. 1; Study requested by the FISC Subcommittee, European Parliament, </w:t>
      </w:r>
      <w:hyperlink r:id="rId30" w:history="1">
        <w:r w:rsidRPr="00130CCE">
          <w:rPr>
            <w:rStyle w:val="Hyperlink"/>
          </w:rPr>
          <w:t>Removal of taxation-based obstacles and distortions in the Single Market in order to encourage cross border investment</w:t>
        </w:r>
      </w:hyperlink>
      <w:r w:rsidRPr="00130CCE">
        <w:t xml:space="preserve"> p. 9-11.</w:t>
      </w:r>
    </w:p>
  </w:footnote>
  <w:footnote w:id="51">
    <w:p w14:paraId="0823063B" w14:textId="4E9C51DB" w:rsidR="00763538" w:rsidRPr="00130CCE" w:rsidRDefault="00763538">
      <w:pPr>
        <w:pStyle w:val="FootnoteText"/>
      </w:pPr>
      <w:r w:rsidRPr="00130CCE">
        <w:rPr>
          <w:rStyle w:val="FootnoteReference"/>
        </w:rPr>
        <w:footnoteRef/>
      </w:r>
      <w:r w:rsidRPr="00130CCE">
        <w:t xml:space="preserve"> </w:t>
      </w:r>
      <w:hyperlink r:id="rId31" w:history="1">
        <w:r w:rsidR="00335FEA" w:rsidRPr="00130CCE">
          <w:rPr>
            <w:rStyle w:val="Hyperlink"/>
          </w:rPr>
          <w:t>Simplifying EU rules on direct taxation – omnibus</w:t>
        </w:r>
      </w:hyperlink>
      <w:r w:rsidR="00335FEA" w:rsidRPr="00130CCE">
        <w:t xml:space="preserve">; </w:t>
      </w:r>
      <w:r w:rsidR="00335FEA" w:rsidRPr="00130CCE">
        <w:rPr>
          <w:lang w:val="en-IE"/>
        </w:rPr>
        <w:t>Annex 2: Stakeholder consultation synopsis report</w:t>
      </w:r>
    </w:p>
  </w:footnote>
  <w:footnote w:id="52">
    <w:p w14:paraId="422A6E33" w14:textId="16AEB654" w:rsidR="002E65B6" w:rsidRPr="00130CCE" w:rsidRDefault="002E65B6">
      <w:pPr>
        <w:pStyle w:val="FootnoteText"/>
      </w:pPr>
      <w:r w:rsidRPr="00130CCE">
        <w:rPr>
          <w:rStyle w:val="FootnoteReference"/>
        </w:rPr>
        <w:footnoteRef/>
      </w:r>
      <w:r w:rsidRPr="00130CCE">
        <w:t xml:space="preserve"> </w:t>
      </w:r>
      <w:hyperlink r:id="rId32" w:history="1">
        <w:r w:rsidR="00824D23" w:rsidRPr="00130CCE">
          <w:rPr>
            <w:rStyle w:val="Hyperlink"/>
          </w:rPr>
          <w:t>Simplifying EU rules on direct taxation – omnibus</w:t>
        </w:r>
      </w:hyperlink>
      <w:r w:rsidR="00824D23" w:rsidRPr="00130CCE">
        <w:t xml:space="preserve">; </w:t>
      </w:r>
      <w:r w:rsidR="00824D23" w:rsidRPr="00130CCE">
        <w:rPr>
          <w:lang w:val="en-IE"/>
        </w:rPr>
        <w:t>Annex 2: Stakeholder consultation synopsis report and</w:t>
      </w:r>
      <w:r w:rsidRPr="00130CCE">
        <w:rPr>
          <w:lang w:val="en-IE"/>
        </w:rPr>
        <w:t xml:space="preserve"> </w:t>
      </w:r>
      <w:r w:rsidR="001C4C78" w:rsidRPr="00130CCE">
        <w:rPr>
          <w:lang w:val="en-IE"/>
        </w:rPr>
        <w:t>Commission Staff Working Document: Evaluation of Council Directive 2016/1164 laying down rules against tax avoidance practices that directly affect the functioning of the internal market</w:t>
      </w:r>
      <w:r w:rsidR="001C4C78" w:rsidRPr="00130CCE">
        <w:t>, p.</w:t>
      </w:r>
      <w:r w:rsidR="00824D23" w:rsidRPr="00130CCE">
        <w:t xml:space="preserve"> </w:t>
      </w:r>
      <w:r w:rsidR="00B3627E" w:rsidRPr="00130CCE">
        <w:t>19-</w:t>
      </w:r>
      <w:r w:rsidR="00DA7DE3" w:rsidRPr="00130CCE">
        <w:t>43.</w:t>
      </w:r>
    </w:p>
  </w:footnote>
  <w:footnote w:id="53">
    <w:p w14:paraId="17C1C172" w14:textId="314569ED" w:rsidR="00CF4331" w:rsidRPr="00130CCE" w:rsidRDefault="00CF4331">
      <w:pPr>
        <w:pStyle w:val="FootnoteText"/>
      </w:pPr>
      <w:r w:rsidRPr="00130CCE">
        <w:rPr>
          <w:rStyle w:val="FootnoteReference"/>
        </w:rPr>
        <w:footnoteRef/>
      </w:r>
      <w:r w:rsidRPr="00130CCE">
        <w:t xml:space="preserve"> </w:t>
      </w:r>
      <w:r w:rsidR="0048024B" w:rsidRPr="00130CCE">
        <w:rPr>
          <w:lang w:val="en-IE"/>
        </w:rPr>
        <w:t>Commission Staff Working Document: Evaluation of Council Directive 2016/1164 laying down rules against tax avoidance practices that directly affect the functioning of the internal market</w:t>
      </w:r>
      <w:r w:rsidR="00630642" w:rsidRPr="00130CCE">
        <w:t>.</w:t>
      </w:r>
    </w:p>
  </w:footnote>
  <w:footnote w:id="54">
    <w:p w14:paraId="77E329CA" w14:textId="77777777" w:rsidR="0065116B" w:rsidRPr="00130CCE" w:rsidRDefault="0065116B" w:rsidP="0065116B">
      <w:pPr>
        <w:pStyle w:val="FootnoteText"/>
      </w:pPr>
      <w:r w:rsidRPr="00130CCE">
        <w:rPr>
          <w:rStyle w:val="FootnoteReference"/>
        </w:rPr>
        <w:footnoteRef/>
      </w:r>
      <w:r w:rsidRPr="00130CCE">
        <w:t xml:space="preserve"> </w:t>
      </w:r>
      <w:hyperlink r:id="rId33" w:history="1">
        <w:r w:rsidRPr="00130CCE">
          <w:rPr>
            <w:rStyle w:val="Hyperlink"/>
          </w:rPr>
          <w:t>The Draghi report on EU competitiveness</w:t>
        </w:r>
      </w:hyperlink>
    </w:p>
  </w:footnote>
  <w:footnote w:id="55">
    <w:p w14:paraId="06BDDD80" w14:textId="77777777" w:rsidR="00BE7FA5" w:rsidRPr="00130CCE" w:rsidDel="00F600E5" w:rsidRDefault="00BE7FA5" w:rsidP="00BE7FA5">
      <w:pPr>
        <w:spacing w:after="0"/>
        <w:rPr>
          <w:sz w:val="20"/>
          <w:szCs w:val="20"/>
          <w:lang w:val="en-IE"/>
        </w:rPr>
      </w:pPr>
      <w:r w:rsidRPr="00DE6B6A" w:rsidDel="00F600E5">
        <w:rPr>
          <w:rStyle w:val="FootnoteReference"/>
          <w:sz w:val="20"/>
          <w:szCs w:val="20"/>
        </w:rPr>
        <w:footnoteRef/>
      </w:r>
      <w:r w:rsidRPr="00DE6B6A" w:rsidDel="00F600E5">
        <w:rPr>
          <w:sz w:val="20"/>
          <w:szCs w:val="20"/>
          <w:lang w:val="en-IE"/>
        </w:rPr>
        <w:t xml:space="preserve"> </w:t>
      </w:r>
      <w:r w:rsidRPr="00130CCE">
        <w:rPr>
          <w:sz w:val="20"/>
          <w:szCs w:val="20"/>
          <w:lang w:val="en-IE"/>
        </w:rPr>
        <w:t>Judgment of the Court (First Chamber) of 1 October 2009, Gaz de France - Berliner Investissement SA v Bundeszentralamt für Steuern, Case C-247/08, ECLI:EU:C:2009:600.</w:t>
      </w:r>
    </w:p>
  </w:footnote>
  <w:footnote w:id="56">
    <w:p w14:paraId="3CE72F19" w14:textId="77777777" w:rsidR="00BE7FA5" w:rsidRPr="00DE6B6A" w:rsidDel="00AB66B6" w:rsidRDefault="00BE7FA5" w:rsidP="00BE7FA5">
      <w:pPr>
        <w:pStyle w:val="FootnoteText"/>
        <w:rPr>
          <w:lang w:eastAsia="ja-JP"/>
        </w:rPr>
      </w:pPr>
      <w:r w:rsidRPr="00130CCE" w:rsidDel="00AB66B6">
        <w:rPr>
          <w:rStyle w:val="FootnoteReference"/>
        </w:rPr>
        <w:footnoteRef/>
      </w:r>
      <w:r w:rsidRPr="00130CCE" w:rsidDel="00AB66B6">
        <w:t xml:space="preserve"> </w:t>
      </w:r>
      <w:r w:rsidRPr="00130CCE" w:rsidDel="00AB66B6">
        <w:rPr>
          <w:rFonts w:eastAsia="Aptos"/>
          <w:color w:val="000000" w:themeColor="text1"/>
        </w:rPr>
        <w:t>Council Regulation (EC) N 2157/2001 of 8 October 2001 on the Statute for a European company and Council Regulation (EC) N 1435/2003 of 22 July 2003 on the Statute for a European Cooperative Society</w:t>
      </w:r>
      <w:r w:rsidRPr="00130CCE" w:rsidDel="00AB66B6">
        <w:t>.</w:t>
      </w:r>
    </w:p>
  </w:footnote>
  <w:footnote w:id="57">
    <w:p w14:paraId="0C06A362" w14:textId="77777777" w:rsidR="00BE7FA5" w:rsidRPr="00130CCE" w:rsidDel="008D1C2D" w:rsidRDefault="00BE7FA5" w:rsidP="00BE7FA5">
      <w:pPr>
        <w:pStyle w:val="FootnoteText"/>
      </w:pPr>
      <w:r w:rsidRPr="00130CCE" w:rsidDel="008D1C2D">
        <w:rPr>
          <w:rStyle w:val="FootnoteReference"/>
        </w:rPr>
        <w:footnoteRef/>
      </w:r>
      <w:r w:rsidRPr="00130CCE" w:rsidDel="008D1C2D">
        <w:t xml:space="preserve"> Report from the Commission to the Council in accordance with Article 8 of Council Directive 2003/49/EC on a common system of taxation applicable to interest and royalty payments made between associated companies of different Member States, COM/2009/0179 final.</w:t>
      </w:r>
    </w:p>
  </w:footnote>
  <w:footnote w:id="58">
    <w:p w14:paraId="79B79DA2" w14:textId="77777777" w:rsidR="00BE7FA5" w:rsidRPr="00130CCE" w:rsidRDefault="00BE7FA5" w:rsidP="00BE7FA5">
      <w:pPr>
        <w:pStyle w:val="Footnote"/>
        <w:rPr>
          <w:rFonts w:ascii="Times New Roman" w:hAnsi="Times New Roman" w:cs="Times New Roman"/>
          <w:sz w:val="20"/>
          <w:szCs w:val="20"/>
          <w:lang w:val="en-GB"/>
        </w:rPr>
      </w:pPr>
      <w:r w:rsidRPr="00130CCE">
        <w:rPr>
          <w:rStyle w:val="FootnoteReference"/>
          <w:rFonts w:ascii="Times New Roman" w:hAnsi="Times New Roman" w:cs="Times New Roman"/>
          <w:sz w:val="20"/>
          <w:szCs w:val="20"/>
          <w:lang w:val="en-GB"/>
        </w:rPr>
        <w:footnoteRef/>
      </w:r>
      <w:r w:rsidRPr="00130CCE">
        <w:rPr>
          <w:rFonts w:ascii="Times New Roman" w:hAnsi="Times New Roman" w:cs="Times New Roman"/>
          <w:sz w:val="20"/>
          <w:szCs w:val="20"/>
          <w:lang w:val="en-GB"/>
        </w:rPr>
        <w:t xml:space="preserve"> Judgment of the Court (Grand Chamber) of 12 September 2006, Cadbury Schweppes plc and Cadbury Schweppes Overseas Ltd v Commissioners of Inland Revenue, Case C-196/04. ECLI:EU:C:2006:544.</w:t>
      </w:r>
    </w:p>
  </w:footnote>
  <w:footnote w:id="59">
    <w:p w14:paraId="20523329" w14:textId="77777777" w:rsidR="009E5223" w:rsidRPr="00130CCE" w:rsidRDefault="009E5223" w:rsidP="009E5223">
      <w:pPr>
        <w:pStyle w:val="FootnoteText"/>
      </w:pPr>
      <w:r w:rsidRPr="00130CCE">
        <w:rPr>
          <w:rStyle w:val="FootnoteReference"/>
        </w:rPr>
        <w:footnoteRef/>
      </w:r>
      <w:r w:rsidRPr="00130CCE">
        <w:t xml:space="preserve"> </w:t>
      </w:r>
      <w:r w:rsidRPr="00130CCE">
        <w:rPr>
          <w:lang w:val="en-IE"/>
        </w:rPr>
        <w:t>Commission Staff Working Document: Evaluation of Council Directive 2016/1164 laying down rules against tax avoidance practices that directly affect the functioning of the internal market, p. 14-15.</w:t>
      </w:r>
    </w:p>
  </w:footnote>
  <w:footnote w:id="60">
    <w:p w14:paraId="32920E3C" w14:textId="5B89A2B6" w:rsidR="004F10F4" w:rsidRPr="00130CCE" w:rsidRDefault="004F10F4">
      <w:pPr>
        <w:pStyle w:val="FootnoteText"/>
      </w:pPr>
      <w:r w:rsidRPr="00130CCE">
        <w:rPr>
          <w:rStyle w:val="FootnoteReference"/>
        </w:rPr>
        <w:footnoteRef/>
      </w:r>
      <w:r w:rsidRPr="00130CCE">
        <w:t xml:space="preserve"> Draghi Report – The Future of European Competitiveness, Part B, p. 320; https://commission.europa.eu/document/download/ec1409c1-d4b4-4882-8bdd-3519f86bbb92_en?filename=The%20future%20of%20European%20competitiveness_%20In-depth%20analysis%20and%20recommendations_0.pdf#page=320</w:t>
      </w:r>
    </w:p>
  </w:footnote>
  <w:footnote w:id="61">
    <w:p w14:paraId="40D59640" w14:textId="4BC3ADF5" w:rsidR="00BE7FA5" w:rsidRPr="00130CCE" w:rsidRDefault="00BE7FA5" w:rsidP="00BE7FA5">
      <w:pPr>
        <w:pStyle w:val="FootnoteText"/>
      </w:pPr>
      <w:r w:rsidRPr="00130CCE">
        <w:rPr>
          <w:rStyle w:val="FootnoteReference"/>
        </w:rPr>
        <w:footnoteRef/>
      </w:r>
      <w:r w:rsidRPr="00130CCE">
        <w:t xml:space="preserve"> </w:t>
      </w:r>
      <w:r w:rsidRPr="00130CCE">
        <w:rPr>
          <w:lang w:val="en-IE"/>
        </w:rPr>
        <w:t>Commission Staff Working Document: Evaluation of Council Directive 2016/1164 laying down rules against tax avoidance practices that directly affect the functioning of the internal market</w:t>
      </w:r>
      <w:r w:rsidR="00C24A15" w:rsidRPr="00130CCE">
        <w:t xml:space="preserve">, p. </w:t>
      </w:r>
      <w:r w:rsidR="005D0415" w:rsidRPr="00130CCE">
        <w:t>36-38 and</w:t>
      </w:r>
      <w:r w:rsidR="00C24A15" w:rsidRPr="00130CCE">
        <w:t xml:space="preserve"> 4</w:t>
      </w:r>
      <w:r w:rsidR="00CC4639" w:rsidRPr="00130CCE">
        <w:t>7</w:t>
      </w:r>
      <w:r w:rsidR="00C24A15" w:rsidRPr="00130CCE">
        <w:t xml:space="preserve">. </w:t>
      </w:r>
    </w:p>
  </w:footnote>
  <w:footnote w:id="62">
    <w:p w14:paraId="5CF1ECEA" w14:textId="77777777" w:rsidR="00BE7FA5" w:rsidRPr="00130CCE" w:rsidRDefault="00BE7FA5" w:rsidP="00BE7FA5">
      <w:pPr>
        <w:pStyle w:val="FootnoteText"/>
      </w:pPr>
      <w:r w:rsidRPr="00130CCE">
        <w:rPr>
          <w:rStyle w:val="FootnoteReference"/>
        </w:rPr>
        <w:footnoteRef/>
      </w:r>
      <w:r w:rsidRPr="00130CCE">
        <w:t xml:space="preserve"> VVA/KPMG, </w:t>
      </w:r>
      <w:hyperlink r:id="rId34" w:history="1">
        <w:r w:rsidRPr="00130CCE">
          <w:rPr>
            <w:rStyle w:val="Hyperlink"/>
          </w:rPr>
          <w:t>Tax compliance costs for SMEs: An update and a complement Final Report KPMG/VVA 2022</w:t>
        </w:r>
      </w:hyperlink>
      <w:r w:rsidRPr="00130CCE">
        <w:t>.</w:t>
      </w:r>
    </w:p>
  </w:footnote>
  <w:footnote w:id="63">
    <w:p w14:paraId="0CC5BDEB" w14:textId="2473BD08" w:rsidR="004A6022" w:rsidRPr="00130CCE" w:rsidRDefault="004A6022">
      <w:pPr>
        <w:pStyle w:val="FootnoteText"/>
      </w:pPr>
      <w:r w:rsidRPr="00130CCE">
        <w:rPr>
          <w:rStyle w:val="FootnoteReference"/>
        </w:rPr>
        <w:footnoteRef/>
      </w:r>
      <w:r w:rsidRPr="00130CCE">
        <w:t xml:space="preserve"> </w:t>
      </w:r>
      <w:r w:rsidRPr="00130CCE">
        <w:rPr>
          <w:lang w:val="en-IE"/>
        </w:rPr>
        <w:t>Commission Staff Working Document: Evaluation of Council Directive 2016/1164 laying down rules against tax avoidance practices that directly affect the functioning of the internal market</w:t>
      </w:r>
      <w:r w:rsidRPr="00130CCE">
        <w:t>, p. 4</w:t>
      </w:r>
      <w:r w:rsidR="00CC4639" w:rsidRPr="00130CCE">
        <w:t>7</w:t>
      </w:r>
      <w:r w:rsidRPr="00130CCE">
        <w:t xml:space="preserve">. </w:t>
      </w:r>
    </w:p>
  </w:footnote>
  <w:footnote w:id="64">
    <w:p w14:paraId="42C7A2F7" w14:textId="5BB24A0B" w:rsidR="00371195" w:rsidRPr="00130CCE" w:rsidRDefault="00371195" w:rsidP="00DE6B6A">
      <w:pPr>
        <w:pStyle w:val="FootnoteText"/>
        <w:jc w:val="left"/>
      </w:pPr>
      <w:r w:rsidRPr="00130CCE">
        <w:rPr>
          <w:rStyle w:val="FootnoteReference"/>
        </w:rPr>
        <w:footnoteRef/>
      </w:r>
      <w:r w:rsidR="00355EB0" w:rsidRPr="00130CCE">
        <w:t xml:space="preserve"> Draghi </w:t>
      </w:r>
      <w:r w:rsidR="00355EB0" w:rsidRPr="00DE6B6A">
        <w:t>Report</w:t>
      </w:r>
      <w:r w:rsidR="00B86C96" w:rsidRPr="00130CCE">
        <w:t xml:space="preserve"> – The Future of European Competitiveness</w:t>
      </w:r>
      <w:r w:rsidR="00D248E0" w:rsidRPr="00130CCE">
        <w:t>, Part B</w:t>
      </w:r>
      <w:r w:rsidR="00355EB0" w:rsidRPr="00DE6B6A">
        <w:t>,</w:t>
      </w:r>
      <w:r w:rsidR="00355EB0" w:rsidRPr="00130CCE">
        <w:t xml:space="preserve"> p.</w:t>
      </w:r>
      <w:r w:rsidR="00B528CA" w:rsidRPr="00130CCE">
        <w:t xml:space="preserve"> 320; </w:t>
      </w:r>
      <w:r w:rsidR="00355EB0" w:rsidRPr="00130CCE">
        <w:t>https://commission.europa.eu/document/download/ec1409c1-d4b4-4882-8bdd-3519f86bbb92_en?filename=The%20future%20of%20European%20competitiveness_%20In-depth%20analysis%20and%20recommendations_0.pdf#page=320</w:t>
      </w:r>
    </w:p>
  </w:footnote>
  <w:footnote w:id="65">
    <w:p w14:paraId="447C421A" w14:textId="4DEF11B1" w:rsidR="00BE7FA5" w:rsidRPr="00130CCE" w:rsidRDefault="00BE7FA5" w:rsidP="00BE7FA5">
      <w:pPr>
        <w:pStyle w:val="FootnoteText"/>
      </w:pPr>
      <w:r w:rsidRPr="00130CCE">
        <w:rPr>
          <w:rStyle w:val="FootnoteReference"/>
        </w:rPr>
        <w:footnoteRef/>
      </w:r>
      <w:r w:rsidRPr="00130CCE">
        <w:t xml:space="preserve"> </w:t>
      </w:r>
      <w:r w:rsidRPr="00130CCE">
        <w:rPr>
          <w:lang w:val="en-IE"/>
        </w:rPr>
        <w:t>Commission Staff Working Document: Evaluation of Council Directive 2016/1164 laying down rules against tax avoidance practices that directly affect the functioning of the internal market</w:t>
      </w:r>
      <w:r w:rsidR="008523EE" w:rsidRPr="00130CCE">
        <w:t>, p. 46-</w:t>
      </w:r>
      <w:r w:rsidR="005F493D" w:rsidRPr="00130CCE">
        <w:t>47</w:t>
      </w:r>
      <w:r w:rsidRPr="00130CCE">
        <w:t>.</w:t>
      </w:r>
    </w:p>
  </w:footnote>
  <w:footnote w:id="66">
    <w:p w14:paraId="6E00C92B" w14:textId="43A5238E" w:rsidR="00BE7FA5" w:rsidRPr="00130CCE" w:rsidRDefault="00BE7FA5" w:rsidP="00BE7FA5">
      <w:pPr>
        <w:pStyle w:val="FootnoteText"/>
      </w:pPr>
      <w:r w:rsidRPr="00130CCE">
        <w:rPr>
          <w:rStyle w:val="FootnoteReference"/>
        </w:rPr>
        <w:footnoteRef/>
      </w:r>
      <w:r w:rsidRPr="00130CCE">
        <w:t xml:space="preserve">  Ibid.</w:t>
      </w:r>
      <w:r w:rsidR="00D72DD2" w:rsidRPr="00130CCE">
        <w:t>, p. 48</w:t>
      </w:r>
      <w:r w:rsidRPr="00130CCE">
        <w:t>.</w:t>
      </w:r>
    </w:p>
  </w:footnote>
  <w:footnote w:id="67">
    <w:p w14:paraId="19341CFC" w14:textId="034753F4" w:rsidR="00F9505B" w:rsidRPr="00DE6B6A" w:rsidRDefault="00F9505B">
      <w:pPr>
        <w:pStyle w:val="FootnoteText"/>
        <w:rPr>
          <w:lang w:val="en-IE"/>
        </w:rPr>
      </w:pPr>
      <w:r w:rsidRPr="00130CCE">
        <w:rPr>
          <w:rStyle w:val="FootnoteReference"/>
        </w:rPr>
        <w:footnoteRef/>
      </w:r>
      <w:r w:rsidRPr="00130CCE">
        <w:t xml:space="preserve"> </w:t>
      </w:r>
      <w:hyperlink r:id="rId35" w:history="1">
        <w:r w:rsidR="0028371B" w:rsidRPr="00130CCE">
          <w:rPr>
            <w:rStyle w:val="Hyperlink"/>
          </w:rPr>
          <w:t>Simplifying EU rules on direct taxation – omnibus</w:t>
        </w:r>
      </w:hyperlink>
      <w:r w:rsidR="0028371B" w:rsidRPr="00130CCE">
        <w:t xml:space="preserve">; </w:t>
      </w:r>
      <w:r w:rsidR="0028371B" w:rsidRPr="00130CCE">
        <w:rPr>
          <w:lang w:val="en-IE"/>
        </w:rPr>
        <w:t>Annex 2: Stakeholder consultation synopsis report</w:t>
      </w:r>
      <w:r w:rsidR="008E0DC2">
        <w:rPr>
          <w:lang w:val="en-IE"/>
        </w:rPr>
        <w:t>.</w:t>
      </w:r>
    </w:p>
  </w:footnote>
  <w:footnote w:id="68">
    <w:p w14:paraId="2F325BC7" w14:textId="77777777" w:rsidR="00BE7FA5" w:rsidRPr="00130CCE" w:rsidRDefault="00BE7FA5" w:rsidP="00BE7FA5">
      <w:pPr>
        <w:pStyle w:val="FootnoteText"/>
      </w:pPr>
      <w:r w:rsidRPr="00130CCE">
        <w:rPr>
          <w:rStyle w:val="FootnoteReference"/>
        </w:rPr>
        <w:footnoteRef/>
      </w:r>
      <w:r w:rsidRPr="00130CCE">
        <w:t xml:space="preserve"> Directive (EU) 2017/1132 of the European Parliament and of the Council of 14 June 2017 relating to certain aspects of company law.</w:t>
      </w:r>
    </w:p>
  </w:footnote>
  <w:footnote w:id="69">
    <w:p w14:paraId="39F79D29" w14:textId="77777777" w:rsidR="00BE7FA5" w:rsidRPr="00130CCE" w:rsidRDefault="00BE7FA5" w:rsidP="00BE7FA5">
      <w:pPr>
        <w:pStyle w:val="FootnoteText"/>
      </w:pPr>
      <w:r w:rsidRPr="00130CCE">
        <w:rPr>
          <w:rStyle w:val="FootnoteReference"/>
        </w:rPr>
        <w:footnoteRef/>
      </w:r>
      <w:r w:rsidRPr="00130CCE">
        <w:t xml:space="preserve"> Directive (EU) 2019/2121 of the European Parliament and of the Council of 27 November 2019 amending Directive (EU) 2017/1132 as regards cross-border conversions, mergers and divisions.</w:t>
      </w:r>
    </w:p>
  </w:footnote>
  <w:footnote w:id="70">
    <w:p w14:paraId="6B550CC0" w14:textId="77777777" w:rsidR="00BE7FA5" w:rsidRPr="00130CCE" w:rsidRDefault="00BE7FA5" w:rsidP="00BE7FA5">
      <w:pPr>
        <w:pStyle w:val="FootnoteText"/>
      </w:pPr>
      <w:r w:rsidRPr="00130CCE">
        <w:rPr>
          <w:rStyle w:val="FootnoteReference"/>
        </w:rPr>
        <w:footnoteRef/>
      </w:r>
      <w:r w:rsidRPr="00130CCE">
        <w:t xml:space="preserve"> OECD (2025), The 2025 Update to the OECD Model Tax Convention, OECD Publishing, Paris, https://doi.org/10.1787/5798080f-en.</w:t>
      </w:r>
    </w:p>
  </w:footnote>
  <w:footnote w:id="71">
    <w:p w14:paraId="22843869" w14:textId="77777777" w:rsidR="00614B2A" w:rsidRPr="00130CCE" w:rsidRDefault="00614B2A" w:rsidP="00614B2A">
      <w:pPr>
        <w:pStyle w:val="FootnoteText"/>
      </w:pPr>
      <w:r w:rsidRPr="00130CCE">
        <w:rPr>
          <w:rStyle w:val="FootnoteReference"/>
        </w:rPr>
        <w:footnoteRef/>
      </w:r>
      <w:r w:rsidRPr="00130CCE">
        <w:t xml:space="preserve"> For these purposes, the concept of company should be interpreted in accordance with the definitions and scope set out in the Interest and Royalties Directive and the Parent and Subsidiary Directive.</w:t>
      </w:r>
    </w:p>
  </w:footnote>
  <w:footnote w:id="72">
    <w:p w14:paraId="32BA9A07" w14:textId="0E5FDD45" w:rsidR="00422866" w:rsidRPr="00130CCE" w:rsidRDefault="00422866" w:rsidP="00422866">
      <w:pPr>
        <w:pStyle w:val="FootnoteText"/>
      </w:pPr>
      <w:r w:rsidRPr="00130CCE">
        <w:rPr>
          <w:rStyle w:val="FootnoteReference"/>
        </w:rPr>
        <w:footnoteRef/>
      </w:r>
      <w:r w:rsidRPr="00130CCE">
        <w:t xml:space="preserve"> Today, 14 Member States already give exemption from </w:t>
      </w:r>
      <w:r w:rsidR="002654D4" w:rsidRPr="00130CCE">
        <w:t>withholding tax</w:t>
      </w:r>
      <w:r w:rsidRPr="00130CCE">
        <w:t xml:space="preserve"> on the basis of bilateral DTAs or national legislation for intra-EU interest payments, 8 for royalties, and 9 for dividends.</w:t>
      </w:r>
    </w:p>
  </w:footnote>
  <w:footnote w:id="73">
    <w:p w14:paraId="7854392F" w14:textId="1800E64A" w:rsidR="00105C33" w:rsidRPr="00130CCE" w:rsidRDefault="00105C33">
      <w:pPr>
        <w:pStyle w:val="FootnoteText"/>
        <w:rPr>
          <w:lang w:val="en-IE"/>
        </w:rPr>
      </w:pPr>
      <w:r w:rsidRPr="00130CCE">
        <w:rPr>
          <w:rStyle w:val="FootnoteReference"/>
        </w:rPr>
        <w:footnoteRef/>
      </w:r>
      <w:r w:rsidRPr="00130CCE">
        <w:t xml:space="preserve"> </w:t>
      </w:r>
      <w:r w:rsidR="005044FA" w:rsidRPr="00130CCE">
        <w:t xml:space="preserve">Among those objectives is the breaking down of barriers </w:t>
      </w:r>
      <w:r w:rsidR="00970D24" w:rsidRPr="00130CCE">
        <w:t>to integrated financial markets and supporting productive investments, as explained here:</w:t>
      </w:r>
      <w:r w:rsidR="005044FA" w:rsidRPr="00130CCE">
        <w:t xml:space="preserve"> https://finance.ec.europa.eu/regulation-and-supervision/savings-and-investments-union_en#what</w:t>
      </w:r>
    </w:p>
  </w:footnote>
  <w:footnote w:id="74">
    <w:p w14:paraId="67D6F9AA" w14:textId="77906A32" w:rsidR="005A3357" w:rsidRPr="00130CCE" w:rsidRDefault="005A3357">
      <w:pPr>
        <w:pStyle w:val="FootnoteText"/>
      </w:pPr>
      <w:r w:rsidRPr="00130CCE">
        <w:rPr>
          <w:rStyle w:val="FootnoteReference"/>
        </w:rPr>
        <w:footnoteRef/>
      </w:r>
      <w:r w:rsidRPr="00130CCE">
        <w:t xml:space="preserve"> </w:t>
      </w:r>
      <w:r w:rsidR="00734479" w:rsidRPr="00130CCE">
        <w:t xml:space="preserve">Deloitte (2023), </w:t>
      </w:r>
      <w:hyperlink r:id="rId36" w:history="1">
        <w:r w:rsidR="00FD66B8" w:rsidRPr="00130CCE">
          <w:rPr>
            <w:rStyle w:val="Hyperlink"/>
          </w:rPr>
          <w:t>Belgium parliament adopts law introducing model A CFC rules</w:t>
        </w:r>
      </w:hyperlink>
      <w:r w:rsidR="00D93C1D" w:rsidRPr="00130CCE">
        <w:t>.</w:t>
      </w:r>
    </w:p>
  </w:footnote>
  <w:footnote w:id="75">
    <w:p w14:paraId="6FD53CE5" w14:textId="6902FD9D" w:rsidR="7C88CDAE" w:rsidRDefault="7C88CDAE">
      <w:r>
        <w:footnoteRef/>
      </w:r>
      <w:r>
        <w:t xml:space="preserve"> Heckemeyer, J. H., Nicolay, K., Spengel, C., Steinbrenner, D., and Wickel, S., 2025, Tax Incentives and Investments in the EU: Best Practices and Ways to Stimulate Private Investments and Prevent Harmful Tax Practices, Publication for the Subcommittee on Tax Matters, Policy Department of the Directorate for Economy and Growth) , Directorate-General for Economy, Transformation and Industry, European Parliament, Luxembourg.</w:t>
      </w:r>
    </w:p>
  </w:footnote>
  <w:footnote w:id="76">
    <w:p w14:paraId="10F00CEE" w14:textId="7C4B37ED" w:rsidR="00DF3EB1" w:rsidRPr="00130CCE" w:rsidRDefault="00DF3EB1">
      <w:pPr>
        <w:pStyle w:val="FootnoteText"/>
      </w:pPr>
      <w:r w:rsidRPr="00130CCE">
        <w:rPr>
          <w:rStyle w:val="FootnoteReference"/>
        </w:rPr>
        <w:footnoteRef/>
      </w:r>
      <w:r w:rsidRPr="00130CCE">
        <w:t xml:space="preserve"> </w:t>
      </w:r>
      <w:r w:rsidR="001E1D5C" w:rsidRPr="00130CCE">
        <w:t>Council conclusions on tax incentives to support the Clean Industrial Deal,</w:t>
      </w:r>
      <w:r w:rsidR="0064495C" w:rsidRPr="00130CCE">
        <w:t xml:space="preserve"> </w:t>
      </w:r>
      <w:r w:rsidR="00A93BF3" w:rsidRPr="00130CCE">
        <w:t xml:space="preserve">ST </w:t>
      </w:r>
      <w:r w:rsidR="0064495C" w:rsidRPr="00130CCE">
        <w:t>13501/2</w:t>
      </w:r>
      <w:r w:rsidR="00193550" w:rsidRPr="00130CCE">
        <w:t xml:space="preserve">5; </w:t>
      </w:r>
      <w:hyperlink r:id="rId37" w:history="1">
        <w:r w:rsidR="00160D3D" w:rsidRPr="00130CCE">
          <w:rPr>
            <w:rStyle w:val="Hyperlink"/>
          </w:rPr>
          <w:t>https://data.consilium.europa.eu/doc/document/ST-13501-2025-INIT/en/pdf</w:t>
        </w:r>
      </w:hyperlink>
      <w:r w:rsidR="00160D3D" w:rsidRPr="00130CCE">
        <w:t xml:space="preserve"> </w:t>
      </w:r>
    </w:p>
  </w:footnote>
  <w:footnote w:id="77">
    <w:p w14:paraId="5D766123" w14:textId="77B618E1" w:rsidR="001E7550" w:rsidRPr="00130CCE" w:rsidRDefault="001E7550">
      <w:pPr>
        <w:pStyle w:val="FootnoteText"/>
      </w:pPr>
      <w:r w:rsidRPr="00130CCE">
        <w:rPr>
          <w:rStyle w:val="FootnoteReference"/>
        </w:rPr>
        <w:footnoteRef/>
      </w:r>
      <w:r w:rsidR="00630642" w:rsidRPr="00130CCE">
        <w:t xml:space="preserve"> </w:t>
      </w:r>
      <w:r w:rsidR="00151D8D" w:rsidRPr="00130CCE">
        <w:rPr>
          <w:lang w:val="en-IE"/>
        </w:rPr>
        <w:t>Commission Staff Working Document: Evaluation of Council Directive 2016/1164 laying down rules against tax avoidance practices that directly affect the functioning of the internal market</w:t>
      </w:r>
      <w:r w:rsidR="0048379B" w:rsidRPr="00130CCE">
        <w:t>, p. 39.</w:t>
      </w:r>
    </w:p>
  </w:footnote>
  <w:footnote w:id="78">
    <w:p w14:paraId="79A15D16" w14:textId="01D1F4D5" w:rsidR="00924482" w:rsidRPr="00130CCE" w:rsidRDefault="00924482">
      <w:pPr>
        <w:pStyle w:val="FootnoteText"/>
      </w:pPr>
      <w:r w:rsidRPr="00130CCE">
        <w:rPr>
          <w:rStyle w:val="FootnoteReference"/>
        </w:rPr>
        <w:footnoteRef/>
      </w:r>
      <w:r w:rsidRPr="00130CCE">
        <w:t xml:space="preserve"> </w:t>
      </w:r>
      <w:r w:rsidR="002678AD" w:rsidRPr="00130CCE">
        <w:t xml:space="preserve">OECD (2016), Limiting Base Erosion Involving Interest Deductions and Other Financial Payments, Action 4 - 2016 Update: Inclusive Framework on BEPS, OECD/G20 Base Erosion and Profit Shifting Project, OECD Publishing, Paris, </w:t>
      </w:r>
      <w:hyperlink r:id="rId38" w:history="1">
        <w:r w:rsidR="002678AD" w:rsidRPr="00130CCE">
          <w:rPr>
            <w:rStyle w:val="Hyperlink"/>
          </w:rPr>
          <w:t>https://doi.org/10.1787/9789264268333-en</w:t>
        </w:r>
      </w:hyperlink>
      <w:r w:rsidR="002678AD" w:rsidRPr="00130CCE">
        <w:t xml:space="preserve">. </w:t>
      </w:r>
    </w:p>
  </w:footnote>
  <w:footnote w:id="79">
    <w:p w14:paraId="28B8C902" w14:textId="49736A4F" w:rsidR="00460844" w:rsidRPr="00130CCE" w:rsidRDefault="00460844">
      <w:pPr>
        <w:pStyle w:val="FootnoteText"/>
      </w:pPr>
      <w:r w:rsidRPr="00130CCE">
        <w:rPr>
          <w:rStyle w:val="FootnoteReference"/>
        </w:rPr>
        <w:footnoteRef/>
      </w:r>
      <w:r w:rsidRPr="00130CCE">
        <w:t xml:space="preserve"> </w:t>
      </w:r>
      <w:r w:rsidR="0080529E" w:rsidRPr="00130CCE">
        <w:t>Council Conclusions of 20 March 2025</w:t>
      </w:r>
      <w:r w:rsidR="009D1B9E" w:rsidRPr="00130CCE">
        <w:t xml:space="preserve"> (document EUCO 1/25)</w:t>
      </w:r>
    </w:p>
  </w:footnote>
  <w:footnote w:id="80">
    <w:p w14:paraId="7E99841D" w14:textId="13B72261" w:rsidR="001A2B7E" w:rsidRPr="00130CCE" w:rsidRDefault="001A2B7E" w:rsidP="001A2B7E">
      <w:pPr>
        <w:pStyle w:val="FootnoteText"/>
      </w:pPr>
      <w:r w:rsidRPr="00130CCE">
        <w:rPr>
          <w:rStyle w:val="FootnoteReference"/>
        </w:rPr>
        <w:footnoteRef/>
      </w:r>
      <w:r w:rsidRPr="00130CCE">
        <w:t xml:space="preserve"> </w:t>
      </w:r>
      <w:r w:rsidR="00151D8D" w:rsidRPr="00130CCE">
        <w:rPr>
          <w:lang w:val="en-IE"/>
        </w:rPr>
        <w:t>Commission Staff Working Document: Evaluation of Council Directive 2016/1164 laying down rules against tax avoidance practices that directly affect the functioning of the internal market</w:t>
      </w:r>
      <w:r w:rsidR="00630642" w:rsidRPr="00130CCE">
        <w:t>.</w:t>
      </w:r>
    </w:p>
  </w:footnote>
  <w:footnote w:id="81">
    <w:p w14:paraId="1F52C875" w14:textId="50943CB6" w:rsidR="007A6636" w:rsidRPr="00130CCE" w:rsidRDefault="007A6636">
      <w:pPr>
        <w:pStyle w:val="FootnoteText"/>
      </w:pPr>
      <w:r w:rsidRPr="00130CCE">
        <w:rPr>
          <w:rStyle w:val="FootnoteReference"/>
        </w:rPr>
        <w:footnoteRef/>
      </w:r>
      <w:r w:rsidRPr="00130CCE">
        <w:t xml:space="preserve"> </w:t>
      </w:r>
      <w:r w:rsidR="00DC042A" w:rsidRPr="00130CCE">
        <w:t>T</w:t>
      </w:r>
      <w:r w:rsidR="00D44AEE" w:rsidRPr="00130CCE">
        <w:t>o recall, t</w:t>
      </w:r>
      <w:r w:rsidR="00DC042A" w:rsidRPr="00130CCE">
        <w:t xml:space="preserve">he Omnibus </w:t>
      </w:r>
      <w:r w:rsidR="00963B2B" w:rsidRPr="00130CCE">
        <w:t>aims to amend the IRD, PSD, FASTER, ATAD</w:t>
      </w:r>
      <w:r w:rsidR="00D44AEE" w:rsidRPr="00130CCE">
        <w:t xml:space="preserve"> (both directives)</w:t>
      </w:r>
      <w:r w:rsidR="00963B2B" w:rsidRPr="00130CCE">
        <w:t xml:space="preserve">, TMD, and DRM. </w:t>
      </w:r>
      <w:r w:rsidR="00E22607" w:rsidRPr="00130CCE">
        <w:t>The</w:t>
      </w:r>
      <w:r w:rsidR="00863866" w:rsidRPr="00130CCE">
        <w:t xml:space="preserve"> Pillar 2 Directive </w:t>
      </w:r>
      <w:r w:rsidR="00952CD1" w:rsidRPr="00130CCE">
        <w:t>plays a key role</w:t>
      </w:r>
      <w:r w:rsidR="00D44AEE" w:rsidRPr="00130CCE">
        <w:t>, and interacts in some instances with these rules,</w:t>
      </w:r>
      <w:r w:rsidR="00952CD1" w:rsidRPr="00130CCE">
        <w:t xml:space="preserve"> but will not be amended</w:t>
      </w:r>
      <w:r w:rsidR="00863866" w:rsidRPr="00130CCE">
        <w:t>.</w:t>
      </w:r>
    </w:p>
  </w:footnote>
  <w:footnote w:id="82">
    <w:p w14:paraId="2FBC2B5E" w14:textId="77777777" w:rsidR="00FD4027" w:rsidRPr="00130CCE" w:rsidRDefault="00FD4027" w:rsidP="00FD4027">
      <w:pPr>
        <w:pStyle w:val="FootnoteText"/>
      </w:pPr>
      <w:r w:rsidRPr="00130CCE">
        <w:rPr>
          <w:rStyle w:val="FootnoteReference"/>
        </w:rPr>
        <w:footnoteRef/>
      </w:r>
      <w:r w:rsidRPr="00130CCE">
        <w:t xml:space="preserve"> See section “Cost estimates for companies: Full exemption of interest, dividend and royalty payments (Option 1A)”.</w:t>
      </w:r>
    </w:p>
  </w:footnote>
  <w:footnote w:id="83">
    <w:p w14:paraId="21BBD80D" w14:textId="64934FF4" w:rsidR="00D3308C" w:rsidRPr="00130CCE" w:rsidRDefault="00D3308C" w:rsidP="00D3308C">
      <w:pPr>
        <w:pStyle w:val="FootnoteText"/>
      </w:pPr>
      <w:r w:rsidRPr="00130CCE">
        <w:rPr>
          <w:rStyle w:val="FootnoteReference"/>
        </w:rPr>
        <w:footnoteRef/>
      </w:r>
      <w:r w:rsidRPr="00130CCE">
        <w:t xml:space="preserve"> </w:t>
      </w:r>
      <w:r w:rsidR="00EE3CC0" w:rsidRPr="00130CCE">
        <w:t>For an overview see</w:t>
      </w:r>
      <w:r w:rsidRPr="00130CCE">
        <w:t xml:space="preserve">: </w:t>
      </w:r>
      <w:hyperlink r:id="rId39" w:history="1">
        <w:r w:rsidRPr="00130CCE">
          <w:rPr>
            <w:rStyle w:val="Hyperlink"/>
          </w:rPr>
          <w:t>CORTAX - Joint Research Centre - European Commission</w:t>
        </w:r>
      </w:hyperlink>
      <w:r w:rsidRPr="00130CCE">
        <w:t>.</w:t>
      </w:r>
    </w:p>
  </w:footnote>
  <w:footnote w:id="84">
    <w:p w14:paraId="5F716AA6" w14:textId="0EDD4A6D" w:rsidR="009E5C74" w:rsidRPr="00130CCE" w:rsidRDefault="009E5C74" w:rsidP="009E5C74">
      <w:pPr>
        <w:pStyle w:val="FootnoteText"/>
        <w:ind w:left="142" w:hanging="142"/>
      </w:pPr>
      <w:r w:rsidRPr="00130CCE">
        <w:rPr>
          <w:rStyle w:val="FootnoteReference"/>
        </w:rPr>
        <w:footnoteRef/>
      </w:r>
      <w:r w:rsidRPr="00130CCE">
        <w:t xml:space="preserve"> A </w:t>
      </w:r>
      <w:hyperlink r:id="rId40" w:anchor=":~:text=Print%20this%20page%20pdf,(U.S.),%20Vanuatu,%20Samoa" w:history="1">
        <w:r w:rsidRPr="00130CCE">
          <w:rPr>
            <w:rStyle w:val="Hyperlink"/>
          </w:rPr>
          <w:t>list</w:t>
        </w:r>
      </w:hyperlink>
      <w:r w:rsidRPr="00130CCE">
        <w:t xml:space="preserve"> of about 40 countries that provide financial services at disproportionate scale, relative to the size of their economy. They are often characterised by very low or zero taxes on corporate profit. </w:t>
      </w:r>
    </w:p>
  </w:footnote>
  <w:footnote w:id="85">
    <w:p w14:paraId="37BBC11C" w14:textId="082768FD" w:rsidR="00BF3731" w:rsidRPr="00130CCE" w:rsidRDefault="00BF3731">
      <w:pPr>
        <w:pStyle w:val="FootnoteText"/>
      </w:pPr>
      <w:r w:rsidRPr="00130CCE">
        <w:rPr>
          <w:rStyle w:val="FootnoteReference"/>
        </w:rPr>
        <w:footnoteRef/>
      </w:r>
      <w:r w:rsidRPr="00130CCE">
        <w:t xml:space="preserve"> This data has substantive quality issues and missing data points, especially when it comes to outflows to zero-tax jurisdictions. This renders an accurate quantification of the magnitude of the problem not possible.</w:t>
      </w:r>
    </w:p>
  </w:footnote>
  <w:footnote w:id="86">
    <w:p w14:paraId="45029B36" w14:textId="160C9E12" w:rsidR="007C021E" w:rsidRPr="00130CCE" w:rsidRDefault="007C021E">
      <w:pPr>
        <w:pStyle w:val="FootnoteText"/>
      </w:pPr>
      <w:r w:rsidRPr="00130CCE">
        <w:rPr>
          <w:rStyle w:val="FootnoteReference"/>
        </w:rPr>
        <w:footnoteRef/>
      </w:r>
      <w:r w:rsidRPr="00130CCE">
        <w:t xml:space="preserve"> See </w:t>
      </w:r>
      <w:r w:rsidR="008D76BD" w:rsidRPr="00130CCE">
        <w:t>Section</w:t>
      </w:r>
      <w:r w:rsidRPr="00130CCE">
        <w:t xml:space="preserve"> “Cost estimates for companies: Alignment of scope and procedures (Option </w:t>
      </w:r>
      <w:r w:rsidR="00BD2E4B" w:rsidRPr="00130CCE">
        <w:t>1</w:t>
      </w:r>
      <w:r w:rsidRPr="00130CCE">
        <w:t>B)”</w:t>
      </w:r>
    </w:p>
  </w:footnote>
  <w:footnote w:id="87">
    <w:p w14:paraId="204352E7" w14:textId="35F7CD1E" w:rsidR="00A6604C" w:rsidRPr="00130CCE" w:rsidRDefault="00A6604C">
      <w:pPr>
        <w:pStyle w:val="FootnoteText"/>
      </w:pPr>
      <w:r w:rsidRPr="00130CCE">
        <w:rPr>
          <w:rStyle w:val="FootnoteReference"/>
        </w:rPr>
        <w:footnoteRef/>
      </w:r>
      <w:r w:rsidRPr="00130CCE">
        <w:t xml:space="preserve"> </w:t>
      </w:r>
      <w:r w:rsidR="001C363E" w:rsidRPr="00130CCE">
        <w:t>Esteller-Moré et al</w:t>
      </w:r>
      <w:r w:rsidR="000F0699" w:rsidRPr="00130CCE">
        <w:t xml:space="preserve"> (</w:t>
      </w:r>
      <w:r w:rsidR="001C363E" w:rsidRPr="00130CCE">
        <w:t>2021)</w:t>
      </w:r>
      <w:r w:rsidR="00865E68" w:rsidRPr="00130CCE">
        <w:t xml:space="preserve">, </w:t>
      </w:r>
      <w:hyperlink r:id="rId41" w:history="1">
        <w:r w:rsidR="00865E68" w:rsidRPr="00130CCE">
          <w:rPr>
            <w:rStyle w:val="Hyperlink"/>
          </w:rPr>
          <w:t>The role of tax system complexity on foreign direct investment: Applied Economics: Vol 53 , No 45</w:t>
        </w:r>
      </w:hyperlink>
      <w:r w:rsidR="00865E68" w:rsidRPr="00130CCE">
        <w:t>,</w:t>
      </w:r>
      <w:r w:rsidR="000F0699" w:rsidRPr="00130CCE">
        <w:t xml:space="preserve"> </w:t>
      </w:r>
      <w:r w:rsidR="00F27765" w:rsidRPr="00130CCE">
        <w:t>find</w:t>
      </w:r>
      <w:r w:rsidR="000F0699" w:rsidRPr="00130CCE">
        <w:t xml:space="preserve"> that tax complexity in a country leads to FDI </w:t>
      </w:r>
      <w:r w:rsidR="00F665B6" w:rsidRPr="00130CCE">
        <w:t xml:space="preserve">outflow, </w:t>
      </w:r>
      <w:r w:rsidR="00974BA7" w:rsidRPr="00130CCE">
        <w:t>Euler et al (2024)</w:t>
      </w:r>
      <w:r w:rsidR="00B94B97" w:rsidRPr="00130CCE">
        <w:t xml:space="preserve">, </w:t>
      </w:r>
      <w:hyperlink r:id="rId42" w:history="1">
        <w:r w:rsidR="00B94B97" w:rsidRPr="00130CCE">
          <w:rPr>
            <w:rStyle w:val="Hyperlink"/>
          </w:rPr>
          <w:t>Tax Complexity and Foreign Direct Investment - WU Vienna University of Economics and Business</w:t>
        </w:r>
      </w:hyperlink>
      <w:r w:rsidR="00B94B97" w:rsidRPr="00130CCE">
        <w:t>,</w:t>
      </w:r>
      <w:r w:rsidR="00974BA7" w:rsidRPr="00130CCE">
        <w:t xml:space="preserve"> confirm that tax framework complexity is a deterrent for investment</w:t>
      </w:r>
      <w:r w:rsidR="008B0127" w:rsidRPr="00130CCE">
        <w:t>. This affects</w:t>
      </w:r>
      <w:r w:rsidR="00590FC0" w:rsidRPr="00130CCE">
        <w:t xml:space="preserve">, inter alia, </w:t>
      </w:r>
      <w:r w:rsidR="009C334F" w:rsidRPr="00130CCE">
        <w:t>complex administrative procedures</w:t>
      </w:r>
      <w:r w:rsidR="00D330CA" w:rsidRPr="00130CCE">
        <w:t>.</w:t>
      </w:r>
      <w:r w:rsidR="002447C5" w:rsidRPr="00130CCE">
        <w:t xml:space="preserve"> </w:t>
      </w:r>
      <w:r w:rsidR="00A5739F" w:rsidRPr="00130CCE">
        <w:t>Braun et al (2025)</w:t>
      </w:r>
      <w:r w:rsidR="00870103" w:rsidRPr="00130CCE">
        <w:t>,</w:t>
      </w:r>
      <w:r w:rsidR="00A5739F" w:rsidRPr="00130CCE">
        <w:t xml:space="preserve"> </w:t>
      </w:r>
      <w:hyperlink r:id="rId43" w:history="1">
        <w:r w:rsidR="00870103" w:rsidRPr="00130CCE">
          <w:rPr>
            <w:rStyle w:val="Hyperlink"/>
          </w:rPr>
          <w:t>Tax Complexity and Firm Value - WU Vienna University of Economics and Business</w:t>
        </w:r>
      </w:hyperlink>
      <w:r w:rsidR="00870103" w:rsidRPr="00130CCE">
        <w:t>,</w:t>
      </w:r>
      <w:r w:rsidR="00A5739F" w:rsidRPr="00130CCE">
        <w:t xml:space="preserve"> </w:t>
      </w:r>
      <w:r w:rsidR="0033354A" w:rsidRPr="00130CCE">
        <w:t xml:space="preserve">find (for the US) that </w:t>
      </w:r>
      <w:r w:rsidR="00085F79" w:rsidRPr="00130CCE">
        <w:t>tax complexity reduces Tobin’s Q</w:t>
      </w:r>
      <w:r w:rsidR="00227475" w:rsidRPr="00130CCE">
        <w:t>, a</w:t>
      </w:r>
      <w:r w:rsidR="007068DF" w:rsidRPr="00130CCE">
        <w:t xml:space="preserve"> core</w:t>
      </w:r>
      <w:r w:rsidR="00227475" w:rsidRPr="00130CCE">
        <w:t xml:space="preserve"> indicator signalling </w:t>
      </w:r>
      <w:r w:rsidR="007068DF" w:rsidRPr="00130CCE">
        <w:t>investment incentive.</w:t>
      </w:r>
    </w:p>
  </w:footnote>
  <w:footnote w:id="88">
    <w:p w14:paraId="0F9B194F" w14:textId="6A4E8F60" w:rsidR="00067A50" w:rsidRPr="00130CCE" w:rsidRDefault="00067A50" w:rsidP="00067A50">
      <w:pPr>
        <w:pStyle w:val="FootnoteText"/>
      </w:pPr>
      <w:r w:rsidRPr="00130CCE">
        <w:rPr>
          <w:rStyle w:val="FootnoteReference"/>
        </w:rPr>
        <w:footnoteRef/>
      </w:r>
      <w:r w:rsidRPr="00130CCE">
        <w:t xml:space="preserve"> For example: Euler et al (2024), </w:t>
      </w:r>
      <w:hyperlink r:id="rId44" w:history="1">
        <w:r w:rsidRPr="00130CCE">
          <w:rPr>
            <w:rStyle w:val="Hyperlink"/>
          </w:rPr>
          <w:t>Tax Complexity and Foreign Direct Investment - WU Vienna University of Economics and Business</w:t>
        </w:r>
      </w:hyperlink>
      <w:r w:rsidR="00EB12C0" w:rsidRPr="00130CCE">
        <w:t xml:space="preserve">; </w:t>
      </w:r>
      <w:r w:rsidR="00E501DC" w:rsidRPr="00130CCE">
        <w:t>Heckemeyer (2022)</w:t>
      </w:r>
      <w:r w:rsidR="001A45ED" w:rsidRPr="00130CCE">
        <w:t xml:space="preserve">, </w:t>
      </w:r>
      <w:hyperlink r:id="rId45" w:history="1">
        <w:r w:rsidR="001A45ED" w:rsidRPr="00130CCE">
          <w:rPr>
            <w:rStyle w:val="Hyperlink"/>
          </w:rPr>
          <w:t>Removal of taxation-based obstacles and distortions in the Single Market in order to encourage cross border investment</w:t>
        </w:r>
      </w:hyperlink>
      <w:r w:rsidR="001A45ED" w:rsidRPr="00130CCE">
        <w:t>.</w:t>
      </w:r>
    </w:p>
  </w:footnote>
  <w:footnote w:id="89">
    <w:p w14:paraId="4C2698BB" w14:textId="304BF459" w:rsidR="00067A50" w:rsidRPr="00130CCE" w:rsidRDefault="00067A50" w:rsidP="00067A50">
      <w:pPr>
        <w:pStyle w:val="FootnoteText"/>
      </w:pPr>
      <w:r w:rsidRPr="00130CCE">
        <w:rPr>
          <w:rStyle w:val="FootnoteReference"/>
        </w:rPr>
        <w:footnoteRef/>
      </w:r>
      <w:r w:rsidRPr="00130CCE">
        <w:t xml:space="preserve"> See </w:t>
      </w:r>
      <w:r w:rsidR="00206582" w:rsidRPr="00130CCE">
        <w:t>t</w:t>
      </w:r>
      <w:r w:rsidRPr="00130CCE">
        <w:t>he seminal Cecchini-Report (1988)</w:t>
      </w:r>
      <w:r w:rsidR="00A01E8F" w:rsidRPr="00130CCE">
        <w:t>,</w:t>
      </w:r>
      <w:r w:rsidRPr="00130CCE">
        <w:t xml:space="preserve"> </w:t>
      </w:r>
      <w:hyperlink r:id="rId46" w:history="1">
        <w:r w:rsidRPr="00130CCE">
          <w:rPr>
            <w:rStyle w:val="Hyperlink"/>
          </w:rPr>
          <w:t>Europe 1992</w:t>
        </w:r>
      </w:hyperlink>
      <w:r w:rsidRPr="00130CCE">
        <w:t xml:space="preserve">, or more recently: IMF (2024), esp. on fragmented markets: </w:t>
      </w:r>
      <w:hyperlink r:id="rId47" w:history="1">
        <w:r w:rsidRPr="00130CCE">
          <w:rPr>
            <w:rStyle w:val="Hyperlink"/>
          </w:rPr>
          <w:t>Scaling up the single market to boost productivity</w:t>
        </w:r>
      </w:hyperlink>
      <w:r w:rsidRPr="00130CCE">
        <w:t xml:space="preserve">; ECB (2025) on the </w:t>
      </w:r>
      <w:hyperlink r:id="rId48" w:history="1">
        <w:r w:rsidRPr="00130CCE">
          <w:rPr>
            <w:rStyle w:val="Hyperlink"/>
          </w:rPr>
          <w:t>untapped potential of the EU Single Market</w:t>
        </w:r>
      </w:hyperlink>
      <w:r w:rsidRPr="00130CCE">
        <w:t>.</w:t>
      </w:r>
    </w:p>
  </w:footnote>
  <w:footnote w:id="90">
    <w:p w14:paraId="7FBE1E23" w14:textId="20BC8531" w:rsidR="00067A50" w:rsidRPr="00130CCE" w:rsidRDefault="00067A50" w:rsidP="00067A50">
      <w:pPr>
        <w:pStyle w:val="FootnoteText"/>
      </w:pPr>
      <w:r w:rsidRPr="00130CCE">
        <w:rPr>
          <w:rStyle w:val="FootnoteReference"/>
        </w:rPr>
        <w:footnoteRef/>
      </w:r>
      <w:r w:rsidRPr="00130CCE">
        <w:t xml:space="preserve"> Amberger et al (2026), </w:t>
      </w:r>
      <w:hyperlink r:id="rId49" w:history="1">
        <w:r w:rsidRPr="00130CCE">
          <w:rPr>
            <w:rStyle w:val="Hyperlink"/>
          </w:rPr>
          <w:t>Corporate Tax System Complexity and Investment Sensitivity to Tax Policy Changes - University of Iowa</w:t>
        </w:r>
        <w:r w:rsidR="6BEC6584" w:rsidRPr="00130CCE">
          <w:rPr>
            <w:rStyle w:val="Hyperlink"/>
          </w:rPr>
          <w:t>.</w:t>
        </w:r>
      </w:hyperlink>
    </w:p>
  </w:footnote>
  <w:footnote w:id="91">
    <w:p w14:paraId="64895FD7" w14:textId="7D18DF31" w:rsidR="0099176D" w:rsidRPr="00130CCE" w:rsidRDefault="0099176D" w:rsidP="0099176D">
      <w:pPr>
        <w:pStyle w:val="FootnoteText"/>
      </w:pPr>
      <w:r w:rsidRPr="00130CCE">
        <w:rPr>
          <w:rStyle w:val="FootnoteReference"/>
        </w:rPr>
        <w:footnoteRef/>
      </w:r>
      <w:r w:rsidRPr="00130CCE">
        <w:t xml:space="preserve"> Eight Member States (Cyprus, Estonia, Hungary, Ireland, Latvia, Luxembourg, Malta, Slovakia) have adopted Model B and two Member States (the Netherlands, Spain) adopted a combination of the two models. Source: ATAD Evaluation.</w:t>
      </w:r>
    </w:p>
  </w:footnote>
  <w:footnote w:id="92">
    <w:p w14:paraId="60F1A85B" w14:textId="40B4C7C3" w:rsidR="002B5046" w:rsidRPr="00130CCE" w:rsidRDefault="002B5046">
      <w:pPr>
        <w:pStyle w:val="FootnoteText"/>
        <w:rPr>
          <w:lang w:val="en-IE"/>
        </w:rPr>
      </w:pPr>
      <w:r w:rsidRPr="00130CCE">
        <w:rPr>
          <w:rStyle w:val="FootnoteReference"/>
        </w:rPr>
        <w:footnoteRef/>
      </w:r>
      <w:r w:rsidRPr="00130CCE">
        <w:t xml:space="preserve"> </w:t>
      </w:r>
      <w:r w:rsidR="008955A1" w:rsidRPr="00130CCE">
        <w:rPr>
          <w:lang w:val="en-IE"/>
        </w:rPr>
        <w:t>The</w:t>
      </w:r>
      <w:r w:rsidR="00297A57" w:rsidRPr="00130CCE">
        <w:rPr>
          <w:lang w:val="en-IE"/>
        </w:rPr>
        <w:t xml:space="preserve"> </w:t>
      </w:r>
      <w:r w:rsidR="008955A1" w:rsidRPr="00130CCE">
        <w:rPr>
          <w:lang w:val="en-IE"/>
        </w:rPr>
        <w:t>10</w:t>
      </w:r>
      <w:r w:rsidR="00297A57" w:rsidRPr="00130CCE">
        <w:rPr>
          <w:lang w:val="en-IE"/>
        </w:rPr>
        <w:t xml:space="preserve">% possible savings is a hypothesis made on the basis of conservative assumptions </w:t>
      </w:r>
      <w:r w:rsidR="004C6493" w:rsidRPr="00130CCE">
        <w:rPr>
          <w:lang w:val="en-IE"/>
        </w:rPr>
        <w:t>following stakeholder consultations that indicate this is one of the primary impediments when operating on a cross-border basis.</w:t>
      </w:r>
    </w:p>
  </w:footnote>
  <w:footnote w:id="93">
    <w:p w14:paraId="765642CF" w14:textId="77777777" w:rsidR="0024571C" w:rsidRPr="00130CCE" w:rsidRDefault="0024571C" w:rsidP="0024571C">
      <w:pPr>
        <w:pStyle w:val="FootnoteText"/>
      </w:pPr>
      <w:r w:rsidRPr="00130CCE">
        <w:rPr>
          <w:rStyle w:val="FootnoteReference"/>
        </w:rPr>
        <w:footnoteRef/>
      </w:r>
      <w:r w:rsidRPr="00130CCE">
        <w:t xml:space="preserve"> Study prepared for the European Commission to support an evaluation of the Anti-tax Avoidance Directive (ATAD) - Final Report (2025). Here: Volume 2, p. 38.</w:t>
      </w:r>
    </w:p>
  </w:footnote>
  <w:footnote w:id="94">
    <w:p w14:paraId="5E8C7AB9" w14:textId="77777777" w:rsidR="00277087" w:rsidRPr="00130CCE" w:rsidRDefault="00277087" w:rsidP="00277087">
      <w:pPr>
        <w:pStyle w:val="FootnoteText"/>
      </w:pPr>
      <w:r w:rsidRPr="00130CCE">
        <w:rPr>
          <w:rStyle w:val="FootnoteReference"/>
        </w:rPr>
        <w:footnoteRef/>
      </w:r>
      <w:r w:rsidRPr="00130CCE">
        <w:t xml:space="preserve"> VVA/KPMG, </w:t>
      </w:r>
      <w:hyperlink r:id="rId50" w:history="1">
        <w:r w:rsidRPr="00130CCE">
          <w:rPr>
            <w:rStyle w:val="Hyperlink"/>
          </w:rPr>
          <w:t>Tax compliance costs for SMEs: An update and a complement Final Report KPMG/VVA 2022</w:t>
        </w:r>
      </w:hyperlink>
      <w:r w:rsidRPr="00130CCE">
        <w:t>.</w:t>
      </w:r>
    </w:p>
  </w:footnote>
  <w:footnote w:id="95">
    <w:p w14:paraId="66259A71" w14:textId="7E63A33E" w:rsidR="00E258A7" w:rsidRDefault="00E258A7">
      <w:pPr>
        <w:pStyle w:val="FootnoteText"/>
      </w:pPr>
      <w:r>
        <w:rPr>
          <w:rStyle w:val="FootnoteReference"/>
        </w:rPr>
        <w:footnoteRef/>
      </w:r>
      <w:r>
        <w:t xml:space="preserve"> </w:t>
      </w:r>
      <w:hyperlink r:id="rId51" w:history="1">
        <w:r>
          <w:rPr>
            <w:rStyle w:val="Hyperlink"/>
          </w:rPr>
          <w:t>Small and medium-sized enterprises | Fact Sheets on the European Union | European Parliament</w:t>
        </w:r>
      </w:hyperlink>
    </w:p>
  </w:footnote>
  <w:footnote w:id="96">
    <w:p w14:paraId="3154679F" w14:textId="566096C2" w:rsidR="00E52957" w:rsidRDefault="00E52957">
      <w:pPr>
        <w:pStyle w:val="FootnoteText"/>
      </w:pPr>
      <w:r>
        <w:rPr>
          <w:rStyle w:val="FootnoteReference"/>
        </w:rPr>
        <w:footnoteRef/>
      </w:r>
      <w:r>
        <w:t xml:space="preserve"> </w:t>
      </w:r>
      <w:r w:rsidR="000A661D" w:rsidRPr="00130CCE">
        <w:t xml:space="preserve">European Commission (2023), Proposal for a Council Directive on Business in Europe: Framework for Income Taxation (BEFIT) and Proposal for a Council Directive on Transfer Pricing </w:t>
      </w:r>
      <w:hyperlink r:id="rId52" w:history="1">
        <w:r w:rsidR="000A661D" w:rsidRPr="00130CCE">
          <w:rPr>
            <w:rStyle w:val="Hyperlink"/>
          </w:rPr>
          <w:t>SWD(2023) 308 final</w:t>
        </w:r>
      </w:hyperlink>
      <w:r w:rsidR="000A661D" w:rsidRPr="00130CCE">
        <w:t xml:space="preserve"> (p. 41). This </w:t>
      </w:r>
      <w:r w:rsidR="000A661D">
        <w:t>information</w:t>
      </w:r>
      <w:r w:rsidR="000A661D" w:rsidRPr="00130CCE">
        <w:t xml:space="preserve"> is based on </w:t>
      </w:r>
      <w:r w:rsidR="0089154E">
        <w:t>data from</w:t>
      </w:r>
      <w:r w:rsidR="000A661D" w:rsidRPr="00130CCE">
        <w:t xml:space="preserve">: VVA/KPMG (2022), </w:t>
      </w:r>
      <w:hyperlink r:id="rId53" w:history="1">
        <w:r w:rsidR="000A661D" w:rsidRPr="00130CCE">
          <w:rPr>
            <w:rStyle w:val="Hyperlink"/>
          </w:rPr>
          <w:t>Tax compliance costs for SMEs: An update and a complement Final Report KPMG/VVA 2022</w:t>
        </w:r>
      </w:hyperlink>
      <w:r w:rsidR="000A661D" w:rsidRPr="00130CCE">
        <w:t>.</w:t>
      </w:r>
    </w:p>
  </w:footnote>
  <w:footnote w:id="97">
    <w:p w14:paraId="2C3EDF00" w14:textId="0E9BFB89" w:rsidR="00D66C90" w:rsidRDefault="00D66C90">
      <w:pPr>
        <w:pStyle w:val="FootnoteText"/>
      </w:pPr>
      <w:r>
        <w:rPr>
          <w:rStyle w:val="FootnoteReference"/>
        </w:rPr>
        <w:footnoteRef/>
      </w:r>
      <w:r>
        <w:t xml:space="preserve"> </w:t>
      </w:r>
      <w:r w:rsidR="00124B5A">
        <w:t xml:space="preserve">Eurostat Statistics </w:t>
      </w:r>
      <w:r w:rsidR="004D1237">
        <w:t>E</w:t>
      </w:r>
      <w:r w:rsidR="00124B5A">
        <w:t xml:space="preserve">xplained: </w:t>
      </w:r>
      <w:hyperlink r:id="rId54" w:history="1">
        <w:r w:rsidR="001A702E">
          <w:rPr>
            <w:rStyle w:val="Hyperlink"/>
          </w:rPr>
          <w:t>SMEs - independent and in enterprise groups - Eurostat</w:t>
        </w:r>
      </w:hyperlink>
    </w:p>
  </w:footnote>
  <w:footnote w:id="98">
    <w:p w14:paraId="4B228A6D" w14:textId="77777777" w:rsidR="00B30EA1" w:rsidRPr="00130CCE" w:rsidRDefault="00B30EA1" w:rsidP="00B30EA1">
      <w:pPr>
        <w:pStyle w:val="FootnoteText"/>
      </w:pPr>
      <w:r w:rsidRPr="00130CCE">
        <w:rPr>
          <w:rStyle w:val="FootnoteReference"/>
        </w:rPr>
        <w:footnoteRef/>
      </w:r>
      <w:r w:rsidRPr="00130CCE">
        <w:t xml:space="preserve"> This argument was put forward by Musgrave and Domar in their seminal work on taxing risky investment as early as 1944. See Domar, E. D., and R. A. Musgrave. “</w:t>
      </w:r>
      <w:hyperlink r:id="rId55" w:history="1">
        <w:r w:rsidRPr="00130CCE">
          <w:rPr>
            <w:rStyle w:val="Hyperlink"/>
          </w:rPr>
          <w:t>Proportional Income Taxation and Risk-Taking</w:t>
        </w:r>
      </w:hyperlink>
      <w:r w:rsidRPr="00130CCE">
        <w:t xml:space="preserve">.” The Quarterly Journal of Economics 58, no. 3 (1944): 388–422. </w:t>
      </w:r>
    </w:p>
  </w:footnote>
  <w:footnote w:id="99">
    <w:p w14:paraId="4D3EF924" w14:textId="77777777" w:rsidR="00041952" w:rsidRPr="00130CCE" w:rsidRDefault="00041952" w:rsidP="00041952">
      <w:pPr>
        <w:pStyle w:val="FootnoteText"/>
      </w:pPr>
      <w:r w:rsidRPr="00130CCE">
        <w:rPr>
          <w:rStyle w:val="FootnoteReference"/>
        </w:rPr>
        <w:footnoteRef/>
      </w:r>
      <w:r w:rsidRPr="00130CCE">
        <w:t xml:space="preserve"> European Commission (2023), Proposal for a Council Directive on Business in Europe: Framework for Income Taxation (BEFIT) and Proposal for a Council Directive on Transfer Pricing </w:t>
      </w:r>
      <w:hyperlink r:id="rId56" w:history="1">
        <w:r w:rsidRPr="00130CCE">
          <w:rPr>
            <w:rStyle w:val="Hyperlink"/>
          </w:rPr>
          <w:t>SWD(2023) 308 final</w:t>
        </w:r>
      </w:hyperlink>
      <w:r w:rsidRPr="00130CCE">
        <w:t xml:space="preserve"> (p. 41). This data is based on a study for the European Commission: VVA/KPMG (2022), </w:t>
      </w:r>
      <w:hyperlink r:id="rId57" w:history="1">
        <w:r w:rsidRPr="00130CCE">
          <w:rPr>
            <w:rStyle w:val="Hyperlink"/>
          </w:rPr>
          <w:t>Tax compliance costs for SMEs: An update and a complement Final Report KPMG/VVA 2022</w:t>
        </w:r>
      </w:hyperlink>
      <w:r w:rsidRPr="00130CCE">
        <w:t>.</w:t>
      </w:r>
    </w:p>
  </w:footnote>
  <w:footnote w:id="100">
    <w:p w14:paraId="727ED880" w14:textId="25DC79ED" w:rsidR="00CC5AC9" w:rsidRPr="00130CCE" w:rsidRDefault="00CC5AC9" w:rsidP="00CC5AC9">
      <w:pPr>
        <w:pStyle w:val="FootnoteText"/>
      </w:pPr>
      <w:r w:rsidRPr="005C4DDC">
        <w:rPr>
          <w:rStyle w:val="FootnoteReference"/>
        </w:rPr>
        <w:footnoteRef/>
      </w:r>
      <w:r w:rsidRPr="005C4DDC">
        <w:t xml:space="preserve"> The assumption is compatible with the cost-structure of EU companies. In </w:t>
      </w:r>
      <w:r w:rsidRPr="005C4DDC">
        <w:rPr>
          <w:i/>
        </w:rPr>
        <w:t>Orbis,</w:t>
      </w:r>
      <w:r w:rsidRPr="005C4DDC">
        <w:t xml:space="preserve"> for companies with information about R&amp;D costs, their share in total costs is about 2.5%. Extrapolating this value to all companies (assuming zero R&amp;D costs for companies with no information) would result in average R&amp;D costs </w:t>
      </w:r>
      <w:r w:rsidR="00F5679C" w:rsidRPr="00DE6B6A">
        <w:t>accounting for</w:t>
      </w:r>
      <w:r w:rsidRPr="005C4DDC">
        <w:t xml:space="preserve"> 0.5% of total costs on average for all companies in the EU.</w:t>
      </w:r>
      <w:r w:rsidRPr="00130CCE">
        <w:t xml:space="preserve"> </w:t>
      </w:r>
    </w:p>
  </w:footnote>
  <w:footnote w:id="101">
    <w:p w14:paraId="122610F5" w14:textId="77777777" w:rsidR="00B41635" w:rsidRPr="00130CCE" w:rsidRDefault="00B41635" w:rsidP="00B41635">
      <w:pPr>
        <w:pStyle w:val="FootnoteText"/>
        <w:rPr>
          <w:lang w:val="en-US"/>
        </w:rPr>
      </w:pPr>
      <w:r w:rsidRPr="00130CCE">
        <w:rPr>
          <w:rStyle w:val="FootnoteReference"/>
        </w:rPr>
        <w:footnoteRef/>
      </w:r>
      <w:r w:rsidRPr="00130CCE">
        <w:t xml:space="preserve"> Comparable magnitudes of CIT revenue effects have been observed in other contexts. For example, the introduction of full expensing in the UK has been estimated by the Institute for Fiscal Studies (IFS) to reduce long-run CIT revenues by up to around 3.7%, illustrating that relatively pronounced impacts on CIT revenues are not uncommon in the context of investment tax incentives. Source: Institute for Fiscal Studies, </w:t>
      </w:r>
      <w:r w:rsidRPr="00130CCE">
        <w:rPr>
          <w:i/>
        </w:rPr>
        <w:t>Full expensing and the corporate tax base</w:t>
      </w:r>
      <w:r w:rsidRPr="00130CCE">
        <w:t>, IFS Green Budget, October 2023.</w:t>
      </w:r>
    </w:p>
  </w:footnote>
  <w:footnote w:id="102">
    <w:p w14:paraId="094F17A2" w14:textId="14C3F83E" w:rsidR="004D6109" w:rsidRPr="00130CCE" w:rsidRDefault="004D6109">
      <w:pPr>
        <w:pStyle w:val="FootnoteText"/>
      </w:pPr>
      <w:r w:rsidRPr="00130CCE">
        <w:rPr>
          <w:rStyle w:val="FootnoteReference"/>
        </w:rPr>
        <w:footnoteRef/>
      </w:r>
      <w:r w:rsidRPr="00130CCE">
        <w:t xml:space="preserve"> </w:t>
      </w:r>
      <w:r w:rsidR="00595947" w:rsidRPr="00130CCE">
        <w:t xml:space="preserve">For example: </w:t>
      </w:r>
      <w:r w:rsidR="00674BB3" w:rsidRPr="00130CCE">
        <w:t>Huang and Liu (</w:t>
      </w:r>
      <w:r w:rsidR="00CD5040" w:rsidRPr="00130CCE">
        <w:t>2024)</w:t>
      </w:r>
      <w:r w:rsidR="001C66F0" w:rsidRPr="00130CCE">
        <w:t xml:space="preserve">: </w:t>
      </w:r>
      <w:hyperlink r:id="rId58" w:history="1">
        <w:r w:rsidR="001C66F0" w:rsidRPr="00130CCE">
          <w:rPr>
            <w:rStyle w:val="Hyperlink"/>
          </w:rPr>
          <w:t>Structural tax reduction, financing constraint relief and enterprise innovation efficiency - ScienceDirect</w:t>
        </w:r>
      </w:hyperlink>
      <w:r w:rsidR="00CD5040" w:rsidRPr="00130CCE">
        <w:t xml:space="preserve">. </w:t>
      </w:r>
    </w:p>
  </w:footnote>
  <w:footnote w:id="103">
    <w:p w14:paraId="3966569C" w14:textId="3EF6A699" w:rsidR="00685ED6" w:rsidRPr="000C0165" w:rsidRDefault="00685ED6" w:rsidP="00685ED6">
      <w:pPr>
        <w:pStyle w:val="FootnoteText"/>
      </w:pPr>
      <w:r>
        <w:rPr>
          <w:rStyle w:val="FootnoteReference"/>
        </w:rPr>
        <w:footnoteRef/>
      </w:r>
      <w:r>
        <w:t xml:space="preserve"> </w:t>
      </w:r>
      <w:r w:rsidR="00A0213E">
        <w:t>This information is based on</w:t>
      </w:r>
      <w:r w:rsidR="002B32C4">
        <w:t xml:space="preserve"> </w:t>
      </w:r>
      <w:r w:rsidR="003C4350">
        <w:t xml:space="preserve">the underlying data </w:t>
      </w:r>
      <w:r w:rsidR="00F10CC0">
        <w:t>from:</w:t>
      </w:r>
      <w:r w:rsidR="007E4D20">
        <w:t xml:space="preserve"> </w:t>
      </w:r>
      <w:r>
        <w:t xml:space="preserve">VVA/KPMG (2022), </w:t>
      </w:r>
      <w:hyperlink r:id="rId59">
        <w:r w:rsidRPr="3149E27F">
          <w:rPr>
            <w:rStyle w:val="Hyperlink"/>
          </w:rPr>
          <w:t>Tax compliance costs for SMEs: An update and a complement</w:t>
        </w:r>
        <w:r w:rsidR="002F3C5C">
          <w:rPr>
            <w:rStyle w:val="Hyperlink"/>
          </w:rPr>
          <w:t>,</w:t>
        </w:r>
        <w:r w:rsidRPr="3149E27F">
          <w:rPr>
            <w:rStyle w:val="Hyperlink"/>
          </w:rPr>
          <w:t xml:space="preserve"> Final Report</w:t>
        </w:r>
      </w:hyperlink>
      <w:r>
        <w:t>.</w:t>
      </w:r>
      <w:r w:rsidR="00920ECF">
        <w:t xml:space="preserve"> It is the average for</w:t>
      </w:r>
      <w:r w:rsidR="00836A78">
        <w:t xml:space="preserve"> cross-border working SMEs</w:t>
      </w:r>
      <w:r w:rsidR="00824696">
        <w:t xml:space="preserve"> in EU-27</w:t>
      </w:r>
      <w:r w:rsidR="00836A78">
        <w:t>.</w:t>
      </w:r>
    </w:p>
  </w:footnote>
  <w:footnote w:id="104">
    <w:p w14:paraId="3B61117E" w14:textId="6E37D021" w:rsidR="00FB063F" w:rsidRDefault="00FB063F" w:rsidP="00FB063F">
      <w:pPr>
        <w:pStyle w:val="FootnoteText"/>
      </w:pPr>
      <w:r>
        <w:rPr>
          <w:rStyle w:val="FootnoteReference"/>
        </w:rPr>
        <w:footnoteRef/>
      </w:r>
      <w:r>
        <w:t xml:space="preserve"> See Annex 4, Section 1 for this assumption.</w:t>
      </w:r>
    </w:p>
  </w:footnote>
  <w:footnote w:id="105">
    <w:p w14:paraId="6DD56A9A" w14:textId="77777777" w:rsidR="00170A13" w:rsidRPr="00130CCE" w:rsidRDefault="00170A13" w:rsidP="00170A13">
      <w:pPr>
        <w:pStyle w:val="FootnoteText"/>
      </w:pPr>
      <w:r w:rsidRPr="00130CCE">
        <w:rPr>
          <w:rStyle w:val="FootnoteReference"/>
        </w:rPr>
        <w:footnoteRef/>
      </w:r>
      <w:r w:rsidRPr="00130CCE">
        <w:t xml:space="preserve"> See Annex 4, Section 1 for these assumptions.</w:t>
      </w:r>
    </w:p>
  </w:footnote>
  <w:footnote w:id="106">
    <w:p w14:paraId="25A54D7E" w14:textId="77777777" w:rsidR="00874AF3" w:rsidRPr="00130CCE" w:rsidRDefault="00874AF3" w:rsidP="00874AF3">
      <w:pPr>
        <w:pStyle w:val="FootnoteText"/>
      </w:pPr>
      <w:r w:rsidRPr="00130CCE">
        <w:rPr>
          <w:rStyle w:val="FootnoteReference"/>
        </w:rPr>
        <w:footnoteRef/>
      </w:r>
      <w:r w:rsidRPr="00130CCE">
        <w:t xml:space="preserve"> </w:t>
      </w:r>
      <w:hyperlink r:id="rId60" w:history="1">
        <w:r w:rsidRPr="00130CCE">
          <w:rPr>
            <w:rStyle w:val="Hyperlink"/>
          </w:rPr>
          <w:t>151 004 multinational enterprise groups in EU and EFTA - News articles - Eurostat.</w:t>
        </w:r>
      </w:hyperlink>
    </w:p>
  </w:footnote>
  <w:footnote w:id="107">
    <w:p w14:paraId="549948D2" w14:textId="77777777" w:rsidR="00881FBA" w:rsidRPr="00130CCE" w:rsidRDefault="00881FBA">
      <w:pPr>
        <w:pStyle w:val="FootnoteText"/>
      </w:pPr>
      <w:r w:rsidRPr="00130CCE">
        <w:rPr>
          <w:rStyle w:val="FootnoteReference"/>
        </w:rPr>
        <w:footnoteRef/>
      </w:r>
      <w:r w:rsidRPr="00130CCE">
        <w:t xml:space="preserve"> For example: </w:t>
      </w:r>
      <w:r w:rsidR="00EB1E55" w:rsidRPr="00130CCE">
        <w:t>European Parliament,</w:t>
      </w:r>
      <w:r w:rsidRPr="00130CCE">
        <w:t xml:space="preserve"> </w:t>
      </w:r>
      <w:hyperlink r:id="rId61" w:history="1">
        <w:r w:rsidRPr="00130CCE">
          <w:rPr>
            <w:rStyle w:val="Hyperlink"/>
          </w:rPr>
          <w:t>Overview on the tax compliance costs faced by European enterprises</w:t>
        </w:r>
      </w:hyperlink>
      <w:r w:rsidRPr="00130CCE">
        <w:t>.</w:t>
      </w:r>
    </w:p>
  </w:footnote>
  <w:footnote w:id="108">
    <w:p w14:paraId="20652B2E" w14:textId="3555FA87" w:rsidR="0008217F" w:rsidRPr="00130CCE" w:rsidRDefault="0008217F">
      <w:pPr>
        <w:pStyle w:val="FootnoteText"/>
      </w:pPr>
      <w:r w:rsidRPr="00130CCE">
        <w:rPr>
          <w:rStyle w:val="FootnoteReference"/>
        </w:rPr>
        <w:footnoteRef/>
      </w:r>
      <w:r w:rsidRPr="00130CCE">
        <w:t xml:space="preserve"> VVA/KPMG</w:t>
      </w:r>
      <w:r w:rsidR="006E1AFF" w:rsidRPr="00130CCE">
        <w:t xml:space="preserve"> (2022)</w:t>
      </w:r>
      <w:r w:rsidRPr="00130CCE">
        <w:t xml:space="preserve">, </w:t>
      </w:r>
      <w:hyperlink r:id="rId62" w:history="1">
        <w:r w:rsidRPr="00130CCE">
          <w:rPr>
            <w:rStyle w:val="Hyperlink"/>
          </w:rPr>
          <w:t>Tax compliance costs for SMEs: An update and a complement Final Report KPMG/VVA 2022</w:t>
        </w:r>
        <w:r w:rsidR="2DB30740" w:rsidRPr="00130CCE">
          <w:rPr>
            <w:rStyle w:val="Hyperlink"/>
          </w:rPr>
          <w:t>.</w:t>
        </w:r>
      </w:hyperlink>
    </w:p>
  </w:footnote>
  <w:footnote w:id="109">
    <w:p w14:paraId="0539158C" w14:textId="670B8BEF" w:rsidR="00F94517" w:rsidRPr="00130CCE" w:rsidRDefault="00F94517">
      <w:pPr>
        <w:pStyle w:val="FootnoteText"/>
      </w:pPr>
      <w:r w:rsidRPr="00130CCE">
        <w:rPr>
          <w:rStyle w:val="FootnoteReference"/>
        </w:rPr>
        <w:footnoteRef/>
      </w:r>
      <w:r w:rsidRPr="00130CCE">
        <w:t xml:space="preserve"> </w:t>
      </w:r>
      <w:r w:rsidR="00A9681C" w:rsidRPr="00130CCE">
        <w:t>OECD (</w:t>
      </w:r>
      <w:hyperlink r:id="rId63" w:history="1">
        <w:r w:rsidR="00A9681C" w:rsidRPr="00130CCE">
          <w:rPr>
            <w:rStyle w:val="Hyperlink"/>
          </w:rPr>
          <w:t>Foreign Direct Investment Qualities and Impact | OECD</w:t>
        </w:r>
      </w:hyperlink>
      <w:r w:rsidR="00A9681C" w:rsidRPr="00130CCE">
        <w:t>).</w:t>
      </w:r>
    </w:p>
  </w:footnote>
  <w:footnote w:id="110">
    <w:p w14:paraId="07660599" w14:textId="356599BB" w:rsidR="00621354" w:rsidRPr="00130CCE" w:rsidRDefault="00621354" w:rsidP="00621354">
      <w:pPr>
        <w:pStyle w:val="FootnoteText"/>
      </w:pPr>
      <w:r w:rsidRPr="00130CCE">
        <w:rPr>
          <w:rStyle w:val="FootnoteReference"/>
        </w:rPr>
        <w:footnoteRef/>
      </w:r>
      <w:r w:rsidR="002A144D" w:rsidRPr="00130CCE">
        <w:t xml:space="preserve"> </w:t>
      </w:r>
      <w:r w:rsidR="00F611E0" w:rsidRPr="00130CCE">
        <w:t xml:space="preserve">For example, Finnish companies have seen their effective tax burden increase by up to 19% during the Great Recession in 2008 because of limitations in interest deduction. </w:t>
      </w:r>
      <w:r w:rsidR="002201BB" w:rsidRPr="00130CCE">
        <w:t xml:space="preserve">Ropponen (2021), </w:t>
      </w:r>
      <w:hyperlink r:id="rId64" w:history="1">
        <w:r w:rsidR="002201BB" w:rsidRPr="00130CCE">
          <w:rPr>
            <w:rStyle w:val="Hyperlink"/>
          </w:rPr>
          <w:t>Interest limitation rules and business cycles: Empirical evidence</w:t>
        </w:r>
        <w:r w:rsidR="19EA1097" w:rsidRPr="00130CCE">
          <w:rPr>
            <w:rStyle w:val="Hyperlink"/>
          </w:rPr>
          <w:t>.</w:t>
        </w:r>
      </w:hyperlink>
    </w:p>
  </w:footnote>
  <w:footnote w:id="111">
    <w:p w14:paraId="1044885F" w14:textId="7F847F38" w:rsidR="00027CD6" w:rsidRPr="00130CCE" w:rsidRDefault="00027CD6">
      <w:pPr>
        <w:pStyle w:val="FootnoteText"/>
      </w:pPr>
      <w:r w:rsidRPr="00130CCE">
        <w:rPr>
          <w:rStyle w:val="FootnoteReference"/>
        </w:rPr>
        <w:footnoteRef/>
      </w:r>
      <w:r w:rsidRPr="00130CCE">
        <w:t xml:space="preserve"> </w:t>
      </w:r>
      <w:r w:rsidR="000176BC" w:rsidRPr="00130CCE">
        <w:t>ECB</w:t>
      </w:r>
      <w:r w:rsidR="00D50A1F" w:rsidRPr="00130CCE">
        <w:t xml:space="preserve"> </w:t>
      </w:r>
      <w:hyperlink r:id="rId65" w:history="1">
        <w:r w:rsidR="000961F8" w:rsidRPr="00130CCE">
          <w:rPr>
            <w:rStyle w:val="Hyperlink"/>
          </w:rPr>
          <w:t>series</w:t>
        </w:r>
      </w:hyperlink>
      <w:r w:rsidR="00ED7F09" w:rsidRPr="00130CCE">
        <w:t>:</w:t>
      </w:r>
      <w:r w:rsidR="00D50A1F" w:rsidRPr="00130CCE">
        <w:t xml:space="preserve"> c</w:t>
      </w:r>
      <w:r w:rsidR="00F97CE3" w:rsidRPr="00130CCE">
        <w:t xml:space="preserve">ost </w:t>
      </w:r>
      <w:r w:rsidR="003E07C9" w:rsidRPr="00130CCE">
        <w:t>for</w:t>
      </w:r>
      <w:r w:rsidR="00860E75" w:rsidRPr="00130CCE">
        <w:t xml:space="preserve"> non-financial </w:t>
      </w:r>
      <w:r w:rsidR="003E07C9" w:rsidRPr="00130CCE">
        <w:t xml:space="preserve">corporations </w:t>
      </w:r>
      <w:r w:rsidR="00F97CE3" w:rsidRPr="00130CCE">
        <w:t>of newly agreed loans</w:t>
      </w:r>
      <w:r w:rsidR="00FF3920" w:rsidRPr="00130CCE">
        <w:t xml:space="preserve"> </w:t>
      </w:r>
      <w:r w:rsidR="00923535" w:rsidRPr="00130CCE">
        <w:t>(annualised rate)</w:t>
      </w:r>
      <w:r w:rsidR="00D50A1F" w:rsidRPr="00130CCE">
        <w:t>.</w:t>
      </w:r>
    </w:p>
  </w:footnote>
  <w:footnote w:id="112">
    <w:p w14:paraId="00984E2F" w14:textId="2027C5BC" w:rsidR="00CD061F" w:rsidRPr="00130CCE" w:rsidRDefault="00CD061F">
      <w:pPr>
        <w:pStyle w:val="FootnoteText"/>
      </w:pPr>
      <w:r w:rsidRPr="00130CCE">
        <w:rPr>
          <w:rStyle w:val="FootnoteReference"/>
        </w:rPr>
        <w:footnoteRef/>
      </w:r>
      <w:r w:rsidRPr="00130CCE">
        <w:t xml:space="preserve"> Authors argue that tight deductibility limits would improve market selection as it lowers the likelihood of unproductive </w:t>
      </w:r>
      <w:r w:rsidR="00761F46" w:rsidRPr="00130CCE">
        <w:t>businesses</w:t>
      </w:r>
      <w:r w:rsidRPr="00130CCE">
        <w:t xml:space="preserve"> stay alive. </w:t>
      </w:r>
      <w:r w:rsidR="000505AC" w:rsidRPr="00130CCE">
        <w:t xml:space="preserve">See Olbert (2025), </w:t>
      </w:r>
      <w:hyperlink r:id="rId66" w:history="1">
        <w:r w:rsidR="000505AC" w:rsidRPr="00130CCE">
          <w:rPr>
            <w:rStyle w:val="Hyperlink"/>
          </w:rPr>
          <w:t>The impact of tax shields on bankruptcy risk and resource allocation | Review of Accounting Studies</w:t>
        </w:r>
      </w:hyperlink>
      <w:r w:rsidR="000505AC" w:rsidRPr="00130CCE">
        <w:t xml:space="preserve">. </w:t>
      </w:r>
      <w:r w:rsidRPr="00130CCE">
        <w:t xml:space="preserve">This argument holds in the absence of strong cyclical fluctuation. </w:t>
      </w:r>
      <w:r w:rsidR="00FE6711" w:rsidRPr="00130CCE">
        <w:t xml:space="preserve">If strong limitations coincide with </w:t>
      </w:r>
      <w:r w:rsidR="00816C75" w:rsidRPr="00130CCE">
        <w:t xml:space="preserve">pronounced </w:t>
      </w:r>
      <w:r w:rsidR="003C44EC" w:rsidRPr="00130CCE">
        <w:t xml:space="preserve">downturns </w:t>
      </w:r>
      <w:r w:rsidR="003F4AB8" w:rsidRPr="00130CCE">
        <w:t>the effect</w:t>
      </w:r>
      <w:r w:rsidR="003C44EC" w:rsidRPr="00130CCE">
        <w:t xml:space="preserve"> gets amplified and may</w:t>
      </w:r>
      <w:r w:rsidR="00170EAD" w:rsidRPr="00130CCE">
        <w:t xml:space="preserve"> thus lead </w:t>
      </w:r>
      <w:r w:rsidR="002D7657" w:rsidRPr="00130CCE">
        <w:t xml:space="preserve">to the selection process </w:t>
      </w:r>
      <w:r w:rsidR="00FE6E06" w:rsidRPr="00130CCE">
        <w:t xml:space="preserve">overshooting in the sense that </w:t>
      </w:r>
      <w:r w:rsidR="00905749" w:rsidRPr="00130CCE">
        <w:t xml:space="preserve">healthy </w:t>
      </w:r>
      <w:r w:rsidR="00761F46" w:rsidRPr="00130CCE">
        <w:t>businesse</w:t>
      </w:r>
      <w:r w:rsidR="00905749" w:rsidRPr="00130CCE">
        <w:t>s get wiped out</w:t>
      </w:r>
      <w:r w:rsidR="00660DEB" w:rsidRPr="00130CCE">
        <w:t xml:space="preserve"> due to reduced cash-flow</w:t>
      </w:r>
      <w:r w:rsidRPr="00130CCE">
        <w:t xml:space="preserve">.   </w:t>
      </w:r>
    </w:p>
  </w:footnote>
  <w:footnote w:id="113">
    <w:p w14:paraId="00D33BBA" w14:textId="6A65C844" w:rsidR="00CB5C28" w:rsidRPr="00130CCE" w:rsidRDefault="00CB5C28">
      <w:pPr>
        <w:pStyle w:val="FootnoteText"/>
      </w:pPr>
      <w:r w:rsidRPr="00130CCE">
        <w:rPr>
          <w:rStyle w:val="FootnoteReference"/>
        </w:rPr>
        <w:footnoteRef/>
      </w:r>
      <w:r w:rsidRPr="00130CCE">
        <w:t xml:space="preserve"> Fich</w:t>
      </w:r>
      <w:r w:rsidR="00811CD5" w:rsidRPr="00130CCE">
        <w:t xml:space="preserve"> (2025),</w:t>
      </w:r>
      <w:r w:rsidRPr="00130CCE">
        <w:t xml:space="preserve"> </w:t>
      </w:r>
      <w:hyperlink r:id="rId67" w:history="1">
        <w:r w:rsidR="001D0DA5" w:rsidRPr="00130CCE">
          <w:rPr>
            <w:rStyle w:val="Hyperlink"/>
          </w:rPr>
          <w:t>M&amp;A Under Pressure: How Interest Limitation Rules Are Shaping Corporate Dealmaking | ECGI</w:t>
        </w:r>
      </w:hyperlink>
      <w:r w:rsidR="00811CD5" w:rsidRPr="00130CCE">
        <w:t>,</w:t>
      </w:r>
      <w:r w:rsidR="001D0DA5" w:rsidRPr="00130CCE">
        <w:t xml:space="preserve"> </w:t>
      </w:r>
      <w:r w:rsidR="00330E40" w:rsidRPr="00130CCE">
        <w:t>turns the argument around</w:t>
      </w:r>
      <w:r w:rsidR="00996EC6" w:rsidRPr="00130CCE">
        <w:t>:</w:t>
      </w:r>
      <w:r w:rsidR="00545A6C" w:rsidRPr="00130CCE">
        <w:t xml:space="preserve"> </w:t>
      </w:r>
      <w:r w:rsidR="00BC558A" w:rsidRPr="00130CCE">
        <w:t xml:space="preserve">the introduction of interest limitation rules </w:t>
      </w:r>
      <w:r w:rsidR="00EC2328" w:rsidRPr="00130CCE">
        <w:t xml:space="preserve">disrupted corporate investment </w:t>
      </w:r>
      <w:r w:rsidR="006F6B5D" w:rsidRPr="00130CCE">
        <w:t xml:space="preserve">significantly (here: </w:t>
      </w:r>
      <w:r w:rsidR="000A2817" w:rsidRPr="00130CCE">
        <w:t>M&amp;A</w:t>
      </w:r>
      <w:r w:rsidR="006F6B5D" w:rsidRPr="00130CCE">
        <w:t>)</w:t>
      </w:r>
      <w:r w:rsidR="002F348F" w:rsidRPr="00130CCE">
        <w:t>.</w:t>
      </w:r>
      <w:r w:rsidR="00BC63C9" w:rsidRPr="00130CCE">
        <w:t xml:space="preserve"> </w:t>
      </w:r>
      <w:r w:rsidR="00761F46" w:rsidRPr="00130CCE">
        <w:t>Businesses</w:t>
      </w:r>
      <w:r w:rsidR="009B0AB6" w:rsidRPr="00130CCE">
        <w:t xml:space="preserve"> with limited cash reserves</w:t>
      </w:r>
      <w:r w:rsidR="000A045D" w:rsidRPr="00130CCE">
        <w:t xml:space="preserve"> would </w:t>
      </w:r>
      <w:r w:rsidR="00263510" w:rsidRPr="00130CCE">
        <w:t xml:space="preserve">be most affected as they </w:t>
      </w:r>
      <w:r w:rsidR="000A045D" w:rsidRPr="00130CCE">
        <w:t xml:space="preserve">rely </w:t>
      </w:r>
      <w:r w:rsidR="00922ABC" w:rsidRPr="00130CCE">
        <w:t>heavily on third-party debt funding.</w:t>
      </w:r>
    </w:p>
  </w:footnote>
  <w:footnote w:id="114">
    <w:p w14:paraId="43A893D5" w14:textId="77777777" w:rsidR="007C7F73" w:rsidRPr="00130CCE" w:rsidRDefault="007C7F73" w:rsidP="007C7F73">
      <w:pPr>
        <w:pStyle w:val="FootnoteText"/>
      </w:pPr>
      <w:r w:rsidRPr="00130CCE">
        <w:rPr>
          <w:rStyle w:val="FootnoteReference"/>
        </w:rPr>
        <w:footnoteRef/>
      </w:r>
      <w:r w:rsidRPr="00130CCE">
        <w:t xml:space="preserve"> Study prepared for the European Commission to support an evaluation of the Anti-tax Avoidance Directive (ATAD) - Final Report (2025). Here: Volume 2, p. 35.</w:t>
      </w:r>
    </w:p>
  </w:footnote>
  <w:footnote w:id="115">
    <w:p w14:paraId="6FFE27AC" w14:textId="6C25CD00" w:rsidR="00927B86" w:rsidRPr="00130CCE" w:rsidRDefault="00927B86">
      <w:pPr>
        <w:pStyle w:val="FootnoteText"/>
      </w:pPr>
      <w:r w:rsidRPr="00130CCE">
        <w:rPr>
          <w:rStyle w:val="FootnoteReference"/>
        </w:rPr>
        <w:footnoteRef/>
      </w:r>
      <w:r w:rsidRPr="00130CCE">
        <w:t xml:space="preserve"> </w:t>
      </w:r>
      <w:r w:rsidR="00E73B35" w:rsidRPr="00130CCE">
        <w:t>Finan</w:t>
      </w:r>
      <w:r w:rsidR="00557D97" w:rsidRPr="00130CCE">
        <w:t>c</w:t>
      </w:r>
      <w:r w:rsidR="00E73B35" w:rsidRPr="00130CCE">
        <w:t xml:space="preserve">ial costs included in this number </w:t>
      </w:r>
      <w:r w:rsidR="005B0F20" w:rsidRPr="00130CCE">
        <w:t>stem from the exemption of all payments of interest, royalties and dividends from withholding t</w:t>
      </w:r>
      <w:r w:rsidR="005B7491" w:rsidRPr="00130CCE">
        <w:t>ax</w:t>
      </w:r>
      <w:r w:rsidR="00AB7DFF" w:rsidRPr="00130CCE">
        <w:t xml:space="preserve"> (Option </w:t>
      </w:r>
      <w:r w:rsidR="00FE76ED" w:rsidRPr="00130CCE">
        <w:t>1</w:t>
      </w:r>
      <w:r w:rsidR="00AB7DFF" w:rsidRPr="00130CCE">
        <w:t>A)</w:t>
      </w:r>
      <w:r w:rsidR="00557D97" w:rsidRPr="00130CCE">
        <w:t>:</w:t>
      </w:r>
      <w:r w:rsidR="00E73B35" w:rsidRPr="00130CCE">
        <w:t xml:space="preserve"> </w:t>
      </w:r>
      <w:r w:rsidR="00D64617" w:rsidRPr="00130CCE">
        <w:t xml:space="preserve">companies save </w:t>
      </w:r>
      <w:r w:rsidR="004F71AD" w:rsidRPr="00130CCE">
        <w:t xml:space="preserve">EUR </w:t>
      </w:r>
      <w:r w:rsidR="006F2365" w:rsidRPr="00130CCE">
        <w:t>4-5</w:t>
      </w:r>
      <w:r w:rsidR="005C642D" w:rsidRPr="00130CCE">
        <w:t xml:space="preserve"> billion </w:t>
      </w:r>
      <w:r w:rsidR="00CC0B7F" w:rsidRPr="00130CCE">
        <w:t xml:space="preserve">as </w:t>
      </w:r>
      <w:r w:rsidR="00D64617" w:rsidRPr="00130CCE">
        <w:t>they</w:t>
      </w:r>
      <w:r w:rsidR="00CC0B7F" w:rsidRPr="00130CCE">
        <w:t xml:space="preserve"> would no longer </w:t>
      </w:r>
      <w:r w:rsidR="007D7271" w:rsidRPr="00130CCE">
        <w:t>forego tax relief</w:t>
      </w:r>
      <w:r w:rsidR="00386AC2" w:rsidRPr="00130CCE">
        <w:t>s</w:t>
      </w:r>
      <w:r w:rsidR="00AF645C" w:rsidRPr="00130CCE">
        <w:t xml:space="preserve"> </w:t>
      </w:r>
      <w:r w:rsidR="00C13600" w:rsidRPr="00130CCE">
        <w:t xml:space="preserve">and would no longer </w:t>
      </w:r>
      <w:r w:rsidR="00EA7839" w:rsidRPr="00130CCE">
        <w:t xml:space="preserve">bear opportunity costs </w:t>
      </w:r>
      <w:r w:rsidR="005B0F20" w:rsidRPr="00130CCE">
        <w:t>due to dela</w:t>
      </w:r>
      <w:r w:rsidR="007020A1" w:rsidRPr="00130CCE">
        <w:t>yed</w:t>
      </w:r>
      <w:r w:rsidR="005B0F20" w:rsidRPr="00130CCE">
        <w:t xml:space="preserve"> refund.</w:t>
      </w:r>
      <w:r w:rsidR="005D5475" w:rsidRPr="00130CCE">
        <w:t xml:space="preserve"> See </w:t>
      </w:r>
      <w:r w:rsidR="00374403" w:rsidRPr="00130CCE">
        <w:t>S</w:t>
      </w:r>
      <w:r w:rsidR="001D4345" w:rsidRPr="00130CCE">
        <w:t>ection 6.2.1.1</w:t>
      </w:r>
      <w:r w:rsidR="00EF7F75" w:rsidRPr="00130CCE">
        <w:t>.</w:t>
      </w:r>
      <w:r w:rsidR="007A2CCC">
        <w:t xml:space="preserve"> and esp. Annex 4, Section 2.</w:t>
      </w:r>
    </w:p>
  </w:footnote>
  <w:footnote w:id="116">
    <w:p w14:paraId="7BD9ACB0" w14:textId="064FEBB5" w:rsidR="000E7270" w:rsidRPr="00130CCE" w:rsidRDefault="000E7270">
      <w:pPr>
        <w:pStyle w:val="FootnoteText"/>
      </w:pPr>
      <w:r w:rsidRPr="00130CCE">
        <w:rPr>
          <w:rStyle w:val="FootnoteReference"/>
        </w:rPr>
        <w:footnoteRef/>
      </w:r>
      <w:r w:rsidRPr="00130CCE">
        <w:t xml:space="preserve"> </w:t>
      </w:r>
      <w:r w:rsidR="00F30652" w:rsidRPr="00130CCE">
        <w:t xml:space="preserve">Commission Recommendation of 2.7.2025 on tax incentives to support the Clean Industrial Deal and in light of the Clean Industrial Deal State </w:t>
      </w:r>
      <w:r w:rsidR="007E07C6" w:rsidRPr="00130CCE">
        <w:t>Aid</w:t>
      </w:r>
      <w:r w:rsidR="00F30652" w:rsidRPr="00130CCE">
        <w:t xml:space="preserve"> Framework</w:t>
      </w:r>
      <w:r w:rsidR="007E07C6" w:rsidRPr="00130CCE">
        <w:t>. C(2025) 4319 final</w:t>
      </w:r>
      <w:r w:rsidR="00112E54" w:rsidRPr="00130CCE">
        <w:t>.</w:t>
      </w:r>
    </w:p>
  </w:footnote>
  <w:footnote w:id="117">
    <w:p w14:paraId="560284AF" w14:textId="3E376605" w:rsidR="00FE76ED" w:rsidRPr="00130CCE" w:rsidRDefault="00FE76ED" w:rsidP="00FE76ED">
      <w:pPr>
        <w:pStyle w:val="FootnoteText"/>
      </w:pPr>
      <w:r w:rsidRPr="00130CCE">
        <w:rPr>
          <w:rStyle w:val="FootnoteReference"/>
        </w:rPr>
        <w:footnoteRef/>
      </w:r>
      <w:r w:rsidRPr="00130CCE">
        <w:t xml:space="preserve"> Financial costs included in this number stem from the exemption of all payments of interest, royalties and dividends from withholding tax (Option 1B): companies save EUR </w:t>
      </w:r>
      <w:r w:rsidR="001A6FBD">
        <w:t>1-</w:t>
      </w:r>
      <w:r w:rsidR="008071BC" w:rsidRPr="00130CCE">
        <w:t>2</w:t>
      </w:r>
      <w:r w:rsidRPr="00130CCE">
        <w:t xml:space="preserve"> billion as they would no longer forego tax reliefs and would no longer bear opportunity costs due to delayed refund. See </w:t>
      </w:r>
      <w:r w:rsidR="002744AE" w:rsidRPr="00130CCE">
        <w:t>S</w:t>
      </w:r>
      <w:r w:rsidR="001D4345" w:rsidRPr="00130CCE">
        <w:t>ection 6.2.1.2</w:t>
      </w:r>
      <w:r w:rsidR="0096027A">
        <w:t xml:space="preserve"> and esp. Annex 4, Section 2.</w:t>
      </w:r>
    </w:p>
  </w:footnote>
  <w:footnote w:id="118">
    <w:p w14:paraId="4E25DEFA" w14:textId="7811F626" w:rsidR="009665BC" w:rsidRPr="00130CCE" w:rsidRDefault="009665BC">
      <w:pPr>
        <w:pStyle w:val="FootnoteText"/>
      </w:pPr>
      <w:r w:rsidRPr="00130CCE">
        <w:rPr>
          <w:rStyle w:val="FootnoteReference"/>
        </w:rPr>
        <w:footnoteRef/>
      </w:r>
      <w:r w:rsidRPr="00130CCE">
        <w:t xml:space="preserve"> The latter amount includes savings from avoiding financial costs stemming from the exemption of all payments of interest, royalties and dividends from withholding tax (Option </w:t>
      </w:r>
      <w:r w:rsidR="00CF19B5" w:rsidRPr="00130CCE">
        <w:t>1</w:t>
      </w:r>
      <w:r w:rsidRPr="00130CCE">
        <w:t>A)</w:t>
      </w:r>
      <w:r w:rsidR="00397534" w:rsidRPr="00130CCE">
        <w:t>:</w:t>
      </w:r>
      <w:r w:rsidRPr="00130CCE">
        <w:t xml:space="preserve"> avoiding foregone </w:t>
      </w:r>
      <w:r w:rsidR="00EC5704" w:rsidRPr="00130CCE">
        <w:t>refund</w:t>
      </w:r>
      <w:r w:rsidRPr="00130CCE">
        <w:t xml:space="preserve"> and opportunity costs due to </w:t>
      </w:r>
      <w:r w:rsidR="00776FD8" w:rsidRPr="00130CCE">
        <w:t>late tax refunds</w:t>
      </w:r>
      <w:r w:rsidR="00057A5F" w:rsidRPr="00130CCE">
        <w:t xml:space="preserve">, a total of EUR </w:t>
      </w:r>
      <w:r w:rsidR="00661DB7" w:rsidRPr="00130CCE">
        <w:t>4.6</w:t>
      </w:r>
      <w:r w:rsidR="00057A5F" w:rsidRPr="00130CCE">
        <w:t xml:space="preserve"> billion</w:t>
      </w:r>
      <w:r w:rsidRPr="00130CCE">
        <w:t xml:space="preserve">. </w:t>
      </w:r>
      <w:r w:rsidR="00FA2DFC" w:rsidRPr="00130CCE">
        <w:t>S</w:t>
      </w:r>
      <w:r w:rsidRPr="00130CCE">
        <w:t xml:space="preserve">ee </w:t>
      </w:r>
      <w:r w:rsidR="003741D9" w:rsidRPr="00130CCE">
        <w:t xml:space="preserve">Chapter 6, </w:t>
      </w:r>
      <w:r w:rsidR="00466874" w:rsidRPr="00130CCE">
        <w:t>S</w:t>
      </w:r>
      <w:r w:rsidR="003741D9" w:rsidRPr="00130CCE">
        <w:t xml:space="preserve">ection </w:t>
      </w:r>
      <w:r w:rsidR="007F085D" w:rsidRPr="00130CCE">
        <w:t>6.2.1</w:t>
      </w:r>
      <w:r w:rsidR="00240A1B" w:rsidRPr="00130CCE">
        <w:t xml:space="preserve">.1 and </w:t>
      </w:r>
      <w:r w:rsidR="00657B82" w:rsidRPr="00130CCE">
        <w:t>Tables 1 and 2 of Annex 4.</w:t>
      </w:r>
    </w:p>
  </w:footnote>
  <w:footnote w:id="119">
    <w:p w14:paraId="5EBD38D2" w14:textId="6F9EBA56" w:rsidR="00E33A7B" w:rsidRPr="00130CCE" w:rsidRDefault="00E33A7B" w:rsidP="00E33A7B">
      <w:pPr>
        <w:pStyle w:val="FootnoteText"/>
      </w:pPr>
      <w:r w:rsidRPr="00130CCE">
        <w:rPr>
          <w:rStyle w:val="FootnoteReference"/>
        </w:rPr>
        <w:footnoteRef/>
      </w:r>
      <w:r w:rsidRPr="00130CCE">
        <w:t xml:space="preserve"> </w:t>
      </w:r>
      <w:r w:rsidR="009C4DF3" w:rsidRPr="00130CCE">
        <w:t xml:space="preserve">The survey could </w:t>
      </w:r>
      <w:r w:rsidR="00A00B68" w:rsidRPr="00130CCE">
        <w:t xml:space="preserve">update the analysis presented in </w:t>
      </w:r>
      <w:hyperlink r:id="rId68">
        <w:r w:rsidRPr="00130CCE">
          <w:rPr>
            <w:rStyle w:val="Hyperlink"/>
          </w:rPr>
          <w:t>Tax compliance costs for SMEs: An update and a complement Final Report KPMG/VVA 2022</w:t>
        </w:r>
      </w:hyperlink>
      <w:r w:rsidR="00E13DAF" w:rsidRPr="00130CCE">
        <w:t>.</w:t>
      </w:r>
      <w:r w:rsidR="00D77C2C" w:rsidRPr="00130CCE">
        <w:t xml:space="preserve"> </w:t>
      </w:r>
    </w:p>
  </w:footnote>
  <w:footnote w:id="120">
    <w:p w14:paraId="083A179D" w14:textId="218E0ED7" w:rsidR="00B51CB4" w:rsidRPr="00130CCE" w:rsidRDefault="00B51CB4">
      <w:pPr>
        <w:pStyle w:val="FootnoteText"/>
      </w:pPr>
      <w:r w:rsidRPr="00130CCE">
        <w:rPr>
          <w:rStyle w:val="FootnoteReference"/>
        </w:rPr>
        <w:footnoteRef/>
      </w:r>
      <w:r w:rsidRPr="00130CCE">
        <w:t xml:space="preserve"> </w:t>
      </w:r>
      <w:hyperlink r:id="rId69" w:history="1">
        <w:r w:rsidR="0094607B" w:rsidRPr="00130CCE">
          <w:rPr>
            <w:rStyle w:val="Hyperlink"/>
          </w:rPr>
          <w:t>Simplifying EU rules on direct taxation – omnibus</w:t>
        </w:r>
        <w:r w:rsidR="19EA1097" w:rsidRPr="00130CCE">
          <w:rPr>
            <w:rStyle w:val="Hyperlink"/>
          </w:rPr>
          <w:t>.</w:t>
        </w:r>
      </w:hyperlink>
    </w:p>
  </w:footnote>
  <w:footnote w:id="121">
    <w:p w14:paraId="1E9E5789" w14:textId="6E9E22C9" w:rsidR="00337C09" w:rsidRPr="00130CCE" w:rsidRDefault="00337C09" w:rsidP="00337C09">
      <w:pPr>
        <w:pStyle w:val="FootnoteText"/>
      </w:pPr>
      <w:r w:rsidRPr="00130CCE">
        <w:rPr>
          <w:rStyle w:val="FootnoteReference"/>
        </w:rPr>
        <w:footnoteRef/>
      </w:r>
      <w:r w:rsidRPr="00130CCE">
        <w:t xml:space="preserve"> Study </w:t>
      </w:r>
      <w:r w:rsidR="00311505" w:rsidRPr="00130CCE">
        <w:t>prepared for the European Commission</w:t>
      </w:r>
      <w:r w:rsidRPr="00130CCE">
        <w:t xml:space="preserve"> to support an evaluation of the Anti-tax Avoidance Directive (ATAD) - Final Report</w:t>
      </w:r>
      <w:r w:rsidR="0078555C" w:rsidRPr="00130CCE">
        <w:t xml:space="preserve"> (2025)</w:t>
      </w:r>
      <w:r w:rsidRPr="00130CCE">
        <w:t xml:space="preserve">. </w:t>
      </w:r>
      <w:r w:rsidR="006E09E3" w:rsidRPr="00130CCE">
        <w:t>Here:</w:t>
      </w:r>
      <w:r w:rsidRPr="00130CCE">
        <w:t xml:space="preserve"> Volume 2, p. 38.</w:t>
      </w:r>
    </w:p>
  </w:footnote>
  <w:footnote w:id="122">
    <w:p w14:paraId="6433C907" w14:textId="251BA093" w:rsidR="00A82479" w:rsidRPr="00130CCE" w:rsidRDefault="00A82479" w:rsidP="005375A2">
      <w:pPr>
        <w:pStyle w:val="FootnoteText"/>
      </w:pPr>
      <w:r w:rsidRPr="00130CCE">
        <w:rPr>
          <w:rStyle w:val="FootnoteReference"/>
        </w:rPr>
        <w:footnoteRef/>
      </w:r>
      <w:r w:rsidRPr="00130CCE">
        <w:t xml:space="preserve"> New EU system for the avoidance of double taxation and prevention of tax abuse in the field of withholding taxes (WHT) Accompanying the document Proposal for a Council Directive on Faster and Safer Relief of Excess Withholding Taxes: </w:t>
      </w:r>
      <w:hyperlink r:id="rId70" w:history="1">
        <w:r w:rsidRPr="00130CCE">
          <w:rPr>
            <w:rStyle w:val="Hyperlink"/>
          </w:rPr>
          <w:t>SWD/2023/216 final</w:t>
        </w:r>
      </w:hyperlink>
      <w:r w:rsidR="00B05D00" w:rsidRPr="00130CCE">
        <w:t xml:space="preserve">; </w:t>
      </w:r>
      <w:r w:rsidR="005375A2" w:rsidRPr="00130CCE">
        <w:t>The Economic Impact of the Commission Recommendation on Withholding Tax Relief Procedures and the FISCO Proposals</w:t>
      </w:r>
      <w:r w:rsidR="00FA47CD" w:rsidRPr="00130CCE">
        <w:t xml:space="preserve">, </w:t>
      </w:r>
      <w:hyperlink r:id="rId71" w:history="1">
        <w:r w:rsidR="00FA47CD" w:rsidRPr="00130CCE">
          <w:rPr>
            <w:rStyle w:val="Hyperlink"/>
          </w:rPr>
          <w:t>Commission Staff Working Document</w:t>
        </w:r>
        <w:r w:rsidR="00543D3C" w:rsidRPr="00130CCE">
          <w:rPr>
            <w:rStyle w:val="Hyperlink"/>
          </w:rPr>
          <w:t>,</w:t>
        </w:r>
        <w:r w:rsidR="00FA47CD" w:rsidRPr="00130CCE">
          <w:rPr>
            <w:rStyle w:val="Hyperlink"/>
          </w:rPr>
          <w:t xml:space="preserve"> </w:t>
        </w:r>
        <w:r w:rsidR="00543D3C" w:rsidRPr="00130CCE">
          <w:rPr>
            <w:rStyle w:val="Hyperlink"/>
          </w:rPr>
          <w:t xml:space="preserve">24 June </w:t>
        </w:r>
        <w:r w:rsidR="00FA47CD" w:rsidRPr="00130CCE">
          <w:rPr>
            <w:rStyle w:val="Hyperlink"/>
          </w:rPr>
          <w:t>2009</w:t>
        </w:r>
      </w:hyperlink>
      <w:r w:rsidR="00FA47CD" w:rsidRPr="00130CCE">
        <w:t>.</w:t>
      </w:r>
    </w:p>
  </w:footnote>
  <w:footnote w:id="123">
    <w:p w14:paraId="04C63CC2" w14:textId="67CFD54E" w:rsidR="00D20737" w:rsidRPr="00BA217C" w:rsidRDefault="00D20737">
      <w:pPr>
        <w:pStyle w:val="FootnoteText"/>
        <w:rPr>
          <w:lang w:val="en-IE"/>
        </w:rPr>
      </w:pPr>
      <w:r w:rsidRPr="00130CCE">
        <w:rPr>
          <w:rStyle w:val="FootnoteReference"/>
        </w:rPr>
        <w:footnoteRef/>
      </w:r>
      <w:r w:rsidRPr="00BA217C">
        <w:rPr>
          <w:lang w:val="en-IE"/>
        </w:rPr>
        <w:t xml:space="preserve"> </w:t>
      </w:r>
      <w:hyperlink r:id="rId72" w:history="1">
        <w:r w:rsidR="0031555C" w:rsidRPr="00BA217C">
          <w:rPr>
            <w:rStyle w:val="Hyperlink"/>
            <w:lang w:val="en-IE"/>
          </w:rPr>
          <w:t>SWD/2023/216 final</w:t>
        </w:r>
      </w:hyperlink>
      <w:r w:rsidR="0031555C" w:rsidRPr="00BA217C">
        <w:rPr>
          <w:lang w:val="en-IE"/>
        </w:rPr>
        <w:t xml:space="preserve"> (p. 96).</w:t>
      </w:r>
    </w:p>
  </w:footnote>
  <w:footnote w:id="124">
    <w:p w14:paraId="20A43E8F" w14:textId="021E6714" w:rsidR="00CA78C2" w:rsidRPr="00BA217C" w:rsidRDefault="00CA78C2">
      <w:pPr>
        <w:pStyle w:val="FootnoteText"/>
        <w:rPr>
          <w:lang w:val="en-IE"/>
        </w:rPr>
      </w:pPr>
      <w:r w:rsidRPr="00130CCE">
        <w:rPr>
          <w:rStyle w:val="FootnoteReference"/>
        </w:rPr>
        <w:footnoteRef/>
      </w:r>
      <w:r w:rsidRPr="00BA217C">
        <w:rPr>
          <w:lang w:val="en-IE"/>
        </w:rPr>
        <w:t xml:space="preserve"> </w:t>
      </w:r>
      <w:r w:rsidR="00156EE3" w:rsidRPr="00BA217C">
        <w:rPr>
          <w:lang w:val="en-IE"/>
        </w:rPr>
        <w:t>Ibidem</w:t>
      </w:r>
      <w:r w:rsidRPr="00BA217C">
        <w:rPr>
          <w:lang w:val="en-IE"/>
        </w:rPr>
        <w:t>.</w:t>
      </w:r>
    </w:p>
  </w:footnote>
  <w:footnote w:id="125">
    <w:p w14:paraId="018879DA" w14:textId="68BAEE55" w:rsidR="001A6F7B" w:rsidRPr="00BA217C" w:rsidRDefault="00B8100F" w:rsidP="001A6F7B">
      <w:pPr>
        <w:pStyle w:val="FootnoteText"/>
        <w:rPr>
          <w:lang w:val="en-IE"/>
        </w:rPr>
      </w:pPr>
      <w:r w:rsidRPr="00130CCE">
        <w:rPr>
          <w:rStyle w:val="FootnoteReference"/>
        </w:rPr>
        <w:footnoteRef/>
      </w:r>
      <w:r w:rsidRPr="00BA217C">
        <w:rPr>
          <w:lang w:val="en-IE"/>
        </w:rPr>
        <w:t xml:space="preserve"> </w:t>
      </w:r>
      <w:r w:rsidR="00156EE3" w:rsidRPr="00BA217C">
        <w:rPr>
          <w:lang w:val="en-IE"/>
        </w:rPr>
        <w:t>Ibidem</w:t>
      </w:r>
      <w:r w:rsidR="001A6F7B" w:rsidRPr="00BA217C">
        <w:rPr>
          <w:lang w:val="en-IE"/>
        </w:rPr>
        <w:t>.</w:t>
      </w:r>
    </w:p>
    <w:p w14:paraId="2BDDA584" w14:textId="6161BF0D" w:rsidR="00B8100F" w:rsidRPr="00BA217C" w:rsidRDefault="00B8100F" w:rsidP="009B0FA1">
      <w:pPr>
        <w:pStyle w:val="FootnoteText"/>
        <w:rPr>
          <w:lang w:val="en-IE"/>
        </w:rPr>
      </w:pPr>
    </w:p>
  </w:footnote>
  <w:footnote w:id="126">
    <w:p w14:paraId="1F64C198" w14:textId="0C14193D" w:rsidR="0095581F" w:rsidRPr="00130CCE" w:rsidRDefault="0095581F">
      <w:pPr>
        <w:pStyle w:val="FootnoteText"/>
      </w:pPr>
      <w:r w:rsidRPr="00130CCE">
        <w:rPr>
          <w:rStyle w:val="FootnoteReference"/>
        </w:rPr>
        <w:footnoteRef/>
      </w:r>
      <w:r w:rsidRPr="00130CCE">
        <w:t xml:space="preserve"> </w:t>
      </w:r>
      <w:hyperlink r:id="rId73" w:history="1">
        <w:r w:rsidR="007B48A1" w:rsidRPr="00130CCE">
          <w:rPr>
            <w:rStyle w:val="Hyperlink"/>
          </w:rPr>
          <w:t>Coordinated Portfolio Investment Survey (CPIS) Survey Guide, Second Edition</w:t>
        </w:r>
      </w:hyperlink>
      <w:r w:rsidR="00DE71CE" w:rsidRPr="00130CCE">
        <w:t xml:space="preserve"> (p. 96 for Belgium).</w:t>
      </w:r>
    </w:p>
  </w:footnote>
  <w:footnote w:id="127">
    <w:p w14:paraId="3C37188C" w14:textId="108EC7D4" w:rsidR="005F24EB" w:rsidRPr="00130CCE" w:rsidRDefault="005F24EB" w:rsidP="005F24EB">
      <w:pPr>
        <w:pStyle w:val="FootnoteText"/>
      </w:pPr>
      <w:r w:rsidRPr="00130CCE">
        <w:rPr>
          <w:rStyle w:val="FootnoteReference"/>
        </w:rPr>
        <w:footnoteRef/>
      </w:r>
      <w:r w:rsidRPr="00130CCE">
        <w:t xml:space="preserve"> Study prepared for the European Commission to support an evaluation of the Anti-tax Avoidance Directive (ATAD) - Final Report (2025).</w:t>
      </w:r>
    </w:p>
  </w:footnote>
  <w:footnote w:id="128">
    <w:p w14:paraId="22AFE95F" w14:textId="77777777" w:rsidR="00FB7151" w:rsidRPr="00130CCE" w:rsidRDefault="00FB7151" w:rsidP="00FB7151">
      <w:pPr>
        <w:pStyle w:val="FootnoteText"/>
      </w:pPr>
      <w:r w:rsidRPr="00130CCE">
        <w:rPr>
          <w:rStyle w:val="FootnoteReference"/>
        </w:rPr>
        <w:footnoteRef/>
      </w:r>
      <w:r w:rsidRPr="00130CCE">
        <w:t xml:space="preserve"> In a given year, interest expenses may stay below the 30% of EBITDA threshold, so that there is unused capacity for deduction (i.e., 30% of EBITDA – interest expense). </w:t>
      </w:r>
    </w:p>
  </w:footnote>
  <w:footnote w:id="129">
    <w:p w14:paraId="3DBFF32F" w14:textId="45CE92AF" w:rsidR="00AC05EC" w:rsidRPr="00137BD1" w:rsidRDefault="00AC05EC" w:rsidP="00AC05EC">
      <w:pPr>
        <w:pStyle w:val="FootnoteText"/>
      </w:pPr>
      <w:r w:rsidRPr="00130CCE">
        <w:rPr>
          <w:rStyle w:val="FootnoteReference"/>
        </w:rPr>
        <w:footnoteRef/>
      </w:r>
      <w:r w:rsidRPr="00DE6B6A">
        <w:rPr>
          <w:lang w:val="de-DE"/>
        </w:rPr>
        <w:t xml:space="preserve"> </w:t>
      </w:r>
      <w:hyperlink r:id="rId74" w:history="1">
        <w:r w:rsidRPr="00DE6B6A">
          <w:rPr>
            <w:rStyle w:val="Hyperlink"/>
            <w:lang w:val="de-DE"/>
          </w:rPr>
          <w:t>ZEW (2023)</w:t>
        </w:r>
      </w:hyperlink>
      <w:r w:rsidRPr="00DE6B6A">
        <w:rPr>
          <w:lang w:val="de-DE"/>
        </w:rPr>
        <w:t xml:space="preserve">, </w:t>
      </w:r>
      <w:r w:rsidR="006F0BA9" w:rsidRPr="00DE6B6A">
        <w:rPr>
          <w:lang w:val="de-DE"/>
        </w:rPr>
        <w:t>Familienunternehmen in Deutschland und Italien</w:t>
      </w:r>
      <w:r w:rsidR="006F0BA9">
        <w:rPr>
          <w:lang w:val="de-DE"/>
        </w:rPr>
        <w:t xml:space="preserve"> </w:t>
      </w:r>
      <w:r w:rsidR="006F0BA9" w:rsidRPr="00DE6B6A">
        <w:rPr>
          <w:lang w:val="de-DE"/>
        </w:rPr>
        <w:t>Zur Bedeutung des Unternehmenstyps im Vergleich mit ausgewählten europäischen Staaten</w:t>
      </w:r>
      <w:r w:rsidR="009A3707" w:rsidRPr="00DE6B6A">
        <w:rPr>
          <w:lang w:val="de-DE"/>
        </w:rPr>
        <w:t>, Sti</w:t>
      </w:r>
      <w:r w:rsidR="009A3707">
        <w:rPr>
          <w:lang w:val="de-DE"/>
        </w:rPr>
        <w:t xml:space="preserve">ftung Familienunternehmen, München, 2023. </w:t>
      </w:r>
      <w:r w:rsidR="009A3707" w:rsidRPr="00DE6B6A">
        <w:t xml:space="preserve">See </w:t>
      </w:r>
      <w:r w:rsidRPr="00137BD1">
        <w:t>p. 38</w:t>
      </w:r>
      <w:r w:rsidR="009A3707" w:rsidRPr="00DE6B6A">
        <w:t>.</w:t>
      </w:r>
    </w:p>
  </w:footnote>
  <w:footnote w:id="130">
    <w:p w14:paraId="02A13A71" w14:textId="6CAAB914" w:rsidR="005859F7" w:rsidRPr="00130CCE" w:rsidRDefault="005859F7">
      <w:pPr>
        <w:pStyle w:val="FootnoteText"/>
      </w:pPr>
      <w:r w:rsidRPr="00130CCE">
        <w:rPr>
          <w:rStyle w:val="FootnoteReference"/>
        </w:rPr>
        <w:footnoteRef/>
      </w:r>
      <w:r w:rsidRPr="00130CCE">
        <w:t xml:space="preserve"> 9</w:t>
      </w:r>
      <w:r w:rsidR="0097058B" w:rsidRPr="00130CCE">
        <w:t>5</w:t>
      </w:r>
      <w:r w:rsidRPr="00130CCE">
        <w:t>% of these accounts are small and medium sized in the sense that their net turnover has been below EUR 50 million that year.</w:t>
      </w:r>
    </w:p>
  </w:footnote>
  <w:footnote w:id="131">
    <w:p w14:paraId="6E7F2AFA" w14:textId="77777777" w:rsidR="000D3DA0" w:rsidRPr="00130CCE" w:rsidRDefault="000D3DA0" w:rsidP="000D3DA0">
      <w:pPr>
        <w:pStyle w:val="FootnoteText"/>
      </w:pPr>
      <w:r w:rsidRPr="00130CCE">
        <w:rPr>
          <w:rStyle w:val="FootnoteReference"/>
        </w:rPr>
        <w:footnoteRef/>
      </w:r>
      <w:r w:rsidRPr="00130CCE">
        <w:t xml:space="preserve"> Deloitte (2023), </w:t>
      </w:r>
      <w:hyperlink r:id="rId75" w:history="1">
        <w:r w:rsidRPr="00130CCE">
          <w:rPr>
            <w:rStyle w:val="Hyperlink"/>
          </w:rPr>
          <w:t>Implementation of the EU Anti-Tax Avoidance Directive | Tax</w:t>
        </w:r>
      </w:hyperlink>
    </w:p>
  </w:footnote>
  <w:footnote w:id="132">
    <w:p w14:paraId="198E396C" w14:textId="43988922" w:rsidR="00F91A0D" w:rsidRPr="00130CCE" w:rsidRDefault="00F91A0D" w:rsidP="00F91A0D">
      <w:pPr>
        <w:pStyle w:val="FootnoteText"/>
      </w:pPr>
      <w:r w:rsidRPr="00130CCE">
        <w:rPr>
          <w:rStyle w:val="FootnoteReference"/>
        </w:rPr>
        <w:footnoteRef/>
      </w:r>
      <w:r w:rsidRPr="00130CCE">
        <w:t xml:space="preserve"> </w:t>
      </w:r>
      <w:r w:rsidR="00253B4D" w:rsidRPr="00130CCE">
        <w:t>For an overview</w:t>
      </w:r>
      <w:r w:rsidRPr="00130CCE">
        <w:t xml:space="preserve">: </w:t>
      </w:r>
      <w:hyperlink r:id="rId76" w:history="1">
        <w:r w:rsidR="00253B4D" w:rsidRPr="00130CCE">
          <w:rPr>
            <w:rStyle w:val="Hyperlink"/>
          </w:rPr>
          <w:t>Corporate tax microsimulation model (DiRECT) - Joint Research Centre</w:t>
        </w:r>
      </w:hyperlink>
      <w:r w:rsidRPr="00130CCE">
        <w:t>.</w:t>
      </w:r>
    </w:p>
  </w:footnote>
  <w:footnote w:id="133">
    <w:p w14:paraId="189047BF" w14:textId="77777777" w:rsidR="0091238C" w:rsidRPr="00130CCE" w:rsidRDefault="0091238C" w:rsidP="0091238C">
      <w:pPr>
        <w:pStyle w:val="FootnoteText"/>
      </w:pPr>
      <w:r w:rsidRPr="00130CCE">
        <w:rPr>
          <w:rStyle w:val="FootnoteReference"/>
        </w:rPr>
        <w:footnoteRef/>
      </w:r>
      <w:r w:rsidRPr="00130CCE">
        <w:t xml:space="preserve"> See, for example, Kameli-Özcan et al (2024), </w:t>
      </w:r>
      <w:hyperlink r:id="rId77" w:history="1">
        <w:r w:rsidRPr="00130CCE">
          <w:rPr>
            <w:rStyle w:val="Hyperlink"/>
          </w:rPr>
          <w:t>How to Construct Nationally Representative Firm-Level Data from the Orbis Global Database: New Facts on SMEs and Aggregate Implications for Industry Concentration</w:t>
        </w:r>
      </w:hyperlink>
      <w:r w:rsidRPr="00130CCE">
        <w:t xml:space="preserve">, American Economic Journal: Macroeconomics 2024, 16(2): 353–374; Bajgar et al (2020), </w:t>
      </w:r>
      <w:hyperlink r:id="rId78" w:history="1">
        <w:r w:rsidRPr="00130CCE">
          <w:rPr>
            <w:rStyle w:val="Hyperlink"/>
          </w:rPr>
          <w:t>Coverage and representativeness of Orbis data</w:t>
        </w:r>
      </w:hyperlink>
      <w:r w:rsidRPr="00130CCE">
        <w:t>, OECD Science, Technology and Industry Working Papers 2020/06.</w:t>
      </w:r>
    </w:p>
  </w:footnote>
  <w:footnote w:id="134">
    <w:p w14:paraId="6A2848B3" w14:textId="77777777" w:rsidR="00EA3D91" w:rsidRPr="00130CCE" w:rsidRDefault="00EA3D91" w:rsidP="00EA3D91">
      <w:pPr>
        <w:pStyle w:val="FootnoteText"/>
      </w:pPr>
      <w:r w:rsidRPr="00130CCE">
        <w:rPr>
          <w:rStyle w:val="FootnoteReference"/>
        </w:rPr>
        <w:footnoteRef/>
      </w:r>
      <w:r w:rsidRPr="00130CCE">
        <w:t xml:space="preserve"> </w:t>
      </w:r>
      <w:hyperlink r:id="rId79" w:history="1">
        <w:r w:rsidRPr="00130CCE">
          <w:rPr>
            <w:rStyle w:val="Hyperlink"/>
          </w:rPr>
          <w:t>Limiting Base Erosion Involving Interest Deductions and Other Financial Payments, Action 4 - 2015 Final Report | OECD.</w:t>
        </w:r>
      </w:hyperlink>
    </w:p>
  </w:footnote>
  <w:footnote w:id="135">
    <w:p w14:paraId="15C30818" w14:textId="77777777" w:rsidR="00CD4B57" w:rsidRPr="00130CCE" w:rsidRDefault="00CD4B57" w:rsidP="00CD4B57">
      <w:pPr>
        <w:pStyle w:val="FootnoteText"/>
      </w:pPr>
      <w:r w:rsidRPr="00130CCE">
        <w:rPr>
          <w:rStyle w:val="FootnoteReference"/>
        </w:rPr>
        <w:footnoteRef/>
      </w:r>
      <w:r w:rsidRPr="00130CCE">
        <w:t xml:space="preserve"> </w:t>
      </w:r>
      <w:hyperlink r:id="rId80" w:history="1">
        <w:r w:rsidRPr="00130CCE">
          <w:rPr>
            <w:rStyle w:val="Hyperlink"/>
          </w:rPr>
          <w:t>Limiting Base Erosion Involving Interest Deductions and Other Financial Payments, Action 4 - 2015 Final Report | OECD</w:t>
        </w:r>
      </w:hyperlink>
      <w:r w:rsidRPr="00130CCE">
        <w:t xml:space="preserve"> (p. 74).</w:t>
      </w:r>
    </w:p>
  </w:footnote>
  <w:footnote w:id="136">
    <w:p w14:paraId="761A3A7C" w14:textId="77777777" w:rsidR="00CD4B57" w:rsidRPr="00130CCE" w:rsidRDefault="00CD4B57" w:rsidP="00CD4B57">
      <w:pPr>
        <w:pStyle w:val="FootnoteText"/>
      </w:pPr>
      <w:r w:rsidRPr="00130CCE">
        <w:rPr>
          <w:rStyle w:val="FootnoteReference"/>
        </w:rPr>
        <w:footnoteRef/>
      </w:r>
      <w:r w:rsidRPr="00130CCE">
        <w:t xml:space="preserve"> For example: Buettner and Wamser (2007), </w:t>
      </w:r>
      <w:hyperlink r:id="rId81" w:history="1">
        <w:r w:rsidRPr="00130CCE">
          <w:rPr>
            <w:rStyle w:val="Hyperlink"/>
          </w:rPr>
          <w:t>Intercompany loans and profit shifting: evidence from company-level data</w:t>
        </w:r>
      </w:hyperlink>
      <w:r w:rsidRPr="00130CCE">
        <w:t xml:space="preserve">; Desai et al (2003), </w:t>
      </w:r>
      <w:hyperlink r:id="rId82" w:history="1">
        <w:r w:rsidRPr="00130CCE">
          <w:rPr>
            <w:rStyle w:val="Hyperlink"/>
          </w:rPr>
          <w:t>A Multinational Perspective on Capital Structure Choice and Internal Capital Markets | NBER</w:t>
        </w:r>
      </w:hyperlink>
      <w:r w:rsidRPr="00130CCE">
        <w:t>.</w:t>
      </w:r>
    </w:p>
  </w:footnote>
  <w:footnote w:id="137">
    <w:p w14:paraId="2139C7F0" w14:textId="28BC3623" w:rsidR="001A529D" w:rsidRPr="00130CCE" w:rsidRDefault="001A529D" w:rsidP="001A529D">
      <w:pPr>
        <w:pStyle w:val="FootnoteText"/>
      </w:pPr>
      <w:r w:rsidRPr="00130CCE">
        <w:rPr>
          <w:rStyle w:val="FootnoteReference"/>
        </w:rPr>
        <w:footnoteRef/>
      </w:r>
      <w:r w:rsidRPr="00130CCE">
        <w:t xml:space="preserve"> The costs and benefits data in this annex are consistent with the data in annex 3. The preferred option includes the mitigating measures listed in </w:t>
      </w:r>
      <w:r w:rsidR="00A4022D" w:rsidRPr="00130CCE">
        <w:t>S</w:t>
      </w:r>
      <w:r w:rsidRPr="00130CCE">
        <w:t xml:space="preserve">ection 4. </w:t>
      </w:r>
    </w:p>
  </w:footnote>
  <w:footnote w:id="138">
    <w:p w14:paraId="40B80014" w14:textId="77777777" w:rsidR="001A529D" w:rsidRPr="00130CCE" w:rsidRDefault="001A529D" w:rsidP="001A529D">
      <w:pPr>
        <w:pStyle w:val="FootnoteText"/>
      </w:pPr>
      <w:r w:rsidRPr="00130CCE">
        <w:rPr>
          <w:rStyle w:val="FootnoteReference"/>
        </w:rPr>
        <w:footnoteRef/>
      </w:r>
      <w:r w:rsidRPr="00130CCE">
        <w:t xml:space="preserve"> The direct benefits for SMEs can also be cost savings.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E9CD7" w14:textId="77777777" w:rsidR="009B1812" w:rsidRPr="009B1812" w:rsidRDefault="009B1812" w:rsidP="009B181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00E41" w14:textId="77777777" w:rsidR="009B1812" w:rsidRPr="009B1812" w:rsidRDefault="009B1812" w:rsidP="009B181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693E7" w14:textId="77777777" w:rsidR="009B1812" w:rsidRPr="009B1812" w:rsidRDefault="009B1812" w:rsidP="009B181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A0996" w14:textId="77777777" w:rsidR="00BA217C" w:rsidRDefault="00BA21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E30CC" w14:textId="7D791E44" w:rsidR="00D64F81" w:rsidRPr="00B47DD4" w:rsidRDefault="00D64F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24D0" w14:textId="77777777" w:rsidR="00BA217C" w:rsidRDefault="00BA21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36CBC" w14:textId="5A2EF9C1" w:rsidR="00B23F6E" w:rsidRDefault="00B23F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3FBBD" w14:textId="77777777" w:rsidR="00BA217C" w:rsidRDefault="00BA217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363BB" w14:textId="108D2CF7" w:rsidR="00B23F6E" w:rsidRDefault="00B23F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B3322" w14:textId="77777777" w:rsidR="00BA217C" w:rsidRDefault="00BA21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F55AB" w14:textId="77777777" w:rsidR="00BA217C" w:rsidRDefault="00BA217C"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7E067" w14:textId="77777777" w:rsidR="00BA217C" w:rsidRDefault="00BA217C"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9A463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E66E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3E34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4086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F6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84AD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8E5A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9E82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F28938"/>
    <w:lvl w:ilvl="0">
      <w:start w:val="1"/>
      <w:numFmt w:val="decimal"/>
      <w:lvlText w:val="%1."/>
      <w:lvlJc w:val="left"/>
      <w:pPr>
        <w:tabs>
          <w:tab w:val="num" w:pos="360"/>
        </w:tabs>
        <w:ind w:left="360" w:hanging="360"/>
      </w:pPr>
    </w:lvl>
  </w:abstractNum>
  <w:abstractNum w:abstractNumId="9" w15:restartNumberingAfterBreak="0">
    <w:nsid w:val="00281D72"/>
    <w:multiLevelType w:val="multilevel"/>
    <w:tmpl w:val="B062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EA2F31"/>
    <w:multiLevelType w:val="hybridMultilevel"/>
    <w:tmpl w:val="20A0F47A"/>
    <w:lvl w:ilvl="0" w:tplc="A1944CE4">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28E422B"/>
    <w:multiLevelType w:val="multilevel"/>
    <w:tmpl w:val="7856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2EB2534"/>
    <w:multiLevelType w:val="multilevel"/>
    <w:tmpl w:val="31945EF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87"/>
        </w:tabs>
        <w:ind w:left="1287" w:hanging="720"/>
      </w:p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564"/>
        </w:tabs>
        <w:ind w:left="2564"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785"/>
        </w:tabs>
        <w:ind w:left="785" w:hanging="360"/>
      </w:pPr>
      <w:rPr>
        <w:rFonts w:hint="default"/>
        <w:b w:val="0"/>
        <w:bCs w:val="0"/>
      </w:rPr>
    </w:lvl>
    <w:lvl w:ilvl="6">
      <w:start w:val="1"/>
      <w:numFmt w:val="none"/>
      <w:lvlText w:val="3."/>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30A38F1"/>
    <w:multiLevelType w:val="multilevel"/>
    <w:tmpl w:val="759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31C7040"/>
    <w:multiLevelType w:val="multilevel"/>
    <w:tmpl w:val="32B4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3423506"/>
    <w:multiLevelType w:val="multilevel"/>
    <w:tmpl w:val="BD1C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6431C2"/>
    <w:multiLevelType w:val="hybridMultilevel"/>
    <w:tmpl w:val="6ECAA154"/>
    <w:lvl w:ilvl="0" w:tplc="3C3ACE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4D876A4"/>
    <w:multiLevelType w:val="hybridMultilevel"/>
    <w:tmpl w:val="94DADF7A"/>
    <w:lvl w:ilvl="0" w:tplc="8750A398">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5041CA0"/>
    <w:multiLevelType w:val="multilevel"/>
    <w:tmpl w:val="DD30F5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06D664F3"/>
    <w:multiLevelType w:val="multilevel"/>
    <w:tmpl w:val="1E481E2E"/>
    <w:lvl w:ilvl="0">
      <w:start w:val="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1145" w:hanging="720"/>
      </w:pPr>
      <w:rPr>
        <w:rFonts w:hint="default"/>
      </w:rPr>
    </w:lvl>
    <w:lvl w:ilvl="3">
      <w:start w:val="2"/>
      <w:numFmt w:val="decimal"/>
      <w:lvlText w:val="%1.%2.%3.%4."/>
      <w:lvlJc w:val="left"/>
      <w:pPr>
        <w:ind w:left="28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6E7079B"/>
    <w:multiLevelType w:val="hybridMultilevel"/>
    <w:tmpl w:val="B0729FE8"/>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08721C82"/>
    <w:multiLevelType w:val="multilevel"/>
    <w:tmpl w:val="CD72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D42E5E"/>
    <w:multiLevelType w:val="multilevel"/>
    <w:tmpl w:val="1A6AC8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A12734A"/>
    <w:multiLevelType w:val="multilevel"/>
    <w:tmpl w:val="3A28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BB136D4"/>
    <w:multiLevelType w:val="multilevel"/>
    <w:tmpl w:val="3A68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BC81B0E"/>
    <w:multiLevelType w:val="hybridMultilevel"/>
    <w:tmpl w:val="8AAA153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0BE92792"/>
    <w:multiLevelType w:val="hybridMultilevel"/>
    <w:tmpl w:val="85D016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0C277629"/>
    <w:multiLevelType w:val="multilevel"/>
    <w:tmpl w:val="88AE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0D4DD8"/>
    <w:multiLevelType w:val="hybridMultilevel"/>
    <w:tmpl w:val="F52643D8"/>
    <w:lvl w:ilvl="0" w:tplc="3C3ACEFC">
      <w:start w:val="1"/>
      <w:numFmt w:val="bullet"/>
      <w:lvlText w:val="–"/>
      <w:lvlJc w:val="left"/>
      <w:pPr>
        <w:ind w:left="785" w:hanging="360"/>
      </w:pPr>
      <w:rPr>
        <w:rFonts w:ascii="Calibri" w:hAnsi="Calibri"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29" w15:restartNumberingAfterBreak="0">
    <w:nsid w:val="0F753A2D"/>
    <w:multiLevelType w:val="multilevel"/>
    <w:tmpl w:val="224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FA264F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10F6638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11A87B7B"/>
    <w:multiLevelType w:val="multilevel"/>
    <w:tmpl w:val="BC5C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38D2B2E"/>
    <w:multiLevelType w:val="multilevel"/>
    <w:tmpl w:val="5C5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4BF1EBE"/>
    <w:multiLevelType w:val="hybridMultilevel"/>
    <w:tmpl w:val="0C1A9B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15E949CD"/>
    <w:multiLevelType w:val="hybridMultilevel"/>
    <w:tmpl w:val="6BFAE734"/>
    <w:lvl w:ilvl="0" w:tplc="825A23B6">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163B10E7"/>
    <w:multiLevelType w:val="multilevel"/>
    <w:tmpl w:val="49523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8163B55"/>
    <w:multiLevelType w:val="multilevel"/>
    <w:tmpl w:val="F576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96F6A18"/>
    <w:multiLevelType w:val="multilevel"/>
    <w:tmpl w:val="DF26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C1F14B1"/>
    <w:multiLevelType w:val="multilevel"/>
    <w:tmpl w:val="F424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C2C098B"/>
    <w:multiLevelType w:val="hybridMultilevel"/>
    <w:tmpl w:val="A184AFCC"/>
    <w:lvl w:ilvl="0" w:tplc="AADAF026">
      <w:start w:val="1"/>
      <w:numFmt w:val="decimal"/>
      <w:lvlText w:val="%1."/>
      <w:lvlJc w:val="left"/>
      <w:pPr>
        <w:ind w:left="1020" w:hanging="360"/>
      </w:pPr>
    </w:lvl>
    <w:lvl w:ilvl="1" w:tplc="91B44682">
      <w:start w:val="1"/>
      <w:numFmt w:val="decimal"/>
      <w:lvlText w:val="%2."/>
      <w:lvlJc w:val="left"/>
      <w:pPr>
        <w:ind w:left="1020" w:hanging="360"/>
      </w:pPr>
    </w:lvl>
    <w:lvl w:ilvl="2" w:tplc="7C4000F2">
      <w:start w:val="1"/>
      <w:numFmt w:val="decimal"/>
      <w:lvlText w:val="%3."/>
      <w:lvlJc w:val="left"/>
      <w:pPr>
        <w:ind w:left="1020" w:hanging="360"/>
      </w:pPr>
    </w:lvl>
    <w:lvl w:ilvl="3" w:tplc="825EB2CA">
      <w:start w:val="1"/>
      <w:numFmt w:val="decimal"/>
      <w:lvlText w:val="%4."/>
      <w:lvlJc w:val="left"/>
      <w:pPr>
        <w:ind w:left="1020" w:hanging="360"/>
      </w:pPr>
    </w:lvl>
    <w:lvl w:ilvl="4" w:tplc="A3D23EDE">
      <w:start w:val="1"/>
      <w:numFmt w:val="decimal"/>
      <w:lvlText w:val="%5."/>
      <w:lvlJc w:val="left"/>
      <w:pPr>
        <w:ind w:left="1020" w:hanging="360"/>
      </w:pPr>
    </w:lvl>
    <w:lvl w:ilvl="5" w:tplc="16367FF0">
      <w:start w:val="1"/>
      <w:numFmt w:val="decimal"/>
      <w:lvlText w:val="%6."/>
      <w:lvlJc w:val="left"/>
      <w:pPr>
        <w:ind w:left="1020" w:hanging="360"/>
      </w:pPr>
    </w:lvl>
    <w:lvl w:ilvl="6" w:tplc="808AB898">
      <w:start w:val="1"/>
      <w:numFmt w:val="decimal"/>
      <w:lvlText w:val="%7."/>
      <w:lvlJc w:val="left"/>
      <w:pPr>
        <w:ind w:left="1020" w:hanging="360"/>
      </w:pPr>
    </w:lvl>
    <w:lvl w:ilvl="7" w:tplc="32C2C614">
      <w:start w:val="1"/>
      <w:numFmt w:val="decimal"/>
      <w:lvlText w:val="%8."/>
      <w:lvlJc w:val="left"/>
      <w:pPr>
        <w:ind w:left="1020" w:hanging="360"/>
      </w:pPr>
    </w:lvl>
    <w:lvl w:ilvl="8" w:tplc="6312487E">
      <w:start w:val="1"/>
      <w:numFmt w:val="decimal"/>
      <w:lvlText w:val="%9."/>
      <w:lvlJc w:val="left"/>
      <w:pPr>
        <w:ind w:left="1020" w:hanging="360"/>
      </w:pPr>
    </w:lvl>
  </w:abstractNum>
  <w:abstractNum w:abstractNumId="41" w15:restartNumberingAfterBreak="0">
    <w:nsid w:val="1C3262A6"/>
    <w:multiLevelType w:val="hybridMultilevel"/>
    <w:tmpl w:val="89F85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C4254EC"/>
    <w:multiLevelType w:val="multilevel"/>
    <w:tmpl w:val="7924CE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1EA26D6C"/>
    <w:multiLevelType w:val="hybridMultilevel"/>
    <w:tmpl w:val="38D0DEB4"/>
    <w:lvl w:ilvl="0" w:tplc="3940B620">
      <w:start w:val="1"/>
      <w:numFmt w:val="bullet"/>
      <w:lvlText w:val=""/>
      <w:lvlJc w:val="left"/>
      <w:pPr>
        <w:ind w:left="720" w:hanging="360"/>
      </w:pPr>
      <w:rPr>
        <w:rFonts w:ascii="Symbol" w:hAnsi="Symbol"/>
      </w:rPr>
    </w:lvl>
    <w:lvl w:ilvl="1" w:tplc="734458F6">
      <w:start w:val="1"/>
      <w:numFmt w:val="bullet"/>
      <w:lvlText w:val=""/>
      <w:lvlJc w:val="left"/>
      <w:pPr>
        <w:ind w:left="720" w:hanging="360"/>
      </w:pPr>
      <w:rPr>
        <w:rFonts w:ascii="Symbol" w:hAnsi="Symbol"/>
      </w:rPr>
    </w:lvl>
    <w:lvl w:ilvl="2" w:tplc="677447F0">
      <w:start w:val="1"/>
      <w:numFmt w:val="bullet"/>
      <w:lvlText w:val=""/>
      <w:lvlJc w:val="left"/>
      <w:pPr>
        <w:ind w:left="720" w:hanging="360"/>
      </w:pPr>
      <w:rPr>
        <w:rFonts w:ascii="Symbol" w:hAnsi="Symbol"/>
      </w:rPr>
    </w:lvl>
    <w:lvl w:ilvl="3" w:tplc="244CCFEC">
      <w:start w:val="1"/>
      <w:numFmt w:val="bullet"/>
      <w:lvlText w:val=""/>
      <w:lvlJc w:val="left"/>
      <w:pPr>
        <w:ind w:left="720" w:hanging="360"/>
      </w:pPr>
      <w:rPr>
        <w:rFonts w:ascii="Symbol" w:hAnsi="Symbol"/>
      </w:rPr>
    </w:lvl>
    <w:lvl w:ilvl="4" w:tplc="350C56A6">
      <w:start w:val="1"/>
      <w:numFmt w:val="bullet"/>
      <w:lvlText w:val=""/>
      <w:lvlJc w:val="left"/>
      <w:pPr>
        <w:ind w:left="720" w:hanging="360"/>
      </w:pPr>
      <w:rPr>
        <w:rFonts w:ascii="Symbol" w:hAnsi="Symbol"/>
      </w:rPr>
    </w:lvl>
    <w:lvl w:ilvl="5" w:tplc="762E36D8">
      <w:start w:val="1"/>
      <w:numFmt w:val="bullet"/>
      <w:lvlText w:val=""/>
      <w:lvlJc w:val="left"/>
      <w:pPr>
        <w:ind w:left="720" w:hanging="360"/>
      </w:pPr>
      <w:rPr>
        <w:rFonts w:ascii="Symbol" w:hAnsi="Symbol"/>
      </w:rPr>
    </w:lvl>
    <w:lvl w:ilvl="6" w:tplc="4E8CA054">
      <w:start w:val="1"/>
      <w:numFmt w:val="bullet"/>
      <w:lvlText w:val=""/>
      <w:lvlJc w:val="left"/>
      <w:pPr>
        <w:ind w:left="720" w:hanging="360"/>
      </w:pPr>
      <w:rPr>
        <w:rFonts w:ascii="Symbol" w:hAnsi="Symbol"/>
      </w:rPr>
    </w:lvl>
    <w:lvl w:ilvl="7" w:tplc="1CCADEE6">
      <w:start w:val="1"/>
      <w:numFmt w:val="bullet"/>
      <w:lvlText w:val=""/>
      <w:lvlJc w:val="left"/>
      <w:pPr>
        <w:ind w:left="720" w:hanging="360"/>
      </w:pPr>
      <w:rPr>
        <w:rFonts w:ascii="Symbol" w:hAnsi="Symbol"/>
      </w:rPr>
    </w:lvl>
    <w:lvl w:ilvl="8" w:tplc="A0B0E788">
      <w:start w:val="1"/>
      <w:numFmt w:val="bullet"/>
      <w:lvlText w:val=""/>
      <w:lvlJc w:val="left"/>
      <w:pPr>
        <w:ind w:left="720" w:hanging="360"/>
      </w:pPr>
      <w:rPr>
        <w:rFonts w:ascii="Symbol" w:hAnsi="Symbol"/>
      </w:rPr>
    </w:lvl>
  </w:abstractNum>
  <w:abstractNum w:abstractNumId="44" w15:restartNumberingAfterBreak="0">
    <w:nsid w:val="1EA26FF2"/>
    <w:multiLevelType w:val="hybridMultilevel"/>
    <w:tmpl w:val="71E6FC48"/>
    <w:lvl w:ilvl="0" w:tplc="3C3ACEFC">
      <w:start w:val="1"/>
      <w:numFmt w:val="bullet"/>
      <w:lvlText w:val="–"/>
      <w:lvlJc w:val="left"/>
      <w:pPr>
        <w:ind w:left="1202" w:hanging="360"/>
      </w:pPr>
      <w:rPr>
        <w:rFonts w:ascii="Calibri" w:hAnsi="Calibri"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45"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1F734306"/>
    <w:multiLevelType w:val="multilevel"/>
    <w:tmpl w:val="6D9EC27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87"/>
        </w:tabs>
        <w:ind w:left="1287"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564"/>
        </w:tabs>
        <w:ind w:left="2564"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785"/>
        </w:tabs>
        <w:ind w:left="785" w:hanging="360"/>
      </w:pPr>
      <w:rPr>
        <w:rFonts w:hint="default"/>
        <w:b w:val="0"/>
        <w:bCs w:val="0"/>
      </w:rPr>
    </w:lvl>
    <w:lvl w:ilvl="6">
      <w:start w:val="1"/>
      <w:numFmt w:val="none"/>
      <w:lvlText w:val="1."/>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214762B2"/>
    <w:multiLevelType w:val="multilevel"/>
    <w:tmpl w:val="38BC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1492723"/>
    <w:multiLevelType w:val="multilevel"/>
    <w:tmpl w:val="5660F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1F73E8F"/>
    <w:multiLevelType w:val="hybridMultilevel"/>
    <w:tmpl w:val="309E70BA"/>
    <w:lvl w:ilvl="0" w:tplc="3C3ACEF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24520568"/>
    <w:multiLevelType w:val="hybridMultilevel"/>
    <w:tmpl w:val="2668DB08"/>
    <w:lvl w:ilvl="0" w:tplc="3C3ACEF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4951CA0"/>
    <w:multiLevelType w:val="hybridMultilevel"/>
    <w:tmpl w:val="B3DC9432"/>
    <w:lvl w:ilvl="0" w:tplc="B8AA0B5C">
      <w:start w:val="1"/>
      <w:numFmt w:val="bullet"/>
      <w:lvlText w:val=""/>
      <w:lvlJc w:val="left"/>
      <w:pPr>
        <w:ind w:left="720" w:hanging="360"/>
      </w:pPr>
      <w:rPr>
        <w:rFonts w:ascii="Symbol" w:hAnsi="Symbol"/>
      </w:rPr>
    </w:lvl>
    <w:lvl w:ilvl="1" w:tplc="4D2C282A">
      <w:start w:val="1"/>
      <w:numFmt w:val="bullet"/>
      <w:lvlText w:val=""/>
      <w:lvlJc w:val="left"/>
      <w:pPr>
        <w:ind w:left="720" w:hanging="360"/>
      </w:pPr>
      <w:rPr>
        <w:rFonts w:ascii="Symbol" w:hAnsi="Symbol"/>
      </w:rPr>
    </w:lvl>
    <w:lvl w:ilvl="2" w:tplc="22FEE8BE">
      <w:start w:val="1"/>
      <w:numFmt w:val="bullet"/>
      <w:lvlText w:val=""/>
      <w:lvlJc w:val="left"/>
      <w:pPr>
        <w:ind w:left="720" w:hanging="360"/>
      </w:pPr>
      <w:rPr>
        <w:rFonts w:ascii="Symbol" w:hAnsi="Symbol"/>
      </w:rPr>
    </w:lvl>
    <w:lvl w:ilvl="3" w:tplc="5694C412">
      <w:start w:val="1"/>
      <w:numFmt w:val="bullet"/>
      <w:lvlText w:val=""/>
      <w:lvlJc w:val="left"/>
      <w:pPr>
        <w:ind w:left="720" w:hanging="360"/>
      </w:pPr>
      <w:rPr>
        <w:rFonts w:ascii="Symbol" w:hAnsi="Symbol"/>
      </w:rPr>
    </w:lvl>
    <w:lvl w:ilvl="4" w:tplc="99E8D374">
      <w:start w:val="1"/>
      <w:numFmt w:val="bullet"/>
      <w:lvlText w:val=""/>
      <w:lvlJc w:val="left"/>
      <w:pPr>
        <w:ind w:left="720" w:hanging="360"/>
      </w:pPr>
      <w:rPr>
        <w:rFonts w:ascii="Symbol" w:hAnsi="Symbol"/>
      </w:rPr>
    </w:lvl>
    <w:lvl w:ilvl="5" w:tplc="B9CC70F2">
      <w:start w:val="1"/>
      <w:numFmt w:val="bullet"/>
      <w:lvlText w:val=""/>
      <w:lvlJc w:val="left"/>
      <w:pPr>
        <w:ind w:left="720" w:hanging="360"/>
      </w:pPr>
      <w:rPr>
        <w:rFonts w:ascii="Symbol" w:hAnsi="Symbol"/>
      </w:rPr>
    </w:lvl>
    <w:lvl w:ilvl="6" w:tplc="85C07F10">
      <w:start w:val="1"/>
      <w:numFmt w:val="bullet"/>
      <w:lvlText w:val=""/>
      <w:lvlJc w:val="left"/>
      <w:pPr>
        <w:ind w:left="720" w:hanging="360"/>
      </w:pPr>
      <w:rPr>
        <w:rFonts w:ascii="Symbol" w:hAnsi="Symbol"/>
      </w:rPr>
    </w:lvl>
    <w:lvl w:ilvl="7" w:tplc="2FC8831C">
      <w:start w:val="1"/>
      <w:numFmt w:val="bullet"/>
      <w:lvlText w:val=""/>
      <w:lvlJc w:val="left"/>
      <w:pPr>
        <w:ind w:left="720" w:hanging="360"/>
      </w:pPr>
      <w:rPr>
        <w:rFonts w:ascii="Symbol" w:hAnsi="Symbol"/>
      </w:rPr>
    </w:lvl>
    <w:lvl w:ilvl="8" w:tplc="50DA0A60">
      <w:start w:val="1"/>
      <w:numFmt w:val="bullet"/>
      <w:lvlText w:val=""/>
      <w:lvlJc w:val="left"/>
      <w:pPr>
        <w:ind w:left="720" w:hanging="360"/>
      </w:pPr>
      <w:rPr>
        <w:rFonts w:ascii="Symbol" w:hAnsi="Symbol"/>
      </w:rPr>
    </w:lvl>
  </w:abstractNum>
  <w:abstractNum w:abstractNumId="52" w15:restartNumberingAfterBreak="0">
    <w:nsid w:val="24A345B3"/>
    <w:multiLevelType w:val="multilevel"/>
    <w:tmpl w:val="454A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50C0086"/>
    <w:multiLevelType w:val="hybridMultilevel"/>
    <w:tmpl w:val="7A882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71E65D8"/>
    <w:multiLevelType w:val="multilevel"/>
    <w:tmpl w:val="DD14D0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27384BFD"/>
    <w:multiLevelType w:val="multilevel"/>
    <w:tmpl w:val="EB8C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FE036B"/>
    <w:multiLevelType w:val="multilevel"/>
    <w:tmpl w:val="A01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9072EB3"/>
    <w:multiLevelType w:val="multilevel"/>
    <w:tmpl w:val="6D9EC27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87"/>
        </w:tabs>
        <w:ind w:left="1287"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564"/>
        </w:tabs>
        <w:ind w:left="2564"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785"/>
        </w:tabs>
        <w:ind w:left="785" w:hanging="360"/>
      </w:pPr>
      <w:rPr>
        <w:rFonts w:hint="default"/>
        <w:b w:val="0"/>
        <w:bCs w:val="0"/>
      </w:rPr>
    </w:lvl>
    <w:lvl w:ilvl="6">
      <w:start w:val="1"/>
      <w:numFmt w:val="none"/>
      <w:lvlText w:val="1."/>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293D32F5"/>
    <w:multiLevelType w:val="hybridMultilevel"/>
    <w:tmpl w:val="256E599A"/>
    <w:lvl w:ilvl="0" w:tplc="FFDC582A">
      <w:start w:val="1"/>
      <w:numFmt w:val="decimal"/>
      <w:lvlText w:val="%1."/>
      <w:lvlJc w:val="left"/>
      <w:pPr>
        <w:ind w:left="1020" w:hanging="360"/>
      </w:pPr>
    </w:lvl>
    <w:lvl w:ilvl="1" w:tplc="D2A240C4">
      <w:start w:val="1"/>
      <w:numFmt w:val="decimal"/>
      <w:lvlText w:val="%2."/>
      <w:lvlJc w:val="left"/>
      <w:pPr>
        <w:ind w:left="1020" w:hanging="360"/>
      </w:pPr>
    </w:lvl>
    <w:lvl w:ilvl="2" w:tplc="0906695E">
      <w:start w:val="1"/>
      <w:numFmt w:val="decimal"/>
      <w:lvlText w:val="%3."/>
      <w:lvlJc w:val="left"/>
      <w:pPr>
        <w:ind w:left="1020" w:hanging="360"/>
      </w:pPr>
    </w:lvl>
    <w:lvl w:ilvl="3" w:tplc="B1D6D854">
      <w:start w:val="1"/>
      <w:numFmt w:val="decimal"/>
      <w:lvlText w:val="%4."/>
      <w:lvlJc w:val="left"/>
      <w:pPr>
        <w:ind w:left="1020" w:hanging="360"/>
      </w:pPr>
    </w:lvl>
    <w:lvl w:ilvl="4" w:tplc="BADC40EE">
      <w:start w:val="1"/>
      <w:numFmt w:val="decimal"/>
      <w:lvlText w:val="%5."/>
      <w:lvlJc w:val="left"/>
      <w:pPr>
        <w:ind w:left="1020" w:hanging="360"/>
      </w:pPr>
    </w:lvl>
    <w:lvl w:ilvl="5" w:tplc="5BF41744">
      <w:start w:val="1"/>
      <w:numFmt w:val="decimal"/>
      <w:lvlText w:val="%6."/>
      <w:lvlJc w:val="left"/>
      <w:pPr>
        <w:ind w:left="1020" w:hanging="360"/>
      </w:pPr>
    </w:lvl>
    <w:lvl w:ilvl="6" w:tplc="D4C8A6D6">
      <w:start w:val="1"/>
      <w:numFmt w:val="decimal"/>
      <w:lvlText w:val="%7."/>
      <w:lvlJc w:val="left"/>
      <w:pPr>
        <w:ind w:left="1020" w:hanging="360"/>
      </w:pPr>
    </w:lvl>
    <w:lvl w:ilvl="7" w:tplc="03DA0F4A">
      <w:start w:val="1"/>
      <w:numFmt w:val="decimal"/>
      <w:lvlText w:val="%8."/>
      <w:lvlJc w:val="left"/>
      <w:pPr>
        <w:ind w:left="1020" w:hanging="360"/>
      </w:pPr>
    </w:lvl>
    <w:lvl w:ilvl="8" w:tplc="0B3651D0">
      <w:start w:val="1"/>
      <w:numFmt w:val="decimal"/>
      <w:lvlText w:val="%9."/>
      <w:lvlJc w:val="left"/>
      <w:pPr>
        <w:ind w:left="1020" w:hanging="360"/>
      </w:pPr>
    </w:lvl>
  </w:abstractNum>
  <w:abstractNum w:abstractNumId="59" w15:restartNumberingAfterBreak="0">
    <w:nsid w:val="29683AAB"/>
    <w:multiLevelType w:val="hybridMultilevel"/>
    <w:tmpl w:val="C4D0D0DA"/>
    <w:lvl w:ilvl="0" w:tplc="EF8C812C">
      <w:start w:val="1"/>
      <w:numFmt w:val="bullet"/>
      <w:lvlText w:val=""/>
      <w:lvlJc w:val="left"/>
      <w:pPr>
        <w:ind w:left="720" w:hanging="360"/>
      </w:pPr>
      <w:rPr>
        <w:rFonts w:ascii="Symbol" w:hAnsi="Symbol"/>
      </w:rPr>
    </w:lvl>
    <w:lvl w:ilvl="1" w:tplc="11A41F46">
      <w:start w:val="1"/>
      <w:numFmt w:val="bullet"/>
      <w:lvlText w:val=""/>
      <w:lvlJc w:val="left"/>
      <w:pPr>
        <w:ind w:left="720" w:hanging="360"/>
      </w:pPr>
      <w:rPr>
        <w:rFonts w:ascii="Symbol" w:hAnsi="Symbol"/>
      </w:rPr>
    </w:lvl>
    <w:lvl w:ilvl="2" w:tplc="349A6CF0">
      <w:start w:val="1"/>
      <w:numFmt w:val="bullet"/>
      <w:lvlText w:val=""/>
      <w:lvlJc w:val="left"/>
      <w:pPr>
        <w:ind w:left="720" w:hanging="360"/>
      </w:pPr>
      <w:rPr>
        <w:rFonts w:ascii="Symbol" w:hAnsi="Symbol"/>
      </w:rPr>
    </w:lvl>
    <w:lvl w:ilvl="3" w:tplc="C2AE0D50">
      <w:start w:val="1"/>
      <w:numFmt w:val="bullet"/>
      <w:lvlText w:val=""/>
      <w:lvlJc w:val="left"/>
      <w:pPr>
        <w:ind w:left="720" w:hanging="360"/>
      </w:pPr>
      <w:rPr>
        <w:rFonts w:ascii="Symbol" w:hAnsi="Symbol"/>
      </w:rPr>
    </w:lvl>
    <w:lvl w:ilvl="4" w:tplc="2E1EAE3E">
      <w:start w:val="1"/>
      <w:numFmt w:val="bullet"/>
      <w:lvlText w:val=""/>
      <w:lvlJc w:val="left"/>
      <w:pPr>
        <w:ind w:left="720" w:hanging="360"/>
      </w:pPr>
      <w:rPr>
        <w:rFonts w:ascii="Symbol" w:hAnsi="Symbol"/>
      </w:rPr>
    </w:lvl>
    <w:lvl w:ilvl="5" w:tplc="EFFA0A78">
      <w:start w:val="1"/>
      <w:numFmt w:val="bullet"/>
      <w:lvlText w:val=""/>
      <w:lvlJc w:val="left"/>
      <w:pPr>
        <w:ind w:left="720" w:hanging="360"/>
      </w:pPr>
      <w:rPr>
        <w:rFonts w:ascii="Symbol" w:hAnsi="Symbol"/>
      </w:rPr>
    </w:lvl>
    <w:lvl w:ilvl="6" w:tplc="E42620EC">
      <w:start w:val="1"/>
      <w:numFmt w:val="bullet"/>
      <w:lvlText w:val=""/>
      <w:lvlJc w:val="left"/>
      <w:pPr>
        <w:ind w:left="720" w:hanging="360"/>
      </w:pPr>
      <w:rPr>
        <w:rFonts w:ascii="Symbol" w:hAnsi="Symbol"/>
      </w:rPr>
    </w:lvl>
    <w:lvl w:ilvl="7" w:tplc="52166DBA">
      <w:start w:val="1"/>
      <w:numFmt w:val="bullet"/>
      <w:lvlText w:val=""/>
      <w:lvlJc w:val="left"/>
      <w:pPr>
        <w:ind w:left="720" w:hanging="360"/>
      </w:pPr>
      <w:rPr>
        <w:rFonts w:ascii="Symbol" w:hAnsi="Symbol"/>
      </w:rPr>
    </w:lvl>
    <w:lvl w:ilvl="8" w:tplc="129640C2">
      <w:start w:val="1"/>
      <w:numFmt w:val="bullet"/>
      <w:lvlText w:val=""/>
      <w:lvlJc w:val="left"/>
      <w:pPr>
        <w:ind w:left="720" w:hanging="360"/>
      </w:pPr>
      <w:rPr>
        <w:rFonts w:ascii="Symbol" w:hAnsi="Symbol"/>
      </w:rPr>
    </w:lvl>
  </w:abstractNum>
  <w:abstractNum w:abstractNumId="60" w15:restartNumberingAfterBreak="0">
    <w:nsid w:val="298353E7"/>
    <w:multiLevelType w:val="hybridMultilevel"/>
    <w:tmpl w:val="27DCB0BA"/>
    <w:lvl w:ilvl="0" w:tplc="3C3ACE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2AE71FD0"/>
    <w:multiLevelType w:val="multilevel"/>
    <w:tmpl w:val="9A0071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1.%2.%3."/>
      <w:lvlJc w:val="left"/>
      <w:pPr>
        <w:ind w:left="1712" w:hanging="720"/>
      </w:pPr>
    </w:lvl>
    <w:lvl w:ilvl="3">
      <w:start w:val="1"/>
      <w:numFmt w:val="decimal"/>
      <w:isLgl/>
      <w:lvlText w:val="%1.%2.%3.%4."/>
      <w:lvlJc w:val="left"/>
      <w:pPr>
        <w:ind w:left="2421"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2BE47B3F"/>
    <w:multiLevelType w:val="multilevel"/>
    <w:tmpl w:val="CE02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2E69307D"/>
    <w:multiLevelType w:val="hybridMultilevel"/>
    <w:tmpl w:val="DB96CD8E"/>
    <w:lvl w:ilvl="0" w:tplc="C758FAEE">
      <w:numFmt w:val="bullet"/>
      <w:lvlText w:val="-"/>
      <w:lvlJc w:val="left"/>
      <w:pPr>
        <w:ind w:left="1922" w:hanging="360"/>
      </w:pPr>
      <w:rPr>
        <w:rFonts w:ascii="Aptos" w:eastAsia="Aptos" w:hAnsi="Aptos" w:cs="Times New Roman" w:hint="default"/>
      </w:rPr>
    </w:lvl>
    <w:lvl w:ilvl="1" w:tplc="08090003" w:tentative="1">
      <w:start w:val="1"/>
      <w:numFmt w:val="bullet"/>
      <w:lvlText w:val="o"/>
      <w:lvlJc w:val="left"/>
      <w:pPr>
        <w:ind w:left="2642" w:hanging="360"/>
      </w:pPr>
      <w:rPr>
        <w:rFonts w:ascii="Courier New" w:hAnsi="Courier New" w:cs="Courier New" w:hint="default"/>
      </w:rPr>
    </w:lvl>
    <w:lvl w:ilvl="2" w:tplc="08090005" w:tentative="1">
      <w:start w:val="1"/>
      <w:numFmt w:val="bullet"/>
      <w:lvlText w:val=""/>
      <w:lvlJc w:val="left"/>
      <w:pPr>
        <w:ind w:left="3362" w:hanging="360"/>
      </w:pPr>
      <w:rPr>
        <w:rFonts w:ascii="Wingdings" w:hAnsi="Wingdings" w:hint="default"/>
      </w:rPr>
    </w:lvl>
    <w:lvl w:ilvl="3" w:tplc="08090001" w:tentative="1">
      <w:start w:val="1"/>
      <w:numFmt w:val="bullet"/>
      <w:lvlText w:val=""/>
      <w:lvlJc w:val="left"/>
      <w:pPr>
        <w:ind w:left="4082" w:hanging="360"/>
      </w:pPr>
      <w:rPr>
        <w:rFonts w:ascii="Symbol" w:hAnsi="Symbol" w:hint="default"/>
      </w:rPr>
    </w:lvl>
    <w:lvl w:ilvl="4" w:tplc="08090003" w:tentative="1">
      <w:start w:val="1"/>
      <w:numFmt w:val="bullet"/>
      <w:lvlText w:val="o"/>
      <w:lvlJc w:val="left"/>
      <w:pPr>
        <w:ind w:left="4802" w:hanging="360"/>
      </w:pPr>
      <w:rPr>
        <w:rFonts w:ascii="Courier New" w:hAnsi="Courier New" w:cs="Courier New" w:hint="default"/>
      </w:rPr>
    </w:lvl>
    <w:lvl w:ilvl="5" w:tplc="08090005" w:tentative="1">
      <w:start w:val="1"/>
      <w:numFmt w:val="bullet"/>
      <w:lvlText w:val=""/>
      <w:lvlJc w:val="left"/>
      <w:pPr>
        <w:ind w:left="5522" w:hanging="360"/>
      </w:pPr>
      <w:rPr>
        <w:rFonts w:ascii="Wingdings" w:hAnsi="Wingdings" w:hint="default"/>
      </w:rPr>
    </w:lvl>
    <w:lvl w:ilvl="6" w:tplc="08090001" w:tentative="1">
      <w:start w:val="1"/>
      <w:numFmt w:val="bullet"/>
      <w:lvlText w:val=""/>
      <w:lvlJc w:val="left"/>
      <w:pPr>
        <w:ind w:left="6242" w:hanging="360"/>
      </w:pPr>
      <w:rPr>
        <w:rFonts w:ascii="Symbol" w:hAnsi="Symbol" w:hint="default"/>
      </w:rPr>
    </w:lvl>
    <w:lvl w:ilvl="7" w:tplc="08090003" w:tentative="1">
      <w:start w:val="1"/>
      <w:numFmt w:val="bullet"/>
      <w:lvlText w:val="o"/>
      <w:lvlJc w:val="left"/>
      <w:pPr>
        <w:ind w:left="6962" w:hanging="360"/>
      </w:pPr>
      <w:rPr>
        <w:rFonts w:ascii="Courier New" w:hAnsi="Courier New" w:cs="Courier New" w:hint="default"/>
      </w:rPr>
    </w:lvl>
    <w:lvl w:ilvl="8" w:tplc="08090005" w:tentative="1">
      <w:start w:val="1"/>
      <w:numFmt w:val="bullet"/>
      <w:lvlText w:val=""/>
      <w:lvlJc w:val="left"/>
      <w:pPr>
        <w:ind w:left="7682" w:hanging="360"/>
      </w:pPr>
      <w:rPr>
        <w:rFonts w:ascii="Wingdings" w:hAnsi="Wingdings" w:hint="default"/>
      </w:rPr>
    </w:lvl>
  </w:abstractNum>
  <w:abstractNum w:abstractNumId="65" w15:restartNumberingAfterBreak="0">
    <w:nsid w:val="30196494"/>
    <w:multiLevelType w:val="hybridMultilevel"/>
    <w:tmpl w:val="B3D2022C"/>
    <w:lvl w:ilvl="0" w:tplc="B3B83D36">
      <w:start w:val="1"/>
      <w:numFmt w:val="decimal"/>
      <w:lvlText w:val="%1."/>
      <w:lvlJc w:val="left"/>
      <w:pPr>
        <w:ind w:left="1320" w:hanging="360"/>
      </w:pPr>
    </w:lvl>
    <w:lvl w:ilvl="1" w:tplc="9ADA08F2">
      <w:start w:val="1"/>
      <w:numFmt w:val="decimal"/>
      <w:lvlText w:val="%2."/>
      <w:lvlJc w:val="left"/>
      <w:pPr>
        <w:ind w:left="1320" w:hanging="360"/>
      </w:pPr>
    </w:lvl>
    <w:lvl w:ilvl="2" w:tplc="793A49F0">
      <w:start w:val="1"/>
      <w:numFmt w:val="decimal"/>
      <w:lvlText w:val="%3."/>
      <w:lvlJc w:val="left"/>
      <w:pPr>
        <w:ind w:left="1320" w:hanging="360"/>
      </w:pPr>
    </w:lvl>
    <w:lvl w:ilvl="3" w:tplc="DF4645BA">
      <w:start w:val="1"/>
      <w:numFmt w:val="decimal"/>
      <w:lvlText w:val="%4."/>
      <w:lvlJc w:val="left"/>
      <w:pPr>
        <w:ind w:left="1320" w:hanging="360"/>
      </w:pPr>
    </w:lvl>
    <w:lvl w:ilvl="4" w:tplc="8574331A">
      <w:start w:val="1"/>
      <w:numFmt w:val="decimal"/>
      <w:lvlText w:val="%5."/>
      <w:lvlJc w:val="left"/>
      <w:pPr>
        <w:ind w:left="1320" w:hanging="360"/>
      </w:pPr>
    </w:lvl>
    <w:lvl w:ilvl="5" w:tplc="E996E1FA">
      <w:start w:val="1"/>
      <w:numFmt w:val="decimal"/>
      <w:lvlText w:val="%6."/>
      <w:lvlJc w:val="left"/>
      <w:pPr>
        <w:ind w:left="1320" w:hanging="360"/>
      </w:pPr>
    </w:lvl>
    <w:lvl w:ilvl="6" w:tplc="DB68E318">
      <w:start w:val="1"/>
      <w:numFmt w:val="decimal"/>
      <w:lvlText w:val="%7."/>
      <w:lvlJc w:val="left"/>
      <w:pPr>
        <w:ind w:left="1320" w:hanging="360"/>
      </w:pPr>
    </w:lvl>
    <w:lvl w:ilvl="7" w:tplc="CB60C1DE">
      <w:start w:val="1"/>
      <w:numFmt w:val="decimal"/>
      <w:lvlText w:val="%8."/>
      <w:lvlJc w:val="left"/>
      <w:pPr>
        <w:ind w:left="1320" w:hanging="360"/>
      </w:pPr>
    </w:lvl>
    <w:lvl w:ilvl="8" w:tplc="FEA0F56C">
      <w:start w:val="1"/>
      <w:numFmt w:val="decimal"/>
      <w:lvlText w:val="%9."/>
      <w:lvlJc w:val="left"/>
      <w:pPr>
        <w:ind w:left="1320" w:hanging="360"/>
      </w:pPr>
    </w:lvl>
  </w:abstractNum>
  <w:abstractNum w:abstractNumId="66" w15:restartNumberingAfterBreak="0">
    <w:nsid w:val="31885919"/>
    <w:multiLevelType w:val="multilevel"/>
    <w:tmpl w:val="9A20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1914520"/>
    <w:multiLevelType w:val="hybridMultilevel"/>
    <w:tmpl w:val="24F4FA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883" w:hanging="360"/>
      </w:pPr>
      <w:rPr>
        <w:rFonts w:ascii="Courier New" w:hAnsi="Courier New" w:cs="Courier New" w:hint="default"/>
      </w:rPr>
    </w:lvl>
    <w:lvl w:ilvl="2" w:tplc="08090005" w:tentative="1">
      <w:start w:val="1"/>
      <w:numFmt w:val="bullet"/>
      <w:lvlText w:val=""/>
      <w:lvlJc w:val="left"/>
      <w:pPr>
        <w:ind w:left="1603" w:hanging="360"/>
      </w:pPr>
      <w:rPr>
        <w:rFonts w:ascii="Wingdings" w:hAnsi="Wingdings" w:hint="default"/>
      </w:rPr>
    </w:lvl>
    <w:lvl w:ilvl="3" w:tplc="08090001" w:tentative="1">
      <w:start w:val="1"/>
      <w:numFmt w:val="bullet"/>
      <w:lvlText w:val=""/>
      <w:lvlJc w:val="left"/>
      <w:pPr>
        <w:ind w:left="2323" w:hanging="360"/>
      </w:pPr>
      <w:rPr>
        <w:rFonts w:ascii="Symbol" w:hAnsi="Symbol" w:hint="default"/>
      </w:rPr>
    </w:lvl>
    <w:lvl w:ilvl="4" w:tplc="08090003" w:tentative="1">
      <w:start w:val="1"/>
      <w:numFmt w:val="bullet"/>
      <w:lvlText w:val="o"/>
      <w:lvlJc w:val="left"/>
      <w:pPr>
        <w:ind w:left="3043" w:hanging="360"/>
      </w:pPr>
      <w:rPr>
        <w:rFonts w:ascii="Courier New" w:hAnsi="Courier New" w:cs="Courier New" w:hint="default"/>
      </w:rPr>
    </w:lvl>
    <w:lvl w:ilvl="5" w:tplc="08090005" w:tentative="1">
      <w:start w:val="1"/>
      <w:numFmt w:val="bullet"/>
      <w:lvlText w:val=""/>
      <w:lvlJc w:val="left"/>
      <w:pPr>
        <w:ind w:left="3763" w:hanging="360"/>
      </w:pPr>
      <w:rPr>
        <w:rFonts w:ascii="Wingdings" w:hAnsi="Wingdings" w:hint="default"/>
      </w:rPr>
    </w:lvl>
    <w:lvl w:ilvl="6" w:tplc="08090001" w:tentative="1">
      <w:start w:val="1"/>
      <w:numFmt w:val="bullet"/>
      <w:lvlText w:val=""/>
      <w:lvlJc w:val="left"/>
      <w:pPr>
        <w:ind w:left="4483" w:hanging="360"/>
      </w:pPr>
      <w:rPr>
        <w:rFonts w:ascii="Symbol" w:hAnsi="Symbol" w:hint="default"/>
      </w:rPr>
    </w:lvl>
    <w:lvl w:ilvl="7" w:tplc="08090003" w:tentative="1">
      <w:start w:val="1"/>
      <w:numFmt w:val="bullet"/>
      <w:lvlText w:val="o"/>
      <w:lvlJc w:val="left"/>
      <w:pPr>
        <w:ind w:left="5203" w:hanging="360"/>
      </w:pPr>
      <w:rPr>
        <w:rFonts w:ascii="Courier New" w:hAnsi="Courier New" w:cs="Courier New" w:hint="default"/>
      </w:rPr>
    </w:lvl>
    <w:lvl w:ilvl="8" w:tplc="08090005" w:tentative="1">
      <w:start w:val="1"/>
      <w:numFmt w:val="bullet"/>
      <w:lvlText w:val=""/>
      <w:lvlJc w:val="left"/>
      <w:pPr>
        <w:ind w:left="5923" w:hanging="360"/>
      </w:pPr>
      <w:rPr>
        <w:rFonts w:ascii="Wingdings" w:hAnsi="Wingdings" w:hint="default"/>
      </w:rPr>
    </w:lvl>
  </w:abstractNum>
  <w:abstractNum w:abstractNumId="68" w15:restartNumberingAfterBreak="0">
    <w:nsid w:val="31BE767D"/>
    <w:multiLevelType w:val="multilevel"/>
    <w:tmpl w:val="F468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1DA2890"/>
    <w:multiLevelType w:val="hybridMultilevel"/>
    <w:tmpl w:val="6B4CCEF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26450FE"/>
    <w:multiLevelType w:val="multilevel"/>
    <w:tmpl w:val="EE6C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3BA1DF4"/>
    <w:multiLevelType w:val="hybridMultilevel"/>
    <w:tmpl w:val="94CE23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33E4695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345E36FA"/>
    <w:multiLevelType w:val="multilevel"/>
    <w:tmpl w:val="1E481E2E"/>
    <w:lvl w:ilvl="0">
      <w:start w:val="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1145" w:hanging="720"/>
      </w:pPr>
      <w:rPr>
        <w:rFonts w:hint="default"/>
      </w:rPr>
    </w:lvl>
    <w:lvl w:ilvl="3">
      <w:start w:val="2"/>
      <w:numFmt w:val="decimal"/>
      <w:lvlText w:val="%1.%2.%3.%4."/>
      <w:lvlJc w:val="left"/>
      <w:pPr>
        <w:ind w:left="28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4B37867"/>
    <w:multiLevelType w:val="multilevel"/>
    <w:tmpl w:val="C7EA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7212E7A"/>
    <w:multiLevelType w:val="multilevel"/>
    <w:tmpl w:val="8534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74062DE"/>
    <w:multiLevelType w:val="multilevel"/>
    <w:tmpl w:val="6B22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7C66BD2"/>
    <w:multiLevelType w:val="hybridMultilevel"/>
    <w:tmpl w:val="FDCE8754"/>
    <w:lvl w:ilvl="0" w:tplc="412457C8">
      <w:numFmt w:val="bullet"/>
      <w:lvlText w:val="-"/>
      <w:lvlJc w:val="left"/>
      <w:pPr>
        <w:ind w:left="405" w:hanging="360"/>
      </w:pPr>
      <w:rPr>
        <w:rFonts w:ascii="Times New Roman" w:eastAsiaTheme="minorHAnsi" w:hAnsi="Times New Roman" w:cs="Times New Roman"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78" w15:restartNumberingAfterBreak="0">
    <w:nsid w:val="37CF3902"/>
    <w:multiLevelType w:val="multilevel"/>
    <w:tmpl w:val="1E481E2E"/>
    <w:lvl w:ilvl="0">
      <w:start w:val="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1145" w:hanging="720"/>
      </w:pPr>
      <w:rPr>
        <w:rFonts w:hint="default"/>
      </w:rPr>
    </w:lvl>
    <w:lvl w:ilvl="3">
      <w:start w:val="2"/>
      <w:numFmt w:val="decimal"/>
      <w:lvlText w:val="%1.%2.%3.%4."/>
      <w:lvlJc w:val="left"/>
      <w:pPr>
        <w:ind w:left="28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390C44EE"/>
    <w:multiLevelType w:val="multilevel"/>
    <w:tmpl w:val="3EB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9280606"/>
    <w:multiLevelType w:val="multilevel"/>
    <w:tmpl w:val="968C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9F231E8"/>
    <w:multiLevelType w:val="multilevel"/>
    <w:tmpl w:val="B33E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BAE19A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3C816414"/>
    <w:multiLevelType w:val="multilevel"/>
    <w:tmpl w:val="63B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85" w15:restartNumberingAfterBreak="0">
    <w:nsid w:val="3D8315E0"/>
    <w:multiLevelType w:val="multilevel"/>
    <w:tmpl w:val="B328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DE82CA8"/>
    <w:multiLevelType w:val="multilevel"/>
    <w:tmpl w:val="C964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0497A2C"/>
    <w:multiLevelType w:val="multilevel"/>
    <w:tmpl w:val="95FC48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41227BD4"/>
    <w:multiLevelType w:val="hybridMultilevel"/>
    <w:tmpl w:val="A71A27B8"/>
    <w:lvl w:ilvl="0" w:tplc="42C04EDE">
      <w:start w:val="1"/>
      <w:numFmt w:val="bullet"/>
      <w:lvlText w:val=""/>
      <w:lvlJc w:val="left"/>
      <w:pPr>
        <w:ind w:left="720" w:hanging="360"/>
      </w:pPr>
      <w:rPr>
        <w:rFonts w:ascii="Symbol" w:hAnsi="Symbol"/>
      </w:rPr>
    </w:lvl>
    <w:lvl w:ilvl="1" w:tplc="ED2E7F32">
      <w:start w:val="1"/>
      <w:numFmt w:val="bullet"/>
      <w:lvlText w:val=""/>
      <w:lvlJc w:val="left"/>
      <w:pPr>
        <w:ind w:left="720" w:hanging="360"/>
      </w:pPr>
      <w:rPr>
        <w:rFonts w:ascii="Symbol" w:hAnsi="Symbol"/>
      </w:rPr>
    </w:lvl>
    <w:lvl w:ilvl="2" w:tplc="08C239DC">
      <w:start w:val="1"/>
      <w:numFmt w:val="bullet"/>
      <w:lvlText w:val=""/>
      <w:lvlJc w:val="left"/>
      <w:pPr>
        <w:ind w:left="720" w:hanging="360"/>
      </w:pPr>
      <w:rPr>
        <w:rFonts w:ascii="Symbol" w:hAnsi="Symbol"/>
      </w:rPr>
    </w:lvl>
    <w:lvl w:ilvl="3" w:tplc="075EE5A8">
      <w:start w:val="1"/>
      <w:numFmt w:val="bullet"/>
      <w:lvlText w:val=""/>
      <w:lvlJc w:val="left"/>
      <w:pPr>
        <w:ind w:left="720" w:hanging="360"/>
      </w:pPr>
      <w:rPr>
        <w:rFonts w:ascii="Symbol" w:hAnsi="Symbol"/>
      </w:rPr>
    </w:lvl>
    <w:lvl w:ilvl="4" w:tplc="DDA839F0">
      <w:start w:val="1"/>
      <w:numFmt w:val="bullet"/>
      <w:lvlText w:val=""/>
      <w:lvlJc w:val="left"/>
      <w:pPr>
        <w:ind w:left="720" w:hanging="360"/>
      </w:pPr>
      <w:rPr>
        <w:rFonts w:ascii="Symbol" w:hAnsi="Symbol"/>
      </w:rPr>
    </w:lvl>
    <w:lvl w:ilvl="5" w:tplc="220EED48">
      <w:start w:val="1"/>
      <w:numFmt w:val="bullet"/>
      <w:lvlText w:val=""/>
      <w:lvlJc w:val="left"/>
      <w:pPr>
        <w:ind w:left="720" w:hanging="360"/>
      </w:pPr>
      <w:rPr>
        <w:rFonts w:ascii="Symbol" w:hAnsi="Symbol"/>
      </w:rPr>
    </w:lvl>
    <w:lvl w:ilvl="6" w:tplc="79B47482">
      <w:start w:val="1"/>
      <w:numFmt w:val="bullet"/>
      <w:lvlText w:val=""/>
      <w:lvlJc w:val="left"/>
      <w:pPr>
        <w:ind w:left="720" w:hanging="360"/>
      </w:pPr>
      <w:rPr>
        <w:rFonts w:ascii="Symbol" w:hAnsi="Symbol"/>
      </w:rPr>
    </w:lvl>
    <w:lvl w:ilvl="7" w:tplc="1A72DD44">
      <w:start w:val="1"/>
      <w:numFmt w:val="bullet"/>
      <w:lvlText w:val=""/>
      <w:lvlJc w:val="left"/>
      <w:pPr>
        <w:ind w:left="720" w:hanging="360"/>
      </w:pPr>
      <w:rPr>
        <w:rFonts w:ascii="Symbol" w:hAnsi="Symbol"/>
      </w:rPr>
    </w:lvl>
    <w:lvl w:ilvl="8" w:tplc="2DD8409E">
      <w:start w:val="1"/>
      <w:numFmt w:val="bullet"/>
      <w:lvlText w:val=""/>
      <w:lvlJc w:val="left"/>
      <w:pPr>
        <w:ind w:left="720" w:hanging="360"/>
      </w:pPr>
      <w:rPr>
        <w:rFonts w:ascii="Symbol" w:hAnsi="Symbol"/>
      </w:rPr>
    </w:lvl>
  </w:abstractNum>
  <w:abstractNum w:abstractNumId="89" w15:restartNumberingAfterBreak="0">
    <w:nsid w:val="425A469D"/>
    <w:multiLevelType w:val="multilevel"/>
    <w:tmpl w:val="68724C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427E2103"/>
    <w:multiLevelType w:val="hybridMultilevel"/>
    <w:tmpl w:val="571C2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2DA7A96"/>
    <w:multiLevelType w:val="multilevel"/>
    <w:tmpl w:val="474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4292867"/>
    <w:multiLevelType w:val="hybridMultilevel"/>
    <w:tmpl w:val="6E6CA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63943F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479F6DA6"/>
    <w:multiLevelType w:val="hybridMultilevel"/>
    <w:tmpl w:val="686EDB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5" w15:restartNumberingAfterBreak="0">
    <w:nsid w:val="48953C2A"/>
    <w:multiLevelType w:val="multilevel"/>
    <w:tmpl w:val="C4A227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6" w15:restartNumberingAfterBreak="0">
    <w:nsid w:val="49C131A9"/>
    <w:multiLevelType w:val="hybridMultilevel"/>
    <w:tmpl w:val="A9188C60"/>
    <w:lvl w:ilvl="0" w:tplc="E80806C0">
      <w:start w:val="1"/>
      <w:numFmt w:val="bullet"/>
      <w:lvlText w:val=""/>
      <w:lvlJc w:val="left"/>
      <w:pPr>
        <w:ind w:left="720" w:hanging="360"/>
      </w:pPr>
      <w:rPr>
        <w:rFonts w:ascii="Symbol" w:hAnsi="Symbol"/>
      </w:rPr>
    </w:lvl>
    <w:lvl w:ilvl="1" w:tplc="6936DD4A">
      <w:start w:val="1"/>
      <w:numFmt w:val="bullet"/>
      <w:lvlText w:val=""/>
      <w:lvlJc w:val="left"/>
      <w:pPr>
        <w:ind w:left="720" w:hanging="360"/>
      </w:pPr>
      <w:rPr>
        <w:rFonts w:ascii="Symbol" w:hAnsi="Symbol"/>
      </w:rPr>
    </w:lvl>
    <w:lvl w:ilvl="2" w:tplc="DA86C15A">
      <w:start w:val="1"/>
      <w:numFmt w:val="bullet"/>
      <w:lvlText w:val=""/>
      <w:lvlJc w:val="left"/>
      <w:pPr>
        <w:ind w:left="720" w:hanging="360"/>
      </w:pPr>
      <w:rPr>
        <w:rFonts w:ascii="Symbol" w:hAnsi="Symbol"/>
      </w:rPr>
    </w:lvl>
    <w:lvl w:ilvl="3" w:tplc="2912E430">
      <w:start w:val="1"/>
      <w:numFmt w:val="bullet"/>
      <w:lvlText w:val=""/>
      <w:lvlJc w:val="left"/>
      <w:pPr>
        <w:ind w:left="720" w:hanging="360"/>
      </w:pPr>
      <w:rPr>
        <w:rFonts w:ascii="Symbol" w:hAnsi="Symbol"/>
      </w:rPr>
    </w:lvl>
    <w:lvl w:ilvl="4" w:tplc="A77CB65C">
      <w:start w:val="1"/>
      <w:numFmt w:val="bullet"/>
      <w:lvlText w:val=""/>
      <w:lvlJc w:val="left"/>
      <w:pPr>
        <w:ind w:left="720" w:hanging="360"/>
      </w:pPr>
      <w:rPr>
        <w:rFonts w:ascii="Symbol" w:hAnsi="Symbol"/>
      </w:rPr>
    </w:lvl>
    <w:lvl w:ilvl="5" w:tplc="713EEF5A">
      <w:start w:val="1"/>
      <w:numFmt w:val="bullet"/>
      <w:lvlText w:val=""/>
      <w:lvlJc w:val="left"/>
      <w:pPr>
        <w:ind w:left="720" w:hanging="360"/>
      </w:pPr>
      <w:rPr>
        <w:rFonts w:ascii="Symbol" w:hAnsi="Symbol"/>
      </w:rPr>
    </w:lvl>
    <w:lvl w:ilvl="6" w:tplc="0DDC0014">
      <w:start w:val="1"/>
      <w:numFmt w:val="bullet"/>
      <w:lvlText w:val=""/>
      <w:lvlJc w:val="left"/>
      <w:pPr>
        <w:ind w:left="720" w:hanging="360"/>
      </w:pPr>
      <w:rPr>
        <w:rFonts w:ascii="Symbol" w:hAnsi="Symbol"/>
      </w:rPr>
    </w:lvl>
    <w:lvl w:ilvl="7" w:tplc="814CA7A2">
      <w:start w:val="1"/>
      <w:numFmt w:val="bullet"/>
      <w:lvlText w:val=""/>
      <w:lvlJc w:val="left"/>
      <w:pPr>
        <w:ind w:left="720" w:hanging="360"/>
      </w:pPr>
      <w:rPr>
        <w:rFonts w:ascii="Symbol" w:hAnsi="Symbol"/>
      </w:rPr>
    </w:lvl>
    <w:lvl w:ilvl="8" w:tplc="8326D992">
      <w:start w:val="1"/>
      <w:numFmt w:val="bullet"/>
      <w:lvlText w:val=""/>
      <w:lvlJc w:val="left"/>
      <w:pPr>
        <w:ind w:left="720" w:hanging="360"/>
      </w:pPr>
      <w:rPr>
        <w:rFonts w:ascii="Symbol" w:hAnsi="Symbol"/>
      </w:rPr>
    </w:lvl>
  </w:abstractNum>
  <w:abstractNum w:abstractNumId="97" w15:restartNumberingAfterBreak="0">
    <w:nsid w:val="4AD04CDE"/>
    <w:multiLevelType w:val="hybridMultilevel"/>
    <w:tmpl w:val="238E75DA"/>
    <w:lvl w:ilvl="0" w:tplc="3C3ACEF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BA249C2"/>
    <w:multiLevelType w:val="multilevel"/>
    <w:tmpl w:val="C73E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C11739D"/>
    <w:multiLevelType w:val="hybridMultilevel"/>
    <w:tmpl w:val="6570DC80"/>
    <w:lvl w:ilvl="0" w:tplc="95B81F0A">
      <w:start w:val="1"/>
      <w:numFmt w:val="bullet"/>
      <w:lvlText w:val=""/>
      <w:lvlJc w:val="left"/>
      <w:pPr>
        <w:ind w:left="720" w:hanging="360"/>
      </w:pPr>
      <w:rPr>
        <w:rFonts w:ascii="Wingdings" w:hAnsi="Wingdings" w:hint="default"/>
        <w:color w:val="004E59"/>
      </w:rPr>
    </w:lvl>
    <w:lvl w:ilvl="1" w:tplc="13725EE6">
      <w:start w:val="1"/>
      <w:numFmt w:val="bullet"/>
      <w:lvlText w:val=""/>
      <w:lvlJc w:val="left"/>
      <w:pPr>
        <w:ind w:left="720" w:hanging="360"/>
      </w:pPr>
      <w:rPr>
        <w:rFonts w:ascii="Symbol" w:hAnsi="Symbol" w:hint="default"/>
        <w:color w:val="004E59"/>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C3D727E"/>
    <w:multiLevelType w:val="hybridMultilevel"/>
    <w:tmpl w:val="37D07CB2"/>
    <w:lvl w:ilvl="0" w:tplc="C758FAEE">
      <w:numFmt w:val="bullet"/>
      <w:lvlText w:val="-"/>
      <w:lvlJc w:val="left"/>
      <w:pPr>
        <w:ind w:left="720" w:hanging="360"/>
      </w:pPr>
      <w:rPr>
        <w:rFonts w:ascii="Aptos" w:eastAsia="Aptos" w:hAnsi="Apto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4C9A032E"/>
    <w:multiLevelType w:val="hybridMultilevel"/>
    <w:tmpl w:val="5298E704"/>
    <w:lvl w:ilvl="0" w:tplc="44CCAA9C">
      <w:start w:val="1"/>
      <w:numFmt w:val="bullet"/>
      <w:lvlText w:val=""/>
      <w:lvlJc w:val="left"/>
      <w:pPr>
        <w:ind w:left="720" w:hanging="360"/>
      </w:pPr>
      <w:rPr>
        <w:rFonts w:ascii="Symbol" w:hAnsi="Symbol"/>
      </w:rPr>
    </w:lvl>
    <w:lvl w:ilvl="1" w:tplc="B568CD88">
      <w:start w:val="1"/>
      <w:numFmt w:val="bullet"/>
      <w:lvlText w:val=""/>
      <w:lvlJc w:val="left"/>
      <w:pPr>
        <w:ind w:left="720" w:hanging="360"/>
      </w:pPr>
      <w:rPr>
        <w:rFonts w:ascii="Symbol" w:hAnsi="Symbol"/>
      </w:rPr>
    </w:lvl>
    <w:lvl w:ilvl="2" w:tplc="8FA067A8">
      <w:start w:val="1"/>
      <w:numFmt w:val="bullet"/>
      <w:lvlText w:val=""/>
      <w:lvlJc w:val="left"/>
      <w:pPr>
        <w:ind w:left="720" w:hanging="360"/>
      </w:pPr>
      <w:rPr>
        <w:rFonts w:ascii="Symbol" w:hAnsi="Symbol"/>
      </w:rPr>
    </w:lvl>
    <w:lvl w:ilvl="3" w:tplc="09DEFB48">
      <w:start w:val="1"/>
      <w:numFmt w:val="bullet"/>
      <w:lvlText w:val=""/>
      <w:lvlJc w:val="left"/>
      <w:pPr>
        <w:ind w:left="720" w:hanging="360"/>
      </w:pPr>
      <w:rPr>
        <w:rFonts w:ascii="Symbol" w:hAnsi="Symbol"/>
      </w:rPr>
    </w:lvl>
    <w:lvl w:ilvl="4" w:tplc="9D9AB67C">
      <w:start w:val="1"/>
      <w:numFmt w:val="bullet"/>
      <w:lvlText w:val=""/>
      <w:lvlJc w:val="left"/>
      <w:pPr>
        <w:ind w:left="720" w:hanging="360"/>
      </w:pPr>
      <w:rPr>
        <w:rFonts w:ascii="Symbol" w:hAnsi="Symbol"/>
      </w:rPr>
    </w:lvl>
    <w:lvl w:ilvl="5" w:tplc="4C58481C">
      <w:start w:val="1"/>
      <w:numFmt w:val="bullet"/>
      <w:lvlText w:val=""/>
      <w:lvlJc w:val="left"/>
      <w:pPr>
        <w:ind w:left="720" w:hanging="360"/>
      </w:pPr>
      <w:rPr>
        <w:rFonts w:ascii="Symbol" w:hAnsi="Symbol"/>
      </w:rPr>
    </w:lvl>
    <w:lvl w:ilvl="6" w:tplc="C5F28654">
      <w:start w:val="1"/>
      <w:numFmt w:val="bullet"/>
      <w:lvlText w:val=""/>
      <w:lvlJc w:val="left"/>
      <w:pPr>
        <w:ind w:left="720" w:hanging="360"/>
      </w:pPr>
      <w:rPr>
        <w:rFonts w:ascii="Symbol" w:hAnsi="Symbol"/>
      </w:rPr>
    </w:lvl>
    <w:lvl w:ilvl="7" w:tplc="AAA4D270">
      <w:start w:val="1"/>
      <w:numFmt w:val="bullet"/>
      <w:lvlText w:val=""/>
      <w:lvlJc w:val="left"/>
      <w:pPr>
        <w:ind w:left="720" w:hanging="360"/>
      </w:pPr>
      <w:rPr>
        <w:rFonts w:ascii="Symbol" w:hAnsi="Symbol"/>
      </w:rPr>
    </w:lvl>
    <w:lvl w:ilvl="8" w:tplc="B83EA692">
      <w:start w:val="1"/>
      <w:numFmt w:val="bullet"/>
      <w:lvlText w:val=""/>
      <w:lvlJc w:val="left"/>
      <w:pPr>
        <w:ind w:left="720" w:hanging="360"/>
      </w:pPr>
      <w:rPr>
        <w:rFonts w:ascii="Symbol" w:hAnsi="Symbol"/>
      </w:rPr>
    </w:lvl>
  </w:abstractNum>
  <w:abstractNum w:abstractNumId="102" w15:restartNumberingAfterBreak="0">
    <w:nsid w:val="4DC01776"/>
    <w:multiLevelType w:val="multilevel"/>
    <w:tmpl w:val="60E0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DE814E0"/>
    <w:multiLevelType w:val="hybridMultilevel"/>
    <w:tmpl w:val="D00E5A9E"/>
    <w:lvl w:ilvl="0" w:tplc="8750A398">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E7A7575"/>
    <w:multiLevelType w:val="multilevel"/>
    <w:tmpl w:val="A106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E7F1CF9"/>
    <w:multiLevelType w:val="multilevel"/>
    <w:tmpl w:val="8B02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EA135EE"/>
    <w:multiLevelType w:val="multilevel"/>
    <w:tmpl w:val="5822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065685A"/>
    <w:multiLevelType w:val="hybridMultilevel"/>
    <w:tmpl w:val="37808A6A"/>
    <w:lvl w:ilvl="0" w:tplc="7E8E6A6E">
      <w:start w:val="1"/>
      <w:numFmt w:val="bullet"/>
      <w:lvlText w:val=""/>
      <w:lvlJc w:val="left"/>
      <w:pPr>
        <w:ind w:left="720" w:hanging="360"/>
      </w:pPr>
      <w:rPr>
        <w:rFonts w:ascii="Symbol" w:hAnsi="Symbol"/>
      </w:rPr>
    </w:lvl>
    <w:lvl w:ilvl="1" w:tplc="6E5E7922">
      <w:start w:val="1"/>
      <w:numFmt w:val="bullet"/>
      <w:lvlText w:val=""/>
      <w:lvlJc w:val="left"/>
      <w:pPr>
        <w:ind w:left="720" w:hanging="360"/>
      </w:pPr>
      <w:rPr>
        <w:rFonts w:ascii="Symbol" w:hAnsi="Symbol"/>
      </w:rPr>
    </w:lvl>
    <w:lvl w:ilvl="2" w:tplc="92182D56">
      <w:start w:val="1"/>
      <w:numFmt w:val="bullet"/>
      <w:lvlText w:val=""/>
      <w:lvlJc w:val="left"/>
      <w:pPr>
        <w:ind w:left="720" w:hanging="360"/>
      </w:pPr>
      <w:rPr>
        <w:rFonts w:ascii="Symbol" w:hAnsi="Symbol"/>
      </w:rPr>
    </w:lvl>
    <w:lvl w:ilvl="3" w:tplc="8CA2BEE8">
      <w:start w:val="1"/>
      <w:numFmt w:val="bullet"/>
      <w:lvlText w:val=""/>
      <w:lvlJc w:val="left"/>
      <w:pPr>
        <w:ind w:left="720" w:hanging="360"/>
      </w:pPr>
      <w:rPr>
        <w:rFonts w:ascii="Symbol" w:hAnsi="Symbol"/>
      </w:rPr>
    </w:lvl>
    <w:lvl w:ilvl="4" w:tplc="7AC073EC">
      <w:start w:val="1"/>
      <w:numFmt w:val="bullet"/>
      <w:lvlText w:val=""/>
      <w:lvlJc w:val="left"/>
      <w:pPr>
        <w:ind w:left="720" w:hanging="360"/>
      </w:pPr>
      <w:rPr>
        <w:rFonts w:ascii="Symbol" w:hAnsi="Symbol"/>
      </w:rPr>
    </w:lvl>
    <w:lvl w:ilvl="5" w:tplc="80907982">
      <w:start w:val="1"/>
      <w:numFmt w:val="bullet"/>
      <w:lvlText w:val=""/>
      <w:lvlJc w:val="left"/>
      <w:pPr>
        <w:ind w:left="720" w:hanging="360"/>
      </w:pPr>
      <w:rPr>
        <w:rFonts w:ascii="Symbol" w:hAnsi="Symbol"/>
      </w:rPr>
    </w:lvl>
    <w:lvl w:ilvl="6" w:tplc="17428068">
      <w:start w:val="1"/>
      <w:numFmt w:val="bullet"/>
      <w:lvlText w:val=""/>
      <w:lvlJc w:val="left"/>
      <w:pPr>
        <w:ind w:left="720" w:hanging="360"/>
      </w:pPr>
      <w:rPr>
        <w:rFonts w:ascii="Symbol" w:hAnsi="Symbol"/>
      </w:rPr>
    </w:lvl>
    <w:lvl w:ilvl="7" w:tplc="7994A6DC">
      <w:start w:val="1"/>
      <w:numFmt w:val="bullet"/>
      <w:lvlText w:val=""/>
      <w:lvlJc w:val="left"/>
      <w:pPr>
        <w:ind w:left="720" w:hanging="360"/>
      </w:pPr>
      <w:rPr>
        <w:rFonts w:ascii="Symbol" w:hAnsi="Symbol"/>
      </w:rPr>
    </w:lvl>
    <w:lvl w:ilvl="8" w:tplc="B6742E16">
      <w:start w:val="1"/>
      <w:numFmt w:val="bullet"/>
      <w:lvlText w:val=""/>
      <w:lvlJc w:val="left"/>
      <w:pPr>
        <w:ind w:left="720" w:hanging="360"/>
      </w:pPr>
      <w:rPr>
        <w:rFonts w:ascii="Symbol" w:hAnsi="Symbol"/>
      </w:rPr>
    </w:lvl>
  </w:abstractNum>
  <w:abstractNum w:abstractNumId="108" w15:restartNumberingAfterBreak="0">
    <w:nsid w:val="507969C6"/>
    <w:multiLevelType w:val="hybridMultilevel"/>
    <w:tmpl w:val="24AAE324"/>
    <w:lvl w:ilvl="0" w:tplc="8258D61A">
      <w:start w:val="1"/>
      <w:numFmt w:val="bullet"/>
      <w:lvlText w:val=""/>
      <w:lvlJc w:val="left"/>
      <w:pPr>
        <w:ind w:left="720" w:hanging="360"/>
      </w:pPr>
      <w:rPr>
        <w:rFonts w:ascii="Symbol" w:hAnsi="Symbol"/>
      </w:rPr>
    </w:lvl>
    <w:lvl w:ilvl="1" w:tplc="45928422">
      <w:start w:val="1"/>
      <w:numFmt w:val="bullet"/>
      <w:lvlText w:val=""/>
      <w:lvlJc w:val="left"/>
      <w:pPr>
        <w:ind w:left="720" w:hanging="360"/>
      </w:pPr>
      <w:rPr>
        <w:rFonts w:ascii="Symbol" w:hAnsi="Symbol"/>
      </w:rPr>
    </w:lvl>
    <w:lvl w:ilvl="2" w:tplc="8242A722">
      <w:start w:val="1"/>
      <w:numFmt w:val="bullet"/>
      <w:lvlText w:val=""/>
      <w:lvlJc w:val="left"/>
      <w:pPr>
        <w:ind w:left="720" w:hanging="360"/>
      </w:pPr>
      <w:rPr>
        <w:rFonts w:ascii="Symbol" w:hAnsi="Symbol"/>
      </w:rPr>
    </w:lvl>
    <w:lvl w:ilvl="3" w:tplc="2C86793E">
      <w:start w:val="1"/>
      <w:numFmt w:val="bullet"/>
      <w:lvlText w:val=""/>
      <w:lvlJc w:val="left"/>
      <w:pPr>
        <w:ind w:left="720" w:hanging="360"/>
      </w:pPr>
      <w:rPr>
        <w:rFonts w:ascii="Symbol" w:hAnsi="Symbol"/>
      </w:rPr>
    </w:lvl>
    <w:lvl w:ilvl="4" w:tplc="9D9C1394">
      <w:start w:val="1"/>
      <w:numFmt w:val="bullet"/>
      <w:lvlText w:val=""/>
      <w:lvlJc w:val="left"/>
      <w:pPr>
        <w:ind w:left="720" w:hanging="360"/>
      </w:pPr>
      <w:rPr>
        <w:rFonts w:ascii="Symbol" w:hAnsi="Symbol"/>
      </w:rPr>
    </w:lvl>
    <w:lvl w:ilvl="5" w:tplc="96B6586E">
      <w:start w:val="1"/>
      <w:numFmt w:val="bullet"/>
      <w:lvlText w:val=""/>
      <w:lvlJc w:val="left"/>
      <w:pPr>
        <w:ind w:left="720" w:hanging="360"/>
      </w:pPr>
      <w:rPr>
        <w:rFonts w:ascii="Symbol" w:hAnsi="Symbol"/>
      </w:rPr>
    </w:lvl>
    <w:lvl w:ilvl="6" w:tplc="EF8ED8A0">
      <w:start w:val="1"/>
      <w:numFmt w:val="bullet"/>
      <w:lvlText w:val=""/>
      <w:lvlJc w:val="left"/>
      <w:pPr>
        <w:ind w:left="720" w:hanging="360"/>
      </w:pPr>
      <w:rPr>
        <w:rFonts w:ascii="Symbol" w:hAnsi="Symbol"/>
      </w:rPr>
    </w:lvl>
    <w:lvl w:ilvl="7" w:tplc="F1366CB0">
      <w:start w:val="1"/>
      <w:numFmt w:val="bullet"/>
      <w:lvlText w:val=""/>
      <w:lvlJc w:val="left"/>
      <w:pPr>
        <w:ind w:left="720" w:hanging="360"/>
      </w:pPr>
      <w:rPr>
        <w:rFonts w:ascii="Symbol" w:hAnsi="Symbol"/>
      </w:rPr>
    </w:lvl>
    <w:lvl w:ilvl="8" w:tplc="11CE8972">
      <w:start w:val="1"/>
      <w:numFmt w:val="bullet"/>
      <w:lvlText w:val=""/>
      <w:lvlJc w:val="left"/>
      <w:pPr>
        <w:ind w:left="720" w:hanging="360"/>
      </w:pPr>
      <w:rPr>
        <w:rFonts w:ascii="Symbol" w:hAnsi="Symbol"/>
      </w:rPr>
    </w:lvl>
  </w:abstractNum>
  <w:abstractNum w:abstractNumId="109" w15:restartNumberingAfterBreak="0">
    <w:nsid w:val="51113F4E"/>
    <w:multiLevelType w:val="hybridMultilevel"/>
    <w:tmpl w:val="61DA46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0" w15:restartNumberingAfterBreak="0">
    <w:nsid w:val="52EF644B"/>
    <w:multiLevelType w:val="multilevel"/>
    <w:tmpl w:val="9E78C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3497000"/>
    <w:multiLevelType w:val="hybridMultilevel"/>
    <w:tmpl w:val="829C055C"/>
    <w:lvl w:ilvl="0" w:tplc="A9BC3B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541274A0"/>
    <w:multiLevelType w:val="hybridMultilevel"/>
    <w:tmpl w:val="7DB2829C"/>
    <w:lvl w:ilvl="0" w:tplc="3C3ACEFC">
      <w:start w:val="1"/>
      <w:numFmt w:val="bullet"/>
      <w:lvlText w:val="–"/>
      <w:lvlJc w:val="left"/>
      <w:pPr>
        <w:ind w:left="785" w:hanging="360"/>
      </w:pPr>
      <w:rPr>
        <w:rFonts w:ascii="Calibri" w:hAnsi="Calibri"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13" w15:restartNumberingAfterBreak="0">
    <w:nsid w:val="5415663B"/>
    <w:multiLevelType w:val="multilevel"/>
    <w:tmpl w:val="45AA03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4" w15:restartNumberingAfterBreak="0">
    <w:nsid w:val="54C83B2D"/>
    <w:multiLevelType w:val="multilevel"/>
    <w:tmpl w:val="BEC41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5AC6E64"/>
    <w:multiLevelType w:val="hybridMultilevel"/>
    <w:tmpl w:val="A688563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6" w15:restartNumberingAfterBreak="0">
    <w:nsid w:val="562E6B70"/>
    <w:multiLevelType w:val="multilevel"/>
    <w:tmpl w:val="EC90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72E355D"/>
    <w:multiLevelType w:val="hybridMultilevel"/>
    <w:tmpl w:val="E85C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7343A46"/>
    <w:multiLevelType w:val="multilevel"/>
    <w:tmpl w:val="7E7C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7A633D7"/>
    <w:multiLevelType w:val="hybridMultilevel"/>
    <w:tmpl w:val="165C3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83F3685"/>
    <w:multiLevelType w:val="hybridMultilevel"/>
    <w:tmpl w:val="74B8375C"/>
    <w:lvl w:ilvl="0" w:tplc="192E64F6">
      <w:start w:val="1"/>
      <w:numFmt w:val="decimal"/>
      <w:lvlText w:val="%1."/>
      <w:lvlJc w:val="left"/>
      <w:pPr>
        <w:ind w:left="1020" w:hanging="360"/>
      </w:pPr>
    </w:lvl>
    <w:lvl w:ilvl="1" w:tplc="9662C28A">
      <w:start w:val="1"/>
      <w:numFmt w:val="decimal"/>
      <w:lvlText w:val="%2."/>
      <w:lvlJc w:val="left"/>
      <w:pPr>
        <w:ind w:left="1020" w:hanging="360"/>
      </w:pPr>
    </w:lvl>
    <w:lvl w:ilvl="2" w:tplc="DB167684">
      <w:start w:val="1"/>
      <w:numFmt w:val="decimal"/>
      <w:lvlText w:val="%3."/>
      <w:lvlJc w:val="left"/>
      <w:pPr>
        <w:ind w:left="1020" w:hanging="360"/>
      </w:pPr>
    </w:lvl>
    <w:lvl w:ilvl="3" w:tplc="11C4F4DA">
      <w:start w:val="1"/>
      <w:numFmt w:val="decimal"/>
      <w:lvlText w:val="%4."/>
      <w:lvlJc w:val="left"/>
      <w:pPr>
        <w:ind w:left="1020" w:hanging="360"/>
      </w:pPr>
    </w:lvl>
    <w:lvl w:ilvl="4" w:tplc="E5CA3C84">
      <w:start w:val="1"/>
      <w:numFmt w:val="decimal"/>
      <w:lvlText w:val="%5."/>
      <w:lvlJc w:val="left"/>
      <w:pPr>
        <w:ind w:left="1020" w:hanging="360"/>
      </w:pPr>
    </w:lvl>
    <w:lvl w:ilvl="5" w:tplc="E5466EB4">
      <w:start w:val="1"/>
      <w:numFmt w:val="decimal"/>
      <w:lvlText w:val="%6."/>
      <w:lvlJc w:val="left"/>
      <w:pPr>
        <w:ind w:left="1020" w:hanging="360"/>
      </w:pPr>
    </w:lvl>
    <w:lvl w:ilvl="6" w:tplc="6988E32C">
      <w:start w:val="1"/>
      <w:numFmt w:val="decimal"/>
      <w:lvlText w:val="%7."/>
      <w:lvlJc w:val="left"/>
      <w:pPr>
        <w:ind w:left="1020" w:hanging="360"/>
      </w:pPr>
    </w:lvl>
    <w:lvl w:ilvl="7" w:tplc="BBFAF142">
      <w:start w:val="1"/>
      <w:numFmt w:val="decimal"/>
      <w:lvlText w:val="%8."/>
      <w:lvlJc w:val="left"/>
      <w:pPr>
        <w:ind w:left="1020" w:hanging="360"/>
      </w:pPr>
    </w:lvl>
    <w:lvl w:ilvl="8" w:tplc="2D14A580">
      <w:start w:val="1"/>
      <w:numFmt w:val="decimal"/>
      <w:lvlText w:val="%9."/>
      <w:lvlJc w:val="left"/>
      <w:pPr>
        <w:ind w:left="1020" w:hanging="360"/>
      </w:pPr>
    </w:lvl>
  </w:abstractNum>
  <w:abstractNum w:abstractNumId="121" w15:restartNumberingAfterBreak="0">
    <w:nsid w:val="593C0FC3"/>
    <w:multiLevelType w:val="multilevel"/>
    <w:tmpl w:val="AE36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BE23326"/>
    <w:multiLevelType w:val="hybridMultilevel"/>
    <w:tmpl w:val="E916992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5C9166A8"/>
    <w:multiLevelType w:val="hybridMultilevel"/>
    <w:tmpl w:val="EB5E2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5CE1623A"/>
    <w:multiLevelType w:val="hybridMultilevel"/>
    <w:tmpl w:val="1E3AF4AA"/>
    <w:lvl w:ilvl="0" w:tplc="08090001">
      <w:start w:val="1"/>
      <w:numFmt w:val="bullet"/>
      <w:lvlText w:val=""/>
      <w:lvlJc w:val="left"/>
      <w:pPr>
        <w:ind w:left="720" w:hanging="360"/>
      </w:pPr>
      <w:rPr>
        <w:rFonts w:ascii="Symbol" w:hAnsi="Symbol" w:hint="default"/>
      </w:rPr>
    </w:lvl>
    <w:lvl w:ilvl="1" w:tplc="9F7CDB4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E4E2A01"/>
    <w:multiLevelType w:val="multilevel"/>
    <w:tmpl w:val="630EA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F3B283A"/>
    <w:multiLevelType w:val="multilevel"/>
    <w:tmpl w:val="D930C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7" w15:restartNumberingAfterBreak="0">
    <w:nsid w:val="5F882A4A"/>
    <w:multiLevelType w:val="multilevel"/>
    <w:tmpl w:val="055296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8" w15:restartNumberingAfterBreak="0">
    <w:nsid w:val="60155000"/>
    <w:multiLevelType w:val="multilevel"/>
    <w:tmpl w:val="87B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047415B"/>
    <w:multiLevelType w:val="multilevel"/>
    <w:tmpl w:val="0B3A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1" w15:restartNumberingAfterBreak="0">
    <w:nsid w:val="60BF559D"/>
    <w:multiLevelType w:val="hybridMultilevel"/>
    <w:tmpl w:val="548C17F0"/>
    <w:lvl w:ilvl="0" w:tplc="7AACA41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2"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641A14F4"/>
    <w:multiLevelType w:val="multilevel"/>
    <w:tmpl w:val="0D8E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4863B5B"/>
    <w:multiLevelType w:val="multilevel"/>
    <w:tmpl w:val="A8BC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55374DC"/>
    <w:multiLevelType w:val="multilevel"/>
    <w:tmpl w:val="B49C7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5886DF5"/>
    <w:multiLevelType w:val="multilevel"/>
    <w:tmpl w:val="2696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5AE1896"/>
    <w:multiLevelType w:val="multilevel"/>
    <w:tmpl w:val="E408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5E601CF"/>
    <w:multiLevelType w:val="multilevel"/>
    <w:tmpl w:val="058A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7A60C44"/>
    <w:multiLevelType w:val="hybridMultilevel"/>
    <w:tmpl w:val="3A147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85C4E92"/>
    <w:multiLevelType w:val="multilevel"/>
    <w:tmpl w:val="0720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A004CC5"/>
    <w:multiLevelType w:val="hybridMultilevel"/>
    <w:tmpl w:val="0EF419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2" w15:restartNumberingAfterBreak="0">
    <w:nsid w:val="6A6C73E1"/>
    <w:multiLevelType w:val="multilevel"/>
    <w:tmpl w:val="A4CA5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3" w15:restartNumberingAfterBreak="0">
    <w:nsid w:val="6B062696"/>
    <w:multiLevelType w:val="multilevel"/>
    <w:tmpl w:val="E6945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4" w15:restartNumberingAfterBreak="0">
    <w:nsid w:val="6BB01BAB"/>
    <w:multiLevelType w:val="multilevel"/>
    <w:tmpl w:val="3F6692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5" w15:restartNumberingAfterBreak="0">
    <w:nsid w:val="6BF72F6F"/>
    <w:multiLevelType w:val="multilevel"/>
    <w:tmpl w:val="D98C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ED41BD5"/>
    <w:multiLevelType w:val="hybridMultilevel"/>
    <w:tmpl w:val="53E26938"/>
    <w:lvl w:ilvl="0" w:tplc="FFFFFFFF">
      <w:start w:val="1"/>
      <w:numFmt w:val="decimal"/>
      <w:lvlText w:val="%1."/>
      <w:lvlJc w:val="left"/>
      <w:pPr>
        <w:ind w:left="360" w:hanging="360"/>
      </w:pPr>
    </w:lvl>
    <w:lvl w:ilvl="1" w:tplc="8750A398">
      <w:numFmt w:val="bullet"/>
      <w:lvlText w:val="-"/>
      <w:lvlJc w:val="left"/>
      <w:pPr>
        <w:ind w:left="720" w:hanging="360"/>
      </w:pPr>
      <w:rPr>
        <w:rFonts w:ascii="Times New Roman" w:eastAsiaTheme="minorEastAsia"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6FB2528C"/>
    <w:multiLevelType w:val="multilevel"/>
    <w:tmpl w:val="9A0071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1.%2.%3."/>
      <w:lvlJc w:val="left"/>
      <w:pPr>
        <w:ind w:left="1712" w:hanging="720"/>
      </w:pPr>
    </w:lvl>
    <w:lvl w:ilvl="3">
      <w:start w:val="1"/>
      <w:numFmt w:val="decimal"/>
      <w:isLgl/>
      <w:lvlText w:val="%1.%2.%3.%4."/>
      <w:lvlJc w:val="left"/>
      <w:pPr>
        <w:ind w:left="2421"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15:restartNumberingAfterBreak="0">
    <w:nsid w:val="702A44D2"/>
    <w:multiLevelType w:val="hybridMultilevel"/>
    <w:tmpl w:val="E856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03A24F3"/>
    <w:multiLevelType w:val="hybridMultilevel"/>
    <w:tmpl w:val="91F4B632"/>
    <w:lvl w:ilvl="0" w:tplc="3FBEB554">
      <w:start w:val="1"/>
      <w:numFmt w:val="bullet"/>
      <w:lvlText w:val=""/>
      <w:lvlJc w:val="left"/>
      <w:pPr>
        <w:ind w:left="720" w:hanging="360"/>
      </w:pPr>
      <w:rPr>
        <w:rFonts w:ascii="Symbol" w:hAnsi="Symbol"/>
      </w:rPr>
    </w:lvl>
    <w:lvl w:ilvl="1" w:tplc="E98E9C42">
      <w:start w:val="1"/>
      <w:numFmt w:val="bullet"/>
      <w:lvlText w:val=""/>
      <w:lvlJc w:val="left"/>
      <w:pPr>
        <w:ind w:left="720" w:hanging="360"/>
      </w:pPr>
      <w:rPr>
        <w:rFonts w:ascii="Symbol" w:hAnsi="Symbol"/>
      </w:rPr>
    </w:lvl>
    <w:lvl w:ilvl="2" w:tplc="087282B4">
      <w:start w:val="1"/>
      <w:numFmt w:val="bullet"/>
      <w:lvlText w:val=""/>
      <w:lvlJc w:val="left"/>
      <w:pPr>
        <w:ind w:left="720" w:hanging="360"/>
      </w:pPr>
      <w:rPr>
        <w:rFonts w:ascii="Symbol" w:hAnsi="Symbol"/>
      </w:rPr>
    </w:lvl>
    <w:lvl w:ilvl="3" w:tplc="DCA898AC">
      <w:start w:val="1"/>
      <w:numFmt w:val="bullet"/>
      <w:lvlText w:val=""/>
      <w:lvlJc w:val="left"/>
      <w:pPr>
        <w:ind w:left="720" w:hanging="360"/>
      </w:pPr>
      <w:rPr>
        <w:rFonts w:ascii="Symbol" w:hAnsi="Symbol"/>
      </w:rPr>
    </w:lvl>
    <w:lvl w:ilvl="4" w:tplc="72D83B70">
      <w:start w:val="1"/>
      <w:numFmt w:val="bullet"/>
      <w:lvlText w:val=""/>
      <w:lvlJc w:val="left"/>
      <w:pPr>
        <w:ind w:left="720" w:hanging="360"/>
      </w:pPr>
      <w:rPr>
        <w:rFonts w:ascii="Symbol" w:hAnsi="Symbol"/>
      </w:rPr>
    </w:lvl>
    <w:lvl w:ilvl="5" w:tplc="83CCACF0">
      <w:start w:val="1"/>
      <w:numFmt w:val="bullet"/>
      <w:lvlText w:val=""/>
      <w:lvlJc w:val="left"/>
      <w:pPr>
        <w:ind w:left="720" w:hanging="360"/>
      </w:pPr>
      <w:rPr>
        <w:rFonts w:ascii="Symbol" w:hAnsi="Symbol"/>
      </w:rPr>
    </w:lvl>
    <w:lvl w:ilvl="6" w:tplc="F4E246E2">
      <w:start w:val="1"/>
      <w:numFmt w:val="bullet"/>
      <w:lvlText w:val=""/>
      <w:lvlJc w:val="left"/>
      <w:pPr>
        <w:ind w:left="720" w:hanging="360"/>
      </w:pPr>
      <w:rPr>
        <w:rFonts w:ascii="Symbol" w:hAnsi="Symbol"/>
      </w:rPr>
    </w:lvl>
    <w:lvl w:ilvl="7" w:tplc="B5CA9A7E">
      <w:start w:val="1"/>
      <w:numFmt w:val="bullet"/>
      <w:lvlText w:val=""/>
      <w:lvlJc w:val="left"/>
      <w:pPr>
        <w:ind w:left="720" w:hanging="360"/>
      </w:pPr>
      <w:rPr>
        <w:rFonts w:ascii="Symbol" w:hAnsi="Symbol"/>
      </w:rPr>
    </w:lvl>
    <w:lvl w:ilvl="8" w:tplc="69D8ED86">
      <w:start w:val="1"/>
      <w:numFmt w:val="bullet"/>
      <w:lvlText w:val=""/>
      <w:lvlJc w:val="left"/>
      <w:pPr>
        <w:ind w:left="720" w:hanging="360"/>
      </w:pPr>
      <w:rPr>
        <w:rFonts w:ascii="Symbol" w:hAnsi="Symbol"/>
      </w:rPr>
    </w:lvl>
  </w:abstractNum>
  <w:abstractNum w:abstractNumId="150" w15:restartNumberingAfterBreak="0">
    <w:nsid w:val="709D1988"/>
    <w:multiLevelType w:val="hybridMultilevel"/>
    <w:tmpl w:val="5B705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70E13024"/>
    <w:multiLevelType w:val="multilevel"/>
    <w:tmpl w:val="0CAA43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2" w15:restartNumberingAfterBreak="0">
    <w:nsid w:val="736D717B"/>
    <w:multiLevelType w:val="multilevel"/>
    <w:tmpl w:val="7528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44E2155"/>
    <w:multiLevelType w:val="hybridMultilevel"/>
    <w:tmpl w:val="9C6AFC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74535DCA"/>
    <w:multiLevelType w:val="hybridMultilevel"/>
    <w:tmpl w:val="82380AFE"/>
    <w:lvl w:ilvl="0" w:tplc="08090001">
      <w:start w:val="1"/>
      <w:numFmt w:val="bullet"/>
      <w:lvlText w:val=""/>
      <w:lvlJc w:val="left"/>
      <w:pPr>
        <w:ind w:left="1922" w:hanging="360"/>
      </w:pPr>
      <w:rPr>
        <w:rFonts w:ascii="Symbol" w:hAnsi="Symbol" w:hint="default"/>
      </w:rPr>
    </w:lvl>
    <w:lvl w:ilvl="1" w:tplc="FFFFFFFF" w:tentative="1">
      <w:start w:val="1"/>
      <w:numFmt w:val="bullet"/>
      <w:lvlText w:val="o"/>
      <w:lvlJc w:val="left"/>
      <w:pPr>
        <w:ind w:left="2642" w:hanging="360"/>
      </w:pPr>
      <w:rPr>
        <w:rFonts w:ascii="Courier New" w:hAnsi="Courier New" w:cs="Courier New" w:hint="default"/>
      </w:rPr>
    </w:lvl>
    <w:lvl w:ilvl="2" w:tplc="FFFFFFFF" w:tentative="1">
      <w:start w:val="1"/>
      <w:numFmt w:val="bullet"/>
      <w:lvlText w:val=""/>
      <w:lvlJc w:val="left"/>
      <w:pPr>
        <w:ind w:left="3362" w:hanging="360"/>
      </w:pPr>
      <w:rPr>
        <w:rFonts w:ascii="Wingdings" w:hAnsi="Wingdings" w:hint="default"/>
      </w:rPr>
    </w:lvl>
    <w:lvl w:ilvl="3" w:tplc="FFFFFFFF" w:tentative="1">
      <w:start w:val="1"/>
      <w:numFmt w:val="bullet"/>
      <w:lvlText w:val=""/>
      <w:lvlJc w:val="left"/>
      <w:pPr>
        <w:ind w:left="4082" w:hanging="360"/>
      </w:pPr>
      <w:rPr>
        <w:rFonts w:ascii="Symbol" w:hAnsi="Symbol" w:hint="default"/>
      </w:rPr>
    </w:lvl>
    <w:lvl w:ilvl="4" w:tplc="FFFFFFFF" w:tentative="1">
      <w:start w:val="1"/>
      <w:numFmt w:val="bullet"/>
      <w:lvlText w:val="o"/>
      <w:lvlJc w:val="left"/>
      <w:pPr>
        <w:ind w:left="4802" w:hanging="360"/>
      </w:pPr>
      <w:rPr>
        <w:rFonts w:ascii="Courier New" w:hAnsi="Courier New" w:cs="Courier New" w:hint="default"/>
      </w:rPr>
    </w:lvl>
    <w:lvl w:ilvl="5" w:tplc="FFFFFFFF" w:tentative="1">
      <w:start w:val="1"/>
      <w:numFmt w:val="bullet"/>
      <w:lvlText w:val=""/>
      <w:lvlJc w:val="left"/>
      <w:pPr>
        <w:ind w:left="5522" w:hanging="360"/>
      </w:pPr>
      <w:rPr>
        <w:rFonts w:ascii="Wingdings" w:hAnsi="Wingdings" w:hint="default"/>
      </w:rPr>
    </w:lvl>
    <w:lvl w:ilvl="6" w:tplc="FFFFFFFF" w:tentative="1">
      <w:start w:val="1"/>
      <w:numFmt w:val="bullet"/>
      <w:lvlText w:val=""/>
      <w:lvlJc w:val="left"/>
      <w:pPr>
        <w:ind w:left="6242" w:hanging="360"/>
      </w:pPr>
      <w:rPr>
        <w:rFonts w:ascii="Symbol" w:hAnsi="Symbol" w:hint="default"/>
      </w:rPr>
    </w:lvl>
    <w:lvl w:ilvl="7" w:tplc="FFFFFFFF" w:tentative="1">
      <w:start w:val="1"/>
      <w:numFmt w:val="bullet"/>
      <w:lvlText w:val="o"/>
      <w:lvlJc w:val="left"/>
      <w:pPr>
        <w:ind w:left="6962" w:hanging="360"/>
      </w:pPr>
      <w:rPr>
        <w:rFonts w:ascii="Courier New" w:hAnsi="Courier New" w:cs="Courier New" w:hint="default"/>
      </w:rPr>
    </w:lvl>
    <w:lvl w:ilvl="8" w:tplc="FFFFFFFF" w:tentative="1">
      <w:start w:val="1"/>
      <w:numFmt w:val="bullet"/>
      <w:lvlText w:val=""/>
      <w:lvlJc w:val="left"/>
      <w:pPr>
        <w:ind w:left="7682" w:hanging="360"/>
      </w:pPr>
      <w:rPr>
        <w:rFonts w:ascii="Wingdings" w:hAnsi="Wingdings" w:hint="default"/>
      </w:rPr>
    </w:lvl>
  </w:abstractNum>
  <w:abstractNum w:abstractNumId="155" w15:restartNumberingAfterBreak="0">
    <w:nsid w:val="74E12589"/>
    <w:multiLevelType w:val="multilevel"/>
    <w:tmpl w:val="75AE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58F525C"/>
    <w:multiLevelType w:val="multilevel"/>
    <w:tmpl w:val="9A0071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1.%2.%3."/>
      <w:lvlJc w:val="left"/>
      <w:pPr>
        <w:ind w:left="1712" w:hanging="720"/>
      </w:pPr>
    </w:lvl>
    <w:lvl w:ilvl="3">
      <w:start w:val="1"/>
      <w:numFmt w:val="decimal"/>
      <w:isLgl/>
      <w:lvlText w:val="%1.%2.%3.%4."/>
      <w:lvlJc w:val="left"/>
      <w:pPr>
        <w:ind w:left="2421"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7" w15:restartNumberingAfterBreak="0">
    <w:nsid w:val="77F00611"/>
    <w:multiLevelType w:val="multilevel"/>
    <w:tmpl w:val="E7C4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8B50D80"/>
    <w:multiLevelType w:val="multilevel"/>
    <w:tmpl w:val="1EEC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8F405E8"/>
    <w:multiLevelType w:val="hybridMultilevel"/>
    <w:tmpl w:val="86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7923798B"/>
    <w:multiLevelType w:val="multilevel"/>
    <w:tmpl w:val="5E3691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1" w15:restartNumberingAfterBreak="0">
    <w:nsid w:val="797D09CF"/>
    <w:multiLevelType w:val="hybridMultilevel"/>
    <w:tmpl w:val="E716F212"/>
    <w:lvl w:ilvl="0" w:tplc="5568DD3E">
      <w:start w:val="1"/>
      <w:numFmt w:val="bullet"/>
      <w:lvlText w:val=""/>
      <w:lvlJc w:val="left"/>
      <w:pPr>
        <w:ind w:left="720" w:hanging="360"/>
      </w:pPr>
      <w:rPr>
        <w:rFonts w:ascii="Symbol" w:hAnsi="Symbol"/>
      </w:rPr>
    </w:lvl>
    <w:lvl w:ilvl="1" w:tplc="54E8D05C">
      <w:start w:val="1"/>
      <w:numFmt w:val="bullet"/>
      <w:lvlText w:val=""/>
      <w:lvlJc w:val="left"/>
      <w:pPr>
        <w:ind w:left="720" w:hanging="360"/>
      </w:pPr>
      <w:rPr>
        <w:rFonts w:ascii="Symbol" w:hAnsi="Symbol"/>
      </w:rPr>
    </w:lvl>
    <w:lvl w:ilvl="2" w:tplc="D0B66E38">
      <w:start w:val="1"/>
      <w:numFmt w:val="bullet"/>
      <w:lvlText w:val=""/>
      <w:lvlJc w:val="left"/>
      <w:pPr>
        <w:ind w:left="720" w:hanging="360"/>
      </w:pPr>
      <w:rPr>
        <w:rFonts w:ascii="Symbol" w:hAnsi="Symbol"/>
      </w:rPr>
    </w:lvl>
    <w:lvl w:ilvl="3" w:tplc="F6581F00">
      <w:start w:val="1"/>
      <w:numFmt w:val="bullet"/>
      <w:lvlText w:val=""/>
      <w:lvlJc w:val="left"/>
      <w:pPr>
        <w:ind w:left="720" w:hanging="360"/>
      </w:pPr>
      <w:rPr>
        <w:rFonts w:ascii="Symbol" w:hAnsi="Symbol"/>
      </w:rPr>
    </w:lvl>
    <w:lvl w:ilvl="4" w:tplc="B55AB8B4">
      <w:start w:val="1"/>
      <w:numFmt w:val="bullet"/>
      <w:lvlText w:val=""/>
      <w:lvlJc w:val="left"/>
      <w:pPr>
        <w:ind w:left="720" w:hanging="360"/>
      </w:pPr>
      <w:rPr>
        <w:rFonts w:ascii="Symbol" w:hAnsi="Symbol"/>
      </w:rPr>
    </w:lvl>
    <w:lvl w:ilvl="5" w:tplc="628AC41E">
      <w:start w:val="1"/>
      <w:numFmt w:val="bullet"/>
      <w:lvlText w:val=""/>
      <w:lvlJc w:val="left"/>
      <w:pPr>
        <w:ind w:left="720" w:hanging="360"/>
      </w:pPr>
      <w:rPr>
        <w:rFonts w:ascii="Symbol" w:hAnsi="Symbol"/>
      </w:rPr>
    </w:lvl>
    <w:lvl w:ilvl="6" w:tplc="38E2C566">
      <w:start w:val="1"/>
      <w:numFmt w:val="bullet"/>
      <w:lvlText w:val=""/>
      <w:lvlJc w:val="left"/>
      <w:pPr>
        <w:ind w:left="720" w:hanging="360"/>
      </w:pPr>
      <w:rPr>
        <w:rFonts w:ascii="Symbol" w:hAnsi="Symbol"/>
      </w:rPr>
    </w:lvl>
    <w:lvl w:ilvl="7" w:tplc="4DDA0D0A">
      <w:start w:val="1"/>
      <w:numFmt w:val="bullet"/>
      <w:lvlText w:val=""/>
      <w:lvlJc w:val="left"/>
      <w:pPr>
        <w:ind w:left="720" w:hanging="360"/>
      </w:pPr>
      <w:rPr>
        <w:rFonts w:ascii="Symbol" w:hAnsi="Symbol"/>
      </w:rPr>
    </w:lvl>
    <w:lvl w:ilvl="8" w:tplc="97E00048">
      <w:start w:val="1"/>
      <w:numFmt w:val="bullet"/>
      <w:lvlText w:val=""/>
      <w:lvlJc w:val="left"/>
      <w:pPr>
        <w:ind w:left="720" w:hanging="360"/>
      </w:pPr>
      <w:rPr>
        <w:rFonts w:ascii="Symbol" w:hAnsi="Symbol"/>
      </w:rPr>
    </w:lvl>
  </w:abstractNum>
  <w:abstractNum w:abstractNumId="162" w15:restartNumberingAfterBreak="0">
    <w:nsid w:val="79BF583D"/>
    <w:multiLevelType w:val="hybridMultilevel"/>
    <w:tmpl w:val="2638ABC8"/>
    <w:lvl w:ilvl="0" w:tplc="E9560974">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3" w15:restartNumberingAfterBreak="0">
    <w:nsid w:val="7AA440BC"/>
    <w:multiLevelType w:val="hybridMultilevel"/>
    <w:tmpl w:val="F64C6B0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4" w15:restartNumberingAfterBreak="0">
    <w:nsid w:val="7B984347"/>
    <w:multiLevelType w:val="hybridMultilevel"/>
    <w:tmpl w:val="733A09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5" w15:restartNumberingAfterBreak="0">
    <w:nsid w:val="7B9C5B05"/>
    <w:multiLevelType w:val="multilevel"/>
    <w:tmpl w:val="246A76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6" w15:restartNumberingAfterBreak="0">
    <w:nsid w:val="7C755553"/>
    <w:multiLevelType w:val="hybridMultilevel"/>
    <w:tmpl w:val="A96ACA54"/>
    <w:lvl w:ilvl="0" w:tplc="1809000F">
      <w:start w:val="1"/>
      <w:numFmt w:val="decimal"/>
      <w:lvlText w:val="%1."/>
      <w:lvlJc w:val="left"/>
      <w:pPr>
        <w:ind w:left="360" w:hanging="360"/>
      </w:pPr>
    </w:lvl>
    <w:lvl w:ilvl="1" w:tplc="994EE9D0">
      <w:numFmt w:val="bullet"/>
      <w:lvlText w:val="–"/>
      <w:lvlJc w:val="left"/>
      <w:pPr>
        <w:ind w:left="1080" w:hanging="360"/>
      </w:pPr>
      <w:rPr>
        <w:rFonts w:ascii="Times New Roman" w:eastAsiaTheme="minorEastAsia" w:hAnsi="Times New Roman" w:cs="Times New Roman"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7CED5412"/>
    <w:multiLevelType w:val="multilevel"/>
    <w:tmpl w:val="DCCE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7D32403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9" w15:restartNumberingAfterBreak="0">
    <w:nsid w:val="7D3A5DAA"/>
    <w:multiLevelType w:val="multilevel"/>
    <w:tmpl w:val="1E481E2E"/>
    <w:lvl w:ilvl="0">
      <w:start w:val="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1145" w:hanging="720"/>
      </w:pPr>
      <w:rPr>
        <w:rFonts w:hint="default"/>
      </w:rPr>
    </w:lvl>
    <w:lvl w:ilvl="3">
      <w:start w:val="2"/>
      <w:numFmt w:val="decimal"/>
      <w:lvlText w:val="%1.%2.%3.%4."/>
      <w:lvlJc w:val="left"/>
      <w:pPr>
        <w:ind w:left="28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0" w15:restartNumberingAfterBreak="0">
    <w:nsid w:val="7ED03EE4"/>
    <w:multiLevelType w:val="multilevel"/>
    <w:tmpl w:val="CF2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F5A7276"/>
    <w:multiLevelType w:val="multilevel"/>
    <w:tmpl w:val="B7EE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4"/>
  </w:num>
  <w:num w:numId="2">
    <w:abstractNumId w:val="130"/>
  </w:num>
  <w:num w:numId="3">
    <w:abstractNumId w:val="46"/>
  </w:num>
  <w:num w:numId="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2"/>
  </w:num>
  <w:num w:numId="7">
    <w:abstractNumId w:val="45"/>
  </w:num>
  <w:num w:numId="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4"/>
  </w:num>
  <w:num w:numId="10">
    <w:abstractNumId w:val="112"/>
  </w:num>
  <w:num w:numId="11">
    <w:abstractNumId w:val="28"/>
  </w:num>
  <w:num w:numId="12">
    <w:abstractNumId w:val="60"/>
  </w:num>
  <w:num w:numId="13">
    <w:abstractNumId w:val="117"/>
  </w:num>
  <w:num w:numId="14">
    <w:abstractNumId w:val="53"/>
  </w:num>
  <w:num w:numId="15">
    <w:abstractNumId w:val="63"/>
  </w:num>
  <w:num w:numId="16">
    <w:abstractNumId w:val="63"/>
  </w:num>
  <w:num w:numId="17">
    <w:abstractNumId w:val="123"/>
  </w:num>
  <w:num w:numId="18">
    <w:abstractNumId w:val="82"/>
  </w:num>
  <w:num w:numId="19">
    <w:abstractNumId w:val="46"/>
  </w:num>
  <w:num w:numId="20">
    <w:abstractNumId w:val="97"/>
  </w:num>
  <w:num w:numId="21">
    <w:abstractNumId w:val="50"/>
  </w:num>
  <w:num w:numId="22">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4"/>
  </w:num>
  <w:num w:numId="24">
    <w:abstractNumId w:val="16"/>
  </w:num>
  <w:num w:numId="25">
    <w:abstractNumId w:val="124"/>
  </w:num>
  <w:num w:numId="26">
    <w:abstractNumId w:val="115"/>
  </w:num>
  <w:num w:numId="27">
    <w:abstractNumId w:val="75"/>
  </w:num>
  <w:num w:numId="28">
    <w:abstractNumId w:val="23"/>
  </w:num>
  <w:num w:numId="29">
    <w:abstractNumId w:val="76"/>
  </w:num>
  <w:num w:numId="30">
    <w:abstractNumId w:val="170"/>
  </w:num>
  <w:num w:numId="31">
    <w:abstractNumId w:val="36"/>
  </w:num>
  <w:num w:numId="32">
    <w:abstractNumId w:val="152"/>
  </w:num>
  <w:num w:numId="33">
    <w:abstractNumId w:val="52"/>
  </w:num>
  <w:num w:numId="34">
    <w:abstractNumId w:val="37"/>
  </w:num>
  <w:num w:numId="35">
    <w:abstractNumId w:val="38"/>
  </w:num>
  <w:num w:numId="36">
    <w:abstractNumId w:val="39"/>
  </w:num>
  <w:num w:numId="37">
    <w:abstractNumId w:val="91"/>
  </w:num>
  <w:num w:numId="38">
    <w:abstractNumId w:val="116"/>
  </w:num>
  <w:num w:numId="39">
    <w:abstractNumId w:val="114"/>
  </w:num>
  <w:num w:numId="40">
    <w:abstractNumId w:val="74"/>
  </w:num>
  <w:num w:numId="41">
    <w:abstractNumId w:val="95"/>
  </w:num>
  <w:num w:numId="42">
    <w:abstractNumId w:val="126"/>
  </w:num>
  <w:num w:numId="43">
    <w:abstractNumId w:val="143"/>
  </w:num>
  <w:num w:numId="44">
    <w:abstractNumId w:val="110"/>
  </w:num>
  <w:num w:numId="45">
    <w:abstractNumId w:val="158"/>
  </w:num>
  <w:num w:numId="46">
    <w:abstractNumId w:val="104"/>
  </w:num>
  <w:num w:numId="47">
    <w:abstractNumId w:val="83"/>
  </w:num>
  <w:num w:numId="48">
    <w:abstractNumId w:val="135"/>
  </w:num>
  <w:num w:numId="49">
    <w:abstractNumId w:val="13"/>
  </w:num>
  <w:num w:numId="50">
    <w:abstractNumId w:val="33"/>
  </w:num>
  <w:num w:numId="51">
    <w:abstractNumId w:val="11"/>
  </w:num>
  <w:num w:numId="52">
    <w:abstractNumId w:val="136"/>
  </w:num>
  <w:num w:numId="53">
    <w:abstractNumId w:val="86"/>
  </w:num>
  <w:num w:numId="54">
    <w:abstractNumId w:val="85"/>
  </w:num>
  <w:num w:numId="55">
    <w:abstractNumId w:val="167"/>
  </w:num>
  <w:num w:numId="56">
    <w:abstractNumId w:val="14"/>
  </w:num>
  <w:num w:numId="57">
    <w:abstractNumId w:val="166"/>
  </w:num>
  <w:num w:numId="58">
    <w:abstractNumId w:val="17"/>
  </w:num>
  <w:num w:numId="59">
    <w:abstractNumId w:val="146"/>
  </w:num>
  <w:num w:numId="60">
    <w:abstractNumId w:val="103"/>
  </w:num>
  <w:num w:numId="61">
    <w:abstractNumId w:val="138"/>
  </w:num>
  <w:num w:numId="62">
    <w:abstractNumId w:val="102"/>
  </w:num>
  <w:num w:numId="63">
    <w:abstractNumId w:val="29"/>
  </w:num>
  <w:num w:numId="64">
    <w:abstractNumId w:val="79"/>
  </w:num>
  <w:num w:numId="65">
    <w:abstractNumId w:val="80"/>
  </w:num>
  <w:num w:numId="66">
    <w:abstractNumId w:val="47"/>
  </w:num>
  <w:num w:numId="67">
    <w:abstractNumId w:val="128"/>
  </w:num>
  <w:num w:numId="68">
    <w:abstractNumId w:val="105"/>
  </w:num>
  <w:num w:numId="69">
    <w:abstractNumId w:val="24"/>
  </w:num>
  <w:num w:numId="70">
    <w:abstractNumId w:val="56"/>
  </w:num>
  <w:num w:numId="71">
    <w:abstractNumId w:val="118"/>
  </w:num>
  <w:num w:numId="72">
    <w:abstractNumId w:val="98"/>
  </w:num>
  <w:num w:numId="73">
    <w:abstractNumId w:val="155"/>
  </w:num>
  <w:num w:numId="74">
    <w:abstractNumId w:val="140"/>
  </w:num>
  <w:num w:numId="75">
    <w:abstractNumId w:val="68"/>
  </w:num>
  <w:num w:numId="76">
    <w:abstractNumId w:val="100"/>
  </w:num>
  <w:num w:numId="77">
    <w:abstractNumId w:val="65"/>
  </w:num>
  <w:num w:numId="78">
    <w:abstractNumId w:val="58"/>
  </w:num>
  <w:num w:numId="79">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0"/>
  </w:num>
  <w:num w:numId="100">
    <w:abstractNumId w:val="64"/>
  </w:num>
  <w:num w:numId="101">
    <w:abstractNumId w:val="154"/>
  </w:num>
  <w:num w:numId="102">
    <w:abstractNumId w:val="90"/>
  </w:num>
  <w:num w:numId="103">
    <w:abstractNumId w:val="119"/>
  </w:num>
  <w:num w:numId="104">
    <w:abstractNumId w:val="99"/>
  </w:num>
  <w:num w:numId="105">
    <w:abstractNumId w:val="120"/>
  </w:num>
  <w:num w:numId="106">
    <w:abstractNumId w:val="40"/>
  </w:num>
  <w:num w:numId="107">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0"/>
  </w:num>
  <w:num w:numId="110">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8"/>
  </w:num>
  <w:num w:numId="112">
    <w:abstractNumId w:val="31"/>
  </w:num>
  <w:num w:numId="113">
    <w:abstractNumId w:val="35"/>
  </w:num>
  <w:num w:numId="114">
    <w:abstractNumId w:val="141"/>
  </w:num>
  <w:num w:numId="115">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
  </w:num>
  <w:num w:numId="120">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8"/>
  </w:num>
  <w:num w:numId="123">
    <w:abstractNumId w:val="7"/>
  </w:num>
  <w:num w:numId="124">
    <w:abstractNumId w:val="6"/>
  </w:num>
  <w:num w:numId="125">
    <w:abstractNumId w:val="5"/>
  </w:num>
  <w:num w:numId="126">
    <w:abstractNumId w:val="4"/>
  </w:num>
  <w:num w:numId="127">
    <w:abstractNumId w:val="8"/>
  </w:num>
  <w:num w:numId="128">
    <w:abstractNumId w:val="3"/>
  </w:num>
  <w:num w:numId="129">
    <w:abstractNumId w:val="2"/>
  </w:num>
  <w:num w:numId="130">
    <w:abstractNumId w:val="1"/>
  </w:num>
  <w:num w:numId="131">
    <w:abstractNumId w:val="0"/>
  </w:num>
  <w:num w:numId="132">
    <w:abstractNumId w:val="151"/>
  </w:num>
  <w:num w:numId="133">
    <w:abstractNumId w:val="87"/>
  </w:num>
  <w:num w:numId="134">
    <w:abstractNumId w:val="42"/>
  </w:num>
  <w:num w:numId="135">
    <w:abstractNumId w:val="77"/>
  </w:num>
  <w:num w:numId="1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2"/>
  </w:num>
  <w:num w:numId="139">
    <w:abstractNumId w:val="72"/>
  </w:num>
  <w:num w:numId="140">
    <w:abstractNumId w:val="113"/>
  </w:num>
  <w:num w:numId="14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0"/>
  </w:num>
  <w:num w:numId="1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69"/>
  </w:num>
  <w:num w:numId="154">
    <w:abstractNumId w:val="142"/>
  </w:num>
  <w:num w:numId="155">
    <w:abstractNumId w:val="54"/>
  </w:num>
  <w:num w:numId="156">
    <w:abstractNumId w:val="93"/>
  </w:num>
  <w:num w:numId="157">
    <w:abstractNumId w:val="89"/>
  </w:num>
  <w:num w:numId="158">
    <w:abstractNumId w:val="127"/>
  </w:num>
  <w:num w:numId="159">
    <w:abstractNumId w:val="122"/>
  </w:num>
  <w:num w:numId="160">
    <w:abstractNumId w:val="46"/>
  </w:num>
  <w:num w:numId="161">
    <w:abstractNumId w:val="46"/>
  </w:num>
  <w:num w:numId="162">
    <w:abstractNumId w:val="46"/>
  </w:num>
  <w:num w:numId="163">
    <w:abstractNumId w:val="46"/>
  </w:num>
  <w:num w:numId="164">
    <w:abstractNumId w:val="46"/>
  </w:num>
  <w:num w:numId="165">
    <w:abstractNumId w:val="46"/>
  </w:num>
  <w:num w:numId="166">
    <w:abstractNumId w:val="46"/>
  </w:num>
  <w:num w:numId="167">
    <w:abstractNumId w:val="46"/>
  </w:num>
  <w:num w:numId="168">
    <w:abstractNumId w:val="46"/>
  </w:num>
  <w:num w:numId="169">
    <w:abstractNumId w:val="46"/>
  </w:num>
  <w:num w:numId="170">
    <w:abstractNumId w:val="46"/>
  </w:num>
  <w:num w:numId="171">
    <w:abstractNumId w:val="46"/>
  </w:num>
  <w:num w:numId="172">
    <w:abstractNumId w:val="46"/>
  </w:num>
  <w:num w:numId="173">
    <w:abstractNumId w:val="67"/>
  </w:num>
  <w:num w:numId="174">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71"/>
  </w:num>
  <w:num w:numId="176">
    <w:abstractNumId w:val="162"/>
  </w:num>
  <w:num w:numId="177">
    <w:abstractNumId w:val="49"/>
  </w:num>
  <w:num w:numId="178">
    <w:abstractNumId w:val="131"/>
  </w:num>
  <w:num w:numId="179">
    <w:abstractNumId w:val="46"/>
    <w:lvlOverride w:ilvl="0">
      <w:startOverride w:val="3"/>
    </w:lvlOverride>
  </w:num>
  <w:num w:numId="180">
    <w:abstractNumId w:val="46"/>
    <w:lvlOverride w:ilvl="0">
      <w:startOverride w:val="3"/>
    </w:lvlOverride>
  </w:num>
  <w:num w:numId="181">
    <w:abstractNumId w:val="46"/>
  </w:num>
  <w:num w:numId="182">
    <w:abstractNumId w:val="46"/>
    <w:lvlOverride w:ilvl="0">
      <w:startOverride w:val="3"/>
    </w:lvlOverride>
  </w:num>
  <w:num w:numId="183">
    <w:abstractNumId w:val="12"/>
  </w:num>
  <w:num w:numId="184">
    <w:abstractNumId w:val="57"/>
  </w:num>
  <w:num w:numId="185">
    <w:abstractNumId w:val="147"/>
  </w:num>
  <w:num w:numId="186">
    <w:abstractNumId w:val="153"/>
  </w:num>
  <w:num w:numId="187">
    <w:abstractNumId w:val="20"/>
  </w:num>
  <w:num w:numId="188">
    <w:abstractNumId w:val="111"/>
  </w:num>
  <w:num w:numId="189">
    <w:abstractNumId w:val="148"/>
  </w:num>
  <w:num w:numId="190">
    <w:abstractNumId w:val="106"/>
  </w:num>
  <w:num w:numId="191">
    <w:abstractNumId w:val="21"/>
  </w:num>
  <w:num w:numId="192">
    <w:abstractNumId w:val="133"/>
  </w:num>
  <w:num w:numId="193">
    <w:abstractNumId w:val="70"/>
  </w:num>
  <w:num w:numId="194">
    <w:abstractNumId w:val="81"/>
  </w:num>
  <w:num w:numId="195">
    <w:abstractNumId w:val="129"/>
  </w:num>
  <w:num w:numId="196">
    <w:abstractNumId w:val="171"/>
  </w:num>
  <w:num w:numId="197">
    <w:abstractNumId w:val="9"/>
  </w:num>
  <w:num w:numId="198">
    <w:abstractNumId w:val="125"/>
  </w:num>
  <w:num w:numId="199">
    <w:abstractNumId w:val="48"/>
  </w:num>
  <w:num w:numId="200">
    <w:abstractNumId w:val="32"/>
  </w:num>
  <w:num w:numId="201">
    <w:abstractNumId w:val="121"/>
  </w:num>
  <w:num w:numId="202">
    <w:abstractNumId w:val="15"/>
  </w:num>
  <w:num w:numId="203">
    <w:abstractNumId w:val="55"/>
  </w:num>
  <w:num w:numId="204">
    <w:abstractNumId w:val="157"/>
  </w:num>
  <w:num w:numId="205">
    <w:abstractNumId w:val="145"/>
  </w:num>
  <w:num w:numId="206">
    <w:abstractNumId w:val="66"/>
  </w:num>
  <w:num w:numId="207">
    <w:abstractNumId w:val="27"/>
  </w:num>
  <w:num w:numId="208">
    <w:abstractNumId w:val="137"/>
  </w:num>
  <w:num w:numId="209">
    <w:abstractNumId w:val="156"/>
  </w:num>
  <w:num w:numId="210">
    <w:abstractNumId w:val="109"/>
  </w:num>
  <w:num w:numId="211">
    <w:abstractNumId w:val="26"/>
  </w:num>
  <w:num w:numId="212">
    <w:abstractNumId w:val="25"/>
  </w:num>
  <w:num w:numId="213">
    <w:abstractNumId w:val="94"/>
  </w:num>
  <w:num w:numId="214">
    <w:abstractNumId w:val="61"/>
  </w:num>
  <w:num w:numId="215">
    <w:abstractNumId w:val="19"/>
  </w:num>
  <w:num w:numId="216">
    <w:abstractNumId w:val="165"/>
  </w:num>
  <w:num w:numId="217">
    <w:abstractNumId w:val="92"/>
  </w:num>
  <w:num w:numId="218">
    <w:abstractNumId w:val="149"/>
  </w:num>
  <w:num w:numId="219">
    <w:abstractNumId w:val="161"/>
  </w:num>
  <w:num w:numId="220">
    <w:abstractNumId w:val="101"/>
  </w:num>
  <w:num w:numId="221">
    <w:abstractNumId w:val="107"/>
  </w:num>
  <w:num w:numId="222">
    <w:abstractNumId w:val="51"/>
  </w:num>
  <w:num w:numId="223">
    <w:abstractNumId w:val="62"/>
  </w:num>
  <w:num w:numId="224">
    <w:abstractNumId w:val="96"/>
  </w:num>
  <w:num w:numId="225">
    <w:abstractNumId w:val="108"/>
  </w:num>
  <w:num w:numId="226">
    <w:abstractNumId w:val="59"/>
  </w:num>
  <w:num w:numId="227">
    <w:abstractNumId w:val="78"/>
  </w:num>
  <w:num w:numId="228">
    <w:abstractNumId w:val="73"/>
  </w:num>
  <w:num w:numId="229">
    <w:abstractNumId w:val="34"/>
  </w:num>
  <w:num w:numId="230">
    <w:abstractNumId w:val="163"/>
  </w:num>
  <w:num w:numId="231">
    <w:abstractNumId w:val="34"/>
  </w:num>
  <w:num w:numId="232">
    <w:abstractNumId w:val="139"/>
  </w:num>
  <w:num w:numId="233">
    <w:abstractNumId w:val="159"/>
  </w:num>
  <w:num w:numId="234">
    <w:abstractNumId w:val="41"/>
  </w:num>
  <w:num w:numId="235">
    <w:abstractNumId w:val="134"/>
  </w:num>
  <w:num w:numId="236">
    <w:abstractNumId w:val="169"/>
  </w:num>
  <w:num w:numId="237">
    <w:abstractNumId w:val="43"/>
  </w:num>
  <w:num w:numId="238">
    <w:abstractNumId w:val="88"/>
  </w:num>
  <w:numIdMacAtCleanup w:val="2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95280E1F-8D75-4302-9369-44B6E99091D7"/>
    <w:docVar w:name="LW_COVERPAGE_TYPE" w:val="1"/>
    <w:docVar w:name="LW_CROSSREFERENCE" w:val="{COM(2026) 560 final} - {SEC(2026) 560 final} - {SWD(2026) 560 final} - {SWD(2026) 562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lt;FMT:Bold&gt;Amending Council Directives 2003/49/EC, 2009/133/EC, 2011/96/EU, (EU) 2016/1164, (EU) 2017/1852, and EU 2025/50 as regards the simplification of the Union framework on direct taxation and supporting growth and competitiveness of the EU&lt;/FMT&gt;"/>
    <w:docVar w:name="LW_PART_NBR" w:val="1"/>
    <w:docVar w:name="LW_PART_NBR_TOTAL" w:val="1"/>
    <w:docVar w:name="LW_REF.INST.NEW" w:val="SWD"/>
    <w:docVar w:name="LW_REF.INST.NEW_ADOPTED" w:val="final"/>
    <w:docVar w:name="LW_REF.INST.NEW_TEXT" w:val="(2026) 5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COUNCIL DIRECTIVE"/>
    <w:docVar w:name="LwApiVersions" w:val="LW4CoDe 1.24.5.0; LW 9.2, Build 20251112"/>
  </w:docVars>
  <w:rsids>
    <w:rsidRoot w:val="006B087E"/>
    <w:rsid w:val="00000040"/>
    <w:rsid w:val="00000049"/>
    <w:rsid w:val="00000067"/>
    <w:rsid w:val="00000069"/>
    <w:rsid w:val="00000073"/>
    <w:rsid w:val="00000077"/>
    <w:rsid w:val="000000B2"/>
    <w:rsid w:val="000001AD"/>
    <w:rsid w:val="00000267"/>
    <w:rsid w:val="0000028C"/>
    <w:rsid w:val="000002AD"/>
    <w:rsid w:val="000002BC"/>
    <w:rsid w:val="000002E4"/>
    <w:rsid w:val="0000030E"/>
    <w:rsid w:val="0000032A"/>
    <w:rsid w:val="000003BF"/>
    <w:rsid w:val="00000412"/>
    <w:rsid w:val="00000459"/>
    <w:rsid w:val="0000049B"/>
    <w:rsid w:val="000004BA"/>
    <w:rsid w:val="000004D3"/>
    <w:rsid w:val="0000050A"/>
    <w:rsid w:val="00000532"/>
    <w:rsid w:val="00000535"/>
    <w:rsid w:val="00000560"/>
    <w:rsid w:val="00000580"/>
    <w:rsid w:val="000005B0"/>
    <w:rsid w:val="000005B5"/>
    <w:rsid w:val="000005B6"/>
    <w:rsid w:val="000005C4"/>
    <w:rsid w:val="0000062E"/>
    <w:rsid w:val="00000638"/>
    <w:rsid w:val="00000682"/>
    <w:rsid w:val="00000748"/>
    <w:rsid w:val="000007E1"/>
    <w:rsid w:val="0000080F"/>
    <w:rsid w:val="00000835"/>
    <w:rsid w:val="00000853"/>
    <w:rsid w:val="00000873"/>
    <w:rsid w:val="000008B1"/>
    <w:rsid w:val="00000912"/>
    <w:rsid w:val="0000096C"/>
    <w:rsid w:val="0000099F"/>
    <w:rsid w:val="000009C4"/>
    <w:rsid w:val="00000A05"/>
    <w:rsid w:val="00000ACD"/>
    <w:rsid w:val="00000AE2"/>
    <w:rsid w:val="00000BA1"/>
    <w:rsid w:val="00000BC3"/>
    <w:rsid w:val="00000BD1"/>
    <w:rsid w:val="00000BD6"/>
    <w:rsid w:val="00000BFB"/>
    <w:rsid w:val="00000C83"/>
    <w:rsid w:val="00000CBB"/>
    <w:rsid w:val="00000CD0"/>
    <w:rsid w:val="00000DA4"/>
    <w:rsid w:val="00000DC6"/>
    <w:rsid w:val="00000E07"/>
    <w:rsid w:val="00000E0F"/>
    <w:rsid w:val="00000E25"/>
    <w:rsid w:val="00000E76"/>
    <w:rsid w:val="00000EF0"/>
    <w:rsid w:val="00000EFD"/>
    <w:rsid w:val="00000F0B"/>
    <w:rsid w:val="00000F14"/>
    <w:rsid w:val="00000F52"/>
    <w:rsid w:val="00000F83"/>
    <w:rsid w:val="00000FF3"/>
    <w:rsid w:val="00001020"/>
    <w:rsid w:val="00001028"/>
    <w:rsid w:val="00001109"/>
    <w:rsid w:val="00001151"/>
    <w:rsid w:val="00001152"/>
    <w:rsid w:val="00001164"/>
    <w:rsid w:val="000011F5"/>
    <w:rsid w:val="000011F9"/>
    <w:rsid w:val="000011FF"/>
    <w:rsid w:val="0000122E"/>
    <w:rsid w:val="00001263"/>
    <w:rsid w:val="0000129B"/>
    <w:rsid w:val="000012A2"/>
    <w:rsid w:val="000012B4"/>
    <w:rsid w:val="000012D3"/>
    <w:rsid w:val="000012E7"/>
    <w:rsid w:val="000012F4"/>
    <w:rsid w:val="000012FB"/>
    <w:rsid w:val="0000130A"/>
    <w:rsid w:val="00001352"/>
    <w:rsid w:val="00001390"/>
    <w:rsid w:val="000013B1"/>
    <w:rsid w:val="000013C1"/>
    <w:rsid w:val="000013CF"/>
    <w:rsid w:val="000013D5"/>
    <w:rsid w:val="0000144F"/>
    <w:rsid w:val="00001463"/>
    <w:rsid w:val="00001485"/>
    <w:rsid w:val="00001499"/>
    <w:rsid w:val="000014A0"/>
    <w:rsid w:val="00001562"/>
    <w:rsid w:val="000015AE"/>
    <w:rsid w:val="000015D6"/>
    <w:rsid w:val="0000164C"/>
    <w:rsid w:val="00001691"/>
    <w:rsid w:val="000016A4"/>
    <w:rsid w:val="0000172D"/>
    <w:rsid w:val="0000177E"/>
    <w:rsid w:val="0000178D"/>
    <w:rsid w:val="000017CA"/>
    <w:rsid w:val="00001811"/>
    <w:rsid w:val="00001815"/>
    <w:rsid w:val="00001865"/>
    <w:rsid w:val="0000186A"/>
    <w:rsid w:val="00001881"/>
    <w:rsid w:val="00001892"/>
    <w:rsid w:val="000018D7"/>
    <w:rsid w:val="000018F7"/>
    <w:rsid w:val="00001914"/>
    <w:rsid w:val="0000192A"/>
    <w:rsid w:val="0000192B"/>
    <w:rsid w:val="0000194B"/>
    <w:rsid w:val="0000195D"/>
    <w:rsid w:val="000019B5"/>
    <w:rsid w:val="000019D7"/>
    <w:rsid w:val="00001A63"/>
    <w:rsid w:val="00001A7A"/>
    <w:rsid w:val="00001A7D"/>
    <w:rsid w:val="00001A91"/>
    <w:rsid w:val="00001AB0"/>
    <w:rsid w:val="00001AC2"/>
    <w:rsid w:val="00001AC6"/>
    <w:rsid w:val="00001AD1"/>
    <w:rsid w:val="00001B00"/>
    <w:rsid w:val="00001B34"/>
    <w:rsid w:val="00001B66"/>
    <w:rsid w:val="00001B9B"/>
    <w:rsid w:val="00001BC0"/>
    <w:rsid w:val="00001BEE"/>
    <w:rsid w:val="00001CBD"/>
    <w:rsid w:val="00001CE3"/>
    <w:rsid w:val="00001D2D"/>
    <w:rsid w:val="00001D5F"/>
    <w:rsid w:val="00001D79"/>
    <w:rsid w:val="00001D82"/>
    <w:rsid w:val="00001D85"/>
    <w:rsid w:val="00001DA9"/>
    <w:rsid w:val="00001DAD"/>
    <w:rsid w:val="00001E07"/>
    <w:rsid w:val="00001E15"/>
    <w:rsid w:val="00001E62"/>
    <w:rsid w:val="00001E77"/>
    <w:rsid w:val="00001E81"/>
    <w:rsid w:val="00001E9D"/>
    <w:rsid w:val="00001F12"/>
    <w:rsid w:val="00001F17"/>
    <w:rsid w:val="00001F1B"/>
    <w:rsid w:val="00001F5C"/>
    <w:rsid w:val="00001F78"/>
    <w:rsid w:val="00001F98"/>
    <w:rsid w:val="00001FD4"/>
    <w:rsid w:val="00001FD5"/>
    <w:rsid w:val="00002007"/>
    <w:rsid w:val="0000204B"/>
    <w:rsid w:val="00002057"/>
    <w:rsid w:val="0000206D"/>
    <w:rsid w:val="00002096"/>
    <w:rsid w:val="000020A1"/>
    <w:rsid w:val="000020B1"/>
    <w:rsid w:val="0000219D"/>
    <w:rsid w:val="000021D7"/>
    <w:rsid w:val="000021DC"/>
    <w:rsid w:val="00002215"/>
    <w:rsid w:val="00002295"/>
    <w:rsid w:val="000022F9"/>
    <w:rsid w:val="00002318"/>
    <w:rsid w:val="0000234A"/>
    <w:rsid w:val="0000238D"/>
    <w:rsid w:val="0000239A"/>
    <w:rsid w:val="000023A8"/>
    <w:rsid w:val="000023A9"/>
    <w:rsid w:val="0000246B"/>
    <w:rsid w:val="0000246D"/>
    <w:rsid w:val="000024E5"/>
    <w:rsid w:val="00002540"/>
    <w:rsid w:val="00002662"/>
    <w:rsid w:val="0000266C"/>
    <w:rsid w:val="000026AF"/>
    <w:rsid w:val="000026FF"/>
    <w:rsid w:val="0000271A"/>
    <w:rsid w:val="00002723"/>
    <w:rsid w:val="00002787"/>
    <w:rsid w:val="0000279C"/>
    <w:rsid w:val="000027A1"/>
    <w:rsid w:val="00002805"/>
    <w:rsid w:val="00002818"/>
    <w:rsid w:val="00002833"/>
    <w:rsid w:val="0000285B"/>
    <w:rsid w:val="00002887"/>
    <w:rsid w:val="00002922"/>
    <w:rsid w:val="0000293F"/>
    <w:rsid w:val="0000296E"/>
    <w:rsid w:val="000029A4"/>
    <w:rsid w:val="000029C9"/>
    <w:rsid w:val="000029E7"/>
    <w:rsid w:val="000029FF"/>
    <w:rsid w:val="00002A50"/>
    <w:rsid w:val="00002ABA"/>
    <w:rsid w:val="00002ACE"/>
    <w:rsid w:val="00002ACF"/>
    <w:rsid w:val="00002B19"/>
    <w:rsid w:val="00002B1C"/>
    <w:rsid w:val="00002B61"/>
    <w:rsid w:val="00002B65"/>
    <w:rsid w:val="00002B7E"/>
    <w:rsid w:val="00002B8D"/>
    <w:rsid w:val="00002C43"/>
    <w:rsid w:val="00002C98"/>
    <w:rsid w:val="00002CFC"/>
    <w:rsid w:val="00002D3A"/>
    <w:rsid w:val="00002DA1"/>
    <w:rsid w:val="00002DC2"/>
    <w:rsid w:val="00002DEE"/>
    <w:rsid w:val="00002E3C"/>
    <w:rsid w:val="00002EA8"/>
    <w:rsid w:val="00002EBC"/>
    <w:rsid w:val="00002ED2"/>
    <w:rsid w:val="00002EEA"/>
    <w:rsid w:val="00002EEF"/>
    <w:rsid w:val="00002FA8"/>
    <w:rsid w:val="00002FAA"/>
    <w:rsid w:val="00002FC3"/>
    <w:rsid w:val="00002FD6"/>
    <w:rsid w:val="0000311A"/>
    <w:rsid w:val="00003128"/>
    <w:rsid w:val="0000312E"/>
    <w:rsid w:val="00003131"/>
    <w:rsid w:val="0000313D"/>
    <w:rsid w:val="00003168"/>
    <w:rsid w:val="0000318F"/>
    <w:rsid w:val="000031C5"/>
    <w:rsid w:val="000031FB"/>
    <w:rsid w:val="00003235"/>
    <w:rsid w:val="0000323F"/>
    <w:rsid w:val="000032CC"/>
    <w:rsid w:val="000032E7"/>
    <w:rsid w:val="000032FC"/>
    <w:rsid w:val="00003309"/>
    <w:rsid w:val="00003319"/>
    <w:rsid w:val="0000331D"/>
    <w:rsid w:val="0000333E"/>
    <w:rsid w:val="00003353"/>
    <w:rsid w:val="00003363"/>
    <w:rsid w:val="0000337F"/>
    <w:rsid w:val="0000338F"/>
    <w:rsid w:val="000033B0"/>
    <w:rsid w:val="000033B1"/>
    <w:rsid w:val="000033C8"/>
    <w:rsid w:val="000033DE"/>
    <w:rsid w:val="00003405"/>
    <w:rsid w:val="00003411"/>
    <w:rsid w:val="00003478"/>
    <w:rsid w:val="00003479"/>
    <w:rsid w:val="0000347C"/>
    <w:rsid w:val="0000347F"/>
    <w:rsid w:val="00003484"/>
    <w:rsid w:val="000034F0"/>
    <w:rsid w:val="000035AF"/>
    <w:rsid w:val="000035B5"/>
    <w:rsid w:val="000035D4"/>
    <w:rsid w:val="000035DA"/>
    <w:rsid w:val="0000361B"/>
    <w:rsid w:val="00003685"/>
    <w:rsid w:val="00003686"/>
    <w:rsid w:val="00003696"/>
    <w:rsid w:val="000036FA"/>
    <w:rsid w:val="000036FC"/>
    <w:rsid w:val="0000370F"/>
    <w:rsid w:val="00003734"/>
    <w:rsid w:val="00003756"/>
    <w:rsid w:val="00003776"/>
    <w:rsid w:val="00003783"/>
    <w:rsid w:val="000037B4"/>
    <w:rsid w:val="00003807"/>
    <w:rsid w:val="00003885"/>
    <w:rsid w:val="000038EC"/>
    <w:rsid w:val="00003928"/>
    <w:rsid w:val="000039D5"/>
    <w:rsid w:val="000039E3"/>
    <w:rsid w:val="00003A40"/>
    <w:rsid w:val="00003A43"/>
    <w:rsid w:val="00003A94"/>
    <w:rsid w:val="00003AA2"/>
    <w:rsid w:val="00003AC6"/>
    <w:rsid w:val="00003B7A"/>
    <w:rsid w:val="00003C29"/>
    <w:rsid w:val="00003C32"/>
    <w:rsid w:val="00003C5F"/>
    <w:rsid w:val="00003C7C"/>
    <w:rsid w:val="00003CAC"/>
    <w:rsid w:val="00003D16"/>
    <w:rsid w:val="00003D65"/>
    <w:rsid w:val="00003D9A"/>
    <w:rsid w:val="00003DC3"/>
    <w:rsid w:val="00003DE0"/>
    <w:rsid w:val="00003E64"/>
    <w:rsid w:val="00003E7A"/>
    <w:rsid w:val="00003F82"/>
    <w:rsid w:val="00003F88"/>
    <w:rsid w:val="00003FB7"/>
    <w:rsid w:val="000040CE"/>
    <w:rsid w:val="0000410F"/>
    <w:rsid w:val="00004138"/>
    <w:rsid w:val="0000413D"/>
    <w:rsid w:val="00004150"/>
    <w:rsid w:val="00004164"/>
    <w:rsid w:val="000041C1"/>
    <w:rsid w:val="000041E7"/>
    <w:rsid w:val="00004225"/>
    <w:rsid w:val="0000431A"/>
    <w:rsid w:val="00004334"/>
    <w:rsid w:val="00004343"/>
    <w:rsid w:val="000043D6"/>
    <w:rsid w:val="00004454"/>
    <w:rsid w:val="00004490"/>
    <w:rsid w:val="000044D4"/>
    <w:rsid w:val="00004510"/>
    <w:rsid w:val="00004551"/>
    <w:rsid w:val="00004552"/>
    <w:rsid w:val="0000458B"/>
    <w:rsid w:val="00004596"/>
    <w:rsid w:val="000045A5"/>
    <w:rsid w:val="0000460F"/>
    <w:rsid w:val="0000463A"/>
    <w:rsid w:val="000046EE"/>
    <w:rsid w:val="0000470C"/>
    <w:rsid w:val="00004790"/>
    <w:rsid w:val="000047B9"/>
    <w:rsid w:val="00004805"/>
    <w:rsid w:val="00004859"/>
    <w:rsid w:val="00004868"/>
    <w:rsid w:val="000048E8"/>
    <w:rsid w:val="00004922"/>
    <w:rsid w:val="00004954"/>
    <w:rsid w:val="0000495F"/>
    <w:rsid w:val="0000499B"/>
    <w:rsid w:val="000049B7"/>
    <w:rsid w:val="000049EB"/>
    <w:rsid w:val="00004A41"/>
    <w:rsid w:val="00004A69"/>
    <w:rsid w:val="00004ABC"/>
    <w:rsid w:val="00004B42"/>
    <w:rsid w:val="00004B4B"/>
    <w:rsid w:val="00004B81"/>
    <w:rsid w:val="00004B9D"/>
    <w:rsid w:val="00004C01"/>
    <w:rsid w:val="00004C03"/>
    <w:rsid w:val="00004C4D"/>
    <w:rsid w:val="00004CF9"/>
    <w:rsid w:val="00004CFC"/>
    <w:rsid w:val="00004D01"/>
    <w:rsid w:val="00004D3A"/>
    <w:rsid w:val="00004DBF"/>
    <w:rsid w:val="00004DF6"/>
    <w:rsid w:val="00004E18"/>
    <w:rsid w:val="00004E47"/>
    <w:rsid w:val="00004E50"/>
    <w:rsid w:val="00004E7C"/>
    <w:rsid w:val="00004EA1"/>
    <w:rsid w:val="00004F52"/>
    <w:rsid w:val="00004FA8"/>
    <w:rsid w:val="00004FB2"/>
    <w:rsid w:val="0000504F"/>
    <w:rsid w:val="000050A0"/>
    <w:rsid w:val="000050D9"/>
    <w:rsid w:val="00005145"/>
    <w:rsid w:val="00005158"/>
    <w:rsid w:val="000051F5"/>
    <w:rsid w:val="00005255"/>
    <w:rsid w:val="00005276"/>
    <w:rsid w:val="000052B8"/>
    <w:rsid w:val="000052E6"/>
    <w:rsid w:val="000052EE"/>
    <w:rsid w:val="0000533D"/>
    <w:rsid w:val="0000535F"/>
    <w:rsid w:val="00005367"/>
    <w:rsid w:val="00005410"/>
    <w:rsid w:val="0000544F"/>
    <w:rsid w:val="000054E6"/>
    <w:rsid w:val="00005507"/>
    <w:rsid w:val="0000550E"/>
    <w:rsid w:val="00005582"/>
    <w:rsid w:val="000055B7"/>
    <w:rsid w:val="000055C6"/>
    <w:rsid w:val="000055D9"/>
    <w:rsid w:val="000055EB"/>
    <w:rsid w:val="00005628"/>
    <w:rsid w:val="0000563D"/>
    <w:rsid w:val="0000564D"/>
    <w:rsid w:val="000056E5"/>
    <w:rsid w:val="00005718"/>
    <w:rsid w:val="00005735"/>
    <w:rsid w:val="000057C5"/>
    <w:rsid w:val="000057D6"/>
    <w:rsid w:val="0000582D"/>
    <w:rsid w:val="000058F2"/>
    <w:rsid w:val="00005922"/>
    <w:rsid w:val="0000598A"/>
    <w:rsid w:val="00005A1F"/>
    <w:rsid w:val="00005A2A"/>
    <w:rsid w:val="00005B0C"/>
    <w:rsid w:val="00005B65"/>
    <w:rsid w:val="00005B83"/>
    <w:rsid w:val="00005BC1"/>
    <w:rsid w:val="00005BD0"/>
    <w:rsid w:val="00005BD4"/>
    <w:rsid w:val="00005BDE"/>
    <w:rsid w:val="00005C2C"/>
    <w:rsid w:val="00005C43"/>
    <w:rsid w:val="00005C47"/>
    <w:rsid w:val="00005C5E"/>
    <w:rsid w:val="00005CE1"/>
    <w:rsid w:val="00005CF5"/>
    <w:rsid w:val="00005D1A"/>
    <w:rsid w:val="00005D77"/>
    <w:rsid w:val="00005D8A"/>
    <w:rsid w:val="00005DAC"/>
    <w:rsid w:val="00005DF2"/>
    <w:rsid w:val="00005E39"/>
    <w:rsid w:val="00005E3A"/>
    <w:rsid w:val="00005E7C"/>
    <w:rsid w:val="00005EC6"/>
    <w:rsid w:val="00005F0E"/>
    <w:rsid w:val="00005F46"/>
    <w:rsid w:val="00005FBA"/>
    <w:rsid w:val="00005FEB"/>
    <w:rsid w:val="00006007"/>
    <w:rsid w:val="00006064"/>
    <w:rsid w:val="00006080"/>
    <w:rsid w:val="0000609B"/>
    <w:rsid w:val="000060D9"/>
    <w:rsid w:val="00006131"/>
    <w:rsid w:val="00006158"/>
    <w:rsid w:val="0000617F"/>
    <w:rsid w:val="00006180"/>
    <w:rsid w:val="000061CB"/>
    <w:rsid w:val="00006233"/>
    <w:rsid w:val="00006234"/>
    <w:rsid w:val="000062C9"/>
    <w:rsid w:val="00006322"/>
    <w:rsid w:val="00006339"/>
    <w:rsid w:val="00006341"/>
    <w:rsid w:val="000063D1"/>
    <w:rsid w:val="000063E9"/>
    <w:rsid w:val="0000640E"/>
    <w:rsid w:val="00006424"/>
    <w:rsid w:val="00006437"/>
    <w:rsid w:val="000064E9"/>
    <w:rsid w:val="0000651A"/>
    <w:rsid w:val="0000655B"/>
    <w:rsid w:val="0000656A"/>
    <w:rsid w:val="000065D5"/>
    <w:rsid w:val="0000661D"/>
    <w:rsid w:val="0000662B"/>
    <w:rsid w:val="0000662F"/>
    <w:rsid w:val="00006636"/>
    <w:rsid w:val="00006670"/>
    <w:rsid w:val="000066FB"/>
    <w:rsid w:val="00006746"/>
    <w:rsid w:val="0000677B"/>
    <w:rsid w:val="000067C0"/>
    <w:rsid w:val="00006879"/>
    <w:rsid w:val="000068EA"/>
    <w:rsid w:val="00006952"/>
    <w:rsid w:val="00006954"/>
    <w:rsid w:val="00006957"/>
    <w:rsid w:val="0000695C"/>
    <w:rsid w:val="0000695D"/>
    <w:rsid w:val="00006971"/>
    <w:rsid w:val="00006984"/>
    <w:rsid w:val="00006992"/>
    <w:rsid w:val="000069A8"/>
    <w:rsid w:val="000069E1"/>
    <w:rsid w:val="000069F8"/>
    <w:rsid w:val="00006A0C"/>
    <w:rsid w:val="00006A11"/>
    <w:rsid w:val="00006A22"/>
    <w:rsid w:val="00006A45"/>
    <w:rsid w:val="00006A47"/>
    <w:rsid w:val="00006A57"/>
    <w:rsid w:val="00006A89"/>
    <w:rsid w:val="00006B1E"/>
    <w:rsid w:val="00006B20"/>
    <w:rsid w:val="00006B21"/>
    <w:rsid w:val="00006B43"/>
    <w:rsid w:val="00006B94"/>
    <w:rsid w:val="00006B95"/>
    <w:rsid w:val="00006BD1"/>
    <w:rsid w:val="00006BDE"/>
    <w:rsid w:val="00006C02"/>
    <w:rsid w:val="00006C34"/>
    <w:rsid w:val="00006C63"/>
    <w:rsid w:val="00006CB1"/>
    <w:rsid w:val="00006CB6"/>
    <w:rsid w:val="00006CEC"/>
    <w:rsid w:val="00006D76"/>
    <w:rsid w:val="00006D91"/>
    <w:rsid w:val="00006DD2"/>
    <w:rsid w:val="00006DF4"/>
    <w:rsid w:val="00006E4F"/>
    <w:rsid w:val="00006E84"/>
    <w:rsid w:val="00006E97"/>
    <w:rsid w:val="00006EAA"/>
    <w:rsid w:val="00006EAB"/>
    <w:rsid w:val="00006ED9"/>
    <w:rsid w:val="00006F17"/>
    <w:rsid w:val="00006F91"/>
    <w:rsid w:val="00006FB5"/>
    <w:rsid w:val="00006FBF"/>
    <w:rsid w:val="00006FED"/>
    <w:rsid w:val="0000700A"/>
    <w:rsid w:val="00007044"/>
    <w:rsid w:val="00007047"/>
    <w:rsid w:val="000070EE"/>
    <w:rsid w:val="00007108"/>
    <w:rsid w:val="00007125"/>
    <w:rsid w:val="00007166"/>
    <w:rsid w:val="00007167"/>
    <w:rsid w:val="00007176"/>
    <w:rsid w:val="0000717D"/>
    <w:rsid w:val="000071B9"/>
    <w:rsid w:val="000071C0"/>
    <w:rsid w:val="000071ED"/>
    <w:rsid w:val="00007211"/>
    <w:rsid w:val="00007221"/>
    <w:rsid w:val="0000727C"/>
    <w:rsid w:val="00007286"/>
    <w:rsid w:val="000072AF"/>
    <w:rsid w:val="00007325"/>
    <w:rsid w:val="0000739E"/>
    <w:rsid w:val="000073E8"/>
    <w:rsid w:val="0000749B"/>
    <w:rsid w:val="000074CE"/>
    <w:rsid w:val="00007525"/>
    <w:rsid w:val="00007530"/>
    <w:rsid w:val="0000756E"/>
    <w:rsid w:val="0000757D"/>
    <w:rsid w:val="00007582"/>
    <w:rsid w:val="000075A1"/>
    <w:rsid w:val="000075BB"/>
    <w:rsid w:val="000075F8"/>
    <w:rsid w:val="000075FF"/>
    <w:rsid w:val="00007606"/>
    <w:rsid w:val="00007689"/>
    <w:rsid w:val="00007692"/>
    <w:rsid w:val="000076DB"/>
    <w:rsid w:val="000076F7"/>
    <w:rsid w:val="00007798"/>
    <w:rsid w:val="00007815"/>
    <w:rsid w:val="00007858"/>
    <w:rsid w:val="00007897"/>
    <w:rsid w:val="000078BE"/>
    <w:rsid w:val="000078E1"/>
    <w:rsid w:val="00007912"/>
    <w:rsid w:val="00007923"/>
    <w:rsid w:val="00007A02"/>
    <w:rsid w:val="00007A51"/>
    <w:rsid w:val="00007AA2"/>
    <w:rsid w:val="00007AB8"/>
    <w:rsid w:val="00007AEF"/>
    <w:rsid w:val="00007B29"/>
    <w:rsid w:val="00007BE4"/>
    <w:rsid w:val="00007BEF"/>
    <w:rsid w:val="00007CB4"/>
    <w:rsid w:val="00007CE8"/>
    <w:rsid w:val="00007D16"/>
    <w:rsid w:val="00007D9D"/>
    <w:rsid w:val="00007DFC"/>
    <w:rsid w:val="00007E21"/>
    <w:rsid w:val="00007E6F"/>
    <w:rsid w:val="00007E87"/>
    <w:rsid w:val="00007F03"/>
    <w:rsid w:val="00007F29"/>
    <w:rsid w:val="00007F55"/>
    <w:rsid w:val="00007FB3"/>
    <w:rsid w:val="00007FBF"/>
    <w:rsid w:val="00007FDE"/>
    <w:rsid w:val="00010047"/>
    <w:rsid w:val="0001004E"/>
    <w:rsid w:val="000100E9"/>
    <w:rsid w:val="000100F5"/>
    <w:rsid w:val="00010114"/>
    <w:rsid w:val="00010130"/>
    <w:rsid w:val="0001019D"/>
    <w:rsid w:val="000101D3"/>
    <w:rsid w:val="000101E6"/>
    <w:rsid w:val="00010239"/>
    <w:rsid w:val="00010277"/>
    <w:rsid w:val="000102EB"/>
    <w:rsid w:val="00010304"/>
    <w:rsid w:val="0001030C"/>
    <w:rsid w:val="00010314"/>
    <w:rsid w:val="0001031A"/>
    <w:rsid w:val="00010349"/>
    <w:rsid w:val="00010421"/>
    <w:rsid w:val="0001044E"/>
    <w:rsid w:val="00010479"/>
    <w:rsid w:val="00010485"/>
    <w:rsid w:val="000104AC"/>
    <w:rsid w:val="00010526"/>
    <w:rsid w:val="00010577"/>
    <w:rsid w:val="00010590"/>
    <w:rsid w:val="00010598"/>
    <w:rsid w:val="0001062F"/>
    <w:rsid w:val="0001066B"/>
    <w:rsid w:val="000106BF"/>
    <w:rsid w:val="000106CC"/>
    <w:rsid w:val="0001072E"/>
    <w:rsid w:val="00010781"/>
    <w:rsid w:val="000107D8"/>
    <w:rsid w:val="00010833"/>
    <w:rsid w:val="00010860"/>
    <w:rsid w:val="000108A0"/>
    <w:rsid w:val="000108AC"/>
    <w:rsid w:val="000108E9"/>
    <w:rsid w:val="00010978"/>
    <w:rsid w:val="00010981"/>
    <w:rsid w:val="00010999"/>
    <w:rsid w:val="000109BE"/>
    <w:rsid w:val="000109E0"/>
    <w:rsid w:val="000109F8"/>
    <w:rsid w:val="00010A09"/>
    <w:rsid w:val="00010A5F"/>
    <w:rsid w:val="00010A77"/>
    <w:rsid w:val="00010B26"/>
    <w:rsid w:val="00010B37"/>
    <w:rsid w:val="00010B38"/>
    <w:rsid w:val="00010B55"/>
    <w:rsid w:val="00010B91"/>
    <w:rsid w:val="00010B94"/>
    <w:rsid w:val="00010BC5"/>
    <w:rsid w:val="00010BFE"/>
    <w:rsid w:val="00010C50"/>
    <w:rsid w:val="00010D76"/>
    <w:rsid w:val="00010D77"/>
    <w:rsid w:val="00010D96"/>
    <w:rsid w:val="00010DA4"/>
    <w:rsid w:val="00010E65"/>
    <w:rsid w:val="00010E81"/>
    <w:rsid w:val="00010EAC"/>
    <w:rsid w:val="00010F00"/>
    <w:rsid w:val="00010F36"/>
    <w:rsid w:val="00010F4B"/>
    <w:rsid w:val="00010F5F"/>
    <w:rsid w:val="00010F76"/>
    <w:rsid w:val="00011039"/>
    <w:rsid w:val="0001103A"/>
    <w:rsid w:val="00011082"/>
    <w:rsid w:val="000110AA"/>
    <w:rsid w:val="0001110D"/>
    <w:rsid w:val="00011127"/>
    <w:rsid w:val="000112FA"/>
    <w:rsid w:val="00011304"/>
    <w:rsid w:val="00011353"/>
    <w:rsid w:val="0001136D"/>
    <w:rsid w:val="0001137C"/>
    <w:rsid w:val="000113BD"/>
    <w:rsid w:val="0001145F"/>
    <w:rsid w:val="000114B5"/>
    <w:rsid w:val="000114D5"/>
    <w:rsid w:val="00011509"/>
    <w:rsid w:val="0001152F"/>
    <w:rsid w:val="00011571"/>
    <w:rsid w:val="000115F2"/>
    <w:rsid w:val="00011622"/>
    <w:rsid w:val="00011698"/>
    <w:rsid w:val="000116BB"/>
    <w:rsid w:val="000116CB"/>
    <w:rsid w:val="00011715"/>
    <w:rsid w:val="0001173B"/>
    <w:rsid w:val="0001174F"/>
    <w:rsid w:val="0001178F"/>
    <w:rsid w:val="000117B7"/>
    <w:rsid w:val="000117E0"/>
    <w:rsid w:val="000118A9"/>
    <w:rsid w:val="000118B6"/>
    <w:rsid w:val="000118BA"/>
    <w:rsid w:val="000118D0"/>
    <w:rsid w:val="000118D7"/>
    <w:rsid w:val="00011975"/>
    <w:rsid w:val="00011999"/>
    <w:rsid w:val="00011A78"/>
    <w:rsid w:val="00011A7E"/>
    <w:rsid w:val="00011A8F"/>
    <w:rsid w:val="00011A97"/>
    <w:rsid w:val="00011AB6"/>
    <w:rsid w:val="00011AC3"/>
    <w:rsid w:val="00011ADA"/>
    <w:rsid w:val="00011B26"/>
    <w:rsid w:val="00011B4D"/>
    <w:rsid w:val="00011C2C"/>
    <w:rsid w:val="00011C39"/>
    <w:rsid w:val="00011CAC"/>
    <w:rsid w:val="00011D12"/>
    <w:rsid w:val="00011D6B"/>
    <w:rsid w:val="00011D76"/>
    <w:rsid w:val="00011D82"/>
    <w:rsid w:val="00011DDF"/>
    <w:rsid w:val="00011E43"/>
    <w:rsid w:val="00011E55"/>
    <w:rsid w:val="00011EB6"/>
    <w:rsid w:val="00011F2C"/>
    <w:rsid w:val="00011F6B"/>
    <w:rsid w:val="00011F7B"/>
    <w:rsid w:val="00011FA5"/>
    <w:rsid w:val="00011FC6"/>
    <w:rsid w:val="00011FF3"/>
    <w:rsid w:val="0001203A"/>
    <w:rsid w:val="0001203B"/>
    <w:rsid w:val="00012048"/>
    <w:rsid w:val="0001206F"/>
    <w:rsid w:val="000120A4"/>
    <w:rsid w:val="000120D6"/>
    <w:rsid w:val="00012168"/>
    <w:rsid w:val="000121C2"/>
    <w:rsid w:val="000121DC"/>
    <w:rsid w:val="00012241"/>
    <w:rsid w:val="00012257"/>
    <w:rsid w:val="00012268"/>
    <w:rsid w:val="000122A5"/>
    <w:rsid w:val="000122A9"/>
    <w:rsid w:val="00012330"/>
    <w:rsid w:val="00012353"/>
    <w:rsid w:val="0001235C"/>
    <w:rsid w:val="000123EB"/>
    <w:rsid w:val="00012415"/>
    <w:rsid w:val="00012443"/>
    <w:rsid w:val="000124F1"/>
    <w:rsid w:val="00012512"/>
    <w:rsid w:val="00012524"/>
    <w:rsid w:val="0001254D"/>
    <w:rsid w:val="00012556"/>
    <w:rsid w:val="0001258F"/>
    <w:rsid w:val="0001259E"/>
    <w:rsid w:val="000125A6"/>
    <w:rsid w:val="000125DD"/>
    <w:rsid w:val="00012615"/>
    <w:rsid w:val="000126B1"/>
    <w:rsid w:val="00012703"/>
    <w:rsid w:val="00012726"/>
    <w:rsid w:val="00012785"/>
    <w:rsid w:val="000127C4"/>
    <w:rsid w:val="000127F5"/>
    <w:rsid w:val="00012813"/>
    <w:rsid w:val="0001285C"/>
    <w:rsid w:val="000128CD"/>
    <w:rsid w:val="00012922"/>
    <w:rsid w:val="0001295E"/>
    <w:rsid w:val="000129AB"/>
    <w:rsid w:val="000129D2"/>
    <w:rsid w:val="000129DA"/>
    <w:rsid w:val="000129E4"/>
    <w:rsid w:val="000129F0"/>
    <w:rsid w:val="00012A1D"/>
    <w:rsid w:val="00012A6D"/>
    <w:rsid w:val="00012A75"/>
    <w:rsid w:val="00012A87"/>
    <w:rsid w:val="00012AF1"/>
    <w:rsid w:val="00012B3A"/>
    <w:rsid w:val="00012B49"/>
    <w:rsid w:val="00012B52"/>
    <w:rsid w:val="00012B85"/>
    <w:rsid w:val="00012B86"/>
    <w:rsid w:val="00012BA5"/>
    <w:rsid w:val="00012BEF"/>
    <w:rsid w:val="00012C45"/>
    <w:rsid w:val="00012C5A"/>
    <w:rsid w:val="00012C72"/>
    <w:rsid w:val="00012C75"/>
    <w:rsid w:val="00012CA2"/>
    <w:rsid w:val="00012CA3"/>
    <w:rsid w:val="00012CF8"/>
    <w:rsid w:val="00012D75"/>
    <w:rsid w:val="00012D9E"/>
    <w:rsid w:val="00012DF9"/>
    <w:rsid w:val="00012E26"/>
    <w:rsid w:val="00012E32"/>
    <w:rsid w:val="00012E44"/>
    <w:rsid w:val="00012E4B"/>
    <w:rsid w:val="00012EA7"/>
    <w:rsid w:val="00012EC7"/>
    <w:rsid w:val="00012F40"/>
    <w:rsid w:val="00012F68"/>
    <w:rsid w:val="00012FA7"/>
    <w:rsid w:val="00013039"/>
    <w:rsid w:val="000130C7"/>
    <w:rsid w:val="000130E4"/>
    <w:rsid w:val="00013121"/>
    <w:rsid w:val="00013144"/>
    <w:rsid w:val="00013193"/>
    <w:rsid w:val="000131CF"/>
    <w:rsid w:val="000131DE"/>
    <w:rsid w:val="00013284"/>
    <w:rsid w:val="000132A0"/>
    <w:rsid w:val="000132F6"/>
    <w:rsid w:val="00013360"/>
    <w:rsid w:val="0001336F"/>
    <w:rsid w:val="00013391"/>
    <w:rsid w:val="00013443"/>
    <w:rsid w:val="000134B8"/>
    <w:rsid w:val="000134CF"/>
    <w:rsid w:val="00013555"/>
    <w:rsid w:val="000135CC"/>
    <w:rsid w:val="0001363B"/>
    <w:rsid w:val="00013645"/>
    <w:rsid w:val="00013660"/>
    <w:rsid w:val="000136AE"/>
    <w:rsid w:val="000136D7"/>
    <w:rsid w:val="00013704"/>
    <w:rsid w:val="0001373E"/>
    <w:rsid w:val="0001374C"/>
    <w:rsid w:val="00013759"/>
    <w:rsid w:val="000137B8"/>
    <w:rsid w:val="000137CF"/>
    <w:rsid w:val="00013818"/>
    <w:rsid w:val="0001387D"/>
    <w:rsid w:val="000138CD"/>
    <w:rsid w:val="0001393D"/>
    <w:rsid w:val="000139C7"/>
    <w:rsid w:val="000139CC"/>
    <w:rsid w:val="000139EB"/>
    <w:rsid w:val="00013A75"/>
    <w:rsid w:val="00013AA8"/>
    <w:rsid w:val="00013AE1"/>
    <w:rsid w:val="00013AE4"/>
    <w:rsid w:val="00013AEA"/>
    <w:rsid w:val="00013B54"/>
    <w:rsid w:val="00013B94"/>
    <w:rsid w:val="00013B95"/>
    <w:rsid w:val="00013BB5"/>
    <w:rsid w:val="00013BCC"/>
    <w:rsid w:val="00013BD7"/>
    <w:rsid w:val="00013BFD"/>
    <w:rsid w:val="00013C14"/>
    <w:rsid w:val="00013C1C"/>
    <w:rsid w:val="00013C78"/>
    <w:rsid w:val="00013C7B"/>
    <w:rsid w:val="00013CEB"/>
    <w:rsid w:val="00013CF6"/>
    <w:rsid w:val="00013D36"/>
    <w:rsid w:val="00013D55"/>
    <w:rsid w:val="00013D7A"/>
    <w:rsid w:val="00013DDE"/>
    <w:rsid w:val="00013DF7"/>
    <w:rsid w:val="00013E15"/>
    <w:rsid w:val="00013E45"/>
    <w:rsid w:val="00013E77"/>
    <w:rsid w:val="00013E85"/>
    <w:rsid w:val="00013E8B"/>
    <w:rsid w:val="00013ECF"/>
    <w:rsid w:val="00013F02"/>
    <w:rsid w:val="00013F3D"/>
    <w:rsid w:val="00013F47"/>
    <w:rsid w:val="00013F57"/>
    <w:rsid w:val="00013F61"/>
    <w:rsid w:val="00013F65"/>
    <w:rsid w:val="00013F7E"/>
    <w:rsid w:val="00013FD4"/>
    <w:rsid w:val="00014012"/>
    <w:rsid w:val="000140B0"/>
    <w:rsid w:val="00014285"/>
    <w:rsid w:val="00014287"/>
    <w:rsid w:val="000142D3"/>
    <w:rsid w:val="000142DA"/>
    <w:rsid w:val="000142EE"/>
    <w:rsid w:val="00014361"/>
    <w:rsid w:val="000143A0"/>
    <w:rsid w:val="000143C8"/>
    <w:rsid w:val="00014407"/>
    <w:rsid w:val="0001440C"/>
    <w:rsid w:val="0001445D"/>
    <w:rsid w:val="00014473"/>
    <w:rsid w:val="00014502"/>
    <w:rsid w:val="00014509"/>
    <w:rsid w:val="00014562"/>
    <w:rsid w:val="00014584"/>
    <w:rsid w:val="000145E4"/>
    <w:rsid w:val="00014631"/>
    <w:rsid w:val="000146A9"/>
    <w:rsid w:val="00014701"/>
    <w:rsid w:val="0001475D"/>
    <w:rsid w:val="00014833"/>
    <w:rsid w:val="00014849"/>
    <w:rsid w:val="00014887"/>
    <w:rsid w:val="000148D3"/>
    <w:rsid w:val="000148DD"/>
    <w:rsid w:val="000148FE"/>
    <w:rsid w:val="00014903"/>
    <w:rsid w:val="00014937"/>
    <w:rsid w:val="00014948"/>
    <w:rsid w:val="0001494D"/>
    <w:rsid w:val="0001494F"/>
    <w:rsid w:val="0001497F"/>
    <w:rsid w:val="00014A57"/>
    <w:rsid w:val="00014AC1"/>
    <w:rsid w:val="00014B69"/>
    <w:rsid w:val="00014BCF"/>
    <w:rsid w:val="00014BDF"/>
    <w:rsid w:val="00014BF8"/>
    <w:rsid w:val="00014C15"/>
    <w:rsid w:val="00014D16"/>
    <w:rsid w:val="00014D26"/>
    <w:rsid w:val="00014D30"/>
    <w:rsid w:val="00014DB5"/>
    <w:rsid w:val="00014DC0"/>
    <w:rsid w:val="00014DE4"/>
    <w:rsid w:val="00014E16"/>
    <w:rsid w:val="00014E6A"/>
    <w:rsid w:val="00014EBF"/>
    <w:rsid w:val="00014ED6"/>
    <w:rsid w:val="00014F37"/>
    <w:rsid w:val="00014F3A"/>
    <w:rsid w:val="00014F75"/>
    <w:rsid w:val="00014F96"/>
    <w:rsid w:val="00014FC2"/>
    <w:rsid w:val="0001503F"/>
    <w:rsid w:val="0001505D"/>
    <w:rsid w:val="00015060"/>
    <w:rsid w:val="00015094"/>
    <w:rsid w:val="000150C3"/>
    <w:rsid w:val="000150E0"/>
    <w:rsid w:val="000150F5"/>
    <w:rsid w:val="00015208"/>
    <w:rsid w:val="00015223"/>
    <w:rsid w:val="00015230"/>
    <w:rsid w:val="00015266"/>
    <w:rsid w:val="0001526D"/>
    <w:rsid w:val="00015278"/>
    <w:rsid w:val="000152A1"/>
    <w:rsid w:val="00015331"/>
    <w:rsid w:val="000153AD"/>
    <w:rsid w:val="000153C2"/>
    <w:rsid w:val="00015443"/>
    <w:rsid w:val="00015468"/>
    <w:rsid w:val="000154B4"/>
    <w:rsid w:val="000154D8"/>
    <w:rsid w:val="000154E9"/>
    <w:rsid w:val="00015578"/>
    <w:rsid w:val="00015588"/>
    <w:rsid w:val="000155A4"/>
    <w:rsid w:val="000155D1"/>
    <w:rsid w:val="00015607"/>
    <w:rsid w:val="00015622"/>
    <w:rsid w:val="0001565A"/>
    <w:rsid w:val="000156B5"/>
    <w:rsid w:val="000156C7"/>
    <w:rsid w:val="0001570B"/>
    <w:rsid w:val="00015722"/>
    <w:rsid w:val="00015777"/>
    <w:rsid w:val="000157B0"/>
    <w:rsid w:val="0001580F"/>
    <w:rsid w:val="00015860"/>
    <w:rsid w:val="00015870"/>
    <w:rsid w:val="0001587F"/>
    <w:rsid w:val="0001588B"/>
    <w:rsid w:val="000158E1"/>
    <w:rsid w:val="000159AA"/>
    <w:rsid w:val="000159E2"/>
    <w:rsid w:val="00015A38"/>
    <w:rsid w:val="00015A40"/>
    <w:rsid w:val="00015A74"/>
    <w:rsid w:val="00015A94"/>
    <w:rsid w:val="00015ADF"/>
    <w:rsid w:val="00015AE4"/>
    <w:rsid w:val="00015B3B"/>
    <w:rsid w:val="00015B81"/>
    <w:rsid w:val="00015BA2"/>
    <w:rsid w:val="00015BAD"/>
    <w:rsid w:val="00015BC5"/>
    <w:rsid w:val="00015BCE"/>
    <w:rsid w:val="00015C02"/>
    <w:rsid w:val="00015C2C"/>
    <w:rsid w:val="00015C45"/>
    <w:rsid w:val="00015C51"/>
    <w:rsid w:val="00015C7C"/>
    <w:rsid w:val="00015C8A"/>
    <w:rsid w:val="00015CF7"/>
    <w:rsid w:val="00015CFD"/>
    <w:rsid w:val="00015D59"/>
    <w:rsid w:val="00015D64"/>
    <w:rsid w:val="00015D76"/>
    <w:rsid w:val="00015D86"/>
    <w:rsid w:val="00015D98"/>
    <w:rsid w:val="00015D9E"/>
    <w:rsid w:val="00015DA5"/>
    <w:rsid w:val="00015E35"/>
    <w:rsid w:val="00015ED7"/>
    <w:rsid w:val="00015EE6"/>
    <w:rsid w:val="00015F25"/>
    <w:rsid w:val="00015F37"/>
    <w:rsid w:val="00015F52"/>
    <w:rsid w:val="00015FE0"/>
    <w:rsid w:val="00016009"/>
    <w:rsid w:val="0001605B"/>
    <w:rsid w:val="0001608D"/>
    <w:rsid w:val="0001609B"/>
    <w:rsid w:val="000160A6"/>
    <w:rsid w:val="000160A9"/>
    <w:rsid w:val="000160D1"/>
    <w:rsid w:val="000160EF"/>
    <w:rsid w:val="000160F4"/>
    <w:rsid w:val="00016161"/>
    <w:rsid w:val="00016175"/>
    <w:rsid w:val="00016189"/>
    <w:rsid w:val="0001619E"/>
    <w:rsid w:val="0001622A"/>
    <w:rsid w:val="00016276"/>
    <w:rsid w:val="0001629A"/>
    <w:rsid w:val="000162D7"/>
    <w:rsid w:val="000162E8"/>
    <w:rsid w:val="000162F2"/>
    <w:rsid w:val="0001630B"/>
    <w:rsid w:val="0001633D"/>
    <w:rsid w:val="000163A0"/>
    <w:rsid w:val="000163A7"/>
    <w:rsid w:val="00016431"/>
    <w:rsid w:val="00016460"/>
    <w:rsid w:val="000164BC"/>
    <w:rsid w:val="000164DE"/>
    <w:rsid w:val="00016517"/>
    <w:rsid w:val="00016573"/>
    <w:rsid w:val="0001658B"/>
    <w:rsid w:val="00016593"/>
    <w:rsid w:val="000165A0"/>
    <w:rsid w:val="000165A3"/>
    <w:rsid w:val="000165D0"/>
    <w:rsid w:val="000165D7"/>
    <w:rsid w:val="000165E4"/>
    <w:rsid w:val="00016670"/>
    <w:rsid w:val="000166FD"/>
    <w:rsid w:val="00016744"/>
    <w:rsid w:val="00016746"/>
    <w:rsid w:val="00016756"/>
    <w:rsid w:val="0001675A"/>
    <w:rsid w:val="000167E9"/>
    <w:rsid w:val="0001680A"/>
    <w:rsid w:val="0001682A"/>
    <w:rsid w:val="0001687A"/>
    <w:rsid w:val="00016891"/>
    <w:rsid w:val="0001693F"/>
    <w:rsid w:val="0001696A"/>
    <w:rsid w:val="000169A7"/>
    <w:rsid w:val="00016A08"/>
    <w:rsid w:val="00016A33"/>
    <w:rsid w:val="00016A36"/>
    <w:rsid w:val="00016A3C"/>
    <w:rsid w:val="00016A60"/>
    <w:rsid w:val="00016A8C"/>
    <w:rsid w:val="00016AB4"/>
    <w:rsid w:val="00016B1B"/>
    <w:rsid w:val="00016B27"/>
    <w:rsid w:val="00016BC3"/>
    <w:rsid w:val="00016BC8"/>
    <w:rsid w:val="00016BD8"/>
    <w:rsid w:val="00016BDB"/>
    <w:rsid w:val="00016BF0"/>
    <w:rsid w:val="00016C31"/>
    <w:rsid w:val="00016C41"/>
    <w:rsid w:val="00016CAE"/>
    <w:rsid w:val="00016CCF"/>
    <w:rsid w:val="00016D31"/>
    <w:rsid w:val="00016D6E"/>
    <w:rsid w:val="00016D9F"/>
    <w:rsid w:val="00016DAE"/>
    <w:rsid w:val="00016DEB"/>
    <w:rsid w:val="00016DF0"/>
    <w:rsid w:val="00016E27"/>
    <w:rsid w:val="00016E2B"/>
    <w:rsid w:val="00016E45"/>
    <w:rsid w:val="00016E91"/>
    <w:rsid w:val="00016F0A"/>
    <w:rsid w:val="00016F1E"/>
    <w:rsid w:val="00016F67"/>
    <w:rsid w:val="00016F86"/>
    <w:rsid w:val="00016F9D"/>
    <w:rsid w:val="00017017"/>
    <w:rsid w:val="00017062"/>
    <w:rsid w:val="000170AD"/>
    <w:rsid w:val="000170EF"/>
    <w:rsid w:val="000170F5"/>
    <w:rsid w:val="0001710B"/>
    <w:rsid w:val="00017112"/>
    <w:rsid w:val="0001714C"/>
    <w:rsid w:val="0001714D"/>
    <w:rsid w:val="00017194"/>
    <w:rsid w:val="000171CC"/>
    <w:rsid w:val="000171E6"/>
    <w:rsid w:val="00017223"/>
    <w:rsid w:val="000172F6"/>
    <w:rsid w:val="00017321"/>
    <w:rsid w:val="00017330"/>
    <w:rsid w:val="0001733F"/>
    <w:rsid w:val="00017383"/>
    <w:rsid w:val="0001739A"/>
    <w:rsid w:val="000173EA"/>
    <w:rsid w:val="00017415"/>
    <w:rsid w:val="0001741D"/>
    <w:rsid w:val="00017496"/>
    <w:rsid w:val="000174C1"/>
    <w:rsid w:val="00017512"/>
    <w:rsid w:val="0001752F"/>
    <w:rsid w:val="00017563"/>
    <w:rsid w:val="00017583"/>
    <w:rsid w:val="00017585"/>
    <w:rsid w:val="00017616"/>
    <w:rsid w:val="00017628"/>
    <w:rsid w:val="00017633"/>
    <w:rsid w:val="00017692"/>
    <w:rsid w:val="00017696"/>
    <w:rsid w:val="000176BC"/>
    <w:rsid w:val="000176DE"/>
    <w:rsid w:val="00017703"/>
    <w:rsid w:val="0001773A"/>
    <w:rsid w:val="00017752"/>
    <w:rsid w:val="0001776B"/>
    <w:rsid w:val="000177BC"/>
    <w:rsid w:val="00017813"/>
    <w:rsid w:val="0001781B"/>
    <w:rsid w:val="0001783B"/>
    <w:rsid w:val="00017858"/>
    <w:rsid w:val="000178DF"/>
    <w:rsid w:val="000178E7"/>
    <w:rsid w:val="00017916"/>
    <w:rsid w:val="00017922"/>
    <w:rsid w:val="0001793F"/>
    <w:rsid w:val="0001795F"/>
    <w:rsid w:val="00017962"/>
    <w:rsid w:val="0001798A"/>
    <w:rsid w:val="000179A0"/>
    <w:rsid w:val="000179BD"/>
    <w:rsid w:val="000179DD"/>
    <w:rsid w:val="00017A7F"/>
    <w:rsid w:val="00017A8F"/>
    <w:rsid w:val="00017AF8"/>
    <w:rsid w:val="00017B16"/>
    <w:rsid w:val="00017B2F"/>
    <w:rsid w:val="00017B6A"/>
    <w:rsid w:val="00017B8D"/>
    <w:rsid w:val="00017BCC"/>
    <w:rsid w:val="00017C19"/>
    <w:rsid w:val="00017C1E"/>
    <w:rsid w:val="00017C35"/>
    <w:rsid w:val="00017C59"/>
    <w:rsid w:val="00017C64"/>
    <w:rsid w:val="00017CC9"/>
    <w:rsid w:val="00017CDE"/>
    <w:rsid w:val="00017D6F"/>
    <w:rsid w:val="00017D97"/>
    <w:rsid w:val="00017DA6"/>
    <w:rsid w:val="00017DC9"/>
    <w:rsid w:val="00017DE5"/>
    <w:rsid w:val="00017E32"/>
    <w:rsid w:val="00017E3D"/>
    <w:rsid w:val="00017E60"/>
    <w:rsid w:val="00017EBE"/>
    <w:rsid w:val="00017EC0"/>
    <w:rsid w:val="00017EFA"/>
    <w:rsid w:val="00017F2D"/>
    <w:rsid w:val="00017F3A"/>
    <w:rsid w:val="00017F3E"/>
    <w:rsid w:val="00017F40"/>
    <w:rsid w:val="00017F67"/>
    <w:rsid w:val="00017F76"/>
    <w:rsid w:val="00017FF9"/>
    <w:rsid w:val="00020008"/>
    <w:rsid w:val="00020047"/>
    <w:rsid w:val="00020096"/>
    <w:rsid w:val="000200A2"/>
    <w:rsid w:val="000200F5"/>
    <w:rsid w:val="0002010B"/>
    <w:rsid w:val="00020172"/>
    <w:rsid w:val="000201BD"/>
    <w:rsid w:val="0002024F"/>
    <w:rsid w:val="00020263"/>
    <w:rsid w:val="00020273"/>
    <w:rsid w:val="00020283"/>
    <w:rsid w:val="0002029D"/>
    <w:rsid w:val="000202A8"/>
    <w:rsid w:val="000202E5"/>
    <w:rsid w:val="0002030A"/>
    <w:rsid w:val="00020340"/>
    <w:rsid w:val="00020350"/>
    <w:rsid w:val="0002038F"/>
    <w:rsid w:val="000203A7"/>
    <w:rsid w:val="000203C9"/>
    <w:rsid w:val="000203E2"/>
    <w:rsid w:val="000203E8"/>
    <w:rsid w:val="00020409"/>
    <w:rsid w:val="00020435"/>
    <w:rsid w:val="00020494"/>
    <w:rsid w:val="000204EF"/>
    <w:rsid w:val="000204F8"/>
    <w:rsid w:val="00020528"/>
    <w:rsid w:val="00020533"/>
    <w:rsid w:val="000205DD"/>
    <w:rsid w:val="00020610"/>
    <w:rsid w:val="00020648"/>
    <w:rsid w:val="00020691"/>
    <w:rsid w:val="00020698"/>
    <w:rsid w:val="0002069A"/>
    <w:rsid w:val="000206B7"/>
    <w:rsid w:val="000206B8"/>
    <w:rsid w:val="000206C5"/>
    <w:rsid w:val="000206E3"/>
    <w:rsid w:val="00020726"/>
    <w:rsid w:val="0002072B"/>
    <w:rsid w:val="00020765"/>
    <w:rsid w:val="00020780"/>
    <w:rsid w:val="000207AD"/>
    <w:rsid w:val="000207D4"/>
    <w:rsid w:val="00020801"/>
    <w:rsid w:val="00020825"/>
    <w:rsid w:val="00020848"/>
    <w:rsid w:val="00020850"/>
    <w:rsid w:val="0002088B"/>
    <w:rsid w:val="000208E8"/>
    <w:rsid w:val="0002092A"/>
    <w:rsid w:val="00020970"/>
    <w:rsid w:val="0002098C"/>
    <w:rsid w:val="00020998"/>
    <w:rsid w:val="000209C6"/>
    <w:rsid w:val="00020A92"/>
    <w:rsid w:val="00020AA7"/>
    <w:rsid w:val="00020AFA"/>
    <w:rsid w:val="00020B3C"/>
    <w:rsid w:val="00020BA8"/>
    <w:rsid w:val="00020BF7"/>
    <w:rsid w:val="00020C15"/>
    <w:rsid w:val="00020C4C"/>
    <w:rsid w:val="00020C57"/>
    <w:rsid w:val="00020C62"/>
    <w:rsid w:val="00020C78"/>
    <w:rsid w:val="00020C94"/>
    <w:rsid w:val="00020D5B"/>
    <w:rsid w:val="00020D7F"/>
    <w:rsid w:val="00020DBE"/>
    <w:rsid w:val="00020DC9"/>
    <w:rsid w:val="00020E40"/>
    <w:rsid w:val="00020E69"/>
    <w:rsid w:val="00020F4C"/>
    <w:rsid w:val="00020FD5"/>
    <w:rsid w:val="0002105F"/>
    <w:rsid w:val="000210DB"/>
    <w:rsid w:val="00021172"/>
    <w:rsid w:val="00021189"/>
    <w:rsid w:val="000211EB"/>
    <w:rsid w:val="00021222"/>
    <w:rsid w:val="00021270"/>
    <w:rsid w:val="0002128F"/>
    <w:rsid w:val="0002129D"/>
    <w:rsid w:val="000212D7"/>
    <w:rsid w:val="00021362"/>
    <w:rsid w:val="00021382"/>
    <w:rsid w:val="000213C8"/>
    <w:rsid w:val="0002140B"/>
    <w:rsid w:val="0002142E"/>
    <w:rsid w:val="000214AD"/>
    <w:rsid w:val="000214BB"/>
    <w:rsid w:val="00021525"/>
    <w:rsid w:val="00021529"/>
    <w:rsid w:val="0002153C"/>
    <w:rsid w:val="0002154B"/>
    <w:rsid w:val="00021583"/>
    <w:rsid w:val="000215A2"/>
    <w:rsid w:val="000215B6"/>
    <w:rsid w:val="000215D3"/>
    <w:rsid w:val="00021715"/>
    <w:rsid w:val="00021770"/>
    <w:rsid w:val="00021777"/>
    <w:rsid w:val="000217E7"/>
    <w:rsid w:val="000217EB"/>
    <w:rsid w:val="00021819"/>
    <w:rsid w:val="0002186C"/>
    <w:rsid w:val="00021894"/>
    <w:rsid w:val="000218A8"/>
    <w:rsid w:val="000218BA"/>
    <w:rsid w:val="000218BC"/>
    <w:rsid w:val="000218D4"/>
    <w:rsid w:val="00021923"/>
    <w:rsid w:val="00021929"/>
    <w:rsid w:val="00021955"/>
    <w:rsid w:val="000219A2"/>
    <w:rsid w:val="000219A9"/>
    <w:rsid w:val="00021A13"/>
    <w:rsid w:val="00021A9C"/>
    <w:rsid w:val="00021B22"/>
    <w:rsid w:val="00021B74"/>
    <w:rsid w:val="00021B7C"/>
    <w:rsid w:val="00021B91"/>
    <w:rsid w:val="00021BA1"/>
    <w:rsid w:val="00021BB0"/>
    <w:rsid w:val="00021C22"/>
    <w:rsid w:val="00021CD9"/>
    <w:rsid w:val="00021CDD"/>
    <w:rsid w:val="00021D27"/>
    <w:rsid w:val="00021D62"/>
    <w:rsid w:val="00021D89"/>
    <w:rsid w:val="00021DCD"/>
    <w:rsid w:val="00021EA8"/>
    <w:rsid w:val="00021EC6"/>
    <w:rsid w:val="00021EF2"/>
    <w:rsid w:val="00021F36"/>
    <w:rsid w:val="00021FD6"/>
    <w:rsid w:val="0002205E"/>
    <w:rsid w:val="000220F3"/>
    <w:rsid w:val="0002212F"/>
    <w:rsid w:val="00022143"/>
    <w:rsid w:val="000221DB"/>
    <w:rsid w:val="000221E3"/>
    <w:rsid w:val="00022231"/>
    <w:rsid w:val="00022246"/>
    <w:rsid w:val="00022278"/>
    <w:rsid w:val="000222FB"/>
    <w:rsid w:val="0002239B"/>
    <w:rsid w:val="000223A9"/>
    <w:rsid w:val="00022464"/>
    <w:rsid w:val="00022491"/>
    <w:rsid w:val="00022512"/>
    <w:rsid w:val="00022515"/>
    <w:rsid w:val="0002252F"/>
    <w:rsid w:val="0002253D"/>
    <w:rsid w:val="00022574"/>
    <w:rsid w:val="000225A3"/>
    <w:rsid w:val="000225F5"/>
    <w:rsid w:val="00022680"/>
    <w:rsid w:val="0002277F"/>
    <w:rsid w:val="00022789"/>
    <w:rsid w:val="00022884"/>
    <w:rsid w:val="00022894"/>
    <w:rsid w:val="00022911"/>
    <w:rsid w:val="00022941"/>
    <w:rsid w:val="00022999"/>
    <w:rsid w:val="00022A26"/>
    <w:rsid w:val="00022A96"/>
    <w:rsid w:val="00022B45"/>
    <w:rsid w:val="00022B4D"/>
    <w:rsid w:val="00022BEE"/>
    <w:rsid w:val="00022C23"/>
    <w:rsid w:val="00022C51"/>
    <w:rsid w:val="00022C88"/>
    <w:rsid w:val="00022D58"/>
    <w:rsid w:val="00022D6B"/>
    <w:rsid w:val="00022DEC"/>
    <w:rsid w:val="00022E0C"/>
    <w:rsid w:val="00022E7A"/>
    <w:rsid w:val="00022EBA"/>
    <w:rsid w:val="00022FA7"/>
    <w:rsid w:val="00022FBC"/>
    <w:rsid w:val="00022FC9"/>
    <w:rsid w:val="00022FF3"/>
    <w:rsid w:val="0002304E"/>
    <w:rsid w:val="000230A6"/>
    <w:rsid w:val="000230D5"/>
    <w:rsid w:val="000230F2"/>
    <w:rsid w:val="00023136"/>
    <w:rsid w:val="0002313F"/>
    <w:rsid w:val="000231D6"/>
    <w:rsid w:val="000231E3"/>
    <w:rsid w:val="00023255"/>
    <w:rsid w:val="0002325A"/>
    <w:rsid w:val="000232E2"/>
    <w:rsid w:val="000232FE"/>
    <w:rsid w:val="00023303"/>
    <w:rsid w:val="00023343"/>
    <w:rsid w:val="0002339F"/>
    <w:rsid w:val="00023405"/>
    <w:rsid w:val="00023448"/>
    <w:rsid w:val="00023453"/>
    <w:rsid w:val="000234A9"/>
    <w:rsid w:val="0002352B"/>
    <w:rsid w:val="00023595"/>
    <w:rsid w:val="00023626"/>
    <w:rsid w:val="00023665"/>
    <w:rsid w:val="00023687"/>
    <w:rsid w:val="000236F1"/>
    <w:rsid w:val="00023717"/>
    <w:rsid w:val="0002372E"/>
    <w:rsid w:val="00023734"/>
    <w:rsid w:val="0002373A"/>
    <w:rsid w:val="0002373E"/>
    <w:rsid w:val="0002376A"/>
    <w:rsid w:val="00023777"/>
    <w:rsid w:val="000237C8"/>
    <w:rsid w:val="0002383A"/>
    <w:rsid w:val="00023997"/>
    <w:rsid w:val="000239A0"/>
    <w:rsid w:val="00023A38"/>
    <w:rsid w:val="00023A7D"/>
    <w:rsid w:val="00023AA9"/>
    <w:rsid w:val="00023AB1"/>
    <w:rsid w:val="00023AB5"/>
    <w:rsid w:val="00023B57"/>
    <w:rsid w:val="00023BA6"/>
    <w:rsid w:val="00023BCD"/>
    <w:rsid w:val="00023BEF"/>
    <w:rsid w:val="00023C0E"/>
    <w:rsid w:val="00023C4E"/>
    <w:rsid w:val="00023C5D"/>
    <w:rsid w:val="00023CCC"/>
    <w:rsid w:val="00023CE0"/>
    <w:rsid w:val="00023D33"/>
    <w:rsid w:val="00023E3E"/>
    <w:rsid w:val="00023E68"/>
    <w:rsid w:val="00023E87"/>
    <w:rsid w:val="00023F4C"/>
    <w:rsid w:val="00023F91"/>
    <w:rsid w:val="00023F92"/>
    <w:rsid w:val="00023FAB"/>
    <w:rsid w:val="00023FD5"/>
    <w:rsid w:val="00023FE0"/>
    <w:rsid w:val="00023FFA"/>
    <w:rsid w:val="00024018"/>
    <w:rsid w:val="00024023"/>
    <w:rsid w:val="0002410A"/>
    <w:rsid w:val="000241AD"/>
    <w:rsid w:val="00024222"/>
    <w:rsid w:val="00024269"/>
    <w:rsid w:val="00024291"/>
    <w:rsid w:val="000242AA"/>
    <w:rsid w:val="00024385"/>
    <w:rsid w:val="000243B3"/>
    <w:rsid w:val="000243D2"/>
    <w:rsid w:val="000244B9"/>
    <w:rsid w:val="00024547"/>
    <w:rsid w:val="0002454F"/>
    <w:rsid w:val="00024580"/>
    <w:rsid w:val="000245C9"/>
    <w:rsid w:val="000245CE"/>
    <w:rsid w:val="00024614"/>
    <w:rsid w:val="0002464B"/>
    <w:rsid w:val="0002465E"/>
    <w:rsid w:val="00024679"/>
    <w:rsid w:val="000246A2"/>
    <w:rsid w:val="000246D7"/>
    <w:rsid w:val="000246F0"/>
    <w:rsid w:val="000246FB"/>
    <w:rsid w:val="0002470D"/>
    <w:rsid w:val="00024717"/>
    <w:rsid w:val="000247EF"/>
    <w:rsid w:val="0002482D"/>
    <w:rsid w:val="00024853"/>
    <w:rsid w:val="0002490E"/>
    <w:rsid w:val="0002491F"/>
    <w:rsid w:val="00024922"/>
    <w:rsid w:val="00024953"/>
    <w:rsid w:val="0002495A"/>
    <w:rsid w:val="00024990"/>
    <w:rsid w:val="00024994"/>
    <w:rsid w:val="0002499E"/>
    <w:rsid w:val="000249A3"/>
    <w:rsid w:val="00024A9A"/>
    <w:rsid w:val="00024AC5"/>
    <w:rsid w:val="00024AF4"/>
    <w:rsid w:val="00024B36"/>
    <w:rsid w:val="00024B39"/>
    <w:rsid w:val="00024B5A"/>
    <w:rsid w:val="00024B90"/>
    <w:rsid w:val="00024BD9"/>
    <w:rsid w:val="00024C07"/>
    <w:rsid w:val="00024C6F"/>
    <w:rsid w:val="00024CBC"/>
    <w:rsid w:val="00024CCC"/>
    <w:rsid w:val="00024D3C"/>
    <w:rsid w:val="00024D9B"/>
    <w:rsid w:val="00024DD3"/>
    <w:rsid w:val="00024E07"/>
    <w:rsid w:val="00024E29"/>
    <w:rsid w:val="00024E41"/>
    <w:rsid w:val="00024E52"/>
    <w:rsid w:val="00024F5D"/>
    <w:rsid w:val="00024F6E"/>
    <w:rsid w:val="00024F7B"/>
    <w:rsid w:val="00024FFD"/>
    <w:rsid w:val="0002500A"/>
    <w:rsid w:val="00025010"/>
    <w:rsid w:val="00025046"/>
    <w:rsid w:val="0002505D"/>
    <w:rsid w:val="000250FF"/>
    <w:rsid w:val="00025136"/>
    <w:rsid w:val="0002519A"/>
    <w:rsid w:val="0002519E"/>
    <w:rsid w:val="000251F7"/>
    <w:rsid w:val="00025266"/>
    <w:rsid w:val="0002529D"/>
    <w:rsid w:val="000252B1"/>
    <w:rsid w:val="000252D4"/>
    <w:rsid w:val="000252EF"/>
    <w:rsid w:val="000252F3"/>
    <w:rsid w:val="00025303"/>
    <w:rsid w:val="00025327"/>
    <w:rsid w:val="00025350"/>
    <w:rsid w:val="00025377"/>
    <w:rsid w:val="000253CF"/>
    <w:rsid w:val="00025470"/>
    <w:rsid w:val="0002548E"/>
    <w:rsid w:val="000254A0"/>
    <w:rsid w:val="000254C7"/>
    <w:rsid w:val="000254E3"/>
    <w:rsid w:val="00025537"/>
    <w:rsid w:val="00025589"/>
    <w:rsid w:val="00025594"/>
    <w:rsid w:val="000255D6"/>
    <w:rsid w:val="000255E0"/>
    <w:rsid w:val="000255F4"/>
    <w:rsid w:val="00025684"/>
    <w:rsid w:val="00025687"/>
    <w:rsid w:val="00025719"/>
    <w:rsid w:val="00025764"/>
    <w:rsid w:val="00025768"/>
    <w:rsid w:val="0002577C"/>
    <w:rsid w:val="0002579F"/>
    <w:rsid w:val="000257B3"/>
    <w:rsid w:val="000257F5"/>
    <w:rsid w:val="000258D0"/>
    <w:rsid w:val="000258E9"/>
    <w:rsid w:val="000258FB"/>
    <w:rsid w:val="0002593D"/>
    <w:rsid w:val="00025984"/>
    <w:rsid w:val="00025990"/>
    <w:rsid w:val="000259BE"/>
    <w:rsid w:val="00025A0B"/>
    <w:rsid w:val="00025A2E"/>
    <w:rsid w:val="00025A60"/>
    <w:rsid w:val="00025A9A"/>
    <w:rsid w:val="00025A9D"/>
    <w:rsid w:val="00025ABA"/>
    <w:rsid w:val="00025AE3"/>
    <w:rsid w:val="00025B16"/>
    <w:rsid w:val="00025B1C"/>
    <w:rsid w:val="00025B5C"/>
    <w:rsid w:val="00025B73"/>
    <w:rsid w:val="00025B91"/>
    <w:rsid w:val="00025BB9"/>
    <w:rsid w:val="00025BC0"/>
    <w:rsid w:val="00025BD0"/>
    <w:rsid w:val="00025C22"/>
    <w:rsid w:val="00025C61"/>
    <w:rsid w:val="00025D01"/>
    <w:rsid w:val="00025D0E"/>
    <w:rsid w:val="00025D0F"/>
    <w:rsid w:val="00025D19"/>
    <w:rsid w:val="00025D22"/>
    <w:rsid w:val="00025D36"/>
    <w:rsid w:val="00025D62"/>
    <w:rsid w:val="00025DCD"/>
    <w:rsid w:val="00025DD5"/>
    <w:rsid w:val="00025DFD"/>
    <w:rsid w:val="00025E29"/>
    <w:rsid w:val="00025EAA"/>
    <w:rsid w:val="00025EB2"/>
    <w:rsid w:val="00025EED"/>
    <w:rsid w:val="00025F87"/>
    <w:rsid w:val="00025FAC"/>
    <w:rsid w:val="00025FAE"/>
    <w:rsid w:val="00025FCA"/>
    <w:rsid w:val="00025FD2"/>
    <w:rsid w:val="0002605C"/>
    <w:rsid w:val="000260BF"/>
    <w:rsid w:val="000260C7"/>
    <w:rsid w:val="00026150"/>
    <w:rsid w:val="000261C0"/>
    <w:rsid w:val="0002620F"/>
    <w:rsid w:val="00026231"/>
    <w:rsid w:val="000262AE"/>
    <w:rsid w:val="000262F2"/>
    <w:rsid w:val="000262F8"/>
    <w:rsid w:val="0002630D"/>
    <w:rsid w:val="0002631B"/>
    <w:rsid w:val="0002634A"/>
    <w:rsid w:val="00026364"/>
    <w:rsid w:val="000263F9"/>
    <w:rsid w:val="00026401"/>
    <w:rsid w:val="0002641A"/>
    <w:rsid w:val="0002643E"/>
    <w:rsid w:val="00026453"/>
    <w:rsid w:val="00026459"/>
    <w:rsid w:val="000264B2"/>
    <w:rsid w:val="000264DB"/>
    <w:rsid w:val="000264F3"/>
    <w:rsid w:val="000264FC"/>
    <w:rsid w:val="00026555"/>
    <w:rsid w:val="00026561"/>
    <w:rsid w:val="0002660F"/>
    <w:rsid w:val="0002661E"/>
    <w:rsid w:val="000266C9"/>
    <w:rsid w:val="0002679C"/>
    <w:rsid w:val="000267C7"/>
    <w:rsid w:val="0002683E"/>
    <w:rsid w:val="000268B2"/>
    <w:rsid w:val="000268E2"/>
    <w:rsid w:val="000268F6"/>
    <w:rsid w:val="00026991"/>
    <w:rsid w:val="00026A8E"/>
    <w:rsid w:val="00026ABB"/>
    <w:rsid w:val="00026AC7"/>
    <w:rsid w:val="00026B37"/>
    <w:rsid w:val="00026B45"/>
    <w:rsid w:val="00026B55"/>
    <w:rsid w:val="00026B95"/>
    <w:rsid w:val="00026B9D"/>
    <w:rsid w:val="00026BB1"/>
    <w:rsid w:val="00026BB9"/>
    <w:rsid w:val="00026BD0"/>
    <w:rsid w:val="00026D0A"/>
    <w:rsid w:val="00026D27"/>
    <w:rsid w:val="00026D54"/>
    <w:rsid w:val="00026D96"/>
    <w:rsid w:val="00026E0E"/>
    <w:rsid w:val="00026E10"/>
    <w:rsid w:val="00026F05"/>
    <w:rsid w:val="00026F0D"/>
    <w:rsid w:val="00026F87"/>
    <w:rsid w:val="00026F8A"/>
    <w:rsid w:val="00026F8F"/>
    <w:rsid w:val="00026FB4"/>
    <w:rsid w:val="00026FB9"/>
    <w:rsid w:val="00026FE9"/>
    <w:rsid w:val="00027045"/>
    <w:rsid w:val="00027083"/>
    <w:rsid w:val="000270B6"/>
    <w:rsid w:val="000270C8"/>
    <w:rsid w:val="0002710D"/>
    <w:rsid w:val="00027119"/>
    <w:rsid w:val="000271FA"/>
    <w:rsid w:val="00027227"/>
    <w:rsid w:val="00027258"/>
    <w:rsid w:val="0002726E"/>
    <w:rsid w:val="00027310"/>
    <w:rsid w:val="00027338"/>
    <w:rsid w:val="000273DD"/>
    <w:rsid w:val="0002741D"/>
    <w:rsid w:val="00027448"/>
    <w:rsid w:val="0002747E"/>
    <w:rsid w:val="0002747F"/>
    <w:rsid w:val="000274B6"/>
    <w:rsid w:val="000274C6"/>
    <w:rsid w:val="000274D9"/>
    <w:rsid w:val="000274F0"/>
    <w:rsid w:val="000274F2"/>
    <w:rsid w:val="00027500"/>
    <w:rsid w:val="000275A8"/>
    <w:rsid w:val="0002764E"/>
    <w:rsid w:val="000276E1"/>
    <w:rsid w:val="000277AE"/>
    <w:rsid w:val="000277EA"/>
    <w:rsid w:val="000277FC"/>
    <w:rsid w:val="00027848"/>
    <w:rsid w:val="00027849"/>
    <w:rsid w:val="000278BA"/>
    <w:rsid w:val="0002793A"/>
    <w:rsid w:val="00027947"/>
    <w:rsid w:val="0002799E"/>
    <w:rsid w:val="000279EF"/>
    <w:rsid w:val="00027A7C"/>
    <w:rsid w:val="00027AB1"/>
    <w:rsid w:val="00027BD5"/>
    <w:rsid w:val="00027BF9"/>
    <w:rsid w:val="00027C5F"/>
    <w:rsid w:val="00027C8C"/>
    <w:rsid w:val="00027CD6"/>
    <w:rsid w:val="00027CD7"/>
    <w:rsid w:val="00027CE3"/>
    <w:rsid w:val="00027CFC"/>
    <w:rsid w:val="00027D9A"/>
    <w:rsid w:val="00027DC8"/>
    <w:rsid w:val="00027E00"/>
    <w:rsid w:val="00027E38"/>
    <w:rsid w:val="00027EB9"/>
    <w:rsid w:val="00027F77"/>
    <w:rsid w:val="00027FB5"/>
    <w:rsid w:val="00027FC7"/>
    <w:rsid w:val="00027FED"/>
    <w:rsid w:val="00030022"/>
    <w:rsid w:val="00030023"/>
    <w:rsid w:val="0003002C"/>
    <w:rsid w:val="0003003D"/>
    <w:rsid w:val="00030042"/>
    <w:rsid w:val="00030062"/>
    <w:rsid w:val="000300C8"/>
    <w:rsid w:val="000300CD"/>
    <w:rsid w:val="00030135"/>
    <w:rsid w:val="00030150"/>
    <w:rsid w:val="00030154"/>
    <w:rsid w:val="00030168"/>
    <w:rsid w:val="0003017D"/>
    <w:rsid w:val="000301AB"/>
    <w:rsid w:val="000301E0"/>
    <w:rsid w:val="0003020B"/>
    <w:rsid w:val="0003023B"/>
    <w:rsid w:val="0003029E"/>
    <w:rsid w:val="000302A4"/>
    <w:rsid w:val="00030303"/>
    <w:rsid w:val="00030351"/>
    <w:rsid w:val="00030417"/>
    <w:rsid w:val="00030435"/>
    <w:rsid w:val="0003047A"/>
    <w:rsid w:val="00030486"/>
    <w:rsid w:val="0003048F"/>
    <w:rsid w:val="000304B9"/>
    <w:rsid w:val="000304CD"/>
    <w:rsid w:val="000304EC"/>
    <w:rsid w:val="00030512"/>
    <w:rsid w:val="00030620"/>
    <w:rsid w:val="00030695"/>
    <w:rsid w:val="000306AA"/>
    <w:rsid w:val="00030718"/>
    <w:rsid w:val="0003078C"/>
    <w:rsid w:val="00030798"/>
    <w:rsid w:val="000307E4"/>
    <w:rsid w:val="0003088E"/>
    <w:rsid w:val="00030899"/>
    <w:rsid w:val="0003089F"/>
    <w:rsid w:val="000308E9"/>
    <w:rsid w:val="000308F1"/>
    <w:rsid w:val="00030946"/>
    <w:rsid w:val="00030967"/>
    <w:rsid w:val="00030984"/>
    <w:rsid w:val="00030995"/>
    <w:rsid w:val="00030A25"/>
    <w:rsid w:val="00030A59"/>
    <w:rsid w:val="00030A5E"/>
    <w:rsid w:val="00030A78"/>
    <w:rsid w:val="00030A8F"/>
    <w:rsid w:val="00030B06"/>
    <w:rsid w:val="00030B57"/>
    <w:rsid w:val="00030B79"/>
    <w:rsid w:val="00030B9E"/>
    <w:rsid w:val="00030BEA"/>
    <w:rsid w:val="00030BFA"/>
    <w:rsid w:val="00030C02"/>
    <w:rsid w:val="00030C43"/>
    <w:rsid w:val="00030C93"/>
    <w:rsid w:val="00030C9F"/>
    <w:rsid w:val="00030CA4"/>
    <w:rsid w:val="00030CAE"/>
    <w:rsid w:val="00030CF7"/>
    <w:rsid w:val="00030D26"/>
    <w:rsid w:val="00030D2C"/>
    <w:rsid w:val="00030D58"/>
    <w:rsid w:val="00030D5B"/>
    <w:rsid w:val="00030E3D"/>
    <w:rsid w:val="00030E46"/>
    <w:rsid w:val="00030E4B"/>
    <w:rsid w:val="00030E7A"/>
    <w:rsid w:val="00030EC0"/>
    <w:rsid w:val="00030EDD"/>
    <w:rsid w:val="00030F18"/>
    <w:rsid w:val="00030F95"/>
    <w:rsid w:val="00030FF9"/>
    <w:rsid w:val="0003102F"/>
    <w:rsid w:val="00031052"/>
    <w:rsid w:val="000310AA"/>
    <w:rsid w:val="000310B0"/>
    <w:rsid w:val="000310B2"/>
    <w:rsid w:val="000310BC"/>
    <w:rsid w:val="00031160"/>
    <w:rsid w:val="00031177"/>
    <w:rsid w:val="0003119B"/>
    <w:rsid w:val="00031242"/>
    <w:rsid w:val="00031278"/>
    <w:rsid w:val="0003129A"/>
    <w:rsid w:val="000312EF"/>
    <w:rsid w:val="00031327"/>
    <w:rsid w:val="00031331"/>
    <w:rsid w:val="00031341"/>
    <w:rsid w:val="00031355"/>
    <w:rsid w:val="0003136A"/>
    <w:rsid w:val="000313C6"/>
    <w:rsid w:val="000313DB"/>
    <w:rsid w:val="00031409"/>
    <w:rsid w:val="0003140B"/>
    <w:rsid w:val="00031428"/>
    <w:rsid w:val="0003144E"/>
    <w:rsid w:val="00031531"/>
    <w:rsid w:val="00031547"/>
    <w:rsid w:val="0003154A"/>
    <w:rsid w:val="00031573"/>
    <w:rsid w:val="0003157E"/>
    <w:rsid w:val="00031609"/>
    <w:rsid w:val="0003160E"/>
    <w:rsid w:val="0003168D"/>
    <w:rsid w:val="000316C3"/>
    <w:rsid w:val="00031724"/>
    <w:rsid w:val="0003175D"/>
    <w:rsid w:val="000317EA"/>
    <w:rsid w:val="000317FC"/>
    <w:rsid w:val="000318C3"/>
    <w:rsid w:val="000318D0"/>
    <w:rsid w:val="000318ED"/>
    <w:rsid w:val="000318FB"/>
    <w:rsid w:val="00031937"/>
    <w:rsid w:val="00031954"/>
    <w:rsid w:val="00031994"/>
    <w:rsid w:val="0003199D"/>
    <w:rsid w:val="000319CF"/>
    <w:rsid w:val="00031A19"/>
    <w:rsid w:val="00031A25"/>
    <w:rsid w:val="00031A3D"/>
    <w:rsid w:val="00031A58"/>
    <w:rsid w:val="00031A5B"/>
    <w:rsid w:val="00031A98"/>
    <w:rsid w:val="00031AD7"/>
    <w:rsid w:val="00031B23"/>
    <w:rsid w:val="00031C0B"/>
    <w:rsid w:val="00031C33"/>
    <w:rsid w:val="00031C35"/>
    <w:rsid w:val="00031C43"/>
    <w:rsid w:val="00031C76"/>
    <w:rsid w:val="00031C8F"/>
    <w:rsid w:val="00031C9F"/>
    <w:rsid w:val="00031CC5"/>
    <w:rsid w:val="00031CE6"/>
    <w:rsid w:val="00031D61"/>
    <w:rsid w:val="00031DB1"/>
    <w:rsid w:val="00031DC8"/>
    <w:rsid w:val="00031DF2"/>
    <w:rsid w:val="00031E30"/>
    <w:rsid w:val="00031E46"/>
    <w:rsid w:val="00031E7C"/>
    <w:rsid w:val="00031E80"/>
    <w:rsid w:val="00031E98"/>
    <w:rsid w:val="00031EAE"/>
    <w:rsid w:val="00031ED5"/>
    <w:rsid w:val="00031EF4"/>
    <w:rsid w:val="00031F58"/>
    <w:rsid w:val="00031FB9"/>
    <w:rsid w:val="00031FCC"/>
    <w:rsid w:val="00031FE2"/>
    <w:rsid w:val="0003200F"/>
    <w:rsid w:val="0003201E"/>
    <w:rsid w:val="0003202E"/>
    <w:rsid w:val="00032088"/>
    <w:rsid w:val="000320AE"/>
    <w:rsid w:val="000320BE"/>
    <w:rsid w:val="000320EC"/>
    <w:rsid w:val="000320F3"/>
    <w:rsid w:val="000321D4"/>
    <w:rsid w:val="000321F6"/>
    <w:rsid w:val="00032253"/>
    <w:rsid w:val="00032306"/>
    <w:rsid w:val="0003234C"/>
    <w:rsid w:val="000323CC"/>
    <w:rsid w:val="00032409"/>
    <w:rsid w:val="00032411"/>
    <w:rsid w:val="00032412"/>
    <w:rsid w:val="00032476"/>
    <w:rsid w:val="000324B8"/>
    <w:rsid w:val="000324BE"/>
    <w:rsid w:val="000324C6"/>
    <w:rsid w:val="000324CB"/>
    <w:rsid w:val="0003257E"/>
    <w:rsid w:val="000325C4"/>
    <w:rsid w:val="000325D8"/>
    <w:rsid w:val="000325DD"/>
    <w:rsid w:val="00032601"/>
    <w:rsid w:val="00032605"/>
    <w:rsid w:val="00032657"/>
    <w:rsid w:val="00032660"/>
    <w:rsid w:val="00032664"/>
    <w:rsid w:val="0003267A"/>
    <w:rsid w:val="0003268B"/>
    <w:rsid w:val="000326BC"/>
    <w:rsid w:val="000326D2"/>
    <w:rsid w:val="000326DE"/>
    <w:rsid w:val="000327B2"/>
    <w:rsid w:val="000327F0"/>
    <w:rsid w:val="00032835"/>
    <w:rsid w:val="00032862"/>
    <w:rsid w:val="0003289E"/>
    <w:rsid w:val="000328B7"/>
    <w:rsid w:val="000328D0"/>
    <w:rsid w:val="00032903"/>
    <w:rsid w:val="00032916"/>
    <w:rsid w:val="0003295C"/>
    <w:rsid w:val="000329C9"/>
    <w:rsid w:val="000329DB"/>
    <w:rsid w:val="000329DD"/>
    <w:rsid w:val="000329ED"/>
    <w:rsid w:val="00032A25"/>
    <w:rsid w:val="00032A5C"/>
    <w:rsid w:val="00032A64"/>
    <w:rsid w:val="00032AA8"/>
    <w:rsid w:val="00032AED"/>
    <w:rsid w:val="00032AF5"/>
    <w:rsid w:val="00032B78"/>
    <w:rsid w:val="00032B79"/>
    <w:rsid w:val="00032BBE"/>
    <w:rsid w:val="00032BD2"/>
    <w:rsid w:val="00032BD4"/>
    <w:rsid w:val="00032C01"/>
    <w:rsid w:val="00032C2B"/>
    <w:rsid w:val="00032C2C"/>
    <w:rsid w:val="00032CAA"/>
    <w:rsid w:val="00032CB8"/>
    <w:rsid w:val="00032CFF"/>
    <w:rsid w:val="00032DB8"/>
    <w:rsid w:val="00032DB9"/>
    <w:rsid w:val="00032DCE"/>
    <w:rsid w:val="00032E45"/>
    <w:rsid w:val="00032EA8"/>
    <w:rsid w:val="00032EC5"/>
    <w:rsid w:val="00032F06"/>
    <w:rsid w:val="00032F28"/>
    <w:rsid w:val="00032F29"/>
    <w:rsid w:val="00032F50"/>
    <w:rsid w:val="00032F87"/>
    <w:rsid w:val="00032FB0"/>
    <w:rsid w:val="00032FBA"/>
    <w:rsid w:val="0003300E"/>
    <w:rsid w:val="0003306A"/>
    <w:rsid w:val="000330B2"/>
    <w:rsid w:val="000330B5"/>
    <w:rsid w:val="000330BA"/>
    <w:rsid w:val="000330C4"/>
    <w:rsid w:val="0003316B"/>
    <w:rsid w:val="00033179"/>
    <w:rsid w:val="000331C1"/>
    <w:rsid w:val="000331F1"/>
    <w:rsid w:val="00033207"/>
    <w:rsid w:val="000332E9"/>
    <w:rsid w:val="00033322"/>
    <w:rsid w:val="0003338A"/>
    <w:rsid w:val="0003338B"/>
    <w:rsid w:val="000333CB"/>
    <w:rsid w:val="0003345F"/>
    <w:rsid w:val="0003346C"/>
    <w:rsid w:val="000334B1"/>
    <w:rsid w:val="0003351F"/>
    <w:rsid w:val="00033566"/>
    <w:rsid w:val="00033569"/>
    <w:rsid w:val="00033573"/>
    <w:rsid w:val="0003357C"/>
    <w:rsid w:val="0003359F"/>
    <w:rsid w:val="000335E0"/>
    <w:rsid w:val="00033663"/>
    <w:rsid w:val="00033689"/>
    <w:rsid w:val="000336BD"/>
    <w:rsid w:val="000336CA"/>
    <w:rsid w:val="000336FC"/>
    <w:rsid w:val="0003372E"/>
    <w:rsid w:val="0003378A"/>
    <w:rsid w:val="000337FB"/>
    <w:rsid w:val="0003383B"/>
    <w:rsid w:val="00033862"/>
    <w:rsid w:val="0003387A"/>
    <w:rsid w:val="000338D8"/>
    <w:rsid w:val="000338E2"/>
    <w:rsid w:val="000338E3"/>
    <w:rsid w:val="0003391D"/>
    <w:rsid w:val="00033973"/>
    <w:rsid w:val="000339B0"/>
    <w:rsid w:val="000339BA"/>
    <w:rsid w:val="000339C2"/>
    <w:rsid w:val="000339CF"/>
    <w:rsid w:val="000339DE"/>
    <w:rsid w:val="00033A25"/>
    <w:rsid w:val="00033ADF"/>
    <w:rsid w:val="00033B60"/>
    <w:rsid w:val="00033C75"/>
    <w:rsid w:val="00033C87"/>
    <w:rsid w:val="00033C96"/>
    <w:rsid w:val="00033CB1"/>
    <w:rsid w:val="00033CC0"/>
    <w:rsid w:val="00033CD4"/>
    <w:rsid w:val="00033D44"/>
    <w:rsid w:val="00033D58"/>
    <w:rsid w:val="00033DAB"/>
    <w:rsid w:val="00033DC8"/>
    <w:rsid w:val="00033E0F"/>
    <w:rsid w:val="00033E52"/>
    <w:rsid w:val="00033EB7"/>
    <w:rsid w:val="00033EBA"/>
    <w:rsid w:val="00033EDA"/>
    <w:rsid w:val="00033F3E"/>
    <w:rsid w:val="00033FA2"/>
    <w:rsid w:val="00033FA4"/>
    <w:rsid w:val="00033FD8"/>
    <w:rsid w:val="000340EE"/>
    <w:rsid w:val="0003413B"/>
    <w:rsid w:val="0003416C"/>
    <w:rsid w:val="000341A4"/>
    <w:rsid w:val="000341F0"/>
    <w:rsid w:val="000341F2"/>
    <w:rsid w:val="00034202"/>
    <w:rsid w:val="00034208"/>
    <w:rsid w:val="00034249"/>
    <w:rsid w:val="0003425E"/>
    <w:rsid w:val="0003426E"/>
    <w:rsid w:val="00034285"/>
    <w:rsid w:val="0003431F"/>
    <w:rsid w:val="000343CF"/>
    <w:rsid w:val="00034411"/>
    <w:rsid w:val="00034452"/>
    <w:rsid w:val="0003446F"/>
    <w:rsid w:val="00034483"/>
    <w:rsid w:val="00034493"/>
    <w:rsid w:val="0003452A"/>
    <w:rsid w:val="00034575"/>
    <w:rsid w:val="000345A2"/>
    <w:rsid w:val="000345A5"/>
    <w:rsid w:val="000345AE"/>
    <w:rsid w:val="000345E4"/>
    <w:rsid w:val="000345F5"/>
    <w:rsid w:val="000345F8"/>
    <w:rsid w:val="0003460B"/>
    <w:rsid w:val="0003465B"/>
    <w:rsid w:val="00034677"/>
    <w:rsid w:val="00034692"/>
    <w:rsid w:val="000346AA"/>
    <w:rsid w:val="000346DB"/>
    <w:rsid w:val="00034711"/>
    <w:rsid w:val="00034721"/>
    <w:rsid w:val="00034735"/>
    <w:rsid w:val="00034751"/>
    <w:rsid w:val="00034783"/>
    <w:rsid w:val="000347BA"/>
    <w:rsid w:val="000347CF"/>
    <w:rsid w:val="000347D9"/>
    <w:rsid w:val="000347E3"/>
    <w:rsid w:val="0003483F"/>
    <w:rsid w:val="00034867"/>
    <w:rsid w:val="00034885"/>
    <w:rsid w:val="00034894"/>
    <w:rsid w:val="000348DF"/>
    <w:rsid w:val="00034928"/>
    <w:rsid w:val="0003493C"/>
    <w:rsid w:val="00034957"/>
    <w:rsid w:val="00034963"/>
    <w:rsid w:val="000349C8"/>
    <w:rsid w:val="00034A0C"/>
    <w:rsid w:val="00034A29"/>
    <w:rsid w:val="00034A50"/>
    <w:rsid w:val="00034A94"/>
    <w:rsid w:val="00034AAD"/>
    <w:rsid w:val="00034AF9"/>
    <w:rsid w:val="00034B24"/>
    <w:rsid w:val="00034B7C"/>
    <w:rsid w:val="00034B8E"/>
    <w:rsid w:val="00034BF7"/>
    <w:rsid w:val="00034C53"/>
    <w:rsid w:val="00034C97"/>
    <w:rsid w:val="00034CDB"/>
    <w:rsid w:val="00034CE3"/>
    <w:rsid w:val="00034D3A"/>
    <w:rsid w:val="00034D4B"/>
    <w:rsid w:val="00034DBE"/>
    <w:rsid w:val="00034DC4"/>
    <w:rsid w:val="00034E10"/>
    <w:rsid w:val="00034E83"/>
    <w:rsid w:val="00034E92"/>
    <w:rsid w:val="00034F0B"/>
    <w:rsid w:val="00034F17"/>
    <w:rsid w:val="00034F2C"/>
    <w:rsid w:val="00034F92"/>
    <w:rsid w:val="00034FA4"/>
    <w:rsid w:val="00034FDF"/>
    <w:rsid w:val="00035043"/>
    <w:rsid w:val="00035079"/>
    <w:rsid w:val="00035098"/>
    <w:rsid w:val="000350C9"/>
    <w:rsid w:val="00035118"/>
    <w:rsid w:val="00035127"/>
    <w:rsid w:val="0003513A"/>
    <w:rsid w:val="00035169"/>
    <w:rsid w:val="00035178"/>
    <w:rsid w:val="000351E8"/>
    <w:rsid w:val="0003521F"/>
    <w:rsid w:val="00035240"/>
    <w:rsid w:val="000352AD"/>
    <w:rsid w:val="000352E4"/>
    <w:rsid w:val="00035383"/>
    <w:rsid w:val="00035386"/>
    <w:rsid w:val="00035389"/>
    <w:rsid w:val="000353D5"/>
    <w:rsid w:val="00035439"/>
    <w:rsid w:val="00035442"/>
    <w:rsid w:val="00035492"/>
    <w:rsid w:val="000354CD"/>
    <w:rsid w:val="000355ED"/>
    <w:rsid w:val="000355F6"/>
    <w:rsid w:val="000356C0"/>
    <w:rsid w:val="0003570F"/>
    <w:rsid w:val="00035734"/>
    <w:rsid w:val="00035780"/>
    <w:rsid w:val="0003579E"/>
    <w:rsid w:val="000357DD"/>
    <w:rsid w:val="00035889"/>
    <w:rsid w:val="000358A1"/>
    <w:rsid w:val="000358A7"/>
    <w:rsid w:val="00035906"/>
    <w:rsid w:val="0003590B"/>
    <w:rsid w:val="000359BD"/>
    <w:rsid w:val="00035A10"/>
    <w:rsid w:val="00035A2E"/>
    <w:rsid w:val="00035A3D"/>
    <w:rsid w:val="00035A5D"/>
    <w:rsid w:val="00035AF3"/>
    <w:rsid w:val="00035B04"/>
    <w:rsid w:val="00035B06"/>
    <w:rsid w:val="00035B41"/>
    <w:rsid w:val="00035B46"/>
    <w:rsid w:val="00035B73"/>
    <w:rsid w:val="00035B7A"/>
    <w:rsid w:val="00035B9C"/>
    <w:rsid w:val="00035BB8"/>
    <w:rsid w:val="00035C18"/>
    <w:rsid w:val="00035C1E"/>
    <w:rsid w:val="00035C31"/>
    <w:rsid w:val="00035C4C"/>
    <w:rsid w:val="00035C76"/>
    <w:rsid w:val="00035CAF"/>
    <w:rsid w:val="00035CD3"/>
    <w:rsid w:val="00035D22"/>
    <w:rsid w:val="00035D74"/>
    <w:rsid w:val="00035DA9"/>
    <w:rsid w:val="00035DCC"/>
    <w:rsid w:val="00035DE5"/>
    <w:rsid w:val="00035DEC"/>
    <w:rsid w:val="00035E90"/>
    <w:rsid w:val="00035ED1"/>
    <w:rsid w:val="00035EF4"/>
    <w:rsid w:val="00035EFE"/>
    <w:rsid w:val="00035F00"/>
    <w:rsid w:val="00035F05"/>
    <w:rsid w:val="00035F35"/>
    <w:rsid w:val="00035F42"/>
    <w:rsid w:val="00035F4B"/>
    <w:rsid w:val="00035F55"/>
    <w:rsid w:val="00035F72"/>
    <w:rsid w:val="00035FA9"/>
    <w:rsid w:val="00036034"/>
    <w:rsid w:val="00036087"/>
    <w:rsid w:val="0003611B"/>
    <w:rsid w:val="00036141"/>
    <w:rsid w:val="00036198"/>
    <w:rsid w:val="0003620E"/>
    <w:rsid w:val="00036211"/>
    <w:rsid w:val="000362C2"/>
    <w:rsid w:val="00036371"/>
    <w:rsid w:val="00036379"/>
    <w:rsid w:val="00036391"/>
    <w:rsid w:val="00036392"/>
    <w:rsid w:val="0003639C"/>
    <w:rsid w:val="000363DC"/>
    <w:rsid w:val="000363F8"/>
    <w:rsid w:val="0003640F"/>
    <w:rsid w:val="00036431"/>
    <w:rsid w:val="00036440"/>
    <w:rsid w:val="00036444"/>
    <w:rsid w:val="0003645F"/>
    <w:rsid w:val="0003649A"/>
    <w:rsid w:val="000364AA"/>
    <w:rsid w:val="0003654B"/>
    <w:rsid w:val="000365E2"/>
    <w:rsid w:val="000365FF"/>
    <w:rsid w:val="000366D9"/>
    <w:rsid w:val="0003671D"/>
    <w:rsid w:val="000367A1"/>
    <w:rsid w:val="000367A7"/>
    <w:rsid w:val="000367D1"/>
    <w:rsid w:val="000367DE"/>
    <w:rsid w:val="000367ED"/>
    <w:rsid w:val="0003688A"/>
    <w:rsid w:val="000368C6"/>
    <w:rsid w:val="000368F6"/>
    <w:rsid w:val="0003694D"/>
    <w:rsid w:val="00036A0F"/>
    <w:rsid w:val="00036A18"/>
    <w:rsid w:val="00036AC4"/>
    <w:rsid w:val="00036AE6"/>
    <w:rsid w:val="00036B38"/>
    <w:rsid w:val="00036BC2"/>
    <w:rsid w:val="00036C12"/>
    <w:rsid w:val="00036C6F"/>
    <w:rsid w:val="00036C8D"/>
    <w:rsid w:val="00036CBE"/>
    <w:rsid w:val="00036CCC"/>
    <w:rsid w:val="00036CCE"/>
    <w:rsid w:val="00036CCF"/>
    <w:rsid w:val="00036CDB"/>
    <w:rsid w:val="00036CEC"/>
    <w:rsid w:val="00036D08"/>
    <w:rsid w:val="00036D0F"/>
    <w:rsid w:val="00036D36"/>
    <w:rsid w:val="00036D76"/>
    <w:rsid w:val="00036DC7"/>
    <w:rsid w:val="00036DFD"/>
    <w:rsid w:val="00036E4C"/>
    <w:rsid w:val="00036E69"/>
    <w:rsid w:val="00036EB2"/>
    <w:rsid w:val="00036EF3"/>
    <w:rsid w:val="00036F15"/>
    <w:rsid w:val="00036F16"/>
    <w:rsid w:val="00036FBC"/>
    <w:rsid w:val="00036FFA"/>
    <w:rsid w:val="0003702A"/>
    <w:rsid w:val="0003703B"/>
    <w:rsid w:val="00037063"/>
    <w:rsid w:val="0003706A"/>
    <w:rsid w:val="0003706E"/>
    <w:rsid w:val="000370D4"/>
    <w:rsid w:val="000370E0"/>
    <w:rsid w:val="0003714E"/>
    <w:rsid w:val="000371DA"/>
    <w:rsid w:val="000371F8"/>
    <w:rsid w:val="000371FD"/>
    <w:rsid w:val="00037228"/>
    <w:rsid w:val="00037236"/>
    <w:rsid w:val="00037288"/>
    <w:rsid w:val="000372B8"/>
    <w:rsid w:val="0003734B"/>
    <w:rsid w:val="00037350"/>
    <w:rsid w:val="00037396"/>
    <w:rsid w:val="0003741E"/>
    <w:rsid w:val="00037438"/>
    <w:rsid w:val="0003745F"/>
    <w:rsid w:val="00037466"/>
    <w:rsid w:val="00037467"/>
    <w:rsid w:val="000374D8"/>
    <w:rsid w:val="000374FD"/>
    <w:rsid w:val="0003750A"/>
    <w:rsid w:val="00037512"/>
    <w:rsid w:val="00037535"/>
    <w:rsid w:val="00037584"/>
    <w:rsid w:val="00037596"/>
    <w:rsid w:val="000375A0"/>
    <w:rsid w:val="000375C3"/>
    <w:rsid w:val="000375C6"/>
    <w:rsid w:val="000375D9"/>
    <w:rsid w:val="0003760B"/>
    <w:rsid w:val="00037616"/>
    <w:rsid w:val="00037637"/>
    <w:rsid w:val="00037653"/>
    <w:rsid w:val="000376B6"/>
    <w:rsid w:val="000376B9"/>
    <w:rsid w:val="00037807"/>
    <w:rsid w:val="0003784F"/>
    <w:rsid w:val="00037875"/>
    <w:rsid w:val="000378BF"/>
    <w:rsid w:val="00037933"/>
    <w:rsid w:val="00037945"/>
    <w:rsid w:val="00037996"/>
    <w:rsid w:val="000379B1"/>
    <w:rsid w:val="00037A47"/>
    <w:rsid w:val="00037A85"/>
    <w:rsid w:val="00037A8D"/>
    <w:rsid w:val="00037B15"/>
    <w:rsid w:val="00037B89"/>
    <w:rsid w:val="00037B8C"/>
    <w:rsid w:val="00037B9E"/>
    <w:rsid w:val="00037BA3"/>
    <w:rsid w:val="00037BE4"/>
    <w:rsid w:val="00037C10"/>
    <w:rsid w:val="00037C2E"/>
    <w:rsid w:val="00037C3C"/>
    <w:rsid w:val="00037C4B"/>
    <w:rsid w:val="00037C5B"/>
    <w:rsid w:val="00037C88"/>
    <w:rsid w:val="00037C9D"/>
    <w:rsid w:val="00037CCF"/>
    <w:rsid w:val="00037D1F"/>
    <w:rsid w:val="00037D2E"/>
    <w:rsid w:val="00037DED"/>
    <w:rsid w:val="00037E01"/>
    <w:rsid w:val="00037E10"/>
    <w:rsid w:val="00037E4F"/>
    <w:rsid w:val="00037F14"/>
    <w:rsid w:val="00037F25"/>
    <w:rsid w:val="00037F41"/>
    <w:rsid w:val="00037F4D"/>
    <w:rsid w:val="00037F58"/>
    <w:rsid w:val="00037F7C"/>
    <w:rsid w:val="00037FAF"/>
    <w:rsid w:val="00040070"/>
    <w:rsid w:val="00040083"/>
    <w:rsid w:val="0004008D"/>
    <w:rsid w:val="0004009A"/>
    <w:rsid w:val="00040169"/>
    <w:rsid w:val="00040171"/>
    <w:rsid w:val="000401C5"/>
    <w:rsid w:val="000402A2"/>
    <w:rsid w:val="00040326"/>
    <w:rsid w:val="0004032D"/>
    <w:rsid w:val="00040332"/>
    <w:rsid w:val="000403BB"/>
    <w:rsid w:val="000403CF"/>
    <w:rsid w:val="000403F5"/>
    <w:rsid w:val="000403FE"/>
    <w:rsid w:val="00040415"/>
    <w:rsid w:val="00040458"/>
    <w:rsid w:val="000404A0"/>
    <w:rsid w:val="000404BE"/>
    <w:rsid w:val="00040522"/>
    <w:rsid w:val="00040532"/>
    <w:rsid w:val="00040575"/>
    <w:rsid w:val="00040592"/>
    <w:rsid w:val="000405A2"/>
    <w:rsid w:val="000405B5"/>
    <w:rsid w:val="000405ED"/>
    <w:rsid w:val="0004061F"/>
    <w:rsid w:val="00040663"/>
    <w:rsid w:val="00040674"/>
    <w:rsid w:val="000406CE"/>
    <w:rsid w:val="00040769"/>
    <w:rsid w:val="000407D3"/>
    <w:rsid w:val="0004087F"/>
    <w:rsid w:val="00040882"/>
    <w:rsid w:val="0004089F"/>
    <w:rsid w:val="000408BC"/>
    <w:rsid w:val="0004090E"/>
    <w:rsid w:val="00040975"/>
    <w:rsid w:val="000409AE"/>
    <w:rsid w:val="000409C3"/>
    <w:rsid w:val="000409FB"/>
    <w:rsid w:val="00040A28"/>
    <w:rsid w:val="00040A2D"/>
    <w:rsid w:val="00040A41"/>
    <w:rsid w:val="00040A4F"/>
    <w:rsid w:val="00040A68"/>
    <w:rsid w:val="00040AB8"/>
    <w:rsid w:val="00040ACF"/>
    <w:rsid w:val="00040AF0"/>
    <w:rsid w:val="00040B31"/>
    <w:rsid w:val="00040B4D"/>
    <w:rsid w:val="00040B65"/>
    <w:rsid w:val="00040B6C"/>
    <w:rsid w:val="00040BBF"/>
    <w:rsid w:val="00040C67"/>
    <w:rsid w:val="00040C6A"/>
    <w:rsid w:val="00040C97"/>
    <w:rsid w:val="00040CC8"/>
    <w:rsid w:val="00040CD6"/>
    <w:rsid w:val="00040CE5"/>
    <w:rsid w:val="00040D10"/>
    <w:rsid w:val="00040D68"/>
    <w:rsid w:val="00040DBC"/>
    <w:rsid w:val="00040E2E"/>
    <w:rsid w:val="00040E55"/>
    <w:rsid w:val="00040EC7"/>
    <w:rsid w:val="00040EFE"/>
    <w:rsid w:val="00040F0F"/>
    <w:rsid w:val="00040F28"/>
    <w:rsid w:val="00040F9D"/>
    <w:rsid w:val="00041064"/>
    <w:rsid w:val="00041079"/>
    <w:rsid w:val="000410DC"/>
    <w:rsid w:val="0004118B"/>
    <w:rsid w:val="000411B6"/>
    <w:rsid w:val="000411D7"/>
    <w:rsid w:val="0004122D"/>
    <w:rsid w:val="00041291"/>
    <w:rsid w:val="000412AA"/>
    <w:rsid w:val="000412C0"/>
    <w:rsid w:val="000412C6"/>
    <w:rsid w:val="0004130D"/>
    <w:rsid w:val="00041330"/>
    <w:rsid w:val="00041335"/>
    <w:rsid w:val="0004136C"/>
    <w:rsid w:val="000413EE"/>
    <w:rsid w:val="0004140C"/>
    <w:rsid w:val="00041438"/>
    <w:rsid w:val="0004149D"/>
    <w:rsid w:val="00041571"/>
    <w:rsid w:val="00041654"/>
    <w:rsid w:val="0004166C"/>
    <w:rsid w:val="000416CB"/>
    <w:rsid w:val="0004170F"/>
    <w:rsid w:val="0004177E"/>
    <w:rsid w:val="0004179F"/>
    <w:rsid w:val="000417AA"/>
    <w:rsid w:val="00041809"/>
    <w:rsid w:val="00041873"/>
    <w:rsid w:val="00041901"/>
    <w:rsid w:val="00041931"/>
    <w:rsid w:val="00041952"/>
    <w:rsid w:val="00041960"/>
    <w:rsid w:val="00041964"/>
    <w:rsid w:val="000419AE"/>
    <w:rsid w:val="000419B3"/>
    <w:rsid w:val="00041A13"/>
    <w:rsid w:val="00041A85"/>
    <w:rsid w:val="00041A88"/>
    <w:rsid w:val="00041AE4"/>
    <w:rsid w:val="00041B02"/>
    <w:rsid w:val="00041B17"/>
    <w:rsid w:val="00041B22"/>
    <w:rsid w:val="00041B31"/>
    <w:rsid w:val="00041B72"/>
    <w:rsid w:val="00041B83"/>
    <w:rsid w:val="00041B9E"/>
    <w:rsid w:val="00041BA8"/>
    <w:rsid w:val="00041BCC"/>
    <w:rsid w:val="00041BEC"/>
    <w:rsid w:val="00041BEE"/>
    <w:rsid w:val="00041C3A"/>
    <w:rsid w:val="00041C41"/>
    <w:rsid w:val="00041C90"/>
    <w:rsid w:val="00041CB0"/>
    <w:rsid w:val="00041CF2"/>
    <w:rsid w:val="00041CFD"/>
    <w:rsid w:val="00041D16"/>
    <w:rsid w:val="00041D42"/>
    <w:rsid w:val="00041D95"/>
    <w:rsid w:val="00041DBA"/>
    <w:rsid w:val="00041E38"/>
    <w:rsid w:val="00041E4F"/>
    <w:rsid w:val="00041E80"/>
    <w:rsid w:val="00041F20"/>
    <w:rsid w:val="00041F38"/>
    <w:rsid w:val="00041F97"/>
    <w:rsid w:val="00041F99"/>
    <w:rsid w:val="00041FB2"/>
    <w:rsid w:val="00041FBF"/>
    <w:rsid w:val="00041FF3"/>
    <w:rsid w:val="00042075"/>
    <w:rsid w:val="000420C2"/>
    <w:rsid w:val="000420E5"/>
    <w:rsid w:val="00042100"/>
    <w:rsid w:val="00042156"/>
    <w:rsid w:val="0004215D"/>
    <w:rsid w:val="00042165"/>
    <w:rsid w:val="000421B5"/>
    <w:rsid w:val="000421BF"/>
    <w:rsid w:val="000421D2"/>
    <w:rsid w:val="00042200"/>
    <w:rsid w:val="00042210"/>
    <w:rsid w:val="00042299"/>
    <w:rsid w:val="000422F7"/>
    <w:rsid w:val="00042332"/>
    <w:rsid w:val="00042338"/>
    <w:rsid w:val="000423CE"/>
    <w:rsid w:val="0004241D"/>
    <w:rsid w:val="00042477"/>
    <w:rsid w:val="000424D8"/>
    <w:rsid w:val="00042550"/>
    <w:rsid w:val="000425F9"/>
    <w:rsid w:val="0004260B"/>
    <w:rsid w:val="0004263B"/>
    <w:rsid w:val="00042657"/>
    <w:rsid w:val="00042676"/>
    <w:rsid w:val="000426B3"/>
    <w:rsid w:val="000426FD"/>
    <w:rsid w:val="00042703"/>
    <w:rsid w:val="00042709"/>
    <w:rsid w:val="00042733"/>
    <w:rsid w:val="00042763"/>
    <w:rsid w:val="00042789"/>
    <w:rsid w:val="000427B7"/>
    <w:rsid w:val="000427B8"/>
    <w:rsid w:val="000427C5"/>
    <w:rsid w:val="000427D5"/>
    <w:rsid w:val="000427F8"/>
    <w:rsid w:val="00042810"/>
    <w:rsid w:val="00042826"/>
    <w:rsid w:val="0004285B"/>
    <w:rsid w:val="0004287D"/>
    <w:rsid w:val="000428DF"/>
    <w:rsid w:val="00042926"/>
    <w:rsid w:val="00042927"/>
    <w:rsid w:val="0004292D"/>
    <w:rsid w:val="0004299C"/>
    <w:rsid w:val="000429D0"/>
    <w:rsid w:val="00042A17"/>
    <w:rsid w:val="00042A33"/>
    <w:rsid w:val="00042A45"/>
    <w:rsid w:val="00042A4C"/>
    <w:rsid w:val="00042A8A"/>
    <w:rsid w:val="00042AC3"/>
    <w:rsid w:val="00042B46"/>
    <w:rsid w:val="00042BF4"/>
    <w:rsid w:val="00042C2A"/>
    <w:rsid w:val="00042C30"/>
    <w:rsid w:val="00042C74"/>
    <w:rsid w:val="00042D66"/>
    <w:rsid w:val="00042DC2"/>
    <w:rsid w:val="00042E19"/>
    <w:rsid w:val="00042E2E"/>
    <w:rsid w:val="00042E39"/>
    <w:rsid w:val="00042E47"/>
    <w:rsid w:val="00042E7F"/>
    <w:rsid w:val="00042E89"/>
    <w:rsid w:val="00042ED4"/>
    <w:rsid w:val="00042EE6"/>
    <w:rsid w:val="00042F52"/>
    <w:rsid w:val="00042F69"/>
    <w:rsid w:val="00042FE2"/>
    <w:rsid w:val="0004300F"/>
    <w:rsid w:val="0004301B"/>
    <w:rsid w:val="00043037"/>
    <w:rsid w:val="00043055"/>
    <w:rsid w:val="00043078"/>
    <w:rsid w:val="0004307B"/>
    <w:rsid w:val="0004308D"/>
    <w:rsid w:val="0004309E"/>
    <w:rsid w:val="000430B4"/>
    <w:rsid w:val="000430C3"/>
    <w:rsid w:val="000430E8"/>
    <w:rsid w:val="000430FE"/>
    <w:rsid w:val="00043100"/>
    <w:rsid w:val="0004317E"/>
    <w:rsid w:val="0004319A"/>
    <w:rsid w:val="000431EF"/>
    <w:rsid w:val="00043230"/>
    <w:rsid w:val="00043249"/>
    <w:rsid w:val="0004324B"/>
    <w:rsid w:val="00043289"/>
    <w:rsid w:val="0004328E"/>
    <w:rsid w:val="00043293"/>
    <w:rsid w:val="00043297"/>
    <w:rsid w:val="0004329D"/>
    <w:rsid w:val="000432CE"/>
    <w:rsid w:val="000432FB"/>
    <w:rsid w:val="0004338F"/>
    <w:rsid w:val="00043391"/>
    <w:rsid w:val="000433D5"/>
    <w:rsid w:val="000433E0"/>
    <w:rsid w:val="00043404"/>
    <w:rsid w:val="00043436"/>
    <w:rsid w:val="0004349D"/>
    <w:rsid w:val="000434A4"/>
    <w:rsid w:val="000434D9"/>
    <w:rsid w:val="000434E8"/>
    <w:rsid w:val="000434EC"/>
    <w:rsid w:val="00043512"/>
    <w:rsid w:val="000435F8"/>
    <w:rsid w:val="0004369A"/>
    <w:rsid w:val="00043715"/>
    <w:rsid w:val="00043749"/>
    <w:rsid w:val="0004379C"/>
    <w:rsid w:val="00043872"/>
    <w:rsid w:val="000438A3"/>
    <w:rsid w:val="000438B5"/>
    <w:rsid w:val="00043906"/>
    <w:rsid w:val="00043946"/>
    <w:rsid w:val="00043949"/>
    <w:rsid w:val="00043974"/>
    <w:rsid w:val="00043A79"/>
    <w:rsid w:val="00043B20"/>
    <w:rsid w:val="00043B9A"/>
    <w:rsid w:val="00043BB9"/>
    <w:rsid w:val="00043BD3"/>
    <w:rsid w:val="00043C26"/>
    <w:rsid w:val="00043C39"/>
    <w:rsid w:val="00043C7E"/>
    <w:rsid w:val="00043C83"/>
    <w:rsid w:val="00043CE3"/>
    <w:rsid w:val="00043D1C"/>
    <w:rsid w:val="00043DB0"/>
    <w:rsid w:val="00043DF1"/>
    <w:rsid w:val="00043EE3"/>
    <w:rsid w:val="00043EF6"/>
    <w:rsid w:val="00043F0B"/>
    <w:rsid w:val="00043F12"/>
    <w:rsid w:val="00043F7B"/>
    <w:rsid w:val="00043F9C"/>
    <w:rsid w:val="00043FD8"/>
    <w:rsid w:val="00044077"/>
    <w:rsid w:val="0004409A"/>
    <w:rsid w:val="00044111"/>
    <w:rsid w:val="00044135"/>
    <w:rsid w:val="00044140"/>
    <w:rsid w:val="0004414D"/>
    <w:rsid w:val="0004419B"/>
    <w:rsid w:val="000441B5"/>
    <w:rsid w:val="000441BE"/>
    <w:rsid w:val="00044241"/>
    <w:rsid w:val="00044274"/>
    <w:rsid w:val="000442DA"/>
    <w:rsid w:val="000442EC"/>
    <w:rsid w:val="000442F2"/>
    <w:rsid w:val="00044334"/>
    <w:rsid w:val="00044338"/>
    <w:rsid w:val="000444F2"/>
    <w:rsid w:val="0004451D"/>
    <w:rsid w:val="0004452E"/>
    <w:rsid w:val="00044533"/>
    <w:rsid w:val="0004458B"/>
    <w:rsid w:val="000445C0"/>
    <w:rsid w:val="000445CB"/>
    <w:rsid w:val="0004466C"/>
    <w:rsid w:val="0004473B"/>
    <w:rsid w:val="00044767"/>
    <w:rsid w:val="0004484F"/>
    <w:rsid w:val="0004485C"/>
    <w:rsid w:val="000448AD"/>
    <w:rsid w:val="000448D0"/>
    <w:rsid w:val="000448E6"/>
    <w:rsid w:val="00044978"/>
    <w:rsid w:val="0004497C"/>
    <w:rsid w:val="000449CB"/>
    <w:rsid w:val="00044A39"/>
    <w:rsid w:val="00044A54"/>
    <w:rsid w:val="00044AA2"/>
    <w:rsid w:val="00044B28"/>
    <w:rsid w:val="00044B54"/>
    <w:rsid w:val="00044B94"/>
    <w:rsid w:val="00044BA3"/>
    <w:rsid w:val="00044C4A"/>
    <w:rsid w:val="00044C52"/>
    <w:rsid w:val="00044C71"/>
    <w:rsid w:val="00044CA7"/>
    <w:rsid w:val="00044CB3"/>
    <w:rsid w:val="00044CE9"/>
    <w:rsid w:val="00044D69"/>
    <w:rsid w:val="00044D7E"/>
    <w:rsid w:val="00044D84"/>
    <w:rsid w:val="00044DBF"/>
    <w:rsid w:val="00044E91"/>
    <w:rsid w:val="00044EB5"/>
    <w:rsid w:val="00044ED4"/>
    <w:rsid w:val="00044EF1"/>
    <w:rsid w:val="00044F0A"/>
    <w:rsid w:val="00044F7F"/>
    <w:rsid w:val="00044F8A"/>
    <w:rsid w:val="00044FDC"/>
    <w:rsid w:val="00045009"/>
    <w:rsid w:val="0004501E"/>
    <w:rsid w:val="00045038"/>
    <w:rsid w:val="0004504A"/>
    <w:rsid w:val="0004506A"/>
    <w:rsid w:val="000450FA"/>
    <w:rsid w:val="0004511A"/>
    <w:rsid w:val="0004520F"/>
    <w:rsid w:val="00045211"/>
    <w:rsid w:val="00045232"/>
    <w:rsid w:val="00045240"/>
    <w:rsid w:val="00045269"/>
    <w:rsid w:val="000452CD"/>
    <w:rsid w:val="000452E4"/>
    <w:rsid w:val="0004532E"/>
    <w:rsid w:val="00045337"/>
    <w:rsid w:val="00045383"/>
    <w:rsid w:val="000453EC"/>
    <w:rsid w:val="0004542E"/>
    <w:rsid w:val="00045479"/>
    <w:rsid w:val="000454EA"/>
    <w:rsid w:val="00045526"/>
    <w:rsid w:val="0004556F"/>
    <w:rsid w:val="00045570"/>
    <w:rsid w:val="00045583"/>
    <w:rsid w:val="000455C0"/>
    <w:rsid w:val="00045604"/>
    <w:rsid w:val="00045625"/>
    <w:rsid w:val="0004566D"/>
    <w:rsid w:val="00045696"/>
    <w:rsid w:val="000456AC"/>
    <w:rsid w:val="0004573F"/>
    <w:rsid w:val="000457C7"/>
    <w:rsid w:val="000457E1"/>
    <w:rsid w:val="0004582C"/>
    <w:rsid w:val="000458EE"/>
    <w:rsid w:val="00045902"/>
    <w:rsid w:val="00045930"/>
    <w:rsid w:val="00045947"/>
    <w:rsid w:val="0004594D"/>
    <w:rsid w:val="00045953"/>
    <w:rsid w:val="00045A5F"/>
    <w:rsid w:val="00045AC4"/>
    <w:rsid w:val="00045AE1"/>
    <w:rsid w:val="00045AFB"/>
    <w:rsid w:val="00045B11"/>
    <w:rsid w:val="00045B59"/>
    <w:rsid w:val="00045B63"/>
    <w:rsid w:val="00045BC6"/>
    <w:rsid w:val="00045BF3"/>
    <w:rsid w:val="00045C16"/>
    <w:rsid w:val="00045C2F"/>
    <w:rsid w:val="00045C31"/>
    <w:rsid w:val="00045C4A"/>
    <w:rsid w:val="00045C9F"/>
    <w:rsid w:val="00045CF6"/>
    <w:rsid w:val="00045D17"/>
    <w:rsid w:val="00045D51"/>
    <w:rsid w:val="00045D6E"/>
    <w:rsid w:val="00045DD2"/>
    <w:rsid w:val="00045E19"/>
    <w:rsid w:val="00045E2D"/>
    <w:rsid w:val="00045E80"/>
    <w:rsid w:val="00045EC8"/>
    <w:rsid w:val="00045F1B"/>
    <w:rsid w:val="00045F27"/>
    <w:rsid w:val="00045F2D"/>
    <w:rsid w:val="00045F48"/>
    <w:rsid w:val="00045F52"/>
    <w:rsid w:val="00045F5B"/>
    <w:rsid w:val="00045F60"/>
    <w:rsid w:val="00045F88"/>
    <w:rsid w:val="00045FE6"/>
    <w:rsid w:val="00045FF0"/>
    <w:rsid w:val="00046046"/>
    <w:rsid w:val="0004605E"/>
    <w:rsid w:val="0004605F"/>
    <w:rsid w:val="0004607E"/>
    <w:rsid w:val="000460A6"/>
    <w:rsid w:val="000460B9"/>
    <w:rsid w:val="0004610F"/>
    <w:rsid w:val="00046125"/>
    <w:rsid w:val="00046146"/>
    <w:rsid w:val="00046179"/>
    <w:rsid w:val="000461A8"/>
    <w:rsid w:val="000461B5"/>
    <w:rsid w:val="000461D7"/>
    <w:rsid w:val="0004621C"/>
    <w:rsid w:val="00046235"/>
    <w:rsid w:val="00046299"/>
    <w:rsid w:val="000462AD"/>
    <w:rsid w:val="000462CB"/>
    <w:rsid w:val="000462FC"/>
    <w:rsid w:val="0004634C"/>
    <w:rsid w:val="0004635A"/>
    <w:rsid w:val="000463CC"/>
    <w:rsid w:val="00046420"/>
    <w:rsid w:val="00046436"/>
    <w:rsid w:val="000464D7"/>
    <w:rsid w:val="000464FA"/>
    <w:rsid w:val="00046556"/>
    <w:rsid w:val="00046684"/>
    <w:rsid w:val="00046784"/>
    <w:rsid w:val="00046805"/>
    <w:rsid w:val="00046806"/>
    <w:rsid w:val="0004680E"/>
    <w:rsid w:val="0004688A"/>
    <w:rsid w:val="000468D9"/>
    <w:rsid w:val="0004692D"/>
    <w:rsid w:val="0004695C"/>
    <w:rsid w:val="00046966"/>
    <w:rsid w:val="0004699B"/>
    <w:rsid w:val="00046A03"/>
    <w:rsid w:val="00046A8B"/>
    <w:rsid w:val="00046AB6"/>
    <w:rsid w:val="00046B18"/>
    <w:rsid w:val="00046B47"/>
    <w:rsid w:val="00046B6F"/>
    <w:rsid w:val="00046BA6"/>
    <w:rsid w:val="00046BE1"/>
    <w:rsid w:val="00046C24"/>
    <w:rsid w:val="00046C29"/>
    <w:rsid w:val="00046C53"/>
    <w:rsid w:val="00046CD1"/>
    <w:rsid w:val="00046D54"/>
    <w:rsid w:val="00046E18"/>
    <w:rsid w:val="00046E1A"/>
    <w:rsid w:val="00046E26"/>
    <w:rsid w:val="00046E2E"/>
    <w:rsid w:val="00046E5A"/>
    <w:rsid w:val="00046E5C"/>
    <w:rsid w:val="00046E82"/>
    <w:rsid w:val="00046E92"/>
    <w:rsid w:val="00046EA7"/>
    <w:rsid w:val="00046EDF"/>
    <w:rsid w:val="00046F0C"/>
    <w:rsid w:val="00046F31"/>
    <w:rsid w:val="00046FAB"/>
    <w:rsid w:val="0004701B"/>
    <w:rsid w:val="0004701D"/>
    <w:rsid w:val="00047160"/>
    <w:rsid w:val="000471C3"/>
    <w:rsid w:val="000471DF"/>
    <w:rsid w:val="0004724F"/>
    <w:rsid w:val="00047260"/>
    <w:rsid w:val="00047292"/>
    <w:rsid w:val="000472C2"/>
    <w:rsid w:val="000472F4"/>
    <w:rsid w:val="000472FA"/>
    <w:rsid w:val="0004731E"/>
    <w:rsid w:val="000473C4"/>
    <w:rsid w:val="000473F9"/>
    <w:rsid w:val="0004743C"/>
    <w:rsid w:val="00047445"/>
    <w:rsid w:val="0004746D"/>
    <w:rsid w:val="00047541"/>
    <w:rsid w:val="0004757A"/>
    <w:rsid w:val="000475B7"/>
    <w:rsid w:val="000475FF"/>
    <w:rsid w:val="00047608"/>
    <w:rsid w:val="00047649"/>
    <w:rsid w:val="00047698"/>
    <w:rsid w:val="0004772B"/>
    <w:rsid w:val="000477E9"/>
    <w:rsid w:val="000477EE"/>
    <w:rsid w:val="00047829"/>
    <w:rsid w:val="00047834"/>
    <w:rsid w:val="000478FE"/>
    <w:rsid w:val="00047944"/>
    <w:rsid w:val="00047961"/>
    <w:rsid w:val="00047987"/>
    <w:rsid w:val="00047A0F"/>
    <w:rsid w:val="00047B14"/>
    <w:rsid w:val="00047B2A"/>
    <w:rsid w:val="00047B4D"/>
    <w:rsid w:val="00047BB0"/>
    <w:rsid w:val="00047BB8"/>
    <w:rsid w:val="00047BE5"/>
    <w:rsid w:val="00047BEF"/>
    <w:rsid w:val="00047C58"/>
    <w:rsid w:val="00047C83"/>
    <w:rsid w:val="00047C94"/>
    <w:rsid w:val="00047D1E"/>
    <w:rsid w:val="00047DF3"/>
    <w:rsid w:val="00047DFB"/>
    <w:rsid w:val="00047E8E"/>
    <w:rsid w:val="00047F25"/>
    <w:rsid w:val="00047F31"/>
    <w:rsid w:val="00047F64"/>
    <w:rsid w:val="00047F93"/>
    <w:rsid w:val="00047FB6"/>
    <w:rsid w:val="00050030"/>
    <w:rsid w:val="00050044"/>
    <w:rsid w:val="00050047"/>
    <w:rsid w:val="00050080"/>
    <w:rsid w:val="00050092"/>
    <w:rsid w:val="000500A5"/>
    <w:rsid w:val="000500D6"/>
    <w:rsid w:val="00050117"/>
    <w:rsid w:val="0005014D"/>
    <w:rsid w:val="00050163"/>
    <w:rsid w:val="0005016F"/>
    <w:rsid w:val="0005017E"/>
    <w:rsid w:val="000501C3"/>
    <w:rsid w:val="000501E3"/>
    <w:rsid w:val="0005022E"/>
    <w:rsid w:val="00050230"/>
    <w:rsid w:val="00050237"/>
    <w:rsid w:val="0005029E"/>
    <w:rsid w:val="000502BD"/>
    <w:rsid w:val="000502E8"/>
    <w:rsid w:val="0005031C"/>
    <w:rsid w:val="0005033F"/>
    <w:rsid w:val="0005034D"/>
    <w:rsid w:val="00050374"/>
    <w:rsid w:val="000503FC"/>
    <w:rsid w:val="00050482"/>
    <w:rsid w:val="0005050D"/>
    <w:rsid w:val="00050544"/>
    <w:rsid w:val="0005058F"/>
    <w:rsid w:val="0005059B"/>
    <w:rsid w:val="000505A7"/>
    <w:rsid w:val="000505AC"/>
    <w:rsid w:val="00050604"/>
    <w:rsid w:val="00050639"/>
    <w:rsid w:val="00050648"/>
    <w:rsid w:val="00050667"/>
    <w:rsid w:val="0005067A"/>
    <w:rsid w:val="000506B6"/>
    <w:rsid w:val="00050707"/>
    <w:rsid w:val="0005070E"/>
    <w:rsid w:val="0005075E"/>
    <w:rsid w:val="0005077F"/>
    <w:rsid w:val="0005079F"/>
    <w:rsid w:val="000507A2"/>
    <w:rsid w:val="000507A3"/>
    <w:rsid w:val="000507BF"/>
    <w:rsid w:val="000507C0"/>
    <w:rsid w:val="000507C2"/>
    <w:rsid w:val="0005080E"/>
    <w:rsid w:val="000508DA"/>
    <w:rsid w:val="000508E7"/>
    <w:rsid w:val="000508E9"/>
    <w:rsid w:val="0005092D"/>
    <w:rsid w:val="0005099A"/>
    <w:rsid w:val="000509A9"/>
    <w:rsid w:val="000509AF"/>
    <w:rsid w:val="000509C6"/>
    <w:rsid w:val="000509D2"/>
    <w:rsid w:val="000509DB"/>
    <w:rsid w:val="000509E4"/>
    <w:rsid w:val="00050A14"/>
    <w:rsid w:val="00050A6A"/>
    <w:rsid w:val="00050A7A"/>
    <w:rsid w:val="00050A82"/>
    <w:rsid w:val="00050A87"/>
    <w:rsid w:val="00050ADA"/>
    <w:rsid w:val="00050B17"/>
    <w:rsid w:val="00050B9E"/>
    <w:rsid w:val="00050BBB"/>
    <w:rsid w:val="00050BCF"/>
    <w:rsid w:val="00050BF5"/>
    <w:rsid w:val="00050BFB"/>
    <w:rsid w:val="00050C0F"/>
    <w:rsid w:val="00050C19"/>
    <w:rsid w:val="00050C5D"/>
    <w:rsid w:val="00050C7F"/>
    <w:rsid w:val="00050CDC"/>
    <w:rsid w:val="00050DBE"/>
    <w:rsid w:val="00050E0A"/>
    <w:rsid w:val="00050E21"/>
    <w:rsid w:val="00050E81"/>
    <w:rsid w:val="00050F94"/>
    <w:rsid w:val="00050FAC"/>
    <w:rsid w:val="00050FD8"/>
    <w:rsid w:val="00051030"/>
    <w:rsid w:val="00051093"/>
    <w:rsid w:val="000511D9"/>
    <w:rsid w:val="00051255"/>
    <w:rsid w:val="000512DC"/>
    <w:rsid w:val="00051385"/>
    <w:rsid w:val="000513AF"/>
    <w:rsid w:val="000513BC"/>
    <w:rsid w:val="000513CA"/>
    <w:rsid w:val="00051416"/>
    <w:rsid w:val="0005144E"/>
    <w:rsid w:val="0005145F"/>
    <w:rsid w:val="000514B4"/>
    <w:rsid w:val="000514F2"/>
    <w:rsid w:val="00051512"/>
    <w:rsid w:val="00051525"/>
    <w:rsid w:val="0005153F"/>
    <w:rsid w:val="00051578"/>
    <w:rsid w:val="000515C5"/>
    <w:rsid w:val="00051618"/>
    <w:rsid w:val="0005162D"/>
    <w:rsid w:val="00051672"/>
    <w:rsid w:val="000516F2"/>
    <w:rsid w:val="00051743"/>
    <w:rsid w:val="00051777"/>
    <w:rsid w:val="00051779"/>
    <w:rsid w:val="0005179C"/>
    <w:rsid w:val="000517E9"/>
    <w:rsid w:val="000518FD"/>
    <w:rsid w:val="00051925"/>
    <w:rsid w:val="0005194D"/>
    <w:rsid w:val="00051955"/>
    <w:rsid w:val="00051964"/>
    <w:rsid w:val="00051970"/>
    <w:rsid w:val="000519C3"/>
    <w:rsid w:val="000519C4"/>
    <w:rsid w:val="00051A3D"/>
    <w:rsid w:val="00051A40"/>
    <w:rsid w:val="00051A5D"/>
    <w:rsid w:val="00051A86"/>
    <w:rsid w:val="00051ABD"/>
    <w:rsid w:val="00051ABE"/>
    <w:rsid w:val="00051ADC"/>
    <w:rsid w:val="00051B16"/>
    <w:rsid w:val="00051B21"/>
    <w:rsid w:val="00051B72"/>
    <w:rsid w:val="00051BAD"/>
    <w:rsid w:val="00051BBA"/>
    <w:rsid w:val="00051BC4"/>
    <w:rsid w:val="00051BD8"/>
    <w:rsid w:val="00051C25"/>
    <w:rsid w:val="00051C7D"/>
    <w:rsid w:val="00051C87"/>
    <w:rsid w:val="00051D62"/>
    <w:rsid w:val="00051D92"/>
    <w:rsid w:val="00051DC4"/>
    <w:rsid w:val="00051E2C"/>
    <w:rsid w:val="00051E36"/>
    <w:rsid w:val="00051E5F"/>
    <w:rsid w:val="00051F63"/>
    <w:rsid w:val="00051F91"/>
    <w:rsid w:val="00051FE4"/>
    <w:rsid w:val="00052037"/>
    <w:rsid w:val="00052041"/>
    <w:rsid w:val="00052055"/>
    <w:rsid w:val="0005209E"/>
    <w:rsid w:val="000520FF"/>
    <w:rsid w:val="00052125"/>
    <w:rsid w:val="0005213F"/>
    <w:rsid w:val="0005215A"/>
    <w:rsid w:val="00052168"/>
    <w:rsid w:val="00052176"/>
    <w:rsid w:val="000521BC"/>
    <w:rsid w:val="00052207"/>
    <w:rsid w:val="00052208"/>
    <w:rsid w:val="00052253"/>
    <w:rsid w:val="00052297"/>
    <w:rsid w:val="0005231C"/>
    <w:rsid w:val="00052324"/>
    <w:rsid w:val="0005239B"/>
    <w:rsid w:val="000523A6"/>
    <w:rsid w:val="000523DA"/>
    <w:rsid w:val="0005240B"/>
    <w:rsid w:val="00052439"/>
    <w:rsid w:val="0005243A"/>
    <w:rsid w:val="00052448"/>
    <w:rsid w:val="00052466"/>
    <w:rsid w:val="000524B6"/>
    <w:rsid w:val="000524CD"/>
    <w:rsid w:val="000524EA"/>
    <w:rsid w:val="0005251B"/>
    <w:rsid w:val="00052551"/>
    <w:rsid w:val="000525F9"/>
    <w:rsid w:val="00052617"/>
    <w:rsid w:val="0005264D"/>
    <w:rsid w:val="0005266A"/>
    <w:rsid w:val="00052690"/>
    <w:rsid w:val="00052730"/>
    <w:rsid w:val="00052757"/>
    <w:rsid w:val="00052799"/>
    <w:rsid w:val="000527CC"/>
    <w:rsid w:val="000527E1"/>
    <w:rsid w:val="00052816"/>
    <w:rsid w:val="00052822"/>
    <w:rsid w:val="0005283B"/>
    <w:rsid w:val="00052858"/>
    <w:rsid w:val="0005285C"/>
    <w:rsid w:val="00052878"/>
    <w:rsid w:val="000528B9"/>
    <w:rsid w:val="00052911"/>
    <w:rsid w:val="0005297C"/>
    <w:rsid w:val="00052997"/>
    <w:rsid w:val="0005299E"/>
    <w:rsid w:val="000529D5"/>
    <w:rsid w:val="00052A1C"/>
    <w:rsid w:val="00052A2A"/>
    <w:rsid w:val="00052A31"/>
    <w:rsid w:val="00052A73"/>
    <w:rsid w:val="00052A81"/>
    <w:rsid w:val="00052A98"/>
    <w:rsid w:val="00052A9B"/>
    <w:rsid w:val="00052AC1"/>
    <w:rsid w:val="00052AF1"/>
    <w:rsid w:val="00052B4C"/>
    <w:rsid w:val="00052B6C"/>
    <w:rsid w:val="00052BC8"/>
    <w:rsid w:val="00052BD0"/>
    <w:rsid w:val="00052BEB"/>
    <w:rsid w:val="00052C54"/>
    <w:rsid w:val="00052C92"/>
    <w:rsid w:val="00052D11"/>
    <w:rsid w:val="00052D36"/>
    <w:rsid w:val="00052DC0"/>
    <w:rsid w:val="00052DC3"/>
    <w:rsid w:val="00052DC9"/>
    <w:rsid w:val="00052DDF"/>
    <w:rsid w:val="00052E23"/>
    <w:rsid w:val="00052E5E"/>
    <w:rsid w:val="00052EDE"/>
    <w:rsid w:val="00052F37"/>
    <w:rsid w:val="00052F6A"/>
    <w:rsid w:val="00052FB7"/>
    <w:rsid w:val="00052FD8"/>
    <w:rsid w:val="00052FFA"/>
    <w:rsid w:val="00053015"/>
    <w:rsid w:val="00053033"/>
    <w:rsid w:val="000530C3"/>
    <w:rsid w:val="000530C4"/>
    <w:rsid w:val="000530ED"/>
    <w:rsid w:val="0005313E"/>
    <w:rsid w:val="00053169"/>
    <w:rsid w:val="00053188"/>
    <w:rsid w:val="000531E7"/>
    <w:rsid w:val="0005322E"/>
    <w:rsid w:val="0005323F"/>
    <w:rsid w:val="00053262"/>
    <w:rsid w:val="00053270"/>
    <w:rsid w:val="00053273"/>
    <w:rsid w:val="0005327A"/>
    <w:rsid w:val="0005327C"/>
    <w:rsid w:val="00053281"/>
    <w:rsid w:val="000532D5"/>
    <w:rsid w:val="000533A2"/>
    <w:rsid w:val="000533BE"/>
    <w:rsid w:val="000533DD"/>
    <w:rsid w:val="000533EC"/>
    <w:rsid w:val="00053458"/>
    <w:rsid w:val="0005345A"/>
    <w:rsid w:val="0005346B"/>
    <w:rsid w:val="000534A3"/>
    <w:rsid w:val="000534B5"/>
    <w:rsid w:val="0005351D"/>
    <w:rsid w:val="00053538"/>
    <w:rsid w:val="0005357A"/>
    <w:rsid w:val="00053598"/>
    <w:rsid w:val="00053599"/>
    <w:rsid w:val="000535BB"/>
    <w:rsid w:val="000535DB"/>
    <w:rsid w:val="0005370A"/>
    <w:rsid w:val="0005371D"/>
    <w:rsid w:val="0005373D"/>
    <w:rsid w:val="0005374D"/>
    <w:rsid w:val="000537B1"/>
    <w:rsid w:val="000537FF"/>
    <w:rsid w:val="0005386C"/>
    <w:rsid w:val="000538DA"/>
    <w:rsid w:val="000538E3"/>
    <w:rsid w:val="00053919"/>
    <w:rsid w:val="00053990"/>
    <w:rsid w:val="000539AD"/>
    <w:rsid w:val="000539B6"/>
    <w:rsid w:val="000539BC"/>
    <w:rsid w:val="000539BF"/>
    <w:rsid w:val="000539C6"/>
    <w:rsid w:val="000539C8"/>
    <w:rsid w:val="000539EC"/>
    <w:rsid w:val="00053A0A"/>
    <w:rsid w:val="00053A20"/>
    <w:rsid w:val="00053A5E"/>
    <w:rsid w:val="00053A60"/>
    <w:rsid w:val="00053AA4"/>
    <w:rsid w:val="00053B94"/>
    <w:rsid w:val="00053BC2"/>
    <w:rsid w:val="00053BD1"/>
    <w:rsid w:val="00053C32"/>
    <w:rsid w:val="00053C79"/>
    <w:rsid w:val="00053C7D"/>
    <w:rsid w:val="00053CBB"/>
    <w:rsid w:val="00053CC7"/>
    <w:rsid w:val="00053D5F"/>
    <w:rsid w:val="00053DBF"/>
    <w:rsid w:val="00053DE9"/>
    <w:rsid w:val="00053E64"/>
    <w:rsid w:val="00053E6B"/>
    <w:rsid w:val="00053F86"/>
    <w:rsid w:val="00054019"/>
    <w:rsid w:val="00054030"/>
    <w:rsid w:val="0005404B"/>
    <w:rsid w:val="000540A1"/>
    <w:rsid w:val="0005414A"/>
    <w:rsid w:val="00054173"/>
    <w:rsid w:val="0005419C"/>
    <w:rsid w:val="000541CF"/>
    <w:rsid w:val="00054204"/>
    <w:rsid w:val="00054257"/>
    <w:rsid w:val="00054277"/>
    <w:rsid w:val="000542D7"/>
    <w:rsid w:val="00054344"/>
    <w:rsid w:val="0005437A"/>
    <w:rsid w:val="0005437B"/>
    <w:rsid w:val="000543CD"/>
    <w:rsid w:val="00054459"/>
    <w:rsid w:val="0005445C"/>
    <w:rsid w:val="00054528"/>
    <w:rsid w:val="00054530"/>
    <w:rsid w:val="00054547"/>
    <w:rsid w:val="00054576"/>
    <w:rsid w:val="000545D5"/>
    <w:rsid w:val="000545E9"/>
    <w:rsid w:val="000545ED"/>
    <w:rsid w:val="000545FF"/>
    <w:rsid w:val="0005466E"/>
    <w:rsid w:val="0005466F"/>
    <w:rsid w:val="00054698"/>
    <w:rsid w:val="000546D5"/>
    <w:rsid w:val="00054719"/>
    <w:rsid w:val="0005473D"/>
    <w:rsid w:val="0005475F"/>
    <w:rsid w:val="00054770"/>
    <w:rsid w:val="000547D7"/>
    <w:rsid w:val="000547E7"/>
    <w:rsid w:val="000547FE"/>
    <w:rsid w:val="00054802"/>
    <w:rsid w:val="00054840"/>
    <w:rsid w:val="00054889"/>
    <w:rsid w:val="000548D2"/>
    <w:rsid w:val="0005497D"/>
    <w:rsid w:val="00054999"/>
    <w:rsid w:val="0005499D"/>
    <w:rsid w:val="00054AAB"/>
    <w:rsid w:val="00054AC3"/>
    <w:rsid w:val="00054B16"/>
    <w:rsid w:val="00054B65"/>
    <w:rsid w:val="00054B76"/>
    <w:rsid w:val="00054BA9"/>
    <w:rsid w:val="00054BD1"/>
    <w:rsid w:val="00054BF9"/>
    <w:rsid w:val="00054C8E"/>
    <w:rsid w:val="00054C9A"/>
    <w:rsid w:val="00054CDC"/>
    <w:rsid w:val="00054CE9"/>
    <w:rsid w:val="00054D18"/>
    <w:rsid w:val="00054D20"/>
    <w:rsid w:val="00054D2B"/>
    <w:rsid w:val="00054D3D"/>
    <w:rsid w:val="00054DE5"/>
    <w:rsid w:val="00054E2F"/>
    <w:rsid w:val="00054E3A"/>
    <w:rsid w:val="00054F5F"/>
    <w:rsid w:val="00054F7D"/>
    <w:rsid w:val="0005500D"/>
    <w:rsid w:val="0005505D"/>
    <w:rsid w:val="000550AC"/>
    <w:rsid w:val="000550E3"/>
    <w:rsid w:val="0005510D"/>
    <w:rsid w:val="00055131"/>
    <w:rsid w:val="00055168"/>
    <w:rsid w:val="00055193"/>
    <w:rsid w:val="0005519A"/>
    <w:rsid w:val="0005519E"/>
    <w:rsid w:val="000551B8"/>
    <w:rsid w:val="000551DC"/>
    <w:rsid w:val="000551FA"/>
    <w:rsid w:val="00055201"/>
    <w:rsid w:val="0005524A"/>
    <w:rsid w:val="00055253"/>
    <w:rsid w:val="0005528C"/>
    <w:rsid w:val="0005528D"/>
    <w:rsid w:val="000552A0"/>
    <w:rsid w:val="000552E8"/>
    <w:rsid w:val="000552EF"/>
    <w:rsid w:val="00055353"/>
    <w:rsid w:val="0005535A"/>
    <w:rsid w:val="0005536E"/>
    <w:rsid w:val="00055390"/>
    <w:rsid w:val="000553AE"/>
    <w:rsid w:val="000553E5"/>
    <w:rsid w:val="000553FD"/>
    <w:rsid w:val="000553FE"/>
    <w:rsid w:val="0005544E"/>
    <w:rsid w:val="000554A2"/>
    <w:rsid w:val="000554DF"/>
    <w:rsid w:val="000554F6"/>
    <w:rsid w:val="0005550E"/>
    <w:rsid w:val="00055511"/>
    <w:rsid w:val="00055537"/>
    <w:rsid w:val="0005566E"/>
    <w:rsid w:val="0005569A"/>
    <w:rsid w:val="000556A9"/>
    <w:rsid w:val="00055743"/>
    <w:rsid w:val="000557B0"/>
    <w:rsid w:val="000557BE"/>
    <w:rsid w:val="00055826"/>
    <w:rsid w:val="000558B9"/>
    <w:rsid w:val="000558C0"/>
    <w:rsid w:val="00055907"/>
    <w:rsid w:val="00055911"/>
    <w:rsid w:val="00055923"/>
    <w:rsid w:val="00055933"/>
    <w:rsid w:val="0005595D"/>
    <w:rsid w:val="000559E3"/>
    <w:rsid w:val="00055A19"/>
    <w:rsid w:val="00055A21"/>
    <w:rsid w:val="00055A8D"/>
    <w:rsid w:val="00055AE0"/>
    <w:rsid w:val="00055B59"/>
    <w:rsid w:val="00055BFF"/>
    <w:rsid w:val="00055C08"/>
    <w:rsid w:val="00055C7E"/>
    <w:rsid w:val="00055C8D"/>
    <w:rsid w:val="00055C9F"/>
    <w:rsid w:val="00055CA7"/>
    <w:rsid w:val="00055CAB"/>
    <w:rsid w:val="00055CE3"/>
    <w:rsid w:val="00055CF0"/>
    <w:rsid w:val="00055D68"/>
    <w:rsid w:val="00055D6B"/>
    <w:rsid w:val="00055D76"/>
    <w:rsid w:val="00055DD6"/>
    <w:rsid w:val="00055E59"/>
    <w:rsid w:val="00055EB9"/>
    <w:rsid w:val="00055EC3"/>
    <w:rsid w:val="00055EDD"/>
    <w:rsid w:val="00055EEC"/>
    <w:rsid w:val="00055EF5"/>
    <w:rsid w:val="00055F13"/>
    <w:rsid w:val="00055F5E"/>
    <w:rsid w:val="00055F9F"/>
    <w:rsid w:val="0005602C"/>
    <w:rsid w:val="00056079"/>
    <w:rsid w:val="0005613A"/>
    <w:rsid w:val="0005613B"/>
    <w:rsid w:val="0005614F"/>
    <w:rsid w:val="000561FC"/>
    <w:rsid w:val="00056212"/>
    <w:rsid w:val="00056219"/>
    <w:rsid w:val="00056220"/>
    <w:rsid w:val="00056228"/>
    <w:rsid w:val="0005623F"/>
    <w:rsid w:val="0005625C"/>
    <w:rsid w:val="00056291"/>
    <w:rsid w:val="00056358"/>
    <w:rsid w:val="0005636B"/>
    <w:rsid w:val="000563C6"/>
    <w:rsid w:val="00056411"/>
    <w:rsid w:val="00056412"/>
    <w:rsid w:val="00056461"/>
    <w:rsid w:val="00056471"/>
    <w:rsid w:val="00056472"/>
    <w:rsid w:val="0005647E"/>
    <w:rsid w:val="000564C4"/>
    <w:rsid w:val="000564ED"/>
    <w:rsid w:val="0005655D"/>
    <w:rsid w:val="0005656E"/>
    <w:rsid w:val="000565F6"/>
    <w:rsid w:val="0005668B"/>
    <w:rsid w:val="00056712"/>
    <w:rsid w:val="00056720"/>
    <w:rsid w:val="00056725"/>
    <w:rsid w:val="0005672A"/>
    <w:rsid w:val="00056798"/>
    <w:rsid w:val="000567A1"/>
    <w:rsid w:val="0005681C"/>
    <w:rsid w:val="0005681D"/>
    <w:rsid w:val="0005685A"/>
    <w:rsid w:val="00056872"/>
    <w:rsid w:val="0005688F"/>
    <w:rsid w:val="00056892"/>
    <w:rsid w:val="000568C6"/>
    <w:rsid w:val="000568C9"/>
    <w:rsid w:val="000568F2"/>
    <w:rsid w:val="0005696C"/>
    <w:rsid w:val="000569C9"/>
    <w:rsid w:val="000569FB"/>
    <w:rsid w:val="00056A1F"/>
    <w:rsid w:val="00056A3E"/>
    <w:rsid w:val="00056A7C"/>
    <w:rsid w:val="00056A8C"/>
    <w:rsid w:val="00056AAF"/>
    <w:rsid w:val="00056AB7"/>
    <w:rsid w:val="00056AEA"/>
    <w:rsid w:val="00056B0C"/>
    <w:rsid w:val="00056B11"/>
    <w:rsid w:val="00056B29"/>
    <w:rsid w:val="00056B53"/>
    <w:rsid w:val="00056B87"/>
    <w:rsid w:val="00056BB3"/>
    <w:rsid w:val="00056BE9"/>
    <w:rsid w:val="00056BFD"/>
    <w:rsid w:val="00056BFE"/>
    <w:rsid w:val="00056C45"/>
    <w:rsid w:val="00056D2C"/>
    <w:rsid w:val="00056D44"/>
    <w:rsid w:val="00056D93"/>
    <w:rsid w:val="00056DC3"/>
    <w:rsid w:val="00056DCE"/>
    <w:rsid w:val="00056DCF"/>
    <w:rsid w:val="00056DE3"/>
    <w:rsid w:val="00056E23"/>
    <w:rsid w:val="00056E7A"/>
    <w:rsid w:val="00056E7F"/>
    <w:rsid w:val="00056E82"/>
    <w:rsid w:val="00056E8E"/>
    <w:rsid w:val="00056E8F"/>
    <w:rsid w:val="00056EEA"/>
    <w:rsid w:val="00056EF1"/>
    <w:rsid w:val="00056F0E"/>
    <w:rsid w:val="00056F50"/>
    <w:rsid w:val="00056F69"/>
    <w:rsid w:val="00056F80"/>
    <w:rsid w:val="00056FAE"/>
    <w:rsid w:val="00056FCD"/>
    <w:rsid w:val="00057068"/>
    <w:rsid w:val="00057092"/>
    <w:rsid w:val="0005711C"/>
    <w:rsid w:val="0005712A"/>
    <w:rsid w:val="0005712F"/>
    <w:rsid w:val="000571AC"/>
    <w:rsid w:val="0005720D"/>
    <w:rsid w:val="0005722C"/>
    <w:rsid w:val="00057244"/>
    <w:rsid w:val="000572A8"/>
    <w:rsid w:val="000572E4"/>
    <w:rsid w:val="0005731F"/>
    <w:rsid w:val="0005734F"/>
    <w:rsid w:val="00057358"/>
    <w:rsid w:val="0005738A"/>
    <w:rsid w:val="00057399"/>
    <w:rsid w:val="000573B0"/>
    <w:rsid w:val="000573C6"/>
    <w:rsid w:val="000573D1"/>
    <w:rsid w:val="000573D4"/>
    <w:rsid w:val="00057403"/>
    <w:rsid w:val="000574D3"/>
    <w:rsid w:val="000574DC"/>
    <w:rsid w:val="00057550"/>
    <w:rsid w:val="00057552"/>
    <w:rsid w:val="00057553"/>
    <w:rsid w:val="000575A8"/>
    <w:rsid w:val="000575AC"/>
    <w:rsid w:val="000575E7"/>
    <w:rsid w:val="000575ED"/>
    <w:rsid w:val="00057666"/>
    <w:rsid w:val="0005766E"/>
    <w:rsid w:val="00057693"/>
    <w:rsid w:val="000576B8"/>
    <w:rsid w:val="000576EA"/>
    <w:rsid w:val="00057705"/>
    <w:rsid w:val="0005774E"/>
    <w:rsid w:val="00057794"/>
    <w:rsid w:val="00057796"/>
    <w:rsid w:val="000577FB"/>
    <w:rsid w:val="00057847"/>
    <w:rsid w:val="0005785E"/>
    <w:rsid w:val="00057874"/>
    <w:rsid w:val="0005787C"/>
    <w:rsid w:val="0005789D"/>
    <w:rsid w:val="000578DA"/>
    <w:rsid w:val="00057950"/>
    <w:rsid w:val="00057952"/>
    <w:rsid w:val="0005795D"/>
    <w:rsid w:val="00057967"/>
    <w:rsid w:val="0005797C"/>
    <w:rsid w:val="000579A8"/>
    <w:rsid w:val="000579B1"/>
    <w:rsid w:val="000579FB"/>
    <w:rsid w:val="00057A3F"/>
    <w:rsid w:val="00057A5F"/>
    <w:rsid w:val="00057AA0"/>
    <w:rsid w:val="00057B45"/>
    <w:rsid w:val="00057B47"/>
    <w:rsid w:val="00057B5C"/>
    <w:rsid w:val="00057B61"/>
    <w:rsid w:val="00057B82"/>
    <w:rsid w:val="00057B8C"/>
    <w:rsid w:val="00057BA1"/>
    <w:rsid w:val="00057BD1"/>
    <w:rsid w:val="00057C1F"/>
    <w:rsid w:val="00057C56"/>
    <w:rsid w:val="00057D02"/>
    <w:rsid w:val="00057E12"/>
    <w:rsid w:val="00057E42"/>
    <w:rsid w:val="00057E52"/>
    <w:rsid w:val="00057E74"/>
    <w:rsid w:val="00057E83"/>
    <w:rsid w:val="00057E84"/>
    <w:rsid w:val="00057EDB"/>
    <w:rsid w:val="00057EE0"/>
    <w:rsid w:val="00057EED"/>
    <w:rsid w:val="00057F10"/>
    <w:rsid w:val="00057F22"/>
    <w:rsid w:val="00057F42"/>
    <w:rsid w:val="00060024"/>
    <w:rsid w:val="0006003E"/>
    <w:rsid w:val="00060067"/>
    <w:rsid w:val="0006006A"/>
    <w:rsid w:val="00060170"/>
    <w:rsid w:val="00060179"/>
    <w:rsid w:val="000601A1"/>
    <w:rsid w:val="000601D5"/>
    <w:rsid w:val="00060228"/>
    <w:rsid w:val="00060268"/>
    <w:rsid w:val="000602CF"/>
    <w:rsid w:val="0006032B"/>
    <w:rsid w:val="0006036D"/>
    <w:rsid w:val="0006037F"/>
    <w:rsid w:val="0006038E"/>
    <w:rsid w:val="000603A4"/>
    <w:rsid w:val="000603F2"/>
    <w:rsid w:val="00060464"/>
    <w:rsid w:val="000604E3"/>
    <w:rsid w:val="0006052B"/>
    <w:rsid w:val="0006054C"/>
    <w:rsid w:val="00060572"/>
    <w:rsid w:val="00060591"/>
    <w:rsid w:val="000605CE"/>
    <w:rsid w:val="00060604"/>
    <w:rsid w:val="00060612"/>
    <w:rsid w:val="00060641"/>
    <w:rsid w:val="0006066A"/>
    <w:rsid w:val="000606A1"/>
    <w:rsid w:val="00060724"/>
    <w:rsid w:val="0006077E"/>
    <w:rsid w:val="00060862"/>
    <w:rsid w:val="00060881"/>
    <w:rsid w:val="0006089E"/>
    <w:rsid w:val="000608B1"/>
    <w:rsid w:val="000608FC"/>
    <w:rsid w:val="00060903"/>
    <w:rsid w:val="00060908"/>
    <w:rsid w:val="00060927"/>
    <w:rsid w:val="00060960"/>
    <w:rsid w:val="000609BD"/>
    <w:rsid w:val="000609E5"/>
    <w:rsid w:val="000609E9"/>
    <w:rsid w:val="00060A40"/>
    <w:rsid w:val="00060AB2"/>
    <w:rsid w:val="00060AEB"/>
    <w:rsid w:val="00060B27"/>
    <w:rsid w:val="00060B2F"/>
    <w:rsid w:val="00060B30"/>
    <w:rsid w:val="00060B49"/>
    <w:rsid w:val="00060B75"/>
    <w:rsid w:val="00060BAA"/>
    <w:rsid w:val="00060C5F"/>
    <w:rsid w:val="00060C9F"/>
    <w:rsid w:val="00060D10"/>
    <w:rsid w:val="00060D4D"/>
    <w:rsid w:val="00060DA5"/>
    <w:rsid w:val="00060DD1"/>
    <w:rsid w:val="00060DEA"/>
    <w:rsid w:val="00060E2B"/>
    <w:rsid w:val="00060E81"/>
    <w:rsid w:val="00060E8E"/>
    <w:rsid w:val="00060ECE"/>
    <w:rsid w:val="00060EF6"/>
    <w:rsid w:val="00060F1F"/>
    <w:rsid w:val="00060FC6"/>
    <w:rsid w:val="00061003"/>
    <w:rsid w:val="0006101E"/>
    <w:rsid w:val="0006104A"/>
    <w:rsid w:val="00061070"/>
    <w:rsid w:val="000610A2"/>
    <w:rsid w:val="000610AD"/>
    <w:rsid w:val="00061104"/>
    <w:rsid w:val="00061157"/>
    <w:rsid w:val="000611B6"/>
    <w:rsid w:val="000611EC"/>
    <w:rsid w:val="00061282"/>
    <w:rsid w:val="00061285"/>
    <w:rsid w:val="00061331"/>
    <w:rsid w:val="0006133D"/>
    <w:rsid w:val="0006136B"/>
    <w:rsid w:val="0006136E"/>
    <w:rsid w:val="000613BE"/>
    <w:rsid w:val="000613E1"/>
    <w:rsid w:val="000613FC"/>
    <w:rsid w:val="00061435"/>
    <w:rsid w:val="000614A7"/>
    <w:rsid w:val="000614BF"/>
    <w:rsid w:val="0006151A"/>
    <w:rsid w:val="00061559"/>
    <w:rsid w:val="000615A3"/>
    <w:rsid w:val="000615EC"/>
    <w:rsid w:val="00061670"/>
    <w:rsid w:val="00061674"/>
    <w:rsid w:val="000616A9"/>
    <w:rsid w:val="000616D0"/>
    <w:rsid w:val="000616EC"/>
    <w:rsid w:val="00061704"/>
    <w:rsid w:val="00061795"/>
    <w:rsid w:val="000617B6"/>
    <w:rsid w:val="0006187F"/>
    <w:rsid w:val="000618BA"/>
    <w:rsid w:val="00061927"/>
    <w:rsid w:val="00061933"/>
    <w:rsid w:val="000619A9"/>
    <w:rsid w:val="00061A93"/>
    <w:rsid w:val="00061A9F"/>
    <w:rsid w:val="00061AAB"/>
    <w:rsid w:val="00061AC8"/>
    <w:rsid w:val="00061AD5"/>
    <w:rsid w:val="00061ADA"/>
    <w:rsid w:val="00061AF2"/>
    <w:rsid w:val="00061BAF"/>
    <w:rsid w:val="00061BD0"/>
    <w:rsid w:val="00061BD3"/>
    <w:rsid w:val="00061BE4"/>
    <w:rsid w:val="00061C6F"/>
    <w:rsid w:val="00061CB9"/>
    <w:rsid w:val="00061D19"/>
    <w:rsid w:val="00061D1F"/>
    <w:rsid w:val="00061D3D"/>
    <w:rsid w:val="00061D92"/>
    <w:rsid w:val="00061D9F"/>
    <w:rsid w:val="00061E16"/>
    <w:rsid w:val="00061E31"/>
    <w:rsid w:val="00061E39"/>
    <w:rsid w:val="00061E49"/>
    <w:rsid w:val="00061E6B"/>
    <w:rsid w:val="00061EBE"/>
    <w:rsid w:val="00061F17"/>
    <w:rsid w:val="00061F24"/>
    <w:rsid w:val="00061F49"/>
    <w:rsid w:val="00061F89"/>
    <w:rsid w:val="00061FB0"/>
    <w:rsid w:val="0006200F"/>
    <w:rsid w:val="00062014"/>
    <w:rsid w:val="0006205B"/>
    <w:rsid w:val="0006207C"/>
    <w:rsid w:val="00062087"/>
    <w:rsid w:val="0006208D"/>
    <w:rsid w:val="000620DA"/>
    <w:rsid w:val="00062147"/>
    <w:rsid w:val="0006220B"/>
    <w:rsid w:val="0006224B"/>
    <w:rsid w:val="00062268"/>
    <w:rsid w:val="00062288"/>
    <w:rsid w:val="00062292"/>
    <w:rsid w:val="00062300"/>
    <w:rsid w:val="00062318"/>
    <w:rsid w:val="00062329"/>
    <w:rsid w:val="0006233C"/>
    <w:rsid w:val="000623CB"/>
    <w:rsid w:val="0006241A"/>
    <w:rsid w:val="00062461"/>
    <w:rsid w:val="00062483"/>
    <w:rsid w:val="000624D1"/>
    <w:rsid w:val="0006250F"/>
    <w:rsid w:val="00062513"/>
    <w:rsid w:val="0006252A"/>
    <w:rsid w:val="0006259B"/>
    <w:rsid w:val="000625A6"/>
    <w:rsid w:val="000625AF"/>
    <w:rsid w:val="000625D1"/>
    <w:rsid w:val="0006268B"/>
    <w:rsid w:val="000626B8"/>
    <w:rsid w:val="000626FA"/>
    <w:rsid w:val="00062716"/>
    <w:rsid w:val="00062741"/>
    <w:rsid w:val="0006279F"/>
    <w:rsid w:val="000627FC"/>
    <w:rsid w:val="00062887"/>
    <w:rsid w:val="0006288D"/>
    <w:rsid w:val="00062965"/>
    <w:rsid w:val="000629E8"/>
    <w:rsid w:val="00062B28"/>
    <w:rsid w:val="00062B5A"/>
    <w:rsid w:val="00062B73"/>
    <w:rsid w:val="00062B84"/>
    <w:rsid w:val="00062BB6"/>
    <w:rsid w:val="00062CB4"/>
    <w:rsid w:val="00062D77"/>
    <w:rsid w:val="00062DDB"/>
    <w:rsid w:val="00062DDD"/>
    <w:rsid w:val="00062DE0"/>
    <w:rsid w:val="00062E78"/>
    <w:rsid w:val="00062EE6"/>
    <w:rsid w:val="00062EFC"/>
    <w:rsid w:val="00062F05"/>
    <w:rsid w:val="00062F43"/>
    <w:rsid w:val="00062F6E"/>
    <w:rsid w:val="00062F8C"/>
    <w:rsid w:val="00063004"/>
    <w:rsid w:val="00063099"/>
    <w:rsid w:val="000630A0"/>
    <w:rsid w:val="00063109"/>
    <w:rsid w:val="00063161"/>
    <w:rsid w:val="0006318A"/>
    <w:rsid w:val="0006318C"/>
    <w:rsid w:val="000631E0"/>
    <w:rsid w:val="0006321D"/>
    <w:rsid w:val="00063274"/>
    <w:rsid w:val="00063289"/>
    <w:rsid w:val="0006335F"/>
    <w:rsid w:val="000633C4"/>
    <w:rsid w:val="000633F1"/>
    <w:rsid w:val="000633FA"/>
    <w:rsid w:val="00063439"/>
    <w:rsid w:val="00063466"/>
    <w:rsid w:val="00063535"/>
    <w:rsid w:val="0006353B"/>
    <w:rsid w:val="0006357A"/>
    <w:rsid w:val="000635FD"/>
    <w:rsid w:val="00063642"/>
    <w:rsid w:val="00063693"/>
    <w:rsid w:val="000636A1"/>
    <w:rsid w:val="000636FE"/>
    <w:rsid w:val="00063705"/>
    <w:rsid w:val="00063711"/>
    <w:rsid w:val="00063738"/>
    <w:rsid w:val="000637C5"/>
    <w:rsid w:val="000637D1"/>
    <w:rsid w:val="00063842"/>
    <w:rsid w:val="00063924"/>
    <w:rsid w:val="0006399F"/>
    <w:rsid w:val="000639BD"/>
    <w:rsid w:val="000639C5"/>
    <w:rsid w:val="000639EA"/>
    <w:rsid w:val="00063A17"/>
    <w:rsid w:val="00063A37"/>
    <w:rsid w:val="00063AC4"/>
    <w:rsid w:val="00063AEF"/>
    <w:rsid w:val="00063B86"/>
    <w:rsid w:val="00063B98"/>
    <w:rsid w:val="00063BCC"/>
    <w:rsid w:val="00063C6D"/>
    <w:rsid w:val="00063C79"/>
    <w:rsid w:val="00063C7A"/>
    <w:rsid w:val="00063D18"/>
    <w:rsid w:val="00063D6C"/>
    <w:rsid w:val="00063D74"/>
    <w:rsid w:val="00063DA6"/>
    <w:rsid w:val="00063DBA"/>
    <w:rsid w:val="00063DD6"/>
    <w:rsid w:val="00063DFB"/>
    <w:rsid w:val="00063E1A"/>
    <w:rsid w:val="00063E3D"/>
    <w:rsid w:val="00063E6E"/>
    <w:rsid w:val="00063E90"/>
    <w:rsid w:val="00063EEC"/>
    <w:rsid w:val="00063F04"/>
    <w:rsid w:val="00063F10"/>
    <w:rsid w:val="00063F64"/>
    <w:rsid w:val="00063F79"/>
    <w:rsid w:val="00063F83"/>
    <w:rsid w:val="00063FBF"/>
    <w:rsid w:val="00063FC3"/>
    <w:rsid w:val="00063FE8"/>
    <w:rsid w:val="00064045"/>
    <w:rsid w:val="0006404D"/>
    <w:rsid w:val="0006409B"/>
    <w:rsid w:val="000640B4"/>
    <w:rsid w:val="000640D4"/>
    <w:rsid w:val="000640D6"/>
    <w:rsid w:val="000640D7"/>
    <w:rsid w:val="00064115"/>
    <w:rsid w:val="00064120"/>
    <w:rsid w:val="00064162"/>
    <w:rsid w:val="000641AC"/>
    <w:rsid w:val="000641FE"/>
    <w:rsid w:val="0006426D"/>
    <w:rsid w:val="000642C1"/>
    <w:rsid w:val="000642C2"/>
    <w:rsid w:val="000642D7"/>
    <w:rsid w:val="00064304"/>
    <w:rsid w:val="00064338"/>
    <w:rsid w:val="00064340"/>
    <w:rsid w:val="00064346"/>
    <w:rsid w:val="0006434F"/>
    <w:rsid w:val="0006435A"/>
    <w:rsid w:val="0006436F"/>
    <w:rsid w:val="0006438F"/>
    <w:rsid w:val="000643D7"/>
    <w:rsid w:val="000643DB"/>
    <w:rsid w:val="000643DF"/>
    <w:rsid w:val="000643FD"/>
    <w:rsid w:val="000643FF"/>
    <w:rsid w:val="00064479"/>
    <w:rsid w:val="0006447B"/>
    <w:rsid w:val="000644BC"/>
    <w:rsid w:val="00064550"/>
    <w:rsid w:val="00064586"/>
    <w:rsid w:val="000645F9"/>
    <w:rsid w:val="00064627"/>
    <w:rsid w:val="0006462A"/>
    <w:rsid w:val="00064693"/>
    <w:rsid w:val="000646CF"/>
    <w:rsid w:val="000646ED"/>
    <w:rsid w:val="000646EE"/>
    <w:rsid w:val="00064722"/>
    <w:rsid w:val="0006478F"/>
    <w:rsid w:val="00064802"/>
    <w:rsid w:val="00064871"/>
    <w:rsid w:val="00064898"/>
    <w:rsid w:val="000648C4"/>
    <w:rsid w:val="000648EF"/>
    <w:rsid w:val="00064927"/>
    <w:rsid w:val="00064931"/>
    <w:rsid w:val="000649E9"/>
    <w:rsid w:val="00064A00"/>
    <w:rsid w:val="00064A1D"/>
    <w:rsid w:val="00064A2B"/>
    <w:rsid w:val="00064A2F"/>
    <w:rsid w:val="00064A5A"/>
    <w:rsid w:val="00064A6F"/>
    <w:rsid w:val="00064AA3"/>
    <w:rsid w:val="00064AB1"/>
    <w:rsid w:val="00064AC8"/>
    <w:rsid w:val="00064B07"/>
    <w:rsid w:val="00064B5F"/>
    <w:rsid w:val="00064B9D"/>
    <w:rsid w:val="00064BC9"/>
    <w:rsid w:val="00064BDD"/>
    <w:rsid w:val="00064BF1"/>
    <w:rsid w:val="00064C11"/>
    <w:rsid w:val="00064C12"/>
    <w:rsid w:val="00064C18"/>
    <w:rsid w:val="00064D0C"/>
    <w:rsid w:val="00064D1D"/>
    <w:rsid w:val="00064DA2"/>
    <w:rsid w:val="00064DAA"/>
    <w:rsid w:val="00064DF5"/>
    <w:rsid w:val="00064E1C"/>
    <w:rsid w:val="00064E5F"/>
    <w:rsid w:val="00064E60"/>
    <w:rsid w:val="00064E7C"/>
    <w:rsid w:val="00064EC1"/>
    <w:rsid w:val="00064F5C"/>
    <w:rsid w:val="00064F76"/>
    <w:rsid w:val="00064F96"/>
    <w:rsid w:val="00064FA5"/>
    <w:rsid w:val="0006501D"/>
    <w:rsid w:val="00065032"/>
    <w:rsid w:val="00065055"/>
    <w:rsid w:val="00065094"/>
    <w:rsid w:val="000650A3"/>
    <w:rsid w:val="00065106"/>
    <w:rsid w:val="0006510E"/>
    <w:rsid w:val="0006516A"/>
    <w:rsid w:val="0006518A"/>
    <w:rsid w:val="0006521C"/>
    <w:rsid w:val="0006521E"/>
    <w:rsid w:val="00065260"/>
    <w:rsid w:val="00065275"/>
    <w:rsid w:val="000652B7"/>
    <w:rsid w:val="000652CF"/>
    <w:rsid w:val="00065355"/>
    <w:rsid w:val="0006535C"/>
    <w:rsid w:val="00065377"/>
    <w:rsid w:val="000653DF"/>
    <w:rsid w:val="00065483"/>
    <w:rsid w:val="000654CE"/>
    <w:rsid w:val="000654E0"/>
    <w:rsid w:val="000654F8"/>
    <w:rsid w:val="0006550A"/>
    <w:rsid w:val="00065516"/>
    <w:rsid w:val="00065596"/>
    <w:rsid w:val="0006559C"/>
    <w:rsid w:val="0006559F"/>
    <w:rsid w:val="000655D2"/>
    <w:rsid w:val="000655DD"/>
    <w:rsid w:val="0006563E"/>
    <w:rsid w:val="0006568F"/>
    <w:rsid w:val="00065693"/>
    <w:rsid w:val="000656A7"/>
    <w:rsid w:val="000656B3"/>
    <w:rsid w:val="000656D2"/>
    <w:rsid w:val="0006571E"/>
    <w:rsid w:val="00065826"/>
    <w:rsid w:val="000658D0"/>
    <w:rsid w:val="000658E0"/>
    <w:rsid w:val="000658FD"/>
    <w:rsid w:val="00065917"/>
    <w:rsid w:val="00065A15"/>
    <w:rsid w:val="00065A5E"/>
    <w:rsid w:val="00065ABB"/>
    <w:rsid w:val="00065AE2"/>
    <w:rsid w:val="00065B72"/>
    <w:rsid w:val="00065BAE"/>
    <w:rsid w:val="00065BCA"/>
    <w:rsid w:val="00065C14"/>
    <w:rsid w:val="00065C34"/>
    <w:rsid w:val="00065C41"/>
    <w:rsid w:val="00065D36"/>
    <w:rsid w:val="00065D63"/>
    <w:rsid w:val="00065D9F"/>
    <w:rsid w:val="00065DD6"/>
    <w:rsid w:val="00065E42"/>
    <w:rsid w:val="00065E96"/>
    <w:rsid w:val="00065EA4"/>
    <w:rsid w:val="00065EC1"/>
    <w:rsid w:val="00065EF1"/>
    <w:rsid w:val="00065F19"/>
    <w:rsid w:val="00065F2A"/>
    <w:rsid w:val="00065F9F"/>
    <w:rsid w:val="00065FA3"/>
    <w:rsid w:val="00065FE9"/>
    <w:rsid w:val="00066024"/>
    <w:rsid w:val="00066065"/>
    <w:rsid w:val="000660A6"/>
    <w:rsid w:val="000660A8"/>
    <w:rsid w:val="0006612B"/>
    <w:rsid w:val="0006615A"/>
    <w:rsid w:val="00066180"/>
    <w:rsid w:val="00066185"/>
    <w:rsid w:val="000661A9"/>
    <w:rsid w:val="000661AD"/>
    <w:rsid w:val="000661C2"/>
    <w:rsid w:val="000661D2"/>
    <w:rsid w:val="00066233"/>
    <w:rsid w:val="00066260"/>
    <w:rsid w:val="000662AD"/>
    <w:rsid w:val="000662E0"/>
    <w:rsid w:val="000662EC"/>
    <w:rsid w:val="00066382"/>
    <w:rsid w:val="0006639F"/>
    <w:rsid w:val="00066416"/>
    <w:rsid w:val="00066483"/>
    <w:rsid w:val="000664E6"/>
    <w:rsid w:val="000664F9"/>
    <w:rsid w:val="00066505"/>
    <w:rsid w:val="0006650C"/>
    <w:rsid w:val="0006650E"/>
    <w:rsid w:val="00066529"/>
    <w:rsid w:val="00066583"/>
    <w:rsid w:val="00066593"/>
    <w:rsid w:val="000665EA"/>
    <w:rsid w:val="00066607"/>
    <w:rsid w:val="0006661F"/>
    <w:rsid w:val="0006666B"/>
    <w:rsid w:val="000666B0"/>
    <w:rsid w:val="000666CC"/>
    <w:rsid w:val="000666EA"/>
    <w:rsid w:val="00066736"/>
    <w:rsid w:val="0006673F"/>
    <w:rsid w:val="00066788"/>
    <w:rsid w:val="0006679D"/>
    <w:rsid w:val="000667F8"/>
    <w:rsid w:val="00066830"/>
    <w:rsid w:val="00066831"/>
    <w:rsid w:val="0006684E"/>
    <w:rsid w:val="0006688D"/>
    <w:rsid w:val="000668B2"/>
    <w:rsid w:val="00066920"/>
    <w:rsid w:val="0006693A"/>
    <w:rsid w:val="00066994"/>
    <w:rsid w:val="000669A5"/>
    <w:rsid w:val="000669B3"/>
    <w:rsid w:val="000669E2"/>
    <w:rsid w:val="00066A1C"/>
    <w:rsid w:val="00066A27"/>
    <w:rsid w:val="00066A88"/>
    <w:rsid w:val="00066ABB"/>
    <w:rsid w:val="00066ABE"/>
    <w:rsid w:val="00066ADF"/>
    <w:rsid w:val="00066AFC"/>
    <w:rsid w:val="00066C03"/>
    <w:rsid w:val="00066C42"/>
    <w:rsid w:val="00066C97"/>
    <w:rsid w:val="00066CC8"/>
    <w:rsid w:val="00066CD7"/>
    <w:rsid w:val="00066CF7"/>
    <w:rsid w:val="00066D12"/>
    <w:rsid w:val="00066D2C"/>
    <w:rsid w:val="00066D39"/>
    <w:rsid w:val="00066D92"/>
    <w:rsid w:val="00066DBB"/>
    <w:rsid w:val="00066DC5"/>
    <w:rsid w:val="00066E68"/>
    <w:rsid w:val="00066E7E"/>
    <w:rsid w:val="00066F56"/>
    <w:rsid w:val="00066F5F"/>
    <w:rsid w:val="00067002"/>
    <w:rsid w:val="0006702E"/>
    <w:rsid w:val="000670C4"/>
    <w:rsid w:val="000670D4"/>
    <w:rsid w:val="00067113"/>
    <w:rsid w:val="00067140"/>
    <w:rsid w:val="00067151"/>
    <w:rsid w:val="00067175"/>
    <w:rsid w:val="00067178"/>
    <w:rsid w:val="00067188"/>
    <w:rsid w:val="000671CA"/>
    <w:rsid w:val="0006721D"/>
    <w:rsid w:val="00067299"/>
    <w:rsid w:val="0006729B"/>
    <w:rsid w:val="000672A9"/>
    <w:rsid w:val="00067342"/>
    <w:rsid w:val="0006736A"/>
    <w:rsid w:val="000673A1"/>
    <w:rsid w:val="000673AF"/>
    <w:rsid w:val="000673B4"/>
    <w:rsid w:val="000673BC"/>
    <w:rsid w:val="00067403"/>
    <w:rsid w:val="00067531"/>
    <w:rsid w:val="00067578"/>
    <w:rsid w:val="00067591"/>
    <w:rsid w:val="00067598"/>
    <w:rsid w:val="000675D9"/>
    <w:rsid w:val="000675F9"/>
    <w:rsid w:val="0006760F"/>
    <w:rsid w:val="00067676"/>
    <w:rsid w:val="000676B9"/>
    <w:rsid w:val="0006771F"/>
    <w:rsid w:val="000677CD"/>
    <w:rsid w:val="00067807"/>
    <w:rsid w:val="00067852"/>
    <w:rsid w:val="0006786E"/>
    <w:rsid w:val="00067912"/>
    <w:rsid w:val="00067935"/>
    <w:rsid w:val="00067965"/>
    <w:rsid w:val="0006798F"/>
    <w:rsid w:val="0006799F"/>
    <w:rsid w:val="000679A9"/>
    <w:rsid w:val="000679D0"/>
    <w:rsid w:val="00067A21"/>
    <w:rsid w:val="00067A29"/>
    <w:rsid w:val="00067A2C"/>
    <w:rsid w:val="00067A50"/>
    <w:rsid w:val="00067AA3"/>
    <w:rsid w:val="00067AD3"/>
    <w:rsid w:val="00067BB0"/>
    <w:rsid w:val="00067C4B"/>
    <w:rsid w:val="00067C57"/>
    <w:rsid w:val="00067C78"/>
    <w:rsid w:val="00067CA5"/>
    <w:rsid w:val="00067D02"/>
    <w:rsid w:val="00067D46"/>
    <w:rsid w:val="00067DDD"/>
    <w:rsid w:val="00067E3C"/>
    <w:rsid w:val="00067E8B"/>
    <w:rsid w:val="00067EF0"/>
    <w:rsid w:val="00067EFE"/>
    <w:rsid w:val="00067F89"/>
    <w:rsid w:val="00067F9D"/>
    <w:rsid w:val="00067FBA"/>
    <w:rsid w:val="00067FC2"/>
    <w:rsid w:val="00067FFA"/>
    <w:rsid w:val="00070088"/>
    <w:rsid w:val="000700BE"/>
    <w:rsid w:val="0007010A"/>
    <w:rsid w:val="00070147"/>
    <w:rsid w:val="00070213"/>
    <w:rsid w:val="0007024E"/>
    <w:rsid w:val="00070257"/>
    <w:rsid w:val="000702A0"/>
    <w:rsid w:val="000702F3"/>
    <w:rsid w:val="00070349"/>
    <w:rsid w:val="000703A3"/>
    <w:rsid w:val="000703ED"/>
    <w:rsid w:val="0007043B"/>
    <w:rsid w:val="00070446"/>
    <w:rsid w:val="0007049F"/>
    <w:rsid w:val="000704BC"/>
    <w:rsid w:val="0007050B"/>
    <w:rsid w:val="0007051B"/>
    <w:rsid w:val="0007058E"/>
    <w:rsid w:val="000705D1"/>
    <w:rsid w:val="0007064D"/>
    <w:rsid w:val="000706AD"/>
    <w:rsid w:val="000706D1"/>
    <w:rsid w:val="00070718"/>
    <w:rsid w:val="00070780"/>
    <w:rsid w:val="000707B1"/>
    <w:rsid w:val="000707B8"/>
    <w:rsid w:val="000707EF"/>
    <w:rsid w:val="00070816"/>
    <w:rsid w:val="000708D1"/>
    <w:rsid w:val="0007090D"/>
    <w:rsid w:val="00070A3E"/>
    <w:rsid w:val="00070A86"/>
    <w:rsid w:val="00070AF6"/>
    <w:rsid w:val="00070B88"/>
    <w:rsid w:val="00070BE1"/>
    <w:rsid w:val="00070C33"/>
    <w:rsid w:val="00070CEC"/>
    <w:rsid w:val="00070D64"/>
    <w:rsid w:val="00070E42"/>
    <w:rsid w:val="00070E5A"/>
    <w:rsid w:val="00070E79"/>
    <w:rsid w:val="00070EAC"/>
    <w:rsid w:val="00070EBE"/>
    <w:rsid w:val="00070EBF"/>
    <w:rsid w:val="00070EE0"/>
    <w:rsid w:val="00070F3D"/>
    <w:rsid w:val="00070FDC"/>
    <w:rsid w:val="00070FF8"/>
    <w:rsid w:val="0007101B"/>
    <w:rsid w:val="00071024"/>
    <w:rsid w:val="0007109E"/>
    <w:rsid w:val="000710CF"/>
    <w:rsid w:val="000710E3"/>
    <w:rsid w:val="0007111B"/>
    <w:rsid w:val="00071125"/>
    <w:rsid w:val="00071149"/>
    <w:rsid w:val="00071154"/>
    <w:rsid w:val="00071155"/>
    <w:rsid w:val="0007115C"/>
    <w:rsid w:val="00071220"/>
    <w:rsid w:val="00071233"/>
    <w:rsid w:val="00071285"/>
    <w:rsid w:val="000712DA"/>
    <w:rsid w:val="00071378"/>
    <w:rsid w:val="0007138D"/>
    <w:rsid w:val="000713B9"/>
    <w:rsid w:val="000713F2"/>
    <w:rsid w:val="0007148B"/>
    <w:rsid w:val="0007148D"/>
    <w:rsid w:val="0007154A"/>
    <w:rsid w:val="00071568"/>
    <w:rsid w:val="0007157C"/>
    <w:rsid w:val="000715CE"/>
    <w:rsid w:val="000715D5"/>
    <w:rsid w:val="000715D6"/>
    <w:rsid w:val="00071606"/>
    <w:rsid w:val="0007160B"/>
    <w:rsid w:val="0007161F"/>
    <w:rsid w:val="00071644"/>
    <w:rsid w:val="0007165C"/>
    <w:rsid w:val="00071695"/>
    <w:rsid w:val="0007176B"/>
    <w:rsid w:val="00071777"/>
    <w:rsid w:val="000717DF"/>
    <w:rsid w:val="000717E4"/>
    <w:rsid w:val="0007182E"/>
    <w:rsid w:val="0007185F"/>
    <w:rsid w:val="0007188D"/>
    <w:rsid w:val="00071890"/>
    <w:rsid w:val="000718B5"/>
    <w:rsid w:val="000718D6"/>
    <w:rsid w:val="000718F3"/>
    <w:rsid w:val="00071908"/>
    <w:rsid w:val="00071938"/>
    <w:rsid w:val="0007195F"/>
    <w:rsid w:val="00071985"/>
    <w:rsid w:val="0007198B"/>
    <w:rsid w:val="000719C6"/>
    <w:rsid w:val="00071B43"/>
    <w:rsid w:val="00071BCC"/>
    <w:rsid w:val="00071BFE"/>
    <w:rsid w:val="00071C86"/>
    <w:rsid w:val="00071C87"/>
    <w:rsid w:val="00071CA1"/>
    <w:rsid w:val="00071D86"/>
    <w:rsid w:val="00071DD4"/>
    <w:rsid w:val="00071DDE"/>
    <w:rsid w:val="00071E0E"/>
    <w:rsid w:val="00071E23"/>
    <w:rsid w:val="00071E5E"/>
    <w:rsid w:val="00071E79"/>
    <w:rsid w:val="00071EB6"/>
    <w:rsid w:val="00071EDE"/>
    <w:rsid w:val="00071EFF"/>
    <w:rsid w:val="00071F2A"/>
    <w:rsid w:val="00071F75"/>
    <w:rsid w:val="00071F7E"/>
    <w:rsid w:val="00072008"/>
    <w:rsid w:val="0007203F"/>
    <w:rsid w:val="00072045"/>
    <w:rsid w:val="00072060"/>
    <w:rsid w:val="00072079"/>
    <w:rsid w:val="0007209F"/>
    <w:rsid w:val="000720A3"/>
    <w:rsid w:val="0007212F"/>
    <w:rsid w:val="00072143"/>
    <w:rsid w:val="000721C9"/>
    <w:rsid w:val="00072205"/>
    <w:rsid w:val="0007221B"/>
    <w:rsid w:val="0007223C"/>
    <w:rsid w:val="00072281"/>
    <w:rsid w:val="00072289"/>
    <w:rsid w:val="00072321"/>
    <w:rsid w:val="00072336"/>
    <w:rsid w:val="000723CA"/>
    <w:rsid w:val="000723D1"/>
    <w:rsid w:val="000723D7"/>
    <w:rsid w:val="00072413"/>
    <w:rsid w:val="0007241A"/>
    <w:rsid w:val="00072444"/>
    <w:rsid w:val="00072467"/>
    <w:rsid w:val="0007246D"/>
    <w:rsid w:val="00072474"/>
    <w:rsid w:val="000724E2"/>
    <w:rsid w:val="000724E6"/>
    <w:rsid w:val="00072563"/>
    <w:rsid w:val="0007259E"/>
    <w:rsid w:val="000725AA"/>
    <w:rsid w:val="000725AE"/>
    <w:rsid w:val="000725CD"/>
    <w:rsid w:val="000725E6"/>
    <w:rsid w:val="000725E9"/>
    <w:rsid w:val="0007261A"/>
    <w:rsid w:val="00072620"/>
    <w:rsid w:val="00072673"/>
    <w:rsid w:val="00072682"/>
    <w:rsid w:val="0007269B"/>
    <w:rsid w:val="000726B3"/>
    <w:rsid w:val="000726C0"/>
    <w:rsid w:val="000726C8"/>
    <w:rsid w:val="00072719"/>
    <w:rsid w:val="000727F3"/>
    <w:rsid w:val="00072807"/>
    <w:rsid w:val="000728B6"/>
    <w:rsid w:val="000728CB"/>
    <w:rsid w:val="000728D7"/>
    <w:rsid w:val="0007293F"/>
    <w:rsid w:val="000729B1"/>
    <w:rsid w:val="000729C6"/>
    <w:rsid w:val="000729EA"/>
    <w:rsid w:val="00072A6E"/>
    <w:rsid w:val="00072A78"/>
    <w:rsid w:val="00072A7C"/>
    <w:rsid w:val="00072A8D"/>
    <w:rsid w:val="00072A9A"/>
    <w:rsid w:val="00072AA0"/>
    <w:rsid w:val="00072AE1"/>
    <w:rsid w:val="00072AF9"/>
    <w:rsid w:val="00072B1F"/>
    <w:rsid w:val="00072C04"/>
    <w:rsid w:val="00072C2A"/>
    <w:rsid w:val="00072C77"/>
    <w:rsid w:val="00072C8A"/>
    <w:rsid w:val="00072C8C"/>
    <w:rsid w:val="00072CA8"/>
    <w:rsid w:val="00072CE5"/>
    <w:rsid w:val="00072D3C"/>
    <w:rsid w:val="00072DDD"/>
    <w:rsid w:val="00072E3E"/>
    <w:rsid w:val="00072E52"/>
    <w:rsid w:val="00072E55"/>
    <w:rsid w:val="00072E68"/>
    <w:rsid w:val="00072E81"/>
    <w:rsid w:val="00072ED0"/>
    <w:rsid w:val="00072EF1"/>
    <w:rsid w:val="00072F71"/>
    <w:rsid w:val="00072FAE"/>
    <w:rsid w:val="00072FF6"/>
    <w:rsid w:val="00073024"/>
    <w:rsid w:val="0007304A"/>
    <w:rsid w:val="00073055"/>
    <w:rsid w:val="000730FB"/>
    <w:rsid w:val="00073162"/>
    <w:rsid w:val="00073182"/>
    <w:rsid w:val="00073188"/>
    <w:rsid w:val="000731BB"/>
    <w:rsid w:val="000731D5"/>
    <w:rsid w:val="000731FE"/>
    <w:rsid w:val="00073263"/>
    <w:rsid w:val="00073281"/>
    <w:rsid w:val="000732BC"/>
    <w:rsid w:val="000732C5"/>
    <w:rsid w:val="00073305"/>
    <w:rsid w:val="00073323"/>
    <w:rsid w:val="0007333D"/>
    <w:rsid w:val="00073393"/>
    <w:rsid w:val="000733F2"/>
    <w:rsid w:val="00073410"/>
    <w:rsid w:val="00073435"/>
    <w:rsid w:val="00073473"/>
    <w:rsid w:val="00073479"/>
    <w:rsid w:val="00073493"/>
    <w:rsid w:val="000734E7"/>
    <w:rsid w:val="000734F3"/>
    <w:rsid w:val="0007351C"/>
    <w:rsid w:val="0007353E"/>
    <w:rsid w:val="00073555"/>
    <w:rsid w:val="0007355F"/>
    <w:rsid w:val="0007357A"/>
    <w:rsid w:val="00073586"/>
    <w:rsid w:val="0007359E"/>
    <w:rsid w:val="000735C4"/>
    <w:rsid w:val="000735D6"/>
    <w:rsid w:val="00073681"/>
    <w:rsid w:val="00073710"/>
    <w:rsid w:val="00073723"/>
    <w:rsid w:val="0007378F"/>
    <w:rsid w:val="00073797"/>
    <w:rsid w:val="000737F9"/>
    <w:rsid w:val="0007383D"/>
    <w:rsid w:val="000738A1"/>
    <w:rsid w:val="0007391D"/>
    <w:rsid w:val="00073928"/>
    <w:rsid w:val="0007395B"/>
    <w:rsid w:val="0007397C"/>
    <w:rsid w:val="000739BE"/>
    <w:rsid w:val="000739C7"/>
    <w:rsid w:val="000739CA"/>
    <w:rsid w:val="00073A21"/>
    <w:rsid w:val="00073AEE"/>
    <w:rsid w:val="00073B0D"/>
    <w:rsid w:val="00073B19"/>
    <w:rsid w:val="00073B41"/>
    <w:rsid w:val="00073B7B"/>
    <w:rsid w:val="00073B8C"/>
    <w:rsid w:val="00073BCE"/>
    <w:rsid w:val="00073BFB"/>
    <w:rsid w:val="00073C15"/>
    <w:rsid w:val="00073C22"/>
    <w:rsid w:val="00073C56"/>
    <w:rsid w:val="00073DCA"/>
    <w:rsid w:val="00073E11"/>
    <w:rsid w:val="00073E24"/>
    <w:rsid w:val="00073E38"/>
    <w:rsid w:val="00073E6C"/>
    <w:rsid w:val="00073E98"/>
    <w:rsid w:val="00073EA8"/>
    <w:rsid w:val="00073F84"/>
    <w:rsid w:val="00073F87"/>
    <w:rsid w:val="00073FCA"/>
    <w:rsid w:val="00073FF3"/>
    <w:rsid w:val="00074013"/>
    <w:rsid w:val="0007401B"/>
    <w:rsid w:val="0007405D"/>
    <w:rsid w:val="000740AF"/>
    <w:rsid w:val="000740BA"/>
    <w:rsid w:val="000741C6"/>
    <w:rsid w:val="000741C8"/>
    <w:rsid w:val="000741F4"/>
    <w:rsid w:val="00074270"/>
    <w:rsid w:val="00074298"/>
    <w:rsid w:val="0007429B"/>
    <w:rsid w:val="000742AD"/>
    <w:rsid w:val="00074321"/>
    <w:rsid w:val="0007432E"/>
    <w:rsid w:val="00074379"/>
    <w:rsid w:val="00074471"/>
    <w:rsid w:val="000744C1"/>
    <w:rsid w:val="000744D4"/>
    <w:rsid w:val="000744DC"/>
    <w:rsid w:val="000745AA"/>
    <w:rsid w:val="000745C1"/>
    <w:rsid w:val="000745FE"/>
    <w:rsid w:val="0007464E"/>
    <w:rsid w:val="00074661"/>
    <w:rsid w:val="000746D9"/>
    <w:rsid w:val="000746E4"/>
    <w:rsid w:val="0007472A"/>
    <w:rsid w:val="00074744"/>
    <w:rsid w:val="00074756"/>
    <w:rsid w:val="0007477E"/>
    <w:rsid w:val="00074796"/>
    <w:rsid w:val="000747DD"/>
    <w:rsid w:val="0007482B"/>
    <w:rsid w:val="00074830"/>
    <w:rsid w:val="00074854"/>
    <w:rsid w:val="00074884"/>
    <w:rsid w:val="0007490A"/>
    <w:rsid w:val="0007492C"/>
    <w:rsid w:val="00074987"/>
    <w:rsid w:val="000749AE"/>
    <w:rsid w:val="000749BB"/>
    <w:rsid w:val="000749CA"/>
    <w:rsid w:val="00074A61"/>
    <w:rsid w:val="00074A8F"/>
    <w:rsid w:val="00074A93"/>
    <w:rsid w:val="00074A96"/>
    <w:rsid w:val="00074AC1"/>
    <w:rsid w:val="00074AD5"/>
    <w:rsid w:val="00074B95"/>
    <w:rsid w:val="00074C03"/>
    <w:rsid w:val="00074C7C"/>
    <w:rsid w:val="00074CB0"/>
    <w:rsid w:val="00074CBB"/>
    <w:rsid w:val="00074CD8"/>
    <w:rsid w:val="00074CE7"/>
    <w:rsid w:val="00074D41"/>
    <w:rsid w:val="00074D4F"/>
    <w:rsid w:val="00074D6D"/>
    <w:rsid w:val="00074D7B"/>
    <w:rsid w:val="00074D81"/>
    <w:rsid w:val="00074D8C"/>
    <w:rsid w:val="00074E21"/>
    <w:rsid w:val="00074E47"/>
    <w:rsid w:val="00074E78"/>
    <w:rsid w:val="00074E88"/>
    <w:rsid w:val="00074EB0"/>
    <w:rsid w:val="00074ECD"/>
    <w:rsid w:val="00074EDB"/>
    <w:rsid w:val="00074EF2"/>
    <w:rsid w:val="00074EFE"/>
    <w:rsid w:val="00074F4A"/>
    <w:rsid w:val="00074F4F"/>
    <w:rsid w:val="00074FB5"/>
    <w:rsid w:val="00074FC3"/>
    <w:rsid w:val="00074FEE"/>
    <w:rsid w:val="0007502C"/>
    <w:rsid w:val="00075035"/>
    <w:rsid w:val="0007504E"/>
    <w:rsid w:val="00075052"/>
    <w:rsid w:val="00075097"/>
    <w:rsid w:val="000750A7"/>
    <w:rsid w:val="000750B4"/>
    <w:rsid w:val="000750EA"/>
    <w:rsid w:val="000750EE"/>
    <w:rsid w:val="000750F3"/>
    <w:rsid w:val="0007513F"/>
    <w:rsid w:val="0007516F"/>
    <w:rsid w:val="0007518B"/>
    <w:rsid w:val="0007519E"/>
    <w:rsid w:val="000751B1"/>
    <w:rsid w:val="000751D4"/>
    <w:rsid w:val="000751E7"/>
    <w:rsid w:val="0007520E"/>
    <w:rsid w:val="00075280"/>
    <w:rsid w:val="000752C6"/>
    <w:rsid w:val="000752F9"/>
    <w:rsid w:val="00075380"/>
    <w:rsid w:val="000753EA"/>
    <w:rsid w:val="0007543F"/>
    <w:rsid w:val="0007547B"/>
    <w:rsid w:val="0007550A"/>
    <w:rsid w:val="0007558D"/>
    <w:rsid w:val="000755D9"/>
    <w:rsid w:val="00075650"/>
    <w:rsid w:val="00075694"/>
    <w:rsid w:val="0007569E"/>
    <w:rsid w:val="000756C3"/>
    <w:rsid w:val="000756D9"/>
    <w:rsid w:val="000756E8"/>
    <w:rsid w:val="0007570F"/>
    <w:rsid w:val="00075732"/>
    <w:rsid w:val="0007574F"/>
    <w:rsid w:val="00075799"/>
    <w:rsid w:val="000757DF"/>
    <w:rsid w:val="000758B5"/>
    <w:rsid w:val="000758B6"/>
    <w:rsid w:val="00075905"/>
    <w:rsid w:val="00075939"/>
    <w:rsid w:val="00075950"/>
    <w:rsid w:val="0007596E"/>
    <w:rsid w:val="00075975"/>
    <w:rsid w:val="0007597A"/>
    <w:rsid w:val="00075A04"/>
    <w:rsid w:val="00075A37"/>
    <w:rsid w:val="00075A54"/>
    <w:rsid w:val="00075A8C"/>
    <w:rsid w:val="00075B23"/>
    <w:rsid w:val="00075C95"/>
    <w:rsid w:val="00075CA5"/>
    <w:rsid w:val="00075CED"/>
    <w:rsid w:val="00075CF4"/>
    <w:rsid w:val="00075D1A"/>
    <w:rsid w:val="00075D49"/>
    <w:rsid w:val="00075D55"/>
    <w:rsid w:val="00075D94"/>
    <w:rsid w:val="00075D99"/>
    <w:rsid w:val="00075DBC"/>
    <w:rsid w:val="00075E34"/>
    <w:rsid w:val="00075EAD"/>
    <w:rsid w:val="00075ED0"/>
    <w:rsid w:val="00075EE1"/>
    <w:rsid w:val="00075F8D"/>
    <w:rsid w:val="00076041"/>
    <w:rsid w:val="00076047"/>
    <w:rsid w:val="00076055"/>
    <w:rsid w:val="0007609E"/>
    <w:rsid w:val="000760CC"/>
    <w:rsid w:val="0007612B"/>
    <w:rsid w:val="00076149"/>
    <w:rsid w:val="00076158"/>
    <w:rsid w:val="0007617B"/>
    <w:rsid w:val="000761A5"/>
    <w:rsid w:val="000761CA"/>
    <w:rsid w:val="0007620A"/>
    <w:rsid w:val="0007621F"/>
    <w:rsid w:val="00076247"/>
    <w:rsid w:val="0007626E"/>
    <w:rsid w:val="0007627B"/>
    <w:rsid w:val="00076288"/>
    <w:rsid w:val="000762B2"/>
    <w:rsid w:val="000762D7"/>
    <w:rsid w:val="000762EF"/>
    <w:rsid w:val="0007638C"/>
    <w:rsid w:val="000763CE"/>
    <w:rsid w:val="000763D4"/>
    <w:rsid w:val="000763D9"/>
    <w:rsid w:val="000763E8"/>
    <w:rsid w:val="000764DE"/>
    <w:rsid w:val="000764E4"/>
    <w:rsid w:val="000765E8"/>
    <w:rsid w:val="0007663F"/>
    <w:rsid w:val="00076647"/>
    <w:rsid w:val="00076652"/>
    <w:rsid w:val="000766AD"/>
    <w:rsid w:val="000766DA"/>
    <w:rsid w:val="000766E5"/>
    <w:rsid w:val="0007671E"/>
    <w:rsid w:val="00076759"/>
    <w:rsid w:val="0007676A"/>
    <w:rsid w:val="00076784"/>
    <w:rsid w:val="000767D0"/>
    <w:rsid w:val="000767DA"/>
    <w:rsid w:val="00076818"/>
    <w:rsid w:val="00076852"/>
    <w:rsid w:val="0007687A"/>
    <w:rsid w:val="0007689A"/>
    <w:rsid w:val="000768AB"/>
    <w:rsid w:val="000768CF"/>
    <w:rsid w:val="000768DA"/>
    <w:rsid w:val="000768E1"/>
    <w:rsid w:val="00076932"/>
    <w:rsid w:val="00076A24"/>
    <w:rsid w:val="00076A74"/>
    <w:rsid w:val="00076A7B"/>
    <w:rsid w:val="00076A9D"/>
    <w:rsid w:val="00076B59"/>
    <w:rsid w:val="00076B74"/>
    <w:rsid w:val="00076BFE"/>
    <w:rsid w:val="00076C2B"/>
    <w:rsid w:val="00076C5F"/>
    <w:rsid w:val="00076C8D"/>
    <w:rsid w:val="00076CDC"/>
    <w:rsid w:val="00076D00"/>
    <w:rsid w:val="00076D17"/>
    <w:rsid w:val="00076D38"/>
    <w:rsid w:val="00076D4A"/>
    <w:rsid w:val="00076D7A"/>
    <w:rsid w:val="00076DE5"/>
    <w:rsid w:val="00076E32"/>
    <w:rsid w:val="00076EC7"/>
    <w:rsid w:val="00076EE4"/>
    <w:rsid w:val="00076EFD"/>
    <w:rsid w:val="00076FAB"/>
    <w:rsid w:val="00076FBC"/>
    <w:rsid w:val="00077027"/>
    <w:rsid w:val="00077061"/>
    <w:rsid w:val="00077097"/>
    <w:rsid w:val="000770CD"/>
    <w:rsid w:val="000770DD"/>
    <w:rsid w:val="000770EF"/>
    <w:rsid w:val="00077117"/>
    <w:rsid w:val="00077194"/>
    <w:rsid w:val="000771CB"/>
    <w:rsid w:val="000771DC"/>
    <w:rsid w:val="000771DE"/>
    <w:rsid w:val="00077200"/>
    <w:rsid w:val="00077205"/>
    <w:rsid w:val="0007722C"/>
    <w:rsid w:val="00077259"/>
    <w:rsid w:val="00077261"/>
    <w:rsid w:val="00077269"/>
    <w:rsid w:val="000772C8"/>
    <w:rsid w:val="00077317"/>
    <w:rsid w:val="0007736E"/>
    <w:rsid w:val="00077385"/>
    <w:rsid w:val="000773AB"/>
    <w:rsid w:val="000773D4"/>
    <w:rsid w:val="00077453"/>
    <w:rsid w:val="000774DC"/>
    <w:rsid w:val="000774F8"/>
    <w:rsid w:val="0007751E"/>
    <w:rsid w:val="00077533"/>
    <w:rsid w:val="00077566"/>
    <w:rsid w:val="0007757A"/>
    <w:rsid w:val="000775A7"/>
    <w:rsid w:val="000775E7"/>
    <w:rsid w:val="00077612"/>
    <w:rsid w:val="0007761B"/>
    <w:rsid w:val="00077626"/>
    <w:rsid w:val="00077670"/>
    <w:rsid w:val="000776A2"/>
    <w:rsid w:val="000776EB"/>
    <w:rsid w:val="00077754"/>
    <w:rsid w:val="000777C8"/>
    <w:rsid w:val="000777EA"/>
    <w:rsid w:val="00077820"/>
    <w:rsid w:val="0007783D"/>
    <w:rsid w:val="00077842"/>
    <w:rsid w:val="00077873"/>
    <w:rsid w:val="00077874"/>
    <w:rsid w:val="0007787D"/>
    <w:rsid w:val="00077897"/>
    <w:rsid w:val="0007790A"/>
    <w:rsid w:val="0007790B"/>
    <w:rsid w:val="00077A00"/>
    <w:rsid w:val="00077A50"/>
    <w:rsid w:val="00077ADF"/>
    <w:rsid w:val="00077AFB"/>
    <w:rsid w:val="00077B56"/>
    <w:rsid w:val="00077C15"/>
    <w:rsid w:val="00077C31"/>
    <w:rsid w:val="00077C3C"/>
    <w:rsid w:val="00077C4E"/>
    <w:rsid w:val="00077CEE"/>
    <w:rsid w:val="00077D06"/>
    <w:rsid w:val="00077D40"/>
    <w:rsid w:val="00077D57"/>
    <w:rsid w:val="00077D58"/>
    <w:rsid w:val="00077D62"/>
    <w:rsid w:val="00077D9B"/>
    <w:rsid w:val="00077DA8"/>
    <w:rsid w:val="00077DCB"/>
    <w:rsid w:val="00077E3D"/>
    <w:rsid w:val="00077E98"/>
    <w:rsid w:val="00077EBA"/>
    <w:rsid w:val="00077F67"/>
    <w:rsid w:val="00077F88"/>
    <w:rsid w:val="00077F99"/>
    <w:rsid w:val="00077FA8"/>
    <w:rsid w:val="00080010"/>
    <w:rsid w:val="0008005C"/>
    <w:rsid w:val="0008009A"/>
    <w:rsid w:val="000800AB"/>
    <w:rsid w:val="000800E3"/>
    <w:rsid w:val="000800E8"/>
    <w:rsid w:val="0008014C"/>
    <w:rsid w:val="00080176"/>
    <w:rsid w:val="00080179"/>
    <w:rsid w:val="000801AB"/>
    <w:rsid w:val="000801CB"/>
    <w:rsid w:val="000801DA"/>
    <w:rsid w:val="00080239"/>
    <w:rsid w:val="0008025E"/>
    <w:rsid w:val="0008029F"/>
    <w:rsid w:val="00080332"/>
    <w:rsid w:val="0008034F"/>
    <w:rsid w:val="00080373"/>
    <w:rsid w:val="0008041B"/>
    <w:rsid w:val="0008042F"/>
    <w:rsid w:val="00080453"/>
    <w:rsid w:val="00080459"/>
    <w:rsid w:val="00080494"/>
    <w:rsid w:val="000804E4"/>
    <w:rsid w:val="00080551"/>
    <w:rsid w:val="00080579"/>
    <w:rsid w:val="0008062C"/>
    <w:rsid w:val="00080644"/>
    <w:rsid w:val="000806C9"/>
    <w:rsid w:val="000806E2"/>
    <w:rsid w:val="00080759"/>
    <w:rsid w:val="0008078B"/>
    <w:rsid w:val="000807A4"/>
    <w:rsid w:val="000807C8"/>
    <w:rsid w:val="000807CF"/>
    <w:rsid w:val="000807D4"/>
    <w:rsid w:val="00080820"/>
    <w:rsid w:val="00080869"/>
    <w:rsid w:val="00080913"/>
    <w:rsid w:val="00080927"/>
    <w:rsid w:val="000809D4"/>
    <w:rsid w:val="000809F3"/>
    <w:rsid w:val="00080A0E"/>
    <w:rsid w:val="00080A3A"/>
    <w:rsid w:val="00080A61"/>
    <w:rsid w:val="00080A9B"/>
    <w:rsid w:val="00080AB1"/>
    <w:rsid w:val="00080AB3"/>
    <w:rsid w:val="00080AC1"/>
    <w:rsid w:val="00080AFF"/>
    <w:rsid w:val="00080B05"/>
    <w:rsid w:val="00080B16"/>
    <w:rsid w:val="00080B19"/>
    <w:rsid w:val="00080B61"/>
    <w:rsid w:val="00080B74"/>
    <w:rsid w:val="00080BCE"/>
    <w:rsid w:val="00080BD6"/>
    <w:rsid w:val="00080C12"/>
    <w:rsid w:val="00080C23"/>
    <w:rsid w:val="00080C2F"/>
    <w:rsid w:val="00080C71"/>
    <w:rsid w:val="00080CD0"/>
    <w:rsid w:val="00080CDC"/>
    <w:rsid w:val="00080D62"/>
    <w:rsid w:val="00080D92"/>
    <w:rsid w:val="00080E0E"/>
    <w:rsid w:val="00080E52"/>
    <w:rsid w:val="00080E7F"/>
    <w:rsid w:val="00080E9B"/>
    <w:rsid w:val="00080EE4"/>
    <w:rsid w:val="00080EE8"/>
    <w:rsid w:val="00080F0D"/>
    <w:rsid w:val="00080F46"/>
    <w:rsid w:val="00080FB8"/>
    <w:rsid w:val="00081035"/>
    <w:rsid w:val="0008104B"/>
    <w:rsid w:val="0008105E"/>
    <w:rsid w:val="00081084"/>
    <w:rsid w:val="00081088"/>
    <w:rsid w:val="00081173"/>
    <w:rsid w:val="0008119A"/>
    <w:rsid w:val="000811A6"/>
    <w:rsid w:val="000811E6"/>
    <w:rsid w:val="00081221"/>
    <w:rsid w:val="00081256"/>
    <w:rsid w:val="00081262"/>
    <w:rsid w:val="00081281"/>
    <w:rsid w:val="000812BF"/>
    <w:rsid w:val="00081308"/>
    <w:rsid w:val="00081310"/>
    <w:rsid w:val="0008133A"/>
    <w:rsid w:val="0008134E"/>
    <w:rsid w:val="000813AE"/>
    <w:rsid w:val="000813BA"/>
    <w:rsid w:val="000813D7"/>
    <w:rsid w:val="000813F2"/>
    <w:rsid w:val="00081430"/>
    <w:rsid w:val="00081437"/>
    <w:rsid w:val="000814B5"/>
    <w:rsid w:val="000814C9"/>
    <w:rsid w:val="000814E4"/>
    <w:rsid w:val="00081531"/>
    <w:rsid w:val="00081534"/>
    <w:rsid w:val="0008156A"/>
    <w:rsid w:val="000815B4"/>
    <w:rsid w:val="000815BB"/>
    <w:rsid w:val="000815F9"/>
    <w:rsid w:val="0008161F"/>
    <w:rsid w:val="0008163D"/>
    <w:rsid w:val="0008164E"/>
    <w:rsid w:val="000816B6"/>
    <w:rsid w:val="000816E5"/>
    <w:rsid w:val="00081740"/>
    <w:rsid w:val="00081794"/>
    <w:rsid w:val="000817B6"/>
    <w:rsid w:val="000817C0"/>
    <w:rsid w:val="000817D5"/>
    <w:rsid w:val="000817E7"/>
    <w:rsid w:val="00081817"/>
    <w:rsid w:val="00081882"/>
    <w:rsid w:val="00081898"/>
    <w:rsid w:val="000818FA"/>
    <w:rsid w:val="00081980"/>
    <w:rsid w:val="000819BC"/>
    <w:rsid w:val="00081A00"/>
    <w:rsid w:val="00081A09"/>
    <w:rsid w:val="00081A27"/>
    <w:rsid w:val="00081A3F"/>
    <w:rsid w:val="00081A55"/>
    <w:rsid w:val="00081AA9"/>
    <w:rsid w:val="00081AED"/>
    <w:rsid w:val="00081B20"/>
    <w:rsid w:val="00081B3C"/>
    <w:rsid w:val="00081B63"/>
    <w:rsid w:val="00081B94"/>
    <w:rsid w:val="00081BC8"/>
    <w:rsid w:val="00081BF2"/>
    <w:rsid w:val="00081CA5"/>
    <w:rsid w:val="00081CBA"/>
    <w:rsid w:val="00081D16"/>
    <w:rsid w:val="00081DA2"/>
    <w:rsid w:val="00081DE0"/>
    <w:rsid w:val="00081E01"/>
    <w:rsid w:val="00081E16"/>
    <w:rsid w:val="00081E37"/>
    <w:rsid w:val="00081E5F"/>
    <w:rsid w:val="00081F1B"/>
    <w:rsid w:val="00081F3C"/>
    <w:rsid w:val="00081F69"/>
    <w:rsid w:val="00081FA4"/>
    <w:rsid w:val="00081FC3"/>
    <w:rsid w:val="00081FC4"/>
    <w:rsid w:val="00082027"/>
    <w:rsid w:val="0008211F"/>
    <w:rsid w:val="0008213A"/>
    <w:rsid w:val="0008213F"/>
    <w:rsid w:val="00082158"/>
    <w:rsid w:val="0008217F"/>
    <w:rsid w:val="000821E7"/>
    <w:rsid w:val="000821F0"/>
    <w:rsid w:val="00082213"/>
    <w:rsid w:val="0008224C"/>
    <w:rsid w:val="00082262"/>
    <w:rsid w:val="0008228B"/>
    <w:rsid w:val="00082297"/>
    <w:rsid w:val="000822B7"/>
    <w:rsid w:val="000822E9"/>
    <w:rsid w:val="00082360"/>
    <w:rsid w:val="0008236D"/>
    <w:rsid w:val="0008236F"/>
    <w:rsid w:val="0008238D"/>
    <w:rsid w:val="00082392"/>
    <w:rsid w:val="000823B9"/>
    <w:rsid w:val="00082404"/>
    <w:rsid w:val="00082466"/>
    <w:rsid w:val="00082481"/>
    <w:rsid w:val="0008249C"/>
    <w:rsid w:val="000824AE"/>
    <w:rsid w:val="000824F5"/>
    <w:rsid w:val="00082535"/>
    <w:rsid w:val="0008256C"/>
    <w:rsid w:val="0008268D"/>
    <w:rsid w:val="000826C0"/>
    <w:rsid w:val="000826C5"/>
    <w:rsid w:val="000826DD"/>
    <w:rsid w:val="000826F5"/>
    <w:rsid w:val="00082709"/>
    <w:rsid w:val="00082728"/>
    <w:rsid w:val="00082792"/>
    <w:rsid w:val="000827D0"/>
    <w:rsid w:val="000827EC"/>
    <w:rsid w:val="00082828"/>
    <w:rsid w:val="00082904"/>
    <w:rsid w:val="0008291E"/>
    <w:rsid w:val="00082921"/>
    <w:rsid w:val="00082983"/>
    <w:rsid w:val="00082995"/>
    <w:rsid w:val="000829B2"/>
    <w:rsid w:val="00082A07"/>
    <w:rsid w:val="00082A27"/>
    <w:rsid w:val="00082A55"/>
    <w:rsid w:val="00082A75"/>
    <w:rsid w:val="00082ADC"/>
    <w:rsid w:val="00082AE1"/>
    <w:rsid w:val="00082B09"/>
    <w:rsid w:val="00082B2B"/>
    <w:rsid w:val="00082B53"/>
    <w:rsid w:val="00082B5B"/>
    <w:rsid w:val="00082B5C"/>
    <w:rsid w:val="00082B5D"/>
    <w:rsid w:val="00082BB7"/>
    <w:rsid w:val="00082C10"/>
    <w:rsid w:val="00082C11"/>
    <w:rsid w:val="00082C1F"/>
    <w:rsid w:val="00082C4A"/>
    <w:rsid w:val="00082C6E"/>
    <w:rsid w:val="00082CBA"/>
    <w:rsid w:val="00082CD1"/>
    <w:rsid w:val="00082CE7"/>
    <w:rsid w:val="00082CFB"/>
    <w:rsid w:val="00082D38"/>
    <w:rsid w:val="00082D95"/>
    <w:rsid w:val="00082D9B"/>
    <w:rsid w:val="00082DCF"/>
    <w:rsid w:val="00082E68"/>
    <w:rsid w:val="00082E6E"/>
    <w:rsid w:val="00082F17"/>
    <w:rsid w:val="00082F26"/>
    <w:rsid w:val="00082F68"/>
    <w:rsid w:val="00082FAD"/>
    <w:rsid w:val="00082FBC"/>
    <w:rsid w:val="00083019"/>
    <w:rsid w:val="00083074"/>
    <w:rsid w:val="0008308C"/>
    <w:rsid w:val="00083134"/>
    <w:rsid w:val="000831D8"/>
    <w:rsid w:val="000831EB"/>
    <w:rsid w:val="000831EE"/>
    <w:rsid w:val="0008326E"/>
    <w:rsid w:val="0008327E"/>
    <w:rsid w:val="0008328E"/>
    <w:rsid w:val="000832BA"/>
    <w:rsid w:val="000832BF"/>
    <w:rsid w:val="000832E2"/>
    <w:rsid w:val="000832F3"/>
    <w:rsid w:val="00083307"/>
    <w:rsid w:val="00083337"/>
    <w:rsid w:val="0008339D"/>
    <w:rsid w:val="00083422"/>
    <w:rsid w:val="00083458"/>
    <w:rsid w:val="0008345B"/>
    <w:rsid w:val="0008348B"/>
    <w:rsid w:val="0008349C"/>
    <w:rsid w:val="000834E9"/>
    <w:rsid w:val="000834F2"/>
    <w:rsid w:val="000834FD"/>
    <w:rsid w:val="0008355B"/>
    <w:rsid w:val="00083593"/>
    <w:rsid w:val="00083605"/>
    <w:rsid w:val="000836B6"/>
    <w:rsid w:val="000836E2"/>
    <w:rsid w:val="0008373F"/>
    <w:rsid w:val="00083745"/>
    <w:rsid w:val="0008376A"/>
    <w:rsid w:val="000837B3"/>
    <w:rsid w:val="00083849"/>
    <w:rsid w:val="0008384D"/>
    <w:rsid w:val="000838BA"/>
    <w:rsid w:val="000838D6"/>
    <w:rsid w:val="000838F0"/>
    <w:rsid w:val="000838FB"/>
    <w:rsid w:val="00083970"/>
    <w:rsid w:val="000839FF"/>
    <w:rsid w:val="00083A32"/>
    <w:rsid w:val="00083A91"/>
    <w:rsid w:val="00083AA1"/>
    <w:rsid w:val="00083AAF"/>
    <w:rsid w:val="00083B22"/>
    <w:rsid w:val="00083B25"/>
    <w:rsid w:val="00083B2D"/>
    <w:rsid w:val="00083B37"/>
    <w:rsid w:val="00083B60"/>
    <w:rsid w:val="00083B9E"/>
    <w:rsid w:val="00083BD2"/>
    <w:rsid w:val="00083BE1"/>
    <w:rsid w:val="00083C1E"/>
    <w:rsid w:val="00083C2B"/>
    <w:rsid w:val="00083C57"/>
    <w:rsid w:val="00083CA0"/>
    <w:rsid w:val="00083CB8"/>
    <w:rsid w:val="00083CCB"/>
    <w:rsid w:val="00083CE1"/>
    <w:rsid w:val="00083D11"/>
    <w:rsid w:val="00083D78"/>
    <w:rsid w:val="00083DB1"/>
    <w:rsid w:val="00083DD6"/>
    <w:rsid w:val="00083E46"/>
    <w:rsid w:val="00083E4F"/>
    <w:rsid w:val="00083E53"/>
    <w:rsid w:val="00083E7B"/>
    <w:rsid w:val="00083E81"/>
    <w:rsid w:val="00083EA8"/>
    <w:rsid w:val="00083EEE"/>
    <w:rsid w:val="00083F81"/>
    <w:rsid w:val="0008400F"/>
    <w:rsid w:val="00084010"/>
    <w:rsid w:val="00084032"/>
    <w:rsid w:val="00084096"/>
    <w:rsid w:val="000840B3"/>
    <w:rsid w:val="000840CB"/>
    <w:rsid w:val="000840E3"/>
    <w:rsid w:val="000841A6"/>
    <w:rsid w:val="00084213"/>
    <w:rsid w:val="000842AE"/>
    <w:rsid w:val="0008432A"/>
    <w:rsid w:val="0008432E"/>
    <w:rsid w:val="00084369"/>
    <w:rsid w:val="0008439F"/>
    <w:rsid w:val="000843A4"/>
    <w:rsid w:val="000843C3"/>
    <w:rsid w:val="000843D5"/>
    <w:rsid w:val="000843F9"/>
    <w:rsid w:val="0008443A"/>
    <w:rsid w:val="0008444E"/>
    <w:rsid w:val="00084459"/>
    <w:rsid w:val="00084465"/>
    <w:rsid w:val="00084486"/>
    <w:rsid w:val="000844A1"/>
    <w:rsid w:val="000844B0"/>
    <w:rsid w:val="000844C3"/>
    <w:rsid w:val="000844D5"/>
    <w:rsid w:val="000844E0"/>
    <w:rsid w:val="0008456E"/>
    <w:rsid w:val="00084631"/>
    <w:rsid w:val="00084648"/>
    <w:rsid w:val="0008464B"/>
    <w:rsid w:val="00084662"/>
    <w:rsid w:val="0008466F"/>
    <w:rsid w:val="0008467E"/>
    <w:rsid w:val="0008469D"/>
    <w:rsid w:val="000846B4"/>
    <w:rsid w:val="000846CC"/>
    <w:rsid w:val="000846CE"/>
    <w:rsid w:val="000846E2"/>
    <w:rsid w:val="00084723"/>
    <w:rsid w:val="0008474D"/>
    <w:rsid w:val="00084773"/>
    <w:rsid w:val="00084783"/>
    <w:rsid w:val="0008478A"/>
    <w:rsid w:val="000847B2"/>
    <w:rsid w:val="000847BD"/>
    <w:rsid w:val="0008487A"/>
    <w:rsid w:val="0008488F"/>
    <w:rsid w:val="00084899"/>
    <w:rsid w:val="00084937"/>
    <w:rsid w:val="000849F8"/>
    <w:rsid w:val="000849FD"/>
    <w:rsid w:val="00084A27"/>
    <w:rsid w:val="00084AB2"/>
    <w:rsid w:val="00084AC1"/>
    <w:rsid w:val="00084AE6"/>
    <w:rsid w:val="00084B11"/>
    <w:rsid w:val="00084BE3"/>
    <w:rsid w:val="00084BFC"/>
    <w:rsid w:val="00084BFD"/>
    <w:rsid w:val="00084C31"/>
    <w:rsid w:val="00084C43"/>
    <w:rsid w:val="00084CDF"/>
    <w:rsid w:val="00084D44"/>
    <w:rsid w:val="00084D63"/>
    <w:rsid w:val="00084D67"/>
    <w:rsid w:val="00084D6F"/>
    <w:rsid w:val="00084DA2"/>
    <w:rsid w:val="00084DAF"/>
    <w:rsid w:val="00084E63"/>
    <w:rsid w:val="00084EAB"/>
    <w:rsid w:val="00084F00"/>
    <w:rsid w:val="00084F07"/>
    <w:rsid w:val="00084F35"/>
    <w:rsid w:val="00084F67"/>
    <w:rsid w:val="00084F69"/>
    <w:rsid w:val="00084F7B"/>
    <w:rsid w:val="00084F93"/>
    <w:rsid w:val="00084FA2"/>
    <w:rsid w:val="00085003"/>
    <w:rsid w:val="00085012"/>
    <w:rsid w:val="0008505A"/>
    <w:rsid w:val="00085072"/>
    <w:rsid w:val="00085083"/>
    <w:rsid w:val="000850F0"/>
    <w:rsid w:val="00085110"/>
    <w:rsid w:val="0008515B"/>
    <w:rsid w:val="000851A9"/>
    <w:rsid w:val="000851E1"/>
    <w:rsid w:val="0008525E"/>
    <w:rsid w:val="0008528B"/>
    <w:rsid w:val="000852B6"/>
    <w:rsid w:val="00085300"/>
    <w:rsid w:val="00085308"/>
    <w:rsid w:val="0008530A"/>
    <w:rsid w:val="00085321"/>
    <w:rsid w:val="00085324"/>
    <w:rsid w:val="000853D4"/>
    <w:rsid w:val="000853E0"/>
    <w:rsid w:val="000853E8"/>
    <w:rsid w:val="000853EB"/>
    <w:rsid w:val="0008541C"/>
    <w:rsid w:val="000854E6"/>
    <w:rsid w:val="0008550F"/>
    <w:rsid w:val="00085544"/>
    <w:rsid w:val="0008554A"/>
    <w:rsid w:val="00085569"/>
    <w:rsid w:val="000855E4"/>
    <w:rsid w:val="000855EE"/>
    <w:rsid w:val="0008560B"/>
    <w:rsid w:val="00085693"/>
    <w:rsid w:val="00085711"/>
    <w:rsid w:val="00085742"/>
    <w:rsid w:val="0008574C"/>
    <w:rsid w:val="00085752"/>
    <w:rsid w:val="00085763"/>
    <w:rsid w:val="0008576D"/>
    <w:rsid w:val="00085788"/>
    <w:rsid w:val="0008578D"/>
    <w:rsid w:val="000857FF"/>
    <w:rsid w:val="00085822"/>
    <w:rsid w:val="000858AB"/>
    <w:rsid w:val="000858AD"/>
    <w:rsid w:val="000858BC"/>
    <w:rsid w:val="00085905"/>
    <w:rsid w:val="0008591C"/>
    <w:rsid w:val="00085959"/>
    <w:rsid w:val="00085978"/>
    <w:rsid w:val="000859A7"/>
    <w:rsid w:val="00085A26"/>
    <w:rsid w:val="00085A4C"/>
    <w:rsid w:val="00085A76"/>
    <w:rsid w:val="00085AA7"/>
    <w:rsid w:val="00085AC2"/>
    <w:rsid w:val="00085AC9"/>
    <w:rsid w:val="00085BF6"/>
    <w:rsid w:val="00085C56"/>
    <w:rsid w:val="00085C77"/>
    <w:rsid w:val="00085D11"/>
    <w:rsid w:val="00085D35"/>
    <w:rsid w:val="00085D5C"/>
    <w:rsid w:val="00085D98"/>
    <w:rsid w:val="00085DB2"/>
    <w:rsid w:val="00085E1E"/>
    <w:rsid w:val="00085E2E"/>
    <w:rsid w:val="00085E62"/>
    <w:rsid w:val="00085E78"/>
    <w:rsid w:val="00085E94"/>
    <w:rsid w:val="00085EB5"/>
    <w:rsid w:val="00085EC3"/>
    <w:rsid w:val="00085EEC"/>
    <w:rsid w:val="00085F79"/>
    <w:rsid w:val="00085FA0"/>
    <w:rsid w:val="00085FAC"/>
    <w:rsid w:val="00085FB1"/>
    <w:rsid w:val="00085FB4"/>
    <w:rsid w:val="00085FE1"/>
    <w:rsid w:val="00086002"/>
    <w:rsid w:val="0008602A"/>
    <w:rsid w:val="0008605A"/>
    <w:rsid w:val="00086075"/>
    <w:rsid w:val="00086079"/>
    <w:rsid w:val="00086110"/>
    <w:rsid w:val="00086125"/>
    <w:rsid w:val="0008618B"/>
    <w:rsid w:val="000861D3"/>
    <w:rsid w:val="0008626D"/>
    <w:rsid w:val="00086275"/>
    <w:rsid w:val="0008633F"/>
    <w:rsid w:val="000863DA"/>
    <w:rsid w:val="0008641C"/>
    <w:rsid w:val="0008643C"/>
    <w:rsid w:val="00086446"/>
    <w:rsid w:val="0008644A"/>
    <w:rsid w:val="0008646C"/>
    <w:rsid w:val="000864E9"/>
    <w:rsid w:val="000864F3"/>
    <w:rsid w:val="000865A6"/>
    <w:rsid w:val="000865B9"/>
    <w:rsid w:val="000865EE"/>
    <w:rsid w:val="00086609"/>
    <w:rsid w:val="00086613"/>
    <w:rsid w:val="00086638"/>
    <w:rsid w:val="0008668A"/>
    <w:rsid w:val="000866BF"/>
    <w:rsid w:val="0008675B"/>
    <w:rsid w:val="00086769"/>
    <w:rsid w:val="000868E1"/>
    <w:rsid w:val="00086901"/>
    <w:rsid w:val="0008692E"/>
    <w:rsid w:val="00086936"/>
    <w:rsid w:val="00086950"/>
    <w:rsid w:val="0008696B"/>
    <w:rsid w:val="00086974"/>
    <w:rsid w:val="0008699A"/>
    <w:rsid w:val="000869B5"/>
    <w:rsid w:val="000869F5"/>
    <w:rsid w:val="00086AA4"/>
    <w:rsid w:val="00086B3E"/>
    <w:rsid w:val="00086B94"/>
    <w:rsid w:val="00086BBF"/>
    <w:rsid w:val="00086BCC"/>
    <w:rsid w:val="00086BDD"/>
    <w:rsid w:val="00086BF0"/>
    <w:rsid w:val="00086C24"/>
    <w:rsid w:val="00086C5A"/>
    <w:rsid w:val="00086C7A"/>
    <w:rsid w:val="00086CF6"/>
    <w:rsid w:val="00086CFC"/>
    <w:rsid w:val="00086D42"/>
    <w:rsid w:val="00086D58"/>
    <w:rsid w:val="00086D5D"/>
    <w:rsid w:val="00086D86"/>
    <w:rsid w:val="00086DBE"/>
    <w:rsid w:val="00086E29"/>
    <w:rsid w:val="00086EFA"/>
    <w:rsid w:val="00086F95"/>
    <w:rsid w:val="00086F9A"/>
    <w:rsid w:val="00086FCB"/>
    <w:rsid w:val="00087006"/>
    <w:rsid w:val="00087011"/>
    <w:rsid w:val="00087033"/>
    <w:rsid w:val="0008704C"/>
    <w:rsid w:val="00087050"/>
    <w:rsid w:val="00087053"/>
    <w:rsid w:val="00087067"/>
    <w:rsid w:val="00087090"/>
    <w:rsid w:val="000870B5"/>
    <w:rsid w:val="00087157"/>
    <w:rsid w:val="000871F7"/>
    <w:rsid w:val="0008720E"/>
    <w:rsid w:val="000872C1"/>
    <w:rsid w:val="000872C3"/>
    <w:rsid w:val="00087390"/>
    <w:rsid w:val="000873B9"/>
    <w:rsid w:val="00087409"/>
    <w:rsid w:val="00087450"/>
    <w:rsid w:val="000874AE"/>
    <w:rsid w:val="000874D2"/>
    <w:rsid w:val="000874FF"/>
    <w:rsid w:val="00087587"/>
    <w:rsid w:val="000875BD"/>
    <w:rsid w:val="000875C9"/>
    <w:rsid w:val="00087665"/>
    <w:rsid w:val="00087672"/>
    <w:rsid w:val="00087679"/>
    <w:rsid w:val="00087696"/>
    <w:rsid w:val="000876AF"/>
    <w:rsid w:val="000876B6"/>
    <w:rsid w:val="0008772B"/>
    <w:rsid w:val="0008773F"/>
    <w:rsid w:val="00087752"/>
    <w:rsid w:val="00087777"/>
    <w:rsid w:val="000877C6"/>
    <w:rsid w:val="00087830"/>
    <w:rsid w:val="000878C3"/>
    <w:rsid w:val="000878DD"/>
    <w:rsid w:val="000878FD"/>
    <w:rsid w:val="00087908"/>
    <w:rsid w:val="00087953"/>
    <w:rsid w:val="00087993"/>
    <w:rsid w:val="000879F3"/>
    <w:rsid w:val="000879F9"/>
    <w:rsid w:val="00087A65"/>
    <w:rsid w:val="00087A68"/>
    <w:rsid w:val="00087A83"/>
    <w:rsid w:val="00087ACF"/>
    <w:rsid w:val="00087B24"/>
    <w:rsid w:val="00087B65"/>
    <w:rsid w:val="00087B6E"/>
    <w:rsid w:val="00087B90"/>
    <w:rsid w:val="00087BA1"/>
    <w:rsid w:val="00087BA4"/>
    <w:rsid w:val="00087BA8"/>
    <w:rsid w:val="00087BF1"/>
    <w:rsid w:val="00087C0F"/>
    <w:rsid w:val="00087C18"/>
    <w:rsid w:val="00087CB8"/>
    <w:rsid w:val="00087CD5"/>
    <w:rsid w:val="00087D53"/>
    <w:rsid w:val="00087DA1"/>
    <w:rsid w:val="00087DA8"/>
    <w:rsid w:val="00087DE0"/>
    <w:rsid w:val="00087DF8"/>
    <w:rsid w:val="00087E4E"/>
    <w:rsid w:val="00087E6F"/>
    <w:rsid w:val="00087E78"/>
    <w:rsid w:val="00087E83"/>
    <w:rsid w:val="00087F2F"/>
    <w:rsid w:val="00087FD5"/>
    <w:rsid w:val="00087FEB"/>
    <w:rsid w:val="0009000F"/>
    <w:rsid w:val="00090074"/>
    <w:rsid w:val="00090091"/>
    <w:rsid w:val="000900CA"/>
    <w:rsid w:val="0009014F"/>
    <w:rsid w:val="00090179"/>
    <w:rsid w:val="00090189"/>
    <w:rsid w:val="0009018D"/>
    <w:rsid w:val="000901A0"/>
    <w:rsid w:val="000901A9"/>
    <w:rsid w:val="000901BA"/>
    <w:rsid w:val="00090226"/>
    <w:rsid w:val="000902A3"/>
    <w:rsid w:val="000902AC"/>
    <w:rsid w:val="000902B2"/>
    <w:rsid w:val="000902FE"/>
    <w:rsid w:val="0009033B"/>
    <w:rsid w:val="0009035F"/>
    <w:rsid w:val="0009040B"/>
    <w:rsid w:val="00090425"/>
    <w:rsid w:val="000904F9"/>
    <w:rsid w:val="00090509"/>
    <w:rsid w:val="00090515"/>
    <w:rsid w:val="0009055A"/>
    <w:rsid w:val="000905C3"/>
    <w:rsid w:val="000905D6"/>
    <w:rsid w:val="000905DE"/>
    <w:rsid w:val="000906F4"/>
    <w:rsid w:val="00090732"/>
    <w:rsid w:val="00090804"/>
    <w:rsid w:val="00090805"/>
    <w:rsid w:val="00090819"/>
    <w:rsid w:val="0009089D"/>
    <w:rsid w:val="00090932"/>
    <w:rsid w:val="0009098E"/>
    <w:rsid w:val="000909F0"/>
    <w:rsid w:val="000909F8"/>
    <w:rsid w:val="00090A67"/>
    <w:rsid w:val="00090A95"/>
    <w:rsid w:val="00090AB2"/>
    <w:rsid w:val="00090AC7"/>
    <w:rsid w:val="00090B3D"/>
    <w:rsid w:val="00090B57"/>
    <w:rsid w:val="00090BB5"/>
    <w:rsid w:val="00090C00"/>
    <w:rsid w:val="00090C14"/>
    <w:rsid w:val="00090C33"/>
    <w:rsid w:val="00090C3C"/>
    <w:rsid w:val="00090C70"/>
    <w:rsid w:val="00090C7D"/>
    <w:rsid w:val="00090C91"/>
    <w:rsid w:val="00090CB9"/>
    <w:rsid w:val="00090CCA"/>
    <w:rsid w:val="00090CE0"/>
    <w:rsid w:val="00090D17"/>
    <w:rsid w:val="00090D3F"/>
    <w:rsid w:val="00090D5F"/>
    <w:rsid w:val="00090D72"/>
    <w:rsid w:val="00090D96"/>
    <w:rsid w:val="00090D9E"/>
    <w:rsid w:val="00090DEA"/>
    <w:rsid w:val="00090E8F"/>
    <w:rsid w:val="00090E98"/>
    <w:rsid w:val="00090F21"/>
    <w:rsid w:val="00090F3E"/>
    <w:rsid w:val="00090FA4"/>
    <w:rsid w:val="00090FB9"/>
    <w:rsid w:val="00090FBC"/>
    <w:rsid w:val="00091002"/>
    <w:rsid w:val="00091009"/>
    <w:rsid w:val="0009108C"/>
    <w:rsid w:val="000910BA"/>
    <w:rsid w:val="000910C4"/>
    <w:rsid w:val="00091190"/>
    <w:rsid w:val="000911E4"/>
    <w:rsid w:val="0009121D"/>
    <w:rsid w:val="00091327"/>
    <w:rsid w:val="0009133E"/>
    <w:rsid w:val="00091354"/>
    <w:rsid w:val="0009137E"/>
    <w:rsid w:val="000913A9"/>
    <w:rsid w:val="000913B3"/>
    <w:rsid w:val="000913CB"/>
    <w:rsid w:val="000913D6"/>
    <w:rsid w:val="000913DF"/>
    <w:rsid w:val="000913E5"/>
    <w:rsid w:val="000913EA"/>
    <w:rsid w:val="0009140C"/>
    <w:rsid w:val="00091432"/>
    <w:rsid w:val="000914B4"/>
    <w:rsid w:val="000914DE"/>
    <w:rsid w:val="000914E3"/>
    <w:rsid w:val="00091516"/>
    <w:rsid w:val="00091523"/>
    <w:rsid w:val="000915EC"/>
    <w:rsid w:val="0009165F"/>
    <w:rsid w:val="000916BC"/>
    <w:rsid w:val="00091771"/>
    <w:rsid w:val="000917B6"/>
    <w:rsid w:val="000917CF"/>
    <w:rsid w:val="00091808"/>
    <w:rsid w:val="00091815"/>
    <w:rsid w:val="00091941"/>
    <w:rsid w:val="00091944"/>
    <w:rsid w:val="00091965"/>
    <w:rsid w:val="00091976"/>
    <w:rsid w:val="00091980"/>
    <w:rsid w:val="00091A42"/>
    <w:rsid w:val="00091A5E"/>
    <w:rsid w:val="00091AA9"/>
    <w:rsid w:val="00091AF3"/>
    <w:rsid w:val="00091B19"/>
    <w:rsid w:val="00091B2E"/>
    <w:rsid w:val="00091B48"/>
    <w:rsid w:val="00091B58"/>
    <w:rsid w:val="00091B70"/>
    <w:rsid w:val="00091B76"/>
    <w:rsid w:val="00091B7C"/>
    <w:rsid w:val="00091B7F"/>
    <w:rsid w:val="00091BA8"/>
    <w:rsid w:val="00091BBF"/>
    <w:rsid w:val="00091C20"/>
    <w:rsid w:val="00091CB5"/>
    <w:rsid w:val="00091CEF"/>
    <w:rsid w:val="00091D38"/>
    <w:rsid w:val="00091D40"/>
    <w:rsid w:val="00091D49"/>
    <w:rsid w:val="00091D90"/>
    <w:rsid w:val="00091DB2"/>
    <w:rsid w:val="00091DBC"/>
    <w:rsid w:val="00091E1D"/>
    <w:rsid w:val="00091E26"/>
    <w:rsid w:val="00091E47"/>
    <w:rsid w:val="00091E48"/>
    <w:rsid w:val="00091E6E"/>
    <w:rsid w:val="00091E72"/>
    <w:rsid w:val="00091E92"/>
    <w:rsid w:val="00091EBD"/>
    <w:rsid w:val="00091EE4"/>
    <w:rsid w:val="00091F08"/>
    <w:rsid w:val="00091F57"/>
    <w:rsid w:val="00091F5E"/>
    <w:rsid w:val="00091F62"/>
    <w:rsid w:val="00092003"/>
    <w:rsid w:val="00092045"/>
    <w:rsid w:val="00092089"/>
    <w:rsid w:val="000920BA"/>
    <w:rsid w:val="000920C5"/>
    <w:rsid w:val="000920F5"/>
    <w:rsid w:val="00092123"/>
    <w:rsid w:val="00092159"/>
    <w:rsid w:val="0009215F"/>
    <w:rsid w:val="000921FB"/>
    <w:rsid w:val="00092292"/>
    <w:rsid w:val="00092297"/>
    <w:rsid w:val="000922E6"/>
    <w:rsid w:val="000922E8"/>
    <w:rsid w:val="0009230D"/>
    <w:rsid w:val="0009236A"/>
    <w:rsid w:val="000923AF"/>
    <w:rsid w:val="000923BE"/>
    <w:rsid w:val="000923C1"/>
    <w:rsid w:val="000923C2"/>
    <w:rsid w:val="000924EE"/>
    <w:rsid w:val="000924FB"/>
    <w:rsid w:val="00092574"/>
    <w:rsid w:val="00092595"/>
    <w:rsid w:val="000925C9"/>
    <w:rsid w:val="000925CD"/>
    <w:rsid w:val="000925DF"/>
    <w:rsid w:val="000925F7"/>
    <w:rsid w:val="00092606"/>
    <w:rsid w:val="00092651"/>
    <w:rsid w:val="0009267E"/>
    <w:rsid w:val="000926F4"/>
    <w:rsid w:val="00092739"/>
    <w:rsid w:val="00092822"/>
    <w:rsid w:val="00092878"/>
    <w:rsid w:val="00092879"/>
    <w:rsid w:val="000928B5"/>
    <w:rsid w:val="000928F3"/>
    <w:rsid w:val="000928FC"/>
    <w:rsid w:val="0009293C"/>
    <w:rsid w:val="00092988"/>
    <w:rsid w:val="00092995"/>
    <w:rsid w:val="00092A11"/>
    <w:rsid w:val="00092A69"/>
    <w:rsid w:val="00092A92"/>
    <w:rsid w:val="00092AB9"/>
    <w:rsid w:val="00092ADB"/>
    <w:rsid w:val="00092B59"/>
    <w:rsid w:val="00092B76"/>
    <w:rsid w:val="00092BB0"/>
    <w:rsid w:val="00092BB6"/>
    <w:rsid w:val="00092BD2"/>
    <w:rsid w:val="00092C28"/>
    <w:rsid w:val="00092C36"/>
    <w:rsid w:val="00092C44"/>
    <w:rsid w:val="00092C8F"/>
    <w:rsid w:val="00092CDB"/>
    <w:rsid w:val="00092CDE"/>
    <w:rsid w:val="00092D3A"/>
    <w:rsid w:val="00092D99"/>
    <w:rsid w:val="00092D9E"/>
    <w:rsid w:val="00092E37"/>
    <w:rsid w:val="00092E48"/>
    <w:rsid w:val="00092EF2"/>
    <w:rsid w:val="00092F29"/>
    <w:rsid w:val="00092F2F"/>
    <w:rsid w:val="00092F41"/>
    <w:rsid w:val="00092F75"/>
    <w:rsid w:val="00092F7F"/>
    <w:rsid w:val="00092FC5"/>
    <w:rsid w:val="0009301A"/>
    <w:rsid w:val="000930C1"/>
    <w:rsid w:val="000930C9"/>
    <w:rsid w:val="000930D1"/>
    <w:rsid w:val="000930D4"/>
    <w:rsid w:val="00093141"/>
    <w:rsid w:val="00093146"/>
    <w:rsid w:val="0009316A"/>
    <w:rsid w:val="00093199"/>
    <w:rsid w:val="000931BA"/>
    <w:rsid w:val="00093207"/>
    <w:rsid w:val="00093211"/>
    <w:rsid w:val="00093267"/>
    <w:rsid w:val="00093293"/>
    <w:rsid w:val="0009330D"/>
    <w:rsid w:val="000933AE"/>
    <w:rsid w:val="00093400"/>
    <w:rsid w:val="000934BE"/>
    <w:rsid w:val="000934C7"/>
    <w:rsid w:val="000934E0"/>
    <w:rsid w:val="000934F4"/>
    <w:rsid w:val="00093553"/>
    <w:rsid w:val="00093566"/>
    <w:rsid w:val="00093612"/>
    <w:rsid w:val="0009361A"/>
    <w:rsid w:val="0009374E"/>
    <w:rsid w:val="000937AB"/>
    <w:rsid w:val="000937CD"/>
    <w:rsid w:val="000938D3"/>
    <w:rsid w:val="000939CC"/>
    <w:rsid w:val="000939D8"/>
    <w:rsid w:val="00093A40"/>
    <w:rsid w:val="00093AAB"/>
    <w:rsid w:val="00093AD3"/>
    <w:rsid w:val="00093B4F"/>
    <w:rsid w:val="00093B9B"/>
    <w:rsid w:val="00093C0B"/>
    <w:rsid w:val="00093C39"/>
    <w:rsid w:val="00093C84"/>
    <w:rsid w:val="00093C8B"/>
    <w:rsid w:val="00093CBA"/>
    <w:rsid w:val="00093CC8"/>
    <w:rsid w:val="00093D21"/>
    <w:rsid w:val="00093D2F"/>
    <w:rsid w:val="00093D85"/>
    <w:rsid w:val="00093D88"/>
    <w:rsid w:val="00093D9E"/>
    <w:rsid w:val="00093DF0"/>
    <w:rsid w:val="00093E6A"/>
    <w:rsid w:val="00093E79"/>
    <w:rsid w:val="00093E7F"/>
    <w:rsid w:val="00093EA6"/>
    <w:rsid w:val="00093EB1"/>
    <w:rsid w:val="00093ED0"/>
    <w:rsid w:val="00093F87"/>
    <w:rsid w:val="00093FDA"/>
    <w:rsid w:val="00093FF1"/>
    <w:rsid w:val="00094009"/>
    <w:rsid w:val="00094017"/>
    <w:rsid w:val="00094030"/>
    <w:rsid w:val="00094048"/>
    <w:rsid w:val="000940B2"/>
    <w:rsid w:val="0009413C"/>
    <w:rsid w:val="00094204"/>
    <w:rsid w:val="00094221"/>
    <w:rsid w:val="00094245"/>
    <w:rsid w:val="00094313"/>
    <w:rsid w:val="00094316"/>
    <w:rsid w:val="00094342"/>
    <w:rsid w:val="00094368"/>
    <w:rsid w:val="00094380"/>
    <w:rsid w:val="00094440"/>
    <w:rsid w:val="0009445E"/>
    <w:rsid w:val="000944D3"/>
    <w:rsid w:val="00094522"/>
    <w:rsid w:val="00094672"/>
    <w:rsid w:val="000946CB"/>
    <w:rsid w:val="00094724"/>
    <w:rsid w:val="00094762"/>
    <w:rsid w:val="00094766"/>
    <w:rsid w:val="000947A2"/>
    <w:rsid w:val="000947BF"/>
    <w:rsid w:val="00094843"/>
    <w:rsid w:val="00094846"/>
    <w:rsid w:val="00094849"/>
    <w:rsid w:val="00094851"/>
    <w:rsid w:val="00094862"/>
    <w:rsid w:val="00094879"/>
    <w:rsid w:val="000948A0"/>
    <w:rsid w:val="000948DB"/>
    <w:rsid w:val="000948E5"/>
    <w:rsid w:val="000949AB"/>
    <w:rsid w:val="000949B7"/>
    <w:rsid w:val="000949C0"/>
    <w:rsid w:val="000949E3"/>
    <w:rsid w:val="00094A51"/>
    <w:rsid w:val="00094AC9"/>
    <w:rsid w:val="00094B2F"/>
    <w:rsid w:val="00094B4D"/>
    <w:rsid w:val="00094B72"/>
    <w:rsid w:val="00094B83"/>
    <w:rsid w:val="00094BE0"/>
    <w:rsid w:val="00094BF0"/>
    <w:rsid w:val="00094C02"/>
    <w:rsid w:val="00094C1D"/>
    <w:rsid w:val="00094C30"/>
    <w:rsid w:val="00094C46"/>
    <w:rsid w:val="00094C47"/>
    <w:rsid w:val="00094C56"/>
    <w:rsid w:val="00094C8F"/>
    <w:rsid w:val="00094C93"/>
    <w:rsid w:val="00094CAD"/>
    <w:rsid w:val="00094CC2"/>
    <w:rsid w:val="00094CE9"/>
    <w:rsid w:val="00094D54"/>
    <w:rsid w:val="00094D58"/>
    <w:rsid w:val="00094D8D"/>
    <w:rsid w:val="00094DB8"/>
    <w:rsid w:val="00094E8E"/>
    <w:rsid w:val="00094EC9"/>
    <w:rsid w:val="00094EE7"/>
    <w:rsid w:val="00094F63"/>
    <w:rsid w:val="00094FCB"/>
    <w:rsid w:val="00094FEE"/>
    <w:rsid w:val="00094FF4"/>
    <w:rsid w:val="00095016"/>
    <w:rsid w:val="000950A4"/>
    <w:rsid w:val="000950C3"/>
    <w:rsid w:val="0009515F"/>
    <w:rsid w:val="00095187"/>
    <w:rsid w:val="00095192"/>
    <w:rsid w:val="000951EA"/>
    <w:rsid w:val="0009522A"/>
    <w:rsid w:val="00095286"/>
    <w:rsid w:val="0009529B"/>
    <w:rsid w:val="0009529D"/>
    <w:rsid w:val="000952A3"/>
    <w:rsid w:val="00095304"/>
    <w:rsid w:val="0009530B"/>
    <w:rsid w:val="0009531B"/>
    <w:rsid w:val="00095377"/>
    <w:rsid w:val="00095389"/>
    <w:rsid w:val="00095445"/>
    <w:rsid w:val="0009547F"/>
    <w:rsid w:val="000954A9"/>
    <w:rsid w:val="000954B7"/>
    <w:rsid w:val="000954BA"/>
    <w:rsid w:val="000954CA"/>
    <w:rsid w:val="000954EF"/>
    <w:rsid w:val="000954FE"/>
    <w:rsid w:val="00095541"/>
    <w:rsid w:val="00095556"/>
    <w:rsid w:val="0009559D"/>
    <w:rsid w:val="000955FA"/>
    <w:rsid w:val="00095612"/>
    <w:rsid w:val="000956BE"/>
    <w:rsid w:val="00095731"/>
    <w:rsid w:val="0009573E"/>
    <w:rsid w:val="00095748"/>
    <w:rsid w:val="000957E0"/>
    <w:rsid w:val="00095801"/>
    <w:rsid w:val="00095808"/>
    <w:rsid w:val="00095811"/>
    <w:rsid w:val="00095822"/>
    <w:rsid w:val="00095836"/>
    <w:rsid w:val="00095855"/>
    <w:rsid w:val="0009588C"/>
    <w:rsid w:val="0009590A"/>
    <w:rsid w:val="00095957"/>
    <w:rsid w:val="0009598F"/>
    <w:rsid w:val="000959DB"/>
    <w:rsid w:val="000959DD"/>
    <w:rsid w:val="00095A30"/>
    <w:rsid w:val="00095AE3"/>
    <w:rsid w:val="00095BD0"/>
    <w:rsid w:val="00095C38"/>
    <w:rsid w:val="00095C81"/>
    <w:rsid w:val="00095CFD"/>
    <w:rsid w:val="00095D96"/>
    <w:rsid w:val="00095D9E"/>
    <w:rsid w:val="00095DC4"/>
    <w:rsid w:val="00095DC8"/>
    <w:rsid w:val="00095DFC"/>
    <w:rsid w:val="00095E01"/>
    <w:rsid w:val="00095E03"/>
    <w:rsid w:val="00095E3A"/>
    <w:rsid w:val="00095E56"/>
    <w:rsid w:val="00095E66"/>
    <w:rsid w:val="00095E76"/>
    <w:rsid w:val="00095EC6"/>
    <w:rsid w:val="00095F01"/>
    <w:rsid w:val="00095F5C"/>
    <w:rsid w:val="00095F82"/>
    <w:rsid w:val="00096099"/>
    <w:rsid w:val="000960B3"/>
    <w:rsid w:val="000960C1"/>
    <w:rsid w:val="00096175"/>
    <w:rsid w:val="0009617D"/>
    <w:rsid w:val="000961F8"/>
    <w:rsid w:val="00096216"/>
    <w:rsid w:val="00096263"/>
    <w:rsid w:val="00096270"/>
    <w:rsid w:val="00096272"/>
    <w:rsid w:val="00096290"/>
    <w:rsid w:val="000962AA"/>
    <w:rsid w:val="000962BB"/>
    <w:rsid w:val="000962F3"/>
    <w:rsid w:val="0009633F"/>
    <w:rsid w:val="000963CE"/>
    <w:rsid w:val="000963F4"/>
    <w:rsid w:val="00096452"/>
    <w:rsid w:val="00096460"/>
    <w:rsid w:val="00096478"/>
    <w:rsid w:val="000964BF"/>
    <w:rsid w:val="000964FC"/>
    <w:rsid w:val="0009654B"/>
    <w:rsid w:val="000965A8"/>
    <w:rsid w:val="000965E9"/>
    <w:rsid w:val="00096613"/>
    <w:rsid w:val="000966A6"/>
    <w:rsid w:val="000966C0"/>
    <w:rsid w:val="0009672D"/>
    <w:rsid w:val="00096740"/>
    <w:rsid w:val="00096798"/>
    <w:rsid w:val="0009682E"/>
    <w:rsid w:val="00096843"/>
    <w:rsid w:val="0009688E"/>
    <w:rsid w:val="00096893"/>
    <w:rsid w:val="00096894"/>
    <w:rsid w:val="0009689D"/>
    <w:rsid w:val="000968DF"/>
    <w:rsid w:val="00096911"/>
    <w:rsid w:val="000969AE"/>
    <w:rsid w:val="000969BC"/>
    <w:rsid w:val="00096A53"/>
    <w:rsid w:val="00096AC7"/>
    <w:rsid w:val="00096AD5"/>
    <w:rsid w:val="00096B00"/>
    <w:rsid w:val="00096B0B"/>
    <w:rsid w:val="00096B10"/>
    <w:rsid w:val="00096B24"/>
    <w:rsid w:val="00096B81"/>
    <w:rsid w:val="00096B97"/>
    <w:rsid w:val="00096C06"/>
    <w:rsid w:val="00096C5D"/>
    <w:rsid w:val="00096C7E"/>
    <w:rsid w:val="00096CFC"/>
    <w:rsid w:val="00096D1C"/>
    <w:rsid w:val="00096D6B"/>
    <w:rsid w:val="00096D94"/>
    <w:rsid w:val="00096DAD"/>
    <w:rsid w:val="00096DB0"/>
    <w:rsid w:val="00096DC0"/>
    <w:rsid w:val="00096DC3"/>
    <w:rsid w:val="00096DEB"/>
    <w:rsid w:val="00096E13"/>
    <w:rsid w:val="00096E51"/>
    <w:rsid w:val="00096E6D"/>
    <w:rsid w:val="00096EA2"/>
    <w:rsid w:val="00096EB2"/>
    <w:rsid w:val="00096EFB"/>
    <w:rsid w:val="00097029"/>
    <w:rsid w:val="0009704B"/>
    <w:rsid w:val="00097056"/>
    <w:rsid w:val="000970B9"/>
    <w:rsid w:val="00097192"/>
    <w:rsid w:val="000971A4"/>
    <w:rsid w:val="00097202"/>
    <w:rsid w:val="00097216"/>
    <w:rsid w:val="00097231"/>
    <w:rsid w:val="00097235"/>
    <w:rsid w:val="0009725E"/>
    <w:rsid w:val="000972D9"/>
    <w:rsid w:val="00097315"/>
    <w:rsid w:val="00097393"/>
    <w:rsid w:val="00097416"/>
    <w:rsid w:val="0009746C"/>
    <w:rsid w:val="00097471"/>
    <w:rsid w:val="000974A1"/>
    <w:rsid w:val="000974C4"/>
    <w:rsid w:val="00097534"/>
    <w:rsid w:val="0009755E"/>
    <w:rsid w:val="00097598"/>
    <w:rsid w:val="0009759D"/>
    <w:rsid w:val="000975A1"/>
    <w:rsid w:val="000975A3"/>
    <w:rsid w:val="00097666"/>
    <w:rsid w:val="000976AE"/>
    <w:rsid w:val="00097720"/>
    <w:rsid w:val="0009774C"/>
    <w:rsid w:val="0009779E"/>
    <w:rsid w:val="000977A4"/>
    <w:rsid w:val="000977E6"/>
    <w:rsid w:val="00097878"/>
    <w:rsid w:val="0009787B"/>
    <w:rsid w:val="00097892"/>
    <w:rsid w:val="000978F1"/>
    <w:rsid w:val="00097922"/>
    <w:rsid w:val="00097949"/>
    <w:rsid w:val="00097987"/>
    <w:rsid w:val="000979BA"/>
    <w:rsid w:val="000979E0"/>
    <w:rsid w:val="00097A2B"/>
    <w:rsid w:val="00097BD3"/>
    <w:rsid w:val="00097BD7"/>
    <w:rsid w:val="00097C0D"/>
    <w:rsid w:val="00097C46"/>
    <w:rsid w:val="00097C5A"/>
    <w:rsid w:val="00097C98"/>
    <w:rsid w:val="00097CE5"/>
    <w:rsid w:val="00097CE6"/>
    <w:rsid w:val="00097D25"/>
    <w:rsid w:val="00097D26"/>
    <w:rsid w:val="00097D74"/>
    <w:rsid w:val="00097DCA"/>
    <w:rsid w:val="00097ED1"/>
    <w:rsid w:val="00097EF8"/>
    <w:rsid w:val="00097F39"/>
    <w:rsid w:val="00097F4D"/>
    <w:rsid w:val="00097F55"/>
    <w:rsid w:val="00097F7C"/>
    <w:rsid w:val="00097FBD"/>
    <w:rsid w:val="000A0000"/>
    <w:rsid w:val="000A0021"/>
    <w:rsid w:val="000A0040"/>
    <w:rsid w:val="000A00DF"/>
    <w:rsid w:val="000A0101"/>
    <w:rsid w:val="000A0128"/>
    <w:rsid w:val="000A0129"/>
    <w:rsid w:val="000A0152"/>
    <w:rsid w:val="000A018B"/>
    <w:rsid w:val="000A019F"/>
    <w:rsid w:val="000A01A3"/>
    <w:rsid w:val="000A0215"/>
    <w:rsid w:val="000A026A"/>
    <w:rsid w:val="000A029D"/>
    <w:rsid w:val="000A0382"/>
    <w:rsid w:val="000A0385"/>
    <w:rsid w:val="000A0387"/>
    <w:rsid w:val="000A0398"/>
    <w:rsid w:val="000A03BD"/>
    <w:rsid w:val="000A03D7"/>
    <w:rsid w:val="000A03F9"/>
    <w:rsid w:val="000A0438"/>
    <w:rsid w:val="000A045D"/>
    <w:rsid w:val="000A045F"/>
    <w:rsid w:val="000A0474"/>
    <w:rsid w:val="000A0478"/>
    <w:rsid w:val="000A04FC"/>
    <w:rsid w:val="000A0583"/>
    <w:rsid w:val="000A061B"/>
    <w:rsid w:val="000A062F"/>
    <w:rsid w:val="000A06AC"/>
    <w:rsid w:val="000A06BF"/>
    <w:rsid w:val="000A06D4"/>
    <w:rsid w:val="000A06D9"/>
    <w:rsid w:val="000A074F"/>
    <w:rsid w:val="000A0762"/>
    <w:rsid w:val="000A07B9"/>
    <w:rsid w:val="000A0807"/>
    <w:rsid w:val="000A0815"/>
    <w:rsid w:val="000A0882"/>
    <w:rsid w:val="000A088E"/>
    <w:rsid w:val="000A0897"/>
    <w:rsid w:val="000A08A2"/>
    <w:rsid w:val="000A08A4"/>
    <w:rsid w:val="000A094F"/>
    <w:rsid w:val="000A098B"/>
    <w:rsid w:val="000A0A3B"/>
    <w:rsid w:val="000A0A46"/>
    <w:rsid w:val="000A0A4B"/>
    <w:rsid w:val="000A0AB2"/>
    <w:rsid w:val="000A0ACE"/>
    <w:rsid w:val="000A0AF7"/>
    <w:rsid w:val="000A0B91"/>
    <w:rsid w:val="000A0BBF"/>
    <w:rsid w:val="000A0BDE"/>
    <w:rsid w:val="000A0BEB"/>
    <w:rsid w:val="000A0C03"/>
    <w:rsid w:val="000A0C86"/>
    <w:rsid w:val="000A0CDA"/>
    <w:rsid w:val="000A0CEA"/>
    <w:rsid w:val="000A0D13"/>
    <w:rsid w:val="000A0D47"/>
    <w:rsid w:val="000A0DEC"/>
    <w:rsid w:val="000A0DF5"/>
    <w:rsid w:val="000A0E0F"/>
    <w:rsid w:val="000A0E19"/>
    <w:rsid w:val="000A0EB4"/>
    <w:rsid w:val="000A0EC7"/>
    <w:rsid w:val="000A0F11"/>
    <w:rsid w:val="000A0F89"/>
    <w:rsid w:val="000A0FBA"/>
    <w:rsid w:val="000A0FCE"/>
    <w:rsid w:val="000A0FDB"/>
    <w:rsid w:val="000A0FEE"/>
    <w:rsid w:val="000A1024"/>
    <w:rsid w:val="000A1069"/>
    <w:rsid w:val="000A1096"/>
    <w:rsid w:val="000A10C4"/>
    <w:rsid w:val="000A10D5"/>
    <w:rsid w:val="000A112D"/>
    <w:rsid w:val="000A115C"/>
    <w:rsid w:val="000A1187"/>
    <w:rsid w:val="000A11AA"/>
    <w:rsid w:val="000A11B8"/>
    <w:rsid w:val="000A11D8"/>
    <w:rsid w:val="000A127A"/>
    <w:rsid w:val="000A1297"/>
    <w:rsid w:val="000A12D6"/>
    <w:rsid w:val="000A12E0"/>
    <w:rsid w:val="000A132D"/>
    <w:rsid w:val="000A137B"/>
    <w:rsid w:val="000A1398"/>
    <w:rsid w:val="000A13A9"/>
    <w:rsid w:val="000A13DF"/>
    <w:rsid w:val="000A1465"/>
    <w:rsid w:val="000A1469"/>
    <w:rsid w:val="000A14B3"/>
    <w:rsid w:val="000A14B6"/>
    <w:rsid w:val="000A1540"/>
    <w:rsid w:val="000A1548"/>
    <w:rsid w:val="000A156E"/>
    <w:rsid w:val="000A1596"/>
    <w:rsid w:val="000A15C0"/>
    <w:rsid w:val="000A15E7"/>
    <w:rsid w:val="000A1609"/>
    <w:rsid w:val="000A1630"/>
    <w:rsid w:val="000A164A"/>
    <w:rsid w:val="000A16F1"/>
    <w:rsid w:val="000A175B"/>
    <w:rsid w:val="000A1795"/>
    <w:rsid w:val="000A17A7"/>
    <w:rsid w:val="000A17B0"/>
    <w:rsid w:val="000A1841"/>
    <w:rsid w:val="000A185B"/>
    <w:rsid w:val="000A1882"/>
    <w:rsid w:val="000A18C5"/>
    <w:rsid w:val="000A18F9"/>
    <w:rsid w:val="000A1902"/>
    <w:rsid w:val="000A1940"/>
    <w:rsid w:val="000A1947"/>
    <w:rsid w:val="000A1966"/>
    <w:rsid w:val="000A19A1"/>
    <w:rsid w:val="000A19A8"/>
    <w:rsid w:val="000A19AF"/>
    <w:rsid w:val="000A19CB"/>
    <w:rsid w:val="000A1A0E"/>
    <w:rsid w:val="000A1A8A"/>
    <w:rsid w:val="000A1ABA"/>
    <w:rsid w:val="000A1ABF"/>
    <w:rsid w:val="000A1AC2"/>
    <w:rsid w:val="000A1AD3"/>
    <w:rsid w:val="000A1B47"/>
    <w:rsid w:val="000A1B55"/>
    <w:rsid w:val="000A1BAA"/>
    <w:rsid w:val="000A1C46"/>
    <w:rsid w:val="000A1CBE"/>
    <w:rsid w:val="000A1CC5"/>
    <w:rsid w:val="000A1D01"/>
    <w:rsid w:val="000A1D55"/>
    <w:rsid w:val="000A1D7B"/>
    <w:rsid w:val="000A1D81"/>
    <w:rsid w:val="000A1D8F"/>
    <w:rsid w:val="000A1E56"/>
    <w:rsid w:val="000A1F33"/>
    <w:rsid w:val="000A1F85"/>
    <w:rsid w:val="000A1F88"/>
    <w:rsid w:val="000A1F92"/>
    <w:rsid w:val="000A1FAC"/>
    <w:rsid w:val="000A200C"/>
    <w:rsid w:val="000A204F"/>
    <w:rsid w:val="000A2092"/>
    <w:rsid w:val="000A20CF"/>
    <w:rsid w:val="000A20F7"/>
    <w:rsid w:val="000A2135"/>
    <w:rsid w:val="000A214D"/>
    <w:rsid w:val="000A2164"/>
    <w:rsid w:val="000A21C2"/>
    <w:rsid w:val="000A21E0"/>
    <w:rsid w:val="000A2236"/>
    <w:rsid w:val="000A2263"/>
    <w:rsid w:val="000A227F"/>
    <w:rsid w:val="000A22D8"/>
    <w:rsid w:val="000A22E6"/>
    <w:rsid w:val="000A2328"/>
    <w:rsid w:val="000A238C"/>
    <w:rsid w:val="000A249B"/>
    <w:rsid w:val="000A2518"/>
    <w:rsid w:val="000A2565"/>
    <w:rsid w:val="000A25F9"/>
    <w:rsid w:val="000A25FC"/>
    <w:rsid w:val="000A25FD"/>
    <w:rsid w:val="000A2634"/>
    <w:rsid w:val="000A26CE"/>
    <w:rsid w:val="000A26DC"/>
    <w:rsid w:val="000A2705"/>
    <w:rsid w:val="000A274C"/>
    <w:rsid w:val="000A27D1"/>
    <w:rsid w:val="000A27D6"/>
    <w:rsid w:val="000A2817"/>
    <w:rsid w:val="000A2844"/>
    <w:rsid w:val="000A2853"/>
    <w:rsid w:val="000A28A2"/>
    <w:rsid w:val="000A2922"/>
    <w:rsid w:val="000A296B"/>
    <w:rsid w:val="000A29FA"/>
    <w:rsid w:val="000A2A76"/>
    <w:rsid w:val="000A2A7A"/>
    <w:rsid w:val="000A2ACC"/>
    <w:rsid w:val="000A2ACF"/>
    <w:rsid w:val="000A2B6A"/>
    <w:rsid w:val="000A2B85"/>
    <w:rsid w:val="000A2BA9"/>
    <w:rsid w:val="000A2BAA"/>
    <w:rsid w:val="000A2BC1"/>
    <w:rsid w:val="000A2BD2"/>
    <w:rsid w:val="000A2BE3"/>
    <w:rsid w:val="000A2BFC"/>
    <w:rsid w:val="000A2C7F"/>
    <w:rsid w:val="000A2CB8"/>
    <w:rsid w:val="000A2CBD"/>
    <w:rsid w:val="000A2CE7"/>
    <w:rsid w:val="000A2D99"/>
    <w:rsid w:val="000A2DA3"/>
    <w:rsid w:val="000A2DB1"/>
    <w:rsid w:val="000A2DF6"/>
    <w:rsid w:val="000A2E2D"/>
    <w:rsid w:val="000A2E6C"/>
    <w:rsid w:val="000A2EE1"/>
    <w:rsid w:val="000A2EF2"/>
    <w:rsid w:val="000A2F39"/>
    <w:rsid w:val="000A2F4A"/>
    <w:rsid w:val="000A2F7D"/>
    <w:rsid w:val="000A2FB7"/>
    <w:rsid w:val="000A2FBB"/>
    <w:rsid w:val="000A3069"/>
    <w:rsid w:val="000A309F"/>
    <w:rsid w:val="000A30C3"/>
    <w:rsid w:val="000A3108"/>
    <w:rsid w:val="000A3119"/>
    <w:rsid w:val="000A3122"/>
    <w:rsid w:val="000A3137"/>
    <w:rsid w:val="000A31A8"/>
    <w:rsid w:val="000A31CA"/>
    <w:rsid w:val="000A31E5"/>
    <w:rsid w:val="000A31EA"/>
    <w:rsid w:val="000A31F1"/>
    <w:rsid w:val="000A320E"/>
    <w:rsid w:val="000A322B"/>
    <w:rsid w:val="000A323A"/>
    <w:rsid w:val="000A3249"/>
    <w:rsid w:val="000A3253"/>
    <w:rsid w:val="000A32A5"/>
    <w:rsid w:val="000A332E"/>
    <w:rsid w:val="000A3380"/>
    <w:rsid w:val="000A33F6"/>
    <w:rsid w:val="000A345B"/>
    <w:rsid w:val="000A346E"/>
    <w:rsid w:val="000A3499"/>
    <w:rsid w:val="000A34D7"/>
    <w:rsid w:val="000A34DD"/>
    <w:rsid w:val="000A34E6"/>
    <w:rsid w:val="000A3523"/>
    <w:rsid w:val="000A358D"/>
    <w:rsid w:val="000A3596"/>
    <w:rsid w:val="000A35FC"/>
    <w:rsid w:val="000A3629"/>
    <w:rsid w:val="000A3631"/>
    <w:rsid w:val="000A366B"/>
    <w:rsid w:val="000A36E4"/>
    <w:rsid w:val="000A3752"/>
    <w:rsid w:val="000A3763"/>
    <w:rsid w:val="000A3765"/>
    <w:rsid w:val="000A376B"/>
    <w:rsid w:val="000A3783"/>
    <w:rsid w:val="000A37B5"/>
    <w:rsid w:val="000A37F0"/>
    <w:rsid w:val="000A3803"/>
    <w:rsid w:val="000A381B"/>
    <w:rsid w:val="000A3895"/>
    <w:rsid w:val="000A38CB"/>
    <w:rsid w:val="000A3937"/>
    <w:rsid w:val="000A3957"/>
    <w:rsid w:val="000A396F"/>
    <w:rsid w:val="000A399B"/>
    <w:rsid w:val="000A39A2"/>
    <w:rsid w:val="000A39A6"/>
    <w:rsid w:val="000A3A02"/>
    <w:rsid w:val="000A3AE7"/>
    <w:rsid w:val="000A3AF9"/>
    <w:rsid w:val="000A3BD4"/>
    <w:rsid w:val="000A3BD5"/>
    <w:rsid w:val="000A3C45"/>
    <w:rsid w:val="000A3CCE"/>
    <w:rsid w:val="000A3CE1"/>
    <w:rsid w:val="000A3CF2"/>
    <w:rsid w:val="000A3CF8"/>
    <w:rsid w:val="000A3D52"/>
    <w:rsid w:val="000A3D5F"/>
    <w:rsid w:val="000A3E2A"/>
    <w:rsid w:val="000A3EA9"/>
    <w:rsid w:val="000A3EE4"/>
    <w:rsid w:val="000A3EEA"/>
    <w:rsid w:val="000A3FB5"/>
    <w:rsid w:val="000A402E"/>
    <w:rsid w:val="000A404F"/>
    <w:rsid w:val="000A4074"/>
    <w:rsid w:val="000A40AB"/>
    <w:rsid w:val="000A40CF"/>
    <w:rsid w:val="000A40D5"/>
    <w:rsid w:val="000A40D9"/>
    <w:rsid w:val="000A4103"/>
    <w:rsid w:val="000A4113"/>
    <w:rsid w:val="000A4125"/>
    <w:rsid w:val="000A4161"/>
    <w:rsid w:val="000A4188"/>
    <w:rsid w:val="000A418F"/>
    <w:rsid w:val="000A41E3"/>
    <w:rsid w:val="000A4225"/>
    <w:rsid w:val="000A4247"/>
    <w:rsid w:val="000A4286"/>
    <w:rsid w:val="000A42CF"/>
    <w:rsid w:val="000A42ED"/>
    <w:rsid w:val="000A4304"/>
    <w:rsid w:val="000A430F"/>
    <w:rsid w:val="000A4311"/>
    <w:rsid w:val="000A4323"/>
    <w:rsid w:val="000A432C"/>
    <w:rsid w:val="000A4337"/>
    <w:rsid w:val="000A433A"/>
    <w:rsid w:val="000A4343"/>
    <w:rsid w:val="000A437D"/>
    <w:rsid w:val="000A43BA"/>
    <w:rsid w:val="000A43BE"/>
    <w:rsid w:val="000A43CB"/>
    <w:rsid w:val="000A4453"/>
    <w:rsid w:val="000A446C"/>
    <w:rsid w:val="000A449B"/>
    <w:rsid w:val="000A44A0"/>
    <w:rsid w:val="000A44C2"/>
    <w:rsid w:val="000A44E5"/>
    <w:rsid w:val="000A44F2"/>
    <w:rsid w:val="000A4505"/>
    <w:rsid w:val="000A4525"/>
    <w:rsid w:val="000A452F"/>
    <w:rsid w:val="000A4539"/>
    <w:rsid w:val="000A454B"/>
    <w:rsid w:val="000A4570"/>
    <w:rsid w:val="000A457B"/>
    <w:rsid w:val="000A4583"/>
    <w:rsid w:val="000A45DA"/>
    <w:rsid w:val="000A4606"/>
    <w:rsid w:val="000A4612"/>
    <w:rsid w:val="000A462A"/>
    <w:rsid w:val="000A4668"/>
    <w:rsid w:val="000A466D"/>
    <w:rsid w:val="000A46C0"/>
    <w:rsid w:val="000A46F5"/>
    <w:rsid w:val="000A46F8"/>
    <w:rsid w:val="000A4799"/>
    <w:rsid w:val="000A47A2"/>
    <w:rsid w:val="000A47EC"/>
    <w:rsid w:val="000A480C"/>
    <w:rsid w:val="000A489D"/>
    <w:rsid w:val="000A48AA"/>
    <w:rsid w:val="000A48B7"/>
    <w:rsid w:val="000A491B"/>
    <w:rsid w:val="000A493C"/>
    <w:rsid w:val="000A49A4"/>
    <w:rsid w:val="000A49C9"/>
    <w:rsid w:val="000A49FE"/>
    <w:rsid w:val="000A4A34"/>
    <w:rsid w:val="000A4A5B"/>
    <w:rsid w:val="000A4B46"/>
    <w:rsid w:val="000A4B65"/>
    <w:rsid w:val="000A4BDA"/>
    <w:rsid w:val="000A4BF0"/>
    <w:rsid w:val="000A4C25"/>
    <w:rsid w:val="000A4C41"/>
    <w:rsid w:val="000A4C54"/>
    <w:rsid w:val="000A4C6B"/>
    <w:rsid w:val="000A4C7D"/>
    <w:rsid w:val="000A4C84"/>
    <w:rsid w:val="000A4CA9"/>
    <w:rsid w:val="000A4CE4"/>
    <w:rsid w:val="000A4D1D"/>
    <w:rsid w:val="000A4D96"/>
    <w:rsid w:val="000A4D97"/>
    <w:rsid w:val="000A4DA1"/>
    <w:rsid w:val="000A4DCC"/>
    <w:rsid w:val="000A4DFF"/>
    <w:rsid w:val="000A4E07"/>
    <w:rsid w:val="000A4E15"/>
    <w:rsid w:val="000A4E37"/>
    <w:rsid w:val="000A4E5F"/>
    <w:rsid w:val="000A4EBC"/>
    <w:rsid w:val="000A4EE4"/>
    <w:rsid w:val="000A4F5F"/>
    <w:rsid w:val="000A4FA3"/>
    <w:rsid w:val="000A4FA5"/>
    <w:rsid w:val="000A4FC7"/>
    <w:rsid w:val="000A5027"/>
    <w:rsid w:val="000A505F"/>
    <w:rsid w:val="000A5062"/>
    <w:rsid w:val="000A509B"/>
    <w:rsid w:val="000A50A0"/>
    <w:rsid w:val="000A5117"/>
    <w:rsid w:val="000A5167"/>
    <w:rsid w:val="000A51B1"/>
    <w:rsid w:val="000A51B9"/>
    <w:rsid w:val="000A51F1"/>
    <w:rsid w:val="000A5233"/>
    <w:rsid w:val="000A5257"/>
    <w:rsid w:val="000A5267"/>
    <w:rsid w:val="000A5295"/>
    <w:rsid w:val="000A52AE"/>
    <w:rsid w:val="000A5325"/>
    <w:rsid w:val="000A5406"/>
    <w:rsid w:val="000A541E"/>
    <w:rsid w:val="000A547B"/>
    <w:rsid w:val="000A54B2"/>
    <w:rsid w:val="000A54C9"/>
    <w:rsid w:val="000A54E5"/>
    <w:rsid w:val="000A54EB"/>
    <w:rsid w:val="000A556C"/>
    <w:rsid w:val="000A55A3"/>
    <w:rsid w:val="000A55F7"/>
    <w:rsid w:val="000A5612"/>
    <w:rsid w:val="000A561C"/>
    <w:rsid w:val="000A561F"/>
    <w:rsid w:val="000A5624"/>
    <w:rsid w:val="000A564B"/>
    <w:rsid w:val="000A564E"/>
    <w:rsid w:val="000A5691"/>
    <w:rsid w:val="000A56A0"/>
    <w:rsid w:val="000A56C7"/>
    <w:rsid w:val="000A570F"/>
    <w:rsid w:val="000A578D"/>
    <w:rsid w:val="000A5796"/>
    <w:rsid w:val="000A57E5"/>
    <w:rsid w:val="000A580C"/>
    <w:rsid w:val="000A5816"/>
    <w:rsid w:val="000A5832"/>
    <w:rsid w:val="000A5840"/>
    <w:rsid w:val="000A58F5"/>
    <w:rsid w:val="000A5912"/>
    <w:rsid w:val="000A5913"/>
    <w:rsid w:val="000A5922"/>
    <w:rsid w:val="000A5923"/>
    <w:rsid w:val="000A5931"/>
    <w:rsid w:val="000A5987"/>
    <w:rsid w:val="000A5A05"/>
    <w:rsid w:val="000A5A0B"/>
    <w:rsid w:val="000A5A18"/>
    <w:rsid w:val="000A5A6D"/>
    <w:rsid w:val="000A5AA9"/>
    <w:rsid w:val="000A5AAE"/>
    <w:rsid w:val="000A5AB8"/>
    <w:rsid w:val="000A5ABB"/>
    <w:rsid w:val="000A5ADB"/>
    <w:rsid w:val="000A5B51"/>
    <w:rsid w:val="000A5B6F"/>
    <w:rsid w:val="000A5B7F"/>
    <w:rsid w:val="000A5BF2"/>
    <w:rsid w:val="000A5C74"/>
    <w:rsid w:val="000A5CA8"/>
    <w:rsid w:val="000A5CAC"/>
    <w:rsid w:val="000A5CC6"/>
    <w:rsid w:val="000A5CF2"/>
    <w:rsid w:val="000A5D02"/>
    <w:rsid w:val="000A5D19"/>
    <w:rsid w:val="000A5DAF"/>
    <w:rsid w:val="000A5E69"/>
    <w:rsid w:val="000A5E7F"/>
    <w:rsid w:val="000A5E80"/>
    <w:rsid w:val="000A5EBA"/>
    <w:rsid w:val="000A5EBC"/>
    <w:rsid w:val="000A5F68"/>
    <w:rsid w:val="000A5F83"/>
    <w:rsid w:val="000A5FF2"/>
    <w:rsid w:val="000A608B"/>
    <w:rsid w:val="000A60C0"/>
    <w:rsid w:val="000A60C8"/>
    <w:rsid w:val="000A60E4"/>
    <w:rsid w:val="000A6114"/>
    <w:rsid w:val="000A6137"/>
    <w:rsid w:val="000A6157"/>
    <w:rsid w:val="000A61B5"/>
    <w:rsid w:val="000A61C0"/>
    <w:rsid w:val="000A6231"/>
    <w:rsid w:val="000A6242"/>
    <w:rsid w:val="000A6264"/>
    <w:rsid w:val="000A627A"/>
    <w:rsid w:val="000A634F"/>
    <w:rsid w:val="000A639E"/>
    <w:rsid w:val="000A640B"/>
    <w:rsid w:val="000A640F"/>
    <w:rsid w:val="000A6410"/>
    <w:rsid w:val="000A64A1"/>
    <w:rsid w:val="000A64DF"/>
    <w:rsid w:val="000A64E6"/>
    <w:rsid w:val="000A6566"/>
    <w:rsid w:val="000A65AF"/>
    <w:rsid w:val="000A65C1"/>
    <w:rsid w:val="000A65E2"/>
    <w:rsid w:val="000A661D"/>
    <w:rsid w:val="000A665D"/>
    <w:rsid w:val="000A669E"/>
    <w:rsid w:val="000A66EF"/>
    <w:rsid w:val="000A6717"/>
    <w:rsid w:val="000A673E"/>
    <w:rsid w:val="000A674A"/>
    <w:rsid w:val="000A6795"/>
    <w:rsid w:val="000A67A9"/>
    <w:rsid w:val="000A67CF"/>
    <w:rsid w:val="000A6834"/>
    <w:rsid w:val="000A6850"/>
    <w:rsid w:val="000A6854"/>
    <w:rsid w:val="000A6892"/>
    <w:rsid w:val="000A68E7"/>
    <w:rsid w:val="000A69E7"/>
    <w:rsid w:val="000A69FD"/>
    <w:rsid w:val="000A6A08"/>
    <w:rsid w:val="000A6A77"/>
    <w:rsid w:val="000A6AE8"/>
    <w:rsid w:val="000A6AF1"/>
    <w:rsid w:val="000A6B14"/>
    <w:rsid w:val="000A6B2C"/>
    <w:rsid w:val="000A6BAA"/>
    <w:rsid w:val="000A6BC1"/>
    <w:rsid w:val="000A6C4E"/>
    <w:rsid w:val="000A6C80"/>
    <w:rsid w:val="000A6C84"/>
    <w:rsid w:val="000A6CB8"/>
    <w:rsid w:val="000A6D04"/>
    <w:rsid w:val="000A6D1E"/>
    <w:rsid w:val="000A6D33"/>
    <w:rsid w:val="000A6D67"/>
    <w:rsid w:val="000A6D71"/>
    <w:rsid w:val="000A6DAF"/>
    <w:rsid w:val="000A6DB5"/>
    <w:rsid w:val="000A6DC9"/>
    <w:rsid w:val="000A6E24"/>
    <w:rsid w:val="000A6E95"/>
    <w:rsid w:val="000A6ECF"/>
    <w:rsid w:val="000A6F4D"/>
    <w:rsid w:val="000A6F83"/>
    <w:rsid w:val="000A6F97"/>
    <w:rsid w:val="000A6FCB"/>
    <w:rsid w:val="000A6FE7"/>
    <w:rsid w:val="000A6FF1"/>
    <w:rsid w:val="000A702E"/>
    <w:rsid w:val="000A7055"/>
    <w:rsid w:val="000A7062"/>
    <w:rsid w:val="000A709E"/>
    <w:rsid w:val="000A70D9"/>
    <w:rsid w:val="000A711F"/>
    <w:rsid w:val="000A715E"/>
    <w:rsid w:val="000A717E"/>
    <w:rsid w:val="000A723B"/>
    <w:rsid w:val="000A7250"/>
    <w:rsid w:val="000A727C"/>
    <w:rsid w:val="000A72A4"/>
    <w:rsid w:val="000A72E7"/>
    <w:rsid w:val="000A731D"/>
    <w:rsid w:val="000A7343"/>
    <w:rsid w:val="000A7345"/>
    <w:rsid w:val="000A737A"/>
    <w:rsid w:val="000A738E"/>
    <w:rsid w:val="000A7390"/>
    <w:rsid w:val="000A73D1"/>
    <w:rsid w:val="000A73F9"/>
    <w:rsid w:val="000A73FA"/>
    <w:rsid w:val="000A73FC"/>
    <w:rsid w:val="000A74F3"/>
    <w:rsid w:val="000A757C"/>
    <w:rsid w:val="000A758C"/>
    <w:rsid w:val="000A75CF"/>
    <w:rsid w:val="000A75E4"/>
    <w:rsid w:val="000A7703"/>
    <w:rsid w:val="000A773A"/>
    <w:rsid w:val="000A7763"/>
    <w:rsid w:val="000A7765"/>
    <w:rsid w:val="000A776E"/>
    <w:rsid w:val="000A77AA"/>
    <w:rsid w:val="000A77CF"/>
    <w:rsid w:val="000A789A"/>
    <w:rsid w:val="000A78E4"/>
    <w:rsid w:val="000A78E7"/>
    <w:rsid w:val="000A7902"/>
    <w:rsid w:val="000A794E"/>
    <w:rsid w:val="000A7960"/>
    <w:rsid w:val="000A79B6"/>
    <w:rsid w:val="000A79D0"/>
    <w:rsid w:val="000A7A6D"/>
    <w:rsid w:val="000A7AB7"/>
    <w:rsid w:val="000A7AEC"/>
    <w:rsid w:val="000A7B07"/>
    <w:rsid w:val="000A7B26"/>
    <w:rsid w:val="000A7B4E"/>
    <w:rsid w:val="000A7B5E"/>
    <w:rsid w:val="000A7B90"/>
    <w:rsid w:val="000A7B9A"/>
    <w:rsid w:val="000A7BE3"/>
    <w:rsid w:val="000A7C01"/>
    <w:rsid w:val="000A7C28"/>
    <w:rsid w:val="000A7C98"/>
    <w:rsid w:val="000A7CB3"/>
    <w:rsid w:val="000A7CD7"/>
    <w:rsid w:val="000A7D1F"/>
    <w:rsid w:val="000A7D28"/>
    <w:rsid w:val="000A7D30"/>
    <w:rsid w:val="000A7D98"/>
    <w:rsid w:val="000A7DB2"/>
    <w:rsid w:val="000A7DD6"/>
    <w:rsid w:val="000A7E1A"/>
    <w:rsid w:val="000A7EC5"/>
    <w:rsid w:val="000A7EC7"/>
    <w:rsid w:val="000A7EEA"/>
    <w:rsid w:val="000A7F03"/>
    <w:rsid w:val="000A7FB0"/>
    <w:rsid w:val="000A7FBA"/>
    <w:rsid w:val="000A7FC0"/>
    <w:rsid w:val="000A7FDA"/>
    <w:rsid w:val="000B004D"/>
    <w:rsid w:val="000B0061"/>
    <w:rsid w:val="000B00B8"/>
    <w:rsid w:val="000B00FD"/>
    <w:rsid w:val="000B0135"/>
    <w:rsid w:val="000B014D"/>
    <w:rsid w:val="000B016B"/>
    <w:rsid w:val="000B0175"/>
    <w:rsid w:val="000B0184"/>
    <w:rsid w:val="000B018F"/>
    <w:rsid w:val="000B01CC"/>
    <w:rsid w:val="000B01EB"/>
    <w:rsid w:val="000B01F4"/>
    <w:rsid w:val="000B020D"/>
    <w:rsid w:val="000B0268"/>
    <w:rsid w:val="000B02BD"/>
    <w:rsid w:val="000B02D0"/>
    <w:rsid w:val="000B03C0"/>
    <w:rsid w:val="000B03F9"/>
    <w:rsid w:val="000B041A"/>
    <w:rsid w:val="000B0420"/>
    <w:rsid w:val="000B0482"/>
    <w:rsid w:val="000B0490"/>
    <w:rsid w:val="000B0491"/>
    <w:rsid w:val="000B04B5"/>
    <w:rsid w:val="000B04D8"/>
    <w:rsid w:val="000B0508"/>
    <w:rsid w:val="000B0523"/>
    <w:rsid w:val="000B0545"/>
    <w:rsid w:val="000B0549"/>
    <w:rsid w:val="000B0560"/>
    <w:rsid w:val="000B0564"/>
    <w:rsid w:val="000B0582"/>
    <w:rsid w:val="000B05BA"/>
    <w:rsid w:val="000B05C6"/>
    <w:rsid w:val="000B05FE"/>
    <w:rsid w:val="000B06BD"/>
    <w:rsid w:val="000B075C"/>
    <w:rsid w:val="000B076C"/>
    <w:rsid w:val="000B0806"/>
    <w:rsid w:val="000B080D"/>
    <w:rsid w:val="000B0814"/>
    <w:rsid w:val="000B0825"/>
    <w:rsid w:val="000B083D"/>
    <w:rsid w:val="000B0864"/>
    <w:rsid w:val="000B08CA"/>
    <w:rsid w:val="000B08F1"/>
    <w:rsid w:val="000B0908"/>
    <w:rsid w:val="000B0910"/>
    <w:rsid w:val="000B0956"/>
    <w:rsid w:val="000B097E"/>
    <w:rsid w:val="000B09B4"/>
    <w:rsid w:val="000B09D0"/>
    <w:rsid w:val="000B0A22"/>
    <w:rsid w:val="000B0A45"/>
    <w:rsid w:val="000B0A5C"/>
    <w:rsid w:val="000B0A68"/>
    <w:rsid w:val="000B0ADA"/>
    <w:rsid w:val="000B0AE5"/>
    <w:rsid w:val="000B0B05"/>
    <w:rsid w:val="000B0B19"/>
    <w:rsid w:val="000B0B5B"/>
    <w:rsid w:val="000B0BD2"/>
    <w:rsid w:val="000B0BDE"/>
    <w:rsid w:val="000B0BE6"/>
    <w:rsid w:val="000B0C45"/>
    <w:rsid w:val="000B0D03"/>
    <w:rsid w:val="000B0D13"/>
    <w:rsid w:val="000B0D17"/>
    <w:rsid w:val="000B0D57"/>
    <w:rsid w:val="000B0D59"/>
    <w:rsid w:val="000B0D6D"/>
    <w:rsid w:val="000B0D99"/>
    <w:rsid w:val="000B0DA1"/>
    <w:rsid w:val="000B0E13"/>
    <w:rsid w:val="000B0E30"/>
    <w:rsid w:val="000B0E40"/>
    <w:rsid w:val="000B0EB4"/>
    <w:rsid w:val="000B0ECB"/>
    <w:rsid w:val="000B0F02"/>
    <w:rsid w:val="000B0F0C"/>
    <w:rsid w:val="000B0F14"/>
    <w:rsid w:val="000B0F34"/>
    <w:rsid w:val="000B0F63"/>
    <w:rsid w:val="000B1006"/>
    <w:rsid w:val="000B1065"/>
    <w:rsid w:val="000B111A"/>
    <w:rsid w:val="000B1169"/>
    <w:rsid w:val="000B1241"/>
    <w:rsid w:val="000B12E3"/>
    <w:rsid w:val="000B1305"/>
    <w:rsid w:val="000B1329"/>
    <w:rsid w:val="000B1336"/>
    <w:rsid w:val="000B13CB"/>
    <w:rsid w:val="000B13D0"/>
    <w:rsid w:val="000B140E"/>
    <w:rsid w:val="000B1439"/>
    <w:rsid w:val="000B147F"/>
    <w:rsid w:val="000B148C"/>
    <w:rsid w:val="000B14D2"/>
    <w:rsid w:val="000B14F5"/>
    <w:rsid w:val="000B1510"/>
    <w:rsid w:val="000B1539"/>
    <w:rsid w:val="000B15ED"/>
    <w:rsid w:val="000B1617"/>
    <w:rsid w:val="000B16E7"/>
    <w:rsid w:val="000B1704"/>
    <w:rsid w:val="000B1725"/>
    <w:rsid w:val="000B172C"/>
    <w:rsid w:val="000B174F"/>
    <w:rsid w:val="000B175A"/>
    <w:rsid w:val="000B1774"/>
    <w:rsid w:val="000B17D2"/>
    <w:rsid w:val="000B1803"/>
    <w:rsid w:val="000B1856"/>
    <w:rsid w:val="000B1865"/>
    <w:rsid w:val="000B188B"/>
    <w:rsid w:val="000B18A5"/>
    <w:rsid w:val="000B18B6"/>
    <w:rsid w:val="000B18CF"/>
    <w:rsid w:val="000B18F4"/>
    <w:rsid w:val="000B1901"/>
    <w:rsid w:val="000B1974"/>
    <w:rsid w:val="000B19B5"/>
    <w:rsid w:val="000B19B7"/>
    <w:rsid w:val="000B19DE"/>
    <w:rsid w:val="000B19E8"/>
    <w:rsid w:val="000B19F8"/>
    <w:rsid w:val="000B1A46"/>
    <w:rsid w:val="000B1A5C"/>
    <w:rsid w:val="000B1A69"/>
    <w:rsid w:val="000B1AC4"/>
    <w:rsid w:val="000B1B3F"/>
    <w:rsid w:val="000B1C47"/>
    <w:rsid w:val="000B1CB1"/>
    <w:rsid w:val="000B1CBD"/>
    <w:rsid w:val="000B1D5C"/>
    <w:rsid w:val="000B1D71"/>
    <w:rsid w:val="000B1D79"/>
    <w:rsid w:val="000B1D86"/>
    <w:rsid w:val="000B1DF3"/>
    <w:rsid w:val="000B1DFD"/>
    <w:rsid w:val="000B1E02"/>
    <w:rsid w:val="000B1E42"/>
    <w:rsid w:val="000B1E54"/>
    <w:rsid w:val="000B1F58"/>
    <w:rsid w:val="000B1F5C"/>
    <w:rsid w:val="000B1F6F"/>
    <w:rsid w:val="000B1F8D"/>
    <w:rsid w:val="000B1FAF"/>
    <w:rsid w:val="000B1FC2"/>
    <w:rsid w:val="000B2000"/>
    <w:rsid w:val="000B2051"/>
    <w:rsid w:val="000B2056"/>
    <w:rsid w:val="000B20A5"/>
    <w:rsid w:val="000B20CA"/>
    <w:rsid w:val="000B20EE"/>
    <w:rsid w:val="000B2104"/>
    <w:rsid w:val="000B210A"/>
    <w:rsid w:val="000B2119"/>
    <w:rsid w:val="000B2186"/>
    <w:rsid w:val="000B21AA"/>
    <w:rsid w:val="000B222F"/>
    <w:rsid w:val="000B2273"/>
    <w:rsid w:val="000B22A6"/>
    <w:rsid w:val="000B22B8"/>
    <w:rsid w:val="000B22C6"/>
    <w:rsid w:val="000B2320"/>
    <w:rsid w:val="000B2364"/>
    <w:rsid w:val="000B2399"/>
    <w:rsid w:val="000B2412"/>
    <w:rsid w:val="000B241B"/>
    <w:rsid w:val="000B246A"/>
    <w:rsid w:val="000B248F"/>
    <w:rsid w:val="000B2494"/>
    <w:rsid w:val="000B24D4"/>
    <w:rsid w:val="000B24E2"/>
    <w:rsid w:val="000B24FF"/>
    <w:rsid w:val="000B2525"/>
    <w:rsid w:val="000B2529"/>
    <w:rsid w:val="000B253F"/>
    <w:rsid w:val="000B2551"/>
    <w:rsid w:val="000B2601"/>
    <w:rsid w:val="000B2679"/>
    <w:rsid w:val="000B267C"/>
    <w:rsid w:val="000B26D7"/>
    <w:rsid w:val="000B2725"/>
    <w:rsid w:val="000B273A"/>
    <w:rsid w:val="000B2757"/>
    <w:rsid w:val="000B2780"/>
    <w:rsid w:val="000B27A3"/>
    <w:rsid w:val="000B27F2"/>
    <w:rsid w:val="000B2815"/>
    <w:rsid w:val="000B2822"/>
    <w:rsid w:val="000B2840"/>
    <w:rsid w:val="000B2860"/>
    <w:rsid w:val="000B2879"/>
    <w:rsid w:val="000B28CE"/>
    <w:rsid w:val="000B29EB"/>
    <w:rsid w:val="000B2A41"/>
    <w:rsid w:val="000B2A51"/>
    <w:rsid w:val="000B2A7A"/>
    <w:rsid w:val="000B2ABB"/>
    <w:rsid w:val="000B2AC1"/>
    <w:rsid w:val="000B2AC5"/>
    <w:rsid w:val="000B2B0B"/>
    <w:rsid w:val="000B2B30"/>
    <w:rsid w:val="000B2B98"/>
    <w:rsid w:val="000B2BA5"/>
    <w:rsid w:val="000B2BCA"/>
    <w:rsid w:val="000B2BD9"/>
    <w:rsid w:val="000B2C4B"/>
    <w:rsid w:val="000B2C77"/>
    <w:rsid w:val="000B2CB8"/>
    <w:rsid w:val="000B2D1C"/>
    <w:rsid w:val="000B2D2B"/>
    <w:rsid w:val="000B2D3B"/>
    <w:rsid w:val="000B2D8B"/>
    <w:rsid w:val="000B2DEB"/>
    <w:rsid w:val="000B2E50"/>
    <w:rsid w:val="000B2E59"/>
    <w:rsid w:val="000B2E69"/>
    <w:rsid w:val="000B2E87"/>
    <w:rsid w:val="000B2E9C"/>
    <w:rsid w:val="000B2EBC"/>
    <w:rsid w:val="000B2EC3"/>
    <w:rsid w:val="000B2ECC"/>
    <w:rsid w:val="000B2EEC"/>
    <w:rsid w:val="000B2EF9"/>
    <w:rsid w:val="000B2F39"/>
    <w:rsid w:val="000B2F8A"/>
    <w:rsid w:val="000B2F97"/>
    <w:rsid w:val="000B2FE3"/>
    <w:rsid w:val="000B3084"/>
    <w:rsid w:val="000B308F"/>
    <w:rsid w:val="000B30BE"/>
    <w:rsid w:val="000B318D"/>
    <w:rsid w:val="000B31C7"/>
    <w:rsid w:val="000B31F5"/>
    <w:rsid w:val="000B325E"/>
    <w:rsid w:val="000B32BB"/>
    <w:rsid w:val="000B331F"/>
    <w:rsid w:val="000B3372"/>
    <w:rsid w:val="000B3384"/>
    <w:rsid w:val="000B3390"/>
    <w:rsid w:val="000B33D0"/>
    <w:rsid w:val="000B33DB"/>
    <w:rsid w:val="000B33F6"/>
    <w:rsid w:val="000B3418"/>
    <w:rsid w:val="000B3435"/>
    <w:rsid w:val="000B3456"/>
    <w:rsid w:val="000B34CF"/>
    <w:rsid w:val="000B34E8"/>
    <w:rsid w:val="000B351C"/>
    <w:rsid w:val="000B3526"/>
    <w:rsid w:val="000B352F"/>
    <w:rsid w:val="000B3557"/>
    <w:rsid w:val="000B355F"/>
    <w:rsid w:val="000B35A6"/>
    <w:rsid w:val="000B35E4"/>
    <w:rsid w:val="000B360E"/>
    <w:rsid w:val="000B3683"/>
    <w:rsid w:val="000B368F"/>
    <w:rsid w:val="000B3693"/>
    <w:rsid w:val="000B369D"/>
    <w:rsid w:val="000B36AD"/>
    <w:rsid w:val="000B36C7"/>
    <w:rsid w:val="000B36D8"/>
    <w:rsid w:val="000B36F5"/>
    <w:rsid w:val="000B36F9"/>
    <w:rsid w:val="000B3703"/>
    <w:rsid w:val="000B37B7"/>
    <w:rsid w:val="000B37D3"/>
    <w:rsid w:val="000B382B"/>
    <w:rsid w:val="000B3846"/>
    <w:rsid w:val="000B3866"/>
    <w:rsid w:val="000B3874"/>
    <w:rsid w:val="000B3875"/>
    <w:rsid w:val="000B38CB"/>
    <w:rsid w:val="000B38EF"/>
    <w:rsid w:val="000B391B"/>
    <w:rsid w:val="000B3952"/>
    <w:rsid w:val="000B39AE"/>
    <w:rsid w:val="000B39CF"/>
    <w:rsid w:val="000B3A03"/>
    <w:rsid w:val="000B3AB8"/>
    <w:rsid w:val="000B3AFE"/>
    <w:rsid w:val="000B3BDE"/>
    <w:rsid w:val="000B3BED"/>
    <w:rsid w:val="000B3C2E"/>
    <w:rsid w:val="000B3C4F"/>
    <w:rsid w:val="000B3C7F"/>
    <w:rsid w:val="000B3CC1"/>
    <w:rsid w:val="000B3D74"/>
    <w:rsid w:val="000B3DB1"/>
    <w:rsid w:val="000B3DCA"/>
    <w:rsid w:val="000B3DD0"/>
    <w:rsid w:val="000B3E73"/>
    <w:rsid w:val="000B3ED2"/>
    <w:rsid w:val="000B3FE5"/>
    <w:rsid w:val="000B401E"/>
    <w:rsid w:val="000B403D"/>
    <w:rsid w:val="000B404B"/>
    <w:rsid w:val="000B404F"/>
    <w:rsid w:val="000B409F"/>
    <w:rsid w:val="000B4170"/>
    <w:rsid w:val="000B41C6"/>
    <w:rsid w:val="000B41EF"/>
    <w:rsid w:val="000B4238"/>
    <w:rsid w:val="000B425C"/>
    <w:rsid w:val="000B42AC"/>
    <w:rsid w:val="000B42C4"/>
    <w:rsid w:val="000B42D6"/>
    <w:rsid w:val="000B42E5"/>
    <w:rsid w:val="000B4301"/>
    <w:rsid w:val="000B4302"/>
    <w:rsid w:val="000B430F"/>
    <w:rsid w:val="000B434D"/>
    <w:rsid w:val="000B4388"/>
    <w:rsid w:val="000B43C2"/>
    <w:rsid w:val="000B43CB"/>
    <w:rsid w:val="000B43FD"/>
    <w:rsid w:val="000B4482"/>
    <w:rsid w:val="000B44BA"/>
    <w:rsid w:val="000B44EB"/>
    <w:rsid w:val="000B4502"/>
    <w:rsid w:val="000B452B"/>
    <w:rsid w:val="000B453A"/>
    <w:rsid w:val="000B45F9"/>
    <w:rsid w:val="000B466E"/>
    <w:rsid w:val="000B46BF"/>
    <w:rsid w:val="000B46F7"/>
    <w:rsid w:val="000B470B"/>
    <w:rsid w:val="000B4719"/>
    <w:rsid w:val="000B471A"/>
    <w:rsid w:val="000B4734"/>
    <w:rsid w:val="000B480B"/>
    <w:rsid w:val="000B486C"/>
    <w:rsid w:val="000B48C4"/>
    <w:rsid w:val="000B48DC"/>
    <w:rsid w:val="000B48F3"/>
    <w:rsid w:val="000B4918"/>
    <w:rsid w:val="000B4939"/>
    <w:rsid w:val="000B4949"/>
    <w:rsid w:val="000B494C"/>
    <w:rsid w:val="000B4980"/>
    <w:rsid w:val="000B49BF"/>
    <w:rsid w:val="000B49DE"/>
    <w:rsid w:val="000B4A13"/>
    <w:rsid w:val="000B4A4A"/>
    <w:rsid w:val="000B4A4C"/>
    <w:rsid w:val="000B4A87"/>
    <w:rsid w:val="000B4AC7"/>
    <w:rsid w:val="000B4B31"/>
    <w:rsid w:val="000B4B49"/>
    <w:rsid w:val="000B4BA4"/>
    <w:rsid w:val="000B4BB3"/>
    <w:rsid w:val="000B4BEF"/>
    <w:rsid w:val="000B4C38"/>
    <w:rsid w:val="000B4C57"/>
    <w:rsid w:val="000B4C93"/>
    <w:rsid w:val="000B4CA4"/>
    <w:rsid w:val="000B4CA8"/>
    <w:rsid w:val="000B4CEB"/>
    <w:rsid w:val="000B4D8F"/>
    <w:rsid w:val="000B4D99"/>
    <w:rsid w:val="000B4E33"/>
    <w:rsid w:val="000B4E67"/>
    <w:rsid w:val="000B4E9D"/>
    <w:rsid w:val="000B4F09"/>
    <w:rsid w:val="000B4F46"/>
    <w:rsid w:val="000B4FA4"/>
    <w:rsid w:val="000B4FAA"/>
    <w:rsid w:val="000B4FB7"/>
    <w:rsid w:val="000B4FC4"/>
    <w:rsid w:val="000B502A"/>
    <w:rsid w:val="000B5054"/>
    <w:rsid w:val="000B5060"/>
    <w:rsid w:val="000B5072"/>
    <w:rsid w:val="000B507A"/>
    <w:rsid w:val="000B5098"/>
    <w:rsid w:val="000B5154"/>
    <w:rsid w:val="000B517A"/>
    <w:rsid w:val="000B519C"/>
    <w:rsid w:val="000B5239"/>
    <w:rsid w:val="000B53AE"/>
    <w:rsid w:val="000B53F7"/>
    <w:rsid w:val="000B5404"/>
    <w:rsid w:val="000B5433"/>
    <w:rsid w:val="000B548A"/>
    <w:rsid w:val="000B5503"/>
    <w:rsid w:val="000B5526"/>
    <w:rsid w:val="000B555B"/>
    <w:rsid w:val="000B5578"/>
    <w:rsid w:val="000B55FE"/>
    <w:rsid w:val="000B5615"/>
    <w:rsid w:val="000B564A"/>
    <w:rsid w:val="000B5666"/>
    <w:rsid w:val="000B56B8"/>
    <w:rsid w:val="000B5748"/>
    <w:rsid w:val="000B5774"/>
    <w:rsid w:val="000B579C"/>
    <w:rsid w:val="000B57D3"/>
    <w:rsid w:val="000B5927"/>
    <w:rsid w:val="000B596A"/>
    <w:rsid w:val="000B5994"/>
    <w:rsid w:val="000B5999"/>
    <w:rsid w:val="000B59B1"/>
    <w:rsid w:val="000B59CA"/>
    <w:rsid w:val="000B5A00"/>
    <w:rsid w:val="000B5A08"/>
    <w:rsid w:val="000B5A44"/>
    <w:rsid w:val="000B5A53"/>
    <w:rsid w:val="000B5A59"/>
    <w:rsid w:val="000B5A6E"/>
    <w:rsid w:val="000B5A72"/>
    <w:rsid w:val="000B5A78"/>
    <w:rsid w:val="000B5AC1"/>
    <w:rsid w:val="000B5AEE"/>
    <w:rsid w:val="000B5AFD"/>
    <w:rsid w:val="000B5B16"/>
    <w:rsid w:val="000B5B4B"/>
    <w:rsid w:val="000B5B92"/>
    <w:rsid w:val="000B5BDC"/>
    <w:rsid w:val="000B5C18"/>
    <w:rsid w:val="000B5C22"/>
    <w:rsid w:val="000B5C2D"/>
    <w:rsid w:val="000B5C5D"/>
    <w:rsid w:val="000B5C5F"/>
    <w:rsid w:val="000B5C78"/>
    <w:rsid w:val="000B5C79"/>
    <w:rsid w:val="000B5C9A"/>
    <w:rsid w:val="000B5CA7"/>
    <w:rsid w:val="000B5D21"/>
    <w:rsid w:val="000B5DAD"/>
    <w:rsid w:val="000B5E33"/>
    <w:rsid w:val="000B5EC7"/>
    <w:rsid w:val="000B5F04"/>
    <w:rsid w:val="000B5F5F"/>
    <w:rsid w:val="000B5F6C"/>
    <w:rsid w:val="000B5F94"/>
    <w:rsid w:val="000B5FDC"/>
    <w:rsid w:val="000B6001"/>
    <w:rsid w:val="000B6029"/>
    <w:rsid w:val="000B607F"/>
    <w:rsid w:val="000B6090"/>
    <w:rsid w:val="000B60E6"/>
    <w:rsid w:val="000B60F6"/>
    <w:rsid w:val="000B6161"/>
    <w:rsid w:val="000B617B"/>
    <w:rsid w:val="000B618E"/>
    <w:rsid w:val="000B61B6"/>
    <w:rsid w:val="000B61F1"/>
    <w:rsid w:val="000B61FF"/>
    <w:rsid w:val="000B623C"/>
    <w:rsid w:val="000B6273"/>
    <w:rsid w:val="000B62A5"/>
    <w:rsid w:val="000B62BB"/>
    <w:rsid w:val="000B6311"/>
    <w:rsid w:val="000B63AC"/>
    <w:rsid w:val="000B63BE"/>
    <w:rsid w:val="000B643A"/>
    <w:rsid w:val="000B643B"/>
    <w:rsid w:val="000B647A"/>
    <w:rsid w:val="000B64C5"/>
    <w:rsid w:val="000B64CF"/>
    <w:rsid w:val="000B653F"/>
    <w:rsid w:val="000B6544"/>
    <w:rsid w:val="000B6585"/>
    <w:rsid w:val="000B6603"/>
    <w:rsid w:val="000B6654"/>
    <w:rsid w:val="000B6675"/>
    <w:rsid w:val="000B66A1"/>
    <w:rsid w:val="000B66A7"/>
    <w:rsid w:val="000B66D4"/>
    <w:rsid w:val="000B670C"/>
    <w:rsid w:val="000B671F"/>
    <w:rsid w:val="000B6728"/>
    <w:rsid w:val="000B6736"/>
    <w:rsid w:val="000B6756"/>
    <w:rsid w:val="000B6763"/>
    <w:rsid w:val="000B676D"/>
    <w:rsid w:val="000B6816"/>
    <w:rsid w:val="000B684F"/>
    <w:rsid w:val="000B68C7"/>
    <w:rsid w:val="000B6925"/>
    <w:rsid w:val="000B6958"/>
    <w:rsid w:val="000B695A"/>
    <w:rsid w:val="000B699A"/>
    <w:rsid w:val="000B6A11"/>
    <w:rsid w:val="000B6A42"/>
    <w:rsid w:val="000B6A46"/>
    <w:rsid w:val="000B6A55"/>
    <w:rsid w:val="000B6A9F"/>
    <w:rsid w:val="000B6AB3"/>
    <w:rsid w:val="000B6AEE"/>
    <w:rsid w:val="000B6B2E"/>
    <w:rsid w:val="000B6BAF"/>
    <w:rsid w:val="000B6C4F"/>
    <w:rsid w:val="000B6C5F"/>
    <w:rsid w:val="000B6C8B"/>
    <w:rsid w:val="000B6CD8"/>
    <w:rsid w:val="000B6DC8"/>
    <w:rsid w:val="000B6E02"/>
    <w:rsid w:val="000B6E58"/>
    <w:rsid w:val="000B6E64"/>
    <w:rsid w:val="000B6EB7"/>
    <w:rsid w:val="000B6F2A"/>
    <w:rsid w:val="000B6F3F"/>
    <w:rsid w:val="000B6F62"/>
    <w:rsid w:val="000B6F74"/>
    <w:rsid w:val="000B6F97"/>
    <w:rsid w:val="000B6FA0"/>
    <w:rsid w:val="000B6FD4"/>
    <w:rsid w:val="000B6FE4"/>
    <w:rsid w:val="000B6FF5"/>
    <w:rsid w:val="000B705B"/>
    <w:rsid w:val="000B70AA"/>
    <w:rsid w:val="000B7181"/>
    <w:rsid w:val="000B71A0"/>
    <w:rsid w:val="000B71C6"/>
    <w:rsid w:val="000B71C9"/>
    <w:rsid w:val="000B71D7"/>
    <w:rsid w:val="000B7222"/>
    <w:rsid w:val="000B7314"/>
    <w:rsid w:val="000B733F"/>
    <w:rsid w:val="000B734E"/>
    <w:rsid w:val="000B735F"/>
    <w:rsid w:val="000B7373"/>
    <w:rsid w:val="000B7389"/>
    <w:rsid w:val="000B73C0"/>
    <w:rsid w:val="000B73FF"/>
    <w:rsid w:val="000B7461"/>
    <w:rsid w:val="000B747C"/>
    <w:rsid w:val="000B7485"/>
    <w:rsid w:val="000B74FC"/>
    <w:rsid w:val="000B7503"/>
    <w:rsid w:val="000B7526"/>
    <w:rsid w:val="000B752E"/>
    <w:rsid w:val="000B752F"/>
    <w:rsid w:val="000B7576"/>
    <w:rsid w:val="000B7599"/>
    <w:rsid w:val="000B7612"/>
    <w:rsid w:val="000B76DC"/>
    <w:rsid w:val="000B771A"/>
    <w:rsid w:val="000B77A3"/>
    <w:rsid w:val="000B77AF"/>
    <w:rsid w:val="000B77C3"/>
    <w:rsid w:val="000B7809"/>
    <w:rsid w:val="000B7863"/>
    <w:rsid w:val="000B7899"/>
    <w:rsid w:val="000B78B0"/>
    <w:rsid w:val="000B78BA"/>
    <w:rsid w:val="000B792A"/>
    <w:rsid w:val="000B793C"/>
    <w:rsid w:val="000B795D"/>
    <w:rsid w:val="000B79A7"/>
    <w:rsid w:val="000B79AB"/>
    <w:rsid w:val="000B79E9"/>
    <w:rsid w:val="000B79F0"/>
    <w:rsid w:val="000B7A17"/>
    <w:rsid w:val="000B7AE7"/>
    <w:rsid w:val="000B7B16"/>
    <w:rsid w:val="000B7BAF"/>
    <w:rsid w:val="000B7BBE"/>
    <w:rsid w:val="000B7BC7"/>
    <w:rsid w:val="000B7BE9"/>
    <w:rsid w:val="000B7C67"/>
    <w:rsid w:val="000B7D65"/>
    <w:rsid w:val="000B7D6F"/>
    <w:rsid w:val="000B7D7D"/>
    <w:rsid w:val="000B7D9B"/>
    <w:rsid w:val="000B7DC3"/>
    <w:rsid w:val="000B7E04"/>
    <w:rsid w:val="000B7E0B"/>
    <w:rsid w:val="000B7E14"/>
    <w:rsid w:val="000B7E33"/>
    <w:rsid w:val="000B7E48"/>
    <w:rsid w:val="000B7E5D"/>
    <w:rsid w:val="000B7E76"/>
    <w:rsid w:val="000B7E8D"/>
    <w:rsid w:val="000B7F0A"/>
    <w:rsid w:val="000B7F8C"/>
    <w:rsid w:val="000B7FB9"/>
    <w:rsid w:val="000C002E"/>
    <w:rsid w:val="000C0053"/>
    <w:rsid w:val="000C0061"/>
    <w:rsid w:val="000C006C"/>
    <w:rsid w:val="000C0165"/>
    <w:rsid w:val="000C01A8"/>
    <w:rsid w:val="000C01BF"/>
    <w:rsid w:val="000C0202"/>
    <w:rsid w:val="000C0228"/>
    <w:rsid w:val="000C025B"/>
    <w:rsid w:val="000C0271"/>
    <w:rsid w:val="000C02A3"/>
    <w:rsid w:val="000C02B2"/>
    <w:rsid w:val="000C02F9"/>
    <w:rsid w:val="000C0317"/>
    <w:rsid w:val="000C0327"/>
    <w:rsid w:val="000C033E"/>
    <w:rsid w:val="000C0347"/>
    <w:rsid w:val="000C03C4"/>
    <w:rsid w:val="000C03C7"/>
    <w:rsid w:val="000C03EB"/>
    <w:rsid w:val="000C0435"/>
    <w:rsid w:val="000C0436"/>
    <w:rsid w:val="000C0476"/>
    <w:rsid w:val="000C047D"/>
    <w:rsid w:val="000C048B"/>
    <w:rsid w:val="000C050D"/>
    <w:rsid w:val="000C054F"/>
    <w:rsid w:val="000C055A"/>
    <w:rsid w:val="000C0600"/>
    <w:rsid w:val="000C062C"/>
    <w:rsid w:val="000C0632"/>
    <w:rsid w:val="000C0645"/>
    <w:rsid w:val="000C0692"/>
    <w:rsid w:val="000C0796"/>
    <w:rsid w:val="000C07A0"/>
    <w:rsid w:val="000C07A2"/>
    <w:rsid w:val="000C0800"/>
    <w:rsid w:val="000C0817"/>
    <w:rsid w:val="000C08A3"/>
    <w:rsid w:val="000C08A6"/>
    <w:rsid w:val="000C08F6"/>
    <w:rsid w:val="000C08FA"/>
    <w:rsid w:val="000C08FB"/>
    <w:rsid w:val="000C093D"/>
    <w:rsid w:val="000C0998"/>
    <w:rsid w:val="000C09F6"/>
    <w:rsid w:val="000C0A01"/>
    <w:rsid w:val="000C0A10"/>
    <w:rsid w:val="000C0A3E"/>
    <w:rsid w:val="000C0A5A"/>
    <w:rsid w:val="000C0A74"/>
    <w:rsid w:val="000C0AB0"/>
    <w:rsid w:val="000C0AED"/>
    <w:rsid w:val="000C0AF8"/>
    <w:rsid w:val="000C0BAA"/>
    <w:rsid w:val="000C0BCB"/>
    <w:rsid w:val="000C0BD0"/>
    <w:rsid w:val="000C0C13"/>
    <w:rsid w:val="000C0C48"/>
    <w:rsid w:val="000C0C5F"/>
    <w:rsid w:val="000C0CE1"/>
    <w:rsid w:val="000C0CE8"/>
    <w:rsid w:val="000C0CFF"/>
    <w:rsid w:val="000C0D39"/>
    <w:rsid w:val="000C0D3B"/>
    <w:rsid w:val="000C0D45"/>
    <w:rsid w:val="000C0D93"/>
    <w:rsid w:val="000C0D9A"/>
    <w:rsid w:val="000C0DBB"/>
    <w:rsid w:val="000C0E2D"/>
    <w:rsid w:val="000C0E69"/>
    <w:rsid w:val="000C0E75"/>
    <w:rsid w:val="000C0EC1"/>
    <w:rsid w:val="000C0EF5"/>
    <w:rsid w:val="000C0EF7"/>
    <w:rsid w:val="000C0F4E"/>
    <w:rsid w:val="000C0F8A"/>
    <w:rsid w:val="000C0FCE"/>
    <w:rsid w:val="000C1035"/>
    <w:rsid w:val="000C10BD"/>
    <w:rsid w:val="000C1117"/>
    <w:rsid w:val="000C113D"/>
    <w:rsid w:val="000C11A4"/>
    <w:rsid w:val="000C122D"/>
    <w:rsid w:val="000C1294"/>
    <w:rsid w:val="000C12D0"/>
    <w:rsid w:val="000C12E3"/>
    <w:rsid w:val="000C12EB"/>
    <w:rsid w:val="000C1303"/>
    <w:rsid w:val="000C1383"/>
    <w:rsid w:val="000C139F"/>
    <w:rsid w:val="000C13B5"/>
    <w:rsid w:val="000C150E"/>
    <w:rsid w:val="000C15CB"/>
    <w:rsid w:val="000C15D2"/>
    <w:rsid w:val="000C1618"/>
    <w:rsid w:val="000C1622"/>
    <w:rsid w:val="000C1644"/>
    <w:rsid w:val="000C1654"/>
    <w:rsid w:val="000C167F"/>
    <w:rsid w:val="000C16A2"/>
    <w:rsid w:val="000C16C9"/>
    <w:rsid w:val="000C16E8"/>
    <w:rsid w:val="000C170D"/>
    <w:rsid w:val="000C1757"/>
    <w:rsid w:val="000C1787"/>
    <w:rsid w:val="000C1797"/>
    <w:rsid w:val="000C17A0"/>
    <w:rsid w:val="000C17C1"/>
    <w:rsid w:val="000C17CF"/>
    <w:rsid w:val="000C1816"/>
    <w:rsid w:val="000C1824"/>
    <w:rsid w:val="000C1895"/>
    <w:rsid w:val="000C18EB"/>
    <w:rsid w:val="000C1932"/>
    <w:rsid w:val="000C194C"/>
    <w:rsid w:val="000C1A2D"/>
    <w:rsid w:val="000C1A6C"/>
    <w:rsid w:val="000C1A8D"/>
    <w:rsid w:val="000C1AED"/>
    <w:rsid w:val="000C1B08"/>
    <w:rsid w:val="000C1B35"/>
    <w:rsid w:val="000C1B3F"/>
    <w:rsid w:val="000C1B62"/>
    <w:rsid w:val="000C1BAA"/>
    <w:rsid w:val="000C1C05"/>
    <w:rsid w:val="000C1C18"/>
    <w:rsid w:val="000C1C39"/>
    <w:rsid w:val="000C1CB1"/>
    <w:rsid w:val="000C1D0B"/>
    <w:rsid w:val="000C1D48"/>
    <w:rsid w:val="000C1D4D"/>
    <w:rsid w:val="000C1D61"/>
    <w:rsid w:val="000C1D87"/>
    <w:rsid w:val="000C1E22"/>
    <w:rsid w:val="000C1E87"/>
    <w:rsid w:val="000C1F11"/>
    <w:rsid w:val="000C1FD4"/>
    <w:rsid w:val="000C1FE5"/>
    <w:rsid w:val="000C1FF8"/>
    <w:rsid w:val="000C204D"/>
    <w:rsid w:val="000C20D1"/>
    <w:rsid w:val="000C2119"/>
    <w:rsid w:val="000C2182"/>
    <w:rsid w:val="000C21DE"/>
    <w:rsid w:val="000C21E3"/>
    <w:rsid w:val="000C2228"/>
    <w:rsid w:val="000C2235"/>
    <w:rsid w:val="000C223C"/>
    <w:rsid w:val="000C224C"/>
    <w:rsid w:val="000C22D1"/>
    <w:rsid w:val="000C22D2"/>
    <w:rsid w:val="000C22F3"/>
    <w:rsid w:val="000C22FE"/>
    <w:rsid w:val="000C234A"/>
    <w:rsid w:val="000C23CB"/>
    <w:rsid w:val="000C23DC"/>
    <w:rsid w:val="000C243E"/>
    <w:rsid w:val="000C2451"/>
    <w:rsid w:val="000C2452"/>
    <w:rsid w:val="000C246B"/>
    <w:rsid w:val="000C248B"/>
    <w:rsid w:val="000C249A"/>
    <w:rsid w:val="000C24C1"/>
    <w:rsid w:val="000C24DF"/>
    <w:rsid w:val="000C2521"/>
    <w:rsid w:val="000C2560"/>
    <w:rsid w:val="000C2584"/>
    <w:rsid w:val="000C2607"/>
    <w:rsid w:val="000C265C"/>
    <w:rsid w:val="000C26A4"/>
    <w:rsid w:val="000C26CA"/>
    <w:rsid w:val="000C2705"/>
    <w:rsid w:val="000C278A"/>
    <w:rsid w:val="000C27A8"/>
    <w:rsid w:val="000C27AE"/>
    <w:rsid w:val="000C27CF"/>
    <w:rsid w:val="000C27DE"/>
    <w:rsid w:val="000C27E5"/>
    <w:rsid w:val="000C281F"/>
    <w:rsid w:val="000C2829"/>
    <w:rsid w:val="000C2836"/>
    <w:rsid w:val="000C28B4"/>
    <w:rsid w:val="000C28E3"/>
    <w:rsid w:val="000C296F"/>
    <w:rsid w:val="000C29F0"/>
    <w:rsid w:val="000C2A16"/>
    <w:rsid w:val="000C2ACA"/>
    <w:rsid w:val="000C2AD5"/>
    <w:rsid w:val="000C2AD9"/>
    <w:rsid w:val="000C2B1C"/>
    <w:rsid w:val="000C2BB8"/>
    <w:rsid w:val="000C2C05"/>
    <w:rsid w:val="000C2C3D"/>
    <w:rsid w:val="000C2C66"/>
    <w:rsid w:val="000C2CE5"/>
    <w:rsid w:val="000C2CE7"/>
    <w:rsid w:val="000C2D3D"/>
    <w:rsid w:val="000C2D45"/>
    <w:rsid w:val="000C2D86"/>
    <w:rsid w:val="000C2DBA"/>
    <w:rsid w:val="000C2DD0"/>
    <w:rsid w:val="000C2DE8"/>
    <w:rsid w:val="000C2E3B"/>
    <w:rsid w:val="000C2EF6"/>
    <w:rsid w:val="000C2F55"/>
    <w:rsid w:val="000C2F72"/>
    <w:rsid w:val="000C2F7A"/>
    <w:rsid w:val="000C2FA0"/>
    <w:rsid w:val="000C2FAB"/>
    <w:rsid w:val="000C2FB0"/>
    <w:rsid w:val="000C2FBD"/>
    <w:rsid w:val="000C2FCD"/>
    <w:rsid w:val="000C305E"/>
    <w:rsid w:val="000C30EF"/>
    <w:rsid w:val="000C3107"/>
    <w:rsid w:val="000C318C"/>
    <w:rsid w:val="000C31A3"/>
    <w:rsid w:val="000C31D2"/>
    <w:rsid w:val="000C320F"/>
    <w:rsid w:val="000C3217"/>
    <w:rsid w:val="000C323C"/>
    <w:rsid w:val="000C337F"/>
    <w:rsid w:val="000C33A8"/>
    <w:rsid w:val="000C33B8"/>
    <w:rsid w:val="000C33D6"/>
    <w:rsid w:val="000C33F8"/>
    <w:rsid w:val="000C340F"/>
    <w:rsid w:val="000C3489"/>
    <w:rsid w:val="000C348B"/>
    <w:rsid w:val="000C34F4"/>
    <w:rsid w:val="000C352D"/>
    <w:rsid w:val="000C3551"/>
    <w:rsid w:val="000C3591"/>
    <w:rsid w:val="000C35D1"/>
    <w:rsid w:val="000C35E4"/>
    <w:rsid w:val="000C3601"/>
    <w:rsid w:val="000C36BD"/>
    <w:rsid w:val="000C36E1"/>
    <w:rsid w:val="000C3704"/>
    <w:rsid w:val="000C3746"/>
    <w:rsid w:val="000C3751"/>
    <w:rsid w:val="000C3760"/>
    <w:rsid w:val="000C3764"/>
    <w:rsid w:val="000C376A"/>
    <w:rsid w:val="000C3771"/>
    <w:rsid w:val="000C37C1"/>
    <w:rsid w:val="000C37F0"/>
    <w:rsid w:val="000C3871"/>
    <w:rsid w:val="000C3925"/>
    <w:rsid w:val="000C3935"/>
    <w:rsid w:val="000C39C5"/>
    <w:rsid w:val="000C39FD"/>
    <w:rsid w:val="000C3A11"/>
    <w:rsid w:val="000C3A34"/>
    <w:rsid w:val="000C3A3D"/>
    <w:rsid w:val="000C3A64"/>
    <w:rsid w:val="000C3AA3"/>
    <w:rsid w:val="000C3AB8"/>
    <w:rsid w:val="000C3B24"/>
    <w:rsid w:val="000C3B9A"/>
    <w:rsid w:val="000C3C3A"/>
    <w:rsid w:val="000C3C3E"/>
    <w:rsid w:val="000C3C5F"/>
    <w:rsid w:val="000C3C6D"/>
    <w:rsid w:val="000C3CCF"/>
    <w:rsid w:val="000C3D90"/>
    <w:rsid w:val="000C3DC3"/>
    <w:rsid w:val="000C3DDD"/>
    <w:rsid w:val="000C3DE0"/>
    <w:rsid w:val="000C3DFC"/>
    <w:rsid w:val="000C3E3E"/>
    <w:rsid w:val="000C3E88"/>
    <w:rsid w:val="000C3EA4"/>
    <w:rsid w:val="000C3EC8"/>
    <w:rsid w:val="000C3EC9"/>
    <w:rsid w:val="000C3EE5"/>
    <w:rsid w:val="000C3F03"/>
    <w:rsid w:val="000C3F06"/>
    <w:rsid w:val="000C3F36"/>
    <w:rsid w:val="000C3F43"/>
    <w:rsid w:val="000C3FBC"/>
    <w:rsid w:val="000C3FBE"/>
    <w:rsid w:val="000C4054"/>
    <w:rsid w:val="000C4055"/>
    <w:rsid w:val="000C40B2"/>
    <w:rsid w:val="000C40F0"/>
    <w:rsid w:val="000C4139"/>
    <w:rsid w:val="000C4154"/>
    <w:rsid w:val="000C415C"/>
    <w:rsid w:val="000C416E"/>
    <w:rsid w:val="000C418D"/>
    <w:rsid w:val="000C41DC"/>
    <w:rsid w:val="000C421B"/>
    <w:rsid w:val="000C423B"/>
    <w:rsid w:val="000C4252"/>
    <w:rsid w:val="000C429A"/>
    <w:rsid w:val="000C429D"/>
    <w:rsid w:val="000C42B1"/>
    <w:rsid w:val="000C430E"/>
    <w:rsid w:val="000C434E"/>
    <w:rsid w:val="000C4382"/>
    <w:rsid w:val="000C43C7"/>
    <w:rsid w:val="000C4413"/>
    <w:rsid w:val="000C443E"/>
    <w:rsid w:val="000C4477"/>
    <w:rsid w:val="000C447A"/>
    <w:rsid w:val="000C4480"/>
    <w:rsid w:val="000C4499"/>
    <w:rsid w:val="000C44C9"/>
    <w:rsid w:val="000C452E"/>
    <w:rsid w:val="000C4536"/>
    <w:rsid w:val="000C4566"/>
    <w:rsid w:val="000C4584"/>
    <w:rsid w:val="000C45A6"/>
    <w:rsid w:val="000C45CD"/>
    <w:rsid w:val="000C45FF"/>
    <w:rsid w:val="000C465F"/>
    <w:rsid w:val="000C46D4"/>
    <w:rsid w:val="000C4720"/>
    <w:rsid w:val="000C474A"/>
    <w:rsid w:val="000C479B"/>
    <w:rsid w:val="000C47CB"/>
    <w:rsid w:val="000C4823"/>
    <w:rsid w:val="000C48A4"/>
    <w:rsid w:val="000C4905"/>
    <w:rsid w:val="000C4977"/>
    <w:rsid w:val="000C49A1"/>
    <w:rsid w:val="000C4A39"/>
    <w:rsid w:val="000C4A6D"/>
    <w:rsid w:val="000C4B7B"/>
    <w:rsid w:val="000C4C2C"/>
    <w:rsid w:val="000C4C3B"/>
    <w:rsid w:val="000C4C3D"/>
    <w:rsid w:val="000C4C4A"/>
    <w:rsid w:val="000C4C85"/>
    <w:rsid w:val="000C4C8A"/>
    <w:rsid w:val="000C4D00"/>
    <w:rsid w:val="000C4D60"/>
    <w:rsid w:val="000C4DD0"/>
    <w:rsid w:val="000C4DE8"/>
    <w:rsid w:val="000C4E7F"/>
    <w:rsid w:val="000C4EA2"/>
    <w:rsid w:val="000C4F04"/>
    <w:rsid w:val="000C4F86"/>
    <w:rsid w:val="000C4FD7"/>
    <w:rsid w:val="000C4FE1"/>
    <w:rsid w:val="000C4FF0"/>
    <w:rsid w:val="000C505F"/>
    <w:rsid w:val="000C50DE"/>
    <w:rsid w:val="000C5127"/>
    <w:rsid w:val="000C515D"/>
    <w:rsid w:val="000C5162"/>
    <w:rsid w:val="000C5186"/>
    <w:rsid w:val="000C5198"/>
    <w:rsid w:val="000C51CA"/>
    <w:rsid w:val="000C51E2"/>
    <w:rsid w:val="000C520B"/>
    <w:rsid w:val="000C5212"/>
    <w:rsid w:val="000C5219"/>
    <w:rsid w:val="000C522C"/>
    <w:rsid w:val="000C5232"/>
    <w:rsid w:val="000C52D8"/>
    <w:rsid w:val="000C52F6"/>
    <w:rsid w:val="000C5300"/>
    <w:rsid w:val="000C5358"/>
    <w:rsid w:val="000C53A9"/>
    <w:rsid w:val="000C53BC"/>
    <w:rsid w:val="000C53E3"/>
    <w:rsid w:val="000C53E6"/>
    <w:rsid w:val="000C53F7"/>
    <w:rsid w:val="000C53FF"/>
    <w:rsid w:val="000C5417"/>
    <w:rsid w:val="000C5455"/>
    <w:rsid w:val="000C5479"/>
    <w:rsid w:val="000C54AE"/>
    <w:rsid w:val="000C54BB"/>
    <w:rsid w:val="000C54DC"/>
    <w:rsid w:val="000C553D"/>
    <w:rsid w:val="000C5597"/>
    <w:rsid w:val="000C55AC"/>
    <w:rsid w:val="000C55D3"/>
    <w:rsid w:val="000C55DA"/>
    <w:rsid w:val="000C5638"/>
    <w:rsid w:val="000C565D"/>
    <w:rsid w:val="000C569A"/>
    <w:rsid w:val="000C56C5"/>
    <w:rsid w:val="000C56FC"/>
    <w:rsid w:val="000C5745"/>
    <w:rsid w:val="000C577D"/>
    <w:rsid w:val="000C57DF"/>
    <w:rsid w:val="000C583B"/>
    <w:rsid w:val="000C58BA"/>
    <w:rsid w:val="000C58C8"/>
    <w:rsid w:val="000C58D0"/>
    <w:rsid w:val="000C58D4"/>
    <w:rsid w:val="000C5931"/>
    <w:rsid w:val="000C5980"/>
    <w:rsid w:val="000C59A0"/>
    <w:rsid w:val="000C59D9"/>
    <w:rsid w:val="000C59F7"/>
    <w:rsid w:val="000C5A8B"/>
    <w:rsid w:val="000C5A8F"/>
    <w:rsid w:val="000C5AB7"/>
    <w:rsid w:val="000C5B57"/>
    <w:rsid w:val="000C5B9B"/>
    <w:rsid w:val="000C5BB9"/>
    <w:rsid w:val="000C5BF0"/>
    <w:rsid w:val="000C5BFC"/>
    <w:rsid w:val="000C5C07"/>
    <w:rsid w:val="000C5C28"/>
    <w:rsid w:val="000C5C8A"/>
    <w:rsid w:val="000C5C8D"/>
    <w:rsid w:val="000C5CBA"/>
    <w:rsid w:val="000C5CC8"/>
    <w:rsid w:val="000C5CDA"/>
    <w:rsid w:val="000C5D54"/>
    <w:rsid w:val="000C5D9B"/>
    <w:rsid w:val="000C5DBC"/>
    <w:rsid w:val="000C5E6E"/>
    <w:rsid w:val="000C5E79"/>
    <w:rsid w:val="000C5E8B"/>
    <w:rsid w:val="000C5ED5"/>
    <w:rsid w:val="000C5F82"/>
    <w:rsid w:val="000C60B3"/>
    <w:rsid w:val="000C60C7"/>
    <w:rsid w:val="000C60D5"/>
    <w:rsid w:val="000C60E5"/>
    <w:rsid w:val="000C611F"/>
    <w:rsid w:val="000C61B0"/>
    <w:rsid w:val="000C61CA"/>
    <w:rsid w:val="000C61EC"/>
    <w:rsid w:val="000C61F8"/>
    <w:rsid w:val="000C61F9"/>
    <w:rsid w:val="000C6201"/>
    <w:rsid w:val="000C6205"/>
    <w:rsid w:val="000C6217"/>
    <w:rsid w:val="000C6247"/>
    <w:rsid w:val="000C6262"/>
    <w:rsid w:val="000C6349"/>
    <w:rsid w:val="000C63A1"/>
    <w:rsid w:val="000C63CC"/>
    <w:rsid w:val="000C63CE"/>
    <w:rsid w:val="000C63CF"/>
    <w:rsid w:val="000C640A"/>
    <w:rsid w:val="000C6493"/>
    <w:rsid w:val="000C64E0"/>
    <w:rsid w:val="000C6512"/>
    <w:rsid w:val="000C652A"/>
    <w:rsid w:val="000C6578"/>
    <w:rsid w:val="000C65C6"/>
    <w:rsid w:val="000C65DE"/>
    <w:rsid w:val="000C6639"/>
    <w:rsid w:val="000C667B"/>
    <w:rsid w:val="000C671A"/>
    <w:rsid w:val="000C6723"/>
    <w:rsid w:val="000C6726"/>
    <w:rsid w:val="000C673B"/>
    <w:rsid w:val="000C6769"/>
    <w:rsid w:val="000C67B2"/>
    <w:rsid w:val="000C684C"/>
    <w:rsid w:val="000C6859"/>
    <w:rsid w:val="000C687E"/>
    <w:rsid w:val="000C688C"/>
    <w:rsid w:val="000C6897"/>
    <w:rsid w:val="000C68CA"/>
    <w:rsid w:val="000C68FC"/>
    <w:rsid w:val="000C692F"/>
    <w:rsid w:val="000C693E"/>
    <w:rsid w:val="000C6946"/>
    <w:rsid w:val="000C695F"/>
    <w:rsid w:val="000C6969"/>
    <w:rsid w:val="000C6996"/>
    <w:rsid w:val="000C69B3"/>
    <w:rsid w:val="000C6A06"/>
    <w:rsid w:val="000C6AA5"/>
    <w:rsid w:val="000C6AC1"/>
    <w:rsid w:val="000C6AFB"/>
    <w:rsid w:val="000C6B34"/>
    <w:rsid w:val="000C6B87"/>
    <w:rsid w:val="000C6B91"/>
    <w:rsid w:val="000C6B93"/>
    <w:rsid w:val="000C6BED"/>
    <w:rsid w:val="000C6C12"/>
    <w:rsid w:val="000C6C19"/>
    <w:rsid w:val="000C6C40"/>
    <w:rsid w:val="000C6C46"/>
    <w:rsid w:val="000C6C4A"/>
    <w:rsid w:val="000C6C6C"/>
    <w:rsid w:val="000C6C6F"/>
    <w:rsid w:val="000C6C7A"/>
    <w:rsid w:val="000C6C8C"/>
    <w:rsid w:val="000C6CEB"/>
    <w:rsid w:val="000C6CFA"/>
    <w:rsid w:val="000C6D0C"/>
    <w:rsid w:val="000C6D1B"/>
    <w:rsid w:val="000C6D25"/>
    <w:rsid w:val="000C6D4E"/>
    <w:rsid w:val="000C6DAD"/>
    <w:rsid w:val="000C6DC3"/>
    <w:rsid w:val="000C6E18"/>
    <w:rsid w:val="000C6E41"/>
    <w:rsid w:val="000C6E71"/>
    <w:rsid w:val="000C6E94"/>
    <w:rsid w:val="000C6EA4"/>
    <w:rsid w:val="000C6EC7"/>
    <w:rsid w:val="000C6FFE"/>
    <w:rsid w:val="000C7020"/>
    <w:rsid w:val="000C7047"/>
    <w:rsid w:val="000C706E"/>
    <w:rsid w:val="000C7086"/>
    <w:rsid w:val="000C7108"/>
    <w:rsid w:val="000C7113"/>
    <w:rsid w:val="000C7117"/>
    <w:rsid w:val="000C7181"/>
    <w:rsid w:val="000C725E"/>
    <w:rsid w:val="000C72B2"/>
    <w:rsid w:val="000C72B7"/>
    <w:rsid w:val="000C7356"/>
    <w:rsid w:val="000C73AB"/>
    <w:rsid w:val="000C73D7"/>
    <w:rsid w:val="000C73F3"/>
    <w:rsid w:val="000C7498"/>
    <w:rsid w:val="000C74C9"/>
    <w:rsid w:val="000C752C"/>
    <w:rsid w:val="000C757A"/>
    <w:rsid w:val="000C75CB"/>
    <w:rsid w:val="000C75E6"/>
    <w:rsid w:val="000C75EA"/>
    <w:rsid w:val="000C7601"/>
    <w:rsid w:val="000C7659"/>
    <w:rsid w:val="000C7668"/>
    <w:rsid w:val="000C77C6"/>
    <w:rsid w:val="000C7845"/>
    <w:rsid w:val="000C78F8"/>
    <w:rsid w:val="000C791F"/>
    <w:rsid w:val="000C792C"/>
    <w:rsid w:val="000C7960"/>
    <w:rsid w:val="000C7964"/>
    <w:rsid w:val="000C797C"/>
    <w:rsid w:val="000C79A5"/>
    <w:rsid w:val="000C79D1"/>
    <w:rsid w:val="000C79D4"/>
    <w:rsid w:val="000C7A10"/>
    <w:rsid w:val="000C7A1E"/>
    <w:rsid w:val="000C7A4B"/>
    <w:rsid w:val="000C7AFE"/>
    <w:rsid w:val="000C7B9A"/>
    <w:rsid w:val="000C7BDB"/>
    <w:rsid w:val="000C7C4A"/>
    <w:rsid w:val="000C7C4F"/>
    <w:rsid w:val="000C7C8F"/>
    <w:rsid w:val="000C7CCF"/>
    <w:rsid w:val="000C7CD8"/>
    <w:rsid w:val="000C7D0E"/>
    <w:rsid w:val="000C7D9E"/>
    <w:rsid w:val="000C7DCA"/>
    <w:rsid w:val="000C7DEB"/>
    <w:rsid w:val="000C7E28"/>
    <w:rsid w:val="000C7E44"/>
    <w:rsid w:val="000C7E57"/>
    <w:rsid w:val="000C7EC1"/>
    <w:rsid w:val="000C7F3D"/>
    <w:rsid w:val="000C7F42"/>
    <w:rsid w:val="000C7F77"/>
    <w:rsid w:val="000C7FAF"/>
    <w:rsid w:val="000C7FBA"/>
    <w:rsid w:val="000C7FD0"/>
    <w:rsid w:val="000C7FFA"/>
    <w:rsid w:val="000CF157"/>
    <w:rsid w:val="000D000F"/>
    <w:rsid w:val="000D0011"/>
    <w:rsid w:val="000D001E"/>
    <w:rsid w:val="000D004D"/>
    <w:rsid w:val="000D007E"/>
    <w:rsid w:val="000D009D"/>
    <w:rsid w:val="000D00FE"/>
    <w:rsid w:val="000D011D"/>
    <w:rsid w:val="000D0133"/>
    <w:rsid w:val="000D0143"/>
    <w:rsid w:val="000D014B"/>
    <w:rsid w:val="000D015A"/>
    <w:rsid w:val="000D01BC"/>
    <w:rsid w:val="000D0209"/>
    <w:rsid w:val="000D020F"/>
    <w:rsid w:val="000D0257"/>
    <w:rsid w:val="000D025D"/>
    <w:rsid w:val="000D0306"/>
    <w:rsid w:val="000D0358"/>
    <w:rsid w:val="000D0369"/>
    <w:rsid w:val="000D0379"/>
    <w:rsid w:val="000D0388"/>
    <w:rsid w:val="000D03A1"/>
    <w:rsid w:val="000D03EA"/>
    <w:rsid w:val="000D0435"/>
    <w:rsid w:val="000D0448"/>
    <w:rsid w:val="000D04A9"/>
    <w:rsid w:val="000D04B4"/>
    <w:rsid w:val="000D04D7"/>
    <w:rsid w:val="000D04FA"/>
    <w:rsid w:val="000D0532"/>
    <w:rsid w:val="000D054C"/>
    <w:rsid w:val="000D0583"/>
    <w:rsid w:val="000D0602"/>
    <w:rsid w:val="000D0638"/>
    <w:rsid w:val="000D065B"/>
    <w:rsid w:val="000D0686"/>
    <w:rsid w:val="000D0688"/>
    <w:rsid w:val="000D0729"/>
    <w:rsid w:val="000D072C"/>
    <w:rsid w:val="000D078C"/>
    <w:rsid w:val="000D07CA"/>
    <w:rsid w:val="000D080F"/>
    <w:rsid w:val="000D0829"/>
    <w:rsid w:val="000D0835"/>
    <w:rsid w:val="000D08C2"/>
    <w:rsid w:val="000D0900"/>
    <w:rsid w:val="000D091B"/>
    <w:rsid w:val="000D099E"/>
    <w:rsid w:val="000D0AA0"/>
    <w:rsid w:val="000D0ACF"/>
    <w:rsid w:val="000D0B09"/>
    <w:rsid w:val="000D0B14"/>
    <w:rsid w:val="000D0B7A"/>
    <w:rsid w:val="000D0B84"/>
    <w:rsid w:val="000D0B8E"/>
    <w:rsid w:val="000D0B96"/>
    <w:rsid w:val="000D0B98"/>
    <w:rsid w:val="000D0B9B"/>
    <w:rsid w:val="000D0C19"/>
    <w:rsid w:val="000D0C1E"/>
    <w:rsid w:val="000D0C21"/>
    <w:rsid w:val="000D0D01"/>
    <w:rsid w:val="000D0DC8"/>
    <w:rsid w:val="000D0E78"/>
    <w:rsid w:val="000D0F26"/>
    <w:rsid w:val="000D0F3B"/>
    <w:rsid w:val="000D0FDE"/>
    <w:rsid w:val="000D1024"/>
    <w:rsid w:val="000D102D"/>
    <w:rsid w:val="000D1042"/>
    <w:rsid w:val="000D10A5"/>
    <w:rsid w:val="000D1133"/>
    <w:rsid w:val="000D114D"/>
    <w:rsid w:val="000D1153"/>
    <w:rsid w:val="000D116A"/>
    <w:rsid w:val="000D1174"/>
    <w:rsid w:val="000D1192"/>
    <w:rsid w:val="000D11E5"/>
    <w:rsid w:val="000D11FE"/>
    <w:rsid w:val="000D120A"/>
    <w:rsid w:val="000D12A6"/>
    <w:rsid w:val="000D12C8"/>
    <w:rsid w:val="000D12E7"/>
    <w:rsid w:val="000D1354"/>
    <w:rsid w:val="000D13A6"/>
    <w:rsid w:val="000D13D6"/>
    <w:rsid w:val="000D13DB"/>
    <w:rsid w:val="000D1451"/>
    <w:rsid w:val="000D1466"/>
    <w:rsid w:val="000D14C8"/>
    <w:rsid w:val="000D14D7"/>
    <w:rsid w:val="000D1514"/>
    <w:rsid w:val="000D1527"/>
    <w:rsid w:val="000D155E"/>
    <w:rsid w:val="000D161B"/>
    <w:rsid w:val="000D164D"/>
    <w:rsid w:val="000D1684"/>
    <w:rsid w:val="000D16C2"/>
    <w:rsid w:val="000D16F6"/>
    <w:rsid w:val="000D1762"/>
    <w:rsid w:val="000D1814"/>
    <w:rsid w:val="000D18C5"/>
    <w:rsid w:val="000D18D8"/>
    <w:rsid w:val="000D1901"/>
    <w:rsid w:val="000D192B"/>
    <w:rsid w:val="000D1932"/>
    <w:rsid w:val="000D1935"/>
    <w:rsid w:val="000D194A"/>
    <w:rsid w:val="000D1993"/>
    <w:rsid w:val="000D19D0"/>
    <w:rsid w:val="000D19F5"/>
    <w:rsid w:val="000D19FF"/>
    <w:rsid w:val="000D1A17"/>
    <w:rsid w:val="000D1A26"/>
    <w:rsid w:val="000D1A62"/>
    <w:rsid w:val="000D1AA1"/>
    <w:rsid w:val="000D1AC0"/>
    <w:rsid w:val="000D1ACD"/>
    <w:rsid w:val="000D1B0E"/>
    <w:rsid w:val="000D1B7D"/>
    <w:rsid w:val="000D1B8A"/>
    <w:rsid w:val="000D1BBF"/>
    <w:rsid w:val="000D1BC7"/>
    <w:rsid w:val="000D1C3C"/>
    <w:rsid w:val="000D1CD0"/>
    <w:rsid w:val="000D1D74"/>
    <w:rsid w:val="000D1D96"/>
    <w:rsid w:val="000D1DB0"/>
    <w:rsid w:val="000D1DDC"/>
    <w:rsid w:val="000D1E41"/>
    <w:rsid w:val="000D1E44"/>
    <w:rsid w:val="000D1E48"/>
    <w:rsid w:val="000D1E93"/>
    <w:rsid w:val="000D1EE7"/>
    <w:rsid w:val="000D1EF3"/>
    <w:rsid w:val="000D1EFF"/>
    <w:rsid w:val="000D1F27"/>
    <w:rsid w:val="000D1F46"/>
    <w:rsid w:val="000D1F90"/>
    <w:rsid w:val="000D1F9C"/>
    <w:rsid w:val="000D2006"/>
    <w:rsid w:val="000D204D"/>
    <w:rsid w:val="000D2054"/>
    <w:rsid w:val="000D206D"/>
    <w:rsid w:val="000D2084"/>
    <w:rsid w:val="000D2098"/>
    <w:rsid w:val="000D2142"/>
    <w:rsid w:val="000D2164"/>
    <w:rsid w:val="000D2176"/>
    <w:rsid w:val="000D219B"/>
    <w:rsid w:val="000D21BD"/>
    <w:rsid w:val="000D21CD"/>
    <w:rsid w:val="000D21E6"/>
    <w:rsid w:val="000D225C"/>
    <w:rsid w:val="000D22AA"/>
    <w:rsid w:val="000D22B7"/>
    <w:rsid w:val="000D22DA"/>
    <w:rsid w:val="000D2328"/>
    <w:rsid w:val="000D235E"/>
    <w:rsid w:val="000D2367"/>
    <w:rsid w:val="000D23C4"/>
    <w:rsid w:val="000D23E8"/>
    <w:rsid w:val="000D241F"/>
    <w:rsid w:val="000D246C"/>
    <w:rsid w:val="000D2486"/>
    <w:rsid w:val="000D2504"/>
    <w:rsid w:val="000D2585"/>
    <w:rsid w:val="000D2586"/>
    <w:rsid w:val="000D258E"/>
    <w:rsid w:val="000D2594"/>
    <w:rsid w:val="000D25A3"/>
    <w:rsid w:val="000D25E0"/>
    <w:rsid w:val="000D2649"/>
    <w:rsid w:val="000D26CC"/>
    <w:rsid w:val="000D26EC"/>
    <w:rsid w:val="000D2756"/>
    <w:rsid w:val="000D2776"/>
    <w:rsid w:val="000D27A6"/>
    <w:rsid w:val="000D28A8"/>
    <w:rsid w:val="000D28D3"/>
    <w:rsid w:val="000D2965"/>
    <w:rsid w:val="000D29B3"/>
    <w:rsid w:val="000D29BD"/>
    <w:rsid w:val="000D29BE"/>
    <w:rsid w:val="000D29C9"/>
    <w:rsid w:val="000D2A82"/>
    <w:rsid w:val="000D2A87"/>
    <w:rsid w:val="000D2ACF"/>
    <w:rsid w:val="000D2AD4"/>
    <w:rsid w:val="000D2B15"/>
    <w:rsid w:val="000D2B18"/>
    <w:rsid w:val="000D2B23"/>
    <w:rsid w:val="000D2B2E"/>
    <w:rsid w:val="000D2BAE"/>
    <w:rsid w:val="000D2BDA"/>
    <w:rsid w:val="000D2BEC"/>
    <w:rsid w:val="000D2C2B"/>
    <w:rsid w:val="000D2C87"/>
    <w:rsid w:val="000D2C8B"/>
    <w:rsid w:val="000D2C9F"/>
    <w:rsid w:val="000D2CB3"/>
    <w:rsid w:val="000D2D01"/>
    <w:rsid w:val="000D2D19"/>
    <w:rsid w:val="000D2DE5"/>
    <w:rsid w:val="000D2E46"/>
    <w:rsid w:val="000D2EDB"/>
    <w:rsid w:val="000D2EF4"/>
    <w:rsid w:val="000D2F2B"/>
    <w:rsid w:val="000D2F41"/>
    <w:rsid w:val="000D2F59"/>
    <w:rsid w:val="000D2FC9"/>
    <w:rsid w:val="000D304F"/>
    <w:rsid w:val="000D3057"/>
    <w:rsid w:val="000D30BA"/>
    <w:rsid w:val="000D30DC"/>
    <w:rsid w:val="000D30F0"/>
    <w:rsid w:val="000D3160"/>
    <w:rsid w:val="000D31CD"/>
    <w:rsid w:val="000D321D"/>
    <w:rsid w:val="000D323A"/>
    <w:rsid w:val="000D323D"/>
    <w:rsid w:val="000D328A"/>
    <w:rsid w:val="000D32A0"/>
    <w:rsid w:val="000D32B6"/>
    <w:rsid w:val="000D32DF"/>
    <w:rsid w:val="000D3312"/>
    <w:rsid w:val="000D3349"/>
    <w:rsid w:val="000D3370"/>
    <w:rsid w:val="000D3371"/>
    <w:rsid w:val="000D3395"/>
    <w:rsid w:val="000D339C"/>
    <w:rsid w:val="000D339F"/>
    <w:rsid w:val="000D3442"/>
    <w:rsid w:val="000D344B"/>
    <w:rsid w:val="000D34C6"/>
    <w:rsid w:val="000D34F5"/>
    <w:rsid w:val="000D34F9"/>
    <w:rsid w:val="000D34FA"/>
    <w:rsid w:val="000D3516"/>
    <w:rsid w:val="000D3519"/>
    <w:rsid w:val="000D357B"/>
    <w:rsid w:val="000D35AE"/>
    <w:rsid w:val="000D3667"/>
    <w:rsid w:val="000D36AE"/>
    <w:rsid w:val="000D370A"/>
    <w:rsid w:val="000D3721"/>
    <w:rsid w:val="000D373A"/>
    <w:rsid w:val="000D374C"/>
    <w:rsid w:val="000D37D6"/>
    <w:rsid w:val="000D37FB"/>
    <w:rsid w:val="000D3828"/>
    <w:rsid w:val="000D3877"/>
    <w:rsid w:val="000D38D5"/>
    <w:rsid w:val="000D38DC"/>
    <w:rsid w:val="000D38DE"/>
    <w:rsid w:val="000D3975"/>
    <w:rsid w:val="000D3A42"/>
    <w:rsid w:val="000D3AC9"/>
    <w:rsid w:val="000D3AF7"/>
    <w:rsid w:val="000D3B2D"/>
    <w:rsid w:val="000D3B65"/>
    <w:rsid w:val="000D3BA0"/>
    <w:rsid w:val="000D3BD8"/>
    <w:rsid w:val="000D3C46"/>
    <w:rsid w:val="000D3C4C"/>
    <w:rsid w:val="000D3C6E"/>
    <w:rsid w:val="000D3C97"/>
    <w:rsid w:val="000D3D0E"/>
    <w:rsid w:val="000D3D36"/>
    <w:rsid w:val="000D3DA0"/>
    <w:rsid w:val="000D3DD1"/>
    <w:rsid w:val="000D3E40"/>
    <w:rsid w:val="000D3E55"/>
    <w:rsid w:val="000D3E5A"/>
    <w:rsid w:val="000D3ED5"/>
    <w:rsid w:val="000D3EFD"/>
    <w:rsid w:val="000D3F1B"/>
    <w:rsid w:val="000D3F57"/>
    <w:rsid w:val="000D3F75"/>
    <w:rsid w:val="000D3FB9"/>
    <w:rsid w:val="000D3FBA"/>
    <w:rsid w:val="000D3FD0"/>
    <w:rsid w:val="000D3FE5"/>
    <w:rsid w:val="000D4068"/>
    <w:rsid w:val="000D40BE"/>
    <w:rsid w:val="000D411A"/>
    <w:rsid w:val="000D412A"/>
    <w:rsid w:val="000D4171"/>
    <w:rsid w:val="000D41ED"/>
    <w:rsid w:val="000D4219"/>
    <w:rsid w:val="000D421F"/>
    <w:rsid w:val="000D4251"/>
    <w:rsid w:val="000D4280"/>
    <w:rsid w:val="000D42DF"/>
    <w:rsid w:val="000D4305"/>
    <w:rsid w:val="000D4372"/>
    <w:rsid w:val="000D437A"/>
    <w:rsid w:val="000D43A1"/>
    <w:rsid w:val="000D43AF"/>
    <w:rsid w:val="000D4507"/>
    <w:rsid w:val="000D455A"/>
    <w:rsid w:val="000D45C6"/>
    <w:rsid w:val="000D45D1"/>
    <w:rsid w:val="000D460C"/>
    <w:rsid w:val="000D46A3"/>
    <w:rsid w:val="000D46AC"/>
    <w:rsid w:val="000D46C1"/>
    <w:rsid w:val="000D46CB"/>
    <w:rsid w:val="000D4755"/>
    <w:rsid w:val="000D47A5"/>
    <w:rsid w:val="000D47B7"/>
    <w:rsid w:val="000D47EB"/>
    <w:rsid w:val="000D47EE"/>
    <w:rsid w:val="000D4858"/>
    <w:rsid w:val="000D4872"/>
    <w:rsid w:val="000D4875"/>
    <w:rsid w:val="000D48C8"/>
    <w:rsid w:val="000D4904"/>
    <w:rsid w:val="000D490C"/>
    <w:rsid w:val="000D4917"/>
    <w:rsid w:val="000D4976"/>
    <w:rsid w:val="000D49DD"/>
    <w:rsid w:val="000D4A25"/>
    <w:rsid w:val="000D4A37"/>
    <w:rsid w:val="000D4A40"/>
    <w:rsid w:val="000D4A47"/>
    <w:rsid w:val="000D4AF1"/>
    <w:rsid w:val="000D4B1B"/>
    <w:rsid w:val="000D4B2A"/>
    <w:rsid w:val="000D4B40"/>
    <w:rsid w:val="000D4B4E"/>
    <w:rsid w:val="000D4B63"/>
    <w:rsid w:val="000D4B8D"/>
    <w:rsid w:val="000D4C1E"/>
    <w:rsid w:val="000D4CC2"/>
    <w:rsid w:val="000D4D43"/>
    <w:rsid w:val="000D4D7D"/>
    <w:rsid w:val="000D4D84"/>
    <w:rsid w:val="000D4DA8"/>
    <w:rsid w:val="000D4E42"/>
    <w:rsid w:val="000D4E5C"/>
    <w:rsid w:val="000D4E7D"/>
    <w:rsid w:val="000D4E84"/>
    <w:rsid w:val="000D4EA8"/>
    <w:rsid w:val="000D4EB0"/>
    <w:rsid w:val="000D4EB8"/>
    <w:rsid w:val="000D4EFC"/>
    <w:rsid w:val="000D4F15"/>
    <w:rsid w:val="000D4F8A"/>
    <w:rsid w:val="000D4FDA"/>
    <w:rsid w:val="000D4FFD"/>
    <w:rsid w:val="000D5071"/>
    <w:rsid w:val="000D508C"/>
    <w:rsid w:val="000D50F1"/>
    <w:rsid w:val="000D516A"/>
    <w:rsid w:val="000D521D"/>
    <w:rsid w:val="000D523B"/>
    <w:rsid w:val="000D5281"/>
    <w:rsid w:val="000D5289"/>
    <w:rsid w:val="000D52A8"/>
    <w:rsid w:val="000D52E1"/>
    <w:rsid w:val="000D52E7"/>
    <w:rsid w:val="000D5379"/>
    <w:rsid w:val="000D53A7"/>
    <w:rsid w:val="000D53CF"/>
    <w:rsid w:val="000D53D0"/>
    <w:rsid w:val="000D53E5"/>
    <w:rsid w:val="000D53F6"/>
    <w:rsid w:val="000D5453"/>
    <w:rsid w:val="000D5460"/>
    <w:rsid w:val="000D546A"/>
    <w:rsid w:val="000D5485"/>
    <w:rsid w:val="000D549B"/>
    <w:rsid w:val="000D54C7"/>
    <w:rsid w:val="000D54F5"/>
    <w:rsid w:val="000D54FE"/>
    <w:rsid w:val="000D5533"/>
    <w:rsid w:val="000D5539"/>
    <w:rsid w:val="000D554F"/>
    <w:rsid w:val="000D556E"/>
    <w:rsid w:val="000D5576"/>
    <w:rsid w:val="000D5598"/>
    <w:rsid w:val="000D55ED"/>
    <w:rsid w:val="000D561C"/>
    <w:rsid w:val="000D5629"/>
    <w:rsid w:val="000D5646"/>
    <w:rsid w:val="000D5667"/>
    <w:rsid w:val="000D56CD"/>
    <w:rsid w:val="000D56F9"/>
    <w:rsid w:val="000D5799"/>
    <w:rsid w:val="000D57BE"/>
    <w:rsid w:val="000D57FA"/>
    <w:rsid w:val="000D57FB"/>
    <w:rsid w:val="000D5806"/>
    <w:rsid w:val="000D5825"/>
    <w:rsid w:val="000D584E"/>
    <w:rsid w:val="000D587E"/>
    <w:rsid w:val="000D58B4"/>
    <w:rsid w:val="000D5914"/>
    <w:rsid w:val="000D5926"/>
    <w:rsid w:val="000D5940"/>
    <w:rsid w:val="000D5955"/>
    <w:rsid w:val="000D59ED"/>
    <w:rsid w:val="000D5A7A"/>
    <w:rsid w:val="000D5AD1"/>
    <w:rsid w:val="000D5ADF"/>
    <w:rsid w:val="000D5B6A"/>
    <w:rsid w:val="000D5BDA"/>
    <w:rsid w:val="000D5C43"/>
    <w:rsid w:val="000D5C4F"/>
    <w:rsid w:val="000D5C57"/>
    <w:rsid w:val="000D5C8D"/>
    <w:rsid w:val="000D5C8F"/>
    <w:rsid w:val="000D5D36"/>
    <w:rsid w:val="000D5D55"/>
    <w:rsid w:val="000D5D71"/>
    <w:rsid w:val="000D5D92"/>
    <w:rsid w:val="000D5DAD"/>
    <w:rsid w:val="000D5DC5"/>
    <w:rsid w:val="000D5DDC"/>
    <w:rsid w:val="000D5ECD"/>
    <w:rsid w:val="000D5ED2"/>
    <w:rsid w:val="000D5F38"/>
    <w:rsid w:val="000D5F87"/>
    <w:rsid w:val="000D5FAF"/>
    <w:rsid w:val="000D609B"/>
    <w:rsid w:val="000D60CA"/>
    <w:rsid w:val="000D60CE"/>
    <w:rsid w:val="000D612A"/>
    <w:rsid w:val="000D612F"/>
    <w:rsid w:val="000D6134"/>
    <w:rsid w:val="000D6138"/>
    <w:rsid w:val="000D61D1"/>
    <w:rsid w:val="000D6221"/>
    <w:rsid w:val="000D6225"/>
    <w:rsid w:val="000D6254"/>
    <w:rsid w:val="000D6281"/>
    <w:rsid w:val="000D62B5"/>
    <w:rsid w:val="000D6348"/>
    <w:rsid w:val="000D636C"/>
    <w:rsid w:val="000D640A"/>
    <w:rsid w:val="000D6411"/>
    <w:rsid w:val="000D6428"/>
    <w:rsid w:val="000D6454"/>
    <w:rsid w:val="000D6476"/>
    <w:rsid w:val="000D647D"/>
    <w:rsid w:val="000D64FF"/>
    <w:rsid w:val="000D6507"/>
    <w:rsid w:val="000D650B"/>
    <w:rsid w:val="000D651F"/>
    <w:rsid w:val="000D6537"/>
    <w:rsid w:val="000D656F"/>
    <w:rsid w:val="000D659B"/>
    <w:rsid w:val="000D6614"/>
    <w:rsid w:val="000D663C"/>
    <w:rsid w:val="000D668E"/>
    <w:rsid w:val="000D66CD"/>
    <w:rsid w:val="000D66FD"/>
    <w:rsid w:val="000D6706"/>
    <w:rsid w:val="000D6726"/>
    <w:rsid w:val="000D676C"/>
    <w:rsid w:val="000D676E"/>
    <w:rsid w:val="000D677E"/>
    <w:rsid w:val="000D67D2"/>
    <w:rsid w:val="000D68F3"/>
    <w:rsid w:val="000D69BF"/>
    <w:rsid w:val="000D69D7"/>
    <w:rsid w:val="000D6A0E"/>
    <w:rsid w:val="000D6A38"/>
    <w:rsid w:val="000D6A69"/>
    <w:rsid w:val="000D6A9C"/>
    <w:rsid w:val="000D6ABD"/>
    <w:rsid w:val="000D6AD8"/>
    <w:rsid w:val="000D6B1F"/>
    <w:rsid w:val="000D6B2E"/>
    <w:rsid w:val="000D6B3E"/>
    <w:rsid w:val="000D6B4A"/>
    <w:rsid w:val="000D6B7B"/>
    <w:rsid w:val="000D6B8D"/>
    <w:rsid w:val="000D6B95"/>
    <w:rsid w:val="000D6B9B"/>
    <w:rsid w:val="000D6BFB"/>
    <w:rsid w:val="000D6C08"/>
    <w:rsid w:val="000D6C9E"/>
    <w:rsid w:val="000D6CA2"/>
    <w:rsid w:val="000D6D61"/>
    <w:rsid w:val="000D6DEF"/>
    <w:rsid w:val="000D6E04"/>
    <w:rsid w:val="000D6E0A"/>
    <w:rsid w:val="000D6E1F"/>
    <w:rsid w:val="000D6E5F"/>
    <w:rsid w:val="000D6E61"/>
    <w:rsid w:val="000D6E71"/>
    <w:rsid w:val="000D6E88"/>
    <w:rsid w:val="000D6E9E"/>
    <w:rsid w:val="000D6EC1"/>
    <w:rsid w:val="000D6F68"/>
    <w:rsid w:val="000D6FA6"/>
    <w:rsid w:val="000D7014"/>
    <w:rsid w:val="000D702F"/>
    <w:rsid w:val="000D7049"/>
    <w:rsid w:val="000D70A7"/>
    <w:rsid w:val="000D70BB"/>
    <w:rsid w:val="000D70C1"/>
    <w:rsid w:val="000D70C7"/>
    <w:rsid w:val="000D70CD"/>
    <w:rsid w:val="000D70E2"/>
    <w:rsid w:val="000D7126"/>
    <w:rsid w:val="000D7137"/>
    <w:rsid w:val="000D71DF"/>
    <w:rsid w:val="000D71E9"/>
    <w:rsid w:val="000D7236"/>
    <w:rsid w:val="000D726C"/>
    <w:rsid w:val="000D72BF"/>
    <w:rsid w:val="000D7381"/>
    <w:rsid w:val="000D73AC"/>
    <w:rsid w:val="000D7405"/>
    <w:rsid w:val="000D747E"/>
    <w:rsid w:val="000D748C"/>
    <w:rsid w:val="000D74D8"/>
    <w:rsid w:val="000D7552"/>
    <w:rsid w:val="000D7572"/>
    <w:rsid w:val="000D75B6"/>
    <w:rsid w:val="000D7631"/>
    <w:rsid w:val="000D7683"/>
    <w:rsid w:val="000D76A1"/>
    <w:rsid w:val="000D76CC"/>
    <w:rsid w:val="000D76D3"/>
    <w:rsid w:val="000D7740"/>
    <w:rsid w:val="000D7754"/>
    <w:rsid w:val="000D7771"/>
    <w:rsid w:val="000D7777"/>
    <w:rsid w:val="000D777E"/>
    <w:rsid w:val="000D77DA"/>
    <w:rsid w:val="000D77F2"/>
    <w:rsid w:val="000D781A"/>
    <w:rsid w:val="000D7832"/>
    <w:rsid w:val="000D7871"/>
    <w:rsid w:val="000D789C"/>
    <w:rsid w:val="000D78BF"/>
    <w:rsid w:val="000D78E7"/>
    <w:rsid w:val="000D7976"/>
    <w:rsid w:val="000D7977"/>
    <w:rsid w:val="000D79C2"/>
    <w:rsid w:val="000D7A7D"/>
    <w:rsid w:val="000D7AC8"/>
    <w:rsid w:val="000D7AD5"/>
    <w:rsid w:val="000D7B15"/>
    <w:rsid w:val="000D7BC3"/>
    <w:rsid w:val="000D7BC5"/>
    <w:rsid w:val="000D7C7F"/>
    <w:rsid w:val="000D7CE5"/>
    <w:rsid w:val="000D7D35"/>
    <w:rsid w:val="000D7D3D"/>
    <w:rsid w:val="000D7DA6"/>
    <w:rsid w:val="000D7DA8"/>
    <w:rsid w:val="000D7DE3"/>
    <w:rsid w:val="000D7DE9"/>
    <w:rsid w:val="000D7DFC"/>
    <w:rsid w:val="000D7E0B"/>
    <w:rsid w:val="000D7E1C"/>
    <w:rsid w:val="000D7E23"/>
    <w:rsid w:val="000D7EE1"/>
    <w:rsid w:val="000D7F07"/>
    <w:rsid w:val="000D7F18"/>
    <w:rsid w:val="000D7F49"/>
    <w:rsid w:val="000D7F83"/>
    <w:rsid w:val="000D7F9D"/>
    <w:rsid w:val="000E000D"/>
    <w:rsid w:val="000E0033"/>
    <w:rsid w:val="000E005C"/>
    <w:rsid w:val="000E008C"/>
    <w:rsid w:val="000E00EE"/>
    <w:rsid w:val="000E0123"/>
    <w:rsid w:val="000E012B"/>
    <w:rsid w:val="000E0175"/>
    <w:rsid w:val="000E017D"/>
    <w:rsid w:val="000E019B"/>
    <w:rsid w:val="000E01E3"/>
    <w:rsid w:val="000E0207"/>
    <w:rsid w:val="000E023F"/>
    <w:rsid w:val="000E0256"/>
    <w:rsid w:val="000E0263"/>
    <w:rsid w:val="000E02AA"/>
    <w:rsid w:val="000E02BC"/>
    <w:rsid w:val="000E02D7"/>
    <w:rsid w:val="000E032D"/>
    <w:rsid w:val="000E03DE"/>
    <w:rsid w:val="000E0498"/>
    <w:rsid w:val="000E04AB"/>
    <w:rsid w:val="000E04F2"/>
    <w:rsid w:val="000E04F5"/>
    <w:rsid w:val="000E04FD"/>
    <w:rsid w:val="000E0528"/>
    <w:rsid w:val="000E053E"/>
    <w:rsid w:val="000E057E"/>
    <w:rsid w:val="000E059F"/>
    <w:rsid w:val="000E05F2"/>
    <w:rsid w:val="000E0630"/>
    <w:rsid w:val="000E06A8"/>
    <w:rsid w:val="000E06E2"/>
    <w:rsid w:val="000E077D"/>
    <w:rsid w:val="000E0784"/>
    <w:rsid w:val="000E07AB"/>
    <w:rsid w:val="000E0815"/>
    <w:rsid w:val="000E083B"/>
    <w:rsid w:val="000E0882"/>
    <w:rsid w:val="000E0890"/>
    <w:rsid w:val="000E08F6"/>
    <w:rsid w:val="000E091E"/>
    <w:rsid w:val="000E092A"/>
    <w:rsid w:val="000E093D"/>
    <w:rsid w:val="000E0950"/>
    <w:rsid w:val="000E095B"/>
    <w:rsid w:val="000E099D"/>
    <w:rsid w:val="000E09FB"/>
    <w:rsid w:val="000E0A38"/>
    <w:rsid w:val="000E0A8C"/>
    <w:rsid w:val="000E0AC9"/>
    <w:rsid w:val="000E0B05"/>
    <w:rsid w:val="000E0B1A"/>
    <w:rsid w:val="000E0B2D"/>
    <w:rsid w:val="000E0B4F"/>
    <w:rsid w:val="000E0BA2"/>
    <w:rsid w:val="000E0BBE"/>
    <w:rsid w:val="000E0BCA"/>
    <w:rsid w:val="000E0BF2"/>
    <w:rsid w:val="000E0C19"/>
    <w:rsid w:val="000E0CFC"/>
    <w:rsid w:val="000E0D5C"/>
    <w:rsid w:val="000E0D6B"/>
    <w:rsid w:val="000E0D79"/>
    <w:rsid w:val="000E0D9B"/>
    <w:rsid w:val="000E0E2A"/>
    <w:rsid w:val="000E0EC0"/>
    <w:rsid w:val="000E0EC3"/>
    <w:rsid w:val="000E0EEF"/>
    <w:rsid w:val="000E0EF9"/>
    <w:rsid w:val="000E0EFE"/>
    <w:rsid w:val="000E0F3C"/>
    <w:rsid w:val="000E0F59"/>
    <w:rsid w:val="000E0FB7"/>
    <w:rsid w:val="000E0FC9"/>
    <w:rsid w:val="000E0FD5"/>
    <w:rsid w:val="000E0FD9"/>
    <w:rsid w:val="000E0FEF"/>
    <w:rsid w:val="000E1027"/>
    <w:rsid w:val="000E1053"/>
    <w:rsid w:val="000E109C"/>
    <w:rsid w:val="000E109F"/>
    <w:rsid w:val="000E10A4"/>
    <w:rsid w:val="000E10B8"/>
    <w:rsid w:val="000E1144"/>
    <w:rsid w:val="000E1154"/>
    <w:rsid w:val="000E1175"/>
    <w:rsid w:val="000E11D3"/>
    <w:rsid w:val="000E122B"/>
    <w:rsid w:val="000E1292"/>
    <w:rsid w:val="000E129E"/>
    <w:rsid w:val="000E12B5"/>
    <w:rsid w:val="000E12E8"/>
    <w:rsid w:val="000E136A"/>
    <w:rsid w:val="000E13A5"/>
    <w:rsid w:val="000E13D8"/>
    <w:rsid w:val="000E13EC"/>
    <w:rsid w:val="000E141B"/>
    <w:rsid w:val="000E1448"/>
    <w:rsid w:val="000E148C"/>
    <w:rsid w:val="000E14BA"/>
    <w:rsid w:val="000E14C3"/>
    <w:rsid w:val="000E14C9"/>
    <w:rsid w:val="000E14F9"/>
    <w:rsid w:val="000E1500"/>
    <w:rsid w:val="000E151C"/>
    <w:rsid w:val="000E1558"/>
    <w:rsid w:val="000E157C"/>
    <w:rsid w:val="000E1651"/>
    <w:rsid w:val="000E165A"/>
    <w:rsid w:val="000E16AD"/>
    <w:rsid w:val="000E16FC"/>
    <w:rsid w:val="000E1730"/>
    <w:rsid w:val="000E176B"/>
    <w:rsid w:val="000E17D7"/>
    <w:rsid w:val="000E17DB"/>
    <w:rsid w:val="000E1890"/>
    <w:rsid w:val="000E1954"/>
    <w:rsid w:val="000E197B"/>
    <w:rsid w:val="000E1A01"/>
    <w:rsid w:val="000E1A06"/>
    <w:rsid w:val="000E1A41"/>
    <w:rsid w:val="000E1A4B"/>
    <w:rsid w:val="000E1A9E"/>
    <w:rsid w:val="000E1AF0"/>
    <w:rsid w:val="000E1B13"/>
    <w:rsid w:val="000E1B24"/>
    <w:rsid w:val="000E1B3B"/>
    <w:rsid w:val="000E1B76"/>
    <w:rsid w:val="000E1B94"/>
    <w:rsid w:val="000E1BC9"/>
    <w:rsid w:val="000E1C0F"/>
    <w:rsid w:val="000E1C15"/>
    <w:rsid w:val="000E1C44"/>
    <w:rsid w:val="000E1C7A"/>
    <w:rsid w:val="000E1C84"/>
    <w:rsid w:val="000E1CB9"/>
    <w:rsid w:val="000E1D5D"/>
    <w:rsid w:val="000E1DAB"/>
    <w:rsid w:val="000E1DC8"/>
    <w:rsid w:val="000E1DCD"/>
    <w:rsid w:val="000E1E26"/>
    <w:rsid w:val="000E1E27"/>
    <w:rsid w:val="000E1E9A"/>
    <w:rsid w:val="000E1EA5"/>
    <w:rsid w:val="000E1F25"/>
    <w:rsid w:val="000E1F34"/>
    <w:rsid w:val="000E1F38"/>
    <w:rsid w:val="000E1FCD"/>
    <w:rsid w:val="000E1FDD"/>
    <w:rsid w:val="000E1FEB"/>
    <w:rsid w:val="000E2055"/>
    <w:rsid w:val="000E205A"/>
    <w:rsid w:val="000E20F0"/>
    <w:rsid w:val="000E20F7"/>
    <w:rsid w:val="000E2144"/>
    <w:rsid w:val="000E219F"/>
    <w:rsid w:val="000E21B0"/>
    <w:rsid w:val="000E21C7"/>
    <w:rsid w:val="000E21F4"/>
    <w:rsid w:val="000E22BA"/>
    <w:rsid w:val="000E2312"/>
    <w:rsid w:val="000E239C"/>
    <w:rsid w:val="000E23C6"/>
    <w:rsid w:val="000E2415"/>
    <w:rsid w:val="000E2461"/>
    <w:rsid w:val="000E24AF"/>
    <w:rsid w:val="000E2513"/>
    <w:rsid w:val="000E251D"/>
    <w:rsid w:val="000E2555"/>
    <w:rsid w:val="000E2573"/>
    <w:rsid w:val="000E25E9"/>
    <w:rsid w:val="000E25ED"/>
    <w:rsid w:val="000E264F"/>
    <w:rsid w:val="000E26C9"/>
    <w:rsid w:val="000E2757"/>
    <w:rsid w:val="000E27A9"/>
    <w:rsid w:val="000E27ED"/>
    <w:rsid w:val="000E282E"/>
    <w:rsid w:val="000E284F"/>
    <w:rsid w:val="000E285E"/>
    <w:rsid w:val="000E2892"/>
    <w:rsid w:val="000E28B8"/>
    <w:rsid w:val="000E2946"/>
    <w:rsid w:val="000E294B"/>
    <w:rsid w:val="000E296A"/>
    <w:rsid w:val="000E296B"/>
    <w:rsid w:val="000E29DA"/>
    <w:rsid w:val="000E29E2"/>
    <w:rsid w:val="000E2A54"/>
    <w:rsid w:val="000E2A60"/>
    <w:rsid w:val="000E2A86"/>
    <w:rsid w:val="000E2AC0"/>
    <w:rsid w:val="000E2B8A"/>
    <w:rsid w:val="000E2B96"/>
    <w:rsid w:val="000E2C03"/>
    <w:rsid w:val="000E2C10"/>
    <w:rsid w:val="000E2C3C"/>
    <w:rsid w:val="000E2C4B"/>
    <w:rsid w:val="000E2C9D"/>
    <w:rsid w:val="000E2C9E"/>
    <w:rsid w:val="000E2CC9"/>
    <w:rsid w:val="000E2CE8"/>
    <w:rsid w:val="000E2CEA"/>
    <w:rsid w:val="000E2CEB"/>
    <w:rsid w:val="000E2D1B"/>
    <w:rsid w:val="000E2D28"/>
    <w:rsid w:val="000E2D42"/>
    <w:rsid w:val="000E2D46"/>
    <w:rsid w:val="000E2D60"/>
    <w:rsid w:val="000E2D63"/>
    <w:rsid w:val="000E2DAE"/>
    <w:rsid w:val="000E2DFB"/>
    <w:rsid w:val="000E2E9E"/>
    <w:rsid w:val="000E2F2E"/>
    <w:rsid w:val="000E2F5E"/>
    <w:rsid w:val="000E2F7B"/>
    <w:rsid w:val="000E2F98"/>
    <w:rsid w:val="000E3046"/>
    <w:rsid w:val="000E304A"/>
    <w:rsid w:val="000E3061"/>
    <w:rsid w:val="000E3086"/>
    <w:rsid w:val="000E30D8"/>
    <w:rsid w:val="000E3111"/>
    <w:rsid w:val="000E3140"/>
    <w:rsid w:val="000E324D"/>
    <w:rsid w:val="000E3251"/>
    <w:rsid w:val="000E327F"/>
    <w:rsid w:val="000E32A7"/>
    <w:rsid w:val="000E32B5"/>
    <w:rsid w:val="000E32BE"/>
    <w:rsid w:val="000E3324"/>
    <w:rsid w:val="000E33B3"/>
    <w:rsid w:val="000E33B8"/>
    <w:rsid w:val="000E3432"/>
    <w:rsid w:val="000E343E"/>
    <w:rsid w:val="000E345B"/>
    <w:rsid w:val="000E345E"/>
    <w:rsid w:val="000E34CD"/>
    <w:rsid w:val="000E34FB"/>
    <w:rsid w:val="000E34FF"/>
    <w:rsid w:val="000E3578"/>
    <w:rsid w:val="000E358B"/>
    <w:rsid w:val="000E35B6"/>
    <w:rsid w:val="000E35BB"/>
    <w:rsid w:val="000E35C6"/>
    <w:rsid w:val="000E35CB"/>
    <w:rsid w:val="000E3620"/>
    <w:rsid w:val="000E3626"/>
    <w:rsid w:val="000E365C"/>
    <w:rsid w:val="000E3684"/>
    <w:rsid w:val="000E36AC"/>
    <w:rsid w:val="000E36B0"/>
    <w:rsid w:val="000E36BD"/>
    <w:rsid w:val="000E3752"/>
    <w:rsid w:val="000E379A"/>
    <w:rsid w:val="000E37CC"/>
    <w:rsid w:val="000E37DC"/>
    <w:rsid w:val="000E3856"/>
    <w:rsid w:val="000E387B"/>
    <w:rsid w:val="000E396C"/>
    <w:rsid w:val="000E3997"/>
    <w:rsid w:val="000E3A66"/>
    <w:rsid w:val="000E3A84"/>
    <w:rsid w:val="000E3A92"/>
    <w:rsid w:val="000E3A9F"/>
    <w:rsid w:val="000E3AAD"/>
    <w:rsid w:val="000E3ACB"/>
    <w:rsid w:val="000E3B42"/>
    <w:rsid w:val="000E3B4F"/>
    <w:rsid w:val="000E3B68"/>
    <w:rsid w:val="000E3B83"/>
    <w:rsid w:val="000E3B8A"/>
    <w:rsid w:val="000E3B8C"/>
    <w:rsid w:val="000E3C0F"/>
    <w:rsid w:val="000E3C77"/>
    <w:rsid w:val="000E3CF7"/>
    <w:rsid w:val="000E3D29"/>
    <w:rsid w:val="000E3D37"/>
    <w:rsid w:val="000E3D73"/>
    <w:rsid w:val="000E3DB2"/>
    <w:rsid w:val="000E3DCF"/>
    <w:rsid w:val="000E3DD9"/>
    <w:rsid w:val="000E3E8B"/>
    <w:rsid w:val="000E3E96"/>
    <w:rsid w:val="000E3FA0"/>
    <w:rsid w:val="000E4038"/>
    <w:rsid w:val="000E404A"/>
    <w:rsid w:val="000E40D5"/>
    <w:rsid w:val="000E412D"/>
    <w:rsid w:val="000E4131"/>
    <w:rsid w:val="000E415D"/>
    <w:rsid w:val="000E41BE"/>
    <w:rsid w:val="000E4253"/>
    <w:rsid w:val="000E4258"/>
    <w:rsid w:val="000E42A3"/>
    <w:rsid w:val="000E4373"/>
    <w:rsid w:val="000E43C1"/>
    <w:rsid w:val="000E43FB"/>
    <w:rsid w:val="000E43FE"/>
    <w:rsid w:val="000E4434"/>
    <w:rsid w:val="000E4437"/>
    <w:rsid w:val="000E444B"/>
    <w:rsid w:val="000E4470"/>
    <w:rsid w:val="000E4474"/>
    <w:rsid w:val="000E449F"/>
    <w:rsid w:val="000E4580"/>
    <w:rsid w:val="000E458B"/>
    <w:rsid w:val="000E45AA"/>
    <w:rsid w:val="000E45EA"/>
    <w:rsid w:val="000E45F6"/>
    <w:rsid w:val="000E4649"/>
    <w:rsid w:val="000E4688"/>
    <w:rsid w:val="000E46F4"/>
    <w:rsid w:val="000E4729"/>
    <w:rsid w:val="000E47B7"/>
    <w:rsid w:val="000E47C4"/>
    <w:rsid w:val="000E47E6"/>
    <w:rsid w:val="000E4836"/>
    <w:rsid w:val="000E486B"/>
    <w:rsid w:val="000E48A2"/>
    <w:rsid w:val="000E4904"/>
    <w:rsid w:val="000E493A"/>
    <w:rsid w:val="000E4980"/>
    <w:rsid w:val="000E498A"/>
    <w:rsid w:val="000E49A4"/>
    <w:rsid w:val="000E4A12"/>
    <w:rsid w:val="000E4A47"/>
    <w:rsid w:val="000E4A65"/>
    <w:rsid w:val="000E4A9B"/>
    <w:rsid w:val="000E4AD1"/>
    <w:rsid w:val="000E4B00"/>
    <w:rsid w:val="000E4B5B"/>
    <w:rsid w:val="000E4B69"/>
    <w:rsid w:val="000E4B92"/>
    <w:rsid w:val="000E4B9E"/>
    <w:rsid w:val="000E4BBC"/>
    <w:rsid w:val="000E4C0B"/>
    <w:rsid w:val="000E4C0E"/>
    <w:rsid w:val="000E4C2B"/>
    <w:rsid w:val="000E4C74"/>
    <w:rsid w:val="000E4D2A"/>
    <w:rsid w:val="000E4D2B"/>
    <w:rsid w:val="000E4D32"/>
    <w:rsid w:val="000E4D7D"/>
    <w:rsid w:val="000E4D85"/>
    <w:rsid w:val="000E4DAF"/>
    <w:rsid w:val="000E4DB0"/>
    <w:rsid w:val="000E4DD3"/>
    <w:rsid w:val="000E4DE6"/>
    <w:rsid w:val="000E4DEF"/>
    <w:rsid w:val="000E4E1E"/>
    <w:rsid w:val="000E4E70"/>
    <w:rsid w:val="000E4F00"/>
    <w:rsid w:val="000E5070"/>
    <w:rsid w:val="000E5084"/>
    <w:rsid w:val="000E50D8"/>
    <w:rsid w:val="000E50DF"/>
    <w:rsid w:val="000E5116"/>
    <w:rsid w:val="000E5144"/>
    <w:rsid w:val="000E5154"/>
    <w:rsid w:val="000E5167"/>
    <w:rsid w:val="000E516D"/>
    <w:rsid w:val="000E5171"/>
    <w:rsid w:val="000E51A4"/>
    <w:rsid w:val="000E51D0"/>
    <w:rsid w:val="000E51D5"/>
    <w:rsid w:val="000E51DD"/>
    <w:rsid w:val="000E5210"/>
    <w:rsid w:val="000E523D"/>
    <w:rsid w:val="000E5244"/>
    <w:rsid w:val="000E52D2"/>
    <w:rsid w:val="000E531C"/>
    <w:rsid w:val="000E5376"/>
    <w:rsid w:val="000E5395"/>
    <w:rsid w:val="000E542A"/>
    <w:rsid w:val="000E5446"/>
    <w:rsid w:val="000E545E"/>
    <w:rsid w:val="000E5471"/>
    <w:rsid w:val="000E5483"/>
    <w:rsid w:val="000E5497"/>
    <w:rsid w:val="000E5508"/>
    <w:rsid w:val="000E5513"/>
    <w:rsid w:val="000E5523"/>
    <w:rsid w:val="000E5545"/>
    <w:rsid w:val="000E5552"/>
    <w:rsid w:val="000E5578"/>
    <w:rsid w:val="000E55C7"/>
    <w:rsid w:val="000E55EC"/>
    <w:rsid w:val="000E55F3"/>
    <w:rsid w:val="000E5612"/>
    <w:rsid w:val="000E562D"/>
    <w:rsid w:val="000E56B6"/>
    <w:rsid w:val="000E56F5"/>
    <w:rsid w:val="000E570E"/>
    <w:rsid w:val="000E5712"/>
    <w:rsid w:val="000E57B9"/>
    <w:rsid w:val="000E57F2"/>
    <w:rsid w:val="000E5881"/>
    <w:rsid w:val="000E589F"/>
    <w:rsid w:val="000E58F1"/>
    <w:rsid w:val="000E5912"/>
    <w:rsid w:val="000E592C"/>
    <w:rsid w:val="000E5958"/>
    <w:rsid w:val="000E599A"/>
    <w:rsid w:val="000E599F"/>
    <w:rsid w:val="000E59B6"/>
    <w:rsid w:val="000E5A82"/>
    <w:rsid w:val="000E5B48"/>
    <w:rsid w:val="000E5B6E"/>
    <w:rsid w:val="000E5B7A"/>
    <w:rsid w:val="000E5BA0"/>
    <w:rsid w:val="000E5BA3"/>
    <w:rsid w:val="000E5C22"/>
    <w:rsid w:val="000E5C4D"/>
    <w:rsid w:val="000E5C60"/>
    <w:rsid w:val="000E5C7B"/>
    <w:rsid w:val="000E5CD1"/>
    <w:rsid w:val="000E5CF4"/>
    <w:rsid w:val="000E5D08"/>
    <w:rsid w:val="000E5D15"/>
    <w:rsid w:val="000E5D5E"/>
    <w:rsid w:val="000E5D8A"/>
    <w:rsid w:val="000E5DE4"/>
    <w:rsid w:val="000E5DFE"/>
    <w:rsid w:val="000E5E20"/>
    <w:rsid w:val="000E5E28"/>
    <w:rsid w:val="000E5E2C"/>
    <w:rsid w:val="000E5E57"/>
    <w:rsid w:val="000E5E84"/>
    <w:rsid w:val="000E5E87"/>
    <w:rsid w:val="000E5EB0"/>
    <w:rsid w:val="000E5F33"/>
    <w:rsid w:val="000E5F6C"/>
    <w:rsid w:val="000E5F8A"/>
    <w:rsid w:val="000E5F94"/>
    <w:rsid w:val="000E5FA2"/>
    <w:rsid w:val="000E5FB7"/>
    <w:rsid w:val="000E6007"/>
    <w:rsid w:val="000E604C"/>
    <w:rsid w:val="000E6078"/>
    <w:rsid w:val="000E609D"/>
    <w:rsid w:val="000E60F2"/>
    <w:rsid w:val="000E612A"/>
    <w:rsid w:val="000E612E"/>
    <w:rsid w:val="000E6134"/>
    <w:rsid w:val="000E615E"/>
    <w:rsid w:val="000E6194"/>
    <w:rsid w:val="000E6266"/>
    <w:rsid w:val="000E627B"/>
    <w:rsid w:val="000E62EF"/>
    <w:rsid w:val="000E632C"/>
    <w:rsid w:val="000E6345"/>
    <w:rsid w:val="000E63BC"/>
    <w:rsid w:val="000E6483"/>
    <w:rsid w:val="000E648F"/>
    <w:rsid w:val="000E64A2"/>
    <w:rsid w:val="000E6523"/>
    <w:rsid w:val="000E65AD"/>
    <w:rsid w:val="000E65F2"/>
    <w:rsid w:val="000E6650"/>
    <w:rsid w:val="000E6653"/>
    <w:rsid w:val="000E66AC"/>
    <w:rsid w:val="000E66D0"/>
    <w:rsid w:val="000E6710"/>
    <w:rsid w:val="000E6730"/>
    <w:rsid w:val="000E67D0"/>
    <w:rsid w:val="000E6816"/>
    <w:rsid w:val="000E686C"/>
    <w:rsid w:val="000E68A1"/>
    <w:rsid w:val="000E68A4"/>
    <w:rsid w:val="000E690A"/>
    <w:rsid w:val="000E6937"/>
    <w:rsid w:val="000E69E8"/>
    <w:rsid w:val="000E6A44"/>
    <w:rsid w:val="000E6A87"/>
    <w:rsid w:val="000E6A94"/>
    <w:rsid w:val="000E6A98"/>
    <w:rsid w:val="000E6B02"/>
    <w:rsid w:val="000E6BC9"/>
    <w:rsid w:val="000E6BF7"/>
    <w:rsid w:val="000E6C10"/>
    <w:rsid w:val="000E6C2A"/>
    <w:rsid w:val="000E6C50"/>
    <w:rsid w:val="000E6C5B"/>
    <w:rsid w:val="000E6C85"/>
    <w:rsid w:val="000E6CDC"/>
    <w:rsid w:val="000E6CDD"/>
    <w:rsid w:val="000E6CFA"/>
    <w:rsid w:val="000E6D68"/>
    <w:rsid w:val="000E6D9A"/>
    <w:rsid w:val="000E6DCC"/>
    <w:rsid w:val="000E6DDD"/>
    <w:rsid w:val="000E6DF2"/>
    <w:rsid w:val="000E6DF8"/>
    <w:rsid w:val="000E6E8C"/>
    <w:rsid w:val="000E6EDE"/>
    <w:rsid w:val="000E6EF4"/>
    <w:rsid w:val="000E6F28"/>
    <w:rsid w:val="000E6F81"/>
    <w:rsid w:val="000E6FD7"/>
    <w:rsid w:val="000E7033"/>
    <w:rsid w:val="000E709E"/>
    <w:rsid w:val="000E70A4"/>
    <w:rsid w:val="000E70D1"/>
    <w:rsid w:val="000E7100"/>
    <w:rsid w:val="000E716E"/>
    <w:rsid w:val="000E7191"/>
    <w:rsid w:val="000E71BB"/>
    <w:rsid w:val="000E71CE"/>
    <w:rsid w:val="000E7207"/>
    <w:rsid w:val="000E7214"/>
    <w:rsid w:val="000E7270"/>
    <w:rsid w:val="000E729C"/>
    <w:rsid w:val="000E7346"/>
    <w:rsid w:val="000E7351"/>
    <w:rsid w:val="000E7368"/>
    <w:rsid w:val="000E737F"/>
    <w:rsid w:val="000E7387"/>
    <w:rsid w:val="000E73C1"/>
    <w:rsid w:val="000E73FC"/>
    <w:rsid w:val="000E745B"/>
    <w:rsid w:val="000E7469"/>
    <w:rsid w:val="000E749E"/>
    <w:rsid w:val="000E74A0"/>
    <w:rsid w:val="000E7509"/>
    <w:rsid w:val="000E7576"/>
    <w:rsid w:val="000E7578"/>
    <w:rsid w:val="000E75B8"/>
    <w:rsid w:val="000E7664"/>
    <w:rsid w:val="000E766D"/>
    <w:rsid w:val="000E7682"/>
    <w:rsid w:val="000E76C9"/>
    <w:rsid w:val="000E76EF"/>
    <w:rsid w:val="000E7715"/>
    <w:rsid w:val="000E77A1"/>
    <w:rsid w:val="000E7806"/>
    <w:rsid w:val="000E788D"/>
    <w:rsid w:val="000E788F"/>
    <w:rsid w:val="000E78B5"/>
    <w:rsid w:val="000E78C7"/>
    <w:rsid w:val="000E790B"/>
    <w:rsid w:val="000E7964"/>
    <w:rsid w:val="000E796B"/>
    <w:rsid w:val="000E7A1D"/>
    <w:rsid w:val="000E7A25"/>
    <w:rsid w:val="000E7A48"/>
    <w:rsid w:val="000E7A79"/>
    <w:rsid w:val="000E7AD9"/>
    <w:rsid w:val="000E7B12"/>
    <w:rsid w:val="000E7B72"/>
    <w:rsid w:val="000E7B7D"/>
    <w:rsid w:val="000E7BCF"/>
    <w:rsid w:val="000E7BE0"/>
    <w:rsid w:val="000E7C07"/>
    <w:rsid w:val="000E7C51"/>
    <w:rsid w:val="000E7CD3"/>
    <w:rsid w:val="000E7D06"/>
    <w:rsid w:val="000E7D1A"/>
    <w:rsid w:val="000E7D6C"/>
    <w:rsid w:val="000E7DF8"/>
    <w:rsid w:val="000E7E05"/>
    <w:rsid w:val="000E7EAE"/>
    <w:rsid w:val="000E7F15"/>
    <w:rsid w:val="000E7F5C"/>
    <w:rsid w:val="000E7F79"/>
    <w:rsid w:val="000E7FAE"/>
    <w:rsid w:val="000F001E"/>
    <w:rsid w:val="000F0028"/>
    <w:rsid w:val="000F005F"/>
    <w:rsid w:val="000F0088"/>
    <w:rsid w:val="000F008E"/>
    <w:rsid w:val="000F00D7"/>
    <w:rsid w:val="000F010B"/>
    <w:rsid w:val="000F0162"/>
    <w:rsid w:val="000F0282"/>
    <w:rsid w:val="000F02EA"/>
    <w:rsid w:val="000F0357"/>
    <w:rsid w:val="000F037A"/>
    <w:rsid w:val="000F0398"/>
    <w:rsid w:val="000F03AD"/>
    <w:rsid w:val="000F03D2"/>
    <w:rsid w:val="000F03DD"/>
    <w:rsid w:val="000F03F0"/>
    <w:rsid w:val="000F041F"/>
    <w:rsid w:val="000F0432"/>
    <w:rsid w:val="000F046C"/>
    <w:rsid w:val="000F04E7"/>
    <w:rsid w:val="000F0518"/>
    <w:rsid w:val="000F053A"/>
    <w:rsid w:val="000F055C"/>
    <w:rsid w:val="000F05D0"/>
    <w:rsid w:val="000F05E1"/>
    <w:rsid w:val="000F0610"/>
    <w:rsid w:val="000F0612"/>
    <w:rsid w:val="000F066B"/>
    <w:rsid w:val="000F0699"/>
    <w:rsid w:val="000F06A8"/>
    <w:rsid w:val="000F06E3"/>
    <w:rsid w:val="000F06E4"/>
    <w:rsid w:val="000F06F5"/>
    <w:rsid w:val="000F0723"/>
    <w:rsid w:val="000F076E"/>
    <w:rsid w:val="000F0777"/>
    <w:rsid w:val="000F07AE"/>
    <w:rsid w:val="000F07D5"/>
    <w:rsid w:val="000F07E5"/>
    <w:rsid w:val="000F081C"/>
    <w:rsid w:val="000F0881"/>
    <w:rsid w:val="000F0892"/>
    <w:rsid w:val="000F08B8"/>
    <w:rsid w:val="000F0A1E"/>
    <w:rsid w:val="000F0A47"/>
    <w:rsid w:val="000F0AB2"/>
    <w:rsid w:val="000F0ADC"/>
    <w:rsid w:val="000F0B0C"/>
    <w:rsid w:val="000F0B1B"/>
    <w:rsid w:val="000F0B1D"/>
    <w:rsid w:val="000F0B3B"/>
    <w:rsid w:val="000F0BD0"/>
    <w:rsid w:val="000F0C7F"/>
    <w:rsid w:val="000F0C9E"/>
    <w:rsid w:val="000F0CB0"/>
    <w:rsid w:val="000F0D17"/>
    <w:rsid w:val="000F0D6E"/>
    <w:rsid w:val="000F0D8D"/>
    <w:rsid w:val="000F0DCD"/>
    <w:rsid w:val="000F0E0E"/>
    <w:rsid w:val="000F0E52"/>
    <w:rsid w:val="000F0E5D"/>
    <w:rsid w:val="000F0EAB"/>
    <w:rsid w:val="000F10AA"/>
    <w:rsid w:val="000F10AC"/>
    <w:rsid w:val="000F1135"/>
    <w:rsid w:val="000F1151"/>
    <w:rsid w:val="000F115E"/>
    <w:rsid w:val="000F1197"/>
    <w:rsid w:val="000F11A3"/>
    <w:rsid w:val="000F11E3"/>
    <w:rsid w:val="000F122D"/>
    <w:rsid w:val="000F1266"/>
    <w:rsid w:val="000F1270"/>
    <w:rsid w:val="000F1274"/>
    <w:rsid w:val="000F129A"/>
    <w:rsid w:val="000F1309"/>
    <w:rsid w:val="000F1391"/>
    <w:rsid w:val="000F13AB"/>
    <w:rsid w:val="000F140D"/>
    <w:rsid w:val="000F1412"/>
    <w:rsid w:val="000F1431"/>
    <w:rsid w:val="000F143A"/>
    <w:rsid w:val="000F1442"/>
    <w:rsid w:val="000F14A3"/>
    <w:rsid w:val="000F14CE"/>
    <w:rsid w:val="000F152E"/>
    <w:rsid w:val="000F15B3"/>
    <w:rsid w:val="000F15D9"/>
    <w:rsid w:val="000F163B"/>
    <w:rsid w:val="000F164E"/>
    <w:rsid w:val="000F1718"/>
    <w:rsid w:val="000F174D"/>
    <w:rsid w:val="000F1782"/>
    <w:rsid w:val="000F181C"/>
    <w:rsid w:val="000F1838"/>
    <w:rsid w:val="000F184C"/>
    <w:rsid w:val="000F1885"/>
    <w:rsid w:val="000F18D0"/>
    <w:rsid w:val="000F1929"/>
    <w:rsid w:val="000F194A"/>
    <w:rsid w:val="000F1964"/>
    <w:rsid w:val="000F1A6B"/>
    <w:rsid w:val="000F1AD2"/>
    <w:rsid w:val="000F1AFC"/>
    <w:rsid w:val="000F1B06"/>
    <w:rsid w:val="000F1B4D"/>
    <w:rsid w:val="000F1B8E"/>
    <w:rsid w:val="000F1C90"/>
    <w:rsid w:val="000F1CA2"/>
    <w:rsid w:val="000F1CB8"/>
    <w:rsid w:val="000F1D85"/>
    <w:rsid w:val="000F1D9D"/>
    <w:rsid w:val="000F1DA7"/>
    <w:rsid w:val="000F1DAA"/>
    <w:rsid w:val="000F1DCB"/>
    <w:rsid w:val="000F1DD6"/>
    <w:rsid w:val="000F1E1B"/>
    <w:rsid w:val="000F1E4E"/>
    <w:rsid w:val="000F1E50"/>
    <w:rsid w:val="000F1E7C"/>
    <w:rsid w:val="000F1E8C"/>
    <w:rsid w:val="000F1EA0"/>
    <w:rsid w:val="000F1EA9"/>
    <w:rsid w:val="000F1EE9"/>
    <w:rsid w:val="000F1F86"/>
    <w:rsid w:val="000F1FB9"/>
    <w:rsid w:val="000F201F"/>
    <w:rsid w:val="000F2022"/>
    <w:rsid w:val="000F2038"/>
    <w:rsid w:val="000F204D"/>
    <w:rsid w:val="000F2054"/>
    <w:rsid w:val="000F20D3"/>
    <w:rsid w:val="000F20F2"/>
    <w:rsid w:val="000F216C"/>
    <w:rsid w:val="000F2195"/>
    <w:rsid w:val="000F21D7"/>
    <w:rsid w:val="000F222A"/>
    <w:rsid w:val="000F223B"/>
    <w:rsid w:val="000F226A"/>
    <w:rsid w:val="000F226D"/>
    <w:rsid w:val="000F229D"/>
    <w:rsid w:val="000F22BE"/>
    <w:rsid w:val="000F22C8"/>
    <w:rsid w:val="000F23F6"/>
    <w:rsid w:val="000F2450"/>
    <w:rsid w:val="000F24D9"/>
    <w:rsid w:val="000F25A4"/>
    <w:rsid w:val="000F25A8"/>
    <w:rsid w:val="000F25B5"/>
    <w:rsid w:val="000F25E2"/>
    <w:rsid w:val="000F25E3"/>
    <w:rsid w:val="000F25F6"/>
    <w:rsid w:val="000F275A"/>
    <w:rsid w:val="000F277A"/>
    <w:rsid w:val="000F2783"/>
    <w:rsid w:val="000F27E8"/>
    <w:rsid w:val="000F283E"/>
    <w:rsid w:val="000F285C"/>
    <w:rsid w:val="000F2874"/>
    <w:rsid w:val="000F2880"/>
    <w:rsid w:val="000F28D2"/>
    <w:rsid w:val="000F2988"/>
    <w:rsid w:val="000F29BF"/>
    <w:rsid w:val="000F29E1"/>
    <w:rsid w:val="000F29ED"/>
    <w:rsid w:val="000F2A0A"/>
    <w:rsid w:val="000F2A22"/>
    <w:rsid w:val="000F2A2E"/>
    <w:rsid w:val="000F2A63"/>
    <w:rsid w:val="000F2ABF"/>
    <w:rsid w:val="000F2B2B"/>
    <w:rsid w:val="000F2B39"/>
    <w:rsid w:val="000F2B61"/>
    <w:rsid w:val="000F2B84"/>
    <w:rsid w:val="000F2BBF"/>
    <w:rsid w:val="000F2C2C"/>
    <w:rsid w:val="000F2C9F"/>
    <w:rsid w:val="000F2D19"/>
    <w:rsid w:val="000F2DC8"/>
    <w:rsid w:val="000F2DEF"/>
    <w:rsid w:val="000F2E24"/>
    <w:rsid w:val="000F2E6A"/>
    <w:rsid w:val="000F2E80"/>
    <w:rsid w:val="000F2E85"/>
    <w:rsid w:val="000F2E93"/>
    <w:rsid w:val="000F2E99"/>
    <w:rsid w:val="000F2EAA"/>
    <w:rsid w:val="000F2ED3"/>
    <w:rsid w:val="000F2EDE"/>
    <w:rsid w:val="000F2F55"/>
    <w:rsid w:val="000F2F66"/>
    <w:rsid w:val="000F2F6B"/>
    <w:rsid w:val="000F2F7A"/>
    <w:rsid w:val="000F30AF"/>
    <w:rsid w:val="000F30EF"/>
    <w:rsid w:val="000F30F2"/>
    <w:rsid w:val="000F314A"/>
    <w:rsid w:val="000F3173"/>
    <w:rsid w:val="000F3187"/>
    <w:rsid w:val="000F31D0"/>
    <w:rsid w:val="000F31E9"/>
    <w:rsid w:val="000F3206"/>
    <w:rsid w:val="000F3258"/>
    <w:rsid w:val="000F32C5"/>
    <w:rsid w:val="000F32EF"/>
    <w:rsid w:val="000F3316"/>
    <w:rsid w:val="000F3377"/>
    <w:rsid w:val="000F33BC"/>
    <w:rsid w:val="000F3531"/>
    <w:rsid w:val="000F3568"/>
    <w:rsid w:val="000F35C3"/>
    <w:rsid w:val="000F3607"/>
    <w:rsid w:val="000F36D7"/>
    <w:rsid w:val="000F370B"/>
    <w:rsid w:val="000F3719"/>
    <w:rsid w:val="000F3755"/>
    <w:rsid w:val="000F376A"/>
    <w:rsid w:val="000F3797"/>
    <w:rsid w:val="000F37B5"/>
    <w:rsid w:val="000F37B7"/>
    <w:rsid w:val="000F37CD"/>
    <w:rsid w:val="000F37D2"/>
    <w:rsid w:val="000F381D"/>
    <w:rsid w:val="000F3823"/>
    <w:rsid w:val="000F3839"/>
    <w:rsid w:val="000F3866"/>
    <w:rsid w:val="000F386D"/>
    <w:rsid w:val="000F394E"/>
    <w:rsid w:val="000F396F"/>
    <w:rsid w:val="000F399B"/>
    <w:rsid w:val="000F39D8"/>
    <w:rsid w:val="000F3A33"/>
    <w:rsid w:val="000F3A3B"/>
    <w:rsid w:val="000F3A7F"/>
    <w:rsid w:val="000F3AF1"/>
    <w:rsid w:val="000F3BEB"/>
    <w:rsid w:val="000F3C05"/>
    <w:rsid w:val="000F3D0C"/>
    <w:rsid w:val="000F3D5B"/>
    <w:rsid w:val="000F3DA2"/>
    <w:rsid w:val="000F3DF2"/>
    <w:rsid w:val="000F3E0B"/>
    <w:rsid w:val="000F3E28"/>
    <w:rsid w:val="000F3EB3"/>
    <w:rsid w:val="000F3EFA"/>
    <w:rsid w:val="000F3F07"/>
    <w:rsid w:val="000F3F26"/>
    <w:rsid w:val="000F3F52"/>
    <w:rsid w:val="000F3F71"/>
    <w:rsid w:val="000F3FEA"/>
    <w:rsid w:val="000F3FFD"/>
    <w:rsid w:val="000F402A"/>
    <w:rsid w:val="000F4049"/>
    <w:rsid w:val="000F405B"/>
    <w:rsid w:val="000F406B"/>
    <w:rsid w:val="000F4191"/>
    <w:rsid w:val="000F419A"/>
    <w:rsid w:val="000F4218"/>
    <w:rsid w:val="000F423A"/>
    <w:rsid w:val="000F42A0"/>
    <w:rsid w:val="000F42F4"/>
    <w:rsid w:val="000F43C6"/>
    <w:rsid w:val="000F43DA"/>
    <w:rsid w:val="000F4400"/>
    <w:rsid w:val="000F4414"/>
    <w:rsid w:val="000F4490"/>
    <w:rsid w:val="000F4495"/>
    <w:rsid w:val="000F44A6"/>
    <w:rsid w:val="000F44E5"/>
    <w:rsid w:val="000F450C"/>
    <w:rsid w:val="000F4540"/>
    <w:rsid w:val="000F4582"/>
    <w:rsid w:val="000F458C"/>
    <w:rsid w:val="000F45CA"/>
    <w:rsid w:val="000F45F9"/>
    <w:rsid w:val="000F4604"/>
    <w:rsid w:val="000F4660"/>
    <w:rsid w:val="000F46AB"/>
    <w:rsid w:val="000F46F0"/>
    <w:rsid w:val="000F46F2"/>
    <w:rsid w:val="000F46FD"/>
    <w:rsid w:val="000F4847"/>
    <w:rsid w:val="000F484F"/>
    <w:rsid w:val="000F4859"/>
    <w:rsid w:val="000F48B9"/>
    <w:rsid w:val="000F48D4"/>
    <w:rsid w:val="000F48D6"/>
    <w:rsid w:val="000F4963"/>
    <w:rsid w:val="000F49BF"/>
    <w:rsid w:val="000F49C8"/>
    <w:rsid w:val="000F49CA"/>
    <w:rsid w:val="000F49D8"/>
    <w:rsid w:val="000F49DC"/>
    <w:rsid w:val="000F49EA"/>
    <w:rsid w:val="000F4A37"/>
    <w:rsid w:val="000F4A43"/>
    <w:rsid w:val="000F4A61"/>
    <w:rsid w:val="000F4A98"/>
    <w:rsid w:val="000F4AA0"/>
    <w:rsid w:val="000F4AC9"/>
    <w:rsid w:val="000F4B19"/>
    <w:rsid w:val="000F4B4D"/>
    <w:rsid w:val="000F4B62"/>
    <w:rsid w:val="000F4B99"/>
    <w:rsid w:val="000F4BCC"/>
    <w:rsid w:val="000F4BEA"/>
    <w:rsid w:val="000F4C52"/>
    <w:rsid w:val="000F4C58"/>
    <w:rsid w:val="000F4C79"/>
    <w:rsid w:val="000F4C8D"/>
    <w:rsid w:val="000F4CBF"/>
    <w:rsid w:val="000F4D19"/>
    <w:rsid w:val="000F4D37"/>
    <w:rsid w:val="000F4D4C"/>
    <w:rsid w:val="000F4D5B"/>
    <w:rsid w:val="000F4DB9"/>
    <w:rsid w:val="000F4DEA"/>
    <w:rsid w:val="000F4DFB"/>
    <w:rsid w:val="000F4E13"/>
    <w:rsid w:val="000F4E42"/>
    <w:rsid w:val="000F4E75"/>
    <w:rsid w:val="000F4F00"/>
    <w:rsid w:val="000F4FF5"/>
    <w:rsid w:val="000F4FFE"/>
    <w:rsid w:val="000F5004"/>
    <w:rsid w:val="000F5016"/>
    <w:rsid w:val="000F50CB"/>
    <w:rsid w:val="000F50FE"/>
    <w:rsid w:val="000F5109"/>
    <w:rsid w:val="000F512B"/>
    <w:rsid w:val="000F5177"/>
    <w:rsid w:val="000F51EC"/>
    <w:rsid w:val="000F51F3"/>
    <w:rsid w:val="000F5233"/>
    <w:rsid w:val="000F5269"/>
    <w:rsid w:val="000F527B"/>
    <w:rsid w:val="000F531C"/>
    <w:rsid w:val="000F5339"/>
    <w:rsid w:val="000F5376"/>
    <w:rsid w:val="000F538B"/>
    <w:rsid w:val="000F53E4"/>
    <w:rsid w:val="000F5413"/>
    <w:rsid w:val="000F5420"/>
    <w:rsid w:val="000F5461"/>
    <w:rsid w:val="000F546E"/>
    <w:rsid w:val="000F5488"/>
    <w:rsid w:val="000F54A0"/>
    <w:rsid w:val="000F54E2"/>
    <w:rsid w:val="000F55BE"/>
    <w:rsid w:val="000F565C"/>
    <w:rsid w:val="000F5669"/>
    <w:rsid w:val="000F5687"/>
    <w:rsid w:val="000F56D1"/>
    <w:rsid w:val="000F56F1"/>
    <w:rsid w:val="000F56FE"/>
    <w:rsid w:val="000F571B"/>
    <w:rsid w:val="000F5744"/>
    <w:rsid w:val="000F5746"/>
    <w:rsid w:val="000F5759"/>
    <w:rsid w:val="000F5766"/>
    <w:rsid w:val="000F57B6"/>
    <w:rsid w:val="000F5811"/>
    <w:rsid w:val="000F5881"/>
    <w:rsid w:val="000F5882"/>
    <w:rsid w:val="000F588D"/>
    <w:rsid w:val="000F58A2"/>
    <w:rsid w:val="000F5913"/>
    <w:rsid w:val="000F591C"/>
    <w:rsid w:val="000F5949"/>
    <w:rsid w:val="000F59CB"/>
    <w:rsid w:val="000F59D0"/>
    <w:rsid w:val="000F5A51"/>
    <w:rsid w:val="000F5A74"/>
    <w:rsid w:val="000F5A76"/>
    <w:rsid w:val="000F5A84"/>
    <w:rsid w:val="000F5AA1"/>
    <w:rsid w:val="000F5AF0"/>
    <w:rsid w:val="000F5B0F"/>
    <w:rsid w:val="000F5B4C"/>
    <w:rsid w:val="000F5B75"/>
    <w:rsid w:val="000F5B76"/>
    <w:rsid w:val="000F5BD7"/>
    <w:rsid w:val="000F5C4A"/>
    <w:rsid w:val="000F5C67"/>
    <w:rsid w:val="000F5C82"/>
    <w:rsid w:val="000F5CD7"/>
    <w:rsid w:val="000F5D2C"/>
    <w:rsid w:val="000F5D89"/>
    <w:rsid w:val="000F5D99"/>
    <w:rsid w:val="000F5DA1"/>
    <w:rsid w:val="000F5DB1"/>
    <w:rsid w:val="000F5DD7"/>
    <w:rsid w:val="000F5DDF"/>
    <w:rsid w:val="000F5DEA"/>
    <w:rsid w:val="000F5E9D"/>
    <w:rsid w:val="000F5EDE"/>
    <w:rsid w:val="000F5F49"/>
    <w:rsid w:val="000F5F78"/>
    <w:rsid w:val="000F5F9A"/>
    <w:rsid w:val="000F5FFE"/>
    <w:rsid w:val="000F60A8"/>
    <w:rsid w:val="000F60F0"/>
    <w:rsid w:val="000F616C"/>
    <w:rsid w:val="000F6177"/>
    <w:rsid w:val="000F6210"/>
    <w:rsid w:val="000F621A"/>
    <w:rsid w:val="000F621F"/>
    <w:rsid w:val="000F6236"/>
    <w:rsid w:val="000F631C"/>
    <w:rsid w:val="000F63A7"/>
    <w:rsid w:val="000F63B8"/>
    <w:rsid w:val="000F644D"/>
    <w:rsid w:val="000F6450"/>
    <w:rsid w:val="000F6470"/>
    <w:rsid w:val="000F64D3"/>
    <w:rsid w:val="000F64F4"/>
    <w:rsid w:val="000F651D"/>
    <w:rsid w:val="000F6542"/>
    <w:rsid w:val="000F6545"/>
    <w:rsid w:val="000F654D"/>
    <w:rsid w:val="000F6558"/>
    <w:rsid w:val="000F6570"/>
    <w:rsid w:val="000F6582"/>
    <w:rsid w:val="000F65FA"/>
    <w:rsid w:val="000F6641"/>
    <w:rsid w:val="000F6646"/>
    <w:rsid w:val="000F6651"/>
    <w:rsid w:val="000F665A"/>
    <w:rsid w:val="000F6718"/>
    <w:rsid w:val="000F6721"/>
    <w:rsid w:val="000F673E"/>
    <w:rsid w:val="000F674D"/>
    <w:rsid w:val="000F678F"/>
    <w:rsid w:val="000F67A5"/>
    <w:rsid w:val="000F67F8"/>
    <w:rsid w:val="000F6817"/>
    <w:rsid w:val="000F6849"/>
    <w:rsid w:val="000F68BE"/>
    <w:rsid w:val="000F68C5"/>
    <w:rsid w:val="000F68D0"/>
    <w:rsid w:val="000F694F"/>
    <w:rsid w:val="000F69BB"/>
    <w:rsid w:val="000F69C2"/>
    <w:rsid w:val="000F69C6"/>
    <w:rsid w:val="000F6AD3"/>
    <w:rsid w:val="000F6B42"/>
    <w:rsid w:val="000F6B87"/>
    <w:rsid w:val="000F6C37"/>
    <w:rsid w:val="000F6C42"/>
    <w:rsid w:val="000F6C74"/>
    <w:rsid w:val="000F6D01"/>
    <w:rsid w:val="000F6D10"/>
    <w:rsid w:val="000F6D3F"/>
    <w:rsid w:val="000F6D5D"/>
    <w:rsid w:val="000F6D71"/>
    <w:rsid w:val="000F6DAC"/>
    <w:rsid w:val="000F6E1C"/>
    <w:rsid w:val="000F6EB8"/>
    <w:rsid w:val="000F6EF6"/>
    <w:rsid w:val="000F6F40"/>
    <w:rsid w:val="000F6F6A"/>
    <w:rsid w:val="000F6F71"/>
    <w:rsid w:val="000F6F78"/>
    <w:rsid w:val="000F6F9F"/>
    <w:rsid w:val="000F6FC7"/>
    <w:rsid w:val="000F6FE4"/>
    <w:rsid w:val="000F6FF4"/>
    <w:rsid w:val="000F7014"/>
    <w:rsid w:val="000F70CC"/>
    <w:rsid w:val="000F70EA"/>
    <w:rsid w:val="000F7116"/>
    <w:rsid w:val="000F7144"/>
    <w:rsid w:val="000F715C"/>
    <w:rsid w:val="000F718D"/>
    <w:rsid w:val="000F71C7"/>
    <w:rsid w:val="000F721F"/>
    <w:rsid w:val="000F725F"/>
    <w:rsid w:val="000F7260"/>
    <w:rsid w:val="000F7294"/>
    <w:rsid w:val="000F7335"/>
    <w:rsid w:val="000F7357"/>
    <w:rsid w:val="000F73B6"/>
    <w:rsid w:val="000F7438"/>
    <w:rsid w:val="000F7456"/>
    <w:rsid w:val="000F748C"/>
    <w:rsid w:val="000F74AA"/>
    <w:rsid w:val="000F74BE"/>
    <w:rsid w:val="000F75D7"/>
    <w:rsid w:val="000F75E5"/>
    <w:rsid w:val="000F75F6"/>
    <w:rsid w:val="000F7634"/>
    <w:rsid w:val="000F7670"/>
    <w:rsid w:val="000F768E"/>
    <w:rsid w:val="000F7698"/>
    <w:rsid w:val="000F76B1"/>
    <w:rsid w:val="000F76EB"/>
    <w:rsid w:val="000F7778"/>
    <w:rsid w:val="000F777A"/>
    <w:rsid w:val="000F77A0"/>
    <w:rsid w:val="000F77FB"/>
    <w:rsid w:val="000F7811"/>
    <w:rsid w:val="000F7851"/>
    <w:rsid w:val="000F785A"/>
    <w:rsid w:val="000F7884"/>
    <w:rsid w:val="000F789B"/>
    <w:rsid w:val="000F78A1"/>
    <w:rsid w:val="000F78CF"/>
    <w:rsid w:val="000F78DB"/>
    <w:rsid w:val="000F7924"/>
    <w:rsid w:val="000F7955"/>
    <w:rsid w:val="000F7969"/>
    <w:rsid w:val="000F7971"/>
    <w:rsid w:val="000F7989"/>
    <w:rsid w:val="000F7994"/>
    <w:rsid w:val="000F79D7"/>
    <w:rsid w:val="000F79F3"/>
    <w:rsid w:val="000F7A15"/>
    <w:rsid w:val="000F7A44"/>
    <w:rsid w:val="000F7AF2"/>
    <w:rsid w:val="000F7B23"/>
    <w:rsid w:val="000F7B44"/>
    <w:rsid w:val="000F7B55"/>
    <w:rsid w:val="000F7B57"/>
    <w:rsid w:val="000F7B8B"/>
    <w:rsid w:val="000F7C00"/>
    <w:rsid w:val="000F7C04"/>
    <w:rsid w:val="000F7C05"/>
    <w:rsid w:val="000F7C47"/>
    <w:rsid w:val="000F7C8A"/>
    <w:rsid w:val="000F7C98"/>
    <w:rsid w:val="000F7CBF"/>
    <w:rsid w:val="000F7CDA"/>
    <w:rsid w:val="000F7CF7"/>
    <w:rsid w:val="000F7D86"/>
    <w:rsid w:val="000F7DBF"/>
    <w:rsid w:val="000F7DD6"/>
    <w:rsid w:val="000F7E17"/>
    <w:rsid w:val="000F7E71"/>
    <w:rsid w:val="000F7E73"/>
    <w:rsid w:val="000F7EA5"/>
    <w:rsid w:val="000F7EEE"/>
    <w:rsid w:val="000F7F02"/>
    <w:rsid w:val="000F7F11"/>
    <w:rsid w:val="000F7F2A"/>
    <w:rsid w:val="000F7F3B"/>
    <w:rsid w:val="000F7F4C"/>
    <w:rsid w:val="000F7FA1"/>
    <w:rsid w:val="000F7FD2"/>
    <w:rsid w:val="001000DE"/>
    <w:rsid w:val="001000ED"/>
    <w:rsid w:val="001000EF"/>
    <w:rsid w:val="00100144"/>
    <w:rsid w:val="0010024B"/>
    <w:rsid w:val="00100259"/>
    <w:rsid w:val="0010027C"/>
    <w:rsid w:val="001002A2"/>
    <w:rsid w:val="00100319"/>
    <w:rsid w:val="00100345"/>
    <w:rsid w:val="00100363"/>
    <w:rsid w:val="001003FD"/>
    <w:rsid w:val="0010040B"/>
    <w:rsid w:val="0010042C"/>
    <w:rsid w:val="0010048A"/>
    <w:rsid w:val="001004BC"/>
    <w:rsid w:val="001004BD"/>
    <w:rsid w:val="001004C8"/>
    <w:rsid w:val="001004F1"/>
    <w:rsid w:val="0010052B"/>
    <w:rsid w:val="0010052C"/>
    <w:rsid w:val="00100583"/>
    <w:rsid w:val="00100618"/>
    <w:rsid w:val="0010064D"/>
    <w:rsid w:val="00100652"/>
    <w:rsid w:val="00100654"/>
    <w:rsid w:val="0010069D"/>
    <w:rsid w:val="0010069E"/>
    <w:rsid w:val="00100780"/>
    <w:rsid w:val="001007DA"/>
    <w:rsid w:val="001007EF"/>
    <w:rsid w:val="001007F9"/>
    <w:rsid w:val="00100804"/>
    <w:rsid w:val="0010084B"/>
    <w:rsid w:val="00100855"/>
    <w:rsid w:val="00100869"/>
    <w:rsid w:val="00100883"/>
    <w:rsid w:val="00100889"/>
    <w:rsid w:val="00100892"/>
    <w:rsid w:val="001008FE"/>
    <w:rsid w:val="00100961"/>
    <w:rsid w:val="0010099D"/>
    <w:rsid w:val="001009BD"/>
    <w:rsid w:val="001009D5"/>
    <w:rsid w:val="001009D9"/>
    <w:rsid w:val="00100A42"/>
    <w:rsid w:val="00100A8E"/>
    <w:rsid w:val="00100A97"/>
    <w:rsid w:val="00100AD9"/>
    <w:rsid w:val="00100AE3"/>
    <w:rsid w:val="00100B01"/>
    <w:rsid w:val="00100B24"/>
    <w:rsid w:val="00100B37"/>
    <w:rsid w:val="00100BE4"/>
    <w:rsid w:val="00100C0A"/>
    <w:rsid w:val="00100C25"/>
    <w:rsid w:val="00100C9B"/>
    <w:rsid w:val="00100CED"/>
    <w:rsid w:val="00100D7D"/>
    <w:rsid w:val="00100D7E"/>
    <w:rsid w:val="00100D93"/>
    <w:rsid w:val="00100DD4"/>
    <w:rsid w:val="00100E07"/>
    <w:rsid w:val="00100E0C"/>
    <w:rsid w:val="00100E1B"/>
    <w:rsid w:val="00100E21"/>
    <w:rsid w:val="00100E7F"/>
    <w:rsid w:val="00100E85"/>
    <w:rsid w:val="00100EF5"/>
    <w:rsid w:val="00100F57"/>
    <w:rsid w:val="00100FA5"/>
    <w:rsid w:val="0010100F"/>
    <w:rsid w:val="0010109C"/>
    <w:rsid w:val="00101145"/>
    <w:rsid w:val="00101151"/>
    <w:rsid w:val="00101189"/>
    <w:rsid w:val="001011BA"/>
    <w:rsid w:val="0010121B"/>
    <w:rsid w:val="00101254"/>
    <w:rsid w:val="0010127D"/>
    <w:rsid w:val="001012BC"/>
    <w:rsid w:val="0010134F"/>
    <w:rsid w:val="0010135C"/>
    <w:rsid w:val="0010139C"/>
    <w:rsid w:val="001013C2"/>
    <w:rsid w:val="0010148B"/>
    <w:rsid w:val="001014C1"/>
    <w:rsid w:val="001014CC"/>
    <w:rsid w:val="001014E7"/>
    <w:rsid w:val="001014EC"/>
    <w:rsid w:val="00101585"/>
    <w:rsid w:val="001015C0"/>
    <w:rsid w:val="001015E2"/>
    <w:rsid w:val="0010160E"/>
    <w:rsid w:val="0010162C"/>
    <w:rsid w:val="00101666"/>
    <w:rsid w:val="00101676"/>
    <w:rsid w:val="0010169F"/>
    <w:rsid w:val="0010175A"/>
    <w:rsid w:val="00101774"/>
    <w:rsid w:val="001017E5"/>
    <w:rsid w:val="001017E6"/>
    <w:rsid w:val="00101810"/>
    <w:rsid w:val="0010186E"/>
    <w:rsid w:val="001018DB"/>
    <w:rsid w:val="001018FA"/>
    <w:rsid w:val="0010194B"/>
    <w:rsid w:val="0010198F"/>
    <w:rsid w:val="001019BA"/>
    <w:rsid w:val="001019D0"/>
    <w:rsid w:val="00101A60"/>
    <w:rsid w:val="00101A69"/>
    <w:rsid w:val="00101A84"/>
    <w:rsid w:val="00101C11"/>
    <w:rsid w:val="00101D4F"/>
    <w:rsid w:val="00101E27"/>
    <w:rsid w:val="00101E45"/>
    <w:rsid w:val="00101E7E"/>
    <w:rsid w:val="00101E87"/>
    <w:rsid w:val="00101E8A"/>
    <w:rsid w:val="00101F6B"/>
    <w:rsid w:val="00101F8C"/>
    <w:rsid w:val="00101FAF"/>
    <w:rsid w:val="00101FCA"/>
    <w:rsid w:val="00101FD0"/>
    <w:rsid w:val="00102058"/>
    <w:rsid w:val="00102073"/>
    <w:rsid w:val="001020B7"/>
    <w:rsid w:val="00102196"/>
    <w:rsid w:val="0010225C"/>
    <w:rsid w:val="00102296"/>
    <w:rsid w:val="0010232E"/>
    <w:rsid w:val="00102348"/>
    <w:rsid w:val="001023BB"/>
    <w:rsid w:val="0010240D"/>
    <w:rsid w:val="00102438"/>
    <w:rsid w:val="0010246C"/>
    <w:rsid w:val="001024F2"/>
    <w:rsid w:val="001024F9"/>
    <w:rsid w:val="00102528"/>
    <w:rsid w:val="001025EF"/>
    <w:rsid w:val="00102633"/>
    <w:rsid w:val="00102653"/>
    <w:rsid w:val="0010267D"/>
    <w:rsid w:val="001026A6"/>
    <w:rsid w:val="001026ED"/>
    <w:rsid w:val="00102721"/>
    <w:rsid w:val="0010274E"/>
    <w:rsid w:val="00102764"/>
    <w:rsid w:val="001027C0"/>
    <w:rsid w:val="001027E3"/>
    <w:rsid w:val="0010285A"/>
    <w:rsid w:val="0010286B"/>
    <w:rsid w:val="00102892"/>
    <w:rsid w:val="0010289B"/>
    <w:rsid w:val="001028A8"/>
    <w:rsid w:val="001028AC"/>
    <w:rsid w:val="0010291A"/>
    <w:rsid w:val="0010295C"/>
    <w:rsid w:val="001029A4"/>
    <w:rsid w:val="00102A5C"/>
    <w:rsid w:val="00102A84"/>
    <w:rsid w:val="00102A8E"/>
    <w:rsid w:val="00102AAD"/>
    <w:rsid w:val="00102AAE"/>
    <w:rsid w:val="00102B67"/>
    <w:rsid w:val="00102BA5"/>
    <w:rsid w:val="00102BB9"/>
    <w:rsid w:val="00102BEF"/>
    <w:rsid w:val="00102C48"/>
    <w:rsid w:val="00102C53"/>
    <w:rsid w:val="00102CD3"/>
    <w:rsid w:val="00102D0E"/>
    <w:rsid w:val="00102DD1"/>
    <w:rsid w:val="00102DD5"/>
    <w:rsid w:val="00102DDE"/>
    <w:rsid w:val="00102E37"/>
    <w:rsid w:val="00102E4D"/>
    <w:rsid w:val="00102E66"/>
    <w:rsid w:val="00102EF2"/>
    <w:rsid w:val="00102F74"/>
    <w:rsid w:val="00102FA7"/>
    <w:rsid w:val="00102FC7"/>
    <w:rsid w:val="00102FD4"/>
    <w:rsid w:val="00102FDA"/>
    <w:rsid w:val="00102FFB"/>
    <w:rsid w:val="00103000"/>
    <w:rsid w:val="00103032"/>
    <w:rsid w:val="00103054"/>
    <w:rsid w:val="001030F1"/>
    <w:rsid w:val="001030FA"/>
    <w:rsid w:val="0010312F"/>
    <w:rsid w:val="0010315B"/>
    <w:rsid w:val="0010317C"/>
    <w:rsid w:val="00103218"/>
    <w:rsid w:val="00103226"/>
    <w:rsid w:val="0010326C"/>
    <w:rsid w:val="00103348"/>
    <w:rsid w:val="0010335D"/>
    <w:rsid w:val="001033CA"/>
    <w:rsid w:val="00103445"/>
    <w:rsid w:val="00103449"/>
    <w:rsid w:val="00103479"/>
    <w:rsid w:val="00103496"/>
    <w:rsid w:val="0010349E"/>
    <w:rsid w:val="001034B1"/>
    <w:rsid w:val="00103510"/>
    <w:rsid w:val="00103560"/>
    <w:rsid w:val="00103586"/>
    <w:rsid w:val="00103589"/>
    <w:rsid w:val="00103598"/>
    <w:rsid w:val="001035C0"/>
    <w:rsid w:val="001035DE"/>
    <w:rsid w:val="0010363B"/>
    <w:rsid w:val="00103645"/>
    <w:rsid w:val="00103690"/>
    <w:rsid w:val="001036BD"/>
    <w:rsid w:val="001036ED"/>
    <w:rsid w:val="001036FE"/>
    <w:rsid w:val="00103720"/>
    <w:rsid w:val="0010374D"/>
    <w:rsid w:val="001037D5"/>
    <w:rsid w:val="00103814"/>
    <w:rsid w:val="00103825"/>
    <w:rsid w:val="00103874"/>
    <w:rsid w:val="001038BC"/>
    <w:rsid w:val="001038CC"/>
    <w:rsid w:val="001038E1"/>
    <w:rsid w:val="0010393F"/>
    <w:rsid w:val="00103960"/>
    <w:rsid w:val="00103988"/>
    <w:rsid w:val="001039AB"/>
    <w:rsid w:val="00103A28"/>
    <w:rsid w:val="00103A42"/>
    <w:rsid w:val="00103A67"/>
    <w:rsid w:val="00103A79"/>
    <w:rsid w:val="00103AC9"/>
    <w:rsid w:val="00103AF3"/>
    <w:rsid w:val="00103AF4"/>
    <w:rsid w:val="00103B03"/>
    <w:rsid w:val="00103B1A"/>
    <w:rsid w:val="00103B3F"/>
    <w:rsid w:val="00103BD3"/>
    <w:rsid w:val="00103BEF"/>
    <w:rsid w:val="00103C1D"/>
    <w:rsid w:val="00103C5C"/>
    <w:rsid w:val="00103CB7"/>
    <w:rsid w:val="00103CC9"/>
    <w:rsid w:val="00103D2F"/>
    <w:rsid w:val="00103D4C"/>
    <w:rsid w:val="00103D89"/>
    <w:rsid w:val="00103DCD"/>
    <w:rsid w:val="00103DD1"/>
    <w:rsid w:val="00103E19"/>
    <w:rsid w:val="00103E97"/>
    <w:rsid w:val="00103EB4"/>
    <w:rsid w:val="00103F1B"/>
    <w:rsid w:val="00103F28"/>
    <w:rsid w:val="00103F2B"/>
    <w:rsid w:val="00103F67"/>
    <w:rsid w:val="00103F92"/>
    <w:rsid w:val="00103FF9"/>
    <w:rsid w:val="00104009"/>
    <w:rsid w:val="001040AA"/>
    <w:rsid w:val="001040CB"/>
    <w:rsid w:val="001040E0"/>
    <w:rsid w:val="001040EC"/>
    <w:rsid w:val="001040EF"/>
    <w:rsid w:val="00104117"/>
    <w:rsid w:val="0010411E"/>
    <w:rsid w:val="00104176"/>
    <w:rsid w:val="001041C2"/>
    <w:rsid w:val="001041CF"/>
    <w:rsid w:val="001041F4"/>
    <w:rsid w:val="0010423E"/>
    <w:rsid w:val="001042BB"/>
    <w:rsid w:val="001042D4"/>
    <w:rsid w:val="00104326"/>
    <w:rsid w:val="0010439C"/>
    <w:rsid w:val="001043AD"/>
    <w:rsid w:val="001043B6"/>
    <w:rsid w:val="001043D3"/>
    <w:rsid w:val="001043E3"/>
    <w:rsid w:val="0010442D"/>
    <w:rsid w:val="00104476"/>
    <w:rsid w:val="00104482"/>
    <w:rsid w:val="0010451D"/>
    <w:rsid w:val="00104532"/>
    <w:rsid w:val="00104559"/>
    <w:rsid w:val="0010456C"/>
    <w:rsid w:val="0010458E"/>
    <w:rsid w:val="001045EF"/>
    <w:rsid w:val="00104606"/>
    <w:rsid w:val="00104656"/>
    <w:rsid w:val="001046CD"/>
    <w:rsid w:val="001046D5"/>
    <w:rsid w:val="00104726"/>
    <w:rsid w:val="00104727"/>
    <w:rsid w:val="00104739"/>
    <w:rsid w:val="00104750"/>
    <w:rsid w:val="0010475C"/>
    <w:rsid w:val="00104778"/>
    <w:rsid w:val="00104786"/>
    <w:rsid w:val="001047A8"/>
    <w:rsid w:val="001047AE"/>
    <w:rsid w:val="00104807"/>
    <w:rsid w:val="00104811"/>
    <w:rsid w:val="00104879"/>
    <w:rsid w:val="001048B5"/>
    <w:rsid w:val="001048DA"/>
    <w:rsid w:val="0010492D"/>
    <w:rsid w:val="00104AC9"/>
    <w:rsid w:val="00104B5E"/>
    <w:rsid w:val="00104B78"/>
    <w:rsid w:val="00104BC8"/>
    <w:rsid w:val="00104C50"/>
    <w:rsid w:val="00104C55"/>
    <w:rsid w:val="00104C63"/>
    <w:rsid w:val="00104C77"/>
    <w:rsid w:val="00104C7E"/>
    <w:rsid w:val="00104C8D"/>
    <w:rsid w:val="00104C96"/>
    <w:rsid w:val="00104CC5"/>
    <w:rsid w:val="00104CD0"/>
    <w:rsid w:val="00104D30"/>
    <w:rsid w:val="00104D95"/>
    <w:rsid w:val="00104E55"/>
    <w:rsid w:val="00104E68"/>
    <w:rsid w:val="00104EE6"/>
    <w:rsid w:val="00104F16"/>
    <w:rsid w:val="00104FBB"/>
    <w:rsid w:val="00105096"/>
    <w:rsid w:val="001050A7"/>
    <w:rsid w:val="001050F4"/>
    <w:rsid w:val="00105102"/>
    <w:rsid w:val="00105194"/>
    <w:rsid w:val="001051B4"/>
    <w:rsid w:val="00105208"/>
    <w:rsid w:val="00105210"/>
    <w:rsid w:val="00105212"/>
    <w:rsid w:val="00105277"/>
    <w:rsid w:val="0010528B"/>
    <w:rsid w:val="001052E2"/>
    <w:rsid w:val="0010530A"/>
    <w:rsid w:val="0010537C"/>
    <w:rsid w:val="00105470"/>
    <w:rsid w:val="00105471"/>
    <w:rsid w:val="001054A7"/>
    <w:rsid w:val="001054B7"/>
    <w:rsid w:val="001054E4"/>
    <w:rsid w:val="00105589"/>
    <w:rsid w:val="001055C0"/>
    <w:rsid w:val="001055C8"/>
    <w:rsid w:val="001055F7"/>
    <w:rsid w:val="0010566C"/>
    <w:rsid w:val="0010568E"/>
    <w:rsid w:val="001056A5"/>
    <w:rsid w:val="001056C3"/>
    <w:rsid w:val="001056DA"/>
    <w:rsid w:val="0010575B"/>
    <w:rsid w:val="001057CA"/>
    <w:rsid w:val="001057D5"/>
    <w:rsid w:val="0010581F"/>
    <w:rsid w:val="00105841"/>
    <w:rsid w:val="0010586B"/>
    <w:rsid w:val="001058A3"/>
    <w:rsid w:val="00105954"/>
    <w:rsid w:val="00105974"/>
    <w:rsid w:val="001059FE"/>
    <w:rsid w:val="00105A1F"/>
    <w:rsid w:val="00105A5D"/>
    <w:rsid w:val="00105A81"/>
    <w:rsid w:val="00105A8F"/>
    <w:rsid w:val="00105B7D"/>
    <w:rsid w:val="00105BCA"/>
    <w:rsid w:val="00105BE4"/>
    <w:rsid w:val="00105BED"/>
    <w:rsid w:val="00105C0A"/>
    <w:rsid w:val="00105C33"/>
    <w:rsid w:val="00105C78"/>
    <w:rsid w:val="00105C9F"/>
    <w:rsid w:val="00105D14"/>
    <w:rsid w:val="00105D7B"/>
    <w:rsid w:val="00105D7F"/>
    <w:rsid w:val="00105D9F"/>
    <w:rsid w:val="00105DD6"/>
    <w:rsid w:val="00105DE4"/>
    <w:rsid w:val="00105E5A"/>
    <w:rsid w:val="00105E74"/>
    <w:rsid w:val="00105EA0"/>
    <w:rsid w:val="00105EAC"/>
    <w:rsid w:val="00105EB2"/>
    <w:rsid w:val="00105F31"/>
    <w:rsid w:val="00105F94"/>
    <w:rsid w:val="0010602F"/>
    <w:rsid w:val="001060BD"/>
    <w:rsid w:val="001060E8"/>
    <w:rsid w:val="00106101"/>
    <w:rsid w:val="0010612E"/>
    <w:rsid w:val="0010614E"/>
    <w:rsid w:val="001061C2"/>
    <w:rsid w:val="001061F2"/>
    <w:rsid w:val="0010620C"/>
    <w:rsid w:val="0010628D"/>
    <w:rsid w:val="001062CE"/>
    <w:rsid w:val="001062DA"/>
    <w:rsid w:val="00106305"/>
    <w:rsid w:val="0010630A"/>
    <w:rsid w:val="0010637B"/>
    <w:rsid w:val="001063B5"/>
    <w:rsid w:val="00106414"/>
    <w:rsid w:val="00106426"/>
    <w:rsid w:val="0010648E"/>
    <w:rsid w:val="001064C2"/>
    <w:rsid w:val="00106513"/>
    <w:rsid w:val="00106523"/>
    <w:rsid w:val="0010654B"/>
    <w:rsid w:val="00106557"/>
    <w:rsid w:val="0010658F"/>
    <w:rsid w:val="001065A3"/>
    <w:rsid w:val="001065BE"/>
    <w:rsid w:val="001065C3"/>
    <w:rsid w:val="00106622"/>
    <w:rsid w:val="0010667E"/>
    <w:rsid w:val="001066DD"/>
    <w:rsid w:val="001066E5"/>
    <w:rsid w:val="00106723"/>
    <w:rsid w:val="00106776"/>
    <w:rsid w:val="001067C1"/>
    <w:rsid w:val="00106802"/>
    <w:rsid w:val="00106806"/>
    <w:rsid w:val="001068D7"/>
    <w:rsid w:val="0010690A"/>
    <w:rsid w:val="00106937"/>
    <w:rsid w:val="00106942"/>
    <w:rsid w:val="0010696F"/>
    <w:rsid w:val="0010697C"/>
    <w:rsid w:val="001069BF"/>
    <w:rsid w:val="001069EA"/>
    <w:rsid w:val="00106A05"/>
    <w:rsid w:val="00106A0F"/>
    <w:rsid w:val="00106A33"/>
    <w:rsid w:val="00106AA6"/>
    <w:rsid w:val="00106AAE"/>
    <w:rsid w:val="00106B2B"/>
    <w:rsid w:val="00106B93"/>
    <w:rsid w:val="00106B9A"/>
    <w:rsid w:val="00106BD7"/>
    <w:rsid w:val="00106BF8"/>
    <w:rsid w:val="00106CE4"/>
    <w:rsid w:val="00106CEB"/>
    <w:rsid w:val="00106D71"/>
    <w:rsid w:val="00106D75"/>
    <w:rsid w:val="00106D80"/>
    <w:rsid w:val="00106DF4"/>
    <w:rsid w:val="00106DF6"/>
    <w:rsid w:val="00106E15"/>
    <w:rsid w:val="00106E94"/>
    <w:rsid w:val="00106EA3"/>
    <w:rsid w:val="00106EB5"/>
    <w:rsid w:val="00106EFD"/>
    <w:rsid w:val="00106F5A"/>
    <w:rsid w:val="00106F77"/>
    <w:rsid w:val="00106FC1"/>
    <w:rsid w:val="00106FD9"/>
    <w:rsid w:val="00107006"/>
    <w:rsid w:val="0010702B"/>
    <w:rsid w:val="001070AE"/>
    <w:rsid w:val="001070CC"/>
    <w:rsid w:val="001070E5"/>
    <w:rsid w:val="001070F5"/>
    <w:rsid w:val="00107164"/>
    <w:rsid w:val="001071B1"/>
    <w:rsid w:val="00107207"/>
    <w:rsid w:val="00107220"/>
    <w:rsid w:val="00107231"/>
    <w:rsid w:val="00107253"/>
    <w:rsid w:val="00107261"/>
    <w:rsid w:val="0010727F"/>
    <w:rsid w:val="0010729C"/>
    <w:rsid w:val="001072C6"/>
    <w:rsid w:val="001072E4"/>
    <w:rsid w:val="00107301"/>
    <w:rsid w:val="00107346"/>
    <w:rsid w:val="00107362"/>
    <w:rsid w:val="00107368"/>
    <w:rsid w:val="0010737E"/>
    <w:rsid w:val="0010739C"/>
    <w:rsid w:val="001073AC"/>
    <w:rsid w:val="001073B7"/>
    <w:rsid w:val="001073E8"/>
    <w:rsid w:val="0010742E"/>
    <w:rsid w:val="00107451"/>
    <w:rsid w:val="0010745B"/>
    <w:rsid w:val="00107495"/>
    <w:rsid w:val="001074D9"/>
    <w:rsid w:val="0010758B"/>
    <w:rsid w:val="001075A5"/>
    <w:rsid w:val="001075AD"/>
    <w:rsid w:val="001075FE"/>
    <w:rsid w:val="001076A3"/>
    <w:rsid w:val="001076FB"/>
    <w:rsid w:val="00107747"/>
    <w:rsid w:val="0010778B"/>
    <w:rsid w:val="001077B2"/>
    <w:rsid w:val="001077CB"/>
    <w:rsid w:val="001077D6"/>
    <w:rsid w:val="00107803"/>
    <w:rsid w:val="00107850"/>
    <w:rsid w:val="0010789F"/>
    <w:rsid w:val="00107A37"/>
    <w:rsid w:val="00107AF2"/>
    <w:rsid w:val="00107AF4"/>
    <w:rsid w:val="00107B0A"/>
    <w:rsid w:val="00107B3B"/>
    <w:rsid w:val="00107B73"/>
    <w:rsid w:val="00107B92"/>
    <w:rsid w:val="00107BF8"/>
    <w:rsid w:val="00107C65"/>
    <w:rsid w:val="00107C70"/>
    <w:rsid w:val="00107CB7"/>
    <w:rsid w:val="00107D69"/>
    <w:rsid w:val="00107D85"/>
    <w:rsid w:val="00107D90"/>
    <w:rsid w:val="00107DB9"/>
    <w:rsid w:val="00107E01"/>
    <w:rsid w:val="00107E48"/>
    <w:rsid w:val="00107E72"/>
    <w:rsid w:val="00107EC6"/>
    <w:rsid w:val="00107F2F"/>
    <w:rsid w:val="00107F50"/>
    <w:rsid w:val="00107F7C"/>
    <w:rsid w:val="00107FBB"/>
    <w:rsid w:val="00107FC3"/>
    <w:rsid w:val="00107FDA"/>
    <w:rsid w:val="00107FE7"/>
    <w:rsid w:val="0011004E"/>
    <w:rsid w:val="001100B1"/>
    <w:rsid w:val="001100BC"/>
    <w:rsid w:val="001100E2"/>
    <w:rsid w:val="00110127"/>
    <w:rsid w:val="00110175"/>
    <w:rsid w:val="00110180"/>
    <w:rsid w:val="0011018C"/>
    <w:rsid w:val="001101B6"/>
    <w:rsid w:val="001101C1"/>
    <w:rsid w:val="001101EE"/>
    <w:rsid w:val="00110228"/>
    <w:rsid w:val="00110291"/>
    <w:rsid w:val="001102B3"/>
    <w:rsid w:val="001102B9"/>
    <w:rsid w:val="001102D6"/>
    <w:rsid w:val="001102E5"/>
    <w:rsid w:val="00110361"/>
    <w:rsid w:val="00110370"/>
    <w:rsid w:val="00110389"/>
    <w:rsid w:val="001103BC"/>
    <w:rsid w:val="001103E3"/>
    <w:rsid w:val="00110486"/>
    <w:rsid w:val="0011049D"/>
    <w:rsid w:val="00110567"/>
    <w:rsid w:val="00110577"/>
    <w:rsid w:val="001105C4"/>
    <w:rsid w:val="001105D2"/>
    <w:rsid w:val="001105DB"/>
    <w:rsid w:val="001105DC"/>
    <w:rsid w:val="001105FC"/>
    <w:rsid w:val="001105FD"/>
    <w:rsid w:val="0011061D"/>
    <w:rsid w:val="00110622"/>
    <w:rsid w:val="00110635"/>
    <w:rsid w:val="0011063B"/>
    <w:rsid w:val="00110679"/>
    <w:rsid w:val="00110719"/>
    <w:rsid w:val="0011071E"/>
    <w:rsid w:val="0011075F"/>
    <w:rsid w:val="00110761"/>
    <w:rsid w:val="00110819"/>
    <w:rsid w:val="00110887"/>
    <w:rsid w:val="001108C1"/>
    <w:rsid w:val="001108CF"/>
    <w:rsid w:val="001108D2"/>
    <w:rsid w:val="001108D3"/>
    <w:rsid w:val="001108EF"/>
    <w:rsid w:val="00110950"/>
    <w:rsid w:val="00110981"/>
    <w:rsid w:val="001109C3"/>
    <w:rsid w:val="00110A04"/>
    <w:rsid w:val="00110AC4"/>
    <w:rsid w:val="00110BD5"/>
    <w:rsid w:val="00110C00"/>
    <w:rsid w:val="00110C11"/>
    <w:rsid w:val="00110C55"/>
    <w:rsid w:val="00110C68"/>
    <w:rsid w:val="00110C81"/>
    <w:rsid w:val="00110C8B"/>
    <w:rsid w:val="00110CA8"/>
    <w:rsid w:val="00110CB0"/>
    <w:rsid w:val="00110CE3"/>
    <w:rsid w:val="00110CF9"/>
    <w:rsid w:val="00110D13"/>
    <w:rsid w:val="00110DA3"/>
    <w:rsid w:val="00110DD4"/>
    <w:rsid w:val="00110DF8"/>
    <w:rsid w:val="00110E11"/>
    <w:rsid w:val="00110F2A"/>
    <w:rsid w:val="00110F2E"/>
    <w:rsid w:val="00110F38"/>
    <w:rsid w:val="00110F5A"/>
    <w:rsid w:val="00110F8E"/>
    <w:rsid w:val="00110FAA"/>
    <w:rsid w:val="00110FB8"/>
    <w:rsid w:val="00110FC7"/>
    <w:rsid w:val="00111037"/>
    <w:rsid w:val="0011108A"/>
    <w:rsid w:val="001110E7"/>
    <w:rsid w:val="001111CF"/>
    <w:rsid w:val="001111FC"/>
    <w:rsid w:val="0011121A"/>
    <w:rsid w:val="0011122E"/>
    <w:rsid w:val="00111231"/>
    <w:rsid w:val="00111347"/>
    <w:rsid w:val="001113C6"/>
    <w:rsid w:val="001113C8"/>
    <w:rsid w:val="001113E0"/>
    <w:rsid w:val="00111447"/>
    <w:rsid w:val="001114A3"/>
    <w:rsid w:val="001114D0"/>
    <w:rsid w:val="001114E8"/>
    <w:rsid w:val="001114E9"/>
    <w:rsid w:val="00111519"/>
    <w:rsid w:val="00111522"/>
    <w:rsid w:val="00111528"/>
    <w:rsid w:val="00111541"/>
    <w:rsid w:val="00111544"/>
    <w:rsid w:val="00111611"/>
    <w:rsid w:val="00111636"/>
    <w:rsid w:val="00111644"/>
    <w:rsid w:val="00111671"/>
    <w:rsid w:val="001116B0"/>
    <w:rsid w:val="001116E2"/>
    <w:rsid w:val="00111714"/>
    <w:rsid w:val="0011173E"/>
    <w:rsid w:val="0011174F"/>
    <w:rsid w:val="00111754"/>
    <w:rsid w:val="00111760"/>
    <w:rsid w:val="001117A2"/>
    <w:rsid w:val="00111834"/>
    <w:rsid w:val="0011184B"/>
    <w:rsid w:val="001118E5"/>
    <w:rsid w:val="001118F3"/>
    <w:rsid w:val="0011192A"/>
    <w:rsid w:val="00111952"/>
    <w:rsid w:val="00111967"/>
    <w:rsid w:val="0011199B"/>
    <w:rsid w:val="001119A6"/>
    <w:rsid w:val="001119C2"/>
    <w:rsid w:val="001119DE"/>
    <w:rsid w:val="001119DF"/>
    <w:rsid w:val="00111A07"/>
    <w:rsid w:val="00111AA0"/>
    <w:rsid w:val="00111ABF"/>
    <w:rsid w:val="00111AC6"/>
    <w:rsid w:val="00111AC8"/>
    <w:rsid w:val="00111B12"/>
    <w:rsid w:val="00111B1B"/>
    <w:rsid w:val="00111B6E"/>
    <w:rsid w:val="00111B7C"/>
    <w:rsid w:val="00111C22"/>
    <w:rsid w:val="00111CD6"/>
    <w:rsid w:val="00111D6E"/>
    <w:rsid w:val="00111D96"/>
    <w:rsid w:val="00111E41"/>
    <w:rsid w:val="00111E50"/>
    <w:rsid w:val="00111E7D"/>
    <w:rsid w:val="00111EB0"/>
    <w:rsid w:val="00111EEB"/>
    <w:rsid w:val="00111F8B"/>
    <w:rsid w:val="00112010"/>
    <w:rsid w:val="0011204A"/>
    <w:rsid w:val="00112081"/>
    <w:rsid w:val="001120E4"/>
    <w:rsid w:val="00112120"/>
    <w:rsid w:val="00112145"/>
    <w:rsid w:val="0011215A"/>
    <w:rsid w:val="0011219D"/>
    <w:rsid w:val="001121B1"/>
    <w:rsid w:val="001121DE"/>
    <w:rsid w:val="00112243"/>
    <w:rsid w:val="001122DC"/>
    <w:rsid w:val="0011235D"/>
    <w:rsid w:val="00112454"/>
    <w:rsid w:val="001124FE"/>
    <w:rsid w:val="00112509"/>
    <w:rsid w:val="0011252E"/>
    <w:rsid w:val="00112552"/>
    <w:rsid w:val="00112566"/>
    <w:rsid w:val="00112592"/>
    <w:rsid w:val="0011259A"/>
    <w:rsid w:val="001125EC"/>
    <w:rsid w:val="00112622"/>
    <w:rsid w:val="00112681"/>
    <w:rsid w:val="0011268D"/>
    <w:rsid w:val="00112734"/>
    <w:rsid w:val="00112760"/>
    <w:rsid w:val="00112765"/>
    <w:rsid w:val="0011278C"/>
    <w:rsid w:val="001127AD"/>
    <w:rsid w:val="00112820"/>
    <w:rsid w:val="0011283C"/>
    <w:rsid w:val="0011283F"/>
    <w:rsid w:val="001128F5"/>
    <w:rsid w:val="0011298C"/>
    <w:rsid w:val="001129A3"/>
    <w:rsid w:val="001129D3"/>
    <w:rsid w:val="00112A54"/>
    <w:rsid w:val="00112A8E"/>
    <w:rsid w:val="00112AB6"/>
    <w:rsid w:val="00112AC9"/>
    <w:rsid w:val="00112B61"/>
    <w:rsid w:val="00112B8D"/>
    <w:rsid w:val="00112B91"/>
    <w:rsid w:val="00112BFD"/>
    <w:rsid w:val="00112C83"/>
    <w:rsid w:val="00112CC7"/>
    <w:rsid w:val="00112CC9"/>
    <w:rsid w:val="00112DD8"/>
    <w:rsid w:val="00112DE5"/>
    <w:rsid w:val="00112E15"/>
    <w:rsid w:val="00112E54"/>
    <w:rsid w:val="00112FA1"/>
    <w:rsid w:val="0011300B"/>
    <w:rsid w:val="00113024"/>
    <w:rsid w:val="001130B7"/>
    <w:rsid w:val="00113104"/>
    <w:rsid w:val="0011311C"/>
    <w:rsid w:val="00113166"/>
    <w:rsid w:val="001131B9"/>
    <w:rsid w:val="001131BD"/>
    <w:rsid w:val="001131C9"/>
    <w:rsid w:val="001131EB"/>
    <w:rsid w:val="001131FD"/>
    <w:rsid w:val="0011320B"/>
    <w:rsid w:val="00113249"/>
    <w:rsid w:val="0011326A"/>
    <w:rsid w:val="0011328B"/>
    <w:rsid w:val="001132D0"/>
    <w:rsid w:val="001132D9"/>
    <w:rsid w:val="001132E1"/>
    <w:rsid w:val="001132FD"/>
    <w:rsid w:val="00113350"/>
    <w:rsid w:val="00113462"/>
    <w:rsid w:val="00113482"/>
    <w:rsid w:val="00113552"/>
    <w:rsid w:val="0011356A"/>
    <w:rsid w:val="001135FF"/>
    <w:rsid w:val="00113641"/>
    <w:rsid w:val="00113666"/>
    <w:rsid w:val="0011366E"/>
    <w:rsid w:val="001136BB"/>
    <w:rsid w:val="0011379C"/>
    <w:rsid w:val="001137C0"/>
    <w:rsid w:val="001137F6"/>
    <w:rsid w:val="00113829"/>
    <w:rsid w:val="0011382E"/>
    <w:rsid w:val="001138C1"/>
    <w:rsid w:val="001138E9"/>
    <w:rsid w:val="001138FA"/>
    <w:rsid w:val="0011390D"/>
    <w:rsid w:val="00113936"/>
    <w:rsid w:val="0011396F"/>
    <w:rsid w:val="00113971"/>
    <w:rsid w:val="001139E2"/>
    <w:rsid w:val="001139EE"/>
    <w:rsid w:val="00113A04"/>
    <w:rsid w:val="00113A35"/>
    <w:rsid w:val="00113A52"/>
    <w:rsid w:val="00113A9E"/>
    <w:rsid w:val="00113AA5"/>
    <w:rsid w:val="00113AA9"/>
    <w:rsid w:val="00113AB6"/>
    <w:rsid w:val="00113AE0"/>
    <w:rsid w:val="00113AFE"/>
    <w:rsid w:val="00113BB4"/>
    <w:rsid w:val="00113BD4"/>
    <w:rsid w:val="00113BEF"/>
    <w:rsid w:val="00113C5C"/>
    <w:rsid w:val="00113C66"/>
    <w:rsid w:val="00113CC3"/>
    <w:rsid w:val="00113D02"/>
    <w:rsid w:val="00113D26"/>
    <w:rsid w:val="00113DA7"/>
    <w:rsid w:val="00113DD9"/>
    <w:rsid w:val="00113E40"/>
    <w:rsid w:val="00113F53"/>
    <w:rsid w:val="00113F71"/>
    <w:rsid w:val="00113F75"/>
    <w:rsid w:val="00113FA6"/>
    <w:rsid w:val="00113FDC"/>
    <w:rsid w:val="00113FF0"/>
    <w:rsid w:val="0011402B"/>
    <w:rsid w:val="00114047"/>
    <w:rsid w:val="00114054"/>
    <w:rsid w:val="00114076"/>
    <w:rsid w:val="001140B3"/>
    <w:rsid w:val="001140CF"/>
    <w:rsid w:val="001140D0"/>
    <w:rsid w:val="00114105"/>
    <w:rsid w:val="00114134"/>
    <w:rsid w:val="00114150"/>
    <w:rsid w:val="00114179"/>
    <w:rsid w:val="0011419B"/>
    <w:rsid w:val="0011419E"/>
    <w:rsid w:val="00114203"/>
    <w:rsid w:val="00114237"/>
    <w:rsid w:val="0011425B"/>
    <w:rsid w:val="001142A2"/>
    <w:rsid w:val="001142DA"/>
    <w:rsid w:val="0011430A"/>
    <w:rsid w:val="00114329"/>
    <w:rsid w:val="0011433F"/>
    <w:rsid w:val="0011434D"/>
    <w:rsid w:val="0011437D"/>
    <w:rsid w:val="001143D8"/>
    <w:rsid w:val="0011449C"/>
    <w:rsid w:val="001144BA"/>
    <w:rsid w:val="00114517"/>
    <w:rsid w:val="00114519"/>
    <w:rsid w:val="00114559"/>
    <w:rsid w:val="00114591"/>
    <w:rsid w:val="001145CB"/>
    <w:rsid w:val="001145E4"/>
    <w:rsid w:val="0011461E"/>
    <w:rsid w:val="00114654"/>
    <w:rsid w:val="00114683"/>
    <w:rsid w:val="0011476A"/>
    <w:rsid w:val="001147C3"/>
    <w:rsid w:val="001148A3"/>
    <w:rsid w:val="001148CC"/>
    <w:rsid w:val="001148D2"/>
    <w:rsid w:val="00114939"/>
    <w:rsid w:val="001149A3"/>
    <w:rsid w:val="001149EC"/>
    <w:rsid w:val="00114A3C"/>
    <w:rsid w:val="00114A66"/>
    <w:rsid w:val="00114A89"/>
    <w:rsid w:val="00114AC3"/>
    <w:rsid w:val="00114AE7"/>
    <w:rsid w:val="00114B0B"/>
    <w:rsid w:val="00114B1D"/>
    <w:rsid w:val="00114B37"/>
    <w:rsid w:val="00114B42"/>
    <w:rsid w:val="00114B62"/>
    <w:rsid w:val="00114B69"/>
    <w:rsid w:val="00114B8F"/>
    <w:rsid w:val="00114B93"/>
    <w:rsid w:val="00114BC3"/>
    <w:rsid w:val="00114BCE"/>
    <w:rsid w:val="00114C30"/>
    <w:rsid w:val="00114C70"/>
    <w:rsid w:val="00114D21"/>
    <w:rsid w:val="00114D61"/>
    <w:rsid w:val="00114D8D"/>
    <w:rsid w:val="00114E73"/>
    <w:rsid w:val="00114EA4"/>
    <w:rsid w:val="00114EDE"/>
    <w:rsid w:val="00114EE9"/>
    <w:rsid w:val="00114F52"/>
    <w:rsid w:val="00114F55"/>
    <w:rsid w:val="00114FDD"/>
    <w:rsid w:val="00114FE3"/>
    <w:rsid w:val="0011513D"/>
    <w:rsid w:val="00115151"/>
    <w:rsid w:val="00115192"/>
    <w:rsid w:val="0011522C"/>
    <w:rsid w:val="0011525A"/>
    <w:rsid w:val="0011527B"/>
    <w:rsid w:val="001152C1"/>
    <w:rsid w:val="001152C3"/>
    <w:rsid w:val="001152F6"/>
    <w:rsid w:val="0011530D"/>
    <w:rsid w:val="00115334"/>
    <w:rsid w:val="00115360"/>
    <w:rsid w:val="00115385"/>
    <w:rsid w:val="001153B0"/>
    <w:rsid w:val="001153E3"/>
    <w:rsid w:val="001153EE"/>
    <w:rsid w:val="0011541E"/>
    <w:rsid w:val="0011542A"/>
    <w:rsid w:val="0011542E"/>
    <w:rsid w:val="00115450"/>
    <w:rsid w:val="00115461"/>
    <w:rsid w:val="001154A5"/>
    <w:rsid w:val="001154CF"/>
    <w:rsid w:val="001154F8"/>
    <w:rsid w:val="001154FD"/>
    <w:rsid w:val="00115517"/>
    <w:rsid w:val="00115574"/>
    <w:rsid w:val="001155E1"/>
    <w:rsid w:val="00115641"/>
    <w:rsid w:val="0011571B"/>
    <w:rsid w:val="00115724"/>
    <w:rsid w:val="00115739"/>
    <w:rsid w:val="00115753"/>
    <w:rsid w:val="00115790"/>
    <w:rsid w:val="001157B9"/>
    <w:rsid w:val="00115836"/>
    <w:rsid w:val="0011585E"/>
    <w:rsid w:val="001158AF"/>
    <w:rsid w:val="001158EE"/>
    <w:rsid w:val="00115910"/>
    <w:rsid w:val="00115915"/>
    <w:rsid w:val="00115930"/>
    <w:rsid w:val="0011595D"/>
    <w:rsid w:val="0011597C"/>
    <w:rsid w:val="00115A5C"/>
    <w:rsid w:val="00115A95"/>
    <w:rsid w:val="00115B61"/>
    <w:rsid w:val="00115B9C"/>
    <w:rsid w:val="00115BEC"/>
    <w:rsid w:val="00115BF8"/>
    <w:rsid w:val="00115DE3"/>
    <w:rsid w:val="00115E93"/>
    <w:rsid w:val="00115E99"/>
    <w:rsid w:val="00115EB3"/>
    <w:rsid w:val="00115EFD"/>
    <w:rsid w:val="00115F0B"/>
    <w:rsid w:val="00115F3A"/>
    <w:rsid w:val="00115FBB"/>
    <w:rsid w:val="00116035"/>
    <w:rsid w:val="001160A4"/>
    <w:rsid w:val="00116163"/>
    <w:rsid w:val="00116187"/>
    <w:rsid w:val="00116188"/>
    <w:rsid w:val="001161A4"/>
    <w:rsid w:val="001161C6"/>
    <w:rsid w:val="001161EA"/>
    <w:rsid w:val="00116210"/>
    <w:rsid w:val="001162C5"/>
    <w:rsid w:val="001162C6"/>
    <w:rsid w:val="001162C7"/>
    <w:rsid w:val="001162CF"/>
    <w:rsid w:val="00116309"/>
    <w:rsid w:val="00116339"/>
    <w:rsid w:val="0011633B"/>
    <w:rsid w:val="001163D2"/>
    <w:rsid w:val="00116420"/>
    <w:rsid w:val="0011647B"/>
    <w:rsid w:val="00116490"/>
    <w:rsid w:val="00116505"/>
    <w:rsid w:val="00116510"/>
    <w:rsid w:val="00116538"/>
    <w:rsid w:val="0011659F"/>
    <w:rsid w:val="001165A3"/>
    <w:rsid w:val="00116616"/>
    <w:rsid w:val="0011662F"/>
    <w:rsid w:val="0011665E"/>
    <w:rsid w:val="00116667"/>
    <w:rsid w:val="00116680"/>
    <w:rsid w:val="001166E7"/>
    <w:rsid w:val="00116771"/>
    <w:rsid w:val="001167E1"/>
    <w:rsid w:val="00116801"/>
    <w:rsid w:val="00116803"/>
    <w:rsid w:val="0011682B"/>
    <w:rsid w:val="00116896"/>
    <w:rsid w:val="001169E9"/>
    <w:rsid w:val="00116A24"/>
    <w:rsid w:val="00116A60"/>
    <w:rsid w:val="00116A8B"/>
    <w:rsid w:val="00116B10"/>
    <w:rsid w:val="00116B15"/>
    <w:rsid w:val="00116B1F"/>
    <w:rsid w:val="00116B3C"/>
    <w:rsid w:val="00116B8B"/>
    <w:rsid w:val="00116BD2"/>
    <w:rsid w:val="00116BEE"/>
    <w:rsid w:val="00116BF6"/>
    <w:rsid w:val="00116C04"/>
    <w:rsid w:val="00116C72"/>
    <w:rsid w:val="00116CEF"/>
    <w:rsid w:val="00116D09"/>
    <w:rsid w:val="00116D1C"/>
    <w:rsid w:val="00116D30"/>
    <w:rsid w:val="00116D36"/>
    <w:rsid w:val="00116D37"/>
    <w:rsid w:val="00116DAB"/>
    <w:rsid w:val="00116DEB"/>
    <w:rsid w:val="00116DF2"/>
    <w:rsid w:val="00116E55"/>
    <w:rsid w:val="00116E81"/>
    <w:rsid w:val="00116E82"/>
    <w:rsid w:val="00116E8E"/>
    <w:rsid w:val="00116ED8"/>
    <w:rsid w:val="00116F73"/>
    <w:rsid w:val="00116F95"/>
    <w:rsid w:val="00116FD5"/>
    <w:rsid w:val="00116FF3"/>
    <w:rsid w:val="0011702F"/>
    <w:rsid w:val="00117033"/>
    <w:rsid w:val="0011704A"/>
    <w:rsid w:val="001170BA"/>
    <w:rsid w:val="00117104"/>
    <w:rsid w:val="0011711E"/>
    <w:rsid w:val="00117193"/>
    <w:rsid w:val="001171B7"/>
    <w:rsid w:val="001171D7"/>
    <w:rsid w:val="00117229"/>
    <w:rsid w:val="00117237"/>
    <w:rsid w:val="001172C6"/>
    <w:rsid w:val="001172F4"/>
    <w:rsid w:val="00117309"/>
    <w:rsid w:val="00117381"/>
    <w:rsid w:val="001173A7"/>
    <w:rsid w:val="001173CB"/>
    <w:rsid w:val="001173F3"/>
    <w:rsid w:val="00117414"/>
    <w:rsid w:val="0011742F"/>
    <w:rsid w:val="00117430"/>
    <w:rsid w:val="00117469"/>
    <w:rsid w:val="0011748B"/>
    <w:rsid w:val="001174C3"/>
    <w:rsid w:val="001174D4"/>
    <w:rsid w:val="001174FF"/>
    <w:rsid w:val="0011752C"/>
    <w:rsid w:val="0011754E"/>
    <w:rsid w:val="00117574"/>
    <w:rsid w:val="00117580"/>
    <w:rsid w:val="0011759E"/>
    <w:rsid w:val="001175C9"/>
    <w:rsid w:val="001175EE"/>
    <w:rsid w:val="00117600"/>
    <w:rsid w:val="00117633"/>
    <w:rsid w:val="001176EB"/>
    <w:rsid w:val="0011779F"/>
    <w:rsid w:val="001177B5"/>
    <w:rsid w:val="001177BD"/>
    <w:rsid w:val="001178AB"/>
    <w:rsid w:val="001178DC"/>
    <w:rsid w:val="001178FD"/>
    <w:rsid w:val="00117908"/>
    <w:rsid w:val="00117993"/>
    <w:rsid w:val="001179A1"/>
    <w:rsid w:val="001179A9"/>
    <w:rsid w:val="001179FF"/>
    <w:rsid w:val="00117A7A"/>
    <w:rsid w:val="00117A82"/>
    <w:rsid w:val="00117A8C"/>
    <w:rsid w:val="00117AF5"/>
    <w:rsid w:val="00117B2F"/>
    <w:rsid w:val="00117B32"/>
    <w:rsid w:val="00117B3F"/>
    <w:rsid w:val="00117BE0"/>
    <w:rsid w:val="00117BF6"/>
    <w:rsid w:val="00117C01"/>
    <w:rsid w:val="00117C45"/>
    <w:rsid w:val="00117C6F"/>
    <w:rsid w:val="00117CC9"/>
    <w:rsid w:val="00117CCB"/>
    <w:rsid w:val="00117CD7"/>
    <w:rsid w:val="00117D8D"/>
    <w:rsid w:val="00117DA0"/>
    <w:rsid w:val="00117DA5"/>
    <w:rsid w:val="00117DBE"/>
    <w:rsid w:val="00117DBF"/>
    <w:rsid w:val="00117DD9"/>
    <w:rsid w:val="00117E0D"/>
    <w:rsid w:val="00117E16"/>
    <w:rsid w:val="00117E72"/>
    <w:rsid w:val="00117F00"/>
    <w:rsid w:val="00117F07"/>
    <w:rsid w:val="00117F2B"/>
    <w:rsid w:val="00117F37"/>
    <w:rsid w:val="00117F7E"/>
    <w:rsid w:val="00117F81"/>
    <w:rsid w:val="00117F93"/>
    <w:rsid w:val="00117F9F"/>
    <w:rsid w:val="00120012"/>
    <w:rsid w:val="0012009C"/>
    <w:rsid w:val="00120140"/>
    <w:rsid w:val="00120184"/>
    <w:rsid w:val="0012020F"/>
    <w:rsid w:val="001202B3"/>
    <w:rsid w:val="0012030E"/>
    <w:rsid w:val="00120398"/>
    <w:rsid w:val="001203DE"/>
    <w:rsid w:val="0012040D"/>
    <w:rsid w:val="00120464"/>
    <w:rsid w:val="001204CF"/>
    <w:rsid w:val="001204E6"/>
    <w:rsid w:val="00120576"/>
    <w:rsid w:val="001205F2"/>
    <w:rsid w:val="00120602"/>
    <w:rsid w:val="00120625"/>
    <w:rsid w:val="00120679"/>
    <w:rsid w:val="0012068D"/>
    <w:rsid w:val="001206AB"/>
    <w:rsid w:val="00120709"/>
    <w:rsid w:val="0012075A"/>
    <w:rsid w:val="0012077F"/>
    <w:rsid w:val="00120780"/>
    <w:rsid w:val="0012078D"/>
    <w:rsid w:val="00120807"/>
    <w:rsid w:val="00120859"/>
    <w:rsid w:val="00120880"/>
    <w:rsid w:val="0012088F"/>
    <w:rsid w:val="001208A2"/>
    <w:rsid w:val="001208FB"/>
    <w:rsid w:val="001209B1"/>
    <w:rsid w:val="001209F8"/>
    <w:rsid w:val="00120A05"/>
    <w:rsid w:val="00120A66"/>
    <w:rsid w:val="00120A7F"/>
    <w:rsid w:val="00120AEC"/>
    <w:rsid w:val="00120AF0"/>
    <w:rsid w:val="00120B0D"/>
    <w:rsid w:val="00120B61"/>
    <w:rsid w:val="00120BAD"/>
    <w:rsid w:val="00120BEC"/>
    <w:rsid w:val="00120C5B"/>
    <w:rsid w:val="00120C64"/>
    <w:rsid w:val="00120CA2"/>
    <w:rsid w:val="00120CD4"/>
    <w:rsid w:val="00120CFF"/>
    <w:rsid w:val="00120D12"/>
    <w:rsid w:val="00120D35"/>
    <w:rsid w:val="00120DA8"/>
    <w:rsid w:val="00120DA9"/>
    <w:rsid w:val="00120DAC"/>
    <w:rsid w:val="00120E24"/>
    <w:rsid w:val="00120E4B"/>
    <w:rsid w:val="00120E4E"/>
    <w:rsid w:val="00120E5E"/>
    <w:rsid w:val="00120E7A"/>
    <w:rsid w:val="00120E8F"/>
    <w:rsid w:val="00120EA6"/>
    <w:rsid w:val="00120F2F"/>
    <w:rsid w:val="00120F48"/>
    <w:rsid w:val="00120F97"/>
    <w:rsid w:val="00120FAA"/>
    <w:rsid w:val="00120FD5"/>
    <w:rsid w:val="00121028"/>
    <w:rsid w:val="00121049"/>
    <w:rsid w:val="00121069"/>
    <w:rsid w:val="0012108D"/>
    <w:rsid w:val="001210A1"/>
    <w:rsid w:val="001210A2"/>
    <w:rsid w:val="001210CC"/>
    <w:rsid w:val="001210F2"/>
    <w:rsid w:val="00121129"/>
    <w:rsid w:val="0012116D"/>
    <w:rsid w:val="00121172"/>
    <w:rsid w:val="0012118F"/>
    <w:rsid w:val="001211EA"/>
    <w:rsid w:val="00121244"/>
    <w:rsid w:val="0012128B"/>
    <w:rsid w:val="00121298"/>
    <w:rsid w:val="0012130A"/>
    <w:rsid w:val="001213B6"/>
    <w:rsid w:val="001213B8"/>
    <w:rsid w:val="001213FF"/>
    <w:rsid w:val="001214CE"/>
    <w:rsid w:val="00121514"/>
    <w:rsid w:val="00121521"/>
    <w:rsid w:val="0012153F"/>
    <w:rsid w:val="00121552"/>
    <w:rsid w:val="001215A0"/>
    <w:rsid w:val="00121663"/>
    <w:rsid w:val="001216AA"/>
    <w:rsid w:val="001216C0"/>
    <w:rsid w:val="0012170D"/>
    <w:rsid w:val="001217AC"/>
    <w:rsid w:val="00121801"/>
    <w:rsid w:val="0012182F"/>
    <w:rsid w:val="0012186F"/>
    <w:rsid w:val="001218A9"/>
    <w:rsid w:val="001218AA"/>
    <w:rsid w:val="001218B2"/>
    <w:rsid w:val="001218B7"/>
    <w:rsid w:val="001218D0"/>
    <w:rsid w:val="0012190B"/>
    <w:rsid w:val="00121950"/>
    <w:rsid w:val="001219E9"/>
    <w:rsid w:val="00121A4F"/>
    <w:rsid w:val="00121B2E"/>
    <w:rsid w:val="00121BA7"/>
    <w:rsid w:val="00121BAE"/>
    <w:rsid w:val="00121C02"/>
    <w:rsid w:val="00121C55"/>
    <w:rsid w:val="00121C6C"/>
    <w:rsid w:val="00121C97"/>
    <w:rsid w:val="00121CA7"/>
    <w:rsid w:val="00121CAA"/>
    <w:rsid w:val="00121D17"/>
    <w:rsid w:val="00121D4E"/>
    <w:rsid w:val="00121D54"/>
    <w:rsid w:val="00121D61"/>
    <w:rsid w:val="00121D91"/>
    <w:rsid w:val="00121E00"/>
    <w:rsid w:val="00121E60"/>
    <w:rsid w:val="00121E61"/>
    <w:rsid w:val="00121EE0"/>
    <w:rsid w:val="00121F8D"/>
    <w:rsid w:val="00121FAD"/>
    <w:rsid w:val="00122085"/>
    <w:rsid w:val="001220C2"/>
    <w:rsid w:val="001220C8"/>
    <w:rsid w:val="00122161"/>
    <w:rsid w:val="00122195"/>
    <w:rsid w:val="001221B6"/>
    <w:rsid w:val="001221EE"/>
    <w:rsid w:val="0012220F"/>
    <w:rsid w:val="00122251"/>
    <w:rsid w:val="0012225C"/>
    <w:rsid w:val="00122292"/>
    <w:rsid w:val="0012230F"/>
    <w:rsid w:val="00122358"/>
    <w:rsid w:val="00122359"/>
    <w:rsid w:val="0012238C"/>
    <w:rsid w:val="0012238D"/>
    <w:rsid w:val="001223DF"/>
    <w:rsid w:val="00122406"/>
    <w:rsid w:val="00122456"/>
    <w:rsid w:val="00122459"/>
    <w:rsid w:val="001224A1"/>
    <w:rsid w:val="001224CB"/>
    <w:rsid w:val="001224E5"/>
    <w:rsid w:val="001224EC"/>
    <w:rsid w:val="0012251A"/>
    <w:rsid w:val="0012252E"/>
    <w:rsid w:val="00122547"/>
    <w:rsid w:val="0012254C"/>
    <w:rsid w:val="001225C1"/>
    <w:rsid w:val="001225E5"/>
    <w:rsid w:val="00122633"/>
    <w:rsid w:val="00122673"/>
    <w:rsid w:val="0012269D"/>
    <w:rsid w:val="001226B8"/>
    <w:rsid w:val="00122827"/>
    <w:rsid w:val="00122835"/>
    <w:rsid w:val="001228E1"/>
    <w:rsid w:val="00122900"/>
    <w:rsid w:val="0012290B"/>
    <w:rsid w:val="0012297F"/>
    <w:rsid w:val="001229A7"/>
    <w:rsid w:val="001229E5"/>
    <w:rsid w:val="00122A68"/>
    <w:rsid w:val="00122A87"/>
    <w:rsid w:val="00122A8E"/>
    <w:rsid w:val="00122AA2"/>
    <w:rsid w:val="00122B0E"/>
    <w:rsid w:val="00122C17"/>
    <w:rsid w:val="00122C2E"/>
    <w:rsid w:val="00122C56"/>
    <w:rsid w:val="00122C5E"/>
    <w:rsid w:val="00122C74"/>
    <w:rsid w:val="00122C8C"/>
    <w:rsid w:val="00122CD3"/>
    <w:rsid w:val="00122D0E"/>
    <w:rsid w:val="00122D1E"/>
    <w:rsid w:val="00122D5E"/>
    <w:rsid w:val="00122E4A"/>
    <w:rsid w:val="00122E7B"/>
    <w:rsid w:val="00122EA7"/>
    <w:rsid w:val="00122F47"/>
    <w:rsid w:val="00122F49"/>
    <w:rsid w:val="00122F59"/>
    <w:rsid w:val="00122F9B"/>
    <w:rsid w:val="00122FAE"/>
    <w:rsid w:val="00122FB2"/>
    <w:rsid w:val="001230C1"/>
    <w:rsid w:val="00123105"/>
    <w:rsid w:val="0012310E"/>
    <w:rsid w:val="00123111"/>
    <w:rsid w:val="00123169"/>
    <w:rsid w:val="0012316C"/>
    <w:rsid w:val="0012316E"/>
    <w:rsid w:val="00123199"/>
    <w:rsid w:val="001231E1"/>
    <w:rsid w:val="001231F0"/>
    <w:rsid w:val="00123242"/>
    <w:rsid w:val="00123265"/>
    <w:rsid w:val="00123305"/>
    <w:rsid w:val="00123309"/>
    <w:rsid w:val="00123315"/>
    <w:rsid w:val="0012335A"/>
    <w:rsid w:val="001233A9"/>
    <w:rsid w:val="001233D4"/>
    <w:rsid w:val="001233F0"/>
    <w:rsid w:val="00123442"/>
    <w:rsid w:val="00123468"/>
    <w:rsid w:val="00123489"/>
    <w:rsid w:val="001234C4"/>
    <w:rsid w:val="001234CE"/>
    <w:rsid w:val="001234D2"/>
    <w:rsid w:val="001234D4"/>
    <w:rsid w:val="001234D7"/>
    <w:rsid w:val="001234F5"/>
    <w:rsid w:val="0012350C"/>
    <w:rsid w:val="001235A0"/>
    <w:rsid w:val="001235BA"/>
    <w:rsid w:val="001235E1"/>
    <w:rsid w:val="00123674"/>
    <w:rsid w:val="00123675"/>
    <w:rsid w:val="0012376C"/>
    <w:rsid w:val="0012380C"/>
    <w:rsid w:val="001238D9"/>
    <w:rsid w:val="0012392A"/>
    <w:rsid w:val="0012395E"/>
    <w:rsid w:val="00123961"/>
    <w:rsid w:val="001239A2"/>
    <w:rsid w:val="001239C3"/>
    <w:rsid w:val="00123A0E"/>
    <w:rsid w:val="00123A42"/>
    <w:rsid w:val="00123A58"/>
    <w:rsid w:val="00123A60"/>
    <w:rsid w:val="00123AF2"/>
    <w:rsid w:val="00123AF7"/>
    <w:rsid w:val="00123B22"/>
    <w:rsid w:val="00123B25"/>
    <w:rsid w:val="00123B27"/>
    <w:rsid w:val="00123B6C"/>
    <w:rsid w:val="00123B95"/>
    <w:rsid w:val="00123CDF"/>
    <w:rsid w:val="00123D43"/>
    <w:rsid w:val="00123D65"/>
    <w:rsid w:val="00123DE3"/>
    <w:rsid w:val="00123E18"/>
    <w:rsid w:val="00123E2C"/>
    <w:rsid w:val="00123E67"/>
    <w:rsid w:val="00123E7D"/>
    <w:rsid w:val="00123E98"/>
    <w:rsid w:val="00123ECC"/>
    <w:rsid w:val="00123EF7"/>
    <w:rsid w:val="00123F05"/>
    <w:rsid w:val="00123F21"/>
    <w:rsid w:val="00123F23"/>
    <w:rsid w:val="00123F77"/>
    <w:rsid w:val="00123F92"/>
    <w:rsid w:val="00123FFF"/>
    <w:rsid w:val="00124012"/>
    <w:rsid w:val="00124022"/>
    <w:rsid w:val="0012402C"/>
    <w:rsid w:val="00124073"/>
    <w:rsid w:val="0012408E"/>
    <w:rsid w:val="0012409E"/>
    <w:rsid w:val="001240C8"/>
    <w:rsid w:val="00124163"/>
    <w:rsid w:val="00124170"/>
    <w:rsid w:val="0012418D"/>
    <w:rsid w:val="001241DE"/>
    <w:rsid w:val="001241E6"/>
    <w:rsid w:val="0012420A"/>
    <w:rsid w:val="00124212"/>
    <w:rsid w:val="00124302"/>
    <w:rsid w:val="001243B7"/>
    <w:rsid w:val="001243BC"/>
    <w:rsid w:val="001243DD"/>
    <w:rsid w:val="00124441"/>
    <w:rsid w:val="00124515"/>
    <w:rsid w:val="00124529"/>
    <w:rsid w:val="00124543"/>
    <w:rsid w:val="00124569"/>
    <w:rsid w:val="0012457A"/>
    <w:rsid w:val="0012459D"/>
    <w:rsid w:val="001245FB"/>
    <w:rsid w:val="0012462C"/>
    <w:rsid w:val="00124635"/>
    <w:rsid w:val="0012464C"/>
    <w:rsid w:val="00124669"/>
    <w:rsid w:val="001246C1"/>
    <w:rsid w:val="001246C8"/>
    <w:rsid w:val="0012479F"/>
    <w:rsid w:val="001247D0"/>
    <w:rsid w:val="001247FA"/>
    <w:rsid w:val="0012486C"/>
    <w:rsid w:val="0012486F"/>
    <w:rsid w:val="001248EB"/>
    <w:rsid w:val="00124951"/>
    <w:rsid w:val="0012498C"/>
    <w:rsid w:val="001249AD"/>
    <w:rsid w:val="001249C0"/>
    <w:rsid w:val="001249E2"/>
    <w:rsid w:val="001249EA"/>
    <w:rsid w:val="001249F3"/>
    <w:rsid w:val="00124A08"/>
    <w:rsid w:val="00124A0B"/>
    <w:rsid w:val="00124A41"/>
    <w:rsid w:val="00124A4E"/>
    <w:rsid w:val="00124A59"/>
    <w:rsid w:val="00124B5A"/>
    <w:rsid w:val="00124B68"/>
    <w:rsid w:val="00124B8C"/>
    <w:rsid w:val="00124B92"/>
    <w:rsid w:val="00124C09"/>
    <w:rsid w:val="00124C7F"/>
    <w:rsid w:val="00124C99"/>
    <w:rsid w:val="00124CA9"/>
    <w:rsid w:val="00124CCF"/>
    <w:rsid w:val="00124CEF"/>
    <w:rsid w:val="00124CF8"/>
    <w:rsid w:val="00124D12"/>
    <w:rsid w:val="00124D16"/>
    <w:rsid w:val="00124D52"/>
    <w:rsid w:val="00124D8B"/>
    <w:rsid w:val="00124D9F"/>
    <w:rsid w:val="00124DBB"/>
    <w:rsid w:val="00124DBD"/>
    <w:rsid w:val="00124E73"/>
    <w:rsid w:val="00124E99"/>
    <w:rsid w:val="00124E9E"/>
    <w:rsid w:val="00124EB7"/>
    <w:rsid w:val="00124EBA"/>
    <w:rsid w:val="00124ED9"/>
    <w:rsid w:val="00124EEC"/>
    <w:rsid w:val="00124F7F"/>
    <w:rsid w:val="00124F9B"/>
    <w:rsid w:val="00124FD8"/>
    <w:rsid w:val="00124FF5"/>
    <w:rsid w:val="00124FFE"/>
    <w:rsid w:val="0012502D"/>
    <w:rsid w:val="00125066"/>
    <w:rsid w:val="00125099"/>
    <w:rsid w:val="00125161"/>
    <w:rsid w:val="0012519E"/>
    <w:rsid w:val="001251AD"/>
    <w:rsid w:val="001251B2"/>
    <w:rsid w:val="00125202"/>
    <w:rsid w:val="00125258"/>
    <w:rsid w:val="001252CC"/>
    <w:rsid w:val="001252FA"/>
    <w:rsid w:val="00125358"/>
    <w:rsid w:val="00125395"/>
    <w:rsid w:val="001253C4"/>
    <w:rsid w:val="00125455"/>
    <w:rsid w:val="0012545F"/>
    <w:rsid w:val="00125470"/>
    <w:rsid w:val="001254AB"/>
    <w:rsid w:val="00125511"/>
    <w:rsid w:val="0012551A"/>
    <w:rsid w:val="00125527"/>
    <w:rsid w:val="00125581"/>
    <w:rsid w:val="0012558F"/>
    <w:rsid w:val="0012563A"/>
    <w:rsid w:val="00125662"/>
    <w:rsid w:val="0012569F"/>
    <w:rsid w:val="001256CE"/>
    <w:rsid w:val="001256FB"/>
    <w:rsid w:val="00125704"/>
    <w:rsid w:val="0012576E"/>
    <w:rsid w:val="001257A9"/>
    <w:rsid w:val="001257EB"/>
    <w:rsid w:val="00125845"/>
    <w:rsid w:val="0012586F"/>
    <w:rsid w:val="0012588E"/>
    <w:rsid w:val="00125891"/>
    <w:rsid w:val="001258DA"/>
    <w:rsid w:val="001258DB"/>
    <w:rsid w:val="00125918"/>
    <w:rsid w:val="0012591C"/>
    <w:rsid w:val="0012592E"/>
    <w:rsid w:val="0012593B"/>
    <w:rsid w:val="0012595D"/>
    <w:rsid w:val="00125997"/>
    <w:rsid w:val="001259AC"/>
    <w:rsid w:val="001259BE"/>
    <w:rsid w:val="001259CE"/>
    <w:rsid w:val="00125AAC"/>
    <w:rsid w:val="00125AD5"/>
    <w:rsid w:val="00125B91"/>
    <w:rsid w:val="00125BE7"/>
    <w:rsid w:val="00125C3E"/>
    <w:rsid w:val="00125C71"/>
    <w:rsid w:val="00125C88"/>
    <w:rsid w:val="00125CC8"/>
    <w:rsid w:val="00125CF3"/>
    <w:rsid w:val="00125D4F"/>
    <w:rsid w:val="00125E04"/>
    <w:rsid w:val="00125E3A"/>
    <w:rsid w:val="00125EA7"/>
    <w:rsid w:val="00125EBC"/>
    <w:rsid w:val="00125ED4"/>
    <w:rsid w:val="00125F0E"/>
    <w:rsid w:val="00125F2C"/>
    <w:rsid w:val="00125FCB"/>
    <w:rsid w:val="00125FD4"/>
    <w:rsid w:val="00125FD9"/>
    <w:rsid w:val="00126012"/>
    <w:rsid w:val="0012601A"/>
    <w:rsid w:val="001260CB"/>
    <w:rsid w:val="001260E3"/>
    <w:rsid w:val="001260E7"/>
    <w:rsid w:val="00126102"/>
    <w:rsid w:val="0012610D"/>
    <w:rsid w:val="00126133"/>
    <w:rsid w:val="00126190"/>
    <w:rsid w:val="001261D1"/>
    <w:rsid w:val="001261E7"/>
    <w:rsid w:val="001261F7"/>
    <w:rsid w:val="00126215"/>
    <w:rsid w:val="00126233"/>
    <w:rsid w:val="00126259"/>
    <w:rsid w:val="001262AD"/>
    <w:rsid w:val="001262C6"/>
    <w:rsid w:val="001262C9"/>
    <w:rsid w:val="001262D8"/>
    <w:rsid w:val="001262F4"/>
    <w:rsid w:val="00126371"/>
    <w:rsid w:val="0012638D"/>
    <w:rsid w:val="001263CE"/>
    <w:rsid w:val="0012642F"/>
    <w:rsid w:val="0012643A"/>
    <w:rsid w:val="0012644F"/>
    <w:rsid w:val="001264A1"/>
    <w:rsid w:val="001264B8"/>
    <w:rsid w:val="001264DA"/>
    <w:rsid w:val="001264F0"/>
    <w:rsid w:val="001264F3"/>
    <w:rsid w:val="00126506"/>
    <w:rsid w:val="00126516"/>
    <w:rsid w:val="0012652B"/>
    <w:rsid w:val="0012658C"/>
    <w:rsid w:val="00126598"/>
    <w:rsid w:val="001265F5"/>
    <w:rsid w:val="00126624"/>
    <w:rsid w:val="00126643"/>
    <w:rsid w:val="00126668"/>
    <w:rsid w:val="001266EE"/>
    <w:rsid w:val="0012673E"/>
    <w:rsid w:val="0012674E"/>
    <w:rsid w:val="00126799"/>
    <w:rsid w:val="001267B1"/>
    <w:rsid w:val="001267B4"/>
    <w:rsid w:val="0012683C"/>
    <w:rsid w:val="001268A1"/>
    <w:rsid w:val="001268E0"/>
    <w:rsid w:val="0012693A"/>
    <w:rsid w:val="0012696F"/>
    <w:rsid w:val="001269C2"/>
    <w:rsid w:val="00126A1E"/>
    <w:rsid w:val="00126A5F"/>
    <w:rsid w:val="00126A73"/>
    <w:rsid w:val="00126A74"/>
    <w:rsid w:val="00126AA7"/>
    <w:rsid w:val="00126AED"/>
    <w:rsid w:val="00126B0E"/>
    <w:rsid w:val="00126B4F"/>
    <w:rsid w:val="00126B5F"/>
    <w:rsid w:val="00126B76"/>
    <w:rsid w:val="00126B87"/>
    <w:rsid w:val="00126BF4"/>
    <w:rsid w:val="00126C9E"/>
    <w:rsid w:val="00126CB6"/>
    <w:rsid w:val="00126D61"/>
    <w:rsid w:val="00126D62"/>
    <w:rsid w:val="00126D76"/>
    <w:rsid w:val="00126DBD"/>
    <w:rsid w:val="00126E2D"/>
    <w:rsid w:val="00126E51"/>
    <w:rsid w:val="00126EB7"/>
    <w:rsid w:val="00126F11"/>
    <w:rsid w:val="00126F35"/>
    <w:rsid w:val="00126F4F"/>
    <w:rsid w:val="00126F61"/>
    <w:rsid w:val="00126FC6"/>
    <w:rsid w:val="00127003"/>
    <w:rsid w:val="0012705A"/>
    <w:rsid w:val="001270FB"/>
    <w:rsid w:val="00127120"/>
    <w:rsid w:val="001271A4"/>
    <w:rsid w:val="001271A7"/>
    <w:rsid w:val="0012721B"/>
    <w:rsid w:val="00127278"/>
    <w:rsid w:val="00127291"/>
    <w:rsid w:val="001272C5"/>
    <w:rsid w:val="00127417"/>
    <w:rsid w:val="00127544"/>
    <w:rsid w:val="00127573"/>
    <w:rsid w:val="001275FC"/>
    <w:rsid w:val="0012768B"/>
    <w:rsid w:val="00127712"/>
    <w:rsid w:val="001277CB"/>
    <w:rsid w:val="00127804"/>
    <w:rsid w:val="00127869"/>
    <w:rsid w:val="00127887"/>
    <w:rsid w:val="0012788A"/>
    <w:rsid w:val="001278DB"/>
    <w:rsid w:val="001278E4"/>
    <w:rsid w:val="001278EB"/>
    <w:rsid w:val="00127923"/>
    <w:rsid w:val="0012797C"/>
    <w:rsid w:val="0012798E"/>
    <w:rsid w:val="001279A1"/>
    <w:rsid w:val="001279B1"/>
    <w:rsid w:val="001279B2"/>
    <w:rsid w:val="00127A60"/>
    <w:rsid w:val="00127A74"/>
    <w:rsid w:val="00127AFE"/>
    <w:rsid w:val="00127B18"/>
    <w:rsid w:val="00127B93"/>
    <w:rsid w:val="00127BB9"/>
    <w:rsid w:val="00127CA8"/>
    <w:rsid w:val="00127D11"/>
    <w:rsid w:val="00127D31"/>
    <w:rsid w:val="00127D88"/>
    <w:rsid w:val="00127DEF"/>
    <w:rsid w:val="00127E59"/>
    <w:rsid w:val="00127E6B"/>
    <w:rsid w:val="00127E8F"/>
    <w:rsid w:val="00127EFE"/>
    <w:rsid w:val="00127FD9"/>
    <w:rsid w:val="00130003"/>
    <w:rsid w:val="001300B7"/>
    <w:rsid w:val="00130151"/>
    <w:rsid w:val="00130185"/>
    <w:rsid w:val="00130188"/>
    <w:rsid w:val="00130192"/>
    <w:rsid w:val="001301DA"/>
    <w:rsid w:val="001301DD"/>
    <w:rsid w:val="00130207"/>
    <w:rsid w:val="0013023B"/>
    <w:rsid w:val="00130272"/>
    <w:rsid w:val="001302CF"/>
    <w:rsid w:val="00130306"/>
    <w:rsid w:val="0013031E"/>
    <w:rsid w:val="00130353"/>
    <w:rsid w:val="00130388"/>
    <w:rsid w:val="001303A6"/>
    <w:rsid w:val="001303D2"/>
    <w:rsid w:val="00130422"/>
    <w:rsid w:val="00130428"/>
    <w:rsid w:val="0013048F"/>
    <w:rsid w:val="001304BB"/>
    <w:rsid w:val="001304D9"/>
    <w:rsid w:val="00130502"/>
    <w:rsid w:val="00130549"/>
    <w:rsid w:val="00130559"/>
    <w:rsid w:val="001305C5"/>
    <w:rsid w:val="001305C9"/>
    <w:rsid w:val="00130630"/>
    <w:rsid w:val="001306FC"/>
    <w:rsid w:val="00130714"/>
    <w:rsid w:val="00130741"/>
    <w:rsid w:val="00130750"/>
    <w:rsid w:val="00130776"/>
    <w:rsid w:val="0013078B"/>
    <w:rsid w:val="001307F2"/>
    <w:rsid w:val="00130839"/>
    <w:rsid w:val="00130858"/>
    <w:rsid w:val="00130888"/>
    <w:rsid w:val="001308B1"/>
    <w:rsid w:val="0013093E"/>
    <w:rsid w:val="00130993"/>
    <w:rsid w:val="00130999"/>
    <w:rsid w:val="001309E8"/>
    <w:rsid w:val="00130A19"/>
    <w:rsid w:val="00130A2D"/>
    <w:rsid w:val="00130A32"/>
    <w:rsid w:val="00130A82"/>
    <w:rsid w:val="00130AA1"/>
    <w:rsid w:val="00130AAF"/>
    <w:rsid w:val="00130B1D"/>
    <w:rsid w:val="00130B60"/>
    <w:rsid w:val="00130B97"/>
    <w:rsid w:val="00130C4D"/>
    <w:rsid w:val="00130C70"/>
    <w:rsid w:val="00130CCE"/>
    <w:rsid w:val="00130CDD"/>
    <w:rsid w:val="00130D57"/>
    <w:rsid w:val="00130D87"/>
    <w:rsid w:val="00130DAA"/>
    <w:rsid w:val="00130DB2"/>
    <w:rsid w:val="00130F7E"/>
    <w:rsid w:val="00130FEC"/>
    <w:rsid w:val="00130FF2"/>
    <w:rsid w:val="00130FF6"/>
    <w:rsid w:val="00131052"/>
    <w:rsid w:val="00131090"/>
    <w:rsid w:val="001310A7"/>
    <w:rsid w:val="001310BE"/>
    <w:rsid w:val="001310C2"/>
    <w:rsid w:val="001310E0"/>
    <w:rsid w:val="001310FF"/>
    <w:rsid w:val="00131102"/>
    <w:rsid w:val="00131109"/>
    <w:rsid w:val="00131139"/>
    <w:rsid w:val="00131163"/>
    <w:rsid w:val="001311DE"/>
    <w:rsid w:val="001311EC"/>
    <w:rsid w:val="001311F6"/>
    <w:rsid w:val="00131239"/>
    <w:rsid w:val="00131245"/>
    <w:rsid w:val="00131291"/>
    <w:rsid w:val="00131297"/>
    <w:rsid w:val="001312D8"/>
    <w:rsid w:val="001312F1"/>
    <w:rsid w:val="0013132A"/>
    <w:rsid w:val="00131392"/>
    <w:rsid w:val="001313A0"/>
    <w:rsid w:val="001313ED"/>
    <w:rsid w:val="001313FC"/>
    <w:rsid w:val="00131401"/>
    <w:rsid w:val="0013140B"/>
    <w:rsid w:val="00131427"/>
    <w:rsid w:val="0013142A"/>
    <w:rsid w:val="00131437"/>
    <w:rsid w:val="00131468"/>
    <w:rsid w:val="00131480"/>
    <w:rsid w:val="001314B0"/>
    <w:rsid w:val="001314C0"/>
    <w:rsid w:val="001314E4"/>
    <w:rsid w:val="001314F3"/>
    <w:rsid w:val="00131524"/>
    <w:rsid w:val="0013153B"/>
    <w:rsid w:val="0013156A"/>
    <w:rsid w:val="00131609"/>
    <w:rsid w:val="00131644"/>
    <w:rsid w:val="0013165E"/>
    <w:rsid w:val="0013167F"/>
    <w:rsid w:val="001316D0"/>
    <w:rsid w:val="001316F0"/>
    <w:rsid w:val="001316F1"/>
    <w:rsid w:val="00131754"/>
    <w:rsid w:val="00131828"/>
    <w:rsid w:val="00131838"/>
    <w:rsid w:val="00131846"/>
    <w:rsid w:val="0013188D"/>
    <w:rsid w:val="001318A0"/>
    <w:rsid w:val="001318AC"/>
    <w:rsid w:val="001318B9"/>
    <w:rsid w:val="001318FE"/>
    <w:rsid w:val="001319AA"/>
    <w:rsid w:val="00131A00"/>
    <w:rsid w:val="00131A22"/>
    <w:rsid w:val="00131A73"/>
    <w:rsid w:val="00131A96"/>
    <w:rsid w:val="00131AA1"/>
    <w:rsid w:val="00131AB1"/>
    <w:rsid w:val="00131AD9"/>
    <w:rsid w:val="00131AFD"/>
    <w:rsid w:val="00131B0A"/>
    <w:rsid w:val="00131B1D"/>
    <w:rsid w:val="00131B33"/>
    <w:rsid w:val="00131B8D"/>
    <w:rsid w:val="00131BC4"/>
    <w:rsid w:val="00131BD0"/>
    <w:rsid w:val="00131C7D"/>
    <w:rsid w:val="00131D11"/>
    <w:rsid w:val="00131D1F"/>
    <w:rsid w:val="00131D39"/>
    <w:rsid w:val="00131D50"/>
    <w:rsid w:val="00131D70"/>
    <w:rsid w:val="00131DB3"/>
    <w:rsid w:val="00131EFB"/>
    <w:rsid w:val="00131F64"/>
    <w:rsid w:val="00131FB1"/>
    <w:rsid w:val="00131FB4"/>
    <w:rsid w:val="00131FF2"/>
    <w:rsid w:val="00132017"/>
    <w:rsid w:val="00132039"/>
    <w:rsid w:val="00132072"/>
    <w:rsid w:val="001320D6"/>
    <w:rsid w:val="0013215C"/>
    <w:rsid w:val="001321AA"/>
    <w:rsid w:val="001321B3"/>
    <w:rsid w:val="001321BA"/>
    <w:rsid w:val="00132202"/>
    <w:rsid w:val="00132228"/>
    <w:rsid w:val="00132297"/>
    <w:rsid w:val="001322A3"/>
    <w:rsid w:val="001322D9"/>
    <w:rsid w:val="001322E7"/>
    <w:rsid w:val="00132365"/>
    <w:rsid w:val="0013238B"/>
    <w:rsid w:val="0013239A"/>
    <w:rsid w:val="00132433"/>
    <w:rsid w:val="0013244E"/>
    <w:rsid w:val="00132531"/>
    <w:rsid w:val="00132559"/>
    <w:rsid w:val="001325A8"/>
    <w:rsid w:val="001325CB"/>
    <w:rsid w:val="00132691"/>
    <w:rsid w:val="001326ED"/>
    <w:rsid w:val="00132748"/>
    <w:rsid w:val="00132760"/>
    <w:rsid w:val="001327B3"/>
    <w:rsid w:val="001327DD"/>
    <w:rsid w:val="00132817"/>
    <w:rsid w:val="001328C2"/>
    <w:rsid w:val="00132911"/>
    <w:rsid w:val="00132919"/>
    <w:rsid w:val="00132944"/>
    <w:rsid w:val="0013294D"/>
    <w:rsid w:val="00132971"/>
    <w:rsid w:val="0013298D"/>
    <w:rsid w:val="0013299E"/>
    <w:rsid w:val="001329BE"/>
    <w:rsid w:val="00132A27"/>
    <w:rsid w:val="00132A66"/>
    <w:rsid w:val="00132A84"/>
    <w:rsid w:val="00132A9E"/>
    <w:rsid w:val="00132ABA"/>
    <w:rsid w:val="00132ACB"/>
    <w:rsid w:val="00132AE0"/>
    <w:rsid w:val="00132B15"/>
    <w:rsid w:val="00132B1A"/>
    <w:rsid w:val="00132B7E"/>
    <w:rsid w:val="00132BD9"/>
    <w:rsid w:val="00132BEA"/>
    <w:rsid w:val="00132BEE"/>
    <w:rsid w:val="00132BF0"/>
    <w:rsid w:val="00132BF8"/>
    <w:rsid w:val="00132BFC"/>
    <w:rsid w:val="00132C3A"/>
    <w:rsid w:val="00132C41"/>
    <w:rsid w:val="00132C45"/>
    <w:rsid w:val="00132C46"/>
    <w:rsid w:val="00132C61"/>
    <w:rsid w:val="00132D0E"/>
    <w:rsid w:val="00132D55"/>
    <w:rsid w:val="00132D68"/>
    <w:rsid w:val="00132D70"/>
    <w:rsid w:val="00132D7F"/>
    <w:rsid w:val="00132DE2"/>
    <w:rsid w:val="00132DF8"/>
    <w:rsid w:val="00132E02"/>
    <w:rsid w:val="00132E13"/>
    <w:rsid w:val="00132E37"/>
    <w:rsid w:val="00132E40"/>
    <w:rsid w:val="00132E94"/>
    <w:rsid w:val="00132EBA"/>
    <w:rsid w:val="00132F76"/>
    <w:rsid w:val="00132F7A"/>
    <w:rsid w:val="00132F8D"/>
    <w:rsid w:val="0013300C"/>
    <w:rsid w:val="0013304D"/>
    <w:rsid w:val="001330B6"/>
    <w:rsid w:val="00133134"/>
    <w:rsid w:val="00133151"/>
    <w:rsid w:val="00133191"/>
    <w:rsid w:val="001331D6"/>
    <w:rsid w:val="001331D8"/>
    <w:rsid w:val="00133200"/>
    <w:rsid w:val="0013327E"/>
    <w:rsid w:val="0013327F"/>
    <w:rsid w:val="00133328"/>
    <w:rsid w:val="00133354"/>
    <w:rsid w:val="00133371"/>
    <w:rsid w:val="0013346A"/>
    <w:rsid w:val="00133490"/>
    <w:rsid w:val="001334D6"/>
    <w:rsid w:val="001334DF"/>
    <w:rsid w:val="00133580"/>
    <w:rsid w:val="0013360C"/>
    <w:rsid w:val="0013361D"/>
    <w:rsid w:val="001336A7"/>
    <w:rsid w:val="0013371F"/>
    <w:rsid w:val="0013374D"/>
    <w:rsid w:val="00133753"/>
    <w:rsid w:val="00133760"/>
    <w:rsid w:val="001337AD"/>
    <w:rsid w:val="001337B8"/>
    <w:rsid w:val="001337BB"/>
    <w:rsid w:val="001337C4"/>
    <w:rsid w:val="00133810"/>
    <w:rsid w:val="001338A2"/>
    <w:rsid w:val="0013396F"/>
    <w:rsid w:val="0013399D"/>
    <w:rsid w:val="001339B5"/>
    <w:rsid w:val="001339C0"/>
    <w:rsid w:val="001339CF"/>
    <w:rsid w:val="001339D3"/>
    <w:rsid w:val="001339D8"/>
    <w:rsid w:val="00133A00"/>
    <w:rsid w:val="00133A66"/>
    <w:rsid w:val="00133AAD"/>
    <w:rsid w:val="00133B28"/>
    <w:rsid w:val="00133B7B"/>
    <w:rsid w:val="00133B93"/>
    <w:rsid w:val="00133BB5"/>
    <w:rsid w:val="00133BE4"/>
    <w:rsid w:val="00133BEA"/>
    <w:rsid w:val="00133BF8"/>
    <w:rsid w:val="00133C27"/>
    <w:rsid w:val="00133C32"/>
    <w:rsid w:val="00133C35"/>
    <w:rsid w:val="00133C50"/>
    <w:rsid w:val="00133C81"/>
    <w:rsid w:val="00133D11"/>
    <w:rsid w:val="00133D3A"/>
    <w:rsid w:val="00133D8B"/>
    <w:rsid w:val="00133DD5"/>
    <w:rsid w:val="00133E2D"/>
    <w:rsid w:val="00133E3F"/>
    <w:rsid w:val="00133E9B"/>
    <w:rsid w:val="00133ED6"/>
    <w:rsid w:val="00133EDF"/>
    <w:rsid w:val="00133F03"/>
    <w:rsid w:val="00133F25"/>
    <w:rsid w:val="00134031"/>
    <w:rsid w:val="00134040"/>
    <w:rsid w:val="00134062"/>
    <w:rsid w:val="00134070"/>
    <w:rsid w:val="00134081"/>
    <w:rsid w:val="0013409D"/>
    <w:rsid w:val="001340C3"/>
    <w:rsid w:val="0013413F"/>
    <w:rsid w:val="00134147"/>
    <w:rsid w:val="0013415C"/>
    <w:rsid w:val="00134176"/>
    <w:rsid w:val="001341CD"/>
    <w:rsid w:val="0013420C"/>
    <w:rsid w:val="00134216"/>
    <w:rsid w:val="00134290"/>
    <w:rsid w:val="001343AA"/>
    <w:rsid w:val="00134421"/>
    <w:rsid w:val="0013444C"/>
    <w:rsid w:val="00134520"/>
    <w:rsid w:val="0013452A"/>
    <w:rsid w:val="001345D0"/>
    <w:rsid w:val="0013466C"/>
    <w:rsid w:val="00134673"/>
    <w:rsid w:val="00134676"/>
    <w:rsid w:val="001346BD"/>
    <w:rsid w:val="001346E5"/>
    <w:rsid w:val="00134724"/>
    <w:rsid w:val="0013478A"/>
    <w:rsid w:val="0013479F"/>
    <w:rsid w:val="001347EA"/>
    <w:rsid w:val="001348F4"/>
    <w:rsid w:val="001348F8"/>
    <w:rsid w:val="00134923"/>
    <w:rsid w:val="00134961"/>
    <w:rsid w:val="00134963"/>
    <w:rsid w:val="00134A0A"/>
    <w:rsid w:val="00134A19"/>
    <w:rsid w:val="00134AAA"/>
    <w:rsid w:val="00134B04"/>
    <w:rsid w:val="00134B65"/>
    <w:rsid w:val="00134B93"/>
    <w:rsid w:val="00134B97"/>
    <w:rsid w:val="00134BD7"/>
    <w:rsid w:val="00134BE6"/>
    <w:rsid w:val="00134BF4"/>
    <w:rsid w:val="00134C47"/>
    <w:rsid w:val="00134C76"/>
    <w:rsid w:val="00134CA2"/>
    <w:rsid w:val="00134CAD"/>
    <w:rsid w:val="00134CFF"/>
    <w:rsid w:val="00134D90"/>
    <w:rsid w:val="00134DA7"/>
    <w:rsid w:val="00134E12"/>
    <w:rsid w:val="00134E24"/>
    <w:rsid w:val="00134E25"/>
    <w:rsid w:val="00134E48"/>
    <w:rsid w:val="00134E80"/>
    <w:rsid w:val="00134E9D"/>
    <w:rsid w:val="00134F43"/>
    <w:rsid w:val="00134F46"/>
    <w:rsid w:val="00134F63"/>
    <w:rsid w:val="00134FF1"/>
    <w:rsid w:val="00135038"/>
    <w:rsid w:val="00135123"/>
    <w:rsid w:val="001351D7"/>
    <w:rsid w:val="001352AA"/>
    <w:rsid w:val="001352EF"/>
    <w:rsid w:val="0013530D"/>
    <w:rsid w:val="00135310"/>
    <w:rsid w:val="00135332"/>
    <w:rsid w:val="00135342"/>
    <w:rsid w:val="00135457"/>
    <w:rsid w:val="00135489"/>
    <w:rsid w:val="00135513"/>
    <w:rsid w:val="0013555E"/>
    <w:rsid w:val="00135568"/>
    <w:rsid w:val="001355B1"/>
    <w:rsid w:val="00135655"/>
    <w:rsid w:val="00135695"/>
    <w:rsid w:val="00135783"/>
    <w:rsid w:val="001357A3"/>
    <w:rsid w:val="001357C7"/>
    <w:rsid w:val="001357ED"/>
    <w:rsid w:val="0013580E"/>
    <w:rsid w:val="00135832"/>
    <w:rsid w:val="00135883"/>
    <w:rsid w:val="0013594A"/>
    <w:rsid w:val="0013594F"/>
    <w:rsid w:val="001359CB"/>
    <w:rsid w:val="00135A74"/>
    <w:rsid w:val="00135A8E"/>
    <w:rsid w:val="00135AB0"/>
    <w:rsid w:val="00135AD8"/>
    <w:rsid w:val="00135B17"/>
    <w:rsid w:val="00135B1E"/>
    <w:rsid w:val="00135B4A"/>
    <w:rsid w:val="00135BA1"/>
    <w:rsid w:val="00135BBA"/>
    <w:rsid w:val="00135BCD"/>
    <w:rsid w:val="00135BDF"/>
    <w:rsid w:val="00135C0D"/>
    <w:rsid w:val="00135C5E"/>
    <w:rsid w:val="00135CB1"/>
    <w:rsid w:val="00135CC3"/>
    <w:rsid w:val="00135CC5"/>
    <w:rsid w:val="00135CDB"/>
    <w:rsid w:val="00135CEA"/>
    <w:rsid w:val="00135CF1"/>
    <w:rsid w:val="00135D30"/>
    <w:rsid w:val="00135D75"/>
    <w:rsid w:val="00135DAE"/>
    <w:rsid w:val="00135DB3"/>
    <w:rsid w:val="00135DB6"/>
    <w:rsid w:val="00135DF2"/>
    <w:rsid w:val="00135E26"/>
    <w:rsid w:val="00135E2A"/>
    <w:rsid w:val="00135E31"/>
    <w:rsid w:val="00135EDB"/>
    <w:rsid w:val="00135F4D"/>
    <w:rsid w:val="00135F5A"/>
    <w:rsid w:val="00135FEB"/>
    <w:rsid w:val="00135FF9"/>
    <w:rsid w:val="00136000"/>
    <w:rsid w:val="00136037"/>
    <w:rsid w:val="00136076"/>
    <w:rsid w:val="001360A7"/>
    <w:rsid w:val="001360E4"/>
    <w:rsid w:val="0013616B"/>
    <w:rsid w:val="001361AC"/>
    <w:rsid w:val="001361C2"/>
    <w:rsid w:val="001361CF"/>
    <w:rsid w:val="00136204"/>
    <w:rsid w:val="0013622C"/>
    <w:rsid w:val="00136274"/>
    <w:rsid w:val="001362C7"/>
    <w:rsid w:val="0013630D"/>
    <w:rsid w:val="00136363"/>
    <w:rsid w:val="00136392"/>
    <w:rsid w:val="001363B4"/>
    <w:rsid w:val="00136428"/>
    <w:rsid w:val="0013642B"/>
    <w:rsid w:val="00136461"/>
    <w:rsid w:val="00136464"/>
    <w:rsid w:val="0013647C"/>
    <w:rsid w:val="0013648E"/>
    <w:rsid w:val="001364D9"/>
    <w:rsid w:val="001364E0"/>
    <w:rsid w:val="0013650F"/>
    <w:rsid w:val="0013655F"/>
    <w:rsid w:val="001365AD"/>
    <w:rsid w:val="001365E6"/>
    <w:rsid w:val="0013661B"/>
    <w:rsid w:val="0013662C"/>
    <w:rsid w:val="00136661"/>
    <w:rsid w:val="001366AA"/>
    <w:rsid w:val="0013671A"/>
    <w:rsid w:val="0013672E"/>
    <w:rsid w:val="001367A6"/>
    <w:rsid w:val="001367B7"/>
    <w:rsid w:val="001367DF"/>
    <w:rsid w:val="00136840"/>
    <w:rsid w:val="0013684A"/>
    <w:rsid w:val="00136882"/>
    <w:rsid w:val="001368EF"/>
    <w:rsid w:val="0013691C"/>
    <w:rsid w:val="00136946"/>
    <w:rsid w:val="00136950"/>
    <w:rsid w:val="0013697B"/>
    <w:rsid w:val="001369C2"/>
    <w:rsid w:val="00136A0B"/>
    <w:rsid w:val="00136A3F"/>
    <w:rsid w:val="00136A40"/>
    <w:rsid w:val="00136A42"/>
    <w:rsid w:val="00136A61"/>
    <w:rsid w:val="00136A6C"/>
    <w:rsid w:val="00136A9D"/>
    <w:rsid w:val="00136AD0"/>
    <w:rsid w:val="00136B1C"/>
    <w:rsid w:val="00136B1D"/>
    <w:rsid w:val="00136B2F"/>
    <w:rsid w:val="00136B3B"/>
    <w:rsid w:val="00136B7B"/>
    <w:rsid w:val="00136B8B"/>
    <w:rsid w:val="00136BA7"/>
    <w:rsid w:val="00136BE4"/>
    <w:rsid w:val="00136C83"/>
    <w:rsid w:val="00136C92"/>
    <w:rsid w:val="00136C9A"/>
    <w:rsid w:val="00136CC6"/>
    <w:rsid w:val="00136D80"/>
    <w:rsid w:val="00136DD6"/>
    <w:rsid w:val="00136E58"/>
    <w:rsid w:val="00136ED8"/>
    <w:rsid w:val="00136EF9"/>
    <w:rsid w:val="00136EFE"/>
    <w:rsid w:val="00136F00"/>
    <w:rsid w:val="00136FBE"/>
    <w:rsid w:val="00137071"/>
    <w:rsid w:val="001370AF"/>
    <w:rsid w:val="001370B2"/>
    <w:rsid w:val="001370B3"/>
    <w:rsid w:val="0013715E"/>
    <w:rsid w:val="00137172"/>
    <w:rsid w:val="001371A6"/>
    <w:rsid w:val="001371D9"/>
    <w:rsid w:val="00137203"/>
    <w:rsid w:val="00137298"/>
    <w:rsid w:val="00137365"/>
    <w:rsid w:val="00137385"/>
    <w:rsid w:val="001373DC"/>
    <w:rsid w:val="001373F4"/>
    <w:rsid w:val="0013741E"/>
    <w:rsid w:val="0013742F"/>
    <w:rsid w:val="0013743A"/>
    <w:rsid w:val="00137441"/>
    <w:rsid w:val="00137443"/>
    <w:rsid w:val="0013756F"/>
    <w:rsid w:val="00137591"/>
    <w:rsid w:val="001375A8"/>
    <w:rsid w:val="001375CA"/>
    <w:rsid w:val="001376D6"/>
    <w:rsid w:val="00137743"/>
    <w:rsid w:val="00137751"/>
    <w:rsid w:val="0013779C"/>
    <w:rsid w:val="001377A5"/>
    <w:rsid w:val="00137801"/>
    <w:rsid w:val="00137815"/>
    <w:rsid w:val="0013784A"/>
    <w:rsid w:val="00137871"/>
    <w:rsid w:val="001378B4"/>
    <w:rsid w:val="001378CB"/>
    <w:rsid w:val="001378D4"/>
    <w:rsid w:val="001378DE"/>
    <w:rsid w:val="0013792F"/>
    <w:rsid w:val="00137932"/>
    <w:rsid w:val="001379F8"/>
    <w:rsid w:val="00137A85"/>
    <w:rsid w:val="00137A88"/>
    <w:rsid w:val="00137A93"/>
    <w:rsid w:val="00137ADE"/>
    <w:rsid w:val="00137B00"/>
    <w:rsid w:val="00137B3C"/>
    <w:rsid w:val="00137B3E"/>
    <w:rsid w:val="00137B4B"/>
    <w:rsid w:val="00137B57"/>
    <w:rsid w:val="00137B5E"/>
    <w:rsid w:val="00137BAA"/>
    <w:rsid w:val="00137BD1"/>
    <w:rsid w:val="00137C1B"/>
    <w:rsid w:val="00137CC1"/>
    <w:rsid w:val="00137CD6"/>
    <w:rsid w:val="00137CE2"/>
    <w:rsid w:val="00137D7C"/>
    <w:rsid w:val="00137DB9"/>
    <w:rsid w:val="00137DD2"/>
    <w:rsid w:val="00137E0C"/>
    <w:rsid w:val="00137E1B"/>
    <w:rsid w:val="00137E7D"/>
    <w:rsid w:val="00137EE9"/>
    <w:rsid w:val="00137F9D"/>
    <w:rsid w:val="00137FDB"/>
    <w:rsid w:val="00137FF3"/>
    <w:rsid w:val="00137FFB"/>
    <w:rsid w:val="00140056"/>
    <w:rsid w:val="00140073"/>
    <w:rsid w:val="001400F2"/>
    <w:rsid w:val="00140110"/>
    <w:rsid w:val="0014014B"/>
    <w:rsid w:val="0014017D"/>
    <w:rsid w:val="00140183"/>
    <w:rsid w:val="00140194"/>
    <w:rsid w:val="001401EA"/>
    <w:rsid w:val="0014027E"/>
    <w:rsid w:val="00140285"/>
    <w:rsid w:val="00140309"/>
    <w:rsid w:val="00140335"/>
    <w:rsid w:val="00140343"/>
    <w:rsid w:val="00140346"/>
    <w:rsid w:val="0014039C"/>
    <w:rsid w:val="00140435"/>
    <w:rsid w:val="0014048A"/>
    <w:rsid w:val="0014052E"/>
    <w:rsid w:val="0014053C"/>
    <w:rsid w:val="00140542"/>
    <w:rsid w:val="00140584"/>
    <w:rsid w:val="0014061F"/>
    <w:rsid w:val="00140638"/>
    <w:rsid w:val="0014065A"/>
    <w:rsid w:val="00140668"/>
    <w:rsid w:val="001407AB"/>
    <w:rsid w:val="001407B3"/>
    <w:rsid w:val="001407E4"/>
    <w:rsid w:val="00140883"/>
    <w:rsid w:val="001408B3"/>
    <w:rsid w:val="0014093C"/>
    <w:rsid w:val="0014096B"/>
    <w:rsid w:val="00140983"/>
    <w:rsid w:val="00140984"/>
    <w:rsid w:val="0014098E"/>
    <w:rsid w:val="001409A3"/>
    <w:rsid w:val="001409AA"/>
    <w:rsid w:val="00140A1E"/>
    <w:rsid w:val="00140A31"/>
    <w:rsid w:val="00140AB2"/>
    <w:rsid w:val="00140AE2"/>
    <w:rsid w:val="00140AF0"/>
    <w:rsid w:val="00140AFB"/>
    <w:rsid w:val="00140BB8"/>
    <w:rsid w:val="00140BE0"/>
    <w:rsid w:val="00140BF8"/>
    <w:rsid w:val="00140C0F"/>
    <w:rsid w:val="00140C28"/>
    <w:rsid w:val="00140C4E"/>
    <w:rsid w:val="00140CD4"/>
    <w:rsid w:val="00140D07"/>
    <w:rsid w:val="00140D3D"/>
    <w:rsid w:val="00140D51"/>
    <w:rsid w:val="00140D72"/>
    <w:rsid w:val="00140DC5"/>
    <w:rsid w:val="00140E0F"/>
    <w:rsid w:val="00140E2D"/>
    <w:rsid w:val="00140E5A"/>
    <w:rsid w:val="00140E6D"/>
    <w:rsid w:val="00140EDB"/>
    <w:rsid w:val="00140F21"/>
    <w:rsid w:val="00140F41"/>
    <w:rsid w:val="00140F42"/>
    <w:rsid w:val="00140FAA"/>
    <w:rsid w:val="00140FD3"/>
    <w:rsid w:val="00141063"/>
    <w:rsid w:val="001410AD"/>
    <w:rsid w:val="001410E3"/>
    <w:rsid w:val="001411AD"/>
    <w:rsid w:val="001411B0"/>
    <w:rsid w:val="001412EA"/>
    <w:rsid w:val="00141329"/>
    <w:rsid w:val="0014132E"/>
    <w:rsid w:val="0014141F"/>
    <w:rsid w:val="00141426"/>
    <w:rsid w:val="00141487"/>
    <w:rsid w:val="0014151F"/>
    <w:rsid w:val="001415E6"/>
    <w:rsid w:val="00141611"/>
    <w:rsid w:val="00141653"/>
    <w:rsid w:val="00141677"/>
    <w:rsid w:val="00141692"/>
    <w:rsid w:val="001416B6"/>
    <w:rsid w:val="00141701"/>
    <w:rsid w:val="00141727"/>
    <w:rsid w:val="00141746"/>
    <w:rsid w:val="001417EE"/>
    <w:rsid w:val="00141893"/>
    <w:rsid w:val="001418C6"/>
    <w:rsid w:val="0014192C"/>
    <w:rsid w:val="0014196A"/>
    <w:rsid w:val="001419A6"/>
    <w:rsid w:val="001419EE"/>
    <w:rsid w:val="00141A03"/>
    <w:rsid w:val="00141A58"/>
    <w:rsid w:val="00141A69"/>
    <w:rsid w:val="00141ABB"/>
    <w:rsid w:val="00141AE7"/>
    <w:rsid w:val="00141B1F"/>
    <w:rsid w:val="00141B4D"/>
    <w:rsid w:val="00141B8D"/>
    <w:rsid w:val="00141BB7"/>
    <w:rsid w:val="00141BBF"/>
    <w:rsid w:val="00141BCF"/>
    <w:rsid w:val="00141BFD"/>
    <w:rsid w:val="00141C0C"/>
    <w:rsid w:val="00141CB3"/>
    <w:rsid w:val="00141D07"/>
    <w:rsid w:val="00141D44"/>
    <w:rsid w:val="00141D72"/>
    <w:rsid w:val="00141D94"/>
    <w:rsid w:val="00141DC1"/>
    <w:rsid w:val="00141DF5"/>
    <w:rsid w:val="00141DF8"/>
    <w:rsid w:val="00141E34"/>
    <w:rsid w:val="00141E48"/>
    <w:rsid w:val="00141ED8"/>
    <w:rsid w:val="00141F0F"/>
    <w:rsid w:val="00141F58"/>
    <w:rsid w:val="00141F61"/>
    <w:rsid w:val="00141FF2"/>
    <w:rsid w:val="00141FF5"/>
    <w:rsid w:val="00142024"/>
    <w:rsid w:val="00142080"/>
    <w:rsid w:val="001420AD"/>
    <w:rsid w:val="001420C5"/>
    <w:rsid w:val="001420C7"/>
    <w:rsid w:val="001420C8"/>
    <w:rsid w:val="001420D7"/>
    <w:rsid w:val="00142123"/>
    <w:rsid w:val="00142151"/>
    <w:rsid w:val="001421D7"/>
    <w:rsid w:val="001421FD"/>
    <w:rsid w:val="00142218"/>
    <w:rsid w:val="00142236"/>
    <w:rsid w:val="00142245"/>
    <w:rsid w:val="001422A7"/>
    <w:rsid w:val="001422E9"/>
    <w:rsid w:val="001422F6"/>
    <w:rsid w:val="00142348"/>
    <w:rsid w:val="00142381"/>
    <w:rsid w:val="0014238D"/>
    <w:rsid w:val="001423A0"/>
    <w:rsid w:val="001423AF"/>
    <w:rsid w:val="001423B9"/>
    <w:rsid w:val="001423CA"/>
    <w:rsid w:val="00142512"/>
    <w:rsid w:val="001425D0"/>
    <w:rsid w:val="001426B5"/>
    <w:rsid w:val="001426CC"/>
    <w:rsid w:val="001426D3"/>
    <w:rsid w:val="001426F7"/>
    <w:rsid w:val="00142719"/>
    <w:rsid w:val="0014271B"/>
    <w:rsid w:val="00142782"/>
    <w:rsid w:val="00142785"/>
    <w:rsid w:val="00142862"/>
    <w:rsid w:val="00142873"/>
    <w:rsid w:val="0014287B"/>
    <w:rsid w:val="0014289A"/>
    <w:rsid w:val="001428F2"/>
    <w:rsid w:val="0014291D"/>
    <w:rsid w:val="0014298D"/>
    <w:rsid w:val="001429CD"/>
    <w:rsid w:val="001429DF"/>
    <w:rsid w:val="00142A2B"/>
    <w:rsid w:val="00142A44"/>
    <w:rsid w:val="00142A7A"/>
    <w:rsid w:val="00142A88"/>
    <w:rsid w:val="00142AB8"/>
    <w:rsid w:val="00142AEB"/>
    <w:rsid w:val="00142B03"/>
    <w:rsid w:val="00142B2B"/>
    <w:rsid w:val="00142B42"/>
    <w:rsid w:val="00142B44"/>
    <w:rsid w:val="00142B4D"/>
    <w:rsid w:val="00142B89"/>
    <w:rsid w:val="00142BE2"/>
    <w:rsid w:val="00142BE6"/>
    <w:rsid w:val="00142C4A"/>
    <w:rsid w:val="00142C51"/>
    <w:rsid w:val="00142CA8"/>
    <w:rsid w:val="00142CBA"/>
    <w:rsid w:val="00142CCF"/>
    <w:rsid w:val="00142D17"/>
    <w:rsid w:val="00142D23"/>
    <w:rsid w:val="00142D24"/>
    <w:rsid w:val="00142D2E"/>
    <w:rsid w:val="00142D87"/>
    <w:rsid w:val="00142D8C"/>
    <w:rsid w:val="00142DBD"/>
    <w:rsid w:val="00142E2A"/>
    <w:rsid w:val="00142E3A"/>
    <w:rsid w:val="00142E5B"/>
    <w:rsid w:val="00142E9E"/>
    <w:rsid w:val="00142EE3"/>
    <w:rsid w:val="00142EF4"/>
    <w:rsid w:val="00142F0C"/>
    <w:rsid w:val="00142F15"/>
    <w:rsid w:val="00142F21"/>
    <w:rsid w:val="00142F29"/>
    <w:rsid w:val="00142F51"/>
    <w:rsid w:val="00142F6B"/>
    <w:rsid w:val="00142F84"/>
    <w:rsid w:val="00142FC0"/>
    <w:rsid w:val="00142FFB"/>
    <w:rsid w:val="00143004"/>
    <w:rsid w:val="001430F8"/>
    <w:rsid w:val="00143164"/>
    <w:rsid w:val="00143176"/>
    <w:rsid w:val="001431AD"/>
    <w:rsid w:val="001431E6"/>
    <w:rsid w:val="0014321F"/>
    <w:rsid w:val="00143231"/>
    <w:rsid w:val="0014329E"/>
    <w:rsid w:val="001432D9"/>
    <w:rsid w:val="001432E3"/>
    <w:rsid w:val="001432EA"/>
    <w:rsid w:val="0014331F"/>
    <w:rsid w:val="00143328"/>
    <w:rsid w:val="00143382"/>
    <w:rsid w:val="00143383"/>
    <w:rsid w:val="00143390"/>
    <w:rsid w:val="001433AF"/>
    <w:rsid w:val="001433D7"/>
    <w:rsid w:val="00143444"/>
    <w:rsid w:val="0014345A"/>
    <w:rsid w:val="0014345B"/>
    <w:rsid w:val="00143480"/>
    <w:rsid w:val="001434B9"/>
    <w:rsid w:val="001434FA"/>
    <w:rsid w:val="001434FB"/>
    <w:rsid w:val="0014352F"/>
    <w:rsid w:val="0014357C"/>
    <w:rsid w:val="00143583"/>
    <w:rsid w:val="00143594"/>
    <w:rsid w:val="001435B0"/>
    <w:rsid w:val="001435DD"/>
    <w:rsid w:val="0014367F"/>
    <w:rsid w:val="001436ED"/>
    <w:rsid w:val="001436F8"/>
    <w:rsid w:val="001436FA"/>
    <w:rsid w:val="0014370C"/>
    <w:rsid w:val="00143721"/>
    <w:rsid w:val="0014376F"/>
    <w:rsid w:val="00143789"/>
    <w:rsid w:val="00143797"/>
    <w:rsid w:val="001437BA"/>
    <w:rsid w:val="001437C7"/>
    <w:rsid w:val="001437DE"/>
    <w:rsid w:val="00143808"/>
    <w:rsid w:val="0014382B"/>
    <w:rsid w:val="0014386A"/>
    <w:rsid w:val="0014390E"/>
    <w:rsid w:val="001439B2"/>
    <w:rsid w:val="00143A52"/>
    <w:rsid w:val="00143B01"/>
    <w:rsid w:val="00143B41"/>
    <w:rsid w:val="00143BE4"/>
    <w:rsid w:val="00143C22"/>
    <w:rsid w:val="00143C6C"/>
    <w:rsid w:val="00143C80"/>
    <w:rsid w:val="00143C96"/>
    <w:rsid w:val="00143CDC"/>
    <w:rsid w:val="00143D13"/>
    <w:rsid w:val="00143D32"/>
    <w:rsid w:val="00143D64"/>
    <w:rsid w:val="00143D9F"/>
    <w:rsid w:val="00143DA0"/>
    <w:rsid w:val="00143E16"/>
    <w:rsid w:val="00143E45"/>
    <w:rsid w:val="00143E98"/>
    <w:rsid w:val="00143EE0"/>
    <w:rsid w:val="00143F34"/>
    <w:rsid w:val="00143FDA"/>
    <w:rsid w:val="00144023"/>
    <w:rsid w:val="00144026"/>
    <w:rsid w:val="00144070"/>
    <w:rsid w:val="00144183"/>
    <w:rsid w:val="001441C0"/>
    <w:rsid w:val="001441F1"/>
    <w:rsid w:val="00144203"/>
    <w:rsid w:val="0014423B"/>
    <w:rsid w:val="0014428C"/>
    <w:rsid w:val="001442AA"/>
    <w:rsid w:val="001443C8"/>
    <w:rsid w:val="001444B1"/>
    <w:rsid w:val="001444BD"/>
    <w:rsid w:val="00144506"/>
    <w:rsid w:val="00144529"/>
    <w:rsid w:val="00144564"/>
    <w:rsid w:val="00144599"/>
    <w:rsid w:val="001445DA"/>
    <w:rsid w:val="001445EB"/>
    <w:rsid w:val="00144631"/>
    <w:rsid w:val="001446F5"/>
    <w:rsid w:val="0014475F"/>
    <w:rsid w:val="00144785"/>
    <w:rsid w:val="001447D9"/>
    <w:rsid w:val="001447DF"/>
    <w:rsid w:val="001447E9"/>
    <w:rsid w:val="001447F5"/>
    <w:rsid w:val="00144811"/>
    <w:rsid w:val="0014483F"/>
    <w:rsid w:val="0014484B"/>
    <w:rsid w:val="00144850"/>
    <w:rsid w:val="00144864"/>
    <w:rsid w:val="001448EE"/>
    <w:rsid w:val="0014490B"/>
    <w:rsid w:val="00144986"/>
    <w:rsid w:val="001449A6"/>
    <w:rsid w:val="001449BE"/>
    <w:rsid w:val="00144A94"/>
    <w:rsid w:val="00144AD0"/>
    <w:rsid w:val="00144B33"/>
    <w:rsid w:val="00144B4A"/>
    <w:rsid w:val="00144B56"/>
    <w:rsid w:val="00144B58"/>
    <w:rsid w:val="00144BB8"/>
    <w:rsid w:val="00144BBF"/>
    <w:rsid w:val="00144BDD"/>
    <w:rsid w:val="00144BE3"/>
    <w:rsid w:val="00144BFD"/>
    <w:rsid w:val="00144C6B"/>
    <w:rsid w:val="00144DDC"/>
    <w:rsid w:val="00144E1D"/>
    <w:rsid w:val="00144E3F"/>
    <w:rsid w:val="00144EBD"/>
    <w:rsid w:val="00144F85"/>
    <w:rsid w:val="00144FD0"/>
    <w:rsid w:val="00144FD9"/>
    <w:rsid w:val="00144FDC"/>
    <w:rsid w:val="00145028"/>
    <w:rsid w:val="00145037"/>
    <w:rsid w:val="0014504D"/>
    <w:rsid w:val="00145065"/>
    <w:rsid w:val="001450C4"/>
    <w:rsid w:val="001450E7"/>
    <w:rsid w:val="001450ED"/>
    <w:rsid w:val="00145134"/>
    <w:rsid w:val="0014515A"/>
    <w:rsid w:val="001451AB"/>
    <w:rsid w:val="00145218"/>
    <w:rsid w:val="0014526B"/>
    <w:rsid w:val="00145282"/>
    <w:rsid w:val="0014530B"/>
    <w:rsid w:val="00145317"/>
    <w:rsid w:val="0014538C"/>
    <w:rsid w:val="00145474"/>
    <w:rsid w:val="001454EB"/>
    <w:rsid w:val="001455EA"/>
    <w:rsid w:val="001455F9"/>
    <w:rsid w:val="00145605"/>
    <w:rsid w:val="0014562E"/>
    <w:rsid w:val="00145678"/>
    <w:rsid w:val="0014567B"/>
    <w:rsid w:val="0014568F"/>
    <w:rsid w:val="001456DB"/>
    <w:rsid w:val="0014578D"/>
    <w:rsid w:val="001457D8"/>
    <w:rsid w:val="0014588A"/>
    <w:rsid w:val="001458D4"/>
    <w:rsid w:val="001458E2"/>
    <w:rsid w:val="001458EA"/>
    <w:rsid w:val="0014592C"/>
    <w:rsid w:val="00145972"/>
    <w:rsid w:val="00145974"/>
    <w:rsid w:val="00145A66"/>
    <w:rsid w:val="00145AC0"/>
    <w:rsid w:val="00145AC5"/>
    <w:rsid w:val="00145B2E"/>
    <w:rsid w:val="00145B54"/>
    <w:rsid w:val="00145B65"/>
    <w:rsid w:val="00145B95"/>
    <w:rsid w:val="00145C48"/>
    <w:rsid w:val="00145C57"/>
    <w:rsid w:val="00145C83"/>
    <w:rsid w:val="00145C98"/>
    <w:rsid w:val="00145CB7"/>
    <w:rsid w:val="00145CDB"/>
    <w:rsid w:val="00145D18"/>
    <w:rsid w:val="00145D4E"/>
    <w:rsid w:val="00145DC3"/>
    <w:rsid w:val="00145DE3"/>
    <w:rsid w:val="00145E07"/>
    <w:rsid w:val="00145E28"/>
    <w:rsid w:val="00145E49"/>
    <w:rsid w:val="00145E71"/>
    <w:rsid w:val="00145E74"/>
    <w:rsid w:val="00145E90"/>
    <w:rsid w:val="00145E93"/>
    <w:rsid w:val="00145EB2"/>
    <w:rsid w:val="00145EB3"/>
    <w:rsid w:val="00145F92"/>
    <w:rsid w:val="00145FB2"/>
    <w:rsid w:val="00146035"/>
    <w:rsid w:val="00146069"/>
    <w:rsid w:val="00146107"/>
    <w:rsid w:val="00146119"/>
    <w:rsid w:val="001461A3"/>
    <w:rsid w:val="00146202"/>
    <w:rsid w:val="00146203"/>
    <w:rsid w:val="0014627C"/>
    <w:rsid w:val="00146288"/>
    <w:rsid w:val="0014629D"/>
    <w:rsid w:val="00146352"/>
    <w:rsid w:val="0014638B"/>
    <w:rsid w:val="001463A3"/>
    <w:rsid w:val="00146462"/>
    <w:rsid w:val="00146472"/>
    <w:rsid w:val="001464B9"/>
    <w:rsid w:val="001464C9"/>
    <w:rsid w:val="0014650A"/>
    <w:rsid w:val="00146510"/>
    <w:rsid w:val="00146513"/>
    <w:rsid w:val="0014652B"/>
    <w:rsid w:val="0014658D"/>
    <w:rsid w:val="00146595"/>
    <w:rsid w:val="001465A7"/>
    <w:rsid w:val="00146643"/>
    <w:rsid w:val="0014664D"/>
    <w:rsid w:val="00146652"/>
    <w:rsid w:val="0014665A"/>
    <w:rsid w:val="001466AC"/>
    <w:rsid w:val="001466F3"/>
    <w:rsid w:val="00146709"/>
    <w:rsid w:val="00146719"/>
    <w:rsid w:val="00146723"/>
    <w:rsid w:val="001467BD"/>
    <w:rsid w:val="001467DD"/>
    <w:rsid w:val="00146806"/>
    <w:rsid w:val="00146827"/>
    <w:rsid w:val="00146840"/>
    <w:rsid w:val="0014691D"/>
    <w:rsid w:val="0014693A"/>
    <w:rsid w:val="00146947"/>
    <w:rsid w:val="0014695E"/>
    <w:rsid w:val="001469B7"/>
    <w:rsid w:val="00146A1F"/>
    <w:rsid w:val="00146A60"/>
    <w:rsid w:val="00146AC1"/>
    <w:rsid w:val="00146AD6"/>
    <w:rsid w:val="00146AE3"/>
    <w:rsid w:val="00146B9F"/>
    <w:rsid w:val="00146C66"/>
    <w:rsid w:val="00146C78"/>
    <w:rsid w:val="00146C79"/>
    <w:rsid w:val="00146C84"/>
    <w:rsid w:val="00146CA8"/>
    <w:rsid w:val="00146CE1"/>
    <w:rsid w:val="00146D2D"/>
    <w:rsid w:val="00146D3A"/>
    <w:rsid w:val="00146D6C"/>
    <w:rsid w:val="00146DBB"/>
    <w:rsid w:val="00146E28"/>
    <w:rsid w:val="00146E53"/>
    <w:rsid w:val="00146E98"/>
    <w:rsid w:val="00146EBA"/>
    <w:rsid w:val="00146F5D"/>
    <w:rsid w:val="00146F6C"/>
    <w:rsid w:val="00146FD3"/>
    <w:rsid w:val="00146FEB"/>
    <w:rsid w:val="0014700B"/>
    <w:rsid w:val="0014700E"/>
    <w:rsid w:val="00147031"/>
    <w:rsid w:val="001470DD"/>
    <w:rsid w:val="00147108"/>
    <w:rsid w:val="0014710F"/>
    <w:rsid w:val="00147188"/>
    <w:rsid w:val="001471B5"/>
    <w:rsid w:val="001471CB"/>
    <w:rsid w:val="001471D5"/>
    <w:rsid w:val="0014722A"/>
    <w:rsid w:val="0014722E"/>
    <w:rsid w:val="00147248"/>
    <w:rsid w:val="00147249"/>
    <w:rsid w:val="00147271"/>
    <w:rsid w:val="001472B0"/>
    <w:rsid w:val="001472E3"/>
    <w:rsid w:val="0014730D"/>
    <w:rsid w:val="00147339"/>
    <w:rsid w:val="001473E5"/>
    <w:rsid w:val="0014741A"/>
    <w:rsid w:val="001474B2"/>
    <w:rsid w:val="001474CC"/>
    <w:rsid w:val="0014751D"/>
    <w:rsid w:val="0014755A"/>
    <w:rsid w:val="00147578"/>
    <w:rsid w:val="001475EF"/>
    <w:rsid w:val="00147646"/>
    <w:rsid w:val="0014768B"/>
    <w:rsid w:val="0014768E"/>
    <w:rsid w:val="00147692"/>
    <w:rsid w:val="001476F1"/>
    <w:rsid w:val="00147738"/>
    <w:rsid w:val="0014775A"/>
    <w:rsid w:val="0014779F"/>
    <w:rsid w:val="001477E0"/>
    <w:rsid w:val="001477F1"/>
    <w:rsid w:val="00147822"/>
    <w:rsid w:val="00147850"/>
    <w:rsid w:val="00147852"/>
    <w:rsid w:val="001478EB"/>
    <w:rsid w:val="00147911"/>
    <w:rsid w:val="00147954"/>
    <w:rsid w:val="001479D3"/>
    <w:rsid w:val="00147A17"/>
    <w:rsid w:val="00147A1C"/>
    <w:rsid w:val="00147A54"/>
    <w:rsid w:val="00147A77"/>
    <w:rsid w:val="00147A7F"/>
    <w:rsid w:val="00147A81"/>
    <w:rsid w:val="00147B9A"/>
    <w:rsid w:val="00147BCB"/>
    <w:rsid w:val="00147BDE"/>
    <w:rsid w:val="00147BE6"/>
    <w:rsid w:val="00147C8F"/>
    <w:rsid w:val="00147D7D"/>
    <w:rsid w:val="00147D90"/>
    <w:rsid w:val="00147D92"/>
    <w:rsid w:val="00147DE5"/>
    <w:rsid w:val="00147E01"/>
    <w:rsid w:val="00147E92"/>
    <w:rsid w:val="00147E97"/>
    <w:rsid w:val="00147EA7"/>
    <w:rsid w:val="00147EAE"/>
    <w:rsid w:val="00147EC5"/>
    <w:rsid w:val="00147EF7"/>
    <w:rsid w:val="00147FB4"/>
    <w:rsid w:val="00150092"/>
    <w:rsid w:val="0015009C"/>
    <w:rsid w:val="0015012E"/>
    <w:rsid w:val="00150162"/>
    <w:rsid w:val="0015017A"/>
    <w:rsid w:val="0015017C"/>
    <w:rsid w:val="00150184"/>
    <w:rsid w:val="001501CA"/>
    <w:rsid w:val="001501DE"/>
    <w:rsid w:val="001501FC"/>
    <w:rsid w:val="00150264"/>
    <w:rsid w:val="001502E1"/>
    <w:rsid w:val="0015031F"/>
    <w:rsid w:val="0015036B"/>
    <w:rsid w:val="00150388"/>
    <w:rsid w:val="001503B9"/>
    <w:rsid w:val="001503CB"/>
    <w:rsid w:val="001503D4"/>
    <w:rsid w:val="00150525"/>
    <w:rsid w:val="00150569"/>
    <w:rsid w:val="001505AC"/>
    <w:rsid w:val="001505C9"/>
    <w:rsid w:val="0015063E"/>
    <w:rsid w:val="0015065D"/>
    <w:rsid w:val="00150667"/>
    <w:rsid w:val="001506CC"/>
    <w:rsid w:val="001506D1"/>
    <w:rsid w:val="00150706"/>
    <w:rsid w:val="0015076A"/>
    <w:rsid w:val="00150777"/>
    <w:rsid w:val="0015077B"/>
    <w:rsid w:val="00150850"/>
    <w:rsid w:val="0015089E"/>
    <w:rsid w:val="001508C1"/>
    <w:rsid w:val="0015092C"/>
    <w:rsid w:val="00150965"/>
    <w:rsid w:val="00150966"/>
    <w:rsid w:val="0015096C"/>
    <w:rsid w:val="0015096E"/>
    <w:rsid w:val="001509AD"/>
    <w:rsid w:val="00150A10"/>
    <w:rsid w:val="00150A87"/>
    <w:rsid w:val="00150AC8"/>
    <w:rsid w:val="00150B30"/>
    <w:rsid w:val="00150B47"/>
    <w:rsid w:val="00150B4D"/>
    <w:rsid w:val="00150B6E"/>
    <w:rsid w:val="00150B8A"/>
    <w:rsid w:val="00150B9C"/>
    <w:rsid w:val="00150C29"/>
    <w:rsid w:val="00150C68"/>
    <w:rsid w:val="00150CB1"/>
    <w:rsid w:val="00150CC1"/>
    <w:rsid w:val="00150D12"/>
    <w:rsid w:val="00150D17"/>
    <w:rsid w:val="00150D23"/>
    <w:rsid w:val="00150D26"/>
    <w:rsid w:val="00150D5F"/>
    <w:rsid w:val="00150DF1"/>
    <w:rsid w:val="00150E03"/>
    <w:rsid w:val="00150E06"/>
    <w:rsid w:val="00150E5A"/>
    <w:rsid w:val="00150EBD"/>
    <w:rsid w:val="00150F00"/>
    <w:rsid w:val="00150F14"/>
    <w:rsid w:val="00150F26"/>
    <w:rsid w:val="00150F55"/>
    <w:rsid w:val="00150F69"/>
    <w:rsid w:val="00150F87"/>
    <w:rsid w:val="00151012"/>
    <w:rsid w:val="0015104B"/>
    <w:rsid w:val="00151051"/>
    <w:rsid w:val="0015106F"/>
    <w:rsid w:val="0015111E"/>
    <w:rsid w:val="001511F0"/>
    <w:rsid w:val="00151209"/>
    <w:rsid w:val="0015120F"/>
    <w:rsid w:val="00151289"/>
    <w:rsid w:val="001512C3"/>
    <w:rsid w:val="001512DC"/>
    <w:rsid w:val="001512EF"/>
    <w:rsid w:val="00151399"/>
    <w:rsid w:val="001513DC"/>
    <w:rsid w:val="00151413"/>
    <w:rsid w:val="00151414"/>
    <w:rsid w:val="0015141F"/>
    <w:rsid w:val="00151471"/>
    <w:rsid w:val="001514B1"/>
    <w:rsid w:val="001514E5"/>
    <w:rsid w:val="00151505"/>
    <w:rsid w:val="00151583"/>
    <w:rsid w:val="0015158C"/>
    <w:rsid w:val="001515C6"/>
    <w:rsid w:val="001515DD"/>
    <w:rsid w:val="00151645"/>
    <w:rsid w:val="00151684"/>
    <w:rsid w:val="0015171B"/>
    <w:rsid w:val="0015176E"/>
    <w:rsid w:val="0015179C"/>
    <w:rsid w:val="001517C6"/>
    <w:rsid w:val="00151808"/>
    <w:rsid w:val="0015185B"/>
    <w:rsid w:val="00151860"/>
    <w:rsid w:val="0015186C"/>
    <w:rsid w:val="0015188C"/>
    <w:rsid w:val="00151890"/>
    <w:rsid w:val="001518A1"/>
    <w:rsid w:val="001518FF"/>
    <w:rsid w:val="00151929"/>
    <w:rsid w:val="0015192C"/>
    <w:rsid w:val="00151949"/>
    <w:rsid w:val="0015195C"/>
    <w:rsid w:val="00151962"/>
    <w:rsid w:val="0015198D"/>
    <w:rsid w:val="001519A3"/>
    <w:rsid w:val="001519BB"/>
    <w:rsid w:val="00151AC0"/>
    <w:rsid w:val="00151AF9"/>
    <w:rsid w:val="00151B6B"/>
    <w:rsid w:val="00151BA7"/>
    <w:rsid w:val="00151BD6"/>
    <w:rsid w:val="00151BE6"/>
    <w:rsid w:val="00151BFA"/>
    <w:rsid w:val="00151CC6"/>
    <w:rsid w:val="00151CDF"/>
    <w:rsid w:val="00151CED"/>
    <w:rsid w:val="00151D2F"/>
    <w:rsid w:val="00151D64"/>
    <w:rsid w:val="00151D7B"/>
    <w:rsid w:val="00151D8D"/>
    <w:rsid w:val="00151E53"/>
    <w:rsid w:val="00151E75"/>
    <w:rsid w:val="00151F0F"/>
    <w:rsid w:val="00151F81"/>
    <w:rsid w:val="00151FBB"/>
    <w:rsid w:val="00151FC3"/>
    <w:rsid w:val="0015200A"/>
    <w:rsid w:val="001520EC"/>
    <w:rsid w:val="00152127"/>
    <w:rsid w:val="00152216"/>
    <w:rsid w:val="00152242"/>
    <w:rsid w:val="0015226B"/>
    <w:rsid w:val="00152272"/>
    <w:rsid w:val="00152277"/>
    <w:rsid w:val="001522FD"/>
    <w:rsid w:val="00152346"/>
    <w:rsid w:val="0015235C"/>
    <w:rsid w:val="0015237B"/>
    <w:rsid w:val="0015237D"/>
    <w:rsid w:val="001523A0"/>
    <w:rsid w:val="001523C8"/>
    <w:rsid w:val="00152410"/>
    <w:rsid w:val="00152432"/>
    <w:rsid w:val="0015248B"/>
    <w:rsid w:val="0015253A"/>
    <w:rsid w:val="0015258A"/>
    <w:rsid w:val="001525A8"/>
    <w:rsid w:val="001525C7"/>
    <w:rsid w:val="001525D8"/>
    <w:rsid w:val="001525D9"/>
    <w:rsid w:val="0015262A"/>
    <w:rsid w:val="0015263F"/>
    <w:rsid w:val="00152649"/>
    <w:rsid w:val="0015266F"/>
    <w:rsid w:val="001526B8"/>
    <w:rsid w:val="001526E0"/>
    <w:rsid w:val="00152733"/>
    <w:rsid w:val="0015273D"/>
    <w:rsid w:val="00152756"/>
    <w:rsid w:val="001527B4"/>
    <w:rsid w:val="001527FE"/>
    <w:rsid w:val="00152828"/>
    <w:rsid w:val="00152846"/>
    <w:rsid w:val="00152851"/>
    <w:rsid w:val="0015285B"/>
    <w:rsid w:val="00152863"/>
    <w:rsid w:val="0015288C"/>
    <w:rsid w:val="00152993"/>
    <w:rsid w:val="00152A39"/>
    <w:rsid w:val="00152AC3"/>
    <w:rsid w:val="00152B5D"/>
    <w:rsid w:val="00152BB1"/>
    <w:rsid w:val="00152BEB"/>
    <w:rsid w:val="00152C3E"/>
    <w:rsid w:val="00152C57"/>
    <w:rsid w:val="00152C87"/>
    <w:rsid w:val="00152C8F"/>
    <w:rsid w:val="00152CC9"/>
    <w:rsid w:val="00152CCB"/>
    <w:rsid w:val="00152CFE"/>
    <w:rsid w:val="00152D44"/>
    <w:rsid w:val="00152D88"/>
    <w:rsid w:val="00152E26"/>
    <w:rsid w:val="00152F2F"/>
    <w:rsid w:val="00152F6E"/>
    <w:rsid w:val="00152FA2"/>
    <w:rsid w:val="00153015"/>
    <w:rsid w:val="0015302E"/>
    <w:rsid w:val="001530A3"/>
    <w:rsid w:val="001530A5"/>
    <w:rsid w:val="001530D7"/>
    <w:rsid w:val="00153171"/>
    <w:rsid w:val="00153228"/>
    <w:rsid w:val="001532AE"/>
    <w:rsid w:val="00153373"/>
    <w:rsid w:val="0015341A"/>
    <w:rsid w:val="0015343D"/>
    <w:rsid w:val="00153484"/>
    <w:rsid w:val="00153495"/>
    <w:rsid w:val="00153499"/>
    <w:rsid w:val="001534A1"/>
    <w:rsid w:val="001534D6"/>
    <w:rsid w:val="00153529"/>
    <w:rsid w:val="00153615"/>
    <w:rsid w:val="00153618"/>
    <w:rsid w:val="00153637"/>
    <w:rsid w:val="00153648"/>
    <w:rsid w:val="00153659"/>
    <w:rsid w:val="001536C5"/>
    <w:rsid w:val="001536FD"/>
    <w:rsid w:val="00153734"/>
    <w:rsid w:val="00153753"/>
    <w:rsid w:val="00153776"/>
    <w:rsid w:val="001537F5"/>
    <w:rsid w:val="00153896"/>
    <w:rsid w:val="001538A4"/>
    <w:rsid w:val="001538D1"/>
    <w:rsid w:val="001538D3"/>
    <w:rsid w:val="00153924"/>
    <w:rsid w:val="001539AC"/>
    <w:rsid w:val="001539C3"/>
    <w:rsid w:val="001539DC"/>
    <w:rsid w:val="001539E1"/>
    <w:rsid w:val="00153A1D"/>
    <w:rsid w:val="00153A25"/>
    <w:rsid w:val="00153A2A"/>
    <w:rsid w:val="00153A69"/>
    <w:rsid w:val="00153A93"/>
    <w:rsid w:val="00153BF2"/>
    <w:rsid w:val="00153C24"/>
    <w:rsid w:val="00153C36"/>
    <w:rsid w:val="00153C48"/>
    <w:rsid w:val="00153CD5"/>
    <w:rsid w:val="00153D37"/>
    <w:rsid w:val="00153D4B"/>
    <w:rsid w:val="00153D65"/>
    <w:rsid w:val="00153D97"/>
    <w:rsid w:val="00153D9E"/>
    <w:rsid w:val="00153DB7"/>
    <w:rsid w:val="00153E0F"/>
    <w:rsid w:val="00153E3B"/>
    <w:rsid w:val="00153EA2"/>
    <w:rsid w:val="00153ECF"/>
    <w:rsid w:val="00153F4F"/>
    <w:rsid w:val="00153FAD"/>
    <w:rsid w:val="00154025"/>
    <w:rsid w:val="0015402E"/>
    <w:rsid w:val="00154049"/>
    <w:rsid w:val="00154096"/>
    <w:rsid w:val="0015409A"/>
    <w:rsid w:val="001540C1"/>
    <w:rsid w:val="001540C3"/>
    <w:rsid w:val="00154100"/>
    <w:rsid w:val="001541AA"/>
    <w:rsid w:val="001541B2"/>
    <w:rsid w:val="001541BA"/>
    <w:rsid w:val="00154241"/>
    <w:rsid w:val="00154246"/>
    <w:rsid w:val="0015425A"/>
    <w:rsid w:val="0015427C"/>
    <w:rsid w:val="00154284"/>
    <w:rsid w:val="0015428E"/>
    <w:rsid w:val="001542AE"/>
    <w:rsid w:val="001542BA"/>
    <w:rsid w:val="00154325"/>
    <w:rsid w:val="0015432A"/>
    <w:rsid w:val="0015432E"/>
    <w:rsid w:val="00154336"/>
    <w:rsid w:val="00154344"/>
    <w:rsid w:val="001543D9"/>
    <w:rsid w:val="00154400"/>
    <w:rsid w:val="00154433"/>
    <w:rsid w:val="00154446"/>
    <w:rsid w:val="0015445F"/>
    <w:rsid w:val="001544A6"/>
    <w:rsid w:val="001544B7"/>
    <w:rsid w:val="00154541"/>
    <w:rsid w:val="0015455A"/>
    <w:rsid w:val="0015457C"/>
    <w:rsid w:val="001545CC"/>
    <w:rsid w:val="00154600"/>
    <w:rsid w:val="00154614"/>
    <w:rsid w:val="00154638"/>
    <w:rsid w:val="0015465E"/>
    <w:rsid w:val="001546B7"/>
    <w:rsid w:val="001546C7"/>
    <w:rsid w:val="001546E0"/>
    <w:rsid w:val="00154779"/>
    <w:rsid w:val="00154791"/>
    <w:rsid w:val="001547A5"/>
    <w:rsid w:val="001547CF"/>
    <w:rsid w:val="001547F7"/>
    <w:rsid w:val="00154814"/>
    <w:rsid w:val="00154837"/>
    <w:rsid w:val="00154841"/>
    <w:rsid w:val="00154843"/>
    <w:rsid w:val="00154875"/>
    <w:rsid w:val="001548B6"/>
    <w:rsid w:val="001548F9"/>
    <w:rsid w:val="00154958"/>
    <w:rsid w:val="00154990"/>
    <w:rsid w:val="001549F0"/>
    <w:rsid w:val="00154A02"/>
    <w:rsid w:val="00154A04"/>
    <w:rsid w:val="00154A6D"/>
    <w:rsid w:val="00154AE2"/>
    <w:rsid w:val="00154B8A"/>
    <w:rsid w:val="00154B93"/>
    <w:rsid w:val="00154BCC"/>
    <w:rsid w:val="00154BEE"/>
    <w:rsid w:val="00154C77"/>
    <w:rsid w:val="00154CB3"/>
    <w:rsid w:val="00154CBD"/>
    <w:rsid w:val="00154D05"/>
    <w:rsid w:val="00154D20"/>
    <w:rsid w:val="00154D4A"/>
    <w:rsid w:val="00154D75"/>
    <w:rsid w:val="00154D87"/>
    <w:rsid w:val="00154D9B"/>
    <w:rsid w:val="00154DBF"/>
    <w:rsid w:val="00154DD1"/>
    <w:rsid w:val="00154DD5"/>
    <w:rsid w:val="00154E17"/>
    <w:rsid w:val="00154E2C"/>
    <w:rsid w:val="00154E4D"/>
    <w:rsid w:val="00154E71"/>
    <w:rsid w:val="00154EBF"/>
    <w:rsid w:val="00154EC4"/>
    <w:rsid w:val="00154EFB"/>
    <w:rsid w:val="00154F08"/>
    <w:rsid w:val="00154F14"/>
    <w:rsid w:val="00154F6B"/>
    <w:rsid w:val="00154F96"/>
    <w:rsid w:val="00154F98"/>
    <w:rsid w:val="00154FA0"/>
    <w:rsid w:val="00154FB9"/>
    <w:rsid w:val="00154FCD"/>
    <w:rsid w:val="00155000"/>
    <w:rsid w:val="0015503A"/>
    <w:rsid w:val="0015503D"/>
    <w:rsid w:val="0015503F"/>
    <w:rsid w:val="001550A2"/>
    <w:rsid w:val="001550BD"/>
    <w:rsid w:val="001550FC"/>
    <w:rsid w:val="00155117"/>
    <w:rsid w:val="00155127"/>
    <w:rsid w:val="00155129"/>
    <w:rsid w:val="00155139"/>
    <w:rsid w:val="0015517B"/>
    <w:rsid w:val="001551F6"/>
    <w:rsid w:val="00155238"/>
    <w:rsid w:val="00155243"/>
    <w:rsid w:val="001552C8"/>
    <w:rsid w:val="001552FD"/>
    <w:rsid w:val="0015533C"/>
    <w:rsid w:val="001553B5"/>
    <w:rsid w:val="001553E1"/>
    <w:rsid w:val="00155401"/>
    <w:rsid w:val="00155445"/>
    <w:rsid w:val="00155450"/>
    <w:rsid w:val="0015547A"/>
    <w:rsid w:val="0015548E"/>
    <w:rsid w:val="001554D4"/>
    <w:rsid w:val="001554DF"/>
    <w:rsid w:val="001554E7"/>
    <w:rsid w:val="001554EB"/>
    <w:rsid w:val="001554F8"/>
    <w:rsid w:val="0015552A"/>
    <w:rsid w:val="00155530"/>
    <w:rsid w:val="0015555C"/>
    <w:rsid w:val="00155574"/>
    <w:rsid w:val="001555BB"/>
    <w:rsid w:val="001555D3"/>
    <w:rsid w:val="00155672"/>
    <w:rsid w:val="0015567C"/>
    <w:rsid w:val="001556B3"/>
    <w:rsid w:val="001556D1"/>
    <w:rsid w:val="0015570A"/>
    <w:rsid w:val="0015572A"/>
    <w:rsid w:val="0015574B"/>
    <w:rsid w:val="0015574E"/>
    <w:rsid w:val="00155759"/>
    <w:rsid w:val="0015577A"/>
    <w:rsid w:val="00155847"/>
    <w:rsid w:val="0015584E"/>
    <w:rsid w:val="001558A2"/>
    <w:rsid w:val="001558AD"/>
    <w:rsid w:val="0015591B"/>
    <w:rsid w:val="00155930"/>
    <w:rsid w:val="00155944"/>
    <w:rsid w:val="00155953"/>
    <w:rsid w:val="0015598C"/>
    <w:rsid w:val="001559C1"/>
    <w:rsid w:val="00155B81"/>
    <w:rsid w:val="00155BB0"/>
    <w:rsid w:val="00155BF4"/>
    <w:rsid w:val="00155C01"/>
    <w:rsid w:val="00155C3A"/>
    <w:rsid w:val="00155C71"/>
    <w:rsid w:val="00155CBC"/>
    <w:rsid w:val="00155CD2"/>
    <w:rsid w:val="00155D94"/>
    <w:rsid w:val="00155DB4"/>
    <w:rsid w:val="00155E4F"/>
    <w:rsid w:val="00155ECC"/>
    <w:rsid w:val="00155EE7"/>
    <w:rsid w:val="00155EF5"/>
    <w:rsid w:val="00155F27"/>
    <w:rsid w:val="00155F67"/>
    <w:rsid w:val="00155FB5"/>
    <w:rsid w:val="00156081"/>
    <w:rsid w:val="001560A0"/>
    <w:rsid w:val="001560A1"/>
    <w:rsid w:val="001560BD"/>
    <w:rsid w:val="001560ED"/>
    <w:rsid w:val="00156127"/>
    <w:rsid w:val="00156134"/>
    <w:rsid w:val="00156154"/>
    <w:rsid w:val="00156157"/>
    <w:rsid w:val="0015615B"/>
    <w:rsid w:val="00156172"/>
    <w:rsid w:val="00156188"/>
    <w:rsid w:val="0015622D"/>
    <w:rsid w:val="00156237"/>
    <w:rsid w:val="00156279"/>
    <w:rsid w:val="0015628F"/>
    <w:rsid w:val="001562A6"/>
    <w:rsid w:val="001562C2"/>
    <w:rsid w:val="001562ED"/>
    <w:rsid w:val="00156304"/>
    <w:rsid w:val="0015632E"/>
    <w:rsid w:val="001563A2"/>
    <w:rsid w:val="001563E1"/>
    <w:rsid w:val="00156413"/>
    <w:rsid w:val="0015641B"/>
    <w:rsid w:val="001564D8"/>
    <w:rsid w:val="00156526"/>
    <w:rsid w:val="00156542"/>
    <w:rsid w:val="0015661E"/>
    <w:rsid w:val="00156699"/>
    <w:rsid w:val="001566A1"/>
    <w:rsid w:val="001566B2"/>
    <w:rsid w:val="001566DA"/>
    <w:rsid w:val="001566DE"/>
    <w:rsid w:val="00156764"/>
    <w:rsid w:val="00156807"/>
    <w:rsid w:val="00156808"/>
    <w:rsid w:val="0015681D"/>
    <w:rsid w:val="00156857"/>
    <w:rsid w:val="00156862"/>
    <w:rsid w:val="00156867"/>
    <w:rsid w:val="00156881"/>
    <w:rsid w:val="00156893"/>
    <w:rsid w:val="001568E7"/>
    <w:rsid w:val="0015690F"/>
    <w:rsid w:val="0015695B"/>
    <w:rsid w:val="00156984"/>
    <w:rsid w:val="001569A3"/>
    <w:rsid w:val="001569E7"/>
    <w:rsid w:val="00156A01"/>
    <w:rsid w:val="00156A12"/>
    <w:rsid w:val="00156A1A"/>
    <w:rsid w:val="00156A6B"/>
    <w:rsid w:val="00156A8D"/>
    <w:rsid w:val="00156AAD"/>
    <w:rsid w:val="00156ACE"/>
    <w:rsid w:val="00156B81"/>
    <w:rsid w:val="00156B95"/>
    <w:rsid w:val="00156BF7"/>
    <w:rsid w:val="00156C21"/>
    <w:rsid w:val="00156C24"/>
    <w:rsid w:val="00156CC1"/>
    <w:rsid w:val="00156D1E"/>
    <w:rsid w:val="00156D57"/>
    <w:rsid w:val="00156D58"/>
    <w:rsid w:val="00156D73"/>
    <w:rsid w:val="00156D8A"/>
    <w:rsid w:val="00156E3A"/>
    <w:rsid w:val="00156EE3"/>
    <w:rsid w:val="00156F50"/>
    <w:rsid w:val="00156F5C"/>
    <w:rsid w:val="00156F6C"/>
    <w:rsid w:val="00156FB1"/>
    <w:rsid w:val="00156FC8"/>
    <w:rsid w:val="00156FD0"/>
    <w:rsid w:val="00157004"/>
    <w:rsid w:val="0015700F"/>
    <w:rsid w:val="001570AD"/>
    <w:rsid w:val="001570C7"/>
    <w:rsid w:val="001570FE"/>
    <w:rsid w:val="0015716C"/>
    <w:rsid w:val="0015716F"/>
    <w:rsid w:val="00157190"/>
    <w:rsid w:val="001571AC"/>
    <w:rsid w:val="001571B3"/>
    <w:rsid w:val="001571B8"/>
    <w:rsid w:val="001571BB"/>
    <w:rsid w:val="0015720A"/>
    <w:rsid w:val="00157247"/>
    <w:rsid w:val="00157253"/>
    <w:rsid w:val="001572AB"/>
    <w:rsid w:val="001572EE"/>
    <w:rsid w:val="00157321"/>
    <w:rsid w:val="00157329"/>
    <w:rsid w:val="00157336"/>
    <w:rsid w:val="001573F0"/>
    <w:rsid w:val="0015740A"/>
    <w:rsid w:val="00157424"/>
    <w:rsid w:val="0015742B"/>
    <w:rsid w:val="00157438"/>
    <w:rsid w:val="00157475"/>
    <w:rsid w:val="001574CD"/>
    <w:rsid w:val="001574E9"/>
    <w:rsid w:val="001574FA"/>
    <w:rsid w:val="00157534"/>
    <w:rsid w:val="0015759B"/>
    <w:rsid w:val="0015759D"/>
    <w:rsid w:val="001575DD"/>
    <w:rsid w:val="00157628"/>
    <w:rsid w:val="0015764A"/>
    <w:rsid w:val="0015768D"/>
    <w:rsid w:val="001576E3"/>
    <w:rsid w:val="0015772D"/>
    <w:rsid w:val="0015774C"/>
    <w:rsid w:val="0015775F"/>
    <w:rsid w:val="00157774"/>
    <w:rsid w:val="00157792"/>
    <w:rsid w:val="0015779C"/>
    <w:rsid w:val="001577AC"/>
    <w:rsid w:val="001577E3"/>
    <w:rsid w:val="0015780E"/>
    <w:rsid w:val="0015785C"/>
    <w:rsid w:val="001578DF"/>
    <w:rsid w:val="001578FC"/>
    <w:rsid w:val="00157977"/>
    <w:rsid w:val="00157978"/>
    <w:rsid w:val="001579D3"/>
    <w:rsid w:val="001579ED"/>
    <w:rsid w:val="00157A5F"/>
    <w:rsid w:val="00157A65"/>
    <w:rsid w:val="00157A73"/>
    <w:rsid w:val="00157A98"/>
    <w:rsid w:val="00157AD4"/>
    <w:rsid w:val="00157B49"/>
    <w:rsid w:val="00157B63"/>
    <w:rsid w:val="00157BA5"/>
    <w:rsid w:val="00157BDD"/>
    <w:rsid w:val="00157BE2"/>
    <w:rsid w:val="00157CB0"/>
    <w:rsid w:val="00157CCB"/>
    <w:rsid w:val="00157CD0"/>
    <w:rsid w:val="00157CF9"/>
    <w:rsid w:val="00157D19"/>
    <w:rsid w:val="00157D1E"/>
    <w:rsid w:val="00157D3E"/>
    <w:rsid w:val="00157D43"/>
    <w:rsid w:val="00157DDC"/>
    <w:rsid w:val="00157E42"/>
    <w:rsid w:val="00157E99"/>
    <w:rsid w:val="00157EBB"/>
    <w:rsid w:val="00157EFA"/>
    <w:rsid w:val="00157F06"/>
    <w:rsid w:val="00157F50"/>
    <w:rsid w:val="00157FAC"/>
    <w:rsid w:val="00160085"/>
    <w:rsid w:val="001600B1"/>
    <w:rsid w:val="001600F2"/>
    <w:rsid w:val="00160114"/>
    <w:rsid w:val="00160131"/>
    <w:rsid w:val="00160141"/>
    <w:rsid w:val="00160165"/>
    <w:rsid w:val="00160174"/>
    <w:rsid w:val="00160176"/>
    <w:rsid w:val="00160194"/>
    <w:rsid w:val="001601A9"/>
    <w:rsid w:val="00160222"/>
    <w:rsid w:val="00160241"/>
    <w:rsid w:val="001602A8"/>
    <w:rsid w:val="001603BC"/>
    <w:rsid w:val="001603E1"/>
    <w:rsid w:val="00160403"/>
    <w:rsid w:val="00160409"/>
    <w:rsid w:val="00160479"/>
    <w:rsid w:val="001604E3"/>
    <w:rsid w:val="001604F2"/>
    <w:rsid w:val="001604F3"/>
    <w:rsid w:val="0016050C"/>
    <w:rsid w:val="0016053E"/>
    <w:rsid w:val="0016054A"/>
    <w:rsid w:val="001605A0"/>
    <w:rsid w:val="001605AF"/>
    <w:rsid w:val="0016069D"/>
    <w:rsid w:val="001606D8"/>
    <w:rsid w:val="00160744"/>
    <w:rsid w:val="00160764"/>
    <w:rsid w:val="0016076B"/>
    <w:rsid w:val="00160785"/>
    <w:rsid w:val="001607B9"/>
    <w:rsid w:val="001607E3"/>
    <w:rsid w:val="001607F9"/>
    <w:rsid w:val="00160821"/>
    <w:rsid w:val="00160887"/>
    <w:rsid w:val="001608FC"/>
    <w:rsid w:val="00160991"/>
    <w:rsid w:val="001609A4"/>
    <w:rsid w:val="001609C4"/>
    <w:rsid w:val="00160A40"/>
    <w:rsid w:val="00160A48"/>
    <w:rsid w:val="00160A74"/>
    <w:rsid w:val="00160AC6"/>
    <w:rsid w:val="00160B57"/>
    <w:rsid w:val="00160BEE"/>
    <w:rsid w:val="00160BF0"/>
    <w:rsid w:val="00160C17"/>
    <w:rsid w:val="00160C93"/>
    <w:rsid w:val="00160C96"/>
    <w:rsid w:val="00160CAF"/>
    <w:rsid w:val="00160CD3"/>
    <w:rsid w:val="00160D03"/>
    <w:rsid w:val="00160D14"/>
    <w:rsid w:val="00160D1A"/>
    <w:rsid w:val="00160D21"/>
    <w:rsid w:val="00160D3D"/>
    <w:rsid w:val="00160D71"/>
    <w:rsid w:val="00160D8E"/>
    <w:rsid w:val="00160DBF"/>
    <w:rsid w:val="00160DE3"/>
    <w:rsid w:val="00160E72"/>
    <w:rsid w:val="00160EF3"/>
    <w:rsid w:val="00160F09"/>
    <w:rsid w:val="00160F0D"/>
    <w:rsid w:val="00161043"/>
    <w:rsid w:val="0016111E"/>
    <w:rsid w:val="00161158"/>
    <w:rsid w:val="00161167"/>
    <w:rsid w:val="001611EC"/>
    <w:rsid w:val="001611EF"/>
    <w:rsid w:val="00161216"/>
    <w:rsid w:val="00161218"/>
    <w:rsid w:val="0016121E"/>
    <w:rsid w:val="00161253"/>
    <w:rsid w:val="0016126E"/>
    <w:rsid w:val="00161276"/>
    <w:rsid w:val="00161283"/>
    <w:rsid w:val="0016128F"/>
    <w:rsid w:val="001612FF"/>
    <w:rsid w:val="00161387"/>
    <w:rsid w:val="00161464"/>
    <w:rsid w:val="0016149E"/>
    <w:rsid w:val="001614B0"/>
    <w:rsid w:val="0016153A"/>
    <w:rsid w:val="0016154F"/>
    <w:rsid w:val="0016157A"/>
    <w:rsid w:val="001615E7"/>
    <w:rsid w:val="00161676"/>
    <w:rsid w:val="001616A7"/>
    <w:rsid w:val="001616C5"/>
    <w:rsid w:val="001616D8"/>
    <w:rsid w:val="00161704"/>
    <w:rsid w:val="00161733"/>
    <w:rsid w:val="00161742"/>
    <w:rsid w:val="001617AE"/>
    <w:rsid w:val="001617DE"/>
    <w:rsid w:val="001618AA"/>
    <w:rsid w:val="001618FA"/>
    <w:rsid w:val="00161908"/>
    <w:rsid w:val="0016190B"/>
    <w:rsid w:val="00161972"/>
    <w:rsid w:val="001619B7"/>
    <w:rsid w:val="00161A4E"/>
    <w:rsid w:val="00161A66"/>
    <w:rsid w:val="00161AD1"/>
    <w:rsid w:val="00161AD8"/>
    <w:rsid w:val="00161AE0"/>
    <w:rsid w:val="00161BAB"/>
    <w:rsid w:val="00161C17"/>
    <w:rsid w:val="00161C30"/>
    <w:rsid w:val="00161C3C"/>
    <w:rsid w:val="00161C85"/>
    <w:rsid w:val="00161CA1"/>
    <w:rsid w:val="00161CD9"/>
    <w:rsid w:val="00161CF6"/>
    <w:rsid w:val="00161D02"/>
    <w:rsid w:val="00161D34"/>
    <w:rsid w:val="00161D65"/>
    <w:rsid w:val="00161DF0"/>
    <w:rsid w:val="00161E13"/>
    <w:rsid w:val="00161E37"/>
    <w:rsid w:val="00161E89"/>
    <w:rsid w:val="00161EA5"/>
    <w:rsid w:val="00161EB0"/>
    <w:rsid w:val="00161EF9"/>
    <w:rsid w:val="00161F93"/>
    <w:rsid w:val="00161FA5"/>
    <w:rsid w:val="00162028"/>
    <w:rsid w:val="00162079"/>
    <w:rsid w:val="00162086"/>
    <w:rsid w:val="001620C5"/>
    <w:rsid w:val="001620F3"/>
    <w:rsid w:val="00162195"/>
    <w:rsid w:val="001621BD"/>
    <w:rsid w:val="001621C8"/>
    <w:rsid w:val="001621D9"/>
    <w:rsid w:val="001621E4"/>
    <w:rsid w:val="001622C3"/>
    <w:rsid w:val="00162328"/>
    <w:rsid w:val="00162331"/>
    <w:rsid w:val="0016234C"/>
    <w:rsid w:val="0016239D"/>
    <w:rsid w:val="00162400"/>
    <w:rsid w:val="00162475"/>
    <w:rsid w:val="0016256E"/>
    <w:rsid w:val="00162589"/>
    <w:rsid w:val="001625BF"/>
    <w:rsid w:val="001625EC"/>
    <w:rsid w:val="0016260C"/>
    <w:rsid w:val="00162632"/>
    <w:rsid w:val="001626B7"/>
    <w:rsid w:val="001626F1"/>
    <w:rsid w:val="0016275A"/>
    <w:rsid w:val="00162797"/>
    <w:rsid w:val="00162853"/>
    <w:rsid w:val="0016286B"/>
    <w:rsid w:val="001628B1"/>
    <w:rsid w:val="001628DF"/>
    <w:rsid w:val="0016290B"/>
    <w:rsid w:val="00162951"/>
    <w:rsid w:val="0016296D"/>
    <w:rsid w:val="00162A46"/>
    <w:rsid w:val="00162A66"/>
    <w:rsid w:val="00162AA3"/>
    <w:rsid w:val="00162B75"/>
    <w:rsid w:val="00162B94"/>
    <w:rsid w:val="00162B9F"/>
    <w:rsid w:val="00162C21"/>
    <w:rsid w:val="00162C49"/>
    <w:rsid w:val="00162C7E"/>
    <w:rsid w:val="00162CCD"/>
    <w:rsid w:val="00162CD1"/>
    <w:rsid w:val="00162CD6"/>
    <w:rsid w:val="00162CFC"/>
    <w:rsid w:val="00162CFE"/>
    <w:rsid w:val="00162D89"/>
    <w:rsid w:val="00162DB9"/>
    <w:rsid w:val="00162DC9"/>
    <w:rsid w:val="00162DD8"/>
    <w:rsid w:val="00162E2C"/>
    <w:rsid w:val="00162EA3"/>
    <w:rsid w:val="00162EF7"/>
    <w:rsid w:val="00162EFE"/>
    <w:rsid w:val="00162F7C"/>
    <w:rsid w:val="00162FB6"/>
    <w:rsid w:val="00162FDA"/>
    <w:rsid w:val="00163027"/>
    <w:rsid w:val="0016302F"/>
    <w:rsid w:val="00163047"/>
    <w:rsid w:val="00163057"/>
    <w:rsid w:val="0016305E"/>
    <w:rsid w:val="00163092"/>
    <w:rsid w:val="001630AD"/>
    <w:rsid w:val="00163100"/>
    <w:rsid w:val="0016312B"/>
    <w:rsid w:val="0016313A"/>
    <w:rsid w:val="00163193"/>
    <w:rsid w:val="001631B8"/>
    <w:rsid w:val="001631CF"/>
    <w:rsid w:val="001631D3"/>
    <w:rsid w:val="001631D6"/>
    <w:rsid w:val="0016329F"/>
    <w:rsid w:val="001632C2"/>
    <w:rsid w:val="001632D2"/>
    <w:rsid w:val="001632D8"/>
    <w:rsid w:val="00163306"/>
    <w:rsid w:val="0016332A"/>
    <w:rsid w:val="00163367"/>
    <w:rsid w:val="0016337A"/>
    <w:rsid w:val="0016339E"/>
    <w:rsid w:val="001633B3"/>
    <w:rsid w:val="001633D7"/>
    <w:rsid w:val="00163419"/>
    <w:rsid w:val="00163493"/>
    <w:rsid w:val="001634C0"/>
    <w:rsid w:val="0016353B"/>
    <w:rsid w:val="00163542"/>
    <w:rsid w:val="0016354E"/>
    <w:rsid w:val="00163589"/>
    <w:rsid w:val="0016361D"/>
    <w:rsid w:val="001636BC"/>
    <w:rsid w:val="001636D8"/>
    <w:rsid w:val="001636E3"/>
    <w:rsid w:val="00163711"/>
    <w:rsid w:val="001637A5"/>
    <w:rsid w:val="001637CE"/>
    <w:rsid w:val="00163830"/>
    <w:rsid w:val="0016385D"/>
    <w:rsid w:val="0016388C"/>
    <w:rsid w:val="0016394A"/>
    <w:rsid w:val="00163963"/>
    <w:rsid w:val="001639F3"/>
    <w:rsid w:val="00163A5A"/>
    <w:rsid w:val="00163AD3"/>
    <w:rsid w:val="00163AE3"/>
    <w:rsid w:val="00163AFD"/>
    <w:rsid w:val="00163BED"/>
    <w:rsid w:val="00163BF0"/>
    <w:rsid w:val="00163BF7"/>
    <w:rsid w:val="00163BFE"/>
    <w:rsid w:val="00163C1B"/>
    <w:rsid w:val="00163C27"/>
    <w:rsid w:val="00163C3E"/>
    <w:rsid w:val="00163C90"/>
    <w:rsid w:val="00163CF6"/>
    <w:rsid w:val="00163CFD"/>
    <w:rsid w:val="00163D1F"/>
    <w:rsid w:val="00163D27"/>
    <w:rsid w:val="00163D31"/>
    <w:rsid w:val="00163DC2"/>
    <w:rsid w:val="00163DC3"/>
    <w:rsid w:val="00163E33"/>
    <w:rsid w:val="00163E3E"/>
    <w:rsid w:val="00163E44"/>
    <w:rsid w:val="00163E53"/>
    <w:rsid w:val="00163E83"/>
    <w:rsid w:val="00163EB6"/>
    <w:rsid w:val="00163F4A"/>
    <w:rsid w:val="00163F59"/>
    <w:rsid w:val="00163FA8"/>
    <w:rsid w:val="00164020"/>
    <w:rsid w:val="00164058"/>
    <w:rsid w:val="0016407F"/>
    <w:rsid w:val="001640CB"/>
    <w:rsid w:val="0016415F"/>
    <w:rsid w:val="00164163"/>
    <w:rsid w:val="00164176"/>
    <w:rsid w:val="00164201"/>
    <w:rsid w:val="001642DA"/>
    <w:rsid w:val="001642F6"/>
    <w:rsid w:val="00164391"/>
    <w:rsid w:val="0016440B"/>
    <w:rsid w:val="0016444E"/>
    <w:rsid w:val="0016446F"/>
    <w:rsid w:val="001644E6"/>
    <w:rsid w:val="001644EA"/>
    <w:rsid w:val="00164583"/>
    <w:rsid w:val="001645A7"/>
    <w:rsid w:val="001645BB"/>
    <w:rsid w:val="001645EC"/>
    <w:rsid w:val="00164636"/>
    <w:rsid w:val="00164698"/>
    <w:rsid w:val="001646A3"/>
    <w:rsid w:val="00164712"/>
    <w:rsid w:val="00164764"/>
    <w:rsid w:val="0016476A"/>
    <w:rsid w:val="00164772"/>
    <w:rsid w:val="001647F8"/>
    <w:rsid w:val="00164803"/>
    <w:rsid w:val="0016485D"/>
    <w:rsid w:val="00164895"/>
    <w:rsid w:val="001648DD"/>
    <w:rsid w:val="001648E8"/>
    <w:rsid w:val="0016491F"/>
    <w:rsid w:val="00164942"/>
    <w:rsid w:val="0016498D"/>
    <w:rsid w:val="001649C1"/>
    <w:rsid w:val="001649CA"/>
    <w:rsid w:val="00164A0E"/>
    <w:rsid w:val="00164A1B"/>
    <w:rsid w:val="00164A59"/>
    <w:rsid w:val="00164ADB"/>
    <w:rsid w:val="00164ADF"/>
    <w:rsid w:val="00164B27"/>
    <w:rsid w:val="00164B6A"/>
    <w:rsid w:val="00164BD3"/>
    <w:rsid w:val="00164C3A"/>
    <w:rsid w:val="00164CD0"/>
    <w:rsid w:val="00164CF7"/>
    <w:rsid w:val="00164CFD"/>
    <w:rsid w:val="00164D05"/>
    <w:rsid w:val="00164D15"/>
    <w:rsid w:val="00164D2F"/>
    <w:rsid w:val="00164D43"/>
    <w:rsid w:val="00164DB7"/>
    <w:rsid w:val="00164E47"/>
    <w:rsid w:val="00164E63"/>
    <w:rsid w:val="00164EB2"/>
    <w:rsid w:val="00164F68"/>
    <w:rsid w:val="00164F73"/>
    <w:rsid w:val="00164FD1"/>
    <w:rsid w:val="00164FD4"/>
    <w:rsid w:val="00165037"/>
    <w:rsid w:val="00165044"/>
    <w:rsid w:val="00165059"/>
    <w:rsid w:val="0016509A"/>
    <w:rsid w:val="001650C5"/>
    <w:rsid w:val="00165121"/>
    <w:rsid w:val="00165176"/>
    <w:rsid w:val="001651A2"/>
    <w:rsid w:val="001651AA"/>
    <w:rsid w:val="001651C3"/>
    <w:rsid w:val="001651D3"/>
    <w:rsid w:val="001651F3"/>
    <w:rsid w:val="00165208"/>
    <w:rsid w:val="00165215"/>
    <w:rsid w:val="0016521E"/>
    <w:rsid w:val="0016521F"/>
    <w:rsid w:val="0016524D"/>
    <w:rsid w:val="001652A9"/>
    <w:rsid w:val="001652AB"/>
    <w:rsid w:val="001652C2"/>
    <w:rsid w:val="001652DA"/>
    <w:rsid w:val="001652EE"/>
    <w:rsid w:val="00165308"/>
    <w:rsid w:val="00165325"/>
    <w:rsid w:val="0016532E"/>
    <w:rsid w:val="0016533D"/>
    <w:rsid w:val="0016549A"/>
    <w:rsid w:val="0016549D"/>
    <w:rsid w:val="001654AF"/>
    <w:rsid w:val="001654E8"/>
    <w:rsid w:val="001654EA"/>
    <w:rsid w:val="001654ED"/>
    <w:rsid w:val="00165523"/>
    <w:rsid w:val="00165569"/>
    <w:rsid w:val="001655B1"/>
    <w:rsid w:val="00165604"/>
    <w:rsid w:val="0016562A"/>
    <w:rsid w:val="00165654"/>
    <w:rsid w:val="0016565E"/>
    <w:rsid w:val="00165660"/>
    <w:rsid w:val="0016566D"/>
    <w:rsid w:val="0016569E"/>
    <w:rsid w:val="001656D9"/>
    <w:rsid w:val="001657A7"/>
    <w:rsid w:val="001657EB"/>
    <w:rsid w:val="001657EF"/>
    <w:rsid w:val="00165856"/>
    <w:rsid w:val="001658B3"/>
    <w:rsid w:val="001658BB"/>
    <w:rsid w:val="001658C6"/>
    <w:rsid w:val="001658E7"/>
    <w:rsid w:val="00165960"/>
    <w:rsid w:val="0016597D"/>
    <w:rsid w:val="001659AD"/>
    <w:rsid w:val="00165A13"/>
    <w:rsid w:val="00165A4A"/>
    <w:rsid w:val="00165A59"/>
    <w:rsid w:val="00165A72"/>
    <w:rsid w:val="00165A74"/>
    <w:rsid w:val="00165AE3"/>
    <w:rsid w:val="00165B81"/>
    <w:rsid w:val="00165BD6"/>
    <w:rsid w:val="00165BE7"/>
    <w:rsid w:val="00165BF2"/>
    <w:rsid w:val="00165C5F"/>
    <w:rsid w:val="00165C9C"/>
    <w:rsid w:val="00165CBF"/>
    <w:rsid w:val="00165CF0"/>
    <w:rsid w:val="00165CF9"/>
    <w:rsid w:val="00165CFC"/>
    <w:rsid w:val="00165D4B"/>
    <w:rsid w:val="00165D80"/>
    <w:rsid w:val="00165D83"/>
    <w:rsid w:val="00165DA1"/>
    <w:rsid w:val="00165DB1"/>
    <w:rsid w:val="00165DBB"/>
    <w:rsid w:val="00165DF4"/>
    <w:rsid w:val="00165E53"/>
    <w:rsid w:val="00165E66"/>
    <w:rsid w:val="00165E67"/>
    <w:rsid w:val="00165E71"/>
    <w:rsid w:val="00165E91"/>
    <w:rsid w:val="00165E99"/>
    <w:rsid w:val="00165EA1"/>
    <w:rsid w:val="00165EA5"/>
    <w:rsid w:val="00165F13"/>
    <w:rsid w:val="00165F73"/>
    <w:rsid w:val="00165FBC"/>
    <w:rsid w:val="00165FC6"/>
    <w:rsid w:val="00165FDF"/>
    <w:rsid w:val="00165FF5"/>
    <w:rsid w:val="00165FF7"/>
    <w:rsid w:val="00166020"/>
    <w:rsid w:val="00166067"/>
    <w:rsid w:val="00166076"/>
    <w:rsid w:val="0016608A"/>
    <w:rsid w:val="001660CC"/>
    <w:rsid w:val="001660E5"/>
    <w:rsid w:val="00166106"/>
    <w:rsid w:val="0016625D"/>
    <w:rsid w:val="001662D6"/>
    <w:rsid w:val="0016631D"/>
    <w:rsid w:val="0016632C"/>
    <w:rsid w:val="00166376"/>
    <w:rsid w:val="00166387"/>
    <w:rsid w:val="00166388"/>
    <w:rsid w:val="001663DB"/>
    <w:rsid w:val="001663E8"/>
    <w:rsid w:val="001663FA"/>
    <w:rsid w:val="00166508"/>
    <w:rsid w:val="001665C3"/>
    <w:rsid w:val="001665FD"/>
    <w:rsid w:val="0016660D"/>
    <w:rsid w:val="0016664E"/>
    <w:rsid w:val="001666DE"/>
    <w:rsid w:val="00166711"/>
    <w:rsid w:val="001667A0"/>
    <w:rsid w:val="001667DB"/>
    <w:rsid w:val="001667FE"/>
    <w:rsid w:val="00166814"/>
    <w:rsid w:val="00166817"/>
    <w:rsid w:val="00166823"/>
    <w:rsid w:val="0016687F"/>
    <w:rsid w:val="00166888"/>
    <w:rsid w:val="0016688A"/>
    <w:rsid w:val="001668B6"/>
    <w:rsid w:val="001668FD"/>
    <w:rsid w:val="00166900"/>
    <w:rsid w:val="0016691D"/>
    <w:rsid w:val="00166967"/>
    <w:rsid w:val="001669B3"/>
    <w:rsid w:val="001669DC"/>
    <w:rsid w:val="00166A48"/>
    <w:rsid w:val="00166A7C"/>
    <w:rsid w:val="00166A82"/>
    <w:rsid w:val="00166A92"/>
    <w:rsid w:val="00166AA0"/>
    <w:rsid w:val="00166AD8"/>
    <w:rsid w:val="00166BAA"/>
    <w:rsid w:val="00166BAE"/>
    <w:rsid w:val="00166BB6"/>
    <w:rsid w:val="00166C04"/>
    <w:rsid w:val="00166C1E"/>
    <w:rsid w:val="00166CA3"/>
    <w:rsid w:val="00166CDB"/>
    <w:rsid w:val="00166D12"/>
    <w:rsid w:val="00166D77"/>
    <w:rsid w:val="00166E25"/>
    <w:rsid w:val="00166E37"/>
    <w:rsid w:val="00166E55"/>
    <w:rsid w:val="00166EC2"/>
    <w:rsid w:val="00166ECE"/>
    <w:rsid w:val="00166F56"/>
    <w:rsid w:val="00166F64"/>
    <w:rsid w:val="00166FAD"/>
    <w:rsid w:val="00166FC8"/>
    <w:rsid w:val="00167056"/>
    <w:rsid w:val="0016707F"/>
    <w:rsid w:val="00167099"/>
    <w:rsid w:val="001670BF"/>
    <w:rsid w:val="001670D7"/>
    <w:rsid w:val="00167108"/>
    <w:rsid w:val="00167123"/>
    <w:rsid w:val="00167138"/>
    <w:rsid w:val="00167154"/>
    <w:rsid w:val="00167187"/>
    <w:rsid w:val="001671F3"/>
    <w:rsid w:val="001671FF"/>
    <w:rsid w:val="0016720D"/>
    <w:rsid w:val="00167295"/>
    <w:rsid w:val="00167296"/>
    <w:rsid w:val="001672A3"/>
    <w:rsid w:val="001672B4"/>
    <w:rsid w:val="001672B8"/>
    <w:rsid w:val="001672DD"/>
    <w:rsid w:val="001672F7"/>
    <w:rsid w:val="0016733F"/>
    <w:rsid w:val="0016737D"/>
    <w:rsid w:val="00167396"/>
    <w:rsid w:val="001673DE"/>
    <w:rsid w:val="00167403"/>
    <w:rsid w:val="0016741E"/>
    <w:rsid w:val="0016742F"/>
    <w:rsid w:val="00167451"/>
    <w:rsid w:val="00167464"/>
    <w:rsid w:val="0016746C"/>
    <w:rsid w:val="0016747D"/>
    <w:rsid w:val="001674E5"/>
    <w:rsid w:val="00167543"/>
    <w:rsid w:val="00167570"/>
    <w:rsid w:val="00167586"/>
    <w:rsid w:val="001675C7"/>
    <w:rsid w:val="001675EF"/>
    <w:rsid w:val="00167617"/>
    <w:rsid w:val="0016762C"/>
    <w:rsid w:val="0016766B"/>
    <w:rsid w:val="001676A2"/>
    <w:rsid w:val="001676BF"/>
    <w:rsid w:val="001676D8"/>
    <w:rsid w:val="00167700"/>
    <w:rsid w:val="00167709"/>
    <w:rsid w:val="00167732"/>
    <w:rsid w:val="00167758"/>
    <w:rsid w:val="00167762"/>
    <w:rsid w:val="00167769"/>
    <w:rsid w:val="00167773"/>
    <w:rsid w:val="0016779E"/>
    <w:rsid w:val="001677B0"/>
    <w:rsid w:val="00167893"/>
    <w:rsid w:val="00167900"/>
    <w:rsid w:val="0016798A"/>
    <w:rsid w:val="001679A1"/>
    <w:rsid w:val="001679DE"/>
    <w:rsid w:val="00167A2D"/>
    <w:rsid w:val="00167ADC"/>
    <w:rsid w:val="00167BC1"/>
    <w:rsid w:val="00167BD7"/>
    <w:rsid w:val="00167BDB"/>
    <w:rsid w:val="00167BE3"/>
    <w:rsid w:val="00167BE9"/>
    <w:rsid w:val="00167C21"/>
    <w:rsid w:val="00167C22"/>
    <w:rsid w:val="00167C9E"/>
    <w:rsid w:val="00167CB0"/>
    <w:rsid w:val="00167CCB"/>
    <w:rsid w:val="00167CE7"/>
    <w:rsid w:val="00167D62"/>
    <w:rsid w:val="00167D76"/>
    <w:rsid w:val="00167DC3"/>
    <w:rsid w:val="00167E32"/>
    <w:rsid w:val="00167E63"/>
    <w:rsid w:val="00167E86"/>
    <w:rsid w:val="00167FDD"/>
    <w:rsid w:val="0016B43B"/>
    <w:rsid w:val="00170022"/>
    <w:rsid w:val="0017009B"/>
    <w:rsid w:val="001700A7"/>
    <w:rsid w:val="001700AD"/>
    <w:rsid w:val="001700B6"/>
    <w:rsid w:val="001700F6"/>
    <w:rsid w:val="001700F9"/>
    <w:rsid w:val="0017012B"/>
    <w:rsid w:val="0017013F"/>
    <w:rsid w:val="00170148"/>
    <w:rsid w:val="00170149"/>
    <w:rsid w:val="0017018D"/>
    <w:rsid w:val="001701C7"/>
    <w:rsid w:val="00170241"/>
    <w:rsid w:val="0017025B"/>
    <w:rsid w:val="00170275"/>
    <w:rsid w:val="001702BD"/>
    <w:rsid w:val="001702D8"/>
    <w:rsid w:val="00170319"/>
    <w:rsid w:val="0017034D"/>
    <w:rsid w:val="0017038C"/>
    <w:rsid w:val="0017039E"/>
    <w:rsid w:val="0017039F"/>
    <w:rsid w:val="001703DE"/>
    <w:rsid w:val="00170491"/>
    <w:rsid w:val="001704A8"/>
    <w:rsid w:val="001704C4"/>
    <w:rsid w:val="001704CA"/>
    <w:rsid w:val="001704D4"/>
    <w:rsid w:val="001705C5"/>
    <w:rsid w:val="001705CC"/>
    <w:rsid w:val="0017066F"/>
    <w:rsid w:val="001706A4"/>
    <w:rsid w:val="00170717"/>
    <w:rsid w:val="0017079D"/>
    <w:rsid w:val="00170821"/>
    <w:rsid w:val="0017084B"/>
    <w:rsid w:val="0017085E"/>
    <w:rsid w:val="00170875"/>
    <w:rsid w:val="00170889"/>
    <w:rsid w:val="00170890"/>
    <w:rsid w:val="001708CA"/>
    <w:rsid w:val="00170924"/>
    <w:rsid w:val="001709A1"/>
    <w:rsid w:val="00170A13"/>
    <w:rsid w:val="00170A60"/>
    <w:rsid w:val="00170A88"/>
    <w:rsid w:val="00170A8D"/>
    <w:rsid w:val="00170A9A"/>
    <w:rsid w:val="00170AC7"/>
    <w:rsid w:val="00170B02"/>
    <w:rsid w:val="00170B2A"/>
    <w:rsid w:val="00170B3D"/>
    <w:rsid w:val="00170BB6"/>
    <w:rsid w:val="00170BE1"/>
    <w:rsid w:val="00170C51"/>
    <w:rsid w:val="00170C69"/>
    <w:rsid w:val="00170C6D"/>
    <w:rsid w:val="00170C84"/>
    <w:rsid w:val="00170C85"/>
    <w:rsid w:val="00170CAE"/>
    <w:rsid w:val="00170CB0"/>
    <w:rsid w:val="00170CED"/>
    <w:rsid w:val="00170D0C"/>
    <w:rsid w:val="00170D73"/>
    <w:rsid w:val="00170DB9"/>
    <w:rsid w:val="00170DE5"/>
    <w:rsid w:val="00170EAD"/>
    <w:rsid w:val="00170F03"/>
    <w:rsid w:val="00170F41"/>
    <w:rsid w:val="00170F8D"/>
    <w:rsid w:val="00170FAB"/>
    <w:rsid w:val="00170FB7"/>
    <w:rsid w:val="00171015"/>
    <w:rsid w:val="00171089"/>
    <w:rsid w:val="001710DD"/>
    <w:rsid w:val="0017114E"/>
    <w:rsid w:val="0017117B"/>
    <w:rsid w:val="0017118B"/>
    <w:rsid w:val="001711A1"/>
    <w:rsid w:val="001711D2"/>
    <w:rsid w:val="0017121D"/>
    <w:rsid w:val="0017122C"/>
    <w:rsid w:val="001712BA"/>
    <w:rsid w:val="001712F5"/>
    <w:rsid w:val="001712F8"/>
    <w:rsid w:val="0017132B"/>
    <w:rsid w:val="00171346"/>
    <w:rsid w:val="00171386"/>
    <w:rsid w:val="00171399"/>
    <w:rsid w:val="001713A6"/>
    <w:rsid w:val="001713B2"/>
    <w:rsid w:val="001713C2"/>
    <w:rsid w:val="001713C6"/>
    <w:rsid w:val="001713D9"/>
    <w:rsid w:val="001713E2"/>
    <w:rsid w:val="00171437"/>
    <w:rsid w:val="00171439"/>
    <w:rsid w:val="001714A9"/>
    <w:rsid w:val="0017153C"/>
    <w:rsid w:val="00171583"/>
    <w:rsid w:val="00171584"/>
    <w:rsid w:val="0017159E"/>
    <w:rsid w:val="0017164B"/>
    <w:rsid w:val="001716A6"/>
    <w:rsid w:val="001716C4"/>
    <w:rsid w:val="001716CE"/>
    <w:rsid w:val="001716D3"/>
    <w:rsid w:val="001716E5"/>
    <w:rsid w:val="00171740"/>
    <w:rsid w:val="00171770"/>
    <w:rsid w:val="001717A3"/>
    <w:rsid w:val="001717DD"/>
    <w:rsid w:val="00171921"/>
    <w:rsid w:val="00171956"/>
    <w:rsid w:val="00171999"/>
    <w:rsid w:val="00171A00"/>
    <w:rsid w:val="00171AAF"/>
    <w:rsid w:val="00171AE0"/>
    <w:rsid w:val="00171AE3"/>
    <w:rsid w:val="00171B10"/>
    <w:rsid w:val="00171B35"/>
    <w:rsid w:val="00171BAE"/>
    <w:rsid w:val="00171C58"/>
    <w:rsid w:val="00171C89"/>
    <w:rsid w:val="00171D11"/>
    <w:rsid w:val="00171D78"/>
    <w:rsid w:val="00171D91"/>
    <w:rsid w:val="00171DEB"/>
    <w:rsid w:val="00171E0F"/>
    <w:rsid w:val="00171E23"/>
    <w:rsid w:val="00171E3C"/>
    <w:rsid w:val="00171E54"/>
    <w:rsid w:val="00171E56"/>
    <w:rsid w:val="00171EA9"/>
    <w:rsid w:val="00171F2B"/>
    <w:rsid w:val="00172000"/>
    <w:rsid w:val="00172008"/>
    <w:rsid w:val="0017201C"/>
    <w:rsid w:val="00172020"/>
    <w:rsid w:val="0017202E"/>
    <w:rsid w:val="00172035"/>
    <w:rsid w:val="00172062"/>
    <w:rsid w:val="00172080"/>
    <w:rsid w:val="001720AF"/>
    <w:rsid w:val="001720D9"/>
    <w:rsid w:val="001721BF"/>
    <w:rsid w:val="0017224C"/>
    <w:rsid w:val="00172282"/>
    <w:rsid w:val="001722AA"/>
    <w:rsid w:val="001722E6"/>
    <w:rsid w:val="001723E7"/>
    <w:rsid w:val="00172425"/>
    <w:rsid w:val="0017245C"/>
    <w:rsid w:val="00172485"/>
    <w:rsid w:val="0017248B"/>
    <w:rsid w:val="001724AA"/>
    <w:rsid w:val="001724CE"/>
    <w:rsid w:val="0017253B"/>
    <w:rsid w:val="00172546"/>
    <w:rsid w:val="0017254F"/>
    <w:rsid w:val="001725EC"/>
    <w:rsid w:val="001727B9"/>
    <w:rsid w:val="001727EA"/>
    <w:rsid w:val="001727FF"/>
    <w:rsid w:val="00172812"/>
    <w:rsid w:val="00172883"/>
    <w:rsid w:val="001728AB"/>
    <w:rsid w:val="001728AD"/>
    <w:rsid w:val="001728CB"/>
    <w:rsid w:val="001728E1"/>
    <w:rsid w:val="001728F6"/>
    <w:rsid w:val="0017297F"/>
    <w:rsid w:val="00172A05"/>
    <w:rsid w:val="00172A18"/>
    <w:rsid w:val="00172A96"/>
    <w:rsid w:val="00172AC1"/>
    <w:rsid w:val="00172B06"/>
    <w:rsid w:val="00172B46"/>
    <w:rsid w:val="00172BC8"/>
    <w:rsid w:val="00172BDC"/>
    <w:rsid w:val="00172C02"/>
    <w:rsid w:val="00172C31"/>
    <w:rsid w:val="00172C3D"/>
    <w:rsid w:val="00172C7E"/>
    <w:rsid w:val="00172C8D"/>
    <w:rsid w:val="00172D03"/>
    <w:rsid w:val="00172D11"/>
    <w:rsid w:val="00172D40"/>
    <w:rsid w:val="00172D49"/>
    <w:rsid w:val="00172D5D"/>
    <w:rsid w:val="00172DD5"/>
    <w:rsid w:val="00172E90"/>
    <w:rsid w:val="00172E99"/>
    <w:rsid w:val="00172FC5"/>
    <w:rsid w:val="00172FE8"/>
    <w:rsid w:val="00172FF5"/>
    <w:rsid w:val="00173002"/>
    <w:rsid w:val="00173038"/>
    <w:rsid w:val="0017313C"/>
    <w:rsid w:val="0017321E"/>
    <w:rsid w:val="0017322C"/>
    <w:rsid w:val="0017325C"/>
    <w:rsid w:val="00173265"/>
    <w:rsid w:val="00173286"/>
    <w:rsid w:val="001732A3"/>
    <w:rsid w:val="001732BD"/>
    <w:rsid w:val="001732F2"/>
    <w:rsid w:val="0017334B"/>
    <w:rsid w:val="00173379"/>
    <w:rsid w:val="0017337F"/>
    <w:rsid w:val="00173388"/>
    <w:rsid w:val="0017338A"/>
    <w:rsid w:val="00173396"/>
    <w:rsid w:val="001733DA"/>
    <w:rsid w:val="0017343F"/>
    <w:rsid w:val="00173502"/>
    <w:rsid w:val="00173509"/>
    <w:rsid w:val="0017351A"/>
    <w:rsid w:val="0017353D"/>
    <w:rsid w:val="00173580"/>
    <w:rsid w:val="00173599"/>
    <w:rsid w:val="001735D5"/>
    <w:rsid w:val="00173613"/>
    <w:rsid w:val="0017364E"/>
    <w:rsid w:val="0017366D"/>
    <w:rsid w:val="001736C6"/>
    <w:rsid w:val="001736D6"/>
    <w:rsid w:val="00173707"/>
    <w:rsid w:val="00173761"/>
    <w:rsid w:val="00173841"/>
    <w:rsid w:val="00173876"/>
    <w:rsid w:val="001738A3"/>
    <w:rsid w:val="001738B8"/>
    <w:rsid w:val="001738C4"/>
    <w:rsid w:val="0017395F"/>
    <w:rsid w:val="00173983"/>
    <w:rsid w:val="00173992"/>
    <w:rsid w:val="001739A6"/>
    <w:rsid w:val="001739EA"/>
    <w:rsid w:val="001739F1"/>
    <w:rsid w:val="00173A30"/>
    <w:rsid w:val="00173A6F"/>
    <w:rsid w:val="00173AD5"/>
    <w:rsid w:val="00173AF1"/>
    <w:rsid w:val="00173AF8"/>
    <w:rsid w:val="00173B07"/>
    <w:rsid w:val="00173B09"/>
    <w:rsid w:val="00173B47"/>
    <w:rsid w:val="00173B54"/>
    <w:rsid w:val="00173BB5"/>
    <w:rsid w:val="00173CC6"/>
    <w:rsid w:val="00173CFA"/>
    <w:rsid w:val="00173D12"/>
    <w:rsid w:val="00173D1D"/>
    <w:rsid w:val="00173D22"/>
    <w:rsid w:val="00173D74"/>
    <w:rsid w:val="00173E02"/>
    <w:rsid w:val="00173E48"/>
    <w:rsid w:val="00173E75"/>
    <w:rsid w:val="00173F23"/>
    <w:rsid w:val="00173F51"/>
    <w:rsid w:val="00173F6C"/>
    <w:rsid w:val="00173FAD"/>
    <w:rsid w:val="00173FDE"/>
    <w:rsid w:val="00173FFC"/>
    <w:rsid w:val="00174037"/>
    <w:rsid w:val="00174039"/>
    <w:rsid w:val="00174085"/>
    <w:rsid w:val="0017409D"/>
    <w:rsid w:val="001740D8"/>
    <w:rsid w:val="00174127"/>
    <w:rsid w:val="0017415C"/>
    <w:rsid w:val="001741EF"/>
    <w:rsid w:val="001742BF"/>
    <w:rsid w:val="001742CE"/>
    <w:rsid w:val="001742D7"/>
    <w:rsid w:val="001742EB"/>
    <w:rsid w:val="00174417"/>
    <w:rsid w:val="00174420"/>
    <w:rsid w:val="00174468"/>
    <w:rsid w:val="0017449F"/>
    <w:rsid w:val="00174537"/>
    <w:rsid w:val="001745EF"/>
    <w:rsid w:val="001745F5"/>
    <w:rsid w:val="001746F1"/>
    <w:rsid w:val="0017474A"/>
    <w:rsid w:val="0017487B"/>
    <w:rsid w:val="0017499A"/>
    <w:rsid w:val="001749B8"/>
    <w:rsid w:val="001749E9"/>
    <w:rsid w:val="00174A0D"/>
    <w:rsid w:val="00174A33"/>
    <w:rsid w:val="00174A54"/>
    <w:rsid w:val="00174AAC"/>
    <w:rsid w:val="00174AD6"/>
    <w:rsid w:val="00174B28"/>
    <w:rsid w:val="00174B29"/>
    <w:rsid w:val="00174B2D"/>
    <w:rsid w:val="00174B31"/>
    <w:rsid w:val="00174B68"/>
    <w:rsid w:val="00174B77"/>
    <w:rsid w:val="00174BCC"/>
    <w:rsid w:val="00174C05"/>
    <w:rsid w:val="00174C0C"/>
    <w:rsid w:val="00174C1B"/>
    <w:rsid w:val="00174C6C"/>
    <w:rsid w:val="00174C83"/>
    <w:rsid w:val="00174C95"/>
    <w:rsid w:val="00174CCF"/>
    <w:rsid w:val="00174CF6"/>
    <w:rsid w:val="00174D5C"/>
    <w:rsid w:val="00174D67"/>
    <w:rsid w:val="00174DD5"/>
    <w:rsid w:val="00174DFC"/>
    <w:rsid w:val="00174E2C"/>
    <w:rsid w:val="00174E3F"/>
    <w:rsid w:val="00174E60"/>
    <w:rsid w:val="00174E7D"/>
    <w:rsid w:val="00174EAD"/>
    <w:rsid w:val="00174EDC"/>
    <w:rsid w:val="00174F2B"/>
    <w:rsid w:val="00174F70"/>
    <w:rsid w:val="00174F8D"/>
    <w:rsid w:val="00174FA2"/>
    <w:rsid w:val="00174FD5"/>
    <w:rsid w:val="00175006"/>
    <w:rsid w:val="00175010"/>
    <w:rsid w:val="0017503B"/>
    <w:rsid w:val="0017506E"/>
    <w:rsid w:val="00175081"/>
    <w:rsid w:val="001750AC"/>
    <w:rsid w:val="0017516A"/>
    <w:rsid w:val="0017518F"/>
    <w:rsid w:val="00175198"/>
    <w:rsid w:val="001751CB"/>
    <w:rsid w:val="00175208"/>
    <w:rsid w:val="00175209"/>
    <w:rsid w:val="00175221"/>
    <w:rsid w:val="00175243"/>
    <w:rsid w:val="001752BC"/>
    <w:rsid w:val="001752E5"/>
    <w:rsid w:val="001752F9"/>
    <w:rsid w:val="00175302"/>
    <w:rsid w:val="00175340"/>
    <w:rsid w:val="00175341"/>
    <w:rsid w:val="00175395"/>
    <w:rsid w:val="00175430"/>
    <w:rsid w:val="0017543A"/>
    <w:rsid w:val="00175476"/>
    <w:rsid w:val="001754D5"/>
    <w:rsid w:val="001754EF"/>
    <w:rsid w:val="0017551F"/>
    <w:rsid w:val="00175527"/>
    <w:rsid w:val="00175562"/>
    <w:rsid w:val="00175571"/>
    <w:rsid w:val="00175592"/>
    <w:rsid w:val="001755DC"/>
    <w:rsid w:val="001755ED"/>
    <w:rsid w:val="0017562C"/>
    <w:rsid w:val="00175632"/>
    <w:rsid w:val="00175637"/>
    <w:rsid w:val="0017565D"/>
    <w:rsid w:val="0017565F"/>
    <w:rsid w:val="00175662"/>
    <w:rsid w:val="00175692"/>
    <w:rsid w:val="00175719"/>
    <w:rsid w:val="0017572B"/>
    <w:rsid w:val="001757B0"/>
    <w:rsid w:val="001757E5"/>
    <w:rsid w:val="001757FB"/>
    <w:rsid w:val="00175808"/>
    <w:rsid w:val="00175884"/>
    <w:rsid w:val="001758C6"/>
    <w:rsid w:val="001758EF"/>
    <w:rsid w:val="0017592F"/>
    <w:rsid w:val="00175962"/>
    <w:rsid w:val="001759F3"/>
    <w:rsid w:val="00175A2B"/>
    <w:rsid w:val="00175A81"/>
    <w:rsid w:val="00175A93"/>
    <w:rsid w:val="00175AB7"/>
    <w:rsid w:val="00175B1D"/>
    <w:rsid w:val="00175B26"/>
    <w:rsid w:val="00175B50"/>
    <w:rsid w:val="00175B7C"/>
    <w:rsid w:val="00175B84"/>
    <w:rsid w:val="00175BA6"/>
    <w:rsid w:val="00175BAC"/>
    <w:rsid w:val="00175BDF"/>
    <w:rsid w:val="00175D16"/>
    <w:rsid w:val="00175D1D"/>
    <w:rsid w:val="00175D25"/>
    <w:rsid w:val="00175D8B"/>
    <w:rsid w:val="00175D92"/>
    <w:rsid w:val="00175DD2"/>
    <w:rsid w:val="00175EE6"/>
    <w:rsid w:val="00175F07"/>
    <w:rsid w:val="00175F13"/>
    <w:rsid w:val="00175F8A"/>
    <w:rsid w:val="00175F90"/>
    <w:rsid w:val="00175F9D"/>
    <w:rsid w:val="00175FA0"/>
    <w:rsid w:val="0017609C"/>
    <w:rsid w:val="00176175"/>
    <w:rsid w:val="0017618F"/>
    <w:rsid w:val="001761AE"/>
    <w:rsid w:val="0017621C"/>
    <w:rsid w:val="00176262"/>
    <w:rsid w:val="00176264"/>
    <w:rsid w:val="00176265"/>
    <w:rsid w:val="0017626D"/>
    <w:rsid w:val="0017627A"/>
    <w:rsid w:val="0017629A"/>
    <w:rsid w:val="00176329"/>
    <w:rsid w:val="00176376"/>
    <w:rsid w:val="00176379"/>
    <w:rsid w:val="0017638B"/>
    <w:rsid w:val="001763F4"/>
    <w:rsid w:val="00176407"/>
    <w:rsid w:val="00176432"/>
    <w:rsid w:val="00176461"/>
    <w:rsid w:val="00176472"/>
    <w:rsid w:val="0017647E"/>
    <w:rsid w:val="0017649E"/>
    <w:rsid w:val="0017653C"/>
    <w:rsid w:val="00176542"/>
    <w:rsid w:val="0017656A"/>
    <w:rsid w:val="00176571"/>
    <w:rsid w:val="00176574"/>
    <w:rsid w:val="00176714"/>
    <w:rsid w:val="00176779"/>
    <w:rsid w:val="001767A5"/>
    <w:rsid w:val="001767B5"/>
    <w:rsid w:val="00176803"/>
    <w:rsid w:val="00176850"/>
    <w:rsid w:val="00176876"/>
    <w:rsid w:val="001768AC"/>
    <w:rsid w:val="001768FB"/>
    <w:rsid w:val="00176901"/>
    <w:rsid w:val="00176938"/>
    <w:rsid w:val="001769AD"/>
    <w:rsid w:val="00176AC4"/>
    <w:rsid w:val="00176AC8"/>
    <w:rsid w:val="00176AFB"/>
    <w:rsid w:val="00176B0F"/>
    <w:rsid w:val="00176B39"/>
    <w:rsid w:val="00176B5E"/>
    <w:rsid w:val="00176B6F"/>
    <w:rsid w:val="00176B9B"/>
    <w:rsid w:val="00176B9E"/>
    <w:rsid w:val="00176BDB"/>
    <w:rsid w:val="00176C51"/>
    <w:rsid w:val="00176C65"/>
    <w:rsid w:val="00176C88"/>
    <w:rsid w:val="00176CD0"/>
    <w:rsid w:val="00176DAD"/>
    <w:rsid w:val="00176E29"/>
    <w:rsid w:val="00176E6A"/>
    <w:rsid w:val="00176EC0"/>
    <w:rsid w:val="00176ECF"/>
    <w:rsid w:val="00176F0D"/>
    <w:rsid w:val="00176F12"/>
    <w:rsid w:val="00176F4B"/>
    <w:rsid w:val="00176F78"/>
    <w:rsid w:val="00176F79"/>
    <w:rsid w:val="00176FB3"/>
    <w:rsid w:val="00176FCD"/>
    <w:rsid w:val="00176FF5"/>
    <w:rsid w:val="00177044"/>
    <w:rsid w:val="00177050"/>
    <w:rsid w:val="001770EF"/>
    <w:rsid w:val="001770FE"/>
    <w:rsid w:val="00177130"/>
    <w:rsid w:val="001771D5"/>
    <w:rsid w:val="00177203"/>
    <w:rsid w:val="00177272"/>
    <w:rsid w:val="001772AA"/>
    <w:rsid w:val="001772C6"/>
    <w:rsid w:val="001772EB"/>
    <w:rsid w:val="00177360"/>
    <w:rsid w:val="0017738A"/>
    <w:rsid w:val="001773A9"/>
    <w:rsid w:val="001773C6"/>
    <w:rsid w:val="001773D1"/>
    <w:rsid w:val="00177410"/>
    <w:rsid w:val="00177426"/>
    <w:rsid w:val="00177430"/>
    <w:rsid w:val="00177462"/>
    <w:rsid w:val="00177473"/>
    <w:rsid w:val="00177499"/>
    <w:rsid w:val="001774CB"/>
    <w:rsid w:val="001774DE"/>
    <w:rsid w:val="0017751E"/>
    <w:rsid w:val="00177535"/>
    <w:rsid w:val="00177550"/>
    <w:rsid w:val="001775AC"/>
    <w:rsid w:val="001775EF"/>
    <w:rsid w:val="001775F3"/>
    <w:rsid w:val="00177602"/>
    <w:rsid w:val="00177609"/>
    <w:rsid w:val="00177617"/>
    <w:rsid w:val="00177635"/>
    <w:rsid w:val="0017763F"/>
    <w:rsid w:val="00177649"/>
    <w:rsid w:val="00177657"/>
    <w:rsid w:val="00177686"/>
    <w:rsid w:val="001776B1"/>
    <w:rsid w:val="00177701"/>
    <w:rsid w:val="0017770B"/>
    <w:rsid w:val="00177716"/>
    <w:rsid w:val="00177745"/>
    <w:rsid w:val="00177774"/>
    <w:rsid w:val="001777E8"/>
    <w:rsid w:val="00177819"/>
    <w:rsid w:val="00177822"/>
    <w:rsid w:val="0017782A"/>
    <w:rsid w:val="00177852"/>
    <w:rsid w:val="0017786B"/>
    <w:rsid w:val="00177871"/>
    <w:rsid w:val="00177876"/>
    <w:rsid w:val="00177883"/>
    <w:rsid w:val="001778D4"/>
    <w:rsid w:val="001778FC"/>
    <w:rsid w:val="00177906"/>
    <w:rsid w:val="00177915"/>
    <w:rsid w:val="0017791D"/>
    <w:rsid w:val="0017793A"/>
    <w:rsid w:val="00177981"/>
    <w:rsid w:val="001779A9"/>
    <w:rsid w:val="001779E9"/>
    <w:rsid w:val="00177A0D"/>
    <w:rsid w:val="00177A1A"/>
    <w:rsid w:val="00177A1D"/>
    <w:rsid w:val="00177A79"/>
    <w:rsid w:val="00177AA3"/>
    <w:rsid w:val="00177AD3"/>
    <w:rsid w:val="00177AF1"/>
    <w:rsid w:val="00177B1E"/>
    <w:rsid w:val="00177B20"/>
    <w:rsid w:val="00177B4A"/>
    <w:rsid w:val="00177BFC"/>
    <w:rsid w:val="00177C0E"/>
    <w:rsid w:val="00177C2E"/>
    <w:rsid w:val="00177C66"/>
    <w:rsid w:val="00177CB1"/>
    <w:rsid w:val="00177CE7"/>
    <w:rsid w:val="00177CEA"/>
    <w:rsid w:val="00177D19"/>
    <w:rsid w:val="00177D25"/>
    <w:rsid w:val="00177D56"/>
    <w:rsid w:val="00177F20"/>
    <w:rsid w:val="00177F37"/>
    <w:rsid w:val="00177F83"/>
    <w:rsid w:val="00177FBC"/>
    <w:rsid w:val="00177FDC"/>
    <w:rsid w:val="0017B8B5"/>
    <w:rsid w:val="00180018"/>
    <w:rsid w:val="0018006A"/>
    <w:rsid w:val="001800DD"/>
    <w:rsid w:val="001800E3"/>
    <w:rsid w:val="00180135"/>
    <w:rsid w:val="0018015B"/>
    <w:rsid w:val="0018016A"/>
    <w:rsid w:val="0018017D"/>
    <w:rsid w:val="0018019A"/>
    <w:rsid w:val="0018022E"/>
    <w:rsid w:val="0018023B"/>
    <w:rsid w:val="00180241"/>
    <w:rsid w:val="00180261"/>
    <w:rsid w:val="001802CF"/>
    <w:rsid w:val="001802F7"/>
    <w:rsid w:val="0018030D"/>
    <w:rsid w:val="00180316"/>
    <w:rsid w:val="0018033D"/>
    <w:rsid w:val="00180344"/>
    <w:rsid w:val="0018034C"/>
    <w:rsid w:val="00180352"/>
    <w:rsid w:val="001803AB"/>
    <w:rsid w:val="001803FC"/>
    <w:rsid w:val="0018042B"/>
    <w:rsid w:val="00180466"/>
    <w:rsid w:val="00180538"/>
    <w:rsid w:val="0018054D"/>
    <w:rsid w:val="0018057D"/>
    <w:rsid w:val="00180594"/>
    <w:rsid w:val="00180597"/>
    <w:rsid w:val="00180601"/>
    <w:rsid w:val="0018061E"/>
    <w:rsid w:val="0018069E"/>
    <w:rsid w:val="001806A1"/>
    <w:rsid w:val="001806CA"/>
    <w:rsid w:val="001806F7"/>
    <w:rsid w:val="001807CC"/>
    <w:rsid w:val="001807D1"/>
    <w:rsid w:val="00180820"/>
    <w:rsid w:val="00180831"/>
    <w:rsid w:val="001808A6"/>
    <w:rsid w:val="001808B0"/>
    <w:rsid w:val="001808C2"/>
    <w:rsid w:val="001808F6"/>
    <w:rsid w:val="001808FD"/>
    <w:rsid w:val="00180931"/>
    <w:rsid w:val="00180961"/>
    <w:rsid w:val="00180966"/>
    <w:rsid w:val="00180970"/>
    <w:rsid w:val="00180977"/>
    <w:rsid w:val="00180984"/>
    <w:rsid w:val="001809C7"/>
    <w:rsid w:val="00180A2D"/>
    <w:rsid w:val="00180A34"/>
    <w:rsid w:val="00180A5D"/>
    <w:rsid w:val="00180AA1"/>
    <w:rsid w:val="00180AD2"/>
    <w:rsid w:val="00180ADB"/>
    <w:rsid w:val="00180AFB"/>
    <w:rsid w:val="00180B95"/>
    <w:rsid w:val="00180BC9"/>
    <w:rsid w:val="00180BDE"/>
    <w:rsid w:val="00180C4B"/>
    <w:rsid w:val="00180C59"/>
    <w:rsid w:val="00180C6E"/>
    <w:rsid w:val="00180CF9"/>
    <w:rsid w:val="00180D53"/>
    <w:rsid w:val="00180D78"/>
    <w:rsid w:val="00180D83"/>
    <w:rsid w:val="00180DBA"/>
    <w:rsid w:val="00180E17"/>
    <w:rsid w:val="00180E3C"/>
    <w:rsid w:val="00180E77"/>
    <w:rsid w:val="00180EE2"/>
    <w:rsid w:val="00180F60"/>
    <w:rsid w:val="0018100F"/>
    <w:rsid w:val="001810B5"/>
    <w:rsid w:val="001811EF"/>
    <w:rsid w:val="0018122C"/>
    <w:rsid w:val="0018125F"/>
    <w:rsid w:val="00181267"/>
    <w:rsid w:val="00181268"/>
    <w:rsid w:val="00181273"/>
    <w:rsid w:val="0018127D"/>
    <w:rsid w:val="001812EE"/>
    <w:rsid w:val="00181336"/>
    <w:rsid w:val="0018138D"/>
    <w:rsid w:val="001813BD"/>
    <w:rsid w:val="001813C1"/>
    <w:rsid w:val="001813F2"/>
    <w:rsid w:val="00181440"/>
    <w:rsid w:val="00181475"/>
    <w:rsid w:val="00181489"/>
    <w:rsid w:val="001814B5"/>
    <w:rsid w:val="001814F6"/>
    <w:rsid w:val="0018150D"/>
    <w:rsid w:val="001815C8"/>
    <w:rsid w:val="001815DB"/>
    <w:rsid w:val="0018160C"/>
    <w:rsid w:val="00181673"/>
    <w:rsid w:val="001816AF"/>
    <w:rsid w:val="001816B8"/>
    <w:rsid w:val="001816D4"/>
    <w:rsid w:val="00181719"/>
    <w:rsid w:val="00181743"/>
    <w:rsid w:val="00181784"/>
    <w:rsid w:val="001817B3"/>
    <w:rsid w:val="001817EE"/>
    <w:rsid w:val="00181816"/>
    <w:rsid w:val="00181818"/>
    <w:rsid w:val="00181841"/>
    <w:rsid w:val="00181850"/>
    <w:rsid w:val="0018185D"/>
    <w:rsid w:val="00181882"/>
    <w:rsid w:val="001818DB"/>
    <w:rsid w:val="001818E1"/>
    <w:rsid w:val="001818F5"/>
    <w:rsid w:val="001818F6"/>
    <w:rsid w:val="0018190C"/>
    <w:rsid w:val="0018191E"/>
    <w:rsid w:val="00181931"/>
    <w:rsid w:val="0018194A"/>
    <w:rsid w:val="00181959"/>
    <w:rsid w:val="0018195C"/>
    <w:rsid w:val="00181964"/>
    <w:rsid w:val="0018196C"/>
    <w:rsid w:val="00181979"/>
    <w:rsid w:val="00181984"/>
    <w:rsid w:val="001819C9"/>
    <w:rsid w:val="00181AAC"/>
    <w:rsid w:val="00181AEB"/>
    <w:rsid w:val="00181B23"/>
    <w:rsid w:val="00181B2A"/>
    <w:rsid w:val="00181B3D"/>
    <w:rsid w:val="00181C1A"/>
    <w:rsid w:val="00181C42"/>
    <w:rsid w:val="00181C76"/>
    <w:rsid w:val="00181CA7"/>
    <w:rsid w:val="00181CC2"/>
    <w:rsid w:val="00181CDB"/>
    <w:rsid w:val="00181D41"/>
    <w:rsid w:val="00181D59"/>
    <w:rsid w:val="00181DD0"/>
    <w:rsid w:val="00181DE7"/>
    <w:rsid w:val="00181DE8"/>
    <w:rsid w:val="00181E9F"/>
    <w:rsid w:val="00181EED"/>
    <w:rsid w:val="00181EFB"/>
    <w:rsid w:val="00181EFE"/>
    <w:rsid w:val="00181F54"/>
    <w:rsid w:val="00181F96"/>
    <w:rsid w:val="00181F98"/>
    <w:rsid w:val="00181FB5"/>
    <w:rsid w:val="00181FD3"/>
    <w:rsid w:val="00182002"/>
    <w:rsid w:val="00182059"/>
    <w:rsid w:val="00182073"/>
    <w:rsid w:val="00182100"/>
    <w:rsid w:val="00182115"/>
    <w:rsid w:val="0018211E"/>
    <w:rsid w:val="001821C2"/>
    <w:rsid w:val="00182204"/>
    <w:rsid w:val="0018223B"/>
    <w:rsid w:val="00182241"/>
    <w:rsid w:val="0018226D"/>
    <w:rsid w:val="00182282"/>
    <w:rsid w:val="00182289"/>
    <w:rsid w:val="001822C3"/>
    <w:rsid w:val="001822C6"/>
    <w:rsid w:val="001822D4"/>
    <w:rsid w:val="00182412"/>
    <w:rsid w:val="00182424"/>
    <w:rsid w:val="00182457"/>
    <w:rsid w:val="0018248E"/>
    <w:rsid w:val="001824D3"/>
    <w:rsid w:val="00182516"/>
    <w:rsid w:val="00182582"/>
    <w:rsid w:val="00182583"/>
    <w:rsid w:val="0018258E"/>
    <w:rsid w:val="001825DF"/>
    <w:rsid w:val="00182639"/>
    <w:rsid w:val="00182689"/>
    <w:rsid w:val="001826D1"/>
    <w:rsid w:val="001826EF"/>
    <w:rsid w:val="001827B0"/>
    <w:rsid w:val="0018284F"/>
    <w:rsid w:val="00182893"/>
    <w:rsid w:val="0018291C"/>
    <w:rsid w:val="001829AA"/>
    <w:rsid w:val="001829E1"/>
    <w:rsid w:val="00182A25"/>
    <w:rsid w:val="00182A39"/>
    <w:rsid w:val="00182A73"/>
    <w:rsid w:val="00182A92"/>
    <w:rsid w:val="00182A9E"/>
    <w:rsid w:val="00182AE7"/>
    <w:rsid w:val="00182B05"/>
    <w:rsid w:val="00182B60"/>
    <w:rsid w:val="00182B7A"/>
    <w:rsid w:val="00182BD4"/>
    <w:rsid w:val="00182BF0"/>
    <w:rsid w:val="00182C26"/>
    <w:rsid w:val="00182C6D"/>
    <w:rsid w:val="00182C7F"/>
    <w:rsid w:val="00182CBD"/>
    <w:rsid w:val="00182D11"/>
    <w:rsid w:val="00182DEF"/>
    <w:rsid w:val="00182E02"/>
    <w:rsid w:val="00182E0A"/>
    <w:rsid w:val="00182E46"/>
    <w:rsid w:val="00182E52"/>
    <w:rsid w:val="00182E68"/>
    <w:rsid w:val="00182E9B"/>
    <w:rsid w:val="00182EB5"/>
    <w:rsid w:val="00182F04"/>
    <w:rsid w:val="00182F23"/>
    <w:rsid w:val="00182F77"/>
    <w:rsid w:val="00182FA6"/>
    <w:rsid w:val="00182FCD"/>
    <w:rsid w:val="00183059"/>
    <w:rsid w:val="0018305A"/>
    <w:rsid w:val="00183073"/>
    <w:rsid w:val="00183077"/>
    <w:rsid w:val="001830C3"/>
    <w:rsid w:val="001830CB"/>
    <w:rsid w:val="001830D7"/>
    <w:rsid w:val="0018315D"/>
    <w:rsid w:val="00183186"/>
    <w:rsid w:val="001831F0"/>
    <w:rsid w:val="0018320A"/>
    <w:rsid w:val="001832C4"/>
    <w:rsid w:val="001832CE"/>
    <w:rsid w:val="001832D8"/>
    <w:rsid w:val="001832EA"/>
    <w:rsid w:val="001832FB"/>
    <w:rsid w:val="0018334E"/>
    <w:rsid w:val="00183357"/>
    <w:rsid w:val="00183376"/>
    <w:rsid w:val="001833A2"/>
    <w:rsid w:val="001833D3"/>
    <w:rsid w:val="001833DB"/>
    <w:rsid w:val="001833E5"/>
    <w:rsid w:val="001833ED"/>
    <w:rsid w:val="001833F6"/>
    <w:rsid w:val="00183427"/>
    <w:rsid w:val="0018343E"/>
    <w:rsid w:val="001834B6"/>
    <w:rsid w:val="00183542"/>
    <w:rsid w:val="001835A2"/>
    <w:rsid w:val="001835AF"/>
    <w:rsid w:val="001835E0"/>
    <w:rsid w:val="001835F3"/>
    <w:rsid w:val="00183613"/>
    <w:rsid w:val="00183616"/>
    <w:rsid w:val="00183643"/>
    <w:rsid w:val="001836BA"/>
    <w:rsid w:val="001836C4"/>
    <w:rsid w:val="001836FF"/>
    <w:rsid w:val="00183704"/>
    <w:rsid w:val="00183709"/>
    <w:rsid w:val="00183762"/>
    <w:rsid w:val="00183776"/>
    <w:rsid w:val="001837A5"/>
    <w:rsid w:val="001837D7"/>
    <w:rsid w:val="00183802"/>
    <w:rsid w:val="00183866"/>
    <w:rsid w:val="0018395A"/>
    <w:rsid w:val="00183972"/>
    <w:rsid w:val="00183987"/>
    <w:rsid w:val="001839FC"/>
    <w:rsid w:val="00183A3C"/>
    <w:rsid w:val="00183A90"/>
    <w:rsid w:val="00183AC7"/>
    <w:rsid w:val="00183AEA"/>
    <w:rsid w:val="00183B05"/>
    <w:rsid w:val="00183B48"/>
    <w:rsid w:val="00183B6C"/>
    <w:rsid w:val="00183BA1"/>
    <w:rsid w:val="00183BA7"/>
    <w:rsid w:val="00183C8E"/>
    <w:rsid w:val="00183D36"/>
    <w:rsid w:val="00183D45"/>
    <w:rsid w:val="00183D77"/>
    <w:rsid w:val="00183D9B"/>
    <w:rsid w:val="00183DE0"/>
    <w:rsid w:val="00183E15"/>
    <w:rsid w:val="00183E53"/>
    <w:rsid w:val="00183EFA"/>
    <w:rsid w:val="00183F98"/>
    <w:rsid w:val="00183FB2"/>
    <w:rsid w:val="00183FD4"/>
    <w:rsid w:val="0018401D"/>
    <w:rsid w:val="0018406B"/>
    <w:rsid w:val="00184080"/>
    <w:rsid w:val="00184094"/>
    <w:rsid w:val="001840FB"/>
    <w:rsid w:val="00184100"/>
    <w:rsid w:val="00184121"/>
    <w:rsid w:val="00184143"/>
    <w:rsid w:val="0018414F"/>
    <w:rsid w:val="00184170"/>
    <w:rsid w:val="001841A0"/>
    <w:rsid w:val="001841AC"/>
    <w:rsid w:val="001841D6"/>
    <w:rsid w:val="001841D8"/>
    <w:rsid w:val="00184263"/>
    <w:rsid w:val="00184266"/>
    <w:rsid w:val="00184273"/>
    <w:rsid w:val="0018427C"/>
    <w:rsid w:val="001842B3"/>
    <w:rsid w:val="0018436A"/>
    <w:rsid w:val="001843F2"/>
    <w:rsid w:val="00184402"/>
    <w:rsid w:val="0018441F"/>
    <w:rsid w:val="00184447"/>
    <w:rsid w:val="001844D6"/>
    <w:rsid w:val="00184552"/>
    <w:rsid w:val="001845E3"/>
    <w:rsid w:val="0018462F"/>
    <w:rsid w:val="00184664"/>
    <w:rsid w:val="00184665"/>
    <w:rsid w:val="00184690"/>
    <w:rsid w:val="0018471A"/>
    <w:rsid w:val="00184772"/>
    <w:rsid w:val="0018479D"/>
    <w:rsid w:val="0018486A"/>
    <w:rsid w:val="00184875"/>
    <w:rsid w:val="00184894"/>
    <w:rsid w:val="001848E3"/>
    <w:rsid w:val="0018493E"/>
    <w:rsid w:val="00184952"/>
    <w:rsid w:val="00184954"/>
    <w:rsid w:val="00184964"/>
    <w:rsid w:val="00184965"/>
    <w:rsid w:val="001849BA"/>
    <w:rsid w:val="001849FD"/>
    <w:rsid w:val="00184A8B"/>
    <w:rsid w:val="00184ADB"/>
    <w:rsid w:val="00184ADC"/>
    <w:rsid w:val="00184B0A"/>
    <w:rsid w:val="00184B29"/>
    <w:rsid w:val="00184B30"/>
    <w:rsid w:val="00184B3F"/>
    <w:rsid w:val="00184B53"/>
    <w:rsid w:val="00184B56"/>
    <w:rsid w:val="00184B71"/>
    <w:rsid w:val="00184B8F"/>
    <w:rsid w:val="00184BC8"/>
    <w:rsid w:val="00184BD8"/>
    <w:rsid w:val="00184BDC"/>
    <w:rsid w:val="00184C72"/>
    <w:rsid w:val="00184D34"/>
    <w:rsid w:val="00184D85"/>
    <w:rsid w:val="00184DA7"/>
    <w:rsid w:val="00184DD1"/>
    <w:rsid w:val="00184E65"/>
    <w:rsid w:val="00184E6D"/>
    <w:rsid w:val="00184E82"/>
    <w:rsid w:val="00184EB4"/>
    <w:rsid w:val="00184EB8"/>
    <w:rsid w:val="00184F9C"/>
    <w:rsid w:val="00184FA0"/>
    <w:rsid w:val="0018500C"/>
    <w:rsid w:val="0018518E"/>
    <w:rsid w:val="001851EF"/>
    <w:rsid w:val="0018522E"/>
    <w:rsid w:val="00185233"/>
    <w:rsid w:val="00185279"/>
    <w:rsid w:val="0018530D"/>
    <w:rsid w:val="0018533A"/>
    <w:rsid w:val="00185399"/>
    <w:rsid w:val="0018543D"/>
    <w:rsid w:val="00185486"/>
    <w:rsid w:val="001854AB"/>
    <w:rsid w:val="001854C8"/>
    <w:rsid w:val="001854EC"/>
    <w:rsid w:val="00185500"/>
    <w:rsid w:val="0018551C"/>
    <w:rsid w:val="00185581"/>
    <w:rsid w:val="0018558D"/>
    <w:rsid w:val="001855A4"/>
    <w:rsid w:val="001855BA"/>
    <w:rsid w:val="001855BF"/>
    <w:rsid w:val="001856E3"/>
    <w:rsid w:val="001856ED"/>
    <w:rsid w:val="0018571A"/>
    <w:rsid w:val="0018573D"/>
    <w:rsid w:val="00185741"/>
    <w:rsid w:val="0018574B"/>
    <w:rsid w:val="00185789"/>
    <w:rsid w:val="00185814"/>
    <w:rsid w:val="0018582B"/>
    <w:rsid w:val="00185838"/>
    <w:rsid w:val="0018586D"/>
    <w:rsid w:val="00185894"/>
    <w:rsid w:val="001858A2"/>
    <w:rsid w:val="001858E1"/>
    <w:rsid w:val="00185918"/>
    <w:rsid w:val="00185927"/>
    <w:rsid w:val="0018592C"/>
    <w:rsid w:val="0018593B"/>
    <w:rsid w:val="00185946"/>
    <w:rsid w:val="001859E0"/>
    <w:rsid w:val="00185A27"/>
    <w:rsid w:val="00185A42"/>
    <w:rsid w:val="00185A50"/>
    <w:rsid w:val="00185AB1"/>
    <w:rsid w:val="00185AEA"/>
    <w:rsid w:val="00185AFB"/>
    <w:rsid w:val="00185B71"/>
    <w:rsid w:val="00185B74"/>
    <w:rsid w:val="00185B89"/>
    <w:rsid w:val="00185BA7"/>
    <w:rsid w:val="00185CAF"/>
    <w:rsid w:val="00185CCF"/>
    <w:rsid w:val="00185DCE"/>
    <w:rsid w:val="00185E1E"/>
    <w:rsid w:val="00185E79"/>
    <w:rsid w:val="00185EB6"/>
    <w:rsid w:val="00185EC0"/>
    <w:rsid w:val="00185EE6"/>
    <w:rsid w:val="00185F3B"/>
    <w:rsid w:val="00185FB4"/>
    <w:rsid w:val="00186018"/>
    <w:rsid w:val="0018607B"/>
    <w:rsid w:val="001860BA"/>
    <w:rsid w:val="001860C0"/>
    <w:rsid w:val="001860D4"/>
    <w:rsid w:val="001860E0"/>
    <w:rsid w:val="001860E4"/>
    <w:rsid w:val="0018612A"/>
    <w:rsid w:val="0018614F"/>
    <w:rsid w:val="00186163"/>
    <w:rsid w:val="00186230"/>
    <w:rsid w:val="001862BC"/>
    <w:rsid w:val="001862DD"/>
    <w:rsid w:val="00186317"/>
    <w:rsid w:val="0018632D"/>
    <w:rsid w:val="00186393"/>
    <w:rsid w:val="001863A4"/>
    <w:rsid w:val="001863C7"/>
    <w:rsid w:val="001863D2"/>
    <w:rsid w:val="00186440"/>
    <w:rsid w:val="00186449"/>
    <w:rsid w:val="00186455"/>
    <w:rsid w:val="0018646A"/>
    <w:rsid w:val="00186486"/>
    <w:rsid w:val="00186566"/>
    <w:rsid w:val="00186624"/>
    <w:rsid w:val="0018664F"/>
    <w:rsid w:val="00186662"/>
    <w:rsid w:val="0018668B"/>
    <w:rsid w:val="0018672F"/>
    <w:rsid w:val="00186731"/>
    <w:rsid w:val="00186739"/>
    <w:rsid w:val="00186788"/>
    <w:rsid w:val="001867A9"/>
    <w:rsid w:val="001867C6"/>
    <w:rsid w:val="00186827"/>
    <w:rsid w:val="00186878"/>
    <w:rsid w:val="0018688F"/>
    <w:rsid w:val="001868EA"/>
    <w:rsid w:val="0018693F"/>
    <w:rsid w:val="00186969"/>
    <w:rsid w:val="0018698F"/>
    <w:rsid w:val="001869DC"/>
    <w:rsid w:val="00186A2E"/>
    <w:rsid w:val="00186A5E"/>
    <w:rsid w:val="00186A9C"/>
    <w:rsid w:val="00186A9E"/>
    <w:rsid w:val="00186AE3"/>
    <w:rsid w:val="00186B4E"/>
    <w:rsid w:val="00186B59"/>
    <w:rsid w:val="00186B5A"/>
    <w:rsid w:val="00186B67"/>
    <w:rsid w:val="00186B82"/>
    <w:rsid w:val="00186B8C"/>
    <w:rsid w:val="00186C5F"/>
    <w:rsid w:val="00186CAF"/>
    <w:rsid w:val="00186CDE"/>
    <w:rsid w:val="00186CEA"/>
    <w:rsid w:val="00186D26"/>
    <w:rsid w:val="00186D35"/>
    <w:rsid w:val="00186D72"/>
    <w:rsid w:val="00186D95"/>
    <w:rsid w:val="00186E13"/>
    <w:rsid w:val="00186E5B"/>
    <w:rsid w:val="00186ED1"/>
    <w:rsid w:val="00187032"/>
    <w:rsid w:val="0018705F"/>
    <w:rsid w:val="0018707B"/>
    <w:rsid w:val="00187138"/>
    <w:rsid w:val="0018714A"/>
    <w:rsid w:val="001871A6"/>
    <w:rsid w:val="001871AE"/>
    <w:rsid w:val="00187213"/>
    <w:rsid w:val="00187214"/>
    <w:rsid w:val="00187225"/>
    <w:rsid w:val="0018723C"/>
    <w:rsid w:val="0018728D"/>
    <w:rsid w:val="00187352"/>
    <w:rsid w:val="001873AE"/>
    <w:rsid w:val="001873ED"/>
    <w:rsid w:val="0018740F"/>
    <w:rsid w:val="00187466"/>
    <w:rsid w:val="00187474"/>
    <w:rsid w:val="001874BE"/>
    <w:rsid w:val="0018756C"/>
    <w:rsid w:val="00187576"/>
    <w:rsid w:val="001875C5"/>
    <w:rsid w:val="001875E4"/>
    <w:rsid w:val="001875F1"/>
    <w:rsid w:val="001875FE"/>
    <w:rsid w:val="00187603"/>
    <w:rsid w:val="00187619"/>
    <w:rsid w:val="0018762A"/>
    <w:rsid w:val="00187679"/>
    <w:rsid w:val="0018775B"/>
    <w:rsid w:val="001877B6"/>
    <w:rsid w:val="001877E7"/>
    <w:rsid w:val="0018786A"/>
    <w:rsid w:val="001878A5"/>
    <w:rsid w:val="0018792C"/>
    <w:rsid w:val="0018793D"/>
    <w:rsid w:val="0018796C"/>
    <w:rsid w:val="0018797F"/>
    <w:rsid w:val="00187A09"/>
    <w:rsid w:val="00187A39"/>
    <w:rsid w:val="00187A56"/>
    <w:rsid w:val="00187A92"/>
    <w:rsid w:val="00187AD3"/>
    <w:rsid w:val="00187B07"/>
    <w:rsid w:val="00187B23"/>
    <w:rsid w:val="00187B32"/>
    <w:rsid w:val="00187B61"/>
    <w:rsid w:val="00187B74"/>
    <w:rsid w:val="00187B93"/>
    <w:rsid w:val="00187BC0"/>
    <w:rsid w:val="00187BC8"/>
    <w:rsid w:val="00187CB6"/>
    <w:rsid w:val="00187D14"/>
    <w:rsid w:val="00187D94"/>
    <w:rsid w:val="00187DCE"/>
    <w:rsid w:val="00187DD4"/>
    <w:rsid w:val="00187DFF"/>
    <w:rsid w:val="00187E0F"/>
    <w:rsid w:val="00187E50"/>
    <w:rsid w:val="00187E76"/>
    <w:rsid w:val="00187E8F"/>
    <w:rsid w:val="00187E96"/>
    <w:rsid w:val="00187E9B"/>
    <w:rsid w:val="00187EAC"/>
    <w:rsid w:val="00187EB1"/>
    <w:rsid w:val="00187EF8"/>
    <w:rsid w:val="00187F01"/>
    <w:rsid w:val="00187F35"/>
    <w:rsid w:val="00187FAB"/>
    <w:rsid w:val="00187FE0"/>
    <w:rsid w:val="0019003F"/>
    <w:rsid w:val="0019005C"/>
    <w:rsid w:val="001900B9"/>
    <w:rsid w:val="001900F9"/>
    <w:rsid w:val="00190106"/>
    <w:rsid w:val="0019010C"/>
    <w:rsid w:val="00190113"/>
    <w:rsid w:val="0019011D"/>
    <w:rsid w:val="00190186"/>
    <w:rsid w:val="001901DE"/>
    <w:rsid w:val="001901FC"/>
    <w:rsid w:val="00190211"/>
    <w:rsid w:val="0019023D"/>
    <w:rsid w:val="00190259"/>
    <w:rsid w:val="00190264"/>
    <w:rsid w:val="001902AB"/>
    <w:rsid w:val="001902D5"/>
    <w:rsid w:val="00190302"/>
    <w:rsid w:val="0019035C"/>
    <w:rsid w:val="00190398"/>
    <w:rsid w:val="0019039B"/>
    <w:rsid w:val="001903D0"/>
    <w:rsid w:val="0019045E"/>
    <w:rsid w:val="0019047A"/>
    <w:rsid w:val="001904A2"/>
    <w:rsid w:val="001904AE"/>
    <w:rsid w:val="001904EE"/>
    <w:rsid w:val="00190507"/>
    <w:rsid w:val="0019050A"/>
    <w:rsid w:val="00190516"/>
    <w:rsid w:val="00190518"/>
    <w:rsid w:val="0019052D"/>
    <w:rsid w:val="0019058A"/>
    <w:rsid w:val="00190597"/>
    <w:rsid w:val="001905D1"/>
    <w:rsid w:val="001905E0"/>
    <w:rsid w:val="001905F2"/>
    <w:rsid w:val="00190616"/>
    <w:rsid w:val="0019069C"/>
    <w:rsid w:val="001906A4"/>
    <w:rsid w:val="001906B8"/>
    <w:rsid w:val="001906C4"/>
    <w:rsid w:val="001906C6"/>
    <w:rsid w:val="001906FB"/>
    <w:rsid w:val="0019070C"/>
    <w:rsid w:val="0019079E"/>
    <w:rsid w:val="001907B7"/>
    <w:rsid w:val="001907EB"/>
    <w:rsid w:val="00190892"/>
    <w:rsid w:val="00190897"/>
    <w:rsid w:val="001908B9"/>
    <w:rsid w:val="001908BA"/>
    <w:rsid w:val="001908CE"/>
    <w:rsid w:val="001908EA"/>
    <w:rsid w:val="0019090C"/>
    <w:rsid w:val="0019095D"/>
    <w:rsid w:val="00190A60"/>
    <w:rsid w:val="00190A7E"/>
    <w:rsid w:val="00190A9F"/>
    <w:rsid w:val="00190ADA"/>
    <w:rsid w:val="00190B20"/>
    <w:rsid w:val="00190B75"/>
    <w:rsid w:val="00190B77"/>
    <w:rsid w:val="00190BB7"/>
    <w:rsid w:val="00190C9C"/>
    <w:rsid w:val="00190D47"/>
    <w:rsid w:val="00190DA0"/>
    <w:rsid w:val="00190E6A"/>
    <w:rsid w:val="00190EA2"/>
    <w:rsid w:val="00190EAE"/>
    <w:rsid w:val="00190F49"/>
    <w:rsid w:val="00190F6E"/>
    <w:rsid w:val="00190F9A"/>
    <w:rsid w:val="00190FA8"/>
    <w:rsid w:val="00190FC3"/>
    <w:rsid w:val="00191020"/>
    <w:rsid w:val="00191036"/>
    <w:rsid w:val="00191052"/>
    <w:rsid w:val="001910EF"/>
    <w:rsid w:val="0019122B"/>
    <w:rsid w:val="00191237"/>
    <w:rsid w:val="00191265"/>
    <w:rsid w:val="0019127D"/>
    <w:rsid w:val="0019128D"/>
    <w:rsid w:val="0019129D"/>
    <w:rsid w:val="001912AC"/>
    <w:rsid w:val="001912AE"/>
    <w:rsid w:val="00191301"/>
    <w:rsid w:val="00191304"/>
    <w:rsid w:val="00191307"/>
    <w:rsid w:val="0019130A"/>
    <w:rsid w:val="0019131E"/>
    <w:rsid w:val="00191371"/>
    <w:rsid w:val="001913DA"/>
    <w:rsid w:val="00191427"/>
    <w:rsid w:val="00191446"/>
    <w:rsid w:val="0019144A"/>
    <w:rsid w:val="00191567"/>
    <w:rsid w:val="001915A2"/>
    <w:rsid w:val="00191686"/>
    <w:rsid w:val="001916D6"/>
    <w:rsid w:val="00191735"/>
    <w:rsid w:val="00191793"/>
    <w:rsid w:val="00191794"/>
    <w:rsid w:val="001917C6"/>
    <w:rsid w:val="001917DE"/>
    <w:rsid w:val="001917E9"/>
    <w:rsid w:val="0019181C"/>
    <w:rsid w:val="0019181E"/>
    <w:rsid w:val="00191820"/>
    <w:rsid w:val="00191841"/>
    <w:rsid w:val="00191859"/>
    <w:rsid w:val="0019185F"/>
    <w:rsid w:val="00191872"/>
    <w:rsid w:val="00191883"/>
    <w:rsid w:val="00191908"/>
    <w:rsid w:val="0019198E"/>
    <w:rsid w:val="001919BF"/>
    <w:rsid w:val="00191A05"/>
    <w:rsid w:val="00191A67"/>
    <w:rsid w:val="00191AFC"/>
    <w:rsid w:val="00191BA8"/>
    <w:rsid w:val="00191BDE"/>
    <w:rsid w:val="00191BE4"/>
    <w:rsid w:val="00191BEA"/>
    <w:rsid w:val="00191BF8"/>
    <w:rsid w:val="00191C17"/>
    <w:rsid w:val="00191C4E"/>
    <w:rsid w:val="00191CB8"/>
    <w:rsid w:val="00191CBE"/>
    <w:rsid w:val="00191D1D"/>
    <w:rsid w:val="00191D1F"/>
    <w:rsid w:val="00191D2A"/>
    <w:rsid w:val="00191D84"/>
    <w:rsid w:val="00191E29"/>
    <w:rsid w:val="00191E33"/>
    <w:rsid w:val="00191E48"/>
    <w:rsid w:val="00191E81"/>
    <w:rsid w:val="00191E9C"/>
    <w:rsid w:val="00191EB7"/>
    <w:rsid w:val="00191FB8"/>
    <w:rsid w:val="00192076"/>
    <w:rsid w:val="00192081"/>
    <w:rsid w:val="00192087"/>
    <w:rsid w:val="0019208E"/>
    <w:rsid w:val="001920DC"/>
    <w:rsid w:val="001920EB"/>
    <w:rsid w:val="001921C7"/>
    <w:rsid w:val="001921ED"/>
    <w:rsid w:val="00192254"/>
    <w:rsid w:val="0019229F"/>
    <w:rsid w:val="001922C1"/>
    <w:rsid w:val="001922FB"/>
    <w:rsid w:val="00192374"/>
    <w:rsid w:val="0019237C"/>
    <w:rsid w:val="00192392"/>
    <w:rsid w:val="001923E5"/>
    <w:rsid w:val="00192426"/>
    <w:rsid w:val="00192471"/>
    <w:rsid w:val="001924C3"/>
    <w:rsid w:val="001924E2"/>
    <w:rsid w:val="00192500"/>
    <w:rsid w:val="00192501"/>
    <w:rsid w:val="00192502"/>
    <w:rsid w:val="00192513"/>
    <w:rsid w:val="001925AD"/>
    <w:rsid w:val="001925D4"/>
    <w:rsid w:val="001925F6"/>
    <w:rsid w:val="0019261E"/>
    <w:rsid w:val="00192638"/>
    <w:rsid w:val="00192688"/>
    <w:rsid w:val="0019268C"/>
    <w:rsid w:val="00192729"/>
    <w:rsid w:val="00192750"/>
    <w:rsid w:val="00192786"/>
    <w:rsid w:val="00192869"/>
    <w:rsid w:val="0019286A"/>
    <w:rsid w:val="00192895"/>
    <w:rsid w:val="001928CF"/>
    <w:rsid w:val="00192919"/>
    <w:rsid w:val="00192955"/>
    <w:rsid w:val="001929A0"/>
    <w:rsid w:val="001929F0"/>
    <w:rsid w:val="001929F1"/>
    <w:rsid w:val="00192A3C"/>
    <w:rsid w:val="00192A6F"/>
    <w:rsid w:val="00192A99"/>
    <w:rsid w:val="00192B36"/>
    <w:rsid w:val="00192B7A"/>
    <w:rsid w:val="00192BD1"/>
    <w:rsid w:val="00192BEB"/>
    <w:rsid w:val="00192C3A"/>
    <w:rsid w:val="00192C3B"/>
    <w:rsid w:val="00192C3E"/>
    <w:rsid w:val="00192C3F"/>
    <w:rsid w:val="00192C5E"/>
    <w:rsid w:val="00192C7C"/>
    <w:rsid w:val="00192CF6"/>
    <w:rsid w:val="00192D69"/>
    <w:rsid w:val="00192D8B"/>
    <w:rsid w:val="00192DBF"/>
    <w:rsid w:val="00192DE2"/>
    <w:rsid w:val="00192E19"/>
    <w:rsid w:val="00192E75"/>
    <w:rsid w:val="00192F0D"/>
    <w:rsid w:val="00192FB6"/>
    <w:rsid w:val="001930EC"/>
    <w:rsid w:val="001930F7"/>
    <w:rsid w:val="00193109"/>
    <w:rsid w:val="00193125"/>
    <w:rsid w:val="00193167"/>
    <w:rsid w:val="0019322F"/>
    <w:rsid w:val="00193269"/>
    <w:rsid w:val="00193286"/>
    <w:rsid w:val="001932AF"/>
    <w:rsid w:val="001932CB"/>
    <w:rsid w:val="001932D0"/>
    <w:rsid w:val="001932DC"/>
    <w:rsid w:val="0019333A"/>
    <w:rsid w:val="00193388"/>
    <w:rsid w:val="001933D8"/>
    <w:rsid w:val="00193419"/>
    <w:rsid w:val="0019348A"/>
    <w:rsid w:val="00193550"/>
    <w:rsid w:val="00193551"/>
    <w:rsid w:val="00193573"/>
    <w:rsid w:val="001935D4"/>
    <w:rsid w:val="0019361A"/>
    <w:rsid w:val="00193620"/>
    <w:rsid w:val="001936BF"/>
    <w:rsid w:val="00193707"/>
    <w:rsid w:val="0019370C"/>
    <w:rsid w:val="0019370D"/>
    <w:rsid w:val="00193732"/>
    <w:rsid w:val="0019373C"/>
    <w:rsid w:val="0019375C"/>
    <w:rsid w:val="00193785"/>
    <w:rsid w:val="001938E0"/>
    <w:rsid w:val="001938E1"/>
    <w:rsid w:val="0019396C"/>
    <w:rsid w:val="001939C5"/>
    <w:rsid w:val="00193A09"/>
    <w:rsid w:val="00193A15"/>
    <w:rsid w:val="00193A4E"/>
    <w:rsid w:val="00193A78"/>
    <w:rsid w:val="00193AA2"/>
    <w:rsid w:val="00193AAC"/>
    <w:rsid w:val="00193B41"/>
    <w:rsid w:val="00193B63"/>
    <w:rsid w:val="00193BA1"/>
    <w:rsid w:val="00193BE7"/>
    <w:rsid w:val="00193C0C"/>
    <w:rsid w:val="00193C12"/>
    <w:rsid w:val="00193C16"/>
    <w:rsid w:val="00193C1B"/>
    <w:rsid w:val="00193C6D"/>
    <w:rsid w:val="00193C7E"/>
    <w:rsid w:val="00193CA4"/>
    <w:rsid w:val="00193D52"/>
    <w:rsid w:val="00193D75"/>
    <w:rsid w:val="00193D8A"/>
    <w:rsid w:val="00193DE1"/>
    <w:rsid w:val="00193E65"/>
    <w:rsid w:val="00193EC9"/>
    <w:rsid w:val="00193F5B"/>
    <w:rsid w:val="00194035"/>
    <w:rsid w:val="00194036"/>
    <w:rsid w:val="001940A7"/>
    <w:rsid w:val="001940F5"/>
    <w:rsid w:val="001941B4"/>
    <w:rsid w:val="001941B6"/>
    <w:rsid w:val="001941BA"/>
    <w:rsid w:val="0019421A"/>
    <w:rsid w:val="0019424D"/>
    <w:rsid w:val="00194277"/>
    <w:rsid w:val="001942B6"/>
    <w:rsid w:val="001942F7"/>
    <w:rsid w:val="00194319"/>
    <w:rsid w:val="00194352"/>
    <w:rsid w:val="0019435D"/>
    <w:rsid w:val="00194398"/>
    <w:rsid w:val="001943A9"/>
    <w:rsid w:val="0019440E"/>
    <w:rsid w:val="00194444"/>
    <w:rsid w:val="00194475"/>
    <w:rsid w:val="001944BB"/>
    <w:rsid w:val="0019452E"/>
    <w:rsid w:val="00194540"/>
    <w:rsid w:val="001945DF"/>
    <w:rsid w:val="00194615"/>
    <w:rsid w:val="0019465A"/>
    <w:rsid w:val="00194683"/>
    <w:rsid w:val="0019469B"/>
    <w:rsid w:val="001946A1"/>
    <w:rsid w:val="001946C1"/>
    <w:rsid w:val="0019470B"/>
    <w:rsid w:val="00194776"/>
    <w:rsid w:val="00194783"/>
    <w:rsid w:val="00194838"/>
    <w:rsid w:val="0019483C"/>
    <w:rsid w:val="0019487D"/>
    <w:rsid w:val="001948E8"/>
    <w:rsid w:val="001948FF"/>
    <w:rsid w:val="0019490D"/>
    <w:rsid w:val="00194986"/>
    <w:rsid w:val="001949BF"/>
    <w:rsid w:val="00194A3D"/>
    <w:rsid w:val="00194A42"/>
    <w:rsid w:val="00194A87"/>
    <w:rsid w:val="00194AC5"/>
    <w:rsid w:val="00194B18"/>
    <w:rsid w:val="00194B20"/>
    <w:rsid w:val="00194B69"/>
    <w:rsid w:val="00194B79"/>
    <w:rsid w:val="00194BB5"/>
    <w:rsid w:val="00194BB6"/>
    <w:rsid w:val="00194BE7"/>
    <w:rsid w:val="00194C36"/>
    <w:rsid w:val="00194C85"/>
    <w:rsid w:val="00194C8C"/>
    <w:rsid w:val="00194C9A"/>
    <w:rsid w:val="00194CC9"/>
    <w:rsid w:val="00194DB0"/>
    <w:rsid w:val="00194E18"/>
    <w:rsid w:val="00194E84"/>
    <w:rsid w:val="00194EF6"/>
    <w:rsid w:val="00194F19"/>
    <w:rsid w:val="00194F3A"/>
    <w:rsid w:val="00194F61"/>
    <w:rsid w:val="00194F93"/>
    <w:rsid w:val="00194FA4"/>
    <w:rsid w:val="00194FD6"/>
    <w:rsid w:val="00194FFD"/>
    <w:rsid w:val="00195001"/>
    <w:rsid w:val="00195043"/>
    <w:rsid w:val="00195073"/>
    <w:rsid w:val="00195088"/>
    <w:rsid w:val="00195092"/>
    <w:rsid w:val="001950D5"/>
    <w:rsid w:val="001950E4"/>
    <w:rsid w:val="001950F8"/>
    <w:rsid w:val="0019516D"/>
    <w:rsid w:val="001951AE"/>
    <w:rsid w:val="00195264"/>
    <w:rsid w:val="00195295"/>
    <w:rsid w:val="001952B0"/>
    <w:rsid w:val="001952DB"/>
    <w:rsid w:val="001952DE"/>
    <w:rsid w:val="001952E2"/>
    <w:rsid w:val="00195340"/>
    <w:rsid w:val="00195344"/>
    <w:rsid w:val="001953BD"/>
    <w:rsid w:val="001953F1"/>
    <w:rsid w:val="001953FE"/>
    <w:rsid w:val="0019546D"/>
    <w:rsid w:val="001954AB"/>
    <w:rsid w:val="001954D8"/>
    <w:rsid w:val="001955AF"/>
    <w:rsid w:val="001955D8"/>
    <w:rsid w:val="001955FD"/>
    <w:rsid w:val="0019565D"/>
    <w:rsid w:val="0019567E"/>
    <w:rsid w:val="001956A8"/>
    <w:rsid w:val="001956BD"/>
    <w:rsid w:val="001956D5"/>
    <w:rsid w:val="001956EC"/>
    <w:rsid w:val="00195706"/>
    <w:rsid w:val="00195762"/>
    <w:rsid w:val="00195786"/>
    <w:rsid w:val="001957CA"/>
    <w:rsid w:val="00195851"/>
    <w:rsid w:val="001958D6"/>
    <w:rsid w:val="0019593E"/>
    <w:rsid w:val="0019594C"/>
    <w:rsid w:val="0019599B"/>
    <w:rsid w:val="001959C0"/>
    <w:rsid w:val="001959E1"/>
    <w:rsid w:val="00195AB9"/>
    <w:rsid w:val="00195B07"/>
    <w:rsid w:val="00195B29"/>
    <w:rsid w:val="00195B45"/>
    <w:rsid w:val="00195B9F"/>
    <w:rsid w:val="00195BD4"/>
    <w:rsid w:val="00195BF6"/>
    <w:rsid w:val="00195C04"/>
    <w:rsid w:val="00195C0F"/>
    <w:rsid w:val="00195C85"/>
    <w:rsid w:val="00195CAB"/>
    <w:rsid w:val="00195CC8"/>
    <w:rsid w:val="00195CDB"/>
    <w:rsid w:val="00195D65"/>
    <w:rsid w:val="00195D67"/>
    <w:rsid w:val="00195D74"/>
    <w:rsid w:val="00195E19"/>
    <w:rsid w:val="00195E39"/>
    <w:rsid w:val="00195E73"/>
    <w:rsid w:val="00195E79"/>
    <w:rsid w:val="00195E8E"/>
    <w:rsid w:val="00195ED7"/>
    <w:rsid w:val="00195F06"/>
    <w:rsid w:val="00195F0C"/>
    <w:rsid w:val="00195F14"/>
    <w:rsid w:val="00195F77"/>
    <w:rsid w:val="00195FD3"/>
    <w:rsid w:val="00195FE0"/>
    <w:rsid w:val="00195FFC"/>
    <w:rsid w:val="001960C0"/>
    <w:rsid w:val="00196167"/>
    <w:rsid w:val="0019618B"/>
    <w:rsid w:val="0019619D"/>
    <w:rsid w:val="00196203"/>
    <w:rsid w:val="00196213"/>
    <w:rsid w:val="00196257"/>
    <w:rsid w:val="0019626E"/>
    <w:rsid w:val="0019627C"/>
    <w:rsid w:val="0019627F"/>
    <w:rsid w:val="001962EB"/>
    <w:rsid w:val="00196311"/>
    <w:rsid w:val="001963BA"/>
    <w:rsid w:val="001963C2"/>
    <w:rsid w:val="001963F8"/>
    <w:rsid w:val="00196469"/>
    <w:rsid w:val="001964B5"/>
    <w:rsid w:val="001964D7"/>
    <w:rsid w:val="001964EE"/>
    <w:rsid w:val="0019654C"/>
    <w:rsid w:val="00196648"/>
    <w:rsid w:val="00196722"/>
    <w:rsid w:val="00196749"/>
    <w:rsid w:val="00196757"/>
    <w:rsid w:val="00196766"/>
    <w:rsid w:val="00196799"/>
    <w:rsid w:val="001967AF"/>
    <w:rsid w:val="001967C7"/>
    <w:rsid w:val="001967FC"/>
    <w:rsid w:val="00196855"/>
    <w:rsid w:val="00196878"/>
    <w:rsid w:val="0019689F"/>
    <w:rsid w:val="001968B8"/>
    <w:rsid w:val="00196901"/>
    <w:rsid w:val="0019692A"/>
    <w:rsid w:val="00196976"/>
    <w:rsid w:val="0019697B"/>
    <w:rsid w:val="0019697E"/>
    <w:rsid w:val="001969A3"/>
    <w:rsid w:val="001969D8"/>
    <w:rsid w:val="00196A1B"/>
    <w:rsid w:val="00196A84"/>
    <w:rsid w:val="00196A8B"/>
    <w:rsid w:val="00196AC1"/>
    <w:rsid w:val="00196AFD"/>
    <w:rsid w:val="00196B12"/>
    <w:rsid w:val="00196B6C"/>
    <w:rsid w:val="00196CEA"/>
    <w:rsid w:val="00196D05"/>
    <w:rsid w:val="00196D08"/>
    <w:rsid w:val="00196D2A"/>
    <w:rsid w:val="00196D47"/>
    <w:rsid w:val="00196DF4"/>
    <w:rsid w:val="00196E61"/>
    <w:rsid w:val="00196E6F"/>
    <w:rsid w:val="00196F07"/>
    <w:rsid w:val="00196FDD"/>
    <w:rsid w:val="001970DE"/>
    <w:rsid w:val="001970F6"/>
    <w:rsid w:val="00197101"/>
    <w:rsid w:val="0019714F"/>
    <w:rsid w:val="0019716A"/>
    <w:rsid w:val="001971BC"/>
    <w:rsid w:val="001971D9"/>
    <w:rsid w:val="001972DC"/>
    <w:rsid w:val="00197317"/>
    <w:rsid w:val="00197331"/>
    <w:rsid w:val="001973C3"/>
    <w:rsid w:val="001973F3"/>
    <w:rsid w:val="0019741C"/>
    <w:rsid w:val="00197432"/>
    <w:rsid w:val="0019745F"/>
    <w:rsid w:val="001974D6"/>
    <w:rsid w:val="001974DA"/>
    <w:rsid w:val="0019751E"/>
    <w:rsid w:val="00197521"/>
    <w:rsid w:val="00197549"/>
    <w:rsid w:val="00197609"/>
    <w:rsid w:val="0019760B"/>
    <w:rsid w:val="00197693"/>
    <w:rsid w:val="001976A8"/>
    <w:rsid w:val="001976BD"/>
    <w:rsid w:val="001976BE"/>
    <w:rsid w:val="0019770F"/>
    <w:rsid w:val="00197716"/>
    <w:rsid w:val="0019771D"/>
    <w:rsid w:val="001977A2"/>
    <w:rsid w:val="00197821"/>
    <w:rsid w:val="0019782F"/>
    <w:rsid w:val="001978E6"/>
    <w:rsid w:val="00197920"/>
    <w:rsid w:val="00197922"/>
    <w:rsid w:val="0019792E"/>
    <w:rsid w:val="00197930"/>
    <w:rsid w:val="00197948"/>
    <w:rsid w:val="001979F2"/>
    <w:rsid w:val="00197A20"/>
    <w:rsid w:val="00197A30"/>
    <w:rsid w:val="00197A98"/>
    <w:rsid w:val="00197B0C"/>
    <w:rsid w:val="00197B75"/>
    <w:rsid w:val="00197C20"/>
    <w:rsid w:val="00197C58"/>
    <w:rsid w:val="00197C5C"/>
    <w:rsid w:val="00197C71"/>
    <w:rsid w:val="00197D2B"/>
    <w:rsid w:val="00197D61"/>
    <w:rsid w:val="00197D83"/>
    <w:rsid w:val="00197DAE"/>
    <w:rsid w:val="00197DC5"/>
    <w:rsid w:val="00197DE7"/>
    <w:rsid w:val="00197E1E"/>
    <w:rsid w:val="00197E6D"/>
    <w:rsid w:val="00197E77"/>
    <w:rsid w:val="00197E95"/>
    <w:rsid w:val="00197EC7"/>
    <w:rsid w:val="00197ED6"/>
    <w:rsid w:val="00197F12"/>
    <w:rsid w:val="00197F15"/>
    <w:rsid w:val="00197F29"/>
    <w:rsid w:val="00197F34"/>
    <w:rsid w:val="00197F9E"/>
    <w:rsid w:val="00197FE7"/>
    <w:rsid w:val="001A0033"/>
    <w:rsid w:val="001A0089"/>
    <w:rsid w:val="001A0172"/>
    <w:rsid w:val="001A01B8"/>
    <w:rsid w:val="001A01F5"/>
    <w:rsid w:val="001A020B"/>
    <w:rsid w:val="001A0293"/>
    <w:rsid w:val="001A02B5"/>
    <w:rsid w:val="001A02C1"/>
    <w:rsid w:val="001A02E3"/>
    <w:rsid w:val="001A0312"/>
    <w:rsid w:val="001A0342"/>
    <w:rsid w:val="001A0349"/>
    <w:rsid w:val="001A037A"/>
    <w:rsid w:val="001A03D8"/>
    <w:rsid w:val="001A0455"/>
    <w:rsid w:val="001A046C"/>
    <w:rsid w:val="001A052B"/>
    <w:rsid w:val="001A055F"/>
    <w:rsid w:val="001A0590"/>
    <w:rsid w:val="001A05AB"/>
    <w:rsid w:val="001A0636"/>
    <w:rsid w:val="001A067E"/>
    <w:rsid w:val="001A06AC"/>
    <w:rsid w:val="001A06D4"/>
    <w:rsid w:val="001A0732"/>
    <w:rsid w:val="001A0753"/>
    <w:rsid w:val="001A0784"/>
    <w:rsid w:val="001A07AC"/>
    <w:rsid w:val="001A07B6"/>
    <w:rsid w:val="001A0802"/>
    <w:rsid w:val="001A0891"/>
    <w:rsid w:val="001A095D"/>
    <w:rsid w:val="001A0983"/>
    <w:rsid w:val="001A09D3"/>
    <w:rsid w:val="001A0A09"/>
    <w:rsid w:val="001A0A2B"/>
    <w:rsid w:val="001A0A34"/>
    <w:rsid w:val="001A0A4B"/>
    <w:rsid w:val="001A0A68"/>
    <w:rsid w:val="001A0AF7"/>
    <w:rsid w:val="001A0B70"/>
    <w:rsid w:val="001A0B84"/>
    <w:rsid w:val="001A0B9C"/>
    <w:rsid w:val="001A0BB8"/>
    <w:rsid w:val="001A0BCD"/>
    <w:rsid w:val="001A0BF9"/>
    <w:rsid w:val="001A0C0D"/>
    <w:rsid w:val="001A0C15"/>
    <w:rsid w:val="001A0C3E"/>
    <w:rsid w:val="001A0CAE"/>
    <w:rsid w:val="001A0CB8"/>
    <w:rsid w:val="001A0D0F"/>
    <w:rsid w:val="001A0D13"/>
    <w:rsid w:val="001A0D56"/>
    <w:rsid w:val="001A0D8E"/>
    <w:rsid w:val="001A0DB3"/>
    <w:rsid w:val="001A0DBC"/>
    <w:rsid w:val="001A0DF8"/>
    <w:rsid w:val="001A0E42"/>
    <w:rsid w:val="001A0E81"/>
    <w:rsid w:val="001A0EB7"/>
    <w:rsid w:val="001A0F21"/>
    <w:rsid w:val="001A0FA5"/>
    <w:rsid w:val="001A1043"/>
    <w:rsid w:val="001A1069"/>
    <w:rsid w:val="001A10E9"/>
    <w:rsid w:val="001A1105"/>
    <w:rsid w:val="001A1123"/>
    <w:rsid w:val="001A1187"/>
    <w:rsid w:val="001A118C"/>
    <w:rsid w:val="001A11CB"/>
    <w:rsid w:val="001A11E4"/>
    <w:rsid w:val="001A11E9"/>
    <w:rsid w:val="001A11FA"/>
    <w:rsid w:val="001A11FE"/>
    <w:rsid w:val="001A1222"/>
    <w:rsid w:val="001A124E"/>
    <w:rsid w:val="001A1285"/>
    <w:rsid w:val="001A13A0"/>
    <w:rsid w:val="001A13AD"/>
    <w:rsid w:val="001A13CD"/>
    <w:rsid w:val="001A1400"/>
    <w:rsid w:val="001A1414"/>
    <w:rsid w:val="001A146A"/>
    <w:rsid w:val="001A14D5"/>
    <w:rsid w:val="001A14E4"/>
    <w:rsid w:val="001A1533"/>
    <w:rsid w:val="001A15BE"/>
    <w:rsid w:val="001A160D"/>
    <w:rsid w:val="001A161E"/>
    <w:rsid w:val="001A1620"/>
    <w:rsid w:val="001A1672"/>
    <w:rsid w:val="001A16BF"/>
    <w:rsid w:val="001A1701"/>
    <w:rsid w:val="001A1724"/>
    <w:rsid w:val="001A1743"/>
    <w:rsid w:val="001A17B5"/>
    <w:rsid w:val="001A17EC"/>
    <w:rsid w:val="001A17EE"/>
    <w:rsid w:val="001A1821"/>
    <w:rsid w:val="001A188B"/>
    <w:rsid w:val="001A18B8"/>
    <w:rsid w:val="001A18D5"/>
    <w:rsid w:val="001A1953"/>
    <w:rsid w:val="001A197B"/>
    <w:rsid w:val="001A1A90"/>
    <w:rsid w:val="001A1A94"/>
    <w:rsid w:val="001A1AD0"/>
    <w:rsid w:val="001A1AE6"/>
    <w:rsid w:val="001A1AF1"/>
    <w:rsid w:val="001A1B0B"/>
    <w:rsid w:val="001A1B14"/>
    <w:rsid w:val="001A1B32"/>
    <w:rsid w:val="001A1B82"/>
    <w:rsid w:val="001A1B84"/>
    <w:rsid w:val="001A1BA4"/>
    <w:rsid w:val="001A1C1E"/>
    <w:rsid w:val="001A1C20"/>
    <w:rsid w:val="001A1C2C"/>
    <w:rsid w:val="001A1C33"/>
    <w:rsid w:val="001A1C84"/>
    <w:rsid w:val="001A1CE5"/>
    <w:rsid w:val="001A1CE9"/>
    <w:rsid w:val="001A1D20"/>
    <w:rsid w:val="001A1E2D"/>
    <w:rsid w:val="001A1EB4"/>
    <w:rsid w:val="001A1EB6"/>
    <w:rsid w:val="001A1F09"/>
    <w:rsid w:val="001A1F10"/>
    <w:rsid w:val="001A1F76"/>
    <w:rsid w:val="001A1FC2"/>
    <w:rsid w:val="001A1FC7"/>
    <w:rsid w:val="001A1FD7"/>
    <w:rsid w:val="001A2035"/>
    <w:rsid w:val="001A2055"/>
    <w:rsid w:val="001A2083"/>
    <w:rsid w:val="001A213A"/>
    <w:rsid w:val="001A21B3"/>
    <w:rsid w:val="001A21BC"/>
    <w:rsid w:val="001A21EA"/>
    <w:rsid w:val="001A2225"/>
    <w:rsid w:val="001A2237"/>
    <w:rsid w:val="001A227C"/>
    <w:rsid w:val="001A22D6"/>
    <w:rsid w:val="001A2331"/>
    <w:rsid w:val="001A2342"/>
    <w:rsid w:val="001A238A"/>
    <w:rsid w:val="001A2394"/>
    <w:rsid w:val="001A23D9"/>
    <w:rsid w:val="001A244B"/>
    <w:rsid w:val="001A24EC"/>
    <w:rsid w:val="001A2507"/>
    <w:rsid w:val="001A2512"/>
    <w:rsid w:val="001A2518"/>
    <w:rsid w:val="001A2529"/>
    <w:rsid w:val="001A255C"/>
    <w:rsid w:val="001A257C"/>
    <w:rsid w:val="001A259D"/>
    <w:rsid w:val="001A25E9"/>
    <w:rsid w:val="001A2600"/>
    <w:rsid w:val="001A265E"/>
    <w:rsid w:val="001A268D"/>
    <w:rsid w:val="001A2699"/>
    <w:rsid w:val="001A26CB"/>
    <w:rsid w:val="001A26CC"/>
    <w:rsid w:val="001A2724"/>
    <w:rsid w:val="001A273B"/>
    <w:rsid w:val="001A2746"/>
    <w:rsid w:val="001A2748"/>
    <w:rsid w:val="001A2836"/>
    <w:rsid w:val="001A284E"/>
    <w:rsid w:val="001A289E"/>
    <w:rsid w:val="001A28F4"/>
    <w:rsid w:val="001A2955"/>
    <w:rsid w:val="001A29A8"/>
    <w:rsid w:val="001A2A3C"/>
    <w:rsid w:val="001A2A43"/>
    <w:rsid w:val="001A2ACA"/>
    <w:rsid w:val="001A2B07"/>
    <w:rsid w:val="001A2B70"/>
    <w:rsid w:val="001A2B7E"/>
    <w:rsid w:val="001A2B9D"/>
    <w:rsid w:val="001A2B9F"/>
    <w:rsid w:val="001A2BB5"/>
    <w:rsid w:val="001A2C03"/>
    <w:rsid w:val="001A2C4D"/>
    <w:rsid w:val="001A2CDE"/>
    <w:rsid w:val="001A2CE9"/>
    <w:rsid w:val="001A2CEF"/>
    <w:rsid w:val="001A2D2D"/>
    <w:rsid w:val="001A2D3E"/>
    <w:rsid w:val="001A2D46"/>
    <w:rsid w:val="001A2D58"/>
    <w:rsid w:val="001A2DA2"/>
    <w:rsid w:val="001A2DA3"/>
    <w:rsid w:val="001A2DE4"/>
    <w:rsid w:val="001A2E10"/>
    <w:rsid w:val="001A2E77"/>
    <w:rsid w:val="001A2EB6"/>
    <w:rsid w:val="001A2F04"/>
    <w:rsid w:val="001A2F16"/>
    <w:rsid w:val="001A2F29"/>
    <w:rsid w:val="001A3009"/>
    <w:rsid w:val="001A3037"/>
    <w:rsid w:val="001A3090"/>
    <w:rsid w:val="001A30BC"/>
    <w:rsid w:val="001A30D2"/>
    <w:rsid w:val="001A3133"/>
    <w:rsid w:val="001A313C"/>
    <w:rsid w:val="001A3144"/>
    <w:rsid w:val="001A3147"/>
    <w:rsid w:val="001A3156"/>
    <w:rsid w:val="001A316D"/>
    <w:rsid w:val="001A317B"/>
    <w:rsid w:val="001A31D2"/>
    <w:rsid w:val="001A31DA"/>
    <w:rsid w:val="001A31E3"/>
    <w:rsid w:val="001A31FC"/>
    <w:rsid w:val="001A321C"/>
    <w:rsid w:val="001A321D"/>
    <w:rsid w:val="001A321E"/>
    <w:rsid w:val="001A322B"/>
    <w:rsid w:val="001A3249"/>
    <w:rsid w:val="001A324D"/>
    <w:rsid w:val="001A32AD"/>
    <w:rsid w:val="001A32B7"/>
    <w:rsid w:val="001A330D"/>
    <w:rsid w:val="001A335C"/>
    <w:rsid w:val="001A3379"/>
    <w:rsid w:val="001A33AF"/>
    <w:rsid w:val="001A33C5"/>
    <w:rsid w:val="001A33EE"/>
    <w:rsid w:val="001A3421"/>
    <w:rsid w:val="001A3476"/>
    <w:rsid w:val="001A3492"/>
    <w:rsid w:val="001A34A3"/>
    <w:rsid w:val="001A34CB"/>
    <w:rsid w:val="001A34D1"/>
    <w:rsid w:val="001A354D"/>
    <w:rsid w:val="001A3550"/>
    <w:rsid w:val="001A3566"/>
    <w:rsid w:val="001A35C6"/>
    <w:rsid w:val="001A35F7"/>
    <w:rsid w:val="001A35FB"/>
    <w:rsid w:val="001A3649"/>
    <w:rsid w:val="001A364A"/>
    <w:rsid w:val="001A365F"/>
    <w:rsid w:val="001A36BD"/>
    <w:rsid w:val="001A36C0"/>
    <w:rsid w:val="001A36E2"/>
    <w:rsid w:val="001A3723"/>
    <w:rsid w:val="001A3798"/>
    <w:rsid w:val="001A37A6"/>
    <w:rsid w:val="001A381F"/>
    <w:rsid w:val="001A383C"/>
    <w:rsid w:val="001A385E"/>
    <w:rsid w:val="001A38B5"/>
    <w:rsid w:val="001A38E4"/>
    <w:rsid w:val="001A393B"/>
    <w:rsid w:val="001A3A08"/>
    <w:rsid w:val="001A3A1C"/>
    <w:rsid w:val="001A3AB4"/>
    <w:rsid w:val="001A3AB5"/>
    <w:rsid w:val="001A3AB6"/>
    <w:rsid w:val="001A3B0F"/>
    <w:rsid w:val="001A3B85"/>
    <w:rsid w:val="001A3BCA"/>
    <w:rsid w:val="001A3BE6"/>
    <w:rsid w:val="001A3C1D"/>
    <w:rsid w:val="001A3C3C"/>
    <w:rsid w:val="001A3C95"/>
    <w:rsid w:val="001A3CE4"/>
    <w:rsid w:val="001A3D98"/>
    <w:rsid w:val="001A3DF1"/>
    <w:rsid w:val="001A3E3E"/>
    <w:rsid w:val="001A3E81"/>
    <w:rsid w:val="001A3EB1"/>
    <w:rsid w:val="001A3F09"/>
    <w:rsid w:val="001A4018"/>
    <w:rsid w:val="001A4083"/>
    <w:rsid w:val="001A40A7"/>
    <w:rsid w:val="001A40D4"/>
    <w:rsid w:val="001A40E7"/>
    <w:rsid w:val="001A4116"/>
    <w:rsid w:val="001A417A"/>
    <w:rsid w:val="001A41BB"/>
    <w:rsid w:val="001A4257"/>
    <w:rsid w:val="001A42B3"/>
    <w:rsid w:val="001A4367"/>
    <w:rsid w:val="001A4369"/>
    <w:rsid w:val="001A4375"/>
    <w:rsid w:val="001A43B3"/>
    <w:rsid w:val="001A4405"/>
    <w:rsid w:val="001A4411"/>
    <w:rsid w:val="001A4421"/>
    <w:rsid w:val="001A4465"/>
    <w:rsid w:val="001A447D"/>
    <w:rsid w:val="001A4497"/>
    <w:rsid w:val="001A44C4"/>
    <w:rsid w:val="001A453B"/>
    <w:rsid w:val="001A45A0"/>
    <w:rsid w:val="001A45A9"/>
    <w:rsid w:val="001A45CF"/>
    <w:rsid w:val="001A45ED"/>
    <w:rsid w:val="001A4644"/>
    <w:rsid w:val="001A4698"/>
    <w:rsid w:val="001A46DB"/>
    <w:rsid w:val="001A46F5"/>
    <w:rsid w:val="001A47B7"/>
    <w:rsid w:val="001A4805"/>
    <w:rsid w:val="001A481B"/>
    <w:rsid w:val="001A48BB"/>
    <w:rsid w:val="001A4973"/>
    <w:rsid w:val="001A4984"/>
    <w:rsid w:val="001A49A7"/>
    <w:rsid w:val="001A49B3"/>
    <w:rsid w:val="001A49C7"/>
    <w:rsid w:val="001A4A07"/>
    <w:rsid w:val="001A4A3A"/>
    <w:rsid w:val="001A4A59"/>
    <w:rsid w:val="001A4A63"/>
    <w:rsid w:val="001A4A6F"/>
    <w:rsid w:val="001A4A7E"/>
    <w:rsid w:val="001A4AB9"/>
    <w:rsid w:val="001A4AF9"/>
    <w:rsid w:val="001A4B41"/>
    <w:rsid w:val="001A4B53"/>
    <w:rsid w:val="001A4BF0"/>
    <w:rsid w:val="001A4C95"/>
    <w:rsid w:val="001A4D0D"/>
    <w:rsid w:val="001A4D10"/>
    <w:rsid w:val="001A4D46"/>
    <w:rsid w:val="001A4D4A"/>
    <w:rsid w:val="001A4DA5"/>
    <w:rsid w:val="001A4E0A"/>
    <w:rsid w:val="001A4E16"/>
    <w:rsid w:val="001A4E38"/>
    <w:rsid w:val="001A4F2C"/>
    <w:rsid w:val="001A4F3A"/>
    <w:rsid w:val="001A4FA2"/>
    <w:rsid w:val="001A4FAF"/>
    <w:rsid w:val="001A4FC5"/>
    <w:rsid w:val="001A4FD3"/>
    <w:rsid w:val="001A4FDE"/>
    <w:rsid w:val="001A4FF4"/>
    <w:rsid w:val="001A4FFC"/>
    <w:rsid w:val="001A507A"/>
    <w:rsid w:val="001A50F0"/>
    <w:rsid w:val="001A5122"/>
    <w:rsid w:val="001A5131"/>
    <w:rsid w:val="001A5132"/>
    <w:rsid w:val="001A51BB"/>
    <w:rsid w:val="001A5260"/>
    <w:rsid w:val="001A529A"/>
    <w:rsid w:val="001A529D"/>
    <w:rsid w:val="001A533C"/>
    <w:rsid w:val="001A5349"/>
    <w:rsid w:val="001A5357"/>
    <w:rsid w:val="001A5378"/>
    <w:rsid w:val="001A53B2"/>
    <w:rsid w:val="001A53E4"/>
    <w:rsid w:val="001A542D"/>
    <w:rsid w:val="001A5437"/>
    <w:rsid w:val="001A54C4"/>
    <w:rsid w:val="001A5504"/>
    <w:rsid w:val="001A5543"/>
    <w:rsid w:val="001A554D"/>
    <w:rsid w:val="001A5593"/>
    <w:rsid w:val="001A55A5"/>
    <w:rsid w:val="001A55B4"/>
    <w:rsid w:val="001A5620"/>
    <w:rsid w:val="001A5635"/>
    <w:rsid w:val="001A5684"/>
    <w:rsid w:val="001A5685"/>
    <w:rsid w:val="001A5696"/>
    <w:rsid w:val="001A579C"/>
    <w:rsid w:val="001A5816"/>
    <w:rsid w:val="001A5885"/>
    <w:rsid w:val="001A5920"/>
    <w:rsid w:val="001A5978"/>
    <w:rsid w:val="001A598D"/>
    <w:rsid w:val="001A59B2"/>
    <w:rsid w:val="001A59B4"/>
    <w:rsid w:val="001A59BD"/>
    <w:rsid w:val="001A5AC3"/>
    <w:rsid w:val="001A5AFA"/>
    <w:rsid w:val="001A5B64"/>
    <w:rsid w:val="001A5B9B"/>
    <w:rsid w:val="001A5BB0"/>
    <w:rsid w:val="001A5C69"/>
    <w:rsid w:val="001A5C6C"/>
    <w:rsid w:val="001A5C9E"/>
    <w:rsid w:val="001A5CFC"/>
    <w:rsid w:val="001A5D7F"/>
    <w:rsid w:val="001A5D99"/>
    <w:rsid w:val="001A5DEF"/>
    <w:rsid w:val="001A5E3C"/>
    <w:rsid w:val="001A5F0E"/>
    <w:rsid w:val="001A5F17"/>
    <w:rsid w:val="001A5F22"/>
    <w:rsid w:val="001A5F31"/>
    <w:rsid w:val="001A5F3D"/>
    <w:rsid w:val="001A5F62"/>
    <w:rsid w:val="001A5FAC"/>
    <w:rsid w:val="001A5FC3"/>
    <w:rsid w:val="001A5FF9"/>
    <w:rsid w:val="001A6006"/>
    <w:rsid w:val="001A601A"/>
    <w:rsid w:val="001A6022"/>
    <w:rsid w:val="001A6051"/>
    <w:rsid w:val="001A608B"/>
    <w:rsid w:val="001A60D9"/>
    <w:rsid w:val="001A60E9"/>
    <w:rsid w:val="001A611D"/>
    <w:rsid w:val="001A6158"/>
    <w:rsid w:val="001A617D"/>
    <w:rsid w:val="001A6186"/>
    <w:rsid w:val="001A61B9"/>
    <w:rsid w:val="001A61E0"/>
    <w:rsid w:val="001A61F4"/>
    <w:rsid w:val="001A6249"/>
    <w:rsid w:val="001A6271"/>
    <w:rsid w:val="001A62B4"/>
    <w:rsid w:val="001A62BD"/>
    <w:rsid w:val="001A62CB"/>
    <w:rsid w:val="001A62DE"/>
    <w:rsid w:val="001A6327"/>
    <w:rsid w:val="001A6351"/>
    <w:rsid w:val="001A635E"/>
    <w:rsid w:val="001A63A3"/>
    <w:rsid w:val="001A63E2"/>
    <w:rsid w:val="001A647A"/>
    <w:rsid w:val="001A6485"/>
    <w:rsid w:val="001A650A"/>
    <w:rsid w:val="001A653C"/>
    <w:rsid w:val="001A6569"/>
    <w:rsid w:val="001A6594"/>
    <w:rsid w:val="001A65D0"/>
    <w:rsid w:val="001A65D2"/>
    <w:rsid w:val="001A6645"/>
    <w:rsid w:val="001A668B"/>
    <w:rsid w:val="001A66DC"/>
    <w:rsid w:val="001A66E9"/>
    <w:rsid w:val="001A67B5"/>
    <w:rsid w:val="001A686D"/>
    <w:rsid w:val="001A68A7"/>
    <w:rsid w:val="001A68CE"/>
    <w:rsid w:val="001A691B"/>
    <w:rsid w:val="001A69E7"/>
    <w:rsid w:val="001A6A1D"/>
    <w:rsid w:val="001A6AB8"/>
    <w:rsid w:val="001A6ACB"/>
    <w:rsid w:val="001A6AD2"/>
    <w:rsid w:val="001A6B26"/>
    <w:rsid w:val="001A6B30"/>
    <w:rsid w:val="001A6B73"/>
    <w:rsid w:val="001A6B7B"/>
    <w:rsid w:val="001A6BD8"/>
    <w:rsid w:val="001A6C25"/>
    <w:rsid w:val="001A6DEA"/>
    <w:rsid w:val="001A6DF4"/>
    <w:rsid w:val="001A6E45"/>
    <w:rsid w:val="001A6E61"/>
    <w:rsid w:val="001A6E73"/>
    <w:rsid w:val="001A6E91"/>
    <w:rsid w:val="001A6EC2"/>
    <w:rsid w:val="001A6EDA"/>
    <w:rsid w:val="001A6EF7"/>
    <w:rsid w:val="001A6F7B"/>
    <w:rsid w:val="001A6F7C"/>
    <w:rsid w:val="001A6FBD"/>
    <w:rsid w:val="001A7007"/>
    <w:rsid w:val="001A702E"/>
    <w:rsid w:val="001A709E"/>
    <w:rsid w:val="001A70BB"/>
    <w:rsid w:val="001A7148"/>
    <w:rsid w:val="001A7228"/>
    <w:rsid w:val="001A72BA"/>
    <w:rsid w:val="001A72E8"/>
    <w:rsid w:val="001A739F"/>
    <w:rsid w:val="001A73FB"/>
    <w:rsid w:val="001A74B0"/>
    <w:rsid w:val="001A7587"/>
    <w:rsid w:val="001A7588"/>
    <w:rsid w:val="001A7595"/>
    <w:rsid w:val="001A75DC"/>
    <w:rsid w:val="001A7602"/>
    <w:rsid w:val="001A7606"/>
    <w:rsid w:val="001A7615"/>
    <w:rsid w:val="001A7674"/>
    <w:rsid w:val="001A769E"/>
    <w:rsid w:val="001A76C6"/>
    <w:rsid w:val="001A76DF"/>
    <w:rsid w:val="001A77CF"/>
    <w:rsid w:val="001A77DD"/>
    <w:rsid w:val="001A7868"/>
    <w:rsid w:val="001A78CA"/>
    <w:rsid w:val="001A7902"/>
    <w:rsid w:val="001A7939"/>
    <w:rsid w:val="001A795C"/>
    <w:rsid w:val="001A7967"/>
    <w:rsid w:val="001A7980"/>
    <w:rsid w:val="001A799A"/>
    <w:rsid w:val="001A79A4"/>
    <w:rsid w:val="001A79C0"/>
    <w:rsid w:val="001A79EA"/>
    <w:rsid w:val="001A7A4E"/>
    <w:rsid w:val="001A7A4F"/>
    <w:rsid w:val="001A7A80"/>
    <w:rsid w:val="001A7ADE"/>
    <w:rsid w:val="001A7B68"/>
    <w:rsid w:val="001A7BDB"/>
    <w:rsid w:val="001A7C25"/>
    <w:rsid w:val="001A7C49"/>
    <w:rsid w:val="001A7CA4"/>
    <w:rsid w:val="001A7CCA"/>
    <w:rsid w:val="001A7CD5"/>
    <w:rsid w:val="001A7CF2"/>
    <w:rsid w:val="001A7CFF"/>
    <w:rsid w:val="001A7D41"/>
    <w:rsid w:val="001A7E05"/>
    <w:rsid w:val="001A7E1E"/>
    <w:rsid w:val="001A7E2A"/>
    <w:rsid w:val="001A7E40"/>
    <w:rsid w:val="001A7E5D"/>
    <w:rsid w:val="001A7E64"/>
    <w:rsid w:val="001A7EC3"/>
    <w:rsid w:val="001A7ED3"/>
    <w:rsid w:val="001A7EF8"/>
    <w:rsid w:val="001A7F46"/>
    <w:rsid w:val="001A7F51"/>
    <w:rsid w:val="001A7F5E"/>
    <w:rsid w:val="001A7F9C"/>
    <w:rsid w:val="001A7FFB"/>
    <w:rsid w:val="001B0037"/>
    <w:rsid w:val="001B004E"/>
    <w:rsid w:val="001B0074"/>
    <w:rsid w:val="001B007A"/>
    <w:rsid w:val="001B00CC"/>
    <w:rsid w:val="001B00E1"/>
    <w:rsid w:val="001B0113"/>
    <w:rsid w:val="001B0138"/>
    <w:rsid w:val="001B0161"/>
    <w:rsid w:val="001B01A3"/>
    <w:rsid w:val="001B01F1"/>
    <w:rsid w:val="001B021B"/>
    <w:rsid w:val="001B0225"/>
    <w:rsid w:val="001B023F"/>
    <w:rsid w:val="001B0252"/>
    <w:rsid w:val="001B027C"/>
    <w:rsid w:val="001B0287"/>
    <w:rsid w:val="001B02C0"/>
    <w:rsid w:val="001B02D9"/>
    <w:rsid w:val="001B035F"/>
    <w:rsid w:val="001B03C3"/>
    <w:rsid w:val="001B043E"/>
    <w:rsid w:val="001B0453"/>
    <w:rsid w:val="001B0472"/>
    <w:rsid w:val="001B04BB"/>
    <w:rsid w:val="001B052F"/>
    <w:rsid w:val="001B053B"/>
    <w:rsid w:val="001B05A6"/>
    <w:rsid w:val="001B060A"/>
    <w:rsid w:val="001B0682"/>
    <w:rsid w:val="001B0690"/>
    <w:rsid w:val="001B06B0"/>
    <w:rsid w:val="001B06E5"/>
    <w:rsid w:val="001B073B"/>
    <w:rsid w:val="001B075A"/>
    <w:rsid w:val="001B0775"/>
    <w:rsid w:val="001B07C0"/>
    <w:rsid w:val="001B07D9"/>
    <w:rsid w:val="001B0800"/>
    <w:rsid w:val="001B0833"/>
    <w:rsid w:val="001B0840"/>
    <w:rsid w:val="001B089C"/>
    <w:rsid w:val="001B08B5"/>
    <w:rsid w:val="001B08E3"/>
    <w:rsid w:val="001B0945"/>
    <w:rsid w:val="001B0951"/>
    <w:rsid w:val="001B095D"/>
    <w:rsid w:val="001B095F"/>
    <w:rsid w:val="001B098B"/>
    <w:rsid w:val="001B0996"/>
    <w:rsid w:val="001B09CD"/>
    <w:rsid w:val="001B09F5"/>
    <w:rsid w:val="001B0A04"/>
    <w:rsid w:val="001B0A09"/>
    <w:rsid w:val="001B0A70"/>
    <w:rsid w:val="001B0A92"/>
    <w:rsid w:val="001B0AD2"/>
    <w:rsid w:val="001B0B55"/>
    <w:rsid w:val="001B0B75"/>
    <w:rsid w:val="001B0B83"/>
    <w:rsid w:val="001B0B9E"/>
    <w:rsid w:val="001B0C4A"/>
    <w:rsid w:val="001B0CD3"/>
    <w:rsid w:val="001B0D80"/>
    <w:rsid w:val="001B0E0D"/>
    <w:rsid w:val="001B0E36"/>
    <w:rsid w:val="001B0E3F"/>
    <w:rsid w:val="001B0E94"/>
    <w:rsid w:val="001B0F14"/>
    <w:rsid w:val="001B0F25"/>
    <w:rsid w:val="001B0F43"/>
    <w:rsid w:val="001B0FC9"/>
    <w:rsid w:val="001B1151"/>
    <w:rsid w:val="001B11AA"/>
    <w:rsid w:val="001B11EF"/>
    <w:rsid w:val="001B11F5"/>
    <w:rsid w:val="001B11F6"/>
    <w:rsid w:val="001B1207"/>
    <w:rsid w:val="001B120C"/>
    <w:rsid w:val="001B1213"/>
    <w:rsid w:val="001B123F"/>
    <w:rsid w:val="001B1270"/>
    <w:rsid w:val="001B1293"/>
    <w:rsid w:val="001B12C2"/>
    <w:rsid w:val="001B1333"/>
    <w:rsid w:val="001B1352"/>
    <w:rsid w:val="001B137A"/>
    <w:rsid w:val="001B1496"/>
    <w:rsid w:val="001B14A2"/>
    <w:rsid w:val="001B14A5"/>
    <w:rsid w:val="001B14EC"/>
    <w:rsid w:val="001B153C"/>
    <w:rsid w:val="001B1540"/>
    <w:rsid w:val="001B1583"/>
    <w:rsid w:val="001B1649"/>
    <w:rsid w:val="001B1660"/>
    <w:rsid w:val="001B166B"/>
    <w:rsid w:val="001B167E"/>
    <w:rsid w:val="001B16F4"/>
    <w:rsid w:val="001B1701"/>
    <w:rsid w:val="001B1734"/>
    <w:rsid w:val="001B176D"/>
    <w:rsid w:val="001B179F"/>
    <w:rsid w:val="001B17B3"/>
    <w:rsid w:val="001B17C2"/>
    <w:rsid w:val="001B17C8"/>
    <w:rsid w:val="001B1882"/>
    <w:rsid w:val="001B18F5"/>
    <w:rsid w:val="001B1904"/>
    <w:rsid w:val="001B190B"/>
    <w:rsid w:val="001B1910"/>
    <w:rsid w:val="001B198A"/>
    <w:rsid w:val="001B19CA"/>
    <w:rsid w:val="001B19DC"/>
    <w:rsid w:val="001B19E5"/>
    <w:rsid w:val="001B1A29"/>
    <w:rsid w:val="001B1A4B"/>
    <w:rsid w:val="001B1A64"/>
    <w:rsid w:val="001B1A9B"/>
    <w:rsid w:val="001B1AB1"/>
    <w:rsid w:val="001B1AD8"/>
    <w:rsid w:val="001B1AE2"/>
    <w:rsid w:val="001B1B1A"/>
    <w:rsid w:val="001B1BA8"/>
    <w:rsid w:val="001B1BB6"/>
    <w:rsid w:val="001B1C4C"/>
    <w:rsid w:val="001B1C7C"/>
    <w:rsid w:val="001B1C92"/>
    <w:rsid w:val="001B1C93"/>
    <w:rsid w:val="001B1D0D"/>
    <w:rsid w:val="001B1D4E"/>
    <w:rsid w:val="001B1DD5"/>
    <w:rsid w:val="001B1EA1"/>
    <w:rsid w:val="001B1F28"/>
    <w:rsid w:val="001B1F30"/>
    <w:rsid w:val="001B1F55"/>
    <w:rsid w:val="001B1F5F"/>
    <w:rsid w:val="001B1F88"/>
    <w:rsid w:val="001B2007"/>
    <w:rsid w:val="001B207E"/>
    <w:rsid w:val="001B20BD"/>
    <w:rsid w:val="001B20D3"/>
    <w:rsid w:val="001B2125"/>
    <w:rsid w:val="001B2274"/>
    <w:rsid w:val="001B22F4"/>
    <w:rsid w:val="001B23CA"/>
    <w:rsid w:val="001B244B"/>
    <w:rsid w:val="001B24E8"/>
    <w:rsid w:val="001B24F3"/>
    <w:rsid w:val="001B2507"/>
    <w:rsid w:val="001B2524"/>
    <w:rsid w:val="001B2580"/>
    <w:rsid w:val="001B258B"/>
    <w:rsid w:val="001B25C2"/>
    <w:rsid w:val="001B269D"/>
    <w:rsid w:val="001B26F8"/>
    <w:rsid w:val="001B2766"/>
    <w:rsid w:val="001B27ED"/>
    <w:rsid w:val="001B280C"/>
    <w:rsid w:val="001B282B"/>
    <w:rsid w:val="001B283F"/>
    <w:rsid w:val="001B28C4"/>
    <w:rsid w:val="001B28CC"/>
    <w:rsid w:val="001B28CF"/>
    <w:rsid w:val="001B28D2"/>
    <w:rsid w:val="001B28D7"/>
    <w:rsid w:val="001B28E9"/>
    <w:rsid w:val="001B291E"/>
    <w:rsid w:val="001B2939"/>
    <w:rsid w:val="001B2959"/>
    <w:rsid w:val="001B2982"/>
    <w:rsid w:val="001B29EB"/>
    <w:rsid w:val="001B2A2E"/>
    <w:rsid w:val="001B2B18"/>
    <w:rsid w:val="001B2B25"/>
    <w:rsid w:val="001B2B76"/>
    <w:rsid w:val="001B2BE2"/>
    <w:rsid w:val="001B2C1D"/>
    <w:rsid w:val="001B2C3A"/>
    <w:rsid w:val="001B2C3D"/>
    <w:rsid w:val="001B2C4C"/>
    <w:rsid w:val="001B2C8F"/>
    <w:rsid w:val="001B2D14"/>
    <w:rsid w:val="001B2D43"/>
    <w:rsid w:val="001B2D45"/>
    <w:rsid w:val="001B2D53"/>
    <w:rsid w:val="001B2D9A"/>
    <w:rsid w:val="001B2DB9"/>
    <w:rsid w:val="001B2DE9"/>
    <w:rsid w:val="001B2E0E"/>
    <w:rsid w:val="001B2E14"/>
    <w:rsid w:val="001B2E40"/>
    <w:rsid w:val="001B2F13"/>
    <w:rsid w:val="001B2F2D"/>
    <w:rsid w:val="001B2F82"/>
    <w:rsid w:val="001B2F8C"/>
    <w:rsid w:val="001B2F8E"/>
    <w:rsid w:val="001B2F98"/>
    <w:rsid w:val="001B2F9F"/>
    <w:rsid w:val="001B2FC4"/>
    <w:rsid w:val="001B3084"/>
    <w:rsid w:val="001B3092"/>
    <w:rsid w:val="001B30A6"/>
    <w:rsid w:val="001B30A9"/>
    <w:rsid w:val="001B30C2"/>
    <w:rsid w:val="001B3102"/>
    <w:rsid w:val="001B3142"/>
    <w:rsid w:val="001B31A1"/>
    <w:rsid w:val="001B31AE"/>
    <w:rsid w:val="001B31E2"/>
    <w:rsid w:val="001B31E5"/>
    <w:rsid w:val="001B31F3"/>
    <w:rsid w:val="001B3237"/>
    <w:rsid w:val="001B3244"/>
    <w:rsid w:val="001B327F"/>
    <w:rsid w:val="001B32B1"/>
    <w:rsid w:val="001B3397"/>
    <w:rsid w:val="001B339C"/>
    <w:rsid w:val="001B33CC"/>
    <w:rsid w:val="001B33FE"/>
    <w:rsid w:val="001B3401"/>
    <w:rsid w:val="001B341C"/>
    <w:rsid w:val="001B3453"/>
    <w:rsid w:val="001B34AD"/>
    <w:rsid w:val="001B34DA"/>
    <w:rsid w:val="001B3531"/>
    <w:rsid w:val="001B3585"/>
    <w:rsid w:val="001B35E4"/>
    <w:rsid w:val="001B3606"/>
    <w:rsid w:val="001B361F"/>
    <w:rsid w:val="001B3664"/>
    <w:rsid w:val="001B36A5"/>
    <w:rsid w:val="001B36E0"/>
    <w:rsid w:val="001B36FD"/>
    <w:rsid w:val="001B3712"/>
    <w:rsid w:val="001B371D"/>
    <w:rsid w:val="001B372A"/>
    <w:rsid w:val="001B3743"/>
    <w:rsid w:val="001B3766"/>
    <w:rsid w:val="001B37E3"/>
    <w:rsid w:val="001B37F8"/>
    <w:rsid w:val="001B3814"/>
    <w:rsid w:val="001B3816"/>
    <w:rsid w:val="001B3826"/>
    <w:rsid w:val="001B3827"/>
    <w:rsid w:val="001B383C"/>
    <w:rsid w:val="001B38D5"/>
    <w:rsid w:val="001B38FE"/>
    <w:rsid w:val="001B3944"/>
    <w:rsid w:val="001B397C"/>
    <w:rsid w:val="001B397E"/>
    <w:rsid w:val="001B39A0"/>
    <w:rsid w:val="001B39A1"/>
    <w:rsid w:val="001B39AC"/>
    <w:rsid w:val="001B39AD"/>
    <w:rsid w:val="001B3A57"/>
    <w:rsid w:val="001B3A6B"/>
    <w:rsid w:val="001B3A90"/>
    <w:rsid w:val="001B3AB8"/>
    <w:rsid w:val="001B3AD2"/>
    <w:rsid w:val="001B3B12"/>
    <w:rsid w:val="001B3B4D"/>
    <w:rsid w:val="001B3B6C"/>
    <w:rsid w:val="001B3B73"/>
    <w:rsid w:val="001B3B83"/>
    <w:rsid w:val="001B3B8D"/>
    <w:rsid w:val="001B3BB1"/>
    <w:rsid w:val="001B3BDF"/>
    <w:rsid w:val="001B3BE7"/>
    <w:rsid w:val="001B3C05"/>
    <w:rsid w:val="001B3C3C"/>
    <w:rsid w:val="001B3C81"/>
    <w:rsid w:val="001B3C92"/>
    <w:rsid w:val="001B3CC0"/>
    <w:rsid w:val="001B3DA7"/>
    <w:rsid w:val="001B3DE6"/>
    <w:rsid w:val="001B3E10"/>
    <w:rsid w:val="001B3E4A"/>
    <w:rsid w:val="001B3E9E"/>
    <w:rsid w:val="001B3EBB"/>
    <w:rsid w:val="001B3ED2"/>
    <w:rsid w:val="001B3EDE"/>
    <w:rsid w:val="001B3EEA"/>
    <w:rsid w:val="001B3EF0"/>
    <w:rsid w:val="001B3F66"/>
    <w:rsid w:val="001B3FCB"/>
    <w:rsid w:val="001B3FCC"/>
    <w:rsid w:val="001B3FDD"/>
    <w:rsid w:val="001B3FF0"/>
    <w:rsid w:val="001B4009"/>
    <w:rsid w:val="001B400F"/>
    <w:rsid w:val="001B405D"/>
    <w:rsid w:val="001B405F"/>
    <w:rsid w:val="001B406A"/>
    <w:rsid w:val="001B40D8"/>
    <w:rsid w:val="001B410A"/>
    <w:rsid w:val="001B415B"/>
    <w:rsid w:val="001B41BE"/>
    <w:rsid w:val="001B41C4"/>
    <w:rsid w:val="001B426C"/>
    <w:rsid w:val="001B426E"/>
    <w:rsid w:val="001B42B2"/>
    <w:rsid w:val="001B4342"/>
    <w:rsid w:val="001B4343"/>
    <w:rsid w:val="001B43D5"/>
    <w:rsid w:val="001B43E6"/>
    <w:rsid w:val="001B43F1"/>
    <w:rsid w:val="001B4467"/>
    <w:rsid w:val="001B449D"/>
    <w:rsid w:val="001B44F7"/>
    <w:rsid w:val="001B4516"/>
    <w:rsid w:val="001B451E"/>
    <w:rsid w:val="001B453C"/>
    <w:rsid w:val="001B454B"/>
    <w:rsid w:val="001B455D"/>
    <w:rsid w:val="001B45CE"/>
    <w:rsid w:val="001B467A"/>
    <w:rsid w:val="001B46F2"/>
    <w:rsid w:val="001B46FC"/>
    <w:rsid w:val="001B4701"/>
    <w:rsid w:val="001B4722"/>
    <w:rsid w:val="001B4739"/>
    <w:rsid w:val="001B4759"/>
    <w:rsid w:val="001B478F"/>
    <w:rsid w:val="001B4812"/>
    <w:rsid w:val="001B485E"/>
    <w:rsid w:val="001B48D8"/>
    <w:rsid w:val="001B48EE"/>
    <w:rsid w:val="001B490D"/>
    <w:rsid w:val="001B49A3"/>
    <w:rsid w:val="001B49B6"/>
    <w:rsid w:val="001B49EC"/>
    <w:rsid w:val="001B4A08"/>
    <w:rsid w:val="001B4A42"/>
    <w:rsid w:val="001B4A75"/>
    <w:rsid w:val="001B4A83"/>
    <w:rsid w:val="001B4ADA"/>
    <w:rsid w:val="001B4B1B"/>
    <w:rsid w:val="001B4B45"/>
    <w:rsid w:val="001B4B4B"/>
    <w:rsid w:val="001B4B9C"/>
    <w:rsid w:val="001B4BAB"/>
    <w:rsid w:val="001B4BB3"/>
    <w:rsid w:val="001B4BEB"/>
    <w:rsid w:val="001B4C12"/>
    <w:rsid w:val="001B4C33"/>
    <w:rsid w:val="001B4C47"/>
    <w:rsid w:val="001B4CA6"/>
    <w:rsid w:val="001B4CAB"/>
    <w:rsid w:val="001B4CB2"/>
    <w:rsid w:val="001B4D02"/>
    <w:rsid w:val="001B4D36"/>
    <w:rsid w:val="001B4D3A"/>
    <w:rsid w:val="001B4D40"/>
    <w:rsid w:val="001B4DD7"/>
    <w:rsid w:val="001B4E20"/>
    <w:rsid w:val="001B4E3C"/>
    <w:rsid w:val="001B4E5D"/>
    <w:rsid w:val="001B4E62"/>
    <w:rsid w:val="001B4E6E"/>
    <w:rsid w:val="001B4E75"/>
    <w:rsid w:val="001B4E8B"/>
    <w:rsid w:val="001B4E99"/>
    <w:rsid w:val="001B4F40"/>
    <w:rsid w:val="001B4F70"/>
    <w:rsid w:val="001B4FFA"/>
    <w:rsid w:val="001B503B"/>
    <w:rsid w:val="001B5081"/>
    <w:rsid w:val="001B5091"/>
    <w:rsid w:val="001B5096"/>
    <w:rsid w:val="001B50AB"/>
    <w:rsid w:val="001B510F"/>
    <w:rsid w:val="001B5176"/>
    <w:rsid w:val="001B5188"/>
    <w:rsid w:val="001B518D"/>
    <w:rsid w:val="001B51BB"/>
    <w:rsid w:val="001B51C3"/>
    <w:rsid w:val="001B51C8"/>
    <w:rsid w:val="001B51F8"/>
    <w:rsid w:val="001B521C"/>
    <w:rsid w:val="001B523C"/>
    <w:rsid w:val="001B5263"/>
    <w:rsid w:val="001B5266"/>
    <w:rsid w:val="001B52C5"/>
    <w:rsid w:val="001B535E"/>
    <w:rsid w:val="001B5395"/>
    <w:rsid w:val="001B539D"/>
    <w:rsid w:val="001B53D8"/>
    <w:rsid w:val="001B5431"/>
    <w:rsid w:val="001B5432"/>
    <w:rsid w:val="001B5433"/>
    <w:rsid w:val="001B5443"/>
    <w:rsid w:val="001B54F1"/>
    <w:rsid w:val="001B5544"/>
    <w:rsid w:val="001B556D"/>
    <w:rsid w:val="001B55C0"/>
    <w:rsid w:val="001B5611"/>
    <w:rsid w:val="001B5640"/>
    <w:rsid w:val="001B5666"/>
    <w:rsid w:val="001B5699"/>
    <w:rsid w:val="001B56EF"/>
    <w:rsid w:val="001B56FC"/>
    <w:rsid w:val="001B5727"/>
    <w:rsid w:val="001B5766"/>
    <w:rsid w:val="001B57B5"/>
    <w:rsid w:val="001B5887"/>
    <w:rsid w:val="001B5893"/>
    <w:rsid w:val="001B5895"/>
    <w:rsid w:val="001B58A3"/>
    <w:rsid w:val="001B58A7"/>
    <w:rsid w:val="001B58B7"/>
    <w:rsid w:val="001B58D6"/>
    <w:rsid w:val="001B58F7"/>
    <w:rsid w:val="001B591D"/>
    <w:rsid w:val="001B59BC"/>
    <w:rsid w:val="001B59EF"/>
    <w:rsid w:val="001B59F9"/>
    <w:rsid w:val="001B5A08"/>
    <w:rsid w:val="001B5AEC"/>
    <w:rsid w:val="001B5AEF"/>
    <w:rsid w:val="001B5B36"/>
    <w:rsid w:val="001B5B93"/>
    <w:rsid w:val="001B5BA9"/>
    <w:rsid w:val="001B5C07"/>
    <w:rsid w:val="001B5C58"/>
    <w:rsid w:val="001B5C5A"/>
    <w:rsid w:val="001B5CBB"/>
    <w:rsid w:val="001B5CE9"/>
    <w:rsid w:val="001B5D84"/>
    <w:rsid w:val="001B5DE4"/>
    <w:rsid w:val="001B5E37"/>
    <w:rsid w:val="001B5E57"/>
    <w:rsid w:val="001B5E69"/>
    <w:rsid w:val="001B5E6B"/>
    <w:rsid w:val="001B5E9E"/>
    <w:rsid w:val="001B5EC1"/>
    <w:rsid w:val="001B5EE1"/>
    <w:rsid w:val="001B5F2C"/>
    <w:rsid w:val="001B5F4F"/>
    <w:rsid w:val="001B5F5F"/>
    <w:rsid w:val="001B5F79"/>
    <w:rsid w:val="001B5FA9"/>
    <w:rsid w:val="001B5FB2"/>
    <w:rsid w:val="001B6058"/>
    <w:rsid w:val="001B606E"/>
    <w:rsid w:val="001B60A6"/>
    <w:rsid w:val="001B60FE"/>
    <w:rsid w:val="001B6147"/>
    <w:rsid w:val="001B615B"/>
    <w:rsid w:val="001B6161"/>
    <w:rsid w:val="001B616D"/>
    <w:rsid w:val="001B618E"/>
    <w:rsid w:val="001B6246"/>
    <w:rsid w:val="001B632E"/>
    <w:rsid w:val="001B634E"/>
    <w:rsid w:val="001B6389"/>
    <w:rsid w:val="001B63DB"/>
    <w:rsid w:val="001B643B"/>
    <w:rsid w:val="001B6465"/>
    <w:rsid w:val="001B646E"/>
    <w:rsid w:val="001B64C1"/>
    <w:rsid w:val="001B6505"/>
    <w:rsid w:val="001B6513"/>
    <w:rsid w:val="001B6542"/>
    <w:rsid w:val="001B654D"/>
    <w:rsid w:val="001B6558"/>
    <w:rsid w:val="001B65E8"/>
    <w:rsid w:val="001B6675"/>
    <w:rsid w:val="001B66BD"/>
    <w:rsid w:val="001B66D2"/>
    <w:rsid w:val="001B66F2"/>
    <w:rsid w:val="001B670C"/>
    <w:rsid w:val="001B6758"/>
    <w:rsid w:val="001B67B4"/>
    <w:rsid w:val="001B67F2"/>
    <w:rsid w:val="001B689B"/>
    <w:rsid w:val="001B68F9"/>
    <w:rsid w:val="001B6929"/>
    <w:rsid w:val="001B6937"/>
    <w:rsid w:val="001B6961"/>
    <w:rsid w:val="001B6982"/>
    <w:rsid w:val="001B69C1"/>
    <w:rsid w:val="001B69D9"/>
    <w:rsid w:val="001B6A0A"/>
    <w:rsid w:val="001B6A0F"/>
    <w:rsid w:val="001B6A14"/>
    <w:rsid w:val="001B6A22"/>
    <w:rsid w:val="001B6A53"/>
    <w:rsid w:val="001B6ABC"/>
    <w:rsid w:val="001B6ACB"/>
    <w:rsid w:val="001B6B5A"/>
    <w:rsid w:val="001B6B77"/>
    <w:rsid w:val="001B6BB3"/>
    <w:rsid w:val="001B6BC3"/>
    <w:rsid w:val="001B6C0D"/>
    <w:rsid w:val="001B6C12"/>
    <w:rsid w:val="001B6C15"/>
    <w:rsid w:val="001B6C1C"/>
    <w:rsid w:val="001B6C56"/>
    <w:rsid w:val="001B6C71"/>
    <w:rsid w:val="001B6CAE"/>
    <w:rsid w:val="001B6CC9"/>
    <w:rsid w:val="001B6D07"/>
    <w:rsid w:val="001B6D39"/>
    <w:rsid w:val="001B6D5E"/>
    <w:rsid w:val="001B6D6B"/>
    <w:rsid w:val="001B6DA3"/>
    <w:rsid w:val="001B6E16"/>
    <w:rsid w:val="001B6EB8"/>
    <w:rsid w:val="001B6EF0"/>
    <w:rsid w:val="001B6F8D"/>
    <w:rsid w:val="001B6FE6"/>
    <w:rsid w:val="001B6FFD"/>
    <w:rsid w:val="001B7026"/>
    <w:rsid w:val="001B7095"/>
    <w:rsid w:val="001B70B0"/>
    <w:rsid w:val="001B70C5"/>
    <w:rsid w:val="001B70D6"/>
    <w:rsid w:val="001B710B"/>
    <w:rsid w:val="001B7143"/>
    <w:rsid w:val="001B7146"/>
    <w:rsid w:val="001B7173"/>
    <w:rsid w:val="001B71BE"/>
    <w:rsid w:val="001B71CE"/>
    <w:rsid w:val="001B71E0"/>
    <w:rsid w:val="001B7205"/>
    <w:rsid w:val="001B72E2"/>
    <w:rsid w:val="001B72FC"/>
    <w:rsid w:val="001B7302"/>
    <w:rsid w:val="001B73BA"/>
    <w:rsid w:val="001B7410"/>
    <w:rsid w:val="001B743A"/>
    <w:rsid w:val="001B7459"/>
    <w:rsid w:val="001B74B5"/>
    <w:rsid w:val="001B74FE"/>
    <w:rsid w:val="001B7515"/>
    <w:rsid w:val="001B75FB"/>
    <w:rsid w:val="001B7603"/>
    <w:rsid w:val="001B7646"/>
    <w:rsid w:val="001B76AC"/>
    <w:rsid w:val="001B7740"/>
    <w:rsid w:val="001B774E"/>
    <w:rsid w:val="001B7762"/>
    <w:rsid w:val="001B777F"/>
    <w:rsid w:val="001B778E"/>
    <w:rsid w:val="001B77E8"/>
    <w:rsid w:val="001B77F3"/>
    <w:rsid w:val="001B7825"/>
    <w:rsid w:val="001B7838"/>
    <w:rsid w:val="001B78D3"/>
    <w:rsid w:val="001B7922"/>
    <w:rsid w:val="001B7983"/>
    <w:rsid w:val="001B79A8"/>
    <w:rsid w:val="001B7A21"/>
    <w:rsid w:val="001B7AA8"/>
    <w:rsid w:val="001B7B2D"/>
    <w:rsid w:val="001B7B40"/>
    <w:rsid w:val="001B7B66"/>
    <w:rsid w:val="001B7B96"/>
    <w:rsid w:val="001B7BF1"/>
    <w:rsid w:val="001B7BF2"/>
    <w:rsid w:val="001B7C05"/>
    <w:rsid w:val="001B7C21"/>
    <w:rsid w:val="001B7C2C"/>
    <w:rsid w:val="001B7C66"/>
    <w:rsid w:val="001B7C7C"/>
    <w:rsid w:val="001B7D09"/>
    <w:rsid w:val="001B7D24"/>
    <w:rsid w:val="001B7D2D"/>
    <w:rsid w:val="001B7DEC"/>
    <w:rsid w:val="001B7DEE"/>
    <w:rsid w:val="001B7DF0"/>
    <w:rsid w:val="001B7E37"/>
    <w:rsid w:val="001B7EEA"/>
    <w:rsid w:val="001B7F5F"/>
    <w:rsid w:val="001B7F61"/>
    <w:rsid w:val="001B7FF2"/>
    <w:rsid w:val="001C000B"/>
    <w:rsid w:val="001C0029"/>
    <w:rsid w:val="001C00BC"/>
    <w:rsid w:val="001C00E0"/>
    <w:rsid w:val="001C0113"/>
    <w:rsid w:val="001C016C"/>
    <w:rsid w:val="001C01BA"/>
    <w:rsid w:val="001C0282"/>
    <w:rsid w:val="001C0320"/>
    <w:rsid w:val="001C0322"/>
    <w:rsid w:val="001C038D"/>
    <w:rsid w:val="001C03AD"/>
    <w:rsid w:val="001C03CD"/>
    <w:rsid w:val="001C0404"/>
    <w:rsid w:val="001C04E8"/>
    <w:rsid w:val="001C056A"/>
    <w:rsid w:val="001C0584"/>
    <w:rsid w:val="001C05C1"/>
    <w:rsid w:val="001C0633"/>
    <w:rsid w:val="001C0675"/>
    <w:rsid w:val="001C06E9"/>
    <w:rsid w:val="001C070F"/>
    <w:rsid w:val="001C0716"/>
    <w:rsid w:val="001C0791"/>
    <w:rsid w:val="001C07A9"/>
    <w:rsid w:val="001C07C2"/>
    <w:rsid w:val="001C07DC"/>
    <w:rsid w:val="001C07E2"/>
    <w:rsid w:val="001C0821"/>
    <w:rsid w:val="001C0830"/>
    <w:rsid w:val="001C0840"/>
    <w:rsid w:val="001C0844"/>
    <w:rsid w:val="001C088F"/>
    <w:rsid w:val="001C08DE"/>
    <w:rsid w:val="001C097D"/>
    <w:rsid w:val="001C0A3E"/>
    <w:rsid w:val="001C0AC8"/>
    <w:rsid w:val="001C0AF0"/>
    <w:rsid w:val="001C0B07"/>
    <w:rsid w:val="001C0BBE"/>
    <w:rsid w:val="001C0C15"/>
    <w:rsid w:val="001C0C1D"/>
    <w:rsid w:val="001C0C23"/>
    <w:rsid w:val="001C0C33"/>
    <w:rsid w:val="001C0C4E"/>
    <w:rsid w:val="001C0C82"/>
    <w:rsid w:val="001C0C8E"/>
    <w:rsid w:val="001C0CA2"/>
    <w:rsid w:val="001C0CC3"/>
    <w:rsid w:val="001C0CD5"/>
    <w:rsid w:val="001C0D41"/>
    <w:rsid w:val="001C0D46"/>
    <w:rsid w:val="001C0D6F"/>
    <w:rsid w:val="001C0DE9"/>
    <w:rsid w:val="001C0DF3"/>
    <w:rsid w:val="001C0E2B"/>
    <w:rsid w:val="001C0E50"/>
    <w:rsid w:val="001C0E83"/>
    <w:rsid w:val="001C0EC0"/>
    <w:rsid w:val="001C0ED6"/>
    <w:rsid w:val="001C0EE0"/>
    <w:rsid w:val="001C0EEC"/>
    <w:rsid w:val="001C0F43"/>
    <w:rsid w:val="001C0F44"/>
    <w:rsid w:val="001C0FA6"/>
    <w:rsid w:val="001C0FC8"/>
    <w:rsid w:val="001C0FCD"/>
    <w:rsid w:val="001C0FF1"/>
    <w:rsid w:val="001C102E"/>
    <w:rsid w:val="001C1074"/>
    <w:rsid w:val="001C1086"/>
    <w:rsid w:val="001C10E9"/>
    <w:rsid w:val="001C10FB"/>
    <w:rsid w:val="001C1105"/>
    <w:rsid w:val="001C115F"/>
    <w:rsid w:val="001C1178"/>
    <w:rsid w:val="001C1193"/>
    <w:rsid w:val="001C11ED"/>
    <w:rsid w:val="001C123B"/>
    <w:rsid w:val="001C1271"/>
    <w:rsid w:val="001C132B"/>
    <w:rsid w:val="001C133E"/>
    <w:rsid w:val="001C1354"/>
    <w:rsid w:val="001C1387"/>
    <w:rsid w:val="001C1392"/>
    <w:rsid w:val="001C1396"/>
    <w:rsid w:val="001C13A9"/>
    <w:rsid w:val="001C13B6"/>
    <w:rsid w:val="001C13F5"/>
    <w:rsid w:val="001C1438"/>
    <w:rsid w:val="001C1474"/>
    <w:rsid w:val="001C148C"/>
    <w:rsid w:val="001C149C"/>
    <w:rsid w:val="001C1523"/>
    <w:rsid w:val="001C1556"/>
    <w:rsid w:val="001C155F"/>
    <w:rsid w:val="001C15A2"/>
    <w:rsid w:val="001C15E0"/>
    <w:rsid w:val="001C15EC"/>
    <w:rsid w:val="001C15FA"/>
    <w:rsid w:val="001C16B7"/>
    <w:rsid w:val="001C16E0"/>
    <w:rsid w:val="001C1706"/>
    <w:rsid w:val="001C170D"/>
    <w:rsid w:val="001C170E"/>
    <w:rsid w:val="001C17C1"/>
    <w:rsid w:val="001C17D4"/>
    <w:rsid w:val="001C17DA"/>
    <w:rsid w:val="001C17F5"/>
    <w:rsid w:val="001C18A5"/>
    <w:rsid w:val="001C18DF"/>
    <w:rsid w:val="001C18F0"/>
    <w:rsid w:val="001C1920"/>
    <w:rsid w:val="001C1922"/>
    <w:rsid w:val="001C1932"/>
    <w:rsid w:val="001C1996"/>
    <w:rsid w:val="001C19C3"/>
    <w:rsid w:val="001C19CB"/>
    <w:rsid w:val="001C1A08"/>
    <w:rsid w:val="001C1A25"/>
    <w:rsid w:val="001C1A8F"/>
    <w:rsid w:val="001C1AAD"/>
    <w:rsid w:val="001C1AC6"/>
    <w:rsid w:val="001C1B05"/>
    <w:rsid w:val="001C1B1E"/>
    <w:rsid w:val="001C1C4E"/>
    <w:rsid w:val="001C1C7C"/>
    <w:rsid w:val="001C1CAD"/>
    <w:rsid w:val="001C1CD5"/>
    <w:rsid w:val="001C1D07"/>
    <w:rsid w:val="001C1D56"/>
    <w:rsid w:val="001C1D9D"/>
    <w:rsid w:val="001C1DC7"/>
    <w:rsid w:val="001C1DF1"/>
    <w:rsid w:val="001C1DF2"/>
    <w:rsid w:val="001C1E45"/>
    <w:rsid w:val="001C1E49"/>
    <w:rsid w:val="001C1E9C"/>
    <w:rsid w:val="001C1EE1"/>
    <w:rsid w:val="001C1F41"/>
    <w:rsid w:val="001C1FCB"/>
    <w:rsid w:val="001C1FDE"/>
    <w:rsid w:val="001C1FE0"/>
    <w:rsid w:val="001C204D"/>
    <w:rsid w:val="001C2052"/>
    <w:rsid w:val="001C205F"/>
    <w:rsid w:val="001C209E"/>
    <w:rsid w:val="001C20D6"/>
    <w:rsid w:val="001C2117"/>
    <w:rsid w:val="001C2157"/>
    <w:rsid w:val="001C2160"/>
    <w:rsid w:val="001C2190"/>
    <w:rsid w:val="001C21A1"/>
    <w:rsid w:val="001C21C0"/>
    <w:rsid w:val="001C21C5"/>
    <w:rsid w:val="001C21D4"/>
    <w:rsid w:val="001C2220"/>
    <w:rsid w:val="001C2249"/>
    <w:rsid w:val="001C2268"/>
    <w:rsid w:val="001C22CC"/>
    <w:rsid w:val="001C22DB"/>
    <w:rsid w:val="001C22EB"/>
    <w:rsid w:val="001C232F"/>
    <w:rsid w:val="001C2355"/>
    <w:rsid w:val="001C23AD"/>
    <w:rsid w:val="001C23E5"/>
    <w:rsid w:val="001C242B"/>
    <w:rsid w:val="001C2471"/>
    <w:rsid w:val="001C2487"/>
    <w:rsid w:val="001C249E"/>
    <w:rsid w:val="001C24A2"/>
    <w:rsid w:val="001C24F2"/>
    <w:rsid w:val="001C2525"/>
    <w:rsid w:val="001C252B"/>
    <w:rsid w:val="001C2532"/>
    <w:rsid w:val="001C255B"/>
    <w:rsid w:val="001C2560"/>
    <w:rsid w:val="001C2585"/>
    <w:rsid w:val="001C258E"/>
    <w:rsid w:val="001C25A9"/>
    <w:rsid w:val="001C25DF"/>
    <w:rsid w:val="001C266C"/>
    <w:rsid w:val="001C26B5"/>
    <w:rsid w:val="001C26BB"/>
    <w:rsid w:val="001C2726"/>
    <w:rsid w:val="001C27AE"/>
    <w:rsid w:val="001C27DA"/>
    <w:rsid w:val="001C27FF"/>
    <w:rsid w:val="001C282D"/>
    <w:rsid w:val="001C283E"/>
    <w:rsid w:val="001C2888"/>
    <w:rsid w:val="001C28B0"/>
    <w:rsid w:val="001C2958"/>
    <w:rsid w:val="001C29CD"/>
    <w:rsid w:val="001C29D8"/>
    <w:rsid w:val="001C2A4A"/>
    <w:rsid w:val="001C2A80"/>
    <w:rsid w:val="001C2B21"/>
    <w:rsid w:val="001C2B28"/>
    <w:rsid w:val="001C2B36"/>
    <w:rsid w:val="001C2B7A"/>
    <w:rsid w:val="001C2B8E"/>
    <w:rsid w:val="001C2B97"/>
    <w:rsid w:val="001C2BA4"/>
    <w:rsid w:val="001C2C0C"/>
    <w:rsid w:val="001C2C2B"/>
    <w:rsid w:val="001C2C2D"/>
    <w:rsid w:val="001C2C30"/>
    <w:rsid w:val="001C2C54"/>
    <w:rsid w:val="001C2C7B"/>
    <w:rsid w:val="001C2CF0"/>
    <w:rsid w:val="001C2CF9"/>
    <w:rsid w:val="001C2CFD"/>
    <w:rsid w:val="001C2D73"/>
    <w:rsid w:val="001C2D9B"/>
    <w:rsid w:val="001C2DD7"/>
    <w:rsid w:val="001C2E28"/>
    <w:rsid w:val="001C2E7F"/>
    <w:rsid w:val="001C2E89"/>
    <w:rsid w:val="001C2ED8"/>
    <w:rsid w:val="001C2EE6"/>
    <w:rsid w:val="001C2EFA"/>
    <w:rsid w:val="001C2F1E"/>
    <w:rsid w:val="001C2F35"/>
    <w:rsid w:val="001C2F38"/>
    <w:rsid w:val="001C2F83"/>
    <w:rsid w:val="001C301D"/>
    <w:rsid w:val="001C3064"/>
    <w:rsid w:val="001C307A"/>
    <w:rsid w:val="001C3112"/>
    <w:rsid w:val="001C311E"/>
    <w:rsid w:val="001C313B"/>
    <w:rsid w:val="001C314C"/>
    <w:rsid w:val="001C31C1"/>
    <w:rsid w:val="001C31C3"/>
    <w:rsid w:val="001C31E4"/>
    <w:rsid w:val="001C31FE"/>
    <w:rsid w:val="001C321B"/>
    <w:rsid w:val="001C3262"/>
    <w:rsid w:val="001C328A"/>
    <w:rsid w:val="001C332B"/>
    <w:rsid w:val="001C3349"/>
    <w:rsid w:val="001C335E"/>
    <w:rsid w:val="001C33BB"/>
    <w:rsid w:val="001C33C5"/>
    <w:rsid w:val="001C3413"/>
    <w:rsid w:val="001C349B"/>
    <w:rsid w:val="001C349D"/>
    <w:rsid w:val="001C352B"/>
    <w:rsid w:val="001C353A"/>
    <w:rsid w:val="001C35AB"/>
    <w:rsid w:val="001C3609"/>
    <w:rsid w:val="001C3625"/>
    <w:rsid w:val="001C363E"/>
    <w:rsid w:val="001C3654"/>
    <w:rsid w:val="001C36C7"/>
    <w:rsid w:val="001C36D1"/>
    <w:rsid w:val="001C36D7"/>
    <w:rsid w:val="001C36E1"/>
    <w:rsid w:val="001C3737"/>
    <w:rsid w:val="001C3741"/>
    <w:rsid w:val="001C3756"/>
    <w:rsid w:val="001C3778"/>
    <w:rsid w:val="001C37CE"/>
    <w:rsid w:val="001C37E6"/>
    <w:rsid w:val="001C37E9"/>
    <w:rsid w:val="001C37F4"/>
    <w:rsid w:val="001C382F"/>
    <w:rsid w:val="001C387F"/>
    <w:rsid w:val="001C38D9"/>
    <w:rsid w:val="001C38E6"/>
    <w:rsid w:val="001C38E9"/>
    <w:rsid w:val="001C3910"/>
    <w:rsid w:val="001C393B"/>
    <w:rsid w:val="001C3940"/>
    <w:rsid w:val="001C396D"/>
    <w:rsid w:val="001C3979"/>
    <w:rsid w:val="001C39C6"/>
    <w:rsid w:val="001C39CB"/>
    <w:rsid w:val="001C3A09"/>
    <w:rsid w:val="001C3A22"/>
    <w:rsid w:val="001C3A6F"/>
    <w:rsid w:val="001C3A87"/>
    <w:rsid w:val="001C3AE1"/>
    <w:rsid w:val="001C3AEE"/>
    <w:rsid w:val="001C3B6B"/>
    <w:rsid w:val="001C3B9B"/>
    <w:rsid w:val="001C3BF0"/>
    <w:rsid w:val="001C3BFD"/>
    <w:rsid w:val="001C3C43"/>
    <w:rsid w:val="001C3C8A"/>
    <w:rsid w:val="001C3D52"/>
    <w:rsid w:val="001C3D72"/>
    <w:rsid w:val="001C3DC9"/>
    <w:rsid w:val="001C3DDB"/>
    <w:rsid w:val="001C3E0A"/>
    <w:rsid w:val="001C3E1A"/>
    <w:rsid w:val="001C3E53"/>
    <w:rsid w:val="001C3EC5"/>
    <w:rsid w:val="001C3EC8"/>
    <w:rsid w:val="001C3F1C"/>
    <w:rsid w:val="001C3F51"/>
    <w:rsid w:val="001C3F7E"/>
    <w:rsid w:val="001C4003"/>
    <w:rsid w:val="001C4037"/>
    <w:rsid w:val="001C40BF"/>
    <w:rsid w:val="001C412D"/>
    <w:rsid w:val="001C415A"/>
    <w:rsid w:val="001C4183"/>
    <w:rsid w:val="001C41CA"/>
    <w:rsid w:val="001C41F2"/>
    <w:rsid w:val="001C4211"/>
    <w:rsid w:val="001C42DD"/>
    <w:rsid w:val="001C4314"/>
    <w:rsid w:val="001C4317"/>
    <w:rsid w:val="001C432D"/>
    <w:rsid w:val="001C433E"/>
    <w:rsid w:val="001C4403"/>
    <w:rsid w:val="001C443A"/>
    <w:rsid w:val="001C4440"/>
    <w:rsid w:val="001C444E"/>
    <w:rsid w:val="001C44C3"/>
    <w:rsid w:val="001C4514"/>
    <w:rsid w:val="001C459D"/>
    <w:rsid w:val="001C459F"/>
    <w:rsid w:val="001C45D5"/>
    <w:rsid w:val="001C4613"/>
    <w:rsid w:val="001C46B1"/>
    <w:rsid w:val="001C46D6"/>
    <w:rsid w:val="001C4732"/>
    <w:rsid w:val="001C47B7"/>
    <w:rsid w:val="001C47DD"/>
    <w:rsid w:val="001C47EB"/>
    <w:rsid w:val="001C481C"/>
    <w:rsid w:val="001C4821"/>
    <w:rsid w:val="001C48BD"/>
    <w:rsid w:val="001C4934"/>
    <w:rsid w:val="001C494C"/>
    <w:rsid w:val="001C4955"/>
    <w:rsid w:val="001C49A6"/>
    <w:rsid w:val="001C49B0"/>
    <w:rsid w:val="001C49CA"/>
    <w:rsid w:val="001C49D8"/>
    <w:rsid w:val="001C49F5"/>
    <w:rsid w:val="001C4A07"/>
    <w:rsid w:val="001C4A8E"/>
    <w:rsid w:val="001C4A95"/>
    <w:rsid w:val="001C4A97"/>
    <w:rsid w:val="001C4AD9"/>
    <w:rsid w:val="001C4AF5"/>
    <w:rsid w:val="001C4B3F"/>
    <w:rsid w:val="001C4BB3"/>
    <w:rsid w:val="001C4C01"/>
    <w:rsid w:val="001C4C02"/>
    <w:rsid w:val="001C4C43"/>
    <w:rsid w:val="001C4C78"/>
    <w:rsid w:val="001C4CA5"/>
    <w:rsid w:val="001C4CB5"/>
    <w:rsid w:val="001C4CB7"/>
    <w:rsid w:val="001C4D42"/>
    <w:rsid w:val="001C4D5B"/>
    <w:rsid w:val="001C4D8E"/>
    <w:rsid w:val="001C4E3E"/>
    <w:rsid w:val="001C4E4D"/>
    <w:rsid w:val="001C4E7B"/>
    <w:rsid w:val="001C4E82"/>
    <w:rsid w:val="001C4E84"/>
    <w:rsid w:val="001C4EC9"/>
    <w:rsid w:val="001C4F33"/>
    <w:rsid w:val="001C4F60"/>
    <w:rsid w:val="001C4F79"/>
    <w:rsid w:val="001C4FBE"/>
    <w:rsid w:val="001C502B"/>
    <w:rsid w:val="001C509D"/>
    <w:rsid w:val="001C50B1"/>
    <w:rsid w:val="001C50DC"/>
    <w:rsid w:val="001C510A"/>
    <w:rsid w:val="001C513B"/>
    <w:rsid w:val="001C515D"/>
    <w:rsid w:val="001C5232"/>
    <w:rsid w:val="001C523D"/>
    <w:rsid w:val="001C526E"/>
    <w:rsid w:val="001C527B"/>
    <w:rsid w:val="001C52B9"/>
    <w:rsid w:val="001C530C"/>
    <w:rsid w:val="001C531F"/>
    <w:rsid w:val="001C5341"/>
    <w:rsid w:val="001C53CA"/>
    <w:rsid w:val="001C5411"/>
    <w:rsid w:val="001C5486"/>
    <w:rsid w:val="001C54A0"/>
    <w:rsid w:val="001C54CB"/>
    <w:rsid w:val="001C54DB"/>
    <w:rsid w:val="001C54ED"/>
    <w:rsid w:val="001C553A"/>
    <w:rsid w:val="001C5572"/>
    <w:rsid w:val="001C558D"/>
    <w:rsid w:val="001C559B"/>
    <w:rsid w:val="001C55BE"/>
    <w:rsid w:val="001C55CB"/>
    <w:rsid w:val="001C5656"/>
    <w:rsid w:val="001C5657"/>
    <w:rsid w:val="001C565A"/>
    <w:rsid w:val="001C5660"/>
    <w:rsid w:val="001C567F"/>
    <w:rsid w:val="001C56A4"/>
    <w:rsid w:val="001C56E3"/>
    <w:rsid w:val="001C56F5"/>
    <w:rsid w:val="001C56FF"/>
    <w:rsid w:val="001C5735"/>
    <w:rsid w:val="001C5762"/>
    <w:rsid w:val="001C5771"/>
    <w:rsid w:val="001C57A3"/>
    <w:rsid w:val="001C57BF"/>
    <w:rsid w:val="001C57C0"/>
    <w:rsid w:val="001C5829"/>
    <w:rsid w:val="001C586F"/>
    <w:rsid w:val="001C5881"/>
    <w:rsid w:val="001C5892"/>
    <w:rsid w:val="001C58A1"/>
    <w:rsid w:val="001C58FF"/>
    <w:rsid w:val="001C59EE"/>
    <w:rsid w:val="001C5ABD"/>
    <w:rsid w:val="001C5ADB"/>
    <w:rsid w:val="001C5B14"/>
    <w:rsid w:val="001C5B30"/>
    <w:rsid w:val="001C5B35"/>
    <w:rsid w:val="001C5B45"/>
    <w:rsid w:val="001C5B4B"/>
    <w:rsid w:val="001C5B6A"/>
    <w:rsid w:val="001C5B83"/>
    <w:rsid w:val="001C5BC1"/>
    <w:rsid w:val="001C5BE9"/>
    <w:rsid w:val="001C5C02"/>
    <w:rsid w:val="001C5C66"/>
    <w:rsid w:val="001C5C6A"/>
    <w:rsid w:val="001C5C6C"/>
    <w:rsid w:val="001C5CAE"/>
    <w:rsid w:val="001C5CAF"/>
    <w:rsid w:val="001C5CB2"/>
    <w:rsid w:val="001C5CFB"/>
    <w:rsid w:val="001C5D45"/>
    <w:rsid w:val="001C5E40"/>
    <w:rsid w:val="001C5E6A"/>
    <w:rsid w:val="001C5EA5"/>
    <w:rsid w:val="001C5F3F"/>
    <w:rsid w:val="001C5F43"/>
    <w:rsid w:val="001C5F59"/>
    <w:rsid w:val="001C5FAF"/>
    <w:rsid w:val="001C5FD2"/>
    <w:rsid w:val="001C600A"/>
    <w:rsid w:val="001C6012"/>
    <w:rsid w:val="001C6044"/>
    <w:rsid w:val="001C6050"/>
    <w:rsid w:val="001C60BF"/>
    <w:rsid w:val="001C61A8"/>
    <w:rsid w:val="001C61BE"/>
    <w:rsid w:val="001C61CF"/>
    <w:rsid w:val="001C61D9"/>
    <w:rsid w:val="001C622D"/>
    <w:rsid w:val="001C623B"/>
    <w:rsid w:val="001C6267"/>
    <w:rsid w:val="001C628B"/>
    <w:rsid w:val="001C62DB"/>
    <w:rsid w:val="001C632E"/>
    <w:rsid w:val="001C6338"/>
    <w:rsid w:val="001C636E"/>
    <w:rsid w:val="001C63DF"/>
    <w:rsid w:val="001C64BB"/>
    <w:rsid w:val="001C6500"/>
    <w:rsid w:val="001C6589"/>
    <w:rsid w:val="001C6598"/>
    <w:rsid w:val="001C65B7"/>
    <w:rsid w:val="001C65FA"/>
    <w:rsid w:val="001C661C"/>
    <w:rsid w:val="001C6658"/>
    <w:rsid w:val="001C6679"/>
    <w:rsid w:val="001C669B"/>
    <w:rsid w:val="001C66B4"/>
    <w:rsid w:val="001C66CD"/>
    <w:rsid w:val="001C66F0"/>
    <w:rsid w:val="001C66F3"/>
    <w:rsid w:val="001C6715"/>
    <w:rsid w:val="001C6774"/>
    <w:rsid w:val="001C67A3"/>
    <w:rsid w:val="001C67C9"/>
    <w:rsid w:val="001C68A7"/>
    <w:rsid w:val="001C68C4"/>
    <w:rsid w:val="001C6928"/>
    <w:rsid w:val="001C6939"/>
    <w:rsid w:val="001C6958"/>
    <w:rsid w:val="001C695E"/>
    <w:rsid w:val="001C6994"/>
    <w:rsid w:val="001C69B3"/>
    <w:rsid w:val="001C69B8"/>
    <w:rsid w:val="001C69FA"/>
    <w:rsid w:val="001C6A01"/>
    <w:rsid w:val="001C6A77"/>
    <w:rsid w:val="001C6AA8"/>
    <w:rsid w:val="001C6AC3"/>
    <w:rsid w:val="001C6AFD"/>
    <w:rsid w:val="001C6B43"/>
    <w:rsid w:val="001C6BF5"/>
    <w:rsid w:val="001C6C37"/>
    <w:rsid w:val="001C6CEA"/>
    <w:rsid w:val="001C6D42"/>
    <w:rsid w:val="001C6D4F"/>
    <w:rsid w:val="001C6D55"/>
    <w:rsid w:val="001C6DE0"/>
    <w:rsid w:val="001C6E65"/>
    <w:rsid w:val="001C6EBC"/>
    <w:rsid w:val="001C6EE1"/>
    <w:rsid w:val="001C6EE6"/>
    <w:rsid w:val="001C6F58"/>
    <w:rsid w:val="001C6F62"/>
    <w:rsid w:val="001C6F88"/>
    <w:rsid w:val="001C7024"/>
    <w:rsid w:val="001C7072"/>
    <w:rsid w:val="001C70EF"/>
    <w:rsid w:val="001C7125"/>
    <w:rsid w:val="001C7139"/>
    <w:rsid w:val="001C7186"/>
    <w:rsid w:val="001C718D"/>
    <w:rsid w:val="001C71B4"/>
    <w:rsid w:val="001C71C1"/>
    <w:rsid w:val="001C71C5"/>
    <w:rsid w:val="001C7220"/>
    <w:rsid w:val="001C7224"/>
    <w:rsid w:val="001C726B"/>
    <w:rsid w:val="001C72DE"/>
    <w:rsid w:val="001C735E"/>
    <w:rsid w:val="001C7380"/>
    <w:rsid w:val="001C738D"/>
    <w:rsid w:val="001C73B8"/>
    <w:rsid w:val="001C7409"/>
    <w:rsid w:val="001C7431"/>
    <w:rsid w:val="001C7439"/>
    <w:rsid w:val="001C7445"/>
    <w:rsid w:val="001C744D"/>
    <w:rsid w:val="001C7489"/>
    <w:rsid w:val="001C748E"/>
    <w:rsid w:val="001C74AA"/>
    <w:rsid w:val="001C74D0"/>
    <w:rsid w:val="001C74EA"/>
    <w:rsid w:val="001C74F2"/>
    <w:rsid w:val="001C7519"/>
    <w:rsid w:val="001C7539"/>
    <w:rsid w:val="001C75B9"/>
    <w:rsid w:val="001C76CA"/>
    <w:rsid w:val="001C76E6"/>
    <w:rsid w:val="001C76EC"/>
    <w:rsid w:val="001C76EE"/>
    <w:rsid w:val="001C7747"/>
    <w:rsid w:val="001C7788"/>
    <w:rsid w:val="001C7846"/>
    <w:rsid w:val="001C785A"/>
    <w:rsid w:val="001C785B"/>
    <w:rsid w:val="001C787F"/>
    <w:rsid w:val="001C78BD"/>
    <w:rsid w:val="001C78F8"/>
    <w:rsid w:val="001C7918"/>
    <w:rsid w:val="001C7951"/>
    <w:rsid w:val="001C79C6"/>
    <w:rsid w:val="001C79F0"/>
    <w:rsid w:val="001C7A0F"/>
    <w:rsid w:val="001C7A16"/>
    <w:rsid w:val="001C7AA4"/>
    <w:rsid w:val="001C7ACC"/>
    <w:rsid w:val="001C7AD5"/>
    <w:rsid w:val="001C7AE7"/>
    <w:rsid w:val="001C7AFB"/>
    <w:rsid w:val="001C7B4B"/>
    <w:rsid w:val="001C7B76"/>
    <w:rsid w:val="001C7BD5"/>
    <w:rsid w:val="001C7C1B"/>
    <w:rsid w:val="001C7C83"/>
    <w:rsid w:val="001C7C97"/>
    <w:rsid w:val="001C7CA3"/>
    <w:rsid w:val="001C7CBE"/>
    <w:rsid w:val="001C7CD6"/>
    <w:rsid w:val="001C7CE3"/>
    <w:rsid w:val="001C7D2C"/>
    <w:rsid w:val="001C7D4B"/>
    <w:rsid w:val="001C7D54"/>
    <w:rsid w:val="001C7DB4"/>
    <w:rsid w:val="001C7DD6"/>
    <w:rsid w:val="001C7E77"/>
    <w:rsid w:val="001C7ED9"/>
    <w:rsid w:val="001C7EE4"/>
    <w:rsid w:val="001C7F43"/>
    <w:rsid w:val="001C7F56"/>
    <w:rsid w:val="001C7F59"/>
    <w:rsid w:val="001C7F5F"/>
    <w:rsid w:val="001C7F89"/>
    <w:rsid w:val="001C7F94"/>
    <w:rsid w:val="001C7FC9"/>
    <w:rsid w:val="001C7FF1"/>
    <w:rsid w:val="001D005F"/>
    <w:rsid w:val="001D0068"/>
    <w:rsid w:val="001D006D"/>
    <w:rsid w:val="001D00DA"/>
    <w:rsid w:val="001D0107"/>
    <w:rsid w:val="001D0150"/>
    <w:rsid w:val="001D0159"/>
    <w:rsid w:val="001D0189"/>
    <w:rsid w:val="001D01C5"/>
    <w:rsid w:val="001D01DF"/>
    <w:rsid w:val="001D022A"/>
    <w:rsid w:val="001D0235"/>
    <w:rsid w:val="001D025D"/>
    <w:rsid w:val="001D026B"/>
    <w:rsid w:val="001D0280"/>
    <w:rsid w:val="001D0286"/>
    <w:rsid w:val="001D02AA"/>
    <w:rsid w:val="001D0300"/>
    <w:rsid w:val="001D0313"/>
    <w:rsid w:val="001D0318"/>
    <w:rsid w:val="001D0329"/>
    <w:rsid w:val="001D0332"/>
    <w:rsid w:val="001D0374"/>
    <w:rsid w:val="001D03DA"/>
    <w:rsid w:val="001D03F8"/>
    <w:rsid w:val="001D0468"/>
    <w:rsid w:val="001D04D2"/>
    <w:rsid w:val="001D04DF"/>
    <w:rsid w:val="001D04FF"/>
    <w:rsid w:val="001D056A"/>
    <w:rsid w:val="001D05B7"/>
    <w:rsid w:val="001D05BE"/>
    <w:rsid w:val="001D05CF"/>
    <w:rsid w:val="001D05DB"/>
    <w:rsid w:val="001D05FA"/>
    <w:rsid w:val="001D0628"/>
    <w:rsid w:val="001D064F"/>
    <w:rsid w:val="001D0674"/>
    <w:rsid w:val="001D069B"/>
    <w:rsid w:val="001D06B0"/>
    <w:rsid w:val="001D0727"/>
    <w:rsid w:val="001D0752"/>
    <w:rsid w:val="001D0759"/>
    <w:rsid w:val="001D076E"/>
    <w:rsid w:val="001D0792"/>
    <w:rsid w:val="001D0794"/>
    <w:rsid w:val="001D07C4"/>
    <w:rsid w:val="001D07E3"/>
    <w:rsid w:val="001D07F1"/>
    <w:rsid w:val="001D0811"/>
    <w:rsid w:val="001D0853"/>
    <w:rsid w:val="001D090A"/>
    <w:rsid w:val="001D0961"/>
    <w:rsid w:val="001D0990"/>
    <w:rsid w:val="001D09A6"/>
    <w:rsid w:val="001D09CB"/>
    <w:rsid w:val="001D09E0"/>
    <w:rsid w:val="001D09E4"/>
    <w:rsid w:val="001D09F0"/>
    <w:rsid w:val="001D0A10"/>
    <w:rsid w:val="001D0A38"/>
    <w:rsid w:val="001D0A61"/>
    <w:rsid w:val="001D0A69"/>
    <w:rsid w:val="001D0A78"/>
    <w:rsid w:val="001D0AAD"/>
    <w:rsid w:val="001D0ABE"/>
    <w:rsid w:val="001D0ABF"/>
    <w:rsid w:val="001D0AC8"/>
    <w:rsid w:val="001D0B07"/>
    <w:rsid w:val="001D0B4D"/>
    <w:rsid w:val="001D0B7D"/>
    <w:rsid w:val="001D0B8A"/>
    <w:rsid w:val="001D0BDC"/>
    <w:rsid w:val="001D0C14"/>
    <w:rsid w:val="001D0C2E"/>
    <w:rsid w:val="001D0C8B"/>
    <w:rsid w:val="001D0CDD"/>
    <w:rsid w:val="001D0CDF"/>
    <w:rsid w:val="001D0D08"/>
    <w:rsid w:val="001D0D53"/>
    <w:rsid w:val="001D0DA5"/>
    <w:rsid w:val="001D0DBA"/>
    <w:rsid w:val="001D0E69"/>
    <w:rsid w:val="001D0E87"/>
    <w:rsid w:val="001D0F48"/>
    <w:rsid w:val="001D0F54"/>
    <w:rsid w:val="001D0F8A"/>
    <w:rsid w:val="001D0FAF"/>
    <w:rsid w:val="001D0FFB"/>
    <w:rsid w:val="001D100E"/>
    <w:rsid w:val="001D1081"/>
    <w:rsid w:val="001D1087"/>
    <w:rsid w:val="001D1133"/>
    <w:rsid w:val="001D114A"/>
    <w:rsid w:val="001D11BE"/>
    <w:rsid w:val="001D1216"/>
    <w:rsid w:val="001D1219"/>
    <w:rsid w:val="001D1289"/>
    <w:rsid w:val="001D12C5"/>
    <w:rsid w:val="001D12CC"/>
    <w:rsid w:val="001D1318"/>
    <w:rsid w:val="001D139B"/>
    <w:rsid w:val="001D13C2"/>
    <w:rsid w:val="001D13CF"/>
    <w:rsid w:val="001D13D5"/>
    <w:rsid w:val="001D13FA"/>
    <w:rsid w:val="001D141A"/>
    <w:rsid w:val="001D14D0"/>
    <w:rsid w:val="001D14FE"/>
    <w:rsid w:val="001D1505"/>
    <w:rsid w:val="001D153B"/>
    <w:rsid w:val="001D154D"/>
    <w:rsid w:val="001D158C"/>
    <w:rsid w:val="001D1601"/>
    <w:rsid w:val="001D16B0"/>
    <w:rsid w:val="001D16BC"/>
    <w:rsid w:val="001D170D"/>
    <w:rsid w:val="001D1712"/>
    <w:rsid w:val="001D184F"/>
    <w:rsid w:val="001D1859"/>
    <w:rsid w:val="001D1907"/>
    <w:rsid w:val="001D191B"/>
    <w:rsid w:val="001D198E"/>
    <w:rsid w:val="001D19B1"/>
    <w:rsid w:val="001D1A27"/>
    <w:rsid w:val="001D1A29"/>
    <w:rsid w:val="001D1A64"/>
    <w:rsid w:val="001D1A6B"/>
    <w:rsid w:val="001D1AAF"/>
    <w:rsid w:val="001D1AE9"/>
    <w:rsid w:val="001D1B43"/>
    <w:rsid w:val="001D1B8C"/>
    <w:rsid w:val="001D1C35"/>
    <w:rsid w:val="001D1C3B"/>
    <w:rsid w:val="001D1C5B"/>
    <w:rsid w:val="001D1CAD"/>
    <w:rsid w:val="001D1CD1"/>
    <w:rsid w:val="001D1D08"/>
    <w:rsid w:val="001D1D87"/>
    <w:rsid w:val="001D1DD6"/>
    <w:rsid w:val="001D1E0B"/>
    <w:rsid w:val="001D1E0D"/>
    <w:rsid w:val="001D1E27"/>
    <w:rsid w:val="001D1E5F"/>
    <w:rsid w:val="001D1E98"/>
    <w:rsid w:val="001D1E9E"/>
    <w:rsid w:val="001D1ED3"/>
    <w:rsid w:val="001D1F00"/>
    <w:rsid w:val="001D1F40"/>
    <w:rsid w:val="001D1F54"/>
    <w:rsid w:val="001D1F5C"/>
    <w:rsid w:val="001D1F97"/>
    <w:rsid w:val="001D1FAE"/>
    <w:rsid w:val="001D200F"/>
    <w:rsid w:val="001D2144"/>
    <w:rsid w:val="001D215E"/>
    <w:rsid w:val="001D2162"/>
    <w:rsid w:val="001D2168"/>
    <w:rsid w:val="001D21DE"/>
    <w:rsid w:val="001D2289"/>
    <w:rsid w:val="001D22B3"/>
    <w:rsid w:val="001D22F8"/>
    <w:rsid w:val="001D22FC"/>
    <w:rsid w:val="001D235A"/>
    <w:rsid w:val="001D2363"/>
    <w:rsid w:val="001D23B0"/>
    <w:rsid w:val="001D2483"/>
    <w:rsid w:val="001D252C"/>
    <w:rsid w:val="001D2542"/>
    <w:rsid w:val="001D262E"/>
    <w:rsid w:val="001D2663"/>
    <w:rsid w:val="001D267C"/>
    <w:rsid w:val="001D26C5"/>
    <w:rsid w:val="001D26F1"/>
    <w:rsid w:val="001D2704"/>
    <w:rsid w:val="001D277F"/>
    <w:rsid w:val="001D27F8"/>
    <w:rsid w:val="001D280E"/>
    <w:rsid w:val="001D2823"/>
    <w:rsid w:val="001D286A"/>
    <w:rsid w:val="001D2879"/>
    <w:rsid w:val="001D2890"/>
    <w:rsid w:val="001D28CD"/>
    <w:rsid w:val="001D28D5"/>
    <w:rsid w:val="001D28E8"/>
    <w:rsid w:val="001D2941"/>
    <w:rsid w:val="001D2964"/>
    <w:rsid w:val="001D297E"/>
    <w:rsid w:val="001D2985"/>
    <w:rsid w:val="001D29A8"/>
    <w:rsid w:val="001D2A06"/>
    <w:rsid w:val="001D2A11"/>
    <w:rsid w:val="001D2A1B"/>
    <w:rsid w:val="001D2A33"/>
    <w:rsid w:val="001D2A6C"/>
    <w:rsid w:val="001D2A7A"/>
    <w:rsid w:val="001D2AE5"/>
    <w:rsid w:val="001D2B77"/>
    <w:rsid w:val="001D2BB1"/>
    <w:rsid w:val="001D2BB2"/>
    <w:rsid w:val="001D2BC9"/>
    <w:rsid w:val="001D2BFD"/>
    <w:rsid w:val="001D2C69"/>
    <w:rsid w:val="001D2C83"/>
    <w:rsid w:val="001D2D01"/>
    <w:rsid w:val="001D2D28"/>
    <w:rsid w:val="001D2D51"/>
    <w:rsid w:val="001D2E06"/>
    <w:rsid w:val="001D2E55"/>
    <w:rsid w:val="001D2E97"/>
    <w:rsid w:val="001D2ED6"/>
    <w:rsid w:val="001D2F20"/>
    <w:rsid w:val="001D2F3E"/>
    <w:rsid w:val="001D2F9D"/>
    <w:rsid w:val="001D3001"/>
    <w:rsid w:val="001D3031"/>
    <w:rsid w:val="001D3058"/>
    <w:rsid w:val="001D3075"/>
    <w:rsid w:val="001D3087"/>
    <w:rsid w:val="001D30F1"/>
    <w:rsid w:val="001D30FA"/>
    <w:rsid w:val="001D3116"/>
    <w:rsid w:val="001D3118"/>
    <w:rsid w:val="001D3154"/>
    <w:rsid w:val="001D3158"/>
    <w:rsid w:val="001D31A7"/>
    <w:rsid w:val="001D31C9"/>
    <w:rsid w:val="001D3235"/>
    <w:rsid w:val="001D327A"/>
    <w:rsid w:val="001D32A8"/>
    <w:rsid w:val="001D3316"/>
    <w:rsid w:val="001D3319"/>
    <w:rsid w:val="001D331A"/>
    <w:rsid w:val="001D3339"/>
    <w:rsid w:val="001D3378"/>
    <w:rsid w:val="001D3396"/>
    <w:rsid w:val="001D33EE"/>
    <w:rsid w:val="001D3403"/>
    <w:rsid w:val="001D34B7"/>
    <w:rsid w:val="001D34C0"/>
    <w:rsid w:val="001D34DC"/>
    <w:rsid w:val="001D3510"/>
    <w:rsid w:val="001D3523"/>
    <w:rsid w:val="001D352B"/>
    <w:rsid w:val="001D3530"/>
    <w:rsid w:val="001D359A"/>
    <w:rsid w:val="001D35C3"/>
    <w:rsid w:val="001D35E8"/>
    <w:rsid w:val="001D35F8"/>
    <w:rsid w:val="001D3614"/>
    <w:rsid w:val="001D368A"/>
    <w:rsid w:val="001D370E"/>
    <w:rsid w:val="001D372F"/>
    <w:rsid w:val="001D3754"/>
    <w:rsid w:val="001D37F9"/>
    <w:rsid w:val="001D3808"/>
    <w:rsid w:val="001D382E"/>
    <w:rsid w:val="001D383C"/>
    <w:rsid w:val="001D387B"/>
    <w:rsid w:val="001D387C"/>
    <w:rsid w:val="001D388C"/>
    <w:rsid w:val="001D38A2"/>
    <w:rsid w:val="001D38A8"/>
    <w:rsid w:val="001D38FB"/>
    <w:rsid w:val="001D39FF"/>
    <w:rsid w:val="001D3A04"/>
    <w:rsid w:val="001D3A2F"/>
    <w:rsid w:val="001D3A7B"/>
    <w:rsid w:val="001D3BD9"/>
    <w:rsid w:val="001D3BE5"/>
    <w:rsid w:val="001D3C30"/>
    <w:rsid w:val="001D3C4A"/>
    <w:rsid w:val="001D3C64"/>
    <w:rsid w:val="001D3CDF"/>
    <w:rsid w:val="001D3D08"/>
    <w:rsid w:val="001D3D1E"/>
    <w:rsid w:val="001D3D35"/>
    <w:rsid w:val="001D3D40"/>
    <w:rsid w:val="001D3D50"/>
    <w:rsid w:val="001D3D5F"/>
    <w:rsid w:val="001D3DA8"/>
    <w:rsid w:val="001D3E51"/>
    <w:rsid w:val="001D3E7C"/>
    <w:rsid w:val="001D3E85"/>
    <w:rsid w:val="001D3ED7"/>
    <w:rsid w:val="001D3F23"/>
    <w:rsid w:val="001D3F45"/>
    <w:rsid w:val="001D3F6E"/>
    <w:rsid w:val="001D3FEA"/>
    <w:rsid w:val="001D402E"/>
    <w:rsid w:val="001D40B0"/>
    <w:rsid w:val="001D40EE"/>
    <w:rsid w:val="001D419D"/>
    <w:rsid w:val="001D4297"/>
    <w:rsid w:val="001D42F3"/>
    <w:rsid w:val="001D4345"/>
    <w:rsid w:val="001D43E9"/>
    <w:rsid w:val="001D4413"/>
    <w:rsid w:val="001D441D"/>
    <w:rsid w:val="001D444A"/>
    <w:rsid w:val="001D4480"/>
    <w:rsid w:val="001D44D7"/>
    <w:rsid w:val="001D44DC"/>
    <w:rsid w:val="001D44F9"/>
    <w:rsid w:val="001D4517"/>
    <w:rsid w:val="001D451B"/>
    <w:rsid w:val="001D451D"/>
    <w:rsid w:val="001D4646"/>
    <w:rsid w:val="001D46DA"/>
    <w:rsid w:val="001D46E4"/>
    <w:rsid w:val="001D4715"/>
    <w:rsid w:val="001D472B"/>
    <w:rsid w:val="001D4750"/>
    <w:rsid w:val="001D4763"/>
    <w:rsid w:val="001D480A"/>
    <w:rsid w:val="001D4878"/>
    <w:rsid w:val="001D488B"/>
    <w:rsid w:val="001D48BF"/>
    <w:rsid w:val="001D48DA"/>
    <w:rsid w:val="001D4919"/>
    <w:rsid w:val="001D494B"/>
    <w:rsid w:val="001D49E8"/>
    <w:rsid w:val="001D4A04"/>
    <w:rsid w:val="001D4A33"/>
    <w:rsid w:val="001D4B10"/>
    <w:rsid w:val="001D4B1F"/>
    <w:rsid w:val="001D4B77"/>
    <w:rsid w:val="001D4B9E"/>
    <w:rsid w:val="001D4BCE"/>
    <w:rsid w:val="001D4BFA"/>
    <w:rsid w:val="001D4C22"/>
    <w:rsid w:val="001D4C3B"/>
    <w:rsid w:val="001D4C57"/>
    <w:rsid w:val="001D4CF8"/>
    <w:rsid w:val="001D4D00"/>
    <w:rsid w:val="001D4D86"/>
    <w:rsid w:val="001D4DA9"/>
    <w:rsid w:val="001D4DC4"/>
    <w:rsid w:val="001D4E30"/>
    <w:rsid w:val="001D4EA7"/>
    <w:rsid w:val="001D4ED4"/>
    <w:rsid w:val="001D4F0B"/>
    <w:rsid w:val="001D4F60"/>
    <w:rsid w:val="001D4F67"/>
    <w:rsid w:val="001D4FB8"/>
    <w:rsid w:val="001D4FDA"/>
    <w:rsid w:val="001D50AE"/>
    <w:rsid w:val="001D50FE"/>
    <w:rsid w:val="001D512D"/>
    <w:rsid w:val="001D515D"/>
    <w:rsid w:val="001D5182"/>
    <w:rsid w:val="001D51CB"/>
    <w:rsid w:val="001D51D5"/>
    <w:rsid w:val="001D51F8"/>
    <w:rsid w:val="001D51FE"/>
    <w:rsid w:val="001D5236"/>
    <w:rsid w:val="001D526D"/>
    <w:rsid w:val="001D527F"/>
    <w:rsid w:val="001D53A5"/>
    <w:rsid w:val="001D541B"/>
    <w:rsid w:val="001D543B"/>
    <w:rsid w:val="001D546E"/>
    <w:rsid w:val="001D54E4"/>
    <w:rsid w:val="001D54F0"/>
    <w:rsid w:val="001D5521"/>
    <w:rsid w:val="001D553A"/>
    <w:rsid w:val="001D55C1"/>
    <w:rsid w:val="001D56B1"/>
    <w:rsid w:val="001D56DC"/>
    <w:rsid w:val="001D5705"/>
    <w:rsid w:val="001D57F8"/>
    <w:rsid w:val="001D5800"/>
    <w:rsid w:val="001D581B"/>
    <w:rsid w:val="001D588B"/>
    <w:rsid w:val="001D588C"/>
    <w:rsid w:val="001D5894"/>
    <w:rsid w:val="001D5908"/>
    <w:rsid w:val="001D590A"/>
    <w:rsid w:val="001D591E"/>
    <w:rsid w:val="001D5932"/>
    <w:rsid w:val="001D5976"/>
    <w:rsid w:val="001D59A1"/>
    <w:rsid w:val="001D5A14"/>
    <w:rsid w:val="001D5A4E"/>
    <w:rsid w:val="001D5ACF"/>
    <w:rsid w:val="001D5AD9"/>
    <w:rsid w:val="001D5AF5"/>
    <w:rsid w:val="001D5B4A"/>
    <w:rsid w:val="001D5B4E"/>
    <w:rsid w:val="001D5B9E"/>
    <w:rsid w:val="001D5BAE"/>
    <w:rsid w:val="001D5BC6"/>
    <w:rsid w:val="001D5BD2"/>
    <w:rsid w:val="001D5BFA"/>
    <w:rsid w:val="001D5C13"/>
    <w:rsid w:val="001D5C89"/>
    <w:rsid w:val="001D5C8C"/>
    <w:rsid w:val="001D5D01"/>
    <w:rsid w:val="001D5D99"/>
    <w:rsid w:val="001D5DB9"/>
    <w:rsid w:val="001D5E10"/>
    <w:rsid w:val="001D5E4A"/>
    <w:rsid w:val="001D5E5C"/>
    <w:rsid w:val="001D5E68"/>
    <w:rsid w:val="001D5EF0"/>
    <w:rsid w:val="001D5F3D"/>
    <w:rsid w:val="001D5F5C"/>
    <w:rsid w:val="001D5FA0"/>
    <w:rsid w:val="001D5FA7"/>
    <w:rsid w:val="001D5FC7"/>
    <w:rsid w:val="001D5FF2"/>
    <w:rsid w:val="001D5FFD"/>
    <w:rsid w:val="001D6023"/>
    <w:rsid w:val="001D602E"/>
    <w:rsid w:val="001D6032"/>
    <w:rsid w:val="001D606E"/>
    <w:rsid w:val="001D609C"/>
    <w:rsid w:val="001D614B"/>
    <w:rsid w:val="001D6150"/>
    <w:rsid w:val="001D6155"/>
    <w:rsid w:val="001D616F"/>
    <w:rsid w:val="001D617F"/>
    <w:rsid w:val="001D61BC"/>
    <w:rsid w:val="001D61EC"/>
    <w:rsid w:val="001D6246"/>
    <w:rsid w:val="001D627A"/>
    <w:rsid w:val="001D628B"/>
    <w:rsid w:val="001D62B5"/>
    <w:rsid w:val="001D6305"/>
    <w:rsid w:val="001D6315"/>
    <w:rsid w:val="001D634E"/>
    <w:rsid w:val="001D6360"/>
    <w:rsid w:val="001D63E5"/>
    <w:rsid w:val="001D6487"/>
    <w:rsid w:val="001D64A8"/>
    <w:rsid w:val="001D6505"/>
    <w:rsid w:val="001D6510"/>
    <w:rsid w:val="001D6531"/>
    <w:rsid w:val="001D65EE"/>
    <w:rsid w:val="001D65F6"/>
    <w:rsid w:val="001D661C"/>
    <w:rsid w:val="001D6658"/>
    <w:rsid w:val="001D6696"/>
    <w:rsid w:val="001D66BB"/>
    <w:rsid w:val="001D66F8"/>
    <w:rsid w:val="001D6716"/>
    <w:rsid w:val="001D6727"/>
    <w:rsid w:val="001D674B"/>
    <w:rsid w:val="001D677C"/>
    <w:rsid w:val="001D679F"/>
    <w:rsid w:val="001D67A9"/>
    <w:rsid w:val="001D6815"/>
    <w:rsid w:val="001D6825"/>
    <w:rsid w:val="001D682B"/>
    <w:rsid w:val="001D6843"/>
    <w:rsid w:val="001D68CC"/>
    <w:rsid w:val="001D6915"/>
    <w:rsid w:val="001D6933"/>
    <w:rsid w:val="001D6976"/>
    <w:rsid w:val="001D69C1"/>
    <w:rsid w:val="001D69E7"/>
    <w:rsid w:val="001D6A64"/>
    <w:rsid w:val="001D6B0E"/>
    <w:rsid w:val="001D6B30"/>
    <w:rsid w:val="001D6B35"/>
    <w:rsid w:val="001D6B3E"/>
    <w:rsid w:val="001D6B79"/>
    <w:rsid w:val="001D6BB7"/>
    <w:rsid w:val="001D6C42"/>
    <w:rsid w:val="001D6C50"/>
    <w:rsid w:val="001D6D36"/>
    <w:rsid w:val="001D6D40"/>
    <w:rsid w:val="001D6D6D"/>
    <w:rsid w:val="001D6DCB"/>
    <w:rsid w:val="001D6E53"/>
    <w:rsid w:val="001D6E78"/>
    <w:rsid w:val="001D6E7F"/>
    <w:rsid w:val="001D6ECE"/>
    <w:rsid w:val="001D6F37"/>
    <w:rsid w:val="001D6F9B"/>
    <w:rsid w:val="001D6FB9"/>
    <w:rsid w:val="001D7017"/>
    <w:rsid w:val="001D70A3"/>
    <w:rsid w:val="001D7115"/>
    <w:rsid w:val="001D7130"/>
    <w:rsid w:val="001D714D"/>
    <w:rsid w:val="001D71AC"/>
    <w:rsid w:val="001D71C8"/>
    <w:rsid w:val="001D71D1"/>
    <w:rsid w:val="001D71D3"/>
    <w:rsid w:val="001D71F8"/>
    <w:rsid w:val="001D723E"/>
    <w:rsid w:val="001D72B4"/>
    <w:rsid w:val="001D72E3"/>
    <w:rsid w:val="001D72E4"/>
    <w:rsid w:val="001D72E7"/>
    <w:rsid w:val="001D7382"/>
    <w:rsid w:val="001D73BE"/>
    <w:rsid w:val="001D73C9"/>
    <w:rsid w:val="001D73FE"/>
    <w:rsid w:val="001D74F5"/>
    <w:rsid w:val="001D7517"/>
    <w:rsid w:val="001D752B"/>
    <w:rsid w:val="001D7598"/>
    <w:rsid w:val="001D75B0"/>
    <w:rsid w:val="001D75B5"/>
    <w:rsid w:val="001D75B8"/>
    <w:rsid w:val="001D7601"/>
    <w:rsid w:val="001D763D"/>
    <w:rsid w:val="001D7664"/>
    <w:rsid w:val="001D766F"/>
    <w:rsid w:val="001D7685"/>
    <w:rsid w:val="001D775D"/>
    <w:rsid w:val="001D7778"/>
    <w:rsid w:val="001D77A6"/>
    <w:rsid w:val="001D77BF"/>
    <w:rsid w:val="001D7838"/>
    <w:rsid w:val="001D786F"/>
    <w:rsid w:val="001D7880"/>
    <w:rsid w:val="001D7992"/>
    <w:rsid w:val="001D7A89"/>
    <w:rsid w:val="001D7AB9"/>
    <w:rsid w:val="001D7B3D"/>
    <w:rsid w:val="001D7B4B"/>
    <w:rsid w:val="001D7C17"/>
    <w:rsid w:val="001D7C29"/>
    <w:rsid w:val="001D7CB6"/>
    <w:rsid w:val="001D7CDE"/>
    <w:rsid w:val="001D7CF7"/>
    <w:rsid w:val="001D7D3D"/>
    <w:rsid w:val="001D7D75"/>
    <w:rsid w:val="001D7DAF"/>
    <w:rsid w:val="001D7DC3"/>
    <w:rsid w:val="001D7DEE"/>
    <w:rsid w:val="001D7E03"/>
    <w:rsid w:val="001D7E38"/>
    <w:rsid w:val="001D7E84"/>
    <w:rsid w:val="001D7F40"/>
    <w:rsid w:val="001D7F4C"/>
    <w:rsid w:val="001D7FA0"/>
    <w:rsid w:val="001D7FB5"/>
    <w:rsid w:val="001E0024"/>
    <w:rsid w:val="001E00A3"/>
    <w:rsid w:val="001E0134"/>
    <w:rsid w:val="001E0147"/>
    <w:rsid w:val="001E019A"/>
    <w:rsid w:val="001E01CE"/>
    <w:rsid w:val="001E01EC"/>
    <w:rsid w:val="001E0242"/>
    <w:rsid w:val="001E0251"/>
    <w:rsid w:val="001E0374"/>
    <w:rsid w:val="001E0399"/>
    <w:rsid w:val="001E03C3"/>
    <w:rsid w:val="001E03F7"/>
    <w:rsid w:val="001E0450"/>
    <w:rsid w:val="001E0468"/>
    <w:rsid w:val="001E0483"/>
    <w:rsid w:val="001E04AE"/>
    <w:rsid w:val="001E04B0"/>
    <w:rsid w:val="001E04C9"/>
    <w:rsid w:val="001E04D9"/>
    <w:rsid w:val="001E05B9"/>
    <w:rsid w:val="001E05DD"/>
    <w:rsid w:val="001E05EC"/>
    <w:rsid w:val="001E05ED"/>
    <w:rsid w:val="001E0609"/>
    <w:rsid w:val="001E064E"/>
    <w:rsid w:val="001E06A8"/>
    <w:rsid w:val="001E06AE"/>
    <w:rsid w:val="001E06B9"/>
    <w:rsid w:val="001E06EC"/>
    <w:rsid w:val="001E06FE"/>
    <w:rsid w:val="001E0706"/>
    <w:rsid w:val="001E070A"/>
    <w:rsid w:val="001E0711"/>
    <w:rsid w:val="001E0716"/>
    <w:rsid w:val="001E0725"/>
    <w:rsid w:val="001E0735"/>
    <w:rsid w:val="001E0817"/>
    <w:rsid w:val="001E0853"/>
    <w:rsid w:val="001E086F"/>
    <w:rsid w:val="001E0929"/>
    <w:rsid w:val="001E096E"/>
    <w:rsid w:val="001E0A90"/>
    <w:rsid w:val="001E0A97"/>
    <w:rsid w:val="001E0B33"/>
    <w:rsid w:val="001E0B72"/>
    <w:rsid w:val="001E0B92"/>
    <w:rsid w:val="001E0B98"/>
    <w:rsid w:val="001E0BB2"/>
    <w:rsid w:val="001E0BFA"/>
    <w:rsid w:val="001E0C21"/>
    <w:rsid w:val="001E0CEF"/>
    <w:rsid w:val="001E0D14"/>
    <w:rsid w:val="001E0D45"/>
    <w:rsid w:val="001E0D5C"/>
    <w:rsid w:val="001E0DCB"/>
    <w:rsid w:val="001E0DD4"/>
    <w:rsid w:val="001E0E79"/>
    <w:rsid w:val="001E0E84"/>
    <w:rsid w:val="001E0E86"/>
    <w:rsid w:val="001E0EBC"/>
    <w:rsid w:val="001E0ED9"/>
    <w:rsid w:val="001E0F57"/>
    <w:rsid w:val="001E0F96"/>
    <w:rsid w:val="001E0FD1"/>
    <w:rsid w:val="001E0FE4"/>
    <w:rsid w:val="001E100A"/>
    <w:rsid w:val="001E103E"/>
    <w:rsid w:val="001E105D"/>
    <w:rsid w:val="001E1080"/>
    <w:rsid w:val="001E10CD"/>
    <w:rsid w:val="001E1119"/>
    <w:rsid w:val="001E1141"/>
    <w:rsid w:val="001E1180"/>
    <w:rsid w:val="001E11BB"/>
    <w:rsid w:val="001E11D0"/>
    <w:rsid w:val="001E1203"/>
    <w:rsid w:val="001E1254"/>
    <w:rsid w:val="001E1285"/>
    <w:rsid w:val="001E1289"/>
    <w:rsid w:val="001E12FE"/>
    <w:rsid w:val="001E1302"/>
    <w:rsid w:val="001E1305"/>
    <w:rsid w:val="001E131F"/>
    <w:rsid w:val="001E133F"/>
    <w:rsid w:val="001E1382"/>
    <w:rsid w:val="001E13BC"/>
    <w:rsid w:val="001E13CE"/>
    <w:rsid w:val="001E13E4"/>
    <w:rsid w:val="001E13F5"/>
    <w:rsid w:val="001E13FA"/>
    <w:rsid w:val="001E1429"/>
    <w:rsid w:val="001E142C"/>
    <w:rsid w:val="001E146E"/>
    <w:rsid w:val="001E14A3"/>
    <w:rsid w:val="001E14A4"/>
    <w:rsid w:val="001E14C0"/>
    <w:rsid w:val="001E14DA"/>
    <w:rsid w:val="001E1501"/>
    <w:rsid w:val="001E1513"/>
    <w:rsid w:val="001E155D"/>
    <w:rsid w:val="001E15C7"/>
    <w:rsid w:val="001E1602"/>
    <w:rsid w:val="001E1634"/>
    <w:rsid w:val="001E168C"/>
    <w:rsid w:val="001E1700"/>
    <w:rsid w:val="001E170A"/>
    <w:rsid w:val="001E1778"/>
    <w:rsid w:val="001E1784"/>
    <w:rsid w:val="001E1798"/>
    <w:rsid w:val="001E17DE"/>
    <w:rsid w:val="001E17E7"/>
    <w:rsid w:val="001E184E"/>
    <w:rsid w:val="001E18A5"/>
    <w:rsid w:val="001E190D"/>
    <w:rsid w:val="001E193F"/>
    <w:rsid w:val="001E1957"/>
    <w:rsid w:val="001E196B"/>
    <w:rsid w:val="001E19F9"/>
    <w:rsid w:val="001E1A57"/>
    <w:rsid w:val="001E1AAC"/>
    <w:rsid w:val="001E1B00"/>
    <w:rsid w:val="001E1B02"/>
    <w:rsid w:val="001E1B11"/>
    <w:rsid w:val="001E1B37"/>
    <w:rsid w:val="001E1B54"/>
    <w:rsid w:val="001E1B7F"/>
    <w:rsid w:val="001E1BCD"/>
    <w:rsid w:val="001E1BCF"/>
    <w:rsid w:val="001E1BF5"/>
    <w:rsid w:val="001E1C42"/>
    <w:rsid w:val="001E1C64"/>
    <w:rsid w:val="001E1C66"/>
    <w:rsid w:val="001E1C7B"/>
    <w:rsid w:val="001E1D5C"/>
    <w:rsid w:val="001E1D75"/>
    <w:rsid w:val="001E1DA2"/>
    <w:rsid w:val="001E1DE4"/>
    <w:rsid w:val="001E1DF7"/>
    <w:rsid w:val="001E1E8E"/>
    <w:rsid w:val="001E1EA6"/>
    <w:rsid w:val="001E1F6C"/>
    <w:rsid w:val="001E1F7A"/>
    <w:rsid w:val="001E1F9D"/>
    <w:rsid w:val="001E1FE0"/>
    <w:rsid w:val="001E1FF9"/>
    <w:rsid w:val="001E2007"/>
    <w:rsid w:val="001E2022"/>
    <w:rsid w:val="001E2086"/>
    <w:rsid w:val="001E20E3"/>
    <w:rsid w:val="001E2100"/>
    <w:rsid w:val="001E213F"/>
    <w:rsid w:val="001E21F0"/>
    <w:rsid w:val="001E2223"/>
    <w:rsid w:val="001E2252"/>
    <w:rsid w:val="001E22D3"/>
    <w:rsid w:val="001E22FD"/>
    <w:rsid w:val="001E236A"/>
    <w:rsid w:val="001E238D"/>
    <w:rsid w:val="001E23D6"/>
    <w:rsid w:val="001E2416"/>
    <w:rsid w:val="001E2421"/>
    <w:rsid w:val="001E246D"/>
    <w:rsid w:val="001E248D"/>
    <w:rsid w:val="001E2495"/>
    <w:rsid w:val="001E24EC"/>
    <w:rsid w:val="001E25EA"/>
    <w:rsid w:val="001E25F7"/>
    <w:rsid w:val="001E268E"/>
    <w:rsid w:val="001E26B0"/>
    <w:rsid w:val="001E26EF"/>
    <w:rsid w:val="001E2748"/>
    <w:rsid w:val="001E2755"/>
    <w:rsid w:val="001E276A"/>
    <w:rsid w:val="001E277C"/>
    <w:rsid w:val="001E278A"/>
    <w:rsid w:val="001E27A5"/>
    <w:rsid w:val="001E27E4"/>
    <w:rsid w:val="001E28DF"/>
    <w:rsid w:val="001E28FF"/>
    <w:rsid w:val="001E2906"/>
    <w:rsid w:val="001E290C"/>
    <w:rsid w:val="001E2922"/>
    <w:rsid w:val="001E293E"/>
    <w:rsid w:val="001E2953"/>
    <w:rsid w:val="001E2959"/>
    <w:rsid w:val="001E2981"/>
    <w:rsid w:val="001E29EB"/>
    <w:rsid w:val="001E2A33"/>
    <w:rsid w:val="001E2A58"/>
    <w:rsid w:val="001E2A97"/>
    <w:rsid w:val="001E2AC8"/>
    <w:rsid w:val="001E2ACA"/>
    <w:rsid w:val="001E2AD9"/>
    <w:rsid w:val="001E2ADC"/>
    <w:rsid w:val="001E2B17"/>
    <w:rsid w:val="001E2B2A"/>
    <w:rsid w:val="001E2B90"/>
    <w:rsid w:val="001E2B93"/>
    <w:rsid w:val="001E2C1B"/>
    <w:rsid w:val="001E2C22"/>
    <w:rsid w:val="001E2C36"/>
    <w:rsid w:val="001E2C3E"/>
    <w:rsid w:val="001E2C99"/>
    <w:rsid w:val="001E2C9F"/>
    <w:rsid w:val="001E2CDC"/>
    <w:rsid w:val="001E2D79"/>
    <w:rsid w:val="001E2D82"/>
    <w:rsid w:val="001E2D83"/>
    <w:rsid w:val="001E2D8F"/>
    <w:rsid w:val="001E2D97"/>
    <w:rsid w:val="001E2DA1"/>
    <w:rsid w:val="001E2DA7"/>
    <w:rsid w:val="001E2DD3"/>
    <w:rsid w:val="001E2DE5"/>
    <w:rsid w:val="001E2DEE"/>
    <w:rsid w:val="001E2E19"/>
    <w:rsid w:val="001E2E65"/>
    <w:rsid w:val="001E2EB9"/>
    <w:rsid w:val="001E2F1F"/>
    <w:rsid w:val="001E2F46"/>
    <w:rsid w:val="001E2F75"/>
    <w:rsid w:val="001E2FB9"/>
    <w:rsid w:val="001E3022"/>
    <w:rsid w:val="001E3051"/>
    <w:rsid w:val="001E308D"/>
    <w:rsid w:val="001E30A5"/>
    <w:rsid w:val="001E30A7"/>
    <w:rsid w:val="001E30E9"/>
    <w:rsid w:val="001E31BA"/>
    <w:rsid w:val="001E31BE"/>
    <w:rsid w:val="001E327E"/>
    <w:rsid w:val="001E32C0"/>
    <w:rsid w:val="001E3301"/>
    <w:rsid w:val="001E330C"/>
    <w:rsid w:val="001E3397"/>
    <w:rsid w:val="001E33D3"/>
    <w:rsid w:val="001E33FF"/>
    <w:rsid w:val="001E3448"/>
    <w:rsid w:val="001E3492"/>
    <w:rsid w:val="001E34ED"/>
    <w:rsid w:val="001E34FB"/>
    <w:rsid w:val="001E3561"/>
    <w:rsid w:val="001E3571"/>
    <w:rsid w:val="001E35CD"/>
    <w:rsid w:val="001E3646"/>
    <w:rsid w:val="001E3648"/>
    <w:rsid w:val="001E369C"/>
    <w:rsid w:val="001E36B4"/>
    <w:rsid w:val="001E36F8"/>
    <w:rsid w:val="001E3738"/>
    <w:rsid w:val="001E3744"/>
    <w:rsid w:val="001E3755"/>
    <w:rsid w:val="001E37CF"/>
    <w:rsid w:val="001E37EA"/>
    <w:rsid w:val="001E381B"/>
    <w:rsid w:val="001E3837"/>
    <w:rsid w:val="001E3936"/>
    <w:rsid w:val="001E3942"/>
    <w:rsid w:val="001E3970"/>
    <w:rsid w:val="001E39A7"/>
    <w:rsid w:val="001E39A9"/>
    <w:rsid w:val="001E39E0"/>
    <w:rsid w:val="001E39F5"/>
    <w:rsid w:val="001E3A90"/>
    <w:rsid w:val="001E3AD2"/>
    <w:rsid w:val="001E3B15"/>
    <w:rsid w:val="001E3BA5"/>
    <w:rsid w:val="001E3BC9"/>
    <w:rsid w:val="001E3C2B"/>
    <w:rsid w:val="001E3C91"/>
    <w:rsid w:val="001E3CFA"/>
    <w:rsid w:val="001E3D0A"/>
    <w:rsid w:val="001E3D65"/>
    <w:rsid w:val="001E3DAC"/>
    <w:rsid w:val="001E3DBC"/>
    <w:rsid w:val="001E3DD9"/>
    <w:rsid w:val="001E3DE6"/>
    <w:rsid w:val="001E3E00"/>
    <w:rsid w:val="001E3E28"/>
    <w:rsid w:val="001E3E48"/>
    <w:rsid w:val="001E3E5F"/>
    <w:rsid w:val="001E3E86"/>
    <w:rsid w:val="001E3E90"/>
    <w:rsid w:val="001E3E94"/>
    <w:rsid w:val="001E3F76"/>
    <w:rsid w:val="001E4006"/>
    <w:rsid w:val="001E405E"/>
    <w:rsid w:val="001E4078"/>
    <w:rsid w:val="001E40C3"/>
    <w:rsid w:val="001E40ED"/>
    <w:rsid w:val="001E41B5"/>
    <w:rsid w:val="001E41CE"/>
    <w:rsid w:val="001E41E9"/>
    <w:rsid w:val="001E4216"/>
    <w:rsid w:val="001E422B"/>
    <w:rsid w:val="001E422D"/>
    <w:rsid w:val="001E423D"/>
    <w:rsid w:val="001E42A5"/>
    <w:rsid w:val="001E42D3"/>
    <w:rsid w:val="001E42EA"/>
    <w:rsid w:val="001E4370"/>
    <w:rsid w:val="001E43AC"/>
    <w:rsid w:val="001E43B7"/>
    <w:rsid w:val="001E4440"/>
    <w:rsid w:val="001E4460"/>
    <w:rsid w:val="001E448E"/>
    <w:rsid w:val="001E449F"/>
    <w:rsid w:val="001E4521"/>
    <w:rsid w:val="001E4537"/>
    <w:rsid w:val="001E457D"/>
    <w:rsid w:val="001E458B"/>
    <w:rsid w:val="001E45BF"/>
    <w:rsid w:val="001E45C6"/>
    <w:rsid w:val="001E45D8"/>
    <w:rsid w:val="001E45EA"/>
    <w:rsid w:val="001E45F8"/>
    <w:rsid w:val="001E462F"/>
    <w:rsid w:val="001E4648"/>
    <w:rsid w:val="001E466E"/>
    <w:rsid w:val="001E469E"/>
    <w:rsid w:val="001E46B8"/>
    <w:rsid w:val="001E46EE"/>
    <w:rsid w:val="001E46FA"/>
    <w:rsid w:val="001E473A"/>
    <w:rsid w:val="001E475D"/>
    <w:rsid w:val="001E480B"/>
    <w:rsid w:val="001E4826"/>
    <w:rsid w:val="001E484C"/>
    <w:rsid w:val="001E48E1"/>
    <w:rsid w:val="001E4930"/>
    <w:rsid w:val="001E4957"/>
    <w:rsid w:val="001E496F"/>
    <w:rsid w:val="001E497A"/>
    <w:rsid w:val="001E4A9A"/>
    <w:rsid w:val="001E4AC8"/>
    <w:rsid w:val="001E4AD5"/>
    <w:rsid w:val="001E4AED"/>
    <w:rsid w:val="001E4B00"/>
    <w:rsid w:val="001E4B86"/>
    <w:rsid w:val="001E4B93"/>
    <w:rsid w:val="001E4C5F"/>
    <w:rsid w:val="001E4C8E"/>
    <w:rsid w:val="001E4C90"/>
    <w:rsid w:val="001E4C9B"/>
    <w:rsid w:val="001E4CF8"/>
    <w:rsid w:val="001E4D2D"/>
    <w:rsid w:val="001E4D76"/>
    <w:rsid w:val="001E4E46"/>
    <w:rsid w:val="001E4E9A"/>
    <w:rsid w:val="001E4F16"/>
    <w:rsid w:val="001E4F64"/>
    <w:rsid w:val="001E4F8A"/>
    <w:rsid w:val="001E5010"/>
    <w:rsid w:val="001E501C"/>
    <w:rsid w:val="001E5029"/>
    <w:rsid w:val="001E5030"/>
    <w:rsid w:val="001E5049"/>
    <w:rsid w:val="001E5068"/>
    <w:rsid w:val="001E5140"/>
    <w:rsid w:val="001E5152"/>
    <w:rsid w:val="001E51FB"/>
    <w:rsid w:val="001E51FC"/>
    <w:rsid w:val="001E51FE"/>
    <w:rsid w:val="001E522A"/>
    <w:rsid w:val="001E5290"/>
    <w:rsid w:val="001E52A4"/>
    <w:rsid w:val="001E52B0"/>
    <w:rsid w:val="001E5307"/>
    <w:rsid w:val="001E5314"/>
    <w:rsid w:val="001E5321"/>
    <w:rsid w:val="001E5338"/>
    <w:rsid w:val="001E5361"/>
    <w:rsid w:val="001E53ED"/>
    <w:rsid w:val="001E544B"/>
    <w:rsid w:val="001E548F"/>
    <w:rsid w:val="001E54DF"/>
    <w:rsid w:val="001E54E5"/>
    <w:rsid w:val="001E55AB"/>
    <w:rsid w:val="001E55E2"/>
    <w:rsid w:val="001E5618"/>
    <w:rsid w:val="001E5625"/>
    <w:rsid w:val="001E565E"/>
    <w:rsid w:val="001E569A"/>
    <w:rsid w:val="001E56B1"/>
    <w:rsid w:val="001E56C6"/>
    <w:rsid w:val="001E56D6"/>
    <w:rsid w:val="001E56FF"/>
    <w:rsid w:val="001E5713"/>
    <w:rsid w:val="001E5741"/>
    <w:rsid w:val="001E5754"/>
    <w:rsid w:val="001E57CE"/>
    <w:rsid w:val="001E57CF"/>
    <w:rsid w:val="001E57F7"/>
    <w:rsid w:val="001E5829"/>
    <w:rsid w:val="001E582B"/>
    <w:rsid w:val="001E5847"/>
    <w:rsid w:val="001E5864"/>
    <w:rsid w:val="001E5876"/>
    <w:rsid w:val="001E58B7"/>
    <w:rsid w:val="001E58C2"/>
    <w:rsid w:val="001E58FB"/>
    <w:rsid w:val="001E5906"/>
    <w:rsid w:val="001E5921"/>
    <w:rsid w:val="001E5926"/>
    <w:rsid w:val="001E5927"/>
    <w:rsid w:val="001E5933"/>
    <w:rsid w:val="001E593A"/>
    <w:rsid w:val="001E59B8"/>
    <w:rsid w:val="001E5A04"/>
    <w:rsid w:val="001E5A47"/>
    <w:rsid w:val="001E5A48"/>
    <w:rsid w:val="001E5AFE"/>
    <w:rsid w:val="001E5B86"/>
    <w:rsid w:val="001E5B89"/>
    <w:rsid w:val="001E5BA1"/>
    <w:rsid w:val="001E5BAC"/>
    <w:rsid w:val="001E5BB0"/>
    <w:rsid w:val="001E5BD0"/>
    <w:rsid w:val="001E5BDD"/>
    <w:rsid w:val="001E5C0F"/>
    <w:rsid w:val="001E5C50"/>
    <w:rsid w:val="001E5D18"/>
    <w:rsid w:val="001E5D1F"/>
    <w:rsid w:val="001E5D40"/>
    <w:rsid w:val="001E5D48"/>
    <w:rsid w:val="001E5D6D"/>
    <w:rsid w:val="001E5D74"/>
    <w:rsid w:val="001E5D7A"/>
    <w:rsid w:val="001E5D9D"/>
    <w:rsid w:val="001E5DBD"/>
    <w:rsid w:val="001E5E22"/>
    <w:rsid w:val="001E5E64"/>
    <w:rsid w:val="001E5E7E"/>
    <w:rsid w:val="001E5E92"/>
    <w:rsid w:val="001E5EE9"/>
    <w:rsid w:val="001E5F12"/>
    <w:rsid w:val="001E5F18"/>
    <w:rsid w:val="001E5F44"/>
    <w:rsid w:val="001E5F48"/>
    <w:rsid w:val="001E5F56"/>
    <w:rsid w:val="001E5F71"/>
    <w:rsid w:val="001E5FE3"/>
    <w:rsid w:val="001E5FF4"/>
    <w:rsid w:val="001E5FFB"/>
    <w:rsid w:val="001E60B5"/>
    <w:rsid w:val="001E60BA"/>
    <w:rsid w:val="001E60F5"/>
    <w:rsid w:val="001E60FB"/>
    <w:rsid w:val="001E614E"/>
    <w:rsid w:val="001E6201"/>
    <w:rsid w:val="001E62BA"/>
    <w:rsid w:val="001E62BD"/>
    <w:rsid w:val="001E6317"/>
    <w:rsid w:val="001E6336"/>
    <w:rsid w:val="001E6362"/>
    <w:rsid w:val="001E6371"/>
    <w:rsid w:val="001E63A3"/>
    <w:rsid w:val="001E6417"/>
    <w:rsid w:val="001E6467"/>
    <w:rsid w:val="001E649A"/>
    <w:rsid w:val="001E64EF"/>
    <w:rsid w:val="001E64F0"/>
    <w:rsid w:val="001E6537"/>
    <w:rsid w:val="001E653F"/>
    <w:rsid w:val="001E654F"/>
    <w:rsid w:val="001E6556"/>
    <w:rsid w:val="001E6557"/>
    <w:rsid w:val="001E6561"/>
    <w:rsid w:val="001E656B"/>
    <w:rsid w:val="001E65E7"/>
    <w:rsid w:val="001E65F6"/>
    <w:rsid w:val="001E6608"/>
    <w:rsid w:val="001E6613"/>
    <w:rsid w:val="001E6624"/>
    <w:rsid w:val="001E664B"/>
    <w:rsid w:val="001E668B"/>
    <w:rsid w:val="001E6695"/>
    <w:rsid w:val="001E66E3"/>
    <w:rsid w:val="001E6713"/>
    <w:rsid w:val="001E6714"/>
    <w:rsid w:val="001E677B"/>
    <w:rsid w:val="001E678D"/>
    <w:rsid w:val="001E679F"/>
    <w:rsid w:val="001E67FF"/>
    <w:rsid w:val="001E684C"/>
    <w:rsid w:val="001E6859"/>
    <w:rsid w:val="001E6959"/>
    <w:rsid w:val="001E69B1"/>
    <w:rsid w:val="001E6A01"/>
    <w:rsid w:val="001E6A12"/>
    <w:rsid w:val="001E6A87"/>
    <w:rsid w:val="001E6AA8"/>
    <w:rsid w:val="001E6B95"/>
    <w:rsid w:val="001E6BCA"/>
    <w:rsid w:val="001E6BCB"/>
    <w:rsid w:val="001E6BDD"/>
    <w:rsid w:val="001E6C02"/>
    <w:rsid w:val="001E6C42"/>
    <w:rsid w:val="001E6C78"/>
    <w:rsid w:val="001E6C81"/>
    <w:rsid w:val="001E6C96"/>
    <w:rsid w:val="001E6CC0"/>
    <w:rsid w:val="001E6CC6"/>
    <w:rsid w:val="001E6CD9"/>
    <w:rsid w:val="001E6CF2"/>
    <w:rsid w:val="001E6D3D"/>
    <w:rsid w:val="001E6D86"/>
    <w:rsid w:val="001E6DA1"/>
    <w:rsid w:val="001E6E0B"/>
    <w:rsid w:val="001E6E1C"/>
    <w:rsid w:val="001E6E74"/>
    <w:rsid w:val="001E6E9C"/>
    <w:rsid w:val="001E6F07"/>
    <w:rsid w:val="001E6FB9"/>
    <w:rsid w:val="001E6FBE"/>
    <w:rsid w:val="001E6FE0"/>
    <w:rsid w:val="001E7005"/>
    <w:rsid w:val="001E70A9"/>
    <w:rsid w:val="001E7122"/>
    <w:rsid w:val="001E715A"/>
    <w:rsid w:val="001E718F"/>
    <w:rsid w:val="001E71AF"/>
    <w:rsid w:val="001E71BD"/>
    <w:rsid w:val="001E7202"/>
    <w:rsid w:val="001E720D"/>
    <w:rsid w:val="001E7217"/>
    <w:rsid w:val="001E722C"/>
    <w:rsid w:val="001E7284"/>
    <w:rsid w:val="001E72CB"/>
    <w:rsid w:val="001E72D4"/>
    <w:rsid w:val="001E732B"/>
    <w:rsid w:val="001E7345"/>
    <w:rsid w:val="001E7361"/>
    <w:rsid w:val="001E73A3"/>
    <w:rsid w:val="001E740E"/>
    <w:rsid w:val="001E7418"/>
    <w:rsid w:val="001E7445"/>
    <w:rsid w:val="001E74BC"/>
    <w:rsid w:val="001E74D2"/>
    <w:rsid w:val="001E74EB"/>
    <w:rsid w:val="001E7502"/>
    <w:rsid w:val="001E752A"/>
    <w:rsid w:val="001E7550"/>
    <w:rsid w:val="001E756A"/>
    <w:rsid w:val="001E75A4"/>
    <w:rsid w:val="001E75B6"/>
    <w:rsid w:val="001E75DE"/>
    <w:rsid w:val="001E75FA"/>
    <w:rsid w:val="001E7604"/>
    <w:rsid w:val="001E7614"/>
    <w:rsid w:val="001E76C5"/>
    <w:rsid w:val="001E775C"/>
    <w:rsid w:val="001E77FE"/>
    <w:rsid w:val="001E780B"/>
    <w:rsid w:val="001E78DF"/>
    <w:rsid w:val="001E7920"/>
    <w:rsid w:val="001E7994"/>
    <w:rsid w:val="001E79C3"/>
    <w:rsid w:val="001E79EC"/>
    <w:rsid w:val="001E79F2"/>
    <w:rsid w:val="001E7A0A"/>
    <w:rsid w:val="001E7A3B"/>
    <w:rsid w:val="001E7A5F"/>
    <w:rsid w:val="001E7A7B"/>
    <w:rsid w:val="001E7AAA"/>
    <w:rsid w:val="001E7AD0"/>
    <w:rsid w:val="001E7AED"/>
    <w:rsid w:val="001E7AF1"/>
    <w:rsid w:val="001E7B0E"/>
    <w:rsid w:val="001E7B3F"/>
    <w:rsid w:val="001E7B87"/>
    <w:rsid w:val="001E7B93"/>
    <w:rsid w:val="001E7BAF"/>
    <w:rsid w:val="001E7BD3"/>
    <w:rsid w:val="001E7C85"/>
    <w:rsid w:val="001E7CC5"/>
    <w:rsid w:val="001E7CFB"/>
    <w:rsid w:val="001E7D81"/>
    <w:rsid w:val="001E7DA4"/>
    <w:rsid w:val="001E7DBC"/>
    <w:rsid w:val="001E7DE1"/>
    <w:rsid w:val="001E7E0A"/>
    <w:rsid w:val="001E7E1D"/>
    <w:rsid w:val="001E7E41"/>
    <w:rsid w:val="001E7E56"/>
    <w:rsid w:val="001E7E5E"/>
    <w:rsid w:val="001E7E6A"/>
    <w:rsid w:val="001E7E9B"/>
    <w:rsid w:val="001E7EB4"/>
    <w:rsid w:val="001E7F28"/>
    <w:rsid w:val="001F0003"/>
    <w:rsid w:val="001F0069"/>
    <w:rsid w:val="001F007E"/>
    <w:rsid w:val="001F008B"/>
    <w:rsid w:val="001F00AB"/>
    <w:rsid w:val="001F00DF"/>
    <w:rsid w:val="001F00E4"/>
    <w:rsid w:val="001F019F"/>
    <w:rsid w:val="001F01C7"/>
    <w:rsid w:val="001F01EB"/>
    <w:rsid w:val="001F0203"/>
    <w:rsid w:val="001F021A"/>
    <w:rsid w:val="001F0294"/>
    <w:rsid w:val="001F02CD"/>
    <w:rsid w:val="001F0316"/>
    <w:rsid w:val="001F032D"/>
    <w:rsid w:val="001F0351"/>
    <w:rsid w:val="001F03CA"/>
    <w:rsid w:val="001F03E9"/>
    <w:rsid w:val="001F044C"/>
    <w:rsid w:val="001F045B"/>
    <w:rsid w:val="001F046D"/>
    <w:rsid w:val="001F04AC"/>
    <w:rsid w:val="001F04BE"/>
    <w:rsid w:val="001F050F"/>
    <w:rsid w:val="001F052E"/>
    <w:rsid w:val="001F0579"/>
    <w:rsid w:val="001F05C3"/>
    <w:rsid w:val="001F05CC"/>
    <w:rsid w:val="001F05D1"/>
    <w:rsid w:val="001F05DB"/>
    <w:rsid w:val="001F05EE"/>
    <w:rsid w:val="001F0636"/>
    <w:rsid w:val="001F0641"/>
    <w:rsid w:val="001F0668"/>
    <w:rsid w:val="001F0680"/>
    <w:rsid w:val="001F06BB"/>
    <w:rsid w:val="001F06FE"/>
    <w:rsid w:val="001F071D"/>
    <w:rsid w:val="001F0730"/>
    <w:rsid w:val="001F0779"/>
    <w:rsid w:val="001F0793"/>
    <w:rsid w:val="001F0794"/>
    <w:rsid w:val="001F0798"/>
    <w:rsid w:val="001F07EA"/>
    <w:rsid w:val="001F0819"/>
    <w:rsid w:val="001F0832"/>
    <w:rsid w:val="001F0899"/>
    <w:rsid w:val="001F0923"/>
    <w:rsid w:val="001F0939"/>
    <w:rsid w:val="001F094B"/>
    <w:rsid w:val="001F0955"/>
    <w:rsid w:val="001F0979"/>
    <w:rsid w:val="001F0989"/>
    <w:rsid w:val="001F09CA"/>
    <w:rsid w:val="001F09F1"/>
    <w:rsid w:val="001F09FF"/>
    <w:rsid w:val="001F0A00"/>
    <w:rsid w:val="001F0AB4"/>
    <w:rsid w:val="001F0ABF"/>
    <w:rsid w:val="001F0AF5"/>
    <w:rsid w:val="001F0B8F"/>
    <w:rsid w:val="001F0BA8"/>
    <w:rsid w:val="001F0C99"/>
    <w:rsid w:val="001F0C9E"/>
    <w:rsid w:val="001F0CB3"/>
    <w:rsid w:val="001F0CE9"/>
    <w:rsid w:val="001F0D11"/>
    <w:rsid w:val="001F0D38"/>
    <w:rsid w:val="001F0D45"/>
    <w:rsid w:val="001F0D9E"/>
    <w:rsid w:val="001F0E0A"/>
    <w:rsid w:val="001F0E79"/>
    <w:rsid w:val="001F0EB3"/>
    <w:rsid w:val="001F0EC8"/>
    <w:rsid w:val="001F0EE7"/>
    <w:rsid w:val="001F0F34"/>
    <w:rsid w:val="001F0F42"/>
    <w:rsid w:val="001F0F4D"/>
    <w:rsid w:val="001F0F50"/>
    <w:rsid w:val="001F0F8B"/>
    <w:rsid w:val="001F0FB5"/>
    <w:rsid w:val="001F101B"/>
    <w:rsid w:val="001F1068"/>
    <w:rsid w:val="001F1096"/>
    <w:rsid w:val="001F10B3"/>
    <w:rsid w:val="001F10E4"/>
    <w:rsid w:val="001F1113"/>
    <w:rsid w:val="001F1127"/>
    <w:rsid w:val="001F1165"/>
    <w:rsid w:val="001F117C"/>
    <w:rsid w:val="001F11EA"/>
    <w:rsid w:val="001F11FA"/>
    <w:rsid w:val="001F1201"/>
    <w:rsid w:val="001F1214"/>
    <w:rsid w:val="001F126F"/>
    <w:rsid w:val="001F12A5"/>
    <w:rsid w:val="001F12BA"/>
    <w:rsid w:val="001F12D7"/>
    <w:rsid w:val="001F134A"/>
    <w:rsid w:val="001F138E"/>
    <w:rsid w:val="001F1398"/>
    <w:rsid w:val="001F1427"/>
    <w:rsid w:val="001F1470"/>
    <w:rsid w:val="001F14C0"/>
    <w:rsid w:val="001F1508"/>
    <w:rsid w:val="001F1539"/>
    <w:rsid w:val="001F15F6"/>
    <w:rsid w:val="001F163A"/>
    <w:rsid w:val="001F1684"/>
    <w:rsid w:val="001F16AE"/>
    <w:rsid w:val="001F16BD"/>
    <w:rsid w:val="001F171D"/>
    <w:rsid w:val="001F1731"/>
    <w:rsid w:val="001F1733"/>
    <w:rsid w:val="001F17A8"/>
    <w:rsid w:val="001F17B3"/>
    <w:rsid w:val="001F17D9"/>
    <w:rsid w:val="001F1831"/>
    <w:rsid w:val="001F1880"/>
    <w:rsid w:val="001F188D"/>
    <w:rsid w:val="001F18E2"/>
    <w:rsid w:val="001F18F8"/>
    <w:rsid w:val="001F18FD"/>
    <w:rsid w:val="001F1929"/>
    <w:rsid w:val="001F1956"/>
    <w:rsid w:val="001F1961"/>
    <w:rsid w:val="001F19E3"/>
    <w:rsid w:val="001F1A3B"/>
    <w:rsid w:val="001F1A48"/>
    <w:rsid w:val="001F1A92"/>
    <w:rsid w:val="001F1AA9"/>
    <w:rsid w:val="001F1AB3"/>
    <w:rsid w:val="001F1AFA"/>
    <w:rsid w:val="001F1B63"/>
    <w:rsid w:val="001F1BD6"/>
    <w:rsid w:val="001F1C32"/>
    <w:rsid w:val="001F1D01"/>
    <w:rsid w:val="001F1E54"/>
    <w:rsid w:val="001F1E78"/>
    <w:rsid w:val="001F1E88"/>
    <w:rsid w:val="001F1E8D"/>
    <w:rsid w:val="001F1E9A"/>
    <w:rsid w:val="001F1EAA"/>
    <w:rsid w:val="001F1EC2"/>
    <w:rsid w:val="001F1ECF"/>
    <w:rsid w:val="001F1F6F"/>
    <w:rsid w:val="001F1F77"/>
    <w:rsid w:val="001F1F82"/>
    <w:rsid w:val="001F1FBC"/>
    <w:rsid w:val="001F2021"/>
    <w:rsid w:val="001F2086"/>
    <w:rsid w:val="001F2095"/>
    <w:rsid w:val="001F20B8"/>
    <w:rsid w:val="001F20DA"/>
    <w:rsid w:val="001F212A"/>
    <w:rsid w:val="001F2178"/>
    <w:rsid w:val="001F21AE"/>
    <w:rsid w:val="001F21D3"/>
    <w:rsid w:val="001F21D9"/>
    <w:rsid w:val="001F21E3"/>
    <w:rsid w:val="001F21ED"/>
    <w:rsid w:val="001F222B"/>
    <w:rsid w:val="001F2282"/>
    <w:rsid w:val="001F228D"/>
    <w:rsid w:val="001F2297"/>
    <w:rsid w:val="001F22D6"/>
    <w:rsid w:val="001F2355"/>
    <w:rsid w:val="001F2360"/>
    <w:rsid w:val="001F237D"/>
    <w:rsid w:val="001F23AA"/>
    <w:rsid w:val="001F23C4"/>
    <w:rsid w:val="001F23D3"/>
    <w:rsid w:val="001F23FA"/>
    <w:rsid w:val="001F244E"/>
    <w:rsid w:val="001F248C"/>
    <w:rsid w:val="001F24DA"/>
    <w:rsid w:val="001F251C"/>
    <w:rsid w:val="001F253E"/>
    <w:rsid w:val="001F256C"/>
    <w:rsid w:val="001F2580"/>
    <w:rsid w:val="001F25E1"/>
    <w:rsid w:val="001F25E8"/>
    <w:rsid w:val="001F25FB"/>
    <w:rsid w:val="001F260A"/>
    <w:rsid w:val="001F2634"/>
    <w:rsid w:val="001F2639"/>
    <w:rsid w:val="001F265B"/>
    <w:rsid w:val="001F266F"/>
    <w:rsid w:val="001F267C"/>
    <w:rsid w:val="001F269A"/>
    <w:rsid w:val="001F26A4"/>
    <w:rsid w:val="001F26D0"/>
    <w:rsid w:val="001F26FA"/>
    <w:rsid w:val="001F270E"/>
    <w:rsid w:val="001F2769"/>
    <w:rsid w:val="001F276A"/>
    <w:rsid w:val="001F2775"/>
    <w:rsid w:val="001F2788"/>
    <w:rsid w:val="001F2847"/>
    <w:rsid w:val="001F284D"/>
    <w:rsid w:val="001F289D"/>
    <w:rsid w:val="001F28F9"/>
    <w:rsid w:val="001F2993"/>
    <w:rsid w:val="001F29E6"/>
    <w:rsid w:val="001F29E8"/>
    <w:rsid w:val="001F29FE"/>
    <w:rsid w:val="001F2A62"/>
    <w:rsid w:val="001F2A84"/>
    <w:rsid w:val="001F2A88"/>
    <w:rsid w:val="001F2B14"/>
    <w:rsid w:val="001F2B2F"/>
    <w:rsid w:val="001F2BAB"/>
    <w:rsid w:val="001F2C5C"/>
    <w:rsid w:val="001F2C6A"/>
    <w:rsid w:val="001F2C82"/>
    <w:rsid w:val="001F2D23"/>
    <w:rsid w:val="001F2D3D"/>
    <w:rsid w:val="001F2D9B"/>
    <w:rsid w:val="001F2DE6"/>
    <w:rsid w:val="001F2DEC"/>
    <w:rsid w:val="001F2DF5"/>
    <w:rsid w:val="001F2DFC"/>
    <w:rsid w:val="001F2E42"/>
    <w:rsid w:val="001F2E68"/>
    <w:rsid w:val="001F2E9F"/>
    <w:rsid w:val="001F2F07"/>
    <w:rsid w:val="001F2F14"/>
    <w:rsid w:val="001F2F29"/>
    <w:rsid w:val="001F2F2C"/>
    <w:rsid w:val="001F2F52"/>
    <w:rsid w:val="001F2F8C"/>
    <w:rsid w:val="001F2F9A"/>
    <w:rsid w:val="001F2FCB"/>
    <w:rsid w:val="001F3027"/>
    <w:rsid w:val="001F3064"/>
    <w:rsid w:val="001F306F"/>
    <w:rsid w:val="001F30CE"/>
    <w:rsid w:val="001F30DE"/>
    <w:rsid w:val="001F3115"/>
    <w:rsid w:val="001F315B"/>
    <w:rsid w:val="001F3191"/>
    <w:rsid w:val="001F31F2"/>
    <w:rsid w:val="001F3231"/>
    <w:rsid w:val="001F325D"/>
    <w:rsid w:val="001F325F"/>
    <w:rsid w:val="001F3268"/>
    <w:rsid w:val="001F32EF"/>
    <w:rsid w:val="001F331E"/>
    <w:rsid w:val="001F332A"/>
    <w:rsid w:val="001F3358"/>
    <w:rsid w:val="001F33A1"/>
    <w:rsid w:val="001F33A8"/>
    <w:rsid w:val="001F33DB"/>
    <w:rsid w:val="001F3436"/>
    <w:rsid w:val="001F344E"/>
    <w:rsid w:val="001F357E"/>
    <w:rsid w:val="001F35DD"/>
    <w:rsid w:val="001F35F9"/>
    <w:rsid w:val="001F3609"/>
    <w:rsid w:val="001F360D"/>
    <w:rsid w:val="001F3646"/>
    <w:rsid w:val="001F366B"/>
    <w:rsid w:val="001F3675"/>
    <w:rsid w:val="001F368D"/>
    <w:rsid w:val="001F36DE"/>
    <w:rsid w:val="001F3725"/>
    <w:rsid w:val="001F373C"/>
    <w:rsid w:val="001F374E"/>
    <w:rsid w:val="001F3763"/>
    <w:rsid w:val="001F378B"/>
    <w:rsid w:val="001F379F"/>
    <w:rsid w:val="001F37A6"/>
    <w:rsid w:val="001F37D7"/>
    <w:rsid w:val="001F37EB"/>
    <w:rsid w:val="001F3835"/>
    <w:rsid w:val="001F3843"/>
    <w:rsid w:val="001F388C"/>
    <w:rsid w:val="001F38A1"/>
    <w:rsid w:val="001F3988"/>
    <w:rsid w:val="001F39D1"/>
    <w:rsid w:val="001F39E3"/>
    <w:rsid w:val="001F39E5"/>
    <w:rsid w:val="001F3A13"/>
    <w:rsid w:val="001F3AB6"/>
    <w:rsid w:val="001F3B6E"/>
    <w:rsid w:val="001F3B7D"/>
    <w:rsid w:val="001F3BB1"/>
    <w:rsid w:val="001F3BCB"/>
    <w:rsid w:val="001F3BF2"/>
    <w:rsid w:val="001F3BFF"/>
    <w:rsid w:val="001F3D39"/>
    <w:rsid w:val="001F3D69"/>
    <w:rsid w:val="001F3DEB"/>
    <w:rsid w:val="001F3F04"/>
    <w:rsid w:val="001F3F25"/>
    <w:rsid w:val="001F3F4A"/>
    <w:rsid w:val="001F3F83"/>
    <w:rsid w:val="001F3F85"/>
    <w:rsid w:val="001F3FBC"/>
    <w:rsid w:val="001F3FDA"/>
    <w:rsid w:val="001F403D"/>
    <w:rsid w:val="001F40F6"/>
    <w:rsid w:val="001F40FF"/>
    <w:rsid w:val="001F414C"/>
    <w:rsid w:val="001F4172"/>
    <w:rsid w:val="001F419E"/>
    <w:rsid w:val="001F41AA"/>
    <w:rsid w:val="001F41B2"/>
    <w:rsid w:val="001F423E"/>
    <w:rsid w:val="001F426E"/>
    <w:rsid w:val="001F4287"/>
    <w:rsid w:val="001F42C7"/>
    <w:rsid w:val="001F42FD"/>
    <w:rsid w:val="001F4325"/>
    <w:rsid w:val="001F433A"/>
    <w:rsid w:val="001F4374"/>
    <w:rsid w:val="001F43EC"/>
    <w:rsid w:val="001F4453"/>
    <w:rsid w:val="001F4507"/>
    <w:rsid w:val="001F4535"/>
    <w:rsid w:val="001F4547"/>
    <w:rsid w:val="001F454A"/>
    <w:rsid w:val="001F4560"/>
    <w:rsid w:val="001F45DA"/>
    <w:rsid w:val="001F461B"/>
    <w:rsid w:val="001F4653"/>
    <w:rsid w:val="001F4656"/>
    <w:rsid w:val="001F4686"/>
    <w:rsid w:val="001F469E"/>
    <w:rsid w:val="001F473B"/>
    <w:rsid w:val="001F476C"/>
    <w:rsid w:val="001F47F1"/>
    <w:rsid w:val="001F4828"/>
    <w:rsid w:val="001F484E"/>
    <w:rsid w:val="001F4862"/>
    <w:rsid w:val="001F48D3"/>
    <w:rsid w:val="001F493E"/>
    <w:rsid w:val="001F4994"/>
    <w:rsid w:val="001F4A05"/>
    <w:rsid w:val="001F4A73"/>
    <w:rsid w:val="001F4A96"/>
    <w:rsid w:val="001F4AB4"/>
    <w:rsid w:val="001F4AC6"/>
    <w:rsid w:val="001F4ADC"/>
    <w:rsid w:val="001F4B0B"/>
    <w:rsid w:val="001F4B20"/>
    <w:rsid w:val="001F4B21"/>
    <w:rsid w:val="001F4B54"/>
    <w:rsid w:val="001F4B5F"/>
    <w:rsid w:val="001F4BD9"/>
    <w:rsid w:val="001F4C0D"/>
    <w:rsid w:val="001F4C30"/>
    <w:rsid w:val="001F4C3E"/>
    <w:rsid w:val="001F4C57"/>
    <w:rsid w:val="001F4CC0"/>
    <w:rsid w:val="001F4D18"/>
    <w:rsid w:val="001F4D70"/>
    <w:rsid w:val="001F4D8D"/>
    <w:rsid w:val="001F4D91"/>
    <w:rsid w:val="001F4E08"/>
    <w:rsid w:val="001F4E1C"/>
    <w:rsid w:val="001F4E1F"/>
    <w:rsid w:val="001F4E36"/>
    <w:rsid w:val="001F4E62"/>
    <w:rsid w:val="001F4E67"/>
    <w:rsid w:val="001F4F32"/>
    <w:rsid w:val="001F4F38"/>
    <w:rsid w:val="001F4F42"/>
    <w:rsid w:val="001F4FC8"/>
    <w:rsid w:val="001F4FDD"/>
    <w:rsid w:val="001F5019"/>
    <w:rsid w:val="001F501F"/>
    <w:rsid w:val="001F50C3"/>
    <w:rsid w:val="001F5184"/>
    <w:rsid w:val="001F51BD"/>
    <w:rsid w:val="001F5201"/>
    <w:rsid w:val="001F5217"/>
    <w:rsid w:val="001F5218"/>
    <w:rsid w:val="001F527A"/>
    <w:rsid w:val="001F5281"/>
    <w:rsid w:val="001F5294"/>
    <w:rsid w:val="001F538D"/>
    <w:rsid w:val="001F53AE"/>
    <w:rsid w:val="001F53BB"/>
    <w:rsid w:val="001F543A"/>
    <w:rsid w:val="001F545D"/>
    <w:rsid w:val="001F5472"/>
    <w:rsid w:val="001F54A1"/>
    <w:rsid w:val="001F5533"/>
    <w:rsid w:val="001F554A"/>
    <w:rsid w:val="001F554C"/>
    <w:rsid w:val="001F5569"/>
    <w:rsid w:val="001F5597"/>
    <w:rsid w:val="001F55AB"/>
    <w:rsid w:val="001F55DA"/>
    <w:rsid w:val="001F55F0"/>
    <w:rsid w:val="001F55FC"/>
    <w:rsid w:val="001F56C6"/>
    <w:rsid w:val="001F5711"/>
    <w:rsid w:val="001F5714"/>
    <w:rsid w:val="001F577B"/>
    <w:rsid w:val="001F577C"/>
    <w:rsid w:val="001F57F1"/>
    <w:rsid w:val="001F5800"/>
    <w:rsid w:val="001F583F"/>
    <w:rsid w:val="001F585B"/>
    <w:rsid w:val="001F58BF"/>
    <w:rsid w:val="001F58E0"/>
    <w:rsid w:val="001F590D"/>
    <w:rsid w:val="001F59C8"/>
    <w:rsid w:val="001F59CB"/>
    <w:rsid w:val="001F59F5"/>
    <w:rsid w:val="001F5A06"/>
    <w:rsid w:val="001F5A12"/>
    <w:rsid w:val="001F5AB3"/>
    <w:rsid w:val="001F5ACD"/>
    <w:rsid w:val="001F5AE8"/>
    <w:rsid w:val="001F5B28"/>
    <w:rsid w:val="001F5B37"/>
    <w:rsid w:val="001F5B48"/>
    <w:rsid w:val="001F5B53"/>
    <w:rsid w:val="001F5BC8"/>
    <w:rsid w:val="001F5C7F"/>
    <w:rsid w:val="001F5C96"/>
    <w:rsid w:val="001F5CFC"/>
    <w:rsid w:val="001F5D2A"/>
    <w:rsid w:val="001F5D89"/>
    <w:rsid w:val="001F5D9D"/>
    <w:rsid w:val="001F5DBF"/>
    <w:rsid w:val="001F5DD5"/>
    <w:rsid w:val="001F5DFA"/>
    <w:rsid w:val="001F5E3A"/>
    <w:rsid w:val="001F5E42"/>
    <w:rsid w:val="001F5E5B"/>
    <w:rsid w:val="001F5F2C"/>
    <w:rsid w:val="001F5F52"/>
    <w:rsid w:val="001F6031"/>
    <w:rsid w:val="001F605B"/>
    <w:rsid w:val="001F60E2"/>
    <w:rsid w:val="001F6148"/>
    <w:rsid w:val="001F617A"/>
    <w:rsid w:val="001F6231"/>
    <w:rsid w:val="001F6255"/>
    <w:rsid w:val="001F62A5"/>
    <w:rsid w:val="001F62EA"/>
    <w:rsid w:val="001F6303"/>
    <w:rsid w:val="001F6381"/>
    <w:rsid w:val="001F63B0"/>
    <w:rsid w:val="001F6400"/>
    <w:rsid w:val="001F640D"/>
    <w:rsid w:val="001F648D"/>
    <w:rsid w:val="001F6568"/>
    <w:rsid w:val="001F6613"/>
    <w:rsid w:val="001F666C"/>
    <w:rsid w:val="001F667C"/>
    <w:rsid w:val="001F66A7"/>
    <w:rsid w:val="001F66CD"/>
    <w:rsid w:val="001F6709"/>
    <w:rsid w:val="001F671A"/>
    <w:rsid w:val="001F676B"/>
    <w:rsid w:val="001F6771"/>
    <w:rsid w:val="001F679D"/>
    <w:rsid w:val="001F67D1"/>
    <w:rsid w:val="001F67F2"/>
    <w:rsid w:val="001F682E"/>
    <w:rsid w:val="001F6832"/>
    <w:rsid w:val="001F68AA"/>
    <w:rsid w:val="001F68D0"/>
    <w:rsid w:val="001F6900"/>
    <w:rsid w:val="001F694A"/>
    <w:rsid w:val="001F694D"/>
    <w:rsid w:val="001F6975"/>
    <w:rsid w:val="001F6A06"/>
    <w:rsid w:val="001F6A38"/>
    <w:rsid w:val="001F6B6B"/>
    <w:rsid w:val="001F6BE9"/>
    <w:rsid w:val="001F6C01"/>
    <w:rsid w:val="001F6C11"/>
    <w:rsid w:val="001F6C87"/>
    <w:rsid w:val="001F6C8C"/>
    <w:rsid w:val="001F6CEB"/>
    <w:rsid w:val="001F6CF3"/>
    <w:rsid w:val="001F6D10"/>
    <w:rsid w:val="001F6D15"/>
    <w:rsid w:val="001F6D53"/>
    <w:rsid w:val="001F6DE1"/>
    <w:rsid w:val="001F6DE9"/>
    <w:rsid w:val="001F6E4D"/>
    <w:rsid w:val="001F6E9D"/>
    <w:rsid w:val="001F6F01"/>
    <w:rsid w:val="001F6F92"/>
    <w:rsid w:val="001F6FC8"/>
    <w:rsid w:val="001F7000"/>
    <w:rsid w:val="001F700C"/>
    <w:rsid w:val="001F703E"/>
    <w:rsid w:val="001F7058"/>
    <w:rsid w:val="001F709E"/>
    <w:rsid w:val="001F709F"/>
    <w:rsid w:val="001F70A2"/>
    <w:rsid w:val="001F711C"/>
    <w:rsid w:val="001F7135"/>
    <w:rsid w:val="001F7198"/>
    <w:rsid w:val="001F71D8"/>
    <w:rsid w:val="001F722E"/>
    <w:rsid w:val="001F727B"/>
    <w:rsid w:val="001F7346"/>
    <w:rsid w:val="001F735E"/>
    <w:rsid w:val="001F73B3"/>
    <w:rsid w:val="001F73E2"/>
    <w:rsid w:val="001F73EE"/>
    <w:rsid w:val="001F7415"/>
    <w:rsid w:val="001F7429"/>
    <w:rsid w:val="001F745F"/>
    <w:rsid w:val="001F7471"/>
    <w:rsid w:val="001F7475"/>
    <w:rsid w:val="001F74AB"/>
    <w:rsid w:val="001F7530"/>
    <w:rsid w:val="001F755C"/>
    <w:rsid w:val="001F7593"/>
    <w:rsid w:val="001F75A6"/>
    <w:rsid w:val="001F75C3"/>
    <w:rsid w:val="001F75FA"/>
    <w:rsid w:val="001F7640"/>
    <w:rsid w:val="001F765D"/>
    <w:rsid w:val="001F76F5"/>
    <w:rsid w:val="001F7729"/>
    <w:rsid w:val="001F7742"/>
    <w:rsid w:val="001F774E"/>
    <w:rsid w:val="001F7763"/>
    <w:rsid w:val="001F77B7"/>
    <w:rsid w:val="001F77D8"/>
    <w:rsid w:val="001F77E4"/>
    <w:rsid w:val="001F77E8"/>
    <w:rsid w:val="001F77F6"/>
    <w:rsid w:val="001F7806"/>
    <w:rsid w:val="001F7819"/>
    <w:rsid w:val="001F782A"/>
    <w:rsid w:val="001F784E"/>
    <w:rsid w:val="001F7898"/>
    <w:rsid w:val="001F790C"/>
    <w:rsid w:val="001F7950"/>
    <w:rsid w:val="001F79D5"/>
    <w:rsid w:val="001F79E1"/>
    <w:rsid w:val="001F7A92"/>
    <w:rsid w:val="001F7AA3"/>
    <w:rsid w:val="001F7AED"/>
    <w:rsid w:val="001F7B05"/>
    <w:rsid w:val="001F7B5A"/>
    <w:rsid w:val="001F7B71"/>
    <w:rsid w:val="001F7B8D"/>
    <w:rsid w:val="001F7BA0"/>
    <w:rsid w:val="001F7BE7"/>
    <w:rsid w:val="001F7C23"/>
    <w:rsid w:val="001F7CC4"/>
    <w:rsid w:val="001F7CD3"/>
    <w:rsid w:val="001F7CF2"/>
    <w:rsid w:val="001F7D2D"/>
    <w:rsid w:val="001F7D67"/>
    <w:rsid w:val="001F7D84"/>
    <w:rsid w:val="001F7D9A"/>
    <w:rsid w:val="001F7DA6"/>
    <w:rsid w:val="001F7DD3"/>
    <w:rsid w:val="001F7DFD"/>
    <w:rsid w:val="001F7E04"/>
    <w:rsid w:val="001F7E27"/>
    <w:rsid w:val="001F7EDC"/>
    <w:rsid w:val="001F7F1D"/>
    <w:rsid w:val="001F7F49"/>
    <w:rsid w:val="001F7F98"/>
    <w:rsid w:val="001F7FAA"/>
    <w:rsid w:val="001F7FDC"/>
    <w:rsid w:val="0020002A"/>
    <w:rsid w:val="0020005F"/>
    <w:rsid w:val="002000BB"/>
    <w:rsid w:val="002000EE"/>
    <w:rsid w:val="00200107"/>
    <w:rsid w:val="00200156"/>
    <w:rsid w:val="00200172"/>
    <w:rsid w:val="002001AA"/>
    <w:rsid w:val="002001D3"/>
    <w:rsid w:val="00200250"/>
    <w:rsid w:val="00200286"/>
    <w:rsid w:val="00200293"/>
    <w:rsid w:val="0020029D"/>
    <w:rsid w:val="002002D5"/>
    <w:rsid w:val="002002D6"/>
    <w:rsid w:val="002002E4"/>
    <w:rsid w:val="00200366"/>
    <w:rsid w:val="0020036E"/>
    <w:rsid w:val="002003AF"/>
    <w:rsid w:val="002003BD"/>
    <w:rsid w:val="002003D3"/>
    <w:rsid w:val="00200511"/>
    <w:rsid w:val="00200547"/>
    <w:rsid w:val="00200587"/>
    <w:rsid w:val="002005B9"/>
    <w:rsid w:val="00200621"/>
    <w:rsid w:val="0020062A"/>
    <w:rsid w:val="0020068D"/>
    <w:rsid w:val="0020068E"/>
    <w:rsid w:val="00200694"/>
    <w:rsid w:val="002006B0"/>
    <w:rsid w:val="0020070B"/>
    <w:rsid w:val="00200717"/>
    <w:rsid w:val="002007D1"/>
    <w:rsid w:val="00200807"/>
    <w:rsid w:val="00200835"/>
    <w:rsid w:val="002008C8"/>
    <w:rsid w:val="00200908"/>
    <w:rsid w:val="002009CF"/>
    <w:rsid w:val="00200A1D"/>
    <w:rsid w:val="00200A79"/>
    <w:rsid w:val="00200A7B"/>
    <w:rsid w:val="00200AE6"/>
    <w:rsid w:val="00200B02"/>
    <w:rsid w:val="00200B65"/>
    <w:rsid w:val="00200BE3"/>
    <w:rsid w:val="00200BEC"/>
    <w:rsid w:val="00200C06"/>
    <w:rsid w:val="00200C66"/>
    <w:rsid w:val="00200C76"/>
    <w:rsid w:val="00200C78"/>
    <w:rsid w:val="00200C8B"/>
    <w:rsid w:val="00200C95"/>
    <w:rsid w:val="00200D55"/>
    <w:rsid w:val="00200D56"/>
    <w:rsid w:val="00200D71"/>
    <w:rsid w:val="00200DA6"/>
    <w:rsid w:val="00200DDE"/>
    <w:rsid w:val="00200E3D"/>
    <w:rsid w:val="00200E5D"/>
    <w:rsid w:val="00200E5F"/>
    <w:rsid w:val="00200E61"/>
    <w:rsid w:val="00200EA4"/>
    <w:rsid w:val="00200EB0"/>
    <w:rsid w:val="00200EB3"/>
    <w:rsid w:val="00200EEE"/>
    <w:rsid w:val="00200EF8"/>
    <w:rsid w:val="00200F13"/>
    <w:rsid w:val="00200F24"/>
    <w:rsid w:val="002010DB"/>
    <w:rsid w:val="002010FE"/>
    <w:rsid w:val="0020112B"/>
    <w:rsid w:val="00201151"/>
    <w:rsid w:val="00201176"/>
    <w:rsid w:val="002011D0"/>
    <w:rsid w:val="002011E0"/>
    <w:rsid w:val="00201265"/>
    <w:rsid w:val="002012BB"/>
    <w:rsid w:val="00201328"/>
    <w:rsid w:val="00201334"/>
    <w:rsid w:val="00201362"/>
    <w:rsid w:val="0020139F"/>
    <w:rsid w:val="002013AC"/>
    <w:rsid w:val="002013B5"/>
    <w:rsid w:val="002013C4"/>
    <w:rsid w:val="00201430"/>
    <w:rsid w:val="002014AD"/>
    <w:rsid w:val="002014C5"/>
    <w:rsid w:val="002014E1"/>
    <w:rsid w:val="002014EF"/>
    <w:rsid w:val="00201507"/>
    <w:rsid w:val="00201527"/>
    <w:rsid w:val="0020153B"/>
    <w:rsid w:val="00201559"/>
    <w:rsid w:val="002015AB"/>
    <w:rsid w:val="002015DD"/>
    <w:rsid w:val="002015F8"/>
    <w:rsid w:val="002015FD"/>
    <w:rsid w:val="00201614"/>
    <w:rsid w:val="002016EB"/>
    <w:rsid w:val="0020172E"/>
    <w:rsid w:val="00201741"/>
    <w:rsid w:val="00201749"/>
    <w:rsid w:val="0020176A"/>
    <w:rsid w:val="00201774"/>
    <w:rsid w:val="0020178F"/>
    <w:rsid w:val="00201798"/>
    <w:rsid w:val="0020185C"/>
    <w:rsid w:val="002018D7"/>
    <w:rsid w:val="0020190F"/>
    <w:rsid w:val="0020199B"/>
    <w:rsid w:val="0020199C"/>
    <w:rsid w:val="002019A4"/>
    <w:rsid w:val="00201A1A"/>
    <w:rsid w:val="00201A3B"/>
    <w:rsid w:val="00201A6E"/>
    <w:rsid w:val="00201AAC"/>
    <w:rsid w:val="00201B17"/>
    <w:rsid w:val="00201B1A"/>
    <w:rsid w:val="00201B33"/>
    <w:rsid w:val="00201B69"/>
    <w:rsid w:val="00201B86"/>
    <w:rsid w:val="00201BFA"/>
    <w:rsid w:val="00201C96"/>
    <w:rsid w:val="00201CF2"/>
    <w:rsid w:val="00201D75"/>
    <w:rsid w:val="00201D78"/>
    <w:rsid w:val="00201DA8"/>
    <w:rsid w:val="00201DDB"/>
    <w:rsid w:val="00201EFA"/>
    <w:rsid w:val="00201F1B"/>
    <w:rsid w:val="00201F33"/>
    <w:rsid w:val="00201FF7"/>
    <w:rsid w:val="00202017"/>
    <w:rsid w:val="0020201A"/>
    <w:rsid w:val="00202024"/>
    <w:rsid w:val="0020203A"/>
    <w:rsid w:val="0020203D"/>
    <w:rsid w:val="0020204C"/>
    <w:rsid w:val="0020205F"/>
    <w:rsid w:val="002020C4"/>
    <w:rsid w:val="00202105"/>
    <w:rsid w:val="0020210E"/>
    <w:rsid w:val="0020211B"/>
    <w:rsid w:val="00202143"/>
    <w:rsid w:val="0020219B"/>
    <w:rsid w:val="00202226"/>
    <w:rsid w:val="0020226D"/>
    <w:rsid w:val="0020226E"/>
    <w:rsid w:val="0020229F"/>
    <w:rsid w:val="002022CB"/>
    <w:rsid w:val="00202332"/>
    <w:rsid w:val="00202366"/>
    <w:rsid w:val="00202376"/>
    <w:rsid w:val="002023FE"/>
    <w:rsid w:val="00202428"/>
    <w:rsid w:val="0020242C"/>
    <w:rsid w:val="00202439"/>
    <w:rsid w:val="0020245A"/>
    <w:rsid w:val="0020246C"/>
    <w:rsid w:val="0020249F"/>
    <w:rsid w:val="002024B6"/>
    <w:rsid w:val="0020256A"/>
    <w:rsid w:val="0020257B"/>
    <w:rsid w:val="00202599"/>
    <w:rsid w:val="00202655"/>
    <w:rsid w:val="00202681"/>
    <w:rsid w:val="0020269A"/>
    <w:rsid w:val="0020269D"/>
    <w:rsid w:val="002026D9"/>
    <w:rsid w:val="002026ED"/>
    <w:rsid w:val="0020270F"/>
    <w:rsid w:val="00202759"/>
    <w:rsid w:val="00202763"/>
    <w:rsid w:val="00202773"/>
    <w:rsid w:val="00202787"/>
    <w:rsid w:val="002027B2"/>
    <w:rsid w:val="0020285B"/>
    <w:rsid w:val="002028B7"/>
    <w:rsid w:val="002028D3"/>
    <w:rsid w:val="002028F7"/>
    <w:rsid w:val="00202914"/>
    <w:rsid w:val="0020293F"/>
    <w:rsid w:val="00202991"/>
    <w:rsid w:val="00202999"/>
    <w:rsid w:val="00202A23"/>
    <w:rsid w:val="00202A3D"/>
    <w:rsid w:val="00202A57"/>
    <w:rsid w:val="00202AAF"/>
    <w:rsid w:val="00202AC3"/>
    <w:rsid w:val="00202B00"/>
    <w:rsid w:val="00202B43"/>
    <w:rsid w:val="00202B72"/>
    <w:rsid w:val="00202B8F"/>
    <w:rsid w:val="00202BA1"/>
    <w:rsid w:val="00202BAA"/>
    <w:rsid w:val="00202C14"/>
    <w:rsid w:val="00202C35"/>
    <w:rsid w:val="00202C59"/>
    <w:rsid w:val="00202C7E"/>
    <w:rsid w:val="00202D22"/>
    <w:rsid w:val="00202D57"/>
    <w:rsid w:val="00202D61"/>
    <w:rsid w:val="00202D97"/>
    <w:rsid w:val="00202D9D"/>
    <w:rsid w:val="00202DC4"/>
    <w:rsid w:val="00202DED"/>
    <w:rsid w:val="00202E0B"/>
    <w:rsid w:val="00202E22"/>
    <w:rsid w:val="00202E23"/>
    <w:rsid w:val="00202F4F"/>
    <w:rsid w:val="00202FBA"/>
    <w:rsid w:val="00202FCC"/>
    <w:rsid w:val="00203023"/>
    <w:rsid w:val="00203039"/>
    <w:rsid w:val="0020304A"/>
    <w:rsid w:val="00203063"/>
    <w:rsid w:val="002030CD"/>
    <w:rsid w:val="00203119"/>
    <w:rsid w:val="00203120"/>
    <w:rsid w:val="00203148"/>
    <w:rsid w:val="0020316F"/>
    <w:rsid w:val="00203177"/>
    <w:rsid w:val="00203188"/>
    <w:rsid w:val="00203217"/>
    <w:rsid w:val="00203219"/>
    <w:rsid w:val="0020321B"/>
    <w:rsid w:val="00203223"/>
    <w:rsid w:val="0020323F"/>
    <w:rsid w:val="0020327D"/>
    <w:rsid w:val="00203296"/>
    <w:rsid w:val="00203360"/>
    <w:rsid w:val="00203378"/>
    <w:rsid w:val="00203425"/>
    <w:rsid w:val="002034AB"/>
    <w:rsid w:val="00203509"/>
    <w:rsid w:val="002035F7"/>
    <w:rsid w:val="00203628"/>
    <w:rsid w:val="0020362D"/>
    <w:rsid w:val="0020363C"/>
    <w:rsid w:val="0020364D"/>
    <w:rsid w:val="002036CE"/>
    <w:rsid w:val="002036E8"/>
    <w:rsid w:val="002036F5"/>
    <w:rsid w:val="00203721"/>
    <w:rsid w:val="0020372A"/>
    <w:rsid w:val="00203738"/>
    <w:rsid w:val="0020375D"/>
    <w:rsid w:val="002037B1"/>
    <w:rsid w:val="002037CA"/>
    <w:rsid w:val="002037ED"/>
    <w:rsid w:val="002037EF"/>
    <w:rsid w:val="002037F0"/>
    <w:rsid w:val="00203802"/>
    <w:rsid w:val="00203889"/>
    <w:rsid w:val="002038C5"/>
    <w:rsid w:val="002038F7"/>
    <w:rsid w:val="00203910"/>
    <w:rsid w:val="00203916"/>
    <w:rsid w:val="00203921"/>
    <w:rsid w:val="00203923"/>
    <w:rsid w:val="0020393E"/>
    <w:rsid w:val="00203947"/>
    <w:rsid w:val="002039B9"/>
    <w:rsid w:val="00203A1B"/>
    <w:rsid w:val="00203A34"/>
    <w:rsid w:val="00203A3E"/>
    <w:rsid w:val="00203ABF"/>
    <w:rsid w:val="00203AD8"/>
    <w:rsid w:val="00203ADF"/>
    <w:rsid w:val="00203AFE"/>
    <w:rsid w:val="00203B0F"/>
    <w:rsid w:val="00203B6F"/>
    <w:rsid w:val="00203BD4"/>
    <w:rsid w:val="00203D4E"/>
    <w:rsid w:val="00203E0A"/>
    <w:rsid w:val="00203E3E"/>
    <w:rsid w:val="00203E58"/>
    <w:rsid w:val="00203E7C"/>
    <w:rsid w:val="00203E7E"/>
    <w:rsid w:val="00203E82"/>
    <w:rsid w:val="00203F53"/>
    <w:rsid w:val="00203FD9"/>
    <w:rsid w:val="00203FEF"/>
    <w:rsid w:val="0020400F"/>
    <w:rsid w:val="00204020"/>
    <w:rsid w:val="00204097"/>
    <w:rsid w:val="002040D4"/>
    <w:rsid w:val="00204138"/>
    <w:rsid w:val="00204154"/>
    <w:rsid w:val="0020417B"/>
    <w:rsid w:val="0020419A"/>
    <w:rsid w:val="002041A1"/>
    <w:rsid w:val="002041D9"/>
    <w:rsid w:val="00204287"/>
    <w:rsid w:val="00204288"/>
    <w:rsid w:val="002042CB"/>
    <w:rsid w:val="00204466"/>
    <w:rsid w:val="00204503"/>
    <w:rsid w:val="00204668"/>
    <w:rsid w:val="0020466E"/>
    <w:rsid w:val="0020467A"/>
    <w:rsid w:val="002046B8"/>
    <w:rsid w:val="002046F9"/>
    <w:rsid w:val="00204718"/>
    <w:rsid w:val="00204748"/>
    <w:rsid w:val="00204753"/>
    <w:rsid w:val="00204759"/>
    <w:rsid w:val="00204772"/>
    <w:rsid w:val="002047AB"/>
    <w:rsid w:val="002047E0"/>
    <w:rsid w:val="0020485D"/>
    <w:rsid w:val="00204882"/>
    <w:rsid w:val="00204892"/>
    <w:rsid w:val="00204970"/>
    <w:rsid w:val="002049F1"/>
    <w:rsid w:val="00204A0F"/>
    <w:rsid w:val="00204A8F"/>
    <w:rsid w:val="00204B15"/>
    <w:rsid w:val="00204B30"/>
    <w:rsid w:val="00204BC4"/>
    <w:rsid w:val="00204CC6"/>
    <w:rsid w:val="00204D1F"/>
    <w:rsid w:val="00204D23"/>
    <w:rsid w:val="00204D30"/>
    <w:rsid w:val="00204D71"/>
    <w:rsid w:val="00204D7A"/>
    <w:rsid w:val="00204D94"/>
    <w:rsid w:val="00204DD4"/>
    <w:rsid w:val="00204DFD"/>
    <w:rsid w:val="00204E43"/>
    <w:rsid w:val="00204E71"/>
    <w:rsid w:val="00204EB5"/>
    <w:rsid w:val="00204EFD"/>
    <w:rsid w:val="00204F2A"/>
    <w:rsid w:val="00204F51"/>
    <w:rsid w:val="00204F56"/>
    <w:rsid w:val="00204F78"/>
    <w:rsid w:val="00204F8A"/>
    <w:rsid w:val="00204F99"/>
    <w:rsid w:val="00204FA7"/>
    <w:rsid w:val="00204FB6"/>
    <w:rsid w:val="00204FDE"/>
    <w:rsid w:val="00205009"/>
    <w:rsid w:val="0020504A"/>
    <w:rsid w:val="00205079"/>
    <w:rsid w:val="00205138"/>
    <w:rsid w:val="0020513F"/>
    <w:rsid w:val="00205140"/>
    <w:rsid w:val="002051A6"/>
    <w:rsid w:val="002051B5"/>
    <w:rsid w:val="002051C4"/>
    <w:rsid w:val="002051D4"/>
    <w:rsid w:val="00205230"/>
    <w:rsid w:val="0020523C"/>
    <w:rsid w:val="0020527D"/>
    <w:rsid w:val="00205291"/>
    <w:rsid w:val="002052C0"/>
    <w:rsid w:val="002052C6"/>
    <w:rsid w:val="002052E7"/>
    <w:rsid w:val="0020532C"/>
    <w:rsid w:val="00205368"/>
    <w:rsid w:val="002053BE"/>
    <w:rsid w:val="002053EB"/>
    <w:rsid w:val="0020540B"/>
    <w:rsid w:val="00205453"/>
    <w:rsid w:val="00205479"/>
    <w:rsid w:val="0020548D"/>
    <w:rsid w:val="002054DE"/>
    <w:rsid w:val="002054E5"/>
    <w:rsid w:val="00205509"/>
    <w:rsid w:val="0020550C"/>
    <w:rsid w:val="00205548"/>
    <w:rsid w:val="00205589"/>
    <w:rsid w:val="0020558A"/>
    <w:rsid w:val="002055A9"/>
    <w:rsid w:val="002055D5"/>
    <w:rsid w:val="002055DE"/>
    <w:rsid w:val="002055FD"/>
    <w:rsid w:val="0020563F"/>
    <w:rsid w:val="002056B9"/>
    <w:rsid w:val="002057C0"/>
    <w:rsid w:val="00205823"/>
    <w:rsid w:val="00205851"/>
    <w:rsid w:val="002058AA"/>
    <w:rsid w:val="002058B0"/>
    <w:rsid w:val="002058E0"/>
    <w:rsid w:val="002058E5"/>
    <w:rsid w:val="00205913"/>
    <w:rsid w:val="0020599B"/>
    <w:rsid w:val="002059B7"/>
    <w:rsid w:val="002059CA"/>
    <w:rsid w:val="002059DC"/>
    <w:rsid w:val="00205A00"/>
    <w:rsid w:val="00205A06"/>
    <w:rsid w:val="00205A08"/>
    <w:rsid w:val="00205AB6"/>
    <w:rsid w:val="00205ACB"/>
    <w:rsid w:val="00205B30"/>
    <w:rsid w:val="00205B55"/>
    <w:rsid w:val="00205B62"/>
    <w:rsid w:val="00205BC8"/>
    <w:rsid w:val="00205BF4"/>
    <w:rsid w:val="00205C3B"/>
    <w:rsid w:val="00205C82"/>
    <w:rsid w:val="00205D01"/>
    <w:rsid w:val="00205D18"/>
    <w:rsid w:val="00205D24"/>
    <w:rsid w:val="00205D31"/>
    <w:rsid w:val="00205D9E"/>
    <w:rsid w:val="00205DB5"/>
    <w:rsid w:val="00205E15"/>
    <w:rsid w:val="00205E36"/>
    <w:rsid w:val="00205E6E"/>
    <w:rsid w:val="00205E75"/>
    <w:rsid w:val="00205E84"/>
    <w:rsid w:val="00205E97"/>
    <w:rsid w:val="00205E99"/>
    <w:rsid w:val="00205EEC"/>
    <w:rsid w:val="00205FAC"/>
    <w:rsid w:val="00205FDF"/>
    <w:rsid w:val="00205FE2"/>
    <w:rsid w:val="00206046"/>
    <w:rsid w:val="00206053"/>
    <w:rsid w:val="00206097"/>
    <w:rsid w:val="002060AA"/>
    <w:rsid w:val="002060C7"/>
    <w:rsid w:val="002060E9"/>
    <w:rsid w:val="002060F1"/>
    <w:rsid w:val="002060F6"/>
    <w:rsid w:val="00206115"/>
    <w:rsid w:val="0020612F"/>
    <w:rsid w:val="00206143"/>
    <w:rsid w:val="00206192"/>
    <w:rsid w:val="0020619C"/>
    <w:rsid w:val="002061E4"/>
    <w:rsid w:val="00206250"/>
    <w:rsid w:val="00206285"/>
    <w:rsid w:val="0020629A"/>
    <w:rsid w:val="002062F9"/>
    <w:rsid w:val="002062FA"/>
    <w:rsid w:val="0020636B"/>
    <w:rsid w:val="00206383"/>
    <w:rsid w:val="00206397"/>
    <w:rsid w:val="002063C8"/>
    <w:rsid w:val="002063CA"/>
    <w:rsid w:val="002063D2"/>
    <w:rsid w:val="002063E4"/>
    <w:rsid w:val="0020643A"/>
    <w:rsid w:val="0020651B"/>
    <w:rsid w:val="0020652D"/>
    <w:rsid w:val="00206551"/>
    <w:rsid w:val="00206556"/>
    <w:rsid w:val="00206582"/>
    <w:rsid w:val="002065FA"/>
    <w:rsid w:val="002066DC"/>
    <w:rsid w:val="002066E0"/>
    <w:rsid w:val="0020674A"/>
    <w:rsid w:val="00206771"/>
    <w:rsid w:val="002068C5"/>
    <w:rsid w:val="002068EE"/>
    <w:rsid w:val="002068F0"/>
    <w:rsid w:val="002068FC"/>
    <w:rsid w:val="0020692F"/>
    <w:rsid w:val="002069C0"/>
    <w:rsid w:val="002069CC"/>
    <w:rsid w:val="00206A02"/>
    <w:rsid w:val="00206A14"/>
    <w:rsid w:val="00206A52"/>
    <w:rsid w:val="00206A7A"/>
    <w:rsid w:val="00206B09"/>
    <w:rsid w:val="00206B1B"/>
    <w:rsid w:val="00206BA7"/>
    <w:rsid w:val="00206BA8"/>
    <w:rsid w:val="00206BD2"/>
    <w:rsid w:val="00206BD3"/>
    <w:rsid w:val="00206C02"/>
    <w:rsid w:val="00206D34"/>
    <w:rsid w:val="00206D35"/>
    <w:rsid w:val="00206D3C"/>
    <w:rsid w:val="00206D44"/>
    <w:rsid w:val="00206D65"/>
    <w:rsid w:val="00206DD4"/>
    <w:rsid w:val="00206DD6"/>
    <w:rsid w:val="00206E2C"/>
    <w:rsid w:val="00206E58"/>
    <w:rsid w:val="00206F0F"/>
    <w:rsid w:val="00206F22"/>
    <w:rsid w:val="00206F34"/>
    <w:rsid w:val="00206F3F"/>
    <w:rsid w:val="00206F79"/>
    <w:rsid w:val="00206F87"/>
    <w:rsid w:val="0020709F"/>
    <w:rsid w:val="002070B7"/>
    <w:rsid w:val="002070B9"/>
    <w:rsid w:val="002070E8"/>
    <w:rsid w:val="00207128"/>
    <w:rsid w:val="00207132"/>
    <w:rsid w:val="002071D9"/>
    <w:rsid w:val="0020720A"/>
    <w:rsid w:val="0020725E"/>
    <w:rsid w:val="00207290"/>
    <w:rsid w:val="00207299"/>
    <w:rsid w:val="00207331"/>
    <w:rsid w:val="002073A4"/>
    <w:rsid w:val="002073A9"/>
    <w:rsid w:val="002073AD"/>
    <w:rsid w:val="002073D5"/>
    <w:rsid w:val="002073EB"/>
    <w:rsid w:val="00207437"/>
    <w:rsid w:val="0020744B"/>
    <w:rsid w:val="0020747F"/>
    <w:rsid w:val="002074B1"/>
    <w:rsid w:val="002074F0"/>
    <w:rsid w:val="00207507"/>
    <w:rsid w:val="002075FA"/>
    <w:rsid w:val="00207601"/>
    <w:rsid w:val="00207620"/>
    <w:rsid w:val="00207636"/>
    <w:rsid w:val="0020768C"/>
    <w:rsid w:val="00207693"/>
    <w:rsid w:val="0020769C"/>
    <w:rsid w:val="002076B4"/>
    <w:rsid w:val="002076F3"/>
    <w:rsid w:val="00207711"/>
    <w:rsid w:val="002077C5"/>
    <w:rsid w:val="00207962"/>
    <w:rsid w:val="002079B6"/>
    <w:rsid w:val="002079EE"/>
    <w:rsid w:val="00207ABD"/>
    <w:rsid w:val="00207AF9"/>
    <w:rsid w:val="00207B46"/>
    <w:rsid w:val="00207B5E"/>
    <w:rsid w:val="00207B90"/>
    <w:rsid w:val="00207BBB"/>
    <w:rsid w:val="00207BBF"/>
    <w:rsid w:val="00207C62"/>
    <w:rsid w:val="00207C95"/>
    <w:rsid w:val="00207CDD"/>
    <w:rsid w:val="00207D06"/>
    <w:rsid w:val="00207D29"/>
    <w:rsid w:val="00207D9F"/>
    <w:rsid w:val="00207DC8"/>
    <w:rsid w:val="00207DF5"/>
    <w:rsid w:val="00207EA1"/>
    <w:rsid w:val="00207EB0"/>
    <w:rsid w:val="0021008A"/>
    <w:rsid w:val="0021009B"/>
    <w:rsid w:val="002100E1"/>
    <w:rsid w:val="002100E8"/>
    <w:rsid w:val="0021010A"/>
    <w:rsid w:val="0021014F"/>
    <w:rsid w:val="00210154"/>
    <w:rsid w:val="0021015D"/>
    <w:rsid w:val="00210210"/>
    <w:rsid w:val="00210230"/>
    <w:rsid w:val="00210234"/>
    <w:rsid w:val="00210238"/>
    <w:rsid w:val="0021023C"/>
    <w:rsid w:val="00210244"/>
    <w:rsid w:val="00210266"/>
    <w:rsid w:val="00210268"/>
    <w:rsid w:val="0021026B"/>
    <w:rsid w:val="0021028B"/>
    <w:rsid w:val="00210297"/>
    <w:rsid w:val="002102D9"/>
    <w:rsid w:val="00210303"/>
    <w:rsid w:val="0021033B"/>
    <w:rsid w:val="0021038C"/>
    <w:rsid w:val="002103A8"/>
    <w:rsid w:val="002103DC"/>
    <w:rsid w:val="002103E3"/>
    <w:rsid w:val="0021041D"/>
    <w:rsid w:val="00210499"/>
    <w:rsid w:val="002104B6"/>
    <w:rsid w:val="002104C3"/>
    <w:rsid w:val="002104DC"/>
    <w:rsid w:val="002104F9"/>
    <w:rsid w:val="00210518"/>
    <w:rsid w:val="0021052F"/>
    <w:rsid w:val="00210544"/>
    <w:rsid w:val="0021057C"/>
    <w:rsid w:val="002105E5"/>
    <w:rsid w:val="0021060F"/>
    <w:rsid w:val="002106D7"/>
    <w:rsid w:val="0021073C"/>
    <w:rsid w:val="0021074F"/>
    <w:rsid w:val="0021075B"/>
    <w:rsid w:val="0021075D"/>
    <w:rsid w:val="0021076C"/>
    <w:rsid w:val="002107A3"/>
    <w:rsid w:val="002107F2"/>
    <w:rsid w:val="002107F5"/>
    <w:rsid w:val="0021080C"/>
    <w:rsid w:val="002108A8"/>
    <w:rsid w:val="002108B9"/>
    <w:rsid w:val="0021091D"/>
    <w:rsid w:val="00210935"/>
    <w:rsid w:val="00210940"/>
    <w:rsid w:val="00210947"/>
    <w:rsid w:val="0021095E"/>
    <w:rsid w:val="00210960"/>
    <w:rsid w:val="002109D0"/>
    <w:rsid w:val="002109E2"/>
    <w:rsid w:val="002109EE"/>
    <w:rsid w:val="00210A31"/>
    <w:rsid w:val="00210A71"/>
    <w:rsid w:val="00210A87"/>
    <w:rsid w:val="00210A97"/>
    <w:rsid w:val="00210AA7"/>
    <w:rsid w:val="00210AF0"/>
    <w:rsid w:val="00210B36"/>
    <w:rsid w:val="00210BB0"/>
    <w:rsid w:val="00210BB7"/>
    <w:rsid w:val="00210BC5"/>
    <w:rsid w:val="00210BF6"/>
    <w:rsid w:val="00210C0E"/>
    <w:rsid w:val="00210C85"/>
    <w:rsid w:val="00210CAF"/>
    <w:rsid w:val="00210CC2"/>
    <w:rsid w:val="00210D7D"/>
    <w:rsid w:val="00210E91"/>
    <w:rsid w:val="00210EB1"/>
    <w:rsid w:val="00210EE6"/>
    <w:rsid w:val="00210EF4"/>
    <w:rsid w:val="00210F24"/>
    <w:rsid w:val="00210F50"/>
    <w:rsid w:val="00210F97"/>
    <w:rsid w:val="00210FA3"/>
    <w:rsid w:val="00210FC8"/>
    <w:rsid w:val="00211028"/>
    <w:rsid w:val="0021108C"/>
    <w:rsid w:val="002110C3"/>
    <w:rsid w:val="002110F3"/>
    <w:rsid w:val="00211147"/>
    <w:rsid w:val="00211151"/>
    <w:rsid w:val="0021120B"/>
    <w:rsid w:val="00211210"/>
    <w:rsid w:val="00211214"/>
    <w:rsid w:val="002112E1"/>
    <w:rsid w:val="00211353"/>
    <w:rsid w:val="0021137D"/>
    <w:rsid w:val="00211385"/>
    <w:rsid w:val="00211472"/>
    <w:rsid w:val="00211491"/>
    <w:rsid w:val="002114F6"/>
    <w:rsid w:val="00211547"/>
    <w:rsid w:val="0021154C"/>
    <w:rsid w:val="00211569"/>
    <w:rsid w:val="002115D2"/>
    <w:rsid w:val="002115FD"/>
    <w:rsid w:val="002115FE"/>
    <w:rsid w:val="0021160B"/>
    <w:rsid w:val="002116D9"/>
    <w:rsid w:val="0021172D"/>
    <w:rsid w:val="0021176A"/>
    <w:rsid w:val="0021180D"/>
    <w:rsid w:val="00211874"/>
    <w:rsid w:val="0021188E"/>
    <w:rsid w:val="002118B4"/>
    <w:rsid w:val="002118EB"/>
    <w:rsid w:val="00211965"/>
    <w:rsid w:val="00211985"/>
    <w:rsid w:val="00211993"/>
    <w:rsid w:val="0021199D"/>
    <w:rsid w:val="002119AB"/>
    <w:rsid w:val="002119C7"/>
    <w:rsid w:val="002119CF"/>
    <w:rsid w:val="00211A1E"/>
    <w:rsid w:val="00211A22"/>
    <w:rsid w:val="00211A30"/>
    <w:rsid w:val="00211A4C"/>
    <w:rsid w:val="00211A55"/>
    <w:rsid w:val="00211A56"/>
    <w:rsid w:val="00211A92"/>
    <w:rsid w:val="00211A9A"/>
    <w:rsid w:val="00211B0A"/>
    <w:rsid w:val="00211B4A"/>
    <w:rsid w:val="00211B6C"/>
    <w:rsid w:val="00211BCB"/>
    <w:rsid w:val="00211BFE"/>
    <w:rsid w:val="00211C0C"/>
    <w:rsid w:val="00211C60"/>
    <w:rsid w:val="00211C7D"/>
    <w:rsid w:val="00211CF9"/>
    <w:rsid w:val="00211D18"/>
    <w:rsid w:val="00211D3C"/>
    <w:rsid w:val="00211D41"/>
    <w:rsid w:val="00211DEB"/>
    <w:rsid w:val="00211E44"/>
    <w:rsid w:val="00211E5F"/>
    <w:rsid w:val="00211E64"/>
    <w:rsid w:val="00211E70"/>
    <w:rsid w:val="00211E88"/>
    <w:rsid w:val="00211EE4"/>
    <w:rsid w:val="00211F25"/>
    <w:rsid w:val="00211F2E"/>
    <w:rsid w:val="00211F39"/>
    <w:rsid w:val="00211F8E"/>
    <w:rsid w:val="00211FC6"/>
    <w:rsid w:val="00211FF3"/>
    <w:rsid w:val="00212004"/>
    <w:rsid w:val="00212019"/>
    <w:rsid w:val="00212046"/>
    <w:rsid w:val="0021205C"/>
    <w:rsid w:val="00212091"/>
    <w:rsid w:val="002120A2"/>
    <w:rsid w:val="002120E5"/>
    <w:rsid w:val="002120FF"/>
    <w:rsid w:val="00212128"/>
    <w:rsid w:val="00212146"/>
    <w:rsid w:val="00212179"/>
    <w:rsid w:val="0021218F"/>
    <w:rsid w:val="00212223"/>
    <w:rsid w:val="0021226D"/>
    <w:rsid w:val="00212283"/>
    <w:rsid w:val="0021228A"/>
    <w:rsid w:val="00212293"/>
    <w:rsid w:val="002122A6"/>
    <w:rsid w:val="002122C9"/>
    <w:rsid w:val="002122E0"/>
    <w:rsid w:val="00212321"/>
    <w:rsid w:val="00212338"/>
    <w:rsid w:val="00212380"/>
    <w:rsid w:val="00212391"/>
    <w:rsid w:val="00212394"/>
    <w:rsid w:val="002123CE"/>
    <w:rsid w:val="002123F5"/>
    <w:rsid w:val="0021244D"/>
    <w:rsid w:val="0021245D"/>
    <w:rsid w:val="0021248F"/>
    <w:rsid w:val="002124BA"/>
    <w:rsid w:val="002124C2"/>
    <w:rsid w:val="002124C5"/>
    <w:rsid w:val="00212528"/>
    <w:rsid w:val="0021255D"/>
    <w:rsid w:val="002125EE"/>
    <w:rsid w:val="00212633"/>
    <w:rsid w:val="002126C5"/>
    <w:rsid w:val="00212702"/>
    <w:rsid w:val="00212711"/>
    <w:rsid w:val="00212712"/>
    <w:rsid w:val="0021274C"/>
    <w:rsid w:val="002127A2"/>
    <w:rsid w:val="002127D6"/>
    <w:rsid w:val="00212819"/>
    <w:rsid w:val="00212846"/>
    <w:rsid w:val="00212867"/>
    <w:rsid w:val="00212875"/>
    <w:rsid w:val="00212880"/>
    <w:rsid w:val="002128DF"/>
    <w:rsid w:val="0021290E"/>
    <w:rsid w:val="00212A60"/>
    <w:rsid w:val="00212A70"/>
    <w:rsid w:val="00212A86"/>
    <w:rsid w:val="00212A8A"/>
    <w:rsid w:val="00212B11"/>
    <w:rsid w:val="00212B5A"/>
    <w:rsid w:val="00212C0D"/>
    <w:rsid w:val="00212C45"/>
    <w:rsid w:val="00212C67"/>
    <w:rsid w:val="00212C6C"/>
    <w:rsid w:val="00212CCB"/>
    <w:rsid w:val="00212D37"/>
    <w:rsid w:val="00212D91"/>
    <w:rsid w:val="00212DCE"/>
    <w:rsid w:val="00212E2D"/>
    <w:rsid w:val="00212F11"/>
    <w:rsid w:val="00212F37"/>
    <w:rsid w:val="00212F50"/>
    <w:rsid w:val="00212FA2"/>
    <w:rsid w:val="00213003"/>
    <w:rsid w:val="00213040"/>
    <w:rsid w:val="002131B6"/>
    <w:rsid w:val="00213216"/>
    <w:rsid w:val="0021321B"/>
    <w:rsid w:val="0021327E"/>
    <w:rsid w:val="0021328B"/>
    <w:rsid w:val="00213317"/>
    <w:rsid w:val="00213330"/>
    <w:rsid w:val="00213332"/>
    <w:rsid w:val="00213345"/>
    <w:rsid w:val="00213369"/>
    <w:rsid w:val="00213378"/>
    <w:rsid w:val="00213391"/>
    <w:rsid w:val="00213395"/>
    <w:rsid w:val="002133AF"/>
    <w:rsid w:val="0021343B"/>
    <w:rsid w:val="0021345B"/>
    <w:rsid w:val="00213463"/>
    <w:rsid w:val="002134B6"/>
    <w:rsid w:val="002134BC"/>
    <w:rsid w:val="002134E5"/>
    <w:rsid w:val="00213512"/>
    <w:rsid w:val="0021357E"/>
    <w:rsid w:val="0021358D"/>
    <w:rsid w:val="0021359C"/>
    <w:rsid w:val="002135C4"/>
    <w:rsid w:val="002135CB"/>
    <w:rsid w:val="002135D6"/>
    <w:rsid w:val="002135DD"/>
    <w:rsid w:val="00213633"/>
    <w:rsid w:val="0021366A"/>
    <w:rsid w:val="00213674"/>
    <w:rsid w:val="00213692"/>
    <w:rsid w:val="0021369B"/>
    <w:rsid w:val="002136CC"/>
    <w:rsid w:val="002136F1"/>
    <w:rsid w:val="002136FB"/>
    <w:rsid w:val="0021371A"/>
    <w:rsid w:val="0021371F"/>
    <w:rsid w:val="00213768"/>
    <w:rsid w:val="00213777"/>
    <w:rsid w:val="00213799"/>
    <w:rsid w:val="002137AC"/>
    <w:rsid w:val="002137C5"/>
    <w:rsid w:val="00213866"/>
    <w:rsid w:val="00213869"/>
    <w:rsid w:val="002138DB"/>
    <w:rsid w:val="0021395A"/>
    <w:rsid w:val="002139A9"/>
    <w:rsid w:val="002139C6"/>
    <w:rsid w:val="002139DE"/>
    <w:rsid w:val="00213AD9"/>
    <w:rsid w:val="00213B98"/>
    <w:rsid w:val="00213BA7"/>
    <w:rsid w:val="00213BE8"/>
    <w:rsid w:val="00213C57"/>
    <w:rsid w:val="00213C6E"/>
    <w:rsid w:val="00213CB9"/>
    <w:rsid w:val="00213D47"/>
    <w:rsid w:val="00213D4F"/>
    <w:rsid w:val="00213D5B"/>
    <w:rsid w:val="00213D7B"/>
    <w:rsid w:val="00213E35"/>
    <w:rsid w:val="00213E73"/>
    <w:rsid w:val="00213ECD"/>
    <w:rsid w:val="00213ED9"/>
    <w:rsid w:val="00213F3D"/>
    <w:rsid w:val="00213FD3"/>
    <w:rsid w:val="00213FE3"/>
    <w:rsid w:val="00213FFB"/>
    <w:rsid w:val="00214039"/>
    <w:rsid w:val="00214055"/>
    <w:rsid w:val="002140E7"/>
    <w:rsid w:val="00214137"/>
    <w:rsid w:val="00214145"/>
    <w:rsid w:val="00214174"/>
    <w:rsid w:val="00214190"/>
    <w:rsid w:val="0021423E"/>
    <w:rsid w:val="0021426E"/>
    <w:rsid w:val="0021429B"/>
    <w:rsid w:val="002142AC"/>
    <w:rsid w:val="002142D7"/>
    <w:rsid w:val="002142E1"/>
    <w:rsid w:val="00214324"/>
    <w:rsid w:val="00214342"/>
    <w:rsid w:val="00214374"/>
    <w:rsid w:val="0021438A"/>
    <w:rsid w:val="00214392"/>
    <w:rsid w:val="002143D3"/>
    <w:rsid w:val="002143E7"/>
    <w:rsid w:val="00214445"/>
    <w:rsid w:val="002144A4"/>
    <w:rsid w:val="002144D1"/>
    <w:rsid w:val="002144F9"/>
    <w:rsid w:val="00214505"/>
    <w:rsid w:val="00214533"/>
    <w:rsid w:val="00214602"/>
    <w:rsid w:val="00214622"/>
    <w:rsid w:val="0021466C"/>
    <w:rsid w:val="00214682"/>
    <w:rsid w:val="0021469C"/>
    <w:rsid w:val="002146AD"/>
    <w:rsid w:val="002146E5"/>
    <w:rsid w:val="002146FF"/>
    <w:rsid w:val="00214740"/>
    <w:rsid w:val="00214751"/>
    <w:rsid w:val="00214802"/>
    <w:rsid w:val="0021480D"/>
    <w:rsid w:val="0021484E"/>
    <w:rsid w:val="00214873"/>
    <w:rsid w:val="0021488F"/>
    <w:rsid w:val="002148D1"/>
    <w:rsid w:val="002148E3"/>
    <w:rsid w:val="00214912"/>
    <w:rsid w:val="00214959"/>
    <w:rsid w:val="00214980"/>
    <w:rsid w:val="00214A02"/>
    <w:rsid w:val="00214AAF"/>
    <w:rsid w:val="00214B62"/>
    <w:rsid w:val="00214B93"/>
    <w:rsid w:val="00214BDF"/>
    <w:rsid w:val="00214BEF"/>
    <w:rsid w:val="00214C12"/>
    <w:rsid w:val="00214C1B"/>
    <w:rsid w:val="00214C96"/>
    <w:rsid w:val="00214CA8"/>
    <w:rsid w:val="00214CAC"/>
    <w:rsid w:val="00214CFB"/>
    <w:rsid w:val="00214D21"/>
    <w:rsid w:val="00214D34"/>
    <w:rsid w:val="00214D57"/>
    <w:rsid w:val="00214D58"/>
    <w:rsid w:val="00214D7C"/>
    <w:rsid w:val="00214DD2"/>
    <w:rsid w:val="00214E1D"/>
    <w:rsid w:val="00214E6C"/>
    <w:rsid w:val="00214E94"/>
    <w:rsid w:val="00214EB2"/>
    <w:rsid w:val="00214FC9"/>
    <w:rsid w:val="00214FD1"/>
    <w:rsid w:val="00214FD6"/>
    <w:rsid w:val="00214FEB"/>
    <w:rsid w:val="00215045"/>
    <w:rsid w:val="00215063"/>
    <w:rsid w:val="00215075"/>
    <w:rsid w:val="002150C2"/>
    <w:rsid w:val="002150DF"/>
    <w:rsid w:val="00215143"/>
    <w:rsid w:val="0021514C"/>
    <w:rsid w:val="0021516E"/>
    <w:rsid w:val="002151A0"/>
    <w:rsid w:val="002151B5"/>
    <w:rsid w:val="002151C0"/>
    <w:rsid w:val="002151DB"/>
    <w:rsid w:val="00215228"/>
    <w:rsid w:val="0021523C"/>
    <w:rsid w:val="002152CB"/>
    <w:rsid w:val="00215313"/>
    <w:rsid w:val="00215323"/>
    <w:rsid w:val="0021537B"/>
    <w:rsid w:val="002153BE"/>
    <w:rsid w:val="002153FE"/>
    <w:rsid w:val="0021544D"/>
    <w:rsid w:val="002154A4"/>
    <w:rsid w:val="002154A9"/>
    <w:rsid w:val="002154B6"/>
    <w:rsid w:val="002154D1"/>
    <w:rsid w:val="0021555D"/>
    <w:rsid w:val="0021559B"/>
    <w:rsid w:val="002155F6"/>
    <w:rsid w:val="00215616"/>
    <w:rsid w:val="00215640"/>
    <w:rsid w:val="0021565A"/>
    <w:rsid w:val="002156C4"/>
    <w:rsid w:val="002156C9"/>
    <w:rsid w:val="00215713"/>
    <w:rsid w:val="0021575E"/>
    <w:rsid w:val="0021579B"/>
    <w:rsid w:val="00215889"/>
    <w:rsid w:val="00215892"/>
    <w:rsid w:val="00215897"/>
    <w:rsid w:val="002158CE"/>
    <w:rsid w:val="0021593C"/>
    <w:rsid w:val="00215948"/>
    <w:rsid w:val="00215950"/>
    <w:rsid w:val="00215A26"/>
    <w:rsid w:val="00215A8E"/>
    <w:rsid w:val="00215AA5"/>
    <w:rsid w:val="00215AF7"/>
    <w:rsid w:val="00215AF8"/>
    <w:rsid w:val="00215BAC"/>
    <w:rsid w:val="00215BD5"/>
    <w:rsid w:val="00215BD9"/>
    <w:rsid w:val="00215BDB"/>
    <w:rsid w:val="00215BE1"/>
    <w:rsid w:val="00215BE2"/>
    <w:rsid w:val="00215BE5"/>
    <w:rsid w:val="00215C37"/>
    <w:rsid w:val="00215C57"/>
    <w:rsid w:val="00215C7A"/>
    <w:rsid w:val="00215CA3"/>
    <w:rsid w:val="00215CBF"/>
    <w:rsid w:val="00215CCB"/>
    <w:rsid w:val="00215CF2"/>
    <w:rsid w:val="00215CFE"/>
    <w:rsid w:val="00215D07"/>
    <w:rsid w:val="00215D47"/>
    <w:rsid w:val="00215F6D"/>
    <w:rsid w:val="00215FB7"/>
    <w:rsid w:val="00215FBA"/>
    <w:rsid w:val="00215FED"/>
    <w:rsid w:val="0021602E"/>
    <w:rsid w:val="0021602F"/>
    <w:rsid w:val="00216038"/>
    <w:rsid w:val="0021603D"/>
    <w:rsid w:val="00216045"/>
    <w:rsid w:val="00216063"/>
    <w:rsid w:val="00216068"/>
    <w:rsid w:val="002160A2"/>
    <w:rsid w:val="002160B1"/>
    <w:rsid w:val="002160F5"/>
    <w:rsid w:val="00216182"/>
    <w:rsid w:val="00216193"/>
    <w:rsid w:val="002161A0"/>
    <w:rsid w:val="002161D6"/>
    <w:rsid w:val="00216230"/>
    <w:rsid w:val="002162AB"/>
    <w:rsid w:val="0021632D"/>
    <w:rsid w:val="0021635F"/>
    <w:rsid w:val="00216431"/>
    <w:rsid w:val="00216480"/>
    <w:rsid w:val="00216485"/>
    <w:rsid w:val="002164AC"/>
    <w:rsid w:val="002164E5"/>
    <w:rsid w:val="0021651D"/>
    <w:rsid w:val="0021654E"/>
    <w:rsid w:val="002165C7"/>
    <w:rsid w:val="002165CC"/>
    <w:rsid w:val="0021664E"/>
    <w:rsid w:val="0021665B"/>
    <w:rsid w:val="00216667"/>
    <w:rsid w:val="00216676"/>
    <w:rsid w:val="0021667E"/>
    <w:rsid w:val="002166C9"/>
    <w:rsid w:val="0021676D"/>
    <w:rsid w:val="0021678E"/>
    <w:rsid w:val="0021679A"/>
    <w:rsid w:val="00216823"/>
    <w:rsid w:val="00216832"/>
    <w:rsid w:val="00216842"/>
    <w:rsid w:val="002168F2"/>
    <w:rsid w:val="00216939"/>
    <w:rsid w:val="002169AA"/>
    <w:rsid w:val="002169B9"/>
    <w:rsid w:val="002169BA"/>
    <w:rsid w:val="002169D9"/>
    <w:rsid w:val="002169F1"/>
    <w:rsid w:val="002169FC"/>
    <w:rsid w:val="00216A61"/>
    <w:rsid w:val="00216ACD"/>
    <w:rsid w:val="00216AEC"/>
    <w:rsid w:val="00216AED"/>
    <w:rsid w:val="00216AF8"/>
    <w:rsid w:val="00216B10"/>
    <w:rsid w:val="00216B25"/>
    <w:rsid w:val="00216B89"/>
    <w:rsid w:val="00216C03"/>
    <w:rsid w:val="00216C24"/>
    <w:rsid w:val="00216CA6"/>
    <w:rsid w:val="00216CB9"/>
    <w:rsid w:val="00216CC1"/>
    <w:rsid w:val="00216CC2"/>
    <w:rsid w:val="00216D25"/>
    <w:rsid w:val="00216D35"/>
    <w:rsid w:val="00216D37"/>
    <w:rsid w:val="00216E06"/>
    <w:rsid w:val="00216E54"/>
    <w:rsid w:val="00216E6A"/>
    <w:rsid w:val="00216E73"/>
    <w:rsid w:val="00216E85"/>
    <w:rsid w:val="00216F07"/>
    <w:rsid w:val="00216FD1"/>
    <w:rsid w:val="00216FEB"/>
    <w:rsid w:val="002170D3"/>
    <w:rsid w:val="0021713D"/>
    <w:rsid w:val="00217155"/>
    <w:rsid w:val="0021717C"/>
    <w:rsid w:val="00217186"/>
    <w:rsid w:val="002171B8"/>
    <w:rsid w:val="002171D6"/>
    <w:rsid w:val="00217200"/>
    <w:rsid w:val="00217237"/>
    <w:rsid w:val="0021724C"/>
    <w:rsid w:val="00217309"/>
    <w:rsid w:val="002173CB"/>
    <w:rsid w:val="002173D0"/>
    <w:rsid w:val="00217422"/>
    <w:rsid w:val="0021744C"/>
    <w:rsid w:val="00217464"/>
    <w:rsid w:val="00217489"/>
    <w:rsid w:val="0021748D"/>
    <w:rsid w:val="00217532"/>
    <w:rsid w:val="002175C9"/>
    <w:rsid w:val="002175EF"/>
    <w:rsid w:val="0021765E"/>
    <w:rsid w:val="002176AF"/>
    <w:rsid w:val="00217702"/>
    <w:rsid w:val="0021770D"/>
    <w:rsid w:val="0021777A"/>
    <w:rsid w:val="0021777E"/>
    <w:rsid w:val="0021782F"/>
    <w:rsid w:val="00217864"/>
    <w:rsid w:val="00217876"/>
    <w:rsid w:val="002178E0"/>
    <w:rsid w:val="002178ED"/>
    <w:rsid w:val="00217A4E"/>
    <w:rsid w:val="00217A65"/>
    <w:rsid w:val="00217A74"/>
    <w:rsid w:val="00217B11"/>
    <w:rsid w:val="00217BF7"/>
    <w:rsid w:val="00217C07"/>
    <w:rsid w:val="00217C40"/>
    <w:rsid w:val="00217C84"/>
    <w:rsid w:val="00217CDB"/>
    <w:rsid w:val="00217CE9"/>
    <w:rsid w:val="00217D1E"/>
    <w:rsid w:val="00217D4A"/>
    <w:rsid w:val="00217D72"/>
    <w:rsid w:val="00217DCF"/>
    <w:rsid w:val="00217E1F"/>
    <w:rsid w:val="00217E26"/>
    <w:rsid w:val="00217E7A"/>
    <w:rsid w:val="00217E81"/>
    <w:rsid w:val="00217E8B"/>
    <w:rsid w:val="00217EAA"/>
    <w:rsid w:val="00217F13"/>
    <w:rsid w:val="00217F3D"/>
    <w:rsid w:val="00217F9A"/>
    <w:rsid w:val="00217FB3"/>
    <w:rsid w:val="00220003"/>
    <w:rsid w:val="00220024"/>
    <w:rsid w:val="00220035"/>
    <w:rsid w:val="002200D2"/>
    <w:rsid w:val="0022015E"/>
    <w:rsid w:val="0022016C"/>
    <w:rsid w:val="0022018A"/>
    <w:rsid w:val="002201B3"/>
    <w:rsid w:val="002201BB"/>
    <w:rsid w:val="002201CB"/>
    <w:rsid w:val="00220237"/>
    <w:rsid w:val="00220240"/>
    <w:rsid w:val="0022029C"/>
    <w:rsid w:val="002202E6"/>
    <w:rsid w:val="00220303"/>
    <w:rsid w:val="0022033A"/>
    <w:rsid w:val="00220361"/>
    <w:rsid w:val="00220383"/>
    <w:rsid w:val="0022039D"/>
    <w:rsid w:val="002203B4"/>
    <w:rsid w:val="002203B6"/>
    <w:rsid w:val="002203EB"/>
    <w:rsid w:val="00220408"/>
    <w:rsid w:val="00220442"/>
    <w:rsid w:val="0022045A"/>
    <w:rsid w:val="00220466"/>
    <w:rsid w:val="00220478"/>
    <w:rsid w:val="002204D1"/>
    <w:rsid w:val="002204F9"/>
    <w:rsid w:val="00220536"/>
    <w:rsid w:val="00220547"/>
    <w:rsid w:val="00220548"/>
    <w:rsid w:val="0022054C"/>
    <w:rsid w:val="0022054E"/>
    <w:rsid w:val="0022058B"/>
    <w:rsid w:val="00220590"/>
    <w:rsid w:val="002205A2"/>
    <w:rsid w:val="002205F2"/>
    <w:rsid w:val="00220652"/>
    <w:rsid w:val="00220666"/>
    <w:rsid w:val="002206F3"/>
    <w:rsid w:val="00220755"/>
    <w:rsid w:val="0022076E"/>
    <w:rsid w:val="00220779"/>
    <w:rsid w:val="0022077B"/>
    <w:rsid w:val="00220793"/>
    <w:rsid w:val="002207AA"/>
    <w:rsid w:val="002207B2"/>
    <w:rsid w:val="002207BC"/>
    <w:rsid w:val="002207D9"/>
    <w:rsid w:val="002207E4"/>
    <w:rsid w:val="00220810"/>
    <w:rsid w:val="00220811"/>
    <w:rsid w:val="00220835"/>
    <w:rsid w:val="002208F1"/>
    <w:rsid w:val="0022098B"/>
    <w:rsid w:val="002209BC"/>
    <w:rsid w:val="00220A5A"/>
    <w:rsid w:val="00220A6B"/>
    <w:rsid w:val="00220AEE"/>
    <w:rsid w:val="00220BA8"/>
    <w:rsid w:val="00220BC8"/>
    <w:rsid w:val="00220C67"/>
    <w:rsid w:val="00220C93"/>
    <w:rsid w:val="00220CC6"/>
    <w:rsid w:val="00220D8A"/>
    <w:rsid w:val="00220D9A"/>
    <w:rsid w:val="00220DA3"/>
    <w:rsid w:val="00220DF7"/>
    <w:rsid w:val="00220E24"/>
    <w:rsid w:val="00220E47"/>
    <w:rsid w:val="00220F10"/>
    <w:rsid w:val="00220F34"/>
    <w:rsid w:val="00220F58"/>
    <w:rsid w:val="00220FC1"/>
    <w:rsid w:val="00221096"/>
    <w:rsid w:val="002210DF"/>
    <w:rsid w:val="0022110E"/>
    <w:rsid w:val="002211B5"/>
    <w:rsid w:val="002211D7"/>
    <w:rsid w:val="002214D1"/>
    <w:rsid w:val="002214DB"/>
    <w:rsid w:val="0022153E"/>
    <w:rsid w:val="0022159C"/>
    <w:rsid w:val="0022160C"/>
    <w:rsid w:val="00221622"/>
    <w:rsid w:val="0022163C"/>
    <w:rsid w:val="0022163D"/>
    <w:rsid w:val="00221649"/>
    <w:rsid w:val="00221716"/>
    <w:rsid w:val="0022175D"/>
    <w:rsid w:val="00221816"/>
    <w:rsid w:val="00221823"/>
    <w:rsid w:val="00221832"/>
    <w:rsid w:val="002218A9"/>
    <w:rsid w:val="002218EB"/>
    <w:rsid w:val="002218F4"/>
    <w:rsid w:val="002218FD"/>
    <w:rsid w:val="00221903"/>
    <w:rsid w:val="00221939"/>
    <w:rsid w:val="00221950"/>
    <w:rsid w:val="00221959"/>
    <w:rsid w:val="002219B8"/>
    <w:rsid w:val="002219FA"/>
    <w:rsid w:val="00221A0A"/>
    <w:rsid w:val="00221A9C"/>
    <w:rsid w:val="00221AF0"/>
    <w:rsid w:val="00221B4F"/>
    <w:rsid w:val="00221B78"/>
    <w:rsid w:val="00221B95"/>
    <w:rsid w:val="00221BAE"/>
    <w:rsid w:val="00221BBA"/>
    <w:rsid w:val="00221BDA"/>
    <w:rsid w:val="00221BF1"/>
    <w:rsid w:val="00221BF4"/>
    <w:rsid w:val="00221C48"/>
    <w:rsid w:val="00221C5A"/>
    <w:rsid w:val="00221D13"/>
    <w:rsid w:val="00221D9D"/>
    <w:rsid w:val="00221DC9"/>
    <w:rsid w:val="00221E3C"/>
    <w:rsid w:val="00221E5D"/>
    <w:rsid w:val="00221E6D"/>
    <w:rsid w:val="00221E6F"/>
    <w:rsid w:val="00221E73"/>
    <w:rsid w:val="00221F16"/>
    <w:rsid w:val="00221F2D"/>
    <w:rsid w:val="00221F95"/>
    <w:rsid w:val="00221FB7"/>
    <w:rsid w:val="00221FDB"/>
    <w:rsid w:val="00221FDD"/>
    <w:rsid w:val="00221FE2"/>
    <w:rsid w:val="00221FFF"/>
    <w:rsid w:val="00222016"/>
    <w:rsid w:val="00222017"/>
    <w:rsid w:val="002220F3"/>
    <w:rsid w:val="0022214C"/>
    <w:rsid w:val="002221BF"/>
    <w:rsid w:val="002221E4"/>
    <w:rsid w:val="002221F9"/>
    <w:rsid w:val="0022221C"/>
    <w:rsid w:val="0022226F"/>
    <w:rsid w:val="0022229E"/>
    <w:rsid w:val="002222B9"/>
    <w:rsid w:val="002222CD"/>
    <w:rsid w:val="002222E0"/>
    <w:rsid w:val="002222E1"/>
    <w:rsid w:val="00222314"/>
    <w:rsid w:val="0022231A"/>
    <w:rsid w:val="00222324"/>
    <w:rsid w:val="00222361"/>
    <w:rsid w:val="00222381"/>
    <w:rsid w:val="00222383"/>
    <w:rsid w:val="00222432"/>
    <w:rsid w:val="00222447"/>
    <w:rsid w:val="0022247E"/>
    <w:rsid w:val="002224B4"/>
    <w:rsid w:val="0022250F"/>
    <w:rsid w:val="00222531"/>
    <w:rsid w:val="00222536"/>
    <w:rsid w:val="00222555"/>
    <w:rsid w:val="002225D8"/>
    <w:rsid w:val="002225DA"/>
    <w:rsid w:val="002225DE"/>
    <w:rsid w:val="002225EC"/>
    <w:rsid w:val="00222690"/>
    <w:rsid w:val="0022269B"/>
    <w:rsid w:val="002226AF"/>
    <w:rsid w:val="002226B5"/>
    <w:rsid w:val="0022273B"/>
    <w:rsid w:val="0022273F"/>
    <w:rsid w:val="00222754"/>
    <w:rsid w:val="00222758"/>
    <w:rsid w:val="00222789"/>
    <w:rsid w:val="002227A5"/>
    <w:rsid w:val="00222829"/>
    <w:rsid w:val="00222867"/>
    <w:rsid w:val="0022287E"/>
    <w:rsid w:val="002228C9"/>
    <w:rsid w:val="00222940"/>
    <w:rsid w:val="00222977"/>
    <w:rsid w:val="0022297A"/>
    <w:rsid w:val="002229F8"/>
    <w:rsid w:val="00222A24"/>
    <w:rsid w:val="00222A25"/>
    <w:rsid w:val="00222A27"/>
    <w:rsid w:val="00222A57"/>
    <w:rsid w:val="00222AD1"/>
    <w:rsid w:val="00222B62"/>
    <w:rsid w:val="00222B8E"/>
    <w:rsid w:val="00222BAC"/>
    <w:rsid w:val="00222C37"/>
    <w:rsid w:val="00222C96"/>
    <w:rsid w:val="00222CD4"/>
    <w:rsid w:val="00222D2B"/>
    <w:rsid w:val="00222DD3"/>
    <w:rsid w:val="00222DE1"/>
    <w:rsid w:val="00222DE4"/>
    <w:rsid w:val="00222E83"/>
    <w:rsid w:val="00222E8F"/>
    <w:rsid w:val="00222E90"/>
    <w:rsid w:val="00222F0E"/>
    <w:rsid w:val="00222F22"/>
    <w:rsid w:val="00222F23"/>
    <w:rsid w:val="00222F4D"/>
    <w:rsid w:val="00222F74"/>
    <w:rsid w:val="00222F9F"/>
    <w:rsid w:val="00222FF7"/>
    <w:rsid w:val="002230E0"/>
    <w:rsid w:val="00223152"/>
    <w:rsid w:val="00223161"/>
    <w:rsid w:val="002231CC"/>
    <w:rsid w:val="002231FC"/>
    <w:rsid w:val="00223250"/>
    <w:rsid w:val="00223296"/>
    <w:rsid w:val="002232B9"/>
    <w:rsid w:val="002232D6"/>
    <w:rsid w:val="002232E3"/>
    <w:rsid w:val="0022332E"/>
    <w:rsid w:val="00223369"/>
    <w:rsid w:val="00223387"/>
    <w:rsid w:val="002233A1"/>
    <w:rsid w:val="00223414"/>
    <w:rsid w:val="00223489"/>
    <w:rsid w:val="0022351C"/>
    <w:rsid w:val="00223531"/>
    <w:rsid w:val="00223557"/>
    <w:rsid w:val="0022357C"/>
    <w:rsid w:val="002235C8"/>
    <w:rsid w:val="00223638"/>
    <w:rsid w:val="00223648"/>
    <w:rsid w:val="0022364D"/>
    <w:rsid w:val="0022365A"/>
    <w:rsid w:val="00223675"/>
    <w:rsid w:val="002236AC"/>
    <w:rsid w:val="002236D1"/>
    <w:rsid w:val="002236E1"/>
    <w:rsid w:val="00223707"/>
    <w:rsid w:val="00223710"/>
    <w:rsid w:val="00223747"/>
    <w:rsid w:val="00223761"/>
    <w:rsid w:val="0022378E"/>
    <w:rsid w:val="002237DD"/>
    <w:rsid w:val="002237F1"/>
    <w:rsid w:val="0022382B"/>
    <w:rsid w:val="00223864"/>
    <w:rsid w:val="0022388F"/>
    <w:rsid w:val="002238A1"/>
    <w:rsid w:val="002238A4"/>
    <w:rsid w:val="002238BF"/>
    <w:rsid w:val="002238E1"/>
    <w:rsid w:val="0022395D"/>
    <w:rsid w:val="00223A51"/>
    <w:rsid w:val="00223A64"/>
    <w:rsid w:val="00223A81"/>
    <w:rsid w:val="00223AB2"/>
    <w:rsid w:val="00223AC1"/>
    <w:rsid w:val="00223AD5"/>
    <w:rsid w:val="00223BFC"/>
    <w:rsid w:val="00223C18"/>
    <w:rsid w:val="00223C44"/>
    <w:rsid w:val="00223C49"/>
    <w:rsid w:val="00223C5B"/>
    <w:rsid w:val="00223C8D"/>
    <w:rsid w:val="00223CA1"/>
    <w:rsid w:val="00223CB7"/>
    <w:rsid w:val="00223CD6"/>
    <w:rsid w:val="00223CEE"/>
    <w:rsid w:val="00223D37"/>
    <w:rsid w:val="00223D44"/>
    <w:rsid w:val="00223D89"/>
    <w:rsid w:val="00223DA7"/>
    <w:rsid w:val="00223DEC"/>
    <w:rsid w:val="00223DFB"/>
    <w:rsid w:val="00223DFD"/>
    <w:rsid w:val="00223E41"/>
    <w:rsid w:val="00223E72"/>
    <w:rsid w:val="00223E8C"/>
    <w:rsid w:val="00223EA2"/>
    <w:rsid w:val="00223EE7"/>
    <w:rsid w:val="00223F07"/>
    <w:rsid w:val="00223F11"/>
    <w:rsid w:val="0022403D"/>
    <w:rsid w:val="0022406A"/>
    <w:rsid w:val="00224079"/>
    <w:rsid w:val="00224099"/>
    <w:rsid w:val="00224161"/>
    <w:rsid w:val="00224166"/>
    <w:rsid w:val="002241A9"/>
    <w:rsid w:val="002241DE"/>
    <w:rsid w:val="002241FC"/>
    <w:rsid w:val="00224298"/>
    <w:rsid w:val="002242A7"/>
    <w:rsid w:val="002242BF"/>
    <w:rsid w:val="002242F5"/>
    <w:rsid w:val="00224333"/>
    <w:rsid w:val="00224398"/>
    <w:rsid w:val="002243AE"/>
    <w:rsid w:val="002243C0"/>
    <w:rsid w:val="002243C8"/>
    <w:rsid w:val="002243F1"/>
    <w:rsid w:val="002244AE"/>
    <w:rsid w:val="002244B4"/>
    <w:rsid w:val="002244C8"/>
    <w:rsid w:val="00224542"/>
    <w:rsid w:val="002245DE"/>
    <w:rsid w:val="002245E3"/>
    <w:rsid w:val="00224624"/>
    <w:rsid w:val="00224642"/>
    <w:rsid w:val="0022466F"/>
    <w:rsid w:val="0022474A"/>
    <w:rsid w:val="00224770"/>
    <w:rsid w:val="002247E7"/>
    <w:rsid w:val="00224887"/>
    <w:rsid w:val="002248AF"/>
    <w:rsid w:val="002248B1"/>
    <w:rsid w:val="002248BD"/>
    <w:rsid w:val="002248F4"/>
    <w:rsid w:val="00224903"/>
    <w:rsid w:val="00224906"/>
    <w:rsid w:val="00224956"/>
    <w:rsid w:val="0022499F"/>
    <w:rsid w:val="002249BF"/>
    <w:rsid w:val="00224A07"/>
    <w:rsid w:val="00224A11"/>
    <w:rsid w:val="00224A18"/>
    <w:rsid w:val="00224A55"/>
    <w:rsid w:val="00224AA2"/>
    <w:rsid w:val="00224B1D"/>
    <w:rsid w:val="00224BB1"/>
    <w:rsid w:val="00224BF3"/>
    <w:rsid w:val="00224C05"/>
    <w:rsid w:val="00224C3E"/>
    <w:rsid w:val="00224C6D"/>
    <w:rsid w:val="00224CC7"/>
    <w:rsid w:val="00224CEB"/>
    <w:rsid w:val="00224D0F"/>
    <w:rsid w:val="00224D28"/>
    <w:rsid w:val="00224DA3"/>
    <w:rsid w:val="00224DB7"/>
    <w:rsid w:val="00224DE0"/>
    <w:rsid w:val="00224DE4"/>
    <w:rsid w:val="00224E0A"/>
    <w:rsid w:val="00224E16"/>
    <w:rsid w:val="00224E81"/>
    <w:rsid w:val="00224EE3"/>
    <w:rsid w:val="00224EF6"/>
    <w:rsid w:val="00224F37"/>
    <w:rsid w:val="00224F81"/>
    <w:rsid w:val="00224FA0"/>
    <w:rsid w:val="00224FE8"/>
    <w:rsid w:val="0022504B"/>
    <w:rsid w:val="00225084"/>
    <w:rsid w:val="002250E5"/>
    <w:rsid w:val="0022511C"/>
    <w:rsid w:val="0022515B"/>
    <w:rsid w:val="0022517F"/>
    <w:rsid w:val="0022518F"/>
    <w:rsid w:val="002251B2"/>
    <w:rsid w:val="0022520E"/>
    <w:rsid w:val="00225216"/>
    <w:rsid w:val="0022521E"/>
    <w:rsid w:val="00225242"/>
    <w:rsid w:val="00225277"/>
    <w:rsid w:val="002252A5"/>
    <w:rsid w:val="002252A8"/>
    <w:rsid w:val="002252BB"/>
    <w:rsid w:val="002252CA"/>
    <w:rsid w:val="002252CF"/>
    <w:rsid w:val="00225340"/>
    <w:rsid w:val="00225351"/>
    <w:rsid w:val="00225375"/>
    <w:rsid w:val="002253EA"/>
    <w:rsid w:val="0022543E"/>
    <w:rsid w:val="00225482"/>
    <w:rsid w:val="002254EB"/>
    <w:rsid w:val="002254EC"/>
    <w:rsid w:val="002255E8"/>
    <w:rsid w:val="00225649"/>
    <w:rsid w:val="00225693"/>
    <w:rsid w:val="0022569D"/>
    <w:rsid w:val="002256DC"/>
    <w:rsid w:val="0022577B"/>
    <w:rsid w:val="00225796"/>
    <w:rsid w:val="002257A2"/>
    <w:rsid w:val="00225805"/>
    <w:rsid w:val="00225840"/>
    <w:rsid w:val="0022586B"/>
    <w:rsid w:val="002258CF"/>
    <w:rsid w:val="002258E0"/>
    <w:rsid w:val="00225920"/>
    <w:rsid w:val="0022592F"/>
    <w:rsid w:val="00225948"/>
    <w:rsid w:val="00225950"/>
    <w:rsid w:val="00225954"/>
    <w:rsid w:val="00225987"/>
    <w:rsid w:val="0022599B"/>
    <w:rsid w:val="002259B6"/>
    <w:rsid w:val="00225A29"/>
    <w:rsid w:val="00225A58"/>
    <w:rsid w:val="00225AD8"/>
    <w:rsid w:val="00225B6D"/>
    <w:rsid w:val="00225B7E"/>
    <w:rsid w:val="00225C1B"/>
    <w:rsid w:val="00225C2C"/>
    <w:rsid w:val="00225CF8"/>
    <w:rsid w:val="00225D46"/>
    <w:rsid w:val="00225D8B"/>
    <w:rsid w:val="00225DA0"/>
    <w:rsid w:val="00225DF2"/>
    <w:rsid w:val="00225E06"/>
    <w:rsid w:val="00225E0F"/>
    <w:rsid w:val="00225EB4"/>
    <w:rsid w:val="00225EE4"/>
    <w:rsid w:val="00225EF3"/>
    <w:rsid w:val="00225F17"/>
    <w:rsid w:val="00225F56"/>
    <w:rsid w:val="00225F6F"/>
    <w:rsid w:val="00225F70"/>
    <w:rsid w:val="00225F9E"/>
    <w:rsid w:val="00225FF4"/>
    <w:rsid w:val="0022600E"/>
    <w:rsid w:val="00226018"/>
    <w:rsid w:val="00226023"/>
    <w:rsid w:val="00226042"/>
    <w:rsid w:val="00226044"/>
    <w:rsid w:val="0022605E"/>
    <w:rsid w:val="0022608F"/>
    <w:rsid w:val="002260DC"/>
    <w:rsid w:val="002260F9"/>
    <w:rsid w:val="0022611F"/>
    <w:rsid w:val="0022614A"/>
    <w:rsid w:val="00226178"/>
    <w:rsid w:val="002261A9"/>
    <w:rsid w:val="002261C7"/>
    <w:rsid w:val="002261FE"/>
    <w:rsid w:val="0022620F"/>
    <w:rsid w:val="002262F5"/>
    <w:rsid w:val="0022630E"/>
    <w:rsid w:val="00226329"/>
    <w:rsid w:val="0022632A"/>
    <w:rsid w:val="00226387"/>
    <w:rsid w:val="002263DA"/>
    <w:rsid w:val="002263DC"/>
    <w:rsid w:val="0022644F"/>
    <w:rsid w:val="00226519"/>
    <w:rsid w:val="0022651D"/>
    <w:rsid w:val="00226562"/>
    <w:rsid w:val="0022660E"/>
    <w:rsid w:val="00226617"/>
    <w:rsid w:val="00226646"/>
    <w:rsid w:val="00226654"/>
    <w:rsid w:val="0022666B"/>
    <w:rsid w:val="002266B9"/>
    <w:rsid w:val="0022671E"/>
    <w:rsid w:val="00226756"/>
    <w:rsid w:val="00226789"/>
    <w:rsid w:val="002267A6"/>
    <w:rsid w:val="002267C5"/>
    <w:rsid w:val="0022691A"/>
    <w:rsid w:val="0022698F"/>
    <w:rsid w:val="00226991"/>
    <w:rsid w:val="002269C8"/>
    <w:rsid w:val="002269E0"/>
    <w:rsid w:val="00226A07"/>
    <w:rsid w:val="00226A1B"/>
    <w:rsid w:val="00226A70"/>
    <w:rsid w:val="00226A85"/>
    <w:rsid w:val="00226AA8"/>
    <w:rsid w:val="00226AFF"/>
    <w:rsid w:val="00226B24"/>
    <w:rsid w:val="00226B4F"/>
    <w:rsid w:val="00226B96"/>
    <w:rsid w:val="00226BA3"/>
    <w:rsid w:val="00226BE9"/>
    <w:rsid w:val="00226C2A"/>
    <w:rsid w:val="00226C44"/>
    <w:rsid w:val="00226C8C"/>
    <w:rsid w:val="00226CB1"/>
    <w:rsid w:val="00226CC4"/>
    <w:rsid w:val="00226CE7"/>
    <w:rsid w:val="00226D79"/>
    <w:rsid w:val="00226DC1"/>
    <w:rsid w:val="00226DCF"/>
    <w:rsid w:val="00226DD9"/>
    <w:rsid w:val="00226E06"/>
    <w:rsid w:val="00226E44"/>
    <w:rsid w:val="00226E47"/>
    <w:rsid w:val="00226EB2"/>
    <w:rsid w:val="00226F21"/>
    <w:rsid w:val="00226F40"/>
    <w:rsid w:val="00226F8B"/>
    <w:rsid w:val="00226F94"/>
    <w:rsid w:val="00226FD0"/>
    <w:rsid w:val="00226FDA"/>
    <w:rsid w:val="0022700C"/>
    <w:rsid w:val="0022704D"/>
    <w:rsid w:val="0022707C"/>
    <w:rsid w:val="00227087"/>
    <w:rsid w:val="00227093"/>
    <w:rsid w:val="00227103"/>
    <w:rsid w:val="00227106"/>
    <w:rsid w:val="00227192"/>
    <w:rsid w:val="0022723E"/>
    <w:rsid w:val="0022725C"/>
    <w:rsid w:val="0022726A"/>
    <w:rsid w:val="002272B5"/>
    <w:rsid w:val="002272F3"/>
    <w:rsid w:val="0022735A"/>
    <w:rsid w:val="00227398"/>
    <w:rsid w:val="002273F6"/>
    <w:rsid w:val="00227421"/>
    <w:rsid w:val="00227455"/>
    <w:rsid w:val="00227475"/>
    <w:rsid w:val="002274A8"/>
    <w:rsid w:val="002274C0"/>
    <w:rsid w:val="00227538"/>
    <w:rsid w:val="002275AE"/>
    <w:rsid w:val="002275CA"/>
    <w:rsid w:val="002275E1"/>
    <w:rsid w:val="00227613"/>
    <w:rsid w:val="00227621"/>
    <w:rsid w:val="0022763C"/>
    <w:rsid w:val="00227661"/>
    <w:rsid w:val="00227666"/>
    <w:rsid w:val="0022768C"/>
    <w:rsid w:val="002276AA"/>
    <w:rsid w:val="00227777"/>
    <w:rsid w:val="002277E4"/>
    <w:rsid w:val="0022780B"/>
    <w:rsid w:val="00227854"/>
    <w:rsid w:val="00227859"/>
    <w:rsid w:val="00227861"/>
    <w:rsid w:val="00227898"/>
    <w:rsid w:val="002278B6"/>
    <w:rsid w:val="002278EF"/>
    <w:rsid w:val="00227915"/>
    <w:rsid w:val="00227950"/>
    <w:rsid w:val="0022796D"/>
    <w:rsid w:val="00227977"/>
    <w:rsid w:val="00227A05"/>
    <w:rsid w:val="00227A0D"/>
    <w:rsid w:val="00227AAE"/>
    <w:rsid w:val="00227B1D"/>
    <w:rsid w:val="00227B2B"/>
    <w:rsid w:val="00227B77"/>
    <w:rsid w:val="00227BD1"/>
    <w:rsid w:val="00227BD6"/>
    <w:rsid w:val="00227C00"/>
    <w:rsid w:val="00227CCE"/>
    <w:rsid w:val="00227D1F"/>
    <w:rsid w:val="00227D85"/>
    <w:rsid w:val="00227D86"/>
    <w:rsid w:val="00227D8D"/>
    <w:rsid w:val="00227D9C"/>
    <w:rsid w:val="00227DC0"/>
    <w:rsid w:val="00227E4C"/>
    <w:rsid w:val="00227E77"/>
    <w:rsid w:val="00227EF8"/>
    <w:rsid w:val="00227F9B"/>
    <w:rsid w:val="00227FAB"/>
    <w:rsid w:val="00230001"/>
    <w:rsid w:val="0023002D"/>
    <w:rsid w:val="00230086"/>
    <w:rsid w:val="00230134"/>
    <w:rsid w:val="0023018C"/>
    <w:rsid w:val="002301F7"/>
    <w:rsid w:val="002301FA"/>
    <w:rsid w:val="002301FC"/>
    <w:rsid w:val="00230208"/>
    <w:rsid w:val="0023022A"/>
    <w:rsid w:val="00230299"/>
    <w:rsid w:val="002302B6"/>
    <w:rsid w:val="00230363"/>
    <w:rsid w:val="00230370"/>
    <w:rsid w:val="0023042E"/>
    <w:rsid w:val="00230458"/>
    <w:rsid w:val="002304A0"/>
    <w:rsid w:val="002304DE"/>
    <w:rsid w:val="002304E1"/>
    <w:rsid w:val="0023056C"/>
    <w:rsid w:val="00230591"/>
    <w:rsid w:val="00230612"/>
    <w:rsid w:val="0023062D"/>
    <w:rsid w:val="00230641"/>
    <w:rsid w:val="00230653"/>
    <w:rsid w:val="00230666"/>
    <w:rsid w:val="002306D1"/>
    <w:rsid w:val="002306D7"/>
    <w:rsid w:val="00230764"/>
    <w:rsid w:val="002307BB"/>
    <w:rsid w:val="0023092A"/>
    <w:rsid w:val="00230931"/>
    <w:rsid w:val="00230933"/>
    <w:rsid w:val="0023095F"/>
    <w:rsid w:val="002309DA"/>
    <w:rsid w:val="002309E6"/>
    <w:rsid w:val="00230A03"/>
    <w:rsid w:val="00230A30"/>
    <w:rsid w:val="00230ACB"/>
    <w:rsid w:val="00230AFE"/>
    <w:rsid w:val="00230B3F"/>
    <w:rsid w:val="00230BA0"/>
    <w:rsid w:val="00230BA6"/>
    <w:rsid w:val="00230BBF"/>
    <w:rsid w:val="00230BD5"/>
    <w:rsid w:val="00230C26"/>
    <w:rsid w:val="00230C52"/>
    <w:rsid w:val="00230C6A"/>
    <w:rsid w:val="00230C6B"/>
    <w:rsid w:val="00230C8E"/>
    <w:rsid w:val="00230CBE"/>
    <w:rsid w:val="00230CD9"/>
    <w:rsid w:val="00230CED"/>
    <w:rsid w:val="00230D1E"/>
    <w:rsid w:val="00230D65"/>
    <w:rsid w:val="00230DB0"/>
    <w:rsid w:val="00230DC0"/>
    <w:rsid w:val="00230DF3"/>
    <w:rsid w:val="00230E23"/>
    <w:rsid w:val="00230ECE"/>
    <w:rsid w:val="00230EE1"/>
    <w:rsid w:val="00230F16"/>
    <w:rsid w:val="00230F5B"/>
    <w:rsid w:val="00231009"/>
    <w:rsid w:val="00231017"/>
    <w:rsid w:val="00231026"/>
    <w:rsid w:val="00231027"/>
    <w:rsid w:val="00231037"/>
    <w:rsid w:val="00231049"/>
    <w:rsid w:val="00231059"/>
    <w:rsid w:val="0023107C"/>
    <w:rsid w:val="00231149"/>
    <w:rsid w:val="0023117B"/>
    <w:rsid w:val="00231191"/>
    <w:rsid w:val="0023119A"/>
    <w:rsid w:val="002311FE"/>
    <w:rsid w:val="00231215"/>
    <w:rsid w:val="0023121A"/>
    <w:rsid w:val="0023121B"/>
    <w:rsid w:val="00231235"/>
    <w:rsid w:val="002312AB"/>
    <w:rsid w:val="002312AD"/>
    <w:rsid w:val="00231300"/>
    <w:rsid w:val="00231348"/>
    <w:rsid w:val="0023137D"/>
    <w:rsid w:val="002313AA"/>
    <w:rsid w:val="002313F9"/>
    <w:rsid w:val="0023140C"/>
    <w:rsid w:val="0023145A"/>
    <w:rsid w:val="002314C1"/>
    <w:rsid w:val="00231524"/>
    <w:rsid w:val="0023155A"/>
    <w:rsid w:val="00231592"/>
    <w:rsid w:val="002315A3"/>
    <w:rsid w:val="002315B2"/>
    <w:rsid w:val="002315D6"/>
    <w:rsid w:val="002315E9"/>
    <w:rsid w:val="002315EB"/>
    <w:rsid w:val="002315F0"/>
    <w:rsid w:val="0023162C"/>
    <w:rsid w:val="00231692"/>
    <w:rsid w:val="00231699"/>
    <w:rsid w:val="002316A5"/>
    <w:rsid w:val="002316A9"/>
    <w:rsid w:val="002316DF"/>
    <w:rsid w:val="002316EF"/>
    <w:rsid w:val="0023170A"/>
    <w:rsid w:val="00231760"/>
    <w:rsid w:val="002317A1"/>
    <w:rsid w:val="002317E7"/>
    <w:rsid w:val="00231806"/>
    <w:rsid w:val="00231836"/>
    <w:rsid w:val="0023183B"/>
    <w:rsid w:val="00231846"/>
    <w:rsid w:val="00231850"/>
    <w:rsid w:val="00231888"/>
    <w:rsid w:val="00231897"/>
    <w:rsid w:val="00231908"/>
    <w:rsid w:val="0023194C"/>
    <w:rsid w:val="002319BD"/>
    <w:rsid w:val="002319C3"/>
    <w:rsid w:val="00231A7C"/>
    <w:rsid w:val="00231AD7"/>
    <w:rsid w:val="00231AEB"/>
    <w:rsid w:val="00231AFF"/>
    <w:rsid w:val="00231B6C"/>
    <w:rsid w:val="00231B70"/>
    <w:rsid w:val="00231BE3"/>
    <w:rsid w:val="00231BF3"/>
    <w:rsid w:val="00231C11"/>
    <w:rsid w:val="00231C54"/>
    <w:rsid w:val="00231C63"/>
    <w:rsid w:val="00231C6A"/>
    <w:rsid w:val="00231CFD"/>
    <w:rsid w:val="00231D12"/>
    <w:rsid w:val="00231D16"/>
    <w:rsid w:val="00231DA1"/>
    <w:rsid w:val="00231E05"/>
    <w:rsid w:val="00231E09"/>
    <w:rsid w:val="00231E15"/>
    <w:rsid w:val="00231E41"/>
    <w:rsid w:val="00231E81"/>
    <w:rsid w:val="00231ED2"/>
    <w:rsid w:val="00231EF8"/>
    <w:rsid w:val="00231F38"/>
    <w:rsid w:val="00231F6C"/>
    <w:rsid w:val="00231F9E"/>
    <w:rsid w:val="00231FA2"/>
    <w:rsid w:val="00231FAC"/>
    <w:rsid w:val="00231FC3"/>
    <w:rsid w:val="00232030"/>
    <w:rsid w:val="00232081"/>
    <w:rsid w:val="0023208F"/>
    <w:rsid w:val="002320E9"/>
    <w:rsid w:val="002320F7"/>
    <w:rsid w:val="00232185"/>
    <w:rsid w:val="002321D9"/>
    <w:rsid w:val="002321FB"/>
    <w:rsid w:val="00232238"/>
    <w:rsid w:val="00232244"/>
    <w:rsid w:val="002322BF"/>
    <w:rsid w:val="002322D2"/>
    <w:rsid w:val="00232324"/>
    <w:rsid w:val="00232338"/>
    <w:rsid w:val="00232356"/>
    <w:rsid w:val="00232357"/>
    <w:rsid w:val="002323A5"/>
    <w:rsid w:val="002323F1"/>
    <w:rsid w:val="0023240D"/>
    <w:rsid w:val="00232411"/>
    <w:rsid w:val="00232430"/>
    <w:rsid w:val="0023243C"/>
    <w:rsid w:val="00232441"/>
    <w:rsid w:val="0023244A"/>
    <w:rsid w:val="00232451"/>
    <w:rsid w:val="00232455"/>
    <w:rsid w:val="00232458"/>
    <w:rsid w:val="0023246C"/>
    <w:rsid w:val="00232541"/>
    <w:rsid w:val="00232547"/>
    <w:rsid w:val="0023258D"/>
    <w:rsid w:val="00232598"/>
    <w:rsid w:val="00232661"/>
    <w:rsid w:val="0023266D"/>
    <w:rsid w:val="002326B5"/>
    <w:rsid w:val="00232717"/>
    <w:rsid w:val="0023275E"/>
    <w:rsid w:val="002327C2"/>
    <w:rsid w:val="002327F4"/>
    <w:rsid w:val="0023289C"/>
    <w:rsid w:val="002328DB"/>
    <w:rsid w:val="002328E6"/>
    <w:rsid w:val="0023290C"/>
    <w:rsid w:val="0023291B"/>
    <w:rsid w:val="0023296F"/>
    <w:rsid w:val="00232973"/>
    <w:rsid w:val="0023299C"/>
    <w:rsid w:val="002329AB"/>
    <w:rsid w:val="00232A27"/>
    <w:rsid w:val="00232A6F"/>
    <w:rsid w:val="00232AB1"/>
    <w:rsid w:val="00232AF7"/>
    <w:rsid w:val="00232B9D"/>
    <w:rsid w:val="00232BD8"/>
    <w:rsid w:val="00232BE3"/>
    <w:rsid w:val="00232CB1"/>
    <w:rsid w:val="00232CD8"/>
    <w:rsid w:val="00232D21"/>
    <w:rsid w:val="00232D22"/>
    <w:rsid w:val="00232D2D"/>
    <w:rsid w:val="00232D75"/>
    <w:rsid w:val="00232D84"/>
    <w:rsid w:val="00232DE9"/>
    <w:rsid w:val="00232E01"/>
    <w:rsid w:val="00232E47"/>
    <w:rsid w:val="00232E51"/>
    <w:rsid w:val="00232E83"/>
    <w:rsid w:val="00232E8A"/>
    <w:rsid w:val="00232E95"/>
    <w:rsid w:val="00232F31"/>
    <w:rsid w:val="00232F47"/>
    <w:rsid w:val="00232F60"/>
    <w:rsid w:val="00232FCA"/>
    <w:rsid w:val="00232FEA"/>
    <w:rsid w:val="0023309A"/>
    <w:rsid w:val="002330E5"/>
    <w:rsid w:val="002330E8"/>
    <w:rsid w:val="00233154"/>
    <w:rsid w:val="00233173"/>
    <w:rsid w:val="00233258"/>
    <w:rsid w:val="00233261"/>
    <w:rsid w:val="0023328E"/>
    <w:rsid w:val="002332B1"/>
    <w:rsid w:val="002332BD"/>
    <w:rsid w:val="002332C6"/>
    <w:rsid w:val="00233368"/>
    <w:rsid w:val="00233387"/>
    <w:rsid w:val="002333A6"/>
    <w:rsid w:val="002333EB"/>
    <w:rsid w:val="00233452"/>
    <w:rsid w:val="0023349A"/>
    <w:rsid w:val="002334A1"/>
    <w:rsid w:val="002334CC"/>
    <w:rsid w:val="002334CF"/>
    <w:rsid w:val="0023350C"/>
    <w:rsid w:val="0023353E"/>
    <w:rsid w:val="00233574"/>
    <w:rsid w:val="00233577"/>
    <w:rsid w:val="0023357C"/>
    <w:rsid w:val="002335DA"/>
    <w:rsid w:val="00233600"/>
    <w:rsid w:val="00233606"/>
    <w:rsid w:val="00233660"/>
    <w:rsid w:val="002336EC"/>
    <w:rsid w:val="0023374F"/>
    <w:rsid w:val="0023379C"/>
    <w:rsid w:val="002337DF"/>
    <w:rsid w:val="002337FA"/>
    <w:rsid w:val="00233877"/>
    <w:rsid w:val="0023387F"/>
    <w:rsid w:val="00233901"/>
    <w:rsid w:val="00233920"/>
    <w:rsid w:val="00233962"/>
    <w:rsid w:val="00233985"/>
    <w:rsid w:val="002339B1"/>
    <w:rsid w:val="002339C6"/>
    <w:rsid w:val="00233A49"/>
    <w:rsid w:val="00233AB7"/>
    <w:rsid w:val="00233AD5"/>
    <w:rsid w:val="00233ADA"/>
    <w:rsid w:val="00233ADD"/>
    <w:rsid w:val="00233B08"/>
    <w:rsid w:val="00233B6F"/>
    <w:rsid w:val="00233B82"/>
    <w:rsid w:val="00233BFE"/>
    <w:rsid w:val="00233C2A"/>
    <w:rsid w:val="00233C6C"/>
    <w:rsid w:val="00233C79"/>
    <w:rsid w:val="00233C7F"/>
    <w:rsid w:val="00233CCB"/>
    <w:rsid w:val="00233D12"/>
    <w:rsid w:val="00233D9F"/>
    <w:rsid w:val="00233DC5"/>
    <w:rsid w:val="00233E4E"/>
    <w:rsid w:val="00233E60"/>
    <w:rsid w:val="00233E61"/>
    <w:rsid w:val="00233E63"/>
    <w:rsid w:val="00233E89"/>
    <w:rsid w:val="00233EA1"/>
    <w:rsid w:val="00233EC6"/>
    <w:rsid w:val="00233F04"/>
    <w:rsid w:val="00233F1A"/>
    <w:rsid w:val="00233F1D"/>
    <w:rsid w:val="00233F5A"/>
    <w:rsid w:val="00233FF0"/>
    <w:rsid w:val="00234024"/>
    <w:rsid w:val="00234047"/>
    <w:rsid w:val="0023404F"/>
    <w:rsid w:val="0023405E"/>
    <w:rsid w:val="00234080"/>
    <w:rsid w:val="002340E6"/>
    <w:rsid w:val="00234104"/>
    <w:rsid w:val="00234167"/>
    <w:rsid w:val="002341B7"/>
    <w:rsid w:val="002341E5"/>
    <w:rsid w:val="002341F9"/>
    <w:rsid w:val="00234206"/>
    <w:rsid w:val="0023421D"/>
    <w:rsid w:val="0023424D"/>
    <w:rsid w:val="00234251"/>
    <w:rsid w:val="00234269"/>
    <w:rsid w:val="002342F4"/>
    <w:rsid w:val="00234310"/>
    <w:rsid w:val="002343EA"/>
    <w:rsid w:val="002343EE"/>
    <w:rsid w:val="002343F4"/>
    <w:rsid w:val="0023441F"/>
    <w:rsid w:val="0023443E"/>
    <w:rsid w:val="00234450"/>
    <w:rsid w:val="0023445F"/>
    <w:rsid w:val="0023448C"/>
    <w:rsid w:val="002344CB"/>
    <w:rsid w:val="002344FB"/>
    <w:rsid w:val="0023453F"/>
    <w:rsid w:val="002345FF"/>
    <w:rsid w:val="00234683"/>
    <w:rsid w:val="002346A2"/>
    <w:rsid w:val="002346D6"/>
    <w:rsid w:val="002346F5"/>
    <w:rsid w:val="00234704"/>
    <w:rsid w:val="0023474C"/>
    <w:rsid w:val="00234778"/>
    <w:rsid w:val="00234784"/>
    <w:rsid w:val="002347A2"/>
    <w:rsid w:val="002347E0"/>
    <w:rsid w:val="002347E6"/>
    <w:rsid w:val="00234839"/>
    <w:rsid w:val="00234858"/>
    <w:rsid w:val="00234875"/>
    <w:rsid w:val="00234893"/>
    <w:rsid w:val="002348B7"/>
    <w:rsid w:val="002348B8"/>
    <w:rsid w:val="00234935"/>
    <w:rsid w:val="0023494D"/>
    <w:rsid w:val="00234951"/>
    <w:rsid w:val="002349A4"/>
    <w:rsid w:val="002349B0"/>
    <w:rsid w:val="002349CB"/>
    <w:rsid w:val="00234ABC"/>
    <w:rsid w:val="00234AD7"/>
    <w:rsid w:val="00234AE3"/>
    <w:rsid w:val="00234B60"/>
    <w:rsid w:val="00234B69"/>
    <w:rsid w:val="00234B7A"/>
    <w:rsid w:val="00234BD7"/>
    <w:rsid w:val="00234BED"/>
    <w:rsid w:val="00234C3F"/>
    <w:rsid w:val="00234C56"/>
    <w:rsid w:val="00234C67"/>
    <w:rsid w:val="00234C88"/>
    <w:rsid w:val="00234C8E"/>
    <w:rsid w:val="00234CAB"/>
    <w:rsid w:val="00234CC9"/>
    <w:rsid w:val="00234CE0"/>
    <w:rsid w:val="00234CF7"/>
    <w:rsid w:val="00234D5C"/>
    <w:rsid w:val="00234DB0"/>
    <w:rsid w:val="00234DBD"/>
    <w:rsid w:val="00234DBF"/>
    <w:rsid w:val="00234DD8"/>
    <w:rsid w:val="00234E38"/>
    <w:rsid w:val="00234EAF"/>
    <w:rsid w:val="00234EB1"/>
    <w:rsid w:val="00234ECB"/>
    <w:rsid w:val="00234EFC"/>
    <w:rsid w:val="00234F60"/>
    <w:rsid w:val="00234FA2"/>
    <w:rsid w:val="00234FE5"/>
    <w:rsid w:val="00235030"/>
    <w:rsid w:val="00235041"/>
    <w:rsid w:val="00235068"/>
    <w:rsid w:val="002350AF"/>
    <w:rsid w:val="00235119"/>
    <w:rsid w:val="00235127"/>
    <w:rsid w:val="002351F9"/>
    <w:rsid w:val="00235221"/>
    <w:rsid w:val="00235227"/>
    <w:rsid w:val="0023522E"/>
    <w:rsid w:val="0023523C"/>
    <w:rsid w:val="00235241"/>
    <w:rsid w:val="00235255"/>
    <w:rsid w:val="0023527A"/>
    <w:rsid w:val="0023528D"/>
    <w:rsid w:val="002352C9"/>
    <w:rsid w:val="002352D8"/>
    <w:rsid w:val="002352F7"/>
    <w:rsid w:val="0023532D"/>
    <w:rsid w:val="00235341"/>
    <w:rsid w:val="0023534E"/>
    <w:rsid w:val="0023541D"/>
    <w:rsid w:val="00235458"/>
    <w:rsid w:val="00235485"/>
    <w:rsid w:val="002354D6"/>
    <w:rsid w:val="00235542"/>
    <w:rsid w:val="00235556"/>
    <w:rsid w:val="00235575"/>
    <w:rsid w:val="002355ED"/>
    <w:rsid w:val="00235607"/>
    <w:rsid w:val="00235618"/>
    <w:rsid w:val="00235630"/>
    <w:rsid w:val="0023567E"/>
    <w:rsid w:val="00235681"/>
    <w:rsid w:val="00235693"/>
    <w:rsid w:val="00235719"/>
    <w:rsid w:val="00235731"/>
    <w:rsid w:val="0023574A"/>
    <w:rsid w:val="00235795"/>
    <w:rsid w:val="00235850"/>
    <w:rsid w:val="002358BB"/>
    <w:rsid w:val="002358C0"/>
    <w:rsid w:val="002358ED"/>
    <w:rsid w:val="0023591E"/>
    <w:rsid w:val="0023596B"/>
    <w:rsid w:val="00235999"/>
    <w:rsid w:val="002359CB"/>
    <w:rsid w:val="00235AA6"/>
    <w:rsid w:val="00235AC3"/>
    <w:rsid w:val="00235ACD"/>
    <w:rsid w:val="00235B58"/>
    <w:rsid w:val="00235C15"/>
    <w:rsid w:val="00235C27"/>
    <w:rsid w:val="00235C37"/>
    <w:rsid w:val="00235D14"/>
    <w:rsid w:val="00235D56"/>
    <w:rsid w:val="00235D92"/>
    <w:rsid w:val="00235DCE"/>
    <w:rsid w:val="00235E5E"/>
    <w:rsid w:val="00235E83"/>
    <w:rsid w:val="00235EFE"/>
    <w:rsid w:val="00235F00"/>
    <w:rsid w:val="00235F05"/>
    <w:rsid w:val="00235F11"/>
    <w:rsid w:val="00235F33"/>
    <w:rsid w:val="00235FD9"/>
    <w:rsid w:val="00235FF4"/>
    <w:rsid w:val="00236014"/>
    <w:rsid w:val="0023603D"/>
    <w:rsid w:val="00236078"/>
    <w:rsid w:val="0023607E"/>
    <w:rsid w:val="0023608C"/>
    <w:rsid w:val="002360B9"/>
    <w:rsid w:val="00236122"/>
    <w:rsid w:val="0023614A"/>
    <w:rsid w:val="00236163"/>
    <w:rsid w:val="002361CB"/>
    <w:rsid w:val="00236203"/>
    <w:rsid w:val="0023624D"/>
    <w:rsid w:val="00236302"/>
    <w:rsid w:val="002363CE"/>
    <w:rsid w:val="002364A7"/>
    <w:rsid w:val="002364E5"/>
    <w:rsid w:val="0023650A"/>
    <w:rsid w:val="002365EA"/>
    <w:rsid w:val="00236618"/>
    <w:rsid w:val="0023661A"/>
    <w:rsid w:val="00236629"/>
    <w:rsid w:val="00236654"/>
    <w:rsid w:val="002366AB"/>
    <w:rsid w:val="002366B9"/>
    <w:rsid w:val="00236720"/>
    <w:rsid w:val="0023673D"/>
    <w:rsid w:val="00236744"/>
    <w:rsid w:val="0023678D"/>
    <w:rsid w:val="00236793"/>
    <w:rsid w:val="002367F1"/>
    <w:rsid w:val="002368B8"/>
    <w:rsid w:val="00236989"/>
    <w:rsid w:val="002369EA"/>
    <w:rsid w:val="002369FD"/>
    <w:rsid w:val="00236A00"/>
    <w:rsid w:val="00236A02"/>
    <w:rsid w:val="00236A25"/>
    <w:rsid w:val="00236A81"/>
    <w:rsid w:val="00236A99"/>
    <w:rsid w:val="00236AD6"/>
    <w:rsid w:val="00236AEA"/>
    <w:rsid w:val="00236B1D"/>
    <w:rsid w:val="00236B1E"/>
    <w:rsid w:val="00236B3E"/>
    <w:rsid w:val="00236B94"/>
    <w:rsid w:val="00236B96"/>
    <w:rsid w:val="00236BCE"/>
    <w:rsid w:val="00236BE2"/>
    <w:rsid w:val="00236C4C"/>
    <w:rsid w:val="00236C6D"/>
    <w:rsid w:val="00236C94"/>
    <w:rsid w:val="00236D26"/>
    <w:rsid w:val="00236D3C"/>
    <w:rsid w:val="00236D62"/>
    <w:rsid w:val="00236DAB"/>
    <w:rsid w:val="00236DB1"/>
    <w:rsid w:val="00236E50"/>
    <w:rsid w:val="00236E56"/>
    <w:rsid w:val="00236EB6"/>
    <w:rsid w:val="00236ECE"/>
    <w:rsid w:val="00236F0E"/>
    <w:rsid w:val="00236F1D"/>
    <w:rsid w:val="00236F84"/>
    <w:rsid w:val="00236F88"/>
    <w:rsid w:val="00236FAC"/>
    <w:rsid w:val="00236FF6"/>
    <w:rsid w:val="00237001"/>
    <w:rsid w:val="0023700A"/>
    <w:rsid w:val="00237039"/>
    <w:rsid w:val="002370D4"/>
    <w:rsid w:val="002370FC"/>
    <w:rsid w:val="00237104"/>
    <w:rsid w:val="00237119"/>
    <w:rsid w:val="00237151"/>
    <w:rsid w:val="002371BE"/>
    <w:rsid w:val="002371F3"/>
    <w:rsid w:val="0023721F"/>
    <w:rsid w:val="0023722E"/>
    <w:rsid w:val="0023723C"/>
    <w:rsid w:val="00237251"/>
    <w:rsid w:val="0023725D"/>
    <w:rsid w:val="0023729D"/>
    <w:rsid w:val="002372A8"/>
    <w:rsid w:val="002372AC"/>
    <w:rsid w:val="002372E4"/>
    <w:rsid w:val="002372E7"/>
    <w:rsid w:val="0023733C"/>
    <w:rsid w:val="0023737F"/>
    <w:rsid w:val="002373DB"/>
    <w:rsid w:val="0023745B"/>
    <w:rsid w:val="002374A8"/>
    <w:rsid w:val="002374AA"/>
    <w:rsid w:val="002374F3"/>
    <w:rsid w:val="00237526"/>
    <w:rsid w:val="0023753B"/>
    <w:rsid w:val="0023757B"/>
    <w:rsid w:val="002375A8"/>
    <w:rsid w:val="00237601"/>
    <w:rsid w:val="00237613"/>
    <w:rsid w:val="00237618"/>
    <w:rsid w:val="00237646"/>
    <w:rsid w:val="002377A6"/>
    <w:rsid w:val="00237801"/>
    <w:rsid w:val="0023780C"/>
    <w:rsid w:val="00237821"/>
    <w:rsid w:val="00237832"/>
    <w:rsid w:val="0023783A"/>
    <w:rsid w:val="002378B6"/>
    <w:rsid w:val="0023797A"/>
    <w:rsid w:val="00237983"/>
    <w:rsid w:val="002379AB"/>
    <w:rsid w:val="002379B4"/>
    <w:rsid w:val="002379EA"/>
    <w:rsid w:val="00237A51"/>
    <w:rsid w:val="00237A6C"/>
    <w:rsid w:val="00237B29"/>
    <w:rsid w:val="00237B4D"/>
    <w:rsid w:val="00237B66"/>
    <w:rsid w:val="00237B7E"/>
    <w:rsid w:val="00237B95"/>
    <w:rsid w:val="00237BC0"/>
    <w:rsid w:val="00237BFB"/>
    <w:rsid w:val="00237C30"/>
    <w:rsid w:val="00237C51"/>
    <w:rsid w:val="00237CAB"/>
    <w:rsid w:val="00237D28"/>
    <w:rsid w:val="00237D3B"/>
    <w:rsid w:val="00237D65"/>
    <w:rsid w:val="00237D7F"/>
    <w:rsid w:val="00237E02"/>
    <w:rsid w:val="00237ED2"/>
    <w:rsid w:val="00237EFB"/>
    <w:rsid w:val="00237EFC"/>
    <w:rsid w:val="00237FAD"/>
    <w:rsid w:val="00237FCA"/>
    <w:rsid w:val="00237FDC"/>
    <w:rsid w:val="00237FFA"/>
    <w:rsid w:val="00240038"/>
    <w:rsid w:val="00240045"/>
    <w:rsid w:val="00240064"/>
    <w:rsid w:val="00240073"/>
    <w:rsid w:val="0024009A"/>
    <w:rsid w:val="002400A0"/>
    <w:rsid w:val="002400DB"/>
    <w:rsid w:val="00240101"/>
    <w:rsid w:val="00240124"/>
    <w:rsid w:val="00240146"/>
    <w:rsid w:val="0024015C"/>
    <w:rsid w:val="0024016A"/>
    <w:rsid w:val="00240182"/>
    <w:rsid w:val="002401BF"/>
    <w:rsid w:val="002401D0"/>
    <w:rsid w:val="00240218"/>
    <w:rsid w:val="0024021F"/>
    <w:rsid w:val="00240234"/>
    <w:rsid w:val="00240297"/>
    <w:rsid w:val="002402BF"/>
    <w:rsid w:val="0024036A"/>
    <w:rsid w:val="002403EC"/>
    <w:rsid w:val="00240455"/>
    <w:rsid w:val="00240458"/>
    <w:rsid w:val="00240560"/>
    <w:rsid w:val="00240573"/>
    <w:rsid w:val="00240611"/>
    <w:rsid w:val="00240635"/>
    <w:rsid w:val="002406A9"/>
    <w:rsid w:val="002406B1"/>
    <w:rsid w:val="002406E8"/>
    <w:rsid w:val="00240771"/>
    <w:rsid w:val="00240789"/>
    <w:rsid w:val="002407B7"/>
    <w:rsid w:val="002407CF"/>
    <w:rsid w:val="002407DB"/>
    <w:rsid w:val="002407F1"/>
    <w:rsid w:val="00240809"/>
    <w:rsid w:val="0024083B"/>
    <w:rsid w:val="00240841"/>
    <w:rsid w:val="0024084F"/>
    <w:rsid w:val="00240881"/>
    <w:rsid w:val="00240885"/>
    <w:rsid w:val="002408BE"/>
    <w:rsid w:val="002408BF"/>
    <w:rsid w:val="002408CD"/>
    <w:rsid w:val="002408F4"/>
    <w:rsid w:val="00240917"/>
    <w:rsid w:val="002409BF"/>
    <w:rsid w:val="002409CD"/>
    <w:rsid w:val="002409EE"/>
    <w:rsid w:val="00240A1B"/>
    <w:rsid w:val="00240A2A"/>
    <w:rsid w:val="00240A57"/>
    <w:rsid w:val="00240A5B"/>
    <w:rsid w:val="00240AB9"/>
    <w:rsid w:val="00240ACC"/>
    <w:rsid w:val="00240AE7"/>
    <w:rsid w:val="00240B0C"/>
    <w:rsid w:val="00240B97"/>
    <w:rsid w:val="00240BD8"/>
    <w:rsid w:val="00240BF3"/>
    <w:rsid w:val="00240BF4"/>
    <w:rsid w:val="00240C23"/>
    <w:rsid w:val="00240C27"/>
    <w:rsid w:val="00240CA3"/>
    <w:rsid w:val="00240CAD"/>
    <w:rsid w:val="00240CDD"/>
    <w:rsid w:val="00240D30"/>
    <w:rsid w:val="00240D62"/>
    <w:rsid w:val="00240DB4"/>
    <w:rsid w:val="00240E66"/>
    <w:rsid w:val="00240E6D"/>
    <w:rsid w:val="00240E8A"/>
    <w:rsid w:val="00240ED6"/>
    <w:rsid w:val="00240FDB"/>
    <w:rsid w:val="00240FFF"/>
    <w:rsid w:val="00241022"/>
    <w:rsid w:val="00241031"/>
    <w:rsid w:val="0024105C"/>
    <w:rsid w:val="002410A3"/>
    <w:rsid w:val="002410A4"/>
    <w:rsid w:val="002410E8"/>
    <w:rsid w:val="002410ED"/>
    <w:rsid w:val="002410F9"/>
    <w:rsid w:val="00241149"/>
    <w:rsid w:val="00241199"/>
    <w:rsid w:val="002411A1"/>
    <w:rsid w:val="002411F9"/>
    <w:rsid w:val="0024122D"/>
    <w:rsid w:val="0024122F"/>
    <w:rsid w:val="00241230"/>
    <w:rsid w:val="00241272"/>
    <w:rsid w:val="002412A4"/>
    <w:rsid w:val="002412D9"/>
    <w:rsid w:val="00241396"/>
    <w:rsid w:val="0024140E"/>
    <w:rsid w:val="00241420"/>
    <w:rsid w:val="0024144A"/>
    <w:rsid w:val="0024146C"/>
    <w:rsid w:val="002414EE"/>
    <w:rsid w:val="002415A7"/>
    <w:rsid w:val="002415C3"/>
    <w:rsid w:val="002415EA"/>
    <w:rsid w:val="002415F6"/>
    <w:rsid w:val="00241626"/>
    <w:rsid w:val="00241634"/>
    <w:rsid w:val="00241658"/>
    <w:rsid w:val="00241679"/>
    <w:rsid w:val="00241684"/>
    <w:rsid w:val="002416A6"/>
    <w:rsid w:val="002416A9"/>
    <w:rsid w:val="002416B7"/>
    <w:rsid w:val="00241734"/>
    <w:rsid w:val="00241739"/>
    <w:rsid w:val="0024176E"/>
    <w:rsid w:val="002417DA"/>
    <w:rsid w:val="00241836"/>
    <w:rsid w:val="0024183B"/>
    <w:rsid w:val="002418C5"/>
    <w:rsid w:val="002418D3"/>
    <w:rsid w:val="002418E5"/>
    <w:rsid w:val="0024191F"/>
    <w:rsid w:val="00241966"/>
    <w:rsid w:val="002419BC"/>
    <w:rsid w:val="002419DA"/>
    <w:rsid w:val="00241AB5"/>
    <w:rsid w:val="00241ABE"/>
    <w:rsid w:val="00241B75"/>
    <w:rsid w:val="00241BA0"/>
    <w:rsid w:val="00241BB9"/>
    <w:rsid w:val="00241BE3"/>
    <w:rsid w:val="00241C81"/>
    <w:rsid w:val="00241C9A"/>
    <w:rsid w:val="00241CCB"/>
    <w:rsid w:val="00241CF7"/>
    <w:rsid w:val="00241D75"/>
    <w:rsid w:val="00241D7F"/>
    <w:rsid w:val="00241D9A"/>
    <w:rsid w:val="00241DB4"/>
    <w:rsid w:val="00241DEF"/>
    <w:rsid w:val="00241E25"/>
    <w:rsid w:val="00241E2B"/>
    <w:rsid w:val="00241E2E"/>
    <w:rsid w:val="00241E59"/>
    <w:rsid w:val="00241E64"/>
    <w:rsid w:val="00241F0A"/>
    <w:rsid w:val="00241F15"/>
    <w:rsid w:val="00241F27"/>
    <w:rsid w:val="00241FCF"/>
    <w:rsid w:val="00242013"/>
    <w:rsid w:val="00242034"/>
    <w:rsid w:val="00242089"/>
    <w:rsid w:val="002420A6"/>
    <w:rsid w:val="00242108"/>
    <w:rsid w:val="00242111"/>
    <w:rsid w:val="0024219A"/>
    <w:rsid w:val="002421CE"/>
    <w:rsid w:val="002421FE"/>
    <w:rsid w:val="00242210"/>
    <w:rsid w:val="00242228"/>
    <w:rsid w:val="0024224C"/>
    <w:rsid w:val="0024225C"/>
    <w:rsid w:val="0024229A"/>
    <w:rsid w:val="002422A0"/>
    <w:rsid w:val="0024230A"/>
    <w:rsid w:val="00242346"/>
    <w:rsid w:val="002423BE"/>
    <w:rsid w:val="002423CA"/>
    <w:rsid w:val="00242406"/>
    <w:rsid w:val="00242442"/>
    <w:rsid w:val="0024247B"/>
    <w:rsid w:val="00242531"/>
    <w:rsid w:val="00242545"/>
    <w:rsid w:val="00242550"/>
    <w:rsid w:val="00242556"/>
    <w:rsid w:val="002425A0"/>
    <w:rsid w:val="002425C2"/>
    <w:rsid w:val="002425DC"/>
    <w:rsid w:val="002425ED"/>
    <w:rsid w:val="0024265B"/>
    <w:rsid w:val="002426E9"/>
    <w:rsid w:val="00242743"/>
    <w:rsid w:val="00242751"/>
    <w:rsid w:val="0024276D"/>
    <w:rsid w:val="00242894"/>
    <w:rsid w:val="0024290C"/>
    <w:rsid w:val="00242917"/>
    <w:rsid w:val="0024298E"/>
    <w:rsid w:val="002429C8"/>
    <w:rsid w:val="002429F6"/>
    <w:rsid w:val="00242A38"/>
    <w:rsid w:val="00242A42"/>
    <w:rsid w:val="00242A4A"/>
    <w:rsid w:val="00242AAA"/>
    <w:rsid w:val="00242AB5"/>
    <w:rsid w:val="00242ABB"/>
    <w:rsid w:val="00242AE1"/>
    <w:rsid w:val="00242AE8"/>
    <w:rsid w:val="00242AEB"/>
    <w:rsid w:val="00242B8C"/>
    <w:rsid w:val="00242B92"/>
    <w:rsid w:val="00242BED"/>
    <w:rsid w:val="00242C07"/>
    <w:rsid w:val="00242C3A"/>
    <w:rsid w:val="00242C57"/>
    <w:rsid w:val="00242C72"/>
    <w:rsid w:val="00242CC8"/>
    <w:rsid w:val="00242CE2"/>
    <w:rsid w:val="00242D18"/>
    <w:rsid w:val="00242D9D"/>
    <w:rsid w:val="00242DCE"/>
    <w:rsid w:val="00242E24"/>
    <w:rsid w:val="00242EAB"/>
    <w:rsid w:val="00242EE6"/>
    <w:rsid w:val="00242F11"/>
    <w:rsid w:val="00242F60"/>
    <w:rsid w:val="00242F67"/>
    <w:rsid w:val="00242FBE"/>
    <w:rsid w:val="00243026"/>
    <w:rsid w:val="0024304A"/>
    <w:rsid w:val="00243083"/>
    <w:rsid w:val="00243096"/>
    <w:rsid w:val="002430A8"/>
    <w:rsid w:val="002430E1"/>
    <w:rsid w:val="00243147"/>
    <w:rsid w:val="0024314C"/>
    <w:rsid w:val="00243179"/>
    <w:rsid w:val="002431E7"/>
    <w:rsid w:val="00243241"/>
    <w:rsid w:val="00243278"/>
    <w:rsid w:val="00243281"/>
    <w:rsid w:val="002432FD"/>
    <w:rsid w:val="00243302"/>
    <w:rsid w:val="0024330D"/>
    <w:rsid w:val="0024335D"/>
    <w:rsid w:val="0024339A"/>
    <w:rsid w:val="002433D8"/>
    <w:rsid w:val="00243409"/>
    <w:rsid w:val="0024342C"/>
    <w:rsid w:val="00243430"/>
    <w:rsid w:val="00243450"/>
    <w:rsid w:val="002434A0"/>
    <w:rsid w:val="002434C0"/>
    <w:rsid w:val="002434C5"/>
    <w:rsid w:val="00243524"/>
    <w:rsid w:val="00243545"/>
    <w:rsid w:val="00243567"/>
    <w:rsid w:val="002435AD"/>
    <w:rsid w:val="00243621"/>
    <w:rsid w:val="00243637"/>
    <w:rsid w:val="00243640"/>
    <w:rsid w:val="002436C6"/>
    <w:rsid w:val="002436DF"/>
    <w:rsid w:val="002436F8"/>
    <w:rsid w:val="002436FF"/>
    <w:rsid w:val="00243797"/>
    <w:rsid w:val="002437B6"/>
    <w:rsid w:val="002437CF"/>
    <w:rsid w:val="002437FF"/>
    <w:rsid w:val="00243800"/>
    <w:rsid w:val="0024383B"/>
    <w:rsid w:val="00243844"/>
    <w:rsid w:val="0024384B"/>
    <w:rsid w:val="0024386E"/>
    <w:rsid w:val="00243891"/>
    <w:rsid w:val="00243969"/>
    <w:rsid w:val="002439A2"/>
    <w:rsid w:val="002439FB"/>
    <w:rsid w:val="00243A5E"/>
    <w:rsid w:val="00243AD0"/>
    <w:rsid w:val="00243AE6"/>
    <w:rsid w:val="00243AEF"/>
    <w:rsid w:val="00243B10"/>
    <w:rsid w:val="00243B99"/>
    <w:rsid w:val="00243BDC"/>
    <w:rsid w:val="00243BE8"/>
    <w:rsid w:val="00243C58"/>
    <w:rsid w:val="00243C65"/>
    <w:rsid w:val="00243CCD"/>
    <w:rsid w:val="00243CE6"/>
    <w:rsid w:val="00243CEB"/>
    <w:rsid w:val="00243D00"/>
    <w:rsid w:val="00243D4A"/>
    <w:rsid w:val="00243D61"/>
    <w:rsid w:val="00243D7D"/>
    <w:rsid w:val="00243DA2"/>
    <w:rsid w:val="00243DAD"/>
    <w:rsid w:val="00243DDE"/>
    <w:rsid w:val="00243E99"/>
    <w:rsid w:val="00243EAC"/>
    <w:rsid w:val="00243F24"/>
    <w:rsid w:val="00243F29"/>
    <w:rsid w:val="00243F34"/>
    <w:rsid w:val="00243F5F"/>
    <w:rsid w:val="00243FF8"/>
    <w:rsid w:val="00244057"/>
    <w:rsid w:val="00244058"/>
    <w:rsid w:val="00244062"/>
    <w:rsid w:val="00244070"/>
    <w:rsid w:val="00244084"/>
    <w:rsid w:val="0024410E"/>
    <w:rsid w:val="00244116"/>
    <w:rsid w:val="00244154"/>
    <w:rsid w:val="00244165"/>
    <w:rsid w:val="00244269"/>
    <w:rsid w:val="002442A5"/>
    <w:rsid w:val="002442B5"/>
    <w:rsid w:val="002442F7"/>
    <w:rsid w:val="00244316"/>
    <w:rsid w:val="00244499"/>
    <w:rsid w:val="002444AB"/>
    <w:rsid w:val="002444B6"/>
    <w:rsid w:val="002444C0"/>
    <w:rsid w:val="002444D3"/>
    <w:rsid w:val="002444F2"/>
    <w:rsid w:val="00244555"/>
    <w:rsid w:val="0024458C"/>
    <w:rsid w:val="002445EA"/>
    <w:rsid w:val="002445F1"/>
    <w:rsid w:val="00244652"/>
    <w:rsid w:val="00244667"/>
    <w:rsid w:val="00244698"/>
    <w:rsid w:val="0024475D"/>
    <w:rsid w:val="002447C5"/>
    <w:rsid w:val="002447CE"/>
    <w:rsid w:val="002447D9"/>
    <w:rsid w:val="0024484B"/>
    <w:rsid w:val="00244859"/>
    <w:rsid w:val="00244889"/>
    <w:rsid w:val="00244971"/>
    <w:rsid w:val="00244995"/>
    <w:rsid w:val="002449AF"/>
    <w:rsid w:val="002449BD"/>
    <w:rsid w:val="00244A97"/>
    <w:rsid w:val="00244AC7"/>
    <w:rsid w:val="00244ACF"/>
    <w:rsid w:val="00244BD6"/>
    <w:rsid w:val="00244BF0"/>
    <w:rsid w:val="00244C3B"/>
    <w:rsid w:val="00244C9A"/>
    <w:rsid w:val="00244CBD"/>
    <w:rsid w:val="00244D00"/>
    <w:rsid w:val="00244D25"/>
    <w:rsid w:val="00244D33"/>
    <w:rsid w:val="00244DAE"/>
    <w:rsid w:val="00244E21"/>
    <w:rsid w:val="00244E31"/>
    <w:rsid w:val="00244E54"/>
    <w:rsid w:val="00244E6F"/>
    <w:rsid w:val="00244E7E"/>
    <w:rsid w:val="00244E99"/>
    <w:rsid w:val="00244EA1"/>
    <w:rsid w:val="00244ED6"/>
    <w:rsid w:val="00244F37"/>
    <w:rsid w:val="00244F4F"/>
    <w:rsid w:val="00244F60"/>
    <w:rsid w:val="00244F6E"/>
    <w:rsid w:val="00244F7F"/>
    <w:rsid w:val="00244F88"/>
    <w:rsid w:val="00245008"/>
    <w:rsid w:val="00245016"/>
    <w:rsid w:val="00245030"/>
    <w:rsid w:val="00245045"/>
    <w:rsid w:val="00245056"/>
    <w:rsid w:val="00245091"/>
    <w:rsid w:val="002450AC"/>
    <w:rsid w:val="002450EC"/>
    <w:rsid w:val="00245118"/>
    <w:rsid w:val="0024513F"/>
    <w:rsid w:val="0024516E"/>
    <w:rsid w:val="002451BC"/>
    <w:rsid w:val="002451D0"/>
    <w:rsid w:val="002451E7"/>
    <w:rsid w:val="002451F1"/>
    <w:rsid w:val="002452A2"/>
    <w:rsid w:val="002452C3"/>
    <w:rsid w:val="002453EE"/>
    <w:rsid w:val="002453F6"/>
    <w:rsid w:val="002453FF"/>
    <w:rsid w:val="00245491"/>
    <w:rsid w:val="002454A9"/>
    <w:rsid w:val="0024550C"/>
    <w:rsid w:val="0024552B"/>
    <w:rsid w:val="00245538"/>
    <w:rsid w:val="00245543"/>
    <w:rsid w:val="00245570"/>
    <w:rsid w:val="002455E5"/>
    <w:rsid w:val="002455ED"/>
    <w:rsid w:val="0024563E"/>
    <w:rsid w:val="0024564D"/>
    <w:rsid w:val="00245698"/>
    <w:rsid w:val="002456A9"/>
    <w:rsid w:val="002456AE"/>
    <w:rsid w:val="002456DE"/>
    <w:rsid w:val="002456E0"/>
    <w:rsid w:val="0024571C"/>
    <w:rsid w:val="00245729"/>
    <w:rsid w:val="00245786"/>
    <w:rsid w:val="002458C9"/>
    <w:rsid w:val="002458D1"/>
    <w:rsid w:val="0024593F"/>
    <w:rsid w:val="002459B3"/>
    <w:rsid w:val="002459D3"/>
    <w:rsid w:val="002459EB"/>
    <w:rsid w:val="002459ED"/>
    <w:rsid w:val="00245A08"/>
    <w:rsid w:val="00245A26"/>
    <w:rsid w:val="00245ACB"/>
    <w:rsid w:val="00245AF2"/>
    <w:rsid w:val="00245B0F"/>
    <w:rsid w:val="00245B4F"/>
    <w:rsid w:val="00245C16"/>
    <w:rsid w:val="00245C31"/>
    <w:rsid w:val="00245C75"/>
    <w:rsid w:val="00245CA8"/>
    <w:rsid w:val="00245D2F"/>
    <w:rsid w:val="00245D97"/>
    <w:rsid w:val="00245DA0"/>
    <w:rsid w:val="00245DAA"/>
    <w:rsid w:val="00245DD6"/>
    <w:rsid w:val="00245DF6"/>
    <w:rsid w:val="00245E8D"/>
    <w:rsid w:val="00245EB6"/>
    <w:rsid w:val="00245EBA"/>
    <w:rsid w:val="00245ECF"/>
    <w:rsid w:val="00245EDD"/>
    <w:rsid w:val="00245EED"/>
    <w:rsid w:val="00245F0C"/>
    <w:rsid w:val="00245F5B"/>
    <w:rsid w:val="00245FE0"/>
    <w:rsid w:val="00246026"/>
    <w:rsid w:val="00246093"/>
    <w:rsid w:val="002460BC"/>
    <w:rsid w:val="00246126"/>
    <w:rsid w:val="0024617C"/>
    <w:rsid w:val="00246181"/>
    <w:rsid w:val="00246194"/>
    <w:rsid w:val="00246239"/>
    <w:rsid w:val="00246278"/>
    <w:rsid w:val="002462D4"/>
    <w:rsid w:val="002462E6"/>
    <w:rsid w:val="00246325"/>
    <w:rsid w:val="00246386"/>
    <w:rsid w:val="00246418"/>
    <w:rsid w:val="00246485"/>
    <w:rsid w:val="002464D6"/>
    <w:rsid w:val="002464FB"/>
    <w:rsid w:val="0024656C"/>
    <w:rsid w:val="00246583"/>
    <w:rsid w:val="00246585"/>
    <w:rsid w:val="002465CF"/>
    <w:rsid w:val="00246646"/>
    <w:rsid w:val="002466A9"/>
    <w:rsid w:val="002466E2"/>
    <w:rsid w:val="00246725"/>
    <w:rsid w:val="00246748"/>
    <w:rsid w:val="002467C5"/>
    <w:rsid w:val="002467E6"/>
    <w:rsid w:val="002467F5"/>
    <w:rsid w:val="0024681C"/>
    <w:rsid w:val="00246938"/>
    <w:rsid w:val="00246941"/>
    <w:rsid w:val="002469BA"/>
    <w:rsid w:val="002469CE"/>
    <w:rsid w:val="002469DA"/>
    <w:rsid w:val="00246A32"/>
    <w:rsid w:val="00246AED"/>
    <w:rsid w:val="00246B2A"/>
    <w:rsid w:val="00246BF2"/>
    <w:rsid w:val="00246C11"/>
    <w:rsid w:val="00246C3F"/>
    <w:rsid w:val="00246C43"/>
    <w:rsid w:val="00246C64"/>
    <w:rsid w:val="00246CE9"/>
    <w:rsid w:val="00246D78"/>
    <w:rsid w:val="00246DDF"/>
    <w:rsid w:val="00246DE8"/>
    <w:rsid w:val="00246E06"/>
    <w:rsid w:val="00246E1E"/>
    <w:rsid w:val="00246E77"/>
    <w:rsid w:val="00246EC8"/>
    <w:rsid w:val="00246ECC"/>
    <w:rsid w:val="00246EDF"/>
    <w:rsid w:val="00246EF0"/>
    <w:rsid w:val="00246EF4"/>
    <w:rsid w:val="00246F57"/>
    <w:rsid w:val="00246F6A"/>
    <w:rsid w:val="00246FAC"/>
    <w:rsid w:val="00246FB0"/>
    <w:rsid w:val="00246FD7"/>
    <w:rsid w:val="00247021"/>
    <w:rsid w:val="00247056"/>
    <w:rsid w:val="00247065"/>
    <w:rsid w:val="002470C9"/>
    <w:rsid w:val="00247156"/>
    <w:rsid w:val="0024716E"/>
    <w:rsid w:val="00247189"/>
    <w:rsid w:val="002471B6"/>
    <w:rsid w:val="00247209"/>
    <w:rsid w:val="002472C9"/>
    <w:rsid w:val="0024733B"/>
    <w:rsid w:val="00247349"/>
    <w:rsid w:val="002473A4"/>
    <w:rsid w:val="00247430"/>
    <w:rsid w:val="00247445"/>
    <w:rsid w:val="00247475"/>
    <w:rsid w:val="002474DC"/>
    <w:rsid w:val="00247514"/>
    <w:rsid w:val="00247524"/>
    <w:rsid w:val="00247572"/>
    <w:rsid w:val="00247580"/>
    <w:rsid w:val="002475AB"/>
    <w:rsid w:val="002475C1"/>
    <w:rsid w:val="00247618"/>
    <w:rsid w:val="00247620"/>
    <w:rsid w:val="00247622"/>
    <w:rsid w:val="00247638"/>
    <w:rsid w:val="00247690"/>
    <w:rsid w:val="00247697"/>
    <w:rsid w:val="002476A0"/>
    <w:rsid w:val="002476A8"/>
    <w:rsid w:val="002476B2"/>
    <w:rsid w:val="0024771C"/>
    <w:rsid w:val="00247771"/>
    <w:rsid w:val="0024777F"/>
    <w:rsid w:val="00247787"/>
    <w:rsid w:val="002477DA"/>
    <w:rsid w:val="002477F6"/>
    <w:rsid w:val="002477F9"/>
    <w:rsid w:val="00247811"/>
    <w:rsid w:val="00247829"/>
    <w:rsid w:val="00247839"/>
    <w:rsid w:val="002478B1"/>
    <w:rsid w:val="002478B5"/>
    <w:rsid w:val="002478C3"/>
    <w:rsid w:val="00247985"/>
    <w:rsid w:val="0024799C"/>
    <w:rsid w:val="002479EC"/>
    <w:rsid w:val="00247A1E"/>
    <w:rsid w:val="00247A2E"/>
    <w:rsid w:val="00247A80"/>
    <w:rsid w:val="00247A83"/>
    <w:rsid w:val="00247ACB"/>
    <w:rsid w:val="00247B9D"/>
    <w:rsid w:val="00247BC5"/>
    <w:rsid w:val="00247BCE"/>
    <w:rsid w:val="00247BDE"/>
    <w:rsid w:val="00247C0C"/>
    <w:rsid w:val="00247C37"/>
    <w:rsid w:val="00247CAC"/>
    <w:rsid w:val="00247D63"/>
    <w:rsid w:val="00247D68"/>
    <w:rsid w:val="00247DBA"/>
    <w:rsid w:val="00247DC3"/>
    <w:rsid w:val="00247DCC"/>
    <w:rsid w:val="00247DD3"/>
    <w:rsid w:val="00247DEC"/>
    <w:rsid w:val="00247DF3"/>
    <w:rsid w:val="00247DF4"/>
    <w:rsid w:val="00247DFE"/>
    <w:rsid w:val="00247E0C"/>
    <w:rsid w:val="00247E11"/>
    <w:rsid w:val="00247E1E"/>
    <w:rsid w:val="00247E77"/>
    <w:rsid w:val="00247EAA"/>
    <w:rsid w:val="00247EAD"/>
    <w:rsid w:val="00247EFF"/>
    <w:rsid w:val="00247F22"/>
    <w:rsid w:val="00247F70"/>
    <w:rsid w:val="00250062"/>
    <w:rsid w:val="00250072"/>
    <w:rsid w:val="002500B3"/>
    <w:rsid w:val="002500CD"/>
    <w:rsid w:val="002500DB"/>
    <w:rsid w:val="002500F5"/>
    <w:rsid w:val="002500F6"/>
    <w:rsid w:val="002501BF"/>
    <w:rsid w:val="002501CD"/>
    <w:rsid w:val="002502B2"/>
    <w:rsid w:val="002502C2"/>
    <w:rsid w:val="00250309"/>
    <w:rsid w:val="0025032B"/>
    <w:rsid w:val="00250335"/>
    <w:rsid w:val="0025043E"/>
    <w:rsid w:val="00250456"/>
    <w:rsid w:val="002504E1"/>
    <w:rsid w:val="0025053F"/>
    <w:rsid w:val="00250551"/>
    <w:rsid w:val="002505B9"/>
    <w:rsid w:val="002505BD"/>
    <w:rsid w:val="002505E7"/>
    <w:rsid w:val="002505EE"/>
    <w:rsid w:val="00250604"/>
    <w:rsid w:val="00250612"/>
    <w:rsid w:val="0025068D"/>
    <w:rsid w:val="00250697"/>
    <w:rsid w:val="0025072B"/>
    <w:rsid w:val="002507C3"/>
    <w:rsid w:val="002507F4"/>
    <w:rsid w:val="002507F8"/>
    <w:rsid w:val="00250814"/>
    <w:rsid w:val="00250825"/>
    <w:rsid w:val="00250865"/>
    <w:rsid w:val="00250968"/>
    <w:rsid w:val="00250986"/>
    <w:rsid w:val="00250A21"/>
    <w:rsid w:val="00250A5E"/>
    <w:rsid w:val="00250A61"/>
    <w:rsid w:val="00250A7D"/>
    <w:rsid w:val="00250ADB"/>
    <w:rsid w:val="00250B00"/>
    <w:rsid w:val="00250B29"/>
    <w:rsid w:val="00250B90"/>
    <w:rsid w:val="00250BD2"/>
    <w:rsid w:val="00250BD6"/>
    <w:rsid w:val="00250CA0"/>
    <w:rsid w:val="00250CBD"/>
    <w:rsid w:val="00250D0C"/>
    <w:rsid w:val="00250D59"/>
    <w:rsid w:val="00250D62"/>
    <w:rsid w:val="00250DD0"/>
    <w:rsid w:val="00250DE2"/>
    <w:rsid w:val="00250E27"/>
    <w:rsid w:val="00250E33"/>
    <w:rsid w:val="00250E4F"/>
    <w:rsid w:val="00250E81"/>
    <w:rsid w:val="00250EB9"/>
    <w:rsid w:val="00250F13"/>
    <w:rsid w:val="00250F1A"/>
    <w:rsid w:val="00250F74"/>
    <w:rsid w:val="00250FA0"/>
    <w:rsid w:val="00251033"/>
    <w:rsid w:val="002510B1"/>
    <w:rsid w:val="002510DB"/>
    <w:rsid w:val="00251104"/>
    <w:rsid w:val="0025114D"/>
    <w:rsid w:val="00251161"/>
    <w:rsid w:val="002511C9"/>
    <w:rsid w:val="002511F7"/>
    <w:rsid w:val="00251234"/>
    <w:rsid w:val="0025124B"/>
    <w:rsid w:val="002512A6"/>
    <w:rsid w:val="002512A9"/>
    <w:rsid w:val="00251380"/>
    <w:rsid w:val="0025138E"/>
    <w:rsid w:val="00251405"/>
    <w:rsid w:val="00251458"/>
    <w:rsid w:val="002514BD"/>
    <w:rsid w:val="002514CB"/>
    <w:rsid w:val="002514D4"/>
    <w:rsid w:val="0025151A"/>
    <w:rsid w:val="00251535"/>
    <w:rsid w:val="00251591"/>
    <w:rsid w:val="002515A0"/>
    <w:rsid w:val="002515D6"/>
    <w:rsid w:val="002515EC"/>
    <w:rsid w:val="002515F4"/>
    <w:rsid w:val="00251600"/>
    <w:rsid w:val="00251606"/>
    <w:rsid w:val="00251668"/>
    <w:rsid w:val="002516AB"/>
    <w:rsid w:val="00251713"/>
    <w:rsid w:val="0025174D"/>
    <w:rsid w:val="00251773"/>
    <w:rsid w:val="0025177A"/>
    <w:rsid w:val="00251804"/>
    <w:rsid w:val="0025185B"/>
    <w:rsid w:val="0025188B"/>
    <w:rsid w:val="002518E6"/>
    <w:rsid w:val="002518F9"/>
    <w:rsid w:val="00251928"/>
    <w:rsid w:val="00251982"/>
    <w:rsid w:val="002519FB"/>
    <w:rsid w:val="00251A0E"/>
    <w:rsid w:val="00251A21"/>
    <w:rsid w:val="00251A88"/>
    <w:rsid w:val="00251AB7"/>
    <w:rsid w:val="00251ABC"/>
    <w:rsid w:val="00251AD0"/>
    <w:rsid w:val="00251B84"/>
    <w:rsid w:val="00251B9D"/>
    <w:rsid w:val="00251BAC"/>
    <w:rsid w:val="00251C0A"/>
    <w:rsid w:val="00251C0C"/>
    <w:rsid w:val="00251C9B"/>
    <w:rsid w:val="00251CB8"/>
    <w:rsid w:val="00251CD1"/>
    <w:rsid w:val="00251D1A"/>
    <w:rsid w:val="00251D41"/>
    <w:rsid w:val="00251D4D"/>
    <w:rsid w:val="00251D62"/>
    <w:rsid w:val="00251D89"/>
    <w:rsid w:val="00251DDC"/>
    <w:rsid w:val="00251ED1"/>
    <w:rsid w:val="00251F00"/>
    <w:rsid w:val="00251F03"/>
    <w:rsid w:val="00251F51"/>
    <w:rsid w:val="00251F6D"/>
    <w:rsid w:val="00251F9A"/>
    <w:rsid w:val="00252022"/>
    <w:rsid w:val="00252043"/>
    <w:rsid w:val="00252053"/>
    <w:rsid w:val="002520DA"/>
    <w:rsid w:val="0025210E"/>
    <w:rsid w:val="00252126"/>
    <w:rsid w:val="002521CD"/>
    <w:rsid w:val="002521D3"/>
    <w:rsid w:val="002521E0"/>
    <w:rsid w:val="00252273"/>
    <w:rsid w:val="00252275"/>
    <w:rsid w:val="002522DB"/>
    <w:rsid w:val="002522E3"/>
    <w:rsid w:val="002522E4"/>
    <w:rsid w:val="002522ED"/>
    <w:rsid w:val="0025231C"/>
    <w:rsid w:val="00252355"/>
    <w:rsid w:val="0025244A"/>
    <w:rsid w:val="00252453"/>
    <w:rsid w:val="0025246D"/>
    <w:rsid w:val="00252495"/>
    <w:rsid w:val="00252496"/>
    <w:rsid w:val="002524B8"/>
    <w:rsid w:val="002524C6"/>
    <w:rsid w:val="0025250A"/>
    <w:rsid w:val="00252546"/>
    <w:rsid w:val="0025259A"/>
    <w:rsid w:val="002525B4"/>
    <w:rsid w:val="002525ED"/>
    <w:rsid w:val="002526C6"/>
    <w:rsid w:val="002526D5"/>
    <w:rsid w:val="002527AE"/>
    <w:rsid w:val="002527D1"/>
    <w:rsid w:val="002527D6"/>
    <w:rsid w:val="0025280C"/>
    <w:rsid w:val="00252856"/>
    <w:rsid w:val="0025286E"/>
    <w:rsid w:val="0025288E"/>
    <w:rsid w:val="0025290A"/>
    <w:rsid w:val="0025290F"/>
    <w:rsid w:val="00252932"/>
    <w:rsid w:val="00252976"/>
    <w:rsid w:val="002529BD"/>
    <w:rsid w:val="002529D3"/>
    <w:rsid w:val="002529FD"/>
    <w:rsid w:val="00252AEA"/>
    <w:rsid w:val="00252AF4"/>
    <w:rsid w:val="00252B34"/>
    <w:rsid w:val="00252BA5"/>
    <w:rsid w:val="00252BB7"/>
    <w:rsid w:val="00252BCF"/>
    <w:rsid w:val="00252C4E"/>
    <w:rsid w:val="00252D19"/>
    <w:rsid w:val="00252D1E"/>
    <w:rsid w:val="00252D2C"/>
    <w:rsid w:val="00252D6C"/>
    <w:rsid w:val="00252D70"/>
    <w:rsid w:val="00252E46"/>
    <w:rsid w:val="00252E63"/>
    <w:rsid w:val="00252E91"/>
    <w:rsid w:val="00252EAD"/>
    <w:rsid w:val="00252F38"/>
    <w:rsid w:val="00252F91"/>
    <w:rsid w:val="00252FCA"/>
    <w:rsid w:val="00253054"/>
    <w:rsid w:val="00253055"/>
    <w:rsid w:val="00253070"/>
    <w:rsid w:val="00253122"/>
    <w:rsid w:val="0025312D"/>
    <w:rsid w:val="002531A2"/>
    <w:rsid w:val="002531EE"/>
    <w:rsid w:val="0025321F"/>
    <w:rsid w:val="00253223"/>
    <w:rsid w:val="00253306"/>
    <w:rsid w:val="00253351"/>
    <w:rsid w:val="002533F2"/>
    <w:rsid w:val="0025341C"/>
    <w:rsid w:val="00253493"/>
    <w:rsid w:val="002534DB"/>
    <w:rsid w:val="0025354A"/>
    <w:rsid w:val="00253572"/>
    <w:rsid w:val="002535DD"/>
    <w:rsid w:val="0025362E"/>
    <w:rsid w:val="00253675"/>
    <w:rsid w:val="00253679"/>
    <w:rsid w:val="002536B3"/>
    <w:rsid w:val="002536B5"/>
    <w:rsid w:val="002536BA"/>
    <w:rsid w:val="002536CA"/>
    <w:rsid w:val="002536CC"/>
    <w:rsid w:val="002536F2"/>
    <w:rsid w:val="002536FD"/>
    <w:rsid w:val="0025371F"/>
    <w:rsid w:val="00253754"/>
    <w:rsid w:val="00253784"/>
    <w:rsid w:val="00253789"/>
    <w:rsid w:val="002537D0"/>
    <w:rsid w:val="002537E2"/>
    <w:rsid w:val="002537F8"/>
    <w:rsid w:val="00253810"/>
    <w:rsid w:val="0025384B"/>
    <w:rsid w:val="002538B8"/>
    <w:rsid w:val="002538DA"/>
    <w:rsid w:val="002538DF"/>
    <w:rsid w:val="002538E2"/>
    <w:rsid w:val="00253920"/>
    <w:rsid w:val="00253993"/>
    <w:rsid w:val="002539B8"/>
    <w:rsid w:val="002539BA"/>
    <w:rsid w:val="002539C2"/>
    <w:rsid w:val="00253A8C"/>
    <w:rsid w:val="00253A9C"/>
    <w:rsid w:val="00253B2F"/>
    <w:rsid w:val="00253B4D"/>
    <w:rsid w:val="00253B8B"/>
    <w:rsid w:val="00253BE1"/>
    <w:rsid w:val="00253C13"/>
    <w:rsid w:val="00253CE9"/>
    <w:rsid w:val="00253D19"/>
    <w:rsid w:val="00253D1B"/>
    <w:rsid w:val="00253D29"/>
    <w:rsid w:val="00253D4E"/>
    <w:rsid w:val="00253D6C"/>
    <w:rsid w:val="00253D8E"/>
    <w:rsid w:val="00253DBE"/>
    <w:rsid w:val="00253DD0"/>
    <w:rsid w:val="00253DD3"/>
    <w:rsid w:val="00253E23"/>
    <w:rsid w:val="00253EB2"/>
    <w:rsid w:val="00253EDA"/>
    <w:rsid w:val="00253FC7"/>
    <w:rsid w:val="00253FCE"/>
    <w:rsid w:val="00253FFF"/>
    <w:rsid w:val="00254040"/>
    <w:rsid w:val="00254068"/>
    <w:rsid w:val="0025407E"/>
    <w:rsid w:val="002540BE"/>
    <w:rsid w:val="002540F1"/>
    <w:rsid w:val="0025411A"/>
    <w:rsid w:val="00254132"/>
    <w:rsid w:val="00254144"/>
    <w:rsid w:val="00254201"/>
    <w:rsid w:val="00254291"/>
    <w:rsid w:val="002542CA"/>
    <w:rsid w:val="002542CC"/>
    <w:rsid w:val="002542DD"/>
    <w:rsid w:val="002542F5"/>
    <w:rsid w:val="00254308"/>
    <w:rsid w:val="0025430C"/>
    <w:rsid w:val="002543C0"/>
    <w:rsid w:val="002543C4"/>
    <w:rsid w:val="002543CC"/>
    <w:rsid w:val="002543F6"/>
    <w:rsid w:val="00254418"/>
    <w:rsid w:val="00254478"/>
    <w:rsid w:val="002544B8"/>
    <w:rsid w:val="002544DB"/>
    <w:rsid w:val="002544F8"/>
    <w:rsid w:val="002544FB"/>
    <w:rsid w:val="0025451E"/>
    <w:rsid w:val="0025453D"/>
    <w:rsid w:val="0025454E"/>
    <w:rsid w:val="0025455B"/>
    <w:rsid w:val="00254570"/>
    <w:rsid w:val="00254576"/>
    <w:rsid w:val="00254588"/>
    <w:rsid w:val="00254631"/>
    <w:rsid w:val="00254648"/>
    <w:rsid w:val="00254651"/>
    <w:rsid w:val="002546AE"/>
    <w:rsid w:val="002546FB"/>
    <w:rsid w:val="00254710"/>
    <w:rsid w:val="00254722"/>
    <w:rsid w:val="0025472E"/>
    <w:rsid w:val="0025473A"/>
    <w:rsid w:val="00254776"/>
    <w:rsid w:val="00254786"/>
    <w:rsid w:val="002547BF"/>
    <w:rsid w:val="002547C8"/>
    <w:rsid w:val="00254808"/>
    <w:rsid w:val="0025482C"/>
    <w:rsid w:val="00254838"/>
    <w:rsid w:val="002548DE"/>
    <w:rsid w:val="00254942"/>
    <w:rsid w:val="0025495B"/>
    <w:rsid w:val="002549AD"/>
    <w:rsid w:val="002549C4"/>
    <w:rsid w:val="002549D0"/>
    <w:rsid w:val="00254ACA"/>
    <w:rsid w:val="00254ACE"/>
    <w:rsid w:val="00254B25"/>
    <w:rsid w:val="00254B80"/>
    <w:rsid w:val="00254BE8"/>
    <w:rsid w:val="00254C74"/>
    <w:rsid w:val="00254CAD"/>
    <w:rsid w:val="00254D6D"/>
    <w:rsid w:val="00254D88"/>
    <w:rsid w:val="00254DBC"/>
    <w:rsid w:val="00254E19"/>
    <w:rsid w:val="00254E4D"/>
    <w:rsid w:val="00254E5C"/>
    <w:rsid w:val="00254E68"/>
    <w:rsid w:val="00254EC3"/>
    <w:rsid w:val="00254ED9"/>
    <w:rsid w:val="00254F0C"/>
    <w:rsid w:val="00254F1D"/>
    <w:rsid w:val="00254F46"/>
    <w:rsid w:val="00254F4B"/>
    <w:rsid w:val="00254F64"/>
    <w:rsid w:val="00254F72"/>
    <w:rsid w:val="00254F95"/>
    <w:rsid w:val="00254FAC"/>
    <w:rsid w:val="00254FCA"/>
    <w:rsid w:val="0025502F"/>
    <w:rsid w:val="00255046"/>
    <w:rsid w:val="00255052"/>
    <w:rsid w:val="00255058"/>
    <w:rsid w:val="00255066"/>
    <w:rsid w:val="002550BA"/>
    <w:rsid w:val="002550D4"/>
    <w:rsid w:val="002550D9"/>
    <w:rsid w:val="0025510A"/>
    <w:rsid w:val="0025515C"/>
    <w:rsid w:val="00255173"/>
    <w:rsid w:val="00255181"/>
    <w:rsid w:val="002551C0"/>
    <w:rsid w:val="002551E5"/>
    <w:rsid w:val="00255258"/>
    <w:rsid w:val="002552EA"/>
    <w:rsid w:val="002552F0"/>
    <w:rsid w:val="00255328"/>
    <w:rsid w:val="00255358"/>
    <w:rsid w:val="00255377"/>
    <w:rsid w:val="0025539F"/>
    <w:rsid w:val="002553C6"/>
    <w:rsid w:val="002553D3"/>
    <w:rsid w:val="002553EA"/>
    <w:rsid w:val="002553F9"/>
    <w:rsid w:val="0025557D"/>
    <w:rsid w:val="0025558A"/>
    <w:rsid w:val="00255610"/>
    <w:rsid w:val="002556B8"/>
    <w:rsid w:val="002556D5"/>
    <w:rsid w:val="0025572F"/>
    <w:rsid w:val="00255753"/>
    <w:rsid w:val="00255776"/>
    <w:rsid w:val="0025579A"/>
    <w:rsid w:val="002557BF"/>
    <w:rsid w:val="002557C2"/>
    <w:rsid w:val="002557D6"/>
    <w:rsid w:val="002557DE"/>
    <w:rsid w:val="002557F3"/>
    <w:rsid w:val="0025588D"/>
    <w:rsid w:val="002558A5"/>
    <w:rsid w:val="002558B6"/>
    <w:rsid w:val="002558CE"/>
    <w:rsid w:val="00255960"/>
    <w:rsid w:val="00255983"/>
    <w:rsid w:val="002559B8"/>
    <w:rsid w:val="00255A29"/>
    <w:rsid w:val="00255A34"/>
    <w:rsid w:val="00255A45"/>
    <w:rsid w:val="00255A4E"/>
    <w:rsid w:val="00255A77"/>
    <w:rsid w:val="00255A7F"/>
    <w:rsid w:val="00255A8C"/>
    <w:rsid w:val="00255A96"/>
    <w:rsid w:val="00255AB9"/>
    <w:rsid w:val="00255AE8"/>
    <w:rsid w:val="00255B4F"/>
    <w:rsid w:val="00255B56"/>
    <w:rsid w:val="00255B7D"/>
    <w:rsid w:val="00255B89"/>
    <w:rsid w:val="00255BE5"/>
    <w:rsid w:val="00255C1A"/>
    <w:rsid w:val="00255C2F"/>
    <w:rsid w:val="00255CA2"/>
    <w:rsid w:val="00255CDF"/>
    <w:rsid w:val="00255CE2"/>
    <w:rsid w:val="00255CF4"/>
    <w:rsid w:val="00255D02"/>
    <w:rsid w:val="00255E09"/>
    <w:rsid w:val="00255E46"/>
    <w:rsid w:val="00255E48"/>
    <w:rsid w:val="00255ECF"/>
    <w:rsid w:val="00255F03"/>
    <w:rsid w:val="00255F3E"/>
    <w:rsid w:val="00255FD5"/>
    <w:rsid w:val="00256015"/>
    <w:rsid w:val="00256065"/>
    <w:rsid w:val="00256086"/>
    <w:rsid w:val="00256093"/>
    <w:rsid w:val="002560E8"/>
    <w:rsid w:val="00256160"/>
    <w:rsid w:val="00256168"/>
    <w:rsid w:val="0025619C"/>
    <w:rsid w:val="002561C3"/>
    <w:rsid w:val="00256222"/>
    <w:rsid w:val="002562BE"/>
    <w:rsid w:val="002562C3"/>
    <w:rsid w:val="002563EA"/>
    <w:rsid w:val="00256472"/>
    <w:rsid w:val="002564DE"/>
    <w:rsid w:val="002564E0"/>
    <w:rsid w:val="00256582"/>
    <w:rsid w:val="0025665B"/>
    <w:rsid w:val="0025669A"/>
    <w:rsid w:val="002566C0"/>
    <w:rsid w:val="0025670D"/>
    <w:rsid w:val="0025676F"/>
    <w:rsid w:val="00256796"/>
    <w:rsid w:val="0025679A"/>
    <w:rsid w:val="002567E3"/>
    <w:rsid w:val="002567F9"/>
    <w:rsid w:val="002568BB"/>
    <w:rsid w:val="002568CA"/>
    <w:rsid w:val="00256986"/>
    <w:rsid w:val="002569AB"/>
    <w:rsid w:val="00256A0E"/>
    <w:rsid w:val="00256A3A"/>
    <w:rsid w:val="00256A90"/>
    <w:rsid w:val="00256AD1"/>
    <w:rsid w:val="00256B19"/>
    <w:rsid w:val="00256B53"/>
    <w:rsid w:val="00256B69"/>
    <w:rsid w:val="00256BD7"/>
    <w:rsid w:val="00256C61"/>
    <w:rsid w:val="00256C87"/>
    <w:rsid w:val="00256CA8"/>
    <w:rsid w:val="00256CAD"/>
    <w:rsid w:val="00256CBD"/>
    <w:rsid w:val="00256CBF"/>
    <w:rsid w:val="00256CC8"/>
    <w:rsid w:val="00256CD6"/>
    <w:rsid w:val="00256CDC"/>
    <w:rsid w:val="00256CEE"/>
    <w:rsid w:val="00256D3C"/>
    <w:rsid w:val="00256D52"/>
    <w:rsid w:val="00256D5E"/>
    <w:rsid w:val="00256DD5"/>
    <w:rsid w:val="00256DF0"/>
    <w:rsid w:val="00256E1A"/>
    <w:rsid w:val="00256E32"/>
    <w:rsid w:val="00256EAB"/>
    <w:rsid w:val="00256EC7"/>
    <w:rsid w:val="00256F08"/>
    <w:rsid w:val="00256F39"/>
    <w:rsid w:val="00256F46"/>
    <w:rsid w:val="00256F48"/>
    <w:rsid w:val="00256F93"/>
    <w:rsid w:val="00256FDB"/>
    <w:rsid w:val="00257016"/>
    <w:rsid w:val="0025703D"/>
    <w:rsid w:val="0025704B"/>
    <w:rsid w:val="00257062"/>
    <w:rsid w:val="0025707F"/>
    <w:rsid w:val="002570A2"/>
    <w:rsid w:val="002570C9"/>
    <w:rsid w:val="00257133"/>
    <w:rsid w:val="0025713C"/>
    <w:rsid w:val="00257143"/>
    <w:rsid w:val="00257144"/>
    <w:rsid w:val="00257149"/>
    <w:rsid w:val="00257153"/>
    <w:rsid w:val="0025718E"/>
    <w:rsid w:val="002571B0"/>
    <w:rsid w:val="0025721D"/>
    <w:rsid w:val="00257246"/>
    <w:rsid w:val="00257255"/>
    <w:rsid w:val="00257283"/>
    <w:rsid w:val="0025728C"/>
    <w:rsid w:val="002572C4"/>
    <w:rsid w:val="002572EA"/>
    <w:rsid w:val="002572FE"/>
    <w:rsid w:val="002572FF"/>
    <w:rsid w:val="0025738E"/>
    <w:rsid w:val="002573C3"/>
    <w:rsid w:val="002573FB"/>
    <w:rsid w:val="00257403"/>
    <w:rsid w:val="00257448"/>
    <w:rsid w:val="00257495"/>
    <w:rsid w:val="002574F0"/>
    <w:rsid w:val="00257517"/>
    <w:rsid w:val="0025753E"/>
    <w:rsid w:val="0025755F"/>
    <w:rsid w:val="00257568"/>
    <w:rsid w:val="00257580"/>
    <w:rsid w:val="00257589"/>
    <w:rsid w:val="00257629"/>
    <w:rsid w:val="002576AF"/>
    <w:rsid w:val="00257713"/>
    <w:rsid w:val="00257749"/>
    <w:rsid w:val="00257753"/>
    <w:rsid w:val="00257783"/>
    <w:rsid w:val="002577D8"/>
    <w:rsid w:val="002577E5"/>
    <w:rsid w:val="00257820"/>
    <w:rsid w:val="0025783B"/>
    <w:rsid w:val="00257854"/>
    <w:rsid w:val="0025787A"/>
    <w:rsid w:val="002578D1"/>
    <w:rsid w:val="0025791B"/>
    <w:rsid w:val="00257926"/>
    <w:rsid w:val="00257981"/>
    <w:rsid w:val="0025799C"/>
    <w:rsid w:val="002579BA"/>
    <w:rsid w:val="00257A76"/>
    <w:rsid w:val="00257ABC"/>
    <w:rsid w:val="00257ADD"/>
    <w:rsid w:val="00257B9C"/>
    <w:rsid w:val="00257BB6"/>
    <w:rsid w:val="00257BBD"/>
    <w:rsid w:val="00257C0E"/>
    <w:rsid w:val="00257C42"/>
    <w:rsid w:val="00257C4D"/>
    <w:rsid w:val="00257C51"/>
    <w:rsid w:val="00257C70"/>
    <w:rsid w:val="00257D01"/>
    <w:rsid w:val="00257D40"/>
    <w:rsid w:val="00257D57"/>
    <w:rsid w:val="00257D5B"/>
    <w:rsid w:val="00257E1E"/>
    <w:rsid w:val="00257E4A"/>
    <w:rsid w:val="00257EE3"/>
    <w:rsid w:val="00257EF7"/>
    <w:rsid w:val="00257F2F"/>
    <w:rsid w:val="00257FA5"/>
    <w:rsid w:val="0026001E"/>
    <w:rsid w:val="00260092"/>
    <w:rsid w:val="002600AB"/>
    <w:rsid w:val="002600C9"/>
    <w:rsid w:val="00260126"/>
    <w:rsid w:val="00260145"/>
    <w:rsid w:val="002601A6"/>
    <w:rsid w:val="002601B3"/>
    <w:rsid w:val="002601DF"/>
    <w:rsid w:val="002601EF"/>
    <w:rsid w:val="002601F1"/>
    <w:rsid w:val="00260206"/>
    <w:rsid w:val="00260247"/>
    <w:rsid w:val="00260260"/>
    <w:rsid w:val="0026027A"/>
    <w:rsid w:val="002602FD"/>
    <w:rsid w:val="00260341"/>
    <w:rsid w:val="00260349"/>
    <w:rsid w:val="00260359"/>
    <w:rsid w:val="0026040A"/>
    <w:rsid w:val="0026040E"/>
    <w:rsid w:val="0026058A"/>
    <w:rsid w:val="002605A7"/>
    <w:rsid w:val="002605AD"/>
    <w:rsid w:val="00260633"/>
    <w:rsid w:val="0026067F"/>
    <w:rsid w:val="00260695"/>
    <w:rsid w:val="002606A4"/>
    <w:rsid w:val="002606B4"/>
    <w:rsid w:val="0026071F"/>
    <w:rsid w:val="0026076E"/>
    <w:rsid w:val="002607C0"/>
    <w:rsid w:val="002607D3"/>
    <w:rsid w:val="00260893"/>
    <w:rsid w:val="002608BA"/>
    <w:rsid w:val="0026091E"/>
    <w:rsid w:val="0026092C"/>
    <w:rsid w:val="0026094A"/>
    <w:rsid w:val="0026096C"/>
    <w:rsid w:val="0026097F"/>
    <w:rsid w:val="00260991"/>
    <w:rsid w:val="00260998"/>
    <w:rsid w:val="002609EB"/>
    <w:rsid w:val="00260A0C"/>
    <w:rsid w:val="00260A90"/>
    <w:rsid w:val="00260AD8"/>
    <w:rsid w:val="00260B8B"/>
    <w:rsid w:val="00260B9A"/>
    <w:rsid w:val="00260BDE"/>
    <w:rsid w:val="00260BE1"/>
    <w:rsid w:val="00260C5D"/>
    <w:rsid w:val="00260C6C"/>
    <w:rsid w:val="00260C91"/>
    <w:rsid w:val="00260CBF"/>
    <w:rsid w:val="00260CCB"/>
    <w:rsid w:val="00260CCD"/>
    <w:rsid w:val="00260CD7"/>
    <w:rsid w:val="00260CF8"/>
    <w:rsid w:val="00260D0B"/>
    <w:rsid w:val="00260D95"/>
    <w:rsid w:val="00260DD4"/>
    <w:rsid w:val="00260DEF"/>
    <w:rsid w:val="00260E96"/>
    <w:rsid w:val="00260EB1"/>
    <w:rsid w:val="00260EEB"/>
    <w:rsid w:val="00260F55"/>
    <w:rsid w:val="00261003"/>
    <w:rsid w:val="0026102C"/>
    <w:rsid w:val="00261063"/>
    <w:rsid w:val="002610B4"/>
    <w:rsid w:val="002610D2"/>
    <w:rsid w:val="00261116"/>
    <w:rsid w:val="00261121"/>
    <w:rsid w:val="00261122"/>
    <w:rsid w:val="00261135"/>
    <w:rsid w:val="0026116A"/>
    <w:rsid w:val="002611B0"/>
    <w:rsid w:val="002611CF"/>
    <w:rsid w:val="002611F0"/>
    <w:rsid w:val="00261215"/>
    <w:rsid w:val="00261237"/>
    <w:rsid w:val="0026127C"/>
    <w:rsid w:val="00261283"/>
    <w:rsid w:val="002612B2"/>
    <w:rsid w:val="002612CD"/>
    <w:rsid w:val="002612FA"/>
    <w:rsid w:val="0026134E"/>
    <w:rsid w:val="00261391"/>
    <w:rsid w:val="002613DB"/>
    <w:rsid w:val="00261418"/>
    <w:rsid w:val="00261423"/>
    <w:rsid w:val="0026143A"/>
    <w:rsid w:val="0026149C"/>
    <w:rsid w:val="00261566"/>
    <w:rsid w:val="002615C6"/>
    <w:rsid w:val="00261669"/>
    <w:rsid w:val="00261675"/>
    <w:rsid w:val="0026167C"/>
    <w:rsid w:val="00261684"/>
    <w:rsid w:val="002616B3"/>
    <w:rsid w:val="002616B4"/>
    <w:rsid w:val="00261713"/>
    <w:rsid w:val="00261727"/>
    <w:rsid w:val="0026178B"/>
    <w:rsid w:val="002617AF"/>
    <w:rsid w:val="0026182F"/>
    <w:rsid w:val="00261842"/>
    <w:rsid w:val="0026187A"/>
    <w:rsid w:val="0026188D"/>
    <w:rsid w:val="002618D8"/>
    <w:rsid w:val="0026199B"/>
    <w:rsid w:val="002619A7"/>
    <w:rsid w:val="002619FE"/>
    <w:rsid w:val="00261A00"/>
    <w:rsid w:val="00261A84"/>
    <w:rsid w:val="00261A88"/>
    <w:rsid w:val="00261A99"/>
    <w:rsid w:val="00261AA8"/>
    <w:rsid w:val="00261AF8"/>
    <w:rsid w:val="00261B25"/>
    <w:rsid w:val="00261B34"/>
    <w:rsid w:val="00261B4B"/>
    <w:rsid w:val="00261BB6"/>
    <w:rsid w:val="00261BBA"/>
    <w:rsid w:val="00261BDC"/>
    <w:rsid w:val="00261C90"/>
    <w:rsid w:val="00261CAF"/>
    <w:rsid w:val="00261CD8"/>
    <w:rsid w:val="00261CEA"/>
    <w:rsid w:val="00261DA5"/>
    <w:rsid w:val="00261E70"/>
    <w:rsid w:val="00261E7B"/>
    <w:rsid w:val="00261E90"/>
    <w:rsid w:val="00261EC6"/>
    <w:rsid w:val="00261ED1"/>
    <w:rsid w:val="00261EFA"/>
    <w:rsid w:val="00261F27"/>
    <w:rsid w:val="00261F39"/>
    <w:rsid w:val="00261F5C"/>
    <w:rsid w:val="00261F5D"/>
    <w:rsid w:val="00261FA9"/>
    <w:rsid w:val="00261FC9"/>
    <w:rsid w:val="00261FDE"/>
    <w:rsid w:val="00262055"/>
    <w:rsid w:val="00262068"/>
    <w:rsid w:val="0026206A"/>
    <w:rsid w:val="00262180"/>
    <w:rsid w:val="00262198"/>
    <w:rsid w:val="002621A6"/>
    <w:rsid w:val="002621C6"/>
    <w:rsid w:val="0026222F"/>
    <w:rsid w:val="0026223A"/>
    <w:rsid w:val="00262267"/>
    <w:rsid w:val="00262288"/>
    <w:rsid w:val="002622A2"/>
    <w:rsid w:val="002622C8"/>
    <w:rsid w:val="00262349"/>
    <w:rsid w:val="00262358"/>
    <w:rsid w:val="002623CF"/>
    <w:rsid w:val="002623E3"/>
    <w:rsid w:val="00262436"/>
    <w:rsid w:val="00262458"/>
    <w:rsid w:val="00262466"/>
    <w:rsid w:val="00262469"/>
    <w:rsid w:val="002624E1"/>
    <w:rsid w:val="002624E9"/>
    <w:rsid w:val="0026253E"/>
    <w:rsid w:val="002625BA"/>
    <w:rsid w:val="002625D4"/>
    <w:rsid w:val="002625D5"/>
    <w:rsid w:val="0026278B"/>
    <w:rsid w:val="002627E9"/>
    <w:rsid w:val="00262800"/>
    <w:rsid w:val="00262851"/>
    <w:rsid w:val="0026285D"/>
    <w:rsid w:val="002628BF"/>
    <w:rsid w:val="002628C3"/>
    <w:rsid w:val="002628C7"/>
    <w:rsid w:val="002628CB"/>
    <w:rsid w:val="002628D4"/>
    <w:rsid w:val="002628F6"/>
    <w:rsid w:val="0026291D"/>
    <w:rsid w:val="00262925"/>
    <w:rsid w:val="00262934"/>
    <w:rsid w:val="0026297D"/>
    <w:rsid w:val="002629E6"/>
    <w:rsid w:val="002629EC"/>
    <w:rsid w:val="00262A40"/>
    <w:rsid w:val="00262A7B"/>
    <w:rsid w:val="00262AB7"/>
    <w:rsid w:val="00262B54"/>
    <w:rsid w:val="00262B9A"/>
    <w:rsid w:val="00262BDE"/>
    <w:rsid w:val="00262BE4"/>
    <w:rsid w:val="00262C3A"/>
    <w:rsid w:val="00262C66"/>
    <w:rsid w:val="00262C8E"/>
    <w:rsid w:val="00262C99"/>
    <w:rsid w:val="00262CD2"/>
    <w:rsid w:val="00262CE1"/>
    <w:rsid w:val="00262D28"/>
    <w:rsid w:val="00262D32"/>
    <w:rsid w:val="00262D8A"/>
    <w:rsid w:val="00262DB4"/>
    <w:rsid w:val="00262E5D"/>
    <w:rsid w:val="00262E9E"/>
    <w:rsid w:val="00262EB2"/>
    <w:rsid w:val="00262F8A"/>
    <w:rsid w:val="0026300E"/>
    <w:rsid w:val="0026300F"/>
    <w:rsid w:val="00263024"/>
    <w:rsid w:val="00263040"/>
    <w:rsid w:val="0026305A"/>
    <w:rsid w:val="0026307D"/>
    <w:rsid w:val="0026309F"/>
    <w:rsid w:val="002630B5"/>
    <w:rsid w:val="00263164"/>
    <w:rsid w:val="0026316C"/>
    <w:rsid w:val="002631D2"/>
    <w:rsid w:val="002631EA"/>
    <w:rsid w:val="00263202"/>
    <w:rsid w:val="00263212"/>
    <w:rsid w:val="0026324F"/>
    <w:rsid w:val="002632EF"/>
    <w:rsid w:val="00263355"/>
    <w:rsid w:val="00263382"/>
    <w:rsid w:val="002633B8"/>
    <w:rsid w:val="002633BF"/>
    <w:rsid w:val="002633F7"/>
    <w:rsid w:val="0026340D"/>
    <w:rsid w:val="0026341A"/>
    <w:rsid w:val="00263438"/>
    <w:rsid w:val="0026348F"/>
    <w:rsid w:val="00263510"/>
    <w:rsid w:val="00263593"/>
    <w:rsid w:val="002635AC"/>
    <w:rsid w:val="002635B6"/>
    <w:rsid w:val="002635F9"/>
    <w:rsid w:val="00263607"/>
    <w:rsid w:val="00263625"/>
    <w:rsid w:val="002636E6"/>
    <w:rsid w:val="0026371F"/>
    <w:rsid w:val="00263733"/>
    <w:rsid w:val="00263744"/>
    <w:rsid w:val="0026376E"/>
    <w:rsid w:val="002637AE"/>
    <w:rsid w:val="002637FE"/>
    <w:rsid w:val="00263871"/>
    <w:rsid w:val="00263872"/>
    <w:rsid w:val="00263874"/>
    <w:rsid w:val="00263884"/>
    <w:rsid w:val="00263894"/>
    <w:rsid w:val="002638CE"/>
    <w:rsid w:val="002638F1"/>
    <w:rsid w:val="002639A0"/>
    <w:rsid w:val="002639B8"/>
    <w:rsid w:val="002639EC"/>
    <w:rsid w:val="002639FE"/>
    <w:rsid w:val="00263A81"/>
    <w:rsid w:val="00263AB3"/>
    <w:rsid w:val="00263AD7"/>
    <w:rsid w:val="00263B8D"/>
    <w:rsid w:val="00263BB1"/>
    <w:rsid w:val="00263BEC"/>
    <w:rsid w:val="00263D0E"/>
    <w:rsid w:val="00263D1C"/>
    <w:rsid w:val="00263D29"/>
    <w:rsid w:val="00263DF7"/>
    <w:rsid w:val="00263E27"/>
    <w:rsid w:val="00263E2E"/>
    <w:rsid w:val="00263E42"/>
    <w:rsid w:val="00263E80"/>
    <w:rsid w:val="00263EB0"/>
    <w:rsid w:val="00263ED4"/>
    <w:rsid w:val="00263F02"/>
    <w:rsid w:val="00263F1A"/>
    <w:rsid w:val="00263F1D"/>
    <w:rsid w:val="00263F48"/>
    <w:rsid w:val="00263F65"/>
    <w:rsid w:val="00263F70"/>
    <w:rsid w:val="00263FE1"/>
    <w:rsid w:val="00263FED"/>
    <w:rsid w:val="0026403B"/>
    <w:rsid w:val="002640A9"/>
    <w:rsid w:val="002640AB"/>
    <w:rsid w:val="002640E1"/>
    <w:rsid w:val="002640F5"/>
    <w:rsid w:val="00264147"/>
    <w:rsid w:val="0026414D"/>
    <w:rsid w:val="0026418D"/>
    <w:rsid w:val="00264271"/>
    <w:rsid w:val="002642FE"/>
    <w:rsid w:val="00264300"/>
    <w:rsid w:val="0026432A"/>
    <w:rsid w:val="00264337"/>
    <w:rsid w:val="0026433E"/>
    <w:rsid w:val="00264394"/>
    <w:rsid w:val="002643B3"/>
    <w:rsid w:val="002643E5"/>
    <w:rsid w:val="00264421"/>
    <w:rsid w:val="00264422"/>
    <w:rsid w:val="0026447B"/>
    <w:rsid w:val="002644DD"/>
    <w:rsid w:val="0026451D"/>
    <w:rsid w:val="00264581"/>
    <w:rsid w:val="00264649"/>
    <w:rsid w:val="002646BB"/>
    <w:rsid w:val="0026473C"/>
    <w:rsid w:val="0026476B"/>
    <w:rsid w:val="00264797"/>
    <w:rsid w:val="002647DA"/>
    <w:rsid w:val="0026480D"/>
    <w:rsid w:val="0026481B"/>
    <w:rsid w:val="002648A7"/>
    <w:rsid w:val="002648B3"/>
    <w:rsid w:val="002648C5"/>
    <w:rsid w:val="00264912"/>
    <w:rsid w:val="0026497A"/>
    <w:rsid w:val="0026497C"/>
    <w:rsid w:val="002649ED"/>
    <w:rsid w:val="00264A19"/>
    <w:rsid w:val="00264A4C"/>
    <w:rsid w:val="00264A57"/>
    <w:rsid w:val="00264AA3"/>
    <w:rsid w:val="00264ADF"/>
    <w:rsid w:val="00264AEA"/>
    <w:rsid w:val="00264AFF"/>
    <w:rsid w:val="00264B73"/>
    <w:rsid w:val="00264B7C"/>
    <w:rsid w:val="00264BBC"/>
    <w:rsid w:val="00264C5D"/>
    <w:rsid w:val="00264D3C"/>
    <w:rsid w:val="00264D7D"/>
    <w:rsid w:val="00264DBE"/>
    <w:rsid w:val="00264DC7"/>
    <w:rsid w:val="00264DD2"/>
    <w:rsid w:val="00264DDE"/>
    <w:rsid w:val="00264E01"/>
    <w:rsid w:val="00264E81"/>
    <w:rsid w:val="00264E96"/>
    <w:rsid w:val="00264F41"/>
    <w:rsid w:val="00264F67"/>
    <w:rsid w:val="00264FAA"/>
    <w:rsid w:val="00264FBE"/>
    <w:rsid w:val="00264FED"/>
    <w:rsid w:val="00264FF8"/>
    <w:rsid w:val="00264FFD"/>
    <w:rsid w:val="00265050"/>
    <w:rsid w:val="0026505F"/>
    <w:rsid w:val="00265071"/>
    <w:rsid w:val="00265111"/>
    <w:rsid w:val="0026511E"/>
    <w:rsid w:val="00265169"/>
    <w:rsid w:val="002651D4"/>
    <w:rsid w:val="002651E4"/>
    <w:rsid w:val="00265241"/>
    <w:rsid w:val="00265244"/>
    <w:rsid w:val="00265253"/>
    <w:rsid w:val="00265254"/>
    <w:rsid w:val="0026525D"/>
    <w:rsid w:val="0026525F"/>
    <w:rsid w:val="002652BF"/>
    <w:rsid w:val="002652D0"/>
    <w:rsid w:val="002652FB"/>
    <w:rsid w:val="00265308"/>
    <w:rsid w:val="00265319"/>
    <w:rsid w:val="0026534A"/>
    <w:rsid w:val="00265389"/>
    <w:rsid w:val="0026542D"/>
    <w:rsid w:val="00265498"/>
    <w:rsid w:val="002654A8"/>
    <w:rsid w:val="002654D4"/>
    <w:rsid w:val="0026552F"/>
    <w:rsid w:val="0026553D"/>
    <w:rsid w:val="002655E1"/>
    <w:rsid w:val="002655F3"/>
    <w:rsid w:val="0026560E"/>
    <w:rsid w:val="00265615"/>
    <w:rsid w:val="00265648"/>
    <w:rsid w:val="0026565F"/>
    <w:rsid w:val="002656B8"/>
    <w:rsid w:val="002656E1"/>
    <w:rsid w:val="00265712"/>
    <w:rsid w:val="00265730"/>
    <w:rsid w:val="00265771"/>
    <w:rsid w:val="002657FE"/>
    <w:rsid w:val="0026581C"/>
    <w:rsid w:val="00265887"/>
    <w:rsid w:val="00265990"/>
    <w:rsid w:val="00265999"/>
    <w:rsid w:val="002659D5"/>
    <w:rsid w:val="002659E1"/>
    <w:rsid w:val="002659EB"/>
    <w:rsid w:val="00265AE3"/>
    <w:rsid w:val="00265B6B"/>
    <w:rsid w:val="00265B6F"/>
    <w:rsid w:val="00265C5E"/>
    <w:rsid w:val="00265C60"/>
    <w:rsid w:val="00265CED"/>
    <w:rsid w:val="00265D12"/>
    <w:rsid w:val="00265D2B"/>
    <w:rsid w:val="00265D3B"/>
    <w:rsid w:val="00265D70"/>
    <w:rsid w:val="00265D7D"/>
    <w:rsid w:val="00265DF4"/>
    <w:rsid w:val="00265DFE"/>
    <w:rsid w:val="00265E20"/>
    <w:rsid w:val="00265E68"/>
    <w:rsid w:val="00265EB8"/>
    <w:rsid w:val="00265ED2"/>
    <w:rsid w:val="00265EF4"/>
    <w:rsid w:val="00265EF5"/>
    <w:rsid w:val="00265F1F"/>
    <w:rsid w:val="00265F34"/>
    <w:rsid w:val="00265F46"/>
    <w:rsid w:val="00265F63"/>
    <w:rsid w:val="00265F69"/>
    <w:rsid w:val="00265FA1"/>
    <w:rsid w:val="00266042"/>
    <w:rsid w:val="00266084"/>
    <w:rsid w:val="0026608A"/>
    <w:rsid w:val="002660AA"/>
    <w:rsid w:val="002660C7"/>
    <w:rsid w:val="002660D5"/>
    <w:rsid w:val="002660E4"/>
    <w:rsid w:val="00266131"/>
    <w:rsid w:val="00266161"/>
    <w:rsid w:val="00266212"/>
    <w:rsid w:val="00266243"/>
    <w:rsid w:val="002662A9"/>
    <w:rsid w:val="002662C5"/>
    <w:rsid w:val="0026633C"/>
    <w:rsid w:val="00266368"/>
    <w:rsid w:val="002663BA"/>
    <w:rsid w:val="002663D5"/>
    <w:rsid w:val="00266412"/>
    <w:rsid w:val="00266441"/>
    <w:rsid w:val="0026647D"/>
    <w:rsid w:val="002664AD"/>
    <w:rsid w:val="00266504"/>
    <w:rsid w:val="0026651A"/>
    <w:rsid w:val="00266562"/>
    <w:rsid w:val="002665D2"/>
    <w:rsid w:val="002665DA"/>
    <w:rsid w:val="002665DE"/>
    <w:rsid w:val="0026665A"/>
    <w:rsid w:val="00266661"/>
    <w:rsid w:val="00266673"/>
    <w:rsid w:val="0026668A"/>
    <w:rsid w:val="002666A1"/>
    <w:rsid w:val="002666D2"/>
    <w:rsid w:val="0026670C"/>
    <w:rsid w:val="00266733"/>
    <w:rsid w:val="00266750"/>
    <w:rsid w:val="00266760"/>
    <w:rsid w:val="00266763"/>
    <w:rsid w:val="00266790"/>
    <w:rsid w:val="002667AA"/>
    <w:rsid w:val="002667B9"/>
    <w:rsid w:val="002667BF"/>
    <w:rsid w:val="002667D0"/>
    <w:rsid w:val="00266820"/>
    <w:rsid w:val="00266834"/>
    <w:rsid w:val="0026684A"/>
    <w:rsid w:val="0026685C"/>
    <w:rsid w:val="00266868"/>
    <w:rsid w:val="0026686C"/>
    <w:rsid w:val="00266879"/>
    <w:rsid w:val="00266951"/>
    <w:rsid w:val="00266979"/>
    <w:rsid w:val="002669E5"/>
    <w:rsid w:val="00266A01"/>
    <w:rsid w:val="00266A93"/>
    <w:rsid w:val="00266AC8"/>
    <w:rsid w:val="00266B04"/>
    <w:rsid w:val="00266B07"/>
    <w:rsid w:val="00266B0E"/>
    <w:rsid w:val="00266B83"/>
    <w:rsid w:val="00266B84"/>
    <w:rsid w:val="00266B8B"/>
    <w:rsid w:val="00266B94"/>
    <w:rsid w:val="00266BE0"/>
    <w:rsid w:val="00266BEF"/>
    <w:rsid w:val="00266CA9"/>
    <w:rsid w:val="00266CAB"/>
    <w:rsid w:val="00266CAD"/>
    <w:rsid w:val="00266CD3"/>
    <w:rsid w:val="00266CE8"/>
    <w:rsid w:val="00266D62"/>
    <w:rsid w:val="00266D95"/>
    <w:rsid w:val="00266D98"/>
    <w:rsid w:val="00266DAC"/>
    <w:rsid w:val="00266E0E"/>
    <w:rsid w:val="00266E37"/>
    <w:rsid w:val="00266E78"/>
    <w:rsid w:val="00266E9B"/>
    <w:rsid w:val="00266EAF"/>
    <w:rsid w:val="00266EDE"/>
    <w:rsid w:val="00266FFF"/>
    <w:rsid w:val="00267037"/>
    <w:rsid w:val="00267044"/>
    <w:rsid w:val="00267055"/>
    <w:rsid w:val="002670C6"/>
    <w:rsid w:val="002670D6"/>
    <w:rsid w:val="0026710C"/>
    <w:rsid w:val="002671D8"/>
    <w:rsid w:val="002672C1"/>
    <w:rsid w:val="002672DA"/>
    <w:rsid w:val="002672F0"/>
    <w:rsid w:val="00267309"/>
    <w:rsid w:val="00267326"/>
    <w:rsid w:val="00267366"/>
    <w:rsid w:val="00267372"/>
    <w:rsid w:val="00267378"/>
    <w:rsid w:val="0026739B"/>
    <w:rsid w:val="0026740C"/>
    <w:rsid w:val="00267422"/>
    <w:rsid w:val="00267444"/>
    <w:rsid w:val="00267452"/>
    <w:rsid w:val="00267516"/>
    <w:rsid w:val="0026753B"/>
    <w:rsid w:val="0026757D"/>
    <w:rsid w:val="00267614"/>
    <w:rsid w:val="00267638"/>
    <w:rsid w:val="0026763E"/>
    <w:rsid w:val="0026765B"/>
    <w:rsid w:val="00267697"/>
    <w:rsid w:val="0026769B"/>
    <w:rsid w:val="002676A9"/>
    <w:rsid w:val="002676E6"/>
    <w:rsid w:val="00267711"/>
    <w:rsid w:val="00267758"/>
    <w:rsid w:val="0026779A"/>
    <w:rsid w:val="0026779D"/>
    <w:rsid w:val="0026779F"/>
    <w:rsid w:val="002678AD"/>
    <w:rsid w:val="002678C3"/>
    <w:rsid w:val="002678F7"/>
    <w:rsid w:val="00267917"/>
    <w:rsid w:val="00267A19"/>
    <w:rsid w:val="00267A28"/>
    <w:rsid w:val="00267A3D"/>
    <w:rsid w:val="00267A45"/>
    <w:rsid w:val="00267A61"/>
    <w:rsid w:val="00267A81"/>
    <w:rsid w:val="00267AA3"/>
    <w:rsid w:val="00267AEA"/>
    <w:rsid w:val="00267B0B"/>
    <w:rsid w:val="00267B19"/>
    <w:rsid w:val="00267B5E"/>
    <w:rsid w:val="00267BBF"/>
    <w:rsid w:val="00267BD9"/>
    <w:rsid w:val="00267C41"/>
    <w:rsid w:val="00267C4F"/>
    <w:rsid w:val="00267C62"/>
    <w:rsid w:val="00267C63"/>
    <w:rsid w:val="00267CB3"/>
    <w:rsid w:val="00267CC7"/>
    <w:rsid w:val="00267CDD"/>
    <w:rsid w:val="00267D07"/>
    <w:rsid w:val="00267D27"/>
    <w:rsid w:val="00267D93"/>
    <w:rsid w:val="00267D9C"/>
    <w:rsid w:val="00267DFB"/>
    <w:rsid w:val="00267EE3"/>
    <w:rsid w:val="00267F1F"/>
    <w:rsid w:val="00267F31"/>
    <w:rsid w:val="00267F35"/>
    <w:rsid w:val="00267F5B"/>
    <w:rsid w:val="00267F9D"/>
    <w:rsid w:val="00267FCE"/>
    <w:rsid w:val="00270006"/>
    <w:rsid w:val="00270043"/>
    <w:rsid w:val="00270051"/>
    <w:rsid w:val="0027019C"/>
    <w:rsid w:val="0027019D"/>
    <w:rsid w:val="002701C3"/>
    <w:rsid w:val="002701D2"/>
    <w:rsid w:val="00270200"/>
    <w:rsid w:val="00270213"/>
    <w:rsid w:val="002702DF"/>
    <w:rsid w:val="00270376"/>
    <w:rsid w:val="00270380"/>
    <w:rsid w:val="00270381"/>
    <w:rsid w:val="0027038F"/>
    <w:rsid w:val="00270455"/>
    <w:rsid w:val="00270458"/>
    <w:rsid w:val="0027049C"/>
    <w:rsid w:val="002704C2"/>
    <w:rsid w:val="002704F1"/>
    <w:rsid w:val="00270512"/>
    <w:rsid w:val="0027053E"/>
    <w:rsid w:val="0027055C"/>
    <w:rsid w:val="00270572"/>
    <w:rsid w:val="002705E9"/>
    <w:rsid w:val="00270678"/>
    <w:rsid w:val="00270696"/>
    <w:rsid w:val="002706CA"/>
    <w:rsid w:val="002706E0"/>
    <w:rsid w:val="002706FD"/>
    <w:rsid w:val="00270703"/>
    <w:rsid w:val="00270729"/>
    <w:rsid w:val="00270748"/>
    <w:rsid w:val="00270761"/>
    <w:rsid w:val="002707C0"/>
    <w:rsid w:val="002707D2"/>
    <w:rsid w:val="00270821"/>
    <w:rsid w:val="0027082C"/>
    <w:rsid w:val="00270854"/>
    <w:rsid w:val="00270879"/>
    <w:rsid w:val="002708CA"/>
    <w:rsid w:val="00270935"/>
    <w:rsid w:val="00270975"/>
    <w:rsid w:val="00270995"/>
    <w:rsid w:val="002709EA"/>
    <w:rsid w:val="00270A1D"/>
    <w:rsid w:val="00270A84"/>
    <w:rsid w:val="00270AAB"/>
    <w:rsid w:val="00270AD1"/>
    <w:rsid w:val="00270ADF"/>
    <w:rsid w:val="00270AFD"/>
    <w:rsid w:val="00270B53"/>
    <w:rsid w:val="00270B81"/>
    <w:rsid w:val="00270BB6"/>
    <w:rsid w:val="00270BEC"/>
    <w:rsid w:val="00270BF6"/>
    <w:rsid w:val="00270C2C"/>
    <w:rsid w:val="00270C39"/>
    <w:rsid w:val="00270C8E"/>
    <w:rsid w:val="00270C92"/>
    <w:rsid w:val="00270CF6"/>
    <w:rsid w:val="00270D19"/>
    <w:rsid w:val="00270DCB"/>
    <w:rsid w:val="00270E53"/>
    <w:rsid w:val="00270E8D"/>
    <w:rsid w:val="00270EB7"/>
    <w:rsid w:val="00270ED6"/>
    <w:rsid w:val="00270EFF"/>
    <w:rsid w:val="00270F11"/>
    <w:rsid w:val="00270F5C"/>
    <w:rsid w:val="00270F9C"/>
    <w:rsid w:val="00270FEC"/>
    <w:rsid w:val="0027101A"/>
    <w:rsid w:val="00271035"/>
    <w:rsid w:val="0027108E"/>
    <w:rsid w:val="0027109D"/>
    <w:rsid w:val="002710BC"/>
    <w:rsid w:val="00271121"/>
    <w:rsid w:val="00271166"/>
    <w:rsid w:val="002711D5"/>
    <w:rsid w:val="002711D9"/>
    <w:rsid w:val="002711F3"/>
    <w:rsid w:val="00271202"/>
    <w:rsid w:val="00271212"/>
    <w:rsid w:val="00271270"/>
    <w:rsid w:val="00271332"/>
    <w:rsid w:val="00271365"/>
    <w:rsid w:val="00271370"/>
    <w:rsid w:val="0027139F"/>
    <w:rsid w:val="002713A5"/>
    <w:rsid w:val="002713DC"/>
    <w:rsid w:val="0027146A"/>
    <w:rsid w:val="0027146B"/>
    <w:rsid w:val="0027147B"/>
    <w:rsid w:val="0027153A"/>
    <w:rsid w:val="00271573"/>
    <w:rsid w:val="002715B4"/>
    <w:rsid w:val="002715B9"/>
    <w:rsid w:val="002715BD"/>
    <w:rsid w:val="002715D4"/>
    <w:rsid w:val="0027178B"/>
    <w:rsid w:val="002717FD"/>
    <w:rsid w:val="00271807"/>
    <w:rsid w:val="002718A3"/>
    <w:rsid w:val="002718E7"/>
    <w:rsid w:val="00271994"/>
    <w:rsid w:val="00271996"/>
    <w:rsid w:val="002719BE"/>
    <w:rsid w:val="002719CF"/>
    <w:rsid w:val="002719F0"/>
    <w:rsid w:val="00271A09"/>
    <w:rsid w:val="00271A15"/>
    <w:rsid w:val="00271A26"/>
    <w:rsid w:val="00271A85"/>
    <w:rsid w:val="00271A9D"/>
    <w:rsid w:val="00271AD6"/>
    <w:rsid w:val="00271B1D"/>
    <w:rsid w:val="00271B6E"/>
    <w:rsid w:val="00271BB5"/>
    <w:rsid w:val="00271BCB"/>
    <w:rsid w:val="00271BEF"/>
    <w:rsid w:val="00271C64"/>
    <w:rsid w:val="00271C78"/>
    <w:rsid w:val="00271C92"/>
    <w:rsid w:val="00271CA3"/>
    <w:rsid w:val="00271D45"/>
    <w:rsid w:val="00271DF8"/>
    <w:rsid w:val="00271E3F"/>
    <w:rsid w:val="00271E40"/>
    <w:rsid w:val="00271F0C"/>
    <w:rsid w:val="00271F11"/>
    <w:rsid w:val="00271F6C"/>
    <w:rsid w:val="00271FCC"/>
    <w:rsid w:val="002720AE"/>
    <w:rsid w:val="002720D5"/>
    <w:rsid w:val="002720DE"/>
    <w:rsid w:val="00272179"/>
    <w:rsid w:val="002721BE"/>
    <w:rsid w:val="002721BF"/>
    <w:rsid w:val="002721DD"/>
    <w:rsid w:val="0027224B"/>
    <w:rsid w:val="002722CB"/>
    <w:rsid w:val="002722DB"/>
    <w:rsid w:val="00272326"/>
    <w:rsid w:val="00272380"/>
    <w:rsid w:val="00272394"/>
    <w:rsid w:val="0027239F"/>
    <w:rsid w:val="002723A8"/>
    <w:rsid w:val="00272420"/>
    <w:rsid w:val="00272470"/>
    <w:rsid w:val="00272474"/>
    <w:rsid w:val="0027249A"/>
    <w:rsid w:val="002724AE"/>
    <w:rsid w:val="002724B8"/>
    <w:rsid w:val="00272507"/>
    <w:rsid w:val="00272536"/>
    <w:rsid w:val="0027255D"/>
    <w:rsid w:val="00272578"/>
    <w:rsid w:val="002725F1"/>
    <w:rsid w:val="0027269C"/>
    <w:rsid w:val="002726C7"/>
    <w:rsid w:val="00272714"/>
    <w:rsid w:val="002727C2"/>
    <w:rsid w:val="002727DC"/>
    <w:rsid w:val="0027280D"/>
    <w:rsid w:val="0027285E"/>
    <w:rsid w:val="00272886"/>
    <w:rsid w:val="00272908"/>
    <w:rsid w:val="0027292C"/>
    <w:rsid w:val="0027294B"/>
    <w:rsid w:val="00272A25"/>
    <w:rsid w:val="00272A83"/>
    <w:rsid w:val="00272A90"/>
    <w:rsid w:val="00272AD4"/>
    <w:rsid w:val="00272B36"/>
    <w:rsid w:val="00272B43"/>
    <w:rsid w:val="00272B8C"/>
    <w:rsid w:val="00272C5E"/>
    <w:rsid w:val="00272C65"/>
    <w:rsid w:val="00272D08"/>
    <w:rsid w:val="00272D17"/>
    <w:rsid w:val="00272D47"/>
    <w:rsid w:val="00272D5B"/>
    <w:rsid w:val="00272DC5"/>
    <w:rsid w:val="00272DF1"/>
    <w:rsid w:val="00272DF3"/>
    <w:rsid w:val="00272E40"/>
    <w:rsid w:val="00272E41"/>
    <w:rsid w:val="00272EA5"/>
    <w:rsid w:val="00272EBA"/>
    <w:rsid w:val="00272EDE"/>
    <w:rsid w:val="00272F1F"/>
    <w:rsid w:val="00272F26"/>
    <w:rsid w:val="00272F6E"/>
    <w:rsid w:val="00272F93"/>
    <w:rsid w:val="00272FB0"/>
    <w:rsid w:val="00273035"/>
    <w:rsid w:val="002730AC"/>
    <w:rsid w:val="002730BF"/>
    <w:rsid w:val="002730D2"/>
    <w:rsid w:val="002730E0"/>
    <w:rsid w:val="002730F8"/>
    <w:rsid w:val="0027314D"/>
    <w:rsid w:val="00273175"/>
    <w:rsid w:val="00273187"/>
    <w:rsid w:val="002731F0"/>
    <w:rsid w:val="00273296"/>
    <w:rsid w:val="0027329D"/>
    <w:rsid w:val="002732CC"/>
    <w:rsid w:val="0027334F"/>
    <w:rsid w:val="002733B2"/>
    <w:rsid w:val="002733C8"/>
    <w:rsid w:val="002733F5"/>
    <w:rsid w:val="0027343B"/>
    <w:rsid w:val="002734B5"/>
    <w:rsid w:val="002734EE"/>
    <w:rsid w:val="0027350B"/>
    <w:rsid w:val="0027351E"/>
    <w:rsid w:val="00273527"/>
    <w:rsid w:val="0027352C"/>
    <w:rsid w:val="00273531"/>
    <w:rsid w:val="00273583"/>
    <w:rsid w:val="002735B3"/>
    <w:rsid w:val="002735DA"/>
    <w:rsid w:val="0027368C"/>
    <w:rsid w:val="00273694"/>
    <w:rsid w:val="002736AF"/>
    <w:rsid w:val="002736E4"/>
    <w:rsid w:val="0027371C"/>
    <w:rsid w:val="0027372C"/>
    <w:rsid w:val="0027377F"/>
    <w:rsid w:val="002737B3"/>
    <w:rsid w:val="00273806"/>
    <w:rsid w:val="0027387F"/>
    <w:rsid w:val="00273944"/>
    <w:rsid w:val="0027394F"/>
    <w:rsid w:val="002739AE"/>
    <w:rsid w:val="002739BE"/>
    <w:rsid w:val="002739D6"/>
    <w:rsid w:val="00273A4C"/>
    <w:rsid w:val="00273A69"/>
    <w:rsid w:val="00273AA6"/>
    <w:rsid w:val="00273AF1"/>
    <w:rsid w:val="00273BD7"/>
    <w:rsid w:val="00273C2E"/>
    <w:rsid w:val="00273C6B"/>
    <w:rsid w:val="00273C7D"/>
    <w:rsid w:val="00273D54"/>
    <w:rsid w:val="00273D71"/>
    <w:rsid w:val="00273DBE"/>
    <w:rsid w:val="00273DE1"/>
    <w:rsid w:val="00273DFE"/>
    <w:rsid w:val="00273E03"/>
    <w:rsid w:val="00273E27"/>
    <w:rsid w:val="00273E35"/>
    <w:rsid w:val="00273E61"/>
    <w:rsid w:val="00273E6C"/>
    <w:rsid w:val="00273EC9"/>
    <w:rsid w:val="00273EEE"/>
    <w:rsid w:val="00273EFA"/>
    <w:rsid w:val="00273F15"/>
    <w:rsid w:val="00273FF1"/>
    <w:rsid w:val="00273FFF"/>
    <w:rsid w:val="00274090"/>
    <w:rsid w:val="002740A4"/>
    <w:rsid w:val="002740AB"/>
    <w:rsid w:val="002740C2"/>
    <w:rsid w:val="002740ED"/>
    <w:rsid w:val="00274140"/>
    <w:rsid w:val="00274142"/>
    <w:rsid w:val="00274147"/>
    <w:rsid w:val="0027415F"/>
    <w:rsid w:val="00274162"/>
    <w:rsid w:val="0027423B"/>
    <w:rsid w:val="00274262"/>
    <w:rsid w:val="00274278"/>
    <w:rsid w:val="00274292"/>
    <w:rsid w:val="00274350"/>
    <w:rsid w:val="00274353"/>
    <w:rsid w:val="0027436E"/>
    <w:rsid w:val="00274381"/>
    <w:rsid w:val="00274392"/>
    <w:rsid w:val="00274393"/>
    <w:rsid w:val="002743B2"/>
    <w:rsid w:val="002743D4"/>
    <w:rsid w:val="002743DF"/>
    <w:rsid w:val="002743F1"/>
    <w:rsid w:val="002743F2"/>
    <w:rsid w:val="00274443"/>
    <w:rsid w:val="0027444F"/>
    <w:rsid w:val="0027447E"/>
    <w:rsid w:val="002744A5"/>
    <w:rsid w:val="002744AE"/>
    <w:rsid w:val="002744BE"/>
    <w:rsid w:val="002744CE"/>
    <w:rsid w:val="0027458F"/>
    <w:rsid w:val="002745B3"/>
    <w:rsid w:val="0027461A"/>
    <w:rsid w:val="00274622"/>
    <w:rsid w:val="00274636"/>
    <w:rsid w:val="00274648"/>
    <w:rsid w:val="0027466A"/>
    <w:rsid w:val="00274747"/>
    <w:rsid w:val="0027474A"/>
    <w:rsid w:val="00274821"/>
    <w:rsid w:val="0027488F"/>
    <w:rsid w:val="002748AE"/>
    <w:rsid w:val="002748C2"/>
    <w:rsid w:val="002748EE"/>
    <w:rsid w:val="0027492F"/>
    <w:rsid w:val="0027495E"/>
    <w:rsid w:val="00274980"/>
    <w:rsid w:val="00274A05"/>
    <w:rsid w:val="00274A21"/>
    <w:rsid w:val="00274A5D"/>
    <w:rsid w:val="00274A6A"/>
    <w:rsid w:val="00274AB0"/>
    <w:rsid w:val="00274AB7"/>
    <w:rsid w:val="00274ADC"/>
    <w:rsid w:val="00274AF0"/>
    <w:rsid w:val="00274AFF"/>
    <w:rsid w:val="00274B0D"/>
    <w:rsid w:val="00274B35"/>
    <w:rsid w:val="00274B86"/>
    <w:rsid w:val="00274C12"/>
    <w:rsid w:val="00274C46"/>
    <w:rsid w:val="00274C47"/>
    <w:rsid w:val="00274C5D"/>
    <w:rsid w:val="00274CBA"/>
    <w:rsid w:val="00274CDA"/>
    <w:rsid w:val="00274DE4"/>
    <w:rsid w:val="00274DEB"/>
    <w:rsid w:val="00274DF1"/>
    <w:rsid w:val="00274E1B"/>
    <w:rsid w:val="00274E94"/>
    <w:rsid w:val="00274EA3"/>
    <w:rsid w:val="00274EA7"/>
    <w:rsid w:val="00274F16"/>
    <w:rsid w:val="00274F1A"/>
    <w:rsid w:val="00274F43"/>
    <w:rsid w:val="00274FA8"/>
    <w:rsid w:val="00274FB0"/>
    <w:rsid w:val="00274FB1"/>
    <w:rsid w:val="00274FBC"/>
    <w:rsid w:val="00275039"/>
    <w:rsid w:val="00275043"/>
    <w:rsid w:val="00275083"/>
    <w:rsid w:val="002750C0"/>
    <w:rsid w:val="002750D1"/>
    <w:rsid w:val="002750ED"/>
    <w:rsid w:val="0027511A"/>
    <w:rsid w:val="0027512F"/>
    <w:rsid w:val="00275149"/>
    <w:rsid w:val="00275150"/>
    <w:rsid w:val="00275177"/>
    <w:rsid w:val="00275193"/>
    <w:rsid w:val="002751AF"/>
    <w:rsid w:val="0027520F"/>
    <w:rsid w:val="00275229"/>
    <w:rsid w:val="0027528A"/>
    <w:rsid w:val="00275336"/>
    <w:rsid w:val="00275356"/>
    <w:rsid w:val="00275468"/>
    <w:rsid w:val="0027547F"/>
    <w:rsid w:val="00275496"/>
    <w:rsid w:val="002754A5"/>
    <w:rsid w:val="002754AA"/>
    <w:rsid w:val="002754DC"/>
    <w:rsid w:val="002754EA"/>
    <w:rsid w:val="002754F6"/>
    <w:rsid w:val="002755A2"/>
    <w:rsid w:val="0027565B"/>
    <w:rsid w:val="0027568C"/>
    <w:rsid w:val="002756A7"/>
    <w:rsid w:val="00275750"/>
    <w:rsid w:val="002757A4"/>
    <w:rsid w:val="00275814"/>
    <w:rsid w:val="00275831"/>
    <w:rsid w:val="002758B1"/>
    <w:rsid w:val="002758B5"/>
    <w:rsid w:val="002758CD"/>
    <w:rsid w:val="002758FD"/>
    <w:rsid w:val="0027591D"/>
    <w:rsid w:val="00275949"/>
    <w:rsid w:val="002759E8"/>
    <w:rsid w:val="002759ED"/>
    <w:rsid w:val="00275AE4"/>
    <w:rsid w:val="00275B09"/>
    <w:rsid w:val="00275B1B"/>
    <w:rsid w:val="00275B2C"/>
    <w:rsid w:val="00275B94"/>
    <w:rsid w:val="00275C15"/>
    <w:rsid w:val="00275C9A"/>
    <w:rsid w:val="00275CA5"/>
    <w:rsid w:val="00275CAB"/>
    <w:rsid w:val="00275CC7"/>
    <w:rsid w:val="00275D16"/>
    <w:rsid w:val="00275D6E"/>
    <w:rsid w:val="00275D79"/>
    <w:rsid w:val="00275E96"/>
    <w:rsid w:val="00275F50"/>
    <w:rsid w:val="00275FE4"/>
    <w:rsid w:val="00275FFB"/>
    <w:rsid w:val="00276008"/>
    <w:rsid w:val="00276020"/>
    <w:rsid w:val="0027604F"/>
    <w:rsid w:val="00276052"/>
    <w:rsid w:val="00276091"/>
    <w:rsid w:val="002760A8"/>
    <w:rsid w:val="002760B1"/>
    <w:rsid w:val="002760E7"/>
    <w:rsid w:val="00276164"/>
    <w:rsid w:val="00276192"/>
    <w:rsid w:val="00276194"/>
    <w:rsid w:val="002761D4"/>
    <w:rsid w:val="002761E4"/>
    <w:rsid w:val="002761FB"/>
    <w:rsid w:val="00276244"/>
    <w:rsid w:val="0027625C"/>
    <w:rsid w:val="0027626F"/>
    <w:rsid w:val="00276273"/>
    <w:rsid w:val="00276347"/>
    <w:rsid w:val="002763F9"/>
    <w:rsid w:val="00276454"/>
    <w:rsid w:val="0027649D"/>
    <w:rsid w:val="002764D8"/>
    <w:rsid w:val="0027653E"/>
    <w:rsid w:val="002766F3"/>
    <w:rsid w:val="00276725"/>
    <w:rsid w:val="0027672E"/>
    <w:rsid w:val="002767C4"/>
    <w:rsid w:val="002767F4"/>
    <w:rsid w:val="0027683B"/>
    <w:rsid w:val="0027683D"/>
    <w:rsid w:val="002768C8"/>
    <w:rsid w:val="00276915"/>
    <w:rsid w:val="00276926"/>
    <w:rsid w:val="0027695C"/>
    <w:rsid w:val="00276960"/>
    <w:rsid w:val="002769E8"/>
    <w:rsid w:val="00276A4C"/>
    <w:rsid w:val="00276A76"/>
    <w:rsid w:val="00276ADF"/>
    <w:rsid w:val="00276B13"/>
    <w:rsid w:val="00276B1C"/>
    <w:rsid w:val="00276B96"/>
    <w:rsid w:val="00276B9E"/>
    <w:rsid w:val="00276BB2"/>
    <w:rsid w:val="00276C73"/>
    <w:rsid w:val="00276C95"/>
    <w:rsid w:val="00276C9B"/>
    <w:rsid w:val="00276CA2"/>
    <w:rsid w:val="00276CC3"/>
    <w:rsid w:val="00276CD0"/>
    <w:rsid w:val="00276D0D"/>
    <w:rsid w:val="00276D2A"/>
    <w:rsid w:val="00276D4E"/>
    <w:rsid w:val="00276D6E"/>
    <w:rsid w:val="00276D91"/>
    <w:rsid w:val="00276DAA"/>
    <w:rsid w:val="00276DDB"/>
    <w:rsid w:val="00276DE9"/>
    <w:rsid w:val="00276DF5"/>
    <w:rsid w:val="00276E3C"/>
    <w:rsid w:val="00276E6D"/>
    <w:rsid w:val="00276E71"/>
    <w:rsid w:val="00276E9E"/>
    <w:rsid w:val="00276ED0"/>
    <w:rsid w:val="00276ED4"/>
    <w:rsid w:val="00276EFF"/>
    <w:rsid w:val="00276F18"/>
    <w:rsid w:val="00276F22"/>
    <w:rsid w:val="00276F4F"/>
    <w:rsid w:val="00276FC1"/>
    <w:rsid w:val="00277010"/>
    <w:rsid w:val="00277020"/>
    <w:rsid w:val="00277024"/>
    <w:rsid w:val="00277036"/>
    <w:rsid w:val="00277087"/>
    <w:rsid w:val="002770E0"/>
    <w:rsid w:val="0027714C"/>
    <w:rsid w:val="002771F3"/>
    <w:rsid w:val="00277229"/>
    <w:rsid w:val="00277243"/>
    <w:rsid w:val="0027729C"/>
    <w:rsid w:val="002772A2"/>
    <w:rsid w:val="002772B3"/>
    <w:rsid w:val="002772E8"/>
    <w:rsid w:val="00277300"/>
    <w:rsid w:val="00277372"/>
    <w:rsid w:val="00277396"/>
    <w:rsid w:val="002773BA"/>
    <w:rsid w:val="002773D1"/>
    <w:rsid w:val="00277453"/>
    <w:rsid w:val="00277498"/>
    <w:rsid w:val="002774A4"/>
    <w:rsid w:val="002774CB"/>
    <w:rsid w:val="002774EE"/>
    <w:rsid w:val="00277511"/>
    <w:rsid w:val="0027753A"/>
    <w:rsid w:val="0027756C"/>
    <w:rsid w:val="0027758E"/>
    <w:rsid w:val="002775A0"/>
    <w:rsid w:val="002775D5"/>
    <w:rsid w:val="002775E7"/>
    <w:rsid w:val="002775EA"/>
    <w:rsid w:val="0027761F"/>
    <w:rsid w:val="00277637"/>
    <w:rsid w:val="0027769E"/>
    <w:rsid w:val="002776B4"/>
    <w:rsid w:val="002776D4"/>
    <w:rsid w:val="002776DE"/>
    <w:rsid w:val="002776E3"/>
    <w:rsid w:val="002776F5"/>
    <w:rsid w:val="0027771F"/>
    <w:rsid w:val="0027773A"/>
    <w:rsid w:val="0027776B"/>
    <w:rsid w:val="00277782"/>
    <w:rsid w:val="002777BE"/>
    <w:rsid w:val="00277806"/>
    <w:rsid w:val="0027780F"/>
    <w:rsid w:val="0027782F"/>
    <w:rsid w:val="002778EA"/>
    <w:rsid w:val="002778FE"/>
    <w:rsid w:val="00277913"/>
    <w:rsid w:val="002779B9"/>
    <w:rsid w:val="002779F8"/>
    <w:rsid w:val="00277A08"/>
    <w:rsid w:val="00277AB0"/>
    <w:rsid w:val="00277AD0"/>
    <w:rsid w:val="00277AF4"/>
    <w:rsid w:val="00277AF7"/>
    <w:rsid w:val="00277B56"/>
    <w:rsid w:val="00277B88"/>
    <w:rsid w:val="00277BA0"/>
    <w:rsid w:val="00277C1B"/>
    <w:rsid w:val="00277C66"/>
    <w:rsid w:val="00277CCB"/>
    <w:rsid w:val="00277CDB"/>
    <w:rsid w:val="00277E3B"/>
    <w:rsid w:val="00277E7F"/>
    <w:rsid w:val="00277EA1"/>
    <w:rsid w:val="00277EB3"/>
    <w:rsid w:val="00277EBD"/>
    <w:rsid w:val="00277F56"/>
    <w:rsid w:val="00277FB7"/>
    <w:rsid w:val="00277FDF"/>
    <w:rsid w:val="0027FC85"/>
    <w:rsid w:val="0028003C"/>
    <w:rsid w:val="00280129"/>
    <w:rsid w:val="002801B8"/>
    <w:rsid w:val="002801DF"/>
    <w:rsid w:val="002801E2"/>
    <w:rsid w:val="002801F5"/>
    <w:rsid w:val="00280209"/>
    <w:rsid w:val="00280273"/>
    <w:rsid w:val="00280278"/>
    <w:rsid w:val="002802F1"/>
    <w:rsid w:val="0028030F"/>
    <w:rsid w:val="00280322"/>
    <w:rsid w:val="00280352"/>
    <w:rsid w:val="0028035C"/>
    <w:rsid w:val="00280368"/>
    <w:rsid w:val="002803EE"/>
    <w:rsid w:val="002803FB"/>
    <w:rsid w:val="0028040C"/>
    <w:rsid w:val="0028041E"/>
    <w:rsid w:val="00280576"/>
    <w:rsid w:val="00280595"/>
    <w:rsid w:val="0028059D"/>
    <w:rsid w:val="002805E4"/>
    <w:rsid w:val="00280602"/>
    <w:rsid w:val="0028060E"/>
    <w:rsid w:val="00280696"/>
    <w:rsid w:val="002806CA"/>
    <w:rsid w:val="00280707"/>
    <w:rsid w:val="0028072C"/>
    <w:rsid w:val="00280787"/>
    <w:rsid w:val="002807D7"/>
    <w:rsid w:val="00280804"/>
    <w:rsid w:val="00280808"/>
    <w:rsid w:val="00280818"/>
    <w:rsid w:val="00280893"/>
    <w:rsid w:val="002808A4"/>
    <w:rsid w:val="00280958"/>
    <w:rsid w:val="00280970"/>
    <w:rsid w:val="002809C0"/>
    <w:rsid w:val="002809E5"/>
    <w:rsid w:val="00280A17"/>
    <w:rsid w:val="00280A3F"/>
    <w:rsid w:val="00280A5A"/>
    <w:rsid w:val="00280A96"/>
    <w:rsid w:val="00280AD4"/>
    <w:rsid w:val="00280AF8"/>
    <w:rsid w:val="00280B09"/>
    <w:rsid w:val="00280B39"/>
    <w:rsid w:val="00280B44"/>
    <w:rsid w:val="00280B70"/>
    <w:rsid w:val="00280B74"/>
    <w:rsid w:val="00280B7C"/>
    <w:rsid w:val="00280BAB"/>
    <w:rsid w:val="00280BC1"/>
    <w:rsid w:val="00280BF8"/>
    <w:rsid w:val="00280C24"/>
    <w:rsid w:val="00280C67"/>
    <w:rsid w:val="00280C6E"/>
    <w:rsid w:val="00280C8A"/>
    <w:rsid w:val="00280CEC"/>
    <w:rsid w:val="00280D3F"/>
    <w:rsid w:val="00280D85"/>
    <w:rsid w:val="00280D9F"/>
    <w:rsid w:val="00280DC5"/>
    <w:rsid w:val="00280DEC"/>
    <w:rsid w:val="00280E34"/>
    <w:rsid w:val="00280ED8"/>
    <w:rsid w:val="00280F33"/>
    <w:rsid w:val="00280F84"/>
    <w:rsid w:val="00280FB4"/>
    <w:rsid w:val="0028100A"/>
    <w:rsid w:val="0028103B"/>
    <w:rsid w:val="00281049"/>
    <w:rsid w:val="00281073"/>
    <w:rsid w:val="002810BC"/>
    <w:rsid w:val="002810FE"/>
    <w:rsid w:val="0028114D"/>
    <w:rsid w:val="00281169"/>
    <w:rsid w:val="00281181"/>
    <w:rsid w:val="0028118B"/>
    <w:rsid w:val="002811BB"/>
    <w:rsid w:val="002811CC"/>
    <w:rsid w:val="002811CD"/>
    <w:rsid w:val="002811EB"/>
    <w:rsid w:val="002811F0"/>
    <w:rsid w:val="00281203"/>
    <w:rsid w:val="00281240"/>
    <w:rsid w:val="00281249"/>
    <w:rsid w:val="00281254"/>
    <w:rsid w:val="0028127C"/>
    <w:rsid w:val="002812DE"/>
    <w:rsid w:val="0028132A"/>
    <w:rsid w:val="0028135F"/>
    <w:rsid w:val="0028137D"/>
    <w:rsid w:val="002813C5"/>
    <w:rsid w:val="002813D8"/>
    <w:rsid w:val="002814F7"/>
    <w:rsid w:val="00281522"/>
    <w:rsid w:val="00281573"/>
    <w:rsid w:val="002815CA"/>
    <w:rsid w:val="00281645"/>
    <w:rsid w:val="002816C8"/>
    <w:rsid w:val="002816CD"/>
    <w:rsid w:val="00281772"/>
    <w:rsid w:val="00281791"/>
    <w:rsid w:val="00281797"/>
    <w:rsid w:val="002817DE"/>
    <w:rsid w:val="00281805"/>
    <w:rsid w:val="00281852"/>
    <w:rsid w:val="00281860"/>
    <w:rsid w:val="0028186D"/>
    <w:rsid w:val="0028188B"/>
    <w:rsid w:val="0028188D"/>
    <w:rsid w:val="0028189C"/>
    <w:rsid w:val="002818D0"/>
    <w:rsid w:val="00281997"/>
    <w:rsid w:val="002819A6"/>
    <w:rsid w:val="002819C6"/>
    <w:rsid w:val="002819E6"/>
    <w:rsid w:val="00281A6B"/>
    <w:rsid w:val="00281A99"/>
    <w:rsid w:val="00281AF2"/>
    <w:rsid w:val="00281AF6"/>
    <w:rsid w:val="00281B1E"/>
    <w:rsid w:val="00281B46"/>
    <w:rsid w:val="00281B58"/>
    <w:rsid w:val="00281B84"/>
    <w:rsid w:val="00281BD2"/>
    <w:rsid w:val="00281C07"/>
    <w:rsid w:val="00281C46"/>
    <w:rsid w:val="00281C62"/>
    <w:rsid w:val="00281C8E"/>
    <w:rsid w:val="00281CB8"/>
    <w:rsid w:val="00281CBE"/>
    <w:rsid w:val="00281D7D"/>
    <w:rsid w:val="00281E0B"/>
    <w:rsid w:val="00281E22"/>
    <w:rsid w:val="00281E2F"/>
    <w:rsid w:val="00281EA2"/>
    <w:rsid w:val="00281ED5"/>
    <w:rsid w:val="00281F3F"/>
    <w:rsid w:val="00281F58"/>
    <w:rsid w:val="00281F82"/>
    <w:rsid w:val="00281FB2"/>
    <w:rsid w:val="00281FC1"/>
    <w:rsid w:val="00282007"/>
    <w:rsid w:val="0028203A"/>
    <w:rsid w:val="0028204B"/>
    <w:rsid w:val="00282078"/>
    <w:rsid w:val="0028209D"/>
    <w:rsid w:val="002821D5"/>
    <w:rsid w:val="002821DA"/>
    <w:rsid w:val="00282204"/>
    <w:rsid w:val="00282213"/>
    <w:rsid w:val="002822AC"/>
    <w:rsid w:val="00282358"/>
    <w:rsid w:val="002823D1"/>
    <w:rsid w:val="002823D3"/>
    <w:rsid w:val="002823EE"/>
    <w:rsid w:val="00282542"/>
    <w:rsid w:val="002825DD"/>
    <w:rsid w:val="002825ED"/>
    <w:rsid w:val="00282605"/>
    <w:rsid w:val="002826CA"/>
    <w:rsid w:val="00282702"/>
    <w:rsid w:val="0028277B"/>
    <w:rsid w:val="00282784"/>
    <w:rsid w:val="0028279E"/>
    <w:rsid w:val="002827E2"/>
    <w:rsid w:val="0028285F"/>
    <w:rsid w:val="0028286E"/>
    <w:rsid w:val="002828FC"/>
    <w:rsid w:val="00282924"/>
    <w:rsid w:val="00282961"/>
    <w:rsid w:val="002829A7"/>
    <w:rsid w:val="002829D4"/>
    <w:rsid w:val="00282A02"/>
    <w:rsid w:val="00282AFC"/>
    <w:rsid w:val="00282B78"/>
    <w:rsid w:val="00282B7D"/>
    <w:rsid w:val="00282BFF"/>
    <w:rsid w:val="00282D6E"/>
    <w:rsid w:val="00282DC3"/>
    <w:rsid w:val="00282DE0"/>
    <w:rsid w:val="00282E44"/>
    <w:rsid w:val="00282E4D"/>
    <w:rsid w:val="00282E96"/>
    <w:rsid w:val="00282EB2"/>
    <w:rsid w:val="00282EBE"/>
    <w:rsid w:val="00282F73"/>
    <w:rsid w:val="00282FDD"/>
    <w:rsid w:val="00282FEF"/>
    <w:rsid w:val="00282FF5"/>
    <w:rsid w:val="00283012"/>
    <w:rsid w:val="0028305B"/>
    <w:rsid w:val="00283147"/>
    <w:rsid w:val="00283172"/>
    <w:rsid w:val="00283176"/>
    <w:rsid w:val="002831B6"/>
    <w:rsid w:val="002831BE"/>
    <w:rsid w:val="00283213"/>
    <w:rsid w:val="0028321D"/>
    <w:rsid w:val="00283228"/>
    <w:rsid w:val="00283255"/>
    <w:rsid w:val="00283267"/>
    <w:rsid w:val="00283292"/>
    <w:rsid w:val="002832F8"/>
    <w:rsid w:val="002832FF"/>
    <w:rsid w:val="00283384"/>
    <w:rsid w:val="002833CA"/>
    <w:rsid w:val="002833F3"/>
    <w:rsid w:val="00283422"/>
    <w:rsid w:val="00283427"/>
    <w:rsid w:val="00283455"/>
    <w:rsid w:val="0028348E"/>
    <w:rsid w:val="0028350D"/>
    <w:rsid w:val="0028351A"/>
    <w:rsid w:val="00283527"/>
    <w:rsid w:val="00283597"/>
    <w:rsid w:val="002835A3"/>
    <w:rsid w:val="002835AD"/>
    <w:rsid w:val="002835C1"/>
    <w:rsid w:val="002835EC"/>
    <w:rsid w:val="0028365B"/>
    <w:rsid w:val="00283671"/>
    <w:rsid w:val="002836EB"/>
    <w:rsid w:val="0028371A"/>
    <w:rsid w:val="0028371B"/>
    <w:rsid w:val="00283728"/>
    <w:rsid w:val="00283732"/>
    <w:rsid w:val="00283775"/>
    <w:rsid w:val="0028390F"/>
    <w:rsid w:val="0028396F"/>
    <w:rsid w:val="00283993"/>
    <w:rsid w:val="00283995"/>
    <w:rsid w:val="00283999"/>
    <w:rsid w:val="002839B1"/>
    <w:rsid w:val="00283AA9"/>
    <w:rsid w:val="00283B7E"/>
    <w:rsid w:val="00283BD2"/>
    <w:rsid w:val="00283C02"/>
    <w:rsid w:val="00283C06"/>
    <w:rsid w:val="00283C09"/>
    <w:rsid w:val="00283C19"/>
    <w:rsid w:val="00283C4C"/>
    <w:rsid w:val="00283CBA"/>
    <w:rsid w:val="00283CCF"/>
    <w:rsid w:val="00283D61"/>
    <w:rsid w:val="00283E12"/>
    <w:rsid w:val="00283E25"/>
    <w:rsid w:val="00283E27"/>
    <w:rsid w:val="00283EC5"/>
    <w:rsid w:val="00283F6F"/>
    <w:rsid w:val="00283FA1"/>
    <w:rsid w:val="00283FC7"/>
    <w:rsid w:val="00283FE5"/>
    <w:rsid w:val="0028405A"/>
    <w:rsid w:val="0028408A"/>
    <w:rsid w:val="002840E5"/>
    <w:rsid w:val="002840F9"/>
    <w:rsid w:val="002841B2"/>
    <w:rsid w:val="002841CE"/>
    <w:rsid w:val="002841E8"/>
    <w:rsid w:val="002841E9"/>
    <w:rsid w:val="00284235"/>
    <w:rsid w:val="002842F9"/>
    <w:rsid w:val="00284308"/>
    <w:rsid w:val="0028430B"/>
    <w:rsid w:val="0028433A"/>
    <w:rsid w:val="0028433B"/>
    <w:rsid w:val="00284370"/>
    <w:rsid w:val="0028438F"/>
    <w:rsid w:val="002843AB"/>
    <w:rsid w:val="002843C4"/>
    <w:rsid w:val="002843E2"/>
    <w:rsid w:val="00284426"/>
    <w:rsid w:val="00284497"/>
    <w:rsid w:val="002844B2"/>
    <w:rsid w:val="002844DB"/>
    <w:rsid w:val="00284507"/>
    <w:rsid w:val="00284535"/>
    <w:rsid w:val="0028455A"/>
    <w:rsid w:val="002845C6"/>
    <w:rsid w:val="00284650"/>
    <w:rsid w:val="002846B9"/>
    <w:rsid w:val="00284702"/>
    <w:rsid w:val="00284706"/>
    <w:rsid w:val="0028471F"/>
    <w:rsid w:val="00284751"/>
    <w:rsid w:val="00284772"/>
    <w:rsid w:val="002847A2"/>
    <w:rsid w:val="002847C1"/>
    <w:rsid w:val="00284893"/>
    <w:rsid w:val="002848A1"/>
    <w:rsid w:val="002848ED"/>
    <w:rsid w:val="0028491A"/>
    <w:rsid w:val="0028498F"/>
    <w:rsid w:val="0028499D"/>
    <w:rsid w:val="002849D9"/>
    <w:rsid w:val="00284A13"/>
    <w:rsid w:val="00284AC2"/>
    <w:rsid w:val="00284B64"/>
    <w:rsid w:val="00284BF6"/>
    <w:rsid w:val="00284C0E"/>
    <w:rsid w:val="00284C7B"/>
    <w:rsid w:val="00284C9D"/>
    <w:rsid w:val="00284CC6"/>
    <w:rsid w:val="00284D02"/>
    <w:rsid w:val="00284DA5"/>
    <w:rsid w:val="00284DDC"/>
    <w:rsid w:val="00284E43"/>
    <w:rsid w:val="00284E4F"/>
    <w:rsid w:val="00284E6D"/>
    <w:rsid w:val="00284E7D"/>
    <w:rsid w:val="00284E8D"/>
    <w:rsid w:val="00284ED8"/>
    <w:rsid w:val="00284ED9"/>
    <w:rsid w:val="00284EE2"/>
    <w:rsid w:val="00284EF5"/>
    <w:rsid w:val="00284F11"/>
    <w:rsid w:val="00284F2F"/>
    <w:rsid w:val="00284F9A"/>
    <w:rsid w:val="00284FA2"/>
    <w:rsid w:val="00284FAA"/>
    <w:rsid w:val="00284FB3"/>
    <w:rsid w:val="0028504C"/>
    <w:rsid w:val="00285057"/>
    <w:rsid w:val="0028505C"/>
    <w:rsid w:val="0028506D"/>
    <w:rsid w:val="00285082"/>
    <w:rsid w:val="002850B4"/>
    <w:rsid w:val="002850E6"/>
    <w:rsid w:val="00285165"/>
    <w:rsid w:val="0028517F"/>
    <w:rsid w:val="002851CE"/>
    <w:rsid w:val="002851F2"/>
    <w:rsid w:val="0028521A"/>
    <w:rsid w:val="00285243"/>
    <w:rsid w:val="0028524F"/>
    <w:rsid w:val="0028525C"/>
    <w:rsid w:val="0028525D"/>
    <w:rsid w:val="00285282"/>
    <w:rsid w:val="0028528D"/>
    <w:rsid w:val="0028529E"/>
    <w:rsid w:val="002852A2"/>
    <w:rsid w:val="00285338"/>
    <w:rsid w:val="0028539C"/>
    <w:rsid w:val="002853AB"/>
    <w:rsid w:val="002853EE"/>
    <w:rsid w:val="0028540D"/>
    <w:rsid w:val="00285493"/>
    <w:rsid w:val="002854D7"/>
    <w:rsid w:val="002854EA"/>
    <w:rsid w:val="002854FE"/>
    <w:rsid w:val="00285513"/>
    <w:rsid w:val="00285558"/>
    <w:rsid w:val="0028557E"/>
    <w:rsid w:val="002855D0"/>
    <w:rsid w:val="00285614"/>
    <w:rsid w:val="00285629"/>
    <w:rsid w:val="00285665"/>
    <w:rsid w:val="00285694"/>
    <w:rsid w:val="002856D5"/>
    <w:rsid w:val="00285792"/>
    <w:rsid w:val="002857D5"/>
    <w:rsid w:val="00285829"/>
    <w:rsid w:val="00285845"/>
    <w:rsid w:val="0028585A"/>
    <w:rsid w:val="0028585D"/>
    <w:rsid w:val="00285860"/>
    <w:rsid w:val="002858B3"/>
    <w:rsid w:val="002858DA"/>
    <w:rsid w:val="002858E4"/>
    <w:rsid w:val="002858E8"/>
    <w:rsid w:val="00285981"/>
    <w:rsid w:val="0028599E"/>
    <w:rsid w:val="002859F8"/>
    <w:rsid w:val="00285A5B"/>
    <w:rsid w:val="00285A62"/>
    <w:rsid w:val="00285A85"/>
    <w:rsid w:val="00285AAA"/>
    <w:rsid w:val="00285AF0"/>
    <w:rsid w:val="00285AFB"/>
    <w:rsid w:val="00285B1C"/>
    <w:rsid w:val="00285B2F"/>
    <w:rsid w:val="00285BFC"/>
    <w:rsid w:val="00285C11"/>
    <w:rsid w:val="00285C52"/>
    <w:rsid w:val="00285C98"/>
    <w:rsid w:val="00285CE9"/>
    <w:rsid w:val="00285D2A"/>
    <w:rsid w:val="00285D6E"/>
    <w:rsid w:val="00285D87"/>
    <w:rsid w:val="00285D8B"/>
    <w:rsid w:val="00285E3B"/>
    <w:rsid w:val="00285E50"/>
    <w:rsid w:val="00285E52"/>
    <w:rsid w:val="00285E59"/>
    <w:rsid w:val="00285E66"/>
    <w:rsid w:val="00285EAC"/>
    <w:rsid w:val="00285EC0"/>
    <w:rsid w:val="00285EFE"/>
    <w:rsid w:val="00285F85"/>
    <w:rsid w:val="00285F92"/>
    <w:rsid w:val="00285FEB"/>
    <w:rsid w:val="00286021"/>
    <w:rsid w:val="00286060"/>
    <w:rsid w:val="002860C5"/>
    <w:rsid w:val="002860DA"/>
    <w:rsid w:val="002860F1"/>
    <w:rsid w:val="002860FF"/>
    <w:rsid w:val="00286109"/>
    <w:rsid w:val="0028615B"/>
    <w:rsid w:val="0028615C"/>
    <w:rsid w:val="00286169"/>
    <w:rsid w:val="00286173"/>
    <w:rsid w:val="002861C5"/>
    <w:rsid w:val="00286274"/>
    <w:rsid w:val="002862EB"/>
    <w:rsid w:val="002862EC"/>
    <w:rsid w:val="0028630B"/>
    <w:rsid w:val="0028630E"/>
    <w:rsid w:val="00286327"/>
    <w:rsid w:val="00286344"/>
    <w:rsid w:val="00286355"/>
    <w:rsid w:val="0028635E"/>
    <w:rsid w:val="002863BC"/>
    <w:rsid w:val="0028640C"/>
    <w:rsid w:val="00286418"/>
    <w:rsid w:val="0028641E"/>
    <w:rsid w:val="002864A0"/>
    <w:rsid w:val="002864A8"/>
    <w:rsid w:val="002864E0"/>
    <w:rsid w:val="0028655D"/>
    <w:rsid w:val="00286567"/>
    <w:rsid w:val="00286615"/>
    <w:rsid w:val="00286620"/>
    <w:rsid w:val="0028664A"/>
    <w:rsid w:val="0028667F"/>
    <w:rsid w:val="002866F9"/>
    <w:rsid w:val="00286712"/>
    <w:rsid w:val="00286726"/>
    <w:rsid w:val="00286770"/>
    <w:rsid w:val="00286783"/>
    <w:rsid w:val="002867A4"/>
    <w:rsid w:val="002867E7"/>
    <w:rsid w:val="002867F9"/>
    <w:rsid w:val="002868C4"/>
    <w:rsid w:val="002868D9"/>
    <w:rsid w:val="002868E6"/>
    <w:rsid w:val="00286954"/>
    <w:rsid w:val="0028696F"/>
    <w:rsid w:val="002869C7"/>
    <w:rsid w:val="00286A26"/>
    <w:rsid w:val="00286A2B"/>
    <w:rsid w:val="00286A4F"/>
    <w:rsid w:val="00286A68"/>
    <w:rsid w:val="00286A85"/>
    <w:rsid w:val="00286A89"/>
    <w:rsid w:val="00286AC6"/>
    <w:rsid w:val="00286AFF"/>
    <w:rsid w:val="00286B6B"/>
    <w:rsid w:val="00286B84"/>
    <w:rsid w:val="00286BBB"/>
    <w:rsid w:val="00286BF0"/>
    <w:rsid w:val="00286C20"/>
    <w:rsid w:val="00286C37"/>
    <w:rsid w:val="00286C49"/>
    <w:rsid w:val="00286C67"/>
    <w:rsid w:val="00286C8C"/>
    <w:rsid w:val="00286CBD"/>
    <w:rsid w:val="00286CF7"/>
    <w:rsid w:val="00286D0B"/>
    <w:rsid w:val="00286D3B"/>
    <w:rsid w:val="00286D6F"/>
    <w:rsid w:val="00286D7E"/>
    <w:rsid w:val="00286DAE"/>
    <w:rsid w:val="00286DC1"/>
    <w:rsid w:val="00286DC4"/>
    <w:rsid w:val="00286DDD"/>
    <w:rsid w:val="00286E19"/>
    <w:rsid w:val="00286E81"/>
    <w:rsid w:val="00286E88"/>
    <w:rsid w:val="00286EA1"/>
    <w:rsid w:val="00286ECB"/>
    <w:rsid w:val="00286F04"/>
    <w:rsid w:val="00286F15"/>
    <w:rsid w:val="00286FA8"/>
    <w:rsid w:val="00286FBF"/>
    <w:rsid w:val="0028707A"/>
    <w:rsid w:val="0028707B"/>
    <w:rsid w:val="00287101"/>
    <w:rsid w:val="00287125"/>
    <w:rsid w:val="00287168"/>
    <w:rsid w:val="002871A6"/>
    <w:rsid w:val="002871B8"/>
    <w:rsid w:val="002871C2"/>
    <w:rsid w:val="002871F4"/>
    <w:rsid w:val="002871F7"/>
    <w:rsid w:val="0028722E"/>
    <w:rsid w:val="00287232"/>
    <w:rsid w:val="0028724E"/>
    <w:rsid w:val="0028728F"/>
    <w:rsid w:val="002872FA"/>
    <w:rsid w:val="002872FD"/>
    <w:rsid w:val="00287342"/>
    <w:rsid w:val="002873B7"/>
    <w:rsid w:val="002873C0"/>
    <w:rsid w:val="002873C7"/>
    <w:rsid w:val="002873D6"/>
    <w:rsid w:val="002873E7"/>
    <w:rsid w:val="002873F8"/>
    <w:rsid w:val="00287402"/>
    <w:rsid w:val="00287408"/>
    <w:rsid w:val="0028742E"/>
    <w:rsid w:val="00287434"/>
    <w:rsid w:val="002874BD"/>
    <w:rsid w:val="00287555"/>
    <w:rsid w:val="0028759E"/>
    <w:rsid w:val="002875A5"/>
    <w:rsid w:val="002875FA"/>
    <w:rsid w:val="002875FC"/>
    <w:rsid w:val="00287607"/>
    <w:rsid w:val="00287609"/>
    <w:rsid w:val="0028762E"/>
    <w:rsid w:val="0028763A"/>
    <w:rsid w:val="00287673"/>
    <w:rsid w:val="002876A8"/>
    <w:rsid w:val="002876BD"/>
    <w:rsid w:val="002876CF"/>
    <w:rsid w:val="002876D8"/>
    <w:rsid w:val="00287729"/>
    <w:rsid w:val="0028775E"/>
    <w:rsid w:val="00287760"/>
    <w:rsid w:val="002877B3"/>
    <w:rsid w:val="0028781C"/>
    <w:rsid w:val="002878E9"/>
    <w:rsid w:val="00287926"/>
    <w:rsid w:val="00287935"/>
    <w:rsid w:val="00287954"/>
    <w:rsid w:val="00287974"/>
    <w:rsid w:val="002879D1"/>
    <w:rsid w:val="002879E1"/>
    <w:rsid w:val="00287A2C"/>
    <w:rsid w:val="00287A6E"/>
    <w:rsid w:val="00287AAC"/>
    <w:rsid w:val="00287AAF"/>
    <w:rsid w:val="00287C1A"/>
    <w:rsid w:val="00287C1F"/>
    <w:rsid w:val="00287C59"/>
    <w:rsid w:val="00287C83"/>
    <w:rsid w:val="00287C85"/>
    <w:rsid w:val="00287C86"/>
    <w:rsid w:val="00287CA2"/>
    <w:rsid w:val="00287CBB"/>
    <w:rsid w:val="00287CE7"/>
    <w:rsid w:val="00287CF9"/>
    <w:rsid w:val="00287D64"/>
    <w:rsid w:val="00287D9C"/>
    <w:rsid w:val="00287DD1"/>
    <w:rsid w:val="00287DED"/>
    <w:rsid w:val="00287E1D"/>
    <w:rsid w:val="00287E2F"/>
    <w:rsid w:val="00287E91"/>
    <w:rsid w:val="00287F83"/>
    <w:rsid w:val="00287F90"/>
    <w:rsid w:val="00287FB6"/>
    <w:rsid w:val="00287FC9"/>
    <w:rsid w:val="00287FCC"/>
    <w:rsid w:val="00287FD4"/>
    <w:rsid w:val="00287FF7"/>
    <w:rsid w:val="00290008"/>
    <w:rsid w:val="00290096"/>
    <w:rsid w:val="002900C2"/>
    <w:rsid w:val="002900F6"/>
    <w:rsid w:val="0029012D"/>
    <w:rsid w:val="002901F5"/>
    <w:rsid w:val="00290256"/>
    <w:rsid w:val="002902A0"/>
    <w:rsid w:val="002902F7"/>
    <w:rsid w:val="00290378"/>
    <w:rsid w:val="0029038E"/>
    <w:rsid w:val="00290403"/>
    <w:rsid w:val="0029040D"/>
    <w:rsid w:val="00290458"/>
    <w:rsid w:val="00290465"/>
    <w:rsid w:val="0029048B"/>
    <w:rsid w:val="002904AE"/>
    <w:rsid w:val="002904B4"/>
    <w:rsid w:val="00290594"/>
    <w:rsid w:val="00290613"/>
    <w:rsid w:val="00290669"/>
    <w:rsid w:val="0029068C"/>
    <w:rsid w:val="002906A4"/>
    <w:rsid w:val="002906BD"/>
    <w:rsid w:val="0029070F"/>
    <w:rsid w:val="0029075B"/>
    <w:rsid w:val="00290777"/>
    <w:rsid w:val="002907B6"/>
    <w:rsid w:val="002908B2"/>
    <w:rsid w:val="00290935"/>
    <w:rsid w:val="002909AD"/>
    <w:rsid w:val="00290A58"/>
    <w:rsid w:val="00290A72"/>
    <w:rsid w:val="00290ABD"/>
    <w:rsid w:val="00290AE7"/>
    <w:rsid w:val="00290AF3"/>
    <w:rsid w:val="00290AF6"/>
    <w:rsid w:val="00290AF8"/>
    <w:rsid w:val="00290B08"/>
    <w:rsid w:val="00290BC9"/>
    <w:rsid w:val="00290BDA"/>
    <w:rsid w:val="00290C10"/>
    <w:rsid w:val="00290C2A"/>
    <w:rsid w:val="00290CA5"/>
    <w:rsid w:val="00290CD6"/>
    <w:rsid w:val="00290D71"/>
    <w:rsid w:val="00290D8E"/>
    <w:rsid w:val="00290D97"/>
    <w:rsid w:val="00290DC5"/>
    <w:rsid w:val="00290DE4"/>
    <w:rsid w:val="00290E32"/>
    <w:rsid w:val="00290EB2"/>
    <w:rsid w:val="00290F24"/>
    <w:rsid w:val="00290F27"/>
    <w:rsid w:val="00290F4A"/>
    <w:rsid w:val="00290F6F"/>
    <w:rsid w:val="00290FCB"/>
    <w:rsid w:val="00290FD3"/>
    <w:rsid w:val="00290FD5"/>
    <w:rsid w:val="0029100B"/>
    <w:rsid w:val="00291026"/>
    <w:rsid w:val="002910F9"/>
    <w:rsid w:val="00291196"/>
    <w:rsid w:val="0029119F"/>
    <w:rsid w:val="002911B3"/>
    <w:rsid w:val="002911DF"/>
    <w:rsid w:val="00291275"/>
    <w:rsid w:val="00291298"/>
    <w:rsid w:val="002912C2"/>
    <w:rsid w:val="002912DF"/>
    <w:rsid w:val="002912F0"/>
    <w:rsid w:val="002912FF"/>
    <w:rsid w:val="00291303"/>
    <w:rsid w:val="0029132A"/>
    <w:rsid w:val="0029135A"/>
    <w:rsid w:val="00291361"/>
    <w:rsid w:val="0029143D"/>
    <w:rsid w:val="00291467"/>
    <w:rsid w:val="00291484"/>
    <w:rsid w:val="002914EE"/>
    <w:rsid w:val="002914FF"/>
    <w:rsid w:val="0029154B"/>
    <w:rsid w:val="00291583"/>
    <w:rsid w:val="002915D7"/>
    <w:rsid w:val="002915F4"/>
    <w:rsid w:val="0029161C"/>
    <w:rsid w:val="00291631"/>
    <w:rsid w:val="0029167F"/>
    <w:rsid w:val="002916BE"/>
    <w:rsid w:val="00291700"/>
    <w:rsid w:val="002917A4"/>
    <w:rsid w:val="0029184B"/>
    <w:rsid w:val="00291852"/>
    <w:rsid w:val="00291861"/>
    <w:rsid w:val="002918B5"/>
    <w:rsid w:val="002918BA"/>
    <w:rsid w:val="002918C5"/>
    <w:rsid w:val="002918E2"/>
    <w:rsid w:val="002918E9"/>
    <w:rsid w:val="002918EC"/>
    <w:rsid w:val="002918ED"/>
    <w:rsid w:val="00291903"/>
    <w:rsid w:val="00291932"/>
    <w:rsid w:val="00291947"/>
    <w:rsid w:val="0029197B"/>
    <w:rsid w:val="00291982"/>
    <w:rsid w:val="002919A4"/>
    <w:rsid w:val="002919AE"/>
    <w:rsid w:val="002919CE"/>
    <w:rsid w:val="002919DA"/>
    <w:rsid w:val="00291A18"/>
    <w:rsid w:val="00291A50"/>
    <w:rsid w:val="00291AC0"/>
    <w:rsid w:val="00291AC1"/>
    <w:rsid w:val="00291AF2"/>
    <w:rsid w:val="00291AFA"/>
    <w:rsid w:val="00291B30"/>
    <w:rsid w:val="00291B5E"/>
    <w:rsid w:val="00291B9B"/>
    <w:rsid w:val="00291C37"/>
    <w:rsid w:val="00291C88"/>
    <w:rsid w:val="00291C92"/>
    <w:rsid w:val="00291D42"/>
    <w:rsid w:val="00291D7D"/>
    <w:rsid w:val="00291DAF"/>
    <w:rsid w:val="00291DDB"/>
    <w:rsid w:val="00291E1E"/>
    <w:rsid w:val="00291E5B"/>
    <w:rsid w:val="00291E63"/>
    <w:rsid w:val="00291F0A"/>
    <w:rsid w:val="00291F0E"/>
    <w:rsid w:val="00291F84"/>
    <w:rsid w:val="00291F9F"/>
    <w:rsid w:val="00291FE1"/>
    <w:rsid w:val="002920B7"/>
    <w:rsid w:val="002920BC"/>
    <w:rsid w:val="002921F6"/>
    <w:rsid w:val="00292272"/>
    <w:rsid w:val="00292287"/>
    <w:rsid w:val="0029228B"/>
    <w:rsid w:val="00292343"/>
    <w:rsid w:val="0029238E"/>
    <w:rsid w:val="00292392"/>
    <w:rsid w:val="00292468"/>
    <w:rsid w:val="002924AD"/>
    <w:rsid w:val="002924DA"/>
    <w:rsid w:val="002924E9"/>
    <w:rsid w:val="002924F7"/>
    <w:rsid w:val="002925FB"/>
    <w:rsid w:val="00292625"/>
    <w:rsid w:val="002926F3"/>
    <w:rsid w:val="002927D6"/>
    <w:rsid w:val="002927F6"/>
    <w:rsid w:val="00292818"/>
    <w:rsid w:val="00292852"/>
    <w:rsid w:val="002928E1"/>
    <w:rsid w:val="002928ED"/>
    <w:rsid w:val="00292929"/>
    <w:rsid w:val="00292932"/>
    <w:rsid w:val="0029295C"/>
    <w:rsid w:val="0029298D"/>
    <w:rsid w:val="002929A7"/>
    <w:rsid w:val="00292A82"/>
    <w:rsid w:val="00292AC5"/>
    <w:rsid w:val="00292AE9"/>
    <w:rsid w:val="00292B4D"/>
    <w:rsid w:val="00292B50"/>
    <w:rsid w:val="00292B59"/>
    <w:rsid w:val="00292B89"/>
    <w:rsid w:val="00292BB4"/>
    <w:rsid w:val="00292BD9"/>
    <w:rsid w:val="00292C7B"/>
    <w:rsid w:val="00292C84"/>
    <w:rsid w:val="00292CD2"/>
    <w:rsid w:val="00292CED"/>
    <w:rsid w:val="00292D25"/>
    <w:rsid w:val="00292D37"/>
    <w:rsid w:val="00292D38"/>
    <w:rsid w:val="00292DCE"/>
    <w:rsid w:val="00292DD9"/>
    <w:rsid w:val="00292DF3"/>
    <w:rsid w:val="00292E09"/>
    <w:rsid w:val="00292E30"/>
    <w:rsid w:val="00292E69"/>
    <w:rsid w:val="00292E6E"/>
    <w:rsid w:val="00292E6F"/>
    <w:rsid w:val="00292EA6"/>
    <w:rsid w:val="00292F2F"/>
    <w:rsid w:val="00292F6E"/>
    <w:rsid w:val="00292F73"/>
    <w:rsid w:val="00292F7F"/>
    <w:rsid w:val="00292FA8"/>
    <w:rsid w:val="00292FF1"/>
    <w:rsid w:val="002930BD"/>
    <w:rsid w:val="002930C3"/>
    <w:rsid w:val="002930D9"/>
    <w:rsid w:val="00293116"/>
    <w:rsid w:val="00293192"/>
    <w:rsid w:val="002931D0"/>
    <w:rsid w:val="002931D2"/>
    <w:rsid w:val="00293200"/>
    <w:rsid w:val="0029322A"/>
    <w:rsid w:val="0029322C"/>
    <w:rsid w:val="0029324A"/>
    <w:rsid w:val="00293264"/>
    <w:rsid w:val="0029326E"/>
    <w:rsid w:val="00293299"/>
    <w:rsid w:val="002932A3"/>
    <w:rsid w:val="002932C5"/>
    <w:rsid w:val="00293326"/>
    <w:rsid w:val="0029332B"/>
    <w:rsid w:val="002933C1"/>
    <w:rsid w:val="002933C2"/>
    <w:rsid w:val="00293447"/>
    <w:rsid w:val="00293468"/>
    <w:rsid w:val="002934B8"/>
    <w:rsid w:val="002934C5"/>
    <w:rsid w:val="002934DD"/>
    <w:rsid w:val="00293555"/>
    <w:rsid w:val="002935ED"/>
    <w:rsid w:val="00293623"/>
    <w:rsid w:val="0029369E"/>
    <w:rsid w:val="002936CE"/>
    <w:rsid w:val="00293708"/>
    <w:rsid w:val="00293758"/>
    <w:rsid w:val="0029377F"/>
    <w:rsid w:val="002937CC"/>
    <w:rsid w:val="002937E1"/>
    <w:rsid w:val="00293873"/>
    <w:rsid w:val="0029389B"/>
    <w:rsid w:val="0029390C"/>
    <w:rsid w:val="0029393D"/>
    <w:rsid w:val="00293962"/>
    <w:rsid w:val="00293973"/>
    <w:rsid w:val="0029397E"/>
    <w:rsid w:val="002939B1"/>
    <w:rsid w:val="002939E9"/>
    <w:rsid w:val="00293A00"/>
    <w:rsid w:val="00293ADF"/>
    <w:rsid w:val="00293B00"/>
    <w:rsid w:val="00293B1F"/>
    <w:rsid w:val="00293BA7"/>
    <w:rsid w:val="00293BF5"/>
    <w:rsid w:val="00293BFD"/>
    <w:rsid w:val="00293C21"/>
    <w:rsid w:val="00293C59"/>
    <w:rsid w:val="00293C74"/>
    <w:rsid w:val="00293C97"/>
    <w:rsid w:val="00293CD2"/>
    <w:rsid w:val="00293D16"/>
    <w:rsid w:val="00293D41"/>
    <w:rsid w:val="00293D70"/>
    <w:rsid w:val="00293D90"/>
    <w:rsid w:val="00293D96"/>
    <w:rsid w:val="00293DD1"/>
    <w:rsid w:val="00293DF1"/>
    <w:rsid w:val="00293E2A"/>
    <w:rsid w:val="00293E33"/>
    <w:rsid w:val="00293E5F"/>
    <w:rsid w:val="00293E8C"/>
    <w:rsid w:val="00293EDC"/>
    <w:rsid w:val="00293EDE"/>
    <w:rsid w:val="00293EEB"/>
    <w:rsid w:val="00293EFF"/>
    <w:rsid w:val="00293F78"/>
    <w:rsid w:val="00293F98"/>
    <w:rsid w:val="00293FA0"/>
    <w:rsid w:val="00293FC6"/>
    <w:rsid w:val="00293FCB"/>
    <w:rsid w:val="00293FCD"/>
    <w:rsid w:val="00293FE2"/>
    <w:rsid w:val="0029400A"/>
    <w:rsid w:val="00294031"/>
    <w:rsid w:val="0029405C"/>
    <w:rsid w:val="00294085"/>
    <w:rsid w:val="0029408E"/>
    <w:rsid w:val="002940B8"/>
    <w:rsid w:val="002940E2"/>
    <w:rsid w:val="002940FA"/>
    <w:rsid w:val="0029411E"/>
    <w:rsid w:val="00294129"/>
    <w:rsid w:val="00294131"/>
    <w:rsid w:val="0029415D"/>
    <w:rsid w:val="00294209"/>
    <w:rsid w:val="0029420E"/>
    <w:rsid w:val="0029423F"/>
    <w:rsid w:val="00294265"/>
    <w:rsid w:val="002942A7"/>
    <w:rsid w:val="00294316"/>
    <w:rsid w:val="00294387"/>
    <w:rsid w:val="0029438C"/>
    <w:rsid w:val="00294446"/>
    <w:rsid w:val="00294470"/>
    <w:rsid w:val="002944C0"/>
    <w:rsid w:val="002944D2"/>
    <w:rsid w:val="002944FB"/>
    <w:rsid w:val="0029457A"/>
    <w:rsid w:val="0029459A"/>
    <w:rsid w:val="002945ED"/>
    <w:rsid w:val="00294648"/>
    <w:rsid w:val="0029466A"/>
    <w:rsid w:val="0029469B"/>
    <w:rsid w:val="002946B1"/>
    <w:rsid w:val="002946CC"/>
    <w:rsid w:val="002946E4"/>
    <w:rsid w:val="002946EB"/>
    <w:rsid w:val="002946FF"/>
    <w:rsid w:val="0029471B"/>
    <w:rsid w:val="00294727"/>
    <w:rsid w:val="0029472F"/>
    <w:rsid w:val="0029478C"/>
    <w:rsid w:val="0029479E"/>
    <w:rsid w:val="002947C5"/>
    <w:rsid w:val="002947CD"/>
    <w:rsid w:val="00294851"/>
    <w:rsid w:val="0029488F"/>
    <w:rsid w:val="0029492E"/>
    <w:rsid w:val="00294964"/>
    <w:rsid w:val="00294995"/>
    <w:rsid w:val="0029499B"/>
    <w:rsid w:val="002949BA"/>
    <w:rsid w:val="00294A1C"/>
    <w:rsid w:val="00294A83"/>
    <w:rsid w:val="00294B16"/>
    <w:rsid w:val="00294B97"/>
    <w:rsid w:val="00294BC4"/>
    <w:rsid w:val="00294BCF"/>
    <w:rsid w:val="00294C43"/>
    <w:rsid w:val="00294D0D"/>
    <w:rsid w:val="00294D2F"/>
    <w:rsid w:val="00294D8E"/>
    <w:rsid w:val="00294DE0"/>
    <w:rsid w:val="00294DF6"/>
    <w:rsid w:val="00294E4E"/>
    <w:rsid w:val="00294E79"/>
    <w:rsid w:val="00294E83"/>
    <w:rsid w:val="00294EAE"/>
    <w:rsid w:val="00294EB8"/>
    <w:rsid w:val="00294EB9"/>
    <w:rsid w:val="00294EF2"/>
    <w:rsid w:val="00294F22"/>
    <w:rsid w:val="00294F76"/>
    <w:rsid w:val="00294F87"/>
    <w:rsid w:val="00294F8C"/>
    <w:rsid w:val="00294FD2"/>
    <w:rsid w:val="00295016"/>
    <w:rsid w:val="00295042"/>
    <w:rsid w:val="002950B2"/>
    <w:rsid w:val="002950EC"/>
    <w:rsid w:val="00295107"/>
    <w:rsid w:val="00295155"/>
    <w:rsid w:val="00295186"/>
    <w:rsid w:val="002951B2"/>
    <w:rsid w:val="002951D6"/>
    <w:rsid w:val="002951FB"/>
    <w:rsid w:val="00295253"/>
    <w:rsid w:val="0029526D"/>
    <w:rsid w:val="0029528A"/>
    <w:rsid w:val="00295319"/>
    <w:rsid w:val="002953D4"/>
    <w:rsid w:val="00295474"/>
    <w:rsid w:val="002954AB"/>
    <w:rsid w:val="002954B7"/>
    <w:rsid w:val="002954ED"/>
    <w:rsid w:val="00295561"/>
    <w:rsid w:val="00295577"/>
    <w:rsid w:val="002955BF"/>
    <w:rsid w:val="002955C3"/>
    <w:rsid w:val="002955D3"/>
    <w:rsid w:val="002955F3"/>
    <w:rsid w:val="002955F4"/>
    <w:rsid w:val="00295652"/>
    <w:rsid w:val="0029566A"/>
    <w:rsid w:val="0029569C"/>
    <w:rsid w:val="002956F3"/>
    <w:rsid w:val="002957AB"/>
    <w:rsid w:val="002957CC"/>
    <w:rsid w:val="0029581D"/>
    <w:rsid w:val="0029581E"/>
    <w:rsid w:val="0029587E"/>
    <w:rsid w:val="002958BA"/>
    <w:rsid w:val="0029591B"/>
    <w:rsid w:val="0029591C"/>
    <w:rsid w:val="00295955"/>
    <w:rsid w:val="0029595A"/>
    <w:rsid w:val="00295964"/>
    <w:rsid w:val="00295983"/>
    <w:rsid w:val="002959A6"/>
    <w:rsid w:val="002959B5"/>
    <w:rsid w:val="002959D0"/>
    <w:rsid w:val="002959E5"/>
    <w:rsid w:val="002959EA"/>
    <w:rsid w:val="00295A0F"/>
    <w:rsid w:val="00295A87"/>
    <w:rsid w:val="00295AE3"/>
    <w:rsid w:val="00295AE7"/>
    <w:rsid w:val="00295B41"/>
    <w:rsid w:val="00295B5A"/>
    <w:rsid w:val="00295BA3"/>
    <w:rsid w:val="00295BAB"/>
    <w:rsid w:val="00295C95"/>
    <w:rsid w:val="00295CE1"/>
    <w:rsid w:val="00295D1E"/>
    <w:rsid w:val="00295D56"/>
    <w:rsid w:val="00295D7B"/>
    <w:rsid w:val="00295D87"/>
    <w:rsid w:val="00295DB9"/>
    <w:rsid w:val="00295DC3"/>
    <w:rsid w:val="00295DEE"/>
    <w:rsid w:val="00295E2B"/>
    <w:rsid w:val="00295E38"/>
    <w:rsid w:val="00295F01"/>
    <w:rsid w:val="00295F56"/>
    <w:rsid w:val="00295F80"/>
    <w:rsid w:val="00295FFF"/>
    <w:rsid w:val="0029600B"/>
    <w:rsid w:val="00296072"/>
    <w:rsid w:val="002960AB"/>
    <w:rsid w:val="0029619B"/>
    <w:rsid w:val="002961DC"/>
    <w:rsid w:val="002961F5"/>
    <w:rsid w:val="00296210"/>
    <w:rsid w:val="002962D5"/>
    <w:rsid w:val="00296373"/>
    <w:rsid w:val="002963AC"/>
    <w:rsid w:val="002963F9"/>
    <w:rsid w:val="00296405"/>
    <w:rsid w:val="0029643D"/>
    <w:rsid w:val="00296449"/>
    <w:rsid w:val="0029647E"/>
    <w:rsid w:val="002964FC"/>
    <w:rsid w:val="0029650F"/>
    <w:rsid w:val="00296532"/>
    <w:rsid w:val="0029655E"/>
    <w:rsid w:val="00296580"/>
    <w:rsid w:val="002965BA"/>
    <w:rsid w:val="002965CF"/>
    <w:rsid w:val="0029660B"/>
    <w:rsid w:val="002966A0"/>
    <w:rsid w:val="00296708"/>
    <w:rsid w:val="00296720"/>
    <w:rsid w:val="00296732"/>
    <w:rsid w:val="00296795"/>
    <w:rsid w:val="002967B4"/>
    <w:rsid w:val="002967CC"/>
    <w:rsid w:val="0029689F"/>
    <w:rsid w:val="0029690F"/>
    <w:rsid w:val="00296965"/>
    <w:rsid w:val="00296973"/>
    <w:rsid w:val="002969E2"/>
    <w:rsid w:val="00296A19"/>
    <w:rsid w:val="00296A25"/>
    <w:rsid w:val="00296A41"/>
    <w:rsid w:val="00296A43"/>
    <w:rsid w:val="00296A50"/>
    <w:rsid w:val="00296A68"/>
    <w:rsid w:val="00296B04"/>
    <w:rsid w:val="00296B4B"/>
    <w:rsid w:val="00296B65"/>
    <w:rsid w:val="00296B7B"/>
    <w:rsid w:val="00296C2A"/>
    <w:rsid w:val="00296C3F"/>
    <w:rsid w:val="00296C8F"/>
    <w:rsid w:val="00296D15"/>
    <w:rsid w:val="00296DE1"/>
    <w:rsid w:val="00296DE4"/>
    <w:rsid w:val="00296E02"/>
    <w:rsid w:val="00296E62"/>
    <w:rsid w:val="00296EB5"/>
    <w:rsid w:val="00296EC9"/>
    <w:rsid w:val="00296EDC"/>
    <w:rsid w:val="00296EE7"/>
    <w:rsid w:val="00296EF6"/>
    <w:rsid w:val="00296FA4"/>
    <w:rsid w:val="00296FE5"/>
    <w:rsid w:val="00297001"/>
    <w:rsid w:val="00297059"/>
    <w:rsid w:val="0029709B"/>
    <w:rsid w:val="0029709F"/>
    <w:rsid w:val="002970B0"/>
    <w:rsid w:val="002970CC"/>
    <w:rsid w:val="00297114"/>
    <w:rsid w:val="002971C0"/>
    <w:rsid w:val="002971F2"/>
    <w:rsid w:val="0029722D"/>
    <w:rsid w:val="0029728B"/>
    <w:rsid w:val="002972DA"/>
    <w:rsid w:val="002972F8"/>
    <w:rsid w:val="00297330"/>
    <w:rsid w:val="0029733D"/>
    <w:rsid w:val="00297355"/>
    <w:rsid w:val="00297391"/>
    <w:rsid w:val="00297401"/>
    <w:rsid w:val="00297407"/>
    <w:rsid w:val="00297462"/>
    <w:rsid w:val="00297468"/>
    <w:rsid w:val="00297490"/>
    <w:rsid w:val="002974B5"/>
    <w:rsid w:val="002974B6"/>
    <w:rsid w:val="002974BB"/>
    <w:rsid w:val="00297505"/>
    <w:rsid w:val="0029751A"/>
    <w:rsid w:val="0029754B"/>
    <w:rsid w:val="00297554"/>
    <w:rsid w:val="00297592"/>
    <w:rsid w:val="002975A6"/>
    <w:rsid w:val="002975CB"/>
    <w:rsid w:val="002975EC"/>
    <w:rsid w:val="00297625"/>
    <w:rsid w:val="00297652"/>
    <w:rsid w:val="00297662"/>
    <w:rsid w:val="00297673"/>
    <w:rsid w:val="00297806"/>
    <w:rsid w:val="00297860"/>
    <w:rsid w:val="00297878"/>
    <w:rsid w:val="002978B3"/>
    <w:rsid w:val="002978B7"/>
    <w:rsid w:val="002978F8"/>
    <w:rsid w:val="0029794B"/>
    <w:rsid w:val="00297957"/>
    <w:rsid w:val="0029797C"/>
    <w:rsid w:val="002979E7"/>
    <w:rsid w:val="002979EF"/>
    <w:rsid w:val="00297A57"/>
    <w:rsid w:val="00297A96"/>
    <w:rsid w:val="00297AFB"/>
    <w:rsid w:val="00297B49"/>
    <w:rsid w:val="00297B52"/>
    <w:rsid w:val="00297B8E"/>
    <w:rsid w:val="00297C16"/>
    <w:rsid w:val="00297C3F"/>
    <w:rsid w:val="00297C45"/>
    <w:rsid w:val="00297C80"/>
    <w:rsid w:val="00297C8A"/>
    <w:rsid w:val="00297CBB"/>
    <w:rsid w:val="00297CC3"/>
    <w:rsid w:val="00297CC8"/>
    <w:rsid w:val="00297CF6"/>
    <w:rsid w:val="00297D62"/>
    <w:rsid w:val="00297D89"/>
    <w:rsid w:val="00297D9C"/>
    <w:rsid w:val="00297DA5"/>
    <w:rsid w:val="00297E02"/>
    <w:rsid w:val="00297E07"/>
    <w:rsid w:val="00297E14"/>
    <w:rsid w:val="00297E7F"/>
    <w:rsid w:val="00297E92"/>
    <w:rsid w:val="00297F08"/>
    <w:rsid w:val="00297F0F"/>
    <w:rsid w:val="00297F69"/>
    <w:rsid w:val="00297FAE"/>
    <w:rsid w:val="002A002E"/>
    <w:rsid w:val="002A009B"/>
    <w:rsid w:val="002A00D1"/>
    <w:rsid w:val="002A019D"/>
    <w:rsid w:val="002A01C2"/>
    <w:rsid w:val="002A0245"/>
    <w:rsid w:val="002A0286"/>
    <w:rsid w:val="002A02C9"/>
    <w:rsid w:val="002A0353"/>
    <w:rsid w:val="002A0378"/>
    <w:rsid w:val="002A03D7"/>
    <w:rsid w:val="002A040F"/>
    <w:rsid w:val="002A0415"/>
    <w:rsid w:val="002A0467"/>
    <w:rsid w:val="002A0487"/>
    <w:rsid w:val="002A04DA"/>
    <w:rsid w:val="002A0539"/>
    <w:rsid w:val="002A0579"/>
    <w:rsid w:val="002A0580"/>
    <w:rsid w:val="002A0590"/>
    <w:rsid w:val="002A05AE"/>
    <w:rsid w:val="002A05B4"/>
    <w:rsid w:val="002A0676"/>
    <w:rsid w:val="002A06DE"/>
    <w:rsid w:val="002A0700"/>
    <w:rsid w:val="002A0746"/>
    <w:rsid w:val="002A0756"/>
    <w:rsid w:val="002A0768"/>
    <w:rsid w:val="002A0775"/>
    <w:rsid w:val="002A077B"/>
    <w:rsid w:val="002A07DD"/>
    <w:rsid w:val="002A0863"/>
    <w:rsid w:val="002A08D3"/>
    <w:rsid w:val="002A0931"/>
    <w:rsid w:val="002A0974"/>
    <w:rsid w:val="002A0981"/>
    <w:rsid w:val="002A09E0"/>
    <w:rsid w:val="002A0A92"/>
    <w:rsid w:val="002A0AEE"/>
    <w:rsid w:val="002A0B25"/>
    <w:rsid w:val="002A0B2E"/>
    <w:rsid w:val="002A0B47"/>
    <w:rsid w:val="002A0B8A"/>
    <w:rsid w:val="002A0C4E"/>
    <w:rsid w:val="002A0C9C"/>
    <w:rsid w:val="002A0CA1"/>
    <w:rsid w:val="002A0D2A"/>
    <w:rsid w:val="002A0D5C"/>
    <w:rsid w:val="002A0DAA"/>
    <w:rsid w:val="002A0E3B"/>
    <w:rsid w:val="002A0E5F"/>
    <w:rsid w:val="002A0E75"/>
    <w:rsid w:val="002A0F1E"/>
    <w:rsid w:val="002A0FCE"/>
    <w:rsid w:val="002A1017"/>
    <w:rsid w:val="002A1022"/>
    <w:rsid w:val="002A103F"/>
    <w:rsid w:val="002A117B"/>
    <w:rsid w:val="002A1184"/>
    <w:rsid w:val="002A1196"/>
    <w:rsid w:val="002A1226"/>
    <w:rsid w:val="002A122A"/>
    <w:rsid w:val="002A1283"/>
    <w:rsid w:val="002A133A"/>
    <w:rsid w:val="002A13B2"/>
    <w:rsid w:val="002A144D"/>
    <w:rsid w:val="002A147A"/>
    <w:rsid w:val="002A1487"/>
    <w:rsid w:val="002A149D"/>
    <w:rsid w:val="002A1540"/>
    <w:rsid w:val="002A1594"/>
    <w:rsid w:val="002A15A3"/>
    <w:rsid w:val="002A15B9"/>
    <w:rsid w:val="002A1648"/>
    <w:rsid w:val="002A1659"/>
    <w:rsid w:val="002A16FD"/>
    <w:rsid w:val="002A1747"/>
    <w:rsid w:val="002A1790"/>
    <w:rsid w:val="002A17B7"/>
    <w:rsid w:val="002A186E"/>
    <w:rsid w:val="002A18BD"/>
    <w:rsid w:val="002A18CA"/>
    <w:rsid w:val="002A18DB"/>
    <w:rsid w:val="002A192C"/>
    <w:rsid w:val="002A1941"/>
    <w:rsid w:val="002A1957"/>
    <w:rsid w:val="002A1968"/>
    <w:rsid w:val="002A19B0"/>
    <w:rsid w:val="002A19F1"/>
    <w:rsid w:val="002A19F4"/>
    <w:rsid w:val="002A1A24"/>
    <w:rsid w:val="002A1AA0"/>
    <w:rsid w:val="002A1B13"/>
    <w:rsid w:val="002A1B66"/>
    <w:rsid w:val="002A1BBA"/>
    <w:rsid w:val="002A1BBC"/>
    <w:rsid w:val="002A1BF2"/>
    <w:rsid w:val="002A1C09"/>
    <w:rsid w:val="002A1C0B"/>
    <w:rsid w:val="002A1C37"/>
    <w:rsid w:val="002A1C4F"/>
    <w:rsid w:val="002A1C65"/>
    <w:rsid w:val="002A1CC0"/>
    <w:rsid w:val="002A1D72"/>
    <w:rsid w:val="002A1E01"/>
    <w:rsid w:val="002A1E08"/>
    <w:rsid w:val="002A1E2B"/>
    <w:rsid w:val="002A1E31"/>
    <w:rsid w:val="002A1E40"/>
    <w:rsid w:val="002A1E45"/>
    <w:rsid w:val="002A1E4B"/>
    <w:rsid w:val="002A1EB0"/>
    <w:rsid w:val="002A1EB4"/>
    <w:rsid w:val="002A1EC4"/>
    <w:rsid w:val="002A1F21"/>
    <w:rsid w:val="002A1F70"/>
    <w:rsid w:val="002A203C"/>
    <w:rsid w:val="002A2077"/>
    <w:rsid w:val="002A208B"/>
    <w:rsid w:val="002A20C4"/>
    <w:rsid w:val="002A20ED"/>
    <w:rsid w:val="002A20F1"/>
    <w:rsid w:val="002A20FB"/>
    <w:rsid w:val="002A2134"/>
    <w:rsid w:val="002A2165"/>
    <w:rsid w:val="002A2232"/>
    <w:rsid w:val="002A2238"/>
    <w:rsid w:val="002A224A"/>
    <w:rsid w:val="002A2257"/>
    <w:rsid w:val="002A22A7"/>
    <w:rsid w:val="002A22B7"/>
    <w:rsid w:val="002A2303"/>
    <w:rsid w:val="002A2326"/>
    <w:rsid w:val="002A2346"/>
    <w:rsid w:val="002A236B"/>
    <w:rsid w:val="002A2410"/>
    <w:rsid w:val="002A2417"/>
    <w:rsid w:val="002A2422"/>
    <w:rsid w:val="002A2444"/>
    <w:rsid w:val="002A2457"/>
    <w:rsid w:val="002A2490"/>
    <w:rsid w:val="002A24D4"/>
    <w:rsid w:val="002A24DB"/>
    <w:rsid w:val="002A24E1"/>
    <w:rsid w:val="002A257C"/>
    <w:rsid w:val="002A2586"/>
    <w:rsid w:val="002A262B"/>
    <w:rsid w:val="002A2689"/>
    <w:rsid w:val="002A26AB"/>
    <w:rsid w:val="002A26E9"/>
    <w:rsid w:val="002A26FE"/>
    <w:rsid w:val="002A2713"/>
    <w:rsid w:val="002A275E"/>
    <w:rsid w:val="002A2772"/>
    <w:rsid w:val="002A27A4"/>
    <w:rsid w:val="002A27C2"/>
    <w:rsid w:val="002A2801"/>
    <w:rsid w:val="002A2808"/>
    <w:rsid w:val="002A283C"/>
    <w:rsid w:val="002A284E"/>
    <w:rsid w:val="002A284F"/>
    <w:rsid w:val="002A28A3"/>
    <w:rsid w:val="002A28BC"/>
    <w:rsid w:val="002A28EB"/>
    <w:rsid w:val="002A2934"/>
    <w:rsid w:val="002A298C"/>
    <w:rsid w:val="002A2A39"/>
    <w:rsid w:val="002A2A53"/>
    <w:rsid w:val="002A2A62"/>
    <w:rsid w:val="002A2A67"/>
    <w:rsid w:val="002A2A73"/>
    <w:rsid w:val="002A2AE8"/>
    <w:rsid w:val="002A2AF3"/>
    <w:rsid w:val="002A2B3D"/>
    <w:rsid w:val="002A2B77"/>
    <w:rsid w:val="002A2BA2"/>
    <w:rsid w:val="002A2BAE"/>
    <w:rsid w:val="002A2BD2"/>
    <w:rsid w:val="002A2BDB"/>
    <w:rsid w:val="002A2C01"/>
    <w:rsid w:val="002A2CD7"/>
    <w:rsid w:val="002A2D3D"/>
    <w:rsid w:val="002A2E1E"/>
    <w:rsid w:val="002A2E4A"/>
    <w:rsid w:val="002A2E5C"/>
    <w:rsid w:val="002A2ED6"/>
    <w:rsid w:val="002A2EF1"/>
    <w:rsid w:val="002A2F0E"/>
    <w:rsid w:val="002A2F36"/>
    <w:rsid w:val="002A2F4F"/>
    <w:rsid w:val="002A2F5F"/>
    <w:rsid w:val="002A2FC6"/>
    <w:rsid w:val="002A2FEB"/>
    <w:rsid w:val="002A3035"/>
    <w:rsid w:val="002A3067"/>
    <w:rsid w:val="002A307D"/>
    <w:rsid w:val="002A30A5"/>
    <w:rsid w:val="002A316D"/>
    <w:rsid w:val="002A318A"/>
    <w:rsid w:val="002A31B6"/>
    <w:rsid w:val="002A3211"/>
    <w:rsid w:val="002A3226"/>
    <w:rsid w:val="002A325D"/>
    <w:rsid w:val="002A329E"/>
    <w:rsid w:val="002A32A9"/>
    <w:rsid w:val="002A32C4"/>
    <w:rsid w:val="002A32DD"/>
    <w:rsid w:val="002A334B"/>
    <w:rsid w:val="002A337E"/>
    <w:rsid w:val="002A33AE"/>
    <w:rsid w:val="002A33C7"/>
    <w:rsid w:val="002A33DF"/>
    <w:rsid w:val="002A343E"/>
    <w:rsid w:val="002A34B5"/>
    <w:rsid w:val="002A354A"/>
    <w:rsid w:val="002A3554"/>
    <w:rsid w:val="002A3581"/>
    <w:rsid w:val="002A35E4"/>
    <w:rsid w:val="002A362C"/>
    <w:rsid w:val="002A3631"/>
    <w:rsid w:val="002A3640"/>
    <w:rsid w:val="002A36BD"/>
    <w:rsid w:val="002A379A"/>
    <w:rsid w:val="002A37A2"/>
    <w:rsid w:val="002A386C"/>
    <w:rsid w:val="002A389E"/>
    <w:rsid w:val="002A38AB"/>
    <w:rsid w:val="002A38CF"/>
    <w:rsid w:val="002A38F8"/>
    <w:rsid w:val="002A39B3"/>
    <w:rsid w:val="002A39D0"/>
    <w:rsid w:val="002A3B95"/>
    <w:rsid w:val="002A3BDD"/>
    <w:rsid w:val="002A3C42"/>
    <w:rsid w:val="002A3C73"/>
    <w:rsid w:val="002A3CE0"/>
    <w:rsid w:val="002A3CE9"/>
    <w:rsid w:val="002A3D0E"/>
    <w:rsid w:val="002A3D64"/>
    <w:rsid w:val="002A3D6C"/>
    <w:rsid w:val="002A3E2D"/>
    <w:rsid w:val="002A3E67"/>
    <w:rsid w:val="002A3E68"/>
    <w:rsid w:val="002A3E94"/>
    <w:rsid w:val="002A3EF6"/>
    <w:rsid w:val="002A3F15"/>
    <w:rsid w:val="002A3F76"/>
    <w:rsid w:val="002A3F80"/>
    <w:rsid w:val="002A3FE0"/>
    <w:rsid w:val="002A3FE9"/>
    <w:rsid w:val="002A4029"/>
    <w:rsid w:val="002A404C"/>
    <w:rsid w:val="002A4065"/>
    <w:rsid w:val="002A40AC"/>
    <w:rsid w:val="002A40B8"/>
    <w:rsid w:val="002A40C6"/>
    <w:rsid w:val="002A40C8"/>
    <w:rsid w:val="002A4127"/>
    <w:rsid w:val="002A4135"/>
    <w:rsid w:val="002A413B"/>
    <w:rsid w:val="002A416C"/>
    <w:rsid w:val="002A4230"/>
    <w:rsid w:val="002A425B"/>
    <w:rsid w:val="002A42BF"/>
    <w:rsid w:val="002A42C8"/>
    <w:rsid w:val="002A432D"/>
    <w:rsid w:val="002A4334"/>
    <w:rsid w:val="002A436C"/>
    <w:rsid w:val="002A4390"/>
    <w:rsid w:val="002A43A0"/>
    <w:rsid w:val="002A43B0"/>
    <w:rsid w:val="002A43C4"/>
    <w:rsid w:val="002A4403"/>
    <w:rsid w:val="002A4408"/>
    <w:rsid w:val="002A440A"/>
    <w:rsid w:val="002A4428"/>
    <w:rsid w:val="002A4442"/>
    <w:rsid w:val="002A4478"/>
    <w:rsid w:val="002A4490"/>
    <w:rsid w:val="002A44DD"/>
    <w:rsid w:val="002A4511"/>
    <w:rsid w:val="002A4515"/>
    <w:rsid w:val="002A4554"/>
    <w:rsid w:val="002A455A"/>
    <w:rsid w:val="002A456D"/>
    <w:rsid w:val="002A458F"/>
    <w:rsid w:val="002A459F"/>
    <w:rsid w:val="002A45BE"/>
    <w:rsid w:val="002A4684"/>
    <w:rsid w:val="002A46A6"/>
    <w:rsid w:val="002A46AB"/>
    <w:rsid w:val="002A4705"/>
    <w:rsid w:val="002A4740"/>
    <w:rsid w:val="002A474A"/>
    <w:rsid w:val="002A478A"/>
    <w:rsid w:val="002A47B5"/>
    <w:rsid w:val="002A47C3"/>
    <w:rsid w:val="002A47E8"/>
    <w:rsid w:val="002A47F9"/>
    <w:rsid w:val="002A483A"/>
    <w:rsid w:val="002A483C"/>
    <w:rsid w:val="002A4857"/>
    <w:rsid w:val="002A4863"/>
    <w:rsid w:val="002A4944"/>
    <w:rsid w:val="002A495D"/>
    <w:rsid w:val="002A49C9"/>
    <w:rsid w:val="002A4A0C"/>
    <w:rsid w:val="002A4A0E"/>
    <w:rsid w:val="002A4A25"/>
    <w:rsid w:val="002A4A53"/>
    <w:rsid w:val="002A4A7B"/>
    <w:rsid w:val="002A4AAC"/>
    <w:rsid w:val="002A4AEA"/>
    <w:rsid w:val="002A4BEF"/>
    <w:rsid w:val="002A4C51"/>
    <w:rsid w:val="002A4C58"/>
    <w:rsid w:val="002A4C86"/>
    <w:rsid w:val="002A4CB6"/>
    <w:rsid w:val="002A4D07"/>
    <w:rsid w:val="002A4DCC"/>
    <w:rsid w:val="002A4DF0"/>
    <w:rsid w:val="002A4E34"/>
    <w:rsid w:val="002A4E51"/>
    <w:rsid w:val="002A4EB3"/>
    <w:rsid w:val="002A4EC5"/>
    <w:rsid w:val="002A4F2F"/>
    <w:rsid w:val="002A4F9B"/>
    <w:rsid w:val="002A4FA6"/>
    <w:rsid w:val="002A4FC2"/>
    <w:rsid w:val="002A5025"/>
    <w:rsid w:val="002A5033"/>
    <w:rsid w:val="002A5049"/>
    <w:rsid w:val="002A504D"/>
    <w:rsid w:val="002A5071"/>
    <w:rsid w:val="002A50D3"/>
    <w:rsid w:val="002A5100"/>
    <w:rsid w:val="002A510D"/>
    <w:rsid w:val="002A511B"/>
    <w:rsid w:val="002A517E"/>
    <w:rsid w:val="002A51E4"/>
    <w:rsid w:val="002A524E"/>
    <w:rsid w:val="002A527A"/>
    <w:rsid w:val="002A527F"/>
    <w:rsid w:val="002A5309"/>
    <w:rsid w:val="002A5321"/>
    <w:rsid w:val="002A5322"/>
    <w:rsid w:val="002A5326"/>
    <w:rsid w:val="002A5353"/>
    <w:rsid w:val="002A535A"/>
    <w:rsid w:val="002A53C0"/>
    <w:rsid w:val="002A53DB"/>
    <w:rsid w:val="002A53F1"/>
    <w:rsid w:val="002A55A6"/>
    <w:rsid w:val="002A55B2"/>
    <w:rsid w:val="002A55B8"/>
    <w:rsid w:val="002A55C0"/>
    <w:rsid w:val="002A561A"/>
    <w:rsid w:val="002A5648"/>
    <w:rsid w:val="002A5649"/>
    <w:rsid w:val="002A5656"/>
    <w:rsid w:val="002A56AA"/>
    <w:rsid w:val="002A5753"/>
    <w:rsid w:val="002A5762"/>
    <w:rsid w:val="002A57AD"/>
    <w:rsid w:val="002A57D7"/>
    <w:rsid w:val="002A5869"/>
    <w:rsid w:val="002A58B0"/>
    <w:rsid w:val="002A58B2"/>
    <w:rsid w:val="002A58DF"/>
    <w:rsid w:val="002A58E5"/>
    <w:rsid w:val="002A5912"/>
    <w:rsid w:val="002A591A"/>
    <w:rsid w:val="002A593C"/>
    <w:rsid w:val="002A594B"/>
    <w:rsid w:val="002A5956"/>
    <w:rsid w:val="002A5A0B"/>
    <w:rsid w:val="002A5A0F"/>
    <w:rsid w:val="002A5A1E"/>
    <w:rsid w:val="002A5A3C"/>
    <w:rsid w:val="002A5AA1"/>
    <w:rsid w:val="002A5AB3"/>
    <w:rsid w:val="002A5AC1"/>
    <w:rsid w:val="002A5ADB"/>
    <w:rsid w:val="002A5ADE"/>
    <w:rsid w:val="002A5B38"/>
    <w:rsid w:val="002A5B89"/>
    <w:rsid w:val="002A5BC7"/>
    <w:rsid w:val="002A5BFE"/>
    <w:rsid w:val="002A5C72"/>
    <w:rsid w:val="002A5CA9"/>
    <w:rsid w:val="002A5CB4"/>
    <w:rsid w:val="002A5CBA"/>
    <w:rsid w:val="002A5CD1"/>
    <w:rsid w:val="002A5CF0"/>
    <w:rsid w:val="002A5D4A"/>
    <w:rsid w:val="002A5D59"/>
    <w:rsid w:val="002A5D79"/>
    <w:rsid w:val="002A5D83"/>
    <w:rsid w:val="002A5D95"/>
    <w:rsid w:val="002A5DB3"/>
    <w:rsid w:val="002A5E0C"/>
    <w:rsid w:val="002A5E11"/>
    <w:rsid w:val="002A5E12"/>
    <w:rsid w:val="002A5E22"/>
    <w:rsid w:val="002A5E38"/>
    <w:rsid w:val="002A5E3B"/>
    <w:rsid w:val="002A5EA6"/>
    <w:rsid w:val="002A5F0B"/>
    <w:rsid w:val="002A5F11"/>
    <w:rsid w:val="002A5F13"/>
    <w:rsid w:val="002A5F6D"/>
    <w:rsid w:val="002A5FD9"/>
    <w:rsid w:val="002A6085"/>
    <w:rsid w:val="002A60DE"/>
    <w:rsid w:val="002A6104"/>
    <w:rsid w:val="002A6111"/>
    <w:rsid w:val="002A6186"/>
    <w:rsid w:val="002A61A5"/>
    <w:rsid w:val="002A61C0"/>
    <w:rsid w:val="002A61DD"/>
    <w:rsid w:val="002A622E"/>
    <w:rsid w:val="002A6231"/>
    <w:rsid w:val="002A624B"/>
    <w:rsid w:val="002A6255"/>
    <w:rsid w:val="002A62F6"/>
    <w:rsid w:val="002A6316"/>
    <w:rsid w:val="002A6326"/>
    <w:rsid w:val="002A63CC"/>
    <w:rsid w:val="002A63E7"/>
    <w:rsid w:val="002A63F5"/>
    <w:rsid w:val="002A642F"/>
    <w:rsid w:val="002A6468"/>
    <w:rsid w:val="002A646C"/>
    <w:rsid w:val="002A6491"/>
    <w:rsid w:val="002A64A2"/>
    <w:rsid w:val="002A64CD"/>
    <w:rsid w:val="002A65FF"/>
    <w:rsid w:val="002A660B"/>
    <w:rsid w:val="002A6629"/>
    <w:rsid w:val="002A6640"/>
    <w:rsid w:val="002A6641"/>
    <w:rsid w:val="002A6647"/>
    <w:rsid w:val="002A6682"/>
    <w:rsid w:val="002A6697"/>
    <w:rsid w:val="002A66AF"/>
    <w:rsid w:val="002A66E9"/>
    <w:rsid w:val="002A6735"/>
    <w:rsid w:val="002A6767"/>
    <w:rsid w:val="002A6785"/>
    <w:rsid w:val="002A682A"/>
    <w:rsid w:val="002A6891"/>
    <w:rsid w:val="002A68A3"/>
    <w:rsid w:val="002A68A8"/>
    <w:rsid w:val="002A68CE"/>
    <w:rsid w:val="002A68D8"/>
    <w:rsid w:val="002A69C6"/>
    <w:rsid w:val="002A69CF"/>
    <w:rsid w:val="002A69E5"/>
    <w:rsid w:val="002A6A16"/>
    <w:rsid w:val="002A6A3C"/>
    <w:rsid w:val="002A6A50"/>
    <w:rsid w:val="002A6A53"/>
    <w:rsid w:val="002A6A99"/>
    <w:rsid w:val="002A6B2D"/>
    <w:rsid w:val="002A6B3E"/>
    <w:rsid w:val="002A6B44"/>
    <w:rsid w:val="002A6BF4"/>
    <w:rsid w:val="002A6C07"/>
    <w:rsid w:val="002A6C1D"/>
    <w:rsid w:val="002A6C46"/>
    <w:rsid w:val="002A6D1E"/>
    <w:rsid w:val="002A6D23"/>
    <w:rsid w:val="002A6D2B"/>
    <w:rsid w:val="002A6D76"/>
    <w:rsid w:val="002A6D79"/>
    <w:rsid w:val="002A6DD7"/>
    <w:rsid w:val="002A6DE5"/>
    <w:rsid w:val="002A6DFE"/>
    <w:rsid w:val="002A6E6A"/>
    <w:rsid w:val="002A6E8D"/>
    <w:rsid w:val="002A6F29"/>
    <w:rsid w:val="002A6F47"/>
    <w:rsid w:val="002A6FB5"/>
    <w:rsid w:val="002A6FC8"/>
    <w:rsid w:val="002A7032"/>
    <w:rsid w:val="002A706B"/>
    <w:rsid w:val="002A7079"/>
    <w:rsid w:val="002A70B1"/>
    <w:rsid w:val="002A70E2"/>
    <w:rsid w:val="002A70FB"/>
    <w:rsid w:val="002A7115"/>
    <w:rsid w:val="002A71E0"/>
    <w:rsid w:val="002A71FF"/>
    <w:rsid w:val="002A724F"/>
    <w:rsid w:val="002A7252"/>
    <w:rsid w:val="002A7270"/>
    <w:rsid w:val="002A7298"/>
    <w:rsid w:val="002A7347"/>
    <w:rsid w:val="002A73AF"/>
    <w:rsid w:val="002A73F0"/>
    <w:rsid w:val="002A7453"/>
    <w:rsid w:val="002A748B"/>
    <w:rsid w:val="002A74D5"/>
    <w:rsid w:val="002A74F4"/>
    <w:rsid w:val="002A7510"/>
    <w:rsid w:val="002A7514"/>
    <w:rsid w:val="002A7581"/>
    <w:rsid w:val="002A7619"/>
    <w:rsid w:val="002A7674"/>
    <w:rsid w:val="002A76B4"/>
    <w:rsid w:val="002A7719"/>
    <w:rsid w:val="002A7759"/>
    <w:rsid w:val="002A7785"/>
    <w:rsid w:val="002A7788"/>
    <w:rsid w:val="002A77DC"/>
    <w:rsid w:val="002A7802"/>
    <w:rsid w:val="002A78A6"/>
    <w:rsid w:val="002A7911"/>
    <w:rsid w:val="002A7942"/>
    <w:rsid w:val="002A794F"/>
    <w:rsid w:val="002A795E"/>
    <w:rsid w:val="002A79A4"/>
    <w:rsid w:val="002A79C1"/>
    <w:rsid w:val="002A7A53"/>
    <w:rsid w:val="002A7A56"/>
    <w:rsid w:val="002A7ABE"/>
    <w:rsid w:val="002A7AF2"/>
    <w:rsid w:val="002A7B0A"/>
    <w:rsid w:val="002A7B58"/>
    <w:rsid w:val="002A7B99"/>
    <w:rsid w:val="002A7BAB"/>
    <w:rsid w:val="002A7BC9"/>
    <w:rsid w:val="002A7C2D"/>
    <w:rsid w:val="002A7C70"/>
    <w:rsid w:val="002A7CB7"/>
    <w:rsid w:val="002A7D3B"/>
    <w:rsid w:val="002A7DFF"/>
    <w:rsid w:val="002A7E31"/>
    <w:rsid w:val="002A7E8E"/>
    <w:rsid w:val="002A7EF5"/>
    <w:rsid w:val="002A7F33"/>
    <w:rsid w:val="002A7F41"/>
    <w:rsid w:val="002A7F85"/>
    <w:rsid w:val="002A7F88"/>
    <w:rsid w:val="002A7FAF"/>
    <w:rsid w:val="002A7FCD"/>
    <w:rsid w:val="002A7FF6"/>
    <w:rsid w:val="002B0012"/>
    <w:rsid w:val="002B004B"/>
    <w:rsid w:val="002B005C"/>
    <w:rsid w:val="002B0137"/>
    <w:rsid w:val="002B0143"/>
    <w:rsid w:val="002B01EF"/>
    <w:rsid w:val="002B0209"/>
    <w:rsid w:val="002B0217"/>
    <w:rsid w:val="002B0238"/>
    <w:rsid w:val="002B024A"/>
    <w:rsid w:val="002B026D"/>
    <w:rsid w:val="002B027A"/>
    <w:rsid w:val="002B0294"/>
    <w:rsid w:val="002B02B2"/>
    <w:rsid w:val="002B02C9"/>
    <w:rsid w:val="002B0367"/>
    <w:rsid w:val="002B0387"/>
    <w:rsid w:val="002B038E"/>
    <w:rsid w:val="002B03A6"/>
    <w:rsid w:val="002B03FB"/>
    <w:rsid w:val="002B0420"/>
    <w:rsid w:val="002B04DA"/>
    <w:rsid w:val="002B0500"/>
    <w:rsid w:val="002B0534"/>
    <w:rsid w:val="002B0583"/>
    <w:rsid w:val="002B0585"/>
    <w:rsid w:val="002B05B8"/>
    <w:rsid w:val="002B05D9"/>
    <w:rsid w:val="002B0603"/>
    <w:rsid w:val="002B065C"/>
    <w:rsid w:val="002B0718"/>
    <w:rsid w:val="002B0749"/>
    <w:rsid w:val="002B076F"/>
    <w:rsid w:val="002B0793"/>
    <w:rsid w:val="002B07A3"/>
    <w:rsid w:val="002B07C2"/>
    <w:rsid w:val="002B07FA"/>
    <w:rsid w:val="002B0800"/>
    <w:rsid w:val="002B0818"/>
    <w:rsid w:val="002B082A"/>
    <w:rsid w:val="002B0887"/>
    <w:rsid w:val="002B08AE"/>
    <w:rsid w:val="002B08EA"/>
    <w:rsid w:val="002B0927"/>
    <w:rsid w:val="002B092D"/>
    <w:rsid w:val="002B096C"/>
    <w:rsid w:val="002B0A1B"/>
    <w:rsid w:val="002B0AF8"/>
    <w:rsid w:val="002B0B08"/>
    <w:rsid w:val="002B0B55"/>
    <w:rsid w:val="002B0B69"/>
    <w:rsid w:val="002B0BA3"/>
    <w:rsid w:val="002B0C38"/>
    <w:rsid w:val="002B0C82"/>
    <w:rsid w:val="002B0C92"/>
    <w:rsid w:val="002B0CE4"/>
    <w:rsid w:val="002B0D0D"/>
    <w:rsid w:val="002B0D0F"/>
    <w:rsid w:val="002B0D33"/>
    <w:rsid w:val="002B0E24"/>
    <w:rsid w:val="002B0E6E"/>
    <w:rsid w:val="002B0E75"/>
    <w:rsid w:val="002B0EA2"/>
    <w:rsid w:val="002B0ED1"/>
    <w:rsid w:val="002B0EF1"/>
    <w:rsid w:val="002B0F08"/>
    <w:rsid w:val="002B0F19"/>
    <w:rsid w:val="002B0F9F"/>
    <w:rsid w:val="002B1076"/>
    <w:rsid w:val="002B10B1"/>
    <w:rsid w:val="002B10C6"/>
    <w:rsid w:val="002B10F2"/>
    <w:rsid w:val="002B10F5"/>
    <w:rsid w:val="002B115E"/>
    <w:rsid w:val="002B11CC"/>
    <w:rsid w:val="002B11D0"/>
    <w:rsid w:val="002B121B"/>
    <w:rsid w:val="002B1223"/>
    <w:rsid w:val="002B124D"/>
    <w:rsid w:val="002B1291"/>
    <w:rsid w:val="002B12C8"/>
    <w:rsid w:val="002B12E3"/>
    <w:rsid w:val="002B13A6"/>
    <w:rsid w:val="002B13BD"/>
    <w:rsid w:val="002B13C9"/>
    <w:rsid w:val="002B13F6"/>
    <w:rsid w:val="002B1464"/>
    <w:rsid w:val="002B1468"/>
    <w:rsid w:val="002B14BD"/>
    <w:rsid w:val="002B14F0"/>
    <w:rsid w:val="002B14FF"/>
    <w:rsid w:val="002B1569"/>
    <w:rsid w:val="002B15A7"/>
    <w:rsid w:val="002B15C3"/>
    <w:rsid w:val="002B1639"/>
    <w:rsid w:val="002B1642"/>
    <w:rsid w:val="002B1655"/>
    <w:rsid w:val="002B1679"/>
    <w:rsid w:val="002B169F"/>
    <w:rsid w:val="002B1720"/>
    <w:rsid w:val="002B1783"/>
    <w:rsid w:val="002B178B"/>
    <w:rsid w:val="002B17A2"/>
    <w:rsid w:val="002B1900"/>
    <w:rsid w:val="002B1928"/>
    <w:rsid w:val="002B194D"/>
    <w:rsid w:val="002B1959"/>
    <w:rsid w:val="002B19B7"/>
    <w:rsid w:val="002B19C7"/>
    <w:rsid w:val="002B19FF"/>
    <w:rsid w:val="002B1A9E"/>
    <w:rsid w:val="002B1AD2"/>
    <w:rsid w:val="002B1AF9"/>
    <w:rsid w:val="002B1B94"/>
    <w:rsid w:val="002B1BA2"/>
    <w:rsid w:val="002B1C1B"/>
    <w:rsid w:val="002B1C34"/>
    <w:rsid w:val="002B1C5D"/>
    <w:rsid w:val="002B1CB2"/>
    <w:rsid w:val="002B1CC6"/>
    <w:rsid w:val="002B1D03"/>
    <w:rsid w:val="002B1D29"/>
    <w:rsid w:val="002B1D8B"/>
    <w:rsid w:val="002B1DB3"/>
    <w:rsid w:val="002B1DD2"/>
    <w:rsid w:val="002B1E34"/>
    <w:rsid w:val="002B1E83"/>
    <w:rsid w:val="002B1E9F"/>
    <w:rsid w:val="002B1EB9"/>
    <w:rsid w:val="002B1EED"/>
    <w:rsid w:val="002B1F31"/>
    <w:rsid w:val="002B1F8B"/>
    <w:rsid w:val="002B1F97"/>
    <w:rsid w:val="002B2008"/>
    <w:rsid w:val="002B2016"/>
    <w:rsid w:val="002B203E"/>
    <w:rsid w:val="002B205D"/>
    <w:rsid w:val="002B2068"/>
    <w:rsid w:val="002B206C"/>
    <w:rsid w:val="002B2095"/>
    <w:rsid w:val="002B2112"/>
    <w:rsid w:val="002B213A"/>
    <w:rsid w:val="002B2178"/>
    <w:rsid w:val="002B21DF"/>
    <w:rsid w:val="002B2268"/>
    <w:rsid w:val="002B2308"/>
    <w:rsid w:val="002B2337"/>
    <w:rsid w:val="002B23B2"/>
    <w:rsid w:val="002B23C8"/>
    <w:rsid w:val="002B2415"/>
    <w:rsid w:val="002B2455"/>
    <w:rsid w:val="002B24F8"/>
    <w:rsid w:val="002B2504"/>
    <w:rsid w:val="002B252A"/>
    <w:rsid w:val="002B256A"/>
    <w:rsid w:val="002B256C"/>
    <w:rsid w:val="002B25A3"/>
    <w:rsid w:val="002B25BB"/>
    <w:rsid w:val="002B2635"/>
    <w:rsid w:val="002B266B"/>
    <w:rsid w:val="002B2687"/>
    <w:rsid w:val="002B269E"/>
    <w:rsid w:val="002B26B1"/>
    <w:rsid w:val="002B2710"/>
    <w:rsid w:val="002B2758"/>
    <w:rsid w:val="002B27E6"/>
    <w:rsid w:val="002B281B"/>
    <w:rsid w:val="002B2960"/>
    <w:rsid w:val="002B298E"/>
    <w:rsid w:val="002B2996"/>
    <w:rsid w:val="002B29B0"/>
    <w:rsid w:val="002B2A82"/>
    <w:rsid w:val="002B2AFA"/>
    <w:rsid w:val="002B2B15"/>
    <w:rsid w:val="002B2B9B"/>
    <w:rsid w:val="002B2BAC"/>
    <w:rsid w:val="002B2BBB"/>
    <w:rsid w:val="002B2BCA"/>
    <w:rsid w:val="002B2C1A"/>
    <w:rsid w:val="002B2C3F"/>
    <w:rsid w:val="002B2C41"/>
    <w:rsid w:val="002B2C4A"/>
    <w:rsid w:val="002B2C73"/>
    <w:rsid w:val="002B2CA5"/>
    <w:rsid w:val="002B2CDE"/>
    <w:rsid w:val="002B2CF9"/>
    <w:rsid w:val="002B2D62"/>
    <w:rsid w:val="002B2D87"/>
    <w:rsid w:val="002B2D8B"/>
    <w:rsid w:val="002B2D98"/>
    <w:rsid w:val="002B2DEB"/>
    <w:rsid w:val="002B2DF9"/>
    <w:rsid w:val="002B2E49"/>
    <w:rsid w:val="002B2ED5"/>
    <w:rsid w:val="002B2EDD"/>
    <w:rsid w:val="002B2F3D"/>
    <w:rsid w:val="002B2F8B"/>
    <w:rsid w:val="002B2FB3"/>
    <w:rsid w:val="002B2FD2"/>
    <w:rsid w:val="002B2FD6"/>
    <w:rsid w:val="002B3061"/>
    <w:rsid w:val="002B3098"/>
    <w:rsid w:val="002B30B8"/>
    <w:rsid w:val="002B30FE"/>
    <w:rsid w:val="002B3190"/>
    <w:rsid w:val="002B31FA"/>
    <w:rsid w:val="002B321B"/>
    <w:rsid w:val="002B323A"/>
    <w:rsid w:val="002B3263"/>
    <w:rsid w:val="002B32AB"/>
    <w:rsid w:val="002B32C4"/>
    <w:rsid w:val="002B32FB"/>
    <w:rsid w:val="002B3306"/>
    <w:rsid w:val="002B334B"/>
    <w:rsid w:val="002B335D"/>
    <w:rsid w:val="002B338C"/>
    <w:rsid w:val="002B33AA"/>
    <w:rsid w:val="002B33EA"/>
    <w:rsid w:val="002B33FB"/>
    <w:rsid w:val="002B3421"/>
    <w:rsid w:val="002B342F"/>
    <w:rsid w:val="002B343F"/>
    <w:rsid w:val="002B3484"/>
    <w:rsid w:val="002B34FB"/>
    <w:rsid w:val="002B353B"/>
    <w:rsid w:val="002B3554"/>
    <w:rsid w:val="002B3581"/>
    <w:rsid w:val="002B359B"/>
    <w:rsid w:val="002B3692"/>
    <w:rsid w:val="002B36AA"/>
    <w:rsid w:val="002B36C1"/>
    <w:rsid w:val="002B36C4"/>
    <w:rsid w:val="002B373D"/>
    <w:rsid w:val="002B37B4"/>
    <w:rsid w:val="002B37CA"/>
    <w:rsid w:val="002B37D8"/>
    <w:rsid w:val="002B37E0"/>
    <w:rsid w:val="002B387A"/>
    <w:rsid w:val="002B3922"/>
    <w:rsid w:val="002B3942"/>
    <w:rsid w:val="002B3949"/>
    <w:rsid w:val="002B397F"/>
    <w:rsid w:val="002B3984"/>
    <w:rsid w:val="002B39BD"/>
    <w:rsid w:val="002B39E8"/>
    <w:rsid w:val="002B3A81"/>
    <w:rsid w:val="002B3A93"/>
    <w:rsid w:val="002B3AD3"/>
    <w:rsid w:val="002B3ADA"/>
    <w:rsid w:val="002B3B25"/>
    <w:rsid w:val="002B3B46"/>
    <w:rsid w:val="002B3B57"/>
    <w:rsid w:val="002B3B5F"/>
    <w:rsid w:val="002B3B81"/>
    <w:rsid w:val="002B3B9D"/>
    <w:rsid w:val="002B3BBC"/>
    <w:rsid w:val="002B3BC1"/>
    <w:rsid w:val="002B3C23"/>
    <w:rsid w:val="002B3C3C"/>
    <w:rsid w:val="002B3C83"/>
    <w:rsid w:val="002B3C84"/>
    <w:rsid w:val="002B3C97"/>
    <w:rsid w:val="002B3CBB"/>
    <w:rsid w:val="002B3D03"/>
    <w:rsid w:val="002B3D37"/>
    <w:rsid w:val="002B3D4E"/>
    <w:rsid w:val="002B3D8B"/>
    <w:rsid w:val="002B3E0E"/>
    <w:rsid w:val="002B3E5A"/>
    <w:rsid w:val="002B3E5D"/>
    <w:rsid w:val="002B3E94"/>
    <w:rsid w:val="002B3EB3"/>
    <w:rsid w:val="002B3EE3"/>
    <w:rsid w:val="002B3F6F"/>
    <w:rsid w:val="002B3F73"/>
    <w:rsid w:val="002B3F77"/>
    <w:rsid w:val="002B3F87"/>
    <w:rsid w:val="002B3FD3"/>
    <w:rsid w:val="002B4036"/>
    <w:rsid w:val="002B405F"/>
    <w:rsid w:val="002B4076"/>
    <w:rsid w:val="002B4084"/>
    <w:rsid w:val="002B411F"/>
    <w:rsid w:val="002B4170"/>
    <w:rsid w:val="002B417E"/>
    <w:rsid w:val="002B423E"/>
    <w:rsid w:val="002B4240"/>
    <w:rsid w:val="002B4330"/>
    <w:rsid w:val="002B4333"/>
    <w:rsid w:val="002B43D6"/>
    <w:rsid w:val="002B4493"/>
    <w:rsid w:val="002B4502"/>
    <w:rsid w:val="002B45A4"/>
    <w:rsid w:val="002B45F2"/>
    <w:rsid w:val="002B4624"/>
    <w:rsid w:val="002B46AE"/>
    <w:rsid w:val="002B46FF"/>
    <w:rsid w:val="002B4764"/>
    <w:rsid w:val="002B4792"/>
    <w:rsid w:val="002B47FF"/>
    <w:rsid w:val="002B4812"/>
    <w:rsid w:val="002B482B"/>
    <w:rsid w:val="002B483B"/>
    <w:rsid w:val="002B486C"/>
    <w:rsid w:val="002B4892"/>
    <w:rsid w:val="002B4896"/>
    <w:rsid w:val="002B48E7"/>
    <w:rsid w:val="002B4911"/>
    <w:rsid w:val="002B4948"/>
    <w:rsid w:val="002B4A1F"/>
    <w:rsid w:val="002B4AA1"/>
    <w:rsid w:val="002B4B29"/>
    <w:rsid w:val="002B4B56"/>
    <w:rsid w:val="002B4B88"/>
    <w:rsid w:val="002B4BC4"/>
    <w:rsid w:val="002B4BD4"/>
    <w:rsid w:val="002B4C3A"/>
    <w:rsid w:val="002B4C93"/>
    <w:rsid w:val="002B4CAE"/>
    <w:rsid w:val="002B4CBB"/>
    <w:rsid w:val="002B4D3E"/>
    <w:rsid w:val="002B4D79"/>
    <w:rsid w:val="002B4D88"/>
    <w:rsid w:val="002B4DD8"/>
    <w:rsid w:val="002B4E4C"/>
    <w:rsid w:val="002B4E90"/>
    <w:rsid w:val="002B4EAD"/>
    <w:rsid w:val="002B4EBE"/>
    <w:rsid w:val="002B4F2D"/>
    <w:rsid w:val="002B4F5A"/>
    <w:rsid w:val="002B4FAB"/>
    <w:rsid w:val="002B4FCE"/>
    <w:rsid w:val="002B4FDC"/>
    <w:rsid w:val="002B5020"/>
    <w:rsid w:val="002B5046"/>
    <w:rsid w:val="002B509C"/>
    <w:rsid w:val="002B50C5"/>
    <w:rsid w:val="002B5118"/>
    <w:rsid w:val="002B51A3"/>
    <w:rsid w:val="002B51A4"/>
    <w:rsid w:val="002B51C3"/>
    <w:rsid w:val="002B51F5"/>
    <w:rsid w:val="002B5287"/>
    <w:rsid w:val="002B52D5"/>
    <w:rsid w:val="002B5329"/>
    <w:rsid w:val="002B5348"/>
    <w:rsid w:val="002B534D"/>
    <w:rsid w:val="002B5375"/>
    <w:rsid w:val="002B5397"/>
    <w:rsid w:val="002B53B3"/>
    <w:rsid w:val="002B53B8"/>
    <w:rsid w:val="002B5412"/>
    <w:rsid w:val="002B5418"/>
    <w:rsid w:val="002B5484"/>
    <w:rsid w:val="002B5486"/>
    <w:rsid w:val="002B54BC"/>
    <w:rsid w:val="002B54D9"/>
    <w:rsid w:val="002B54DF"/>
    <w:rsid w:val="002B551E"/>
    <w:rsid w:val="002B554E"/>
    <w:rsid w:val="002B555C"/>
    <w:rsid w:val="002B5574"/>
    <w:rsid w:val="002B55D5"/>
    <w:rsid w:val="002B55DB"/>
    <w:rsid w:val="002B55E1"/>
    <w:rsid w:val="002B55F0"/>
    <w:rsid w:val="002B5603"/>
    <w:rsid w:val="002B566B"/>
    <w:rsid w:val="002B567F"/>
    <w:rsid w:val="002B56AC"/>
    <w:rsid w:val="002B56C2"/>
    <w:rsid w:val="002B5738"/>
    <w:rsid w:val="002B573F"/>
    <w:rsid w:val="002B5752"/>
    <w:rsid w:val="002B5764"/>
    <w:rsid w:val="002B579A"/>
    <w:rsid w:val="002B579D"/>
    <w:rsid w:val="002B57BA"/>
    <w:rsid w:val="002B580A"/>
    <w:rsid w:val="002B582F"/>
    <w:rsid w:val="002B5880"/>
    <w:rsid w:val="002B58AD"/>
    <w:rsid w:val="002B58C5"/>
    <w:rsid w:val="002B5909"/>
    <w:rsid w:val="002B5931"/>
    <w:rsid w:val="002B596B"/>
    <w:rsid w:val="002B59B0"/>
    <w:rsid w:val="002B59F0"/>
    <w:rsid w:val="002B5A65"/>
    <w:rsid w:val="002B5A74"/>
    <w:rsid w:val="002B5AA1"/>
    <w:rsid w:val="002B5ABD"/>
    <w:rsid w:val="002B5ABE"/>
    <w:rsid w:val="002B5AD0"/>
    <w:rsid w:val="002B5B53"/>
    <w:rsid w:val="002B5BA3"/>
    <w:rsid w:val="002B5BBD"/>
    <w:rsid w:val="002B5BF2"/>
    <w:rsid w:val="002B5BF4"/>
    <w:rsid w:val="002B5BFE"/>
    <w:rsid w:val="002B5C24"/>
    <w:rsid w:val="002B5C54"/>
    <w:rsid w:val="002B5CDA"/>
    <w:rsid w:val="002B5D45"/>
    <w:rsid w:val="002B5D48"/>
    <w:rsid w:val="002B5D69"/>
    <w:rsid w:val="002B5DBC"/>
    <w:rsid w:val="002B5E5E"/>
    <w:rsid w:val="002B5EA3"/>
    <w:rsid w:val="002B5EAA"/>
    <w:rsid w:val="002B5ED7"/>
    <w:rsid w:val="002B5F05"/>
    <w:rsid w:val="002B5F39"/>
    <w:rsid w:val="002B5F63"/>
    <w:rsid w:val="002B5F65"/>
    <w:rsid w:val="002B5FB7"/>
    <w:rsid w:val="002B5FE8"/>
    <w:rsid w:val="002B5FEC"/>
    <w:rsid w:val="002B5FFB"/>
    <w:rsid w:val="002B6004"/>
    <w:rsid w:val="002B600F"/>
    <w:rsid w:val="002B6053"/>
    <w:rsid w:val="002B6072"/>
    <w:rsid w:val="002B6093"/>
    <w:rsid w:val="002B609A"/>
    <w:rsid w:val="002B60EB"/>
    <w:rsid w:val="002B61C0"/>
    <w:rsid w:val="002B61D5"/>
    <w:rsid w:val="002B61F9"/>
    <w:rsid w:val="002B62B1"/>
    <w:rsid w:val="002B62B3"/>
    <w:rsid w:val="002B6308"/>
    <w:rsid w:val="002B637E"/>
    <w:rsid w:val="002B63A6"/>
    <w:rsid w:val="002B63CE"/>
    <w:rsid w:val="002B63EA"/>
    <w:rsid w:val="002B6405"/>
    <w:rsid w:val="002B641B"/>
    <w:rsid w:val="002B6435"/>
    <w:rsid w:val="002B649C"/>
    <w:rsid w:val="002B649D"/>
    <w:rsid w:val="002B6510"/>
    <w:rsid w:val="002B6535"/>
    <w:rsid w:val="002B653E"/>
    <w:rsid w:val="002B66B1"/>
    <w:rsid w:val="002B67B7"/>
    <w:rsid w:val="002B680B"/>
    <w:rsid w:val="002B683F"/>
    <w:rsid w:val="002B688A"/>
    <w:rsid w:val="002B68B5"/>
    <w:rsid w:val="002B6915"/>
    <w:rsid w:val="002B69AF"/>
    <w:rsid w:val="002B69B0"/>
    <w:rsid w:val="002B69D8"/>
    <w:rsid w:val="002B6A06"/>
    <w:rsid w:val="002B6A18"/>
    <w:rsid w:val="002B6A3A"/>
    <w:rsid w:val="002B6A58"/>
    <w:rsid w:val="002B6A77"/>
    <w:rsid w:val="002B6AD0"/>
    <w:rsid w:val="002B6ADC"/>
    <w:rsid w:val="002B6BAF"/>
    <w:rsid w:val="002B6BC5"/>
    <w:rsid w:val="002B6BE1"/>
    <w:rsid w:val="002B6BE4"/>
    <w:rsid w:val="002B6C09"/>
    <w:rsid w:val="002B6C21"/>
    <w:rsid w:val="002B6C2F"/>
    <w:rsid w:val="002B6C46"/>
    <w:rsid w:val="002B6C78"/>
    <w:rsid w:val="002B6C94"/>
    <w:rsid w:val="002B6DDD"/>
    <w:rsid w:val="002B6E17"/>
    <w:rsid w:val="002B6EA0"/>
    <w:rsid w:val="002B6F35"/>
    <w:rsid w:val="002B6F8F"/>
    <w:rsid w:val="002B6FAB"/>
    <w:rsid w:val="002B7048"/>
    <w:rsid w:val="002B708C"/>
    <w:rsid w:val="002B70AE"/>
    <w:rsid w:val="002B70C6"/>
    <w:rsid w:val="002B70E1"/>
    <w:rsid w:val="002B713B"/>
    <w:rsid w:val="002B7157"/>
    <w:rsid w:val="002B7178"/>
    <w:rsid w:val="002B7186"/>
    <w:rsid w:val="002B71BF"/>
    <w:rsid w:val="002B726B"/>
    <w:rsid w:val="002B7281"/>
    <w:rsid w:val="002B72C2"/>
    <w:rsid w:val="002B7309"/>
    <w:rsid w:val="002B7354"/>
    <w:rsid w:val="002B739B"/>
    <w:rsid w:val="002B73A7"/>
    <w:rsid w:val="002B73FB"/>
    <w:rsid w:val="002B7434"/>
    <w:rsid w:val="002B7437"/>
    <w:rsid w:val="002B7474"/>
    <w:rsid w:val="002B747F"/>
    <w:rsid w:val="002B74FB"/>
    <w:rsid w:val="002B7504"/>
    <w:rsid w:val="002B7517"/>
    <w:rsid w:val="002B759B"/>
    <w:rsid w:val="002B75CF"/>
    <w:rsid w:val="002B75E0"/>
    <w:rsid w:val="002B75E6"/>
    <w:rsid w:val="002B763B"/>
    <w:rsid w:val="002B7655"/>
    <w:rsid w:val="002B7695"/>
    <w:rsid w:val="002B769D"/>
    <w:rsid w:val="002B7708"/>
    <w:rsid w:val="002B773F"/>
    <w:rsid w:val="002B775D"/>
    <w:rsid w:val="002B7779"/>
    <w:rsid w:val="002B7786"/>
    <w:rsid w:val="002B77C9"/>
    <w:rsid w:val="002B77DD"/>
    <w:rsid w:val="002B780C"/>
    <w:rsid w:val="002B7853"/>
    <w:rsid w:val="002B7898"/>
    <w:rsid w:val="002B78A0"/>
    <w:rsid w:val="002B78F6"/>
    <w:rsid w:val="002B791B"/>
    <w:rsid w:val="002B796E"/>
    <w:rsid w:val="002B7988"/>
    <w:rsid w:val="002B79EF"/>
    <w:rsid w:val="002B7A23"/>
    <w:rsid w:val="002B7A4F"/>
    <w:rsid w:val="002B7A50"/>
    <w:rsid w:val="002B7A92"/>
    <w:rsid w:val="002B7AB8"/>
    <w:rsid w:val="002B7B24"/>
    <w:rsid w:val="002B7B28"/>
    <w:rsid w:val="002B7B52"/>
    <w:rsid w:val="002B7BB9"/>
    <w:rsid w:val="002B7CAB"/>
    <w:rsid w:val="002B7D07"/>
    <w:rsid w:val="002B7DB2"/>
    <w:rsid w:val="002B7DC2"/>
    <w:rsid w:val="002B7E1D"/>
    <w:rsid w:val="002B7EE5"/>
    <w:rsid w:val="002B7EEB"/>
    <w:rsid w:val="002B7F37"/>
    <w:rsid w:val="002B7F49"/>
    <w:rsid w:val="002B7F6A"/>
    <w:rsid w:val="002B7FC6"/>
    <w:rsid w:val="002C0035"/>
    <w:rsid w:val="002C0093"/>
    <w:rsid w:val="002C00B5"/>
    <w:rsid w:val="002C00B9"/>
    <w:rsid w:val="002C00E2"/>
    <w:rsid w:val="002C01F4"/>
    <w:rsid w:val="002C0201"/>
    <w:rsid w:val="002C020F"/>
    <w:rsid w:val="002C021E"/>
    <w:rsid w:val="002C02F3"/>
    <w:rsid w:val="002C03A7"/>
    <w:rsid w:val="002C03E6"/>
    <w:rsid w:val="002C043E"/>
    <w:rsid w:val="002C0474"/>
    <w:rsid w:val="002C0489"/>
    <w:rsid w:val="002C049E"/>
    <w:rsid w:val="002C04A0"/>
    <w:rsid w:val="002C04B8"/>
    <w:rsid w:val="002C04BF"/>
    <w:rsid w:val="002C04DD"/>
    <w:rsid w:val="002C04E4"/>
    <w:rsid w:val="002C054B"/>
    <w:rsid w:val="002C0562"/>
    <w:rsid w:val="002C0575"/>
    <w:rsid w:val="002C0597"/>
    <w:rsid w:val="002C05A7"/>
    <w:rsid w:val="002C05EA"/>
    <w:rsid w:val="002C063B"/>
    <w:rsid w:val="002C0641"/>
    <w:rsid w:val="002C0701"/>
    <w:rsid w:val="002C0715"/>
    <w:rsid w:val="002C0716"/>
    <w:rsid w:val="002C0721"/>
    <w:rsid w:val="002C0725"/>
    <w:rsid w:val="002C075A"/>
    <w:rsid w:val="002C078D"/>
    <w:rsid w:val="002C07A7"/>
    <w:rsid w:val="002C07EC"/>
    <w:rsid w:val="002C07FC"/>
    <w:rsid w:val="002C0801"/>
    <w:rsid w:val="002C0856"/>
    <w:rsid w:val="002C0880"/>
    <w:rsid w:val="002C08C5"/>
    <w:rsid w:val="002C091E"/>
    <w:rsid w:val="002C092F"/>
    <w:rsid w:val="002C093F"/>
    <w:rsid w:val="002C0940"/>
    <w:rsid w:val="002C0964"/>
    <w:rsid w:val="002C0967"/>
    <w:rsid w:val="002C098B"/>
    <w:rsid w:val="002C09A7"/>
    <w:rsid w:val="002C09AC"/>
    <w:rsid w:val="002C09C7"/>
    <w:rsid w:val="002C09D4"/>
    <w:rsid w:val="002C09E7"/>
    <w:rsid w:val="002C0A44"/>
    <w:rsid w:val="002C0A65"/>
    <w:rsid w:val="002C0AB2"/>
    <w:rsid w:val="002C0ADD"/>
    <w:rsid w:val="002C0AEF"/>
    <w:rsid w:val="002C0B22"/>
    <w:rsid w:val="002C0B4E"/>
    <w:rsid w:val="002C0B76"/>
    <w:rsid w:val="002C0B83"/>
    <w:rsid w:val="002C0BC9"/>
    <w:rsid w:val="002C0C1B"/>
    <w:rsid w:val="002C0C65"/>
    <w:rsid w:val="002C0C8A"/>
    <w:rsid w:val="002C0D5E"/>
    <w:rsid w:val="002C0D7C"/>
    <w:rsid w:val="002C0D7D"/>
    <w:rsid w:val="002C0DA7"/>
    <w:rsid w:val="002C0DA9"/>
    <w:rsid w:val="002C0E24"/>
    <w:rsid w:val="002C0E25"/>
    <w:rsid w:val="002C0E41"/>
    <w:rsid w:val="002C0F3A"/>
    <w:rsid w:val="002C0F5E"/>
    <w:rsid w:val="002C0F73"/>
    <w:rsid w:val="002C0F7D"/>
    <w:rsid w:val="002C0F81"/>
    <w:rsid w:val="002C0FCD"/>
    <w:rsid w:val="002C100F"/>
    <w:rsid w:val="002C1049"/>
    <w:rsid w:val="002C106C"/>
    <w:rsid w:val="002C1078"/>
    <w:rsid w:val="002C10A7"/>
    <w:rsid w:val="002C10E3"/>
    <w:rsid w:val="002C1101"/>
    <w:rsid w:val="002C1106"/>
    <w:rsid w:val="002C1111"/>
    <w:rsid w:val="002C1201"/>
    <w:rsid w:val="002C1245"/>
    <w:rsid w:val="002C129B"/>
    <w:rsid w:val="002C12CD"/>
    <w:rsid w:val="002C12D5"/>
    <w:rsid w:val="002C12E3"/>
    <w:rsid w:val="002C12ED"/>
    <w:rsid w:val="002C1390"/>
    <w:rsid w:val="002C139B"/>
    <w:rsid w:val="002C13AB"/>
    <w:rsid w:val="002C13BD"/>
    <w:rsid w:val="002C1491"/>
    <w:rsid w:val="002C1534"/>
    <w:rsid w:val="002C154E"/>
    <w:rsid w:val="002C15B6"/>
    <w:rsid w:val="002C15D6"/>
    <w:rsid w:val="002C15FA"/>
    <w:rsid w:val="002C1647"/>
    <w:rsid w:val="002C1694"/>
    <w:rsid w:val="002C16C8"/>
    <w:rsid w:val="002C16EE"/>
    <w:rsid w:val="002C16F5"/>
    <w:rsid w:val="002C17D2"/>
    <w:rsid w:val="002C17E7"/>
    <w:rsid w:val="002C188F"/>
    <w:rsid w:val="002C18C7"/>
    <w:rsid w:val="002C18D7"/>
    <w:rsid w:val="002C1906"/>
    <w:rsid w:val="002C199C"/>
    <w:rsid w:val="002C1A64"/>
    <w:rsid w:val="002C1A80"/>
    <w:rsid w:val="002C1A9E"/>
    <w:rsid w:val="002C1AA0"/>
    <w:rsid w:val="002C1B08"/>
    <w:rsid w:val="002C1C02"/>
    <w:rsid w:val="002C1C1F"/>
    <w:rsid w:val="002C1C5E"/>
    <w:rsid w:val="002C1C5F"/>
    <w:rsid w:val="002C1CA3"/>
    <w:rsid w:val="002C1CAD"/>
    <w:rsid w:val="002C1CE3"/>
    <w:rsid w:val="002C1D09"/>
    <w:rsid w:val="002C1D18"/>
    <w:rsid w:val="002C1D3A"/>
    <w:rsid w:val="002C1D6A"/>
    <w:rsid w:val="002C1D94"/>
    <w:rsid w:val="002C1DBA"/>
    <w:rsid w:val="002C1DCD"/>
    <w:rsid w:val="002C1DE6"/>
    <w:rsid w:val="002C1E4F"/>
    <w:rsid w:val="002C1EBE"/>
    <w:rsid w:val="002C1EDA"/>
    <w:rsid w:val="002C1F05"/>
    <w:rsid w:val="002C1F32"/>
    <w:rsid w:val="002C1F3E"/>
    <w:rsid w:val="002C1F99"/>
    <w:rsid w:val="002C1FE8"/>
    <w:rsid w:val="002C2124"/>
    <w:rsid w:val="002C212B"/>
    <w:rsid w:val="002C213E"/>
    <w:rsid w:val="002C215B"/>
    <w:rsid w:val="002C223D"/>
    <w:rsid w:val="002C2241"/>
    <w:rsid w:val="002C225C"/>
    <w:rsid w:val="002C2299"/>
    <w:rsid w:val="002C22E7"/>
    <w:rsid w:val="002C22EE"/>
    <w:rsid w:val="002C2319"/>
    <w:rsid w:val="002C236C"/>
    <w:rsid w:val="002C23B6"/>
    <w:rsid w:val="002C23EA"/>
    <w:rsid w:val="002C2412"/>
    <w:rsid w:val="002C242B"/>
    <w:rsid w:val="002C2436"/>
    <w:rsid w:val="002C247B"/>
    <w:rsid w:val="002C24D0"/>
    <w:rsid w:val="002C24DF"/>
    <w:rsid w:val="002C24E3"/>
    <w:rsid w:val="002C24EB"/>
    <w:rsid w:val="002C2511"/>
    <w:rsid w:val="002C254C"/>
    <w:rsid w:val="002C256B"/>
    <w:rsid w:val="002C25AB"/>
    <w:rsid w:val="002C25BC"/>
    <w:rsid w:val="002C261D"/>
    <w:rsid w:val="002C2644"/>
    <w:rsid w:val="002C2697"/>
    <w:rsid w:val="002C26A2"/>
    <w:rsid w:val="002C2754"/>
    <w:rsid w:val="002C2767"/>
    <w:rsid w:val="002C27A3"/>
    <w:rsid w:val="002C27B1"/>
    <w:rsid w:val="002C27C0"/>
    <w:rsid w:val="002C27ED"/>
    <w:rsid w:val="002C27F3"/>
    <w:rsid w:val="002C2881"/>
    <w:rsid w:val="002C2882"/>
    <w:rsid w:val="002C28B2"/>
    <w:rsid w:val="002C2911"/>
    <w:rsid w:val="002C2955"/>
    <w:rsid w:val="002C295A"/>
    <w:rsid w:val="002C296E"/>
    <w:rsid w:val="002C29AD"/>
    <w:rsid w:val="002C29C3"/>
    <w:rsid w:val="002C29CB"/>
    <w:rsid w:val="002C29F8"/>
    <w:rsid w:val="002C2A10"/>
    <w:rsid w:val="002C2A62"/>
    <w:rsid w:val="002C2A98"/>
    <w:rsid w:val="002C2AA4"/>
    <w:rsid w:val="002C2AE2"/>
    <w:rsid w:val="002C2B0F"/>
    <w:rsid w:val="002C2B75"/>
    <w:rsid w:val="002C2BC3"/>
    <w:rsid w:val="002C2BD7"/>
    <w:rsid w:val="002C2D21"/>
    <w:rsid w:val="002C2D4A"/>
    <w:rsid w:val="002C2DEC"/>
    <w:rsid w:val="002C2E7D"/>
    <w:rsid w:val="002C2E97"/>
    <w:rsid w:val="002C2EBA"/>
    <w:rsid w:val="002C2EF5"/>
    <w:rsid w:val="002C2F1B"/>
    <w:rsid w:val="002C2F23"/>
    <w:rsid w:val="002C2F67"/>
    <w:rsid w:val="002C2F84"/>
    <w:rsid w:val="002C2FBC"/>
    <w:rsid w:val="002C2FD1"/>
    <w:rsid w:val="002C2FDF"/>
    <w:rsid w:val="002C2FE4"/>
    <w:rsid w:val="002C3076"/>
    <w:rsid w:val="002C30A7"/>
    <w:rsid w:val="002C30FE"/>
    <w:rsid w:val="002C313D"/>
    <w:rsid w:val="002C315B"/>
    <w:rsid w:val="002C3169"/>
    <w:rsid w:val="002C31C8"/>
    <w:rsid w:val="002C31DB"/>
    <w:rsid w:val="002C3231"/>
    <w:rsid w:val="002C3286"/>
    <w:rsid w:val="002C32EE"/>
    <w:rsid w:val="002C32FA"/>
    <w:rsid w:val="002C331D"/>
    <w:rsid w:val="002C332B"/>
    <w:rsid w:val="002C335C"/>
    <w:rsid w:val="002C3398"/>
    <w:rsid w:val="002C33C5"/>
    <w:rsid w:val="002C33E4"/>
    <w:rsid w:val="002C342E"/>
    <w:rsid w:val="002C345D"/>
    <w:rsid w:val="002C34A1"/>
    <w:rsid w:val="002C34B2"/>
    <w:rsid w:val="002C3539"/>
    <w:rsid w:val="002C3551"/>
    <w:rsid w:val="002C3599"/>
    <w:rsid w:val="002C35A8"/>
    <w:rsid w:val="002C35F5"/>
    <w:rsid w:val="002C365D"/>
    <w:rsid w:val="002C36CF"/>
    <w:rsid w:val="002C370C"/>
    <w:rsid w:val="002C376A"/>
    <w:rsid w:val="002C37BD"/>
    <w:rsid w:val="002C37D0"/>
    <w:rsid w:val="002C37D5"/>
    <w:rsid w:val="002C37F3"/>
    <w:rsid w:val="002C3857"/>
    <w:rsid w:val="002C3864"/>
    <w:rsid w:val="002C3915"/>
    <w:rsid w:val="002C3935"/>
    <w:rsid w:val="002C3945"/>
    <w:rsid w:val="002C3988"/>
    <w:rsid w:val="002C39CD"/>
    <w:rsid w:val="002C3AB8"/>
    <w:rsid w:val="002C3B05"/>
    <w:rsid w:val="002C3B1F"/>
    <w:rsid w:val="002C3B22"/>
    <w:rsid w:val="002C3B36"/>
    <w:rsid w:val="002C3B47"/>
    <w:rsid w:val="002C3B81"/>
    <w:rsid w:val="002C3B8C"/>
    <w:rsid w:val="002C3BAA"/>
    <w:rsid w:val="002C3BDA"/>
    <w:rsid w:val="002C3C1E"/>
    <w:rsid w:val="002C3CC1"/>
    <w:rsid w:val="002C3D3A"/>
    <w:rsid w:val="002C3D46"/>
    <w:rsid w:val="002C3DA8"/>
    <w:rsid w:val="002C3DC3"/>
    <w:rsid w:val="002C3DCC"/>
    <w:rsid w:val="002C3E01"/>
    <w:rsid w:val="002C3E1E"/>
    <w:rsid w:val="002C3E35"/>
    <w:rsid w:val="002C3EF7"/>
    <w:rsid w:val="002C3FC3"/>
    <w:rsid w:val="002C3FCB"/>
    <w:rsid w:val="002C404A"/>
    <w:rsid w:val="002C405B"/>
    <w:rsid w:val="002C4064"/>
    <w:rsid w:val="002C40C0"/>
    <w:rsid w:val="002C40F3"/>
    <w:rsid w:val="002C410B"/>
    <w:rsid w:val="002C41D0"/>
    <w:rsid w:val="002C41D6"/>
    <w:rsid w:val="002C41EC"/>
    <w:rsid w:val="002C422A"/>
    <w:rsid w:val="002C4288"/>
    <w:rsid w:val="002C42FF"/>
    <w:rsid w:val="002C4315"/>
    <w:rsid w:val="002C43BC"/>
    <w:rsid w:val="002C43E0"/>
    <w:rsid w:val="002C43F5"/>
    <w:rsid w:val="002C4463"/>
    <w:rsid w:val="002C4467"/>
    <w:rsid w:val="002C4486"/>
    <w:rsid w:val="002C44B0"/>
    <w:rsid w:val="002C44E4"/>
    <w:rsid w:val="002C4505"/>
    <w:rsid w:val="002C4507"/>
    <w:rsid w:val="002C4518"/>
    <w:rsid w:val="002C45B0"/>
    <w:rsid w:val="002C45B9"/>
    <w:rsid w:val="002C45D3"/>
    <w:rsid w:val="002C4621"/>
    <w:rsid w:val="002C4655"/>
    <w:rsid w:val="002C4719"/>
    <w:rsid w:val="002C4778"/>
    <w:rsid w:val="002C47CD"/>
    <w:rsid w:val="002C4855"/>
    <w:rsid w:val="002C486B"/>
    <w:rsid w:val="002C4894"/>
    <w:rsid w:val="002C4903"/>
    <w:rsid w:val="002C4925"/>
    <w:rsid w:val="002C499F"/>
    <w:rsid w:val="002C49AA"/>
    <w:rsid w:val="002C49C0"/>
    <w:rsid w:val="002C49C9"/>
    <w:rsid w:val="002C4A4D"/>
    <w:rsid w:val="002C4A56"/>
    <w:rsid w:val="002C4AD7"/>
    <w:rsid w:val="002C4AE8"/>
    <w:rsid w:val="002C4B08"/>
    <w:rsid w:val="002C4B0F"/>
    <w:rsid w:val="002C4B15"/>
    <w:rsid w:val="002C4BDD"/>
    <w:rsid w:val="002C4BFC"/>
    <w:rsid w:val="002C4C0A"/>
    <w:rsid w:val="002C4C6C"/>
    <w:rsid w:val="002C4C96"/>
    <w:rsid w:val="002C4CAB"/>
    <w:rsid w:val="002C4CFF"/>
    <w:rsid w:val="002C4D06"/>
    <w:rsid w:val="002C4D25"/>
    <w:rsid w:val="002C4D5E"/>
    <w:rsid w:val="002C4D62"/>
    <w:rsid w:val="002C4DAF"/>
    <w:rsid w:val="002C4DB7"/>
    <w:rsid w:val="002C4DF2"/>
    <w:rsid w:val="002C4E1B"/>
    <w:rsid w:val="002C4E35"/>
    <w:rsid w:val="002C4E4F"/>
    <w:rsid w:val="002C4E6B"/>
    <w:rsid w:val="002C4E7F"/>
    <w:rsid w:val="002C4E90"/>
    <w:rsid w:val="002C4EE5"/>
    <w:rsid w:val="002C4F64"/>
    <w:rsid w:val="002C4F7B"/>
    <w:rsid w:val="002C4F95"/>
    <w:rsid w:val="002C504E"/>
    <w:rsid w:val="002C5085"/>
    <w:rsid w:val="002C50BD"/>
    <w:rsid w:val="002C50C1"/>
    <w:rsid w:val="002C50C6"/>
    <w:rsid w:val="002C5103"/>
    <w:rsid w:val="002C5163"/>
    <w:rsid w:val="002C5190"/>
    <w:rsid w:val="002C51EE"/>
    <w:rsid w:val="002C5212"/>
    <w:rsid w:val="002C5219"/>
    <w:rsid w:val="002C5259"/>
    <w:rsid w:val="002C527A"/>
    <w:rsid w:val="002C52A9"/>
    <w:rsid w:val="002C52B6"/>
    <w:rsid w:val="002C52D3"/>
    <w:rsid w:val="002C52FC"/>
    <w:rsid w:val="002C52FD"/>
    <w:rsid w:val="002C531D"/>
    <w:rsid w:val="002C5351"/>
    <w:rsid w:val="002C537D"/>
    <w:rsid w:val="002C5382"/>
    <w:rsid w:val="002C5390"/>
    <w:rsid w:val="002C53A0"/>
    <w:rsid w:val="002C5419"/>
    <w:rsid w:val="002C547A"/>
    <w:rsid w:val="002C54AC"/>
    <w:rsid w:val="002C54DB"/>
    <w:rsid w:val="002C556B"/>
    <w:rsid w:val="002C564A"/>
    <w:rsid w:val="002C5653"/>
    <w:rsid w:val="002C5687"/>
    <w:rsid w:val="002C56ED"/>
    <w:rsid w:val="002C56F2"/>
    <w:rsid w:val="002C5743"/>
    <w:rsid w:val="002C576A"/>
    <w:rsid w:val="002C57B5"/>
    <w:rsid w:val="002C58CB"/>
    <w:rsid w:val="002C58D7"/>
    <w:rsid w:val="002C5946"/>
    <w:rsid w:val="002C5950"/>
    <w:rsid w:val="002C595E"/>
    <w:rsid w:val="002C59CB"/>
    <w:rsid w:val="002C59D7"/>
    <w:rsid w:val="002C5A29"/>
    <w:rsid w:val="002C5A3A"/>
    <w:rsid w:val="002C5A8D"/>
    <w:rsid w:val="002C5A9A"/>
    <w:rsid w:val="002C5AB2"/>
    <w:rsid w:val="002C5B2B"/>
    <w:rsid w:val="002C5B3E"/>
    <w:rsid w:val="002C5B97"/>
    <w:rsid w:val="002C5C0B"/>
    <w:rsid w:val="002C5C30"/>
    <w:rsid w:val="002C5C43"/>
    <w:rsid w:val="002C5C44"/>
    <w:rsid w:val="002C5C4A"/>
    <w:rsid w:val="002C5CA5"/>
    <w:rsid w:val="002C5CB7"/>
    <w:rsid w:val="002C5CBC"/>
    <w:rsid w:val="002C5D5A"/>
    <w:rsid w:val="002C5D97"/>
    <w:rsid w:val="002C5DCD"/>
    <w:rsid w:val="002C5DEB"/>
    <w:rsid w:val="002C5E9B"/>
    <w:rsid w:val="002C5E9E"/>
    <w:rsid w:val="002C5EAC"/>
    <w:rsid w:val="002C5EC2"/>
    <w:rsid w:val="002C5EC9"/>
    <w:rsid w:val="002C5EF1"/>
    <w:rsid w:val="002C5F31"/>
    <w:rsid w:val="002C5F49"/>
    <w:rsid w:val="002C5FAF"/>
    <w:rsid w:val="002C600E"/>
    <w:rsid w:val="002C60C4"/>
    <w:rsid w:val="002C6112"/>
    <w:rsid w:val="002C6165"/>
    <w:rsid w:val="002C6169"/>
    <w:rsid w:val="002C6187"/>
    <w:rsid w:val="002C61C7"/>
    <w:rsid w:val="002C621D"/>
    <w:rsid w:val="002C624F"/>
    <w:rsid w:val="002C6268"/>
    <w:rsid w:val="002C6282"/>
    <w:rsid w:val="002C628B"/>
    <w:rsid w:val="002C6291"/>
    <w:rsid w:val="002C6296"/>
    <w:rsid w:val="002C62A9"/>
    <w:rsid w:val="002C62BD"/>
    <w:rsid w:val="002C62E3"/>
    <w:rsid w:val="002C62EE"/>
    <w:rsid w:val="002C633B"/>
    <w:rsid w:val="002C6384"/>
    <w:rsid w:val="002C63A2"/>
    <w:rsid w:val="002C63D8"/>
    <w:rsid w:val="002C63E6"/>
    <w:rsid w:val="002C63F6"/>
    <w:rsid w:val="002C6492"/>
    <w:rsid w:val="002C6499"/>
    <w:rsid w:val="002C64BE"/>
    <w:rsid w:val="002C64D8"/>
    <w:rsid w:val="002C64E8"/>
    <w:rsid w:val="002C6512"/>
    <w:rsid w:val="002C657B"/>
    <w:rsid w:val="002C65A4"/>
    <w:rsid w:val="002C65AD"/>
    <w:rsid w:val="002C6620"/>
    <w:rsid w:val="002C663F"/>
    <w:rsid w:val="002C665A"/>
    <w:rsid w:val="002C6694"/>
    <w:rsid w:val="002C66B1"/>
    <w:rsid w:val="002C66D3"/>
    <w:rsid w:val="002C6746"/>
    <w:rsid w:val="002C67A4"/>
    <w:rsid w:val="002C6807"/>
    <w:rsid w:val="002C684D"/>
    <w:rsid w:val="002C6853"/>
    <w:rsid w:val="002C6854"/>
    <w:rsid w:val="002C68A3"/>
    <w:rsid w:val="002C6942"/>
    <w:rsid w:val="002C6961"/>
    <w:rsid w:val="002C6995"/>
    <w:rsid w:val="002C69C8"/>
    <w:rsid w:val="002C69E3"/>
    <w:rsid w:val="002C6A30"/>
    <w:rsid w:val="002C6A38"/>
    <w:rsid w:val="002C6A66"/>
    <w:rsid w:val="002C6AA1"/>
    <w:rsid w:val="002C6B27"/>
    <w:rsid w:val="002C6B75"/>
    <w:rsid w:val="002C6BAC"/>
    <w:rsid w:val="002C6BB4"/>
    <w:rsid w:val="002C6BDF"/>
    <w:rsid w:val="002C6BEB"/>
    <w:rsid w:val="002C6C53"/>
    <w:rsid w:val="002C6C59"/>
    <w:rsid w:val="002C6C9D"/>
    <w:rsid w:val="002C6D90"/>
    <w:rsid w:val="002C6DBF"/>
    <w:rsid w:val="002C6DE9"/>
    <w:rsid w:val="002C6E23"/>
    <w:rsid w:val="002C6E65"/>
    <w:rsid w:val="002C6EA0"/>
    <w:rsid w:val="002C6EAA"/>
    <w:rsid w:val="002C6EAB"/>
    <w:rsid w:val="002C6F50"/>
    <w:rsid w:val="002C6F6F"/>
    <w:rsid w:val="002C6F8C"/>
    <w:rsid w:val="002C6FF0"/>
    <w:rsid w:val="002C7003"/>
    <w:rsid w:val="002C70C6"/>
    <w:rsid w:val="002C7187"/>
    <w:rsid w:val="002C7220"/>
    <w:rsid w:val="002C722F"/>
    <w:rsid w:val="002C72C3"/>
    <w:rsid w:val="002C7362"/>
    <w:rsid w:val="002C7390"/>
    <w:rsid w:val="002C7450"/>
    <w:rsid w:val="002C7496"/>
    <w:rsid w:val="002C74A5"/>
    <w:rsid w:val="002C74D9"/>
    <w:rsid w:val="002C74F5"/>
    <w:rsid w:val="002C753B"/>
    <w:rsid w:val="002C754E"/>
    <w:rsid w:val="002C7566"/>
    <w:rsid w:val="002C7573"/>
    <w:rsid w:val="002C75CB"/>
    <w:rsid w:val="002C75D6"/>
    <w:rsid w:val="002C762E"/>
    <w:rsid w:val="002C7649"/>
    <w:rsid w:val="002C7656"/>
    <w:rsid w:val="002C7658"/>
    <w:rsid w:val="002C768B"/>
    <w:rsid w:val="002C769D"/>
    <w:rsid w:val="002C76B6"/>
    <w:rsid w:val="002C7713"/>
    <w:rsid w:val="002C7735"/>
    <w:rsid w:val="002C776D"/>
    <w:rsid w:val="002C77D6"/>
    <w:rsid w:val="002C77F8"/>
    <w:rsid w:val="002C7811"/>
    <w:rsid w:val="002C7899"/>
    <w:rsid w:val="002C7906"/>
    <w:rsid w:val="002C79BE"/>
    <w:rsid w:val="002C79F5"/>
    <w:rsid w:val="002C7AAB"/>
    <w:rsid w:val="002C7AEE"/>
    <w:rsid w:val="002C7B00"/>
    <w:rsid w:val="002C7B21"/>
    <w:rsid w:val="002C7B24"/>
    <w:rsid w:val="002C7B40"/>
    <w:rsid w:val="002C7B79"/>
    <w:rsid w:val="002C7C0E"/>
    <w:rsid w:val="002C7C65"/>
    <w:rsid w:val="002C7CAB"/>
    <w:rsid w:val="002C7CB6"/>
    <w:rsid w:val="002C7D76"/>
    <w:rsid w:val="002C7D77"/>
    <w:rsid w:val="002C7DA5"/>
    <w:rsid w:val="002C7DA8"/>
    <w:rsid w:val="002C7DD2"/>
    <w:rsid w:val="002C7DDB"/>
    <w:rsid w:val="002C7DE4"/>
    <w:rsid w:val="002C7E01"/>
    <w:rsid w:val="002C7E04"/>
    <w:rsid w:val="002C7EB8"/>
    <w:rsid w:val="002C7ECB"/>
    <w:rsid w:val="002C7EDE"/>
    <w:rsid w:val="002C7EFD"/>
    <w:rsid w:val="002C7F42"/>
    <w:rsid w:val="002C7F5E"/>
    <w:rsid w:val="002C7FA3"/>
    <w:rsid w:val="002D005F"/>
    <w:rsid w:val="002D006B"/>
    <w:rsid w:val="002D0099"/>
    <w:rsid w:val="002D00A6"/>
    <w:rsid w:val="002D00B2"/>
    <w:rsid w:val="002D0130"/>
    <w:rsid w:val="002D014F"/>
    <w:rsid w:val="002D018A"/>
    <w:rsid w:val="002D01AF"/>
    <w:rsid w:val="002D01B9"/>
    <w:rsid w:val="002D01F6"/>
    <w:rsid w:val="002D0262"/>
    <w:rsid w:val="002D0385"/>
    <w:rsid w:val="002D038B"/>
    <w:rsid w:val="002D03AE"/>
    <w:rsid w:val="002D03C3"/>
    <w:rsid w:val="002D03D9"/>
    <w:rsid w:val="002D045B"/>
    <w:rsid w:val="002D048C"/>
    <w:rsid w:val="002D04CF"/>
    <w:rsid w:val="002D04DF"/>
    <w:rsid w:val="002D04E0"/>
    <w:rsid w:val="002D04F6"/>
    <w:rsid w:val="002D054A"/>
    <w:rsid w:val="002D05AC"/>
    <w:rsid w:val="002D05BA"/>
    <w:rsid w:val="002D061B"/>
    <w:rsid w:val="002D0647"/>
    <w:rsid w:val="002D06B4"/>
    <w:rsid w:val="002D06E2"/>
    <w:rsid w:val="002D0743"/>
    <w:rsid w:val="002D076D"/>
    <w:rsid w:val="002D07A2"/>
    <w:rsid w:val="002D07D0"/>
    <w:rsid w:val="002D07D4"/>
    <w:rsid w:val="002D081C"/>
    <w:rsid w:val="002D0868"/>
    <w:rsid w:val="002D08F5"/>
    <w:rsid w:val="002D08FD"/>
    <w:rsid w:val="002D097E"/>
    <w:rsid w:val="002D09A9"/>
    <w:rsid w:val="002D09ED"/>
    <w:rsid w:val="002D09FA"/>
    <w:rsid w:val="002D09FB"/>
    <w:rsid w:val="002D09FE"/>
    <w:rsid w:val="002D0A12"/>
    <w:rsid w:val="002D0A55"/>
    <w:rsid w:val="002D0A88"/>
    <w:rsid w:val="002D0A91"/>
    <w:rsid w:val="002D0AEC"/>
    <w:rsid w:val="002D0B82"/>
    <w:rsid w:val="002D0B84"/>
    <w:rsid w:val="002D0BAE"/>
    <w:rsid w:val="002D0BDD"/>
    <w:rsid w:val="002D0BEB"/>
    <w:rsid w:val="002D0C64"/>
    <w:rsid w:val="002D0C68"/>
    <w:rsid w:val="002D0C91"/>
    <w:rsid w:val="002D0C94"/>
    <w:rsid w:val="002D0CBD"/>
    <w:rsid w:val="002D0D5B"/>
    <w:rsid w:val="002D0DCC"/>
    <w:rsid w:val="002D0DCD"/>
    <w:rsid w:val="002D0E1C"/>
    <w:rsid w:val="002D0E6E"/>
    <w:rsid w:val="002D0E92"/>
    <w:rsid w:val="002D0F06"/>
    <w:rsid w:val="002D0F5D"/>
    <w:rsid w:val="002D0F7D"/>
    <w:rsid w:val="002D0FB7"/>
    <w:rsid w:val="002D0FCB"/>
    <w:rsid w:val="002D1029"/>
    <w:rsid w:val="002D102D"/>
    <w:rsid w:val="002D1058"/>
    <w:rsid w:val="002D105D"/>
    <w:rsid w:val="002D108B"/>
    <w:rsid w:val="002D10A1"/>
    <w:rsid w:val="002D10A6"/>
    <w:rsid w:val="002D10C2"/>
    <w:rsid w:val="002D10C3"/>
    <w:rsid w:val="002D10E7"/>
    <w:rsid w:val="002D10F8"/>
    <w:rsid w:val="002D1107"/>
    <w:rsid w:val="002D113B"/>
    <w:rsid w:val="002D11F5"/>
    <w:rsid w:val="002D1251"/>
    <w:rsid w:val="002D1257"/>
    <w:rsid w:val="002D1283"/>
    <w:rsid w:val="002D1297"/>
    <w:rsid w:val="002D12F7"/>
    <w:rsid w:val="002D1301"/>
    <w:rsid w:val="002D1328"/>
    <w:rsid w:val="002D13A1"/>
    <w:rsid w:val="002D13BE"/>
    <w:rsid w:val="002D13F0"/>
    <w:rsid w:val="002D1435"/>
    <w:rsid w:val="002D1487"/>
    <w:rsid w:val="002D14BA"/>
    <w:rsid w:val="002D14C7"/>
    <w:rsid w:val="002D14FC"/>
    <w:rsid w:val="002D1508"/>
    <w:rsid w:val="002D1513"/>
    <w:rsid w:val="002D1537"/>
    <w:rsid w:val="002D1543"/>
    <w:rsid w:val="002D154F"/>
    <w:rsid w:val="002D158D"/>
    <w:rsid w:val="002D15A0"/>
    <w:rsid w:val="002D15B4"/>
    <w:rsid w:val="002D1633"/>
    <w:rsid w:val="002D1652"/>
    <w:rsid w:val="002D16BD"/>
    <w:rsid w:val="002D16BE"/>
    <w:rsid w:val="002D16E4"/>
    <w:rsid w:val="002D1705"/>
    <w:rsid w:val="002D172E"/>
    <w:rsid w:val="002D1776"/>
    <w:rsid w:val="002D177E"/>
    <w:rsid w:val="002D17AE"/>
    <w:rsid w:val="002D17EA"/>
    <w:rsid w:val="002D17F8"/>
    <w:rsid w:val="002D183A"/>
    <w:rsid w:val="002D18A7"/>
    <w:rsid w:val="002D18D3"/>
    <w:rsid w:val="002D18E5"/>
    <w:rsid w:val="002D190F"/>
    <w:rsid w:val="002D197D"/>
    <w:rsid w:val="002D1A13"/>
    <w:rsid w:val="002D1A3A"/>
    <w:rsid w:val="002D1AAF"/>
    <w:rsid w:val="002D1AD5"/>
    <w:rsid w:val="002D1AD6"/>
    <w:rsid w:val="002D1ADF"/>
    <w:rsid w:val="002D1B2F"/>
    <w:rsid w:val="002D1B69"/>
    <w:rsid w:val="002D1B72"/>
    <w:rsid w:val="002D1B86"/>
    <w:rsid w:val="002D1BC3"/>
    <w:rsid w:val="002D1BE9"/>
    <w:rsid w:val="002D1C03"/>
    <w:rsid w:val="002D1C08"/>
    <w:rsid w:val="002D1C0A"/>
    <w:rsid w:val="002D1C26"/>
    <w:rsid w:val="002D1C64"/>
    <w:rsid w:val="002D1C7A"/>
    <w:rsid w:val="002D1D3D"/>
    <w:rsid w:val="002D1D51"/>
    <w:rsid w:val="002D1D54"/>
    <w:rsid w:val="002D1D72"/>
    <w:rsid w:val="002D1D85"/>
    <w:rsid w:val="002D1E62"/>
    <w:rsid w:val="002D1E6E"/>
    <w:rsid w:val="002D1E9F"/>
    <w:rsid w:val="002D1F17"/>
    <w:rsid w:val="002D1F7B"/>
    <w:rsid w:val="002D1F89"/>
    <w:rsid w:val="002D2010"/>
    <w:rsid w:val="002D203D"/>
    <w:rsid w:val="002D2074"/>
    <w:rsid w:val="002D20AE"/>
    <w:rsid w:val="002D20C5"/>
    <w:rsid w:val="002D2125"/>
    <w:rsid w:val="002D21A3"/>
    <w:rsid w:val="002D2215"/>
    <w:rsid w:val="002D22B0"/>
    <w:rsid w:val="002D22DB"/>
    <w:rsid w:val="002D2302"/>
    <w:rsid w:val="002D2333"/>
    <w:rsid w:val="002D241C"/>
    <w:rsid w:val="002D2478"/>
    <w:rsid w:val="002D247F"/>
    <w:rsid w:val="002D257D"/>
    <w:rsid w:val="002D25E9"/>
    <w:rsid w:val="002D260A"/>
    <w:rsid w:val="002D262B"/>
    <w:rsid w:val="002D265F"/>
    <w:rsid w:val="002D267A"/>
    <w:rsid w:val="002D2714"/>
    <w:rsid w:val="002D275D"/>
    <w:rsid w:val="002D27B5"/>
    <w:rsid w:val="002D27CD"/>
    <w:rsid w:val="002D27E4"/>
    <w:rsid w:val="002D2810"/>
    <w:rsid w:val="002D284A"/>
    <w:rsid w:val="002D28C0"/>
    <w:rsid w:val="002D2912"/>
    <w:rsid w:val="002D2918"/>
    <w:rsid w:val="002D2924"/>
    <w:rsid w:val="002D2936"/>
    <w:rsid w:val="002D298C"/>
    <w:rsid w:val="002D298E"/>
    <w:rsid w:val="002D29EB"/>
    <w:rsid w:val="002D29F8"/>
    <w:rsid w:val="002D2A05"/>
    <w:rsid w:val="002D2A15"/>
    <w:rsid w:val="002D2ACB"/>
    <w:rsid w:val="002D2AD9"/>
    <w:rsid w:val="002D2AF6"/>
    <w:rsid w:val="002D2AFE"/>
    <w:rsid w:val="002D2B03"/>
    <w:rsid w:val="002D2B07"/>
    <w:rsid w:val="002D2B86"/>
    <w:rsid w:val="002D2BFA"/>
    <w:rsid w:val="002D2C17"/>
    <w:rsid w:val="002D2C40"/>
    <w:rsid w:val="002D2C4A"/>
    <w:rsid w:val="002D2C76"/>
    <w:rsid w:val="002D2C79"/>
    <w:rsid w:val="002D2C82"/>
    <w:rsid w:val="002D2CA1"/>
    <w:rsid w:val="002D2CE1"/>
    <w:rsid w:val="002D2D01"/>
    <w:rsid w:val="002D2D03"/>
    <w:rsid w:val="002D2D30"/>
    <w:rsid w:val="002D2D6C"/>
    <w:rsid w:val="002D2D7D"/>
    <w:rsid w:val="002D2D9F"/>
    <w:rsid w:val="002D2DFC"/>
    <w:rsid w:val="002D2E0A"/>
    <w:rsid w:val="002D2E9C"/>
    <w:rsid w:val="002D2EA1"/>
    <w:rsid w:val="002D2F30"/>
    <w:rsid w:val="002D2F5A"/>
    <w:rsid w:val="002D2F8D"/>
    <w:rsid w:val="002D2FAA"/>
    <w:rsid w:val="002D2FB4"/>
    <w:rsid w:val="002D3024"/>
    <w:rsid w:val="002D3026"/>
    <w:rsid w:val="002D303E"/>
    <w:rsid w:val="002D3086"/>
    <w:rsid w:val="002D30A2"/>
    <w:rsid w:val="002D30A5"/>
    <w:rsid w:val="002D30EE"/>
    <w:rsid w:val="002D3105"/>
    <w:rsid w:val="002D3155"/>
    <w:rsid w:val="002D31EC"/>
    <w:rsid w:val="002D3283"/>
    <w:rsid w:val="002D32B0"/>
    <w:rsid w:val="002D32D7"/>
    <w:rsid w:val="002D32FC"/>
    <w:rsid w:val="002D33AF"/>
    <w:rsid w:val="002D340F"/>
    <w:rsid w:val="002D3449"/>
    <w:rsid w:val="002D34D3"/>
    <w:rsid w:val="002D34FC"/>
    <w:rsid w:val="002D350D"/>
    <w:rsid w:val="002D3596"/>
    <w:rsid w:val="002D3624"/>
    <w:rsid w:val="002D367A"/>
    <w:rsid w:val="002D36AF"/>
    <w:rsid w:val="002D36C1"/>
    <w:rsid w:val="002D3780"/>
    <w:rsid w:val="002D378F"/>
    <w:rsid w:val="002D3829"/>
    <w:rsid w:val="002D387E"/>
    <w:rsid w:val="002D38EA"/>
    <w:rsid w:val="002D3928"/>
    <w:rsid w:val="002D392C"/>
    <w:rsid w:val="002D393E"/>
    <w:rsid w:val="002D3949"/>
    <w:rsid w:val="002D3968"/>
    <w:rsid w:val="002D3982"/>
    <w:rsid w:val="002D39DE"/>
    <w:rsid w:val="002D3A33"/>
    <w:rsid w:val="002D3A3D"/>
    <w:rsid w:val="002D3A52"/>
    <w:rsid w:val="002D3AD9"/>
    <w:rsid w:val="002D3AF4"/>
    <w:rsid w:val="002D3BEA"/>
    <w:rsid w:val="002D3C0B"/>
    <w:rsid w:val="002D3C11"/>
    <w:rsid w:val="002D3C27"/>
    <w:rsid w:val="002D3C39"/>
    <w:rsid w:val="002D3CBD"/>
    <w:rsid w:val="002D3D68"/>
    <w:rsid w:val="002D3D6C"/>
    <w:rsid w:val="002D3DE5"/>
    <w:rsid w:val="002D3DEC"/>
    <w:rsid w:val="002D3DFA"/>
    <w:rsid w:val="002D3E20"/>
    <w:rsid w:val="002D3E3F"/>
    <w:rsid w:val="002D3EDE"/>
    <w:rsid w:val="002D3EED"/>
    <w:rsid w:val="002D3EFF"/>
    <w:rsid w:val="002D3F23"/>
    <w:rsid w:val="002D3F38"/>
    <w:rsid w:val="002D3F5C"/>
    <w:rsid w:val="002D3FB8"/>
    <w:rsid w:val="002D3FE6"/>
    <w:rsid w:val="002D3FF6"/>
    <w:rsid w:val="002D4092"/>
    <w:rsid w:val="002D40E3"/>
    <w:rsid w:val="002D414C"/>
    <w:rsid w:val="002D414D"/>
    <w:rsid w:val="002D4158"/>
    <w:rsid w:val="002D4160"/>
    <w:rsid w:val="002D4174"/>
    <w:rsid w:val="002D4179"/>
    <w:rsid w:val="002D417D"/>
    <w:rsid w:val="002D4196"/>
    <w:rsid w:val="002D41FD"/>
    <w:rsid w:val="002D4220"/>
    <w:rsid w:val="002D427D"/>
    <w:rsid w:val="002D42E2"/>
    <w:rsid w:val="002D4315"/>
    <w:rsid w:val="002D4352"/>
    <w:rsid w:val="002D43FA"/>
    <w:rsid w:val="002D43FB"/>
    <w:rsid w:val="002D4418"/>
    <w:rsid w:val="002D4421"/>
    <w:rsid w:val="002D4459"/>
    <w:rsid w:val="002D449E"/>
    <w:rsid w:val="002D44B7"/>
    <w:rsid w:val="002D44F5"/>
    <w:rsid w:val="002D4523"/>
    <w:rsid w:val="002D453D"/>
    <w:rsid w:val="002D456D"/>
    <w:rsid w:val="002D4583"/>
    <w:rsid w:val="002D45DF"/>
    <w:rsid w:val="002D461B"/>
    <w:rsid w:val="002D4633"/>
    <w:rsid w:val="002D4663"/>
    <w:rsid w:val="002D4681"/>
    <w:rsid w:val="002D46AB"/>
    <w:rsid w:val="002D46B1"/>
    <w:rsid w:val="002D47E8"/>
    <w:rsid w:val="002D4802"/>
    <w:rsid w:val="002D480C"/>
    <w:rsid w:val="002D4850"/>
    <w:rsid w:val="002D487D"/>
    <w:rsid w:val="002D48C4"/>
    <w:rsid w:val="002D4902"/>
    <w:rsid w:val="002D4913"/>
    <w:rsid w:val="002D493A"/>
    <w:rsid w:val="002D4942"/>
    <w:rsid w:val="002D4969"/>
    <w:rsid w:val="002D4974"/>
    <w:rsid w:val="002D497C"/>
    <w:rsid w:val="002D49BC"/>
    <w:rsid w:val="002D49E7"/>
    <w:rsid w:val="002D49F2"/>
    <w:rsid w:val="002D4AA0"/>
    <w:rsid w:val="002D4AF2"/>
    <w:rsid w:val="002D4AF7"/>
    <w:rsid w:val="002D4B42"/>
    <w:rsid w:val="002D4C79"/>
    <w:rsid w:val="002D4CC3"/>
    <w:rsid w:val="002D4D07"/>
    <w:rsid w:val="002D4D41"/>
    <w:rsid w:val="002D4DAE"/>
    <w:rsid w:val="002D4E41"/>
    <w:rsid w:val="002D4E8F"/>
    <w:rsid w:val="002D4EE9"/>
    <w:rsid w:val="002D4F8D"/>
    <w:rsid w:val="002D4FAB"/>
    <w:rsid w:val="002D4FD6"/>
    <w:rsid w:val="002D500C"/>
    <w:rsid w:val="002D5030"/>
    <w:rsid w:val="002D504B"/>
    <w:rsid w:val="002D50BF"/>
    <w:rsid w:val="002D5103"/>
    <w:rsid w:val="002D5158"/>
    <w:rsid w:val="002D5166"/>
    <w:rsid w:val="002D51C4"/>
    <w:rsid w:val="002D51CA"/>
    <w:rsid w:val="002D52C3"/>
    <w:rsid w:val="002D52D1"/>
    <w:rsid w:val="002D52F7"/>
    <w:rsid w:val="002D52FF"/>
    <w:rsid w:val="002D5316"/>
    <w:rsid w:val="002D537B"/>
    <w:rsid w:val="002D53D8"/>
    <w:rsid w:val="002D53E9"/>
    <w:rsid w:val="002D5404"/>
    <w:rsid w:val="002D5465"/>
    <w:rsid w:val="002D54B4"/>
    <w:rsid w:val="002D54BC"/>
    <w:rsid w:val="002D54C2"/>
    <w:rsid w:val="002D54CF"/>
    <w:rsid w:val="002D5514"/>
    <w:rsid w:val="002D557C"/>
    <w:rsid w:val="002D558B"/>
    <w:rsid w:val="002D55ED"/>
    <w:rsid w:val="002D5603"/>
    <w:rsid w:val="002D5614"/>
    <w:rsid w:val="002D5624"/>
    <w:rsid w:val="002D5627"/>
    <w:rsid w:val="002D564F"/>
    <w:rsid w:val="002D5655"/>
    <w:rsid w:val="002D565E"/>
    <w:rsid w:val="002D5666"/>
    <w:rsid w:val="002D56CF"/>
    <w:rsid w:val="002D56F2"/>
    <w:rsid w:val="002D572D"/>
    <w:rsid w:val="002D5782"/>
    <w:rsid w:val="002D58D9"/>
    <w:rsid w:val="002D58E6"/>
    <w:rsid w:val="002D5956"/>
    <w:rsid w:val="002D5995"/>
    <w:rsid w:val="002D59A3"/>
    <w:rsid w:val="002D5A13"/>
    <w:rsid w:val="002D5A1B"/>
    <w:rsid w:val="002D5A68"/>
    <w:rsid w:val="002D5ABF"/>
    <w:rsid w:val="002D5AFF"/>
    <w:rsid w:val="002D5B0B"/>
    <w:rsid w:val="002D5B5A"/>
    <w:rsid w:val="002D5BEE"/>
    <w:rsid w:val="002D5BF0"/>
    <w:rsid w:val="002D5BF5"/>
    <w:rsid w:val="002D5C6F"/>
    <w:rsid w:val="002D5C73"/>
    <w:rsid w:val="002D5C75"/>
    <w:rsid w:val="002D5C8B"/>
    <w:rsid w:val="002D5CC8"/>
    <w:rsid w:val="002D5CCA"/>
    <w:rsid w:val="002D5CEC"/>
    <w:rsid w:val="002D5CF0"/>
    <w:rsid w:val="002D5CFD"/>
    <w:rsid w:val="002D5D6B"/>
    <w:rsid w:val="002D5D89"/>
    <w:rsid w:val="002D5DB6"/>
    <w:rsid w:val="002D5DFC"/>
    <w:rsid w:val="002D5E5C"/>
    <w:rsid w:val="002D5EEC"/>
    <w:rsid w:val="002D5F3A"/>
    <w:rsid w:val="002D5F4C"/>
    <w:rsid w:val="002D5F81"/>
    <w:rsid w:val="002D5FA9"/>
    <w:rsid w:val="002D5FAE"/>
    <w:rsid w:val="002D5FC7"/>
    <w:rsid w:val="002D5FE6"/>
    <w:rsid w:val="002D6050"/>
    <w:rsid w:val="002D6099"/>
    <w:rsid w:val="002D60AA"/>
    <w:rsid w:val="002D60AF"/>
    <w:rsid w:val="002D60E6"/>
    <w:rsid w:val="002D6106"/>
    <w:rsid w:val="002D6153"/>
    <w:rsid w:val="002D6158"/>
    <w:rsid w:val="002D6175"/>
    <w:rsid w:val="002D6180"/>
    <w:rsid w:val="002D6184"/>
    <w:rsid w:val="002D6187"/>
    <w:rsid w:val="002D61EB"/>
    <w:rsid w:val="002D623A"/>
    <w:rsid w:val="002D624C"/>
    <w:rsid w:val="002D6264"/>
    <w:rsid w:val="002D6280"/>
    <w:rsid w:val="002D6291"/>
    <w:rsid w:val="002D62A1"/>
    <w:rsid w:val="002D62B6"/>
    <w:rsid w:val="002D62F1"/>
    <w:rsid w:val="002D63CB"/>
    <w:rsid w:val="002D63E0"/>
    <w:rsid w:val="002D6476"/>
    <w:rsid w:val="002D647A"/>
    <w:rsid w:val="002D64DD"/>
    <w:rsid w:val="002D64EF"/>
    <w:rsid w:val="002D64F7"/>
    <w:rsid w:val="002D6501"/>
    <w:rsid w:val="002D6536"/>
    <w:rsid w:val="002D6618"/>
    <w:rsid w:val="002D6637"/>
    <w:rsid w:val="002D6697"/>
    <w:rsid w:val="002D66A3"/>
    <w:rsid w:val="002D6727"/>
    <w:rsid w:val="002D6748"/>
    <w:rsid w:val="002D674E"/>
    <w:rsid w:val="002D6795"/>
    <w:rsid w:val="002D67A0"/>
    <w:rsid w:val="002D67BF"/>
    <w:rsid w:val="002D67FE"/>
    <w:rsid w:val="002D6825"/>
    <w:rsid w:val="002D6877"/>
    <w:rsid w:val="002D68B4"/>
    <w:rsid w:val="002D6910"/>
    <w:rsid w:val="002D69E0"/>
    <w:rsid w:val="002D69E1"/>
    <w:rsid w:val="002D69E3"/>
    <w:rsid w:val="002D6A2E"/>
    <w:rsid w:val="002D6A32"/>
    <w:rsid w:val="002D6ABF"/>
    <w:rsid w:val="002D6AE0"/>
    <w:rsid w:val="002D6AFB"/>
    <w:rsid w:val="002D6B03"/>
    <w:rsid w:val="002D6B1D"/>
    <w:rsid w:val="002D6B2F"/>
    <w:rsid w:val="002D6B36"/>
    <w:rsid w:val="002D6B71"/>
    <w:rsid w:val="002D6B90"/>
    <w:rsid w:val="002D6B9D"/>
    <w:rsid w:val="002D6C04"/>
    <w:rsid w:val="002D6C09"/>
    <w:rsid w:val="002D6CDF"/>
    <w:rsid w:val="002D6CF8"/>
    <w:rsid w:val="002D6D05"/>
    <w:rsid w:val="002D6D17"/>
    <w:rsid w:val="002D6D19"/>
    <w:rsid w:val="002D6D56"/>
    <w:rsid w:val="002D6D78"/>
    <w:rsid w:val="002D6D9B"/>
    <w:rsid w:val="002D6DC5"/>
    <w:rsid w:val="002D6E17"/>
    <w:rsid w:val="002D6E2C"/>
    <w:rsid w:val="002D6E77"/>
    <w:rsid w:val="002D6EB8"/>
    <w:rsid w:val="002D6F02"/>
    <w:rsid w:val="002D6F11"/>
    <w:rsid w:val="002D6F67"/>
    <w:rsid w:val="002D6F6F"/>
    <w:rsid w:val="002D6F87"/>
    <w:rsid w:val="002D6F9E"/>
    <w:rsid w:val="002D6FC3"/>
    <w:rsid w:val="002D6FCF"/>
    <w:rsid w:val="002D6FD9"/>
    <w:rsid w:val="002D7015"/>
    <w:rsid w:val="002D7050"/>
    <w:rsid w:val="002D70A4"/>
    <w:rsid w:val="002D70CF"/>
    <w:rsid w:val="002D7125"/>
    <w:rsid w:val="002D7152"/>
    <w:rsid w:val="002D7180"/>
    <w:rsid w:val="002D7184"/>
    <w:rsid w:val="002D7196"/>
    <w:rsid w:val="002D71A3"/>
    <w:rsid w:val="002D71C4"/>
    <w:rsid w:val="002D720A"/>
    <w:rsid w:val="002D721D"/>
    <w:rsid w:val="002D7232"/>
    <w:rsid w:val="002D72D1"/>
    <w:rsid w:val="002D7378"/>
    <w:rsid w:val="002D737A"/>
    <w:rsid w:val="002D73BE"/>
    <w:rsid w:val="002D7425"/>
    <w:rsid w:val="002D745D"/>
    <w:rsid w:val="002D7488"/>
    <w:rsid w:val="002D74EF"/>
    <w:rsid w:val="002D7527"/>
    <w:rsid w:val="002D75E1"/>
    <w:rsid w:val="002D75FF"/>
    <w:rsid w:val="002D763E"/>
    <w:rsid w:val="002D7657"/>
    <w:rsid w:val="002D76A8"/>
    <w:rsid w:val="002D76A9"/>
    <w:rsid w:val="002D76AC"/>
    <w:rsid w:val="002D76C2"/>
    <w:rsid w:val="002D774E"/>
    <w:rsid w:val="002D77C4"/>
    <w:rsid w:val="002D77C7"/>
    <w:rsid w:val="002D7844"/>
    <w:rsid w:val="002D784C"/>
    <w:rsid w:val="002D7870"/>
    <w:rsid w:val="002D789C"/>
    <w:rsid w:val="002D78DF"/>
    <w:rsid w:val="002D7920"/>
    <w:rsid w:val="002D7930"/>
    <w:rsid w:val="002D795A"/>
    <w:rsid w:val="002D7963"/>
    <w:rsid w:val="002D7991"/>
    <w:rsid w:val="002D7992"/>
    <w:rsid w:val="002D79C5"/>
    <w:rsid w:val="002D79FD"/>
    <w:rsid w:val="002D7A0A"/>
    <w:rsid w:val="002D7A31"/>
    <w:rsid w:val="002D7A35"/>
    <w:rsid w:val="002D7A7D"/>
    <w:rsid w:val="002D7AF1"/>
    <w:rsid w:val="002D7B28"/>
    <w:rsid w:val="002D7B33"/>
    <w:rsid w:val="002D7B3D"/>
    <w:rsid w:val="002D7B61"/>
    <w:rsid w:val="002D7B6A"/>
    <w:rsid w:val="002D7B8A"/>
    <w:rsid w:val="002D7C59"/>
    <w:rsid w:val="002D7CFD"/>
    <w:rsid w:val="002D7D24"/>
    <w:rsid w:val="002D7D4B"/>
    <w:rsid w:val="002D7D57"/>
    <w:rsid w:val="002D7D83"/>
    <w:rsid w:val="002D7DB2"/>
    <w:rsid w:val="002D7E15"/>
    <w:rsid w:val="002D7E70"/>
    <w:rsid w:val="002D7EBC"/>
    <w:rsid w:val="002D7EE7"/>
    <w:rsid w:val="002D7F05"/>
    <w:rsid w:val="002D7F44"/>
    <w:rsid w:val="002D7FB1"/>
    <w:rsid w:val="002E008C"/>
    <w:rsid w:val="002E00B0"/>
    <w:rsid w:val="002E011F"/>
    <w:rsid w:val="002E0156"/>
    <w:rsid w:val="002E0183"/>
    <w:rsid w:val="002E01BA"/>
    <w:rsid w:val="002E0201"/>
    <w:rsid w:val="002E0208"/>
    <w:rsid w:val="002E0233"/>
    <w:rsid w:val="002E024A"/>
    <w:rsid w:val="002E028F"/>
    <w:rsid w:val="002E02D0"/>
    <w:rsid w:val="002E02F0"/>
    <w:rsid w:val="002E031E"/>
    <w:rsid w:val="002E031F"/>
    <w:rsid w:val="002E0323"/>
    <w:rsid w:val="002E0365"/>
    <w:rsid w:val="002E03CA"/>
    <w:rsid w:val="002E03CF"/>
    <w:rsid w:val="002E03E7"/>
    <w:rsid w:val="002E046E"/>
    <w:rsid w:val="002E0494"/>
    <w:rsid w:val="002E04F6"/>
    <w:rsid w:val="002E04F7"/>
    <w:rsid w:val="002E04F9"/>
    <w:rsid w:val="002E056F"/>
    <w:rsid w:val="002E066F"/>
    <w:rsid w:val="002E069E"/>
    <w:rsid w:val="002E0739"/>
    <w:rsid w:val="002E07D5"/>
    <w:rsid w:val="002E0800"/>
    <w:rsid w:val="002E0820"/>
    <w:rsid w:val="002E0832"/>
    <w:rsid w:val="002E085E"/>
    <w:rsid w:val="002E0875"/>
    <w:rsid w:val="002E087E"/>
    <w:rsid w:val="002E0953"/>
    <w:rsid w:val="002E0959"/>
    <w:rsid w:val="002E097E"/>
    <w:rsid w:val="002E0A25"/>
    <w:rsid w:val="002E0A5E"/>
    <w:rsid w:val="002E0A98"/>
    <w:rsid w:val="002E0AB5"/>
    <w:rsid w:val="002E0AEB"/>
    <w:rsid w:val="002E0AF7"/>
    <w:rsid w:val="002E0B12"/>
    <w:rsid w:val="002E0B17"/>
    <w:rsid w:val="002E0B5E"/>
    <w:rsid w:val="002E0B63"/>
    <w:rsid w:val="002E0B7C"/>
    <w:rsid w:val="002E0C17"/>
    <w:rsid w:val="002E0C7A"/>
    <w:rsid w:val="002E0C7E"/>
    <w:rsid w:val="002E0C84"/>
    <w:rsid w:val="002E0C96"/>
    <w:rsid w:val="002E0CE0"/>
    <w:rsid w:val="002E0CF1"/>
    <w:rsid w:val="002E0D4A"/>
    <w:rsid w:val="002E0D95"/>
    <w:rsid w:val="002E0E0E"/>
    <w:rsid w:val="002E0E36"/>
    <w:rsid w:val="002E0EA3"/>
    <w:rsid w:val="002E0F16"/>
    <w:rsid w:val="002E0F35"/>
    <w:rsid w:val="002E10A4"/>
    <w:rsid w:val="002E10D9"/>
    <w:rsid w:val="002E10EE"/>
    <w:rsid w:val="002E10F7"/>
    <w:rsid w:val="002E1188"/>
    <w:rsid w:val="002E11B6"/>
    <w:rsid w:val="002E11EB"/>
    <w:rsid w:val="002E12FE"/>
    <w:rsid w:val="002E136F"/>
    <w:rsid w:val="002E139A"/>
    <w:rsid w:val="002E13C7"/>
    <w:rsid w:val="002E13EF"/>
    <w:rsid w:val="002E1467"/>
    <w:rsid w:val="002E14AB"/>
    <w:rsid w:val="002E14EB"/>
    <w:rsid w:val="002E14F0"/>
    <w:rsid w:val="002E151A"/>
    <w:rsid w:val="002E153D"/>
    <w:rsid w:val="002E1572"/>
    <w:rsid w:val="002E15D0"/>
    <w:rsid w:val="002E15E9"/>
    <w:rsid w:val="002E160C"/>
    <w:rsid w:val="002E1687"/>
    <w:rsid w:val="002E169F"/>
    <w:rsid w:val="002E16A2"/>
    <w:rsid w:val="002E16B5"/>
    <w:rsid w:val="002E16EB"/>
    <w:rsid w:val="002E1719"/>
    <w:rsid w:val="002E1724"/>
    <w:rsid w:val="002E173E"/>
    <w:rsid w:val="002E17A4"/>
    <w:rsid w:val="002E1876"/>
    <w:rsid w:val="002E1894"/>
    <w:rsid w:val="002E18E0"/>
    <w:rsid w:val="002E18FF"/>
    <w:rsid w:val="002E1956"/>
    <w:rsid w:val="002E1975"/>
    <w:rsid w:val="002E1A38"/>
    <w:rsid w:val="002E1A83"/>
    <w:rsid w:val="002E1A8C"/>
    <w:rsid w:val="002E1A8D"/>
    <w:rsid w:val="002E1A8E"/>
    <w:rsid w:val="002E1B01"/>
    <w:rsid w:val="002E1B1B"/>
    <w:rsid w:val="002E1B21"/>
    <w:rsid w:val="002E1B4F"/>
    <w:rsid w:val="002E1B8A"/>
    <w:rsid w:val="002E1BAD"/>
    <w:rsid w:val="002E1BC9"/>
    <w:rsid w:val="002E1BF0"/>
    <w:rsid w:val="002E1C90"/>
    <w:rsid w:val="002E1CBD"/>
    <w:rsid w:val="002E1CE6"/>
    <w:rsid w:val="002E1CEA"/>
    <w:rsid w:val="002E1D1D"/>
    <w:rsid w:val="002E1D8B"/>
    <w:rsid w:val="002E1ED5"/>
    <w:rsid w:val="002E1F46"/>
    <w:rsid w:val="002E1F76"/>
    <w:rsid w:val="002E1F92"/>
    <w:rsid w:val="002E1F9E"/>
    <w:rsid w:val="002E201C"/>
    <w:rsid w:val="002E2025"/>
    <w:rsid w:val="002E2026"/>
    <w:rsid w:val="002E2027"/>
    <w:rsid w:val="002E2088"/>
    <w:rsid w:val="002E20AD"/>
    <w:rsid w:val="002E2122"/>
    <w:rsid w:val="002E2194"/>
    <w:rsid w:val="002E21A6"/>
    <w:rsid w:val="002E21D6"/>
    <w:rsid w:val="002E21E8"/>
    <w:rsid w:val="002E2208"/>
    <w:rsid w:val="002E221A"/>
    <w:rsid w:val="002E2235"/>
    <w:rsid w:val="002E223C"/>
    <w:rsid w:val="002E2270"/>
    <w:rsid w:val="002E2276"/>
    <w:rsid w:val="002E227C"/>
    <w:rsid w:val="002E22BF"/>
    <w:rsid w:val="002E230D"/>
    <w:rsid w:val="002E2380"/>
    <w:rsid w:val="002E23E2"/>
    <w:rsid w:val="002E23F6"/>
    <w:rsid w:val="002E2402"/>
    <w:rsid w:val="002E2419"/>
    <w:rsid w:val="002E249E"/>
    <w:rsid w:val="002E24D3"/>
    <w:rsid w:val="002E2520"/>
    <w:rsid w:val="002E2576"/>
    <w:rsid w:val="002E257F"/>
    <w:rsid w:val="002E25AF"/>
    <w:rsid w:val="002E263A"/>
    <w:rsid w:val="002E2675"/>
    <w:rsid w:val="002E267F"/>
    <w:rsid w:val="002E2691"/>
    <w:rsid w:val="002E26C9"/>
    <w:rsid w:val="002E271B"/>
    <w:rsid w:val="002E2737"/>
    <w:rsid w:val="002E2782"/>
    <w:rsid w:val="002E27CC"/>
    <w:rsid w:val="002E27D2"/>
    <w:rsid w:val="002E27F5"/>
    <w:rsid w:val="002E280B"/>
    <w:rsid w:val="002E2814"/>
    <w:rsid w:val="002E281B"/>
    <w:rsid w:val="002E2874"/>
    <w:rsid w:val="002E28BE"/>
    <w:rsid w:val="002E28CB"/>
    <w:rsid w:val="002E295B"/>
    <w:rsid w:val="002E2982"/>
    <w:rsid w:val="002E298B"/>
    <w:rsid w:val="002E29BA"/>
    <w:rsid w:val="002E2A44"/>
    <w:rsid w:val="002E2ACE"/>
    <w:rsid w:val="002E2AD7"/>
    <w:rsid w:val="002E2AF9"/>
    <w:rsid w:val="002E2B02"/>
    <w:rsid w:val="002E2B1C"/>
    <w:rsid w:val="002E2B2B"/>
    <w:rsid w:val="002E2B5C"/>
    <w:rsid w:val="002E2BA9"/>
    <w:rsid w:val="002E2BAA"/>
    <w:rsid w:val="002E2BDF"/>
    <w:rsid w:val="002E2C11"/>
    <w:rsid w:val="002E2C1B"/>
    <w:rsid w:val="002E2C2B"/>
    <w:rsid w:val="002E2C7E"/>
    <w:rsid w:val="002E2CA0"/>
    <w:rsid w:val="002E2CB3"/>
    <w:rsid w:val="002E2D0A"/>
    <w:rsid w:val="002E2D50"/>
    <w:rsid w:val="002E2D74"/>
    <w:rsid w:val="002E2DD5"/>
    <w:rsid w:val="002E2EDE"/>
    <w:rsid w:val="002E2EFB"/>
    <w:rsid w:val="002E2F23"/>
    <w:rsid w:val="002E2F3A"/>
    <w:rsid w:val="002E2F4F"/>
    <w:rsid w:val="002E2F63"/>
    <w:rsid w:val="002E2F8A"/>
    <w:rsid w:val="002E2F8F"/>
    <w:rsid w:val="002E2FDC"/>
    <w:rsid w:val="002E3036"/>
    <w:rsid w:val="002E3040"/>
    <w:rsid w:val="002E3063"/>
    <w:rsid w:val="002E308C"/>
    <w:rsid w:val="002E3099"/>
    <w:rsid w:val="002E30A8"/>
    <w:rsid w:val="002E30CA"/>
    <w:rsid w:val="002E311E"/>
    <w:rsid w:val="002E3138"/>
    <w:rsid w:val="002E3162"/>
    <w:rsid w:val="002E316F"/>
    <w:rsid w:val="002E3211"/>
    <w:rsid w:val="002E322E"/>
    <w:rsid w:val="002E3273"/>
    <w:rsid w:val="002E32A8"/>
    <w:rsid w:val="002E32B8"/>
    <w:rsid w:val="002E32CA"/>
    <w:rsid w:val="002E32E0"/>
    <w:rsid w:val="002E32EB"/>
    <w:rsid w:val="002E32F1"/>
    <w:rsid w:val="002E3386"/>
    <w:rsid w:val="002E33A8"/>
    <w:rsid w:val="002E33B7"/>
    <w:rsid w:val="002E34BC"/>
    <w:rsid w:val="002E3514"/>
    <w:rsid w:val="002E3515"/>
    <w:rsid w:val="002E354E"/>
    <w:rsid w:val="002E3567"/>
    <w:rsid w:val="002E359B"/>
    <w:rsid w:val="002E359D"/>
    <w:rsid w:val="002E35B6"/>
    <w:rsid w:val="002E35E9"/>
    <w:rsid w:val="002E3605"/>
    <w:rsid w:val="002E3631"/>
    <w:rsid w:val="002E365B"/>
    <w:rsid w:val="002E3731"/>
    <w:rsid w:val="002E37AE"/>
    <w:rsid w:val="002E37BD"/>
    <w:rsid w:val="002E3815"/>
    <w:rsid w:val="002E385C"/>
    <w:rsid w:val="002E3883"/>
    <w:rsid w:val="002E38BA"/>
    <w:rsid w:val="002E38E9"/>
    <w:rsid w:val="002E3904"/>
    <w:rsid w:val="002E390B"/>
    <w:rsid w:val="002E3949"/>
    <w:rsid w:val="002E394A"/>
    <w:rsid w:val="002E39B6"/>
    <w:rsid w:val="002E39E7"/>
    <w:rsid w:val="002E3A0C"/>
    <w:rsid w:val="002E3AA5"/>
    <w:rsid w:val="002E3ADF"/>
    <w:rsid w:val="002E3B02"/>
    <w:rsid w:val="002E3B57"/>
    <w:rsid w:val="002E3BA9"/>
    <w:rsid w:val="002E3BDA"/>
    <w:rsid w:val="002E3C19"/>
    <w:rsid w:val="002E3C21"/>
    <w:rsid w:val="002E3C22"/>
    <w:rsid w:val="002E3C77"/>
    <w:rsid w:val="002E3C83"/>
    <w:rsid w:val="002E3CE6"/>
    <w:rsid w:val="002E3D15"/>
    <w:rsid w:val="002E3DC0"/>
    <w:rsid w:val="002E3DC7"/>
    <w:rsid w:val="002E3E43"/>
    <w:rsid w:val="002E3E4B"/>
    <w:rsid w:val="002E3EAB"/>
    <w:rsid w:val="002E3EFD"/>
    <w:rsid w:val="002E3F25"/>
    <w:rsid w:val="002E3F40"/>
    <w:rsid w:val="002E3F45"/>
    <w:rsid w:val="002E3F92"/>
    <w:rsid w:val="002E3F9C"/>
    <w:rsid w:val="002E3FDC"/>
    <w:rsid w:val="002E4000"/>
    <w:rsid w:val="002E4063"/>
    <w:rsid w:val="002E406A"/>
    <w:rsid w:val="002E406D"/>
    <w:rsid w:val="002E40DE"/>
    <w:rsid w:val="002E40F9"/>
    <w:rsid w:val="002E414B"/>
    <w:rsid w:val="002E41F9"/>
    <w:rsid w:val="002E420B"/>
    <w:rsid w:val="002E4212"/>
    <w:rsid w:val="002E4227"/>
    <w:rsid w:val="002E4246"/>
    <w:rsid w:val="002E4258"/>
    <w:rsid w:val="002E4275"/>
    <w:rsid w:val="002E4291"/>
    <w:rsid w:val="002E42A4"/>
    <w:rsid w:val="002E42C3"/>
    <w:rsid w:val="002E42DD"/>
    <w:rsid w:val="002E42E0"/>
    <w:rsid w:val="002E4372"/>
    <w:rsid w:val="002E437B"/>
    <w:rsid w:val="002E43ED"/>
    <w:rsid w:val="002E4400"/>
    <w:rsid w:val="002E44BA"/>
    <w:rsid w:val="002E44C8"/>
    <w:rsid w:val="002E455F"/>
    <w:rsid w:val="002E465B"/>
    <w:rsid w:val="002E467D"/>
    <w:rsid w:val="002E470E"/>
    <w:rsid w:val="002E4712"/>
    <w:rsid w:val="002E471E"/>
    <w:rsid w:val="002E47B4"/>
    <w:rsid w:val="002E4801"/>
    <w:rsid w:val="002E4897"/>
    <w:rsid w:val="002E489E"/>
    <w:rsid w:val="002E48AE"/>
    <w:rsid w:val="002E48F3"/>
    <w:rsid w:val="002E4932"/>
    <w:rsid w:val="002E493C"/>
    <w:rsid w:val="002E497F"/>
    <w:rsid w:val="002E498E"/>
    <w:rsid w:val="002E499D"/>
    <w:rsid w:val="002E49B5"/>
    <w:rsid w:val="002E49B8"/>
    <w:rsid w:val="002E49CB"/>
    <w:rsid w:val="002E4A40"/>
    <w:rsid w:val="002E4A5D"/>
    <w:rsid w:val="002E4A70"/>
    <w:rsid w:val="002E4A79"/>
    <w:rsid w:val="002E4AB4"/>
    <w:rsid w:val="002E4C20"/>
    <w:rsid w:val="002E4C70"/>
    <w:rsid w:val="002E4CA4"/>
    <w:rsid w:val="002E4CF3"/>
    <w:rsid w:val="002E4D0E"/>
    <w:rsid w:val="002E4D4D"/>
    <w:rsid w:val="002E4D7E"/>
    <w:rsid w:val="002E4D83"/>
    <w:rsid w:val="002E4D9E"/>
    <w:rsid w:val="002E4DCC"/>
    <w:rsid w:val="002E4DDD"/>
    <w:rsid w:val="002E4DE5"/>
    <w:rsid w:val="002E4E31"/>
    <w:rsid w:val="002E4E50"/>
    <w:rsid w:val="002E4EC0"/>
    <w:rsid w:val="002E4EEF"/>
    <w:rsid w:val="002E4EF1"/>
    <w:rsid w:val="002E4F5C"/>
    <w:rsid w:val="002E4F9A"/>
    <w:rsid w:val="002E505B"/>
    <w:rsid w:val="002E5076"/>
    <w:rsid w:val="002E50A5"/>
    <w:rsid w:val="002E50B3"/>
    <w:rsid w:val="002E50C2"/>
    <w:rsid w:val="002E50C7"/>
    <w:rsid w:val="002E50D3"/>
    <w:rsid w:val="002E50E7"/>
    <w:rsid w:val="002E5100"/>
    <w:rsid w:val="002E5122"/>
    <w:rsid w:val="002E5161"/>
    <w:rsid w:val="002E5198"/>
    <w:rsid w:val="002E51AA"/>
    <w:rsid w:val="002E523C"/>
    <w:rsid w:val="002E5245"/>
    <w:rsid w:val="002E52D0"/>
    <w:rsid w:val="002E533B"/>
    <w:rsid w:val="002E537B"/>
    <w:rsid w:val="002E53C1"/>
    <w:rsid w:val="002E53E1"/>
    <w:rsid w:val="002E53F9"/>
    <w:rsid w:val="002E54DF"/>
    <w:rsid w:val="002E5503"/>
    <w:rsid w:val="002E5598"/>
    <w:rsid w:val="002E55E7"/>
    <w:rsid w:val="002E5601"/>
    <w:rsid w:val="002E5624"/>
    <w:rsid w:val="002E562B"/>
    <w:rsid w:val="002E5632"/>
    <w:rsid w:val="002E56E4"/>
    <w:rsid w:val="002E572C"/>
    <w:rsid w:val="002E5756"/>
    <w:rsid w:val="002E5758"/>
    <w:rsid w:val="002E5760"/>
    <w:rsid w:val="002E5764"/>
    <w:rsid w:val="002E5766"/>
    <w:rsid w:val="002E57A5"/>
    <w:rsid w:val="002E57C1"/>
    <w:rsid w:val="002E57F3"/>
    <w:rsid w:val="002E580A"/>
    <w:rsid w:val="002E584E"/>
    <w:rsid w:val="002E589D"/>
    <w:rsid w:val="002E58FA"/>
    <w:rsid w:val="002E5915"/>
    <w:rsid w:val="002E5993"/>
    <w:rsid w:val="002E5996"/>
    <w:rsid w:val="002E59FF"/>
    <w:rsid w:val="002E5A54"/>
    <w:rsid w:val="002E5AC1"/>
    <w:rsid w:val="002E5B27"/>
    <w:rsid w:val="002E5B31"/>
    <w:rsid w:val="002E5B75"/>
    <w:rsid w:val="002E5B81"/>
    <w:rsid w:val="002E5B86"/>
    <w:rsid w:val="002E5BA2"/>
    <w:rsid w:val="002E5BDD"/>
    <w:rsid w:val="002E5C35"/>
    <w:rsid w:val="002E5C41"/>
    <w:rsid w:val="002E5C59"/>
    <w:rsid w:val="002E5C64"/>
    <w:rsid w:val="002E5CA7"/>
    <w:rsid w:val="002E5D2E"/>
    <w:rsid w:val="002E5DF5"/>
    <w:rsid w:val="002E5E21"/>
    <w:rsid w:val="002E5E4D"/>
    <w:rsid w:val="002E5E89"/>
    <w:rsid w:val="002E5E99"/>
    <w:rsid w:val="002E5EA2"/>
    <w:rsid w:val="002E5EF9"/>
    <w:rsid w:val="002E5F14"/>
    <w:rsid w:val="002E5F2D"/>
    <w:rsid w:val="002E5F84"/>
    <w:rsid w:val="002E5FE3"/>
    <w:rsid w:val="002E5FEE"/>
    <w:rsid w:val="002E5FF7"/>
    <w:rsid w:val="002E6063"/>
    <w:rsid w:val="002E6087"/>
    <w:rsid w:val="002E608E"/>
    <w:rsid w:val="002E613C"/>
    <w:rsid w:val="002E61D3"/>
    <w:rsid w:val="002E61DA"/>
    <w:rsid w:val="002E620E"/>
    <w:rsid w:val="002E622A"/>
    <w:rsid w:val="002E6239"/>
    <w:rsid w:val="002E623D"/>
    <w:rsid w:val="002E6264"/>
    <w:rsid w:val="002E6266"/>
    <w:rsid w:val="002E62DD"/>
    <w:rsid w:val="002E639C"/>
    <w:rsid w:val="002E63D5"/>
    <w:rsid w:val="002E63ED"/>
    <w:rsid w:val="002E6427"/>
    <w:rsid w:val="002E6450"/>
    <w:rsid w:val="002E6475"/>
    <w:rsid w:val="002E64CF"/>
    <w:rsid w:val="002E6518"/>
    <w:rsid w:val="002E655F"/>
    <w:rsid w:val="002E65A6"/>
    <w:rsid w:val="002E65AA"/>
    <w:rsid w:val="002E65B6"/>
    <w:rsid w:val="002E65D8"/>
    <w:rsid w:val="002E6621"/>
    <w:rsid w:val="002E665D"/>
    <w:rsid w:val="002E6685"/>
    <w:rsid w:val="002E66B0"/>
    <w:rsid w:val="002E66D9"/>
    <w:rsid w:val="002E6729"/>
    <w:rsid w:val="002E673C"/>
    <w:rsid w:val="002E6774"/>
    <w:rsid w:val="002E678E"/>
    <w:rsid w:val="002E68EE"/>
    <w:rsid w:val="002E6921"/>
    <w:rsid w:val="002E6936"/>
    <w:rsid w:val="002E6958"/>
    <w:rsid w:val="002E6A25"/>
    <w:rsid w:val="002E6A32"/>
    <w:rsid w:val="002E6A62"/>
    <w:rsid w:val="002E6AC8"/>
    <w:rsid w:val="002E6AE1"/>
    <w:rsid w:val="002E6B28"/>
    <w:rsid w:val="002E6B63"/>
    <w:rsid w:val="002E6B6D"/>
    <w:rsid w:val="002E6B97"/>
    <w:rsid w:val="002E6BB0"/>
    <w:rsid w:val="002E6BCC"/>
    <w:rsid w:val="002E6C46"/>
    <w:rsid w:val="002E6C79"/>
    <w:rsid w:val="002E6CAC"/>
    <w:rsid w:val="002E6D1C"/>
    <w:rsid w:val="002E6DBE"/>
    <w:rsid w:val="002E6E11"/>
    <w:rsid w:val="002E6E86"/>
    <w:rsid w:val="002E6F00"/>
    <w:rsid w:val="002E6F30"/>
    <w:rsid w:val="002E6F53"/>
    <w:rsid w:val="002E6F60"/>
    <w:rsid w:val="002E6FCE"/>
    <w:rsid w:val="002E6FE6"/>
    <w:rsid w:val="002E7001"/>
    <w:rsid w:val="002E7016"/>
    <w:rsid w:val="002E70C0"/>
    <w:rsid w:val="002E70EE"/>
    <w:rsid w:val="002E711B"/>
    <w:rsid w:val="002E71B3"/>
    <w:rsid w:val="002E7212"/>
    <w:rsid w:val="002E722A"/>
    <w:rsid w:val="002E7259"/>
    <w:rsid w:val="002E72E4"/>
    <w:rsid w:val="002E7353"/>
    <w:rsid w:val="002E7383"/>
    <w:rsid w:val="002E73DA"/>
    <w:rsid w:val="002E73F0"/>
    <w:rsid w:val="002E73F1"/>
    <w:rsid w:val="002E73FD"/>
    <w:rsid w:val="002E7400"/>
    <w:rsid w:val="002E7486"/>
    <w:rsid w:val="002E748E"/>
    <w:rsid w:val="002E74DF"/>
    <w:rsid w:val="002E750C"/>
    <w:rsid w:val="002E7546"/>
    <w:rsid w:val="002E75D0"/>
    <w:rsid w:val="002E75E0"/>
    <w:rsid w:val="002E75FA"/>
    <w:rsid w:val="002E7632"/>
    <w:rsid w:val="002E763B"/>
    <w:rsid w:val="002E7643"/>
    <w:rsid w:val="002E76A6"/>
    <w:rsid w:val="002E76BD"/>
    <w:rsid w:val="002E76DD"/>
    <w:rsid w:val="002E76F4"/>
    <w:rsid w:val="002E7730"/>
    <w:rsid w:val="002E781C"/>
    <w:rsid w:val="002E7845"/>
    <w:rsid w:val="002E787D"/>
    <w:rsid w:val="002E788C"/>
    <w:rsid w:val="002E78A2"/>
    <w:rsid w:val="002E78B6"/>
    <w:rsid w:val="002E78FB"/>
    <w:rsid w:val="002E7924"/>
    <w:rsid w:val="002E792C"/>
    <w:rsid w:val="002E79DA"/>
    <w:rsid w:val="002E7A70"/>
    <w:rsid w:val="002E7A72"/>
    <w:rsid w:val="002E7AA2"/>
    <w:rsid w:val="002E7AE9"/>
    <w:rsid w:val="002E7B21"/>
    <w:rsid w:val="002E7B90"/>
    <w:rsid w:val="002E7BDD"/>
    <w:rsid w:val="002E7BE3"/>
    <w:rsid w:val="002E7C48"/>
    <w:rsid w:val="002E7C67"/>
    <w:rsid w:val="002E7C7C"/>
    <w:rsid w:val="002E7C8B"/>
    <w:rsid w:val="002E7CE2"/>
    <w:rsid w:val="002E7D25"/>
    <w:rsid w:val="002E7D96"/>
    <w:rsid w:val="002E7DE8"/>
    <w:rsid w:val="002E7ED9"/>
    <w:rsid w:val="002E7EDA"/>
    <w:rsid w:val="002E7EDC"/>
    <w:rsid w:val="002E7F50"/>
    <w:rsid w:val="002E7F51"/>
    <w:rsid w:val="002E7F65"/>
    <w:rsid w:val="002E7FA4"/>
    <w:rsid w:val="002F0006"/>
    <w:rsid w:val="002F002B"/>
    <w:rsid w:val="002F007F"/>
    <w:rsid w:val="002F0099"/>
    <w:rsid w:val="002F00BA"/>
    <w:rsid w:val="002F00EB"/>
    <w:rsid w:val="002F010B"/>
    <w:rsid w:val="002F011A"/>
    <w:rsid w:val="002F01B9"/>
    <w:rsid w:val="002F023F"/>
    <w:rsid w:val="002F0245"/>
    <w:rsid w:val="002F025C"/>
    <w:rsid w:val="002F0264"/>
    <w:rsid w:val="002F0290"/>
    <w:rsid w:val="002F02B7"/>
    <w:rsid w:val="002F02BF"/>
    <w:rsid w:val="002F02D6"/>
    <w:rsid w:val="002F0345"/>
    <w:rsid w:val="002F035A"/>
    <w:rsid w:val="002F038C"/>
    <w:rsid w:val="002F03A1"/>
    <w:rsid w:val="002F03C2"/>
    <w:rsid w:val="002F03EA"/>
    <w:rsid w:val="002F041D"/>
    <w:rsid w:val="002F047A"/>
    <w:rsid w:val="002F04CE"/>
    <w:rsid w:val="002F050C"/>
    <w:rsid w:val="002F0515"/>
    <w:rsid w:val="002F051C"/>
    <w:rsid w:val="002F057E"/>
    <w:rsid w:val="002F05FC"/>
    <w:rsid w:val="002F0617"/>
    <w:rsid w:val="002F062E"/>
    <w:rsid w:val="002F0673"/>
    <w:rsid w:val="002F0675"/>
    <w:rsid w:val="002F06AF"/>
    <w:rsid w:val="002F0761"/>
    <w:rsid w:val="002F07A1"/>
    <w:rsid w:val="002F07B2"/>
    <w:rsid w:val="002F081F"/>
    <w:rsid w:val="002F082E"/>
    <w:rsid w:val="002F0864"/>
    <w:rsid w:val="002F0870"/>
    <w:rsid w:val="002F0894"/>
    <w:rsid w:val="002F08CC"/>
    <w:rsid w:val="002F08E0"/>
    <w:rsid w:val="002F0972"/>
    <w:rsid w:val="002F09A4"/>
    <w:rsid w:val="002F09B4"/>
    <w:rsid w:val="002F09DF"/>
    <w:rsid w:val="002F09F5"/>
    <w:rsid w:val="002F09FA"/>
    <w:rsid w:val="002F0A02"/>
    <w:rsid w:val="002F0A73"/>
    <w:rsid w:val="002F0ABB"/>
    <w:rsid w:val="002F0B17"/>
    <w:rsid w:val="002F0B2B"/>
    <w:rsid w:val="002F0B31"/>
    <w:rsid w:val="002F0B66"/>
    <w:rsid w:val="002F0B79"/>
    <w:rsid w:val="002F0B89"/>
    <w:rsid w:val="002F0BAA"/>
    <w:rsid w:val="002F0BB2"/>
    <w:rsid w:val="002F0C2C"/>
    <w:rsid w:val="002F0CFB"/>
    <w:rsid w:val="002F0D1E"/>
    <w:rsid w:val="002F0DAF"/>
    <w:rsid w:val="002F0DC5"/>
    <w:rsid w:val="002F0DF4"/>
    <w:rsid w:val="002F0E28"/>
    <w:rsid w:val="002F0E9E"/>
    <w:rsid w:val="002F0ECE"/>
    <w:rsid w:val="002F0EDB"/>
    <w:rsid w:val="002F0F15"/>
    <w:rsid w:val="002F0F38"/>
    <w:rsid w:val="002F0F3B"/>
    <w:rsid w:val="002F0F45"/>
    <w:rsid w:val="002F0F4E"/>
    <w:rsid w:val="002F0F97"/>
    <w:rsid w:val="002F0FA1"/>
    <w:rsid w:val="002F1010"/>
    <w:rsid w:val="002F1064"/>
    <w:rsid w:val="002F1083"/>
    <w:rsid w:val="002F10A4"/>
    <w:rsid w:val="002F10B3"/>
    <w:rsid w:val="002F10DF"/>
    <w:rsid w:val="002F10E4"/>
    <w:rsid w:val="002F10EA"/>
    <w:rsid w:val="002F10F3"/>
    <w:rsid w:val="002F114B"/>
    <w:rsid w:val="002F1159"/>
    <w:rsid w:val="002F1174"/>
    <w:rsid w:val="002F1204"/>
    <w:rsid w:val="002F1222"/>
    <w:rsid w:val="002F12A9"/>
    <w:rsid w:val="002F12BF"/>
    <w:rsid w:val="002F13A0"/>
    <w:rsid w:val="002F13AE"/>
    <w:rsid w:val="002F13CC"/>
    <w:rsid w:val="002F13CF"/>
    <w:rsid w:val="002F13F0"/>
    <w:rsid w:val="002F1418"/>
    <w:rsid w:val="002F1493"/>
    <w:rsid w:val="002F14B3"/>
    <w:rsid w:val="002F14C7"/>
    <w:rsid w:val="002F14D2"/>
    <w:rsid w:val="002F14E4"/>
    <w:rsid w:val="002F1528"/>
    <w:rsid w:val="002F157C"/>
    <w:rsid w:val="002F15BC"/>
    <w:rsid w:val="002F1659"/>
    <w:rsid w:val="002F1662"/>
    <w:rsid w:val="002F167C"/>
    <w:rsid w:val="002F16A8"/>
    <w:rsid w:val="002F16CD"/>
    <w:rsid w:val="002F16FD"/>
    <w:rsid w:val="002F1755"/>
    <w:rsid w:val="002F178F"/>
    <w:rsid w:val="002F17A5"/>
    <w:rsid w:val="002F17AC"/>
    <w:rsid w:val="002F17EE"/>
    <w:rsid w:val="002F18B5"/>
    <w:rsid w:val="002F191A"/>
    <w:rsid w:val="002F1924"/>
    <w:rsid w:val="002F1941"/>
    <w:rsid w:val="002F1995"/>
    <w:rsid w:val="002F199E"/>
    <w:rsid w:val="002F1A27"/>
    <w:rsid w:val="002F1A4B"/>
    <w:rsid w:val="002F1A5B"/>
    <w:rsid w:val="002F1ABF"/>
    <w:rsid w:val="002F1ADC"/>
    <w:rsid w:val="002F1B44"/>
    <w:rsid w:val="002F1B82"/>
    <w:rsid w:val="002F1BF0"/>
    <w:rsid w:val="002F1C27"/>
    <w:rsid w:val="002F1C37"/>
    <w:rsid w:val="002F1C64"/>
    <w:rsid w:val="002F1C79"/>
    <w:rsid w:val="002F1C89"/>
    <w:rsid w:val="002F1C90"/>
    <w:rsid w:val="002F1C92"/>
    <w:rsid w:val="002F1D06"/>
    <w:rsid w:val="002F1D7B"/>
    <w:rsid w:val="002F1DE0"/>
    <w:rsid w:val="002F1E25"/>
    <w:rsid w:val="002F1ECE"/>
    <w:rsid w:val="002F1EE6"/>
    <w:rsid w:val="002F1F6C"/>
    <w:rsid w:val="002F1F95"/>
    <w:rsid w:val="002F1FC0"/>
    <w:rsid w:val="002F1FEA"/>
    <w:rsid w:val="002F1FF3"/>
    <w:rsid w:val="002F1FF6"/>
    <w:rsid w:val="002F1FFD"/>
    <w:rsid w:val="002F2041"/>
    <w:rsid w:val="002F20B1"/>
    <w:rsid w:val="002F20FF"/>
    <w:rsid w:val="002F213B"/>
    <w:rsid w:val="002F214E"/>
    <w:rsid w:val="002F2174"/>
    <w:rsid w:val="002F2195"/>
    <w:rsid w:val="002F21CC"/>
    <w:rsid w:val="002F221B"/>
    <w:rsid w:val="002F2223"/>
    <w:rsid w:val="002F2232"/>
    <w:rsid w:val="002F229E"/>
    <w:rsid w:val="002F229F"/>
    <w:rsid w:val="002F22E0"/>
    <w:rsid w:val="002F2317"/>
    <w:rsid w:val="002F231F"/>
    <w:rsid w:val="002F23EB"/>
    <w:rsid w:val="002F2412"/>
    <w:rsid w:val="002F2431"/>
    <w:rsid w:val="002F244A"/>
    <w:rsid w:val="002F249B"/>
    <w:rsid w:val="002F24DF"/>
    <w:rsid w:val="002F2517"/>
    <w:rsid w:val="002F254C"/>
    <w:rsid w:val="002F25DC"/>
    <w:rsid w:val="002F264B"/>
    <w:rsid w:val="002F26C6"/>
    <w:rsid w:val="002F2700"/>
    <w:rsid w:val="002F2708"/>
    <w:rsid w:val="002F2710"/>
    <w:rsid w:val="002F274B"/>
    <w:rsid w:val="002F2760"/>
    <w:rsid w:val="002F2817"/>
    <w:rsid w:val="002F2892"/>
    <w:rsid w:val="002F28E3"/>
    <w:rsid w:val="002F28F5"/>
    <w:rsid w:val="002F2902"/>
    <w:rsid w:val="002F296D"/>
    <w:rsid w:val="002F2976"/>
    <w:rsid w:val="002F297C"/>
    <w:rsid w:val="002F2987"/>
    <w:rsid w:val="002F29A8"/>
    <w:rsid w:val="002F29CC"/>
    <w:rsid w:val="002F29ED"/>
    <w:rsid w:val="002F29F1"/>
    <w:rsid w:val="002F2AC6"/>
    <w:rsid w:val="002F2B61"/>
    <w:rsid w:val="002F2B6A"/>
    <w:rsid w:val="002F2B79"/>
    <w:rsid w:val="002F2BC1"/>
    <w:rsid w:val="002F2BF8"/>
    <w:rsid w:val="002F2C46"/>
    <w:rsid w:val="002F2CAF"/>
    <w:rsid w:val="002F2D91"/>
    <w:rsid w:val="002F2DCD"/>
    <w:rsid w:val="002F2DED"/>
    <w:rsid w:val="002F2E75"/>
    <w:rsid w:val="002F2EAE"/>
    <w:rsid w:val="002F2EC3"/>
    <w:rsid w:val="002F2F39"/>
    <w:rsid w:val="002F2F67"/>
    <w:rsid w:val="002F2FCA"/>
    <w:rsid w:val="002F3012"/>
    <w:rsid w:val="002F3026"/>
    <w:rsid w:val="002F3066"/>
    <w:rsid w:val="002F306C"/>
    <w:rsid w:val="002F3079"/>
    <w:rsid w:val="002F309D"/>
    <w:rsid w:val="002F30C5"/>
    <w:rsid w:val="002F320F"/>
    <w:rsid w:val="002F3250"/>
    <w:rsid w:val="002F3252"/>
    <w:rsid w:val="002F3293"/>
    <w:rsid w:val="002F32B7"/>
    <w:rsid w:val="002F32F8"/>
    <w:rsid w:val="002F3309"/>
    <w:rsid w:val="002F3329"/>
    <w:rsid w:val="002F3339"/>
    <w:rsid w:val="002F3363"/>
    <w:rsid w:val="002F33BC"/>
    <w:rsid w:val="002F33E5"/>
    <w:rsid w:val="002F342F"/>
    <w:rsid w:val="002F347A"/>
    <w:rsid w:val="002F348F"/>
    <w:rsid w:val="002F3490"/>
    <w:rsid w:val="002F34B1"/>
    <w:rsid w:val="002F34BE"/>
    <w:rsid w:val="002F354F"/>
    <w:rsid w:val="002F3563"/>
    <w:rsid w:val="002F35F0"/>
    <w:rsid w:val="002F3616"/>
    <w:rsid w:val="002F361C"/>
    <w:rsid w:val="002F3626"/>
    <w:rsid w:val="002F3685"/>
    <w:rsid w:val="002F36A8"/>
    <w:rsid w:val="002F36E4"/>
    <w:rsid w:val="002F3805"/>
    <w:rsid w:val="002F3808"/>
    <w:rsid w:val="002F3831"/>
    <w:rsid w:val="002F38EA"/>
    <w:rsid w:val="002F3940"/>
    <w:rsid w:val="002F3945"/>
    <w:rsid w:val="002F3958"/>
    <w:rsid w:val="002F39B2"/>
    <w:rsid w:val="002F39DF"/>
    <w:rsid w:val="002F3A5D"/>
    <w:rsid w:val="002F3AEE"/>
    <w:rsid w:val="002F3AF3"/>
    <w:rsid w:val="002F3B06"/>
    <w:rsid w:val="002F3B48"/>
    <w:rsid w:val="002F3B82"/>
    <w:rsid w:val="002F3BCE"/>
    <w:rsid w:val="002F3C21"/>
    <w:rsid w:val="002F3C26"/>
    <w:rsid w:val="002F3C54"/>
    <w:rsid w:val="002F3C5C"/>
    <w:rsid w:val="002F3CA0"/>
    <w:rsid w:val="002F3CAB"/>
    <w:rsid w:val="002F3CFE"/>
    <w:rsid w:val="002F3D2A"/>
    <w:rsid w:val="002F3D34"/>
    <w:rsid w:val="002F3D40"/>
    <w:rsid w:val="002F3D78"/>
    <w:rsid w:val="002F3D85"/>
    <w:rsid w:val="002F3DCC"/>
    <w:rsid w:val="002F3E0A"/>
    <w:rsid w:val="002F3E48"/>
    <w:rsid w:val="002F3E55"/>
    <w:rsid w:val="002F3E5A"/>
    <w:rsid w:val="002F3F10"/>
    <w:rsid w:val="002F3F20"/>
    <w:rsid w:val="002F3F2B"/>
    <w:rsid w:val="002F3FC7"/>
    <w:rsid w:val="002F405E"/>
    <w:rsid w:val="002F406B"/>
    <w:rsid w:val="002F40A9"/>
    <w:rsid w:val="002F40CE"/>
    <w:rsid w:val="002F41AB"/>
    <w:rsid w:val="002F41E7"/>
    <w:rsid w:val="002F4293"/>
    <w:rsid w:val="002F42A6"/>
    <w:rsid w:val="002F431A"/>
    <w:rsid w:val="002F431B"/>
    <w:rsid w:val="002F434C"/>
    <w:rsid w:val="002F434D"/>
    <w:rsid w:val="002F434F"/>
    <w:rsid w:val="002F43BE"/>
    <w:rsid w:val="002F43DB"/>
    <w:rsid w:val="002F43E4"/>
    <w:rsid w:val="002F4435"/>
    <w:rsid w:val="002F446F"/>
    <w:rsid w:val="002F44B9"/>
    <w:rsid w:val="002F4508"/>
    <w:rsid w:val="002F451B"/>
    <w:rsid w:val="002F458B"/>
    <w:rsid w:val="002F45AB"/>
    <w:rsid w:val="002F463A"/>
    <w:rsid w:val="002F4643"/>
    <w:rsid w:val="002F465B"/>
    <w:rsid w:val="002F4665"/>
    <w:rsid w:val="002F467E"/>
    <w:rsid w:val="002F46B5"/>
    <w:rsid w:val="002F4702"/>
    <w:rsid w:val="002F4717"/>
    <w:rsid w:val="002F475E"/>
    <w:rsid w:val="002F478C"/>
    <w:rsid w:val="002F479E"/>
    <w:rsid w:val="002F482E"/>
    <w:rsid w:val="002F4840"/>
    <w:rsid w:val="002F4859"/>
    <w:rsid w:val="002F486F"/>
    <w:rsid w:val="002F4898"/>
    <w:rsid w:val="002F48A7"/>
    <w:rsid w:val="002F48B9"/>
    <w:rsid w:val="002F48C9"/>
    <w:rsid w:val="002F48EF"/>
    <w:rsid w:val="002F499F"/>
    <w:rsid w:val="002F49C4"/>
    <w:rsid w:val="002F4A2A"/>
    <w:rsid w:val="002F4A5C"/>
    <w:rsid w:val="002F4A79"/>
    <w:rsid w:val="002F4A9E"/>
    <w:rsid w:val="002F4AD2"/>
    <w:rsid w:val="002F4AD6"/>
    <w:rsid w:val="002F4AD9"/>
    <w:rsid w:val="002F4B21"/>
    <w:rsid w:val="002F4BA5"/>
    <w:rsid w:val="002F4BF7"/>
    <w:rsid w:val="002F4BFE"/>
    <w:rsid w:val="002F4C0F"/>
    <w:rsid w:val="002F4C1E"/>
    <w:rsid w:val="002F4C38"/>
    <w:rsid w:val="002F4C3C"/>
    <w:rsid w:val="002F4C66"/>
    <w:rsid w:val="002F4C82"/>
    <w:rsid w:val="002F4CC5"/>
    <w:rsid w:val="002F4CDB"/>
    <w:rsid w:val="002F4D14"/>
    <w:rsid w:val="002F4D45"/>
    <w:rsid w:val="002F4D92"/>
    <w:rsid w:val="002F4E56"/>
    <w:rsid w:val="002F4E6D"/>
    <w:rsid w:val="002F4E9C"/>
    <w:rsid w:val="002F4ECD"/>
    <w:rsid w:val="002F4EF8"/>
    <w:rsid w:val="002F4F49"/>
    <w:rsid w:val="002F5036"/>
    <w:rsid w:val="002F504E"/>
    <w:rsid w:val="002F507E"/>
    <w:rsid w:val="002F50B3"/>
    <w:rsid w:val="002F51F1"/>
    <w:rsid w:val="002F5226"/>
    <w:rsid w:val="002F5267"/>
    <w:rsid w:val="002F52F6"/>
    <w:rsid w:val="002F52F7"/>
    <w:rsid w:val="002F5302"/>
    <w:rsid w:val="002F5342"/>
    <w:rsid w:val="002F535B"/>
    <w:rsid w:val="002F5380"/>
    <w:rsid w:val="002F5383"/>
    <w:rsid w:val="002F53AE"/>
    <w:rsid w:val="002F53E8"/>
    <w:rsid w:val="002F5473"/>
    <w:rsid w:val="002F54B1"/>
    <w:rsid w:val="002F54B2"/>
    <w:rsid w:val="002F54C8"/>
    <w:rsid w:val="002F54FE"/>
    <w:rsid w:val="002F5518"/>
    <w:rsid w:val="002F55C6"/>
    <w:rsid w:val="002F5698"/>
    <w:rsid w:val="002F56A2"/>
    <w:rsid w:val="002F56C5"/>
    <w:rsid w:val="002F5720"/>
    <w:rsid w:val="002F577C"/>
    <w:rsid w:val="002F5784"/>
    <w:rsid w:val="002F5818"/>
    <w:rsid w:val="002F5888"/>
    <w:rsid w:val="002F5938"/>
    <w:rsid w:val="002F5948"/>
    <w:rsid w:val="002F594C"/>
    <w:rsid w:val="002F5959"/>
    <w:rsid w:val="002F59BB"/>
    <w:rsid w:val="002F5A74"/>
    <w:rsid w:val="002F5ABD"/>
    <w:rsid w:val="002F5AC5"/>
    <w:rsid w:val="002F5B23"/>
    <w:rsid w:val="002F5B6E"/>
    <w:rsid w:val="002F5BA4"/>
    <w:rsid w:val="002F5BD7"/>
    <w:rsid w:val="002F5CBC"/>
    <w:rsid w:val="002F5CC1"/>
    <w:rsid w:val="002F5CF2"/>
    <w:rsid w:val="002F5D38"/>
    <w:rsid w:val="002F5D3B"/>
    <w:rsid w:val="002F5D74"/>
    <w:rsid w:val="002F5D93"/>
    <w:rsid w:val="002F5D97"/>
    <w:rsid w:val="002F5DDE"/>
    <w:rsid w:val="002F5E01"/>
    <w:rsid w:val="002F5E08"/>
    <w:rsid w:val="002F5E09"/>
    <w:rsid w:val="002F5E49"/>
    <w:rsid w:val="002F5EA6"/>
    <w:rsid w:val="002F5EB1"/>
    <w:rsid w:val="002F5EC2"/>
    <w:rsid w:val="002F5EE3"/>
    <w:rsid w:val="002F5F82"/>
    <w:rsid w:val="002F5F92"/>
    <w:rsid w:val="002F5FCF"/>
    <w:rsid w:val="002F5FD0"/>
    <w:rsid w:val="002F5FD3"/>
    <w:rsid w:val="002F60D9"/>
    <w:rsid w:val="002F611B"/>
    <w:rsid w:val="002F6151"/>
    <w:rsid w:val="002F616F"/>
    <w:rsid w:val="002F61B7"/>
    <w:rsid w:val="002F61E4"/>
    <w:rsid w:val="002F625D"/>
    <w:rsid w:val="002F6263"/>
    <w:rsid w:val="002F6280"/>
    <w:rsid w:val="002F6293"/>
    <w:rsid w:val="002F62B2"/>
    <w:rsid w:val="002F62E7"/>
    <w:rsid w:val="002F62EF"/>
    <w:rsid w:val="002F6355"/>
    <w:rsid w:val="002F639B"/>
    <w:rsid w:val="002F63B5"/>
    <w:rsid w:val="002F63F5"/>
    <w:rsid w:val="002F6403"/>
    <w:rsid w:val="002F6404"/>
    <w:rsid w:val="002F6468"/>
    <w:rsid w:val="002F64DB"/>
    <w:rsid w:val="002F64EA"/>
    <w:rsid w:val="002F6572"/>
    <w:rsid w:val="002F6584"/>
    <w:rsid w:val="002F6587"/>
    <w:rsid w:val="002F6594"/>
    <w:rsid w:val="002F660A"/>
    <w:rsid w:val="002F663D"/>
    <w:rsid w:val="002F6646"/>
    <w:rsid w:val="002F670F"/>
    <w:rsid w:val="002F6749"/>
    <w:rsid w:val="002F67B1"/>
    <w:rsid w:val="002F67C7"/>
    <w:rsid w:val="002F67E5"/>
    <w:rsid w:val="002F67E9"/>
    <w:rsid w:val="002F681D"/>
    <w:rsid w:val="002F688A"/>
    <w:rsid w:val="002F68B1"/>
    <w:rsid w:val="002F6996"/>
    <w:rsid w:val="002F6A66"/>
    <w:rsid w:val="002F6AD6"/>
    <w:rsid w:val="002F6B03"/>
    <w:rsid w:val="002F6B58"/>
    <w:rsid w:val="002F6B61"/>
    <w:rsid w:val="002F6BC6"/>
    <w:rsid w:val="002F6BE9"/>
    <w:rsid w:val="002F6BEE"/>
    <w:rsid w:val="002F6C11"/>
    <w:rsid w:val="002F6C1B"/>
    <w:rsid w:val="002F6D3B"/>
    <w:rsid w:val="002F6D95"/>
    <w:rsid w:val="002F6D9D"/>
    <w:rsid w:val="002F6DEE"/>
    <w:rsid w:val="002F6DF4"/>
    <w:rsid w:val="002F6DFC"/>
    <w:rsid w:val="002F6E0A"/>
    <w:rsid w:val="002F6E23"/>
    <w:rsid w:val="002F6E5B"/>
    <w:rsid w:val="002F6E73"/>
    <w:rsid w:val="002F6E88"/>
    <w:rsid w:val="002F6F0B"/>
    <w:rsid w:val="002F6F80"/>
    <w:rsid w:val="002F6F92"/>
    <w:rsid w:val="002F6FFD"/>
    <w:rsid w:val="002F7015"/>
    <w:rsid w:val="002F7052"/>
    <w:rsid w:val="002F71E0"/>
    <w:rsid w:val="002F723E"/>
    <w:rsid w:val="002F727B"/>
    <w:rsid w:val="002F7297"/>
    <w:rsid w:val="002F72CF"/>
    <w:rsid w:val="002F72F0"/>
    <w:rsid w:val="002F7300"/>
    <w:rsid w:val="002F73B4"/>
    <w:rsid w:val="002F73C4"/>
    <w:rsid w:val="002F73D7"/>
    <w:rsid w:val="002F7412"/>
    <w:rsid w:val="002F7421"/>
    <w:rsid w:val="002F743C"/>
    <w:rsid w:val="002F7476"/>
    <w:rsid w:val="002F7484"/>
    <w:rsid w:val="002F752C"/>
    <w:rsid w:val="002F755B"/>
    <w:rsid w:val="002F7581"/>
    <w:rsid w:val="002F75C8"/>
    <w:rsid w:val="002F75F3"/>
    <w:rsid w:val="002F75FD"/>
    <w:rsid w:val="002F7601"/>
    <w:rsid w:val="002F762E"/>
    <w:rsid w:val="002F7647"/>
    <w:rsid w:val="002F764B"/>
    <w:rsid w:val="002F7669"/>
    <w:rsid w:val="002F767A"/>
    <w:rsid w:val="002F7690"/>
    <w:rsid w:val="002F76F8"/>
    <w:rsid w:val="002F7709"/>
    <w:rsid w:val="002F770F"/>
    <w:rsid w:val="002F774A"/>
    <w:rsid w:val="002F774C"/>
    <w:rsid w:val="002F778D"/>
    <w:rsid w:val="002F77C8"/>
    <w:rsid w:val="002F785D"/>
    <w:rsid w:val="002F7863"/>
    <w:rsid w:val="002F78C4"/>
    <w:rsid w:val="002F78CF"/>
    <w:rsid w:val="002F7930"/>
    <w:rsid w:val="002F7959"/>
    <w:rsid w:val="002F796F"/>
    <w:rsid w:val="002F798F"/>
    <w:rsid w:val="002F7997"/>
    <w:rsid w:val="002F79A9"/>
    <w:rsid w:val="002F79AC"/>
    <w:rsid w:val="002F7A2D"/>
    <w:rsid w:val="002F7A41"/>
    <w:rsid w:val="002F7AB2"/>
    <w:rsid w:val="002F7ABC"/>
    <w:rsid w:val="002F7B1C"/>
    <w:rsid w:val="002F7B28"/>
    <w:rsid w:val="002F7B9A"/>
    <w:rsid w:val="002F7BB5"/>
    <w:rsid w:val="002F7BFC"/>
    <w:rsid w:val="002F7C01"/>
    <w:rsid w:val="002F7C1D"/>
    <w:rsid w:val="002F7CBF"/>
    <w:rsid w:val="002F7CF1"/>
    <w:rsid w:val="002F7D8E"/>
    <w:rsid w:val="002F7D96"/>
    <w:rsid w:val="002F7DA1"/>
    <w:rsid w:val="002F7DD7"/>
    <w:rsid w:val="002F7E06"/>
    <w:rsid w:val="002F7E22"/>
    <w:rsid w:val="002F7E31"/>
    <w:rsid w:val="002F7E35"/>
    <w:rsid w:val="002F7E3A"/>
    <w:rsid w:val="002F7EB6"/>
    <w:rsid w:val="002F7F06"/>
    <w:rsid w:val="002F7F0B"/>
    <w:rsid w:val="002F7F18"/>
    <w:rsid w:val="002F7F2A"/>
    <w:rsid w:val="002F7F7B"/>
    <w:rsid w:val="002F7FBF"/>
    <w:rsid w:val="002F7FE6"/>
    <w:rsid w:val="0030000A"/>
    <w:rsid w:val="00300047"/>
    <w:rsid w:val="003000B0"/>
    <w:rsid w:val="003000B9"/>
    <w:rsid w:val="003000CA"/>
    <w:rsid w:val="003000F0"/>
    <w:rsid w:val="00300122"/>
    <w:rsid w:val="003001D3"/>
    <w:rsid w:val="003001E9"/>
    <w:rsid w:val="00300232"/>
    <w:rsid w:val="003002FE"/>
    <w:rsid w:val="0030030B"/>
    <w:rsid w:val="0030031A"/>
    <w:rsid w:val="00300323"/>
    <w:rsid w:val="0030033E"/>
    <w:rsid w:val="003003AB"/>
    <w:rsid w:val="003003DB"/>
    <w:rsid w:val="00300410"/>
    <w:rsid w:val="0030044E"/>
    <w:rsid w:val="0030046F"/>
    <w:rsid w:val="003004AF"/>
    <w:rsid w:val="003004C0"/>
    <w:rsid w:val="00300505"/>
    <w:rsid w:val="00300506"/>
    <w:rsid w:val="0030055B"/>
    <w:rsid w:val="0030058A"/>
    <w:rsid w:val="003005D6"/>
    <w:rsid w:val="003006F7"/>
    <w:rsid w:val="0030078A"/>
    <w:rsid w:val="003007BA"/>
    <w:rsid w:val="003007E3"/>
    <w:rsid w:val="003007F1"/>
    <w:rsid w:val="00300831"/>
    <w:rsid w:val="0030087F"/>
    <w:rsid w:val="0030088A"/>
    <w:rsid w:val="003008A8"/>
    <w:rsid w:val="003008D0"/>
    <w:rsid w:val="0030090E"/>
    <w:rsid w:val="00300912"/>
    <w:rsid w:val="0030092E"/>
    <w:rsid w:val="00300959"/>
    <w:rsid w:val="003009C7"/>
    <w:rsid w:val="003009D4"/>
    <w:rsid w:val="00300A05"/>
    <w:rsid w:val="00300A2B"/>
    <w:rsid w:val="00300A36"/>
    <w:rsid w:val="00300A59"/>
    <w:rsid w:val="00300A68"/>
    <w:rsid w:val="00300A71"/>
    <w:rsid w:val="00300A77"/>
    <w:rsid w:val="00300AA8"/>
    <w:rsid w:val="00300AE1"/>
    <w:rsid w:val="00300BA7"/>
    <w:rsid w:val="00300BDA"/>
    <w:rsid w:val="00300C08"/>
    <w:rsid w:val="00300C76"/>
    <w:rsid w:val="00300CB2"/>
    <w:rsid w:val="00300CB4"/>
    <w:rsid w:val="00300D2C"/>
    <w:rsid w:val="00300D86"/>
    <w:rsid w:val="00300D8D"/>
    <w:rsid w:val="00300DB1"/>
    <w:rsid w:val="00300DC4"/>
    <w:rsid w:val="00300DEC"/>
    <w:rsid w:val="00300DF7"/>
    <w:rsid w:val="00300DFF"/>
    <w:rsid w:val="00300E07"/>
    <w:rsid w:val="00300E72"/>
    <w:rsid w:val="00300E99"/>
    <w:rsid w:val="00300E9F"/>
    <w:rsid w:val="00300EBF"/>
    <w:rsid w:val="00300EC4"/>
    <w:rsid w:val="00300EF2"/>
    <w:rsid w:val="00300EFF"/>
    <w:rsid w:val="00300F16"/>
    <w:rsid w:val="00300F42"/>
    <w:rsid w:val="00300F77"/>
    <w:rsid w:val="00300F8D"/>
    <w:rsid w:val="00301036"/>
    <w:rsid w:val="003010B6"/>
    <w:rsid w:val="003010D0"/>
    <w:rsid w:val="003010D9"/>
    <w:rsid w:val="003010E0"/>
    <w:rsid w:val="00301102"/>
    <w:rsid w:val="00301110"/>
    <w:rsid w:val="00301142"/>
    <w:rsid w:val="0030116D"/>
    <w:rsid w:val="00301181"/>
    <w:rsid w:val="00301195"/>
    <w:rsid w:val="00301222"/>
    <w:rsid w:val="0030124C"/>
    <w:rsid w:val="00301267"/>
    <w:rsid w:val="0030127D"/>
    <w:rsid w:val="0030129A"/>
    <w:rsid w:val="003012A2"/>
    <w:rsid w:val="003012FF"/>
    <w:rsid w:val="00301325"/>
    <w:rsid w:val="0030132A"/>
    <w:rsid w:val="00301335"/>
    <w:rsid w:val="003013AA"/>
    <w:rsid w:val="003013E5"/>
    <w:rsid w:val="00301403"/>
    <w:rsid w:val="0030147F"/>
    <w:rsid w:val="00301490"/>
    <w:rsid w:val="0030156C"/>
    <w:rsid w:val="00301581"/>
    <w:rsid w:val="003015C3"/>
    <w:rsid w:val="00301630"/>
    <w:rsid w:val="00301647"/>
    <w:rsid w:val="00301675"/>
    <w:rsid w:val="00301746"/>
    <w:rsid w:val="00301777"/>
    <w:rsid w:val="003017BF"/>
    <w:rsid w:val="003017C0"/>
    <w:rsid w:val="003017FD"/>
    <w:rsid w:val="00301844"/>
    <w:rsid w:val="00301853"/>
    <w:rsid w:val="0030185A"/>
    <w:rsid w:val="00301866"/>
    <w:rsid w:val="003018B7"/>
    <w:rsid w:val="003018D0"/>
    <w:rsid w:val="0030190F"/>
    <w:rsid w:val="0030191D"/>
    <w:rsid w:val="0030194E"/>
    <w:rsid w:val="0030195C"/>
    <w:rsid w:val="00301999"/>
    <w:rsid w:val="003019C5"/>
    <w:rsid w:val="00301A08"/>
    <w:rsid w:val="00301AD4"/>
    <w:rsid w:val="00301B2A"/>
    <w:rsid w:val="00301B75"/>
    <w:rsid w:val="00301BD9"/>
    <w:rsid w:val="00301BDD"/>
    <w:rsid w:val="00301C21"/>
    <w:rsid w:val="00301C3B"/>
    <w:rsid w:val="00301C97"/>
    <w:rsid w:val="00301CB9"/>
    <w:rsid w:val="00301CC8"/>
    <w:rsid w:val="00301CEB"/>
    <w:rsid w:val="00301CFD"/>
    <w:rsid w:val="00301D4D"/>
    <w:rsid w:val="00301D63"/>
    <w:rsid w:val="00301D65"/>
    <w:rsid w:val="00301D79"/>
    <w:rsid w:val="00301D7E"/>
    <w:rsid w:val="00301DA2"/>
    <w:rsid w:val="00301DBE"/>
    <w:rsid w:val="00301E38"/>
    <w:rsid w:val="00301E89"/>
    <w:rsid w:val="00301E90"/>
    <w:rsid w:val="00301EB4"/>
    <w:rsid w:val="00301EB7"/>
    <w:rsid w:val="00301F24"/>
    <w:rsid w:val="00301F29"/>
    <w:rsid w:val="0030204B"/>
    <w:rsid w:val="0030204C"/>
    <w:rsid w:val="00302097"/>
    <w:rsid w:val="003020AF"/>
    <w:rsid w:val="003020D4"/>
    <w:rsid w:val="003020D7"/>
    <w:rsid w:val="003020EE"/>
    <w:rsid w:val="0030212B"/>
    <w:rsid w:val="0030212D"/>
    <w:rsid w:val="00302134"/>
    <w:rsid w:val="0030214F"/>
    <w:rsid w:val="003021E2"/>
    <w:rsid w:val="00302233"/>
    <w:rsid w:val="0030229E"/>
    <w:rsid w:val="003022A7"/>
    <w:rsid w:val="0030231C"/>
    <w:rsid w:val="0030231D"/>
    <w:rsid w:val="00302349"/>
    <w:rsid w:val="00302363"/>
    <w:rsid w:val="0030236F"/>
    <w:rsid w:val="003023A2"/>
    <w:rsid w:val="003023B9"/>
    <w:rsid w:val="003023BC"/>
    <w:rsid w:val="00302410"/>
    <w:rsid w:val="00302430"/>
    <w:rsid w:val="00302466"/>
    <w:rsid w:val="00302475"/>
    <w:rsid w:val="003024D9"/>
    <w:rsid w:val="00302540"/>
    <w:rsid w:val="003025B3"/>
    <w:rsid w:val="003025EA"/>
    <w:rsid w:val="003025F9"/>
    <w:rsid w:val="0030260F"/>
    <w:rsid w:val="0030267C"/>
    <w:rsid w:val="003026C2"/>
    <w:rsid w:val="003026FA"/>
    <w:rsid w:val="00302711"/>
    <w:rsid w:val="00302733"/>
    <w:rsid w:val="00302781"/>
    <w:rsid w:val="003027A2"/>
    <w:rsid w:val="0030287C"/>
    <w:rsid w:val="00302887"/>
    <w:rsid w:val="003028BE"/>
    <w:rsid w:val="0030292E"/>
    <w:rsid w:val="0030295F"/>
    <w:rsid w:val="003029A7"/>
    <w:rsid w:val="003029DF"/>
    <w:rsid w:val="00302A2D"/>
    <w:rsid w:val="00302A58"/>
    <w:rsid w:val="00302A65"/>
    <w:rsid w:val="00302B03"/>
    <w:rsid w:val="00302B1F"/>
    <w:rsid w:val="00302B3F"/>
    <w:rsid w:val="00302BD6"/>
    <w:rsid w:val="00302C71"/>
    <w:rsid w:val="00302CA3"/>
    <w:rsid w:val="00302CF1"/>
    <w:rsid w:val="00302CF5"/>
    <w:rsid w:val="00302CF8"/>
    <w:rsid w:val="00302D8A"/>
    <w:rsid w:val="00302D91"/>
    <w:rsid w:val="00302DBC"/>
    <w:rsid w:val="00302DBE"/>
    <w:rsid w:val="00302DF5"/>
    <w:rsid w:val="00302E03"/>
    <w:rsid w:val="00302E48"/>
    <w:rsid w:val="00302E80"/>
    <w:rsid w:val="00302EF1"/>
    <w:rsid w:val="00302EFF"/>
    <w:rsid w:val="00302F38"/>
    <w:rsid w:val="00302F58"/>
    <w:rsid w:val="00302F5E"/>
    <w:rsid w:val="00302F66"/>
    <w:rsid w:val="00302F6F"/>
    <w:rsid w:val="00302FB0"/>
    <w:rsid w:val="00302FC7"/>
    <w:rsid w:val="00302FF8"/>
    <w:rsid w:val="0030303C"/>
    <w:rsid w:val="0030304D"/>
    <w:rsid w:val="0030306C"/>
    <w:rsid w:val="0030307A"/>
    <w:rsid w:val="0030307B"/>
    <w:rsid w:val="003030BF"/>
    <w:rsid w:val="003030E0"/>
    <w:rsid w:val="00303165"/>
    <w:rsid w:val="003031D1"/>
    <w:rsid w:val="003031F3"/>
    <w:rsid w:val="00303229"/>
    <w:rsid w:val="0030323A"/>
    <w:rsid w:val="00303263"/>
    <w:rsid w:val="003032B6"/>
    <w:rsid w:val="003032C9"/>
    <w:rsid w:val="003032F9"/>
    <w:rsid w:val="00303305"/>
    <w:rsid w:val="00303351"/>
    <w:rsid w:val="003033C8"/>
    <w:rsid w:val="0030341F"/>
    <w:rsid w:val="00303453"/>
    <w:rsid w:val="003034B2"/>
    <w:rsid w:val="003034CF"/>
    <w:rsid w:val="003034FC"/>
    <w:rsid w:val="00303556"/>
    <w:rsid w:val="0030355F"/>
    <w:rsid w:val="00303560"/>
    <w:rsid w:val="00303568"/>
    <w:rsid w:val="003035F1"/>
    <w:rsid w:val="00303655"/>
    <w:rsid w:val="00303662"/>
    <w:rsid w:val="003036A0"/>
    <w:rsid w:val="003036C8"/>
    <w:rsid w:val="003036EB"/>
    <w:rsid w:val="00303774"/>
    <w:rsid w:val="003037D2"/>
    <w:rsid w:val="00303820"/>
    <w:rsid w:val="0030384D"/>
    <w:rsid w:val="0030385F"/>
    <w:rsid w:val="0030387F"/>
    <w:rsid w:val="003038A3"/>
    <w:rsid w:val="003038E2"/>
    <w:rsid w:val="00303917"/>
    <w:rsid w:val="0030394A"/>
    <w:rsid w:val="003039BC"/>
    <w:rsid w:val="003039BE"/>
    <w:rsid w:val="003039C7"/>
    <w:rsid w:val="003039D2"/>
    <w:rsid w:val="003039EE"/>
    <w:rsid w:val="00303A3B"/>
    <w:rsid w:val="00303A7D"/>
    <w:rsid w:val="00303A93"/>
    <w:rsid w:val="00303AB5"/>
    <w:rsid w:val="00303AB7"/>
    <w:rsid w:val="00303AF8"/>
    <w:rsid w:val="00303B4E"/>
    <w:rsid w:val="00303B8A"/>
    <w:rsid w:val="00303BAF"/>
    <w:rsid w:val="00303BBF"/>
    <w:rsid w:val="00303BEB"/>
    <w:rsid w:val="00303D08"/>
    <w:rsid w:val="00303D4C"/>
    <w:rsid w:val="00303D59"/>
    <w:rsid w:val="00303DAE"/>
    <w:rsid w:val="00303DB6"/>
    <w:rsid w:val="00303DD0"/>
    <w:rsid w:val="00303DF7"/>
    <w:rsid w:val="00303E3B"/>
    <w:rsid w:val="00303E4D"/>
    <w:rsid w:val="00303EA2"/>
    <w:rsid w:val="00303FBC"/>
    <w:rsid w:val="0030403E"/>
    <w:rsid w:val="0030405B"/>
    <w:rsid w:val="003040A0"/>
    <w:rsid w:val="00304126"/>
    <w:rsid w:val="00304155"/>
    <w:rsid w:val="0030417B"/>
    <w:rsid w:val="0030417E"/>
    <w:rsid w:val="0030418C"/>
    <w:rsid w:val="00304201"/>
    <w:rsid w:val="00304235"/>
    <w:rsid w:val="00304269"/>
    <w:rsid w:val="00304288"/>
    <w:rsid w:val="003042C5"/>
    <w:rsid w:val="003042EA"/>
    <w:rsid w:val="00304364"/>
    <w:rsid w:val="00304373"/>
    <w:rsid w:val="003043A0"/>
    <w:rsid w:val="003043FA"/>
    <w:rsid w:val="00304446"/>
    <w:rsid w:val="0030444E"/>
    <w:rsid w:val="003044D8"/>
    <w:rsid w:val="003044FE"/>
    <w:rsid w:val="00304535"/>
    <w:rsid w:val="00304559"/>
    <w:rsid w:val="00304586"/>
    <w:rsid w:val="003045C6"/>
    <w:rsid w:val="003045CA"/>
    <w:rsid w:val="003045ED"/>
    <w:rsid w:val="00304650"/>
    <w:rsid w:val="003046A5"/>
    <w:rsid w:val="003046CD"/>
    <w:rsid w:val="003046FC"/>
    <w:rsid w:val="00304710"/>
    <w:rsid w:val="00304756"/>
    <w:rsid w:val="0030476E"/>
    <w:rsid w:val="003047F3"/>
    <w:rsid w:val="00304815"/>
    <w:rsid w:val="003048A0"/>
    <w:rsid w:val="003048DC"/>
    <w:rsid w:val="003048F4"/>
    <w:rsid w:val="0030490F"/>
    <w:rsid w:val="003049AF"/>
    <w:rsid w:val="003049D3"/>
    <w:rsid w:val="00304A49"/>
    <w:rsid w:val="00304A76"/>
    <w:rsid w:val="00304A82"/>
    <w:rsid w:val="00304AE4"/>
    <w:rsid w:val="00304B47"/>
    <w:rsid w:val="00304B6A"/>
    <w:rsid w:val="00304C18"/>
    <w:rsid w:val="00304C36"/>
    <w:rsid w:val="00304C37"/>
    <w:rsid w:val="00304C3D"/>
    <w:rsid w:val="00304C61"/>
    <w:rsid w:val="00304CC4"/>
    <w:rsid w:val="00304CDA"/>
    <w:rsid w:val="00304D1D"/>
    <w:rsid w:val="00304D68"/>
    <w:rsid w:val="00304D69"/>
    <w:rsid w:val="00304D9B"/>
    <w:rsid w:val="00304DB6"/>
    <w:rsid w:val="00304DE9"/>
    <w:rsid w:val="00304DF9"/>
    <w:rsid w:val="00304E1C"/>
    <w:rsid w:val="00304E2F"/>
    <w:rsid w:val="00304E36"/>
    <w:rsid w:val="00304E47"/>
    <w:rsid w:val="00304EAC"/>
    <w:rsid w:val="00304ED1"/>
    <w:rsid w:val="00304EE3"/>
    <w:rsid w:val="00304EEB"/>
    <w:rsid w:val="00304EFF"/>
    <w:rsid w:val="00304F29"/>
    <w:rsid w:val="00304FA9"/>
    <w:rsid w:val="00304FCC"/>
    <w:rsid w:val="00304FD5"/>
    <w:rsid w:val="00305064"/>
    <w:rsid w:val="00305075"/>
    <w:rsid w:val="0030509C"/>
    <w:rsid w:val="003050A6"/>
    <w:rsid w:val="003050B4"/>
    <w:rsid w:val="003050C7"/>
    <w:rsid w:val="003050F6"/>
    <w:rsid w:val="00305160"/>
    <w:rsid w:val="0030516F"/>
    <w:rsid w:val="0030518B"/>
    <w:rsid w:val="0030518C"/>
    <w:rsid w:val="003051BD"/>
    <w:rsid w:val="00305274"/>
    <w:rsid w:val="003053B9"/>
    <w:rsid w:val="003053E6"/>
    <w:rsid w:val="0030542A"/>
    <w:rsid w:val="0030542E"/>
    <w:rsid w:val="00305436"/>
    <w:rsid w:val="0030545E"/>
    <w:rsid w:val="00305497"/>
    <w:rsid w:val="0030550D"/>
    <w:rsid w:val="00305511"/>
    <w:rsid w:val="0030558F"/>
    <w:rsid w:val="0030559F"/>
    <w:rsid w:val="003055E4"/>
    <w:rsid w:val="003055E7"/>
    <w:rsid w:val="003055F0"/>
    <w:rsid w:val="00305600"/>
    <w:rsid w:val="0030560B"/>
    <w:rsid w:val="00305629"/>
    <w:rsid w:val="00305634"/>
    <w:rsid w:val="0030570D"/>
    <w:rsid w:val="0030576A"/>
    <w:rsid w:val="003057A0"/>
    <w:rsid w:val="003057CB"/>
    <w:rsid w:val="003057D6"/>
    <w:rsid w:val="003057DC"/>
    <w:rsid w:val="003057F2"/>
    <w:rsid w:val="0030580C"/>
    <w:rsid w:val="00305812"/>
    <w:rsid w:val="0030581D"/>
    <w:rsid w:val="00305848"/>
    <w:rsid w:val="00305868"/>
    <w:rsid w:val="00305874"/>
    <w:rsid w:val="00305876"/>
    <w:rsid w:val="003058A9"/>
    <w:rsid w:val="00305951"/>
    <w:rsid w:val="003059A0"/>
    <w:rsid w:val="003059A1"/>
    <w:rsid w:val="003059D5"/>
    <w:rsid w:val="003059DE"/>
    <w:rsid w:val="003059F2"/>
    <w:rsid w:val="003059F5"/>
    <w:rsid w:val="003059FA"/>
    <w:rsid w:val="003059FF"/>
    <w:rsid w:val="00305A00"/>
    <w:rsid w:val="00305A66"/>
    <w:rsid w:val="00305A8E"/>
    <w:rsid w:val="00305B2F"/>
    <w:rsid w:val="00305B78"/>
    <w:rsid w:val="00305BA1"/>
    <w:rsid w:val="00305C19"/>
    <w:rsid w:val="00305C57"/>
    <w:rsid w:val="00305D11"/>
    <w:rsid w:val="00305D1E"/>
    <w:rsid w:val="00305D24"/>
    <w:rsid w:val="00305D2B"/>
    <w:rsid w:val="00305D4C"/>
    <w:rsid w:val="00305D4E"/>
    <w:rsid w:val="00305D84"/>
    <w:rsid w:val="00305D98"/>
    <w:rsid w:val="00305DEF"/>
    <w:rsid w:val="00305E23"/>
    <w:rsid w:val="00305E44"/>
    <w:rsid w:val="00305E81"/>
    <w:rsid w:val="00305EB1"/>
    <w:rsid w:val="00305EE4"/>
    <w:rsid w:val="00305F0A"/>
    <w:rsid w:val="00305FA5"/>
    <w:rsid w:val="00305FAA"/>
    <w:rsid w:val="00305FE7"/>
    <w:rsid w:val="00305FED"/>
    <w:rsid w:val="00306058"/>
    <w:rsid w:val="003060BB"/>
    <w:rsid w:val="003060C1"/>
    <w:rsid w:val="003060D7"/>
    <w:rsid w:val="003060DE"/>
    <w:rsid w:val="003060ED"/>
    <w:rsid w:val="00306147"/>
    <w:rsid w:val="003061AD"/>
    <w:rsid w:val="003061BB"/>
    <w:rsid w:val="003061CC"/>
    <w:rsid w:val="00306206"/>
    <w:rsid w:val="00306255"/>
    <w:rsid w:val="00306267"/>
    <w:rsid w:val="00306316"/>
    <w:rsid w:val="0030638B"/>
    <w:rsid w:val="003063BD"/>
    <w:rsid w:val="003063D4"/>
    <w:rsid w:val="00306426"/>
    <w:rsid w:val="00306445"/>
    <w:rsid w:val="0030645F"/>
    <w:rsid w:val="00306460"/>
    <w:rsid w:val="0030647E"/>
    <w:rsid w:val="00306487"/>
    <w:rsid w:val="003064F5"/>
    <w:rsid w:val="003064FD"/>
    <w:rsid w:val="0030650D"/>
    <w:rsid w:val="00306517"/>
    <w:rsid w:val="00306578"/>
    <w:rsid w:val="003065D8"/>
    <w:rsid w:val="00306618"/>
    <w:rsid w:val="00306674"/>
    <w:rsid w:val="00306686"/>
    <w:rsid w:val="003066BA"/>
    <w:rsid w:val="00306750"/>
    <w:rsid w:val="00306752"/>
    <w:rsid w:val="0030678F"/>
    <w:rsid w:val="003067B1"/>
    <w:rsid w:val="003067EF"/>
    <w:rsid w:val="00306835"/>
    <w:rsid w:val="00306858"/>
    <w:rsid w:val="00306917"/>
    <w:rsid w:val="00306991"/>
    <w:rsid w:val="00306A0E"/>
    <w:rsid w:val="00306A58"/>
    <w:rsid w:val="00306A8C"/>
    <w:rsid w:val="00306AB5"/>
    <w:rsid w:val="00306ACA"/>
    <w:rsid w:val="00306BCC"/>
    <w:rsid w:val="00306BCF"/>
    <w:rsid w:val="00306BF5"/>
    <w:rsid w:val="00306BFD"/>
    <w:rsid w:val="00306C3C"/>
    <w:rsid w:val="00306C6B"/>
    <w:rsid w:val="00306C80"/>
    <w:rsid w:val="00306C85"/>
    <w:rsid w:val="00306C94"/>
    <w:rsid w:val="00306CAD"/>
    <w:rsid w:val="00306CBC"/>
    <w:rsid w:val="00306CD9"/>
    <w:rsid w:val="00306D09"/>
    <w:rsid w:val="00306D1D"/>
    <w:rsid w:val="00306D3B"/>
    <w:rsid w:val="00306D74"/>
    <w:rsid w:val="00306E49"/>
    <w:rsid w:val="00306E65"/>
    <w:rsid w:val="00306F5D"/>
    <w:rsid w:val="003070CE"/>
    <w:rsid w:val="003070D9"/>
    <w:rsid w:val="003070F4"/>
    <w:rsid w:val="003070FE"/>
    <w:rsid w:val="00307194"/>
    <w:rsid w:val="003071A1"/>
    <w:rsid w:val="003071A8"/>
    <w:rsid w:val="00307290"/>
    <w:rsid w:val="00307319"/>
    <w:rsid w:val="0030738E"/>
    <w:rsid w:val="003073D0"/>
    <w:rsid w:val="00307407"/>
    <w:rsid w:val="00307409"/>
    <w:rsid w:val="00307427"/>
    <w:rsid w:val="0030743F"/>
    <w:rsid w:val="00307485"/>
    <w:rsid w:val="003074D9"/>
    <w:rsid w:val="003074EE"/>
    <w:rsid w:val="00307564"/>
    <w:rsid w:val="003075BA"/>
    <w:rsid w:val="003075C1"/>
    <w:rsid w:val="0030761D"/>
    <w:rsid w:val="0030763A"/>
    <w:rsid w:val="00307793"/>
    <w:rsid w:val="003077D5"/>
    <w:rsid w:val="003077DE"/>
    <w:rsid w:val="003078A2"/>
    <w:rsid w:val="003078FA"/>
    <w:rsid w:val="0030790C"/>
    <w:rsid w:val="00307921"/>
    <w:rsid w:val="0030793A"/>
    <w:rsid w:val="00307963"/>
    <w:rsid w:val="00307A2C"/>
    <w:rsid w:val="00307A5A"/>
    <w:rsid w:val="00307AEF"/>
    <w:rsid w:val="00307B2F"/>
    <w:rsid w:val="00307B6E"/>
    <w:rsid w:val="00307B77"/>
    <w:rsid w:val="00307B86"/>
    <w:rsid w:val="00307B98"/>
    <w:rsid w:val="00307BD7"/>
    <w:rsid w:val="00307BE3"/>
    <w:rsid w:val="00307BEA"/>
    <w:rsid w:val="00307C1A"/>
    <w:rsid w:val="00307C38"/>
    <w:rsid w:val="00307C4B"/>
    <w:rsid w:val="00307C78"/>
    <w:rsid w:val="00307C8A"/>
    <w:rsid w:val="00307CD5"/>
    <w:rsid w:val="00307D71"/>
    <w:rsid w:val="00307DC0"/>
    <w:rsid w:val="00307E50"/>
    <w:rsid w:val="00307E71"/>
    <w:rsid w:val="00307E75"/>
    <w:rsid w:val="00307ED3"/>
    <w:rsid w:val="00307EF0"/>
    <w:rsid w:val="00307F61"/>
    <w:rsid w:val="00307F93"/>
    <w:rsid w:val="00307FE6"/>
    <w:rsid w:val="003100AA"/>
    <w:rsid w:val="003100CF"/>
    <w:rsid w:val="003100E6"/>
    <w:rsid w:val="00310126"/>
    <w:rsid w:val="00310135"/>
    <w:rsid w:val="00310140"/>
    <w:rsid w:val="0031015D"/>
    <w:rsid w:val="00310176"/>
    <w:rsid w:val="00310191"/>
    <w:rsid w:val="00310231"/>
    <w:rsid w:val="0031024A"/>
    <w:rsid w:val="00310284"/>
    <w:rsid w:val="00310325"/>
    <w:rsid w:val="00310358"/>
    <w:rsid w:val="003103E0"/>
    <w:rsid w:val="003103FC"/>
    <w:rsid w:val="0031042F"/>
    <w:rsid w:val="00310435"/>
    <w:rsid w:val="0031043F"/>
    <w:rsid w:val="0031047B"/>
    <w:rsid w:val="0031049A"/>
    <w:rsid w:val="003104A5"/>
    <w:rsid w:val="00310540"/>
    <w:rsid w:val="0031057F"/>
    <w:rsid w:val="003105B6"/>
    <w:rsid w:val="00310608"/>
    <w:rsid w:val="00310636"/>
    <w:rsid w:val="00310669"/>
    <w:rsid w:val="003106A1"/>
    <w:rsid w:val="003106A2"/>
    <w:rsid w:val="003106AC"/>
    <w:rsid w:val="003106D4"/>
    <w:rsid w:val="00310717"/>
    <w:rsid w:val="0031073A"/>
    <w:rsid w:val="00310746"/>
    <w:rsid w:val="0031074A"/>
    <w:rsid w:val="00310789"/>
    <w:rsid w:val="0031078A"/>
    <w:rsid w:val="003107C7"/>
    <w:rsid w:val="003107D9"/>
    <w:rsid w:val="003107FB"/>
    <w:rsid w:val="0031082A"/>
    <w:rsid w:val="00310833"/>
    <w:rsid w:val="0031088E"/>
    <w:rsid w:val="003108AF"/>
    <w:rsid w:val="003108C0"/>
    <w:rsid w:val="003108EA"/>
    <w:rsid w:val="003108FC"/>
    <w:rsid w:val="00310912"/>
    <w:rsid w:val="00310946"/>
    <w:rsid w:val="00310960"/>
    <w:rsid w:val="00310971"/>
    <w:rsid w:val="003109AB"/>
    <w:rsid w:val="003109D2"/>
    <w:rsid w:val="00310A1E"/>
    <w:rsid w:val="00310A30"/>
    <w:rsid w:val="00310ADC"/>
    <w:rsid w:val="00310B0E"/>
    <w:rsid w:val="00310B13"/>
    <w:rsid w:val="00310B7E"/>
    <w:rsid w:val="00310BDC"/>
    <w:rsid w:val="00310C2E"/>
    <w:rsid w:val="00310C31"/>
    <w:rsid w:val="00310C3A"/>
    <w:rsid w:val="00310C62"/>
    <w:rsid w:val="00310CE6"/>
    <w:rsid w:val="00310D01"/>
    <w:rsid w:val="00310D94"/>
    <w:rsid w:val="00310D95"/>
    <w:rsid w:val="00310E44"/>
    <w:rsid w:val="00310E56"/>
    <w:rsid w:val="00310EC4"/>
    <w:rsid w:val="00310EDF"/>
    <w:rsid w:val="00310F40"/>
    <w:rsid w:val="00310F4C"/>
    <w:rsid w:val="00310F60"/>
    <w:rsid w:val="00310F7B"/>
    <w:rsid w:val="00310FBC"/>
    <w:rsid w:val="00310FBF"/>
    <w:rsid w:val="00311089"/>
    <w:rsid w:val="003110AD"/>
    <w:rsid w:val="003110CC"/>
    <w:rsid w:val="00311258"/>
    <w:rsid w:val="0031126D"/>
    <w:rsid w:val="00311286"/>
    <w:rsid w:val="0031129B"/>
    <w:rsid w:val="003112B7"/>
    <w:rsid w:val="003112C0"/>
    <w:rsid w:val="003112D8"/>
    <w:rsid w:val="003112F1"/>
    <w:rsid w:val="00311313"/>
    <w:rsid w:val="003113B9"/>
    <w:rsid w:val="0031142F"/>
    <w:rsid w:val="003114EB"/>
    <w:rsid w:val="00311505"/>
    <w:rsid w:val="0031152C"/>
    <w:rsid w:val="0031155C"/>
    <w:rsid w:val="0031155E"/>
    <w:rsid w:val="00311596"/>
    <w:rsid w:val="003115BC"/>
    <w:rsid w:val="0031162C"/>
    <w:rsid w:val="003116BC"/>
    <w:rsid w:val="003116D6"/>
    <w:rsid w:val="003116DB"/>
    <w:rsid w:val="003116E1"/>
    <w:rsid w:val="00311714"/>
    <w:rsid w:val="00311723"/>
    <w:rsid w:val="0031177B"/>
    <w:rsid w:val="0031179A"/>
    <w:rsid w:val="00311849"/>
    <w:rsid w:val="00311854"/>
    <w:rsid w:val="0031189A"/>
    <w:rsid w:val="003118BF"/>
    <w:rsid w:val="0031195C"/>
    <w:rsid w:val="00311972"/>
    <w:rsid w:val="00311986"/>
    <w:rsid w:val="003119CE"/>
    <w:rsid w:val="00311A1C"/>
    <w:rsid w:val="00311A9C"/>
    <w:rsid w:val="00311AB5"/>
    <w:rsid w:val="00311ADC"/>
    <w:rsid w:val="00311AF2"/>
    <w:rsid w:val="00311B8E"/>
    <w:rsid w:val="00311B98"/>
    <w:rsid w:val="00311B9B"/>
    <w:rsid w:val="00311BB8"/>
    <w:rsid w:val="00311BBC"/>
    <w:rsid w:val="00311BF2"/>
    <w:rsid w:val="00311BF7"/>
    <w:rsid w:val="00311C0B"/>
    <w:rsid w:val="00311C6B"/>
    <w:rsid w:val="00311CDC"/>
    <w:rsid w:val="00311CDE"/>
    <w:rsid w:val="00311CE5"/>
    <w:rsid w:val="00311CF2"/>
    <w:rsid w:val="00311DB9"/>
    <w:rsid w:val="00311DE9"/>
    <w:rsid w:val="00311E57"/>
    <w:rsid w:val="00311E92"/>
    <w:rsid w:val="00311EA1"/>
    <w:rsid w:val="00311F29"/>
    <w:rsid w:val="00311F64"/>
    <w:rsid w:val="00311F7C"/>
    <w:rsid w:val="00311FAD"/>
    <w:rsid w:val="00311FBA"/>
    <w:rsid w:val="00311FD2"/>
    <w:rsid w:val="00311FDA"/>
    <w:rsid w:val="00312014"/>
    <w:rsid w:val="0031206D"/>
    <w:rsid w:val="003120A4"/>
    <w:rsid w:val="003120C5"/>
    <w:rsid w:val="003120DB"/>
    <w:rsid w:val="0031213C"/>
    <w:rsid w:val="00312147"/>
    <w:rsid w:val="00312166"/>
    <w:rsid w:val="003121D3"/>
    <w:rsid w:val="00312202"/>
    <w:rsid w:val="00312211"/>
    <w:rsid w:val="00312224"/>
    <w:rsid w:val="003122E4"/>
    <w:rsid w:val="00312349"/>
    <w:rsid w:val="00312397"/>
    <w:rsid w:val="003123B8"/>
    <w:rsid w:val="003123B9"/>
    <w:rsid w:val="0031240D"/>
    <w:rsid w:val="00312435"/>
    <w:rsid w:val="00312460"/>
    <w:rsid w:val="00312471"/>
    <w:rsid w:val="0031248A"/>
    <w:rsid w:val="0031249E"/>
    <w:rsid w:val="003124B1"/>
    <w:rsid w:val="003124F8"/>
    <w:rsid w:val="003125DA"/>
    <w:rsid w:val="003125DE"/>
    <w:rsid w:val="003125F6"/>
    <w:rsid w:val="0031261A"/>
    <w:rsid w:val="00312662"/>
    <w:rsid w:val="003126A1"/>
    <w:rsid w:val="003126BC"/>
    <w:rsid w:val="003126EF"/>
    <w:rsid w:val="003126FB"/>
    <w:rsid w:val="003126FC"/>
    <w:rsid w:val="0031277F"/>
    <w:rsid w:val="0031279B"/>
    <w:rsid w:val="003127A1"/>
    <w:rsid w:val="003127C6"/>
    <w:rsid w:val="003127EE"/>
    <w:rsid w:val="0031280F"/>
    <w:rsid w:val="00312836"/>
    <w:rsid w:val="0031285F"/>
    <w:rsid w:val="0031289E"/>
    <w:rsid w:val="003128D0"/>
    <w:rsid w:val="003128FC"/>
    <w:rsid w:val="00312912"/>
    <w:rsid w:val="0031291D"/>
    <w:rsid w:val="00312953"/>
    <w:rsid w:val="00312967"/>
    <w:rsid w:val="003129A6"/>
    <w:rsid w:val="00312A59"/>
    <w:rsid w:val="00312A84"/>
    <w:rsid w:val="00312AA3"/>
    <w:rsid w:val="00312B2F"/>
    <w:rsid w:val="00312B37"/>
    <w:rsid w:val="00312B53"/>
    <w:rsid w:val="00312B84"/>
    <w:rsid w:val="00312B9A"/>
    <w:rsid w:val="00312BBE"/>
    <w:rsid w:val="00312BD4"/>
    <w:rsid w:val="00312C67"/>
    <w:rsid w:val="00312CAA"/>
    <w:rsid w:val="00312D18"/>
    <w:rsid w:val="00312D6B"/>
    <w:rsid w:val="00312E31"/>
    <w:rsid w:val="00312EEE"/>
    <w:rsid w:val="00312F4A"/>
    <w:rsid w:val="00312F65"/>
    <w:rsid w:val="00312F87"/>
    <w:rsid w:val="00312FA5"/>
    <w:rsid w:val="00313023"/>
    <w:rsid w:val="00313064"/>
    <w:rsid w:val="00313073"/>
    <w:rsid w:val="00313118"/>
    <w:rsid w:val="0031319F"/>
    <w:rsid w:val="00313217"/>
    <w:rsid w:val="00313255"/>
    <w:rsid w:val="0031325C"/>
    <w:rsid w:val="0031330F"/>
    <w:rsid w:val="00313320"/>
    <w:rsid w:val="0031333C"/>
    <w:rsid w:val="003133B7"/>
    <w:rsid w:val="003133C8"/>
    <w:rsid w:val="003133E2"/>
    <w:rsid w:val="00313447"/>
    <w:rsid w:val="0031344E"/>
    <w:rsid w:val="003134B6"/>
    <w:rsid w:val="003134F0"/>
    <w:rsid w:val="0031356D"/>
    <w:rsid w:val="00313645"/>
    <w:rsid w:val="00313646"/>
    <w:rsid w:val="00313657"/>
    <w:rsid w:val="00313690"/>
    <w:rsid w:val="003136CD"/>
    <w:rsid w:val="003136E2"/>
    <w:rsid w:val="003136EA"/>
    <w:rsid w:val="003136ED"/>
    <w:rsid w:val="0031371F"/>
    <w:rsid w:val="0031374F"/>
    <w:rsid w:val="00313777"/>
    <w:rsid w:val="003137AE"/>
    <w:rsid w:val="003137FE"/>
    <w:rsid w:val="0031386D"/>
    <w:rsid w:val="003138BA"/>
    <w:rsid w:val="0031398E"/>
    <w:rsid w:val="003139A4"/>
    <w:rsid w:val="003139FB"/>
    <w:rsid w:val="00313A26"/>
    <w:rsid w:val="00313A7A"/>
    <w:rsid w:val="00313A93"/>
    <w:rsid w:val="00313AC6"/>
    <w:rsid w:val="00313ADD"/>
    <w:rsid w:val="00313AF7"/>
    <w:rsid w:val="00313AF8"/>
    <w:rsid w:val="00313B3D"/>
    <w:rsid w:val="00313B62"/>
    <w:rsid w:val="00313B91"/>
    <w:rsid w:val="00313BBE"/>
    <w:rsid w:val="00313BF9"/>
    <w:rsid w:val="00313C22"/>
    <w:rsid w:val="00313CD2"/>
    <w:rsid w:val="00313D02"/>
    <w:rsid w:val="00313D14"/>
    <w:rsid w:val="00313D33"/>
    <w:rsid w:val="00313DCA"/>
    <w:rsid w:val="00313E02"/>
    <w:rsid w:val="00313E15"/>
    <w:rsid w:val="00313E44"/>
    <w:rsid w:val="00313E7B"/>
    <w:rsid w:val="00313EA0"/>
    <w:rsid w:val="00313EAF"/>
    <w:rsid w:val="00313EDC"/>
    <w:rsid w:val="00313EE2"/>
    <w:rsid w:val="00313EEA"/>
    <w:rsid w:val="00313F0C"/>
    <w:rsid w:val="00313F11"/>
    <w:rsid w:val="00313F1B"/>
    <w:rsid w:val="00313F54"/>
    <w:rsid w:val="00313FB2"/>
    <w:rsid w:val="00314056"/>
    <w:rsid w:val="0031406E"/>
    <w:rsid w:val="003140B9"/>
    <w:rsid w:val="0031411D"/>
    <w:rsid w:val="00314137"/>
    <w:rsid w:val="00314139"/>
    <w:rsid w:val="0031416F"/>
    <w:rsid w:val="003141B3"/>
    <w:rsid w:val="0031422F"/>
    <w:rsid w:val="0031423F"/>
    <w:rsid w:val="00314261"/>
    <w:rsid w:val="003142C2"/>
    <w:rsid w:val="003142DF"/>
    <w:rsid w:val="003142EC"/>
    <w:rsid w:val="003142F7"/>
    <w:rsid w:val="0031439A"/>
    <w:rsid w:val="003143C4"/>
    <w:rsid w:val="003143CE"/>
    <w:rsid w:val="003143EE"/>
    <w:rsid w:val="003144A9"/>
    <w:rsid w:val="003144C6"/>
    <w:rsid w:val="003144E9"/>
    <w:rsid w:val="00314519"/>
    <w:rsid w:val="00314548"/>
    <w:rsid w:val="00314562"/>
    <w:rsid w:val="00314677"/>
    <w:rsid w:val="00314682"/>
    <w:rsid w:val="003146A9"/>
    <w:rsid w:val="003146EE"/>
    <w:rsid w:val="0031473E"/>
    <w:rsid w:val="00314751"/>
    <w:rsid w:val="0031476F"/>
    <w:rsid w:val="00314779"/>
    <w:rsid w:val="003147B0"/>
    <w:rsid w:val="0031480A"/>
    <w:rsid w:val="00314816"/>
    <w:rsid w:val="0031484C"/>
    <w:rsid w:val="0031487B"/>
    <w:rsid w:val="003148B3"/>
    <w:rsid w:val="003148BC"/>
    <w:rsid w:val="003148E2"/>
    <w:rsid w:val="0031495E"/>
    <w:rsid w:val="00314998"/>
    <w:rsid w:val="003149A0"/>
    <w:rsid w:val="003149C4"/>
    <w:rsid w:val="00314A07"/>
    <w:rsid w:val="00314A1C"/>
    <w:rsid w:val="00314A49"/>
    <w:rsid w:val="00314A87"/>
    <w:rsid w:val="00314AB4"/>
    <w:rsid w:val="00314ABF"/>
    <w:rsid w:val="00314AD5"/>
    <w:rsid w:val="00314B21"/>
    <w:rsid w:val="00314B2E"/>
    <w:rsid w:val="00314B59"/>
    <w:rsid w:val="00314BA6"/>
    <w:rsid w:val="00314BB2"/>
    <w:rsid w:val="00314BEF"/>
    <w:rsid w:val="00314C07"/>
    <w:rsid w:val="00314C12"/>
    <w:rsid w:val="00314C63"/>
    <w:rsid w:val="00314CA5"/>
    <w:rsid w:val="00314D3E"/>
    <w:rsid w:val="00314D4D"/>
    <w:rsid w:val="00314D96"/>
    <w:rsid w:val="00314DAC"/>
    <w:rsid w:val="00314DBC"/>
    <w:rsid w:val="00314DE6"/>
    <w:rsid w:val="00314E6F"/>
    <w:rsid w:val="00314E75"/>
    <w:rsid w:val="00314EC3"/>
    <w:rsid w:val="00314F46"/>
    <w:rsid w:val="00314F8F"/>
    <w:rsid w:val="00314FD5"/>
    <w:rsid w:val="00314FF3"/>
    <w:rsid w:val="00315022"/>
    <w:rsid w:val="00315027"/>
    <w:rsid w:val="0031502E"/>
    <w:rsid w:val="003150A0"/>
    <w:rsid w:val="003150C8"/>
    <w:rsid w:val="00315100"/>
    <w:rsid w:val="00315101"/>
    <w:rsid w:val="00315144"/>
    <w:rsid w:val="00315167"/>
    <w:rsid w:val="003151F8"/>
    <w:rsid w:val="00315254"/>
    <w:rsid w:val="00315293"/>
    <w:rsid w:val="003152A4"/>
    <w:rsid w:val="003152AA"/>
    <w:rsid w:val="00315378"/>
    <w:rsid w:val="003153CB"/>
    <w:rsid w:val="003153F9"/>
    <w:rsid w:val="0031541E"/>
    <w:rsid w:val="0031546E"/>
    <w:rsid w:val="0031550A"/>
    <w:rsid w:val="00315514"/>
    <w:rsid w:val="00315533"/>
    <w:rsid w:val="0031555C"/>
    <w:rsid w:val="00315594"/>
    <w:rsid w:val="003155B4"/>
    <w:rsid w:val="003155FC"/>
    <w:rsid w:val="0031569B"/>
    <w:rsid w:val="0031569F"/>
    <w:rsid w:val="003156D1"/>
    <w:rsid w:val="0031575F"/>
    <w:rsid w:val="00315771"/>
    <w:rsid w:val="00315776"/>
    <w:rsid w:val="00315784"/>
    <w:rsid w:val="003157A1"/>
    <w:rsid w:val="003157B7"/>
    <w:rsid w:val="00315859"/>
    <w:rsid w:val="0031585F"/>
    <w:rsid w:val="003158B0"/>
    <w:rsid w:val="00315916"/>
    <w:rsid w:val="00315931"/>
    <w:rsid w:val="00315971"/>
    <w:rsid w:val="003159E0"/>
    <w:rsid w:val="00315A31"/>
    <w:rsid w:val="00315AA0"/>
    <w:rsid w:val="00315B10"/>
    <w:rsid w:val="00315B14"/>
    <w:rsid w:val="00315B1A"/>
    <w:rsid w:val="00315B23"/>
    <w:rsid w:val="00315B30"/>
    <w:rsid w:val="00315B43"/>
    <w:rsid w:val="00315B5D"/>
    <w:rsid w:val="00315B78"/>
    <w:rsid w:val="00315C9A"/>
    <w:rsid w:val="00315CE2"/>
    <w:rsid w:val="00315CEF"/>
    <w:rsid w:val="00315CF0"/>
    <w:rsid w:val="00315D96"/>
    <w:rsid w:val="00315DE0"/>
    <w:rsid w:val="00315DFB"/>
    <w:rsid w:val="00315E0F"/>
    <w:rsid w:val="00315E18"/>
    <w:rsid w:val="00315EA3"/>
    <w:rsid w:val="00315EBD"/>
    <w:rsid w:val="00315EC4"/>
    <w:rsid w:val="00315EC6"/>
    <w:rsid w:val="00315F25"/>
    <w:rsid w:val="00315F52"/>
    <w:rsid w:val="00315F7F"/>
    <w:rsid w:val="00315FB4"/>
    <w:rsid w:val="00315FD6"/>
    <w:rsid w:val="00316052"/>
    <w:rsid w:val="00316058"/>
    <w:rsid w:val="003160D9"/>
    <w:rsid w:val="0031611C"/>
    <w:rsid w:val="00316123"/>
    <w:rsid w:val="0031619C"/>
    <w:rsid w:val="003161A4"/>
    <w:rsid w:val="003161B5"/>
    <w:rsid w:val="003161BA"/>
    <w:rsid w:val="00316237"/>
    <w:rsid w:val="00316307"/>
    <w:rsid w:val="003163C3"/>
    <w:rsid w:val="00316416"/>
    <w:rsid w:val="00316451"/>
    <w:rsid w:val="003164B5"/>
    <w:rsid w:val="003164BF"/>
    <w:rsid w:val="003164F9"/>
    <w:rsid w:val="003164FC"/>
    <w:rsid w:val="0031654F"/>
    <w:rsid w:val="00316577"/>
    <w:rsid w:val="0031657F"/>
    <w:rsid w:val="003165A1"/>
    <w:rsid w:val="0031660C"/>
    <w:rsid w:val="0031661A"/>
    <w:rsid w:val="00316641"/>
    <w:rsid w:val="0031665C"/>
    <w:rsid w:val="00316665"/>
    <w:rsid w:val="003166B4"/>
    <w:rsid w:val="003166D2"/>
    <w:rsid w:val="003166E6"/>
    <w:rsid w:val="0031670A"/>
    <w:rsid w:val="00316729"/>
    <w:rsid w:val="00316777"/>
    <w:rsid w:val="0031678D"/>
    <w:rsid w:val="00316796"/>
    <w:rsid w:val="003167DD"/>
    <w:rsid w:val="00316839"/>
    <w:rsid w:val="003168A5"/>
    <w:rsid w:val="003168E1"/>
    <w:rsid w:val="003168E7"/>
    <w:rsid w:val="0031692E"/>
    <w:rsid w:val="0031695A"/>
    <w:rsid w:val="00316989"/>
    <w:rsid w:val="003169C1"/>
    <w:rsid w:val="003169C5"/>
    <w:rsid w:val="003169CF"/>
    <w:rsid w:val="003169E2"/>
    <w:rsid w:val="00316A09"/>
    <w:rsid w:val="00316A4C"/>
    <w:rsid w:val="00316A6F"/>
    <w:rsid w:val="00316A8E"/>
    <w:rsid w:val="00316AFE"/>
    <w:rsid w:val="00316B76"/>
    <w:rsid w:val="00316BF3"/>
    <w:rsid w:val="00316C95"/>
    <w:rsid w:val="00316D42"/>
    <w:rsid w:val="00316DAD"/>
    <w:rsid w:val="00316DCB"/>
    <w:rsid w:val="00316E12"/>
    <w:rsid w:val="00316E48"/>
    <w:rsid w:val="00316E6E"/>
    <w:rsid w:val="00316E93"/>
    <w:rsid w:val="00316ECA"/>
    <w:rsid w:val="00316ED6"/>
    <w:rsid w:val="00316EE3"/>
    <w:rsid w:val="00316F22"/>
    <w:rsid w:val="00316F4E"/>
    <w:rsid w:val="00316F6A"/>
    <w:rsid w:val="00316F90"/>
    <w:rsid w:val="00316FAF"/>
    <w:rsid w:val="00316FBA"/>
    <w:rsid w:val="00317014"/>
    <w:rsid w:val="0031703C"/>
    <w:rsid w:val="00317069"/>
    <w:rsid w:val="00317076"/>
    <w:rsid w:val="003170BC"/>
    <w:rsid w:val="003170D6"/>
    <w:rsid w:val="00317184"/>
    <w:rsid w:val="00317234"/>
    <w:rsid w:val="003173B1"/>
    <w:rsid w:val="003173B3"/>
    <w:rsid w:val="00317491"/>
    <w:rsid w:val="00317495"/>
    <w:rsid w:val="0031749B"/>
    <w:rsid w:val="003174B9"/>
    <w:rsid w:val="003174C9"/>
    <w:rsid w:val="003174CF"/>
    <w:rsid w:val="00317529"/>
    <w:rsid w:val="00317531"/>
    <w:rsid w:val="00317593"/>
    <w:rsid w:val="003175A1"/>
    <w:rsid w:val="003175AA"/>
    <w:rsid w:val="003175AB"/>
    <w:rsid w:val="003175BD"/>
    <w:rsid w:val="003175CE"/>
    <w:rsid w:val="003175EB"/>
    <w:rsid w:val="003175EC"/>
    <w:rsid w:val="0031766E"/>
    <w:rsid w:val="003176D5"/>
    <w:rsid w:val="003176D8"/>
    <w:rsid w:val="00317755"/>
    <w:rsid w:val="00317779"/>
    <w:rsid w:val="00317782"/>
    <w:rsid w:val="00317784"/>
    <w:rsid w:val="003177D5"/>
    <w:rsid w:val="003177E3"/>
    <w:rsid w:val="003177ED"/>
    <w:rsid w:val="003177F6"/>
    <w:rsid w:val="0031784E"/>
    <w:rsid w:val="00317871"/>
    <w:rsid w:val="003178B5"/>
    <w:rsid w:val="003178C9"/>
    <w:rsid w:val="0031791A"/>
    <w:rsid w:val="00317932"/>
    <w:rsid w:val="003179BA"/>
    <w:rsid w:val="003179DA"/>
    <w:rsid w:val="00317A95"/>
    <w:rsid w:val="00317A99"/>
    <w:rsid w:val="00317AFC"/>
    <w:rsid w:val="00317B6D"/>
    <w:rsid w:val="00317CAA"/>
    <w:rsid w:val="00317CEA"/>
    <w:rsid w:val="00317D0C"/>
    <w:rsid w:val="00317D6A"/>
    <w:rsid w:val="00317D87"/>
    <w:rsid w:val="00317DBD"/>
    <w:rsid w:val="00317E02"/>
    <w:rsid w:val="00317E34"/>
    <w:rsid w:val="00317E5F"/>
    <w:rsid w:val="00317E67"/>
    <w:rsid w:val="00317E6B"/>
    <w:rsid w:val="00317E83"/>
    <w:rsid w:val="00317E84"/>
    <w:rsid w:val="00317E96"/>
    <w:rsid w:val="00317F57"/>
    <w:rsid w:val="00317F6B"/>
    <w:rsid w:val="00317FD9"/>
    <w:rsid w:val="00317FF2"/>
    <w:rsid w:val="00320009"/>
    <w:rsid w:val="00320026"/>
    <w:rsid w:val="00320037"/>
    <w:rsid w:val="0032007B"/>
    <w:rsid w:val="0032008B"/>
    <w:rsid w:val="003200C2"/>
    <w:rsid w:val="003200EE"/>
    <w:rsid w:val="00320113"/>
    <w:rsid w:val="00320141"/>
    <w:rsid w:val="00320146"/>
    <w:rsid w:val="00320188"/>
    <w:rsid w:val="003201AF"/>
    <w:rsid w:val="00320204"/>
    <w:rsid w:val="00320212"/>
    <w:rsid w:val="00320232"/>
    <w:rsid w:val="00320256"/>
    <w:rsid w:val="00320284"/>
    <w:rsid w:val="003202BB"/>
    <w:rsid w:val="003202E0"/>
    <w:rsid w:val="003202F9"/>
    <w:rsid w:val="00320362"/>
    <w:rsid w:val="0032038E"/>
    <w:rsid w:val="00320396"/>
    <w:rsid w:val="003203D1"/>
    <w:rsid w:val="003203D3"/>
    <w:rsid w:val="003203E1"/>
    <w:rsid w:val="003203F2"/>
    <w:rsid w:val="00320433"/>
    <w:rsid w:val="00320485"/>
    <w:rsid w:val="00320489"/>
    <w:rsid w:val="0032049E"/>
    <w:rsid w:val="003204B8"/>
    <w:rsid w:val="0032051F"/>
    <w:rsid w:val="00320561"/>
    <w:rsid w:val="003205C9"/>
    <w:rsid w:val="003205DC"/>
    <w:rsid w:val="0032061E"/>
    <w:rsid w:val="00320667"/>
    <w:rsid w:val="0032069F"/>
    <w:rsid w:val="003206AE"/>
    <w:rsid w:val="003206B7"/>
    <w:rsid w:val="003206B9"/>
    <w:rsid w:val="003206ED"/>
    <w:rsid w:val="003206EE"/>
    <w:rsid w:val="00320715"/>
    <w:rsid w:val="0032071C"/>
    <w:rsid w:val="00320740"/>
    <w:rsid w:val="0032075F"/>
    <w:rsid w:val="003207A0"/>
    <w:rsid w:val="0032080C"/>
    <w:rsid w:val="00320847"/>
    <w:rsid w:val="003208D9"/>
    <w:rsid w:val="003208F7"/>
    <w:rsid w:val="00320945"/>
    <w:rsid w:val="0032094C"/>
    <w:rsid w:val="00320955"/>
    <w:rsid w:val="00320964"/>
    <w:rsid w:val="003209A0"/>
    <w:rsid w:val="00320A23"/>
    <w:rsid w:val="00320A6B"/>
    <w:rsid w:val="00320ABD"/>
    <w:rsid w:val="00320AC3"/>
    <w:rsid w:val="00320AD3"/>
    <w:rsid w:val="00320AEF"/>
    <w:rsid w:val="00320B9A"/>
    <w:rsid w:val="00320BAB"/>
    <w:rsid w:val="00320BC5"/>
    <w:rsid w:val="00320BC9"/>
    <w:rsid w:val="00320C16"/>
    <w:rsid w:val="00320C34"/>
    <w:rsid w:val="00320C66"/>
    <w:rsid w:val="00320CA3"/>
    <w:rsid w:val="00320D3E"/>
    <w:rsid w:val="00320D9A"/>
    <w:rsid w:val="00320DED"/>
    <w:rsid w:val="00320E08"/>
    <w:rsid w:val="00320E0F"/>
    <w:rsid w:val="00320E79"/>
    <w:rsid w:val="00320F22"/>
    <w:rsid w:val="00320F24"/>
    <w:rsid w:val="00320F84"/>
    <w:rsid w:val="00320FB1"/>
    <w:rsid w:val="00320FB5"/>
    <w:rsid w:val="00320FCB"/>
    <w:rsid w:val="00320FDE"/>
    <w:rsid w:val="00321025"/>
    <w:rsid w:val="0032106E"/>
    <w:rsid w:val="003210E5"/>
    <w:rsid w:val="003210F6"/>
    <w:rsid w:val="0032113B"/>
    <w:rsid w:val="00321220"/>
    <w:rsid w:val="00321261"/>
    <w:rsid w:val="003212B1"/>
    <w:rsid w:val="003212EE"/>
    <w:rsid w:val="003212F6"/>
    <w:rsid w:val="00321302"/>
    <w:rsid w:val="0032132A"/>
    <w:rsid w:val="0032132C"/>
    <w:rsid w:val="0032133C"/>
    <w:rsid w:val="00321358"/>
    <w:rsid w:val="00321372"/>
    <w:rsid w:val="0032137E"/>
    <w:rsid w:val="003213BF"/>
    <w:rsid w:val="0032140C"/>
    <w:rsid w:val="00321414"/>
    <w:rsid w:val="0032145E"/>
    <w:rsid w:val="003214D5"/>
    <w:rsid w:val="0032150A"/>
    <w:rsid w:val="00321526"/>
    <w:rsid w:val="0032158D"/>
    <w:rsid w:val="003215C0"/>
    <w:rsid w:val="003215CC"/>
    <w:rsid w:val="00321658"/>
    <w:rsid w:val="003216B3"/>
    <w:rsid w:val="0032174C"/>
    <w:rsid w:val="00321790"/>
    <w:rsid w:val="003217E1"/>
    <w:rsid w:val="003217FD"/>
    <w:rsid w:val="00321822"/>
    <w:rsid w:val="00321836"/>
    <w:rsid w:val="00321883"/>
    <w:rsid w:val="00321896"/>
    <w:rsid w:val="003218DC"/>
    <w:rsid w:val="0032190F"/>
    <w:rsid w:val="00321929"/>
    <w:rsid w:val="0032195B"/>
    <w:rsid w:val="00321B57"/>
    <w:rsid w:val="00321BDA"/>
    <w:rsid w:val="00321C42"/>
    <w:rsid w:val="00321C91"/>
    <w:rsid w:val="00321D12"/>
    <w:rsid w:val="00321D13"/>
    <w:rsid w:val="00321D34"/>
    <w:rsid w:val="00321D59"/>
    <w:rsid w:val="00321D93"/>
    <w:rsid w:val="00321DCE"/>
    <w:rsid w:val="00321DDD"/>
    <w:rsid w:val="00321DE1"/>
    <w:rsid w:val="00321DE9"/>
    <w:rsid w:val="00321DF9"/>
    <w:rsid w:val="00321E68"/>
    <w:rsid w:val="00321FB3"/>
    <w:rsid w:val="00321FB5"/>
    <w:rsid w:val="00321FFF"/>
    <w:rsid w:val="0032204A"/>
    <w:rsid w:val="0032206D"/>
    <w:rsid w:val="00322089"/>
    <w:rsid w:val="00322206"/>
    <w:rsid w:val="0032220E"/>
    <w:rsid w:val="00322255"/>
    <w:rsid w:val="003222E3"/>
    <w:rsid w:val="00322368"/>
    <w:rsid w:val="00322371"/>
    <w:rsid w:val="00322417"/>
    <w:rsid w:val="00322437"/>
    <w:rsid w:val="0032244E"/>
    <w:rsid w:val="0032245D"/>
    <w:rsid w:val="0032249D"/>
    <w:rsid w:val="003224CC"/>
    <w:rsid w:val="003224E5"/>
    <w:rsid w:val="003224FD"/>
    <w:rsid w:val="00322534"/>
    <w:rsid w:val="00322545"/>
    <w:rsid w:val="00322548"/>
    <w:rsid w:val="003225E8"/>
    <w:rsid w:val="00322658"/>
    <w:rsid w:val="0032266D"/>
    <w:rsid w:val="003226F5"/>
    <w:rsid w:val="0032272F"/>
    <w:rsid w:val="0032273B"/>
    <w:rsid w:val="003227BB"/>
    <w:rsid w:val="003227DB"/>
    <w:rsid w:val="003227EE"/>
    <w:rsid w:val="00322815"/>
    <w:rsid w:val="0032286C"/>
    <w:rsid w:val="00322923"/>
    <w:rsid w:val="00322942"/>
    <w:rsid w:val="00322964"/>
    <w:rsid w:val="00322971"/>
    <w:rsid w:val="0032297D"/>
    <w:rsid w:val="00322997"/>
    <w:rsid w:val="003229B8"/>
    <w:rsid w:val="003229D5"/>
    <w:rsid w:val="003229E2"/>
    <w:rsid w:val="00322A62"/>
    <w:rsid w:val="00322AFE"/>
    <w:rsid w:val="00322B34"/>
    <w:rsid w:val="00322B91"/>
    <w:rsid w:val="00322BC4"/>
    <w:rsid w:val="00322C40"/>
    <w:rsid w:val="00322D38"/>
    <w:rsid w:val="00322D42"/>
    <w:rsid w:val="00322D5B"/>
    <w:rsid w:val="00322DA0"/>
    <w:rsid w:val="00322DAE"/>
    <w:rsid w:val="00322DBB"/>
    <w:rsid w:val="00322DDF"/>
    <w:rsid w:val="00322DE3"/>
    <w:rsid w:val="00322DEC"/>
    <w:rsid w:val="00322E05"/>
    <w:rsid w:val="00322E59"/>
    <w:rsid w:val="00322F3E"/>
    <w:rsid w:val="00322FB2"/>
    <w:rsid w:val="0032300D"/>
    <w:rsid w:val="00323010"/>
    <w:rsid w:val="00323026"/>
    <w:rsid w:val="00323129"/>
    <w:rsid w:val="003231E3"/>
    <w:rsid w:val="0032320C"/>
    <w:rsid w:val="00323291"/>
    <w:rsid w:val="003232A1"/>
    <w:rsid w:val="00323324"/>
    <w:rsid w:val="00323363"/>
    <w:rsid w:val="00323369"/>
    <w:rsid w:val="003233B7"/>
    <w:rsid w:val="003233BB"/>
    <w:rsid w:val="0032347A"/>
    <w:rsid w:val="003234A9"/>
    <w:rsid w:val="003234C6"/>
    <w:rsid w:val="0032355A"/>
    <w:rsid w:val="00323581"/>
    <w:rsid w:val="00323607"/>
    <w:rsid w:val="00323610"/>
    <w:rsid w:val="0032361A"/>
    <w:rsid w:val="003236BF"/>
    <w:rsid w:val="0032370F"/>
    <w:rsid w:val="0032374D"/>
    <w:rsid w:val="00323767"/>
    <w:rsid w:val="00323789"/>
    <w:rsid w:val="00323792"/>
    <w:rsid w:val="003237B7"/>
    <w:rsid w:val="00323813"/>
    <w:rsid w:val="00323821"/>
    <w:rsid w:val="0032385D"/>
    <w:rsid w:val="00323893"/>
    <w:rsid w:val="003238AE"/>
    <w:rsid w:val="003238B2"/>
    <w:rsid w:val="003238C0"/>
    <w:rsid w:val="0032398A"/>
    <w:rsid w:val="00323998"/>
    <w:rsid w:val="003239A0"/>
    <w:rsid w:val="00323A15"/>
    <w:rsid w:val="00323A1C"/>
    <w:rsid w:val="00323A7D"/>
    <w:rsid w:val="00323ACD"/>
    <w:rsid w:val="00323B39"/>
    <w:rsid w:val="00323BEF"/>
    <w:rsid w:val="00323BF1"/>
    <w:rsid w:val="00323CDF"/>
    <w:rsid w:val="00323CE3"/>
    <w:rsid w:val="00323CF8"/>
    <w:rsid w:val="00323D73"/>
    <w:rsid w:val="00323EDA"/>
    <w:rsid w:val="00323EE4"/>
    <w:rsid w:val="00323F18"/>
    <w:rsid w:val="00323F76"/>
    <w:rsid w:val="00323FF1"/>
    <w:rsid w:val="00324070"/>
    <w:rsid w:val="00324092"/>
    <w:rsid w:val="003240B5"/>
    <w:rsid w:val="003240C6"/>
    <w:rsid w:val="0032413E"/>
    <w:rsid w:val="00324159"/>
    <w:rsid w:val="0032418E"/>
    <w:rsid w:val="00324193"/>
    <w:rsid w:val="003242AF"/>
    <w:rsid w:val="003242DB"/>
    <w:rsid w:val="003242FD"/>
    <w:rsid w:val="00324358"/>
    <w:rsid w:val="0032435E"/>
    <w:rsid w:val="00324379"/>
    <w:rsid w:val="003243CF"/>
    <w:rsid w:val="003243D0"/>
    <w:rsid w:val="003243E5"/>
    <w:rsid w:val="003243EE"/>
    <w:rsid w:val="0032444E"/>
    <w:rsid w:val="00324467"/>
    <w:rsid w:val="00324549"/>
    <w:rsid w:val="003245BE"/>
    <w:rsid w:val="003245FC"/>
    <w:rsid w:val="0032462F"/>
    <w:rsid w:val="00324640"/>
    <w:rsid w:val="003246E3"/>
    <w:rsid w:val="00324747"/>
    <w:rsid w:val="0032478A"/>
    <w:rsid w:val="0032478E"/>
    <w:rsid w:val="00324790"/>
    <w:rsid w:val="003247AF"/>
    <w:rsid w:val="003247D3"/>
    <w:rsid w:val="003247E8"/>
    <w:rsid w:val="00324866"/>
    <w:rsid w:val="00324881"/>
    <w:rsid w:val="003248C4"/>
    <w:rsid w:val="003248DB"/>
    <w:rsid w:val="0032492A"/>
    <w:rsid w:val="00324981"/>
    <w:rsid w:val="003249C2"/>
    <w:rsid w:val="003249F7"/>
    <w:rsid w:val="00324A12"/>
    <w:rsid w:val="00324A14"/>
    <w:rsid w:val="00324A4C"/>
    <w:rsid w:val="00324A54"/>
    <w:rsid w:val="00324AA1"/>
    <w:rsid w:val="00324B21"/>
    <w:rsid w:val="00324B36"/>
    <w:rsid w:val="00324C33"/>
    <w:rsid w:val="00324C9B"/>
    <w:rsid w:val="00324CF2"/>
    <w:rsid w:val="00324CF4"/>
    <w:rsid w:val="00324CF9"/>
    <w:rsid w:val="00324D32"/>
    <w:rsid w:val="00324D7C"/>
    <w:rsid w:val="00324E0B"/>
    <w:rsid w:val="00324E1F"/>
    <w:rsid w:val="00324E41"/>
    <w:rsid w:val="00324EA3"/>
    <w:rsid w:val="00324EA5"/>
    <w:rsid w:val="00324EF7"/>
    <w:rsid w:val="00324F08"/>
    <w:rsid w:val="00324F3B"/>
    <w:rsid w:val="00324FF4"/>
    <w:rsid w:val="00325007"/>
    <w:rsid w:val="0032500C"/>
    <w:rsid w:val="00325016"/>
    <w:rsid w:val="0032501F"/>
    <w:rsid w:val="00325132"/>
    <w:rsid w:val="00325156"/>
    <w:rsid w:val="00325175"/>
    <w:rsid w:val="00325184"/>
    <w:rsid w:val="00325197"/>
    <w:rsid w:val="003251AC"/>
    <w:rsid w:val="003251AE"/>
    <w:rsid w:val="003251C9"/>
    <w:rsid w:val="00325268"/>
    <w:rsid w:val="0032526C"/>
    <w:rsid w:val="0032526E"/>
    <w:rsid w:val="0032529A"/>
    <w:rsid w:val="003252A8"/>
    <w:rsid w:val="003252E6"/>
    <w:rsid w:val="003252ED"/>
    <w:rsid w:val="00325316"/>
    <w:rsid w:val="003253E0"/>
    <w:rsid w:val="003253EB"/>
    <w:rsid w:val="003253F5"/>
    <w:rsid w:val="00325463"/>
    <w:rsid w:val="00325488"/>
    <w:rsid w:val="003254BD"/>
    <w:rsid w:val="00325508"/>
    <w:rsid w:val="00325535"/>
    <w:rsid w:val="0032557D"/>
    <w:rsid w:val="0032558C"/>
    <w:rsid w:val="0032563C"/>
    <w:rsid w:val="00325694"/>
    <w:rsid w:val="003256D7"/>
    <w:rsid w:val="003256E3"/>
    <w:rsid w:val="00325734"/>
    <w:rsid w:val="00325762"/>
    <w:rsid w:val="00325767"/>
    <w:rsid w:val="003257A9"/>
    <w:rsid w:val="003257D4"/>
    <w:rsid w:val="00325801"/>
    <w:rsid w:val="0032583F"/>
    <w:rsid w:val="00325856"/>
    <w:rsid w:val="00325876"/>
    <w:rsid w:val="00325946"/>
    <w:rsid w:val="0032597F"/>
    <w:rsid w:val="003259AB"/>
    <w:rsid w:val="003259B1"/>
    <w:rsid w:val="00325A8E"/>
    <w:rsid w:val="00325B01"/>
    <w:rsid w:val="00325B6D"/>
    <w:rsid w:val="00325B7F"/>
    <w:rsid w:val="00325BAC"/>
    <w:rsid w:val="00325BCC"/>
    <w:rsid w:val="00325BE8"/>
    <w:rsid w:val="00325BEC"/>
    <w:rsid w:val="00325C3A"/>
    <w:rsid w:val="00325C94"/>
    <w:rsid w:val="00325CD0"/>
    <w:rsid w:val="00325CEE"/>
    <w:rsid w:val="00325D21"/>
    <w:rsid w:val="00325D33"/>
    <w:rsid w:val="00325D8F"/>
    <w:rsid w:val="00325E17"/>
    <w:rsid w:val="00325E1B"/>
    <w:rsid w:val="00325E67"/>
    <w:rsid w:val="00325EBF"/>
    <w:rsid w:val="00325EF5"/>
    <w:rsid w:val="00325F17"/>
    <w:rsid w:val="00325F84"/>
    <w:rsid w:val="00325FA1"/>
    <w:rsid w:val="00325FC2"/>
    <w:rsid w:val="00325FDA"/>
    <w:rsid w:val="00326088"/>
    <w:rsid w:val="0032608A"/>
    <w:rsid w:val="00326115"/>
    <w:rsid w:val="00326151"/>
    <w:rsid w:val="003261CE"/>
    <w:rsid w:val="0032626B"/>
    <w:rsid w:val="00326289"/>
    <w:rsid w:val="003262E4"/>
    <w:rsid w:val="00326303"/>
    <w:rsid w:val="0032632C"/>
    <w:rsid w:val="00326343"/>
    <w:rsid w:val="00326346"/>
    <w:rsid w:val="00326348"/>
    <w:rsid w:val="0032636A"/>
    <w:rsid w:val="003263FB"/>
    <w:rsid w:val="00326545"/>
    <w:rsid w:val="00326556"/>
    <w:rsid w:val="00326588"/>
    <w:rsid w:val="003265A1"/>
    <w:rsid w:val="003265BB"/>
    <w:rsid w:val="003265D7"/>
    <w:rsid w:val="003265F4"/>
    <w:rsid w:val="0032663A"/>
    <w:rsid w:val="00326654"/>
    <w:rsid w:val="00326671"/>
    <w:rsid w:val="00326683"/>
    <w:rsid w:val="0032668B"/>
    <w:rsid w:val="0032669F"/>
    <w:rsid w:val="00326706"/>
    <w:rsid w:val="00326745"/>
    <w:rsid w:val="00326748"/>
    <w:rsid w:val="0032677B"/>
    <w:rsid w:val="00326783"/>
    <w:rsid w:val="003267C9"/>
    <w:rsid w:val="003267F0"/>
    <w:rsid w:val="0032684C"/>
    <w:rsid w:val="00326899"/>
    <w:rsid w:val="003268AB"/>
    <w:rsid w:val="003268E1"/>
    <w:rsid w:val="003268FF"/>
    <w:rsid w:val="0032691D"/>
    <w:rsid w:val="0032693D"/>
    <w:rsid w:val="00326963"/>
    <w:rsid w:val="003269B4"/>
    <w:rsid w:val="003269FC"/>
    <w:rsid w:val="00326A3A"/>
    <w:rsid w:val="00326A42"/>
    <w:rsid w:val="00326A4D"/>
    <w:rsid w:val="00326AAA"/>
    <w:rsid w:val="00326AC2"/>
    <w:rsid w:val="00326B03"/>
    <w:rsid w:val="00326B08"/>
    <w:rsid w:val="00326B37"/>
    <w:rsid w:val="00326B78"/>
    <w:rsid w:val="00326B7B"/>
    <w:rsid w:val="00326B8A"/>
    <w:rsid w:val="00326BDA"/>
    <w:rsid w:val="00326C44"/>
    <w:rsid w:val="00326C62"/>
    <w:rsid w:val="00326C73"/>
    <w:rsid w:val="00326C83"/>
    <w:rsid w:val="00326CA8"/>
    <w:rsid w:val="00326CF7"/>
    <w:rsid w:val="00326D53"/>
    <w:rsid w:val="00326D7D"/>
    <w:rsid w:val="00326D81"/>
    <w:rsid w:val="00326D88"/>
    <w:rsid w:val="00326D89"/>
    <w:rsid w:val="00326DBE"/>
    <w:rsid w:val="00326DED"/>
    <w:rsid w:val="00326E72"/>
    <w:rsid w:val="00326E9E"/>
    <w:rsid w:val="00326F38"/>
    <w:rsid w:val="00326F87"/>
    <w:rsid w:val="00326FB6"/>
    <w:rsid w:val="00326FEC"/>
    <w:rsid w:val="00327002"/>
    <w:rsid w:val="00327020"/>
    <w:rsid w:val="0032707A"/>
    <w:rsid w:val="003270A7"/>
    <w:rsid w:val="003270A9"/>
    <w:rsid w:val="003270CC"/>
    <w:rsid w:val="003270E9"/>
    <w:rsid w:val="0032710E"/>
    <w:rsid w:val="0032713A"/>
    <w:rsid w:val="00327156"/>
    <w:rsid w:val="0032717D"/>
    <w:rsid w:val="00327190"/>
    <w:rsid w:val="00327231"/>
    <w:rsid w:val="00327254"/>
    <w:rsid w:val="00327321"/>
    <w:rsid w:val="003273AC"/>
    <w:rsid w:val="003273C9"/>
    <w:rsid w:val="003273CD"/>
    <w:rsid w:val="0032740F"/>
    <w:rsid w:val="00327418"/>
    <w:rsid w:val="003274D7"/>
    <w:rsid w:val="0032754F"/>
    <w:rsid w:val="0032756E"/>
    <w:rsid w:val="003275B6"/>
    <w:rsid w:val="003275B7"/>
    <w:rsid w:val="003275F6"/>
    <w:rsid w:val="00327644"/>
    <w:rsid w:val="0032767F"/>
    <w:rsid w:val="00327683"/>
    <w:rsid w:val="0032771F"/>
    <w:rsid w:val="0032775A"/>
    <w:rsid w:val="00327784"/>
    <w:rsid w:val="003277BF"/>
    <w:rsid w:val="0032781E"/>
    <w:rsid w:val="0032795C"/>
    <w:rsid w:val="0032799A"/>
    <w:rsid w:val="003279C6"/>
    <w:rsid w:val="003279E4"/>
    <w:rsid w:val="003279EE"/>
    <w:rsid w:val="00327A77"/>
    <w:rsid w:val="00327B34"/>
    <w:rsid w:val="00327B7B"/>
    <w:rsid w:val="00327BED"/>
    <w:rsid w:val="00327BFE"/>
    <w:rsid w:val="00327C1B"/>
    <w:rsid w:val="00327C31"/>
    <w:rsid w:val="00327CFD"/>
    <w:rsid w:val="00327D22"/>
    <w:rsid w:val="00327D43"/>
    <w:rsid w:val="00327DDB"/>
    <w:rsid w:val="00327DE0"/>
    <w:rsid w:val="00327DE2"/>
    <w:rsid w:val="00327E00"/>
    <w:rsid w:val="00327E2E"/>
    <w:rsid w:val="00327E43"/>
    <w:rsid w:val="00327E45"/>
    <w:rsid w:val="00327E54"/>
    <w:rsid w:val="00327E73"/>
    <w:rsid w:val="00327E89"/>
    <w:rsid w:val="00327EF1"/>
    <w:rsid w:val="00327EF9"/>
    <w:rsid w:val="00327F5A"/>
    <w:rsid w:val="00327F64"/>
    <w:rsid w:val="00327FD2"/>
    <w:rsid w:val="00329F96"/>
    <w:rsid w:val="0033000B"/>
    <w:rsid w:val="003300D0"/>
    <w:rsid w:val="0033010E"/>
    <w:rsid w:val="0033016E"/>
    <w:rsid w:val="003301F3"/>
    <w:rsid w:val="00330290"/>
    <w:rsid w:val="00330356"/>
    <w:rsid w:val="0033035A"/>
    <w:rsid w:val="00330371"/>
    <w:rsid w:val="003303F1"/>
    <w:rsid w:val="003303F7"/>
    <w:rsid w:val="0033041D"/>
    <w:rsid w:val="00330466"/>
    <w:rsid w:val="003304A8"/>
    <w:rsid w:val="003304B0"/>
    <w:rsid w:val="00330501"/>
    <w:rsid w:val="0033055F"/>
    <w:rsid w:val="0033056B"/>
    <w:rsid w:val="0033057B"/>
    <w:rsid w:val="003305AE"/>
    <w:rsid w:val="003306F8"/>
    <w:rsid w:val="00330711"/>
    <w:rsid w:val="00330726"/>
    <w:rsid w:val="00330765"/>
    <w:rsid w:val="00330776"/>
    <w:rsid w:val="00330805"/>
    <w:rsid w:val="00330834"/>
    <w:rsid w:val="00330886"/>
    <w:rsid w:val="003308CA"/>
    <w:rsid w:val="003308FD"/>
    <w:rsid w:val="0033093C"/>
    <w:rsid w:val="00330950"/>
    <w:rsid w:val="003309A2"/>
    <w:rsid w:val="003309FA"/>
    <w:rsid w:val="00330A84"/>
    <w:rsid w:val="00330ACA"/>
    <w:rsid w:val="00330AF5"/>
    <w:rsid w:val="00330B5A"/>
    <w:rsid w:val="00330B9B"/>
    <w:rsid w:val="00330BC2"/>
    <w:rsid w:val="00330C44"/>
    <w:rsid w:val="00330C6B"/>
    <w:rsid w:val="00330C8B"/>
    <w:rsid w:val="00330CC2"/>
    <w:rsid w:val="00330CE4"/>
    <w:rsid w:val="00330D22"/>
    <w:rsid w:val="00330D28"/>
    <w:rsid w:val="00330D3D"/>
    <w:rsid w:val="00330D54"/>
    <w:rsid w:val="00330D81"/>
    <w:rsid w:val="00330DB0"/>
    <w:rsid w:val="00330DFD"/>
    <w:rsid w:val="00330E00"/>
    <w:rsid w:val="00330E40"/>
    <w:rsid w:val="00330E4C"/>
    <w:rsid w:val="00330EF1"/>
    <w:rsid w:val="00330F11"/>
    <w:rsid w:val="00330F20"/>
    <w:rsid w:val="00330F36"/>
    <w:rsid w:val="00330F8E"/>
    <w:rsid w:val="00330FEA"/>
    <w:rsid w:val="00330FF2"/>
    <w:rsid w:val="00331029"/>
    <w:rsid w:val="0033104F"/>
    <w:rsid w:val="0033105E"/>
    <w:rsid w:val="0033107E"/>
    <w:rsid w:val="0033118D"/>
    <w:rsid w:val="00331193"/>
    <w:rsid w:val="0033119F"/>
    <w:rsid w:val="003311DA"/>
    <w:rsid w:val="003311E1"/>
    <w:rsid w:val="00331202"/>
    <w:rsid w:val="00331206"/>
    <w:rsid w:val="00331210"/>
    <w:rsid w:val="00331230"/>
    <w:rsid w:val="0033124D"/>
    <w:rsid w:val="00331273"/>
    <w:rsid w:val="00331275"/>
    <w:rsid w:val="003312AD"/>
    <w:rsid w:val="003312B7"/>
    <w:rsid w:val="003312C1"/>
    <w:rsid w:val="003312C9"/>
    <w:rsid w:val="0033133E"/>
    <w:rsid w:val="00331343"/>
    <w:rsid w:val="00331361"/>
    <w:rsid w:val="0033138E"/>
    <w:rsid w:val="00331391"/>
    <w:rsid w:val="003313D7"/>
    <w:rsid w:val="003313ED"/>
    <w:rsid w:val="003313F6"/>
    <w:rsid w:val="0033148D"/>
    <w:rsid w:val="003314AD"/>
    <w:rsid w:val="00331545"/>
    <w:rsid w:val="003315BB"/>
    <w:rsid w:val="003315BD"/>
    <w:rsid w:val="003315F4"/>
    <w:rsid w:val="00331616"/>
    <w:rsid w:val="00331649"/>
    <w:rsid w:val="0033169E"/>
    <w:rsid w:val="003316BE"/>
    <w:rsid w:val="00331740"/>
    <w:rsid w:val="00331764"/>
    <w:rsid w:val="00331782"/>
    <w:rsid w:val="00331791"/>
    <w:rsid w:val="00331823"/>
    <w:rsid w:val="00331898"/>
    <w:rsid w:val="0033189B"/>
    <w:rsid w:val="00331A67"/>
    <w:rsid w:val="00331ABD"/>
    <w:rsid w:val="00331B53"/>
    <w:rsid w:val="00331B73"/>
    <w:rsid w:val="00331BC3"/>
    <w:rsid w:val="00331C25"/>
    <w:rsid w:val="00331C55"/>
    <w:rsid w:val="00331C71"/>
    <w:rsid w:val="00331CE1"/>
    <w:rsid w:val="00331DF0"/>
    <w:rsid w:val="00331E05"/>
    <w:rsid w:val="00331E70"/>
    <w:rsid w:val="00331EA7"/>
    <w:rsid w:val="00331EDB"/>
    <w:rsid w:val="00331F01"/>
    <w:rsid w:val="00331F12"/>
    <w:rsid w:val="00331F56"/>
    <w:rsid w:val="00331F82"/>
    <w:rsid w:val="00331F9C"/>
    <w:rsid w:val="00331FA0"/>
    <w:rsid w:val="00331FBB"/>
    <w:rsid w:val="00331FD4"/>
    <w:rsid w:val="00332050"/>
    <w:rsid w:val="003320DC"/>
    <w:rsid w:val="00332163"/>
    <w:rsid w:val="0033218C"/>
    <w:rsid w:val="0033226E"/>
    <w:rsid w:val="00332299"/>
    <w:rsid w:val="003322DD"/>
    <w:rsid w:val="003322DE"/>
    <w:rsid w:val="00332372"/>
    <w:rsid w:val="0033243E"/>
    <w:rsid w:val="0033246A"/>
    <w:rsid w:val="00332487"/>
    <w:rsid w:val="00332499"/>
    <w:rsid w:val="003324F3"/>
    <w:rsid w:val="00332560"/>
    <w:rsid w:val="0033256E"/>
    <w:rsid w:val="003325DF"/>
    <w:rsid w:val="0033262B"/>
    <w:rsid w:val="0033264B"/>
    <w:rsid w:val="0033266E"/>
    <w:rsid w:val="003326BF"/>
    <w:rsid w:val="003326D2"/>
    <w:rsid w:val="003326ED"/>
    <w:rsid w:val="00332782"/>
    <w:rsid w:val="003327F5"/>
    <w:rsid w:val="0033280E"/>
    <w:rsid w:val="003328AA"/>
    <w:rsid w:val="003328D9"/>
    <w:rsid w:val="00332918"/>
    <w:rsid w:val="00332989"/>
    <w:rsid w:val="00332A9D"/>
    <w:rsid w:val="00332AC4"/>
    <w:rsid w:val="00332AC5"/>
    <w:rsid w:val="00332ACC"/>
    <w:rsid w:val="00332AEB"/>
    <w:rsid w:val="00332B1E"/>
    <w:rsid w:val="00332B8E"/>
    <w:rsid w:val="00332C3A"/>
    <w:rsid w:val="00332C8A"/>
    <w:rsid w:val="00332CCD"/>
    <w:rsid w:val="00332CE6"/>
    <w:rsid w:val="00332D04"/>
    <w:rsid w:val="00332D2F"/>
    <w:rsid w:val="00332DBB"/>
    <w:rsid w:val="00332E19"/>
    <w:rsid w:val="00332E1D"/>
    <w:rsid w:val="00332E2A"/>
    <w:rsid w:val="00332E9E"/>
    <w:rsid w:val="00332EA4"/>
    <w:rsid w:val="00332EB6"/>
    <w:rsid w:val="00332F28"/>
    <w:rsid w:val="00332F2D"/>
    <w:rsid w:val="0033307E"/>
    <w:rsid w:val="003330A8"/>
    <w:rsid w:val="0033310B"/>
    <w:rsid w:val="0033323B"/>
    <w:rsid w:val="00333253"/>
    <w:rsid w:val="003332CC"/>
    <w:rsid w:val="00333351"/>
    <w:rsid w:val="00333373"/>
    <w:rsid w:val="0033338E"/>
    <w:rsid w:val="003333C6"/>
    <w:rsid w:val="003333DB"/>
    <w:rsid w:val="003333E7"/>
    <w:rsid w:val="0033343F"/>
    <w:rsid w:val="003334D6"/>
    <w:rsid w:val="003334E9"/>
    <w:rsid w:val="003334EC"/>
    <w:rsid w:val="0033354A"/>
    <w:rsid w:val="003335BC"/>
    <w:rsid w:val="003335D0"/>
    <w:rsid w:val="00333674"/>
    <w:rsid w:val="0033369F"/>
    <w:rsid w:val="003336C3"/>
    <w:rsid w:val="00333705"/>
    <w:rsid w:val="00333707"/>
    <w:rsid w:val="0033376E"/>
    <w:rsid w:val="00333782"/>
    <w:rsid w:val="0033379F"/>
    <w:rsid w:val="003337D6"/>
    <w:rsid w:val="003337EA"/>
    <w:rsid w:val="00333898"/>
    <w:rsid w:val="00333908"/>
    <w:rsid w:val="0033397A"/>
    <w:rsid w:val="003339B3"/>
    <w:rsid w:val="003339B5"/>
    <w:rsid w:val="003339CB"/>
    <w:rsid w:val="003339F1"/>
    <w:rsid w:val="00333A0F"/>
    <w:rsid w:val="00333A20"/>
    <w:rsid w:val="00333A25"/>
    <w:rsid w:val="00333A2D"/>
    <w:rsid w:val="00333B2A"/>
    <w:rsid w:val="00333B6C"/>
    <w:rsid w:val="00333BC7"/>
    <w:rsid w:val="00333BE8"/>
    <w:rsid w:val="00333BFE"/>
    <w:rsid w:val="00333C25"/>
    <w:rsid w:val="00333C31"/>
    <w:rsid w:val="00333C9E"/>
    <w:rsid w:val="00333D01"/>
    <w:rsid w:val="00333D2F"/>
    <w:rsid w:val="00333D3D"/>
    <w:rsid w:val="00333D47"/>
    <w:rsid w:val="00333D6C"/>
    <w:rsid w:val="00333DA6"/>
    <w:rsid w:val="00333DC1"/>
    <w:rsid w:val="00333DC5"/>
    <w:rsid w:val="00333DEB"/>
    <w:rsid w:val="00333E52"/>
    <w:rsid w:val="00333E5F"/>
    <w:rsid w:val="00333E7B"/>
    <w:rsid w:val="00333E9B"/>
    <w:rsid w:val="00333EA2"/>
    <w:rsid w:val="00333ECE"/>
    <w:rsid w:val="00333ED2"/>
    <w:rsid w:val="00333ED7"/>
    <w:rsid w:val="00333EFB"/>
    <w:rsid w:val="00333F48"/>
    <w:rsid w:val="00333F4E"/>
    <w:rsid w:val="00333F8B"/>
    <w:rsid w:val="00333F92"/>
    <w:rsid w:val="00333F9A"/>
    <w:rsid w:val="00333FB5"/>
    <w:rsid w:val="00333FC8"/>
    <w:rsid w:val="0033400E"/>
    <w:rsid w:val="0033401A"/>
    <w:rsid w:val="0033403D"/>
    <w:rsid w:val="0033403E"/>
    <w:rsid w:val="00334045"/>
    <w:rsid w:val="00334070"/>
    <w:rsid w:val="003340D9"/>
    <w:rsid w:val="003340E5"/>
    <w:rsid w:val="0033412F"/>
    <w:rsid w:val="00334164"/>
    <w:rsid w:val="0033424D"/>
    <w:rsid w:val="003342C8"/>
    <w:rsid w:val="003342EA"/>
    <w:rsid w:val="003342F9"/>
    <w:rsid w:val="0033431E"/>
    <w:rsid w:val="00334338"/>
    <w:rsid w:val="00334344"/>
    <w:rsid w:val="0033438C"/>
    <w:rsid w:val="003343B1"/>
    <w:rsid w:val="003343B5"/>
    <w:rsid w:val="0033444B"/>
    <w:rsid w:val="00334471"/>
    <w:rsid w:val="00334497"/>
    <w:rsid w:val="00334498"/>
    <w:rsid w:val="003344A0"/>
    <w:rsid w:val="00334566"/>
    <w:rsid w:val="00334610"/>
    <w:rsid w:val="0033461F"/>
    <w:rsid w:val="00334645"/>
    <w:rsid w:val="00334663"/>
    <w:rsid w:val="0033470E"/>
    <w:rsid w:val="00334712"/>
    <w:rsid w:val="0033475F"/>
    <w:rsid w:val="00334762"/>
    <w:rsid w:val="00334793"/>
    <w:rsid w:val="003347A2"/>
    <w:rsid w:val="003347D1"/>
    <w:rsid w:val="003347E0"/>
    <w:rsid w:val="003347F8"/>
    <w:rsid w:val="00334884"/>
    <w:rsid w:val="003348BA"/>
    <w:rsid w:val="003348D0"/>
    <w:rsid w:val="003348F9"/>
    <w:rsid w:val="0033493D"/>
    <w:rsid w:val="00334951"/>
    <w:rsid w:val="003349B8"/>
    <w:rsid w:val="003349C3"/>
    <w:rsid w:val="003349F5"/>
    <w:rsid w:val="00334A0E"/>
    <w:rsid w:val="00334A45"/>
    <w:rsid w:val="00334A73"/>
    <w:rsid w:val="00334AA9"/>
    <w:rsid w:val="00334AD5"/>
    <w:rsid w:val="00334B3B"/>
    <w:rsid w:val="00334B3C"/>
    <w:rsid w:val="00334B8E"/>
    <w:rsid w:val="00334BC6"/>
    <w:rsid w:val="00334BCF"/>
    <w:rsid w:val="00334BE3"/>
    <w:rsid w:val="00334C11"/>
    <w:rsid w:val="00334C24"/>
    <w:rsid w:val="00334C26"/>
    <w:rsid w:val="00334C2B"/>
    <w:rsid w:val="00334CE5"/>
    <w:rsid w:val="00334D10"/>
    <w:rsid w:val="00334D1F"/>
    <w:rsid w:val="00334D32"/>
    <w:rsid w:val="00334D4B"/>
    <w:rsid w:val="00334D5A"/>
    <w:rsid w:val="00334DB5"/>
    <w:rsid w:val="00334DD8"/>
    <w:rsid w:val="00334E5F"/>
    <w:rsid w:val="00334E99"/>
    <w:rsid w:val="00334EAD"/>
    <w:rsid w:val="00334ED2"/>
    <w:rsid w:val="00334EFB"/>
    <w:rsid w:val="00334F50"/>
    <w:rsid w:val="00334F87"/>
    <w:rsid w:val="00334F8A"/>
    <w:rsid w:val="00334F96"/>
    <w:rsid w:val="00335052"/>
    <w:rsid w:val="003350AE"/>
    <w:rsid w:val="0033513D"/>
    <w:rsid w:val="003351C0"/>
    <w:rsid w:val="00335242"/>
    <w:rsid w:val="00335329"/>
    <w:rsid w:val="00335368"/>
    <w:rsid w:val="003353BB"/>
    <w:rsid w:val="003353E1"/>
    <w:rsid w:val="003353EF"/>
    <w:rsid w:val="00335467"/>
    <w:rsid w:val="003354C2"/>
    <w:rsid w:val="003354FA"/>
    <w:rsid w:val="003354FC"/>
    <w:rsid w:val="0033552C"/>
    <w:rsid w:val="003355A2"/>
    <w:rsid w:val="003355C9"/>
    <w:rsid w:val="0033568A"/>
    <w:rsid w:val="003356C6"/>
    <w:rsid w:val="00335711"/>
    <w:rsid w:val="00335768"/>
    <w:rsid w:val="003357AB"/>
    <w:rsid w:val="00335800"/>
    <w:rsid w:val="00335884"/>
    <w:rsid w:val="00335895"/>
    <w:rsid w:val="00335920"/>
    <w:rsid w:val="0033592C"/>
    <w:rsid w:val="0033592F"/>
    <w:rsid w:val="00335946"/>
    <w:rsid w:val="00335987"/>
    <w:rsid w:val="003359A9"/>
    <w:rsid w:val="003359AC"/>
    <w:rsid w:val="003359ED"/>
    <w:rsid w:val="00335A01"/>
    <w:rsid w:val="00335AD2"/>
    <w:rsid w:val="00335ADC"/>
    <w:rsid w:val="00335B29"/>
    <w:rsid w:val="00335B2D"/>
    <w:rsid w:val="00335B9B"/>
    <w:rsid w:val="00335C3C"/>
    <w:rsid w:val="00335C3F"/>
    <w:rsid w:val="00335C5E"/>
    <w:rsid w:val="00335C68"/>
    <w:rsid w:val="00335C6D"/>
    <w:rsid w:val="00335C91"/>
    <w:rsid w:val="00335CA7"/>
    <w:rsid w:val="00335CC2"/>
    <w:rsid w:val="00335CE2"/>
    <w:rsid w:val="00335CEA"/>
    <w:rsid w:val="00335DF2"/>
    <w:rsid w:val="00335E78"/>
    <w:rsid w:val="00335EF7"/>
    <w:rsid w:val="00335F14"/>
    <w:rsid w:val="00335F22"/>
    <w:rsid w:val="00335F30"/>
    <w:rsid w:val="00335F33"/>
    <w:rsid w:val="00335F39"/>
    <w:rsid w:val="00335F76"/>
    <w:rsid w:val="00335FEA"/>
    <w:rsid w:val="0033602B"/>
    <w:rsid w:val="00336040"/>
    <w:rsid w:val="0033605E"/>
    <w:rsid w:val="003360AE"/>
    <w:rsid w:val="003360C2"/>
    <w:rsid w:val="003360CF"/>
    <w:rsid w:val="003360D8"/>
    <w:rsid w:val="003360F1"/>
    <w:rsid w:val="00336130"/>
    <w:rsid w:val="0033622D"/>
    <w:rsid w:val="003362C9"/>
    <w:rsid w:val="00336327"/>
    <w:rsid w:val="0033638E"/>
    <w:rsid w:val="003363E4"/>
    <w:rsid w:val="00336424"/>
    <w:rsid w:val="0033643B"/>
    <w:rsid w:val="00336494"/>
    <w:rsid w:val="003364C9"/>
    <w:rsid w:val="003364D3"/>
    <w:rsid w:val="003364D5"/>
    <w:rsid w:val="00336565"/>
    <w:rsid w:val="00336579"/>
    <w:rsid w:val="003365BF"/>
    <w:rsid w:val="00336632"/>
    <w:rsid w:val="00336673"/>
    <w:rsid w:val="003366DE"/>
    <w:rsid w:val="00336710"/>
    <w:rsid w:val="0033672A"/>
    <w:rsid w:val="003367C7"/>
    <w:rsid w:val="00336834"/>
    <w:rsid w:val="00336845"/>
    <w:rsid w:val="00336879"/>
    <w:rsid w:val="0033687D"/>
    <w:rsid w:val="003368B1"/>
    <w:rsid w:val="0033690F"/>
    <w:rsid w:val="00336931"/>
    <w:rsid w:val="00336939"/>
    <w:rsid w:val="00336978"/>
    <w:rsid w:val="003369A1"/>
    <w:rsid w:val="003369EB"/>
    <w:rsid w:val="00336A38"/>
    <w:rsid w:val="00336A49"/>
    <w:rsid w:val="00336A64"/>
    <w:rsid w:val="00336A7A"/>
    <w:rsid w:val="00336A99"/>
    <w:rsid w:val="00336AB8"/>
    <w:rsid w:val="00336ABB"/>
    <w:rsid w:val="00336AE8"/>
    <w:rsid w:val="00336AFD"/>
    <w:rsid w:val="00336B0A"/>
    <w:rsid w:val="00336B49"/>
    <w:rsid w:val="00336B59"/>
    <w:rsid w:val="00336B5C"/>
    <w:rsid w:val="00336B99"/>
    <w:rsid w:val="00336BA7"/>
    <w:rsid w:val="00336C2E"/>
    <w:rsid w:val="00336C38"/>
    <w:rsid w:val="00336C4D"/>
    <w:rsid w:val="00336CB2"/>
    <w:rsid w:val="00336CDD"/>
    <w:rsid w:val="00336CF6"/>
    <w:rsid w:val="00336D19"/>
    <w:rsid w:val="00336D2C"/>
    <w:rsid w:val="00336DC9"/>
    <w:rsid w:val="00336DE0"/>
    <w:rsid w:val="00336E22"/>
    <w:rsid w:val="00336E2E"/>
    <w:rsid w:val="00336EAA"/>
    <w:rsid w:val="00336EB7"/>
    <w:rsid w:val="00336ED1"/>
    <w:rsid w:val="0033700A"/>
    <w:rsid w:val="00337013"/>
    <w:rsid w:val="00337023"/>
    <w:rsid w:val="00337036"/>
    <w:rsid w:val="00337072"/>
    <w:rsid w:val="0033708D"/>
    <w:rsid w:val="003370C3"/>
    <w:rsid w:val="003370CC"/>
    <w:rsid w:val="003370E0"/>
    <w:rsid w:val="003370F7"/>
    <w:rsid w:val="003370F8"/>
    <w:rsid w:val="00337119"/>
    <w:rsid w:val="0033712D"/>
    <w:rsid w:val="00337171"/>
    <w:rsid w:val="003371EB"/>
    <w:rsid w:val="0033721E"/>
    <w:rsid w:val="003372B1"/>
    <w:rsid w:val="00337386"/>
    <w:rsid w:val="003373AE"/>
    <w:rsid w:val="003373B9"/>
    <w:rsid w:val="003373F5"/>
    <w:rsid w:val="00337406"/>
    <w:rsid w:val="00337423"/>
    <w:rsid w:val="0033749C"/>
    <w:rsid w:val="003374A0"/>
    <w:rsid w:val="003374DC"/>
    <w:rsid w:val="00337545"/>
    <w:rsid w:val="00337599"/>
    <w:rsid w:val="003375EB"/>
    <w:rsid w:val="0033765B"/>
    <w:rsid w:val="0033765F"/>
    <w:rsid w:val="0033766F"/>
    <w:rsid w:val="00337694"/>
    <w:rsid w:val="0033771B"/>
    <w:rsid w:val="0033771C"/>
    <w:rsid w:val="00337773"/>
    <w:rsid w:val="003377CF"/>
    <w:rsid w:val="00337820"/>
    <w:rsid w:val="00337821"/>
    <w:rsid w:val="00337823"/>
    <w:rsid w:val="00337858"/>
    <w:rsid w:val="00337887"/>
    <w:rsid w:val="00337895"/>
    <w:rsid w:val="003378AC"/>
    <w:rsid w:val="003378B2"/>
    <w:rsid w:val="003378C6"/>
    <w:rsid w:val="003378D4"/>
    <w:rsid w:val="00337931"/>
    <w:rsid w:val="0033797E"/>
    <w:rsid w:val="00337988"/>
    <w:rsid w:val="003379F4"/>
    <w:rsid w:val="00337AD7"/>
    <w:rsid w:val="00337AFF"/>
    <w:rsid w:val="00337B0A"/>
    <w:rsid w:val="00337B52"/>
    <w:rsid w:val="00337B5A"/>
    <w:rsid w:val="00337B5D"/>
    <w:rsid w:val="00337C09"/>
    <w:rsid w:val="00337C27"/>
    <w:rsid w:val="00337C29"/>
    <w:rsid w:val="00337C63"/>
    <w:rsid w:val="00337C69"/>
    <w:rsid w:val="00337CB6"/>
    <w:rsid w:val="00337CE5"/>
    <w:rsid w:val="00337D57"/>
    <w:rsid w:val="00337D86"/>
    <w:rsid w:val="00337DDF"/>
    <w:rsid w:val="00337DFE"/>
    <w:rsid w:val="00337E80"/>
    <w:rsid w:val="00337EC3"/>
    <w:rsid w:val="00337EEF"/>
    <w:rsid w:val="00337F22"/>
    <w:rsid w:val="00337F41"/>
    <w:rsid w:val="00337F74"/>
    <w:rsid w:val="00337FE6"/>
    <w:rsid w:val="0034003F"/>
    <w:rsid w:val="0034007A"/>
    <w:rsid w:val="003400E4"/>
    <w:rsid w:val="00340143"/>
    <w:rsid w:val="00340178"/>
    <w:rsid w:val="003401E5"/>
    <w:rsid w:val="003401FF"/>
    <w:rsid w:val="00340205"/>
    <w:rsid w:val="00340206"/>
    <w:rsid w:val="00340232"/>
    <w:rsid w:val="0034024A"/>
    <w:rsid w:val="00340297"/>
    <w:rsid w:val="003402E3"/>
    <w:rsid w:val="00340339"/>
    <w:rsid w:val="0034033B"/>
    <w:rsid w:val="00340344"/>
    <w:rsid w:val="003403E6"/>
    <w:rsid w:val="003403FE"/>
    <w:rsid w:val="0034041A"/>
    <w:rsid w:val="0034042F"/>
    <w:rsid w:val="00340449"/>
    <w:rsid w:val="0034051B"/>
    <w:rsid w:val="00340531"/>
    <w:rsid w:val="0034058B"/>
    <w:rsid w:val="003405C4"/>
    <w:rsid w:val="003405DB"/>
    <w:rsid w:val="0034062C"/>
    <w:rsid w:val="00340649"/>
    <w:rsid w:val="00340682"/>
    <w:rsid w:val="003406EF"/>
    <w:rsid w:val="00340734"/>
    <w:rsid w:val="00340747"/>
    <w:rsid w:val="003407AF"/>
    <w:rsid w:val="003407F9"/>
    <w:rsid w:val="0034081E"/>
    <w:rsid w:val="003408B3"/>
    <w:rsid w:val="003408E5"/>
    <w:rsid w:val="00340921"/>
    <w:rsid w:val="00340975"/>
    <w:rsid w:val="0034097F"/>
    <w:rsid w:val="003409C2"/>
    <w:rsid w:val="003409FF"/>
    <w:rsid w:val="00340A29"/>
    <w:rsid w:val="00340A57"/>
    <w:rsid w:val="00340A58"/>
    <w:rsid w:val="00340A6F"/>
    <w:rsid w:val="00340A91"/>
    <w:rsid w:val="00340A9E"/>
    <w:rsid w:val="00340ABB"/>
    <w:rsid w:val="00340ACA"/>
    <w:rsid w:val="00340AD7"/>
    <w:rsid w:val="00340AE0"/>
    <w:rsid w:val="00340B50"/>
    <w:rsid w:val="00340B65"/>
    <w:rsid w:val="00340B72"/>
    <w:rsid w:val="00340BA4"/>
    <w:rsid w:val="00340BB0"/>
    <w:rsid w:val="00340C67"/>
    <w:rsid w:val="00340CEE"/>
    <w:rsid w:val="00340D91"/>
    <w:rsid w:val="00340DB2"/>
    <w:rsid w:val="00340E2F"/>
    <w:rsid w:val="00340EC2"/>
    <w:rsid w:val="00340EF4"/>
    <w:rsid w:val="00340F08"/>
    <w:rsid w:val="00340F36"/>
    <w:rsid w:val="00340F4A"/>
    <w:rsid w:val="00340F89"/>
    <w:rsid w:val="00340FA5"/>
    <w:rsid w:val="00340FCA"/>
    <w:rsid w:val="00340FD6"/>
    <w:rsid w:val="00341068"/>
    <w:rsid w:val="00341070"/>
    <w:rsid w:val="003410C4"/>
    <w:rsid w:val="00341158"/>
    <w:rsid w:val="003411BD"/>
    <w:rsid w:val="003411E4"/>
    <w:rsid w:val="0034126B"/>
    <w:rsid w:val="00341291"/>
    <w:rsid w:val="00341299"/>
    <w:rsid w:val="003412A6"/>
    <w:rsid w:val="003412B0"/>
    <w:rsid w:val="003412E3"/>
    <w:rsid w:val="003412E7"/>
    <w:rsid w:val="003412F1"/>
    <w:rsid w:val="003412FF"/>
    <w:rsid w:val="00341302"/>
    <w:rsid w:val="00341319"/>
    <w:rsid w:val="00341322"/>
    <w:rsid w:val="00341346"/>
    <w:rsid w:val="0034134A"/>
    <w:rsid w:val="00341375"/>
    <w:rsid w:val="003413B0"/>
    <w:rsid w:val="003413DC"/>
    <w:rsid w:val="003413F1"/>
    <w:rsid w:val="00341407"/>
    <w:rsid w:val="0034142D"/>
    <w:rsid w:val="00341439"/>
    <w:rsid w:val="00341477"/>
    <w:rsid w:val="003414B0"/>
    <w:rsid w:val="003414E3"/>
    <w:rsid w:val="00341575"/>
    <w:rsid w:val="003415BF"/>
    <w:rsid w:val="003415EF"/>
    <w:rsid w:val="003415F3"/>
    <w:rsid w:val="003415FA"/>
    <w:rsid w:val="00341664"/>
    <w:rsid w:val="00341668"/>
    <w:rsid w:val="00341680"/>
    <w:rsid w:val="0034174D"/>
    <w:rsid w:val="00341750"/>
    <w:rsid w:val="0034176B"/>
    <w:rsid w:val="0034177A"/>
    <w:rsid w:val="003417DF"/>
    <w:rsid w:val="0034180B"/>
    <w:rsid w:val="00341831"/>
    <w:rsid w:val="0034183E"/>
    <w:rsid w:val="00341860"/>
    <w:rsid w:val="00341867"/>
    <w:rsid w:val="003418E3"/>
    <w:rsid w:val="003418F8"/>
    <w:rsid w:val="00341935"/>
    <w:rsid w:val="00341943"/>
    <w:rsid w:val="00341951"/>
    <w:rsid w:val="0034195D"/>
    <w:rsid w:val="00341988"/>
    <w:rsid w:val="003419BE"/>
    <w:rsid w:val="003419EF"/>
    <w:rsid w:val="00341A31"/>
    <w:rsid w:val="00341A64"/>
    <w:rsid w:val="00341A80"/>
    <w:rsid w:val="00341B0F"/>
    <w:rsid w:val="00341B4A"/>
    <w:rsid w:val="00341B5D"/>
    <w:rsid w:val="00341BAE"/>
    <w:rsid w:val="00341C00"/>
    <w:rsid w:val="00341C02"/>
    <w:rsid w:val="00341C13"/>
    <w:rsid w:val="00341C3C"/>
    <w:rsid w:val="00341C64"/>
    <w:rsid w:val="00341D1C"/>
    <w:rsid w:val="00341DC8"/>
    <w:rsid w:val="00341DF3"/>
    <w:rsid w:val="00341E19"/>
    <w:rsid w:val="00341E99"/>
    <w:rsid w:val="00341EA7"/>
    <w:rsid w:val="00341EB3"/>
    <w:rsid w:val="00341ECF"/>
    <w:rsid w:val="00341ED1"/>
    <w:rsid w:val="00341ED7"/>
    <w:rsid w:val="00341EFF"/>
    <w:rsid w:val="00341F61"/>
    <w:rsid w:val="00341F6E"/>
    <w:rsid w:val="003420DB"/>
    <w:rsid w:val="003420FC"/>
    <w:rsid w:val="00342118"/>
    <w:rsid w:val="00342119"/>
    <w:rsid w:val="0034214B"/>
    <w:rsid w:val="00342151"/>
    <w:rsid w:val="003421B6"/>
    <w:rsid w:val="0034220C"/>
    <w:rsid w:val="00342225"/>
    <w:rsid w:val="0034228D"/>
    <w:rsid w:val="00342302"/>
    <w:rsid w:val="00342307"/>
    <w:rsid w:val="00342311"/>
    <w:rsid w:val="00342334"/>
    <w:rsid w:val="00342338"/>
    <w:rsid w:val="0034236C"/>
    <w:rsid w:val="003423C4"/>
    <w:rsid w:val="00342417"/>
    <w:rsid w:val="00342456"/>
    <w:rsid w:val="00342480"/>
    <w:rsid w:val="00342512"/>
    <w:rsid w:val="0034251D"/>
    <w:rsid w:val="003425A1"/>
    <w:rsid w:val="003425FA"/>
    <w:rsid w:val="0034265B"/>
    <w:rsid w:val="00342740"/>
    <w:rsid w:val="00342748"/>
    <w:rsid w:val="0034281E"/>
    <w:rsid w:val="00342849"/>
    <w:rsid w:val="0034284A"/>
    <w:rsid w:val="00342855"/>
    <w:rsid w:val="00342916"/>
    <w:rsid w:val="00342949"/>
    <w:rsid w:val="0034294E"/>
    <w:rsid w:val="00342961"/>
    <w:rsid w:val="00342996"/>
    <w:rsid w:val="003429D8"/>
    <w:rsid w:val="00342AF8"/>
    <w:rsid w:val="00342B05"/>
    <w:rsid w:val="00342B2B"/>
    <w:rsid w:val="00342B3B"/>
    <w:rsid w:val="00342B98"/>
    <w:rsid w:val="00342CB5"/>
    <w:rsid w:val="00342CBD"/>
    <w:rsid w:val="00342D68"/>
    <w:rsid w:val="00342D75"/>
    <w:rsid w:val="00342DAC"/>
    <w:rsid w:val="00342DC3"/>
    <w:rsid w:val="00342DD5"/>
    <w:rsid w:val="00342DD6"/>
    <w:rsid w:val="00342E0A"/>
    <w:rsid w:val="00342E0C"/>
    <w:rsid w:val="00342E18"/>
    <w:rsid w:val="00342E3C"/>
    <w:rsid w:val="00342E84"/>
    <w:rsid w:val="00342EAA"/>
    <w:rsid w:val="00342EAE"/>
    <w:rsid w:val="00342EF6"/>
    <w:rsid w:val="00342FB6"/>
    <w:rsid w:val="00342FDB"/>
    <w:rsid w:val="0034301C"/>
    <w:rsid w:val="0034301E"/>
    <w:rsid w:val="00343025"/>
    <w:rsid w:val="0034306D"/>
    <w:rsid w:val="003430B0"/>
    <w:rsid w:val="003430B5"/>
    <w:rsid w:val="003430DB"/>
    <w:rsid w:val="00343141"/>
    <w:rsid w:val="00343146"/>
    <w:rsid w:val="0034316F"/>
    <w:rsid w:val="00343172"/>
    <w:rsid w:val="0034319F"/>
    <w:rsid w:val="003431A4"/>
    <w:rsid w:val="003431BA"/>
    <w:rsid w:val="003431BD"/>
    <w:rsid w:val="00343214"/>
    <w:rsid w:val="0034325E"/>
    <w:rsid w:val="003432A5"/>
    <w:rsid w:val="003432C0"/>
    <w:rsid w:val="003432E9"/>
    <w:rsid w:val="00343333"/>
    <w:rsid w:val="0034335D"/>
    <w:rsid w:val="003433CC"/>
    <w:rsid w:val="003433F0"/>
    <w:rsid w:val="00343438"/>
    <w:rsid w:val="00343464"/>
    <w:rsid w:val="00343478"/>
    <w:rsid w:val="003434C9"/>
    <w:rsid w:val="003434D1"/>
    <w:rsid w:val="0034353D"/>
    <w:rsid w:val="0034354E"/>
    <w:rsid w:val="0034355B"/>
    <w:rsid w:val="00343580"/>
    <w:rsid w:val="00343593"/>
    <w:rsid w:val="003435B2"/>
    <w:rsid w:val="00343602"/>
    <w:rsid w:val="00343603"/>
    <w:rsid w:val="003436AD"/>
    <w:rsid w:val="003436CD"/>
    <w:rsid w:val="00343720"/>
    <w:rsid w:val="003437FC"/>
    <w:rsid w:val="00343817"/>
    <w:rsid w:val="00343832"/>
    <w:rsid w:val="0034389D"/>
    <w:rsid w:val="003438C0"/>
    <w:rsid w:val="003438CA"/>
    <w:rsid w:val="003438FD"/>
    <w:rsid w:val="003438FF"/>
    <w:rsid w:val="00343913"/>
    <w:rsid w:val="00343942"/>
    <w:rsid w:val="00343946"/>
    <w:rsid w:val="00343A08"/>
    <w:rsid w:val="00343A59"/>
    <w:rsid w:val="00343A5F"/>
    <w:rsid w:val="00343B83"/>
    <w:rsid w:val="00343BBC"/>
    <w:rsid w:val="00343BE5"/>
    <w:rsid w:val="00343BEF"/>
    <w:rsid w:val="00343C25"/>
    <w:rsid w:val="00343C75"/>
    <w:rsid w:val="00343C86"/>
    <w:rsid w:val="00343D08"/>
    <w:rsid w:val="00343D15"/>
    <w:rsid w:val="00343D43"/>
    <w:rsid w:val="00343D51"/>
    <w:rsid w:val="00343D9C"/>
    <w:rsid w:val="00343DB1"/>
    <w:rsid w:val="00343DBC"/>
    <w:rsid w:val="00343E20"/>
    <w:rsid w:val="00343E28"/>
    <w:rsid w:val="00343E36"/>
    <w:rsid w:val="00343E59"/>
    <w:rsid w:val="00343E5D"/>
    <w:rsid w:val="00343E96"/>
    <w:rsid w:val="00343EA0"/>
    <w:rsid w:val="00343F0F"/>
    <w:rsid w:val="00343F31"/>
    <w:rsid w:val="00343FD1"/>
    <w:rsid w:val="0034401E"/>
    <w:rsid w:val="0034403C"/>
    <w:rsid w:val="00344051"/>
    <w:rsid w:val="003440B1"/>
    <w:rsid w:val="00344110"/>
    <w:rsid w:val="00344149"/>
    <w:rsid w:val="003441C6"/>
    <w:rsid w:val="003441E2"/>
    <w:rsid w:val="003441EE"/>
    <w:rsid w:val="003441F6"/>
    <w:rsid w:val="0034420A"/>
    <w:rsid w:val="0034422B"/>
    <w:rsid w:val="00344262"/>
    <w:rsid w:val="0034427D"/>
    <w:rsid w:val="003442A9"/>
    <w:rsid w:val="003442EC"/>
    <w:rsid w:val="0034431E"/>
    <w:rsid w:val="0034433D"/>
    <w:rsid w:val="00344341"/>
    <w:rsid w:val="003443BE"/>
    <w:rsid w:val="00344417"/>
    <w:rsid w:val="00344437"/>
    <w:rsid w:val="003444C6"/>
    <w:rsid w:val="003444EA"/>
    <w:rsid w:val="00344520"/>
    <w:rsid w:val="00344556"/>
    <w:rsid w:val="003445AE"/>
    <w:rsid w:val="0034465F"/>
    <w:rsid w:val="0034469C"/>
    <w:rsid w:val="00344704"/>
    <w:rsid w:val="00344730"/>
    <w:rsid w:val="00344763"/>
    <w:rsid w:val="003447DF"/>
    <w:rsid w:val="003447F2"/>
    <w:rsid w:val="0034484C"/>
    <w:rsid w:val="003448A7"/>
    <w:rsid w:val="003448B0"/>
    <w:rsid w:val="00344923"/>
    <w:rsid w:val="0034497F"/>
    <w:rsid w:val="003449B8"/>
    <w:rsid w:val="003449F1"/>
    <w:rsid w:val="00344AA3"/>
    <w:rsid w:val="00344ACF"/>
    <w:rsid w:val="00344B0F"/>
    <w:rsid w:val="00344B95"/>
    <w:rsid w:val="00344BA7"/>
    <w:rsid w:val="00344BD0"/>
    <w:rsid w:val="00344C31"/>
    <w:rsid w:val="00344C37"/>
    <w:rsid w:val="00344C54"/>
    <w:rsid w:val="00344C55"/>
    <w:rsid w:val="00344CC0"/>
    <w:rsid w:val="00344CC2"/>
    <w:rsid w:val="00344D66"/>
    <w:rsid w:val="00344E00"/>
    <w:rsid w:val="00344E29"/>
    <w:rsid w:val="00344E2E"/>
    <w:rsid w:val="00344E8E"/>
    <w:rsid w:val="00344E94"/>
    <w:rsid w:val="00344EBB"/>
    <w:rsid w:val="00344F1B"/>
    <w:rsid w:val="0034506D"/>
    <w:rsid w:val="003450D5"/>
    <w:rsid w:val="0034512C"/>
    <w:rsid w:val="00345226"/>
    <w:rsid w:val="00345234"/>
    <w:rsid w:val="00345282"/>
    <w:rsid w:val="00345295"/>
    <w:rsid w:val="003452C5"/>
    <w:rsid w:val="00345343"/>
    <w:rsid w:val="00345387"/>
    <w:rsid w:val="003453FF"/>
    <w:rsid w:val="00345409"/>
    <w:rsid w:val="00345464"/>
    <w:rsid w:val="0034554F"/>
    <w:rsid w:val="00345565"/>
    <w:rsid w:val="003455A9"/>
    <w:rsid w:val="00345618"/>
    <w:rsid w:val="00345633"/>
    <w:rsid w:val="00345678"/>
    <w:rsid w:val="003456CE"/>
    <w:rsid w:val="003456D7"/>
    <w:rsid w:val="003456F9"/>
    <w:rsid w:val="00345738"/>
    <w:rsid w:val="00345765"/>
    <w:rsid w:val="00345779"/>
    <w:rsid w:val="003457A6"/>
    <w:rsid w:val="00345804"/>
    <w:rsid w:val="00345809"/>
    <w:rsid w:val="0034588E"/>
    <w:rsid w:val="003458CA"/>
    <w:rsid w:val="00345932"/>
    <w:rsid w:val="003459AD"/>
    <w:rsid w:val="003459BF"/>
    <w:rsid w:val="003459D8"/>
    <w:rsid w:val="003459FD"/>
    <w:rsid w:val="00345A73"/>
    <w:rsid w:val="00345A9A"/>
    <w:rsid w:val="00345AA6"/>
    <w:rsid w:val="00345AAC"/>
    <w:rsid w:val="00345AEC"/>
    <w:rsid w:val="00345B49"/>
    <w:rsid w:val="00345B99"/>
    <w:rsid w:val="00345BD8"/>
    <w:rsid w:val="00345C43"/>
    <w:rsid w:val="00345C80"/>
    <w:rsid w:val="00345C9D"/>
    <w:rsid w:val="00345D00"/>
    <w:rsid w:val="00345D5A"/>
    <w:rsid w:val="00345DC7"/>
    <w:rsid w:val="00345DF4"/>
    <w:rsid w:val="00345E53"/>
    <w:rsid w:val="00345E6E"/>
    <w:rsid w:val="00345E71"/>
    <w:rsid w:val="00345E95"/>
    <w:rsid w:val="00345EB3"/>
    <w:rsid w:val="00345F0A"/>
    <w:rsid w:val="00345F40"/>
    <w:rsid w:val="00345FBF"/>
    <w:rsid w:val="00345FE9"/>
    <w:rsid w:val="00346061"/>
    <w:rsid w:val="0034615C"/>
    <w:rsid w:val="00346208"/>
    <w:rsid w:val="00346210"/>
    <w:rsid w:val="0034622E"/>
    <w:rsid w:val="00346236"/>
    <w:rsid w:val="0034630C"/>
    <w:rsid w:val="00346361"/>
    <w:rsid w:val="003463D3"/>
    <w:rsid w:val="00346494"/>
    <w:rsid w:val="00346496"/>
    <w:rsid w:val="003464FE"/>
    <w:rsid w:val="00346516"/>
    <w:rsid w:val="00346556"/>
    <w:rsid w:val="00346574"/>
    <w:rsid w:val="00346575"/>
    <w:rsid w:val="003465A3"/>
    <w:rsid w:val="003465C4"/>
    <w:rsid w:val="003465D6"/>
    <w:rsid w:val="00346606"/>
    <w:rsid w:val="00346611"/>
    <w:rsid w:val="00346620"/>
    <w:rsid w:val="00346643"/>
    <w:rsid w:val="00346697"/>
    <w:rsid w:val="00346727"/>
    <w:rsid w:val="00346870"/>
    <w:rsid w:val="003468CD"/>
    <w:rsid w:val="003468EE"/>
    <w:rsid w:val="00346957"/>
    <w:rsid w:val="003469F2"/>
    <w:rsid w:val="003469FC"/>
    <w:rsid w:val="00346A50"/>
    <w:rsid w:val="00346A68"/>
    <w:rsid w:val="00346A71"/>
    <w:rsid w:val="00346A9F"/>
    <w:rsid w:val="00346AE7"/>
    <w:rsid w:val="00346AF9"/>
    <w:rsid w:val="00346B04"/>
    <w:rsid w:val="00346B49"/>
    <w:rsid w:val="00346B4E"/>
    <w:rsid w:val="00346B6C"/>
    <w:rsid w:val="00346B71"/>
    <w:rsid w:val="00346B7A"/>
    <w:rsid w:val="00346BA5"/>
    <w:rsid w:val="00346BCE"/>
    <w:rsid w:val="00346BE6"/>
    <w:rsid w:val="00346C21"/>
    <w:rsid w:val="00346C68"/>
    <w:rsid w:val="00346C6A"/>
    <w:rsid w:val="00346CC0"/>
    <w:rsid w:val="00346CC7"/>
    <w:rsid w:val="00346D07"/>
    <w:rsid w:val="00346D17"/>
    <w:rsid w:val="00346D3F"/>
    <w:rsid w:val="00346DFC"/>
    <w:rsid w:val="00346E1E"/>
    <w:rsid w:val="00346E31"/>
    <w:rsid w:val="00346E95"/>
    <w:rsid w:val="00346E9A"/>
    <w:rsid w:val="00346EBC"/>
    <w:rsid w:val="00346F0D"/>
    <w:rsid w:val="00346F8D"/>
    <w:rsid w:val="00346FB6"/>
    <w:rsid w:val="00346FFE"/>
    <w:rsid w:val="00346FFF"/>
    <w:rsid w:val="00347003"/>
    <w:rsid w:val="00347080"/>
    <w:rsid w:val="003470F2"/>
    <w:rsid w:val="00347101"/>
    <w:rsid w:val="00347167"/>
    <w:rsid w:val="003471AB"/>
    <w:rsid w:val="003471BF"/>
    <w:rsid w:val="003471D3"/>
    <w:rsid w:val="00347237"/>
    <w:rsid w:val="00347273"/>
    <w:rsid w:val="00347281"/>
    <w:rsid w:val="00347343"/>
    <w:rsid w:val="00347368"/>
    <w:rsid w:val="003473C2"/>
    <w:rsid w:val="00347451"/>
    <w:rsid w:val="0034745E"/>
    <w:rsid w:val="003474D5"/>
    <w:rsid w:val="0034752E"/>
    <w:rsid w:val="003475BD"/>
    <w:rsid w:val="003475F0"/>
    <w:rsid w:val="00347621"/>
    <w:rsid w:val="00347681"/>
    <w:rsid w:val="00347726"/>
    <w:rsid w:val="00347730"/>
    <w:rsid w:val="00347738"/>
    <w:rsid w:val="0034776A"/>
    <w:rsid w:val="003477A4"/>
    <w:rsid w:val="003477FB"/>
    <w:rsid w:val="00347819"/>
    <w:rsid w:val="00347826"/>
    <w:rsid w:val="00347838"/>
    <w:rsid w:val="003478CB"/>
    <w:rsid w:val="003478FB"/>
    <w:rsid w:val="00347A5E"/>
    <w:rsid w:val="00347A8E"/>
    <w:rsid w:val="00347AE2"/>
    <w:rsid w:val="00347AFB"/>
    <w:rsid w:val="00347B0B"/>
    <w:rsid w:val="00347B18"/>
    <w:rsid w:val="00347B5D"/>
    <w:rsid w:val="00347C4A"/>
    <w:rsid w:val="00347C60"/>
    <w:rsid w:val="00347C7F"/>
    <w:rsid w:val="00347CA2"/>
    <w:rsid w:val="00347D6A"/>
    <w:rsid w:val="00347DC2"/>
    <w:rsid w:val="00347E05"/>
    <w:rsid w:val="00347E25"/>
    <w:rsid w:val="00347E2B"/>
    <w:rsid w:val="00347E98"/>
    <w:rsid w:val="00347F29"/>
    <w:rsid w:val="00347F5E"/>
    <w:rsid w:val="00347FAC"/>
    <w:rsid w:val="00347FE9"/>
    <w:rsid w:val="00347FF9"/>
    <w:rsid w:val="00350021"/>
    <w:rsid w:val="00350039"/>
    <w:rsid w:val="0035007D"/>
    <w:rsid w:val="003500C3"/>
    <w:rsid w:val="00350102"/>
    <w:rsid w:val="00350137"/>
    <w:rsid w:val="003501DA"/>
    <w:rsid w:val="0035020E"/>
    <w:rsid w:val="00350214"/>
    <w:rsid w:val="00350247"/>
    <w:rsid w:val="00350251"/>
    <w:rsid w:val="00350278"/>
    <w:rsid w:val="00350338"/>
    <w:rsid w:val="00350359"/>
    <w:rsid w:val="00350375"/>
    <w:rsid w:val="0035037A"/>
    <w:rsid w:val="0035038C"/>
    <w:rsid w:val="0035038D"/>
    <w:rsid w:val="003503A2"/>
    <w:rsid w:val="003503BD"/>
    <w:rsid w:val="003503FA"/>
    <w:rsid w:val="0035045E"/>
    <w:rsid w:val="00350479"/>
    <w:rsid w:val="003504D6"/>
    <w:rsid w:val="00350502"/>
    <w:rsid w:val="00350534"/>
    <w:rsid w:val="0035058E"/>
    <w:rsid w:val="003505C0"/>
    <w:rsid w:val="0035061A"/>
    <w:rsid w:val="0035063B"/>
    <w:rsid w:val="003506A0"/>
    <w:rsid w:val="003506C3"/>
    <w:rsid w:val="003506FC"/>
    <w:rsid w:val="00350723"/>
    <w:rsid w:val="003507A2"/>
    <w:rsid w:val="003507A7"/>
    <w:rsid w:val="003507B0"/>
    <w:rsid w:val="003507B3"/>
    <w:rsid w:val="00350835"/>
    <w:rsid w:val="00350836"/>
    <w:rsid w:val="00350837"/>
    <w:rsid w:val="00350852"/>
    <w:rsid w:val="0035091E"/>
    <w:rsid w:val="00350943"/>
    <w:rsid w:val="0035095D"/>
    <w:rsid w:val="00350983"/>
    <w:rsid w:val="00350A2C"/>
    <w:rsid w:val="00350A9A"/>
    <w:rsid w:val="00350AC8"/>
    <w:rsid w:val="00350AF2"/>
    <w:rsid w:val="00350B09"/>
    <w:rsid w:val="00350BB5"/>
    <w:rsid w:val="00350BCA"/>
    <w:rsid w:val="00350BEF"/>
    <w:rsid w:val="00350C17"/>
    <w:rsid w:val="00350C55"/>
    <w:rsid w:val="00350C64"/>
    <w:rsid w:val="00350C9C"/>
    <w:rsid w:val="00350CCB"/>
    <w:rsid w:val="00350CD0"/>
    <w:rsid w:val="00350D25"/>
    <w:rsid w:val="00350D79"/>
    <w:rsid w:val="00350DC9"/>
    <w:rsid w:val="00350DD4"/>
    <w:rsid w:val="00350E5A"/>
    <w:rsid w:val="00350E7D"/>
    <w:rsid w:val="00350E99"/>
    <w:rsid w:val="00350EA3"/>
    <w:rsid w:val="00350ED9"/>
    <w:rsid w:val="00350F79"/>
    <w:rsid w:val="00350F84"/>
    <w:rsid w:val="00350FE8"/>
    <w:rsid w:val="00350FF4"/>
    <w:rsid w:val="00351052"/>
    <w:rsid w:val="00351083"/>
    <w:rsid w:val="00351092"/>
    <w:rsid w:val="003510A8"/>
    <w:rsid w:val="0035115A"/>
    <w:rsid w:val="0035117F"/>
    <w:rsid w:val="00351185"/>
    <w:rsid w:val="00351202"/>
    <w:rsid w:val="00351241"/>
    <w:rsid w:val="003512CD"/>
    <w:rsid w:val="0035133D"/>
    <w:rsid w:val="00351346"/>
    <w:rsid w:val="0035134B"/>
    <w:rsid w:val="0035138C"/>
    <w:rsid w:val="00351390"/>
    <w:rsid w:val="00351396"/>
    <w:rsid w:val="003513BE"/>
    <w:rsid w:val="0035146A"/>
    <w:rsid w:val="0035146D"/>
    <w:rsid w:val="0035149E"/>
    <w:rsid w:val="003514CD"/>
    <w:rsid w:val="00351503"/>
    <w:rsid w:val="00351538"/>
    <w:rsid w:val="0035158B"/>
    <w:rsid w:val="003515F2"/>
    <w:rsid w:val="00351601"/>
    <w:rsid w:val="0035161C"/>
    <w:rsid w:val="00351634"/>
    <w:rsid w:val="0035168F"/>
    <w:rsid w:val="0035169C"/>
    <w:rsid w:val="003516B2"/>
    <w:rsid w:val="003516BB"/>
    <w:rsid w:val="00351703"/>
    <w:rsid w:val="00351730"/>
    <w:rsid w:val="00351731"/>
    <w:rsid w:val="003517B4"/>
    <w:rsid w:val="003517B9"/>
    <w:rsid w:val="003517F0"/>
    <w:rsid w:val="0035186D"/>
    <w:rsid w:val="00351872"/>
    <w:rsid w:val="00351876"/>
    <w:rsid w:val="00351879"/>
    <w:rsid w:val="003518B1"/>
    <w:rsid w:val="00351906"/>
    <w:rsid w:val="00351908"/>
    <w:rsid w:val="00351915"/>
    <w:rsid w:val="00351967"/>
    <w:rsid w:val="003519B6"/>
    <w:rsid w:val="003519CD"/>
    <w:rsid w:val="00351A6E"/>
    <w:rsid w:val="00351AFF"/>
    <w:rsid w:val="00351B05"/>
    <w:rsid w:val="00351B2E"/>
    <w:rsid w:val="00351B41"/>
    <w:rsid w:val="00351BC1"/>
    <w:rsid w:val="00351BDA"/>
    <w:rsid w:val="00351BE2"/>
    <w:rsid w:val="00351C09"/>
    <w:rsid w:val="00351C30"/>
    <w:rsid w:val="00351C4A"/>
    <w:rsid w:val="00351C8D"/>
    <w:rsid w:val="00351CAF"/>
    <w:rsid w:val="00351CBE"/>
    <w:rsid w:val="00351D21"/>
    <w:rsid w:val="00351D4E"/>
    <w:rsid w:val="00351D54"/>
    <w:rsid w:val="00351D90"/>
    <w:rsid w:val="00351DD0"/>
    <w:rsid w:val="00351DD4"/>
    <w:rsid w:val="00351DD6"/>
    <w:rsid w:val="00351E03"/>
    <w:rsid w:val="00351EC8"/>
    <w:rsid w:val="00351EF5"/>
    <w:rsid w:val="00351F3C"/>
    <w:rsid w:val="00351F43"/>
    <w:rsid w:val="00351F76"/>
    <w:rsid w:val="00351F80"/>
    <w:rsid w:val="00351F88"/>
    <w:rsid w:val="00351FAC"/>
    <w:rsid w:val="00352033"/>
    <w:rsid w:val="0035208D"/>
    <w:rsid w:val="0035209E"/>
    <w:rsid w:val="003520D6"/>
    <w:rsid w:val="003520D9"/>
    <w:rsid w:val="003520EC"/>
    <w:rsid w:val="00352119"/>
    <w:rsid w:val="00352153"/>
    <w:rsid w:val="0035216E"/>
    <w:rsid w:val="0035216F"/>
    <w:rsid w:val="00352181"/>
    <w:rsid w:val="00352183"/>
    <w:rsid w:val="0035219D"/>
    <w:rsid w:val="0035219F"/>
    <w:rsid w:val="003521D1"/>
    <w:rsid w:val="0035223C"/>
    <w:rsid w:val="0035229D"/>
    <w:rsid w:val="003522F4"/>
    <w:rsid w:val="003522FF"/>
    <w:rsid w:val="0035230E"/>
    <w:rsid w:val="00352314"/>
    <w:rsid w:val="0035233B"/>
    <w:rsid w:val="00352368"/>
    <w:rsid w:val="003523EA"/>
    <w:rsid w:val="0035241F"/>
    <w:rsid w:val="003524A0"/>
    <w:rsid w:val="003524A9"/>
    <w:rsid w:val="003524C7"/>
    <w:rsid w:val="003524E8"/>
    <w:rsid w:val="0035252E"/>
    <w:rsid w:val="00352550"/>
    <w:rsid w:val="003525F7"/>
    <w:rsid w:val="00352606"/>
    <w:rsid w:val="00352620"/>
    <w:rsid w:val="0035264D"/>
    <w:rsid w:val="0035270E"/>
    <w:rsid w:val="00352773"/>
    <w:rsid w:val="00352777"/>
    <w:rsid w:val="00352785"/>
    <w:rsid w:val="003527EC"/>
    <w:rsid w:val="00352827"/>
    <w:rsid w:val="00352837"/>
    <w:rsid w:val="003528C7"/>
    <w:rsid w:val="00352923"/>
    <w:rsid w:val="00352952"/>
    <w:rsid w:val="0035295F"/>
    <w:rsid w:val="0035298E"/>
    <w:rsid w:val="003529A5"/>
    <w:rsid w:val="00352A38"/>
    <w:rsid w:val="00352A52"/>
    <w:rsid w:val="00352A6B"/>
    <w:rsid w:val="00352AB4"/>
    <w:rsid w:val="00352BE1"/>
    <w:rsid w:val="00352BE4"/>
    <w:rsid w:val="00352BFB"/>
    <w:rsid w:val="00352D53"/>
    <w:rsid w:val="00352D9B"/>
    <w:rsid w:val="00352DEF"/>
    <w:rsid w:val="00352E04"/>
    <w:rsid w:val="00352E68"/>
    <w:rsid w:val="00352EC3"/>
    <w:rsid w:val="00352F12"/>
    <w:rsid w:val="00352F35"/>
    <w:rsid w:val="00352F8D"/>
    <w:rsid w:val="00352FB0"/>
    <w:rsid w:val="00352FFC"/>
    <w:rsid w:val="00353010"/>
    <w:rsid w:val="00353077"/>
    <w:rsid w:val="003530ED"/>
    <w:rsid w:val="00353115"/>
    <w:rsid w:val="0035312F"/>
    <w:rsid w:val="00353178"/>
    <w:rsid w:val="0035317A"/>
    <w:rsid w:val="0035317D"/>
    <w:rsid w:val="00353196"/>
    <w:rsid w:val="003531EF"/>
    <w:rsid w:val="00353224"/>
    <w:rsid w:val="003532AA"/>
    <w:rsid w:val="00353309"/>
    <w:rsid w:val="00353373"/>
    <w:rsid w:val="0035337F"/>
    <w:rsid w:val="00353391"/>
    <w:rsid w:val="00353396"/>
    <w:rsid w:val="003533FA"/>
    <w:rsid w:val="00353428"/>
    <w:rsid w:val="00353429"/>
    <w:rsid w:val="003534BB"/>
    <w:rsid w:val="0035350D"/>
    <w:rsid w:val="003535EB"/>
    <w:rsid w:val="00353620"/>
    <w:rsid w:val="0035363E"/>
    <w:rsid w:val="00353656"/>
    <w:rsid w:val="00353670"/>
    <w:rsid w:val="00353693"/>
    <w:rsid w:val="0035372E"/>
    <w:rsid w:val="00353755"/>
    <w:rsid w:val="00353794"/>
    <w:rsid w:val="003537F4"/>
    <w:rsid w:val="00353801"/>
    <w:rsid w:val="0035382B"/>
    <w:rsid w:val="00353838"/>
    <w:rsid w:val="003538D1"/>
    <w:rsid w:val="00353969"/>
    <w:rsid w:val="00353990"/>
    <w:rsid w:val="003539BB"/>
    <w:rsid w:val="00353A33"/>
    <w:rsid w:val="00353A3C"/>
    <w:rsid w:val="00353A56"/>
    <w:rsid w:val="00353A7E"/>
    <w:rsid w:val="00353A8B"/>
    <w:rsid w:val="00353A8D"/>
    <w:rsid w:val="00353A9C"/>
    <w:rsid w:val="00353B8B"/>
    <w:rsid w:val="00353C15"/>
    <w:rsid w:val="00353C55"/>
    <w:rsid w:val="00353D41"/>
    <w:rsid w:val="00353DE2"/>
    <w:rsid w:val="00353DF4"/>
    <w:rsid w:val="00353E0A"/>
    <w:rsid w:val="00353E16"/>
    <w:rsid w:val="00353E27"/>
    <w:rsid w:val="00353E39"/>
    <w:rsid w:val="00353EA8"/>
    <w:rsid w:val="00353ECC"/>
    <w:rsid w:val="00353F0E"/>
    <w:rsid w:val="00353F43"/>
    <w:rsid w:val="00353F6A"/>
    <w:rsid w:val="00353F72"/>
    <w:rsid w:val="00353F88"/>
    <w:rsid w:val="00353F8F"/>
    <w:rsid w:val="00353FD0"/>
    <w:rsid w:val="00354030"/>
    <w:rsid w:val="0035405E"/>
    <w:rsid w:val="0035405F"/>
    <w:rsid w:val="003540FC"/>
    <w:rsid w:val="00354117"/>
    <w:rsid w:val="00354121"/>
    <w:rsid w:val="00354133"/>
    <w:rsid w:val="00354196"/>
    <w:rsid w:val="00354198"/>
    <w:rsid w:val="003541A9"/>
    <w:rsid w:val="003541F3"/>
    <w:rsid w:val="00354218"/>
    <w:rsid w:val="0035426A"/>
    <w:rsid w:val="003542D0"/>
    <w:rsid w:val="00354436"/>
    <w:rsid w:val="0035444C"/>
    <w:rsid w:val="00354489"/>
    <w:rsid w:val="0035448D"/>
    <w:rsid w:val="003544A1"/>
    <w:rsid w:val="00354510"/>
    <w:rsid w:val="0035451F"/>
    <w:rsid w:val="00354545"/>
    <w:rsid w:val="003545A4"/>
    <w:rsid w:val="003545BA"/>
    <w:rsid w:val="003545BF"/>
    <w:rsid w:val="003545DC"/>
    <w:rsid w:val="0035460F"/>
    <w:rsid w:val="00354642"/>
    <w:rsid w:val="003546D3"/>
    <w:rsid w:val="00354751"/>
    <w:rsid w:val="00354782"/>
    <w:rsid w:val="003547BA"/>
    <w:rsid w:val="003547C0"/>
    <w:rsid w:val="003548AC"/>
    <w:rsid w:val="003548BF"/>
    <w:rsid w:val="003548C8"/>
    <w:rsid w:val="003548DA"/>
    <w:rsid w:val="003548DB"/>
    <w:rsid w:val="00354949"/>
    <w:rsid w:val="00354960"/>
    <w:rsid w:val="003549B8"/>
    <w:rsid w:val="003549EC"/>
    <w:rsid w:val="003549ED"/>
    <w:rsid w:val="00354A01"/>
    <w:rsid w:val="00354A18"/>
    <w:rsid w:val="00354A88"/>
    <w:rsid w:val="00354AD9"/>
    <w:rsid w:val="00354AE5"/>
    <w:rsid w:val="00354B58"/>
    <w:rsid w:val="00354BEE"/>
    <w:rsid w:val="00354C1A"/>
    <w:rsid w:val="00354C68"/>
    <w:rsid w:val="00354C90"/>
    <w:rsid w:val="00354CB7"/>
    <w:rsid w:val="00354CC0"/>
    <w:rsid w:val="00354CD9"/>
    <w:rsid w:val="00354CE0"/>
    <w:rsid w:val="00354D16"/>
    <w:rsid w:val="00354D2E"/>
    <w:rsid w:val="00354D30"/>
    <w:rsid w:val="00354DB4"/>
    <w:rsid w:val="00354DDC"/>
    <w:rsid w:val="00354DDD"/>
    <w:rsid w:val="00354E66"/>
    <w:rsid w:val="00354EB5"/>
    <w:rsid w:val="00354EC9"/>
    <w:rsid w:val="00354EE8"/>
    <w:rsid w:val="00354EF0"/>
    <w:rsid w:val="00354F04"/>
    <w:rsid w:val="00354F2B"/>
    <w:rsid w:val="00354FA6"/>
    <w:rsid w:val="00354FF4"/>
    <w:rsid w:val="00355088"/>
    <w:rsid w:val="0035509D"/>
    <w:rsid w:val="003550A1"/>
    <w:rsid w:val="003550C6"/>
    <w:rsid w:val="003551C5"/>
    <w:rsid w:val="003551C9"/>
    <w:rsid w:val="0035523C"/>
    <w:rsid w:val="00355312"/>
    <w:rsid w:val="0035534F"/>
    <w:rsid w:val="00355370"/>
    <w:rsid w:val="00355380"/>
    <w:rsid w:val="003553F0"/>
    <w:rsid w:val="00355531"/>
    <w:rsid w:val="0035556B"/>
    <w:rsid w:val="00355576"/>
    <w:rsid w:val="0035559C"/>
    <w:rsid w:val="003555AB"/>
    <w:rsid w:val="003555D7"/>
    <w:rsid w:val="003555F4"/>
    <w:rsid w:val="003555F6"/>
    <w:rsid w:val="00355615"/>
    <w:rsid w:val="00355637"/>
    <w:rsid w:val="0035563C"/>
    <w:rsid w:val="0035563D"/>
    <w:rsid w:val="003556E4"/>
    <w:rsid w:val="003557AE"/>
    <w:rsid w:val="003557C9"/>
    <w:rsid w:val="0035581C"/>
    <w:rsid w:val="0035582E"/>
    <w:rsid w:val="00355854"/>
    <w:rsid w:val="00355891"/>
    <w:rsid w:val="0035593D"/>
    <w:rsid w:val="003559A5"/>
    <w:rsid w:val="00355A71"/>
    <w:rsid w:val="00355AAF"/>
    <w:rsid w:val="00355AD5"/>
    <w:rsid w:val="00355B3F"/>
    <w:rsid w:val="00355B4A"/>
    <w:rsid w:val="00355B4F"/>
    <w:rsid w:val="00355B8C"/>
    <w:rsid w:val="00355BA6"/>
    <w:rsid w:val="00355C20"/>
    <w:rsid w:val="00355CA4"/>
    <w:rsid w:val="00355D3C"/>
    <w:rsid w:val="00355D4A"/>
    <w:rsid w:val="00355D72"/>
    <w:rsid w:val="00355D85"/>
    <w:rsid w:val="00355D9D"/>
    <w:rsid w:val="00355DAD"/>
    <w:rsid w:val="00355E25"/>
    <w:rsid w:val="00355EB0"/>
    <w:rsid w:val="00355ECD"/>
    <w:rsid w:val="00355F43"/>
    <w:rsid w:val="00355F48"/>
    <w:rsid w:val="00355F90"/>
    <w:rsid w:val="00355F97"/>
    <w:rsid w:val="00355FA3"/>
    <w:rsid w:val="00355FD4"/>
    <w:rsid w:val="0035601F"/>
    <w:rsid w:val="003560C0"/>
    <w:rsid w:val="003560CC"/>
    <w:rsid w:val="003560D9"/>
    <w:rsid w:val="003560EF"/>
    <w:rsid w:val="003561BF"/>
    <w:rsid w:val="003561F2"/>
    <w:rsid w:val="003561F7"/>
    <w:rsid w:val="00356229"/>
    <w:rsid w:val="00356251"/>
    <w:rsid w:val="00356335"/>
    <w:rsid w:val="0035633A"/>
    <w:rsid w:val="0035635F"/>
    <w:rsid w:val="00356364"/>
    <w:rsid w:val="0035636F"/>
    <w:rsid w:val="00356383"/>
    <w:rsid w:val="003563D8"/>
    <w:rsid w:val="003563DE"/>
    <w:rsid w:val="00356408"/>
    <w:rsid w:val="00356416"/>
    <w:rsid w:val="00356420"/>
    <w:rsid w:val="0035642D"/>
    <w:rsid w:val="003564F8"/>
    <w:rsid w:val="00356551"/>
    <w:rsid w:val="00356591"/>
    <w:rsid w:val="0035659D"/>
    <w:rsid w:val="00356633"/>
    <w:rsid w:val="00356639"/>
    <w:rsid w:val="00356643"/>
    <w:rsid w:val="00356670"/>
    <w:rsid w:val="00356684"/>
    <w:rsid w:val="003566E5"/>
    <w:rsid w:val="003566F0"/>
    <w:rsid w:val="00356705"/>
    <w:rsid w:val="00356742"/>
    <w:rsid w:val="00356764"/>
    <w:rsid w:val="0035676C"/>
    <w:rsid w:val="00356811"/>
    <w:rsid w:val="003568A4"/>
    <w:rsid w:val="00356957"/>
    <w:rsid w:val="003569FB"/>
    <w:rsid w:val="003569FC"/>
    <w:rsid w:val="00356A0A"/>
    <w:rsid w:val="00356A1B"/>
    <w:rsid w:val="00356A43"/>
    <w:rsid w:val="00356A65"/>
    <w:rsid w:val="00356A7B"/>
    <w:rsid w:val="00356AC5"/>
    <w:rsid w:val="00356AC7"/>
    <w:rsid w:val="00356B02"/>
    <w:rsid w:val="00356B1E"/>
    <w:rsid w:val="00356B21"/>
    <w:rsid w:val="00356C2E"/>
    <w:rsid w:val="00356C41"/>
    <w:rsid w:val="00356C67"/>
    <w:rsid w:val="00356CE9"/>
    <w:rsid w:val="00356CEF"/>
    <w:rsid w:val="00356D02"/>
    <w:rsid w:val="00356D5A"/>
    <w:rsid w:val="00356D7B"/>
    <w:rsid w:val="00356D92"/>
    <w:rsid w:val="00356D95"/>
    <w:rsid w:val="00356DD4"/>
    <w:rsid w:val="00356E4F"/>
    <w:rsid w:val="00356E80"/>
    <w:rsid w:val="00356EB3"/>
    <w:rsid w:val="00356F46"/>
    <w:rsid w:val="00356FC3"/>
    <w:rsid w:val="00356FE8"/>
    <w:rsid w:val="00356FEA"/>
    <w:rsid w:val="0035705B"/>
    <w:rsid w:val="003570CB"/>
    <w:rsid w:val="00357176"/>
    <w:rsid w:val="003571BA"/>
    <w:rsid w:val="003571DF"/>
    <w:rsid w:val="0035720A"/>
    <w:rsid w:val="00357332"/>
    <w:rsid w:val="0035733C"/>
    <w:rsid w:val="00357346"/>
    <w:rsid w:val="00357354"/>
    <w:rsid w:val="00357381"/>
    <w:rsid w:val="00357398"/>
    <w:rsid w:val="003573A0"/>
    <w:rsid w:val="003573A2"/>
    <w:rsid w:val="003573A3"/>
    <w:rsid w:val="003573D6"/>
    <w:rsid w:val="003573EC"/>
    <w:rsid w:val="00357405"/>
    <w:rsid w:val="003574B5"/>
    <w:rsid w:val="003574CE"/>
    <w:rsid w:val="003574D7"/>
    <w:rsid w:val="003574FA"/>
    <w:rsid w:val="00357502"/>
    <w:rsid w:val="0035756C"/>
    <w:rsid w:val="00357586"/>
    <w:rsid w:val="00357594"/>
    <w:rsid w:val="003575A4"/>
    <w:rsid w:val="003575E4"/>
    <w:rsid w:val="003575ED"/>
    <w:rsid w:val="00357666"/>
    <w:rsid w:val="003576C6"/>
    <w:rsid w:val="003576D2"/>
    <w:rsid w:val="003576F3"/>
    <w:rsid w:val="00357731"/>
    <w:rsid w:val="00357776"/>
    <w:rsid w:val="00357783"/>
    <w:rsid w:val="003577A3"/>
    <w:rsid w:val="0035781B"/>
    <w:rsid w:val="0035785D"/>
    <w:rsid w:val="003578AC"/>
    <w:rsid w:val="003578D1"/>
    <w:rsid w:val="00357900"/>
    <w:rsid w:val="0035793A"/>
    <w:rsid w:val="0035794A"/>
    <w:rsid w:val="00357950"/>
    <w:rsid w:val="00357954"/>
    <w:rsid w:val="003579BC"/>
    <w:rsid w:val="003579C6"/>
    <w:rsid w:val="00357A52"/>
    <w:rsid w:val="00357B58"/>
    <w:rsid w:val="00357B93"/>
    <w:rsid w:val="00357C58"/>
    <w:rsid w:val="00357D0C"/>
    <w:rsid w:val="00357D39"/>
    <w:rsid w:val="00357D4B"/>
    <w:rsid w:val="00357DA9"/>
    <w:rsid w:val="00357DAC"/>
    <w:rsid w:val="00357DCA"/>
    <w:rsid w:val="00357DE7"/>
    <w:rsid w:val="00357E1E"/>
    <w:rsid w:val="00357E32"/>
    <w:rsid w:val="00357E75"/>
    <w:rsid w:val="00357EDE"/>
    <w:rsid w:val="00357EFC"/>
    <w:rsid w:val="00357FBE"/>
    <w:rsid w:val="00357FD8"/>
    <w:rsid w:val="00360045"/>
    <w:rsid w:val="00360077"/>
    <w:rsid w:val="003600A4"/>
    <w:rsid w:val="00360101"/>
    <w:rsid w:val="00360137"/>
    <w:rsid w:val="00360138"/>
    <w:rsid w:val="003601A0"/>
    <w:rsid w:val="0036025F"/>
    <w:rsid w:val="00360263"/>
    <w:rsid w:val="00360298"/>
    <w:rsid w:val="003602C1"/>
    <w:rsid w:val="003602D5"/>
    <w:rsid w:val="00360300"/>
    <w:rsid w:val="00360377"/>
    <w:rsid w:val="003603DB"/>
    <w:rsid w:val="00360423"/>
    <w:rsid w:val="0036044C"/>
    <w:rsid w:val="00360506"/>
    <w:rsid w:val="00360531"/>
    <w:rsid w:val="00360553"/>
    <w:rsid w:val="0036056F"/>
    <w:rsid w:val="00360573"/>
    <w:rsid w:val="003605D5"/>
    <w:rsid w:val="0036067C"/>
    <w:rsid w:val="00360690"/>
    <w:rsid w:val="003606A9"/>
    <w:rsid w:val="003606F1"/>
    <w:rsid w:val="0036076E"/>
    <w:rsid w:val="003607B9"/>
    <w:rsid w:val="00360818"/>
    <w:rsid w:val="0036082B"/>
    <w:rsid w:val="003608A3"/>
    <w:rsid w:val="003608DF"/>
    <w:rsid w:val="003608EC"/>
    <w:rsid w:val="00360951"/>
    <w:rsid w:val="0036097D"/>
    <w:rsid w:val="003609A2"/>
    <w:rsid w:val="003609E8"/>
    <w:rsid w:val="003609F5"/>
    <w:rsid w:val="00360A05"/>
    <w:rsid w:val="00360A0F"/>
    <w:rsid w:val="00360A13"/>
    <w:rsid w:val="00360A18"/>
    <w:rsid w:val="00360AEB"/>
    <w:rsid w:val="00360B08"/>
    <w:rsid w:val="00360B20"/>
    <w:rsid w:val="00360B30"/>
    <w:rsid w:val="00360B39"/>
    <w:rsid w:val="00360B83"/>
    <w:rsid w:val="00360B87"/>
    <w:rsid w:val="00360BDE"/>
    <w:rsid w:val="00360C03"/>
    <w:rsid w:val="00360C3F"/>
    <w:rsid w:val="00360C57"/>
    <w:rsid w:val="00360C97"/>
    <w:rsid w:val="00360CDF"/>
    <w:rsid w:val="00360D35"/>
    <w:rsid w:val="00360D62"/>
    <w:rsid w:val="00360D7F"/>
    <w:rsid w:val="00360D95"/>
    <w:rsid w:val="00360DCA"/>
    <w:rsid w:val="00360DDD"/>
    <w:rsid w:val="00360DF3"/>
    <w:rsid w:val="00360DF8"/>
    <w:rsid w:val="00360E75"/>
    <w:rsid w:val="00360E9C"/>
    <w:rsid w:val="00360EE6"/>
    <w:rsid w:val="00360F1C"/>
    <w:rsid w:val="00360F37"/>
    <w:rsid w:val="00360F4A"/>
    <w:rsid w:val="00360FAA"/>
    <w:rsid w:val="00360FCF"/>
    <w:rsid w:val="00361066"/>
    <w:rsid w:val="003610C6"/>
    <w:rsid w:val="003610D0"/>
    <w:rsid w:val="00361168"/>
    <w:rsid w:val="00361199"/>
    <w:rsid w:val="003611AD"/>
    <w:rsid w:val="003611FA"/>
    <w:rsid w:val="003612AC"/>
    <w:rsid w:val="00361306"/>
    <w:rsid w:val="00361326"/>
    <w:rsid w:val="00361327"/>
    <w:rsid w:val="0036133A"/>
    <w:rsid w:val="0036134D"/>
    <w:rsid w:val="0036136B"/>
    <w:rsid w:val="003613A8"/>
    <w:rsid w:val="003613CD"/>
    <w:rsid w:val="0036142D"/>
    <w:rsid w:val="0036143B"/>
    <w:rsid w:val="003614C1"/>
    <w:rsid w:val="00361552"/>
    <w:rsid w:val="00361573"/>
    <w:rsid w:val="0036157C"/>
    <w:rsid w:val="003615B1"/>
    <w:rsid w:val="00361676"/>
    <w:rsid w:val="003616C0"/>
    <w:rsid w:val="003617AA"/>
    <w:rsid w:val="003617C6"/>
    <w:rsid w:val="00361808"/>
    <w:rsid w:val="0036181B"/>
    <w:rsid w:val="00361842"/>
    <w:rsid w:val="003618AD"/>
    <w:rsid w:val="003618F6"/>
    <w:rsid w:val="003619AA"/>
    <w:rsid w:val="003619F6"/>
    <w:rsid w:val="00361A8A"/>
    <w:rsid w:val="00361AA1"/>
    <w:rsid w:val="00361ADD"/>
    <w:rsid w:val="00361AE8"/>
    <w:rsid w:val="00361B10"/>
    <w:rsid w:val="00361B27"/>
    <w:rsid w:val="00361B2F"/>
    <w:rsid w:val="00361B70"/>
    <w:rsid w:val="00361BAE"/>
    <w:rsid w:val="00361C04"/>
    <w:rsid w:val="00361C1D"/>
    <w:rsid w:val="00361C1E"/>
    <w:rsid w:val="00361C2C"/>
    <w:rsid w:val="00361C84"/>
    <w:rsid w:val="00361D00"/>
    <w:rsid w:val="00361D1B"/>
    <w:rsid w:val="00361D21"/>
    <w:rsid w:val="00361D29"/>
    <w:rsid w:val="00361D58"/>
    <w:rsid w:val="00361D83"/>
    <w:rsid w:val="00361DAB"/>
    <w:rsid w:val="00361E97"/>
    <w:rsid w:val="00361EB6"/>
    <w:rsid w:val="00361EB8"/>
    <w:rsid w:val="00361ED7"/>
    <w:rsid w:val="00361F56"/>
    <w:rsid w:val="00361F57"/>
    <w:rsid w:val="00361F67"/>
    <w:rsid w:val="00361F8D"/>
    <w:rsid w:val="00361F8F"/>
    <w:rsid w:val="00361FA3"/>
    <w:rsid w:val="00361FD8"/>
    <w:rsid w:val="0036200F"/>
    <w:rsid w:val="0036202A"/>
    <w:rsid w:val="00362045"/>
    <w:rsid w:val="00362077"/>
    <w:rsid w:val="003620C7"/>
    <w:rsid w:val="003620DE"/>
    <w:rsid w:val="00362143"/>
    <w:rsid w:val="003621AC"/>
    <w:rsid w:val="003621FA"/>
    <w:rsid w:val="00362235"/>
    <w:rsid w:val="003622EA"/>
    <w:rsid w:val="0036232B"/>
    <w:rsid w:val="0036235C"/>
    <w:rsid w:val="00362421"/>
    <w:rsid w:val="00362463"/>
    <w:rsid w:val="0036246A"/>
    <w:rsid w:val="0036246B"/>
    <w:rsid w:val="00362496"/>
    <w:rsid w:val="003624F7"/>
    <w:rsid w:val="00362527"/>
    <w:rsid w:val="0036254A"/>
    <w:rsid w:val="00362569"/>
    <w:rsid w:val="003625D5"/>
    <w:rsid w:val="0036262B"/>
    <w:rsid w:val="00362649"/>
    <w:rsid w:val="0036266F"/>
    <w:rsid w:val="0036267E"/>
    <w:rsid w:val="00362691"/>
    <w:rsid w:val="003626B3"/>
    <w:rsid w:val="0036275B"/>
    <w:rsid w:val="0036276A"/>
    <w:rsid w:val="0036278E"/>
    <w:rsid w:val="003627CD"/>
    <w:rsid w:val="003627E1"/>
    <w:rsid w:val="003627E6"/>
    <w:rsid w:val="003628C8"/>
    <w:rsid w:val="003628FB"/>
    <w:rsid w:val="00362947"/>
    <w:rsid w:val="003629C9"/>
    <w:rsid w:val="00362A28"/>
    <w:rsid w:val="00362A5E"/>
    <w:rsid w:val="00362B17"/>
    <w:rsid w:val="00362B44"/>
    <w:rsid w:val="00362B4C"/>
    <w:rsid w:val="00362B77"/>
    <w:rsid w:val="00362B7F"/>
    <w:rsid w:val="00362B85"/>
    <w:rsid w:val="00362B9E"/>
    <w:rsid w:val="00362BBA"/>
    <w:rsid w:val="00362BBD"/>
    <w:rsid w:val="00362C51"/>
    <w:rsid w:val="00362C8B"/>
    <w:rsid w:val="00362C91"/>
    <w:rsid w:val="00362CA9"/>
    <w:rsid w:val="00362CB9"/>
    <w:rsid w:val="00362D00"/>
    <w:rsid w:val="00362D41"/>
    <w:rsid w:val="00362DB8"/>
    <w:rsid w:val="00362DEA"/>
    <w:rsid w:val="00362E4B"/>
    <w:rsid w:val="00362EC1"/>
    <w:rsid w:val="00362F13"/>
    <w:rsid w:val="00362F9E"/>
    <w:rsid w:val="00362FAF"/>
    <w:rsid w:val="00362FD9"/>
    <w:rsid w:val="00362FEB"/>
    <w:rsid w:val="00362FFC"/>
    <w:rsid w:val="00363044"/>
    <w:rsid w:val="003630AB"/>
    <w:rsid w:val="0036310D"/>
    <w:rsid w:val="00363126"/>
    <w:rsid w:val="00363130"/>
    <w:rsid w:val="0036316E"/>
    <w:rsid w:val="00363188"/>
    <w:rsid w:val="0036320B"/>
    <w:rsid w:val="003632B4"/>
    <w:rsid w:val="003632DD"/>
    <w:rsid w:val="00363301"/>
    <w:rsid w:val="0036333B"/>
    <w:rsid w:val="00363364"/>
    <w:rsid w:val="0036337B"/>
    <w:rsid w:val="003633AA"/>
    <w:rsid w:val="003633C6"/>
    <w:rsid w:val="003633EF"/>
    <w:rsid w:val="00363411"/>
    <w:rsid w:val="00363448"/>
    <w:rsid w:val="0036348D"/>
    <w:rsid w:val="003634CC"/>
    <w:rsid w:val="0036352B"/>
    <w:rsid w:val="00363542"/>
    <w:rsid w:val="0036355A"/>
    <w:rsid w:val="003635B0"/>
    <w:rsid w:val="003635CD"/>
    <w:rsid w:val="00363643"/>
    <w:rsid w:val="00363650"/>
    <w:rsid w:val="0036367F"/>
    <w:rsid w:val="00363680"/>
    <w:rsid w:val="003636D3"/>
    <w:rsid w:val="003636EC"/>
    <w:rsid w:val="003636EE"/>
    <w:rsid w:val="00363802"/>
    <w:rsid w:val="00363825"/>
    <w:rsid w:val="00363832"/>
    <w:rsid w:val="00363857"/>
    <w:rsid w:val="00363873"/>
    <w:rsid w:val="003638D6"/>
    <w:rsid w:val="00363916"/>
    <w:rsid w:val="0036391A"/>
    <w:rsid w:val="00363939"/>
    <w:rsid w:val="0036395E"/>
    <w:rsid w:val="003639AB"/>
    <w:rsid w:val="003639D0"/>
    <w:rsid w:val="00363A37"/>
    <w:rsid w:val="00363A61"/>
    <w:rsid w:val="00363A72"/>
    <w:rsid w:val="00363A74"/>
    <w:rsid w:val="00363A75"/>
    <w:rsid w:val="00363AD0"/>
    <w:rsid w:val="00363AD8"/>
    <w:rsid w:val="00363B06"/>
    <w:rsid w:val="00363B2D"/>
    <w:rsid w:val="00363B3A"/>
    <w:rsid w:val="00363B8F"/>
    <w:rsid w:val="00363B9F"/>
    <w:rsid w:val="00363C04"/>
    <w:rsid w:val="00363C60"/>
    <w:rsid w:val="00363CE9"/>
    <w:rsid w:val="00363D3E"/>
    <w:rsid w:val="00363D70"/>
    <w:rsid w:val="00363D92"/>
    <w:rsid w:val="00363DD3"/>
    <w:rsid w:val="00363E28"/>
    <w:rsid w:val="00363EA9"/>
    <w:rsid w:val="00363EAF"/>
    <w:rsid w:val="00363EC3"/>
    <w:rsid w:val="00363EC8"/>
    <w:rsid w:val="00363F68"/>
    <w:rsid w:val="00363F6C"/>
    <w:rsid w:val="00363F75"/>
    <w:rsid w:val="00363FC9"/>
    <w:rsid w:val="00364017"/>
    <w:rsid w:val="00364020"/>
    <w:rsid w:val="00364058"/>
    <w:rsid w:val="00364093"/>
    <w:rsid w:val="003640A3"/>
    <w:rsid w:val="003640EE"/>
    <w:rsid w:val="003640F0"/>
    <w:rsid w:val="003641AB"/>
    <w:rsid w:val="003641C5"/>
    <w:rsid w:val="00364223"/>
    <w:rsid w:val="0036422A"/>
    <w:rsid w:val="0036423F"/>
    <w:rsid w:val="00364258"/>
    <w:rsid w:val="00364279"/>
    <w:rsid w:val="003642FA"/>
    <w:rsid w:val="003643F5"/>
    <w:rsid w:val="00364402"/>
    <w:rsid w:val="00364430"/>
    <w:rsid w:val="00364437"/>
    <w:rsid w:val="00364482"/>
    <w:rsid w:val="00364485"/>
    <w:rsid w:val="0036449E"/>
    <w:rsid w:val="003644AA"/>
    <w:rsid w:val="003644FF"/>
    <w:rsid w:val="00364561"/>
    <w:rsid w:val="003645FB"/>
    <w:rsid w:val="00364623"/>
    <w:rsid w:val="00364627"/>
    <w:rsid w:val="00364686"/>
    <w:rsid w:val="003646C5"/>
    <w:rsid w:val="003646F8"/>
    <w:rsid w:val="003647AB"/>
    <w:rsid w:val="003647DC"/>
    <w:rsid w:val="003647F6"/>
    <w:rsid w:val="0036480D"/>
    <w:rsid w:val="0036481F"/>
    <w:rsid w:val="00364837"/>
    <w:rsid w:val="003648AE"/>
    <w:rsid w:val="003648BA"/>
    <w:rsid w:val="00364926"/>
    <w:rsid w:val="00364968"/>
    <w:rsid w:val="0036496D"/>
    <w:rsid w:val="0036496E"/>
    <w:rsid w:val="003649D8"/>
    <w:rsid w:val="00364A0F"/>
    <w:rsid w:val="00364A2C"/>
    <w:rsid w:val="00364A32"/>
    <w:rsid w:val="00364A4A"/>
    <w:rsid w:val="00364A96"/>
    <w:rsid w:val="00364AB6"/>
    <w:rsid w:val="00364B22"/>
    <w:rsid w:val="00364B26"/>
    <w:rsid w:val="00364B38"/>
    <w:rsid w:val="00364B5E"/>
    <w:rsid w:val="00364C40"/>
    <w:rsid w:val="00364C41"/>
    <w:rsid w:val="00364C54"/>
    <w:rsid w:val="00364C59"/>
    <w:rsid w:val="00364C81"/>
    <w:rsid w:val="00364CD7"/>
    <w:rsid w:val="00364CFD"/>
    <w:rsid w:val="00364D6F"/>
    <w:rsid w:val="00364DA4"/>
    <w:rsid w:val="00364DA9"/>
    <w:rsid w:val="00364DAE"/>
    <w:rsid w:val="00364E05"/>
    <w:rsid w:val="00364E75"/>
    <w:rsid w:val="00364E8B"/>
    <w:rsid w:val="00364EFE"/>
    <w:rsid w:val="00364FEE"/>
    <w:rsid w:val="00365015"/>
    <w:rsid w:val="0036502A"/>
    <w:rsid w:val="00365066"/>
    <w:rsid w:val="003650BB"/>
    <w:rsid w:val="003650EE"/>
    <w:rsid w:val="00365106"/>
    <w:rsid w:val="00365189"/>
    <w:rsid w:val="003651AB"/>
    <w:rsid w:val="003651EC"/>
    <w:rsid w:val="00365207"/>
    <w:rsid w:val="0036521E"/>
    <w:rsid w:val="00365243"/>
    <w:rsid w:val="003652B2"/>
    <w:rsid w:val="003652F9"/>
    <w:rsid w:val="003653A8"/>
    <w:rsid w:val="003653E2"/>
    <w:rsid w:val="003654BE"/>
    <w:rsid w:val="0036551E"/>
    <w:rsid w:val="00365522"/>
    <w:rsid w:val="00365526"/>
    <w:rsid w:val="00365558"/>
    <w:rsid w:val="0036556D"/>
    <w:rsid w:val="0036559C"/>
    <w:rsid w:val="0036560E"/>
    <w:rsid w:val="00365615"/>
    <w:rsid w:val="00365696"/>
    <w:rsid w:val="00365729"/>
    <w:rsid w:val="0036575E"/>
    <w:rsid w:val="00365789"/>
    <w:rsid w:val="00365797"/>
    <w:rsid w:val="003657A6"/>
    <w:rsid w:val="003657CD"/>
    <w:rsid w:val="003657FE"/>
    <w:rsid w:val="00365809"/>
    <w:rsid w:val="00365810"/>
    <w:rsid w:val="0036581D"/>
    <w:rsid w:val="0036589E"/>
    <w:rsid w:val="0036591C"/>
    <w:rsid w:val="0036593C"/>
    <w:rsid w:val="00365974"/>
    <w:rsid w:val="003659F3"/>
    <w:rsid w:val="003659F7"/>
    <w:rsid w:val="00365A1A"/>
    <w:rsid w:val="00365A24"/>
    <w:rsid w:val="00365A37"/>
    <w:rsid w:val="00365A4E"/>
    <w:rsid w:val="00365A73"/>
    <w:rsid w:val="00365AAA"/>
    <w:rsid w:val="00365AB1"/>
    <w:rsid w:val="00365ACB"/>
    <w:rsid w:val="00365AF7"/>
    <w:rsid w:val="00365B24"/>
    <w:rsid w:val="00365B9E"/>
    <w:rsid w:val="00365C15"/>
    <w:rsid w:val="00365CA2"/>
    <w:rsid w:val="00365CB7"/>
    <w:rsid w:val="00365CC7"/>
    <w:rsid w:val="00365CFC"/>
    <w:rsid w:val="00365D17"/>
    <w:rsid w:val="00365D72"/>
    <w:rsid w:val="00365DDE"/>
    <w:rsid w:val="00365DF7"/>
    <w:rsid w:val="00365DFC"/>
    <w:rsid w:val="00365E1C"/>
    <w:rsid w:val="00365E54"/>
    <w:rsid w:val="00365E58"/>
    <w:rsid w:val="00365E5E"/>
    <w:rsid w:val="00365E6A"/>
    <w:rsid w:val="00365EF2"/>
    <w:rsid w:val="00365FB7"/>
    <w:rsid w:val="0036602D"/>
    <w:rsid w:val="00366055"/>
    <w:rsid w:val="00366119"/>
    <w:rsid w:val="00366150"/>
    <w:rsid w:val="0036618F"/>
    <w:rsid w:val="0036619B"/>
    <w:rsid w:val="003661A4"/>
    <w:rsid w:val="003661C3"/>
    <w:rsid w:val="00366222"/>
    <w:rsid w:val="0036625B"/>
    <w:rsid w:val="0036629C"/>
    <w:rsid w:val="0036629D"/>
    <w:rsid w:val="003662B0"/>
    <w:rsid w:val="003662B7"/>
    <w:rsid w:val="003662D1"/>
    <w:rsid w:val="003662E8"/>
    <w:rsid w:val="00366305"/>
    <w:rsid w:val="00366326"/>
    <w:rsid w:val="00366360"/>
    <w:rsid w:val="00366373"/>
    <w:rsid w:val="003663BF"/>
    <w:rsid w:val="0036641E"/>
    <w:rsid w:val="0036643A"/>
    <w:rsid w:val="0036649F"/>
    <w:rsid w:val="003664AC"/>
    <w:rsid w:val="003664DA"/>
    <w:rsid w:val="003664DE"/>
    <w:rsid w:val="003664DF"/>
    <w:rsid w:val="003664E5"/>
    <w:rsid w:val="003665F6"/>
    <w:rsid w:val="003665FD"/>
    <w:rsid w:val="00366666"/>
    <w:rsid w:val="00366757"/>
    <w:rsid w:val="003667D3"/>
    <w:rsid w:val="003667E1"/>
    <w:rsid w:val="00366838"/>
    <w:rsid w:val="00366852"/>
    <w:rsid w:val="0036685C"/>
    <w:rsid w:val="0036686B"/>
    <w:rsid w:val="003668CC"/>
    <w:rsid w:val="0036691D"/>
    <w:rsid w:val="003669BB"/>
    <w:rsid w:val="003669CC"/>
    <w:rsid w:val="003669DD"/>
    <w:rsid w:val="003669EC"/>
    <w:rsid w:val="00366AA4"/>
    <w:rsid w:val="00366C09"/>
    <w:rsid w:val="00366C40"/>
    <w:rsid w:val="00366D0E"/>
    <w:rsid w:val="00366D5A"/>
    <w:rsid w:val="00366D7C"/>
    <w:rsid w:val="00366DAB"/>
    <w:rsid w:val="00366DBE"/>
    <w:rsid w:val="00366DD0"/>
    <w:rsid w:val="00366E1F"/>
    <w:rsid w:val="00366E2B"/>
    <w:rsid w:val="00366E40"/>
    <w:rsid w:val="00366E8D"/>
    <w:rsid w:val="00366EA4"/>
    <w:rsid w:val="00366EFC"/>
    <w:rsid w:val="00366F26"/>
    <w:rsid w:val="00367009"/>
    <w:rsid w:val="00367016"/>
    <w:rsid w:val="00367018"/>
    <w:rsid w:val="003670CE"/>
    <w:rsid w:val="00367143"/>
    <w:rsid w:val="0036714E"/>
    <w:rsid w:val="00367197"/>
    <w:rsid w:val="00367295"/>
    <w:rsid w:val="003672B6"/>
    <w:rsid w:val="00367315"/>
    <w:rsid w:val="00367332"/>
    <w:rsid w:val="00367345"/>
    <w:rsid w:val="00367388"/>
    <w:rsid w:val="0036738E"/>
    <w:rsid w:val="0036739F"/>
    <w:rsid w:val="003673A6"/>
    <w:rsid w:val="003673B5"/>
    <w:rsid w:val="003673EA"/>
    <w:rsid w:val="003673F1"/>
    <w:rsid w:val="0036741E"/>
    <w:rsid w:val="00367426"/>
    <w:rsid w:val="00367441"/>
    <w:rsid w:val="00367443"/>
    <w:rsid w:val="00367452"/>
    <w:rsid w:val="00367482"/>
    <w:rsid w:val="003674FB"/>
    <w:rsid w:val="00367578"/>
    <w:rsid w:val="00367598"/>
    <w:rsid w:val="003675C1"/>
    <w:rsid w:val="00367638"/>
    <w:rsid w:val="0036769C"/>
    <w:rsid w:val="0036771D"/>
    <w:rsid w:val="00367741"/>
    <w:rsid w:val="00367781"/>
    <w:rsid w:val="003677A8"/>
    <w:rsid w:val="003677AA"/>
    <w:rsid w:val="003677D3"/>
    <w:rsid w:val="003677DB"/>
    <w:rsid w:val="00367813"/>
    <w:rsid w:val="00367865"/>
    <w:rsid w:val="00367873"/>
    <w:rsid w:val="003678B0"/>
    <w:rsid w:val="003678BE"/>
    <w:rsid w:val="003678CD"/>
    <w:rsid w:val="003678F4"/>
    <w:rsid w:val="00367917"/>
    <w:rsid w:val="00367943"/>
    <w:rsid w:val="003679A5"/>
    <w:rsid w:val="00367A1B"/>
    <w:rsid w:val="00367A90"/>
    <w:rsid w:val="00367AA8"/>
    <w:rsid w:val="00367ADD"/>
    <w:rsid w:val="00367AEF"/>
    <w:rsid w:val="00367B51"/>
    <w:rsid w:val="00367BB3"/>
    <w:rsid w:val="00367BD1"/>
    <w:rsid w:val="00367BD7"/>
    <w:rsid w:val="00367C4F"/>
    <w:rsid w:val="00367D37"/>
    <w:rsid w:val="00367D39"/>
    <w:rsid w:val="00367D94"/>
    <w:rsid w:val="00367DFD"/>
    <w:rsid w:val="00367E62"/>
    <w:rsid w:val="00367E9D"/>
    <w:rsid w:val="00367EB1"/>
    <w:rsid w:val="00367EB7"/>
    <w:rsid w:val="00367ECB"/>
    <w:rsid w:val="00367EF5"/>
    <w:rsid w:val="00367EF9"/>
    <w:rsid w:val="00367F24"/>
    <w:rsid w:val="00367F40"/>
    <w:rsid w:val="00367F4A"/>
    <w:rsid w:val="00367FAD"/>
    <w:rsid w:val="00367FAF"/>
    <w:rsid w:val="00367FDB"/>
    <w:rsid w:val="00367FE7"/>
    <w:rsid w:val="0037000D"/>
    <w:rsid w:val="00370086"/>
    <w:rsid w:val="003700A1"/>
    <w:rsid w:val="003700A3"/>
    <w:rsid w:val="003700F9"/>
    <w:rsid w:val="00370136"/>
    <w:rsid w:val="0037017F"/>
    <w:rsid w:val="003701D0"/>
    <w:rsid w:val="003701EB"/>
    <w:rsid w:val="003701EF"/>
    <w:rsid w:val="003701F7"/>
    <w:rsid w:val="0037020F"/>
    <w:rsid w:val="003702FD"/>
    <w:rsid w:val="00370300"/>
    <w:rsid w:val="00370324"/>
    <w:rsid w:val="0037034C"/>
    <w:rsid w:val="00370397"/>
    <w:rsid w:val="003703AB"/>
    <w:rsid w:val="003703D0"/>
    <w:rsid w:val="00370420"/>
    <w:rsid w:val="0037055F"/>
    <w:rsid w:val="0037058C"/>
    <w:rsid w:val="003705D0"/>
    <w:rsid w:val="003705F3"/>
    <w:rsid w:val="0037061C"/>
    <w:rsid w:val="003706FC"/>
    <w:rsid w:val="0037070E"/>
    <w:rsid w:val="00370710"/>
    <w:rsid w:val="003707A0"/>
    <w:rsid w:val="003707CE"/>
    <w:rsid w:val="003707EF"/>
    <w:rsid w:val="00370867"/>
    <w:rsid w:val="00370886"/>
    <w:rsid w:val="003708A8"/>
    <w:rsid w:val="003708C5"/>
    <w:rsid w:val="003708F9"/>
    <w:rsid w:val="00370911"/>
    <w:rsid w:val="0037096F"/>
    <w:rsid w:val="00370973"/>
    <w:rsid w:val="003709B0"/>
    <w:rsid w:val="003709B2"/>
    <w:rsid w:val="003709CE"/>
    <w:rsid w:val="00370A11"/>
    <w:rsid w:val="00370A8D"/>
    <w:rsid w:val="00370B4A"/>
    <w:rsid w:val="00370B56"/>
    <w:rsid w:val="00370B63"/>
    <w:rsid w:val="00370B9A"/>
    <w:rsid w:val="00370BBF"/>
    <w:rsid w:val="00370BEB"/>
    <w:rsid w:val="00370C63"/>
    <w:rsid w:val="00370C98"/>
    <w:rsid w:val="00370CB6"/>
    <w:rsid w:val="00370CC1"/>
    <w:rsid w:val="00370DA1"/>
    <w:rsid w:val="00370DD9"/>
    <w:rsid w:val="00370E12"/>
    <w:rsid w:val="00370E15"/>
    <w:rsid w:val="00370E3C"/>
    <w:rsid w:val="00370E58"/>
    <w:rsid w:val="00370E60"/>
    <w:rsid w:val="00370F32"/>
    <w:rsid w:val="00370F5F"/>
    <w:rsid w:val="00370FB0"/>
    <w:rsid w:val="00370FCA"/>
    <w:rsid w:val="00371015"/>
    <w:rsid w:val="00371040"/>
    <w:rsid w:val="00371060"/>
    <w:rsid w:val="00371076"/>
    <w:rsid w:val="00371143"/>
    <w:rsid w:val="00371195"/>
    <w:rsid w:val="0037123F"/>
    <w:rsid w:val="00371246"/>
    <w:rsid w:val="00371253"/>
    <w:rsid w:val="00371286"/>
    <w:rsid w:val="003712A2"/>
    <w:rsid w:val="00371310"/>
    <w:rsid w:val="00371367"/>
    <w:rsid w:val="003713D6"/>
    <w:rsid w:val="003713DD"/>
    <w:rsid w:val="00371404"/>
    <w:rsid w:val="0037141D"/>
    <w:rsid w:val="00371437"/>
    <w:rsid w:val="00371438"/>
    <w:rsid w:val="00371495"/>
    <w:rsid w:val="0037151F"/>
    <w:rsid w:val="00371576"/>
    <w:rsid w:val="00371577"/>
    <w:rsid w:val="003715C0"/>
    <w:rsid w:val="003715FB"/>
    <w:rsid w:val="0037160D"/>
    <w:rsid w:val="00371641"/>
    <w:rsid w:val="00371680"/>
    <w:rsid w:val="003716D6"/>
    <w:rsid w:val="003716F5"/>
    <w:rsid w:val="0037171B"/>
    <w:rsid w:val="00371737"/>
    <w:rsid w:val="00371754"/>
    <w:rsid w:val="003717A4"/>
    <w:rsid w:val="003717F0"/>
    <w:rsid w:val="00371802"/>
    <w:rsid w:val="00371816"/>
    <w:rsid w:val="003718B7"/>
    <w:rsid w:val="003718C4"/>
    <w:rsid w:val="00371929"/>
    <w:rsid w:val="0037192E"/>
    <w:rsid w:val="00371935"/>
    <w:rsid w:val="00371957"/>
    <w:rsid w:val="00371977"/>
    <w:rsid w:val="003719CB"/>
    <w:rsid w:val="00371A8D"/>
    <w:rsid w:val="00371A9E"/>
    <w:rsid w:val="00371B0E"/>
    <w:rsid w:val="00371B1F"/>
    <w:rsid w:val="00371B3C"/>
    <w:rsid w:val="00371B47"/>
    <w:rsid w:val="00371B63"/>
    <w:rsid w:val="00371BA0"/>
    <w:rsid w:val="00371BCC"/>
    <w:rsid w:val="00371BF5"/>
    <w:rsid w:val="00371C19"/>
    <w:rsid w:val="00371C27"/>
    <w:rsid w:val="00371C4A"/>
    <w:rsid w:val="00371C9A"/>
    <w:rsid w:val="00371CD4"/>
    <w:rsid w:val="00371D7A"/>
    <w:rsid w:val="00371D7B"/>
    <w:rsid w:val="00371DE0"/>
    <w:rsid w:val="00371DE9"/>
    <w:rsid w:val="00371E1B"/>
    <w:rsid w:val="00371E4D"/>
    <w:rsid w:val="00371E51"/>
    <w:rsid w:val="00371E89"/>
    <w:rsid w:val="00371ED2"/>
    <w:rsid w:val="00371EEB"/>
    <w:rsid w:val="00371F2A"/>
    <w:rsid w:val="00371F31"/>
    <w:rsid w:val="0037206C"/>
    <w:rsid w:val="0037208B"/>
    <w:rsid w:val="003720D3"/>
    <w:rsid w:val="0037212E"/>
    <w:rsid w:val="00372216"/>
    <w:rsid w:val="0037221E"/>
    <w:rsid w:val="00372246"/>
    <w:rsid w:val="00372253"/>
    <w:rsid w:val="00372281"/>
    <w:rsid w:val="0037228C"/>
    <w:rsid w:val="003722BD"/>
    <w:rsid w:val="00372328"/>
    <w:rsid w:val="0037232E"/>
    <w:rsid w:val="00372361"/>
    <w:rsid w:val="0037237C"/>
    <w:rsid w:val="00372383"/>
    <w:rsid w:val="00372395"/>
    <w:rsid w:val="00372396"/>
    <w:rsid w:val="003723BF"/>
    <w:rsid w:val="003723EB"/>
    <w:rsid w:val="00372400"/>
    <w:rsid w:val="00372410"/>
    <w:rsid w:val="00372432"/>
    <w:rsid w:val="00372469"/>
    <w:rsid w:val="0037248B"/>
    <w:rsid w:val="003724BF"/>
    <w:rsid w:val="003724ED"/>
    <w:rsid w:val="00372527"/>
    <w:rsid w:val="003725A1"/>
    <w:rsid w:val="003725B3"/>
    <w:rsid w:val="003725F7"/>
    <w:rsid w:val="00372600"/>
    <w:rsid w:val="0037269B"/>
    <w:rsid w:val="003726A4"/>
    <w:rsid w:val="003726BF"/>
    <w:rsid w:val="003726D1"/>
    <w:rsid w:val="003726DE"/>
    <w:rsid w:val="00372715"/>
    <w:rsid w:val="00372731"/>
    <w:rsid w:val="00372737"/>
    <w:rsid w:val="0037277E"/>
    <w:rsid w:val="003727B7"/>
    <w:rsid w:val="003727EA"/>
    <w:rsid w:val="003727FB"/>
    <w:rsid w:val="00372831"/>
    <w:rsid w:val="0037287F"/>
    <w:rsid w:val="00372899"/>
    <w:rsid w:val="003728E9"/>
    <w:rsid w:val="00372909"/>
    <w:rsid w:val="003729B2"/>
    <w:rsid w:val="003729D4"/>
    <w:rsid w:val="003729F2"/>
    <w:rsid w:val="00372A0B"/>
    <w:rsid w:val="00372A2D"/>
    <w:rsid w:val="00372AA1"/>
    <w:rsid w:val="00372B27"/>
    <w:rsid w:val="00372B40"/>
    <w:rsid w:val="00372B6F"/>
    <w:rsid w:val="00372BA8"/>
    <w:rsid w:val="00372BF9"/>
    <w:rsid w:val="00372C6A"/>
    <w:rsid w:val="00372CCB"/>
    <w:rsid w:val="00372CD3"/>
    <w:rsid w:val="00372CD9"/>
    <w:rsid w:val="00372CF8"/>
    <w:rsid w:val="00372D01"/>
    <w:rsid w:val="00372D1D"/>
    <w:rsid w:val="00372D57"/>
    <w:rsid w:val="00372D6F"/>
    <w:rsid w:val="00372D89"/>
    <w:rsid w:val="00372E07"/>
    <w:rsid w:val="00372E2C"/>
    <w:rsid w:val="00372EBE"/>
    <w:rsid w:val="00372F38"/>
    <w:rsid w:val="00372F63"/>
    <w:rsid w:val="00372F65"/>
    <w:rsid w:val="00372FA8"/>
    <w:rsid w:val="00372FB0"/>
    <w:rsid w:val="00372FB1"/>
    <w:rsid w:val="00372FFB"/>
    <w:rsid w:val="0037300B"/>
    <w:rsid w:val="00373050"/>
    <w:rsid w:val="00373070"/>
    <w:rsid w:val="00373177"/>
    <w:rsid w:val="00373274"/>
    <w:rsid w:val="003732B3"/>
    <w:rsid w:val="003732B5"/>
    <w:rsid w:val="00373358"/>
    <w:rsid w:val="0037336B"/>
    <w:rsid w:val="0037339C"/>
    <w:rsid w:val="00373459"/>
    <w:rsid w:val="0037345F"/>
    <w:rsid w:val="00373471"/>
    <w:rsid w:val="00373480"/>
    <w:rsid w:val="0037355C"/>
    <w:rsid w:val="00373592"/>
    <w:rsid w:val="0037359D"/>
    <w:rsid w:val="003735EF"/>
    <w:rsid w:val="0037361A"/>
    <w:rsid w:val="0037361F"/>
    <w:rsid w:val="0037366D"/>
    <w:rsid w:val="0037366E"/>
    <w:rsid w:val="003736E5"/>
    <w:rsid w:val="0037370C"/>
    <w:rsid w:val="0037383F"/>
    <w:rsid w:val="00373864"/>
    <w:rsid w:val="003738C3"/>
    <w:rsid w:val="0037390E"/>
    <w:rsid w:val="00373957"/>
    <w:rsid w:val="00373964"/>
    <w:rsid w:val="00373997"/>
    <w:rsid w:val="003739DE"/>
    <w:rsid w:val="00373A29"/>
    <w:rsid w:val="00373A31"/>
    <w:rsid w:val="00373A85"/>
    <w:rsid w:val="00373AAC"/>
    <w:rsid w:val="00373AEF"/>
    <w:rsid w:val="00373B31"/>
    <w:rsid w:val="00373BA4"/>
    <w:rsid w:val="00373BB2"/>
    <w:rsid w:val="00373BC5"/>
    <w:rsid w:val="00373BDE"/>
    <w:rsid w:val="00373BF9"/>
    <w:rsid w:val="00373BFA"/>
    <w:rsid w:val="00373C4C"/>
    <w:rsid w:val="00373C56"/>
    <w:rsid w:val="00373C81"/>
    <w:rsid w:val="00373CC2"/>
    <w:rsid w:val="00373CDA"/>
    <w:rsid w:val="00373D03"/>
    <w:rsid w:val="00373D6C"/>
    <w:rsid w:val="00373D6E"/>
    <w:rsid w:val="00373E6B"/>
    <w:rsid w:val="00373EBC"/>
    <w:rsid w:val="00373EE6"/>
    <w:rsid w:val="00373F61"/>
    <w:rsid w:val="00373F81"/>
    <w:rsid w:val="00373FFB"/>
    <w:rsid w:val="00374024"/>
    <w:rsid w:val="00374042"/>
    <w:rsid w:val="0037407A"/>
    <w:rsid w:val="003740FE"/>
    <w:rsid w:val="00374110"/>
    <w:rsid w:val="00374145"/>
    <w:rsid w:val="0037414D"/>
    <w:rsid w:val="00374165"/>
    <w:rsid w:val="0037418D"/>
    <w:rsid w:val="003741D9"/>
    <w:rsid w:val="0037426B"/>
    <w:rsid w:val="003742DC"/>
    <w:rsid w:val="0037437B"/>
    <w:rsid w:val="00374403"/>
    <w:rsid w:val="0037449A"/>
    <w:rsid w:val="003744FB"/>
    <w:rsid w:val="0037455E"/>
    <w:rsid w:val="0037456E"/>
    <w:rsid w:val="0037459B"/>
    <w:rsid w:val="003745A4"/>
    <w:rsid w:val="003745FE"/>
    <w:rsid w:val="0037461F"/>
    <w:rsid w:val="00374657"/>
    <w:rsid w:val="003746BF"/>
    <w:rsid w:val="003746C7"/>
    <w:rsid w:val="003746E3"/>
    <w:rsid w:val="0037474E"/>
    <w:rsid w:val="00374776"/>
    <w:rsid w:val="00374846"/>
    <w:rsid w:val="00374863"/>
    <w:rsid w:val="00374869"/>
    <w:rsid w:val="003748A7"/>
    <w:rsid w:val="003748BF"/>
    <w:rsid w:val="003748F6"/>
    <w:rsid w:val="0037490C"/>
    <w:rsid w:val="0037493C"/>
    <w:rsid w:val="0037494A"/>
    <w:rsid w:val="00374952"/>
    <w:rsid w:val="00374978"/>
    <w:rsid w:val="003749A5"/>
    <w:rsid w:val="003749A6"/>
    <w:rsid w:val="003749E9"/>
    <w:rsid w:val="003749ED"/>
    <w:rsid w:val="00374A29"/>
    <w:rsid w:val="00374A5E"/>
    <w:rsid w:val="00374A76"/>
    <w:rsid w:val="00374A7B"/>
    <w:rsid w:val="00374B13"/>
    <w:rsid w:val="00374B64"/>
    <w:rsid w:val="00374B67"/>
    <w:rsid w:val="00374BB8"/>
    <w:rsid w:val="00374BD4"/>
    <w:rsid w:val="00374BE1"/>
    <w:rsid w:val="00374BF3"/>
    <w:rsid w:val="00374C35"/>
    <w:rsid w:val="00374C98"/>
    <w:rsid w:val="00374CF5"/>
    <w:rsid w:val="00374DA6"/>
    <w:rsid w:val="00374EFB"/>
    <w:rsid w:val="00374F0A"/>
    <w:rsid w:val="00374F1A"/>
    <w:rsid w:val="00374F2A"/>
    <w:rsid w:val="00374F38"/>
    <w:rsid w:val="00374F48"/>
    <w:rsid w:val="00374F7D"/>
    <w:rsid w:val="00374FC4"/>
    <w:rsid w:val="00374FCD"/>
    <w:rsid w:val="00375045"/>
    <w:rsid w:val="0037506B"/>
    <w:rsid w:val="003750AA"/>
    <w:rsid w:val="003750EE"/>
    <w:rsid w:val="0037510C"/>
    <w:rsid w:val="00375187"/>
    <w:rsid w:val="003751B9"/>
    <w:rsid w:val="003751E8"/>
    <w:rsid w:val="003751FB"/>
    <w:rsid w:val="00375214"/>
    <w:rsid w:val="0037524C"/>
    <w:rsid w:val="00375263"/>
    <w:rsid w:val="00375275"/>
    <w:rsid w:val="0037527B"/>
    <w:rsid w:val="003752A5"/>
    <w:rsid w:val="003752C5"/>
    <w:rsid w:val="003752DA"/>
    <w:rsid w:val="0037531B"/>
    <w:rsid w:val="00375342"/>
    <w:rsid w:val="0037544E"/>
    <w:rsid w:val="00375450"/>
    <w:rsid w:val="00375481"/>
    <w:rsid w:val="00375498"/>
    <w:rsid w:val="003754E1"/>
    <w:rsid w:val="003754E4"/>
    <w:rsid w:val="003754E8"/>
    <w:rsid w:val="0037554E"/>
    <w:rsid w:val="00375580"/>
    <w:rsid w:val="003755B8"/>
    <w:rsid w:val="00375622"/>
    <w:rsid w:val="0037564E"/>
    <w:rsid w:val="003756E8"/>
    <w:rsid w:val="00375716"/>
    <w:rsid w:val="0037577B"/>
    <w:rsid w:val="003758B7"/>
    <w:rsid w:val="00375959"/>
    <w:rsid w:val="003759FA"/>
    <w:rsid w:val="00375A38"/>
    <w:rsid w:val="00375A8B"/>
    <w:rsid w:val="00375A9C"/>
    <w:rsid w:val="00375AB7"/>
    <w:rsid w:val="00375AC7"/>
    <w:rsid w:val="00375ACF"/>
    <w:rsid w:val="00375AEF"/>
    <w:rsid w:val="00375AF9"/>
    <w:rsid w:val="00375AFA"/>
    <w:rsid w:val="00375B17"/>
    <w:rsid w:val="00375B2A"/>
    <w:rsid w:val="00375B3B"/>
    <w:rsid w:val="00375B5B"/>
    <w:rsid w:val="00375B9C"/>
    <w:rsid w:val="00375BBB"/>
    <w:rsid w:val="00375BE7"/>
    <w:rsid w:val="00375C03"/>
    <w:rsid w:val="00375C68"/>
    <w:rsid w:val="00375C7C"/>
    <w:rsid w:val="00375C9A"/>
    <w:rsid w:val="00375D05"/>
    <w:rsid w:val="00375D1F"/>
    <w:rsid w:val="00375D60"/>
    <w:rsid w:val="00375D91"/>
    <w:rsid w:val="00375DA3"/>
    <w:rsid w:val="00375DD9"/>
    <w:rsid w:val="00375DF3"/>
    <w:rsid w:val="00375DFE"/>
    <w:rsid w:val="00375E04"/>
    <w:rsid w:val="00375E05"/>
    <w:rsid w:val="00375EE7"/>
    <w:rsid w:val="00375EEF"/>
    <w:rsid w:val="00375F59"/>
    <w:rsid w:val="00375F74"/>
    <w:rsid w:val="00376020"/>
    <w:rsid w:val="003760BE"/>
    <w:rsid w:val="003760CC"/>
    <w:rsid w:val="003760D4"/>
    <w:rsid w:val="003760D7"/>
    <w:rsid w:val="003760F1"/>
    <w:rsid w:val="003761C8"/>
    <w:rsid w:val="003761E0"/>
    <w:rsid w:val="003761F6"/>
    <w:rsid w:val="00376208"/>
    <w:rsid w:val="0037624E"/>
    <w:rsid w:val="003762BD"/>
    <w:rsid w:val="003762DF"/>
    <w:rsid w:val="003762E7"/>
    <w:rsid w:val="003762FE"/>
    <w:rsid w:val="00376301"/>
    <w:rsid w:val="0037632B"/>
    <w:rsid w:val="0037633B"/>
    <w:rsid w:val="003763FA"/>
    <w:rsid w:val="00376478"/>
    <w:rsid w:val="00376513"/>
    <w:rsid w:val="00376515"/>
    <w:rsid w:val="00376518"/>
    <w:rsid w:val="003765A8"/>
    <w:rsid w:val="003765AB"/>
    <w:rsid w:val="003765EF"/>
    <w:rsid w:val="00376604"/>
    <w:rsid w:val="0037662E"/>
    <w:rsid w:val="00376638"/>
    <w:rsid w:val="00376656"/>
    <w:rsid w:val="0037665C"/>
    <w:rsid w:val="0037666C"/>
    <w:rsid w:val="0037666F"/>
    <w:rsid w:val="003766C0"/>
    <w:rsid w:val="003766F3"/>
    <w:rsid w:val="00376755"/>
    <w:rsid w:val="00376773"/>
    <w:rsid w:val="00376782"/>
    <w:rsid w:val="00376790"/>
    <w:rsid w:val="00376827"/>
    <w:rsid w:val="0037686D"/>
    <w:rsid w:val="0037687C"/>
    <w:rsid w:val="003768C6"/>
    <w:rsid w:val="003768E6"/>
    <w:rsid w:val="003768EB"/>
    <w:rsid w:val="003768FB"/>
    <w:rsid w:val="00376958"/>
    <w:rsid w:val="00376A54"/>
    <w:rsid w:val="00376A83"/>
    <w:rsid w:val="00376A93"/>
    <w:rsid w:val="00376AD6"/>
    <w:rsid w:val="00376B06"/>
    <w:rsid w:val="00376B4E"/>
    <w:rsid w:val="00376B51"/>
    <w:rsid w:val="00376BA7"/>
    <w:rsid w:val="00376BAE"/>
    <w:rsid w:val="00376BB6"/>
    <w:rsid w:val="00376BC8"/>
    <w:rsid w:val="00376BCE"/>
    <w:rsid w:val="00376C2C"/>
    <w:rsid w:val="00376C30"/>
    <w:rsid w:val="00376C3E"/>
    <w:rsid w:val="00376C7B"/>
    <w:rsid w:val="00376C88"/>
    <w:rsid w:val="00376C98"/>
    <w:rsid w:val="00376D58"/>
    <w:rsid w:val="00376D84"/>
    <w:rsid w:val="00376D8F"/>
    <w:rsid w:val="00376DB0"/>
    <w:rsid w:val="00376E78"/>
    <w:rsid w:val="00376E97"/>
    <w:rsid w:val="00376EB7"/>
    <w:rsid w:val="00376ED4"/>
    <w:rsid w:val="00376F09"/>
    <w:rsid w:val="00376F13"/>
    <w:rsid w:val="0037705D"/>
    <w:rsid w:val="00377076"/>
    <w:rsid w:val="00377095"/>
    <w:rsid w:val="003770E4"/>
    <w:rsid w:val="003770F7"/>
    <w:rsid w:val="003770FA"/>
    <w:rsid w:val="00377106"/>
    <w:rsid w:val="003771BF"/>
    <w:rsid w:val="003771CA"/>
    <w:rsid w:val="003771D1"/>
    <w:rsid w:val="003771F7"/>
    <w:rsid w:val="0037721E"/>
    <w:rsid w:val="00377221"/>
    <w:rsid w:val="00377223"/>
    <w:rsid w:val="0037722D"/>
    <w:rsid w:val="00377288"/>
    <w:rsid w:val="00377364"/>
    <w:rsid w:val="00377380"/>
    <w:rsid w:val="003773AD"/>
    <w:rsid w:val="0037748A"/>
    <w:rsid w:val="0037748C"/>
    <w:rsid w:val="003774AD"/>
    <w:rsid w:val="003774B4"/>
    <w:rsid w:val="00377527"/>
    <w:rsid w:val="0037752A"/>
    <w:rsid w:val="0037761B"/>
    <w:rsid w:val="0037762A"/>
    <w:rsid w:val="00377665"/>
    <w:rsid w:val="0037766B"/>
    <w:rsid w:val="003776E0"/>
    <w:rsid w:val="0037775A"/>
    <w:rsid w:val="0037775F"/>
    <w:rsid w:val="0037779D"/>
    <w:rsid w:val="0037779E"/>
    <w:rsid w:val="0037779F"/>
    <w:rsid w:val="003777ED"/>
    <w:rsid w:val="0037791C"/>
    <w:rsid w:val="0037793C"/>
    <w:rsid w:val="003779B3"/>
    <w:rsid w:val="003779B9"/>
    <w:rsid w:val="003779C5"/>
    <w:rsid w:val="00377A16"/>
    <w:rsid w:val="00377A85"/>
    <w:rsid w:val="00377AEB"/>
    <w:rsid w:val="00377AF5"/>
    <w:rsid w:val="00377B0C"/>
    <w:rsid w:val="00377B28"/>
    <w:rsid w:val="00377B2F"/>
    <w:rsid w:val="00377B37"/>
    <w:rsid w:val="00377B43"/>
    <w:rsid w:val="00377B69"/>
    <w:rsid w:val="00377B92"/>
    <w:rsid w:val="00377C04"/>
    <w:rsid w:val="00377C08"/>
    <w:rsid w:val="00377C24"/>
    <w:rsid w:val="00377C3E"/>
    <w:rsid w:val="00377C50"/>
    <w:rsid w:val="00377C8D"/>
    <w:rsid w:val="00377CB7"/>
    <w:rsid w:val="00377CDB"/>
    <w:rsid w:val="00377D59"/>
    <w:rsid w:val="00377D61"/>
    <w:rsid w:val="00377D9B"/>
    <w:rsid w:val="00377E0F"/>
    <w:rsid w:val="00377E1C"/>
    <w:rsid w:val="00377E2A"/>
    <w:rsid w:val="00377E5E"/>
    <w:rsid w:val="00377EB1"/>
    <w:rsid w:val="00377EF4"/>
    <w:rsid w:val="00377F12"/>
    <w:rsid w:val="00377F19"/>
    <w:rsid w:val="00377F57"/>
    <w:rsid w:val="00377F82"/>
    <w:rsid w:val="00377F83"/>
    <w:rsid w:val="00377FF8"/>
    <w:rsid w:val="00380074"/>
    <w:rsid w:val="003800A6"/>
    <w:rsid w:val="003800E7"/>
    <w:rsid w:val="00380165"/>
    <w:rsid w:val="003801D1"/>
    <w:rsid w:val="00380239"/>
    <w:rsid w:val="0038025C"/>
    <w:rsid w:val="0038026C"/>
    <w:rsid w:val="003802BD"/>
    <w:rsid w:val="003802C7"/>
    <w:rsid w:val="003802DE"/>
    <w:rsid w:val="003802F8"/>
    <w:rsid w:val="0038032D"/>
    <w:rsid w:val="0038033B"/>
    <w:rsid w:val="003803B3"/>
    <w:rsid w:val="003803D2"/>
    <w:rsid w:val="00380402"/>
    <w:rsid w:val="0038040B"/>
    <w:rsid w:val="0038044A"/>
    <w:rsid w:val="00380455"/>
    <w:rsid w:val="00380485"/>
    <w:rsid w:val="00380498"/>
    <w:rsid w:val="003804A0"/>
    <w:rsid w:val="003804AA"/>
    <w:rsid w:val="0038052C"/>
    <w:rsid w:val="0038054D"/>
    <w:rsid w:val="00380554"/>
    <w:rsid w:val="0038055D"/>
    <w:rsid w:val="003805C3"/>
    <w:rsid w:val="003805F3"/>
    <w:rsid w:val="00380609"/>
    <w:rsid w:val="0038061E"/>
    <w:rsid w:val="0038063E"/>
    <w:rsid w:val="003806B4"/>
    <w:rsid w:val="003806C0"/>
    <w:rsid w:val="003806CB"/>
    <w:rsid w:val="00380738"/>
    <w:rsid w:val="0038076A"/>
    <w:rsid w:val="00380851"/>
    <w:rsid w:val="00380877"/>
    <w:rsid w:val="003808E7"/>
    <w:rsid w:val="00380909"/>
    <w:rsid w:val="00380918"/>
    <w:rsid w:val="00380921"/>
    <w:rsid w:val="00380935"/>
    <w:rsid w:val="00380940"/>
    <w:rsid w:val="00380A04"/>
    <w:rsid w:val="00380A1E"/>
    <w:rsid w:val="00380A31"/>
    <w:rsid w:val="00380A85"/>
    <w:rsid w:val="00380A87"/>
    <w:rsid w:val="00380B10"/>
    <w:rsid w:val="00380B21"/>
    <w:rsid w:val="00380B94"/>
    <w:rsid w:val="00380C01"/>
    <w:rsid w:val="00380C0D"/>
    <w:rsid w:val="00380C49"/>
    <w:rsid w:val="00380C69"/>
    <w:rsid w:val="00380CE7"/>
    <w:rsid w:val="00380D17"/>
    <w:rsid w:val="00380D6F"/>
    <w:rsid w:val="00380D72"/>
    <w:rsid w:val="00380DC0"/>
    <w:rsid w:val="00380DC5"/>
    <w:rsid w:val="00380DD2"/>
    <w:rsid w:val="00380DF8"/>
    <w:rsid w:val="00380E21"/>
    <w:rsid w:val="00380E53"/>
    <w:rsid w:val="00380E6A"/>
    <w:rsid w:val="00380E6D"/>
    <w:rsid w:val="00380EB6"/>
    <w:rsid w:val="00380ED3"/>
    <w:rsid w:val="00380FE3"/>
    <w:rsid w:val="00380FF5"/>
    <w:rsid w:val="00381042"/>
    <w:rsid w:val="00381054"/>
    <w:rsid w:val="00381075"/>
    <w:rsid w:val="0038107E"/>
    <w:rsid w:val="003810AC"/>
    <w:rsid w:val="003810B4"/>
    <w:rsid w:val="003810CF"/>
    <w:rsid w:val="003810DF"/>
    <w:rsid w:val="00381149"/>
    <w:rsid w:val="0038116C"/>
    <w:rsid w:val="003811B0"/>
    <w:rsid w:val="003811FC"/>
    <w:rsid w:val="0038120D"/>
    <w:rsid w:val="0038122D"/>
    <w:rsid w:val="0038124B"/>
    <w:rsid w:val="00381286"/>
    <w:rsid w:val="0038128A"/>
    <w:rsid w:val="00381353"/>
    <w:rsid w:val="003813AE"/>
    <w:rsid w:val="00381454"/>
    <w:rsid w:val="003814D9"/>
    <w:rsid w:val="003814DC"/>
    <w:rsid w:val="003814E6"/>
    <w:rsid w:val="0038150D"/>
    <w:rsid w:val="0038152A"/>
    <w:rsid w:val="0038156A"/>
    <w:rsid w:val="0038156F"/>
    <w:rsid w:val="00381609"/>
    <w:rsid w:val="0038161F"/>
    <w:rsid w:val="00381677"/>
    <w:rsid w:val="0038168C"/>
    <w:rsid w:val="003816B9"/>
    <w:rsid w:val="003816BF"/>
    <w:rsid w:val="003816FA"/>
    <w:rsid w:val="00381777"/>
    <w:rsid w:val="00381793"/>
    <w:rsid w:val="003817A8"/>
    <w:rsid w:val="003817F4"/>
    <w:rsid w:val="00381841"/>
    <w:rsid w:val="00381852"/>
    <w:rsid w:val="00381888"/>
    <w:rsid w:val="0038189C"/>
    <w:rsid w:val="00381925"/>
    <w:rsid w:val="0038193C"/>
    <w:rsid w:val="00381983"/>
    <w:rsid w:val="003819A7"/>
    <w:rsid w:val="00381A19"/>
    <w:rsid w:val="00381B0E"/>
    <w:rsid w:val="00381B28"/>
    <w:rsid w:val="00381B3B"/>
    <w:rsid w:val="00381BBC"/>
    <w:rsid w:val="00381BCA"/>
    <w:rsid w:val="00381BF4"/>
    <w:rsid w:val="00381C4B"/>
    <w:rsid w:val="00381CD0"/>
    <w:rsid w:val="00381D5D"/>
    <w:rsid w:val="00381D71"/>
    <w:rsid w:val="00381D73"/>
    <w:rsid w:val="00381DAC"/>
    <w:rsid w:val="00381E52"/>
    <w:rsid w:val="00381EA4"/>
    <w:rsid w:val="00381EAB"/>
    <w:rsid w:val="00381EAD"/>
    <w:rsid w:val="00381F50"/>
    <w:rsid w:val="00381F98"/>
    <w:rsid w:val="00381FAC"/>
    <w:rsid w:val="00381FD0"/>
    <w:rsid w:val="00381FE6"/>
    <w:rsid w:val="00381FF5"/>
    <w:rsid w:val="00381FF8"/>
    <w:rsid w:val="0038209D"/>
    <w:rsid w:val="003820B3"/>
    <w:rsid w:val="00382104"/>
    <w:rsid w:val="0038210C"/>
    <w:rsid w:val="00382119"/>
    <w:rsid w:val="00382136"/>
    <w:rsid w:val="00382162"/>
    <w:rsid w:val="003821A7"/>
    <w:rsid w:val="003821CB"/>
    <w:rsid w:val="003821EF"/>
    <w:rsid w:val="00382217"/>
    <w:rsid w:val="00382230"/>
    <w:rsid w:val="0038225C"/>
    <w:rsid w:val="00382280"/>
    <w:rsid w:val="003822A4"/>
    <w:rsid w:val="00382308"/>
    <w:rsid w:val="00382326"/>
    <w:rsid w:val="00382357"/>
    <w:rsid w:val="00382366"/>
    <w:rsid w:val="003823DF"/>
    <w:rsid w:val="0038244C"/>
    <w:rsid w:val="00382482"/>
    <w:rsid w:val="00382488"/>
    <w:rsid w:val="0038252B"/>
    <w:rsid w:val="003825A1"/>
    <w:rsid w:val="003825A5"/>
    <w:rsid w:val="003825CC"/>
    <w:rsid w:val="003825DE"/>
    <w:rsid w:val="00382603"/>
    <w:rsid w:val="00382613"/>
    <w:rsid w:val="00382615"/>
    <w:rsid w:val="00382628"/>
    <w:rsid w:val="0038263A"/>
    <w:rsid w:val="0038265F"/>
    <w:rsid w:val="00382677"/>
    <w:rsid w:val="0038267C"/>
    <w:rsid w:val="0038267D"/>
    <w:rsid w:val="00382703"/>
    <w:rsid w:val="00382726"/>
    <w:rsid w:val="0038273D"/>
    <w:rsid w:val="0038274E"/>
    <w:rsid w:val="00382750"/>
    <w:rsid w:val="003827AA"/>
    <w:rsid w:val="003827B6"/>
    <w:rsid w:val="003827BB"/>
    <w:rsid w:val="003827C1"/>
    <w:rsid w:val="00382882"/>
    <w:rsid w:val="00382885"/>
    <w:rsid w:val="0038288C"/>
    <w:rsid w:val="003828E4"/>
    <w:rsid w:val="003828F7"/>
    <w:rsid w:val="00382993"/>
    <w:rsid w:val="00382A67"/>
    <w:rsid w:val="00382AFD"/>
    <w:rsid w:val="00382B8A"/>
    <w:rsid w:val="00382B8F"/>
    <w:rsid w:val="00382BCC"/>
    <w:rsid w:val="00382BD0"/>
    <w:rsid w:val="00382C00"/>
    <w:rsid w:val="00382C16"/>
    <w:rsid w:val="00382CB9"/>
    <w:rsid w:val="00382D16"/>
    <w:rsid w:val="00382D32"/>
    <w:rsid w:val="00382D68"/>
    <w:rsid w:val="00382D7E"/>
    <w:rsid w:val="00382DA1"/>
    <w:rsid w:val="00382DD8"/>
    <w:rsid w:val="00382EF4"/>
    <w:rsid w:val="00382F3F"/>
    <w:rsid w:val="00382FD0"/>
    <w:rsid w:val="00383036"/>
    <w:rsid w:val="0038307C"/>
    <w:rsid w:val="00383094"/>
    <w:rsid w:val="003830A8"/>
    <w:rsid w:val="00383112"/>
    <w:rsid w:val="00383152"/>
    <w:rsid w:val="00383173"/>
    <w:rsid w:val="00383177"/>
    <w:rsid w:val="003831B5"/>
    <w:rsid w:val="00383268"/>
    <w:rsid w:val="0038327E"/>
    <w:rsid w:val="003832B2"/>
    <w:rsid w:val="003832B4"/>
    <w:rsid w:val="003832FF"/>
    <w:rsid w:val="00383358"/>
    <w:rsid w:val="00383397"/>
    <w:rsid w:val="003833DC"/>
    <w:rsid w:val="0038343D"/>
    <w:rsid w:val="0038346D"/>
    <w:rsid w:val="0038348C"/>
    <w:rsid w:val="0038349F"/>
    <w:rsid w:val="003834E4"/>
    <w:rsid w:val="00383513"/>
    <w:rsid w:val="0038358F"/>
    <w:rsid w:val="003835A9"/>
    <w:rsid w:val="003835D2"/>
    <w:rsid w:val="00383626"/>
    <w:rsid w:val="0038364D"/>
    <w:rsid w:val="0038365C"/>
    <w:rsid w:val="003836A2"/>
    <w:rsid w:val="003836D1"/>
    <w:rsid w:val="003836E2"/>
    <w:rsid w:val="00383713"/>
    <w:rsid w:val="00383717"/>
    <w:rsid w:val="0038371A"/>
    <w:rsid w:val="003837BE"/>
    <w:rsid w:val="003837D3"/>
    <w:rsid w:val="00383837"/>
    <w:rsid w:val="00383864"/>
    <w:rsid w:val="0038389F"/>
    <w:rsid w:val="003838DE"/>
    <w:rsid w:val="00383903"/>
    <w:rsid w:val="0038390F"/>
    <w:rsid w:val="00383915"/>
    <w:rsid w:val="00383990"/>
    <w:rsid w:val="0038399A"/>
    <w:rsid w:val="003839A8"/>
    <w:rsid w:val="00383A44"/>
    <w:rsid w:val="00383A46"/>
    <w:rsid w:val="00383A89"/>
    <w:rsid w:val="00383AA0"/>
    <w:rsid w:val="00383ACA"/>
    <w:rsid w:val="00383BD6"/>
    <w:rsid w:val="00383BDE"/>
    <w:rsid w:val="00383BFF"/>
    <w:rsid w:val="00383C98"/>
    <w:rsid w:val="00383CE2"/>
    <w:rsid w:val="00383D01"/>
    <w:rsid w:val="00383D04"/>
    <w:rsid w:val="00383D22"/>
    <w:rsid w:val="00383D42"/>
    <w:rsid w:val="00383D6A"/>
    <w:rsid w:val="00383DC3"/>
    <w:rsid w:val="00383DCD"/>
    <w:rsid w:val="00383E39"/>
    <w:rsid w:val="00383E3F"/>
    <w:rsid w:val="00383E5C"/>
    <w:rsid w:val="00383E6A"/>
    <w:rsid w:val="00383E7B"/>
    <w:rsid w:val="00383F18"/>
    <w:rsid w:val="00383F54"/>
    <w:rsid w:val="00383F9D"/>
    <w:rsid w:val="00383FB0"/>
    <w:rsid w:val="00384048"/>
    <w:rsid w:val="00384167"/>
    <w:rsid w:val="0038418B"/>
    <w:rsid w:val="003841BC"/>
    <w:rsid w:val="003841E1"/>
    <w:rsid w:val="0038423F"/>
    <w:rsid w:val="00384241"/>
    <w:rsid w:val="00384383"/>
    <w:rsid w:val="0038438D"/>
    <w:rsid w:val="0038439E"/>
    <w:rsid w:val="003843D0"/>
    <w:rsid w:val="003843F4"/>
    <w:rsid w:val="00384449"/>
    <w:rsid w:val="003844A0"/>
    <w:rsid w:val="003844C7"/>
    <w:rsid w:val="003844FA"/>
    <w:rsid w:val="00384501"/>
    <w:rsid w:val="0038450B"/>
    <w:rsid w:val="0038455F"/>
    <w:rsid w:val="00384593"/>
    <w:rsid w:val="0038460D"/>
    <w:rsid w:val="00384611"/>
    <w:rsid w:val="00384667"/>
    <w:rsid w:val="003846CF"/>
    <w:rsid w:val="0038475D"/>
    <w:rsid w:val="003847C4"/>
    <w:rsid w:val="00384809"/>
    <w:rsid w:val="00384825"/>
    <w:rsid w:val="003848A1"/>
    <w:rsid w:val="003848EF"/>
    <w:rsid w:val="003848F8"/>
    <w:rsid w:val="003849C9"/>
    <w:rsid w:val="00384A10"/>
    <w:rsid w:val="00384A37"/>
    <w:rsid w:val="00384A43"/>
    <w:rsid w:val="00384A47"/>
    <w:rsid w:val="00384A4E"/>
    <w:rsid w:val="00384AED"/>
    <w:rsid w:val="00384B0D"/>
    <w:rsid w:val="00384B61"/>
    <w:rsid w:val="00384B7C"/>
    <w:rsid w:val="00384C02"/>
    <w:rsid w:val="00384C5D"/>
    <w:rsid w:val="00384CAB"/>
    <w:rsid w:val="00384CC6"/>
    <w:rsid w:val="00384CED"/>
    <w:rsid w:val="00384D08"/>
    <w:rsid w:val="00384D3A"/>
    <w:rsid w:val="00384D72"/>
    <w:rsid w:val="00384D7C"/>
    <w:rsid w:val="00384DC2"/>
    <w:rsid w:val="00384E3A"/>
    <w:rsid w:val="00384E3E"/>
    <w:rsid w:val="00384E70"/>
    <w:rsid w:val="00384EA7"/>
    <w:rsid w:val="00384F03"/>
    <w:rsid w:val="00384F09"/>
    <w:rsid w:val="00384F1C"/>
    <w:rsid w:val="00384F1F"/>
    <w:rsid w:val="00384F5F"/>
    <w:rsid w:val="00384F81"/>
    <w:rsid w:val="00385004"/>
    <w:rsid w:val="0038500B"/>
    <w:rsid w:val="00385012"/>
    <w:rsid w:val="00385069"/>
    <w:rsid w:val="003850C9"/>
    <w:rsid w:val="003850D5"/>
    <w:rsid w:val="003850F7"/>
    <w:rsid w:val="0038510C"/>
    <w:rsid w:val="0038514D"/>
    <w:rsid w:val="003851A5"/>
    <w:rsid w:val="003851A6"/>
    <w:rsid w:val="003851D9"/>
    <w:rsid w:val="00385227"/>
    <w:rsid w:val="0038522E"/>
    <w:rsid w:val="00385250"/>
    <w:rsid w:val="0038526C"/>
    <w:rsid w:val="0038526F"/>
    <w:rsid w:val="003852AE"/>
    <w:rsid w:val="003852DE"/>
    <w:rsid w:val="003852E2"/>
    <w:rsid w:val="00385367"/>
    <w:rsid w:val="0038536F"/>
    <w:rsid w:val="0038538C"/>
    <w:rsid w:val="00385429"/>
    <w:rsid w:val="00385467"/>
    <w:rsid w:val="00385476"/>
    <w:rsid w:val="00385478"/>
    <w:rsid w:val="003854A4"/>
    <w:rsid w:val="003854B4"/>
    <w:rsid w:val="003854C5"/>
    <w:rsid w:val="003854D1"/>
    <w:rsid w:val="003854E1"/>
    <w:rsid w:val="00385502"/>
    <w:rsid w:val="00385505"/>
    <w:rsid w:val="0038550B"/>
    <w:rsid w:val="00385562"/>
    <w:rsid w:val="003855DB"/>
    <w:rsid w:val="003855F1"/>
    <w:rsid w:val="003855F2"/>
    <w:rsid w:val="003855F7"/>
    <w:rsid w:val="00385648"/>
    <w:rsid w:val="0038566B"/>
    <w:rsid w:val="00385679"/>
    <w:rsid w:val="003856A1"/>
    <w:rsid w:val="003856F0"/>
    <w:rsid w:val="003856F2"/>
    <w:rsid w:val="0038572E"/>
    <w:rsid w:val="00385734"/>
    <w:rsid w:val="00385757"/>
    <w:rsid w:val="0038576B"/>
    <w:rsid w:val="003857A1"/>
    <w:rsid w:val="00385835"/>
    <w:rsid w:val="0038583D"/>
    <w:rsid w:val="00385853"/>
    <w:rsid w:val="00385873"/>
    <w:rsid w:val="0038588D"/>
    <w:rsid w:val="003858A1"/>
    <w:rsid w:val="003858AF"/>
    <w:rsid w:val="003858DD"/>
    <w:rsid w:val="00385945"/>
    <w:rsid w:val="0038594C"/>
    <w:rsid w:val="0038598D"/>
    <w:rsid w:val="00385995"/>
    <w:rsid w:val="003859B4"/>
    <w:rsid w:val="00385A2D"/>
    <w:rsid w:val="00385AC3"/>
    <w:rsid w:val="00385B47"/>
    <w:rsid w:val="00385B71"/>
    <w:rsid w:val="00385B85"/>
    <w:rsid w:val="00385C1D"/>
    <w:rsid w:val="00385C2A"/>
    <w:rsid w:val="00385C5D"/>
    <w:rsid w:val="00385C5E"/>
    <w:rsid w:val="00385CC8"/>
    <w:rsid w:val="00385CE8"/>
    <w:rsid w:val="00385D19"/>
    <w:rsid w:val="00385D26"/>
    <w:rsid w:val="00385DEA"/>
    <w:rsid w:val="00385E64"/>
    <w:rsid w:val="00385E6C"/>
    <w:rsid w:val="00385E7F"/>
    <w:rsid w:val="00385E92"/>
    <w:rsid w:val="00385E9F"/>
    <w:rsid w:val="00385EDD"/>
    <w:rsid w:val="00385F83"/>
    <w:rsid w:val="00385F88"/>
    <w:rsid w:val="00385FBB"/>
    <w:rsid w:val="0038601E"/>
    <w:rsid w:val="0038604B"/>
    <w:rsid w:val="0038605A"/>
    <w:rsid w:val="00386088"/>
    <w:rsid w:val="0038608A"/>
    <w:rsid w:val="003860DE"/>
    <w:rsid w:val="0038610E"/>
    <w:rsid w:val="00386121"/>
    <w:rsid w:val="0038615E"/>
    <w:rsid w:val="00386175"/>
    <w:rsid w:val="0038619E"/>
    <w:rsid w:val="003861B4"/>
    <w:rsid w:val="003861DD"/>
    <w:rsid w:val="003861F6"/>
    <w:rsid w:val="003861FB"/>
    <w:rsid w:val="0038620E"/>
    <w:rsid w:val="00386217"/>
    <w:rsid w:val="00386243"/>
    <w:rsid w:val="0038627A"/>
    <w:rsid w:val="00386284"/>
    <w:rsid w:val="0038629F"/>
    <w:rsid w:val="003862C0"/>
    <w:rsid w:val="003862EA"/>
    <w:rsid w:val="00386375"/>
    <w:rsid w:val="003863B0"/>
    <w:rsid w:val="003863E4"/>
    <w:rsid w:val="0038643F"/>
    <w:rsid w:val="00386469"/>
    <w:rsid w:val="00386546"/>
    <w:rsid w:val="0038656C"/>
    <w:rsid w:val="003865B7"/>
    <w:rsid w:val="003865EE"/>
    <w:rsid w:val="0038660A"/>
    <w:rsid w:val="00386628"/>
    <w:rsid w:val="00386675"/>
    <w:rsid w:val="0038668E"/>
    <w:rsid w:val="00386782"/>
    <w:rsid w:val="003867A6"/>
    <w:rsid w:val="00386885"/>
    <w:rsid w:val="003868C1"/>
    <w:rsid w:val="003868CD"/>
    <w:rsid w:val="00386952"/>
    <w:rsid w:val="003869D2"/>
    <w:rsid w:val="003869DD"/>
    <w:rsid w:val="00386A28"/>
    <w:rsid w:val="00386A46"/>
    <w:rsid w:val="00386AA1"/>
    <w:rsid w:val="00386AA7"/>
    <w:rsid w:val="00386AC2"/>
    <w:rsid w:val="00386AEF"/>
    <w:rsid w:val="00386AF8"/>
    <w:rsid w:val="00386B19"/>
    <w:rsid w:val="00386B54"/>
    <w:rsid w:val="00386B7E"/>
    <w:rsid w:val="00386C32"/>
    <w:rsid w:val="00386C3C"/>
    <w:rsid w:val="00386C3E"/>
    <w:rsid w:val="00386CAE"/>
    <w:rsid w:val="00386D07"/>
    <w:rsid w:val="00386D1A"/>
    <w:rsid w:val="00386ECB"/>
    <w:rsid w:val="00386EE3"/>
    <w:rsid w:val="00386EE9"/>
    <w:rsid w:val="00386EED"/>
    <w:rsid w:val="00386F02"/>
    <w:rsid w:val="00386F2C"/>
    <w:rsid w:val="00386F33"/>
    <w:rsid w:val="00386F3F"/>
    <w:rsid w:val="00386FF0"/>
    <w:rsid w:val="00387002"/>
    <w:rsid w:val="00387022"/>
    <w:rsid w:val="00387045"/>
    <w:rsid w:val="00387060"/>
    <w:rsid w:val="00387097"/>
    <w:rsid w:val="003870F8"/>
    <w:rsid w:val="00387115"/>
    <w:rsid w:val="00387147"/>
    <w:rsid w:val="003871B9"/>
    <w:rsid w:val="003871F9"/>
    <w:rsid w:val="0038720B"/>
    <w:rsid w:val="00387307"/>
    <w:rsid w:val="0038735E"/>
    <w:rsid w:val="0038738B"/>
    <w:rsid w:val="003873BB"/>
    <w:rsid w:val="003873C0"/>
    <w:rsid w:val="003873C1"/>
    <w:rsid w:val="00387405"/>
    <w:rsid w:val="00387480"/>
    <w:rsid w:val="0038748B"/>
    <w:rsid w:val="00387508"/>
    <w:rsid w:val="0038758E"/>
    <w:rsid w:val="00387591"/>
    <w:rsid w:val="00387592"/>
    <w:rsid w:val="003875D8"/>
    <w:rsid w:val="003875EE"/>
    <w:rsid w:val="0038760F"/>
    <w:rsid w:val="00387647"/>
    <w:rsid w:val="003876C6"/>
    <w:rsid w:val="003876EC"/>
    <w:rsid w:val="00387701"/>
    <w:rsid w:val="00387711"/>
    <w:rsid w:val="0038776C"/>
    <w:rsid w:val="0038778F"/>
    <w:rsid w:val="00387798"/>
    <w:rsid w:val="003877A0"/>
    <w:rsid w:val="003877BE"/>
    <w:rsid w:val="003877C9"/>
    <w:rsid w:val="003877D8"/>
    <w:rsid w:val="003877E4"/>
    <w:rsid w:val="0038780E"/>
    <w:rsid w:val="0038785A"/>
    <w:rsid w:val="0038789F"/>
    <w:rsid w:val="003878BF"/>
    <w:rsid w:val="003878ED"/>
    <w:rsid w:val="003879AA"/>
    <w:rsid w:val="00387A33"/>
    <w:rsid w:val="00387A60"/>
    <w:rsid w:val="00387AC1"/>
    <w:rsid w:val="00387AF7"/>
    <w:rsid w:val="00387B39"/>
    <w:rsid w:val="00387BA9"/>
    <w:rsid w:val="00387BCA"/>
    <w:rsid w:val="00387BFE"/>
    <w:rsid w:val="00387CA5"/>
    <w:rsid w:val="00387CAD"/>
    <w:rsid w:val="00387CB2"/>
    <w:rsid w:val="00387CC1"/>
    <w:rsid w:val="00387D1B"/>
    <w:rsid w:val="00387D42"/>
    <w:rsid w:val="00387DF8"/>
    <w:rsid w:val="00387E15"/>
    <w:rsid w:val="00387E22"/>
    <w:rsid w:val="00387E53"/>
    <w:rsid w:val="00387E77"/>
    <w:rsid w:val="00387E7A"/>
    <w:rsid w:val="00387E9F"/>
    <w:rsid w:val="00387EA8"/>
    <w:rsid w:val="00387EB5"/>
    <w:rsid w:val="00387F3D"/>
    <w:rsid w:val="00387FEB"/>
    <w:rsid w:val="00387FF9"/>
    <w:rsid w:val="0039000D"/>
    <w:rsid w:val="00390025"/>
    <w:rsid w:val="00390034"/>
    <w:rsid w:val="0039006F"/>
    <w:rsid w:val="003900CF"/>
    <w:rsid w:val="003900EB"/>
    <w:rsid w:val="00390140"/>
    <w:rsid w:val="0039017A"/>
    <w:rsid w:val="003901E2"/>
    <w:rsid w:val="00390205"/>
    <w:rsid w:val="00390207"/>
    <w:rsid w:val="00390239"/>
    <w:rsid w:val="0039025C"/>
    <w:rsid w:val="0039026D"/>
    <w:rsid w:val="003902AD"/>
    <w:rsid w:val="003902D4"/>
    <w:rsid w:val="003902E0"/>
    <w:rsid w:val="003902F7"/>
    <w:rsid w:val="003902FE"/>
    <w:rsid w:val="0039032F"/>
    <w:rsid w:val="0039034D"/>
    <w:rsid w:val="00390375"/>
    <w:rsid w:val="003903C5"/>
    <w:rsid w:val="00390416"/>
    <w:rsid w:val="00390446"/>
    <w:rsid w:val="00390473"/>
    <w:rsid w:val="0039049B"/>
    <w:rsid w:val="003904A2"/>
    <w:rsid w:val="00390514"/>
    <w:rsid w:val="00390609"/>
    <w:rsid w:val="00390638"/>
    <w:rsid w:val="00390670"/>
    <w:rsid w:val="00390681"/>
    <w:rsid w:val="00390687"/>
    <w:rsid w:val="003906E7"/>
    <w:rsid w:val="0039073C"/>
    <w:rsid w:val="0039075A"/>
    <w:rsid w:val="00390769"/>
    <w:rsid w:val="003907AE"/>
    <w:rsid w:val="003907ED"/>
    <w:rsid w:val="00390847"/>
    <w:rsid w:val="0039084C"/>
    <w:rsid w:val="003908E4"/>
    <w:rsid w:val="0039091C"/>
    <w:rsid w:val="0039093B"/>
    <w:rsid w:val="00390942"/>
    <w:rsid w:val="00390976"/>
    <w:rsid w:val="003909CC"/>
    <w:rsid w:val="00390A9C"/>
    <w:rsid w:val="00390B2F"/>
    <w:rsid w:val="00390C10"/>
    <w:rsid w:val="00390C1D"/>
    <w:rsid w:val="00390C6C"/>
    <w:rsid w:val="00390CA2"/>
    <w:rsid w:val="00390D09"/>
    <w:rsid w:val="00390D4B"/>
    <w:rsid w:val="00390D57"/>
    <w:rsid w:val="00390D96"/>
    <w:rsid w:val="00390D9D"/>
    <w:rsid w:val="00390E75"/>
    <w:rsid w:val="00390ECD"/>
    <w:rsid w:val="00390F29"/>
    <w:rsid w:val="00390F39"/>
    <w:rsid w:val="00390F9C"/>
    <w:rsid w:val="00390FCA"/>
    <w:rsid w:val="00390FF9"/>
    <w:rsid w:val="00391020"/>
    <w:rsid w:val="00391022"/>
    <w:rsid w:val="00391047"/>
    <w:rsid w:val="0039107F"/>
    <w:rsid w:val="00391088"/>
    <w:rsid w:val="003910B2"/>
    <w:rsid w:val="003910D1"/>
    <w:rsid w:val="0039113B"/>
    <w:rsid w:val="003911A2"/>
    <w:rsid w:val="003911F4"/>
    <w:rsid w:val="0039122F"/>
    <w:rsid w:val="00391244"/>
    <w:rsid w:val="003912C1"/>
    <w:rsid w:val="00391316"/>
    <w:rsid w:val="00391397"/>
    <w:rsid w:val="00391399"/>
    <w:rsid w:val="003913B6"/>
    <w:rsid w:val="003913D8"/>
    <w:rsid w:val="00391456"/>
    <w:rsid w:val="00391463"/>
    <w:rsid w:val="0039147F"/>
    <w:rsid w:val="003914B5"/>
    <w:rsid w:val="003914DA"/>
    <w:rsid w:val="003914E5"/>
    <w:rsid w:val="00391547"/>
    <w:rsid w:val="003915D7"/>
    <w:rsid w:val="003915F0"/>
    <w:rsid w:val="0039161D"/>
    <w:rsid w:val="00391624"/>
    <w:rsid w:val="0039163E"/>
    <w:rsid w:val="0039164A"/>
    <w:rsid w:val="00391655"/>
    <w:rsid w:val="00391657"/>
    <w:rsid w:val="00391671"/>
    <w:rsid w:val="003916BB"/>
    <w:rsid w:val="003916CF"/>
    <w:rsid w:val="003916D2"/>
    <w:rsid w:val="00391727"/>
    <w:rsid w:val="00391750"/>
    <w:rsid w:val="003917B8"/>
    <w:rsid w:val="003917F6"/>
    <w:rsid w:val="0039186B"/>
    <w:rsid w:val="00391872"/>
    <w:rsid w:val="0039189B"/>
    <w:rsid w:val="003918F2"/>
    <w:rsid w:val="003918F3"/>
    <w:rsid w:val="00391903"/>
    <w:rsid w:val="0039196F"/>
    <w:rsid w:val="003919B4"/>
    <w:rsid w:val="003919C8"/>
    <w:rsid w:val="00391A08"/>
    <w:rsid w:val="00391A2B"/>
    <w:rsid w:val="00391A33"/>
    <w:rsid w:val="00391B03"/>
    <w:rsid w:val="00391B4D"/>
    <w:rsid w:val="00391B7C"/>
    <w:rsid w:val="00391B88"/>
    <w:rsid w:val="00391BB1"/>
    <w:rsid w:val="00391C0E"/>
    <w:rsid w:val="00391C8A"/>
    <w:rsid w:val="00391C95"/>
    <w:rsid w:val="00391C9E"/>
    <w:rsid w:val="00391CDF"/>
    <w:rsid w:val="00391D37"/>
    <w:rsid w:val="00391D3D"/>
    <w:rsid w:val="00391D73"/>
    <w:rsid w:val="00391D78"/>
    <w:rsid w:val="00391D86"/>
    <w:rsid w:val="00391DCD"/>
    <w:rsid w:val="00391DF0"/>
    <w:rsid w:val="00391EDD"/>
    <w:rsid w:val="00391F57"/>
    <w:rsid w:val="00391F8A"/>
    <w:rsid w:val="00391F93"/>
    <w:rsid w:val="00391FEC"/>
    <w:rsid w:val="00391FEF"/>
    <w:rsid w:val="0039206B"/>
    <w:rsid w:val="003920ED"/>
    <w:rsid w:val="00392120"/>
    <w:rsid w:val="0039216A"/>
    <w:rsid w:val="003921A6"/>
    <w:rsid w:val="003921BB"/>
    <w:rsid w:val="003921C8"/>
    <w:rsid w:val="00392219"/>
    <w:rsid w:val="00392242"/>
    <w:rsid w:val="00392244"/>
    <w:rsid w:val="00392256"/>
    <w:rsid w:val="00392265"/>
    <w:rsid w:val="00392267"/>
    <w:rsid w:val="0039233E"/>
    <w:rsid w:val="0039237C"/>
    <w:rsid w:val="0039239B"/>
    <w:rsid w:val="003923A6"/>
    <w:rsid w:val="00392427"/>
    <w:rsid w:val="00392449"/>
    <w:rsid w:val="00392500"/>
    <w:rsid w:val="00392509"/>
    <w:rsid w:val="0039253D"/>
    <w:rsid w:val="003925B4"/>
    <w:rsid w:val="003925BE"/>
    <w:rsid w:val="00392637"/>
    <w:rsid w:val="00392685"/>
    <w:rsid w:val="0039269D"/>
    <w:rsid w:val="003926B0"/>
    <w:rsid w:val="003926BE"/>
    <w:rsid w:val="003926D0"/>
    <w:rsid w:val="003927A3"/>
    <w:rsid w:val="003927EA"/>
    <w:rsid w:val="0039281C"/>
    <w:rsid w:val="003928AD"/>
    <w:rsid w:val="003928D6"/>
    <w:rsid w:val="003928DB"/>
    <w:rsid w:val="003928DD"/>
    <w:rsid w:val="003928F6"/>
    <w:rsid w:val="00392916"/>
    <w:rsid w:val="00392934"/>
    <w:rsid w:val="00392973"/>
    <w:rsid w:val="003929A7"/>
    <w:rsid w:val="003929F1"/>
    <w:rsid w:val="00392A08"/>
    <w:rsid w:val="00392A21"/>
    <w:rsid w:val="00392AA3"/>
    <w:rsid w:val="00392ACA"/>
    <w:rsid w:val="00392AF8"/>
    <w:rsid w:val="00392B30"/>
    <w:rsid w:val="00392B62"/>
    <w:rsid w:val="00392BD2"/>
    <w:rsid w:val="00392BDE"/>
    <w:rsid w:val="00392C2C"/>
    <w:rsid w:val="00392C5F"/>
    <w:rsid w:val="00392C9C"/>
    <w:rsid w:val="00392CAA"/>
    <w:rsid w:val="00392CDA"/>
    <w:rsid w:val="00392D19"/>
    <w:rsid w:val="00392D5F"/>
    <w:rsid w:val="00392E19"/>
    <w:rsid w:val="00392E2D"/>
    <w:rsid w:val="00392E3D"/>
    <w:rsid w:val="00392E49"/>
    <w:rsid w:val="00392E8F"/>
    <w:rsid w:val="00392FAB"/>
    <w:rsid w:val="00392FB7"/>
    <w:rsid w:val="00393075"/>
    <w:rsid w:val="003930C3"/>
    <w:rsid w:val="003930C4"/>
    <w:rsid w:val="003930C9"/>
    <w:rsid w:val="00393182"/>
    <w:rsid w:val="003931CF"/>
    <w:rsid w:val="003931D9"/>
    <w:rsid w:val="003931E2"/>
    <w:rsid w:val="003931E5"/>
    <w:rsid w:val="00393219"/>
    <w:rsid w:val="003932D1"/>
    <w:rsid w:val="00393327"/>
    <w:rsid w:val="00393348"/>
    <w:rsid w:val="0039340B"/>
    <w:rsid w:val="0039340E"/>
    <w:rsid w:val="0039343B"/>
    <w:rsid w:val="00393452"/>
    <w:rsid w:val="003934CE"/>
    <w:rsid w:val="003934D0"/>
    <w:rsid w:val="0039353A"/>
    <w:rsid w:val="00393569"/>
    <w:rsid w:val="0039356E"/>
    <w:rsid w:val="0039356F"/>
    <w:rsid w:val="00393597"/>
    <w:rsid w:val="003935BE"/>
    <w:rsid w:val="003935D9"/>
    <w:rsid w:val="0039366A"/>
    <w:rsid w:val="00393678"/>
    <w:rsid w:val="003936F5"/>
    <w:rsid w:val="0039376B"/>
    <w:rsid w:val="003937CE"/>
    <w:rsid w:val="003937E1"/>
    <w:rsid w:val="003937ED"/>
    <w:rsid w:val="003937EE"/>
    <w:rsid w:val="0039384C"/>
    <w:rsid w:val="003938D4"/>
    <w:rsid w:val="00393937"/>
    <w:rsid w:val="00393999"/>
    <w:rsid w:val="003939A4"/>
    <w:rsid w:val="003939F3"/>
    <w:rsid w:val="003939F8"/>
    <w:rsid w:val="00393A78"/>
    <w:rsid w:val="00393AF0"/>
    <w:rsid w:val="00393B58"/>
    <w:rsid w:val="00393B85"/>
    <w:rsid w:val="00393BB4"/>
    <w:rsid w:val="00393C17"/>
    <w:rsid w:val="00393C1B"/>
    <w:rsid w:val="00393C35"/>
    <w:rsid w:val="00393C58"/>
    <w:rsid w:val="00393CFF"/>
    <w:rsid w:val="00393D0C"/>
    <w:rsid w:val="00393D38"/>
    <w:rsid w:val="00393D47"/>
    <w:rsid w:val="00393D55"/>
    <w:rsid w:val="00393DB9"/>
    <w:rsid w:val="00393DD5"/>
    <w:rsid w:val="00393DF6"/>
    <w:rsid w:val="00393E20"/>
    <w:rsid w:val="00393EA0"/>
    <w:rsid w:val="00393EC1"/>
    <w:rsid w:val="00393F1A"/>
    <w:rsid w:val="00393F1D"/>
    <w:rsid w:val="00393FFE"/>
    <w:rsid w:val="00394016"/>
    <w:rsid w:val="0039408A"/>
    <w:rsid w:val="00394090"/>
    <w:rsid w:val="003940F8"/>
    <w:rsid w:val="00394101"/>
    <w:rsid w:val="0039410C"/>
    <w:rsid w:val="0039411B"/>
    <w:rsid w:val="00394125"/>
    <w:rsid w:val="00394132"/>
    <w:rsid w:val="00394136"/>
    <w:rsid w:val="0039413D"/>
    <w:rsid w:val="0039414F"/>
    <w:rsid w:val="00394197"/>
    <w:rsid w:val="003941B1"/>
    <w:rsid w:val="003941BF"/>
    <w:rsid w:val="003941E7"/>
    <w:rsid w:val="00394201"/>
    <w:rsid w:val="00394296"/>
    <w:rsid w:val="003942A8"/>
    <w:rsid w:val="003942DA"/>
    <w:rsid w:val="003942F4"/>
    <w:rsid w:val="0039431F"/>
    <w:rsid w:val="00394326"/>
    <w:rsid w:val="00394379"/>
    <w:rsid w:val="003943AD"/>
    <w:rsid w:val="003943EB"/>
    <w:rsid w:val="0039440E"/>
    <w:rsid w:val="00394424"/>
    <w:rsid w:val="003944A2"/>
    <w:rsid w:val="003944A8"/>
    <w:rsid w:val="003944E5"/>
    <w:rsid w:val="00394511"/>
    <w:rsid w:val="00394515"/>
    <w:rsid w:val="0039457B"/>
    <w:rsid w:val="003945E7"/>
    <w:rsid w:val="0039465A"/>
    <w:rsid w:val="00394690"/>
    <w:rsid w:val="003946DA"/>
    <w:rsid w:val="003946FB"/>
    <w:rsid w:val="0039472F"/>
    <w:rsid w:val="003947B7"/>
    <w:rsid w:val="00394825"/>
    <w:rsid w:val="00394879"/>
    <w:rsid w:val="003948B1"/>
    <w:rsid w:val="0039492C"/>
    <w:rsid w:val="0039493C"/>
    <w:rsid w:val="003949AF"/>
    <w:rsid w:val="003949E2"/>
    <w:rsid w:val="00394A1E"/>
    <w:rsid w:val="00394A50"/>
    <w:rsid w:val="00394A86"/>
    <w:rsid w:val="00394B05"/>
    <w:rsid w:val="00394B25"/>
    <w:rsid w:val="00394B3D"/>
    <w:rsid w:val="00394B4B"/>
    <w:rsid w:val="00394B87"/>
    <w:rsid w:val="00394BBE"/>
    <w:rsid w:val="00394BC9"/>
    <w:rsid w:val="00394C0C"/>
    <w:rsid w:val="00394C54"/>
    <w:rsid w:val="00394D03"/>
    <w:rsid w:val="00394D20"/>
    <w:rsid w:val="00394D21"/>
    <w:rsid w:val="00394DD8"/>
    <w:rsid w:val="00394E34"/>
    <w:rsid w:val="00394E67"/>
    <w:rsid w:val="00394E97"/>
    <w:rsid w:val="00394EA3"/>
    <w:rsid w:val="00394EC5"/>
    <w:rsid w:val="00394EC6"/>
    <w:rsid w:val="00394EDC"/>
    <w:rsid w:val="00394F05"/>
    <w:rsid w:val="00394F76"/>
    <w:rsid w:val="00394FE9"/>
    <w:rsid w:val="00395110"/>
    <w:rsid w:val="00395111"/>
    <w:rsid w:val="0039516E"/>
    <w:rsid w:val="0039518D"/>
    <w:rsid w:val="003951AB"/>
    <w:rsid w:val="00395226"/>
    <w:rsid w:val="003952CF"/>
    <w:rsid w:val="003952D6"/>
    <w:rsid w:val="00395330"/>
    <w:rsid w:val="00395339"/>
    <w:rsid w:val="003953B7"/>
    <w:rsid w:val="0039542B"/>
    <w:rsid w:val="00395450"/>
    <w:rsid w:val="003954C4"/>
    <w:rsid w:val="003954CA"/>
    <w:rsid w:val="00395503"/>
    <w:rsid w:val="00395531"/>
    <w:rsid w:val="00395551"/>
    <w:rsid w:val="00395568"/>
    <w:rsid w:val="0039559D"/>
    <w:rsid w:val="003955FE"/>
    <w:rsid w:val="00395631"/>
    <w:rsid w:val="00395636"/>
    <w:rsid w:val="00395654"/>
    <w:rsid w:val="00395655"/>
    <w:rsid w:val="00395684"/>
    <w:rsid w:val="003956D0"/>
    <w:rsid w:val="003956E9"/>
    <w:rsid w:val="00395764"/>
    <w:rsid w:val="00395789"/>
    <w:rsid w:val="00395825"/>
    <w:rsid w:val="0039587E"/>
    <w:rsid w:val="003958E5"/>
    <w:rsid w:val="0039591D"/>
    <w:rsid w:val="00395922"/>
    <w:rsid w:val="00395929"/>
    <w:rsid w:val="00395938"/>
    <w:rsid w:val="0039594F"/>
    <w:rsid w:val="00395975"/>
    <w:rsid w:val="003959EC"/>
    <w:rsid w:val="003959F6"/>
    <w:rsid w:val="00395A02"/>
    <w:rsid w:val="00395A09"/>
    <w:rsid w:val="00395A20"/>
    <w:rsid w:val="00395A36"/>
    <w:rsid w:val="00395A57"/>
    <w:rsid w:val="00395A81"/>
    <w:rsid w:val="00395AD6"/>
    <w:rsid w:val="00395AEA"/>
    <w:rsid w:val="00395B47"/>
    <w:rsid w:val="00395B4E"/>
    <w:rsid w:val="00395B51"/>
    <w:rsid w:val="00395B5E"/>
    <w:rsid w:val="00395BAB"/>
    <w:rsid w:val="00395BC8"/>
    <w:rsid w:val="00395BE5"/>
    <w:rsid w:val="00395BE9"/>
    <w:rsid w:val="00395C58"/>
    <w:rsid w:val="00395C61"/>
    <w:rsid w:val="00395C6D"/>
    <w:rsid w:val="00395D3B"/>
    <w:rsid w:val="00395D64"/>
    <w:rsid w:val="00395DB3"/>
    <w:rsid w:val="00395DC0"/>
    <w:rsid w:val="00395DDA"/>
    <w:rsid w:val="00395DF6"/>
    <w:rsid w:val="00395F2F"/>
    <w:rsid w:val="00395F91"/>
    <w:rsid w:val="00395FAC"/>
    <w:rsid w:val="00395FE2"/>
    <w:rsid w:val="00396030"/>
    <w:rsid w:val="0039604E"/>
    <w:rsid w:val="0039606D"/>
    <w:rsid w:val="00396085"/>
    <w:rsid w:val="003960A8"/>
    <w:rsid w:val="003960AE"/>
    <w:rsid w:val="00396133"/>
    <w:rsid w:val="00396156"/>
    <w:rsid w:val="00396189"/>
    <w:rsid w:val="00396193"/>
    <w:rsid w:val="003961EE"/>
    <w:rsid w:val="00396206"/>
    <w:rsid w:val="0039625F"/>
    <w:rsid w:val="0039626D"/>
    <w:rsid w:val="0039629F"/>
    <w:rsid w:val="003962CA"/>
    <w:rsid w:val="00396313"/>
    <w:rsid w:val="00396335"/>
    <w:rsid w:val="00396384"/>
    <w:rsid w:val="00396462"/>
    <w:rsid w:val="00396495"/>
    <w:rsid w:val="0039656C"/>
    <w:rsid w:val="00396582"/>
    <w:rsid w:val="003965A1"/>
    <w:rsid w:val="003965D1"/>
    <w:rsid w:val="003965DF"/>
    <w:rsid w:val="00396632"/>
    <w:rsid w:val="00396663"/>
    <w:rsid w:val="00396665"/>
    <w:rsid w:val="00396677"/>
    <w:rsid w:val="00396689"/>
    <w:rsid w:val="003966D6"/>
    <w:rsid w:val="0039670A"/>
    <w:rsid w:val="00396795"/>
    <w:rsid w:val="003967E6"/>
    <w:rsid w:val="003967EF"/>
    <w:rsid w:val="00396894"/>
    <w:rsid w:val="0039696A"/>
    <w:rsid w:val="003969B7"/>
    <w:rsid w:val="00396A0B"/>
    <w:rsid w:val="00396A7A"/>
    <w:rsid w:val="00396AF1"/>
    <w:rsid w:val="00396B0A"/>
    <w:rsid w:val="00396B5C"/>
    <w:rsid w:val="00396B7C"/>
    <w:rsid w:val="00396BFC"/>
    <w:rsid w:val="00396C41"/>
    <w:rsid w:val="00396C63"/>
    <w:rsid w:val="00396C9A"/>
    <w:rsid w:val="00396CAF"/>
    <w:rsid w:val="00396D3F"/>
    <w:rsid w:val="00396D72"/>
    <w:rsid w:val="00396D7C"/>
    <w:rsid w:val="00396D7F"/>
    <w:rsid w:val="00396D96"/>
    <w:rsid w:val="00396DB8"/>
    <w:rsid w:val="00396DBD"/>
    <w:rsid w:val="00396E2B"/>
    <w:rsid w:val="00396E2F"/>
    <w:rsid w:val="00396E5F"/>
    <w:rsid w:val="00396E80"/>
    <w:rsid w:val="00396ECD"/>
    <w:rsid w:val="00396EE1"/>
    <w:rsid w:val="00396F1B"/>
    <w:rsid w:val="00396F2E"/>
    <w:rsid w:val="00396F4E"/>
    <w:rsid w:val="00396F74"/>
    <w:rsid w:val="00396FC0"/>
    <w:rsid w:val="00396FC8"/>
    <w:rsid w:val="00396FEA"/>
    <w:rsid w:val="00397059"/>
    <w:rsid w:val="003970B1"/>
    <w:rsid w:val="003970B6"/>
    <w:rsid w:val="003970D2"/>
    <w:rsid w:val="003970FD"/>
    <w:rsid w:val="00397181"/>
    <w:rsid w:val="0039724C"/>
    <w:rsid w:val="00397276"/>
    <w:rsid w:val="003972FD"/>
    <w:rsid w:val="00397300"/>
    <w:rsid w:val="00397301"/>
    <w:rsid w:val="003973A1"/>
    <w:rsid w:val="003973A9"/>
    <w:rsid w:val="003973C0"/>
    <w:rsid w:val="0039742F"/>
    <w:rsid w:val="00397534"/>
    <w:rsid w:val="0039758C"/>
    <w:rsid w:val="00397594"/>
    <w:rsid w:val="003975B2"/>
    <w:rsid w:val="003975E1"/>
    <w:rsid w:val="003975EB"/>
    <w:rsid w:val="00397606"/>
    <w:rsid w:val="00397665"/>
    <w:rsid w:val="0039770A"/>
    <w:rsid w:val="00397731"/>
    <w:rsid w:val="00397739"/>
    <w:rsid w:val="00397744"/>
    <w:rsid w:val="003977CB"/>
    <w:rsid w:val="0039780A"/>
    <w:rsid w:val="003978E8"/>
    <w:rsid w:val="003978EA"/>
    <w:rsid w:val="0039792A"/>
    <w:rsid w:val="00397954"/>
    <w:rsid w:val="00397966"/>
    <w:rsid w:val="0039798A"/>
    <w:rsid w:val="003979C4"/>
    <w:rsid w:val="00397AAE"/>
    <w:rsid w:val="00397ADE"/>
    <w:rsid w:val="00397AFC"/>
    <w:rsid w:val="00397B22"/>
    <w:rsid w:val="00397BD3"/>
    <w:rsid w:val="00397BF8"/>
    <w:rsid w:val="00397BF9"/>
    <w:rsid w:val="00397C56"/>
    <w:rsid w:val="00397C9E"/>
    <w:rsid w:val="00397CA2"/>
    <w:rsid w:val="00397CBC"/>
    <w:rsid w:val="00397D11"/>
    <w:rsid w:val="00397DAE"/>
    <w:rsid w:val="00397DBE"/>
    <w:rsid w:val="00397E29"/>
    <w:rsid w:val="00397E45"/>
    <w:rsid w:val="00397E5A"/>
    <w:rsid w:val="00397E76"/>
    <w:rsid w:val="00397EED"/>
    <w:rsid w:val="00397F30"/>
    <w:rsid w:val="00397F4B"/>
    <w:rsid w:val="00397F95"/>
    <w:rsid w:val="00397FCB"/>
    <w:rsid w:val="00397FD6"/>
    <w:rsid w:val="003A0076"/>
    <w:rsid w:val="003A00B9"/>
    <w:rsid w:val="003A00D6"/>
    <w:rsid w:val="003A00E8"/>
    <w:rsid w:val="003A012B"/>
    <w:rsid w:val="003A0158"/>
    <w:rsid w:val="003A015C"/>
    <w:rsid w:val="003A0161"/>
    <w:rsid w:val="003A01A1"/>
    <w:rsid w:val="003A01A2"/>
    <w:rsid w:val="003A01F3"/>
    <w:rsid w:val="003A02A0"/>
    <w:rsid w:val="003A02B2"/>
    <w:rsid w:val="003A0306"/>
    <w:rsid w:val="003A0398"/>
    <w:rsid w:val="003A03E6"/>
    <w:rsid w:val="003A040B"/>
    <w:rsid w:val="003A0469"/>
    <w:rsid w:val="003A047F"/>
    <w:rsid w:val="003A05A0"/>
    <w:rsid w:val="003A06F4"/>
    <w:rsid w:val="003A072A"/>
    <w:rsid w:val="003A0772"/>
    <w:rsid w:val="003A0774"/>
    <w:rsid w:val="003A077C"/>
    <w:rsid w:val="003A07A8"/>
    <w:rsid w:val="003A082E"/>
    <w:rsid w:val="003A0857"/>
    <w:rsid w:val="003A085B"/>
    <w:rsid w:val="003A08B7"/>
    <w:rsid w:val="003A08D5"/>
    <w:rsid w:val="003A08FD"/>
    <w:rsid w:val="003A0976"/>
    <w:rsid w:val="003A097F"/>
    <w:rsid w:val="003A0996"/>
    <w:rsid w:val="003A0A05"/>
    <w:rsid w:val="003A0A32"/>
    <w:rsid w:val="003A0A3B"/>
    <w:rsid w:val="003A0A71"/>
    <w:rsid w:val="003A0A75"/>
    <w:rsid w:val="003A0A7E"/>
    <w:rsid w:val="003A0AFA"/>
    <w:rsid w:val="003A0AFC"/>
    <w:rsid w:val="003A0B80"/>
    <w:rsid w:val="003A0BB3"/>
    <w:rsid w:val="003A0BC9"/>
    <w:rsid w:val="003A0C0A"/>
    <w:rsid w:val="003A0C2A"/>
    <w:rsid w:val="003A0C82"/>
    <w:rsid w:val="003A0D10"/>
    <w:rsid w:val="003A0D30"/>
    <w:rsid w:val="003A0D57"/>
    <w:rsid w:val="003A0D84"/>
    <w:rsid w:val="003A0DA5"/>
    <w:rsid w:val="003A0DB8"/>
    <w:rsid w:val="003A0DE2"/>
    <w:rsid w:val="003A0DE9"/>
    <w:rsid w:val="003A0DF7"/>
    <w:rsid w:val="003A0DFF"/>
    <w:rsid w:val="003A0E13"/>
    <w:rsid w:val="003A0E14"/>
    <w:rsid w:val="003A0E5B"/>
    <w:rsid w:val="003A0E5D"/>
    <w:rsid w:val="003A0E7B"/>
    <w:rsid w:val="003A0F50"/>
    <w:rsid w:val="003A0FF6"/>
    <w:rsid w:val="003A0FF8"/>
    <w:rsid w:val="003A1062"/>
    <w:rsid w:val="003A109A"/>
    <w:rsid w:val="003A10EF"/>
    <w:rsid w:val="003A110C"/>
    <w:rsid w:val="003A118D"/>
    <w:rsid w:val="003A11CD"/>
    <w:rsid w:val="003A1244"/>
    <w:rsid w:val="003A1278"/>
    <w:rsid w:val="003A1293"/>
    <w:rsid w:val="003A1344"/>
    <w:rsid w:val="003A1376"/>
    <w:rsid w:val="003A13ED"/>
    <w:rsid w:val="003A13F9"/>
    <w:rsid w:val="003A146A"/>
    <w:rsid w:val="003A1521"/>
    <w:rsid w:val="003A152C"/>
    <w:rsid w:val="003A1534"/>
    <w:rsid w:val="003A1587"/>
    <w:rsid w:val="003A1679"/>
    <w:rsid w:val="003A16A3"/>
    <w:rsid w:val="003A16E6"/>
    <w:rsid w:val="003A1706"/>
    <w:rsid w:val="003A170A"/>
    <w:rsid w:val="003A1765"/>
    <w:rsid w:val="003A178B"/>
    <w:rsid w:val="003A17F4"/>
    <w:rsid w:val="003A1818"/>
    <w:rsid w:val="003A1881"/>
    <w:rsid w:val="003A191C"/>
    <w:rsid w:val="003A19EB"/>
    <w:rsid w:val="003A1A19"/>
    <w:rsid w:val="003A1A24"/>
    <w:rsid w:val="003A1A27"/>
    <w:rsid w:val="003A1A73"/>
    <w:rsid w:val="003A1A92"/>
    <w:rsid w:val="003A1AA9"/>
    <w:rsid w:val="003A1B03"/>
    <w:rsid w:val="003A1BAC"/>
    <w:rsid w:val="003A1BBD"/>
    <w:rsid w:val="003A1BD2"/>
    <w:rsid w:val="003A1BE7"/>
    <w:rsid w:val="003A1C35"/>
    <w:rsid w:val="003A1C85"/>
    <w:rsid w:val="003A1CAF"/>
    <w:rsid w:val="003A1CBF"/>
    <w:rsid w:val="003A1CDE"/>
    <w:rsid w:val="003A1D2B"/>
    <w:rsid w:val="003A1D3C"/>
    <w:rsid w:val="003A1D7D"/>
    <w:rsid w:val="003A1D97"/>
    <w:rsid w:val="003A1DA7"/>
    <w:rsid w:val="003A1DB0"/>
    <w:rsid w:val="003A1DB9"/>
    <w:rsid w:val="003A1DC1"/>
    <w:rsid w:val="003A1DD6"/>
    <w:rsid w:val="003A1E1B"/>
    <w:rsid w:val="003A1E60"/>
    <w:rsid w:val="003A1E89"/>
    <w:rsid w:val="003A1EA2"/>
    <w:rsid w:val="003A1EC6"/>
    <w:rsid w:val="003A1ED1"/>
    <w:rsid w:val="003A1EE1"/>
    <w:rsid w:val="003A1F3A"/>
    <w:rsid w:val="003A1F3D"/>
    <w:rsid w:val="003A1F3E"/>
    <w:rsid w:val="003A1FC0"/>
    <w:rsid w:val="003A1FE1"/>
    <w:rsid w:val="003A1FFA"/>
    <w:rsid w:val="003A201A"/>
    <w:rsid w:val="003A2042"/>
    <w:rsid w:val="003A20B5"/>
    <w:rsid w:val="003A2131"/>
    <w:rsid w:val="003A2167"/>
    <w:rsid w:val="003A21B9"/>
    <w:rsid w:val="003A21C2"/>
    <w:rsid w:val="003A21E2"/>
    <w:rsid w:val="003A21E6"/>
    <w:rsid w:val="003A22F0"/>
    <w:rsid w:val="003A231F"/>
    <w:rsid w:val="003A235F"/>
    <w:rsid w:val="003A236D"/>
    <w:rsid w:val="003A238A"/>
    <w:rsid w:val="003A23AB"/>
    <w:rsid w:val="003A23B0"/>
    <w:rsid w:val="003A23D1"/>
    <w:rsid w:val="003A23D9"/>
    <w:rsid w:val="003A23E9"/>
    <w:rsid w:val="003A23F6"/>
    <w:rsid w:val="003A2422"/>
    <w:rsid w:val="003A2465"/>
    <w:rsid w:val="003A2489"/>
    <w:rsid w:val="003A249F"/>
    <w:rsid w:val="003A24EE"/>
    <w:rsid w:val="003A2533"/>
    <w:rsid w:val="003A25F3"/>
    <w:rsid w:val="003A25F7"/>
    <w:rsid w:val="003A25FB"/>
    <w:rsid w:val="003A2653"/>
    <w:rsid w:val="003A2676"/>
    <w:rsid w:val="003A268C"/>
    <w:rsid w:val="003A269A"/>
    <w:rsid w:val="003A26E8"/>
    <w:rsid w:val="003A26F3"/>
    <w:rsid w:val="003A274E"/>
    <w:rsid w:val="003A277D"/>
    <w:rsid w:val="003A27A6"/>
    <w:rsid w:val="003A2815"/>
    <w:rsid w:val="003A2817"/>
    <w:rsid w:val="003A289A"/>
    <w:rsid w:val="003A28D8"/>
    <w:rsid w:val="003A28F8"/>
    <w:rsid w:val="003A2939"/>
    <w:rsid w:val="003A293F"/>
    <w:rsid w:val="003A2943"/>
    <w:rsid w:val="003A2A20"/>
    <w:rsid w:val="003A2A51"/>
    <w:rsid w:val="003A2A69"/>
    <w:rsid w:val="003A2AB4"/>
    <w:rsid w:val="003A2B0F"/>
    <w:rsid w:val="003A2B67"/>
    <w:rsid w:val="003A2BA4"/>
    <w:rsid w:val="003A2BB4"/>
    <w:rsid w:val="003A2BB7"/>
    <w:rsid w:val="003A2C5C"/>
    <w:rsid w:val="003A2CD3"/>
    <w:rsid w:val="003A2CFE"/>
    <w:rsid w:val="003A2D6E"/>
    <w:rsid w:val="003A2D94"/>
    <w:rsid w:val="003A2E13"/>
    <w:rsid w:val="003A2E89"/>
    <w:rsid w:val="003A2E9B"/>
    <w:rsid w:val="003A2E9F"/>
    <w:rsid w:val="003A2EC1"/>
    <w:rsid w:val="003A2F67"/>
    <w:rsid w:val="003A2F7A"/>
    <w:rsid w:val="003A2FBB"/>
    <w:rsid w:val="003A2FC7"/>
    <w:rsid w:val="003A2FF8"/>
    <w:rsid w:val="003A300D"/>
    <w:rsid w:val="003A3125"/>
    <w:rsid w:val="003A315B"/>
    <w:rsid w:val="003A3174"/>
    <w:rsid w:val="003A31A9"/>
    <w:rsid w:val="003A31BA"/>
    <w:rsid w:val="003A31DB"/>
    <w:rsid w:val="003A31F7"/>
    <w:rsid w:val="003A3203"/>
    <w:rsid w:val="003A323C"/>
    <w:rsid w:val="003A3253"/>
    <w:rsid w:val="003A3257"/>
    <w:rsid w:val="003A32A5"/>
    <w:rsid w:val="003A3375"/>
    <w:rsid w:val="003A338F"/>
    <w:rsid w:val="003A33A8"/>
    <w:rsid w:val="003A33F6"/>
    <w:rsid w:val="003A342F"/>
    <w:rsid w:val="003A348C"/>
    <w:rsid w:val="003A349E"/>
    <w:rsid w:val="003A34E5"/>
    <w:rsid w:val="003A34FB"/>
    <w:rsid w:val="003A3507"/>
    <w:rsid w:val="003A3553"/>
    <w:rsid w:val="003A35C3"/>
    <w:rsid w:val="003A35F0"/>
    <w:rsid w:val="003A3611"/>
    <w:rsid w:val="003A3614"/>
    <w:rsid w:val="003A3684"/>
    <w:rsid w:val="003A36B7"/>
    <w:rsid w:val="003A36B9"/>
    <w:rsid w:val="003A36E0"/>
    <w:rsid w:val="003A36FC"/>
    <w:rsid w:val="003A37B5"/>
    <w:rsid w:val="003A37BD"/>
    <w:rsid w:val="003A37D9"/>
    <w:rsid w:val="003A3839"/>
    <w:rsid w:val="003A390D"/>
    <w:rsid w:val="003A3920"/>
    <w:rsid w:val="003A3963"/>
    <w:rsid w:val="003A39E1"/>
    <w:rsid w:val="003A39E9"/>
    <w:rsid w:val="003A3A41"/>
    <w:rsid w:val="003A3A54"/>
    <w:rsid w:val="003A3A68"/>
    <w:rsid w:val="003A3A8E"/>
    <w:rsid w:val="003A3B5C"/>
    <w:rsid w:val="003A3B76"/>
    <w:rsid w:val="003A3BC9"/>
    <w:rsid w:val="003A3BFB"/>
    <w:rsid w:val="003A3C5F"/>
    <w:rsid w:val="003A3C75"/>
    <w:rsid w:val="003A3C78"/>
    <w:rsid w:val="003A3CAE"/>
    <w:rsid w:val="003A3CFA"/>
    <w:rsid w:val="003A3D05"/>
    <w:rsid w:val="003A3D19"/>
    <w:rsid w:val="003A3D9F"/>
    <w:rsid w:val="003A3DAD"/>
    <w:rsid w:val="003A3E4D"/>
    <w:rsid w:val="003A3E6D"/>
    <w:rsid w:val="003A3EBA"/>
    <w:rsid w:val="003A3F15"/>
    <w:rsid w:val="003A3F6C"/>
    <w:rsid w:val="003A3FB2"/>
    <w:rsid w:val="003A408C"/>
    <w:rsid w:val="003A40E0"/>
    <w:rsid w:val="003A40E4"/>
    <w:rsid w:val="003A4115"/>
    <w:rsid w:val="003A414B"/>
    <w:rsid w:val="003A4166"/>
    <w:rsid w:val="003A4168"/>
    <w:rsid w:val="003A41B8"/>
    <w:rsid w:val="003A41D9"/>
    <w:rsid w:val="003A41DA"/>
    <w:rsid w:val="003A41E7"/>
    <w:rsid w:val="003A421A"/>
    <w:rsid w:val="003A4220"/>
    <w:rsid w:val="003A4229"/>
    <w:rsid w:val="003A4237"/>
    <w:rsid w:val="003A423C"/>
    <w:rsid w:val="003A428B"/>
    <w:rsid w:val="003A4295"/>
    <w:rsid w:val="003A429E"/>
    <w:rsid w:val="003A42A2"/>
    <w:rsid w:val="003A42C0"/>
    <w:rsid w:val="003A42F0"/>
    <w:rsid w:val="003A4344"/>
    <w:rsid w:val="003A4362"/>
    <w:rsid w:val="003A438E"/>
    <w:rsid w:val="003A43CE"/>
    <w:rsid w:val="003A440D"/>
    <w:rsid w:val="003A4420"/>
    <w:rsid w:val="003A4480"/>
    <w:rsid w:val="003A44E1"/>
    <w:rsid w:val="003A44FE"/>
    <w:rsid w:val="003A4544"/>
    <w:rsid w:val="003A457C"/>
    <w:rsid w:val="003A45C8"/>
    <w:rsid w:val="003A45E4"/>
    <w:rsid w:val="003A4622"/>
    <w:rsid w:val="003A463B"/>
    <w:rsid w:val="003A4650"/>
    <w:rsid w:val="003A4657"/>
    <w:rsid w:val="003A46A4"/>
    <w:rsid w:val="003A47A1"/>
    <w:rsid w:val="003A47B8"/>
    <w:rsid w:val="003A47E1"/>
    <w:rsid w:val="003A4812"/>
    <w:rsid w:val="003A4834"/>
    <w:rsid w:val="003A4874"/>
    <w:rsid w:val="003A489A"/>
    <w:rsid w:val="003A4950"/>
    <w:rsid w:val="003A4968"/>
    <w:rsid w:val="003A49BD"/>
    <w:rsid w:val="003A49D2"/>
    <w:rsid w:val="003A4A25"/>
    <w:rsid w:val="003A4A3E"/>
    <w:rsid w:val="003A4A6A"/>
    <w:rsid w:val="003A4B2B"/>
    <w:rsid w:val="003A4B7F"/>
    <w:rsid w:val="003A4BEF"/>
    <w:rsid w:val="003A4D0C"/>
    <w:rsid w:val="003A4D43"/>
    <w:rsid w:val="003A4D57"/>
    <w:rsid w:val="003A4D5C"/>
    <w:rsid w:val="003A4E2A"/>
    <w:rsid w:val="003A4EEB"/>
    <w:rsid w:val="003A4F98"/>
    <w:rsid w:val="003A4FBC"/>
    <w:rsid w:val="003A4FE6"/>
    <w:rsid w:val="003A5004"/>
    <w:rsid w:val="003A5035"/>
    <w:rsid w:val="003A505B"/>
    <w:rsid w:val="003A50D3"/>
    <w:rsid w:val="003A50E6"/>
    <w:rsid w:val="003A5108"/>
    <w:rsid w:val="003A5160"/>
    <w:rsid w:val="003A5164"/>
    <w:rsid w:val="003A51FA"/>
    <w:rsid w:val="003A51FE"/>
    <w:rsid w:val="003A5264"/>
    <w:rsid w:val="003A5299"/>
    <w:rsid w:val="003A529E"/>
    <w:rsid w:val="003A52BA"/>
    <w:rsid w:val="003A52EC"/>
    <w:rsid w:val="003A52FC"/>
    <w:rsid w:val="003A5312"/>
    <w:rsid w:val="003A533B"/>
    <w:rsid w:val="003A538D"/>
    <w:rsid w:val="003A53EE"/>
    <w:rsid w:val="003A53FD"/>
    <w:rsid w:val="003A542D"/>
    <w:rsid w:val="003A54D6"/>
    <w:rsid w:val="003A54F1"/>
    <w:rsid w:val="003A54FE"/>
    <w:rsid w:val="003A5507"/>
    <w:rsid w:val="003A5541"/>
    <w:rsid w:val="003A557A"/>
    <w:rsid w:val="003A557D"/>
    <w:rsid w:val="003A5580"/>
    <w:rsid w:val="003A55A4"/>
    <w:rsid w:val="003A55C4"/>
    <w:rsid w:val="003A563F"/>
    <w:rsid w:val="003A5717"/>
    <w:rsid w:val="003A5779"/>
    <w:rsid w:val="003A5784"/>
    <w:rsid w:val="003A57BE"/>
    <w:rsid w:val="003A57FA"/>
    <w:rsid w:val="003A5841"/>
    <w:rsid w:val="003A5858"/>
    <w:rsid w:val="003A58B7"/>
    <w:rsid w:val="003A58DE"/>
    <w:rsid w:val="003A58E9"/>
    <w:rsid w:val="003A5964"/>
    <w:rsid w:val="003A5980"/>
    <w:rsid w:val="003A599F"/>
    <w:rsid w:val="003A59C9"/>
    <w:rsid w:val="003A5A31"/>
    <w:rsid w:val="003A5AAF"/>
    <w:rsid w:val="003A5AF4"/>
    <w:rsid w:val="003A5B16"/>
    <w:rsid w:val="003A5B20"/>
    <w:rsid w:val="003A5BB9"/>
    <w:rsid w:val="003A5BC2"/>
    <w:rsid w:val="003A5BE7"/>
    <w:rsid w:val="003A5C04"/>
    <w:rsid w:val="003A5CCF"/>
    <w:rsid w:val="003A5D07"/>
    <w:rsid w:val="003A5D0E"/>
    <w:rsid w:val="003A5D33"/>
    <w:rsid w:val="003A5D69"/>
    <w:rsid w:val="003A5E1B"/>
    <w:rsid w:val="003A5EC8"/>
    <w:rsid w:val="003A5EEF"/>
    <w:rsid w:val="003A5EFB"/>
    <w:rsid w:val="003A5FB2"/>
    <w:rsid w:val="003A5FC4"/>
    <w:rsid w:val="003A5FC7"/>
    <w:rsid w:val="003A5FFD"/>
    <w:rsid w:val="003A6002"/>
    <w:rsid w:val="003A6028"/>
    <w:rsid w:val="003A6047"/>
    <w:rsid w:val="003A606C"/>
    <w:rsid w:val="003A6099"/>
    <w:rsid w:val="003A60EF"/>
    <w:rsid w:val="003A60F8"/>
    <w:rsid w:val="003A6134"/>
    <w:rsid w:val="003A614E"/>
    <w:rsid w:val="003A6182"/>
    <w:rsid w:val="003A61A9"/>
    <w:rsid w:val="003A61CE"/>
    <w:rsid w:val="003A626D"/>
    <w:rsid w:val="003A6294"/>
    <w:rsid w:val="003A62BD"/>
    <w:rsid w:val="003A62C9"/>
    <w:rsid w:val="003A62D4"/>
    <w:rsid w:val="003A6306"/>
    <w:rsid w:val="003A631B"/>
    <w:rsid w:val="003A636F"/>
    <w:rsid w:val="003A63A2"/>
    <w:rsid w:val="003A63FA"/>
    <w:rsid w:val="003A6420"/>
    <w:rsid w:val="003A6465"/>
    <w:rsid w:val="003A6513"/>
    <w:rsid w:val="003A6582"/>
    <w:rsid w:val="003A65E5"/>
    <w:rsid w:val="003A6648"/>
    <w:rsid w:val="003A66C0"/>
    <w:rsid w:val="003A6706"/>
    <w:rsid w:val="003A670F"/>
    <w:rsid w:val="003A68BD"/>
    <w:rsid w:val="003A692D"/>
    <w:rsid w:val="003A69AB"/>
    <w:rsid w:val="003A6A5D"/>
    <w:rsid w:val="003A6A90"/>
    <w:rsid w:val="003A6AA1"/>
    <w:rsid w:val="003A6ABB"/>
    <w:rsid w:val="003A6AE5"/>
    <w:rsid w:val="003A6B0A"/>
    <w:rsid w:val="003A6B25"/>
    <w:rsid w:val="003A6B9B"/>
    <w:rsid w:val="003A6BB5"/>
    <w:rsid w:val="003A6BC4"/>
    <w:rsid w:val="003A6BCF"/>
    <w:rsid w:val="003A6CEE"/>
    <w:rsid w:val="003A6D0D"/>
    <w:rsid w:val="003A6D19"/>
    <w:rsid w:val="003A6D92"/>
    <w:rsid w:val="003A6E08"/>
    <w:rsid w:val="003A6E2D"/>
    <w:rsid w:val="003A6E3B"/>
    <w:rsid w:val="003A6E45"/>
    <w:rsid w:val="003A6EA4"/>
    <w:rsid w:val="003A6EC5"/>
    <w:rsid w:val="003A6ECA"/>
    <w:rsid w:val="003A6EF7"/>
    <w:rsid w:val="003A6F41"/>
    <w:rsid w:val="003A6F7B"/>
    <w:rsid w:val="003A6F7C"/>
    <w:rsid w:val="003A7004"/>
    <w:rsid w:val="003A7005"/>
    <w:rsid w:val="003A7035"/>
    <w:rsid w:val="003A7057"/>
    <w:rsid w:val="003A707E"/>
    <w:rsid w:val="003A7082"/>
    <w:rsid w:val="003A7104"/>
    <w:rsid w:val="003A7132"/>
    <w:rsid w:val="003A7145"/>
    <w:rsid w:val="003A7187"/>
    <w:rsid w:val="003A7193"/>
    <w:rsid w:val="003A71A5"/>
    <w:rsid w:val="003A71FE"/>
    <w:rsid w:val="003A7219"/>
    <w:rsid w:val="003A724D"/>
    <w:rsid w:val="003A7267"/>
    <w:rsid w:val="003A72A3"/>
    <w:rsid w:val="003A7306"/>
    <w:rsid w:val="003A7345"/>
    <w:rsid w:val="003A7355"/>
    <w:rsid w:val="003A7386"/>
    <w:rsid w:val="003A743B"/>
    <w:rsid w:val="003A745B"/>
    <w:rsid w:val="003A7499"/>
    <w:rsid w:val="003A74A2"/>
    <w:rsid w:val="003A74B9"/>
    <w:rsid w:val="003A74BC"/>
    <w:rsid w:val="003A74C2"/>
    <w:rsid w:val="003A74C9"/>
    <w:rsid w:val="003A7504"/>
    <w:rsid w:val="003A7521"/>
    <w:rsid w:val="003A7548"/>
    <w:rsid w:val="003A75D4"/>
    <w:rsid w:val="003A75FA"/>
    <w:rsid w:val="003A7670"/>
    <w:rsid w:val="003A7689"/>
    <w:rsid w:val="003A76F3"/>
    <w:rsid w:val="003A76F6"/>
    <w:rsid w:val="003A774D"/>
    <w:rsid w:val="003A77F7"/>
    <w:rsid w:val="003A7805"/>
    <w:rsid w:val="003A78E2"/>
    <w:rsid w:val="003A7937"/>
    <w:rsid w:val="003A795F"/>
    <w:rsid w:val="003A797F"/>
    <w:rsid w:val="003A79DF"/>
    <w:rsid w:val="003A79EF"/>
    <w:rsid w:val="003A7A33"/>
    <w:rsid w:val="003A7A46"/>
    <w:rsid w:val="003A7A4F"/>
    <w:rsid w:val="003A7A57"/>
    <w:rsid w:val="003A7AF1"/>
    <w:rsid w:val="003A7AF5"/>
    <w:rsid w:val="003A7B1E"/>
    <w:rsid w:val="003A7B48"/>
    <w:rsid w:val="003A7BA5"/>
    <w:rsid w:val="003A7BBE"/>
    <w:rsid w:val="003A7C1C"/>
    <w:rsid w:val="003A7C30"/>
    <w:rsid w:val="003A7C48"/>
    <w:rsid w:val="003A7C67"/>
    <w:rsid w:val="003A7C9E"/>
    <w:rsid w:val="003A7CB9"/>
    <w:rsid w:val="003A7CD2"/>
    <w:rsid w:val="003A7D2B"/>
    <w:rsid w:val="003A7D75"/>
    <w:rsid w:val="003A7D9C"/>
    <w:rsid w:val="003A7E3D"/>
    <w:rsid w:val="003A7F3E"/>
    <w:rsid w:val="003A7F43"/>
    <w:rsid w:val="003A7F44"/>
    <w:rsid w:val="003A7F53"/>
    <w:rsid w:val="003A7FB3"/>
    <w:rsid w:val="003A7FB9"/>
    <w:rsid w:val="003A7FD6"/>
    <w:rsid w:val="003B0005"/>
    <w:rsid w:val="003B003B"/>
    <w:rsid w:val="003B008C"/>
    <w:rsid w:val="003B00D0"/>
    <w:rsid w:val="003B00F3"/>
    <w:rsid w:val="003B011B"/>
    <w:rsid w:val="003B0147"/>
    <w:rsid w:val="003B015A"/>
    <w:rsid w:val="003B01C9"/>
    <w:rsid w:val="003B0231"/>
    <w:rsid w:val="003B02CB"/>
    <w:rsid w:val="003B02F1"/>
    <w:rsid w:val="003B0317"/>
    <w:rsid w:val="003B031C"/>
    <w:rsid w:val="003B03BE"/>
    <w:rsid w:val="003B0419"/>
    <w:rsid w:val="003B0432"/>
    <w:rsid w:val="003B044B"/>
    <w:rsid w:val="003B0450"/>
    <w:rsid w:val="003B047E"/>
    <w:rsid w:val="003B04E1"/>
    <w:rsid w:val="003B0518"/>
    <w:rsid w:val="003B0533"/>
    <w:rsid w:val="003B0546"/>
    <w:rsid w:val="003B05D3"/>
    <w:rsid w:val="003B05D9"/>
    <w:rsid w:val="003B05EF"/>
    <w:rsid w:val="003B05FD"/>
    <w:rsid w:val="003B0639"/>
    <w:rsid w:val="003B068C"/>
    <w:rsid w:val="003B06ED"/>
    <w:rsid w:val="003B0752"/>
    <w:rsid w:val="003B07C9"/>
    <w:rsid w:val="003B07D5"/>
    <w:rsid w:val="003B07EC"/>
    <w:rsid w:val="003B07FE"/>
    <w:rsid w:val="003B082C"/>
    <w:rsid w:val="003B083C"/>
    <w:rsid w:val="003B08C8"/>
    <w:rsid w:val="003B08CC"/>
    <w:rsid w:val="003B093C"/>
    <w:rsid w:val="003B0989"/>
    <w:rsid w:val="003B098C"/>
    <w:rsid w:val="003B099B"/>
    <w:rsid w:val="003B09D8"/>
    <w:rsid w:val="003B0A28"/>
    <w:rsid w:val="003B0A65"/>
    <w:rsid w:val="003B0A89"/>
    <w:rsid w:val="003B0B00"/>
    <w:rsid w:val="003B0B34"/>
    <w:rsid w:val="003B0B4A"/>
    <w:rsid w:val="003B0B70"/>
    <w:rsid w:val="003B0BAB"/>
    <w:rsid w:val="003B0C32"/>
    <w:rsid w:val="003B0C6F"/>
    <w:rsid w:val="003B0C70"/>
    <w:rsid w:val="003B0CA3"/>
    <w:rsid w:val="003B0D1A"/>
    <w:rsid w:val="003B0D2E"/>
    <w:rsid w:val="003B0D89"/>
    <w:rsid w:val="003B0DC0"/>
    <w:rsid w:val="003B0DC6"/>
    <w:rsid w:val="003B0E2F"/>
    <w:rsid w:val="003B0E3A"/>
    <w:rsid w:val="003B0E5A"/>
    <w:rsid w:val="003B0E6A"/>
    <w:rsid w:val="003B0E76"/>
    <w:rsid w:val="003B0EA1"/>
    <w:rsid w:val="003B0EB2"/>
    <w:rsid w:val="003B0ED5"/>
    <w:rsid w:val="003B0EE4"/>
    <w:rsid w:val="003B0EFE"/>
    <w:rsid w:val="003B0F41"/>
    <w:rsid w:val="003B0F6F"/>
    <w:rsid w:val="003B106A"/>
    <w:rsid w:val="003B10DA"/>
    <w:rsid w:val="003B111B"/>
    <w:rsid w:val="003B1154"/>
    <w:rsid w:val="003B115B"/>
    <w:rsid w:val="003B11AF"/>
    <w:rsid w:val="003B11B5"/>
    <w:rsid w:val="003B121A"/>
    <w:rsid w:val="003B121B"/>
    <w:rsid w:val="003B1279"/>
    <w:rsid w:val="003B1296"/>
    <w:rsid w:val="003B12C1"/>
    <w:rsid w:val="003B12DB"/>
    <w:rsid w:val="003B12E2"/>
    <w:rsid w:val="003B133C"/>
    <w:rsid w:val="003B1396"/>
    <w:rsid w:val="003B141F"/>
    <w:rsid w:val="003B1422"/>
    <w:rsid w:val="003B1443"/>
    <w:rsid w:val="003B1468"/>
    <w:rsid w:val="003B14AA"/>
    <w:rsid w:val="003B1509"/>
    <w:rsid w:val="003B1528"/>
    <w:rsid w:val="003B1603"/>
    <w:rsid w:val="003B1633"/>
    <w:rsid w:val="003B163A"/>
    <w:rsid w:val="003B1655"/>
    <w:rsid w:val="003B1683"/>
    <w:rsid w:val="003B16F8"/>
    <w:rsid w:val="003B172F"/>
    <w:rsid w:val="003B1742"/>
    <w:rsid w:val="003B1748"/>
    <w:rsid w:val="003B1797"/>
    <w:rsid w:val="003B17E9"/>
    <w:rsid w:val="003B1803"/>
    <w:rsid w:val="003B18DF"/>
    <w:rsid w:val="003B191B"/>
    <w:rsid w:val="003B1949"/>
    <w:rsid w:val="003B19A9"/>
    <w:rsid w:val="003B19B8"/>
    <w:rsid w:val="003B19BF"/>
    <w:rsid w:val="003B1A25"/>
    <w:rsid w:val="003B1A76"/>
    <w:rsid w:val="003B1A7F"/>
    <w:rsid w:val="003B1A9F"/>
    <w:rsid w:val="003B1B0F"/>
    <w:rsid w:val="003B1B11"/>
    <w:rsid w:val="003B1B9B"/>
    <w:rsid w:val="003B1B9C"/>
    <w:rsid w:val="003B1BC1"/>
    <w:rsid w:val="003B1BC3"/>
    <w:rsid w:val="003B1C19"/>
    <w:rsid w:val="003B1CC7"/>
    <w:rsid w:val="003B1CE8"/>
    <w:rsid w:val="003B1DC1"/>
    <w:rsid w:val="003B1E1E"/>
    <w:rsid w:val="003B1E6A"/>
    <w:rsid w:val="003B1E70"/>
    <w:rsid w:val="003B1EAB"/>
    <w:rsid w:val="003B1F54"/>
    <w:rsid w:val="003B1F94"/>
    <w:rsid w:val="003B1F9D"/>
    <w:rsid w:val="003B1FCF"/>
    <w:rsid w:val="003B1FD5"/>
    <w:rsid w:val="003B203E"/>
    <w:rsid w:val="003B2052"/>
    <w:rsid w:val="003B2073"/>
    <w:rsid w:val="003B20B9"/>
    <w:rsid w:val="003B20DA"/>
    <w:rsid w:val="003B20FB"/>
    <w:rsid w:val="003B20FE"/>
    <w:rsid w:val="003B2153"/>
    <w:rsid w:val="003B2177"/>
    <w:rsid w:val="003B2204"/>
    <w:rsid w:val="003B222F"/>
    <w:rsid w:val="003B2273"/>
    <w:rsid w:val="003B227A"/>
    <w:rsid w:val="003B227D"/>
    <w:rsid w:val="003B22E0"/>
    <w:rsid w:val="003B22FC"/>
    <w:rsid w:val="003B2380"/>
    <w:rsid w:val="003B2392"/>
    <w:rsid w:val="003B23FA"/>
    <w:rsid w:val="003B23FE"/>
    <w:rsid w:val="003B2411"/>
    <w:rsid w:val="003B2429"/>
    <w:rsid w:val="003B2451"/>
    <w:rsid w:val="003B2469"/>
    <w:rsid w:val="003B24AF"/>
    <w:rsid w:val="003B24C8"/>
    <w:rsid w:val="003B24CC"/>
    <w:rsid w:val="003B2516"/>
    <w:rsid w:val="003B2534"/>
    <w:rsid w:val="003B2543"/>
    <w:rsid w:val="003B254A"/>
    <w:rsid w:val="003B254B"/>
    <w:rsid w:val="003B257B"/>
    <w:rsid w:val="003B25C2"/>
    <w:rsid w:val="003B2670"/>
    <w:rsid w:val="003B27CD"/>
    <w:rsid w:val="003B27F9"/>
    <w:rsid w:val="003B2808"/>
    <w:rsid w:val="003B2814"/>
    <w:rsid w:val="003B28A3"/>
    <w:rsid w:val="003B28B9"/>
    <w:rsid w:val="003B28ED"/>
    <w:rsid w:val="003B2953"/>
    <w:rsid w:val="003B2A3C"/>
    <w:rsid w:val="003B2A42"/>
    <w:rsid w:val="003B2A54"/>
    <w:rsid w:val="003B2AC8"/>
    <w:rsid w:val="003B2ACC"/>
    <w:rsid w:val="003B2AED"/>
    <w:rsid w:val="003B2B05"/>
    <w:rsid w:val="003B2C02"/>
    <w:rsid w:val="003B2C13"/>
    <w:rsid w:val="003B2C40"/>
    <w:rsid w:val="003B2C8F"/>
    <w:rsid w:val="003B2C99"/>
    <w:rsid w:val="003B2D08"/>
    <w:rsid w:val="003B2D77"/>
    <w:rsid w:val="003B2DAD"/>
    <w:rsid w:val="003B2E76"/>
    <w:rsid w:val="003B2E89"/>
    <w:rsid w:val="003B2EC6"/>
    <w:rsid w:val="003B2ED7"/>
    <w:rsid w:val="003B2F04"/>
    <w:rsid w:val="003B2F74"/>
    <w:rsid w:val="003B2F82"/>
    <w:rsid w:val="003B2F86"/>
    <w:rsid w:val="003B2F88"/>
    <w:rsid w:val="003B2F8D"/>
    <w:rsid w:val="003B3033"/>
    <w:rsid w:val="003B305C"/>
    <w:rsid w:val="003B30FE"/>
    <w:rsid w:val="003B3109"/>
    <w:rsid w:val="003B3115"/>
    <w:rsid w:val="003B3222"/>
    <w:rsid w:val="003B32EE"/>
    <w:rsid w:val="003B3333"/>
    <w:rsid w:val="003B333C"/>
    <w:rsid w:val="003B333F"/>
    <w:rsid w:val="003B33AC"/>
    <w:rsid w:val="003B33B9"/>
    <w:rsid w:val="003B33D4"/>
    <w:rsid w:val="003B342C"/>
    <w:rsid w:val="003B34CC"/>
    <w:rsid w:val="003B3549"/>
    <w:rsid w:val="003B3573"/>
    <w:rsid w:val="003B3578"/>
    <w:rsid w:val="003B35BD"/>
    <w:rsid w:val="003B35F9"/>
    <w:rsid w:val="003B3631"/>
    <w:rsid w:val="003B3689"/>
    <w:rsid w:val="003B36B6"/>
    <w:rsid w:val="003B36E2"/>
    <w:rsid w:val="003B36F9"/>
    <w:rsid w:val="003B371F"/>
    <w:rsid w:val="003B372B"/>
    <w:rsid w:val="003B3776"/>
    <w:rsid w:val="003B3809"/>
    <w:rsid w:val="003B3838"/>
    <w:rsid w:val="003B3869"/>
    <w:rsid w:val="003B396F"/>
    <w:rsid w:val="003B3990"/>
    <w:rsid w:val="003B399B"/>
    <w:rsid w:val="003B39AA"/>
    <w:rsid w:val="003B39D6"/>
    <w:rsid w:val="003B39E7"/>
    <w:rsid w:val="003B39F0"/>
    <w:rsid w:val="003B3AF1"/>
    <w:rsid w:val="003B3B06"/>
    <w:rsid w:val="003B3D16"/>
    <w:rsid w:val="003B3D25"/>
    <w:rsid w:val="003B3D3F"/>
    <w:rsid w:val="003B3D4C"/>
    <w:rsid w:val="003B3D7B"/>
    <w:rsid w:val="003B3D92"/>
    <w:rsid w:val="003B3DAA"/>
    <w:rsid w:val="003B3DBD"/>
    <w:rsid w:val="003B3DC1"/>
    <w:rsid w:val="003B3E0A"/>
    <w:rsid w:val="003B3E11"/>
    <w:rsid w:val="003B3E2D"/>
    <w:rsid w:val="003B3F6F"/>
    <w:rsid w:val="003B3FB5"/>
    <w:rsid w:val="003B4007"/>
    <w:rsid w:val="003B4049"/>
    <w:rsid w:val="003B40CB"/>
    <w:rsid w:val="003B40D5"/>
    <w:rsid w:val="003B4103"/>
    <w:rsid w:val="003B41DC"/>
    <w:rsid w:val="003B4243"/>
    <w:rsid w:val="003B426F"/>
    <w:rsid w:val="003B42D6"/>
    <w:rsid w:val="003B4446"/>
    <w:rsid w:val="003B4464"/>
    <w:rsid w:val="003B44BD"/>
    <w:rsid w:val="003B44C9"/>
    <w:rsid w:val="003B44DD"/>
    <w:rsid w:val="003B451E"/>
    <w:rsid w:val="003B4577"/>
    <w:rsid w:val="003B45D3"/>
    <w:rsid w:val="003B45D5"/>
    <w:rsid w:val="003B468B"/>
    <w:rsid w:val="003B46F5"/>
    <w:rsid w:val="003B4702"/>
    <w:rsid w:val="003B472D"/>
    <w:rsid w:val="003B475E"/>
    <w:rsid w:val="003B479E"/>
    <w:rsid w:val="003B47CB"/>
    <w:rsid w:val="003B4814"/>
    <w:rsid w:val="003B483D"/>
    <w:rsid w:val="003B4865"/>
    <w:rsid w:val="003B489F"/>
    <w:rsid w:val="003B48C2"/>
    <w:rsid w:val="003B4917"/>
    <w:rsid w:val="003B4939"/>
    <w:rsid w:val="003B4961"/>
    <w:rsid w:val="003B497D"/>
    <w:rsid w:val="003B4A73"/>
    <w:rsid w:val="003B4A7B"/>
    <w:rsid w:val="003B4A9C"/>
    <w:rsid w:val="003B4AD9"/>
    <w:rsid w:val="003B4B58"/>
    <w:rsid w:val="003B4B59"/>
    <w:rsid w:val="003B4BA5"/>
    <w:rsid w:val="003B4C45"/>
    <w:rsid w:val="003B4CB0"/>
    <w:rsid w:val="003B4CF5"/>
    <w:rsid w:val="003B4D1B"/>
    <w:rsid w:val="003B4D90"/>
    <w:rsid w:val="003B4D9C"/>
    <w:rsid w:val="003B4E15"/>
    <w:rsid w:val="003B4E88"/>
    <w:rsid w:val="003B4EC4"/>
    <w:rsid w:val="003B4ECF"/>
    <w:rsid w:val="003B4F35"/>
    <w:rsid w:val="003B4FD2"/>
    <w:rsid w:val="003B4FD5"/>
    <w:rsid w:val="003B4FFD"/>
    <w:rsid w:val="003B501B"/>
    <w:rsid w:val="003B5074"/>
    <w:rsid w:val="003B5084"/>
    <w:rsid w:val="003B5094"/>
    <w:rsid w:val="003B50BF"/>
    <w:rsid w:val="003B512E"/>
    <w:rsid w:val="003B5187"/>
    <w:rsid w:val="003B51B8"/>
    <w:rsid w:val="003B51C2"/>
    <w:rsid w:val="003B51F0"/>
    <w:rsid w:val="003B523A"/>
    <w:rsid w:val="003B5242"/>
    <w:rsid w:val="003B5259"/>
    <w:rsid w:val="003B52DD"/>
    <w:rsid w:val="003B5310"/>
    <w:rsid w:val="003B5371"/>
    <w:rsid w:val="003B53BD"/>
    <w:rsid w:val="003B53E4"/>
    <w:rsid w:val="003B5427"/>
    <w:rsid w:val="003B5437"/>
    <w:rsid w:val="003B543B"/>
    <w:rsid w:val="003B5442"/>
    <w:rsid w:val="003B5474"/>
    <w:rsid w:val="003B54AA"/>
    <w:rsid w:val="003B54AD"/>
    <w:rsid w:val="003B5502"/>
    <w:rsid w:val="003B5532"/>
    <w:rsid w:val="003B553A"/>
    <w:rsid w:val="003B5543"/>
    <w:rsid w:val="003B55D9"/>
    <w:rsid w:val="003B55EC"/>
    <w:rsid w:val="003B55F6"/>
    <w:rsid w:val="003B5606"/>
    <w:rsid w:val="003B569C"/>
    <w:rsid w:val="003B5765"/>
    <w:rsid w:val="003B5836"/>
    <w:rsid w:val="003B5837"/>
    <w:rsid w:val="003B5856"/>
    <w:rsid w:val="003B585D"/>
    <w:rsid w:val="003B58AD"/>
    <w:rsid w:val="003B58BA"/>
    <w:rsid w:val="003B592B"/>
    <w:rsid w:val="003B59A4"/>
    <w:rsid w:val="003B5A36"/>
    <w:rsid w:val="003B5A76"/>
    <w:rsid w:val="003B5A7D"/>
    <w:rsid w:val="003B5A99"/>
    <w:rsid w:val="003B5B03"/>
    <w:rsid w:val="003B5B7A"/>
    <w:rsid w:val="003B5BF6"/>
    <w:rsid w:val="003B5C10"/>
    <w:rsid w:val="003B5C18"/>
    <w:rsid w:val="003B5C52"/>
    <w:rsid w:val="003B5C61"/>
    <w:rsid w:val="003B5C83"/>
    <w:rsid w:val="003B5CDB"/>
    <w:rsid w:val="003B5D36"/>
    <w:rsid w:val="003B5D5E"/>
    <w:rsid w:val="003B5DCD"/>
    <w:rsid w:val="003B5E0B"/>
    <w:rsid w:val="003B5E10"/>
    <w:rsid w:val="003B5E22"/>
    <w:rsid w:val="003B5E5F"/>
    <w:rsid w:val="003B5EB3"/>
    <w:rsid w:val="003B5EBF"/>
    <w:rsid w:val="003B5EC8"/>
    <w:rsid w:val="003B5EE6"/>
    <w:rsid w:val="003B5F26"/>
    <w:rsid w:val="003B5F3F"/>
    <w:rsid w:val="003B5F75"/>
    <w:rsid w:val="003B5FC1"/>
    <w:rsid w:val="003B5FDE"/>
    <w:rsid w:val="003B5FE8"/>
    <w:rsid w:val="003B5FF4"/>
    <w:rsid w:val="003B6017"/>
    <w:rsid w:val="003B6039"/>
    <w:rsid w:val="003B6084"/>
    <w:rsid w:val="003B609A"/>
    <w:rsid w:val="003B60D9"/>
    <w:rsid w:val="003B6105"/>
    <w:rsid w:val="003B613E"/>
    <w:rsid w:val="003B6162"/>
    <w:rsid w:val="003B6181"/>
    <w:rsid w:val="003B61AB"/>
    <w:rsid w:val="003B61E2"/>
    <w:rsid w:val="003B61F3"/>
    <w:rsid w:val="003B623C"/>
    <w:rsid w:val="003B623D"/>
    <w:rsid w:val="003B627F"/>
    <w:rsid w:val="003B62B8"/>
    <w:rsid w:val="003B62BE"/>
    <w:rsid w:val="003B62CA"/>
    <w:rsid w:val="003B6319"/>
    <w:rsid w:val="003B631E"/>
    <w:rsid w:val="003B6321"/>
    <w:rsid w:val="003B6372"/>
    <w:rsid w:val="003B6389"/>
    <w:rsid w:val="003B63C2"/>
    <w:rsid w:val="003B64C4"/>
    <w:rsid w:val="003B64CD"/>
    <w:rsid w:val="003B64D6"/>
    <w:rsid w:val="003B64DD"/>
    <w:rsid w:val="003B64EE"/>
    <w:rsid w:val="003B6520"/>
    <w:rsid w:val="003B6535"/>
    <w:rsid w:val="003B657C"/>
    <w:rsid w:val="003B659C"/>
    <w:rsid w:val="003B6627"/>
    <w:rsid w:val="003B6632"/>
    <w:rsid w:val="003B6686"/>
    <w:rsid w:val="003B66A5"/>
    <w:rsid w:val="003B66B2"/>
    <w:rsid w:val="003B6715"/>
    <w:rsid w:val="003B674E"/>
    <w:rsid w:val="003B6756"/>
    <w:rsid w:val="003B6777"/>
    <w:rsid w:val="003B67F8"/>
    <w:rsid w:val="003B67FC"/>
    <w:rsid w:val="003B67FD"/>
    <w:rsid w:val="003B6806"/>
    <w:rsid w:val="003B6834"/>
    <w:rsid w:val="003B683C"/>
    <w:rsid w:val="003B686C"/>
    <w:rsid w:val="003B6893"/>
    <w:rsid w:val="003B68F2"/>
    <w:rsid w:val="003B68F8"/>
    <w:rsid w:val="003B691D"/>
    <w:rsid w:val="003B6925"/>
    <w:rsid w:val="003B693A"/>
    <w:rsid w:val="003B6941"/>
    <w:rsid w:val="003B6946"/>
    <w:rsid w:val="003B69DE"/>
    <w:rsid w:val="003B6A11"/>
    <w:rsid w:val="003B6A25"/>
    <w:rsid w:val="003B6A26"/>
    <w:rsid w:val="003B6A5C"/>
    <w:rsid w:val="003B6A60"/>
    <w:rsid w:val="003B6AB2"/>
    <w:rsid w:val="003B6ACD"/>
    <w:rsid w:val="003B6B1B"/>
    <w:rsid w:val="003B6B41"/>
    <w:rsid w:val="003B6B48"/>
    <w:rsid w:val="003B6B65"/>
    <w:rsid w:val="003B6B87"/>
    <w:rsid w:val="003B6BE0"/>
    <w:rsid w:val="003B6C3E"/>
    <w:rsid w:val="003B6CC5"/>
    <w:rsid w:val="003B6CE0"/>
    <w:rsid w:val="003B6CE4"/>
    <w:rsid w:val="003B6CFA"/>
    <w:rsid w:val="003B6D31"/>
    <w:rsid w:val="003B6D39"/>
    <w:rsid w:val="003B6D75"/>
    <w:rsid w:val="003B6D7B"/>
    <w:rsid w:val="003B6D8E"/>
    <w:rsid w:val="003B6DBA"/>
    <w:rsid w:val="003B6DC5"/>
    <w:rsid w:val="003B6DE2"/>
    <w:rsid w:val="003B6E04"/>
    <w:rsid w:val="003B6E28"/>
    <w:rsid w:val="003B6E85"/>
    <w:rsid w:val="003B6E91"/>
    <w:rsid w:val="003B6E94"/>
    <w:rsid w:val="003B6EA9"/>
    <w:rsid w:val="003B6ED9"/>
    <w:rsid w:val="003B6F6E"/>
    <w:rsid w:val="003B6F90"/>
    <w:rsid w:val="003B6FB2"/>
    <w:rsid w:val="003B6FBE"/>
    <w:rsid w:val="003B7016"/>
    <w:rsid w:val="003B7023"/>
    <w:rsid w:val="003B70E0"/>
    <w:rsid w:val="003B70E3"/>
    <w:rsid w:val="003B70F3"/>
    <w:rsid w:val="003B7140"/>
    <w:rsid w:val="003B7148"/>
    <w:rsid w:val="003B716A"/>
    <w:rsid w:val="003B71E7"/>
    <w:rsid w:val="003B71EB"/>
    <w:rsid w:val="003B7212"/>
    <w:rsid w:val="003B723C"/>
    <w:rsid w:val="003B7284"/>
    <w:rsid w:val="003B7293"/>
    <w:rsid w:val="003B72A1"/>
    <w:rsid w:val="003B72BE"/>
    <w:rsid w:val="003B742F"/>
    <w:rsid w:val="003B7433"/>
    <w:rsid w:val="003B7447"/>
    <w:rsid w:val="003B7486"/>
    <w:rsid w:val="003B74CC"/>
    <w:rsid w:val="003B74F9"/>
    <w:rsid w:val="003B74FC"/>
    <w:rsid w:val="003B7513"/>
    <w:rsid w:val="003B7531"/>
    <w:rsid w:val="003B763C"/>
    <w:rsid w:val="003B7640"/>
    <w:rsid w:val="003B7650"/>
    <w:rsid w:val="003B7704"/>
    <w:rsid w:val="003B772A"/>
    <w:rsid w:val="003B7749"/>
    <w:rsid w:val="003B7764"/>
    <w:rsid w:val="003B7796"/>
    <w:rsid w:val="003B77C6"/>
    <w:rsid w:val="003B77FC"/>
    <w:rsid w:val="003B7805"/>
    <w:rsid w:val="003B783D"/>
    <w:rsid w:val="003B784B"/>
    <w:rsid w:val="003B788C"/>
    <w:rsid w:val="003B7989"/>
    <w:rsid w:val="003B7A2B"/>
    <w:rsid w:val="003B7A51"/>
    <w:rsid w:val="003B7A95"/>
    <w:rsid w:val="003B7AB4"/>
    <w:rsid w:val="003B7AE9"/>
    <w:rsid w:val="003B7AEB"/>
    <w:rsid w:val="003B7B05"/>
    <w:rsid w:val="003B7B06"/>
    <w:rsid w:val="003B7B4B"/>
    <w:rsid w:val="003B7B60"/>
    <w:rsid w:val="003B7BC2"/>
    <w:rsid w:val="003B7BD4"/>
    <w:rsid w:val="003B7BEB"/>
    <w:rsid w:val="003B7C06"/>
    <w:rsid w:val="003B7C27"/>
    <w:rsid w:val="003B7C53"/>
    <w:rsid w:val="003B7C96"/>
    <w:rsid w:val="003B7CB5"/>
    <w:rsid w:val="003B7CEA"/>
    <w:rsid w:val="003B7CED"/>
    <w:rsid w:val="003B7D15"/>
    <w:rsid w:val="003B7DAA"/>
    <w:rsid w:val="003B7DFC"/>
    <w:rsid w:val="003B7E04"/>
    <w:rsid w:val="003B7E08"/>
    <w:rsid w:val="003B7E66"/>
    <w:rsid w:val="003B7E72"/>
    <w:rsid w:val="003B7F04"/>
    <w:rsid w:val="003B7F05"/>
    <w:rsid w:val="003B7F11"/>
    <w:rsid w:val="003B7F54"/>
    <w:rsid w:val="003B7F5C"/>
    <w:rsid w:val="003B7F8A"/>
    <w:rsid w:val="003B7FD5"/>
    <w:rsid w:val="003C0012"/>
    <w:rsid w:val="003C0028"/>
    <w:rsid w:val="003C003B"/>
    <w:rsid w:val="003C003F"/>
    <w:rsid w:val="003C004C"/>
    <w:rsid w:val="003C004F"/>
    <w:rsid w:val="003C006A"/>
    <w:rsid w:val="003C00E3"/>
    <w:rsid w:val="003C0104"/>
    <w:rsid w:val="003C015E"/>
    <w:rsid w:val="003C0168"/>
    <w:rsid w:val="003C019E"/>
    <w:rsid w:val="003C01CC"/>
    <w:rsid w:val="003C0205"/>
    <w:rsid w:val="003C020B"/>
    <w:rsid w:val="003C021E"/>
    <w:rsid w:val="003C026C"/>
    <w:rsid w:val="003C0273"/>
    <w:rsid w:val="003C0287"/>
    <w:rsid w:val="003C02EC"/>
    <w:rsid w:val="003C02FF"/>
    <w:rsid w:val="003C030C"/>
    <w:rsid w:val="003C031F"/>
    <w:rsid w:val="003C0381"/>
    <w:rsid w:val="003C0401"/>
    <w:rsid w:val="003C0465"/>
    <w:rsid w:val="003C04E9"/>
    <w:rsid w:val="003C050D"/>
    <w:rsid w:val="003C05A8"/>
    <w:rsid w:val="003C05B9"/>
    <w:rsid w:val="003C0691"/>
    <w:rsid w:val="003C06A9"/>
    <w:rsid w:val="003C072B"/>
    <w:rsid w:val="003C0751"/>
    <w:rsid w:val="003C0771"/>
    <w:rsid w:val="003C0782"/>
    <w:rsid w:val="003C0783"/>
    <w:rsid w:val="003C07B5"/>
    <w:rsid w:val="003C0805"/>
    <w:rsid w:val="003C0811"/>
    <w:rsid w:val="003C0836"/>
    <w:rsid w:val="003C0859"/>
    <w:rsid w:val="003C08B4"/>
    <w:rsid w:val="003C08C9"/>
    <w:rsid w:val="003C0957"/>
    <w:rsid w:val="003C09B3"/>
    <w:rsid w:val="003C0B33"/>
    <w:rsid w:val="003C0B8C"/>
    <w:rsid w:val="003C0BA5"/>
    <w:rsid w:val="003C0BC4"/>
    <w:rsid w:val="003C0C96"/>
    <w:rsid w:val="003C0CD2"/>
    <w:rsid w:val="003C0CE6"/>
    <w:rsid w:val="003C0CF4"/>
    <w:rsid w:val="003C0D26"/>
    <w:rsid w:val="003C0D3B"/>
    <w:rsid w:val="003C0DBA"/>
    <w:rsid w:val="003C0E28"/>
    <w:rsid w:val="003C0E3F"/>
    <w:rsid w:val="003C0EDA"/>
    <w:rsid w:val="003C0F43"/>
    <w:rsid w:val="003C0F60"/>
    <w:rsid w:val="003C0F6E"/>
    <w:rsid w:val="003C0F9A"/>
    <w:rsid w:val="003C0FE4"/>
    <w:rsid w:val="003C1004"/>
    <w:rsid w:val="003C100C"/>
    <w:rsid w:val="003C1050"/>
    <w:rsid w:val="003C10C7"/>
    <w:rsid w:val="003C1185"/>
    <w:rsid w:val="003C1187"/>
    <w:rsid w:val="003C11AC"/>
    <w:rsid w:val="003C11BF"/>
    <w:rsid w:val="003C11D0"/>
    <w:rsid w:val="003C11DA"/>
    <w:rsid w:val="003C123B"/>
    <w:rsid w:val="003C1259"/>
    <w:rsid w:val="003C129E"/>
    <w:rsid w:val="003C12FE"/>
    <w:rsid w:val="003C1325"/>
    <w:rsid w:val="003C1342"/>
    <w:rsid w:val="003C1394"/>
    <w:rsid w:val="003C1482"/>
    <w:rsid w:val="003C14EE"/>
    <w:rsid w:val="003C1512"/>
    <w:rsid w:val="003C1556"/>
    <w:rsid w:val="003C1575"/>
    <w:rsid w:val="003C15F6"/>
    <w:rsid w:val="003C161D"/>
    <w:rsid w:val="003C1631"/>
    <w:rsid w:val="003C1641"/>
    <w:rsid w:val="003C1646"/>
    <w:rsid w:val="003C165E"/>
    <w:rsid w:val="003C168A"/>
    <w:rsid w:val="003C16DC"/>
    <w:rsid w:val="003C16E3"/>
    <w:rsid w:val="003C171A"/>
    <w:rsid w:val="003C1723"/>
    <w:rsid w:val="003C1737"/>
    <w:rsid w:val="003C1755"/>
    <w:rsid w:val="003C1785"/>
    <w:rsid w:val="003C17FD"/>
    <w:rsid w:val="003C1831"/>
    <w:rsid w:val="003C185A"/>
    <w:rsid w:val="003C185D"/>
    <w:rsid w:val="003C185F"/>
    <w:rsid w:val="003C1861"/>
    <w:rsid w:val="003C18E0"/>
    <w:rsid w:val="003C1906"/>
    <w:rsid w:val="003C1914"/>
    <w:rsid w:val="003C1923"/>
    <w:rsid w:val="003C1924"/>
    <w:rsid w:val="003C1929"/>
    <w:rsid w:val="003C1A58"/>
    <w:rsid w:val="003C1A93"/>
    <w:rsid w:val="003C1A9E"/>
    <w:rsid w:val="003C1AF5"/>
    <w:rsid w:val="003C1B1F"/>
    <w:rsid w:val="003C1B4E"/>
    <w:rsid w:val="003C1B5F"/>
    <w:rsid w:val="003C1BB2"/>
    <w:rsid w:val="003C1BC6"/>
    <w:rsid w:val="003C1CF4"/>
    <w:rsid w:val="003C1D59"/>
    <w:rsid w:val="003C1D73"/>
    <w:rsid w:val="003C1DA6"/>
    <w:rsid w:val="003C1DC5"/>
    <w:rsid w:val="003C1DC7"/>
    <w:rsid w:val="003C1DE0"/>
    <w:rsid w:val="003C1DE6"/>
    <w:rsid w:val="003C1DF0"/>
    <w:rsid w:val="003C1DFF"/>
    <w:rsid w:val="003C1E48"/>
    <w:rsid w:val="003C1E66"/>
    <w:rsid w:val="003C1F55"/>
    <w:rsid w:val="003C1F5A"/>
    <w:rsid w:val="003C1F64"/>
    <w:rsid w:val="003C1F93"/>
    <w:rsid w:val="003C1F94"/>
    <w:rsid w:val="003C1FC4"/>
    <w:rsid w:val="003C202B"/>
    <w:rsid w:val="003C204C"/>
    <w:rsid w:val="003C2100"/>
    <w:rsid w:val="003C2109"/>
    <w:rsid w:val="003C211A"/>
    <w:rsid w:val="003C213C"/>
    <w:rsid w:val="003C2151"/>
    <w:rsid w:val="003C222D"/>
    <w:rsid w:val="003C2241"/>
    <w:rsid w:val="003C2247"/>
    <w:rsid w:val="003C2249"/>
    <w:rsid w:val="003C2302"/>
    <w:rsid w:val="003C239C"/>
    <w:rsid w:val="003C23D1"/>
    <w:rsid w:val="003C23F5"/>
    <w:rsid w:val="003C2407"/>
    <w:rsid w:val="003C24BD"/>
    <w:rsid w:val="003C2584"/>
    <w:rsid w:val="003C266B"/>
    <w:rsid w:val="003C271D"/>
    <w:rsid w:val="003C2757"/>
    <w:rsid w:val="003C2766"/>
    <w:rsid w:val="003C2773"/>
    <w:rsid w:val="003C27AD"/>
    <w:rsid w:val="003C27CF"/>
    <w:rsid w:val="003C27F8"/>
    <w:rsid w:val="003C2822"/>
    <w:rsid w:val="003C286A"/>
    <w:rsid w:val="003C2878"/>
    <w:rsid w:val="003C2882"/>
    <w:rsid w:val="003C28AD"/>
    <w:rsid w:val="003C2915"/>
    <w:rsid w:val="003C2921"/>
    <w:rsid w:val="003C2964"/>
    <w:rsid w:val="003C29BC"/>
    <w:rsid w:val="003C29C0"/>
    <w:rsid w:val="003C2A05"/>
    <w:rsid w:val="003C2A20"/>
    <w:rsid w:val="003C2A70"/>
    <w:rsid w:val="003C2A76"/>
    <w:rsid w:val="003C2AA6"/>
    <w:rsid w:val="003C2AFB"/>
    <w:rsid w:val="003C2B14"/>
    <w:rsid w:val="003C2B2C"/>
    <w:rsid w:val="003C2B53"/>
    <w:rsid w:val="003C2C1C"/>
    <w:rsid w:val="003C2C98"/>
    <w:rsid w:val="003C2D9C"/>
    <w:rsid w:val="003C2DE8"/>
    <w:rsid w:val="003C2ECA"/>
    <w:rsid w:val="003C2ECB"/>
    <w:rsid w:val="003C2EF4"/>
    <w:rsid w:val="003C2EF7"/>
    <w:rsid w:val="003C2F1A"/>
    <w:rsid w:val="003C2F20"/>
    <w:rsid w:val="003C2F5F"/>
    <w:rsid w:val="003C2F85"/>
    <w:rsid w:val="003C2FB6"/>
    <w:rsid w:val="003C2FC0"/>
    <w:rsid w:val="003C2FFE"/>
    <w:rsid w:val="003C3058"/>
    <w:rsid w:val="003C30A1"/>
    <w:rsid w:val="003C30BD"/>
    <w:rsid w:val="003C30C4"/>
    <w:rsid w:val="003C30FC"/>
    <w:rsid w:val="003C311C"/>
    <w:rsid w:val="003C312E"/>
    <w:rsid w:val="003C3190"/>
    <w:rsid w:val="003C3198"/>
    <w:rsid w:val="003C31B1"/>
    <w:rsid w:val="003C31D0"/>
    <w:rsid w:val="003C3208"/>
    <w:rsid w:val="003C325F"/>
    <w:rsid w:val="003C3268"/>
    <w:rsid w:val="003C327E"/>
    <w:rsid w:val="003C328D"/>
    <w:rsid w:val="003C329E"/>
    <w:rsid w:val="003C32DB"/>
    <w:rsid w:val="003C32ED"/>
    <w:rsid w:val="003C3305"/>
    <w:rsid w:val="003C3352"/>
    <w:rsid w:val="003C339F"/>
    <w:rsid w:val="003C33F4"/>
    <w:rsid w:val="003C3422"/>
    <w:rsid w:val="003C343B"/>
    <w:rsid w:val="003C3454"/>
    <w:rsid w:val="003C346A"/>
    <w:rsid w:val="003C34B7"/>
    <w:rsid w:val="003C34C9"/>
    <w:rsid w:val="003C350D"/>
    <w:rsid w:val="003C3534"/>
    <w:rsid w:val="003C3536"/>
    <w:rsid w:val="003C3696"/>
    <w:rsid w:val="003C3697"/>
    <w:rsid w:val="003C36A4"/>
    <w:rsid w:val="003C3779"/>
    <w:rsid w:val="003C380A"/>
    <w:rsid w:val="003C3834"/>
    <w:rsid w:val="003C388C"/>
    <w:rsid w:val="003C3895"/>
    <w:rsid w:val="003C38F1"/>
    <w:rsid w:val="003C38F5"/>
    <w:rsid w:val="003C38FC"/>
    <w:rsid w:val="003C399A"/>
    <w:rsid w:val="003C39A8"/>
    <w:rsid w:val="003C3A43"/>
    <w:rsid w:val="003C3A67"/>
    <w:rsid w:val="003C3AB5"/>
    <w:rsid w:val="003C3B03"/>
    <w:rsid w:val="003C3B0E"/>
    <w:rsid w:val="003C3BB1"/>
    <w:rsid w:val="003C3BE5"/>
    <w:rsid w:val="003C3BEF"/>
    <w:rsid w:val="003C3BFE"/>
    <w:rsid w:val="003C3C01"/>
    <w:rsid w:val="003C3C56"/>
    <w:rsid w:val="003C3C8F"/>
    <w:rsid w:val="003C3CEC"/>
    <w:rsid w:val="003C3D0F"/>
    <w:rsid w:val="003C3D13"/>
    <w:rsid w:val="003C3D1B"/>
    <w:rsid w:val="003C3D3B"/>
    <w:rsid w:val="003C3D4F"/>
    <w:rsid w:val="003C3D65"/>
    <w:rsid w:val="003C3DAA"/>
    <w:rsid w:val="003C3E0B"/>
    <w:rsid w:val="003C3E16"/>
    <w:rsid w:val="003C3E46"/>
    <w:rsid w:val="003C3E76"/>
    <w:rsid w:val="003C3EBC"/>
    <w:rsid w:val="003C3EFF"/>
    <w:rsid w:val="003C3F09"/>
    <w:rsid w:val="003C3F43"/>
    <w:rsid w:val="003C3F5D"/>
    <w:rsid w:val="003C3F60"/>
    <w:rsid w:val="003C3FBF"/>
    <w:rsid w:val="003C406C"/>
    <w:rsid w:val="003C4089"/>
    <w:rsid w:val="003C409F"/>
    <w:rsid w:val="003C40CC"/>
    <w:rsid w:val="003C4100"/>
    <w:rsid w:val="003C4106"/>
    <w:rsid w:val="003C4169"/>
    <w:rsid w:val="003C41BF"/>
    <w:rsid w:val="003C41F6"/>
    <w:rsid w:val="003C4207"/>
    <w:rsid w:val="003C421B"/>
    <w:rsid w:val="003C4326"/>
    <w:rsid w:val="003C4350"/>
    <w:rsid w:val="003C4357"/>
    <w:rsid w:val="003C43EE"/>
    <w:rsid w:val="003C441E"/>
    <w:rsid w:val="003C4420"/>
    <w:rsid w:val="003C447C"/>
    <w:rsid w:val="003C4497"/>
    <w:rsid w:val="003C44CF"/>
    <w:rsid w:val="003C44E0"/>
    <w:rsid w:val="003C44EC"/>
    <w:rsid w:val="003C44F0"/>
    <w:rsid w:val="003C452D"/>
    <w:rsid w:val="003C457D"/>
    <w:rsid w:val="003C45D2"/>
    <w:rsid w:val="003C45E7"/>
    <w:rsid w:val="003C466C"/>
    <w:rsid w:val="003C468D"/>
    <w:rsid w:val="003C46A3"/>
    <w:rsid w:val="003C4741"/>
    <w:rsid w:val="003C4777"/>
    <w:rsid w:val="003C47A6"/>
    <w:rsid w:val="003C47EE"/>
    <w:rsid w:val="003C481F"/>
    <w:rsid w:val="003C488D"/>
    <w:rsid w:val="003C4981"/>
    <w:rsid w:val="003C49AE"/>
    <w:rsid w:val="003C4A06"/>
    <w:rsid w:val="003C4A22"/>
    <w:rsid w:val="003C4A29"/>
    <w:rsid w:val="003C4A56"/>
    <w:rsid w:val="003C4A6E"/>
    <w:rsid w:val="003C4A76"/>
    <w:rsid w:val="003C4A88"/>
    <w:rsid w:val="003C4A98"/>
    <w:rsid w:val="003C4AAB"/>
    <w:rsid w:val="003C4AB5"/>
    <w:rsid w:val="003C4AE5"/>
    <w:rsid w:val="003C4AFC"/>
    <w:rsid w:val="003C4B52"/>
    <w:rsid w:val="003C4B5A"/>
    <w:rsid w:val="003C4B68"/>
    <w:rsid w:val="003C4B6D"/>
    <w:rsid w:val="003C4B8F"/>
    <w:rsid w:val="003C4C2D"/>
    <w:rsid w:val="003C4CCE"/>
    <w:rsid w:val="003C4CEA"/>
    <w:rsid w:val="003C4D3D"/>
    <w:rsid w:val="003C4D45"/>
    <w:rsid w:val="003C4D4A"/>
    <w:rsid w:val="003C4D8C"/>
    <w:rsid w:val="003C4D91"/>
    <w:rsid w:val="003C4E01"/>
    <w:rsid w:val="003C4E41"/>
    <w:rsid w:val="003C4E88"/>
    <w:rsid w:val="003C4E8B"/>
    <w:rsid w:val="003C4EDC"/>
    <w:rsid w:val="003C4F01"/>
    <w:rsid w:val="003C4F32"/>
    <w:rsid w:val="003C5005"/>
    <w:rsid w:val="003C500B"/>
    <w:rsid w:val="003C501C"/>
    <w:rsid w:val="003C50E1"/>
    <w:rsid w:val="003C50EB"/>
    <w:rsid w:val="003C50ED"/>
    <w:rsid w:val="003C512A"/>
    <w:rsid w:val="003C514F"/>
    <w:rsid w:val="003C5150"/>
    <w:rsid w:val="003C5176"/>
    <w:rsid w:val="003C5245"/>
    <w:rsid w:val="003C52DB"/>
    <w:rsid w:val="003C52DD"/>
    <w:rsid w:val="003C5333"/>
    <w:rsid w:val="003C5362"/>
    <w:rsid w:val="003C537A"/>
    <w:rsid w:val="003C53CC"/>
    <w:rsid w:val="003C53D3"/>
    <w:rsid w:val="003C53ED"/>
    <w:rsid w:val="003C53FD"/>
    <w:rsid w:val="003C540D"/>
    <w:rsid w:val="003C5474"/>
    <w:rsid w:val="003C54A8"/>
    <w:rsid w:val="003C54EF"/>
    <w:rsid w:val="003C5546"/>
    <w:rsid w:val="003C5564"/>
    <w:rsid w:val="003C55A6"/>
    <w:rsid w:val="003C55BE"/>
    <w:rsid w:val="003C55C4"/>
    <w:rsid w:val="003C55D4"/>
    <w:rsid w:val="003C562B"/>
    <w:rsid w:val="003C563B"/>
    <w:rsid w:val="003C5678"/>
    <w:rsid w:val="003C5685"/>
    <w:rsid w:val="003C56BD"/>
    <w:rsid w:val="003C56D5"/>
    <w:rsid w:val="003C56F0"/>
    <w:rsid w:val="003C572E"/>
    <w:rsid w:val="003C5740"/>
    <w:rsid w:val="003C5769"/>
    <w:rsid w:val="003C577B"/>
    <w:rsid w:val="003C5798"/>
    <w:rsid w:val="003C57A9"/>
    <w:rsid w:val="003C5816"/>
    <w:rsid w:val="003C5850"/>
    <w:rsid w:val="003C586C"/>
    <w:rsid w:val="003C586E"/>
    <w:rsid w:val="003C5879"/>
    <w:rsid w:val="003C5889"/>
    <w:rsid w:val="003C58C2"/>
    <w:rsid w:val="003C5937"/>
    <w:rsid w:val="003C5981"/>
    <w:rsid w:val="003C5B31"/>
    <w:rsid w:val="003C5B72"/>
    <w:rsid w:val="003C5B91"/>
    <w:rsid w:val="003C5B92"/>
    <w:rsid w:val="003C5C34"/>
    <w:rsid w:val="003C5C41"/>
    <w:rsid w:val="003C5C4D"/>
    <w:rsid w:val="003C5CD8"/>
    <w:rsid w:val="003C5CE1"/>
    <w:rsid w:val="003C5D14"/>
    <w:rsid w:val="003C5D48"/>
    <w:rsid w:val="003C5D4B"/>
    <w:rsid w:val="003C5D88"/>
    <w:rsid w:val="003C5DE6"/>
    <w:rsid w:val="003C5DF5"/>
    <w:rsid w:val="003C5E0B"/>
    <w:rsid w:val="003C5E2C"/>
    <w:rsid w:val="003C5E72"/>
    <w:rsid w:val="003C5E7F"/>
    <w:rsid w:val="003C5E93"/>
    <w:rsid w:val="003C5ED8"/>
    <w:rsid w:val="003C5EEE"/>
    <w:rsid w:val="003C5F5A"/>
    <w:rsid w:val="003C5F84"/>
    <w:rsid w:val="003C5F8E"/>
    <w:rsid w:val="003C5FCC"/>
    <w:rsid w:val="003C5FCE"/>
    <w:rsid w:val="003C5FE7"/>
    <w:rsid w:val="003C6017"/>
    <w:rsid w:val="003C6054"/>
    <w:rsid w:val="003C60A3"/>
    <w:rsid w:val="003C60ED"/>
    <w:rsid w:val="003C60F5"/>
    <w:rsid w:val="003C6155"/>
    <w:rsid w:val="003C61E0"/>
    <w:rsid w:val="003C6206"/>
    <w:rsid w:val="003C6245"/>
    <w:rsid w:val="003C6248"/>
    <w:rsid w:val="003C6279"/>
    <w:rsid w:val="003C62E1"/>
    <w:rsid w:val="003C6342"/>
    <w:rsid w:val="003C6436"/>
    <w:rsid w:val="003C6499"/>
    <w:rsid w:val="003C649E"/>
    <w:rsid w:val="003C64E3"/>
    <w:rsid w:val="003C6564"/>
    <w:rsid w:val="003C6566"/>
    <w:rsid w:val="003C659A"/>
    <w:rsid w:val="003C65A6"/>
    <w:rsid w:val="003C65CA"/>
    <w:rsid w:val="003C65F0"/>
    <w:rsid w:val="003C6647"/>
    <w:rsid w:val="003C6658"/>
    <w:rsid w:val="003C66BB"/>
    <w:rsid w:val="003C66D3"/>
    <w:rsid w:val="003C67EA"/>
    <w:rsid w:val="003C67F0"/>
    <w:rsid w:val="003C6876"/>
    <w:rsid w:val="003C6877"/>
    <w:rsid w:val="003C6897"/>
    <w:rsid w:val="003C68D6"/>
    <w:rsid w:val="003C6913"/>
    <w:rsid w:val="003C6A20"/>
    <w:rsid w:val="003C6A41"/>
    <w:rsid w:val="003C6ACD"/>
    <w:rsid w:val="003C6AE0"/>
    <w:rsid w:val="003C6AF8"/>
    <w:rsid w:val="003C6B21"/>
    <w:rsid w:val="003C6B54"/>
    <w:rsid w:val="003C6B64"/>
    <w:rsid w:val="003C6B6A"/>
    <w:rsid w:val="003C6B7A"/>
    <w:rsid w:val="003C6B9F"/>
    <w:rsid w:val="003C6BBB"/>
    <w:rsid w:val="003C6BC5"/>
    <w:rsid w:val="003C6C2E"/>
    <w:rsid w:val="003C6C3B"/>
    <w:rsid w:val="003C6C51"/>
    <w:rsid w:val="003C6C9F"/>
    <w:rsid w:val="003C6CAC"/>
    <w:rsid w:val="003C6D2C"/>
    <w:rsid w:val="003C6DA0"/>
    <w:rsid w:val="003C6DDF"/>
    <w:rsid w:val="003C6E1F"/>
    <w:rsid w:val="003C6E90"/>
    <w:rsid w:val="003C6EE7"/>
    <w:rsid w:val="003C6F0B"/>
    <w:rsid w:val="003C6F0E"/>
    <w:rsid w:val="003C6F20"/>
    <w:rsid w:val="003C6F2D"/>
    <w:rsid w:val="003C6F43"/>
    <w:rsid w:val="003C6F52"/>
    <w:rsid w:val="003C6FC0"/>
    <w:rsid w:val="003C7004"/>
    <w:rsid w:val="003C7078"/>
    <w:rsid w:val="003C70B0"/>
    <w:rsid w:val="003C70C1"/>
    <w:rsid w:val="003C70C3"/>
    <w:rsid w:val="003C70C5"/>
    <w:rsid w:val="003C7192"/>
    <w:rsid w:val="003C71A0"/>
    <w:rsid w:val="003C72CB"/>
    <w:rsid w:val="003C72D8"/>
    <w:rsid w:val="003C72E2"/>
    <w:rsid w:val="003C7316"/>
    <w:rsid w:val="003C737A"/>
    <w:rsid w:val="003C73E3"/>
    <w:rsid w:val="003C7418"/>
    <w:rsid w:val="003C747D"/>
    <w:rsid w:val="003C74EF"/>
    <w:rsid w:val="003C74F6"/>
    <w:rsid w:val="003C7572"/>
    <w:rsid w:val="003C75F9"/>
    <w:rsid w:val="003C7613"/>
    <w:rsid w:val="003C765C"/>
    <w:rsid w:val="003C766E"/>
    <w:rsid w:val="003C7674"/>
    <w:rsid w:val="003C7689"/>
    <w:rsid w:val="003C7695"/>
    <w:rsid w:val="003C76D8"/>
    <w:rsid w:val="003C770E"/>
    <w:rsid w:val="003C77B4"/>
    <w:rsid w:val="003C7812"/>
    <w:rsid w:val="003C7837"/>
    <w:rsid w:val="003C7858"/>
    <w:rsid w:val="003C7896"/>
    <w:rsid w:val="003C78FF"/>
    <w:rsid w:val="003C7937"/>
    <w:rsid w:val="003C7944"/>
    <w:rsid w:val="003C79C7"/>
    <w:rsid w:val="003C7ACD"/>
    <w:rsid w:val="003C7AE3"/>
    <w:rsid w:val="003C7B17"/>
    <w:rsid w:val="003C7BB7"/>
    <w:rsid w:val="003C7BE3"/>
    <w:rsid w:val="003C7BEA"/>
    <w:rsid w:val="003C7C06"/>
    <w:rsid w:val="003C7D04"/>
    <w:rsid w:val="003C7D1D"/>
    <w:rsid w:val="003C7D42"/>
    <w:rsid w:val="003C7D67"/>
    <w:rsid w:val="003C7D73"/>
    <w:rsid w:val="003C7D99"/>
    <w:rsid w:val="003C7E34"/>
    <w:rsid w:val="003C7E95"/>
    <w:rsid w:val="003C7EA0"/>
    <w:rsid w:val="003C7EE1"/>
    <w:rsid w:val="003C7F64"/>
    <w:rsid w:val="003C7F96"/>
    <w:rsid w:val="003C7FB8"/>
    <w:rsid w:val="003D0091"/>
    <w:rsid w:val="003D00AC"/>
    <w:rsid w:val="003D00E4"/>
    <w:rsid w:val="003D00EF"/>
    <w:rsid w:val="003D0115"/>
    <w:rsid w:val="003D0147"/>
    <w:rsid w:val="003D01A5"/>
    <w:rsid w:val="003D01C1"/>
    <w:rsid w:val="003D025C"/>
    <w:rsid w:val="003D02BD"/>
    <w:rsid w:val="003D02BF"/>
    <w:rsid w:val="003D02DF"/>
    <w:rsid w:val="003D02F3"/>
    <w:rsid w:val="003D0373"/>
    <w:rsid w:val="003D043F"/>
    <w:rsid w:val="003D047E"/>
    <w:rsid w:val="003D04B4"/>
    <w:rsid w:val="003D051D"/>
    <w:rsid w:val="003D0545"/>
    <w:rsid w:val="003D054E"/>
    <w:rsid w:val="003D0565"/>
    <w:rsid w:val="003D0577"/>
    <w:rsid w:val="003D0582"/>
    <w:rsid w:val="003D05F6"/>
    <w:rsid w:val="003D0656"/>
    <w:rsid w:val="003D0669"/>
    <w:rsid w:val="003D0737"/>
    <w:rsid w:val="003D0772"/>
    <w:rsid w:val="003D07D2"/>
    <w:rsid w:val="003D0829"/>
    <w:rsid w:val="003D0854"/>
    <w:rsid w:val="003D0877"/>
    <w:rsid w:val="003D088D"/>
    <w:rsid w:val="003D0897"/>
    <w:rsid w:val="003D08D0"/>
    <w:rsid w:val="003D08DA"/>
    <w:rsid w:val="003D08E0"/>
    <w:rsid w:val="003D0908"/>
    <w:rsid w:val="003D095A"/>
    <w:rsid w:val="003D0975"/>
    <w:rsid w:val="003D0979"/>
    <w:rsid w:val="003D09F3"/>
    <w:rsid w:val="003D0A11"/>
    <w:rsid w:val="003D0A28"/>
    <w:rsid w:val="003D0A38"/>
    <w:rsid w:val="003D0A4F"/>
    <w:rsid w:val="003D0A58"/>
    <w:rsid w:val="003D0A6F"/>
    <w:rsid w:val="003D0AA6"/>
    <w:rsid w:val="003D0AB8"/>
    <w:rsid w:val="003D0B18"/>
    <w:rsid w:val="003D0B5C"/>
    <w:rsid w:val="003D0B7A"/>
    <w:rsid w:val="003D0BA4"/>
    <w:rsid w:val="003D0BD7"/>
    <w:rsid w:val="003D0BE3"/>
    <w:rsid w:val="003D0D0F"/>
    <w:rsid w:val="003D0D40"/>
    <w:rsid w:val="003D0D7E"/>
    <w:rsid w:val="003D0DA6"/>
    <w:rsid w:val="003D0DC4"/>
    <w:rsid w:val="003D0E2F"/>
    <w:rsid w:val="003D0E5F"/>
    <w:rsid w:val="003D0E60"/>
    <w:rsid w:val="003D0EA7"/>
    <w:rsid w:val="003D0ED0"/>
    <w:rsid w:val="003D0F4C"/>
    <w:rsid w:val="003D0F85"/>
    <w:rsid w:val="003D0F91"/>
    <w:rsid w:val="003D0FA8"/>
    <w:rsid w:val="003D0FAB"/>
    <w:rsid w:val="003D1010"/>
    <w:rsid w:val="003D102A"/>
    <w:rsid w:val="003D1068"/>
    <w:rsid w:val="003D1077"/>
    <w:rsid w:val="003D1084"/>
    <w:rsid w:val="003D1088"/>
    <w:rsid w:val="003D10AA"/>
    <w:rsid w:val="003D10D6"/>
    <w:rsid w:val="003D112B"/>
    <w:rsid w:val="003D1130"/>
    <w:rsid w:val="003D11DD"/>
    <w:rsid w:val="003D11FC"/>
    <w:rsid w:val="003D1267"/>
    <w:rsid w:val="003D12B1"/>
    <w:rsid w:val="003D1388"/>
    <w:rsid w:val="003D138B"/>
    <w:rsid w:val="003D1393"/>
    <w:rsid w:val="003D1419"/>
    <w:rsid w:val="003D145D"/>
    <w:rsid w:val="003D14E4"/>
    <w:rsid w:val="003D14F2"/>
    <w:rsid w:val="003D1530"/>
    <w:rsid w:val="003D15AD"/>
    <w:rsid w:val="003D15CA"/>
    <w:rsid w:val="003D15E2"/>
    <w:rsid w:val="003D1645"/>
    <w:rsid w:val="003D1646"/>
    <w:rsid w:val="003D165F"/>
    <w:rsid w:val="003D16FF"/>
    <w:rsid w:val="003D1735"/>
    <w:rsid w:val="003D17D3"/>
    <w:rsid w:val="003D180A"/>
    <w:rsid w:val="003D184A"/>
    <w:rsid w:val="003D1859"/>
    <w:rsid w:val="003D188F"/>
    <w:rsid w:val="003D18C7"/>
    <w:rsid w:val="003D18D1"/>
    <w:rsid w:val="003D18EF"/>
    <w:rsid w:val="003D18F7"/>
    <w:rsid w:val="003D1943"/>
    <w:rsid w:val="003D1954"/>
    <w:rsid w:val="003D1992"/>
    <w:rsid w:val="003D19B9"/>
    <w:rsid w:val="003D19EA"/>
    <w:rsid w:val="003D1A15"/>
    <w:rsid w:val="003D1A70"/>
    <w:rsid w:val="003D1A73"/>
    <w:rsid w:val="003D1AF9"/>
    <w:rsid w:val="003D1B8F"/>
    <w:rsid w:val="003D1BC6"/>
    <w:rsid w:val="003D1BE7"/>
    <w:rsid w:val="003D1C58"/>
    <w:rsid w:val="003D1C73"/>
    <w:rsid w:val="003D1C9C"/>
    <w:rsid w:val="003D1CA9"/>
    <w:rsid w:val="003D1CEF"/>
    <w:rsid w:val="003D1CFA"/>
    <w:rsid w:val="003D1D31"/>
    <w:rsid w:val="003D1D4D"/>
    <w:rsid w:val="003D1D6D"/>
    <w:rsid w:val="003D1D71"/>
    <w:rsid w:val="003D1D9B"/>
    <w:rsid w:val="003D1DB8"/>
    <w:rsid w:val="003D1E1E"/>
    <w:rsid w:val="003D1E23"/>
    <w:rsid w:val="003D1E31"/>
    <w:rsid w:val="003D1E33"/>
    <w:rsid w:val="003D1E45"/>
    <w:rsid w:val="003D1E88"/>
    <w:rsid w:val="003D1EB7"/>
    <w:rsid w:val="003D1ECE"/>
    <w:rsid w:val="003D1FA2"/>
    <w:rsid w:val="003D1FA9"/>
    <w:rsid w:val="003D1FEA"/>
    <w:rsid w:val="003D1FFE"/>
    <w:rsid w:val="003D2039"/>
    <w:rsid w:val="003D203A"/>
    <w:rsid w:val="003D203E"/>
    <w:rsid w:val="003D2040"/>
    <w:rsid w:val="003D2081"/>
    <w:rsid w:val="003D20CA"/>
    <w:rsid w:val="003D20DB"/>
    <w:rsid w:val="003D20F2"/>
    <w:rsid w:val="003D20F7"/>
    <w:rsid w:val="003D2103"/>
    <w:rsid w:val="003D210F"/>
    <w:rsid w:val="003D217C"/>
    <w:rsid w:val="003D220A"/>
    <w:rsid w:val="003D2239"/>
    <w:rsid w:val="003D2286"/>
    <w:rsid w:val="003D22AC"/>
    <w:rsid w:val="003D22C8"/>
    <w:rsid w:val="003D22F0"/>
    <w:rsid w:val="003D2359"/>
    <w:rsid w:val="003D2379"/>
    <w:rsid w:val="003D23DA"/>
    <w:rsid w:val="003D23EC"/>
    <w:rsid w:val="003D241F"/>
    <w:rsid w:val="003D2436"/>
    <w:rsid w:val="003D2475"/>
    <w:rsid w:val="003D2478"/>
    <w:rsid w:val="003D247C"/>
    <w:rsid w:val="003D24A7"/>
    <w:rsid w:val="003D24C3"/>
    <w:rsid w:val="003D251B"/>
    <w:rsid w:val="003D2606"/>
    <w:rsid w:val="003D2648"/>
    <w:rsid w:val="003D2650"/>
    <w:rsid w:val="003D2672"/>
    <w:rsid w:val="003D267F"/>
    <w:rsid w:val="003D26BC"/>
    <w:rsid w:val="003D270D"/>
    <w:rsid w:val="003D274B"/>
    <w:rsid w:val="003D274D"/>
    <w:rsid w:val="003D2798"/>
    <w:rsid w:val="003D27A1"/>
    <w:rsid w:val="003D27C1"/>
    <w:rsid w:val="003D28BC"/>
    <w:rsid w:val="003D28DB"/>
    <w:rsid w:val="003D28FB"/>
    <w:rsid w:val="003D290C"/>
    <w:rsid w:val="003D2917"/>
    <w:rsid w:val="003D2964"/>
    <w:rsid w:val="003D2991"/>
    <w:rsid w:val="003D299C"/>
    <w:rsid w:val="003D2A7D"/>
    <w:rsid w:val="003D2AB8"/>
    <w:rsid w:val="003D2B4B"/>
    <w:rsid w:val="003D2B8E"/>
    <w:rsid w:val="003D2BA3"/>
    <w:rsid w:val="003D2BB0"/>
    <w:rsid w:val="003D2BB6"/>
    <w:rsid w:val="003D2BC3"/>
    <w:rsid w:val="003D2C42"/>
    <w:rsid w:val="003D2C4B"/>
    <w:rsid w:val="003D2CCD"/>
    <w:rsid w:val="003D2CDE"/>
    <w:rsid w:val="003D2D0E"/>
    <w:rsid w:val="003D2D78"/>
    <w:rsid w:val="003D2DB5"/>
    <w:rsid w:val="003D2DEB"/>
    <w:rsid w:val="003D2E26"/>
    <w:rsid w:val="003D2E29"/>
    <w:rsid w:val="003D2E85"/>
    <w:rsid w:val="003D2EDC"/>
    <w:rsid w:val="003D2F09"/>
    <w:rsid w:val="003D2F45"/>
    <w:rsid w:val="003D2F76"/>
    <w:rsid w:val="003D2F7A"/>
    <w:rsid w:val="003D2FB3"/>
    <w:rsid w:val="003D3061"/>
    <w:rsid w:val="003D307B"/>
    <w:rsid w:val="003D3131"/>
    <w:rsid w:val="003D3202"/>
    <w:rsid w:val="003D320E"/>
    <w:rsid w:val="003D3285"/>
    <w:rsid w:val="003D335A"/>
    <w:rsid w:val="003D33B8"/>
    <w:rsid w:val="003D3412"/>
    <w:rsid w:val="003D346B"/>
    <w:rsid w:val="003D34AA"/>
    <w:rsid w:val="003D350F"/>
    <w:rsid w:val="003D3590"/>
    <w:rsid w:val="003D35AD"/>
    <w:rsid w:val="003D35F1"/>
    <w:rsid w:val="003D3617"/>
    <w:rsid w:val="003D3627"/>
    <w:rsid w:val="003D3688"/>
    <w:rsid w:val="003D36C8"/>
    <w:rsid w:val="003D370C"/>
    <w:rsid w:val="003D3715"/>
    <w:rsid w:val="003D375D"/>
    <w:rsid w:val="003D3774"/>
    <w:rsid w:val="003D379B"/>
    <w:rsid w:val="003D37B9"/>
    <w:rsid w:val="003D3816"/>
    <w:rsid w:val="003D3857"/>
    <w:rsid w:val="003D3870"/>
    <w:rsid w:val="003D38A6"/>
    <w:rsid w:val="003D38BD"/>
    <w:rsid w:val="003D38EA"/>
    <w:rsid w:val="003D3965"/>
    <w:rsid w:val="003D3968"/>
    <w:rsid w:val="003D398B"/>
    <w:rsid w:val="003D39AD"/>
    <w:rsid w:val="003D39C9"/>
    <w:rsid w:val="003D39E9"/>
    <w:rsid w:val="003D3A5D"/>
    <w:rsid w:val="003D3A66"/>
    <w:rsid w:val="003D3A92"/>
    <w:rsid w:val="003D3B74"/>
    <w:rsid w:val="003D3B7E"/>
    <w:rsid w:val="003D3B80"/>
    <w:rsid w:val="003D3B92"/>
    <w:rsid w:val="003D3C17"/>
    <w:rsid w:val="003D3C32"/>
    <w:rsid w:val="003D3C81"/>
    <w:rsid w:val="003D3CFA"/>
    <w:rsid w:val="003D3D03"/>
    <w:rsid w:val="003D3DAE"/>
    <w:rsid w:val="003D3DB2"/>
    <w:rsid w:val="003D3DCF"/>
    <w:rsid w:val="003D3E25"/>
    <w:rsid w:val="003D3E27"/>
    <w:rsid w:val="003D3E5C"/>
    <w:rsid w:val="003D3E72"/>
    <w:rsid w:val="003D3E8C"/>
    <w:rsid w:val="003D3EEF"/>
    <w:rsid w:val="003D3F07"/>
    <w:rsid w:val="003D3F1B"/>
    <w:rsid w:val="003D3F34"/>
    <w:rsid w:val="003D3F5A"/>
    <w:rsid w:val="003D3F5C"/>
    <w:rsid w:val="003D3F7F"/>
    <w:rsid w:val="003D3FC7"/>
    <w:rsid w:val="003D4095"/>
    <w:rsid w:val="003D40AC"/>
    <w:rsid w:val="003D40C3"/>
    <w:rsid w:val="003D40E4"/>
    <w:rsid w:val="003D412C"/>
    <w:rsid w:val="003D41A6"/>
    <w:rsid w:val="003D41AB"/>
    <w:rsid w:val="003D41BC"/>
    <w:rsid w:val="003D4200"/>
    <w:rsid w:val="003D4235"/>
    <w:rsid w:val="003D4249"/>
    <w:rsid w:val="003D428D"/>
    <w:rsid w:val="003D42CB"/>
    <w:rsid w:val="003D42FE"/>
    <w:rsid w:val="003D4325"/>
    <w:rsid w:val="003D4328"/>
    <w:rsid w:val="003D435B"/>
    <w:rsid w:val="003D43A9"/>
    <w:rsid w:val="003D43B8"/>
    <w:rsid w:val="003D43E3"/>
    <w:rsid w:val="003D4423"/>
    <w:rsid w:val="003D443A"/>
    <w:rsid w:val="003D44BC"/>
    <w:rsid w:val="003D44D9"/>
    <w:rsid w:val="003D44FD"/>
    <w:rsid w:val="003D4502"/>
    <w:rsid w:val="003D4537"/>
    <w:rsid w:val="003D4547"/>
    <w:rsid w:val="003D4557"/>
    <w:rsid w:val="003D4578"/>
    <w:rsid w:val="003D4590"/>
    <w:rsid w:val="003D45E8"/>
    <w:rsid w:val="003D45F8"/>
    <w:rsid w:val="003D4650"/>
    <w:rsid w:val="003D465A"/>
    <w:rsid w:val="003D467D"/>
    <w:rsid w:val="003D468F"/>
    <w:rsid w:val="003D4694"/>
    <w:rsid w:val="003D46D0"/>
    <w:rsid w:val="003D4714"/>
    <w:rsid w:val="003D4721"/>
    <w:rsid w:val="003D476A"/>
    <w:rsid w:val="003D47EB"/>
    <w:rsid w:val="003D482A"/>
    <w:rsid w:val="003D482C"/>
    <w:rsid w:val="003D48A3"/>
    <w:rsid w:val="003D48D1"/>
    <w:rsid w:val="003D48E9"/>
    <w:rsid w:val="003D490C"/>
    <w:rsid w:val="003D498B"/>
    <w:rsid w:val="003D4990"/>
    <w:rsid w:val="003D4A44"/>
    <w:rsid w:val="003D4A61"/>
    <w:rsid w:val="003D4A92"/>
    <w:rsid w:val="003D4ABC"/>
    <w:rsid w:val="003D4B33"/>
    <w:rsid w:val="003D4B39"/>
    <w:rsid w:val="003D4B3A"/>
    <w:rsid w:val="003D4B59"/>
    <w:rsid w:val="003D4B7A"/>
    <w:rsid w:val="003D4B7B"/>
    <w:rsid w:val="003D4B93"/>
    <w:rsid w:val="003D4BA1"/>
    <w:rsid w:val="003D4BA5"/>
    <w:rsid w:val="003D4BD7"/>
    <w:rsid w:val="003D4BDA"/>
    <w:rsid w:val="003D4BFD"/>
    <w:rsid w:val="003D4C77"/>
    <w:rsid w:val="003D4C98"/>
    <w:rsid w:val="003D4CB8"/>
    <w:rsid w:val="003D4CEC"/>
    <w:rsid w:val="003D4D15"/>
    <w:rsid w:val="003D4D87"/>
    <w:rsid w:val="003D4DC9"/>
    <w:rsid w:val="003D4DCD"/>
    <w:rsid w:val="003D4E10"/>
    <w:rsid w:val="003D4EAC"/>
    <w:rsid w:val="003D4EE8"/>
    <w:rsid w:val="003D4EF9"/>
    <w:rsid w:val="003D4F54"/>
    <w:rsid w:val="003D4F69"/>
    <w:rsid w:val="003D4F7A"/>
    <w:rsid w:val="003D4F91"/>
    <w:rsid w:val="003D4FCA"/>
    <w:rsid w:val="003D4FE7"/>
    <w:rsid w:val="003D4FFB"/>
    <w:rsid w:val="003D501A"/>
    <w:rsid w:val="003D5038"/>
    <w:rsid w:val="003D50C0"/>
    <w:rsid w:val="003D50F3"/>
    <w:rsid w:val="003D514C"/>
    <w:rsid w:val="003D5168"/>
    <w:rsid w:val="003D51A9"/>
    <w:rsid w:val="003D51C6"/>
    <w:rsid w:val="003D51C8"/>
    <w:rsid w:val="003D51CB"/>
    <w:rsid w:val="003D51D1"/>
    <w:rsid w:val="003D5285"/>
    <w:rsid w:val="003D5331"/>
    <w:rsid w:val="003D533C"/>
    <w:rsid w:val="003D53F2"/>
    <w:rsid w:val="003D5450"/>
    <w:rsid w:val="003D54C2"/>
    <w:rsid w:val="003D5551"/>
    <w:rsid w:val="003D5566"/>
    <w:rsid w:val="003D55B5"/>
    <w:rsid w:val="003D55E0"/>
    <w:rsid w:val="003D5611"/>
    <w:rsid w:val="003D563A"/>
    <w:rsid w:val="003D5671"/>
    <w:rsid w:val="003D5692"/>
    <w:rsid w:val="003D5698"/>
    <w:rsid w:val="003D56A7"/>
    <w:rsid w:val="003D571C"/>
    <w:rsid w:val="003D573F"/>
    <w:rsid w:val="003D578F"/>
    <w:rsid w:val="003D579D"/>
    <w:rsid w:val="003D57A9"/>
    <w:rsid w:val="003D580C"/>
    <w:rsid w:val="003D5825"/>
    <w:rsid w:val="003D5834"/>
    <w:rsid w:val="003D5882"/>
    <w:rsid w:val="003D5884"/>
    <w:rsid w:val="003D58A3"/>
    <w:rsid w:val="003D593A"/>
    <w:rsid w:val="003D59A2"/>
    <w:rsid w:val="003D59AF"/>
    <w:rsid w:val="003D59B2"/>
    <w:rsid w:val="003D59B7"/>
    <w:rsid w:val="003D59C8"/>
    <w:rsid w:val="003D5A54"/>
    <w:rsid w:val="003D5A5C"/>
    <w:rsid w:val="003D5A76"/>
    <w:rsid w:val="003D5AD0"/>
    <w:rsid w:val="003D5AED"/>
    <w:rsid w:val="003D5B09"/>
    <w:rsid w:val="003D5B4C"/>
    <w:rsid w:val="003D5B50"/>
    <w:rsid w:val="003D5B6E"/>
    <w:rsid w:val="003D5BBF"/>
    <w:rsid w:val="003D5BE4"/>
    <w:rsid w:val="003D5C07"/>
    <w:rsid w:val="003D5C0F"/>
    <w:rsid w:val="003D5C5D"/>
    <w:rsid w:val="003D5C6C"/>
    <w:rsid w:val="003D5C79"/>
    <w:rsid w:val="003D5C8B"/>
    <w:rsid w:val="003D5C9F"/>
    <w:rsid w:val="003D5D39"/>
    <w:rsid w:val="003D5DA2"/>
    <w:rsid w:val="003D5DA9"/>
    <w:rsid w:val="003D5DB8"/>
    <w:rsid w:val="003D5E07"/>
    <w:rsid w:val="003D5E49"/>
    <w:rsid w:val="003D5E58"/>
    <w:rsid w:val="003D5EC1"/>
    <w:rsid w:val="003D5ED5"/>
    <w:rsid w:val="003D5F2F"/>
    <w:rsid w:val="003D5F35"/>
    <w:rsid w:val="003D5F47"/>
    <w:rsid w:val="003D5FBE"/>
    <w:rsid w:val="003D6071"/>
    <w:rsid w:val="003D607F"/>
    <w:rsid w:val="003D6080"/>
    <w:rsid w:val="003D60A0"/>
    <w:rsid w:val="003D60B5"/>
    <w:rsid w:val="003D60C4"/>
    <w:rsid w:val="003D60D0"/>
    <w:rsid w:val="003D60D3"/>
    <w:rsid w:val="003D610F"/>
    <w:rsid w:val="003D615C"/>
    <w:rsid w:val="003D6168"/>
    <w:rsid w:val="003D6194"/>
    <w:rsid w:val="003D619F"/>
    <w:rsid w:val="003D61B2"/>
    <w:rsid w:val="003D622D"/>
    <w:rsid w:val="003D624B"/>
    <w:rsid w:val="003D6256"/>
    <w:rsid w:val="003D627C"/>
    <w:rsid w:val="003D6291"/>
    <w:rsid w:val="003D62B3"/>
    <w:rsid w:val="003D62DC"/>
    <w:rsid w:val="003D6338"/>
    <w:rsid w:val="003D634F"/>
    <w:rsid w:val="003D6397"/>
    <w:rsid w:val="003D63E2"/>
    <w:rsid w:val="003D6495"/>
    <w:rsid w:val="003D651E"/>
    <w:rsid w:val="003D654B"/>
    <w:rsid w:val="003D6556"/>
    <w:rsid w:val="003D662F"/>
    <w:rsid w:val="003D663E"/>
    <w:rsid w:val="003D670E"/>
    <w:rsid w:val="003D6735"/>
    <w:rsid w:val="003D6751"/>
    <w:rsid w:val="003D6756"/>
    <w:rsid w:val="003D675C"/>
    <w:rsid w:val="003D67E0"/>
    <w:rsid w:val="003D67FA"/>
    <w:rsid w:val="003D68AA"/>
    <w:rsid w:val="003D690D"/>
    <w:rsid w:val="003D6935"/>
    <w:rsid w:val="003D6960"/>
    <w:rsid w:val="003D6973"/>
    <w:rsid w:val="003D69D1"/>
    <w:rsid w:val="003D69DF"/>
    <w:rsid w:val="003D6A63"/>
    <w:rsid w:val="003D6A78"/>
    <w:rsid w:val="003D6AD6"/>
    <w:rsid w:val="003D6AE1"/>
    <w:rsid w:val="003D6B5E"/>
    <w:rsid w:val="003D6B67"/>
    <w:rsid w:val="003D6BB2"/>
    <w:rsid w:val="003D6BD3"/>
    <w:rsid w:val="003D6BE5"/>
    <w:rsid w:val="003D6BFE"/>
    <w:rsid w:val="003D6C68"/>
    <w:rsid w:val="003D6C78"/>
    <w:rsid w:val="003D6C84"/>
    <w:rsid w:val="003D6C9A"/>
    <w:rsid w:val="003D6CB6"/>
    <w:rsid w:val="003D6CE2"/>
    <w:rsid w:val="003D6D89"/>
    <w:rsid w:val="003D6D8E"/>
    <w:rsid w:val="003D6D96"/>
    <w:rsid w:val="003D6EA9"/>
    <w:rsid w:val="003D6EEE"/>
    <w:rsid w:val="003D6EFD"/>
    <w:rsid w:val="003D6F07"/>
    <w:rsid w:val="003D6F32"/>
    <w:rsid w:val="003D6F9C"/>
    <w:rsid w:val="003D7033"/>
    <w:rsid w:val="003D7050"/>
    <w:rsid w:val="003D705D"/>
    <w:rsid w:val="003D70AB"/>
    <w:rsid w:val="003D70F4"/>
    <w:rsid w:val="003D7142"/>
    <w:rsid w:val="003D714D"/>
    <w:rsid w:val="003D7181"/>
    <w:rsid w:val="003D7189"/>
    <w:rsid w:val="003D718A"/>
    <w:rsid w:val="003D71BE"/>
    <w:rsid w:val="003D71CA"/>
    <w:rsid w:val="003D71E6"/>
    <w:rsid w:val="003D7216"/>
    <w:rsid w:val="003D7256"/>
    <w:rsid w:val="003D727F"/>
    <w:rsid w:val="003D729D"/>
    <w:rsid w:val="003D72BC"/>
    <w:rsid w:val="003D737B"/>
    <w:rsid w:val="003D73AE"/>
    <w:rsid w:val="003D73EF"/>
    <w:rsid w:val="003D742D"/>
    <w:rsid w:val="003D7431"/>
    <w:rsid w:val="003D74AD"/>
    <w:rsid w:val="003D74F1"/>
    <w:rsid w:val="003D750D"/>
    <w:rsid w:val="003D75EF"/>
    <w:rsid w:val="003D761B"/>
    <w:rsid w:val="003D7674"/>
    <w:rsid w:val="003D76CF"/>
    <w:rsid w:val="003D7749"/>
    <w:rsid w:val="003D77AF"/>
    <w:rsid w:val="003D77C8"/>
    <w:rsid w:val="003D77D8"/>
    <w:rsid w:val="003D77FC"/>
    <w:rsid w:val="003D783D"/>
    <w:rsid w:val="003D7875"/>
    <w:rsid w:val="003D787F"/>
    <w:rsid w:val="003D7897"/>
    <w:rsid w:val="003D7898"/>
    <w:rsid w:val="003D78A9"/>
    <w:rsid w:val="003D78E5"/>
    <w:rsid w:val="003D78F9"/>
    <w:rsid w:val="003D7906"/>
    <w:rsid w:val="003D7946"/>
    <w:rsid w:val="003D795A"/>
    <w:rsid w:val="003D7976"/>
    <w:rsid w:val="003D799A"/>
    <w:rsid w:val="003D79A1"/>
    <w:rsid w:val="003D79B2"/>
    <w:rsid w:val="003D79BE"/>
    <w:rsid w:val="003D7A50"/>
    <w:rsid w:val="003D7A5E"/>
    <w:rsid w:val="003D7A64"/>
    <w:rsid w:val="003D7AB9"/>
    <w:rsid w:val="003D7ABB"/>
    <w:rsid w:val="003D7AF9"/>
    <w:rsid w:val="003D7B2A"/>
    <w:rsid w:val="003D7B55"/>
    <w:rsid w:val="003D7B8A"/>
    <w:rsid w:val="003D7BCC"/>
    <w:rsid w:val="003D7BDE"/>
    <w:rsid w:val="003D7C00"/>
    <w:rsid w:val="003D7C36"/>
    <w:rsid w:val="003D7C5C"/>
    <w:rsid w:val="003D7C6E"/>
    <w:rsid w:val="003D7CF4"/>
    <w:rsid w:val="003D7CFB"/>
    <w:rsid w:val="003D7D12"/>
    <w:rsid w:val="003D7D2C"/>
    <w:rsid w:val="003D7D85"/>
    <w:rsid w:val="003D7E28"/>
    <w:rsid w:val="003D7E6A"/>
    <w:rsid w:val="003D7F8D"/>
    <w:rsid w:val="003D7FA2"/>
    <w:rsid w:val="003D7FE1"/>
    <w:rsid w:val="003D9591"/>
    <w:rsid w:val="003E0064"/>
    <w:rsid w:val="003E007D"/>
    <w:rsid w:val="003E00AE"/>
    <w:rsid w:val="003E0127"/>
    <w:rsid w:val="003E0165"/>
    <w:rsid w:val="003E016A"/>
    <w:rsid w:val="003E0198"/>
    <w:rsid w:val="003E01C9"/>
    <w:rsid w:val="003E01DD"/>
    <w:rsid w:val="003E0212"/>
    <w:rsid w:val="003E025E"/>
    <w:rsid w:val="003E02A4"/>
    <w:rsid w:val="003E02DC"/>
    <w:rsid w:val="003E038F"/>
    <w:rsid w:val="003E0426"/>
    <w:rsid w:val="003E045A"/>
    <w:rsid w:val="003E04CB"/>
    <w:rsid w:val="003E04F3"/>
    <w:rsid w:val="003E052B"/>
    <w:rsid w:val="003E056D"/>
    <w:rsid w:val="003E0573"/>
    <w:rsid w:val="003E057D"/>
    <w:rsid w:val="003E061B"/>
    <w:rsid w:val="003E068C"/>
    <w:rsid w:val="003E0743"/>
    <w:rsid w:val="003E07C9"/>
    <w:rsid w:val="003E07D5"/>
    <w:rsid w:val="003E07DA"/>
    <w:rsid w:val="003E0829"/>
    <w:rsid w:val="003E088D"/>
    <w:rsid w:val="003E0933"/>
    <w:rsid w:val="003E0957"/>
    <w:rsid w:val="003E09AC"/>
    <w:rsid w:val="003E09BF"/>
    <w:rsid w:val="003E09CF"/>
    <w:rsid w:val="003E0ADF"/>
    <w:rsid w:val="003E0AF5"/>
    <w:rsid w:val="003E0B6D"/>
    <w:rsid w:val="003E0BA4"/>
    <w:rsid w:val="003E0BAD"/>
    <w:rsid w:val="003E0BB2"/>
    <w:rsid w:val="003E0BCF"/>
    <w:rsid w:val="003E0BD6"/>
    <w:rsid w:val="003E0BE7"/>
    <w:rsid w:val="003E0C0D"/>
    <w:rsid w:val="003E0C27"/>
    <w:rsid w:val="003E0C35"/>
    <w:rsid w:val="003E0CEC"/>
    <w:rsid w:val="003E0D02"/>
    <w:rsid w:val="003E0D0C"/>
    <w:rsid w:val="003E0D0E"/>
    <w:rsid w:val="003E0D16"/>
    <w:rsid w:val="003E0D19"/>
    <w:rsid w:val="003E0D82"/>
    <w:rsid w:val="003E0E20"/>
    <w:rsid w:val="003E0E51"/>
    <w:rsid w:val="003E0E63"/>
    <w:rsid w:val="003E0E8E"/>
    <w:rsid w:val="003E0EA5"/>
    <w:rsid w:val="003E0EB6"/>
    <w:rsid w:val="003E0EFD"/>
    <w:rsid w:val="003E0F36"/>
    <w:rsid w:val="003E0F4C"/>
    <w:rsid w:val="003E0F8A"/>
    <w:rsid w:val="003E1063"/>
    <w:rsid w:val="003E10DA"/>
    <w:rsid w:val="003E10DE"/>
    <w:rsid w:val="003E1129"/>
    <w:rsid w:val="003E1154"/>
    <w:rsid w:val="003E115B"/>
    <w:rsid w:val="003E1193"/>
    <w:rsid w:val="003E11D0"/>
    <w:rsid w:val="003E11E5"/>
    <w:rsid w:val="003E121A"/>
    <w:rsid w:val="003E1225"/>
    <w:rsid w:val="003E1232"/>
    <w:rsid w:val="003E127F"/>
    <w:rsid w:val="003E12A9"/>
    <w:rsid w:val="003E147F"/>
    <w:rsid w:val="003E14DD"/>
    <w:rsid w:val="003E14E4"/>
    <w:rsid w:val="003E152F"/>
    <w:rsid w:val="003E157C"/>
    <w:rsid w:val="003E163F"/>
    <w:rsid w:val="003E165C"/>
    <w:rsid w:val="003E1673"/>
    <w:rsid w:val="003E1688"/>
    <w:rsid w:val="003E169D"/>
    <w:rsid w:val="003E169F"/>
    <w:rsid w:val="003E16D2"/>
    <w:rsid w:val="003E1720"/>
    <w:rsid w:val="003E172D"/>
    <w:rsid w:val="003E178E"/>
    <w:rsid w:val="003E179D"/>
    <w:rsid w:val="003E181B"/>
    <w:rsid w:val="003E182C"/>
    <w:rsid w:val="003E18BA"/>
    <w:rsid w:val="003E18E0"/>
    <w:rsid w:val="003E1909"/>
    <w:rsid w:val="003E19A1"/>
    <w:rsid w:val="003E1A40"/>
    <w:rsid w:val="003E1AA1"/>
    <w:rsid w:val="003E1AB9"/>
    <w:rsid w:val="003E1ABA"/>
    <w:rsid w:val="003E1AE5"/>
    <w:rsid w:val="003E1B3F"/>
    <w:rsid w:val="003E1B48"/>
    <w:rsid w:val="003E1BC0"/>
    <w:rsid w:val="003E1BDE"/>
    <w:rsid w:val="003E1BE3"/>
    <w:rsid w:val="003E1C03"/>
    <w:rsid w:val="003E1C4E"/>
    <w:rsid w:val="003E1C67"/>
    <w:rsid w:val="003E1C82"/>
    <w:rsid w:val="003E1CCB"/>
    <w:rsid w:val="003E1D08"/>
    <w:rsid w:val="003E1D31"/>
    <w:rsid w:val="003E1D51"/>
    <w:rsid w:val="003E1D66"/>
    <w:rsid w:val="003E1DC3"/>
    <w:rsid w:val="003E1DFA"/>
    <w:rsid w:val="003E1E75"/>
    <w:rsid w:val="003E1E8C"/>
    <w:rsid w:val="003E1EC8"/>
    <w:rsid w:val="003E1ED4"/>
    <w:rsid w:val="003E1EF5"/>
    <w:rsid w:val="003E1F22"/>
    <w:rsid w:val="003E1F77"/>
    <w:rsid w:val="003E1FB1"/>
    <w:rsid w:val="003E2031"/>
    <w:rsid w:val="003E2046"/>
    <w:rsid w:val="003E2060"/>
    <w:rsid w:val="003E206E"/>
    <w:rsid w:val="003E209C"/>
    <w:rsid w:val="003E20A5"/>
    <w:rsid w:val="003E20ED"/>
    <w:rsid w:val="003E212D"/>
    <w:rsid w:val="003E2167"/>
    <w:rsid w:val="003E2173"/>
    <w:rsid w:val="003E2177"/>
    <w:rsid w:val="003E2204"/>
    <w:rsid w:val="003E2251"/>
    <w:rsid w:val="003E2275"/>
    <w:rsid w:val="003E2286"/>
    <w:rsid w:val="003E22C0"/>
    <w:rsid w:val="003E2309"/>
    <w:rsid w:val="003E23A2"/>
    <w:rsid w:val="003E2415"/>
    <w:rsid w:val="003E243E"/>
    <w:rsid w:val="003E2447"/>
    <w:rsid w:val="003E2466"/>
    <w:rsid w:val="003E249B"/>
    <w:rsid w:val="003E2517"/>
    <w:rsid w:val="003E2526"/>
    <w:rsid w:val="003E254B"/>
    <w:rsid w:val="003E256F"/>
    <w:rsid w:val="003E25C2"/>
    <w:rsid w:val="003E25CA"/>
    <w:rsid w:val="003E25FF"/>
    <w:rsid w:val="003E260D"/>
    <w:rsid w:val="003E2654"/>
    <w:rsid w:val="003E2683"/>
    <w:rsid w:val="003E268C"/>
    <w:rsid w:val="003E26FC"/>
    <w:rsid w:val="003E270E"/>
    <w:rsid w:val="003E277A"/>
    <w:rsid w:val="003E27CF"/>
    <w:rsid w:val="003E28C9"/>
    <w:rsid w:val="003E2929"/>
    <w:rsid w:val="003E293E"/>
    <w:rsid w:val="003E29A2"/>
    <w:rsid w:val="003E2A1F"/>
    <w:rsid w:val="003E2A33"/>
    <w:rsid w:val="003E2A87"/>
    <w:rsid w:val="003E2AA3"/>
    <w:rsid w:val="003E2AA8"/>
    <w:rsid w:val="003E2AC4"/>
    <w:rsid w:val="003E2AD4"/>
    <w:rsid w:val="003E2AE1"/>
    <w:rsid w:val="003E2B0C"/>
    <w:rsid w:val="003E2B8B"/>
    <w:rsid w:val="003E2BAB"/>
    <w:rsid w:val="003E2BC4"/>
    <w:rsid w:val="003E2BDA"/>
    <w:rsid w:val="003E2C22"/>
    <w:rsid w:val="003E2C63"/>
    <w:rsid w:val="003E2CC8"/>
    <w:rsid w:val="003E2CF4"/>
    <w:rsid w:val="003E2DA8"/>
    <w:rsid w:val="003E2DBF"/>
    <w:rsid w:val="003E2DF8"/>
    <w:rsid w:val="003E2E61"/>
    <w:rsid w:val="003E2EDF"/>
    <w:rsid w:val="003E2F2C"/>
    <w:rsid w:val="003E2F41"/>
    <w:rsid w:val="003E2FB9"/>
    <w:rsid w:val="003E2FBF"/>
    <w:rsid w:val="003E2FFB"/>
    <w:rsid w:val="003E3051"/>
    <w:rsid w:val="003E3093"/>
    <w:rsid w:val="003E309D"/>
    <w:rsid w:val="003E30B6"/>
    <w:rsid w:val="003E30F6"/>
    <w:rsid w:val="003E312A"/>
    <w:rsid w:val="003E314D"/>
    <w:rsid w:val="003E3166"/>
    <w:rsid w:val="003E3254"/>
    <w:rsid w:val="003E32F4"/>
    <w:rsid w:val="003E331B"/>
    <w:rsid w:val="003E331F"/>
    <w:rsid w:val="003E3335"/>
    <w:rsid w:val="003E3345"/>
    <w:rsid w:val="003E336E"/>
    <w:rsid w:val="003E336F"/>
    <w:rsid w:val="003E33C3"/>
    <w:rsid w:val="003E33D3"/>
    <w:rsid w:val="003E33D6"/>
    <w:rsid w:val="003E3533"/>
    <w:rsid w:val="003E3586"/>
    <w:rsid w:val="003E358A"/>
    <w:rsid w:val="003E35BB"/>
    <w:rsid w:val="003E35FE"/>
    <w:rsid w:val="003E3618"/>
    <w:rsid w:val="003E368C"/>
    <w:rsid w:val="003E36AB"/>
    <w:rsid w:val="003E36F4"/>
    <w:rsid w:val="003E3705"/>
    <w:rsid w:val="003E372A"/>
    <w:rsid w:val="003E373F"/>
    <w:rsid w:val="003E37CD"/>
    <w:rsid w:val="003E37EC"/>
    <w:rsid w:val="003E37F0"/>
    <w:rsid w:val="003E3831"/>
    <w:rsid w:val="003E38A9"/>
    <w:rsid w:val="003E38E7"/>
    <w:rsid w:val="003E3902"/>
    <w:rsid w:val="003E3941"/>
    <w:rsid w:val="003E39DE"/>
    <w:rsid w:val="003E3A2E"/>
    <w:rsid w:val="003E3A4A"/>
    <w:rsid w:val="003E3A63"/>
    <w:rsid w:val="003E3A6E"/>
    <w:rsid w:val="003E3A9B"/>
    <w:rsid w:val="003E3AA3"/>
    <w:rsid w:val="003E3B22"/>
    <w:rsid w:val="003E3B35"/>
    <w:rsid w:val="003E3B7B"/>
    <w:rsid w:val="003E3B8E"/>
    <w:rsid w:val="003E3BCC"/>
    <w:rsid w:val="003E3BE9"/>
    <w:rsid w:val="003E3C21"/>
    <w:rsid w:val="003E3C41"/>
    <w:rsid w:val="003E3C4F"/>
    <w:rsid w:val="003E3C71"/>
    <w:rsid w:val="003E3C7F"/>
    <w:rsid w:val="003E3CB2"/>
    <w:rsid w:val="003E3CED"/>
    <w:rsid w:val="003E3D48"/>
    <w:rsid w:val="003E3D6E"/>
    <w:rsid w:val="003E3D7E"/>
    <w:rsid w:val="003E3DF4"/>
    <w:rsid w:val="003E3E7F"/>
    <w:rsid w:val="003E3F11"/>
    <w:rsid w:val="003E3F39"/>
    <w:rsid w:val="003E3F86"/>
    <w:rsid w:val="003E3F93"/>
    <w:rsid w:val="003E4020"/>
    <w:rsid w:val="003E403C"/>
    <w:rsid w:val="003E408B"/>
    <w:rsid w:val="003E40A2"/>
    <w:rsid w:val="003E40ED"/>
    <w:rsid w:val="003E412A"/>
    <w:rsid w:val="003E414D"/>
    <w:rsid w:val="003E41B1"/>
    <w:rsid w:val="003E42CF"/>
    <w:rsid w:val="003E42FC"/>
    <w:rsid w:val="003E430C"/>
    <w:rsid w:val="003E4332"/>
    <w:rsid w:val="003E43B1"/>
    <w:rsid w:val="003E4421"/>
    <w:rsid w:val="003E44A7"/>
    <w:rsid w:val="003E44C0"/>
    <w:rsid w:val="003E44C4"/>
    <w:rsid w:val="003E44D2"/>
    <w:rsid w:val="003E4508"/>
    <w:rsid w:val="003E4538"/>
    <w:rsid w:val="003E4545"/>
    <w:rsid w:val="003E454A"/>
    <w:rsid w:val="003E4561"/>
    <w:rsid w:val="003E456A"/>
    <w:rsid w:val="003E45D0"/>
    <w:rsid w:val="003E4612"/>
    <w:rsid w:val="003E4617"/>
    <w:rsid w:val="003E463D"/>
    <w:rsid w:val="003E4669"/>
    <w:rsid w:val="003E4688"/>
    <w:rsid w:val="003E46AB"/>
    <w:rsid w:val="003E46B4"/>
    <w:rsid w:val="003E46F0"/>
    <w:rsid w:val="003E4751"/>
    <w:rsid w:val="003E4791"/>
    <w:rsid w:val="003E47B7"/>
    <w:rsid w:val="003E47DB"/>
    <w:rsid w:val="003E47F5"/>
    <w:rsid w:val="003E482B"/>
    <w:rsid w:val="003E4834"/>
    <w:rsid w:val="003E4897"/>
    <w:rsid w:val="003E4937"/>
    <w:rsid w:val="003E495C"/>
    <w:rsid w:val="003E4961"/>
    <w:rsid w:val="003E49A2"/>
    <w:rsid w:val="003E4A05"/>
    <w:rsid w:val="003E4A57"/>
    <w:rsid w:val="003E4A71"/>
    <w:rsid w:val="003E4ADC"/>
    <w:rsid w:val="003E4AE3"/>
    <w:rsid w:val="003E4AEA"/>
    <w:rsid w:val="003E4AFB"/>
    <w:rsid w:val="003E4B72"/>
    <w:rsid w:val="003E4B8D"/>
    <w:rsid w:val="003E4BBA"/>
    <w:rsid w:val="003E4C35"/>
    <w:rsid w:val="003E4C72"/>
    <w:rsid w:val="003E4C74"/>
    <w:rsid w:val="003E4C7B"/>
    <w:rsid w:val="003E4C8C"/>
    <w:rsid w:val="003E4D13"/>
    <w:rsid w:val="003E4D35"/>
    <w:rsid w:val="003E4D44"/>
    <w:rsid w:val="003E4D78"/>
    <w:rsid w:val="003E4DAD"/>
    <w:rsid w:val="003E4E19"/>
    <w:rsid w:val="003E4E68"/>
    <w:rsid w:val="003E4EA0"/>
    <w:rsid w:val="003E4F36"/>
    <w:rsid w:val="003E4F76"/>
    <w:rsid w:val="003E4FFB"/>
    <w:rsid w:val="003E502B"/>
    <w:rsid w:val="003E5038"/>
    <w:rsid w:val="003E503D"/>
    <w:rsid w:val="003E5093"/>
    <w:rsid w:val="003E50A8"/>
    <w:rsid w:val="003E50B7"/>
    <w:rsid w:val="003E510B"/>
    <w:rsid w:val="003E5110"/>
    <w:rsid w:val="003E5159"/>
    <w:rsid w:val="003E5196"/>
    <w:rsid w:val="003E5197"/>
    <w:rsid w:val="003E5207"/>
    <w:rsid w:val="003E5246"/>
    <w:rsid w:val="003E52BA"/>
    <w:rsid w:val="003E532E"/>
    <w:rsid w:val="003E5342"/>
    <w:rsid w:val="003E53B1"/>
    <w:rsid w:val="003E5443"/>
    <w:rsid w:val="003E54AB"/>
    <w:rsid w:val="003E54DD"/>
    <w:rsid w:val="003E5503"/>
    <w:rsid w:val="003E554E"/>
    <w:rsid w:val="003E5580"/>
    <w:rsid w:val="003E55BA"/>
    <w:rsid w:val="003E55DF"/>
    <w:rsid w:val="003E5629"/>
    <w:rsid w:val="003E562B"/>
    <w:rsid w:val="003E5636"/>
    <w:rsid w:val="003E5689"/>
    <w:rsid w:val="003E56AC"/>
    <w:rsid w:val="003E56BE"/>
    <w:rsid w:val="003E571F"/>
    <w:rsid w:val="003E5728"/>
    <w:rsid w:val="003E5803"/>
    <w:rsid w:val="003E582E"/>
    <w:rsid w:val="003E5867"/>
    <w:rsid w:val="003E5899"/>
    <w:rsid w:val="003E58BF"/>
    <w:rsid w:val="003E58C0"/>
    <w:rsid w:val="003E5970"/>
    <w:rsid w:val="003E59C9"/>
    <w:rsid w:val="003E59D1"/>
    <w:rsid w:val="003E59ED"/>
    <w:rsid w:val="003E5A95"/>
    <w:rsid w:val="003E5ACF"/>
    <w:rsid w:val="003E5AFB"/>
    <w:rsid w:val="003E5AFC"/>
    <w:rsid w:val="003E5B08"/>
    <w:rsid w:val="003E5B40"/>
    <w:rsid w:val="003E5B58"/>
    <w:rsid w:val="003E5B6D"/>
    <w:rsid w:val="003E5B8F"/>
    <w:rsid w:val="003E5C50"/>
    <w:rsid w:val="003E5C80"/>
    <w:rsid w:val="003E5C9C"/>
    <w:rsid w:val="003E5CDB"/>
    <w:rsid w:val="003E5CFC"/>
    <w:rsid w:val="003E5D61"/>
    <w:rsid w:val="003E5DC7"/>
    <w:rsid w:val="003E5E0C"/>
    <w:rsid w:val="003E5E26"/>
    <w:rsid w:val="003E5E38"/>
    <w:rsid w:val="003E5E8D"/>
    <w:rsid w:val="003E5EBB"/>
    <w:rsid w:val="003E5EFD"/>
    <w:rsid w:val="003E5F24"/>
    <w:rsid w:val="003E5F43"/>
    <w:rsid w:val="003E5F82"/>
    <w:rsid w:val="003E5FB2"/>
    <w:rsid w:val="003E6009"/>
    <w:rsid w:val="003E6074"/>
    <w:rsid w:val="003E6130"/>
    <w:rsid w:val="003E6152"/>
    <w:rsid w:val="003E61E2"/>
    <w:rsid w:val="003E6210"/>
    <w:rsid w:val="003E621E"/>
    <w:rsid w:val="003E623B"/>
    <w:rsid w:val="003E62CB"/>
    <w:rsid w:val="003E630A"/>
    <w:rsid w:val="003E6358"/>
    <w:rsid w:val="003E6384"/>
    <w:rsid w:val="003E63D7"/>
    <w:rsid w:val="003E6423"/>
    <w:rsid w:val="003E6429"/>
    <w:rsid w:val="003E64B0"/>
    <w:rsid w:val="003E64C6"/>
    <w:rsid w:val="003E64DD"/>
    <w:rsid w:val="003E64EF"/>
    <w:rsid w:val="003E6538"/>
    <w:rsid w:val="003E6662"/>
    <w:rsid w:val="003E66E1"/>
    <w:rsid w:val="003E671C"/>
    <w:rsid w:val="003E67D0"/>
    <w:rsid w:val="003E6801"/>
    <w:rsid w:val="003E6823"/>
    <w:rsid w:val="003E6854"/>
    <w:rsid w:val="003E6858"/>
    <w:rsid w:val="003E691C"/>
    <w:rsid w:val="003E6941"/>
    <w:rsid w:val="003E694B"/>
    <w:rsid w:val="003E6986"/>
    <w:rsid w:val="003E69C7"/>
    <w:rsid w:val="003E69DA"/>
    <w:rsid w:val="003E6A13"/>
    <w:rsid w:val="003E6A58"/>
    <w:rsid w:val="003E6A88"/>
    <w:rsid w:val="003E6AA5"/>
    <w:rsid w:val="003E6AAD"/>
    <w:rsid w:val="003E6AB7"/>
    <w:rsid w:val="003E6ABB"/>
    <w:rsid w:val="003E6AD7"/>
    <w:rsid w:val="003E6AE1"/>
    <w:rsid w:val="003E6AEE"/>
    <w:rsid w:val="003E6B47"/>
    <w:rsid w:val="003E6B8C"/>
    <w:rsid w:val="003E6BBC"/>
    <w:rsid w:val="003E6BCD"/>
    <w:rsid w:val="003E6C94"/>
    <w:rsid w:val="003E6D5C"/>
    <w:rsid w:val="003E6DB0"/>
    <w:rsid w:val="003E6E03"/>
    <w:rsid w:val="003E6E10"/>
    <w:rsid w:val="003E6E1C"/>
    <w:rsid w:val="003E6E48"/>
    <w:rsid w:val="003E6EA2"/>
    <w:rsid w:val="003E6EE8"/>
    <w:rsid w:val="003E6EE9"/>
    <w:rsid w:val="003E6EEF"/>
    <w:rsid w:val="003E6F77"/>
    <w:rsid w:val="003E7021"/>
    <w:rsid w:val="003E7042"/>
    <w:rsid w:val="003E7056"/>
    <w:rsid w:val="003E706E"/>
    <w:rsid w:val="003E7080"/>
    <w:rsid w:val="003E70C5"/>
    <w:rsid w:val="003E7158"/>
    <w:rsid w:val="003E71B1"/>
    <w:rsid w:val="003E7224"/>
    <w:rsid w:val="003E726C"/>
    <w:rsid w:val="003E7272"/>
    <w:rsid w:val="003E7277"/>
    <w:rsid w:val="003E728C"/>
    <w:rsid w:val="003E730D"/>
    <w:rsid w:val="003E7323"/>
    <w:rsid w:val="003E7331"/>
    <w:rsid w:val="003E733A"/>
    <w:rsid w:val="003E7369"/>
    <w:rsid w:val="003E736E"/>
    <w:rsid w:val="003E73B4"/>
    <w:rsid w:val="003E74BD"/>
    <w:rsid w:val="003E74F8"/>
    <w:rsid w:val="003E7535"/>
    <w:rsid w:val="003E754C"/>
    <w:rsid w:val="003E7572"/>
    <w:rsid w:val="003E757B"/>
    <w:rsid w:val="003E757F"/>
    <w:rsid w:val="003E7688"/>
    <w:rsid w:val="003E76E1"/>
    <w:rsid w:val="003E76E6"/>
    <w:rsid w:val="003E7702"/>
    <w:rsid w:val="003E7731"/>
    <w:rsid w:val="003E7740"/>
    <w:rsid w:val="003E7763"/>
    <w:rsid w:val="003E7775"/>
    <w:rsid w:val="003E77BD"/>
    <w:rsid w:val="003E77DC"/>
    <w:rsid w:val="003E7857"/>
    <w:rsid w:val="003E78AE"/>
    <w:rsid w:val="003E792D"/>
    <w:rsid w:val="003E794F"/>
    <w:rsid w:val="003E79E2"/>
    <w:rsid w:val="003E79EA"/>
    <w:rsid w:val="003E7A27"/>
    <w:rsid w:val="003E7A2A"/>
    <w:rsid w:val="003E7A36"/>
    <w:rsid w:val="003E7A51"/>
    <w:rsid w:val="003E7A53"/>
    <w:rsid w:val="003E7A71"/>
    <w:rsid w:val="003E7A86"/>
    <w:rsid w:val="003E7AC8"/>
    <w:rsid w:val="003E7AE7"/>
    <w:rsid w:val="003E7AF0"/>
    <w:rsid w:val="003E7BA1"/>
    <w:rsid w:val="003E7BDB"/>
    <w:rsid w:val="003E7BFD"/>
    <w:rsid w:val="003E7C16"/>
    <w:rsid w:val="003E7CA4"/>
    <w:rsid w:val="003E7D04"/>
    <w:rsid w:val="003E7D61"/>
    <w:rsid w:val="003E7D6D"/>
    <w:rsid w:val="003E7DC4"/>
    <w:rsid w:val="003E7DCF"/>
    <w:rsid w:val="003E7E06"/>
    <w:rsid w:val="003E7E32"/>
    <w:rsid w:val="003E7EBF"/>
    <w:rsid w:val="003E7EFD"/>
    <w:rsid w:val="003E7F22"/>
    <w:rsid w:val="003E7F38"/>
    <w:rsid w:val="003E7F45"/>
    <w:rsid w:val="003E7F8D"/>
    <w:rsid w:val="003E7FA0"/>
    <w:rsid w:val="003E7FE3"/>
    <w:rsid w:val="003F0073"/>
    <w:rsid w:val="003F00F6"/>
    <w:rsid w:val="003F010A"/>
    <w:rsid w:val="003F0281"/>
    <w:rsid w:val="003F02B2"/>
    <w:rsid w:val="003F02E0"/>
    <w:rsid w:val="003F0307"/>
    <w:rsid w:val="003F036A"/>
    <w:rsid w:val="003F0395"/>
    <w:rsid w:val="003F03A1"/>
    <w:rsid w:val="003F03C6"/>
    <w:rsid w:val="003F03CD"/>
    <w:rsid w:val="003F03ED"/>
    <w:rsid w:val="003F0402"/>
    <w:rsid w:val="003F04A7"/>
    <w:rsid w:val="003F0550"/>
    <w:rsid w:val="003F0553"/>
    <w:rsid w:val="003F0575"/>
    <w:rsid w:val="003F05E4"/>
    <w:rsid w:val="003F05FA"/>
    <w:rsid w:val="003F0641"/>
    <w:rsid w:val="003F0647"/>
    <w:rsid w:val="003F0659"/>
    <w:rsid w:val="003F0664"/>
    <w:rsid w:val="003F0690"/>
    <w:rsid w:val="003F06A5"/>
    <w:rsid w:val="003F0713"/>
    <w:rsid w:val="003F077C"/>
    <w:rsid w:val="003F07C3"/>
    <w:rsid w:val="003F07DE"/>
    <w:rsid w:val="003F07EE"/>
    <w:rsid w:val="003F0802"/>
    <w:rsid w:val="003F080F"/>
    <w:rsid w:val="003F0818"/>
    <w:rsid w:val="003F0829"/>
    <w:rsid w:val="003F0836"/>
    <w:rsid w:val="003F087F"/>
    <w:rsid w:val="003F0892"/>
    <w:rsid w:val="003F08FA"/>
    <w:rsid w:val="003F094E"/>
    <w:rsid w:val="003F0990"/>
    <w:rsid w:val="003F09AA"/>
    <w:rsid w:val="003F09C4"/>
    <w:rsid w:val="003F09E3"/>
    <w:rsid w:val="003F09F4"/>
    <w:rsid w:val="003F0A46"/>
    <w:rsid w:val="003F0A49"/>
    <w:rsid w:val="003F0A94"/>
    <w:rsid w:val="003F0AA8"/>
    <w:rsid w:val="003F0AC6"/>
    <w:rsid w:val="003F0AF2"/>
    <w:rsid w:val="003F0AF6"/>
    <w:rsid w:val="003F0B0C"/>
    <w:rsid w:val="003F0B8D"/>
    <w:rsid w:val="003F0B95"/>
    <w:rsid w:val="003F0BEB"/>
    <w:rsid w:val="003F0C7B"/>
    <w:rsid w:val="003F0C89"/>
    <w:rsid w:val="003F0D25"/>
    <w:rsid w:val="003F0D6C"/>
    <w:rsid w:val="003F0DAA"/>
    <w:rsid w:val="003F0DF2"/>
    <w:rsid w:val="003F0E43"/>
    <w:rsid w:val="003F0F18"/>
    <w:rsid w:val="003F0F29"/>
    <w:rsid w:val="003F0F64"/>
    <w:rsid w:val="003F1008"/>
    <w:rsid w:val="003F104D"/>
    <w:rsid w:val="003F10EE"/>
    <w:rsid w:val="003F1126"/>
    <w:rsid w:val="003F118C"/>
    <w:rsid w:val="003F11A4"/>
    <w:rsid w:val="003F11DD"/>
    <w:rsid w:val="003F1223"/>
    <w:rsid w:val="003F122D"/>
    <w:rsid w:val="003F123B"/>
    <w:rsid w:val="003F1269"/>
    <w:rsid w:val="003F126C"/>
    <w:rsid w:val="003F12DA"/>
    <w:rsid w:val="003F12E0"/>
    <w:rsid w:val="003F12EE"/>
    <w:rsid w:val="003F12F9"/>
    <w:rsid w:val="003F1306"/>
    <w:rsid w:val="003F134F"/>
    <w:rsid w:val="003F13DA"/>
    <w:rsid w:val="003F13E4"/>
    <w:rsid w:val="003F1406"/>
    <w:rsid w:val="003F1423"/>
    <w:rsid w:val="003F1440"/>
    <w:rsid w:val="003F1447"/>
    <w:rsid w:val="003F14C2"/>
    <w:rsid w:val="003F14FE"/>
    <w:rsid w:val="003F154D"/>
    <w:rsid w:val="003F15FA"/>
    <w:rsid w:val="003F160A"/>
    <w:rsid w:val="003F1629"/>
    <w:rsid w:val="003F1650"/>
    <w:rsid w:val="003F167F"/>
    <w:rsid w:val="003F168C"/>
    <w:rsid w:val="003F168E"/>
    <w:rsid w:val="003F16C0"/>
    <w:rsid w:val="003F175F"/>
    <w:rsid w:val="003F1795"/>
    <w:rsid w:val="003F17AB"/>
    <w:rsid w:val="003F17C2"/>
    <w:rsid w:val="003F184B"/>
    <w:rsid w:val="003F18E6"/>
    <w:rsid w:val="003F1935"/>
    <w:rsid w:val="003F1973"/>
    <w:rsid w:val="003F19F0"/>
    <w:rsid w:val="003F1A3F"/>
    <w:rsid w:val="003F1A9D"/>
    <w:rsid w:val="003F1AA6"/>
    <w:rsid w:val="003F1AAE"/>
    <w:rsid w:val="003F1B40"/>
    <w:rsid w:val="003F1B51"/>
    <w:rsid w:val="003F1B68"/>
    <w:rsid w:val="003F1B78"/>
    <w:rsid w:val="003F1B81"/>
    <w:rsid w:val="003F1BAE"/>
    <w:rsid w:val="003F1BCE"/>
    <w:rsid w:val="003F1BDA"/>
    <w:rsid w:val="003F1C18"/>
    <w:rsid w:val="003F1C21"/>
    <w:rsid w:val="003F1CA9"/>
    <w:rsid w:val="003F1CD4"/>
    <w:rsid w:val="003F1D67"/>
    <w:rsid w:val="003F1D9A"/>
    <w:rsid w:val="003F1DA5"/>
    <w:rsid w:val="003F1DBA"/>
    <w:rsid w:val="003F1DD9"/>
    <w:rsid w:val="003F1E43"/>
    <w:rsid w:val="003F1E93"/>
    <w:rsid w:val="003F1F4A"/>
    <w:rsid w:val="003F1F98"/>
    <w:rsid w:val="003F1FEE"/>
    <w:rsid w:val="003F2085"/>
    <w:rsid w:val="003F209B"/>
    <w:rsid w:val="003F20A9"/>
    <w:rsid w:val="003F20C3"/>
    <w:rsid w:val="003F20DA"/>
    <w:rsid w:val="003F20E4"/>
    <w:rsid w:val="003F210C"/>
    <w:rsid w:val="003F2118"/>
    <w:rsid w:val="003F2194"/>
    <w:rsid w:val="003F21A1"/>
    <w:rsid w:val="003F2215"/>
    <w:rsid w:val="003F223A"/>
    <w:rsid w:val="003F22D9"/>
    <w:rsid w:val="003F2359"/>
    <w:rsid w:val="003F2374"/>
    <w:rsid w:val="003F23CC"/>
    <w:rsid w:val="003F23EC"/>
    <w:rsid w:val="003F23F8"/>
    <w:rsid w:val="003F244D"/>
    <w:rsid w:val="003F24B1"/>
    <w:rsid w:val="003F24C4"/>
    <w:rsid w:val="003F24C5"/>
    <w:rsid w:val="003F24CF"/>
    <w:rsid w:val="003F2501"/>
    <w:rsid w:val="003F2510"/>
    <w:rsid w:val="003F2531"/>
    <w:rsid w:val="003F2554"/>
    <w:rsid w:val="003F259C"/>
    <w:rsid w:val="003F25DF"/>
    <w:rsid w:val="003F261E"/>
    <w:rsid w:val="003F265E"/>
    <w:rsid w:val="003F2667"/>
    <w:rsid w:val="003F267F"/>
    <w:rsid w:val="003F2687"/>
    <w:rsid w:val="003F26E7"/>
    <w:rsid w:val="003F27DB"/>
    <w:rsid w:val="003F27E2"/>
    <w:rsid w:val="003F27F7"/>
    <w:rsid w:val="003F2879"/>
    <w:rsid w:val="003F28AD"/>
    <w:rsid w:val="003F28AE"/>
    <w:rsid w:val="003F2906"/>
    <w:rsid w:val="003F2956"/>
    <w:rsid w:val="003F29A9"/>
    <w:rsid w:val="003F29C1"/>
    <w:rsid w:val="003F29D1"/>
    <w:rsid w:val="003F29D3"/>
    <w:rsid w:val="003F2A11"/>
    <w:rsid w:val="003F2A39"/>
    <w:rsid w:val="003F2AA7"/>
    <w:rsid w:val="003F2AB7"/>
    <w:rsid w:val="003F2B9B"/>
    <w:rsid w:val="003F2BC7"/>
    <w:rsid w:val="003F2C38"/>
    <w:rsid w:val="003F2C3F"/>
    <w:rsid w:val="003F2C76"/>
    <w:rsid w:val="003F2C83"/>
    <w:rsid w:val="003F2C9A"/>
    <w:rsid w:val="003F2C9E"/>
    <w:rsid w:val="003F2CBF"/>
    <w:rsid w:val="003F2E25"/>
    <w:rsid w:val="003F2E53"/>
    <w:rsid w:val="003F2E5D"/>
    <w:rsid w:val="003F2E81"/>
    <w:rsid w:val="003F2EA7"/>
    <w:rsid w:val="003F2EE0"/>
    <w:rsid w:val="003F2F35"/>
    <w:rsid w:val="003F2F4A"/>
    <w:rsid w:val="003F2F52"/>
    <w:rsid w:val="003F2F89"/>
    <w:rsid w:val="003F2F8C"/>
    <w:rsid w:val="003F2F92"/>
    <w:rsid w:val="003F2FAB"/>
    <w:rsid w:val="003F303E"/>
    <w:rsid w:val="003F3127"/>
    <w:rsid w:val="003F3185"/>
    <w:rsid w:val="003F319E"/>
    <w:rsid w:val="003F31BC"/>
    <w:rsid w:val="003F31D2"/>
    <w:rsid w:val="003F31F8"/>
    <w:rsid w:val="003F3272"/>
    <w:rsid w:val="003F329E"/>
    <w:rsid w:val="003F32A6"/>
    <w:rsid w:val="003F32CF"/>
    <w:rsid w:val="003F32E4"/>
    <w:rsid w:val="003F3324"/>
    <w:rsid w:val="003F3348"/>
    <w:rsid w:val="003F3361"/>
    <w:rsid w:val="003F3387"/>
    <w:rsid w:val="003F3394"/>
    <w:rsid w:val="003F33DF"/>
    <w:rsid w:val="003F33FC"/>
    <w:rsid w:val="003F3466"/>
    <w:rsid w:val="003F3486"/>
    <w:rsid w:val="003F34D5"/>
    <w:rsid w:val="003F34EC"/>
    <w:rsid w:val="003F34FD"/>
    <w:rsid w:val="003F3514"/>
    <w:rsid w:val="003F3516"/>
    <w:rsid w:val="003F3577"/>
    <w:rsid w:val="003F35C1"/>
    <w:rsid w:val="003F36CF"/>
    <w:rsid w:val="003F3714"/>
    <w:rsid w:val="003F3750"/>
    <w:rsid w:val="003F376C"/>
    <w:rsid w:val="003F3783"/>
    <w:rsid w:val="003F37BD"/>
    <w:rsid w:val="003F37CD"/>
    <w:rsid w:val="003F3847"/>
    <w:rsid w:val="003F386B"/>
    <w:rsid w:val="003F3873"/>
    <w:rsid w:val="003F38A5"/>
    <w:rsid w:val="003F38ED"/>
    <w:rsid w:val="003F3914"/>
    <w:rsid w:val="003F3923"/>
    <w:rsid w:val="003F3955"/>
    <w:rsid w:val="003F396B"/>
    <w:rsid w:val="003F398E"/>
    <w:rsid w:val="003F39D8"/>
    <w:rsid w:val="003F39F5"/>
    <w:rsid w:val="003F3A33"/>
    <w:rsid w:val="003F3A9B"/>
    <w:rsid w:val="003F3ADD"/>
    <w:rsid w:val="003F3B09"/>
    <w:rsid w:val="003F3B26"/>
    <w:rsid w:val="003F3B3F"/>
    <w:rsid w:val="003F3B4A"/>
    <w:rsid w:val="003F3B5D"/>
    <w:rsid w:val="003F3B64"/>
    <w:rsid w:val="003F3B89"/>
    <w:rsid w:val="003F3C5F"/>
    <w:rsid w:val="003F3C6A"/>
    <w:rsid w:val="003F3CAA"/>
    <w:rsid w:val="003F3D21"/>
    <w:rsid w:val="003F3D93"/>
    <w:rsid w:val="003F3DD3"/>
    <w:rsid w:val="003F3DD8"/>
    <w:rsid w:val="003F3E4E"/>
    <w:rsid w:val="003F3EE6"/>
    <w:rsid w:val="003F3F1A"/>
    <w:rsid w:val="003F3F73"/>
    <w:rsid w:val="003F3F9A"/>
    <w:rsid w:val="003F3FF9"/>
    <w:rsid w:val="003F40B9"/>
    <w:rsid w:val="003F40EF"/>
    <w:rsid w:val="003F4156"/>
    <w:rsid w:val="003F416B"/>
    <w:rsid w:val="003F4190"/>
    <w:rsid w:val="003F41A2"/>
    <w:rsid w:val="003F41B6"/>
    <w:rsid w:val="003F41C2"/>
    <w:rsid w:val="003F41F0"/>
    <w:rsid w:val="003F4291"/>
    <w:rsid w:val="003F42D8"/>
    <w:rsid w:val="003F4319"/>
    <w:rsid w:val="003F434D"/>
    <w:rsid w:val="003F43BE"/>
    <w:rsid w:val="003F43ED"/>
    <w:rsid w:val="003F43F3"/>
    <w:rsid w:val="003F4416"/>
    <w:rsid w:val="003F445C"/>
    <w:rsid w:val="003F44C3"/>
    <w:rsid w:val="003F4511"/>
    <w:rsid w:val="003F453F"/>
    <w:rsid w:val="003F4547"/>
    <w:rsid w:val="003F4569"/>
    <w:rsid w:val="003F4572"/>
    <w:rsid w:val="003F4575"/>
    <w:rsid w:val="003F45A1"/>
    <w:rsid w:val="003F45E7"/>
    <w:rsid w:val="003F45FF"/>
    <w:rsid w:val="003F4623"/>
    <w:rsid w:val="003F4625"/>
    <w:rsid w:val="003F466C"/>
    <w:rsid w:val="003F4681"/>
    <w:rsid w:val="003F46C9"/>
    <w:rsid w:val="003F46D3"/>
    <w:rsid w:val="003F47E2"/>
    <w:rsid w:val="003F47FE"/>
    <w:rsid w:val="003F4819"/>
    <w:rsid w:val="003F4830"/>
    <w:rsid w:val="003F4839"/>
    <w:rsid w:val="003F487A"/>
    <w:rsid w:val="003F48A9"/>
    <w:rsid w:val="003F48AD"/>
    <w:rsid w:val="003F48FE"/>
    <w:rsid w:val="003F495E"/>
    <w:rsid w:val="003F4968"/>
    <w:rsid w:val="003F4986"/>
    <w:rsid w:val="003F4997"/>
    <w:rsid w:val="003F49C2"/>
    <w:rsid w:val="003F49E6"/>
    <w:rsid w:val="003F4A15"/>
    <w:rsid w:val="003F4A2B"/>
    <w:rsid w:val="003F4A4F"/>
    <w:rsid w:val="003F4A68"/>
    <w:rsid w:val="003F4AB8"/>
    <w:rsid w:val="003F4C42"/>
    <w:rsid w:val="003F4C48"/>
    <w:rsid w:val="003F4C4E"/>
    <w:rsid w:val="003F4C67"/>
    <w:rsid w:val="003F4C8A"/>
    <w:rsid w:val="003F4CA3"/>
    <w:rsid w:val="003F4CCF"/>
    <w:rsid w:val="003F4CD8"/>
    <w:rsid w:val="003F4D12"/>
    <w:rsid w:val="003F4D39"/>
    <w:rsid w:val="003F4D81"/>
    <w:rsid w:val="003F4DEB"/>
    <w:rsid w:val="003F4EAE"/>
    <w:rsid w:val="003F4F34"/>
    <w:rsid w:val="003F5051"/>
    <w:rsid w:val="003F506D"/>
    <w:rsid w:val="003F5070"/>
    <w:rsid w:val="003F50B5"/>
    <w:rsid w:val="003F5111"/>
    <w:rsid w:val="003F51A9"/>
    <w:rsid w:val="003F51B2"/>
    <w:rsid w:val="003F51D5"/>
    <w:rsid w:val="003F51E7"/>
    <w:rsid w:val="003F521A"/>
    <w:rsid w:val="003F5229"/>
    <w:rsid w:val="003F5248"/>
    <w:rsid w:val="003F527D"/>
    <w:rsid w:val="003F52B4"/>
    <w:rsid w:val="003F52D1"/>
    <w:rsid w:val="003F5303"/>
    <w:rsid w:val="003F5339"/>
    <w:rsid w:val="003F5367"/>
    <w:rsid w:val="003F536E"/>
    <w:rsid w:val="003F5439"/>
    <w:rsid w:val="003F547A"/>
    <w:rsid w:val="003F54A1"/>
    <w:rsid w:val="003F54E5"/>
    <w:rsid w:val="003F5598"/>
    <w:rsid w:val="003F55FF"/>
    <w:rsid w:val="003F5604"/>
    <w:rsid w:val="003F560F"/>
    <w:rsid w:val="003F5623"/>
    <w:rsid w:val="003F562B"/>
    <w:rsid w:val="003F5671"/>
    <w:rsid w:val="003F5679"/>
    <w:rsid w:val="003F56AF"/>
    <w:rsid w:val="003F572A"/>
    <w:rsid w:val="003F5740"/>
    <w:rsid w:val="003F574E"/>
    <w:rsid w:val="003F5775"/>
    <w:rsid w:val="003F57AA"/>
    <w:rsid w:val="003F58AF"/>
    <w:rsid w:val="003F58B6"/>
    <w:rsid w:val="003F58D0"/>
    <w:rsid w:val="003F58D7"/>
    <w:rsid w:val="003F58F5"/>
    <w:rsid w:val="003F58FA"/>
    <w:rsid w:val="003F5907"/>
    <w:rsid w:val="003F5930"/>
    <w:rsid w:val="003F59AE"/>
    <w:rsid w:val="003F59CC"/>
    <w:rsid w:val="003F59F2"/>
    <w:rsid w:val="003F5ABA"/>
    <w:rsid w:val="003F5ADE"/>
    <w:rsid w:val="003F5BC0"/>
    <w:rsid w:val="003F5C16"/>
    <w:rsid w:val="003F5C28"/>
    <w:rsid w:val="003F5C75"/>
    <w:rsid w:val="003F5CC8"/>
    <w:rsid w:val="003F5CDE"/>
    <w:rsid w:val="003F5D02"/>
    <w:rsid w:val="003F5D3D"/>
    <w:rsid w:val="003F5D47"/>
    <w:rsid w:val="003F5D85"/>
    <w:rsid w:val="003F5D9F"/>
    <w:rsid w:val="003F5EB1"/>
    <w:rsid w:val="003F5F47"/>
    <w:rsid w:val="003F5F50"/>
    <w:rsid w:val="003F5F53"/>
    <w:rsid w:val="003F5F74"/>
    <w:rsid w:val="003F5FC4"/>
    <w:rsid w:val="003F5FC9"/>
    <w:rsid w:val="003F5FF8"/>
    <w:rsid w:val="003F603E"/>
    <w:rsid w:val="003F6051"/>
    <w:rsid w:val="003F6062"/>
    <w:rsid w:val="003F6084"/>
    <w:rsid w:val="003F60AB"/>
    <w:rsid w:val="003F6128"/>
    <w:rsid w:val="003F6144"/>
    <w:rsid w:val="003F615E"/>
    <w:rsid w:val="003F6171"/>
    <w:rsid w:val="003F6179"/>
    <w:rsid w:val="003F61A0"/>
    <w:rsid w:val="003F620A"/>
    <w:rsid w:val="003F620B"/>
    <w:rsid w:val="003F6252"/>
    <w:rsid w:val="003F6293"/>
    <w:rsid w:val="003F6319"/>
    <w:rsid w:val="003F6326"/>
    <w:rsid w:val="003F63A2"/>
    <w:rsid w:val="003F6414"/>
    <w:rsid w:val="003F643C"/>
    <w:rsid w:val="003F6459"/>
    <w:rsid w:val="003F645F"/>
    <w:rsid w:val="003F64B9"/>
    <w:rsid w:val="003F64C0"/>
    <w:rsid w:val="003F64DA"/>
    <w:rsid w:val="003F652F"/>
    <w:rsid w:val="003F6543"/>
    <w:rsid w:val="003F655C"/>
    <w:rsid w:val="003F6586"/>
    <w:rsid w:val="003F65B0"/>
    <w:rsid w:val="003F65F7"/>
    <w:rsid w:val="003F65FE"/>
    <w:rsid w:val="003F660A"/>
    <w:rsid w:val="003F6637"/>
    <w:rsid w:val="003F667A"/>
    <w:rsid w:val="003F6683"/>
    <w:rsid w:val="003F6690"/>
    <w:rsid w:val="003F66C3"/>
    <w:rsid w:val="003F66C7"/>
    <w:rsid w:val="003F66E4"/>
    <w:rsid w:val="003F66EC"/>
    <w:rsid w:val="003F66F7"/>
    <w:rsid w:val="003F6790"/>
    <w:rsid w:val="003F67E4"/>
    <w:rsid w:val="003F6806"/>
    <w:rsid w:val="003F682E"/>
    <w:rsid w:val="003F6847"/>
    <w:rsid w:val="003F6848"/>
    <w:rsid w:val="003F687D"/>
    <w:rsid w:val="003F6893"/>
    <w:rsid w:val="003F68A7"/>
    <w:rsid w:val="003F68F6"/>
    <w:rsid w:val="003F6942"/>
    <w:rsid w:val="003F6968"/>
    <w:rsid w:val="003F6988"/>
    <w:rsid w:val="003F6993"/>
    <w:rsid w:val="003F69C5"/>
    <w:rsid w:val="003F69DF"/>
    <w:rsid w:val="003F6A19"/>
    <w:rsid w:val="003F6A23"/>
    <w:rsid w:val="003F6A3A"/>
    <w:rsid w:val="003F6A87"/>
    <w:rsid w:val="003F6B0B"/>
    <w:rsid w:val="003F6B95"/>
    <w:rsid w:val="003F6C29"/>
    <w:rsid w:val="003F6C57"/>
    <w:rsid w:val="003F6C6F"/>
    <w:rsid w:val="003F6C9E"/>
    <w:rsid w:val="003F6CDF"/>
    <w:rsid w:val="003F6CEB"/>
    <w:rsid w:val="003F6D26"/>
    <w:rsid w:val="003F6D84"/>
    <w:rsid w:val="003F6DE1"/>
    <w:rsid w:val="003F6E02"/>
    <w:rsid w:val="003F6E23"/>
    <w:rsid w:val="003F6E77"/>
    <w:rsid w:val="003F6ECC"/>
    <w:rsid w:val="003F6F0B"/>
    <w:rsid w:val="003F6F7A"/>
    <w:rsid w:val="003F6F86"/>
    <w:rsid w:val="003F6F9B"/>
    <w:rsid w:val="003F6FC4"/>
    <w:rsid w:val="003F6FC7"/>
    <w:rsid w:val="003F7042"/>
    <w:rsid w:val="003F7078"/>
    <w:rsid w:val="003F70AE"/>
    <w:rsid w:val="003F70BF"/>
    <w:rsid w:val="003F70C4"/>
    <w:rsid w:val="003F70D2"/>
    <w:rsid w:val="003F7107"/>
    <w:rsid w:val="003F712F"/>
    <w:rsid w:val="003F7156"/>
    <w:rsid w:val="003F7159"/>
    <w:rsid w:val="003F716C"/>
    <w:rsid w:val="003F7196"/>
    <w:rsid w:val="003F71F0"/>
    <w:rsid w:val="003F722F"/>
    <w:rsid w:val="003F723D"/>
    <w:rsid w:val="003F724E"/>
    <w:rsid w:val="003F7272"/>
    <w:rsid w:val="003F72D8"/>
    <w:rsid w:val="003F7336"/>
    <w:rsid w:val="003F734B"/>
    <w:rsid w:val="003F736C"/>
    <w:rsid w:val="003F736F"/>
    <w:rsid w:val="003F73BC"/>
    <w:rsid w:val="003F7416"/>
    <w:rsid w:val="003F7445"/>
    <w:rsid w:val="003F74C4"/>
    <w:rsid w:val="003F74D2"/>
    <w:rsid w:val="003F74DA"/>
    <w:rsid w:val="003F7514"/>
    <w:rsid w:val="003F754F"/>
    <w:rsid w:val="003F7550"/>
    <w:rsid w:val="003F757E"/>
    <w:rsid w:val="003F7616"/>
    <w:rsid w:val="003F7631"/>
    <w:rsid w:val="003F764B"/>
    <w:rsid w:val="003F76E1"/>
    <w:rsid w:val="003F76EB"/>
    <w:rsid w:val="003F7717"/>
    <w:rsid w:val="003F7725"/>
    <w:rsid w:val="003F774E"/>
    <w:rsid w:val="003F7759"/>
    <w:rsid w:val="003F77F6"/>
    <w:rsid w:val="003F7815"/>
    <w:rsid w:val="003F781B"/>
    <w:rsid w:val="003F782A"/>
    <w:rsid w:val="003F785D"/>
    <w:rsid w:val="003F7868"/>
    <w:rsid w:val="003F7871"/>
    <w:rsid w:val="003F7892"/>
    <w:rsid w:val="003F78E7"/>
    <w:rsid w:val="003F78EE"/>
    <w:rsid w:val="003F78F0"/>
    <w:rsid w:val="003F794C"/>
    <w:rsid w:val="003F798E"/>
    <w:rsid w:val="003F79AC"/>
    <w:rsid w:val="003F79DC"/>
    <w:rsid w:val="003F7A19"/>
    <w:rsid w:val="003F7A40"/>
    <w:rsid w:val="003F7A6C"/>
    <w:rsid w:val="003F7A91"/>
    <w:rsid w:val="003F7A99"/>
    <w:rsid w:val="003F7AD3"/>
    <w:rsid w:val="003F7B25"/>
    <w:rsid w:val="003F7B7B"/>
    <w:rsid w:val="003F7BA6"/>
    <w:rsid w:val="003F7C16"/>
    <w:rsid w:val="003F7CDE"/>
    <w:rsid w:val="003F7CE2"/>
    <w:rsid w:val="003F7D0E"/>
    <w:rsid w:val="003F7D19"/>
    <w:rsid w:val="003F7D23"/>
    <w:rsid w:val="003F7D86"/>
    <w:rsid w:val="003F7DBD"/>
    <w:rsid w:val="003F7DE4"/>
    <w:rsid w:val="003F7E62"/>
    <w:rsid w:val="003F7EA9"/>
    <w:rsid w:val="003F7EB3"/>
    <w:rsid w:val="003F7EB9"/>
    <w:rsid w:val="003F7EBD"/>
    <w:rsid w:val="003F7EE4"/>
    <w:rsid w:val="003F7F18"/>
    <w:rsid w:val="003F7FB4"/>
    <w:rsid w:val="003F7FBE"/>
    <w:rsid w:val="00400014"/>
    <w:rsid w:val="0040004D"/>
    <w:rsid w:val="00400059"/>
    <w:rsid w:val="00400098"/>
    <w:rsid w:val="004000A5"/>
    <w:rsid w:val="00400118"/>
    <w:rsid w:val="0040016C"/>
    <w:rsid w:val="00400184"/>
    <w:rsid w:val="004001C3"/>
    <w:rsid w:val="004001F6"/>
    <w:rsid w:val="004001F9"/>
    <w:rsid w:val="00400207"/>
    <w:rsid w:val="0040023E"/>
    <w:rsid w:val="00400252"/>
    <w:rsid w:val="00400258"/>
    <w:rsid w:val="0040027B"/>
    <w:rsid w:val="004002A7"/>
    <w:rsid w:val="004002B4"/>
    <w:rsid w:val="00400322"/>
    <w:rsid w:val="00400338"/>
    <w:rsid w:val="0040038A"/>
    <w:rsid w:val="00400391"/>
    <w:rsid w:val="004003ED"/>
    <w:rsid w:val="004003F9"/>
    <w:rsid w:val="004003FF"/>
    <w:rsid w:val="00400475"/>
    <w:rsid w:val="00400478"/>
    <w:rsid w:val="0040048C"/>
    <w:rsid w:val="004004B0"/>
    <w:rsid w:val="004004CB"/>
    <w:rsid w:val="004004CC"/>
    <w:rsid w:val="004004FB"/>
    <w:rsid w:val="0040050C"/>
    <w:rsid w:val="00400568"/>
    <w:rsid w:val="004005DF"/>
    <w:rsid w:val="00400606"/>
    <w:rsid w:val="00400646"/>
    <w:rsid w:val="004006E8"/>
    <w:rsid w:val="00400728"/>
    <w:rsid w:val="00400748"/>
    <w:rsid w:val="00400798"/>
    <w:rsid w:val="0040082E"/>
    <w:rsid w:val="0040085D"/>
    <w:rsid w:val="004009FF"/>
    <w:rsid w:val="00400A14"/>
    <w:rsid w:val="00400A24"/>
    <w:rsid w:val="00400A55"/>
    <w:rsid w:val="00400A63"/>
    <w:rsid w:val="00400AA4"/>
    <w:rsid w:val="00400B05"/>
    <w:rsid w:val="00400BA0"/>
    <w:rsid w:val="00400BFB"/>
    <w:rsid w:val="00400C48"/>
    <w:rsid w:val="00400C4C"/>
    <w:rsid w:val="00400C87"/>
    <w:rsid w:val="00400CB1"/>
    <w:rsid w:val="00400CB3"/>
    <w:rsid w:val="00400CFD"/>
    <w:rsid w:val="00400D6D"/>
    <w:rsid w:val="00400DE8"/>
    <w:rsid w:val="00400DF1"/>
    <w:rsid w:val="00400E30"/>
    <w:rsid w:val="00400E9F"/>
    <w:rsid w:val="00400EAF"/>
    <w:rsid w:val="00400F17"/>
    <w:rsid w:val="00400F41"/>
    <w:rsid w:val="00400F63"/>
    <w:rsid w:val="00400F89"/>
    <w:rsid w:val="00400F9A"/>
    <w:rsid w:val="00400FB1"/>
    <w:rsid w:val="00400FF8"/>
    <w:rsid w:val="00401006"/>
    <w:rsid w:val="00401061"/>
    <w:rsid w:val="004010DD"/>
    <w:rsid w:val="004010EA"/>
    <w:rsid w:val="00401169"/>
    <w:rsid w:val="00401190"/>
    <w:rsid w:val="004011CF"/>
    <w:rsid w:val="004011DA"/>
    <w:rsid w:val="004011F4"/>
    <w:rsid w:val="0040122C"/>
    <w:rsid w:val="0040125C"/>
    <w:rsid w:val="00401279"/>
    <w:rsid w:val="004012AD"/>
    <w:rsid w:val="004012E5"/>
    <w:rsid w:val="004012EA"/>
    <w:rsid w:val="0040131A"/>
    <w:rsid w:val="00401337"/>
    <w:rsid w:val="0040137D"/>
    <w:rsid w:val="00401382"/>
    <w:rsid w:val="004013AF"/>
    <w:rsid w:val="004013E4"/>
    <w:rsid w:val="004013FD"/>
    <w:rsid w:val="00401453"/>
    <w:rsid w:val="004014BE"/>
    <w:rsid w:val="00401507"/>
    <w:rsid w:val="00401582"/>
    <w:rsid w:val="004015C0"/>
    <w:rsid w:val="0040164E"/>
    <w:rsid w:val="00401662"/>
    <w:rsid w:val="00401681"/>
    <w:rsid w:val="004016A1"/>
    <w:rsid w:val="004016AF"/>
    <w:rsid w:val="004016B7"/>
    <w:rsid w:val="004016BD"/>
    <w:rsid w:val="00401746"/>
    <w:rsid w:val="00401795"/>
    <w:rsid w:val="0040184A"/>
    <w:rsid w:val="00401855"/>
    <w:rsid w:val="004018A5"/>
    <w:rsid w:val="0040192D"/>
    <w:rsid w:val="0040193B"/>
    <w:rsid w:val="00401946"/>
    <w:rsid w:val="0040196C"/>
    <w:rsid w:val="00401999"/>
    <w:rsid w:val="004019BD"/>
    <w:rsid w:val="004019D9"/>
    <w:rsid w:val="00401A03"/>
    <w:rsid w:val="00401AA9"/>
    <w:rsid w:val="00401AC3"/>
    <w:rsid w:val="00401AD0"/>
    <w:rsid w:val="00401AF6"/>
    <w:rsid w:val="00401B1D"/>
    <w:rsid w:val="00401B68"/>
    <w:rsid w:val="00401B8F"/>
    <w:rsid w:val="00401BA5"/>
    <w:rsid w:val="00401BE4"/>
    <w:rsid w:val="00401BE7"/>
    <w:rsid w:val="00401C0D"/>
    <w:rsid w:val="00401C39"/>
    <w:rsid w:val="00401C89"/>
    <w:rsid w:val="00401D18"/>
    <w:rsid w:val="00401D3C"/>
    <w:rsid w:val="00401D68"/>
    <w:rsid w:val="00401D94"/>
    <w:rsid w:val="00401DA5"/>
    <w:rsid w:val="00401E16"/>
    <w:rsid w:val="00401E24"/>
    <w:rsid w:val="00401E30"/>
    <w:rsid w:val="00401E58"/>
    <w:rsid w:val="00401FAA"/>
    <w:rsid w:val="00402039"/>
    <w:rsid w:val="0040208A"/>
    <w:rsid w:val="004020F6"/>
    <w:rsid w:val="00402135"/>
    <w:rsid w:val="0040213D"/>
    <w:rsid w:val="00402199"/>
    <w:rsid w:val="004021A4"/>
    <w:rsid w:val="004021EC"/>
    <w:rsid w:val="00402203"/>
    <w:rsid w:val="00402291"/>
    <w:rsid w:val="004022AC"/>
    <w:rsid w:val="004022D9"/>
    <w:rsid w:val="004022E4"/>
    <w:rsid w:val="00402307"/>
    <w:rsid w:val="0040230B"/>
    <w:rsid w:val="00402356"/>
    <w:rsid w:val="00402375"/>
    <w:rsid w:val="00402394"/>
    <w:rsid w:val="004023A3"/>
    <w:rsid w:val="004023BE"/>
    <w:rsid w:val="004023C0"/>
    <w:rsid w:val="004023D9"/>
    <w:rsid w:val="004023F9"/>
    <w:rsid w:val="00402453"/>
    <w:rsid w:val="0040246F"/>
    <w:rsid w:val="00402471"/>
    <w:rsid w:val="00402497"/>
    <w:rsid w:val="004024A0"/>
    <w:rsid w:val="004024BF"/>
    <w:rsid w:val="004024D7"/>
    <w:rsid w:val="00402585"/>
    <w:rsid w:val="00402602"/>
    <w:rsid w:val="00402646"/>
    <w:rsid w:val="0040266E"/>
    <w:rsid w:val="004026CB"/>
    <w:rsid w:val="004026EB"/>
    <w:rsid w:val="004026FF"/>
    <w:rsid w:val="0040278B"/>
    <w:rsid w:val="004027D8"/>
    <w:rsid w:val="00402802"/>
    <w:rsid w:val="00402822"/>
    <w:rsid w:val="00402833"/>
    <w:rsid w:val="004028FC"/>
    <w:rsid w:val="00402915"/>
    <w:rsid w:val="0040294C"/>
    <w:rsid w:val="00402983"/>
    <w:rsid w:val="00402989"/>
    <w:rsid w:val="004029A1"/>
    <w:rsid w:val="00402A11"/>
    <w:rsid w:val="00402A34"/>
    <w:rsid w:val="00402AB7"/>
    <w:rsid w:val="00402B2B"/>
    <w:rsid w:val="00402BB9"/>
    <w:rsid w:val="00402BBB"/>
    <w:rsid w:val="00402C50"/>
    <w:rsid w:val="00402CCE"/>
    <w:rsid w:val="00402D56"/>
    <w:rsid w:val="00402D6F"/>
    <w:rsid w:val="00402DBF"/>
    <w:rsid w:val="00402E9A"/>
    <w:rsid w:val="00402F1F"/>
    <w:rsid w:val="00402F4C"/>
    <w:rsid w:val="00402FBF"/>
    <w:rsid w:val="00403015"/>
    <w:rsid w:val="00403027"/>
    <w:rsid w:val="00403068"/>
    <w:rsid w:val="00403087"/>
    <w:rsid w:val="00403098"/>
    <w:rsid w:val="0040314A"/>
    <w:rsid w:val="00403162"/>
    <w:rsid w:val="00403185"/>
    <w:rsid w:val="00403189"/>
    <w:rsid w:val="004031B3"/>
    <w:rsid w:val="004031CC"/>
    <w:rsid w:val="004031CE"/>
    <w:rsid w:val="004031DA"/>
    <w:rsid w:val="0040322C"/>
    <w:rsid w:val="0040323F"/>
    <w:rsid w:val="00403277"/>
    <w:rsid w:val="00403290"/>
    <w:rsid w:val="004032C1"/>
    <w:rsid w:val="0040335C"/>
    <w:rsid w:val="00403384"/>
    <w:rsid w:val="004033D3"/>
    <w:rsid w:val="00403418"/>
    <w:rsid w:val="00403423"/>
    <w:rsid w:val="00403449"/>
    <w:rsid w:val="00403481"/>
    <w:rsid w:val="00403482"/>
    <w:rsid w:val="00403486"/>
    <w:rsid w:val="004034CB"/>
    <w:rsid w:val="004034D1"/>
    <w:rsid w:val="004034E2"/>
    <w:rsid w:val="004034FF"/>
    <w:rsid w:val="00403503"/>
    <w:rsid w:val="0040357B"/>
    <w:rsid w:val="004035A4"/>
    <w:rsid w:val="00403629"/>
    <w:rsid w:val="0040362F"/>
    <w:rsid w:val="00403723"/>
    <w:rsid w:val="00403753"/>
    <w:rsid w:val="00403771"/>
    <w:rsid w:val="004037DD"/>
    <w:rsid w:val="0040381D"/>
    <w:rsid w:val="00403844"/>
    <w:rsid w:val="0040386A"/>
    <w:rsid w:val="004038E3"/>
    <w:rsid w:val="004038F9"/>
    <w:rsid w:val="00403928"/>
    <w:rsid w:val="00403929"/>
    <w:rsid w:val="004039A2"/>
    <w:rsid w:val="004039AA"/>
    <w:rsid w:val="00403ADA"/>
    <w:rsid w:val="00403AFD"/>
    <w:rsid w:val="00403B12"/>
    <w:rsid w:val="00403B15"/>
    <w:rsid w:val="00403BD9"/>
    <w:rsid w:val="00403C36"/>
    <w:rsid w:val="00403C41"/>
    <w:rsid w:val="00403C51"/>
    <w:rsid w:val="00403C88"/>
    <w:rsid w:val="00403CBB"/>
    <w:rsid w:val="00403D2B"/>
    <w:rsid w:val="00403D5D"/>
    <w:rsid w:val="00403D80"/>
    <w:rsid w:val="00403DAE"/>
    <w:rsid w:val="00403DB7"/>
    <w:rsid w:val="00403DCC"/>
    <w:rsid w:val="00403E07"/>
    <w:rsid w:val="00403E1C"/>
    <w:rsid w:val="00403E2C"/>
    <w:rsid w:val="00403E2E"/>
    <w:rsid w:val="00403E40"/>
    <w:rsid w:val="00403E47"/>
    <w:rsid w:val="00403E4A"/>
    <w:rsid w:val="00403E65"/>
    <w:rsid w:val="00403E78"/>
    <w:rsid w:val="00403EF2"/>
    <w:rsid w:val="00403F48"/>
    <w:rsid w:val="00403FCC"/>
    <w:rsid w:val="00403FD9"/>
    <w:rsid w:val="00404057"/>
    <w:rsid w:val="00404075"/>
    <w:rsid w:val="00404099"/>
    <w:rsid w:val="004040B5"/>
    <w:rsid w:val="004040D7"/>
    <w:rsid w:val="004040F9"/>
    <w:rsid w:val="00404136"/>
    <w:rsid w:val="0040417F"/>
    <w:rsid w:val="00404189"/>
    <w:rsid w:val="0040419B"/>
    <w:rsid w:val="004041A6"/>
    <w:rsid w:val="004041ED"/>
    <w:rsid w:val="00404222"/>
    <w:rsid w:val="00404239"/>
    <w:rsid w:val="00404253"/>
    <w:rsid w:val="004042CC"/>
    <w:rsid w:val="004042D5"/>
    <w:rsid w:val="004042E3"/>
    <w:rsid w:val="0040431A"/>
    <w:rsid w:val="00404323"/>
    <w:rsid w:val="00404376"/>
    <w:rsid w:val="0040437E"/>
    <w:rsid w:val="004043CA"/>
    <w:rsid w:val="004043D3"/>
    <w:rsid w:val="0040441E"/>
    <w:rsid w:val="0040445F"/>
    <w:rsid w:val="0040448C"/>
    <w:rsid w:val="004044DB"/>
    <w:rsid w:val="004044F9"/>
    <w:rsid w:val="00404529"/>
    <w:rsid w:val="00404591"/>
    <w:rsid w:val="004045A7"/>
    <w:rsid w:val="004045AC"/>
    <w:rsid w:val="00404630"/>
    <w:rsid w:val="004046AC"/>
    <w:rsid w:val="004046CC"/>
    <w:rsid w:val="004046E4"/>
    <w:rsid w:val="00404734"/>
    <w:rsid w:val="00404764"/>
    <w:rsid w:val="00404787"/>
    <w:rsid w:val="004047C6"/>
    <w:rsid w:val="0040480D"/>
    <w:rsid w:val="00404855"/>
    <w:rsid w:val="004048A5"/>
    <w:rsid w:val="004048A9"/>
    <w:rsid w:val="004048B1"/>
    <w:rsid w:val="004048D0"/>
    <w:rsid w:val="004048F5"/>
    <w:rsid w:val="00404966"/>
    <w:rsid w:val="00404972"/>
    <w:rsid w:val="0040499F"/>
    <w:rsid w:val="00404A16"/>
    <w:rsid w:val="00404A17"/>
    <w:rsid w:val="00404A1C"/>
    <w:rsid w:val="00404A22"/>
    <w:rsid w:val="00404A88"/>
    <w:rsid w:val="00404A97"/>
    <w:rsid w:val="00404B17"/>
    <w:rsid w:val="00404B23"/>
    <w:rsid w:val="00404B34"/>
    <w:rsid w:val="00404B58"/>
    <w:rsid w:val="00404C1E"/>
    <w:rsid w:val="00404CE3"/>
    <w:rsid w:val="00404D04"/>
    <w:rsid w:val="00404D12"/>
    <w:rsid w:val="00404D16"/>
    <w:rsid w:val="00404D30"/>
    <w:rsid w:val="00404D87"/>
    <w:rsid w:val="00404D9E"/>
    <w:rsid w:val="00404DD2"/>
    <w:rsid w:val="00404E02"/>
    <w:rsid w:val="00404E50"/>
    <w:rsid w:val="00404E5D"/>
    <w:rsid w:val="00404E81"/>
    <w:rsid w:val="00404EA3"/>
    <w:rsid w:val="00404ECD"/>
    <w:rsid w:val="00404F3D"/>
    <w:rsid w:val="00404F5B"/>
    <w:rsid w:val="00404FA4"/>
    <w:rsid w:val="00404FDD"/>
    <w:rsid w:val="0040503A"/>
    <w:rsid w:val="00405051"/>
    <w:rsid w:val="00405057"/>
    <w:rsid w:val="00405079"/>
    <w:rsid w:val="0040518B"/>
    <w:rsid w:val="00405197"/>
    <w:rsid w:val="004051A1"/>
    <w:rsid w:val="00405210"/>
    <w:rsid w:val="00405244"/>
    <w:rsid w:val="0040525B"/>
    <w:rsid w:val="00405334"/>
    <w:rsid w:val="00405339"/>
    <w:rsid w:val="00405340"/>
    <w:rsid w:val="00405350"/>
    <w:rsid w:val="0040536E"/>
    <w:rsid w:val="0040537C"/>
    <w:rsid w:val="00405383"/>
    <w:rsid w:val="0040539A"/>
    <w:rsid w:val="004053B3"/>
    <w:rsid w:val="004053BE"/>
    <w:rsid w:val="0040540A"/>
    <w:rsid w:val="0040549B"/>
    <w:rsid w:val="004054B1"/>
    <w:rsid w:val="004054E6"/>
    <w:rsid w:val="004055F7"/>
    <w:rsid w:val="00405625"/>
    <w:rsid w:val="00405686"/>
    <w:rsid w:val="004056D1"/>
    <w:rsid w:val="0040570D"/>
    <w:rsid w:val="00405713"/>
    <w:rsid w:val="00405759"/>
    <w:rsid w:val="004057AD"/>
    <w:rsid w:val="004057C4"/>
    <w:rsid w:val="00405843"/>
    <w:rsid w:val="0040585C"/>
    <w:rsid w:val="00405A28"/>
    <w:rsid w:val="00405A4F"/>
    <w:rsid w:val="00405A78"/>
    <w:rsid w:val="00405A89"/>
    <w:rsid w:val="00405ABB"/>
    <w:rsid w:val="00405AC7"/>
    <w:rsid w:val="00405B37"/>
    <w:rsid w:val="00405BA6"/>
    <w:rsid w:val="00405BA7"/>
    <w:rsid w:val="00405BAE"/>
    <w:rsid w:val="00405BB8"/>
    <w:rsid w:val="00405BC7"/>
    <w:rsid w:val="00405CDA"/>
    <w:rsid w:val="00405CF5"/>
    <w:rsid w:val="00405D0F"/>
    <w:rsid w:val="00405D3D"/>
    <w:rsid w:val="00405D5F"/>
    <w:rsid w:val="00405D62"/>
    <w:rsid w:val="00405DB3"/>
    <w:rsid w:val="00405DCD"/>
    <w:rsid w:val="00405E47"/>
    <w:rsid w:val="00405E7D"/>
    <w:rsid w:val="00405EAD"/>
    <w:rsid w:val="00405EDB"/>
    <w:rsid w:val="00405EFA"/>
    <w:rsid w:val="00405F24"/>
    <w:rsid w:val="00405F6E"/>
    <w:rsid w:val="00405F9C"/>
    <w:rsid w:val="00405FD9"/>
    <w:rsid w:val="00406017"/>
    <w:rsid w:val="0040605D"/>
    <w:rsid w:val="00406069"/>
    <w:rsid w:val="004060A7"/>
    <w:rsid w:val="004060F7"/>
    <w:rsid w:val="004060F9"/>
    <w:rsid w:val="00406105"/>
    <w:rsid w:val="00406157"/>
    <w:rsid w:val="00406162"/>
    <w:rsid w:val="004061B2"/>
    <w:rsid w:val="00406225"/>
    <w:rsid w:val="00406257"/>
    <w:rsid w:val="00406265"/>
    <w:rsid w:val="004062FF"/>
    <w:rsid w:val="0040639F"/>
    <w:rsid w:val="0040641A"/>
    <w:rsid w:val="0040646B"/>
    <w:rsid w:val="00406475"/>
    <w:rsid w:val="004064AE"/>
    <w:rsid w:val="004064F6"/>
    <w:rsid w:val="00406516"/>
    <w:rsid w:val="0040651A"/>
    <w:rsid w:val="0040652E"/>
    <w:rsid w:val="0040658F"/>
    <w:rsid w:val="004065BB"/>
    <w:rsid w:val="004065FB"/>
    <w:rsid w:val="00406600"/>
    <w:rsid w:val="00406665"/>
    <w:rsid w:val="00406695"/>
    <w:rsid w:val="0040672A"/>
    <w:rsid w:val="00406794"/>
    <w:rsid w:val="004067E0"/>
    <w:rsid w:val="00406816"/>
    <w:rsid w:val="00406820"/>
    <w:rsid w:val="00406824"/>
    <w:rsid w:val="0040684F"/>
    <w:rsid w:val="00406870"/>
    <w:rsid w:val="004068B1"/>
    <w:rsid w:val="004068B5"/>
    <w:rsid w:val="004068D3"/>
    <w:rsid w:val="004068DA"/>
    <w:rsid w:val="004068F5"/>
    <w:rsid w:val="00406932"/>
    <w:rsid w:val="0040693F"/>
    <w:rsid w:val="0040697E"/>
    <w:rsid w:val="00406985"/>
    <w:rsid w:val="004069BA"/>
    <w:rsid w:val="004069CF"/>
    <w:rsid w:val="00406A43"/>
    <w:rsid w:val="00406A63"/>
    <w:rsid w:val="00406A94"/>
    <w:rsid w:val="00406AC6"/>
    <w:rsid w:val="00406B19"/>
    <w:rsid w:val="00406B3C"/>
    <w:rsid w:val="00406B59"/>
    <w:rsid w:val="00406C17"/>
    <w:rsid w:val="00406C61"/>
    <w:rsid w:val="00406C90"/>
    <w:rsid w:val="00406D39"/>
    <w:rsid w:val="00406D3A"/>
    <w:rsid w:val="00406D56"/>
    <w:rsid w:val="00406D91"/>
    <w:rsid w:val="00406DBC"/>
    <w:rsid w:val="00406EC7"/>
    <w:rsid w:val="00406EE7"/>
    <w:rsid w:val="00406EEF"/>
    <w:rsid w:val="00406F05"/>
    <w:rsid w:val="00406FA6"/>
    <w:rsid w:val="0040707D"/>
    <w:rsid w:val="0040707E"/>
    <w:rsid w:val="00407084"/>
    <w:rsid w:val="004070A0"/>
    <w:rsid w:val="004070AC"/>
    <w:rsid w:val="004070B7"/>
    <w:rsid w:val="004070F4"/>
    <w:rsid w:val="00407103"/>
    <w:rsid w:val="00407197"/>
    <w:rsid w:val="00407230"/>
    <w:rsid w:val="00407274"/>
    <w:rsid w:val="0040729C"/>
    <w:rsid w:val="004072A0"/>
    <w:rsid w:val="004072AC"/>
    <w:rsid w:val="004072AD"/>
    <w:rsid w:val="00407304"/>
    <w:rsid w:val="00407309"/>
    <w:rsid w:val="0040730D"/>
    <w:rsid w:val="0040731F"/>
    <w:rsid w:val="00407338"/>
    <w:rsid w:val="0040739C"/>
    <w:rsid w:val="004073D2"/>
    <w:rsid w:val="0040742F"/>
    <w:rsid w:val="00407474"/>
    <w:rsid w:val="0040748B"/>
    <w:rsid w:val="0040749B"/>
    <w:rsid w:val="004074A5"/>
    <w:rsid w:val="004074B5"/>
    <w:rsid w:val="00407523"/>
    <w:rsid w:val="0040759E"/>
    <w:rsid w:val="0040760B"/>
    <w:rsid w:val="0040762E"/>
    <w:rsid w:val="0040769E"/>
    <w:rsid w:val="004076A1"/>
    <w:rsid w:val="00407707"/>
    <w:rsid w:val="0040773E"/>
    <w:rsid w:val="00407770"/>
    <w:rsid w:val="00407772"/>
    <w:rsid w:val="00407777"/>
    <w:rsid w:val="004077DD"/>
    <w:rsid w:val="004078BF"/>
    <w:rsid w:val="00407968"/>
    <w:rsid w:val="004079A9"/>
    <w:rsid w:val="004079EB"/>
    <w:rsid w:val="00407A07"/>
    <w:rsid w:val="00407A0A"/>
    <w:rsid w:val="00407A21"/>
    <w:rsid w:val="00407A2B"/>
    <w:rsid w:val="00407B4E"/>
    <w:rsid w:val="00407B82"/>
    <w:rsid w:val="00407B9F"/>
    <w:rsid w:val="00407BC0"/>
    <w:rsid w:val="00407BC6"/>
    <w:rsid w:val="00407BCD"/>
    <w:rsid w:val="00407C0D"/>
    <w:rsid w:val="00407C5A"/>
    <w:rsid w:val="00407CBF"/>
    <w:rsid w:val="00407D31"/>
    <w:rsid w:val="00407D45"/>
    <w:rsid w:val="00407DC3"/>
    <w:rsid w:val="00407DE8"/>
    <w:rsid w:val="00407DED"/>
    <w:rsid w:val="00407E24"/>
    <w:rsid w:val="00407E3B"/>
    <w:rsid w:val="00407E6D"/>
    <w:rsid w:val="00407E7E"/>
    <w:rsid w:val="00407ECA"/>
    <w:rsid w:val="00407F27"/>
    <w:rsid w:val="0041000B"/>
    <w:rsid w:val="0041010F"/>
    <w:rsid w:val="0041015C"/>
    <w:rsid w:val="00410161"/>
    <w:rsid w:val="004101CC"/>
    <w:rsid w:val="004101EB"/>
    <w:rsid w:val="00410218"/>
    <w:rsid w:val="0041022F"/>
    <w:rsid w:val="0041023B"/>
    <w:rsid w:val="00410240"/>
    <w:rsid w:val="004102BF"/>
    <w:rsid w:val="00410307"/>
    <w:rsid w:val="00410311"/>
    <w:rsid w:val="00410319"/>
    <w:rsid w:val="00410360"/>
    <w:rsid w:val="00410361"/>
    <w:rsid w:val="00410381"/>
    <w:rsid w:val="004103F4"/>
    <w:rsid w:val="00410415"/>
    <w:rsid w:val="0041041C"/>
    <w:rsid w:val="00410449"/>
    <w:rsid w:val="00410490"/>
    <w:rsid w:val="004104AF"/>
    <w:rsid w:val="004104CF"/>
    <w:rsid w:val="00410512"/>
    <w:rsid w:val="0041055E"/>
    <w:rsid w:val="004105A0"/>
    <w:rsid w:val="0041063E"/>
    <w:rsid w:val="0041066B"/>
    <w:rsid w:val="0041069C"/>
    <w:rsid w:val="004106A3"/>
    <w:rsid w:val="004106EE"/>
    <w:rsid w:val="004106FE"/>
    <w:rsid w:val="0041072A"/>
    <w:rsid w:val="00410743"/>
    <w:rsid w:val="0041079B"/>
    <w:rsid w:val="004107AE"/>
    <w:rsid w:val="00410806"/>
    <w:rsid w:val="00410859"/>
    <w:rsid w:val="0041087E"/>
    <w:rsid w:val="0041088E"/>
    <w:rsid w:val="004108A8"/>
    <w:rsid w:val="004108AA"/>
    <w:rsid w:val="004108BC"/>
    <w:rsid w:val="004108EB"/>
    <w:rsid w:val="00410910"/>
    <w:rsid w:val="00410925"/>
    <w:rsid w:val="004109AA"/>
    <w:rsid w:val="004109F7"/>
    <w:rsid w:val="00410A16"/>
    <w:rsid w:val="00410A22"/>
    <w:rsid w:val="00410A66"/>
    <w:rsid w:val="00410A77"/>
    <w:rsid w:val="00410AA2"/>
    <w:rsid w:val="00410AB5"/>
    <w:rsid w:val="00410AE0"/>
    <w:rsid w:val="00410B4A"/>
    <w:rsid w:val="00410B6C"/>
    <w:rsid w:val="00410BE8"/>
    <w:rsid w:val="00410C8A"/>
    <w:rsid w:val="00410CD1"/>
    <w:rsid w:val="00410CDB"/>
    <w:rsid w:val="00410CDD"/>
    <w:rsid w:val="00410D4A"/>
    <w:rsid w:val="00410D5F"/>
    <w:rsid w:val="00410D75"/>
    <w:rsid w:val="00410D7F"/>
    <w:rsid w:val="00410DE9"/>
    <w:rsid w:val="00410E12"/>
    <w:rsid w:val="00410E31"/>
    <w:rsid w:val="00410E5B"/>
    <w:rsid w:val="00410E64"/>
    <w:rsid w:val="00410EAE"/>
    <w:rsid w:val="00410ED8"/>
    <w:rsid w:val="00410F5D"/>
    <w:rsid w:val="00410F7B"/>
    <w:rsid w:val="00410FA1"/>
    <w:rsid w:val="00410FE1"/>
    <w:rsid w:val="00410FF8"/>
    <w:rsid w:val="00411010"/>
    <w:rsid w:val="0041102C"/>
    <w:rsid w:val="00411082"/>
    <w:rsid w:val="0041115F"/>
    <w:rsid w:val="00411168"/>
    <w:rsid w:val="0041117A"/>
    <w:rsid w:val="0041118D"/>
    <w:rsid w:val="0041119C"/>
    <w:rsid w:val="004111BD"/>
    <w:rsid w:val="00411299"/>
    <w:rsid w:val="004112AF"/>
    <w:rsid w:val="004112C2"/>
    <w:rsid w:val="004112CD"/>
    <w:rsid w:val="0041137C"/>
    <w:rsid w:val="0041137E"/>
    <w:rsid w:val="0041142E"/>
    <w:rsid w:val="0041144C"/>
    <w:rsid w:val="00411454"/>
    <w:rsid w:val="00411483"/>
    <w:rsid w:val="004114E9"/>
    <w:rsid w:val="004115A0"/>
    <w:rsid w:val="004115E4"/>
    <w:rsid w:val="004116FE"/>
    <w:rsid w:val="00411700"/>
    <w:rsid w:val="0041175A"/>
    <w:rsid w:val="0041179D"/>
    <w:rsid w:val="004117E3"/>
    <w:rsid w:val="00411837"/>
    <w:rsid w:val="004118C9"/>
    <w:rsid w:val="00411955"/>
    <w:rsid w:val="00411968"/>
    <w:rsid w:val="00411987"/>
    <w:rsid w:val="00411999"/>
    <w:rsid w:val="00411A3D"/>
    <w:rsid w:val="00411A9D"/>
    <w:rsid w:val="00411AC5"/>
    <w:rsid w:val="00411ACD"/>
    <w:rsid w:val="00411AFE"/>
    <w:rsid w:val="00411B02"/>
    <w:rsid w:val="00411B17"/>
    <w:rsid w:val="00411B66"/>
    <w:rsid w:val="00411BB9"/>
    <w:rsid w:val="00411BD0"/>
    <w:rsid w:val="00411BED"/>
    <w:rsid w:val="00411C35"/>
    <w:rsid w:val="00411C7C"/>
    <w:rsid w:val="00411C8B"/>
    <w:rsid w:val="00411CC7"/>
    <w:rsid w:val="00411CC8"/>
    <w:rsid w:val="00411D33"/>
    <w:rsid w:val="00411DAB"/>
    <w:rsid w:val="00411DB2"/>
    <w:rsid w:val="00411E30"/>
    <w:rsid w:val="00411E86"/>
    <w:rsid w:val="00411EF6"/>
    <w:rsid w:val="00411EF7"/>
    <w:rsid w:val="00411F09"/>
    <w:rsid w:val="00411F0E"/>
    <w:rsid w:val="00411F21"/>
    <w:rsid w:val="00411F83"/>
    <w:rsid w:val="00411FB8"/>
    <w:rsid w:val="00411FD8"/>
    <w:rsid w:val="00411FFF"/>
    <w:rsid w:val="00412004"/>
    <w:rsid w:val="00412069"/>
    <w:rsid w:val="00412080"/>
    <w:rsid w:val="004120CE"/>
    <w:rsid w:val="0041210B"/>
    <w:rsid w:val="0041211E"/>
    <w:rsid w:val="00412123"/>
    <w:rsid w:val="0041212D"/>
    <w:rsid w:val="004121A3"/>
    <w:rsid w:val="004121F5"/>
    <w:rsid w:val="0041226A"/>
    <w:rsid w:val="0041227E"/>
    <w:rsid w:val="0041232F"/>
    <w:rsid w:val="0041235E"/>
    <w:rsid w:val="00412442"/>
    <w:rsid w:val="00412447"/>
    <w:rsid w:val="00412470"/>
    <w:rsid w:val="00412501"/>
    <w:rsid w:val="00412526"/>
    <w:rsid w:val="00412527"/>
    <w:rsid w:val="0041255B"/>
    <w:rsid w:val="00412588"/>
    <w:rsid w:val="004125B0"/>
    <w:rsid w:val="00412621"/>
    <w:rsid w:val="00412651"/>
    <w:rsid w:val="00412654"/>
    <w:rsid w:val="004126D6"/>
    <w:rsid w:val="0041270D"/>
    <w:rsid w:val="00412744"/>
    <w:rsid w:val="00412799"/>
    <w:rsid w:val="004127C1"/>
    <w:rsid w:val="004127D4"/>
    <w:rsid w:val="0041285C"/>
    <w:rsid w:val="00412875"/>
    <w:rsid w:val="0041287F"/>
    <w:rsid w:val="0041289D"/>
    <w:rsid w:val="004128E1"/>
    <w:rsid w:val="0041299B"/>
    <w:rsid w:val="004129AE"/>
    <w:rsid w:val="004129DE"/>
    <w:rsid w:val="00412A1B"/>
    <w:rsid w:val="00412A30"/>
    <w:rsid w:val="00412A8C"/>
    <w:rsid w:val="00412AA7"/>
    <w:rsid w:val="00412ACD"/>
    <w:rsid w:val="00412AE4"/>
    <w:rsid w:val="00412B1E"/>
    <w:rsid w:val="00412B25"/>
    <w:rsid w:val="00412BC6"/>
    <w:rsid w:val="00412C34"/>
    <w:rsid w:val="00412C47"/>
    <w:rsid w:val="00412C65"/>
    <w:rsid w:val="00412C6D"/>
    <w:rsid w:val="00412CDA"/>
    <w:rsid w:val="00412CE0"/>
    <w:rsid w:val="00412D52"/>
    <w:rsid w:val="00412DE7"/>
    <w:rsid w:val="00412EA4"/>
    <w:rsid w:val="00412EA7"/>
    <w:rsid w:val="00412EBB"/>
    <w:rsid w:val="00412F6E"/>
    <w:rsid w:val="00412F80"/>
    <w:rsid w:val="00412FAE"/>
    <w:rsid w:val="00412FD3"/>
    <w:rsid w:val="0041303A"/>
    <w:rsid w:val="00413075"/>
    <w:rsid w:val="00413080"/>
    <w:rsid w:val="004130AC"/>
    <w:rsid w:val="004130C0"/>
    <w:rsid w:val="004130DD"/>
    <w:rsid w:val="0041319A"/>
    <w:rsid w:val="004131AF"/>
    <w:rsid w:val="004131F1"/>
    <w:rsid w:val="00413242"/>
    <w:rsid w:val="004132DF"/>
    <w:rsid w:val="0041333C"/>
    <w:rsid w:val="004133C1"/>
    <w:rsid w:val="004133C6"/>
    <w:rsid w:val="004133E1"/>
    <w:rsid w:val="0041341D"/>
    <w:rsid w:val="0041343F"/>
    <w:rsid w:val="0041345C"/>
    <w:rsid w:val="004134A6"/>
    <w:rsid w:val="004134E6"/>
    <w:rsid w:val="0041355A"/>
    <w:rsid w:val="004135AB"/>
    <w:rsid w:val="004135F4"/>
    <w:rsid w:val="00413600"/>
    <w:rsid w:val="00413601"/>
    <w:rsid w:val="004136AA"/>
    <w:rsid w:val="004136AF"/>
    <w:rsid w:val="004136DB"/>
    <w:rsid w:val="004136EE"/>
    <w:rsid w:val="0041371B"/>
    <w:rsid w:val="00413749"/>
    <w:rsid w:val="0041374E"/>
    <w:rsid w:val="00413752"/>
    <w:rsid w:val="0041375A"/>
    <w:rsid w:val="00413775"/>
    <w:rsid w:val="004137CE"/>
    <w:rsid w:val="0041381C"/>
    <w:rsid w:val="00413860"/>
    <w:rsid w:val="0041388B"/>
    <w:rsid w:val="004138D3"/>
    <w:rsid w:val="00413971"/>
    <w:rsid w:val="00413987"/>
    <w:rsid w:val="00413994"/>
    <w:rsid w:val="004139E7"/>
    <w:rsid w:val="00413AEA"/>
    <w:rsid w:val="00413B10"/>
    <w:rsid w:val="00413B61"/>
    <w:rsid w:val="00413B8E"/>
    <w:rsid w:val="00413C2D"/>
    <w:rsid w:val="00413C64"/>
    <w:rsid w:val="00413C6D"/>
    <w:rsid w:val="00413C96"/>
    <w:rsid w:val="00413CEB"/>
    <w:rsid w:val="00413D12"/>
    <w:rsid w:val="00413D1A"/>
    <w:rsid w:val="00413D8D"/>
    <w:rsid w:val="00413D8F"/>
    <w:rsid w:val="00413DC9"/>
    <w:rsid w:val="00413DE5"/>
    <w:rsid w:val="00413E17"/>
    <w:rsid w:val="00413E56"/>
    <w:rsid w:val="00413E6E"/>
    <w:rsid w:val="00413F3D"/>
    <w:rsid w:val="00413F79"/>
    <w:rsid w:val="00413FAF"/>
    <w:rsid w:val="00413FD1"/>
    <w:rsid w:val="00414014"/>
    <w:rsid w:val="0041403E"/>
    <w:rsid w:val="00414044"/>
    <w:rsid w:val="00414073"/>
    <w:rsid w:val="0041408A"/>
    <w:rsid w:val="0041408B"/>
    <w:rsid w:val="004140C7"/>
    <w:rsid w:val="00414127"/>
    <w:rsid w:val="0041417B"/>
    <w:rsid w:val="004141B5"/>
    <w:rsid w:val="004141DE"/>
    <w:rsid w:val="00414204"/>
    <w:rsid w:val="00414234"/>
    <w:rsid w:val="00414269"/>
    <w:rsid w:val="0041429A"/>
    <w:rsid w:val="004142DA"/>
    <w:rsid w:val="004142FC"/>
    <w:rsid w:val="0041430D"/>
    <w:rsid w:val="00414367"/>
    <w:rsid w:val="00414394"/>
    <w:rsid w:val="004143D9"/>
    <w:rsid w:val="004143E2"/>
    <w:rsid w:val="004143F2"/>
    <w:rsid w:val="00414443"/>
    <w:rsid w:val="004144BB"/>
    <w:rsid w:val="004144E8"/>
    <w:rsid w:val="004144F5"/>
    <w:rsid w:val="0041450E"/>
    <w:rsid w:val="00414536"/>
    <w:rsid w:val="00414575"/>
    <w:rsid w:val="004145A6"/>
    <w:rsid w:val="004145DD"/>
    <w:rsid w:val="004145E3"/>
    <w:rsid w:val="00414600"/>
    <w:rsid w:val="00414642"/>
    <w:rsid w:val="0041466C"/>
    <w:rsid w:val="00414699"/>
    <w:rsid w:val="004146B1"/>
    <w:rsid w:val="004146BC"/>
    <w:rsid w:val="00414730"/>
    <w:rsid w:val="004147A5"/>
    <w:rsid w:val="00414861"/>
    <w:rsid w:val="00414864"/>
    <w:rsid w:val="0041488A"/>
    <w:rsid w:val="004148D4"/>
    <w:rsid w:val="00414916"/>
    <w:rsid w:val="00414930"/>
    <w:rsid w:val="004149B5"/>
    <w:rsid w:val="004149DA"/>
    <w:rsid w:val="004149F7"/>
    <w:rsid w:val="00414A79"/>
    <w:rsid w:val="00414A95"/>
    <w:rsid w:val="00414AAC"/>
    <w:rsid w:val="00414B14"/>
    <w:rsid w:val="00414B41"/>
    <w:rsid w:val="00414C08"/>
    <w:rsid w:val="00414C1A"/>
    <w:rsid w:val="00414C21"/>
    <w:rsid w:val="00414C34"/>
    <w:rsid w:val="00414C58"/>
    <w:rsid w:val="00414C9A"/>
    <w:rsid w:val="00414CB1"/>
    <w:rsid w:val="00414D17"/>
    <w:rsid w:val="00414E7B"/>
    <w:rsid w:val="00414F08"/>
    <w:rsid w:val="00414F57"/>
    <w:rsid w:val="00414F5D"/>
    <w:rsid w:val="0041504B"/>
    <w:rsid w:val="0041507C"/>
    <w:rsid w:val="00415154"/>
    <w:rsid w:val="0041519A"/>
    <w:rsid w:val="004151BF"/>
    <w:rsid w:val="004151CE"/>
    <w:rsid w:val="00415235"/>
    <w:rsid w:val="00415276"/>
    <w:rsid w:val="00415297"/>
    <w:rsid w:val="004152A2"/>
    <w:rsid w:val="0041532E"/>
    <w:rsid w:val="004153AD"/>
    <w:rsid w:val="004153DC"/>
    <w:rsid w:val="004153DF"/>
    <w:rsid w:val="0041547E"/>
    <w:rsid w:val="004154E6"/>
    <w:rsid w:val="0041551B"/>
    <w:rsid w:val="00415533"/>
    <w:rsid w:val="0041557A"/>
    <w:rsid w:val="00415611"/>
    <w:rsid w:val="00415629"/>
    <w:rsid w:val="0041563B"/>
    <w:rsid w:val="004156A0"/>
    <w:rsid w:val="00415717"/>
    <w:rsid w:val="00415733"/>
    <w:rsid w:val="0041573D"/>
    <w:rsid w:val="004157E5"/>
    <w:rsid w:val="00415871"/>
    <w:rsid w:val="0041589D"/>
    <w:rsid w:val="004158C8"/>
    <w:rsid w:val="004158CC"/>
    <w:rsid w:val="00415909"/>
    <w:rsid w:val="00415978"/>
    <w:rsid w:val="004159CE"/>
    <w:rsid w:val="00415A66"/>
    <w:rsid w:val="00415A80"/>
    <w:rsid w:val="00415AF7"/>
    <w:rsid w:val="00415AF8"/>
    <w:rsid w:val="00415B70"/>
    <w:rsid w:val="00415B71"/>
    <w:rsid w:val="00415C0F"/>
    <w:rsid w:val="00415C31"/>
    <w:rsid w:val="00415C50"/>
    <w:rsid w:val="00415C54"/>
    <w:rsid w:val="00415CB8"/>
    <w:rsid w:val="00415CD8"/>
    <w:rsid w:val="00415D45"/>
    <w:rsid w:val="00415D8B"/>
    <w:rsid w:val="00415DD2"/>
    <w:rsid w:val="00415DF5"/>
    <w:rsid w:val="00415DFD"/>
    <w:rsid w:val="00415E06"/>
    <w:rsid w:val="00415E1C"/>
    <w:rsid w:val="00415E8A"/>
    <w:rsid w:val="00415E9E"/>
    <w:rsid w:val="00415EC7"/>
    <w:rsid w:val="00415ED0"/>
    <w:rsid w:val="00415ED6"/>
    <w:rsid w:val="00415EDC"/>
    <w:rsid w:val="00415EE8"/>
    <w:rsid w:val="00415F55"/>
    <w:rsid w:val="00415F71"/>
    <w:rsid w:val="00415FD3"/>
    <w:rsid w:val="00415FDB"/>
    <w:rsid w:val="00416005"/>
    <w:rsid w:val="00416022"/>
    <w:rsid w:val="00416028"/>
    <w:rsid w:val="00416067"/>
    <w:rsid w:val="0041607B"/>
    <w:rsid w:val="00416097"/>
    <w:rsid w:val="0041609C"/>
    <w:rsid w:val="004160B1"/>
    <w:rsid w:val="004160F6"/>
    <w:rsid w:val="00416201"/>
    <w:rsid w:val="0041621F"/>
    <w:rsid w:val="004162D8"/>
    <w:rsid w:val="004162F0"/>
    <w:rsid w:val="004162F9"/>
    <w:rsid w:val="0041633C"/>
    <w:rsid w:val="00416352"/>
    <w:rsid w:val="00416359"/>
    <w:rsid w:val="004163AF"/>
    <w:rsid w:val="004163B2"/>
    <w:rsid w:val="00416401"/>
    <w:rsid w:val="00416470"/>
    <w:rsid w:val="0041650D"/>
    <w:rsid w:val="00416534"/>
    <w:rsid w:val="0041654D"/>
    <w:rsid w:val="00416629"/>
    <w:rsid w:val="00416648"/>
    <w:rsid w:val="00416662"/>
    <w:rsid w:val="004166D8"/>
    <w:rsid w:val="004166F4"/>
    <w:rsid w:val="004166F5"/>
    <w:rsid w:val="00416726"/>
    <w:rsid w:val="0041672B"/>
    <w:rsid w:val="00416779"/>
    <w:rsid w:val="004167BC"/>
    <w:rsid w:val="004167E7"/>
    <w:rsid w:val="004167FD"/>
    <w:rsid w:val="00416802"/>
    <w:rsid w:val="00416830"/>
    <w:rsid w:val="00416858"/>
    <w:rsid w:val="004168FC"/>
    <w:rsid w:val="00416904"/>
    <w:rsid w:val="0041693F"/>
    <w:rsid w:val="00416946"/>
    <w:rsid w:val="004169D6"/>
    <w:rsid w:val="004169F1"/>
    <w:rsid w:val="00416A57"/>
    <w:rsid w:val="00416A8C"/>
    <w:rsid w:val="00416A9A"/>
    <w:rsid w:val="00416AB8"/>
    <w:rsid w:val="00416AD4"/>
    <w:rsid w:val="00416AF8"/>
    <w:rsid w:val="00416B1A"/>
    <w:rsid w:val="00416B56"/>
    <w:rsid w:val="00416B5A"/>
    <w:rsid w:val="00416BF6"/>
    <w:rsid w:val="00416C1F"/>
    <w:rsid w:val="00416C6F"/>
    <w:rsid w:val="00416C7A"/>
    <w:rsid w:val="00416CC5"/>
    <w:rsid w:val="00416D4E"/>
    <w:rsid w:val="00416DA4"/>
    <w:rsid w:val="00416E12"/>
    <w:rsid w:val="00416ECE"/>
    <w:rsid w:val="00416FE3"/>
    <w:rsid w:val="004170B0"/>
    <w:rsid w:val="004170C7"/>
    <w:rsid w:val="004170E5"/>
    <w:rsid w:val="00417108"/>
    <w:rsid w:val="0041712D"/>
    <w:rsid w:val="0041713A"/>
    <w:rsid w:val="0041715C"/>
    <w:rsid w:val="00417187"/>
    <w:rsid w:val="004171C6"/>
    <w:rsid w:val="004171D4"/>
    <w:rsid w:val="00417207"/>
    <w:rsid w:val="00417273"/>
    <w:rsid w:val="00417278"/>
    <w:rsid w:val="0041733C"/>
    <w:rsid w:val="004173D6"/>
    <w:rsid w:val="004173F4"/>
    <w:rsid w:val="00417455"/>
    <w:rsid w:val="00417469"/>
    <w:rsid w:val="004174F7"/>
    <w:rsid w:val="00417576"/>
    <w:rsid w:val="004175DF"/>
    <w:rsid w:val="00417645"/>
    <w:rsid w:val="00417691"/>
    <w:rsid w:val="004176AD"/>
    <w:rsid w:val="004176CE"/>
    <w:rsid w:val="00417751"/>
    <w:rsid w:val="004177C7"/>
    <w:rsid w:val="0041780D"/>
    <w:rsid w:val="0041784D"/>
    <w:rsid w:val="00417852"/>
    <w:rsid w:val="00417883"/>
    <w:rsid w:val="004178F2"/>
    <w:rsid w:val="00417911"/>
    <w:rsid w:val="00417928"/>
    <w:rsid w:val="004179B2"/>
    <w:rsid w:val="004179F7"/>
    <w:rsid w:val="00417A43"/>
    <w:rsid w:val="00417A7D"/>
    <w:rsid w:val="00417A97"/>
    <w:rsid w:val="00417ADC"/>
    <w:rsid w:val="00417ADE"/>
    <w:rsid w:val="00417AF0"/>
    <w:rsid w:val="00417AFC"/>
    <w:rsid w:val="00417AFE"/>
    <w:rsid w:val="00417B78"/>
    <w:rsid w:val="00417B8F"/>
    <w:rsid w:val="00417BC8"/>
    <w:rsid w:val="00417BE5"/>
    <w:rsid w:val="00417C48"/>
    <w:rsid w:val="00417CB9"/>
    <w:rsid w:val="00417D0D"/>
    <w:rsid w:val="00417D0F"/>
    <w:rsid w:val="00417D22"/>
    <w:rsid w:val="00417D83"/>
    <w:rsid w:val="00417D84"/>
    <w:rsid w:val="00417D8E"/>
    <w:rsid w:val="00417D90"/>
    <w:rsid w:val="00417DD7"/>
    <w:rsid w:val="00417DD9"/>
    <w:rsid w:val="00417DF1"/>
    <w:rsid w:val="00417DFC"/>
    <w:rsid w:val="00417E68"/>
    <w:rsid w:val="00417EAD"/>
    <w:rsid w:val="00417EAE"/>
    <w:rsid w:val="00417EF0"/>
    <w:rsid w:val="00417F63"/>
    <w:rsid w:val="00417F93"/>
    <w:rsid w:val="00417FA3"/>
    <w:rsid w:val="00417FB6"/>
    <w:rsid w:val="00417FC0"/>
    <w:rsid w:val="0042006F"/>
    <w:rsid w:val="0042010C"/>
    <w:rsid w:val="0042011F"/>
    <w:rsid w:val="00420149"/>
    <w:rsid w:val="0042014A"/>
    <w:rsid w:val="004201E1"/>
    <w:rsid w:val="004201FE"/>
    <w:rsid w:val="004202D4"/>
    <w:rsid w:val="0042031F"/>
    <w:rsid w:val="00420330"/>
    <w:rsid w:val="004203E7"/>
    <w:rsid w:val="004203EE"/>
    <w:rsid w:val="004203F6"/>
    <w:rsid w:val="004203FB"/>
    <w:rsid w:val="004203FC"/>
    <w:rsid w:val="00420529"/>
    <w:rsid w:val="00420536"/>
    <w:rsid w:val="00420553"/>
    <w:rsid w:val="00420557"/>
    <w:rsid w:val="00420577"/>
    <w:rsid w:val="004205C1"/>
    <w:rsid w:val="00420627"/>
    <w:rsid w:val="0042064C"/>
    <w:rsid w:val="00420672"/>
    <w:rsid w:val="0042077B"/>
    <w:rsid w:val="004207AD"/>
    <w:rsid w:val="004207E0"/>
    <w:rsid w:val="004207F3"/>
    <w:rsid w:val="004207FE"/>
    <w:rsid w:val="00420844"/>
    <w:rsid w:val="00420868"/>
    <w:rsid w:val="0042089D"/>
    <w:rsid w:val="004208A5"/>
    <w:rsid w:val="004208F6"/>
    <w:rsid w:val="004208FF"/>
    <w:rsid w:val="00420954"/>
    <w:rsid w:val="0042096C"/>
    <w:rsid w:val="004209E9"/>
    <w:rsid w:val="00420A32"/>
    <w:rsid w:val="00420A6B"/>
    <w:rsid w:val="00420AF5"/>
    <w:rsid w:val="00420B22"/>
    <w:rsid w:val="00420B28"/>
    <w:rsid w:val="00420B39"/>
    <w:rsid w:val="00420C3A"/>
    <w:rsid w:val="00420C5A"/>
    <w:rsid w:val="00420C5E"/>
    <w:rsid w:val="00420CA6"/>
    <w:rsid w:val="00420CF7"/>
    <w:rsid w:val="00420D18"/>
    <w:rsid w:val="00420D5B"/>
    <w:rsid w:val="00420DE6"/>
    <w:rsid w:val="00420DE8"/>
    <w:rsid w:val="00420DF4"/>
    <w:rsid w:val="00420E21"/>
    <w:rsid w:val="00420E22"/>
    <w:rsid w:val="00420EA7"/>
    <w:rsid w:val="00420EB1"/>
    <w:rsid w:val="00420F31"/>
    <w:rsid w:val="00420FB6"/>
    <w:rsid w:val="00420FFE"/>
    <w:rsid w:val="00421046"/>
    <w:rsid w:val="0042109C"/>
    <w:rsid w:val="004210AF"/>
    <w:rsid w:val="004210E6"/>
    <w:rsid w:val="00421108"/>
    <w:rsid w:val="0042114A"/>
    <w:rsid w:val="0042114C"/>
    <w:rsid w:val="0042116B"/>
    <w:rsid w:val="00421186"/>
    <w:rsid w:val="00421189"/>
    <w:rsid w:val="00421277"/>
    <w:rsid w:val="004212A7"/>
    <w:rsid w:val="004212B9"/>
    <w:rsid w:val="004212C8"/>
    <w:rsid w:val="0042133B"/>
    <w:rsid w:val="0042139F"/>
    <w:rsid w:val="0042141D"/>
    <w:rsid w:val="00421421"/>
    <w:rsid w:val="0042144D"/>
    <w:rsid w:val="004214BC"/>
    <w:rsid w:val="004214D8"/>
    <w:rsid w:val="00421519"/>
    <w:rsid w:val="00421565"/>
    <w:rsid w:val="004215A9"/>
    <w:rsid w:val="004215D9"/>
    <w:rsid w:val="004215FF"/>
    <w:rsid w:val="00421655"/>
    <w:rsid w:val="00421689"/>
    <w:rsid w:val="004216A7"/>
    <w:rsid w:val="004216FD"/>
    <w:rsid w:val="0042172E"/>
    <w:rsid w:val="00421739"/>
    <w:rsid w:val="0042174E"/>
    <w:rsid w:val="0042179C"/>
    <w:rsid w:val="004217CF"/>
    <w:rsid w:val="00421803"/>
    <w:rsid w:val="004218DA"/>
    <w:rsid w:val="004218F4"/>
    <w:rsid w:val="00421969"/>
    <w:rsid w:val="0042196A"/>
    <w:rsid w:val="00421998"/>
    <w:rsid w:val="004219BD"/>
    <w:rsid w:val="00421A02"/>
    <w:rsid w:val="00421A03"/>
    <w:rsid w:val="00421A0C"/>
    <w:rsid w:val="00421A4B"/>
    <w:rsid w:val="00421A91"/>
    <w:rsid w:val="00421A96"/>
    <w:rsid w:val="00421AB0"/>
    <w:rsid w:val="00421AF1"/>
    <w:rsid w:val="00421B08"/>
    <w:rsid w:val="00421BB5"/>
    <w:rsid w:val="00421C26"/>
    <w:rsid w:val="00421C62"/>
    <w:rsid w:val="00421C8F"/>
    <w:rsid w:val="00421CB2"/>
    <w:rsid w:val="00421CEB"/>
    <w:rsid w:val="00421D08"/>
    <w:rsid w:val="00421D3A"/>
    <w:rsid w:val="00421D3B"/>
    <w:rsid w:val="00421D57"/>
    <w:rsid w:val="00421D5E"/>
    <w:rsid w:val="00421D61"/>
    <w:rsid w:val="00421D7F"/>
    <w:rsid w:val="00421D83"/>
    <w:rsid w:val="00421D8E"/>
    <w:rsid w:val="00421DF8"/>
    <w:rsid w:val="00421E14"/>
    <w:rsid w:val="00421E19"/>
    <w:rsid w:val="00421E51"/>
    <w:rsid w:val="00421E5A"/>
    <w:rsid w:val="00421E6D"/>
    <w:rsid w:val="00421EAF"/>
    <w:rsid w:val="00421ED8"/>
    <w:rsid w:val="00421F70"/>
    <w:rsid w:val="00421FF4"/>
    <w:rsid w:val="00422043"/>
    <w:rsid w:val="0042204D"/>
    <w:rsid w:val="004220AB"/>
    <w:rsid w:val="004220FA"/>
    <w:rsid w:val="00422140"/>
    <w:rsid w:val="00422148"/>
    <w:rsid w:val="00422197"/>
    <w:rsid w:val="004221E4"/>
    <w:rsid w:val="00422226"/>
    <w:rsid w:val="00422231"/>
    <w:rsid w:val="0042223D"/>
    <w:rsid w:val="00422285"/>
    <w:rsid w:val="0042228E"/>
    <w:rsid w:val="004222B3"/>
    <w:rsid w:val="00422333"/>
    <w:rsid w:val="00422423"/>
    <w:rsid w:val="0042242D"/>
    <w:rsid w:val="00422491"/>
    <w:rsid w:val="004224A4"/>
    <w:rsid w:val="004224C1"/>
    <w:rsid w:val="00422503"/>
    <w:rsid w:val="00422549"/>
    <w:rsid w:val="0042254A"/>
    <w:rsid w:val="00422550"/>
    <w:rsid w:val="00422551"/>
    <w:rsid w:val="004225D9"/>
    <w:rsid w:val="00422673"/>
    <w:rsid w:val="004226A6"/>
    <w:rsid w:val="004226FF"/>
    <w:rsid w:val="00422776"/>
    <w:rsid w:val="0042279C"/>
    <w:rsid w:val="0042279E"/>
    <w:rsid w:val="004227D2"/>
    <w:rsid w:val="00422866"/>
    <w:rsid w:val="004228A9"/>
    <w:rsid w:val="004228BC"/>
    <w:rsid w:val="004228E4"/>
    <w:rsid w:val="0042295A"/>
    <w:rsid w:val="0042297A"/>
    <w:rsid w:val="004229A9"/>
    <w:rsid w:val="004229B7"/>
    <w:rsid w:val="00422A05"/>
    <w:rsid w:val="00422A2E"/>
    <w:rsid w:val="00422A9A"/>
    <w:rsid w:val="00422AB5"/>
    <w:rsid w:val="00422B02"/>
    <w:rsid w:val="00422B39"/>
    <w:rsid w:val="00422B6B"/>
    <w:rsid w:val="00422B78"/>
    <w:rsid w:val="00422BAA"/>
    <w:rsid w:val="00422BD3"/>
    <w:rsid w:val="00422C40"/>
    <w:rsid w:val="00422C4A"/>
    <w:rsid w:val="00422C5D"/>
    <w:rsid w:val="00422C66"/>
    <w:rsid w:val="00422C7F"/>
    <w:rsid w:val="00422C94"/>
    <w:rsid w:val="00422CC4"/>
    <w:rsid w:val="00422CFC"/>
    <w:rsid w:val="00422D3B"/>
    <w:rsid w:val="00422D55"/>
    <w:rsid w:val="00422D5A"/>
    <w:rsid w:val="00422D72"/>
    <w:rsid w:val="00422D89"/>
    <w:rsid w:val="00422DA7"/>
    <w:rsid w:val="00422DBA"/>
    <w:rsid w:val="00422DC1"/>
    <w:rsid w:val="00422DCB"/>
    <w:rsid w:val="00422DF6"/>
    <w:rsid w:val="00422E2C"/>
    <w:rsid w:val="00422E54"/>
    <w:rsid w:val="00422F3B"/>
    <w:rsid w:val="00422F7B"/>
    <w:rsid w:val="00422F9A"/>
    <w:rsid w:val="00422FED"/>
    <w:rsid w:val="0042300B"/>
    <w:rsid w:val="0042304A"/>
    <w:rsid w:val="00423050"/>
    <w:rsid w:val="00423062"/>
    <w:rsid w:val="00423122"/>
    <w:rsid w:val="0042316C"/>
    <w:rsid w:val="004231B2"/>
    <w:rsid w:val="00423221"/>
    <w:rsid w:val="00423224"/>
    <w:rsid w:val="0042324D"/>
    <w:rsid w:val="004232B1"/>
    <w:rsid w:val="004232D5"/>
    <w:rsid w:val="004232DF"/>
    <w:rsid w:val="00423324"/>
    <w:rsid w:val="004233DD"/>
    <w:rsid w:val="004233F7"/>
    <w:rsid w:val="00423440"/>
    <w:rsid w:val="00423479"/>
    <w:rsid w:val="00423482"/>
    <w:rsid w:val="0042350D"/>
    <w:rsid w:val="00423558"/>
    <w:rsid w:val="00423567"/>
    <w:rsid w:val="00423573"/>
    <w:rsid w:val="004235CA"/>
    <w:rsid w:val="004235FB"/>
    <w:rsid w:val="004236C7"/>
    <w:rsid w:val="00423733"/>
    <w:rsid w:val="00423791"/>
    <w:rsid w:val="004237CD"/>
    <w:rsid w:val="004237CE"/>
    <w:rsid w:val="004237D2"/>
    <w:rsid w:val="004237EA"/>
    <w:rsid w:val="00423819"/>
    <w:rsid w:val="00423823"/>
    <w:rsid w:val="0042384E"/>
    <w:rsid w:val="004238A6"/>
    <w:rsid w:val="004238E1"/>
    <w:rsid w:val="004238E3"/>
    <w:rsid w:val="004238EB"/>
    <w:rsid w:val="00423903"/>
    <w:rsid w:val="0042391B"/>
    <w:rsid w:val="00423961"/>
    <w:rsid w:val="004239EC"/>
    <w:rsid w:val="004239F7"/>
    <w:rsid w:val="00423A55"/>
    <w:rsid w:val="00423A72"/>
    <w:rsid w:val="00423AAB"/>
    <w:rsid w:val="00423AD7"/>
    <w:rsid w:val="00423B10"/>
    <w:rsid w:val="00423B38"/>
    <w:rsid w:val="00423BA6"/>
    <w:rsid w:val="00423BA8"/>
    <w:rsid w:val="00423BB8"/>
    <w:rsid w:val="00423C33"/>
    <w:rsid w:val="00423C49"/>
    <w:rsid w:val="00423C79"/>
    <w:rsid w:val="00423CC4"/>
    <w:rsid w:val="00423CDD"/>
    <w:rsid w:val="00423CFA"/>
    <w:rsid w:val="00423CFB"/>
    <w:rsid w:val="00423D27"/>
    <w:rsid w:val="00423D58"/>
    <w:rsid w:val="00423D69"/>
    <w:rsid w:val="00423D6A"/>
    <w:rsid w:val="00423D72"/>
    <w:rsid w:val="00423D9C"/>
    <w:rsid w:val="00423DBC"/>
    <w:rsid w:val="00423DD8"/>
    <w:rsid w:val="00423DE2"/>
    <w:rsid w:val="00423DFA"/>
    <w:rsid w:val="00423DFE"/>
    <w:rsid w:val="00423E1A"/>
    <w:rsid w:val="00423E43"/>
    <w:rsid w:val="00423F24"/>
    <w:rsid w:val="00423F27"/>
    <w:rsid w:val="00423FFE"/>
    <w:rsid w:val="0042403C"/>
    <w:rsid w:val="004240A6"/>
    <w:rsid w:val="004240AC"/>
    <w:rsid w:val="004240B1"/>
    <w:rsid w:val="004240E5"/>
    <w:rsid w:val="004240EC"/>
    <w:rsid w:val="00424105"/>
    <w:rsid w:val="00424228"/>
    <w:rsid w:val="0042427E"/>
    <w:rsid w:val="004242B2"/>
    <w:rsid w:val="004242C7"/>
    <w:rsid w:val="004242E0"/>
    <w:rsid w:val="004242F7"/>
    <w:rsid w:val="0042436C"/>
    <w:rsid w:val="004243FB"/>
    <w:rsid w:val="00424419"/>
    <w:rsid w:val="00424433"/>
    <w:rsid w:val="0042446D"/>
    <w:rsid w:val="00424497"/>
    <w:rsid w:val="004244B1"/>
    <w:rsid w:val="00424535"/>
    <w:rsid w:val="00424538"/>
    <w:rsid w:val="00424596"/>
    <w:rsid w:val="004245E3"/>
    <w:rsid w:val="004245F9"/>
    <w:rsid w:val="00424670"/>
    <w:rsid w:val="00424680"/>
    <w:rsid w:val="00424694"/>
    <w:rsid w:val="00424708"/>
    <w:rsid w:val="00424712"/>
    <w:rsid w:val="00424732"/>
    <w:rsid w:val="00424736"/>
    <w:rsid w:val="00424759"/>
    <w:rsid w:val="004247C8"/>
    <w:rsid w:val="00424833"/>
    <w:rsid w:val="0042484B"/>
    <w:rsid w:val="004248A4"/>
    <w:rsid w:val="004248B0"/>
    <w:rsid w:val="004248F3"/>
    <w:rsid w:val="0042491F"/>
    <w:rsid w:val="00424953"/>
    <w:rsid w:val="00424997"/>
    <w:rsid w:val="004249CB"/>
    <w:rsid w:val="004249F6"/>
    <w:rsid w:val="00424A69"/>
    <w:rsid w:val="00424A7C"/>
    <w:rsid w:val="00424A83"/>
    <w:rsid w:val="00424AA3"/>
    <w:rsid w:val="00424AA6"/>
    <w:rsid w:val="00424AD2"/>
    <w:rsid w:val="00424AFA"/>
    <w:rsid w:val="00424B12"/>
    <w:rsid w:val="00424B14"/>
    <w:rsid w:val="00424B4B"/>
    <w:rsid w:val="00424B51"/>
    <w:rsid w:val="00424BB0"/>
    <w:rsid w:val="00424BCA"/>
    <w:rsid w:val="00424C51"/>
    <w:rsid w:val="00424C67"/>
    <w:rsid w:val="00424CD9"/>
    <w:rsid w:val="00424CE3"/>
    <w:rsid w:val="00424CF6"/>
    <w:rsid w:val="00424D28"/>
    <w:rsid w:val="00424D60"/>
    <w:rsid w:val="00424D71"/>
    <w:rsid w:val="00424DB8"/>
    <w:rsid w:val="00424DF2"/>
    <w:rsid w:val="00424E15"/>
    <w:rsid w:val="00424E16"/>
    <w:rsid w:val="00424E59"/>
    <w:rsid w:val="00424E7E"/>
    <w:rsid w:val="00424EA9"/>
    <w:rsid w:val="00424EAF"/>
    <w:rsid w:val="00424EBF"/>
    <w:rsid w:val="00424EEC"/>
    <w:rsid w:val="00424F06"/>
    <w:rsid w:val="00424F57"/>
    <w:rsid w:val="00424F5A"/>
    <w:rsid w:val="00424F6A"/>
    <w:rsid w:val="00424FED"/>
    <w:rsid w:val="00424FF1"/>
    <w:rsid w:val="004250B7"/>
    <w:rsid w:val="004250E0"/>
    <w:rsid w:val="00425104"/>
    <w:rsid w:val="00425191"/>
    <w:rsid w:val="004251CD"/>
    <w:rsid w:val="00425293"/>
    <w:rsid w:val="004252A6"/>
    <w:rsid w:val="004252B0"/>
    <w:rsid w:val="00425369"/>
    <w:rsid w:val="0042537B"/>
    <w:rsid w:val="004253D6"/>
    <w:rsid w:val="004253EC"/>
    <w:rsid w:val="004253F9"/>
    <w:rsid w:val="00425403"/>
    <w:rsid w:val="0042543F"/>
    <w:rsid w:val="0042545F"/>
    <w:rsid w:val="00425472"/>
    <w:rsid w:val="00425499"/>
    <w:rsid w:val="004254A0"/>
    <w:rsid w:val="00425505"/>
    <w:rsid w:val="0042550F"/>
    <w:rsid w:val="00425517"/>
    <w:rsid w:val="00425598"/>
    <w:rsid w:val="004255B9"/>
    <w:rsid w:val="004255DB"/>
    <w:rsid w:val="00425639"/>
    <w:rsid w:val="0042563E"/>
    <w:rsid w:val="00425659"/>
    <w:rsid w:val="004256BE"/>
    <w:rsid w:val="004256F5"/>
    <w:rsid w:val="0042586C"/>
    <w:rsid w:val="0042589F"/>
    <w:rsid w:val="004258D1"/>
    <w:rsid w:val="00425914"/>
    <w:rsid w:val="00425966"/>
    <w:rsid w:val="00425970"/>
    <w:rsid w:val="0042597C"/>
    <w:rsid w:val="004259CC"/>
    <w:rsid w:val="00425A19"/>
    <w:rsid w:val="00425AE7"/>
    <w:rsid w:val="00425B5B"/>
    <w:rsid w:val="00425B93"/>
    <w:rsid w:val="00425BA4"/>
    <w:rsid w:val="00425BC8"/>
    <w:rsid w:val="00425C44"/>
    <w:rsid w:val="00425C51"/>
    <w:rsid w:val="00425C54"/>
    <w:rsid w:val="00425CC0"/>
    <w:rsid w:val="00425D25"/>
    <w:rsid w:val="00425D53"/>
    <w:rsid w:val="00425DDC"/>
    <w:rsid w:val="00425E6B"/>
    <w:rsid w:val="00425EE4"/>
    <w:rsid w:val="00425EFC"/>
    <w:rsid w:val="00425F52"/>
    <w:rsid w:val="00425FFD"/>
    <w:rsid w:val="00426001"/>
    <w:rsid w:val="0042605F"/>
    <w:rsid w:val="0042606A"/>
    <w:rsid w:val="00426097"/>
    <w:rsid w:val="0042609B"/>
    <w:rsid w:val="0042609F"/>
    <w:rsid w:val="004260D7"/>
    <w:rsid w:val="0042610D"/>
    <w:rsid w:val="00426173"/>
    <w:rsid w:val="00426193"/>
    <w:rsid w:val="0042619D"/>
    <w:rsid w:val="004261F2"/>
    <w:rsid w:val="00426266"/>
    <w:rsid w:val="004262B1"/>
    <w:rsid w:val="0042630D"/>
    <w:rsid w:val="00426381"/>
    <w:rsid w:val="004263B1"/>
    <w:rsid w:val="004263DE"/>
    <w:rsid w:val="004263EB"/>
    <w:rsid w:val="00426423"/>
    <w:rsid w:val="00426435"/>
    <w:rsid w:val="00426449"/>
    <w:rsid w:val="004264CB"/>
    <w:rsid w:val="0042651A"/>
    <w:rsid w:val="00426523"/>
    <w:rsid w:val="0042654B"/>
    <w:rsid w:val="004265A9"/>
    <w:rsid w:val="004265E1"/>
    <w:rsid w:val="0042668C"/>
    <w:rsid w:val="004266D9"/>
    <w:rsid w:val="004266E6"/>
    <w:rsid w:val="00426709"/>
    <w:rsid w:val="00426719"/>
    <w:rsid w:val="0042674F"/>
    <w:rsid w:val="00426793"/>
    <w:rsid w:val="004267CD"/>
    <w:rsid w:val="004267D9"/>
    <w:rsid w:val="004267FB"/>
    <w:rsid w:val="0042682E"/>
    <w:rsid w:val="00426834"/>
    <w:rsid w:val="0042687F"/>
    <w:rsid w:val="00426886"/>
    <w:rsid w:val="00426888"/>
    <w:rsid w:val="004268D7"/>
    <w:rsid w:val="004268EC"/>
    <w:rsid w:val="0042694B"/>
    <w:rsid w:val="00426974"/>
    <w:rsid w:val="0042699B"/>
    <w:rsid w:val="00426A44"/>
    <w:rsid w:val="00426A4A"/>
    <w:rsid w:val="00426A82"/>
    <w:rsid w:val="00426AEA"/>
    <w:rsid w:val="00426B85"/>
    <w:rsid w:val="00426BAF"/>
    <w:rsid w:val="00426BC4"/>
    <w:rsid w:val="00426C73"/>
    <w:rsid w:val="00426C99"/>
    <w:rsid w:val="00426CF6"/>
    <w:rsid w:val="00426D26"/>
    <w:rsid w:val="00426D28"/>
    <w:rsid w:val="00426D39"/>
    <w:rsid w:val="00426D52"/>
    <w:rsid w:val="00426D5B"/>
    <w:rsid w:val="00426D72"/>
    <w:rsid w:val="00426D7B"/>
    <w:rsid w:val="00426D8C"/>
    <w:rsid w:val="00426E04"/>
    <w:rsid w:val="00426E60"/>
    <w:rsid w:val="00426E77"/>
    <w:rsid w:val="00426E78"/>
    <w:rsid w:val="00426EE5"/>
    <w:rsid w:val="00426F0F"/>
    <w:rsid w:val="00426F68"/>
    <w:rsid w:val="00426F78"/>
    <w:rsid w:val="00426FEA"/>
    <w:rsid w:val="00427024"/>
    <w:rsid w:val="004270F1"/>
    <w:rsid w:val="004270FC"/>
    <w:rsid w:val="00427110"/>
    <w:rsid w:val="00427148"/>
    <w:rsid w:val="0042717C"/>
    <w:rsid w:val="004271A7"/>
    <w:rsid w:val="004271B2"/>
    <w:rsid w:val="004271B9"/>
    <w:rsid w:val="004271C1"/>
    <w:rsid w:val="004271CE"/>
    <w:rsid w:val="0042724C"/>
    <w:rsid w:val="004272B5"/>
    <w:rsid w:val="00427338"/>
    <w:rsid w:val="004273CD"/>
    <w:rsid w:val="004273D5"/>
    <w:rsid w:val="004273D6"/>
    <w:rsid w:val="004273FA"/>
    <w:rsid w:val="00427406"/>
    <w:rsid w:val="004274A2"/>
    <w:rsid w:val="004274B0"/>
    <w:rsid w:val="00427504"/>
    <w:rsid w:val="0042750A"/>
    <w:rsid w:val="0042750C"/>
    <w:rsid w:val="004275E9"/>
    <w:rsid w:val="00427607"/>
    <w:rsid w:val="00427632"/>
    <w:rsid w:val="00427647"/>
    <w:rsid w:val="0042765D"/>
    <w:rsid w:val="0042768B"/>
    <w:rsid w:val="0042784A"/>
    <w:rsid w:val="0042786B"/>
    <w:rsid w:val="00427896"/>
    <w:rsid w:val="004278AC"/>
    <w:rsid w:val="004278CC"/>
    <w:rsid w:val="004278D2"/>
    <w:rsid w:val="004278EC"/>
    <w:rsid w:val="004278FF"/>
    <w:rsid w:val="00427926"/>
    <w:rsid w:val="00427942"/>
    <w:rsid w:val="00427985"/>
    <w:rsid w:val="004279FD"/>
    <w:rsid w:val="00427A02"/>
    <w:rsid w:val="00427A58"/>
    <w:rsid w:val="00427A5D"/>
    <w:rsid w:val="00427AA0"/>
    <w:rsid w:val="00427AE8"/>
    <w:rsid w:val="00427BAE"/>
    <w:rsid w:val="00427BFD"/>
    <w:rsid w:val="00427C09"/>
    <w:rsid w:val="00427C0B"/>
    <w:rsid w:val="00427C0F"/>
    <w:rsid w:val="00427C44"/>
    <w:rsid w:val="00427C55"/>
    <w:rsid w:val="00427C6A"/>
    <w:rsid w:val="00427C79"/>
    <w:rsid w:val="00427CF8"/>
    <w:rsid w:val="00427CFB"/>
    <w:rsid w:val="00427D94"/>
    <w:rsid w:val="00427DAF"/>
    <w:rsid w:val="00427DBF"/>
    <w:rsid w:val="00427DEA"/>
    <w:rsid w:val="00427E7A"/>
    <w:rsid w:val="00427E83"/>
    <w:rsid w:val="00427EAE"/>
    <w:rsid w:val="00427EBA"/>
    <w:rsid w:val="00427EF6"/>
    <w:rsid w:val="00427F64"/>
    <w:rsid w:val="00427F8C"/>
    <w:rsid w:val="00427FA4"/>
    <w:rsid w:val="00430185"/>
    <w:rsid w:val="00430186"/>
    <w:rsid w:val="00430191"/>
    <w:rsid w:val="004301AB"/>
    <w:rsid w:val="004301C3"/>
    <w:rsid w:val="004301DF"/>
    <w:rsid w:val="004301FC"/>
    <w:rsid w:val="00430217"/>
    <w:rsid w:val="0043023A"/>
    <w:rsid w:val="00430249"/>
    <w:rsid w:val="00430263"/>
    <w:rsid w:val="00430269"/>
    <w:rsid w:val="00430293"/>
    <w:rsid w:val="004302DE"/>
    <w:rsid w:val="004302F0"/>
    <w:rsid w:val="00430340"/>
    <w:rsid w:val="00430341"/>
    <w:rsid w:val="0043034A"/>
    <w:rsid w:val="0043035E"/>
    <w:rsid w:val="0043037D"/>
    <w:rsid w:val="0043038F"/>
    <w:rsid w:val="004303D5"/>
    <w:rsid w:val="004303F0"/>
    <w:rsid w:val="00430439"/>
    <w:rsid w:val="00430470"/>
    <w:rsid w:val="00430476"/>
    <w:rsid w:val="0043048E"/>
    <w:rsid w:val="004304AE"/>
    <w:rsid w:val="00430573"/>
    <w:rsid w:val="004305FF"/>
    <w:rsid w:val="0043069E"/>
    <w:rsid w:val="004306B9"/>
    <w:rsid w:val="004306D7"/>
    <w:rsid w:val="0043070C"/>
    <w:rsid w:val="00430712"/>
    <w:rsid w:val="00430740"/>
    <w:rsid w:val="0043074E"/>
    <w:rsid w:val="00430767"/>
    <w:rsid w:val="004307EB"/>
    <w:rsid w:val="004307FB"/>
    <w:rsid w:val="00430807"/>
    <w:rsid w:val="0043080A"/>
    <w:rsid w:val="00430830"/>
    <w:rsid w:val="0043084D"/>
    <w:rsid w:val="0043088C"/>
    <w:rsid w:val="004308B8"/>
    <w:rsid w:val="00430A1C"/>
    <w:rsid w:val="00430A4B"/>
    <w:rsid w:val="00430A7E"/>
    <w:rsid w:val="00430B06"/>
    <w:rsid w:val="00430B71"/>
    <w:rsid w:val="00430B98"/>
    <w:rsid w:val="00430BA8"/>
    <w:rsid w:val="00430BB5"/>
    <w:rsid w:val="00430BD6"/>
    <w:rsid w:val="00430BEC"/>
    <w:rsid w:val="00430BEF"/>
    <w:rsid w:val="00430C0E"/>
    <w:rsid w:val="00430C9F"/>
    <w:rsid w:val="00430D35"/>
    <w:rsid w:val="00430D40"/>
    <w:rsid w:val="00430D49"/>
    <w:rsid w:val="00430D6D"/>
    <w:rsid w:val="00430D7E"/>
    <w:rsid w:val="00430D94"/>
    <w:rsid w:val="00430DA7"/>
    <w:rsid w:val="00430DC7"/>
    <w:rsid w:val="00430E04"/>
    <w:rsid w:val="00430E3A"/>
    <w:rsid w:val="00430E4E"/>
    <w:rsid w:val="00430E56"/>
    <w:rsid w:val="00430E71"/>
    <w:rsid w:val="00430E73"/>
    <w:rsid w:val="00430EBF"/>
    <w:rsid w:val="00430EC0"/>
    <w:rsid w:val="00430F0A"/>
    <w:rsid w:val="00430F14"/>
    <w:rsid w:val="00430FF1"/>
    <w:rsid w:val="0043101A"/>
    <w:rsid w:val="00431021"/>
    <w:rsid w:val="00431080"/>
    <w:rsid w:val="004310BA"/>
    <w:rsid w:val="004310CC"/>
    <w:rsid w:val="004310DE"/>
    <w:rsid w:val="004310FF"/>
    <w:rsid w:val="00431143"/>
    <w:rsid w:val="0043118A"/>
    <w:rsid w:val="00431242"/>
    <w:rsid w:val="00431272"/>
    <w:rsid w:val="0043139A"/>
    <w:rsid w:val="004313DA"/>
    <w:rsid w:val="00431405"/>
    <w:rsid w:val="00431428"/>
    <w:rsid w:val="0043143B"/>
    <w:rsid w:val="0043144B"/>
    <w:rsid w:val="00431451"/>
    <w:rsid w:val="0043148E"/>
    <w:rsid w:val="004314D6"/>
    <w:rsid w:val="0043153D"/>
    <w:rsid w:val="004315A3"/>
    <w:rsid w:val="00431601"/>
    <w:rsid w:val="0043163E"/>
    <w:rsid w:val="00431660"/>
    <w:rsid w:val="00431699"/>
    <w:rsid w:val="0043169B"/>
    <w:rsid w:val="004316DD"/>
    <w:rsid w:val="00431737"/>
    <w:rsid w:val="004317BB"/>
    <w:rsid w:val="004317CD"/>
    <w:rsid w:val="004317D6"/>
    <w:rsid w:val="004317F3"/>
    <w:rsid w:val="00431854"/>
    <w:rsid w:val="00431862"/>
    <w:rsid w:val="00431871"/>
    <w:rsid w:val="00431899"/>
    <w:rsid w:val="004318C2"/>
    <w:rsid w:val="004318FF"/>
    <w:rsid w:val="0043194F"/>
    <w:rsid w:val="0043196C"/>
    <w:rsid w:val="00431A89"/>
    <w:rsid w:val="00431AD0"/>
    <w:rsid w:val="00431AD3"/>
    <w:rsid w:val="00431ADB"/>
    <w:rsid w:val="00431B02"/>
    <w:rsid w:val="00431B1B"/>
    <w:rsid w:val="00431B96"/>
    <w:rsid w:val="00431B9B"/>
    <w:rsid w:val="00431BAA"/>
    <w:rsid w:val="00431BC9"/>
    <w:rsid w:val="00431BF3"/>
    <w:rsid w:val="00431C12"/>
    <w:rsid w:val="00431C39"/>
    <w:rsid w:val="00431C76"/>
    <w:rsid w:val="00431C90"/>
    <w:rsid w:val="00431CAC"/>
    <w:rsid w:val="00431CC6"/>
    <w:rsid w:val="00431CCE"/>
    <w:rsid w:val="00431D28"/>
    <w:rsid w:val="00431D4C"/>
    <w:rsid w:val="00431D93"/>
    <w:rsid w:val="00431DDE"/>
    <w:rsid w:val="00431DF1"/>
    <w:rsid w:val="00431E09"/>
    <w:rsid w:val="00431E5A"/>
    <w:rsid w:val="00431E97"/>
    <w:rsid w:val="00431EB2"/>
    <w:rsid w:val="00431EBA"/>
    <w:rsid w:val="00431EF0"/>
    <w:rsid w:val="00431EF5"/>
    <w:rsid w:val="00431EFF"/>
    <w:rsid w:val="00431FA6"/>
    <w:rsid w:val="00431FC7"/>
    <w:rsid w:val="00432055"/>
    <w:rsid w:val="0043206D"/>
    <w:rsid w:val="00432099"/>
    <w:rsid w:val="0043209A"/>
    <w:rsid w:val="00432133"/>
    <w:rsid w:val="0043217D"/>
    <w:rsid w:val="004321AA"/>
    <w:rsid w:val="004321C0"/>
    <w:rsid w:val="004321F8"/>
    <w:rsid w:val="0043220A"/>
    <w:rsid w:val="0043222F"/>
    <w:rsid w:val="004322BB"/>
    <w:rsid w:val="004322BD"/>
    <w:rsid w:val="004322EE"/>
    <w:rsid w:val="004322FF"/>
    <w:rsid w:val="0043231D"/>
    <w:rsid w:val="004323C1"/>
    <w:rsid w:val="004323DF"/>
    <w:rsid w:val="00432497"/>
    <w:rsid w:val="004324E7"/>
    <w:rsid w:val="0043250B"/>
    <w:rsid w:val="0043250F"/>
    <w:rsid w:val="0043251C"/>
    <w:rsid w:val="00432529"/>
    <w:rsid w:val="00432547"/>
    <w:rsid w:val="00432562"/>
    <w:rsid w:val="0043256C"/>
    <w:rsid w:val="00432598"/>
    <w:rsid w:val="00432614"/>
    <w:rsid w:val="00432615"/>
    <w:rsid w:val="0043261F"/>
    <w:rsid w:val="0043262A"/>
    <w:rsid w:val="00432649"/>
    <w:rsid w:val="00432664"/>
    <w:rsid w:val="0043268F"/>
    <w:rsid w:val="004326A5"/>
    <w:rsid w:val="004326B6"/>
    <w:rsid w:val="004326EA"/>
    <w:rsid w:val="004326F7"/>
    <w:rsid w:val="00432703"/>
    <w:rsid w:val="00432786"/>
    <w:rsid w:val="004327A9"/>
    <w:rsid w:val="004327BF"/>
    <w:rsid w:val="0043283C"/>
    <w:rsid w:val="0043285D"/>
    <w:rsid w:val="0043289A"/>
    <w:rsid w:val="004328F5"/>
    <w:rsid w:val="00432904"/>
    <w:rsid w:val="0043291C"/>
    <w:rsid w:val="00432923"/>
    <w:rsid w:val="00432978"/>
    <w:rsid w:val="004329D1"/>
    <w:rsid w:val="00432A09"/>
    <w:rsid w:val="00432A2A"/>
    <w:rsid w:val="00432A33"/>
    <w:rsid w:val="00432A45"/>
    <w:rsid w:val="00432AB6"/>
    <w:rsid w:val="00432AD2"/>
    <w:rsid w:val="00432AF4"/>
    <w:rsid w:val="00432BE2"/>
    <w:rsid w:val="00432BE5"/>
    <w:rsid w:val="00432BEB"/>
    <w:rsid w:val="00432C09"/>
    <w:rsid w:val="00432C3C"/>
    <w:rsid w:val="00432C9D"/>
    <w:rsid w:val="00432CA6"/>
    <w:rsid w:val="00432CA9"/>
    <w:rsid w:val="00432CD2"/>
    <w:rsid w:val="00432D2B"/>
    <w:rsid w:val="00432D6A"/>
    <w:rsid w:val="00432D81"/>
    <w:rsid w:val="00432D9D"/>
    <w:rsid w:val="00432DAF"/>
    <w:rsid w:val="00432DE3"/>
    <w:rsid w:val="00432E03"/>
    <w:rsid w:val="00432E22"/>
    <w:rsid w:val="00432E93"/>
    <w:rsid w:val="00432EA0"/>
    <w:rsid w:val="00432ECE"/>
    <w:rsid w:val="00432ED8"/>
    <w:rsid w:val="00432EFA"/>
    <w:rsid w:val="00432F0E"/>
    <w:rsid w:val="00432F1D"/>
    <w:rsid w:val="00432F7D"/>
    <w:rsid w:val="00432FFF"/>
    <w:rsid w:val="00433014"/>
    <w:rsid w:val="00433046"/>
    <w:rsid w:val="0043305B"/>
    <w:rsid w:val="0043305F"/>
    <w:rsid w:val="00433096"/>
    <w:rsid w:val="004330AB"/>
    <w:rsid w:val="004330DB"/>
    <w:rsid w:val="0043315B"/>
    <w:rsid w:val="00433189"/>
    <w:rsid w:val="004331AE"/>
    <w:rsid w:val="0043320D"/>
    <w:rsid w:val="00433289"/>
    <w:rsid w:val="0043329B"/>
    <w:rsid w:val="004332A5"/>
    <w:rsid w:val="004332C2"/>
    <w:rsid w:val="004332F6"/>
    <w:rsid w:val="00433338"/>
    <w:rsid w:val="0043342D"/>
    <w:rsid w:val="00433430"/>
    <w:rsid w:val="00433436"/>
    <w:rsid w:val="0043343C"/>
    <w:rsid w:val="00433483"/>
    <w:rsid w:val="004334D2"/>
    <w:rsid w:val="00433516"/>
    <w:rsid w:val="0043353A"/>
    <w:rsid w:val="004335C9"/>
    <w:rsid w:val="004335D3"/>
    <w:rsid w:val="004335EF"/>
    <w:rsid w:val="00433644"/>
    <w:rsid w:val="00433678"/>
    <w:rsid w:val="004336F2"/>
    <w:rsid w:val="0043373B"/>
    <w:rsid w:val="0043377D"/>
    <w:rsid w:val="0043381D"/>
    <w:rsid w:val="00433855"/>
    <w:rsid w:val="004338EE"/>
    <w:rsid w:val="0043398F"/>
    <w:rsid w:val="004339AE"/>
    <w:rsid w:val="004339D3"/>
    <w:rsid w:val="004339F4"/>
    <w:rsid w:val="00433B01"/>
    <w:rsid w:val="00433B2B"/>
    <w:rsid w:val="00433B53"/>
    <w:rsid w:val="00433B71"/>
    <w:rsid w:val="00433B7F"/>
    <w:rsid w:val="00433BE0"/>
    <w:rsid w:val="00433BFB"/>
    <w:rsid w:val="00433C40"/>
    <w:rsid w:val="00433CE2"/>
    <w:rsid w:val="00433D55"/>
    <w:rsid w:val="00433D60"/>
    <w:rsid w:val="00433D67"/>
    <w:rsid w:val="00433DEA"/>
    <w:rsid w:val="00433E16"/>
    <w:rsid w:val="00433E9B"/>
    <w:rsid w:val="00433ECB"/>
    <w:rsid w:val="00433F13"/>
    <w:rsid w:val="00433F85"/>
    <w:rsid w:val="00434048"/>
    <w:rsid w:val="00434112"/>
    <w:rsid w:val="0043411B"/>
    <w:rsid w:val="004341D0"/>
    <w:rsid w:val="004342DA"/>
    <w:rsid w:val="004343AE"/>
    <w:rsid w:val="004343B2"/>
    <w:rsid w:val="00434416"/>
    <w:rsid w:val="00434422"/>
    <w:rsid w:val="00434432"/>
    <w:rsid w:val="00434454"/>
    <w:rsid w:val="00434496"/>
    <w:rsid w:val="0043449B"/>
    <w:rsid w:val="004344C7"/>
    <w:rsid w:val="004344D0"/>
    <w:rsid w:val="004345AA"/>
    <w:rsid w:val="004345D3"/>
    <w:rsid w:val="0043464C"/>
    <w:rsid w:val="004346AC"/>
    <w:rsid w:val="00434758"/>
    <w:rsid w:val="0043479A"/>
    <w:rsid w:val="004347F8"/>
    <w:rsid w:val="00434806"/>
    <w:rsid w:val="00434862"/>
    <w:rsid w:val="004348A6"/>
    <w:rsid w:val="004348B6"/>
    <w:rsid w:val="004348E6"/>
    <w:rsid w:val="0043496C"/>
    <w:rsid w:val="00434986"/>
    <w:rsid w:val="004349AC"/>
    <w:rsid w:val="004349FF"/>
    <w:rsid w:val="00434A21"/>
    <w:rsid w:val="00434A22"/>
    <w:rsid w:val="00434A9C"/>
    <w:rsid w:val="00434ABA"/>
    <w:rsid w:val="00434AD0"/>
    <w:rsid w:val="00434B21"/>
    <w:rsid w:val="00434B5A"/>
    <w:rsid w:val="00434B82"/>
    <w:rsid w:val="00434B8D"/>
    <w:rsid w:val="00434C18"/>
    <w:rsid w:val="00434C39"/>
    <w:rsid w:val="00434C6F"/>
    <w:rsid w:val="00434CB2"/>
    <w:rsid w:val="00434D6D"/>
    <w:rsid w:val="00434D84"/>
    <w:rsid w:val="00434D95"/>
    <w:rsid w:val="00434DA8"/>
    <w:rsid w:val="00434DFD"/>
    <w:rsid w:val="00434E18"/>
    <w:rsid w:val="00434E65"/>
    <w:rsid w:val="00434E7D"/>
    <w:rsid w:val="00434EFA"/>
    <w:rsid w:val="00434F01"/>
    <w:rsid w:val="00434F15"/>
    <w:rsid w:val="00434F17"/>
    <w:rsid w:val="00434F5E"/>
    <w:rsid w:val="00434FD9"/>
    <w:rsid w:val="00434FF4"/>
    <w:rsid w:val="004350EA"/>
    <w:rsid w:val="0043510A"/>
    <w:rsid w:val="0043517D"/>
    <w:rsid w:val="00435185"/>
    <w:rsid w:val="0043519E"/>
    <w:rsid w:val="00435258"/>
    <w:rsid w:val="004352FD"/>
    <w:rsid w:val="004353C8"/>
    <w:rsid w:val="004353D5"/>
    <w:rsid w:val="00435450"/>
    <w:rsid w:val="00435452"/>
    <w:rsid w:val="004354AA"/>
    <w:rsid w:val="004354F7"/>
    <w:rsid w:val="00435512"/>
    <w:rsid w:val="0043551E"/>
    <w:rsid w:val="0043553D"/>
    <w:rsid w:val="00435594"/>
    <w:rsid w:val="0043559D"/>
    <w:rsid w:val="004355B2"/>
    <w:rsid w:val="00435625"/>
    <w:rsid w:val="004356A5"/>
    <w:rsid w:val="004356E5"/>
    <w:rsid w:val="0043575E"/>
    <w:rsid w:val="004357A0"/>
    <w:rsid w:val="00435837"/>
    <w:rsid w:val="00435860"/>
    <w:rsid w:val="00435870"/>
    <w:rsid w:val="00435884"/>
    <w:rsid w:val="004358AA"/>
    <w:rsid w:val="004358B1"/>
    <w:rsid w:val="0043592D"/>
    <w:rsid w:val="00435943"/>
    <w:rsid w:val="004359B2"/>
    <w:rsid w:val="004359C2"/>
    <w:rsid w:val="004359F8"/>
    <w:rsid w:val="00435A02"/>
    <w:rsid w:val="00435A3B"/>
    <w:rsid w:val="00435A5E"/>
    <w:rsid w:val="00435A69"/>
    <w:rsid w:val="00435A84"/>
    <w:rsid w:val="00435AD3"/>
    <w:rsid w:val="00435B1B"/>
    <w:rsid w:val="00435B35"/>
    <w:rsid w:val="00435B3C"/>
    <w:rsid w:val="00435B3F"/>
    <w:rsid w:val="00435B9B"/>
    <w:rsid w:val="00435BCF"/>
    <w:rsid w:val="00435BE9"/>
    <w:rsid w:val="00435BED"/>
    <w:rsid w:val="00435BF5"/>
    <w:rsid w:val="00435C24"/>
    <w:rsid w:val="00435C6F"/>
    <w:rsid w:val="00435C71"/>
    <w:rsid w:val="00435C7A"/>
    <w:rsid w:val="00435CCE"/>
    <w:rsid w:val="00435D21"/>
    <w:rsid w:val="00435D3A"/>
    <w:rsid w:val="00435D4B"/>
    <w:rsid w:val="00435DA7"/>
    <w:rsid w:val="00435DA8"/>
    <w:rsid w:val="00435EA8"/>
    <w:rsid w:val="00435ED5"/>
    <w:rsid w:val="00435EFE"/>
    <w:rsid w:val="00435F4E"/>
    <w:rsid w:val="00435FB4"/>
    <w:rsid w:val="00436045"/>
    <w:rsid w:val="0043605B"/>
    <w:rsid w:val="004360B1"/>
    <w:rsid w:val="004360C1"/>
    <w:rsid w:val="00436105"/>
    <w:rsid w:val="0043613F"/>
    <w:rsid w:val="00436176"/>
    <w:rsid w:val="00436184"/>
    <w:rsid w:val="004361D8"/>
    <w:rsid w:val="00436258"/>
    <w:rsid w:val="00436294"/>
    <w:rsid w:val="0043629F"/>
    <w:rsid w:val="00436313"/>
    <w:rsid w:val="0043635B"/>
    <w:rsid w:val="004363E9"/>
    <w:rsid w:val="00436409"/>
    <w:rsid w:val="0043642B"/>
    <w:rsid w:val="00436473"/>
    <w:rsid w:val="004364AA"/>
    <w:rsid w:val="004364DC"/>
    <w:rsid w:val="0043653B"/>
    <w:rsid w:val="00436575"/>
    <w:rsid w:val="004365B3"/>
    <w:rsid w:val="004365C0"/>
    <w:rsid w:val="004365D7"/>
    <w:rsid w:val="004365F8"/>
    <w:rsid w:val="004365FA"/>
    <w:rsid w:val="0043662A"/>
    <w:rsid w:val="00436686"/>
    <w:rsid w:val="004366ED"/>
    <w:rsid w:val="00436704"/>
    <w:rsid w:val="0043670A"/>
    <w:rsid w:val="0043673E"/>
    <w:rsid w:val="004367B6"/>
    <w:rsid w:val="0043683E"/>
    <w:rsid w:val="004368C3"/>
    <w:rsid w:val="00436969"/>
    <w:rsid w:val="004369DA"/>
    <w:rsid w:val="004369F1"/>
    <w:rsid w:val="00436A2B"/>
    <w:rsid w:val="00436A3E"/>
    <w:rsid w:val="00436A43"/>
    <w:rsid w:val="00436A51"/>
    <w:rsid w:val="00436A5D"/>
    <w:rsid w:val="00436A6A"/>
    <w:rsid w:val="00436A91"/>
    <w:rsid w:val="00436ABE"/>
    <w:rsid w:val="00436AC5"/>
    <w:rsid w:val="00436B39"/>
    <w:rsid w:val="00436B53"/>
    <w:rsid w:val="00436B8E"/>
    <w:rsid w:val="00436BA5"/>
    <w:rsid w:val="00436C3C"/>
    <w:rsid w:val="00436C5D"/>
    <w:rsid w:val="00436C5E"/>
    <w:rsid w:val="00436CB5"/>
    <w:rsid w:val="00436D13"/>
    <w:rsid w:val="00436D63"/>
    <w:rsid w:val="00436DD7"/>
    <w:rsid w:val="00436DF9"/>
    <w:rsid w:val="00436E00"/>
    <w:rsid w:val="00436E20"/>
    <w:rsid w:val="00436EA2"/>
    <w:rsid w:val="00436EC1"/>
    <w:rsid w:val="00436EE0"/>
    <w:rsid w:val="00436EEB"/>
    <w:rsid w:val="00436F4F"/>
    <w:rsid w:val="00436F87"/>
    <w:rsid w:val="00436FA3"/>
    <w:rsid w:val="00436FC0"/>
    <w:rsid w:val="00436FC2"/>
    <w:rsid w:val="00437047"/>
    <w:rsid w:val="0043705A"/>
    <w:rsid w:val="00437066"/>
    <w:rsid w:val="00437067"/>
    <w:rsid w:val="00437097"/>
    <w:rsid w:val="004370F2"/>
    <w:rsid w:val="00437133"/>
    <w:rsid w:val="00437140"/>
    <w:rsid w:val="00437142"/>
    <w:rsid w:val="00437168"/>
    <w:rsid w:val="00437193"/>
    <w:rsid w:val="004371BA"/>
    <w:rsid w:val="004371C7"/>
    <w:rsid w:val="004371E9"/>
    <w:rsid w:val="00437211"/>
    <w:rsid w:val="00437265"/>
    <w:rsid w:val="00437278"/>
    <w:rsid w:val="00437290"/>
    <w:rsid w:val="004372CC"/>
    <w:rsid w:val="00437303"/>
    <w:rsid w:val="00437351"/>
    <w:rsid w:val="00437354"/>
    <w:rsid w:val="00437375"/>
    <w:rsid w:val="0043739C"/>
    <w:rsid w:val="004373D2"/>
    <w:rsid w:val="004373EC"/>
    <w:rsid w:val="00437408"/>
    <w:rsid w:val="00437438"/>
    <w:rsid w:val="00437472"/>
    <w:rsid w:val="00437484"/>
    <w:rsid w:val="0043749D"/>
    <w:rsid w:val="0043750D"/>
    <w:rsid w:val="00437527"/>
    <w:rsid w:val="0043758F"/>
    <w:rsid w:val="00437596"/>
    <w:rsid w:val="00437599"/>
    <w:rsid w:val="0043763E"/>
    <w:rsid w:val="00437658"/>
    <w:rsid w:val="00437751"/>
    <w:rsid w:val="0043776B"/>
    <w:rsid w:val="0043776E"/>
    <w:rsid w:val="00437787"/>
    <w:rsid w:val="004377AE"/>
    <w:rsid w:val="0043783E"/>
    <w:rsid w:val="0043785B"/>
    <w:rsid w:val="00437964"/>
    <w:rsid w:val="004379B2"/>
    <w:rsid w:val="004379F9"/>
    <w:rsid w:val="00437A02"/>
    <w:rsid w:val="00437A2A"/>
    <w:rsid w:val="00437A52"/>
    <w:rsid w:val="00437A63"/>
    <w:rsid w:val="00437A85"/>
    <w:rsid w:val="00437AA3"/>
    <w:rsid w:val="00437AC9"/>
    <w:rsid w:val="00437AE1"/>
    <w:rsid w:val="00437B2E"/>
    <w:rsid w:val="00437B5B"/>
    <w:rsid w:val="00437B87"/>
    <w:rsid w:val="00437B97"/>
    <w:rsid w:val="00437BD2"/>
    <w:rsid w:val="00437BF8"/>
    <w:rsid w:val="00437C32"/>
    <w:rsid w:val="00437C6D"/>
    <w:rsid w:val="00437CBB"/>
    <w:rsid w:val="00437D36"/>
    <w:rsid w:val="00437D7B"/>
    <w:rsid w:val="00437E76"/>
    <w:rsid w:val="00437E90"/>
    <w:rsid w:val="00437EF3"/>
    <w:rsid w:val="00437F01"/>
    <w:rsid w:val="00437F17"/>
    <w:rsid w:val="00437F61"/>
    <w:rsid w:val="00437F77"/>
    <w:rsid w:val="00437F93"/>
    <w:rsid w:val="00437FA9"/>
    <w:rsid w:val="0043E1A0"/>
    <w:rsid w:val="0044001F"/>
    <w:rsid w:val="0044004A"/>
    <w:rsid w:val="00440085"/>
    <w:rsid w:val="00440087"/>
    <w:rsid w:val="004400C0"/>
    <w:rsid w:val="00440144"/>
    <w:rsid w:val="0044018D"/>
    <w:rsid w:val="004401B8"/>
    <w:rsid w:val="004401BC"/>
    <w:rsid w:val="004401E5"/>
    <w:rsid w:val="004401ED"/>
    <w:rsid w:val="004401FD"/>
    <w:rsid w:val="00440259"/>
    <w:rsid w:val="00440295"/>
    <w:rsid w:val="004402AA"/>
    <w:rsid w:val="004402E7"/>
    <w:rsid w:val="0044030A"/>
    <w:rsid w:val="0044032F"/>
    <w:rsid w:val="00440343"/>
    <w:rsid w:val="004403DD"/>
    <w:rsid w:val="004403FA"/>
    <w:rsid w:val="00440493"/>
    <w:rsid w:val="004404A0"/>
    <w:rsid w:val="004404A7"/>
    <w:rsid w:val="004404B2"/>
    <w:rsid w:val="004404E4"/>
    <w:rsid w:val="004404F8"/>
    <w:rsid w:val="0044050B"/>
    <w:rsid w:val="00440549"/>
    <w:rsid w:val="00440558"/>
    <w:rsid w:val="00440559"/>
    <w:rsid w:val="00440564"/>
    <w:rsid w:val="004405AD"/>
    <w:rsid w:val="004405FB"/>
    <w:rsid w:val="00440645"/>
    <w:rsid w:val="0044065F"/>
    <w:rsid w:val="0044069A"/>
    <w:rsid w:val="004406CD"/>
    <w:rsid w:val="00440701"/>
    <w:rsid w:val="00440741"/>
    <w:rsid w:val="0044077E"/>
    <w:rsid w:val="004407A8"/>
    <w:rsid w:val="004407B8"/>
    <w:rsid w:val="00440827"/>
    <w:rsid w:val="0044086C"/>
    <w:rsid w:val="0044090F"/>
    <w:rsid w:val="0044094C"/>
    <w:rsid w:val="0044095F"/>
    <w:rsid w:val="0044098D"/>
    <w:rsid w:val="00440A06"/>
    <w:rsid w:val="00440A44"/>
    <w:rsid w:val="00440A60"/>
    <w:rsid w:val="00440A62"/>
    <w:rsid w:val="00440AD8"/>
    <w:rsid w:val="00440AE1"/>
    <w:rsid w:val="00440AF1"/>
    <w:rsid w:val="00440AF8"/>
    <w:rsid w:val="00440B2F"/>
    <w:rsid w:val="00440BB2"/>
    <w:rsid w:val="00440BE7"/>
    <w:rsid w:val="00440BE8"/>
    <w:rsid w:val="00440BF8"/>
    <w:rsid w:val="00440C8F"/>
    <w:rsid w:val="00440CB2"/>
    <w:rsid w:val="00440CC9"/>
    <w:rsid w:val="00440CE3"/>
    <w:rsid w:val="00440CFF"/>
    <w:rsid w:val="00440D06"/>
    <w:rsid w:val="00440D54"/>
    <w:rsid w:val="00440D73"/>
    <w:rsid w:val="00440D95"/>
    <w:rsid w:val="00440DA0"/>
    <w:rsid w:val="00440DF2"/>
    <w:rsid w:val="00440E5F"/>
    <w:rsid w:val="00440EA1"/>
    <w:rsid w:val="00440EB5"/>
    <w:rsid w:val="00440EBC"/>
    <w:rsid w:val="00440EFF"/>
    <w:rsid w:val="00440F4C"/>
    <w:rsid w:val="00440F66"/>
    <w:rsid w:val="00440F6E"/>
    <w:rsid w:val="00440F8D"/>
    <w:rsid w:val="00440FAD"/>
    <w:rsid w:val="00440FBD"/>
    <w:rsid w:val="00440FF3"/>
    <w:rsid w:val="00441056"/>
    <w:rsid w:val="0044112C"/>
    <w:rsid w:val="004411E8"/>
    <w:rsid w:val="004411EA"/>
    <w:rsid w:val="00441223"/>
    <w:rsid w:val="0044129B"/>
    <w:rsid w:val="004412BD"/>
    <w:rsid w:val="004412D8"/>
    <w:rsid w:val="004412FA"/>
    <w:rsid w:val="00441322"/>
    <w:rsid w:val="00441346"/>
    <w:rsid w:val="0044139A"/>
    <w:rsid w:val="004413DB"/>
    <w:rsid w:val="00441415"/>
    <w:rsid w:val="00441454"/>
    <w:rsid w:val="00441468"/>
    <w:rsid w:val="00441480"/>
    <w:rsid w:val="0044148F"/>
    <w:rsid w:val="004414F1"/>
    <w:rsid w:val="00441524"/>
    <w:rsid w:val="00441562"/>
    <w:rsid w:val="00441577"/>
    <w:rsid w:val="0044158C"/>
    <w:rsid w:val="004415B7"/>
    <w:rsid w:val="004415FC"/>
    <w:rsid w:val="00441611"/>
    <w:rsid w:val="0044161C"/>
    <w:rsid w:val="0044161D"/>
    <w:rsid w:val="00441652"/>
    <w:rsid w:val="00441658"/>
    <w:rsid w:val="00441668"/>
    <w:rsid w:val="004416DA"/>
    <w:rsid w:val="004416E6"/>
    <w:rsid w:val="00441762"/>
    <w:rsid w:val="0044177B"/>
    <w:rsid w:val="0044179E"/>
    <w:rsid w:val="00441806"/>
    <w:rsid w:val="0044181A"/>
    <w:rsid w:val="00441825"/>
    <w:rsid w:val="0044184B"/>
    <w:rsid w:val="004418B2"/>
    <w:rsid w:val="0044199E"/>
    <w:rsid w:val="004419A5"/>
    <w:rsid w:val="004419C2"/>
    <w:rsid w:val="004419C3"/>
    <w:rsid w:val="004419D0"/>
    <w:rsid w:val="00441A4F"/>
    <w:rsid w:val="00441A76"/>
    <w:rsid w:val="00441A7A"/>
    <w:rsid w:val="00441ABD"/>
    <w:rsid w:val="00441B48"/>
    <w:rsid w:val="00441C40"/>
    <w:rsid w:val="00441C6F"/>
    <w:rsid w:val="00441C8F"/>
    <w:rsid w:val="00441CD0"/>
    <w:rsid w:val="00441D3F"/>
    <w:rsid w:val="00441E1C"/>
    <w:rsid w:val="00441E21"/>
    <w:rsid w:val="00441E23"/>
    <w:rsid w:val="00441E9E"/>
    <w:rsid w:val="00441EA7"/>
    <w:rsid w:val="00441EAB"/>
    <w:rsid w:val="00441EC1"/>
    <w:rsid w:val="00441EC4"/>
    <w:rsid w:val="00441EF4"/>
    <w:rsid w:val="00441EFB"/>
    <w:rsid w:val="00441F04"/>
    <w:rsid w:val="00441F07"/>
    <w:rsid w:val="00441F31"/>
    <w:rsid w:val="00441F83"/>
    <w:rsid w:val="00441FC7"/>
    <w:rsid w:val="00441FDD"/>
    <w:rsid w:val="00441FED"/>
    <w:rsid w:val="00442045"/>
    <w:rsid w:val="00442154"/>
    <w:rsid w:val="00442170"/>
    <w:rsid w:val="00442191"/>
    <w:rsid w:val="004421B4"/>
    <w:rsid w:val="004421CB"/>
    <w:rsid w:val="00442215"/>
    <w:rsid w:val="00442239"/>
    <w:rsid w:val="00442250"/>
    <w:rsid w:val="00442262"/>
    <w:rsid w:val="0044228C"/>
    <w:rsid w:val="0044231C"/>
    <w:rsid w:val="00442337"/>
    <w:rsid w:val="00442365"/>
    <w:rsid w:val="0044239D"/>
    <w:rsid w:val="004423A0"/>
    <w:rsid w:val="004423BE"/>
    <w:rsid w:val="0044240E"/>
    <w:rsid w:val="00442415"/>
    <w:rsid w:val="0044241D"/>
    <w:rsid w:val="00442421"/>
    <w:rsid w:val="00442463"/>
    <w:rsid w:val="0044255A"/>
    <w:rsid w:val="004425A0"/>
    <w:rsid w:val="0044260C"/>
    <w:rsid w:val="00442619"/>
    <w:rsid w:val="0044264B"/>
    <w:rsid w:val="0044267A"/>
    <w:rsid w:val="0044267C"/>
    <w:rsid w:val="004426A0"/>
    <w:rsid w:val="004427A9"/>
    <w:rsid w:val="00442802"/>
    <w:rsid w:val="004428A7"/>
    <w:rsid w:val="0044294C"/>
    <w:rsid w:val="0044296F"/>
    <w:rsid w:val="00442A03"/>
    <w:rsid w:val="00442A3B"/>
    <w:rsid w:val="00442A62"/>
    <w:rsid w:val="00442A86"/>
    <w:rsid w:val="00442A89"/>
    <w:rsid w:val="00442AA1"/>
    <w:rsid w:val="00442B16"/>
    <w:rsid w:val="00442B8B"/>
    <w:rsid w:val="00442BBD"/>
    <w:rsid w:val="00442BC9"/>
    <w:rsid w:val="00442C19"/>
    <w:rsid w:val="00442C1B"/>
    <w:rsid w:val="00442CB4"/>
    <w:rsid w:val="00442CB9"/>
    <w:rsid w:val="00442D37"/>
    <w:rsid w:val="00442D6B"/>
    <w:rsid w:val="00442D6C"/>
    <w:rsid w:val="00442DA7"/>
    <w:rsid w:val="00442E1C"/>
    <w:rsid w:val="00442EE3"/>
    <w:rsid w:val="00442FA4"/>
    <w:rsid w:val="00442FE6"/>
    <w:rsid w:val="00442FEE"/>
    <w:rsid w:val="0044303B"/>
    <w:rsid w:val="00443093"/>
    <w:rsid w:val="004430FC"/>
    <w:rsid w:val="00443102"/>
    <w:rsid w:val="0044312D"/>
    <w:rsid w:val="0044319F"/>
    <w:rsid w:val="004431A2"/>
    <w:rsid w:val="004431E4"/>
    <w:rsid w:val="00443254"/>
    <w:rsid w:val="004432B6"/>
    <w:rsid w:val="00443332"/>
    <w:rsid w:val="00443354"/>
    <w:rsid w:val="004433E3"/>
    <w:rsid w:val="004433F2"/>
    <w:rsid w:val="00443464"/>
    <w:rsid w:val="00443487"/>
    <w:rsid w:val="00443568"/>
    <w:rsid w:val="00443578"/>
    <w:rsid w:val="00443588"/>
    <w:rsid w:val="004435EE"/>
    <w:rsid w:val="0044362E"/>
    <w:rsid w:val="00443664"/>
    <w:rsid w:val="00443684"/>
    <w:rsid w:val="004436CF"/>
    <w:rsid w:val="004436D3"/>
    <w:rsid w:val="00443719"/>
    <w:rsid w:val="0044371F"/>
    <w:rsid w:val="0044372E"/>
    <w:rsid w:val="00443758"/>
    <w:rsid w:val="00443759"/>
    <w:rsid w:val="00443847"/>
    <w:rsid w:val="00443852"/>
    <w:rsid w:val="00443859"/>
    <w:rsid w:val="00443881"/>
    <w:rsid w:val="0044388B"/>
    <w:rsid w:val="004438BD"/>
    <w:rsid w:val="004438DD"/>
    <w:rsid w:val="004438EB"/>
    <w:rsid w:val="00443943"/>
    <w:rsid w:val="00443967"/>
    <w:rsid w:val="00443968"/>
    <w:rsid w:val="00443A10"/>
    <w:rsid w:val="00443A29"/>
    <w:rsid w:val="00443A3A"/>
    <w:rsid w:val="00443A91"/>
    <w:rsid w:val="00443B96"/>
    <w:rsid w:val="00443BC9"/>
    <w:rsid w:val="00443BDF"/>
    <w:rsid w:val="00443BF2"/>
    <w:rsid w:val="00443C30"/>
    <w:rsid w:val="00443C5A"/>
    <w:rsid w:val="00443C76"/>
    <w:rsid w:val="00443CDF"/>
    <w:rsid w:val="00443CFD"/>
    <w:rsid w:val="00443D25"/>
    <w:rsid w:val="00443D80"/>
    <w:rsid w:val="00443E0D"/>
    <w:rsid w:val="00443E3F"/>
    <w:rsid w:val="00443E45"/>
    <w:rsid w:val="00443EA8"/>
    <w:rsid w:val="00443EBE"/>
    <w:rsid w:val="00443EDF"/>
    <w:rsid w:val="00443EE7"/>
    <w:rsid w:val="00443F10"/>
    <w:rsid w:val="00443F12"/>
    <w:rsid w:val="00443F1A"/>
    <w:rsid w:val="00443F25"/>
    <w:rsid w:val="00443FBE"/>
    <w:rsid w:val="00444002"/>
    <w:rsid w:val="00444008"/>
    <w:rsid w:val="00444060"/>
    <w:rsid w:val="004440A5"/>
    <w:rsid w:val="004440CC"/>
    <w:rsid w:val="004440DA"/>
    <w:rsid w:val="0044412E"/>
    <w:rsid w:val="00444145"/>
    <w:rsid w:val="0044418A"/>
    <w:rsid w:val="004441AC"/>
    <w:rsid w:val="004441B2"/>
    <w:rsid w:val="004441D7"/>
    <w:rsid w:val="004441EA"/>
    <w:rsid w:val="0044430E"/>
    <w:rsid w:val="00444315"/>
    <w:rsid w:val="0044431A"/>
    <w:rsid w:val="0044431C"/>
    <w:rsid w:val="00444376"/>
    <w:rsid w:val="00444378"/>
    <w:rsid w:val="004443C7"/>
    <w:rsid w:val="004443D3"/>
    <w:rsid w:val="004443FA"/>
    <w:rsid w:val="004443FD"/>
    <w:rsid w:val="00444468"/>
    <w:rsid w:val="0044447B"/>
    <w:rsid w:val="00444491"/>
    <w:rsid w:val="004444F1"/>
    <w:rsid w:val="00444544"/>
    <w:rsid w:val="0044455C"/>
    <w:rsid w:val="00444576"/>
    <w:rsid w:val="0044463C"/>
    <w:rsid w:val="00444672"/>
    <w:rsid w:val="0044470D"/>
    <w:rsid w:val="00444725"/>
    <w:rsid w:val="0044474D"/>
    <w:rsid w:val="00444763"/>
    <w:rsid w:val="00444772"/>
    <w:rsid w:val="00444773"/>
    <w:rsid w:val="004447B8"/>
    <w:rsid w:val="004447D5"/>
    <w:rsid w:val="004447E0"/>
    <w:rsid w:val="004447ED"/>
    <w:rsid w:val="004447EF"/>
    <w:rsid w:val="00444804"/>
    <w:rsid w:val="00444815"/>
    <w:rsid w:val="0044481E"/>
    <w:rsid w:val="00444822"/>
    <w:rsid w:val="004448A5"/>
    <w:rsid w:val="00444914"/>
    <w:rsid w:val="0044499D"/>
    <w:rsid w:val="00444A06"/>
    <w:rsid w:val="00444A19"/>
    <w:rsid w:val="00444A31"/>
    <w:rsid w:val="00444A41"/>
    <w:rsid w:val="00444A53"/>
    <w:rsid w:val="00444A6D"/>
    <w:rsid w:val="00444A89"/>
    <w:rsid w:val="00444A9D"/>
    <w:rsid w:val="00444B1F"/>
    <w:rsid w:val="00444B42"/>
    <w:rsid w:val="00444B49"/>
    <w:rsid w:val="00444B92"/>
    <w:rsid w:val="00444BB6"/>
    <w:rsid w:val="00444BE6"/>
    <w:rsid w:val="00444C20"/>
    <w:rsid w:val="00444C78"/>
    <w:rsid w:val="00444D31"/>
    <w:rsid w:val="00444D5D"/>
    <w:rsid w:val="00444D7B"/>
    <w:rsid w:val="00444D7E"/>
    <w:rsid w:val="00444D94"/>
    <w:rsid w:val="00444D98"/>
    <w:rsid w:val="00444DAA"/>
    <w:rsid w:val="00444DF3"/>
    <w:rsid w:val="00444DFC"/>
    <w:rsid w:val="00444E44"/>
    <w:rsid w:val="00444E62"/>
    <w:rsid w:val="00444E71"/>
    <w:rsid w:val="00444E8C"/>
    <w:rsid w:val="00444EBD"/>
    <w:rsid w:val="00444F1D"/>
    <w:rsid w:val="00444F31"/>
    <w:rsid w:val="00444FA6"/>
    <w:rsid w:val="00444FAF"/>
    <w:rsid w:val="00444FC0"/>
    <w:rsid w:val="00444FC6"/>
    <w:rsid w:val="00444FF6"/>
    <w:rsid w:val="00445098"/>
    <w:rsid w:val="00445099"/>
    <w:rsid w:val="004450C3"/>
    <w:rsid w:val="0044513C"/>
    <w:rsid w:val="0044514A"/>
    <w:rsid w:val="0044514B"/>
    <w:rsid w:val="004451DD"/>
    <w:rsid w:val="00445217"/>
    <w:rsid w:val="00445226"/>
    <w:rsid w:val="0044525A"/>
    <w:rsid w:val="004452C5"/>
    <w:rsid w:val="004452FE"/>
    <w:rsid w:val="00445316"/>
    <w:rsid w:val="00445338"/>
    <w:rsid w:val="0044534A"/>
    <w:rsid w:val="00445358"/>
    <w:rsid w:val="00445376"/>
    <w:rsid w:val="0044538B"/>
    <w:rsid w:val="004453AB"/>
    <w:rsid w:val="004453C7"/>
    <w:rsid w:val="00445461"/>
    <w:rsid w:val="0044547A"/>
    <w:rsid w:val="004454D3"/>
    <w:rsid w:val="00445563"/>
    <w:rsid w:val="004455A7"/>
    <w:rsid w:val="004455F6"/>
    <w:rsid w:val="00445660"/>
    <w:rsid w:val="00445668"/>
    <w:rsid w:val="00445678"/>
    <w:rsid w:val="00445683"/>
    <w:rsid w:val="0044573A"/>
    <w:rsid w:val="0044573E"/>
    <w:rsid w:val="004457AB"/>
    <w:rsid w:val="004457C2"/>
    <w:rsid w:val="004457E5"/>
    <w:rsid w:val="0044580A"/>
    <w:rsid w:val="00445816"/>
    <w:rsid w:val="00445844"/>
    <w:rsid w:val="00445856"/>
    <w:rsid w:val="00445864"/>
    <w:rsid w:val="00445899"/>
    <w:rsid w:val="0044589E"/>
    <w:rsid w:val="004458A0"/>
    <w:rsid w:val="004458E2"/>
    <w:rsid w:val="00445931"/>
    <w:rsid w:val="0044594B"/>
    <w:rsid w:val="0044595B"/>
    <w:rsid w:val="00445983"/>
    <w:rsid w:val="004459B8"/>
    <w:rsid w:val="004459D1"/>
    <w:rsid w:val="004459FE"/>
    <w:rsid w:val="00445A11"/>
    <w:rsid w:val="00445A3B"/>
    <w:rsid w:val="00445A57"/>
    <w:rsid w:val="00445A7C"/>
    <w:rsid w:val="00445A7F"/>
    <w:rsid w:val="00445ABC"/>
    <w:rsid w:val="00445AF0"/>
    <w:rsid w:val="00445B4B"/>
    <w:rsid w:val="00445B62"/>
    <w:rsid w:val="00445B90"/>
    <w:rsid w:val="00445B9F"/>
    <w:rsid w:val="00445BC5"/>
    <w:rsid w:val="00445BF9"/>
    <w:rsid w:val="00445C22"/>
    <w:rsid w:val="00445C82"/>
    <w:rsid w:val="00445C93"/>
    <w:rsid w:val="00445C9D"/>
    <w:rsid w:val="00445CC4"/>
    <w:rsid w:val="00445D07"/>
    <w:rsid w:val="00445D6C"/>
    <w:rsid w:val="00445D83"/>
    <w:rsid w:val="00445D9A"/>
    <w:rsid w:val="00445DB8"/>
    <w:rsid w:val="00445DDF"/>
    <w:rsid w:val="00445E44"/>
    <w:rsid w:val="00445E6C"/>
    <w:rsid w:val="00445E76"/>
    <w:rsid w:val="00445EB6"/>
    <w:rsid w:val="00445ECC"/>
    <w:rsid w:val="00445ECE"/>
    <w:rsid w:val="00445ED1"/>
    <w:rsid w:val="00445FA3"/>
    <w:rsid w:val="00445FB4"/>
    <w:rsid w:val="00446053"/>
    <w:rsid w:val="00446085"/>
    <w:rsid w:val="004460A5"/>
    <w:rsid w:val="00446140"/>
    <w:rsid w:val="004461CD"/>
    <w:rsid w:val="004461F6"/>
    <w:rsid w:val="00446244"/>
    <w:rsid w:val="004462B5"/>
    <w:rsid w:val="004462CA"/>
    <w:rsid w:val="004462D7"/>
    <w:rsid w:val="004462D8"/>
    <w:rsid w:val="004462FB"/>
    <w:rsid w:val="004463CD"/>
    <w:rsid w:val="004463F9"/>
    <w:rsid w:val="00446418"/>
    <w:rsid w:val="00446422"/>
    <w:rsid w:val="00446476"/>
    <w:rsid w:val="0044649C"/>
    <w:rsid w:val="004464EF"/>
    <w:rsid w:val="00446530"/>
    <w:rsid w:val="00446548"/>
    <w:rsid w:val="00446598"/>
    <w:rsid w:val="004465A6"/>
    <w:rsid w:val="0044666D"/>
    <w:rsid w:val="004466A4"/>
    <w:rsid w:val="004466E3"/>
    <w:rsid w:val="00446723"/>
    <w:rsid w:val="0044675D"/>
    <w:rsid w:val="00446771"/>
    <w:rsid w:val="00446846"/>
    <w:rsid w:val="0044688F"/>
    <w:rsid w:val="004468A8"/>
    <w:rsid w:val="004468C2"/>
    <w:rsid w:val="004468DE"/>
    <w:rsid w:val="0044695C"/>
    <w:rsid w:val="00446986"/>
    <w:rsid w:val="0044698C"/>
    <w:rsid w:val="004469BD"/>
    <w:rsid w:val="004469C7"/>
    <w:rsid w:val="004469CC"/>
    <w:rsid w:val="004469DD"/>
    <w:rsid w:val="00446A08"/>
    <w:rsid w:val="00446A43"/>
    <w:rsid w:val="00446A5E"/>
    <w:rsid w:val="00446A6A"/>
    <w:rsid w:val="00446AF6"/>
    <w:rsid w:val="00446B4E"/>
    <w:rsid w:val="00446B85"/>
    <w:rsid w:val="00446BA8"/>
    <w:rsid w:val="00446C29"/>
    <w:rsid w:val="00446C5C"/>
    <w:rsid w:val="00446C7B"/>
    <w:rsid w:val="00446C96"/>
    <w:rsid w:val="00446C98"/>
    <w:rsid w:val="00446CB9"/>
    <w:rsid w:val="00446CEE"/>
    <w:rsid w:val="00446CFA"/>
    <w:rsid w:val="00446D69"/>
    <w:rsid w:val="00446D9F"/>
    <w:rsid w:val="00446E22"/>
    <w:rsid w:val="00446E2B"/>
    <w:rsid w:val="00446E90"/>
    <w:rsid w:val="00446EC3"/>
    <w:rsid w:val="00446EC4"/>
    <w:rsid w:val="00446ED6"/>
    <w:rsid w:val="00446F48"/>
    <w:rsid w:val="00446F71"/>
    <w:rsid w:val="00446F7E"/>
    <w:rsid w:val="00446FA5"/>
    <w:rsid w:val="00446FCA"/>
    <w:rsid w:val="00447178"/>
    <w:rsid w:val="00447201"/>
    <w:rsid w:val="00447207"/>
    <w:rsid w:val="00447247"/>
    <w:rsid w:val="00447272"/>
    <w:rsid w:val="004472DC"/>
    <w:rsid w:val="00447379"/>
    <w:rsid w:val="0044739C"/>
    <w:rsid w:val="004473DC"/>
    <w:rsid w:val="0044742E"/>
    <w:rsid w:val="0044748E"/>
    <w:rsid w:val="0044749D"/>
    <w:rsid w:val="004474A9"/>
    <w:rsid w:val="004474C1"/>
    <w:rsid w:val="00447516"/>
    <w:rsid w:val="00447574"/>
    <w:rsid w:val="00447587"/>
    <w:rsid w:val="004475CA"/>
    <w:rsid w:val="004475F1"/>
    <w:rsid w:val="00447650"/>
    <w:rsid w:val="00447661"/>
    <w:rsid w:val="00447669"/>
    <w:rsid w:val="00447686"/>
    <w:rsid w:val="004476EB"/>
    <w:rsid w:val="004476EF"/>
    <w:rsid w:val="00447706"/>
    <w:rsid w:val="0044775F"/>
    <w:rsid w:val="004477CA"/>
    <w:rsid w:val="0044781F"/>
    <w:rsid w:val="00447868"/>
    <w:rsid w:val="00447916"/>
    <w:rsid w:val="00447932"/>
    <w:rsid w:val="0044794B"/>
    <w:rsid w:val="0044799F"/>
    <w:rsid w:val="00447AD3"/>
    <w:rsid w:val="00447B24"/>
    <w:rsid w:val="00447B3E"/>
    <w:rsid w:val="00447C22"/>
    <w:rsid w:val="00447CDC"/>
    <w:rsid w:val="00447CF3"/>
    <w:rsid w:val="00447D34"/>
    <w:rsid w:val="00447D4D"/>
    <w:rsid w:val="00447D6F"/>
    <w:rsid w:val="00447DE1"/>
    <w:rsid w:val="00447E32"/>
    <w:rsid w:val="00447E87"/>
    <w:rsid w:val="00447EA4"/>
    <w:rsid w:val="00447EDF"/>
    <w:rsid w:val="00447F03"/>
    <w:rsid w:val="00447F4A"/>
    <w:rsid w:val="00447F5C"/>
    <w:rsid w:val="00447F8B"/>
    <w:rsid w:val="00447FDA"/>
    <w:rsid w:val="0045005B"/>
    <w:rsid w:val="0045006B"/>
    <w:rsid w:val="0045006C"/>
    <w:rsid w:val="004500BD"/>
    <w:rsid w:val="004500C1"/>
    <w:rsid w:val="00450142"/>
    <w:rsid w:val="0045018E"/>
    <w:rsid w:val="004501AE"/>
    <w:rsid w:val="00450215"/>
    <w:rsid w:val="00450218"/>
    <w:rsid w:val="00450224"/>
    <w:rsid w:val="00450259"/>
    <w:rsid w:val="0045033B"/>
    <w:rsid w:val="0045037C"/>
    <w:rsid w:val="00450392"/>
    <w:rsid w:val="00450412"/>
    <w:rsid w:val="00450492"/>
    <w:rsid w:val="0045053C"/>
    <w:rsid w:val="00450548"/>
    <w:rsid w:val="004505C7"/>
    <w:rsid w:val="00450602"/>
    <w:rsid w:val="00450633"/>
    <w:rsid w:val="00450686"/>
    <w:rsid w:val="004506B6"/>
    <w:rsid w:val="004506BD"/>
    <w:rsid w:val="004506BF"/>
    <w:rsid w:val="00450702"/>
    <w:rsid w:val="00450715"/>
    <w:rsid w:val="0045071F"/>
    <w:rsid w:val="0045073C"/>
    <w:rsid w:val="00450750"/>
    <w:rsid w:val="00450782"/>
    <w:rsid w:val="00450801"/>
    <w:rsid w:val="00450805"/>
    <w:rsid w:val="0045080D"/>
    <w:rsid w:val="00450828"/>
    <w:rsid w:val="0045085C"/>
    <w:rsid w:val="0045086F"/>
    <w:rsid w:val="00450886"/>
    <w:rsid w:val="004508CB"/>
    <w:rsid w:val="00450900"/>
    <w:rsid w:val="0045092B"/>
    <w:rsid w:val="004509AD"/>
    <w:rsid w:val="00450A1C"/>
    <w:rsid w:val="00450A52"/>
    <w:rsid w:val="00450A7C"/>
    <w:rsid w:val="00450A87"/>
    <w:rsid w:val="00450A98"/>
    <w:rsid w:val="00450AE5"/>
    <w:rsid w:val="00450AEE"/>
    <w:rsid w:val="00450AFB"/>
    <w:rsid w:val="00450B39"/>
    <w:rsid w:val="00450BC9"/>
    <w:rsid w:val="00450C42"/>
    <w:rsid w:val="00450C4F"/>
    <w:rsid w:val="00450C72"/>
    <w:rsid w:val="00450C84"/>
    <w:rsid w:val="00450CB4"/>
    <w:rsid w:val="00450CCE"/>
    <w:rsid w:val="00450CEB"/>
    <w:rsid w:val="00450D15"/>
    <w:rsid w:val="00450D21"/>
    <w:rsid w:val="00450DA2"/>
    <w:rsid w:val="00450DBC"/>
    <w:rsid w:val="00450DE1"/>
    <w:rsid w:val="00450E3E"/>
    <w:rsid w:val="00450E44"/>
    <w:rsid w:val="00450E46"/>
    <w:rsid w:val="00450E5B"/>
    <w:rsid w:val="00450E60"/>
    <w:rsid w:val="00450ECF"/>
    <w:rsid w:val="00450F04"/>
    <w:rsid w:val="00450F50"/>
    <w:rsid w:val="00450F5D"/>
    <w:rsid w:val="00450F63"/>
    <w:rsid w:val="00450F8E"/>
    <w:rsid w:val="00450FB4"/>
    <w:rsid w:val="00450FBE"/>
    <w:rsid w:val="00450FE3"/>
    <w:rsid w:val="0045105F"/>
    <w:rsid w:val="004510C4"/>
    <w:rsid w:val="004510F3"/>
    <w:rsid w:val="00451106"/>
    <w:rsid w:val="00451217"/>
    <w:rsid w:val="00451221"/>
    <w:rsid w:val="0045125B"/>
    <w:rsid w:val="0045126C"/>
    <w:rsid w:val="004512BD"/>
    <w:rsid w:val="00451372"/>
    <w:rsid w:val="004513A0"/>
    <w:rsid w:val="004513AF"/>
    <w:rsid w:val="004513ED"/>
    <w:rsid w:val="0045140D"/>
    <w:rsid w:val="00451420"/>
    <w:rsid w:val="00451424"/>
    <w:rsid w:val="00451445"/>
    <w:rsid w:val="004514D2"/>
    <w:rsid w:val="00451500"/>
    <w:rsid w:val="0045156F"/>
    <w:rsid w:val="00451587"/>
    <w:rsid w:val="004515E8"/>
    <w:rsid w:val="00451667"/>
    <w:rsid w:val="00451678"/>
    <w:rsid w:val="004516BE"/>
    <w:rsid w:val="004516CA"/>
    <w:rsid w:val="004516D2"/>
    <w:rsid w:val="004516EA"/>
    <w:rsid w:val="00451740"/>
    <w:rsid w:val="004517B8"/>
    <w:rsid w:val="004517C9"/>
    <w:rsid w:val="00451842"/>
    <w:rsid w:val="0045184D"/>
    <w:rsid w:val="00451862"/>
    <w:rsid w:val="004518B9"/>
    <w:rsid w:val="00451912"/>
    <w:rsid w:val="0045199F"/>
    <w:rsid w:val="004519D7"/>
    <w:rsid w:val="004519E3"/>
    <w:rsid w:val="00451A60"/>
    <w:rsid w:val="00451AAF"/>
    <w:rsid w:val="00451ADD"/>
    <w:rsid w:val="00451AEA"/>
    <w:rsid w:val="00451B04"/>
    <w:rsid w:val="00451B17"/>
    <w:rsid w:val="00451B52"/>
    <w:rsid w:val="00451B84"/>
    <w:rsid w:val="00451BA8"/>
    <w:rsid w:val="00451BBA"/>
    <w:rsid w:val="00451C0E"/>
    <w:rsid w:val="00451C71"/>
    <w:rsid w:val="00451CA0"/>
    <w:rsid w:val="00451CD3"/>
    <w:rsid w:val="00451D0B"/>
    <w:rsid w:val="00451D6D"/>
    <w:rsid w:val="00451DF5"/>
    <w:rsid w:val="00451E3C"/>
    <w:rsid w:val="00451E8D"/>
    <w:rsid w:val="00451F03"/>
    <w:rsid w:val="00451F7E"/>
    <w:rsid w:val="00451FA9"/>
    <w:rsid w:val="00451FE4"/>
    <w:rsid w:val="00451FEA"/>
    <w:rsid w:val="00452075"/>
    <w:rsid w:val="004520A2"/>
    <w:rsid w:val="004520B7"/>
    <w:rsid w:val="004521A3"/>
    <w:rsid w:val="004521A6"/>
    <w:rsid w:val="004521A7"/>
    <w:rsid w:val="004521A8"/>
    <w:rsid w:val="004521E3"/>
    <w:rsid w:val="00452241"/>
    <w:rsid w:val="0045227C"/>
    <w:rsid w:val="0045236C"/>
    <w:rsid w:val="004523D1"/>
    <w:rsid w:val="0045241D"/>
    <w:rsid w:val="00452429"/>
    <w:rsid w:val="0045244C"/>
    <w:rsid w:val="00452452"/>
    <w:rsid w:val="004524D1"/>
    <w:rsid w:val="004524F0"/>
    <w:rsid w:val="004524FA"/>
    <w:rsid w:val="00452616"/>
    <w:rsid w:val="0045265F"/>
    <w:rsid w:val="004526CC"/>
    <w:rsid w:val="004526EF"/>
    <w:rsid w:val="0045278F"/>
    <w:rsid w:val="004527F1"/>
    <w:rsid w:val="00452831"/>
    <w:rsid w:val="00452858"/>
    <w:rsid w:val="00452860"/>
    <w:rsid w:val="0045286E"/>
    <w:rsid w:val="004528A4"/>
    <w:rsid w:val="004528B9"/>
    <w:rsid w:val="00452908"/>
    <w:rsid w:val="00452920"/>
    <w:rsid w:val="00452929"/>
    <w:rsid w:val="0045292A"/>
    <w:rsid w:val="00452968"/>
    <w:rsid w:val="00452A59"/>
    <w:rsid w:val="00452A5A"/>
    <w:rsid w:val="00452A9B"/>
    <w:rsid w:val="00452AB0"/>
    <w:rsid w:val="00452AB5"/>
    <w:rsid w:val="00452AE3"/>
    <w:rsid w:val="00452AFA"/>
    <w:rsid w:val="00452B04"/>
    <w:rsid w:val="00452B27"/>
    <w:rsid w:val="00452B5A"/>
    <w:rsid w:val="00452B70"/>
    <w:rsid w:val="00452BAA"/>
    <w:rsid w:val="00452C27"/>
    <w:rsid w:val="00452C2C"/>
    <w:rsid w:val="00452C33"/>
    <w:rsid w:val="00452C38"/>
    <w:rsid w:val="00452C58"/>
    <w:rsid w:val="00452C5A"/>
    <w:rsid w:val="00452CA1"/>
    <w:rsid w:val="00452CF6"/>
    <w:rsid w:val="00452D12"/>
    <w:rsid w:val="00452D42"/>
    <w:rsid w:val="00452DD2"/>
    <w:rsid w:val="00452E20"/>
    <w:rsid w:val="00452E37"/>
    <w:rsid w:val="00452F61"/>
    <w:rsid w:val="00452FE4"/>
    <w:rsid w:val="00453026"/>
    <w:rsid w:val="0045307B"/>
    <w:rsid w:val="0045307E"/>
    <w:rsid w:val="004530A5"/>
    <w:rsid w:val="004530B2"/>
    <w:rsid w:val="004530BD"/>
    <w:rsid w:val="004530C3"/>
    <w:rsid w:val="004530EA"/>
    <w:rsid w:val="00453101"/>
    <w:rsid w:val="00453144"/>
    <w:rsid w:val="00453266"/>
    <w:rsid w:val="00453284"/>
    <w:rsid w:val="00453323"/>
    <w:rsid w:val="0045333B"/>
    <w:rsid w:val="00453364"/>
    <w:rsid w:val="00453368"/>
    <w:rsid w:val="004533AA"/>
    <w:rsid w:val="004533AB"/>
    <w:rsid w:val="004533CC"/>
    <w:rsid w:val="0045340A"/>
    <w:rsid w:val="004534A8"/>
    <w:rsid w:val="004534E8"/>
    <w:rsid w:val="00453519"/>
    <w:rsid w:val="00453536"/>
    <w:rsid w:val="0045359E"/>
    <w:rsid w:val="004535F9"/>
    <w:rsid w:val="0045365B"/>
    <w:rsid w:val="00453663"/>
    <w:rsid w:val="0045366E"/>
    <w:rsid w:val="004536D9"/>
    <w:rsid w:val="004536DE"/>
    <w:rsid w:val="00453715"/>
    <w:rsid w:val="00453735"/>
    <w:rsid w:val="00453737"/>
    <w:rsid w:val="0045373A"/>
    <w:rsid w:val="0045375E"/>
    <w:rsid w:val="004537AB"/>
    <w:rsid w:val="0045386A"/>
    <w:rsid w:val="0045386C"/>
    <w:rsid w:val="00453872"/>
    <w:rsid w:val="004538DC"/>
    <w:rsid w:val="00453981"/>
    <w:rsid w:val="0045399C"/>
    <w:rsid w:val="004539BD"/>
    <w:rsid w:val="00453A16"/>
    <w:rsid w:val="00453A38"/>
    <w:rsid w:val="00453A4F"/>
    <w:rsid w:val="00453A55"/>
    <w:rsid w:val="00453A9B"/>
    <w:rsid w:val="00453AA0"/>
    <w:rsid w:val="00453ABF"/>
    <w:rsid w:val="00453B18"/>
    <w:rsid w:val="00453B3D"/>
    <w:rsid w:val="00453B71"/>
    <w:rsid w:val="00453BE6"/>
    <w:rsid w:val="00453C4B"/>
    <w:rsid w:val="00453C4C"/>
    <w:rsid w:val="00453C8D"/>
    <w:rsid w:val="00453C96"/>
    <w:rsid w:val="00453CFB"/>
    <w:rsid w:val="00453D10"/>
    <w:rsid w:val="00453D20"/>
    <w:rsid w:val="00453D23"/>
    <w:rsid w:val="00453D41"/>
    <w:rsid w:val="00453D50"/>
    <w:rsid w:val="00453D51"/>
    <w:rsid w:val="00453D65"/>
    <w:rsid w:val="00453DC5"/>
    <w:rsid w:val="00453E1D"/>
    <w:rsid w:val="00453E24"/>
    <w:rsid w:val="00453E33"/>
    <w:rsid w:val="00453E4D"/>
    <w:rsid w:val="00453E9B"/>
    <w:rsid w:val="00453EB6"/>
    <w:rsid w:val="00453F09"/>
    <w:rsid w:val="00453F11"/>
    <w:rsid w:val="0045408A"/>
    <w:rsid w:val="004540D5"/>
    <w:rsid w:val="004540DF"/>
    <w:rsid w:val="004540E0"/>
    <w:rsid w:val="004540EE"/>
    <w:rsid w:val="004540FC"/>
    <w:rsid w:val="00454123"/>
    <w:rsid w:val="00454184"/>
    <w:rsid w:val="0045420A"/>
    <w:rsid w:val="00454249"/>
    <w:rsid w:val="0045424B"/>
    <w:rsid w:val="0045428C"/>
    <w:rsid w:val="004542E4"/>
    <w:rsid w:val="004542F0"/>
    <w:rsid w:val="0045430E"/>
    <w:rsid w:val="00454327"/>
    <w:rsid w:val="0045438D"/>
    <w:rsid w:val="004543C3"/>
    <w:rsid w:val="004543F5"/>
    <w:rsid w:val="00454422"/>
    <w:rsid w:val="00454460"/>
    <w:rsid w:val="004544A9"/>
    <w:rsid w:val="0045451C"/>
    <w:rsid w:val="00454556"/>
    <w:rsid w:val="0045455B"/>
    <w:rsid w:val="00454631"/>
    <w:rsid w:val="00454666"/>
    <w:rsid w:val="00454678"/>
    <w:rsid w:val="0045472B"/>
    <w:rsid w:val="0045473D"/>
    <w:rsid w:val="00454767"/>
    <w:rsid w:val="0045476B"/>
    <w:rsid w:val="004547DE"/>
    <w:rsid w:val="004547FC"/>
    <w:rsid w:val="0045481A"/>
    <w:rsid w:val="0045489A"/>
    <w:rsid w:val="004548A5"/>
    <w:rsid w:val="004548D9"/>
    <w:rsid w:val="00454934"/>
    <w:rsid w:val="004549A9"/>
    <w:rsid w:val="004549CA"/>
    <w:rsid w:val="004549D2"/>
    <w:rsid w:val="004549DC"/>
    <w:rsid w:val="004549FA"/>
    <w:rsid w:val="00454A03"/>
    <w:rsid w:val="00454A13"/>
    <w:rsid w:val="00454A72"/>
    <w:rsid w:val="00454AA9"/>
    <w:rsid w:val="00454AB3"/>
    <w:rsid w:val="00454ABE"/>
    <w:rsid w:val="00454ACC"/>
    <w:rsid w:val="00454B47"/>
    <w:rsid w:val="00454B62"/>
    <w:rsid w:val="00454B6A"/>
    <w:rsid w:val="00454BC1"/>
    <w:rsid w:val="00454BD0"/>
    <w:rsid w:val="00454C00"/>
    <w:rsid w:val="00454C1F"/>
    <w:rsid w:val="00454C7C"/>
    <w:rsid w:val="00454D23"/>
    <w:rsid w:val="00454DA5"/>
    <w:rsid w:val="00454E3E"/>
    <w:rsid w:val="00454E40"/>
    <w:rsid w:val="00454E7C"/>
    <w:rsid w:val="00454EF2"/>
    <w:rsid w:val="00454F1D"/>
    <w:rsid w:val="00454FE4"/>
    <w:rsid w:val="00455027"/>
    <w:rsid w:val="00455069"/>
    <w:rsid w:val="00455099"/>
    <w:rsid w:val="0045509D"/>
    <w:rsid w:val="0045509F"/>
    <w:rsid w:val="004550B7"/>
    <w:rsid w:val="0045513A"/>
    <w:rsid w:val="004551A5"/>
    <w:rsid w:val="004551DF"/>
    <w:rsid w:val="004551E5"/>
    <w:rsid w:val="00455219"/>
    <w:rsid w:val="00455223"/>
    <w:rsid w:val="00455243"/>
    <w:rsid w:val="00455260"/>
    <w:rsid w:val="0045530E"/>
    <w:rsid w:val="00455310"/>
    <w:rsid w:val="00455315"/>
    <w:rsid w:val="00455330"/>
    <w:rsid w:val="00455337"/>
    <w:rsid w:val="00455355"/>
    <w:rsid w:val="00455404"/>
    <w:rsid w:val="0045544A"/>
    <w:rsid w:val="00455472"/>
    <w:rsid w:val="00455480"/>
    <w:rsid w:val="00455481"/>
    <w:rsid w:val="00455501"/>
    <w:rsid w:val="0045553C"/>
    <w:rsid w:val="00455543"/>
    <w:rsid w:val="00455545"/>
    <w:rsid w:val="00455548"/>
    <w:rsid w:val="00455549"/>
    <w:rsid w:val="0045555E"/>
    <w:rsid w:val="00455598"/>
    <w:rsid w:val="0045559E"/>
    <w:rsid w:val="004555D7"/>
    <w:rsid w:val="00455626"/>
    <w:rsid w:val="00455653"/>
    <w:rsid w:val="004556B4"/>
    <w:rsid w:val="004556F3"/>
    <w:rsid w:val="004556F6"/>
    <w:rsid w:val="004556FF"/>
    <w:rsid w:val="00455715"/>
    <w:rsid w:val="00455721"/>
    <w:rsid w:val="00455732"/>
    <w:rsid w:val="00455751"/>
    <w:rsid w:val="00455804"/>
    <w:rsid w:val="00455825"/>
    <w:rsid w:val="00455848"/>
    <w:rsid w:val="00455880"/>
    <w:rsid w:val="0045588B"/>
    <w:rsid w:val="004558AC"/>
    <w:rsid w:val="004558F0"/>
    <w:rsid w:val="00455906"/>
    <w:rsid w:val="00455964"/>
    <w:rsid w:val="00455997"/>
    <w:rsid w:val="004559A7"/>
    <w:rsid w:val="004559EB"/>
    <w:rsid w:val="00455A41"/>
    <w:rsid w:val="00455A45"/>
    <w:rsid w:val="00455A70"/>
    <w:rsid w:val="00455A72"/>
    <w:rsid w:val="00455B1C"/>
    <w:rsid w:val="00455B1F"/>
    <w:rsid w:val="00455B3D"/>
    <w:rsid w:val="00455B8E"/>
    <w:rsid w:val="00455BED"/>
    <w:rsid w:val="00455C92"/>
    <w:rsid w:val="00455CBD"/>
    <w:rsid w:val="00455CCE"/>
    <w:rsid w:val="00455CF7"/>
    <w:rsid w:val="00455D1A"/>
    <w:rsid w:val="00455D52"/>
    <w:rsid w:val="00455D72"/>
    <w:rsid w:val="00455D76"/>
    <w:rsid w:val="00455D78"/>
    <w:rsid w:val="00455DAD"/>
    <w:rsid w:val="00455DF6"/>
    <w:rsid w:val="00455E24"/>
    <w:rsid w:val="00455E4C"/>
    <w:rsid w:val="00455E7A"/>
    <w:rsid w:val="00455EAE"/>
    <w:rsid w:val="00455F0B"/>
    <w:rsid w:val="00455F19"/>
    <w:rsid w:val="00455F2C"/>
    <w:rsid w:val="00455F47"/>
    <w:rsid w:val="00455F63"/>
    <w:rsid w:val="00455FBF"/>
    <w:rsid w:val="00455FD7"/>
    <w:rsid w:val="00456010"/>
    <w:rsid w:val="0045602A"/>
    <w:rsid w:val="0045604A"/>
    <w:rsid w:val="0045605A"/>
    <w:rsid w:val="00456099"/>
    <w:rsid w:val="004560D2"/>
    <w:rsid w:val="00456181"/>
    <w:rsid w:val="004561DA"/>
    <w:rsid w:val="00456241"/>
    <w:rsid w:val="00456251"/>
    <w:rsid w:val="00456285"/>
    <w:rsid w:val="00456293"/>
    <w:rsid w:val="0045629F"/>
    <w:rsid w:val="004562A8"/>
    <w:rsid w:val="004562D3"/>
    <w:rsid w:val="00456314"/>
    <w:rsid w:val="0045633C"/>
    <w:rsid w:val="00456353"/>
    <w:rsid w:val="004563A5"/>
    <w:rsid w:val="004563E7"/>
    <w:rsid w:val="00456400"/>
    <w:rsid w:val="0045642A"/>
    <w:rsid w:val="00456459"/>
    <w:rsid w:val="004564A3"/>
    <w:rsid w:val="004564B1"/>
    <w:rsid w:val="004564D4"/>
    <w:rsid w:val="004564EB"/>
    <w:rsid w:val="004564F1"/>
    <w:rsid w:val="004565FE"/>
    <w:rsid w:val="0045668E"/>
    <w:rsid w:val="00456692"/>
    <w:rsid w:val="00456696"/>
    <w:rsid w:val="004566B1"/>
    <w:rsid w:val="00456742"/>
    <w:rsid w:val="004567D9"/>
    <w:rsid w:val="00456802"/>
    <w:rsid w:val="00456808"/>
    <w:rsid w:val="00456813"/>
    <w:rsid w:val="0045685E"/>
    <w:rsid w:val="004568CE"/>
    <w:rsid w:val="004568DB"/>
    <w:rsid w:val="004568F0"/>
    <w:rsid w:val="00456924"/>
    <w:rsid w:val="00456928"/>
    <w:rsid w:val="00456948"/>
    <w:rsid w:val="0045694F"/>
    <w:rsid w:val="0045695D"/>
    <w:rsid w:val="00456961"/>
    <w:rsid w:val="00456963"/>
    <w:rsid w:val="00456966"/>
    <w:rsid w:val="0045699F"/>
    <w:rsid w:val="004569B2"/>
    <w:rsid w:val="004569E4"/>
    <w:rsid w:val="004569F2"/>
    <w:rsid w:val="004569F8"/>
    <w:rsid w:val="00456A46"/>
    <w:rsid w:val="00456AF4"/>
    <w:rsid w:val="00456AFA"/>
    <w:rsid w:val="00456B11"/>
    <w:rsid w:val="00456B19"/>
    <w:rsid w:val="00456B38"/>
    <w:rsid w:val="00456B4A"/>
    <w:rsid w:val="00456B50"/>
    <w:rsid w:val="00456B56"/>
    <w:rsid w:val="00456B87"/>
    <w:rsid w:val="00456B8D"/>
    <w:rsid w:val="00456B9F"/>
    <w:rsid w:val="00456C9C"/>
    <w:rsid w:val="00456D07"/>
    <w:rsid w:val="00456D19"/>
    <w:rsid w:val="00456D1E"/>
    <w:rsid w:val="00456D20"/>
    <w:rsid w:val="00456D68"/>
    <w:rsid w:val="00456D6E"/>
    <w:rsid w:val="00456D81"/>
    <w:rsid w:val="00456D8C"/>
    <w:rsid w:val="00456DF0"/>
    <w:rsid w:val="00456DFA"/>
    <w:rsid w:val="00456E13"/>
    <w:rsid w:val="00456E5D"/>
    <w:rsid w:val="00456E98"/>
    <w:rsid w:val="00456EB0"/>
    <w:rsid w:val="00456F09"/>
    <w:rsid w:val="00456F50"/>
    <w:rsid w:val="00456F83"/>
    <w:rsid w:val="00456FBF"/>
    <w:rsid w:val="00456FED"/>
    <w:rsid w:val="0045702F"/>
    <w:rsid w:val="0045703D"/>
    <w:rsid w:val="00457073"/>
    <w:rsid w:val="00457144"/>
    <w:rsid w:val="0045714F"/>
    <w:rsid w:val="00457177"/>
    <w:rsid w:val="00457182"/>
    <w:rsid w:val="00457199"/>
    <w:rsid w:val="004571A1"/>
    <w:rsid w:val="004571D0"/>
    <w:rsid w:val="004571E2"/>
    <w:rsid w:val="004571ED"/>
    <w:rsid w:val="00457221"/>
    <w:rsid w:val="0045724C"/>
    <w:rsid w:val="00457251"/>
    <w:rsid w:val="00457280"/>
    <w:rsid w:val="004572AE"/>
    <w:rsid w:val="004572D3"/>
    <w:rsid w:val="004572F9"/>
    <w:rsid w:val="0045732E"/>
    <w:rsid w:val="004573AB"/>
    <w:rsid w:val="004573CC"/>
    <w:rsid w:val="004573CE"/>
    <w:rsid w:val="004573EF"/>
    <w:rsid w:val="00457495"/>
    <w:rsid w:val="004574C9"/>
    <w:rsid w:val="004574D1"/>
    <w:rsid w:val="0045757A"/>
    <w:rsid w:val="004575BD"/>
    <w:rsid w:val="00457632"/>
    <w:rsid w:val="0045772E"/>
    <w:rsid w:val="00457782"/>
    <w:rsid w:val="004577A0"/>
    <w:rsid w:val="004577D7"/>
    <w:rsid w:val="004577E6"/>
    <w:rsid w:val="00457822"/>
    <w:rsid w:val="00457829"/>
    <w:rsid w:val="004578A0"/>
    <w:rsid w:val="004578C3"/>
    <w:rsid w:val="004578EA"/>
    <w:rsid w:val="0045792D"/>
    <w:rsid w:val="00457939"/>
    <w:rsid w:val="0045793A"/>
    <w:rsid w:val="004579A1"/>
    <w:rsid w:val="004579BA"/>
    <w:rsid w:val="00457A88"/>
    <w:rsid w:val="00457B18"/>
    <w:rsid w:val="00457B2F"/>
    <w:rsid w:val="00457BEA"/>
    <w:rsid w:val="00457CC8"/>
    <w:rsid w:val="00457CE1"/>
    <w:rsid w:val="00457CEE"/>
    <w:rsid w:val="00457CFA"/>
    <w:rsid w:val="00457D12"/>
    <w:rsid w:val="00457D15"/>
    <w:rsid w:val="00457D55"/>
    <w:rsid w:val="00457E01"/>
    <w:rsid w:val="00457E58"/>
    <w:rsid w:val="00457E86"/>
    <w:rsid w:val="00457ECB"/>
    <w:rsid w:val="00457EE9"/>
    <w:rsid w:val="00457F03"/>
    <w:rsid w:val="00457F19"/>
    <w:rsid w:val="00457F21"/>
    <w:rsid w:val="00460007"/>
    <w:rsid w:val="004600B8"/>
    <w:rsid w:val="004600CD"/>
    <w:rsid w:val="004600E9"/>
    <w:rsid w:val="00460108"/>
    <w:rsid w:val="00460140"/>
    <w:rsid w:val="004601B3"/>
    <w:rsid w:val="0046024A"/>
    <w:rsid w:val="0046024E"/>
    <w:rsid w:val="00460255"/>
    <w:rsid w:val="00460296"/>
    <w:rsid w:val="004602A0"/>
    <w:rsid w:val="004602A3"/>
    <w:rsid w:val="004602BE"/>
    <w:rsid w:val="004602ED"/>
    <w:rsid w:val="0046036B"/>
    <w:rsid w:val="0046038B"/>
    <w:rsid w:val="004603D0"/>
    <w:rsid w:val="004604A4"/>
    <w:rsid w:val="004604BE"/>
    <w:rsid w:val="004604C4"/>
    <w:rsid w:val="004604DD"/>
    <w:rsid w:val="00460519"/>
    <w:rsid w:val="00460563"/>
    <w:rsid w:val="004606FB"/>
    <w:rsid w:val="004607B2"/>
    <w:rsid w:val="00460844"/>
    <w:rsid w:val="0046084A"/>
    <w:rsid w:val="00460865"/>
    <w:rsid w:val="0046086B"/>
    <w:rsid w:val="004608AA"/>
    <w:rsid w:val="004608C2"/>
    <w:rsid w:val="0046090C"/>
    <w:rsid w:val="0046091E"/>
    <w:rsid w:val="0046095E"/>
    <w:rsid w:val="004609EE"/>
    <w:rsid w:val="004609F7"/>
    <w:rsid w:val="00460A01"/>
    <w:rsid w:val="00460A11"/>
    <w:rsid w:val="00460A20"/>
    <w:rsid w:val="00460A29"/>
    <w:rsid w:val="00460A5A"/>
    <w:rsid w:val="00460A99"/>
    <w:rsid w:val="00460AB7"/>
    <w:rsid w:val="00460B32"/>
    <w:rsid w:val="00460B6E"/>
    <w:rsid w:val="00460BC5"/>
    <w:rsid w:val="00460BC7"/>
    <w:rsid w:val="00460BC8"/>
    <w:rsid w:val="00460BE1"/>
    <w:rsid w:val="00460C1F"/>
    <w:rsid w:val="00460C52"/>
    <w:rsid w:val="00460CAD"/>
    <w:rsid w:val="00460CCA"/>
    <w:rsid w:val="00460D05"/>
    <w:rsid w:val="00460D7A"/>
    <w:rsid w:val="00460DDD"/>
    <w:rsid w:val="00460DF2"/>
    <w:rsid w:val="00460DF4"/>
    <w:rsid w:val="00460E65"/>
    <w:rsid w:val="00460E7C"/>
    <w:rsid w:val="00460E87"/>
    <w:rsid w:val="00460E88"/>
    <w:rsid w:val="00460F21"/>
    <w:rsid w:val="00460F41"/>
    <w:rsid w:val="00460F5A"/>
    <w:rsid w:val="00460F76"/>
    <w:rsid w:val="00460F9B"/>
    <w:rsid w:val="00460FCC"/>
    <w:rsid w:val="00460FF3"/>
    <w:rsid w:val="00460FF8"/>
    <w:rsid w:val="00461004"/>
    <w:rsid w:val="004610CE"/>
    <w:rsid w:val="00461173"/>
    <w:rsid w:val="0046119D"/>
    <w:rsid w:val="004611F7"/>
    <w:rsid w:val="00461218"/>
    <w:rsid w:val="00461244"/>
    <w:rsid w:val="00461258"/>
    <w:rsid w:val="00461378"/>
    <w:rsid w:val="004613A1"/>
    <w:rsid w:val="004613C9"/>
    <w:rsid w:val="004613D9"/>
    <w:rsid w:val="00461403"/>
    <w:rsid w:val="0046144B"/>
    <w:rsid w:val="00461473"/>
    <w:rsid w:val="00461495"/>
    <w:rsid w:val="004614B7"/>
    <w:rsid w:val="004614D1"/>
    <w:rsid w:val="004614FB"/>
    <w:rsid w:val="0046160F"/>
    <w:rsid w:val="00461637"/>
    <w:rsid w:val="004616BF"/>
    <w:rsid w:val="0046172E"/>
    <w:rsid w:val="00461767"/>
    <w:rsid w:val="00461777"/>
    <w:rsid w:val="0046179D"/>
    <w:rsid w:val="004617E1"/>
    <w:rsid w:val="0046184C"/>
    <w:rsid w:val="0046189B"/>
    <w:rsid w:val="004618A9"/>
    <w:rsid w:val="004618BC"/>
    <w:rsid w:val="004618F8"/>
    <w:rsid w:val="00461987"/>
    <w:rsid w:val="004619D7"/>
    <w:rsid w:val="00461A73"/>
    <w:rsid w:val="00461A75"/>
    <w:rsid w:val="00461AC5"/>
    <w:rsid w:val="00461AD6"/>
    <w:rsid w:val="00461ADC"/>
    <w:rsid w:val="00461AF8"/>
    <w:rsid w:val="00461B00"/>
    <w:rsid w:val="00461B71"/>
    <w:rsid w:val="00461BA0"/>
    <w:rsid w:val="00461BE2"/>
    <w:rsid w:val="00461C3A"/>
    <w:rsid w:val="00461C41"/>
    <w:rsid w:val="00461C66"/>
    <w:rsid w:val="00461CB2"/>
    <w:rsid w:val="00461CB9"/>
    <w:rsid w:val="00461CFE"/>
    <w:rsid w:val="00461D45"/>
    <w:rsid w:val="00461D6C"/>
    <w:rsid w:val="00461D7E"/>
    <w:rsid w:val="00461D8D"/>
    <w:rsid w:val="00461D98"/>
    <w:rsid w:val="00461DA7"/>
    <w:rsid w:val="00461DB8"/>
    <w:rsid w:val="00461DDD"/>
    <w:rsid w:val="00461E3D"/>
    <w:rsid w:val="00461E7A"/>
    <w:rsid w:val="00461EC1"/>
    <w:rsid w:val="00461EE3"/>
    <w:rsid w:val="00461F64"/>
    <w:rsid w:val="00461F8F"/>
    <w:rsid w:val="00461F99"/>
    <w:rsid w:val="00461FD0"/>
    <w:rsid w:val="00461FF5"/>
    <w:rsid w:val="0046201E"/>
    <w:rsid w:val="004620D0"/>
    <w:rsid w:val="004620DD"/>
    <w:rsid w:val="00462109"/>
    <w:rsid w:val="00462187"/>
    <w:rsid w:val="0046222C"/>
    <w:rsid w:val="00462254"/>
    <w:rsid w:val="00462271"/>
    <w:rsid w:val="004622D3"/>
    <w:rsid w:val="00462381"/>
    <w:rsid w:val="004623AB"/>
    <w:rsid w:val="004623AD"/>
    <w:rsid w:val="0046240A"/>
    <w:rsid w:val="00462410"/>
    <w:rsid w:val="00462432"/>
    <w:rsid w:val="00462442"/>
    <w:rsid w:val="00462445"/>
    <w:rsid w:val="00462463"/>
    <w:rsid w:val="0046247B"/>
    <w:rsid w:val="00462491"/>
    <w:rsid w:val="004624A3"/>
    <w:rsid w:val="004624B5"/>
    <w:rsid w:val="004624C2"/>
    <w:rsid w:val="004624D6"/>
    <w:rsid w:val="00462543"/>
    <w:rsid w:val="0046255C"/>
    <w:rsid w:val="00462657"/>
    <w:rsid w:val="00462676"/>
    <w:rsid w:val="004626F4"/>
    <w:rsid w:val="004626FF"/>
    <w:rsid w:val="0046276C"/>
    <w:rsid w:val="00462777"/>
    <w:rsid w:val="004627DF"/>
    <w:rsid w:val="004627E8"/>
    <w:rsid w:val="0046289E"/>
    <w:rsid w:val="004628B3"/>
    <w:rsid w:val="004628EC"/>
    <w:rsid w:val="00462900"/>
    <w:rsid w:val="00462910"/>
    <w:rsid w:val="00462945"/>
    <w:rsid w:val="0046296F"/>
    <w:rsid w:val="004629D8"/>
    <w:rsid w:val="004629FB"/>
    <w:rsid w:val="00462A00"/>
    <w:rsid w:val="00462A3D"/>
    <w:rsid w:val="00462ACF"/>
    <w:rsid w:val="00462B2C"/>
    <w:rsid w:val="00462B6C"/>
    <w:rsid w:val="00462B8B"/>
    <w:rsid w:val="00462BC6"/>
    <w:rsid w:val="00462BE1"/>
    <w:rsid w:val="00462BFB"/>
    <w:rsid w:val="00462C0B"/>
    <w:rsid w:val="00462C4D"/>
    <w:rsid w:val="00462C63"/>
    <w:rsid w:val="00462C70"/>
    <w:rsid w:val="00462C73"/>
    <w:rsid w:val="00462CCF"/>
    <w:rsid w:val="00462CD8"/>
    <w:rsid w:val="00462CE4"/>
    <w:rsid w:val="00462D15"/>
    <w:rsid w:val="00462D2A"/>
    <w:rsid w:val="00462D55"/>
    <w:rsid w:val="00462D58"/>
    <w:rsid w:val="00462D6F"/>
    <w:rsid w:val="00462DA7"/>
    <w:rsid w:val="00462E41"/>
    <w:rsid w:val="00462E68"/>
    <w:rsid w:val="00462E96"/>
    <w:rsid w:val="00462EA6"/>
    <w:rsid w:val="00462EB9"/>
    <w:rsid w:val="00462EC9"/>
    <w:rsid w:val="00462ECF"/>
    <w:rsid w:val="00462F06"/>
    <w:rsid w:val="00462F10"/>
    <w:rsid w:val="00462F4C"/>
    <w:rsid w:val="00462FB8"/>
    <w:rsid w:val="00462FE9"/>
    <w:rsid w:val="0046300B"/>
    <w:rsid w:val="00463027"/>
    <w:rsid w:val="0046303B"/>
    <w:rsid w:val="004630DD"/>
    <w:rsid w:val="004630E8"/>
    <w:rsid w:val="0046314D"/>
    <w:rsid w:val="00463177"/>
    <w:rsid w:val="0046318B"/>
    <w:rsid w:val="004631DE"/>
    <w:rsid w:val="0046321A"/>
    <w:rsid w:val="004632B0"/>
    <w:rsid w:val="004632CA"/>
    <w:rsid w:val="004632E2"/>
    <w:rsid w:val="004632F2"/>
    <w:rsid w:val="004632FD"/>
    <w:rsid w:val="0046343A"/>
    <w:rsid w:val="00463478"/>
    <w:rsid w:val="004634B3"/>
    <w:rsid w:val="004634C4"/>
    <w:rsid w:val="004634E2"/>
    <w:rsid w:val="00463533"/>
    <w:rsid w:val="00463558"/>
    <w:rsid w:val="00463562"/>
    <w:rsid w:val="00463575"/>
    <w:rsid w:val="004635A6"/>
    <w:rsid w:val="004635B1"/>
    <w:rsid w:val="004635D6"/>
    <w:rsid w:val="004635DA"/>
    <w:rsid w:val="004635E0"/>
    <w:rsid w:val="004635F3"/>
    <w:rsid w:val="004635F6"/>
    <w:rsid w:val="004635F9"/>
    <w:rsid w:val="0046366A"/>
    <w:rsid w:val="004636A8"/>
    <w:rsid w:val="004636AF"/>
    <w:rsid w:val="004636ED"/>
    <w:rsid w:val="00463718"/>
    <w:rsid w:val="0046373D"/>
    <w:rsid w:val="00463769"/>
    <w:rsid w:val="004637EA"/>
    <w:rsid w:val="0046381C"/>
    <w:rsid w:val="0046382A"/>
    <w:rsid w:val="00463831"/>
    <w:rsid w:val="00463876"/>
    <w:rsid w:val="0046389D"/>
    <w:rsid w:val="004638F0"/>
    <w:rsid w:val="00463932"/>
    <w:rsid w:val="00463989"/>
    <w:rsid w:val="00463A25"/>
    <w:rsid w:val="00463A49"/>
    <w:rsid w:val="00463A8F"/>
    <w:rsid w:val="00463AD6"/>
    <w:rsid w:val="00463ADC"/>
    <w:rsid w:val="00463AE0"/>
    <w:rsid w:val="00463B1A"/>
    <w:rsid w:val="00463B89"/>
    <w:rsid w:val="00463BD6"/>
    <w:rsid w:val="00463BE0"/>
    <w:rsid w:val="00463C01"/>
    <w:rsid w:val="00463C1E"/>
    <w:rsid w:val="00463C5A"/>
    <w:rsid w:val="00463C73"/>
    <w:rsid w:val="00463CA9"/>
    <w:rsid w:val="00463CD8"/>
    <w:rsid w:val="00463D59"/>
    <w:rsid w:val="00463DCF"/>
    <w:rsid w:val="00463E03"/>
    <w:rsid w:val="00463E0E"/>
    <w:rsid w:val="00463E5A"/>
    <w:rsid w:val="00463F59"/>
    <w:rsid w:val="00463FB6"/>
    <w:rsid w:val="00463FED"/>
    <w:rsid w:val="0046402C"/>
    <w:rsid w:val="0046405B"/>
    <w:rsid w:val="00464060"/>
    <w:rsid w:val="00464093"/>
    <w:rsid w:val="004640F9"/>
    <w:rsid w:val="00464152"/>
    <w:rsid w:val="00464158"/>
    <w:rsid w:val="00464159"/>
    <w:rsid w:val="004641AD"/>
    <w:rsid w:val="00464215"/>
    <w:rsid w:val="0046422B"/>
    <w:rsid w:val="0046425F"/>
    <w:rsid w:val="00464291"/>
    <w:rsid w:val="004642BB"/>
    <w:rsid w:val="004642FA"/>
    <w:rsid w:val="004642FD"/>
    <w:rsid w:val="00464302"/>
    <w:rsid w:val="00464314"/>
    <w:rsid w:val="0046439B"/>
    <w:rsid w:val="00464405"/>
    <w:rsid w:val="0046443B"/>
    <w:rsid w:val="0046445A"/>
    <w:rsid w:val="0046445D"/>
    <w:rsid w:val="00464474"/>
    <w:rsid w:val="00464492"/>
    <w:rsid w:val="0046450E"/>
    <w:rsid w:val="0046456A"/>
    <w:rsid w:val="004645BB"/>
    <w:rsid w:val="004645BF"/>
    <w:rsid w:val="004645C8"/>
    <w:rsid w:val="00464627"/>
    <w:rsid w:val="00464636"/>
    <w:rsid w:val="0046463E"/>
    <w:rsid w:val="004646C8"/>
    <w:rsid w:val="004646CE"/>
    <w:rsid w:val="004647CF"/>
    <w:rsid w:val="004647DB"/>
    <w:rsid w:val="004647DD"/>
    <w:rsid w:val="00464925"/>
    <w:rsid w:val="00464990"/>
    <w:rsid w:val="00464A7F"/>
    <w:rsid w:val="00464B09"/>
    <w:rsid w:val="00464B49"/>
    <w:rsid w:val="00464B69"/>
    <w:rsid w:val="00464B84"/>
    <w:rsid w:val="00464BA7"/>
    <w:rsid w:val="00464BCB"/>
    <w:rsid w:val="00464BE1"/>
    <w:rsid w:val="00464BEB"/>
    <w:rsid w:val="00464C12"/>
    <w:rsid w:val="00464C15"/>
    <w:rsid w:val="00464C1A"/>
    <w:rsid w:val="00464C39"/>
    <w:rsid w:val="00464C40"/>
    <w:rsid w:val="00464C4A"/>
    <w:rsid w:val="00464C7B"/>
    <w:rsid w:val="00464C91"/>
    <w:rsid w:val="00464C9D"/>
    <w:rsid w:val="00464CA2"/>
    <w:rsid w:val="00464CBC"/>
    <w:rsid w:val="00464D09"/>
    <w:rsid w:val="00464D0D"/>
    <w:rsid w:val="00464D0F"/>
    <w:rsid w:val="00464D4B"/>
    <w:rsid w:val="00464D62"/>
    <w:rsid w:val="00464D87"/>
    <w:rsid w:val="00464DE8"/>
    <w:rsid w:val="00464DEE"/>
    <w:rsid w:val="00464DFE"/>
    <w:rsid w:val="00464E07"/>
    <w:rsid w:val="00464E15"/>
    <w:rsid w:val="00464E30"/>
    <w:rsid w:val="00464E6C"/>
    <w:rsid w:val="00464E9D"/>
    <w:rsid w:val="00464EB4"/>
    <w:rsid w:val="00464EDC"/>
    <w:rsid w:val="00464EF8"/>
    <w:rsid w:val="00464F38"/>
    <w:rsid w:val="00464F74"/>
    <w:rsid w:val="00464FA4"/>
    <w:rsid w:val="00465067"/>
    <w:rsid w:val="0046506A"/>
    <w:rsid w:val="004650A3"/>
    <w:rsid w:val="004650B1"/>
    <w:rsid w:val="004650C6"/>
    <w:rsid w:val="00465100"/>
    <w:rsid w:val="0046512F"/>
    <w:rsid w:val="00465131"/>
    <w:rsid w:val="00465159"/>
    <w:rsid w:val="00465164"/>
    <w:rsid w:val="00465165"/>
    <w:rsid w:val="004651A5"/>
    <w:rsid w:val="004651FA"/>
    <w:rsid w:val="00465265"/>
    <w:rsid w:val="004652B8"/>
    <w:rsid w:val="004652DF"/>
    <w:rsid w:val="0046531D"/>
    <w:rsid w:val="00465336"/>
    <w:rsid w:val="0046539C"/>
    <w:rsid w:val="004653A6"/>
    <w:rsid w:val="004653C5"/>
    <w:rsid w:val="004653EA"/>
    <w:rsid w:val="00465449"/>
    <w:rsid w:val="0046546B"/>
    <w:rsid w:val="0046549A"/>
    <w:rsid w:val="004654ED"/>
    <w:rsid w:val="0046551D"/>
    <w:rsid w:val="00465522"/>
    <w:rsid w:val="004655D2"/>
    <w:rsid w:val="004655E5"/>
    <w:rsid w:val="00465633"/>
    <w:rsid w:val="00465693"/>
    <w:rsid w:val="0046569C"/>
    <w:rsid w:val="004656C4"/>
    <w:rsid w:val="004656EB"/>
    <w:rsid w:val="0046570C"/>
    <w:rsid w:val="00465712"/>
    <w:rsid w:val="0046572B"/>
    <w:rsid w:val="0046578A"/>
    <w:rsid w:val="004657C0"/>
    <w:rsid w:val="0046580E"/>
    <w:rsid w:val="0046582A"/>
    <w:rsid w:val="00465867"/>
    <w:rsid w:val="00465869"/>
    <w:rsid w:val="0046586E"/>
    <w:rsid w:val="0046586F"/>
    <w:rsid w:val="00465883"/>
    <w:rsid w:val="004658B1"/>
    <w:rsid w:val="004658CE"/>
    <w:rsid w:val="00465910"/>
    <w:rsid w:val="0046592F"/>
    <w:rsid w:val="0046594F"/>
    <w:rsid w:val="004659A8"/>
    <w:rsid w:val="004659E7"/>
    <w:rsid w:val="00465A42"/>
    <w:rsid w:val="00465A8E"/>
    <w:rsid w:val="00465B1F"/>
    <w:rsid w:val="00465B69"/>
    <w:rsid w:val="00465B83"/>
    <w:rsid w:val="00465B95"/>
    <w:rsid w:val="00465C19"/>
    <w:rsid w:val="00465C1A"/>
    <w:rsid w:val="00465C33"/>
    <w:rsid w:val="00465C66"/>
    <w:rsid w:val="00465C6B"/>
    <w:rsid w:val="00465CA7"/>
    <w:rsid w:val="00465CCA"/>
    <w:rsid w:val="00465D33"/>
    <w:rsid w:val="00465D3F"/>
    <w:rsid w:val="00465D41"/>
    <w:rsid w:val="00465D89"/>
    <w:rsid w:val="00465D9C"/>
    <w:rsid w:val="00465DF2"/>
    <w:rsid w:val="00465DF8"/>
    <w:rsid w:val="00465E53"/>
    <w:rsid w:val="00465EB2"/>
    <w:rsid w:val="00465EEA"/>
    <w:rsid w:val="00465F50"/>
    <w:rsid w:val="00465F56"/>
    <w:rsid w:val="00465FCA"/>
    <w:rsid w:val="00466023"/>
    <w:rsid w:val="0046602A"/>
    <w:rsid w:val="00466045"/>
    <w:rsid w:val="0046604A"/>
    <w:rsid w:val="00466056"/>
    <w:rsid w:val="0046605D"/>
    <w:rsid w:val="004660E0"/>
    <w:rsid w:val="00466143"/>
    <w:rsid w:val="00466155"/>
    <w:rsid w:val="0046617E"/>
    <w:rsid w:val="004661C1"/>
    <w:rsid w:val="0046620F"/>
    <w:rsid w:val="0046621B"/>
    <w:rsid w:val="0046625C"/>
    <w:rsid w:val="00466266"/>
    <w:rsid w:val="0046628F"/>
    <w:rsid w:val="004662F9"/>
    <w:rsid w:val="00466391"/>
    <w:rsid w:val="004663AA"/>
    <w:rsid w:val="004663F7"/>
    <w:rsid w:val="00466424"/>
    <w:rsid w:val="00466452"/>
    <w:rsid w:val="0046645F"/>
    <w:rsid w:val="00466478"/>
    <w:rsid w:val="00466498"/>
    <w:rsid w:val="004664F9"/>
    <w:rsid w:val="00466515"/>
    <w:rsid w:val="00466598"/>
    <w:rsid w:val="004665A8"/>
    <w:rsid w:val="004665F5"/>
    <w:rsid w:val="0046661A"/>
    <w:rsid w:val="00466625"/>
    <w:rsid w:val="00466669"/>
    <w:rsid w:val="0046668B"/>
    <w:rsid w:val="00466711"/>
    <w:rsid w:val="00466717"/>
    <w:rsid w:val="0046672A"/>
    <w:rsid w:val="004667DA"/>
    <w:rsid w:val="00466823"/>
    <w:rsid w:val="00466836"/>
    <w:rsid w:val="00466874"/>
    <w:rsid w:val="00466891"/>
    <w:rsid w:val="004668BA"/>
    <w:rsid w:val="004668D2"/>
    <w:rsid w:val="0046693E"/>
    <w:rsid w:val="004669CD"/>
    <w:rsid w:val="00466A43"/>
    <w:rsid w:val="00466A6C"/>
    <w:rsid w:val="00466A72"/>
    <w:rsid w:val="00466A90"/>
    <w:rsid w:val="00466AFD"/>
    <w:rsid w:val="00466B02"/>
    <w:rsid w:val="00466B2C"/>
    <w:rsid w:val="00466BDE"/>
    <w:rsid w:val="00466BE4"/>
    <w:rsid w:val="00466BF1"/>
    <w:rsid w:val="00466C8A"/>
    <w:rsid w:val="00466CB8"/>
    <w:rsid w:val="00466CC0"/>
    <w:rsid w:val="00466CDD"/>
    <w:rsid w:val="00466CE4"/>
    <w:rsid w:val="00466CF5"/>
    <w:rsid w:val="00466D53"/>
    <w:rsid w:val="00466DC1"/>
    <w:rsid w:val="00466DDE"/>
    <w:rsid w:val="00466E08"/>
    <w:rsid w:val="00466E2A"/>
    <w:rsid w:val="00466E48"/>
    <w:rsid w:val="00466E50"/>
    <w:rsid w:val="00466E9F"/>
    <w:rsid w:val="00466EBA"/>
    <w:rsid w:val="00466EFC"/>
    <w:rsid w:val="00466F55"/>
    <w:rsid w:val="00466F7E"/>
    <w:rsid w:val="00466FD6"/>
    <w:rsid w:val="00466FFD"/>
    <w:rsid w:val="00467034"/>
    <w:rsid w:val="0046703F"/>
    <w:rsid w:val="00467085"/>
    <w:rsid w:val="00467095"/>
    <w:rsid w:val="004670CC"/>
    <w:rsid w:val="004670DC"/>
    <w:rsid w:val="004670DE"/>
    <w:rsid w:val="004670F5"/>
    <w:rsid w:val="0046711C"/>
    <w:rsid w:val="004671AD"/>
    <w:rsid w:val="004671C2"/>
    <w:rsid w:val="00467288"/>
    <w:rsid w:val="0046728D"/>
    <w:rsid w:val="004672A4"/>
    <w:rsid w:val="00467361"/>
    <w:rsid w:val="0046736B"/>
    <w:rsid w:val="004673CA"/>
    <w:rsid w:val="00467411"/>
    <w:rsid w:val="0046746C"/>
    <w:rsid w:val="004674D8"/>
    <w:rsid w:val="004674E3"/>
    <w:rsid w:val="004675E6"/>
    <w:rsid w:val="00467662"/>
    <w:rsid w:val="004676C5"/>
    <w:rsid w:val="004676ED"/>
    <w:rsid w:val="00467738"/>
    <w:rsid w:val="0046776B"/>
    <w:rsid w:val="004677A0"/>
    <w:rsid w:val="004677BD"/>
    <w:rsid w:val="0046783C"/>
    <w:rsid w:val="004678AC"/>
    <w:rsid w:val="00467913"/>
    <w:rsid w:val="00467929"/>
    <w:rsid w:val="0046794C"/>
    <w:rsid w:val="004679B5"/>
    <w:rsid w:val="004679C8"/>
    <w:rsid w:val="00467A27"/>
    <w:rsid w:val="00467AC0"/>
    <w:rsid w:val="00467AD9"/>
    <w:rsid w:val="00467B07"/>
    <w:rsid w:val="00467B1D"/>
    <w:rsid w:val="00467B52"/>
    <w:rsid w:val="00467B84"/>
    <w:rsid w:val="00467BAC"/>
    <w:rsid w:val="00467BF4"/>
    <w:rsid w:val="00467CAD"/>
    <w:rsid w:val="00467CE0"/>
    <w:rsid w:val="00467CF5"/>
    <w:rsid w:val="00467D08"/>
    <w:rsid w:val="00467D14"/>
    <w:rsid w:val="00467D33"/>
    <w:rsid w:val="00467D3D"/>
    <w:rsid w:val="00467D3E"/>
    <w:rsid w:val="00467D8A"/>
    <w:rsid w:val="00467DDD"/>
    <w:rsid w:val="00467E5A"/>
    <w:rsid w:val="00467E70"/>
    <w:rsid w:val="00467EDA"/>
    <w:rsid w:val="00467F39"/>
    <w:rsid w:val="00467F8F"/>
    <w:rsid w:val="00467FA8"/>
    <w:rsid w:val="00467FAF"/>
    <w:rsid w:val="00467FD7"/>
    <w:rsid w:val="0047003F"/>
    <w:rsid w:val="0047008B"/>
    <w:rsid w:val="004700CE"/>
    <w:rsid w:val="0047012C"/>
    <w:rsid w:val="00470137"/>
    <w:rsid w:val="00470152"/>
    <w:rsid w:val="0047016C"/>
    <w:rsid w:val="004701BD"/>
    <w:rsid w:val="004701F1"/>
    <w:rsid w:val="0047022D"/>
    <w:rsid w:val="00470231"/>
    <w:rsid w:val="0047023C"/>
    <w:rsid w:val="00470282"/>
    <w:rsid w:val="00470291"/>
    <w:rsid w:val="004702B3"/>
    <w:rsid w:val="004702C6"/>
    <w:rsid w:val="004702E7"/>
    <w:rsid w:val="004702FB"/>
    <w:rsid w:val="00470342"/>
    <w:rsid w:val="00470384"/>
    <w:rsid w:val="00470422"/>
    <w:rsid w:val="0047043B"/>
    <w:rsid w:val="004704FA"/>
    <w:rsid w:val="0047050C"/>
    <w:rsid w:val="00470517"/>
    <w:rsid w:val="0047051E"/>
    <w:rsid w:val="0047052B"/>
    <w:rsid w:val="00470541"/>
    <w:rsid w:val="0047054F"/>
    <w:rsid w:val="004705C7"/>
    <w:rsid w:val="004705F9"/>
    <w:rsid w:val="00470605"/>
    <w:rsid w:val="00470635"/>
    <w:rsid w:val="0047068D"/>
    <w:rsid w:val="004707CB"/>
    <w:rsid w:val="004707E0"/>
    <w:rsid w:val="004707F1"/>
    <w:rsid w:val="00470814"/>
    <w:rsid w:val="0047086F"/>
    <w:rsid w:val="004708C7"/>
    <w:rsid w:val="004708E9"/>
    <w:rsid w:val="0047097E"/>
    <w:rsid w:val="004709A8"/>
    <w:rsid w:val="004709CF"/>
    <w:rsid w:val="00470A3E"/>
    <w:rsid w:val="00470A4E"/>
    <w:rsid w:val="00470A97"/>
    <w:rsid w:val="00470A9C"/>
    <w:rsid w:val="00470AA5"/>
    <w:rsid w:val="00470AC1"/>
    <w:rsid w:val="00470ACD"/>
    <w:rsid w:val="00470AD4"/>
    <w:rsid w:val="00470AFE"/>
    <w:rsid w:val="00470BAE"/>
    <w:rsid w:val="00470BBA"/>
    <w:rsid w:val="00470BDA"/>
    <w:rsid w:val="00470BF0"/>
    <w:rsid w:val="00470BF3"/>
    <w:rsid w:val="00470C2F"/>
    <w:rsid w:val="00470C7E"/>
    <w:rsid w:val="00470CD6"/>
    <w:rsid w:val="00470CD8"/>
    <w:rsid w:val="00470CFA"/>
    <w:rsid w:val="00470CFB"/>
    <w:rsid w:val="00470D14"/>
    <w:rsid w:val="00470DA3"/>
    <w:rsid w:val="00470DAF"/>
    <w:rsid w:val="00470DD7"/>
    <w:rsid w:val="00470E25"/>
    <w:rsid w:val="00470E9D"/>
    <w:rsid w:val="00470EAF"/>
    <w:rsid w:val="00470EEC"/>
    <w:rsid w:val="00470F15"/>
    <w:rsid w:val="0047100E"/>
    <w:rsid w:val="00471018"/>
    <w:rsid w:val="0047102E"/>
    <w:rsid w:val="00471077"/>
    <w:rsid w:val="004710BD"/>
    <w:rsid w:val="004710C1"/>
    <w:rsid w:val="004710E1"/>
    <w:rsid w:val="004710F1"/>
    <w:rsid w:val="0047111E"/>
    <w:rsid w:val="00471131"/>
    <w:rsid w:val="00471167"/>
    <w:rsid w:val="00471194"/>
    <w:rsid w:val="004711D9"/>
    <w:rsid w:val="004711DE"/>
    <w:rsid w:val="0047123B"/>
    <w:rsid w:val="00471243"/>
    <w:rsid w:val="00471248"/>
    <w:rsid w:val="004712A1"/>
    <w:rsid w:val="004712CF"/>
    <w:rsid w:val="004712D0"/>
    <w:rsid w:val="0047140A"/>
    <w:rsid w:val="004714AF"/>
    <w:rsid w:val="0047155F"/>
    <w:rsid w:val="00471569"/>
    <w:rsid w:val="004715A6"/>
    <w:rsid w:val="004715D1"/>
    <w:rsid w:val="004716BB"/>
    <w:rsid w:val="004716E8"/>
    <w:rsid w:val="0047174D"/>
    <w:rsid w:val="0047176E"/>
    <w:rsid w:val="0047177D"/>
    <w:rsid w:val="00471781"/>
    <w:rsid w:val="004717A3"/>
    <w:rsid w:val="004717B1"/>
    <w:rsid w:val="004717BA"/>
    <w:rsid w:val="0047180B"/>
    <w:rsid w:val="00471812"/>
    <w:rsid w:val="00471885"/>
    <w:rsid w:val="0047189F"/>
    <w:rsid w:val="004718A5"/>
    <w:rsid w:val="004718CA"/>
    <w:rsid w:val="004718E7"/>
    <w:rsid w:val="004718FE"/>
    <w:rsid w:val="0047196C"/>
    <w:rsid w:val="0047197B"/>
    <w:rsid w:val="004719E6"/>
    <w:rsid w:val="004719EC"/>
    <w:rsid w:val="00471A6A"/>
    <w:rsid w:val="00471A86"/>
    <w:rsid w:val="00471AB0"/>
    <w:rsid w:val="00471AC5"/>
    <w:rsid w:val="00471AEE"/>
    <w:rsid w:val="00471AF4"/>
    <w:rsid w:val="00471AFD"/>
    <w:rsid w:val="00471B49"/>
    <w:rsid w:val="00471B77"/>
    <w:rsid w:val="00471B87"/>
    <w:rsid w:val="00471B96"/>
    <w:rsid w:val="00471BB0"/>
    <w:rsid w:val="00471C3B"/>
    <w:rsid w:val="00471C5B"/>
    <w:rsid w:val="00471C66"/>
    <w:rsid w:val="00471C94"/>
    <w:rsid w:val="00471CAA"/>
    <w:rsid w:val="00471CC0"/>
    <w:rsid w:val="00471CF9"/>
    <w:rsid w:val="00471D10"/>
    <w:rsid w:val="00471D17"/>
    <w:rsid w:val="00471D7E"/>
    <w:rsid w:val="00471D99"/>
    <w:rsid w:val="00471DB7"/>
    <w:rsid w:val="00471DC9"/>
    <w:rsid w:val="00471DDC"/>
    <w:rsid w:val="00471DE1"/>
    <w:rsid w:val="00471DFD"/>
    <w:rsid w:val="00471E2B"/>
    <w:rsid w:val="00471E50"/>
    <w:rsid w:val="00471E9D"/>
    <w:rsid w:val="00471EB3"/>
    <w:rsid w:val="00471EDD"/>
    <w:rsid w:val="00471F54"/>
    <w:rsid w:val="0047201B"/>
    <w:rsid w:val="0047201F"/>
    <w:rsid w:val="00472048"/>
    <w:rsid w:val="0047207A"/>
    <w:rsid w:val="00472093"/>
    <w:rsid w:val="0047209E"/>
    <w:rsid w:val="004720C8"/>
    <w:rsid w:val="004720E4"/>
    <w:rsid w:val="0047212E"/>
    <w:rsid w:val="00472158"/>
    <w:rsid w:val="0047216B"/>
    <w:rsid w:val="0047216C"/>
    <w:rsid w:val="004721B1"/>
    <w:rsid w:val="0047223D"/>
    <w:rsid w:val="00472266"/>
    <w:rsid w:val="00472274"/>
    <w:rsid w:val="00472348"/>
    <w:rsid w:val="00472368"/>
    <w:rsid w:val="0047238C"/>
    <w:rsid w:val="004723B9"/>
    <w:rsid w:val="004723F5"/>
    <w:rsid w:val="0047240B"/>
    <w:rsid w:val="00472415"/>
    <w:rsid w:val="00472468"/>
    <w:rsid w:val="00472471"/>
    <w:rsid w:val="004724DD"/>
    <w:rsid w:val="004724F6"/>
    <w:rsid w:val="00472500"/>
    <w:rsid w:val="0047256C"/>
    <w:rsid w:val="004725B4"/>
    <w:rsid w:val="004725F6"/>
    <w:rsid w:val="00472610"/>
    <w:rsid w:val="00472626"/>
    <w:rsid w:val="0047269F"/>
    <w:rsid w:val="00472753"/>
    <w:rsid w:val="0047277C"/>
    <w:rsid w:val="00472789"/>
    <w:rsid w:val="004727E4"/>
    <w:rsid w:val="004727F3"/>
    <w:rsid w:val="00472823"/>
    <w:rsid w:val="00472848"/>
    <w:rsid w:val="00472887"/>
    <w:rsid w:val="00472900"/>
    <w:rsid w:val="00472906"/>
    <w:rsid w:val="004729C1"/>
    <w:rsid w:val="004729C9"/>
    <w:rsid w:val="00472A49"/>
    <w:rsid w:val="00472AB9"/>
    <w:rsid w:val="00472AC4"/>
    <w:rsid w:val="00472B71"/>
    <w:rsid w:val="00472BAC"/>
    <w:rsid w:val="00472C0A"/>
    <w:rsid w:val="00472C0D"/>
    <w:rsid w:val="00472C12"/>
    <w:rsid w:val="00472C7C"/>
    <w:rsid w:val="00472C8E"/>
    <w:rsid w:val="00472CAC"/>
    <w:rsid w:val="00472D09"/>
    <w:rsid w:val="00472DA5"/>
    <w:rsid w:val="00472E0E"/>
    <w:rsid w:val="00472E3E"/>
    <w:rsid w:val="00472E4E"/>
    <w:rsid w:val="00472E57"/>
    <w:rsid w:val="00472E65"/>
    <w:rsid w:val="00472E71"/>
    <w:rsid w:val="00472E7E"/>
    <w:rsid w:val="00472EDF"/>
    <w:rsid w:val="00472EF2"/>
    <w:rsid w:val="00472F88"/>
    <w:rsid w:val="00472FF9"/>
    <w:rsid w:val="00473000"/>
    <w:rsid w:val="00473007"/>
    <w:rsid w:val="004730C9"/>
    <w:rsid w:val="004730D2"/>
    <w:rsid w:val="004730F8"/>
    <w:rsid w:val="004730FB"/>
    <w:rsid w:val="0047313F"/>
    <w:rsid w:val="00473154"/>
    <w:rsid w:val="0047319E"/>
    <w:rsid w:val="004731EF"/>
    <w:rsid w:val="00473202"/>
    <w:rsid w:val="00473259"/>
    <w:rsid w:val="0047325E"/>
    <w:rsid w:val="004732C0"/>
    <w:rsid w:val="004732DE"/>
    <w:rsid w:val="0047332F"/>
    <w:rsid w:val="00473342"/>
    <w:rsid w:val="00473350"/>
    <w:rsid w:val="00473378"/>
    <w:rsid w:val="004733DF"/>
    <w:rsid w:val="004733E0"/>
    <w:rsid w:val="004733F7"/>
    <w:rsid w:val="004733F8"/>
    <w:rsid w:val="0047341B"/>
    <w:rsid w:val="0047343A"/>
    <w:rsid w:val="00473476"/>
    <w:rsid w:val="0047348C"/>
    <w:rsid w:val="004734A9"/>
    <w:rsid w:val="004734AA"/>
    <w:rsid w:val="004734AB"/>
    <w:rsid w:val="004734B8"/>
    <w:rsid w:val="004734D1"/>
    <w:rsid w:val="004734EC"/>
    <w:rsid w:val="00473542"/>
    <w:rsid w:val="004735DB"/>
    <w:rsid w:val="004735DE"/>
    <w:rsid w:val="004735E1"/>
    <w:rsid w:val="00473623"/>
    <w:rsid w:val="0047366D"/>
    <w:rsid w:val="00473671"/>
    <w:rsid w:val="00473695"/>
    <w:rsid w:val="004736C6"/>
    <w:rsid w:val="0047374F"/>
    <w:rsid w:val="00473781"/>
    <w:rsid w:val="004737E5"/>
    <w:rsid w:val="00473835"/>
    <w:rsid w:val="0047384D"/>
    <w:rsid w:val="0047389E"/>
    <w:rsid w:val="004738A4"/>
    <w:rsid w:val="004738EF"/>
    <w:rsid w:val="0047398B"/>
    <w:rsid w:val="004739AC"/>
    <w:rsid w:val="00473A34"/>
    <w:rsid w:val="00473AAA"/>
    <w:rsid w:val="00473AAE"/>
    <w:rsid w:val="00473B4D"/>
    <w:rsid w:val="00473B75"/>
    <w:rsid w:val="00473BB1"/>
    <w:rsid w:val="00473BEC"/>
    <w:rsid w:val="00473C06"/>
    <w:rsid w:val="00473C0B"/>
    <w:rsid w:val="00473C0F"/>
    <w:rsid w:val="00473C11"/>
    <w:rsid w:val="00473C19"/>
    <w:rsid w:val="00473C1C"/>
    <w:rsid w:val="00473C20"/>
    <w:rsid w:val="00473C39"/>
    <w:rsid w:val="00473C54"/>
    <w:rsid w:val="00473C5F"/>
    <w:rsid w:val="00473C78"/>
    <w:rsid w:val="00473CE9"/>
    <w:rsid w:val="00473D90"/>
    <w:rsid w:val="00473DB3"/>
    <w:rsid w:val="00473DB8"/>
    <w:rsid w:val="00473E14"/>
    <w:rsid w:val="00473E1C"/>
    <w:rsid w:val="00473E1D"/>
    <w:rsid w:val="00473E34"/>
    <w:rsid w:val="00473E76"/>
    <w:rsid w:val="00473EA9"/>
    <w:rsid w:val="00473EAA"/>
    <w:rsid w:val="00473ECA"/>
    <w:rsid w:val="00473ED0"/>
    <w:rsid w:val="00473F1D"/>
    <w:rsid w:val="00473FCC"/>
    <w:rsid w:val="00473FD4"/>
    <w:rsid w:val="00473FF7"/>
    <w:rsid w:val="0047404B"/>
    <w:rsid w:val="00474081"/>
    <w:rsid w:val="00474083"/>
    <w:rsid w:val="004740B6"/>
    <w:rsid w:val="004740CB"/>
    <w:rsid w:val="00474128"/>
    <w:rsid w:val="00474164"/>
    <w:rsid w:val="004741D0"/>
    <w:rsid w:val="004741FC"/>
    <w:rsid w:val="00474210"/>
    <w:rsid w:val="00474281"/>
    <w:rsid w:val="004742D3"/>
    <w:rsid w:val="00474390"/>
    <w:rsid w:val="004743DE"/>
    <w:rsid w:val="00474402"/>
    <w:rsid w:val="004744C3"/>
    <w:rsid w:val="004744D9"/>
    <w:rsid w:val="004744F4"/>
    <w:rsid w:val="004744FD"/>
    <w:rsid w:val="00474504"/>
    <w:rsid w:val="00474523"/>
    <w:rsid w:val="00474541"/>
    <w:rsid w:val="0047454D"/>
    <w:rsid w:val="00474593"/>
    <w:rsid w:val="004745E2"/>
    <w:rsid w:val="00474639"/>
    <w:rsid w:val="004746DA"/>
    <w:rsid w:val="004746DF"/>
    <w:rsid w:val="00474707"/>
    <w:rsid w:val="0047470A"/>
    <w:rsid w:val="00474762"/>
    <w:rsid w:val="004747F4"/>
    <w:rsid w:val="0047481E"/>
    <w:rsid w:val="004748A5"/>
    <w:rsid w:val="004748B7"/>
    <w:rsid w:val="004748C8"/>
    <w:rsid w:val="004748EA"/>
    <w:rsid w:val="00474907"/>
    <w:rsid w:val="0047490E"/>
    <w:rsid w:val="00474975"/>
    <w:rsid w:val="0047498D"/>
    <w:rsid w:val="004749C5"/>
    <w:rsid w:val="004749C9"/>
    <w:rsid w:val="004749CB"/>
    <w:rsid w:val="004749D1"/>
    <w:rsid w:val="004749FF"/>
    <w:rsid w:val="00474A2B"/>
    <w:rsid w:val="00474A3A"/>
    <w:rsid w:val="00474A3E"/>
    <w:rsid w:val="00474A5B"/>
    <w:rsid w:val="00474A8E"/>
    <w:rsid w:val="00474AFB"/>
    <w:rsid w:val="00474B18"/>
    <w:rsid w:val="00474B25"/>
    <w:rsid w:val="00474B35"/>
    <w:rsid w:val="00474B8E"/>
    <w:rsid w:val="00474B9C"/>
    <w:rsid w:val="00474BA1"/>
    <w:rsid w:val="00474BC6"/>
    <w:rsid w:val="00474BCD"/>
    <w:rsid w:val="00474BD0"/>
    <w:rsid w:val="00474C07"/>
    <w:rsid w:val="00474C24"/>
    <w:rsid w:val="00474C75"/>
    <w:rsid w:val="00474C79"/>
    <w:rsid w:val="00474C7B"/>
    <w:rsid w:val="00474C7E"/>
    <w:rsid w:val="00474CCC"/>
    <w:rsid w:val="00474D04"/>
    <w:rsid w:val="00474D7D"/>
    <w:rsid w:val="00474DD4"/>
    <w:rsid w:val="00474EE2"/>
    <w:rsid w:val="00474EEC"/>
    <w:rsid w:val="00474EF3"/>
    <w:rsid w:val="00474F8F"/>
    <w:rsid w:val="00474FBD"/>
    <w:rsid w:val="00474FD3"/>
    <w:rsid w:val="00474FEA"/>
    <w:rsid w:val="0047502A"/>
    <w:rsid w:val="0047506F"/>
    <w:rsid w:val="00475091"/>
    <w:rsid w:val="004750A0"/>
    <w:rsid w:val="004750EE"/>
    <w:rsid w:val="0047512E"/>
    <w:rsid w:val="00475155"/>
    <w:rsid w:val="00475198"/>
    <w:rsid w:val="00475245"/>
    <w:rsid w:val="004752EE"/>
    <w:rsid w:val="004752FC"/>
    <w:rsid w:val="0047530E"/>
    <w:rsid w:val="0047535F"/>
    <w:rsid w:val="00475399"/>
    <w:rsid w:val="0047539F"/>
    <w:rsid w:val="004753A6"/>
    <w:rsid w:val="004753A7"/>
    <w:rsid w:val="004753B8"/>
    <w:rsid w:val="004753DC"/>
    <w:rsid w:val="00475441"/>
    <w:rsid w:val="004754D7"/>
    <w:rsid w:val="00475505"/>
    <w:rsid w:val="0047550B"/>
    <w:rsid w:val="00475536"/>
    <w:rsid w:val="0047558C"/>
    <w:rsid w:val="0047559B"/>
    <w:rsid w:val="0047562A"/>
    <w:rsid w:val="0047563C"/>
    <w:rsid w:val="00475686"/>
    <w:rsid w:val="004756C2"/>
    <w:rsid w:val="00475713"/>
    <w:rsid w:val="004757CB"/>
    <w:rsid w:val="004757E7"/>
    <w:rsid w:val="0047580B"/>
    <w:rsid w:val="0047582A"/>
    <w:rsid w:val="0047586F"/>
    <w:rsid w:val="00475874"/>
    <w:rsid w:val="004758A5"/>
    <w:rsid w:val="004758A7"/>
    <w:rsid w:val="004758B6"/>
    <w:rsid w:val="004758FD"/>
    <w:rsid w:val="004758FE"/>
    <w:rsid w:val="00475944"/>
    <w:rsid w:val="004759E8"/>
    <w:rsid w:val="004759EB"/>
    <w:rsid w:val="00475A3D"/>
    <w:rsid w:val="00475A80"/>
    <w:rsid w:val="00475A88"/>
    <w:rsid w:val="00475A89"/>
    <w:rsid w:val="00475AEC"/>
    <w:rsid w:val="00475B4D"/>
    <w:rsid w:val="00475B67"/>
    <w:rsid w:val="00475B69"/>
    <w:rsid w:val="00475BB1"/>
    <w:rsid w:val="00475BC9"/>
    <w:rsid w:val="00475BD9"/>
    <w:rsid w:val="00475C0F"/>
    <w:rsid w:val="00475C1D"/>
    <w:rsid w:val="00475C45"/>
    <w:rsid w:val="00475C56"/>
    <w:rsid w:val="00475C61"/>
    <w:rsid w:val="00475C9D"/>
    <w:rsid w:val="00475CE0"/>
    <w:rsid w:val="00475CEC"/>
    <w:rsid w:val="00475D14"/>
    <w:rsid w:val="00475DAF"/>
    <w:rsid w:val="00475E00"/>
    <w:rsid w:val="00475E31"/>
    <w:rsid w:val="00475E6B"/>
    <w:rsid w:val="00475EA3"/>
    <w:rsid w:val="00475EAF"/>
    <w:rsid w:val="00475EB5"/>
    <w:rsid w:val="00475EBF"/>
    <w:rsid w:val="00475FA7"/>
    <w:rsid w:val="00475FC7"/>
    <w:rsid w:val="00476004"/>
    <w:rsid w:val="00476037"/>
    <w:rsid w:val="00476090"/>
    <w:rsid w:val="00476097"/>
    <w:rsid w:val="004760C4"/>
    <w:rsid w:val="0047613A"/>
    <w:rsid w:val="0047616C"/>
    <w:rsid w:val="004761C3"/>
    <w:rsid w:val="004761CC"/>
    <w:rsid w:val="00476238"/>
    <w:rsid w:val="0047625C"/>
    <w:rsid w:val="0047625E"/>
    <w:rsid w:val="004762B9"/>
    <w:rsid w:val="004762D1"/>
    <w:rsid w:val="004762F3"/>
    <w:rsid w:val="00476316"/>
    <w:rsid w:val="00476322"/>
    <w:rsid w:val="00476332"/>
    <w:rsid w:val="0047635A"/>
    <w:rsid w:val="00476377"/>
    <w:rsid w:val="00476379"/>
    <w:rsid w:val="0047637E"/>
    <w:rsid w:val="004763A4"/>
    <w:rsid w:val="004763AE"/>
    <w:rsid w:val="00476458"/>
    <w:rsid w:val="00476481"/>
    <w:rsid w:val="004764AF"/>
    <w:rsid w:val="004764CA"/>
    <w:rsid w:val="00476651"/>
    <w:rsid w:val="0047665F"/>
    <w:rsid w:val="00476677"/>
    <w:rsid w:val="004766AA"/>
    <w:rsid w:val="004766D7"/>
    <w:rsid w:val="00476772"/>
    <w:rsid w:val="00476777"/>
    <w:rsid w:val="0047678A"/>
    <w:rsid w:val="004767AA"/>
    <w:rsid w:val="00476837"/>
    <w:rsid w:val="00476855"/>
    <w:rsid w:val="0047690E"/>
    <w:rsid w:val="004769EB"/>
    <w:rsid w:val="00476A21"/>
    <w:rsid w:val="00476A2E"/>
    <w:rsid w:val="00476A6F"/>
    <w:rsid w:val="00476A8D"/>
    <w:rsid w:val="00476B58"/>
    <w:rsid w:val="00476B85"/>
    <w:rsid w:val="00476C2A"/>
    <w:rsid w:val="00476C4D"/>
    <w:rsid w:val="00476CAB"/>
    <w:rsid w:val="00476CFF"/>
    <w:rsid w:val="00476D28"/>
    <w:rsid w:val="00476D63"/>
    <w:rsid w:val="00476D78"/>
    <w:rsid w:val="00476DA7"/>
    <w:rsid w:val="00476DDD"/>
    <w:rsid w:val="00476E25"/>
    <w:rsid w:val="00476E2E"/>
    <w:rsid w:val="00476EB7"/>
    <w:rsid w:val="00476EFB"/>
    <w:rsid w:val="00476F36"/>
    <w:rsid w:val="00476F3C"/>
    <w:rsid w:val="00476F60"/>
    <w:rsid w:val="00476F9A"/>
    <w:rsid w:val="00476FBD"/>
    <w:rsid w:val="00476FD6"/>
    <w:rsid w:val="0047702C"/>
    <w:rsid w:val="004770B7"/>
    <w:rsid w:val="004770E3"/>
    <w:rsid w:val="004770FB"/>
    <w:rsid w:val="00477122"/>
    <w:rsid w:val="0047712E"/>
    <w:rsid w:val="00477141"/>
    <w:rsid w:val="00477244"/>
    <w:rsid w:val="00477263"/>
    <w:rsid w:val="0047726C"/>
    <w:rsid w:val="00477276"/>
    <w:rsid w:val="004772AC"/>
    <w:rsid w:val="004772EE"/>
    <w:rsid w:val="0047737A"/>
    <w:rsid w:val="004773C2"/>
    <w:rsid w:val="00477469"/>
    <w:rsid w:val="0047749E"/>
    <w:rsid w:val="00477512"/>
    <w:rsid w:val="00477599"/>
    <w:rsid w:val="0047760F"/>
    <w:rsid w:val="00477615"/>
    <w:rsid w:val="0047762B"/>
    <w:rsid w:val="00477644"/>
    <w:rsid w:val="00477664"/>
    <w:rsid w:val="0047767C"/>
    <w:rsid w:val="004776C3"/>
    <w:rsid w:val="004776DC"/>
    <w:rsid w:val="00477738"/>
    <w:rsid w:val="00477746"/>
    <w:rsid w:val="004777DE"/>
    <w:rsid w:val="004777E1"/>
    <w:rsid w:val="00477830"/>
    <w:rsid w:val="0047784A"/>
    <w:rsid w:val="0047786A"/>
    <w:rsid w:val="004778A5"/>
    <w:rsid w:val="004778AE"/>
    <w:rsid w:val="004778D1"/>
    <w:rsid w:val="0047790E"/>
    <w:rsid w:val="00477945"/>
    <w:rsid w:val="0047794E"/>
    <w:rsid w:val="00477997"/>
    <w:rsid w:val="004779A9"/>
    <w:rsid w:val="004779AF"/>
    <w:rsid w:val="004779D1"/>
    <w:rsid w:val="00477A00"/>
    <w:rsid w:val="00477A06"/>
    <w:rsid w:val="00477A20"/>
    <w:rsid w:val="00477A42"/>
    <w:rsid w:val="00477ADE"/>
    <w:rsid w:val="00477B38"/>
    <w:rsid w:val="00477B8D"/>
    <w:rsid w:val="00477B8F"/>
    <w:rsid w:val="00477C45"/>
    <w:rsid w:val="00477C71"/>
    <w:rsid w:val="00477CC3"/>
    <w:rsid w:val="00477CDE"/>
    <w:rsid w:val="00477CE1"/>
    <w:rsid w:val="00477D07"/>
    <w:rsid w:val="00477D27"/>
    <w:rsid w:val="00477D28"/>
    <w:rsid w:val="00477D76"/>
    <w:rsid w:val="00477D9A"/>
    <w:rsid w:val="00477E28"/>
    <w:rsid w:val="00477E3C"/>
    <w:rsid w:val="00477E53"/>
    <w:rsid w:val="00477EB0"/>
    <w:rsid w:val="00477EE1"/>
    <w:rsid w:val="00477F0A"/>
    <w:rsid w:val="00477F41"/>
    <w:rsid w:val="00477F8F"/>
    <w:rsid w:val="00477F98"/>
    <w:rsid w:val="00477FB7"/>
    <w:rsid w:val="00480063"/>
    <w:rsid w:val="00480089"/>
    <w:rsid w:val="004800C0"/>
    <w:rsid w:val="00480124"/>
    <w:rsid w:val="0048013C"/>
    <w:rsid w:val="00480186"/>
    <w:rsid w:val="0048019F"/>
    <w:rsid w:val="004801A4"/>
    <w:rsid w:val="004801DF"/>
    <w:rsid w:val="0048024B"/>
    <w:rsid w:val="004802B2"/>
    <w:rsid w:val="004802CB"/>
    <w:rsid w:val="00480369"/>
    <w:rsid w:val="004803B9"/>
    <w:rsid w:val="00480400"/>
    <w:rsid w:val="0048040D"/>
    <w:rsid w:val="00480436"/>
    <w:rsid w:val="00480457"/>
    <w:rsid w:val="00480468"/>
    <w:rsid w:val="00480487"/>
    <w:rsid w:val="004804E6"/>
    <w:rsid w:val="004804EB"/>
    <w:rsid w:val="00480517"/>
    <w:rsid w:val="00480524"/>
    <w:rsid w:val="00480607"/>
    <w:rsid w:val="0048063D"/>
    <w:rsid w:val="00480679"/>
    <w:rsid w:val="004806CF"/>
    <w:rsid w:val="004806DC"/>
    <w:rsid w:val="00480793"/>
    <w:rsid w:val="00480794"/>
    <w:rsid w:val="004807A8"/>
    <w:rsid w:val="004807DA"/>
    <w:rsid w:val="004807DB"/>
    <w:rsid w:val="00480800"/>
    <w:rsid w:val="0048081E"/>
    <w:rsid w:val="00480820"/>
    <w:rsid w:val="00480873"/>
    <w:rsid w:val="004808AC"/>
    <w:rsid w:val="004808EA"/>
    <w:rsid w:val="00480970"/>
    <w:rsid w:val="004809CB"/>
    <w:rsid w:val="00480A0A"/>
    <w:rsid w:val="00480AB9"/>
    <w:rsid w:val="00480ADC"/>
    <w:rsid w:val="00480B25"/>
    <w:rsid w:val="00480B33"/>
    <w:rsid w:val="00480B35"/>
    <w:rsid w:val="00480B39"/>
    <w:rsid w:val="00480B71"/>
    <w:rsid w:val="00480BFC"/>
    <w:rsid w:val="00480C23"/>
    <w:rsid w:val="00480C5B"/>
    <w:rsid w:val="00480C62"/>
    <w:rsid w:val="00480C68"/>
    <w:rsid w:val="00480C77"/>
    <w:rsid w:val="00480CD5"/>
    <w:rsid w:val="00480CD6"/>
    <w:rsid w:val="00480D04"/>
    <w:rsid w:val="00480D81"/>
    <w:rsid w:val="00480DB8"/>
    <w:rsid w:val="00480DC7"/>
    <w:rsid w:val="00480E8D"/>
    <w:rsid w:val="00480F12"/>
    <w:rsid w:val="00480F33"/>
    <w:rsid w:val="00480F4C"/>
    <w:rsid w:val="00480F79"/>
    <w:rsid w:val="00480FC8"/>
    <w:rsid w:val="00480FDC"/>
    <w:rsid w:val="00480FDE"/>
    <w:rsid w:val="00480FDF"/>
    <w:rsid w:val="00481051"/>
    <w:rsid w:val="00481101"/>
    <w:rsid w:val="00481111"/>
    <w:rsid w:val="0048118B"/>
    <w:rsid w:val="0048118F"/>
    <w:rsid w:val="0048119E"/>
    <w:rsid w:val="004811D5"/>
    <w:rsid w:val="0048120C"/>
    <w:rsid w:val="004812A9"/>
    <w:rsid w:val="004812CC"/>
    <w:rsid w:val="004812EE"/>
    <w:rsid w:val="00481332"/>
    <w:rsid w:val="00481397"/>
    <w:rsid w:val="00481468"/>
    <w:rsid w:val="0048149A"/>
    <w:rsid w:val="00481505"/>
    <w:rsid w:val="0048150B"/>
    <w:rsid w:val="0048153D"/>
    <w:rsid w:val="00481547"/>
    <w:rsid w:val="0048158D"/>
    <w:rsid w:val="00481621"/>
    <w:rsid w:val="0048168E"/>
    <w:rsid w:val="0048169F"/>
    <w:rsid w:val="004816DD"/>
    <w:rsid w:val="004816E7"/>
    <w:rsid w:val="004816EB"/>
    <w:rsid w:val="004816F9"/>
    <w:rsid w:val="00481706"/>
    <w:rsid w:val="00481716"/>
    <w:rsid w:val="00481782"/>
    <w:rsid w:val="004817CA"/>
    <w:rsid w:val="00481875"/>
    <w:rsid w:val="00481893"/>
    <w:rsid w:val="004818A0"/>
    <w:rsid w:val="0048190A"/>
    <w:rsid w:val="00481940"/>
    <w:rsid w:val="00481A41"/>
    <w:rsid w:val="00481A8D"/>
    <w:rsid w:val="00481AB8"/>
    <w:rsid w:val="00481AF7"/>
    <w:rsid w:val="00481B2F"/>
    <w:rsid w:val="00481B88"/>
    <w:rsid w:val="00481BA5"/>
    <w:rsid w:val="00481BAA"/>
    <w:rsid w:val="00481C1C"/>
    <w:rsid w:val="00481C21"/>
    <w:rsid w:val="00481C26"/>
    <w:rsid w:val="00481C27"/>
    <w:rsid w:val="00481C49"/>
    <w:rsid w:val="00481C4D"/>
    <w:rsid w:val="00481C8A"/>
    <w:rsid w:val="00481C93"/>
    <w:rsid w:val="00481D5E"/>
    <w:rsid w:val="00481D66"/>
    <w:rsid w:val="00481D68"/>
    <w:rsid w:val="00481DA4"/>
    <w:rsid w:val="00481DCE"/>
    <w:rsid w:val="00481E18"/>
    <w:rsid w:val="00481E95"/>
    <w:rsid w:val="00481ED3"/>
    <w:rsid w:val="00481EE6"/>
    <w:rsid w:val="00481EFA"/>
    <w:rsid w:val="00481EFB"/>
    <w:rsid w:val="00481F23"/>
    <w:rsid w:val="00481F3A"/>
    <w:rsid w:val="00481F48"/>
    <w:rsid w:val="00481F4F"/>
    <w:rsid w:val="00481FCE"/>
    <w:rsid w:val="00482021"/>
    <w:rsid w:val="0048202E"/>
    <w:rsid w:val="00482049"/>
    <w:rsid w:val="0048206B"/>
    <w:rsid w:val="00482082"/>
    <w:rsid w:val="004820C0"/>
    <w:rsid w:val="004821D9"/>
    <w:rsid w:val="00482221"/>
    <w:rsid w:val="00482262"/>
    <w:rsid w:val="00482263"/>
    <w:rsid w:val="0048226B"/>
    <w:rsid w:val="0048228F"/>
    <w:rsid w:val="004822BB"/>
    <w:rsid w:val="00482316"/>
    <w:rsid w:val="00482357"/>
    <w:rsid w:val="0048238A"/>
    <w:rsid w:val="004823B1"/>
    <w:rsid w:val="004823B6"/>
    <w:rsid w:val="004823ED"/>
    <w:rsid w:val="00482403"/>
    <w:rsid w:val="00482433"/>
    <w:rsid w:val="00482484"/>
    <w:rsid w:val="004824B6"/>
    <w:rsid w:val="004825B0"/>
    <w:rsid w:val="004825E8"/>
    <w:rsid w:val="0048260D"/>
    <w:rsid w:val="00482677"/>
    <w:rsid w:val="00482685"/>
    <w:rsid w:val="004826CA"/>
    <w:rsid w:val="0048275C"/>
    <w:rsid w:val="0048279B"/>
    <w:rsid w:val="004827B2"/>
    <w:rsid w:val="004827F2"/>
    <w:rsid w:val="0048283B"/>
    <w:rsid w:val="00482866"/>
    <w:rsid w:val="0048286B"/>
    <w:rsid w:val="0048288A"/>
    <w:rsid w:val="00482897"/>
    <w:rsid w:val="0048296F"/>
    <w:rsid w:val="004829BF"/>
    <w:rsid w:val="004829FC"/>
    <w:rsid w:val="00482AE0"/>
    <w:rsid w:val="00482AF0"/>
    <w:rsid w:val="00482B32"/>
    <w:rsid w:val="00482B53"/>
    <w:rsid w:val="00482BC4"/>
    <w:rsid w:val="00482C51"/>
    <w:rsid w:val="00482C65"/>
    <w:rsid w:val="00482D17"/>
    <w:rsid w:val="00482D1F"/>
    <w:rsid w:val="00482D49"/>
    <w:rsid w:val="00482D73"/>
    <w:rsid w:val="00482E17"/>
    <w:rsid w:val="00482F97"/>
    <w:rsid w:val="00482FB2"/>
    <w:rsid w:val="00483019"/>
    <w:rsid w:val="00483052"/>
    <w:rsid w:val="00483056"/>
    <w:rsid w:val="00483057"/>
    <w:rsid w:val="00483199"/>
    <w:rsid w:val="004831BB"/>
    <w:rsid w:val="0048322C"/>
    <w:rsid w:val="0048322E"/>
    <w:rsid w:val="00483256"/>
    <w:rsid w:val="0048326F"/>
    <w:rsid w:val="0048328F"/>
    <w:rsid w:val="004832B8"/>
    <w:rsid w:val="004832BC"/>
    <w:rsid w:val="004832F6"/>
    <w:rsid w:val="00483300"/>
    <w:rsid w:val="004833E2"/>
    <w:rsid w:val="0048343A"/>
    <w:rsid w:val="00483534"/>
    <w:rsid w:val="00483552"/>
    <w:rsid w:val="00483557"/>
    <w:rsid w:val="0048356D"/>
    <w:rsid w:val="004835B9"/>
    <w:rsid w:val="004835E6"/>
    <w:rsid w:val="004835ED"/>
    <w:rsid w:val="004835FC"/>
    <w:rsid w:val="004836CB"/>
    <w:rsid w:val="004836D1"/>
    <w:rsid w:val="0048370B"/>
    <w:rsid w:val="00483782"/>
    <w:rsid w:val="0048378C"/>
    <w:rsid w:val="00483794"/>
    <w:rsid w:val="0048379B"/>
    <w:rsid w:val="004837B7"/>
    <w:rsid w:val="004837EE"/>
    <w:rsid w:val="0048385C"/>
    <w:rsid w:val="0048388D"/>
    <w:rsid w:val="004838F1"/>
    <w:rsid w:val="004838FE"/>
    <w:rsid w:val="0048392B"/>
    <w:rsid w:val="00483966"/>
    <w:rsid w:val="00483A4A"/>
    <w:rsid w:val="00483AD8"/>
    <w:rsid w:val="00483AF5"/>
    <w:rsid w:val="00483B2A"/>
    <w:rsid w:val="00483B65"/>
    <w:rsid w:val="00483B77"/>
    <w:rsid w:val="00483BC7"/>
    <w:rsid w:val="00483BDD"/>
    <w:rsid w:val="00483C23"/>
    <w:rsid w:val="00483C69"/>
    <w:rsid w:val="00483C8D"/>
    <w:rsid w:val="00483CA6"/>
    <w:rsid w:val="00483CEB"/>
    <w:rsid w:val="00483D10"/>
    <w:rsid w:val="00483D42"/>
    <w:rsid w:val="00483D8A"/>
    <w:rsid w:val="00483DC9"/>
    <w:rsid w:val="00483DCB"/>
    <w:rsid w:val="00483DEB"/>
    <w:rsid w:val="00483E20"/>
    <w:rsid w:val="00483E96"/>
    <w:rsid w:val="00483F58"/>
    <w:rsid w:val="0048402A"/>
    <w:rsid w:val="0048405A"/>
    <w:rsid w:val="00484096"/>
    <w:rsid w:val="004840A7"/>
    <w:rsid w:val="004840AA"/>
    <w:rsid w:val="004840BC"/>
    <w:rsid w:val="004840DD"/>
    <w:rsid w:val="00484109"/>
    <w:rsid w:val="0048415C"/>
    <w:rsid w:val="004841E7"/>
    <w:rsid w:val="004841F6"/>
    <w:rsid w:val="00484260"/>
    <w:rsid w:val="00484283"/>
    <w:rsid w:val="00484309"/>
    <w:rsid w:val="00484387"/>
    <w:rsid w:val="00484389"/>
    <w:rsid w:val="004843EC"/>
    <w:rsid w:val="0048440F"/>
    <w:rsid w:val="00484485"/>
    <w:rsid w:val="00484494"/>
    <w:rsid w:val="00484498"/>
    <w:rsid w:val="004844A0"/>
    <w:rsid w:val="004844DD"/>
    <w:rsid w:val="00484507"/>
    <w:rsid w:val="0048451C"/>
    <w:rsid w:val="00484574"/>
    <w:rsid w:val="0048462D"/>
    <w:rsid w:val="00484645"/>
    <w:rsid w:val="00484657"/>
    <w:rsid w:val="0048469B"/>
    <w:rsid w:val="004846B4"/>
    <w:rsid w:val="00484791"/>
    <w:rsid w:val="004847AD"/>
    <w:rsid w:val="004847D3"/>
    <w:rsid w:val="0048486E"/>
    <w:rsid w:val="00484880"/>
    <w:rsid w:val="0048488D"/>
    <w:rsid w:val="004848AA"/>
    <w:rsid w:val="004848F5"/>
    <w:rsid w:val="00484902"/>
    <w:rsid w:val="00484917"/>
    <w:rsid w:val="0048499B"/>
    <w:rsid w:val="004849BD"/>
    <w:rsid w:val="004849FC"/>
    <w:rsid w:val="00484A13"/>
    <w:rsid w:val="00484A73"/>
    <w:rsid w:val="00484AF0"/>
    <w:rsid w:val="00484B06"/>
    <w:rsid w:val="00484B4A"/>
    <w:rsid w:val="00484B83"/>
    <w:rsid w:val="00484B98"/>
    <w:rsid w:val="00484BAB"/>
    <w:rsid w:val="00484BCE"/>
    <w:rsid w:val="00484BDB"/>
    <w:rsid w:val="00484C2F"/>
    <w:rsid w:val="00484C58"/>
    <w:rsid w:val="00484C5E"/>
    <w:rsid w:val="00484D0A"/>
    <w:rsid w:val="00484D4D"/>
    <w:rsid w:val="00484D62"/>
    <w:rsid w:val="00484D7D"/>
    <w:rsid w:val="00484DAA"/>
    <w:rsid w:val="00484E7A"/>
    <w:rsid w:val="00484F22"/>
    <w:rsid w:val="00484F95"/>
    <w:rsid w:val="00484F99"/>
    <w:rsid w:val="00485028"/>
    <w:rsid w:val="00485047"/>
    <w:rsid w:val="00485078"/>
    <w:rsid w:val="00485089"/>
    <w:rsid w:val="0048510A"/>
    <w:rsid w:val="00485117"/>
    <w:rsid w:val="00485138"/>
    <w:rsid w:val="004851B2"/>
    <w:rsid w:val="00485213"/>
    <w:rsid w:val="0048521B"/>
    <w:rsid w:val="00485235"/>
    <w:rsid w:val="00485249"/>
    <w:rsid w:val="0048524E"/>
    <w:rsid w:val="0048525B"/>
    <w:rsid w:val="0048526C"/>
    <w:rsid w:val="004852D2"/>
    <w:rsid w:val="0048532E"/>
    <w:rsid w:val="00485422"/>
    <w:rsid w:val="00485425"/>
    <w:rsid w:val="0048546A"/>
    <w:rsid w:val="00485490"/>
    <w:rsid w:val="0048549D"/>
    <w:rsid w:val="004854B2"/>
    <w:rsid w:val="004854CE"/>
    <w:rsid w:val="004854DF"/>
    <w:rsid w:val="0048555A"/>
    <w:rsid w:val="004855DA"/>
    <w:rsid w:val="004855F3"/>
    <w:rsid w:val="00485668"/>
    <w:rsid w:val="004856B9"/>
    <w:rsid w:val="0048571E"/>
    <w:rsid w:val="0048578F"/>
    <w:rsid w:val="004857C6"/>
    <w:rsid w:val="004857D2"/>
    <w:rsid w:val="0048581D"/>
    <w:rsid w:val="0048584F"/>
    <w:rsid w:val="00485864"/>
    <w:rsid w:val="004858B7"/>
    <w:rsid w:val="004858D6"/>
    <w:rsid w:val="00485940"/>
    <w:rsid w:val="00485A28"/>
    <w:rsid w:val="00485A54"/>
    <w:rsid w:val="00485AAD"/>
    <w:rsid w:val="00485AB2"/>
    <w:rsid w:val="00485AE2"/>
    <w:rsid w:val="00485BE0"/>
    <w:rsid w:val="00485BE3"/>
    <w:rsid w:val="00485C48"/>
    <w:rsid w:val="00485C50"/>
    <w:rsid w:val="00485D16"/>
    <w:rsid w:val="00485D2F"/>
    <w:rsid w:val="00485D74"/>
    <w:rsid w:val="00485DE0"/>
    <w:rsid w:val="00485E0B"/>
    <w:rsid w:val="00485ED3"/>
    <w:rsid w:val="00485EE2"/>
    <w:rsid w:val="00485F0F"/>
    <w:rsid w:val="00485F60"/>
    <w:rsid w:val="00485FA8"/>
    <w:rsid w:val="00485FB8"/>
    <w:rsid w:val="00485FCD"/>
    <w:rsid w:val="0048601A"/>
    <w:rsid w:val="0048602B"/>
    <w:rsid w:val="00486062"/>
    <w:rsid w:val="004860BF"/>
    <w:rsid w:val="00486219"/>
    <w:rsid w:val="00486229"/>
    <w:rsid w:val="00486234"/>
    <w:rsid w:val="00486263"/>
    <w:rsid w:val="0048628D"/>
    <w:rsid w:val="004862C6"/>
    <w:rsid w:val="004862CC"/>
    <w:rsid w:val="0048630E"/>
    <w:rsid w:val="00486326"/>
    <w:rsid w:val="00486332"/>
    <w:rsid w:val="0048633B"/>
    <w:rsid w:val="00486344"/>
    <w:rsid w:val="00486378"/>
    <w:rsid w:val="004863A4"/>
    <w:rsid w:val="004863CC"/>
    <w:rsid w:val="00486403"/>
    <w:rsid w:val="0048640F"/>
    <w:rsid w:val="00486411"/>
    <w:rsid w:val="004864B4"/>
    <w:rsid w:val="004864CA"/>
    <w:rsid w:val="004864E1"/>
    <w:rsid w:val="00486529"/>
    <w:rsid w:val="00486619"/>
    <w:rsid w:val="0048662F"/>
    <w:rsid w:val="0048667D"/>
    <w:rsid w:val="004866A6"/>
    <w:rsid w:val="00486729"/>
    <w:rsid w:val="0048673B"/>
    <w:rsid w:val="0048673E"/>
    <w:rsid w:val="00486742"/>
    <w:rsid w:val="004867E3"/>
    <w:rsid w:val="00486818"/>
    <w:rsid w:val="00486850"/>
    <w:rsid w:val="004868B3"/>
    <w:rsid w:val="004868E9"/>
    <w:rsid w:val="004868FC"/>
    <w:rsid w:val="0048692D"/>
    <w:rsid w:val="00486956"/>
    <w:rsid w:val="004869AD"/>
    <w:rsid w:val="00486A33"/>
    <w:rsid w:val="00486A63"/>
    <w:rsid w:val="00486AA3"/>
    <w:rsid w:val="00486AB4"/>
    <w:rsid w:val="00486ADA"/>
    <w:rsid w:val="00486B16"/>
    <w:rsid w:val="00486B53"/>
    <w:rsid w:val="00486CBA"/>
    <w:rsid w:val="00486CC0"/>
    <w:rsid w:val="00486D4C"/>
    <w:rsid w:val="00486DC4"/>
    <w:rsid w:val="00486DEC"/>
    <w:rsid w:val="00486E40"/>
    <w:rsid w:val="00486E7D"/>
    <w:rsid w:val="00486EA5"/>
    <w:rsid w:val="00486EC9"/>
    <w:rsid w:val="00486EFE"/>
    <w:rsid w:val="00486F3A"/>
    <w:rsid w:val="00486F58"/>
    <w:rsid w:val="00486F68"/>
    <w:rsid w:val="00486F77"/>
    <w:rsid w:val="00486FB8"/>
    <w:rsid w:val="00486FBC"/>
    <w:rsid w:val="00487000"/>
    <w:rsid w:val="0048702C"/>
    <w:rsid w:val="004870D3"/>
    <w:rsid w:val="00487162"/>
    <w:rsid w:val="004871CF"/>
    <w:rsid w:val="0048720A"/>
    <w:rsid w:val="00487239"/>
    <w:rsid w:val="0048723C"/>
    <w:rsid w:val="00487278"/>
    <w:rsid w:val="0048728E"/>
    <w:rsid w:val="0048730B"/>
    <w:rsid w:val="00487333"/>
    <w:rsid w:val="00487343"/>
    <w:rsid w:val="0048734F"/>
    <w:rsid w:val="0048736E"/>
    <w:rsid w:val="00487380"/>
    <w:rsid w:val="0048738B"/>
    <w:rsid w:val="004873C2"/>
    <w:rsid w:val="004873DB"/>
    <w:rsid w:val="004873F1"/>
    <w:rsid w:val="00487409"/>
    <w:rsid w:val="00487433"/>
    <w:rsid w:val="0048748A"/>
    <w:rsid w:val="00487499"/>
    <w:rsid w:val="00487505"/>
    <w:rsid w:val="00487540"/>
    <w:rsid w:val="0048758D"/>
    <w:rsid w:val="00487591"/>
    <w:rsid w:val="0048759D"/>
    <w:rsid w:val="004875D0"/>
    <w:rsid w:val="0048760B"/>
    <w:rsid w:val="0048760C"/>
    <w:rsid w:val="0048762D"/>
    <w:rsid w:val="00487667"/>
    <w:rsid w:val="0048767F"/>
    <w:rsid w:val="0048768D"/>
    <w:rsid w:val="0048768E"/>
    <w:rsid w:val="004876ED"/>
    <w:rsid w:val="00487756"/>
    <w:rsid w:val="0048776E"/>
    <w:rsid w:val="0048777A"/>
    <w:rsid w:val="0048777B"/>
    <w:rsid w:val="0048778C"/>
    <w:rsid w:val="004877A6"/>
    <w:rsid w:val="004877E8"/>
    <w:rsid w:val="004877F5"/>
    <w:rsid w:val="0048783B"/>
    <w:rsid w:val="00487845"/>
    <w:rsid w:val="00487892"/>
    <w:rsid w:val="004878A3"/>
    <w:rsid w:val="004878A7"/>
    <w:rsid w:val="004878AC"/>
    <w:rsid w:val="0048790D"/>
    <w:rsid w:val="00487944"/>
    <w:rsid w:val="0048794B"/>
    <w:rsid w:val="0048799A"/>
    <w:rsid w:val="004879E4"/>
    <w:rsid w:val="00487A14"/>
    <w:rsid w:val="00487A41"/>
    <w:rsid w:val="00487A87"/>
    <w:rsid w:val="00487AE8"/>
    <w:rsid w:val="00487B2D"/>
    <w:rsid w:val="00487B4E"/>
    <w:rsid w:val="00487B61"/>
    <w:rsid w:val="00487B78"/>
    <w:rsid w:val="00487B79"/>
    <w:rsid w:val="00487B8E"/>
    <w:rsid w:val="00487BE3"/>
    <w:rsid w:val="00487C0A"/>
    <w:rsid w:val="00487C23"/>
    <w:rsid w:val="00487C3E"/>
    <w:rsid w:val="00487CAB"/>
    <w:rsid w:val="00487CF5"/>
    <w:rsid w:val="00487D32"/>
    <w:rsid w:val="00487D44"/>
    <w:rsid w:val="00487D62"/>
    <w:rsid w:val="00487E20"/>
    <w:rsid w:val="00487E24"/>
    <w:rsid w:val="00487E41"/>
    <w:rsid w:val="00487E5E"/>
    <w:rsid w:val="00487E64"/>
    <w:rsid w:val="00487E93"/>
    <w:rsid w:val="00487E95"/>
    <w:rsid w:val="00487EF9"/>
    <w:rsid w:val="00487F17"/>
    <w:rsid w:val="00487F64"/>
    <w:rsid w:val="00487F92"/>
    <w:rsid w:val="00487FA7"/>
    <w:rsid w:val="00487FE3"/>
    <w:rsid w:val="00487FE6"/>
    <w:rsid w:val="00490019"/>
    <w:rsid w:val="0049001B"/>
    <w:rsid w:val="00490087"/>
    <w:rsid w:val="00490094"/>
    <w:rsid w:val="004900EA"/>
    <w:rsid w:val="00490177"/>
    <w:rsid w:val="00490187"/>
    <w:rsid w:val="00490196"/>
    <w:rsid w:val="004901C1"/>
    <w:rsid w:val="0049021E"/>
    <w:rsid w:val="0049023A"/>
    <w:rsid w:val="0049027C"/>
    <w:rsid w:val="004902FF"/>
    <w:rsid w:val="00490341"/>
    <w:rsid w:val="004903D6"/>
    <w:rsid w:val="00490423"/>
    <w:rsid w:val="0049042A"/>
    <w:rsid w:val="004904C8"/>
    <w:rsid w:val="0049054F"/>
    <w:rsid w:val="004905EB"/>
    <w:rsid w:val="00490602"/>
    <w:rsid w:val="00490618"/>
    <w:rsid w:val="00490647"/>
    <w:rsid w:val="00490655"/>
    <w:rsid w:val="00490690"/>
    <w:rsid w:val="004906A3"/>
    <w:rsid w:val="004906C2"/>
    <w:rsid w:val="004906D3"/>
    <w:rsid w:val="00490734"/>
    <w:rsid w:val="00490787"/>
    <w:rsid w:val="004907ED"/>
    <w:rsid w:val="0049080D"/>
    <w:rsid w:val="004908A7"/>
    <w:rsid w:val="00490986"/>
    <w:rsid w:val="00490994"/>
    <w:rsid w:val="004909DB"/>
    <w:rsid w:val="004909DD"/>
    <w:rsid w:val="004909F0"/>
    <w:rsid w:val="00490A4B"/>
    <w:rsid w:val="00490AB3"/>
    <w:rsid w:val="00490AC4"/>
    <w:rsid w:val="00490AE9"/>
    <w:rsid w:val="00490AF4"/>
    <w:rsid w:val="00490AFB"/>
    <w:rsid w:val="00490B12"/>
    <w:rsid w:val="00490B16"/>
    <w:rsid w:val="00490B1C"/>
    <w:rsid w:val="00490B3D"/>
    <w:rsid w:val="00490B4D"/>
    <w:rsid w:val="00490B61"/>
    <w:rsid w:val="00490B9D"/>
    <w:rsid w:val="00490BB6"/>
    <w:rsid w:val="00490BB9"/>
    <w:rsid w:val="00490BE1"/>
    <w:rsid w:val="00490BEF"/>
    <w:rsid w:val="00490BF2"/>
    <w:rsid w:val="00490BF6"/>
    <w:rsid w:val="00490C3E"/>
    <w:rsid w:val="00490C45"/>
    <w:rsid w:val="00490CA9"/>
    <w:rsid w:val="00490CBF"/>
    <w:rsid w:val="00490CC6"/>
    <w:rsid w:val="00490D1B"/>
    <w:rsid w:val="00490E2F"/>
    <w:rsid w:val="00490E46"/>
    <w:rsid w:val="00490E5D"/>
    <w:rsid w:val="00490E8E"/>
    <w:rsid w:val="00490E8F"/>
    <w:rsid w:val="00490EED"/>
    <w:rsid w:val="00490F1F"/>
    <w:rsid w:val="00490F88"/>
    <w:rsid w:val="00490F8E"/>
    <w:rsid w:val="00490FA0"/>
    <w:rsid w:val="00490FEB"/>
    <w:rsid w:val="00490FEC"/>
    <w:rsid w:val="00491093"/>
    <w:rsid w:val="004910B1"/>
    <w:rsid w:val="004910E5"/>
    <w:rsid w:val="00491176"/>
    <w:rsid w:val="0049118D"/>
    <w:rsid w:val="0049126A"/>
    <w:rsid w:val="00491277"/>
    <w:rsid w:val="004912B9"/>
    <w:rsid w:val="004912C5"/>
    <w:rsid w:val="004912E5"/>
    <w:rsid w:val="00491301"/>
    <w:rsid w:val="00491313"/>
    <w:rsid w:val="004913C6"/>
    <w:rsid w:val="004913ED"/>
    <w:rsid w:val="0049144E"/>
    <w:rsid w:val="00491466"/>
    <w:rsid w:val="00491471"/>
    <w:rsid w:val="0049147A"/>
    <w:rsid w:val="004914FD"/>
    <w:rsid w:val="004914FE"/>
    <w:rsid w:val="00491530"/>
    <w:rsid w:val="00491596"/>
    <w:rsid w:val="004915C2"/>
    <w:rsid w:val="004915E4"/>
    <w:rsid w:val="004915E6"/>
    <w:rsid w:val="00491654"/>
    <w:rsid w:val="00491670"/>
    <w:rsid w:val="00491681"/>
    <w:rsid w:val="00491777"/>
    <w:rsid w:val="0049179B"/>
    <w:rsid w:val="004917C2"/>
    <w:rsid w:val="00491825"/>
    <w:rsid w:val="0049184A"/>
    <w:rsid w:val="004918CE"/>
    <w:rsid w:val="004918CF"/>
    <w:rsid w:val="0049192A"/>
    <w:rsid w:val="00491966"/>
    <w:rsid w:val="0049197A"/>
    <w:rsid w:val="0049197B"/>
    <w:rsid w:val="00491983"/>
    <w:rsid w:val="004919C8"/>
    <w:rsid w:val="00491A3C"/>
    <w:rsid w:val="00491A48"/>
    <w:rsid w:val="00491B2E"/>
    <w:rsid w:val="00491C96"/>
    <w:rsid w:val="00491CB3"/>
    <w:rsid w:val="00491CEF"/>
    <w:rsid w:val="00491CF9"/>
    <w:rsid w:val="00491D22"/>
    <w:rsid w:val="00491D23"/>
    <w:rsid w:val="00491DC9"/>
    <w:rsid w:val="00491E13"/>
    <w:rsid w:val="00491E67"/>
    <w:rsid w:val="00491E6A"/>
    <w:rsid w:val="00491E89"/>
    <w:rsid w:val="00491EA3"/>
    <w:rsid w:val="00491F12"/>
    <w:rsid w:val="00491F27"/>
    <w:rsid w:val="00491F9C"/>
    <w:rsid w:val="00491FDA"/>
    <w:rsid w:val="00491FF9"/>
    <w:rsid w:val="00492028"/>
    <w:rsid w:val="00492035"/>
    <w:rsid w:val="0049207F"/>
    <w:rsid w:val="004920B9"/>
    <w:rsid w:val="004920DA"/>
    <w:rsid w:val="00492195"/>
    <w:rsid w:val="004921C2"/>
    <w:rsid w:val="004921DE"/>
    <w:rsid w:val="004921FE"/>
    <w:rsid w:val="00492263"/>
    <w:rsid w:val="0049229B"/>
    <w:rsid w:val="004922A4"/>
    <w:rsid w:val="004922E9"/>
    <w:rsid w:val="00492324"/>
    <w:rsid w:val="00492378"/>
    <w:rsid w:val="00492392"/>
    <w:rsid w:val="00492399"/>
    <w:rsid w:val="0049239E"/>
    <w:rsid w:val="004923B7"/>
    <w:rsid w:val="0049240F"/>
    <w:rsid w:val="0049242E"/>
    <w:rsid w:val="004924A4"/>
    <w:rsid w:val="004924BE"/>
    <w:rsid w:val="004924D9"/>
    <w:rsid w:val="0049257F"/>
    <w:rsid w:val="004925EC"/>
    <w:rsid w:val="004925F4"/>
    <w:rsid w:val="004925FC"/>
    <w:rsid w:val="00492684"/>
    <w:rsid w:val="004926E7"/>
    <w:rsid w:val="0049272C"/>
    <w:rsid w:val="00492764"/>
    <w:rsid w:val="0049277A"/>
    <w:rsid w:val="004927F2"/>
    <w:rsid w:val="004927F9"/>
    <w:rsid w:val="0049280C"/>
    <w:rsid w:val="00492816"/>
    <w:rsid w:val="00492818"/>
    <w:rsid w:val="00492827"/>
    <w:rsid w:val="00492847"/>
    <w:rsid w:val="00492872"/>
    <w:rsid w:val="004928A7"/>
    <w:rsid w:val="004928C2"/>
    <w:rsid w:val="00492904"/>
    <w:rsid w:val="0049293E"/>
    <w:rsid w:val="004929AF"/>
    <w:rsid w:val="004929B4"/>
    <w:rsid w:val="004929DD"/>
    <w:rsid w:val="004929F5"/>
    <w:rsid w:val="00492A32"/>
    <w:rsid w:val="00492A94"/>
    <w:rsid w:val="00492A9E"/>
    <w:rsid w:val="00492AA4"/>
    <w:rsid w:val="00492ACD"/>
    <w:rsid w:val="00492AE1"/>
    <w:rsid w:val="00492B02"/>
    <w:rsid w:val="00492B4A"/>
    <w:rsid w:val="00492B6B"/>
    <w:rsid w:val="00492B7E"/>
    <w:rsid w:val="00492BE0"/>
    <w:rsid w:val="00492C0E"/>
    <w:rsid w:val="00492C3A"/>
    <w:rsid w:val="00492CEE"/>
    <w:rsid w:val="00492CF4"/>
    <w:rsid w:val="00492CFA"/>
    <w:rsid w:val="00492D26"/>
    <w:rsid w:val="00492DDE"/>
    <w:rsid w:val="00492DED"/>
    <w:rsid w:val="00492E28"/>
    <w:rsid w:val="00492E63"/>
    <w:rsid w:val="00492E7B"/>
    <w:rsid w:val="00492EA2"/>
    <w:rsid w:val="00492EB6"/>
    <w:rsid w:val="00492EC4"/>
    <w:rsid w:val="00492ECD"/>
    <w:rsid w:val="00492F0E"/>
    <w:rsid w:val="00492F23"/>
    <w:rsid w:val="00492F84"/>
    <w:rsid w:val="00492F88"/>
    <w:rsid w:val="00492FBA"/>
    <w:rsid w:val="00492FBC"/>
    <w:rsid w:val="00492FC1"/>
    <w:rsid w:val="00492FFF"/>
    <w:rsid w:val="0049301D"/>
    <w:rsid w:val="0049305F"/>
    <w:rsid w:val="00493168"/>
    <w:rsid w:val="00493171"/>
    <w:rsid w:val="00493175"/>
    <w:rsid w:val="004931F2"/>
    <w:rsid w:val="0049322A"/>
    <w:rsid w:val="00493264"/>
    <w:rsid w:val="00493300"/>
    <w:rsid w:val="00493329"/>
    <w:rsid w:val="00493337"/>
    <w:rsid w:val="0049336A"/>
    <w:rsid w:val="0049336B"/>
    <w:rsid w:val="004933B5"/>
    <w:rsid w:val="004933CE"/>
    <w:rsid w:val="004933FE"/>
    <w:rsid w:val="00493432"/>
    <w:rsid w:val="00493463"/>
    <w:rsid w:val="00493482"/>
    <w:rsid w:val="004934A1"/>
    <w:rsid w:val="0049354F"/>
    <w:rsid w:val="004935FB"/>
    <w:rsid w:val="0049368F"/>
    <w:rsid w:val="004936E2"/>
    <w:rsid w:val="00493769"/>
    <w:rsid w:val="004937BC"/>
    <w:rsid w:val="00493891"/>
    <w:rsid w:val="004938EA"/>
    <w:rsid w:val="00493962"/>
    <w:rsid w:val="00493A04"/>
    <w:rsid w:val="00493A3C"/>
    <w:rsid w:val="00493A6A"/>
    <w:rsid w:val="00493AC5"/>
    <w:rsid w:val="00493AF3"/>
    <w:rsid w:val="00493B10"/>
    <w:rsid w:val="00493B4A"/>
    <w:rsid w:val="00493B55"/>
    <w:rsid w:val="00493C60"/>
    <w:rsid w:val="00493C70"/>
    <w:rsid w:val="00493CAC"/>
    <w:rsid w:val="00493D07"/>
    <w:rsid w:val="00493D0E"/>
    <w:rsid w:val="00493D2E"/>
    <w:rsid w:val="00493D87"/>
    <w:rsid w:val="00493DF2"/>
    <w:rsid w:val="00493E1C"/>
    <w:rsid w:val="00493E63"/>
    <w:rsid w:val="00493E95"/>
    <w:rsid w:val="00493EC2"/>
    <w:rsid w:val="00493EC3"/>
    <w:rsid w:val="00493ECE"/>
    <w:rsid w:val="00493ED1"/>
    <w:rsid w:val="00493EEC"/>
    <w:rsid w:val="00493F09"/>
    <w:rsid w:val="00493F0E"/>
    <w:rsid w:val="00493F69"/>
    <w:rsid w:val="00493F7E"/>
    <w:rsid w:val="00493F91"/>
    <w:rsid w:val="00493FB3"/>
    <w:rsid w:val="0049405E"/>
    <w:rsid w:val="00494099"/>
    <w:rsid w:val="0049409B"/>
    <w:rsid w:val="00494124"/>
    <w:rsid w:val="00494155"/>
    <w:rsid w:val="004941AF"/>
    <w:rsid w:val="004941D0"/>
    <w:rsid w:val="00494208"/>
    <w:rsid w:val="0049425C"/>
    <w:rsid w:val="0049427F"/>
    <w:rsid w:val="00494288"/>
    <w:rsid w:val="00494395"/>
    <w:rsid w:val="004943E3"/>
    <w:rsid w:val="00494421"/>
    <w:rsid w:val="00494433"/>
    <w:rsid w:val="00494529"/>
    <w:rsid w:val="0049455A"/>
    <w:rsid w:val="00494595"/>
    <w:rsid w:val="00494662"/>
    <w:rsid w:val="004946A8"/>
    <w:rsid w:val="004946F7"/>
    <w:rsid w:val="00494704"/>
    <w:rsid w:val="00494711"/>
    <w:rsid w:val="00494725"/>
    <w:rsid w:val="004947F5"/>
    <w:rsid w:val="00494811"/>
    <w:rsid w:val="0049481B"/>
    <w:rsid w:val="00494824"/>
    <w:rsid w:val="0049482C"/>
    <w:rsid w:val="00494834"/>
    <w:rsid w:val="00494886"/>
    <w:rsid w:val="00494934"/>
    <w:rsid w:val="004949D0"/>
    <w:rsid w:val="004949F3"/>
    <w:rsid w:val="00494A18"/>
    <w:rsid w:val="00494A63"/>
    <w:rsid w:val="00494A68"/>
    <w:rsid w:val="00494AD6"/>
    <w:rsid w:val="00494AE4"/>
    <w:rsid w:val="00494B15"/>
    <w:rsid w:val="00494B21"/>
    <w:rsid w:val="00494B2B"/>
    <w:rsid w:val="00494B65"/>
    <w:rsid w:val="00494BF9"/>
    <w:rsid w:val="00494C15"/>
    <w:rsid w:val="00494C24"/>
    <w:rsid w:val="00494C7F"/>
    <w:rsid w:val="00494CA6"/>
    <w:rsid w:val="00494CBF"/>
    <w:rsid w:val="00494CE4"/>
    <w:rsid w:val="00494CEA"/>
    <w:rsid w:val="00494D17"/>
    <w:rsid w:val="00494D28"/>
    <w:rsid w:val="00494DB3"/>
    <w:rsid w:val="00494DBA"/>
    <w:rsid w:val="00494DBB"/>
    <w:rsid w:val="00494DDC"/>
    <w:rsid w:val="00494DEF"/>
    <w:rsid w:val="00494E2C"/>
    <w:rsid w:val="00494E66"/>
    <w:rsid w:val="00494F06"/>
    <w:rsid w:val="00494F20"/>
    <w:rsid w:val="00494F32"/>
    <w:rsid w:val="00494F38"/>
    <w:rsid w:val="00494FAB"/>
    <w:rsid w:val="00494FC6"/>
    <w:rsid w:val="00494FEE"/>
    <w:rsid w:val="00495001"/>
    <w:rsid w:val="00495002"/>
    <w:rsid w:val="0049507B"/>
    <w:rsid w:val="004950C9"/>
    <w:rsid w:val="004950D7"/>
    <w:rsid w:val="00495116"/>
    <w:rsid w:val="0049512B"/>
    <w:rsid w:val="00495150"/>
    <w:rsid w:val="0049519F"/>
    <w:rsid w:val="004951B2"/>
    <w:rsid w:val="0049520E"/>
    <w:rsid w:val="00495260"/>
    <w:rsid w:val="004952E5"/>
    <w:rsid w:val="004952F7"/>
    <w:rsid w:val="0049530B"/>
    <w:rsid w:val="00495317"/>
    <w:rsid w:val="00495352"/>
    <w:rsid w:val="0049535B"/>
    <w:rsid w:val="00495371"/>
    <w:rsid w:val="00495379"/>
    <w:rsid w:val="00495381"/>
    <w:rsid w:val="004953AF"/>
    <w:rsid w:val="0049542F"/>
    <w:rsid w:val="00495436"/>
    <w:rsid w:val="004954DF"/>
    <w:rsid w:val="004954F4"/>
    <w:rsid w:val="00495504"/>
    <w:rsid w:val="0049555C"/>
    <w:rsid w:val="004955BC"/>
    <w:rsid w:val="004955D6"/>
    <w:rsid w:val="004955DF"/>
    <w:rsid w:val="004955E2"/>
    <w:rsid w:val="00495667"/>
    <w:rsid w:val="0049569A"/>
    <w:rsid w:val="004956A1"/>
    <w:rsid w:val="00495728"/>
    <w:rsid w:val="0049574A"/>
    <w:rsid w:val="004957B1"/>
    <w:rsid w:val="004957CA"/>
    <w:rsid w:val="0049580E"/>
    <w:rsid w:val="00495820"/>
    <w:rsid w:val="0049598C"/>
    <w:rsid w:val="004959AC"/>
    <w:rsid w:val="004959AF"/>
    <w:rsid w:val="00495A49"/>
    <w:rsid w:val="00495AD3"/>
    <w:rsid w:val="00495B26"/>
    <w:rsid w:val="00495B45"/>
    <w:rsid w:val="00495B46"/>
    <w:rsid w:val="00495B65"/>
    <w:rsid w:val="00495B91"/>
    <w:rsid w:val="00495C3E"/>
    <w:rsid w:val="00495C44"/>
    <w:rsid w:val="00495C46"/>
    <w:rsid w:val="00495C72"/>
    <w:rsid w:val="00495C92"/>
    <w:rsid w:val="00495CEA"/>
    <w:rsid w:val="00495CF2"/>
    <w:rsid w:val="00495CFB"/>
    <w:rsid w:val="00495DBC"/>
    <w:rsid w:val="00495E0E"/>
    <w:rsid w:val="00495E13"/>
    <w:rsid w:val="00495E39"/>
    <w:rsid w:val="00495EBF"/>
    <w:rsid w:val="00495EE3"/>
    <w:rsid w:val="00495EFF"/>
    <w:rsid w:val="00495F0A"/>
    <w:rsid w:val="00495F0E"/>
    <w:rsid w:val="00495F3F"/>
    <w:rsid w:val="00495F88"/>
    <w:rsid w:val="00495F8C"/>
    <w:rsid w:val="00495FAB"/>
    <w:rsid w:val="00495FD3"/>
    <w:rsid w:val="0049601A"/>
    <w:rsid w:val="0049606E"/>
    <w:rsid w:val="0049608D"/>
    <w:rsid w:val="004960C6"/>
    <w:rsid w:val="004960D6"/>
    <w:rsid w:val="004960F0"/>
    <w:rsid w:val="0049613D"/>
    <w:rsid w:val="004961F5"/>
    <w:rsid w:val="00496208"/>
    <w:rsid w:val="00496215"/>
    <w:rsid w:val="00496218"/>
    <w:rsid w:val="0049626A"/>
    <w:rsid w:val="004962B7"/>
    <w:rsid w:val="0049631E"/>
    <w:rsid w:val="00496363"/>
    <w:rsid w:val="0049636B"/>
    <w:rsid w:val="00496379"/>
    <w:rsid w:val="004963AC"/>
    <w:rsid w:val="004963AD"/>
    <w:rsid w:val="004964F1"/>
    <w:rsid w:val="004964F7"/>
    <w:rsid w:val="00496568"/>
    <w:rsid w:val="00496592"/>
    <w:rsid w:val="004965C6"/>
    <w:rsid w:val="00496610"/>
    <w:rsid w:val="00496629"/>
    <w:rsid w:val="0049668C"/>
    <w:rsid w:val="004967AC"/>
    <w:rsid w:val="00496820"/>
    <w:rsid w:val="00496873"/>
    <w:rsid w:val="0049687F"/>
    <w:rsid w:val="0049688A"/>
    <w:rsid w:val="0049692C"/>
    <w:rsid w:val="0049693B"/>
    <w:rsid w:val="004969C4"/>
    <w:rsid w:val="00496A5E"/>
    <w:rsid w:val="00496A63"/>
    <w:rsid w:val="00496A75"/>
    <w:rsid w:val="00496A7B"/>
    <w:rsid w:val="00496A8F"/>
    <w:rsid w:val="00496AE3"/>
    <w:rsid w:val="00496AF3"/>
    <w:rsid w:val="00496AF8"/>
    <w:rsid w:val="00496B40"/>
    <w:rsid w:val="00496B48"/>
    <w:rsid w:val="00496B62"/>
    <w:rsid w:val="00496C23"/>
    <w:rsid w:val="00496CC4"/>
    <w:rsid w:val="00496D01"/>
    <w:rsid w:val="00496D22"/>
    <w:rsid w:val="00496D27"/>
    <w:rsid w:val="00496D54"/>
    <w:rsid w:val="00496DA2"/>
    <w:rsid w:val="00496DB5"/>
    <w:rsid w:val="00496DD2"/>
    <w:rsid w:val="00496DDE"/>
    <w:rsid w:val="00496E39"/>
    <w:rsid w:val="00496EE8"/>
    <w:rsid w:val="00496F12"/>
    <w:rsid w:val="00496F3F"/>
    <w:rsid w:val="00496FBB"/>
    <w:rsid w:val="00496FD5"/>
    <w:rsid w:val="00497020"/>
    <w:rsid w:val="00497027"/>
    <w:rsid w:val="00497032"/>
    <w:rsid w:val="0049707E"/>
    <w:rsid w:val="004970B5"/>
    <w:rsid w:val="004970E3"/>
    <w:rsid w:val="004970E7"/>
    <w:rsid w:val="00497113"/>
    <w:rsid w:val="00497146"/>
    <w:rsid w:val="0049716E"/>
    <w:rsid w:val="004971E4"/>
    <w:rsid w:val="004971EE"/>
    <w:rsid w:val="0049727A"/>
    <w:rsid w:val="00497280"/>
    <w:rsid w:val="00497297"/>
    <w:rsid w:val="00497316"/>
    <w:rsid w:val="00497324"/>
    <w:rsid w:val="00497376"/>
    <w:rsid w:val="004973AD"/>
    <w:rsid w:val="00497407"/>
    <w:rsid w:val="00497483"/>
    <w:rsid w:val="0049749F"/>
    <w:rsid w:val="004974DF"/>
    <w:rsid w:val="00497549"/>
    <w:rsid w:val="00497585"/>
    <w:rsid w:val="0049759F"/>
    <w:rsid w:val="004975A8"/>
    <w:rsid w:val="004975AF"/>
    <w:rsid w:val="004975BA"/>
    <w:rsid w:val="004975BF"/>
    <w:rsid w:val="004975E2"/>
    <w:rsid w:val="004975FE"/>
    <w:rsid w:val="0049767B"/>
    <w:rsid w:val="004976E5"/>
    <w:rsid w:val="0049772A"/>
    <w:rsid w:val="0049773F"/>
    <w:rsid w:val="00497749"/>
    <w:rsid w:val="00497755"/>
    <w:rsid w:val="00497791"/>
    <w:rsid w:val="004977BF"/>
    <w:rsid w:val="00497820"/>
    <w:rsid w:val="00497885"/>
    <w:rsid w:val="004978CC"/>
    <w:rsid w:val="004978F8"/>
    <w:rsid w:val="00497908"/>
    <w:rsid w:val="00497989"/>
    <w:rsid w:val="004979FB"/>
    <w:rsid w:val="00497B52"/>
    <w:rsid w:val="00497B80"/>
    <w:rsid w:val="00497B9A"/>
    <w:rsid w:val="00497BFB"/>
    <w:rsid w:val="00497C24"/>
    <w:rsid w:val="00497C31"/>
    <w:rsid w:val="00497C41"/>
    <w:rsid w:val="00497C5C"/>
    <w:rsid w:val="00497C7A"/>
    <w:rsid w:val="00497D5D"/>
    <w:rsid w:val="00497D63"/>
    <w:rsid w:val="00497D6E"/>
    <w:rsid w:val="00497D8B"/>
    <w:rsid w:val="00497DDD"/>
    <w:rsid w:val="00497E0A"/>
    <w:rsid w:val="00497E16"/>
    <w:rsid w:val="00497E1D"/>
    <w:rsid w:val="00497E28"/>
    <w:rsid w:val="00497E40"/>
    <w:rsid w:val="00497E8E"/>
    <w:rsid w:val="00497E95"/>
    <w:rsid w:val="00497F47"/>
    <w:rsid w:val="00497F4D"/>
    <w:rsid w:val="00497F69"/>
    <w:rsid w:val="00497F73"/>
    <w:rsid w:val="00497F7D"/>
    <w:rsid w:val="00497FC2"/>
    <w:rsid w:val="004A003F"/>
    <w:rsid w:val="004A00D6"/>
    <w:rsid w:val="004A00ED"/>
    <w:rsid w:val="004A0129"/>
    <w:rsid w:val="004A0154"/>
    <w:rsid w:val="004A01C1"/>
    <w:rsid w:val="004A01F5"/>
    <w:rsid w:val="004A0252"/>
    <w:rsid w:val="004A025D"/>
    <w:rsid w:val="004A02EC"/>
    <w:rsid w:val="004A0357"/>
    <w:rsid w:val="004A0387"/>
    <w:rsid w:val="004A0414"/>
    <w:rsid w:val="004A0492"/>
    <w:rsid w:val="004A04B7"/>
    <w:rsid w:val="004A04BA"/>
    <w:rsid w:val="004A055A"/>
    <w:rsid w:val="004A05E0"/>
    <w:rsid w:val="004A0630"/>
    <w:rsid w:val="004A063E"/>
    <w:rsid w:val="004A0663"/>
    <w:rsid w:val="004A0675"/>
    <w:rsid w:val="004A0678"/>
    <w:rsid w:val="004A070C"/>
    <w:rsid w:val="004A076F"/>
    <w:rsid w:val="004A07C4"/>
    <w:rsid w:val="004A083F"/>
    <w:rsid w:val="004A0857"/>
    <w:rsid w:val="004A08AD"/>
    <w:rsid w:val="004A08CB"/>
    <w:rsid w:val="004A08CC"/>
    <w:rsid w:val="004A08D9"/>
    <w:rsid w:val="004A0927"/>
    <w:rsid w:val="004A0930"/>
    <w:rsid w:val="004A0A59"/>
    <w:rsid w:val="004A0AF4"/>
    <w:rsid w:val="004A0B52"/>
    <w:rsid w:val="004A0B8B"/>
    <w:rsid w:val="004A0B9A"/>
    <w:rsid w:val="004A0BD4"/>
    <w:rsid w:val="004A0BE2"/>
    <w:rsid w:val="004A0C35"/>
    <w:rsid w:val="004A0C50"/>
    <w:rsid w:val="004A0C83"/>
    <w:rsid w:val="004A0C98"/>
    <w:rsid w:val="004A0CF9"/>
    <w:rsid w:val="004A0D18"/>
    <w:rsid w:val="004A0D92"/>
    <w:rsid w:val="004A0D93"/>
    <w:rsid w:val="004A0DAD"/>
    <w:rsid w:val="004A0DD2"/>
    <w:rsid w:val="004A0DE4"/>
    <w:rsid w:val="004A0DEF"/>
    <w:rsid w:val="004A0E01"/>
    <w:rsid w:val="004A0E02"/>
    <w:rsid w:val="004A0E5B"/>
    <w:rsid w:val="004A0EAA"/>
    <w:rsid w:val="004A0EC3"/>
    <w:rsid w:val="004A0EEC"/>
    <w:rsid w:val="004A0EED"/>
    <w:rsid w:val="004A0F50"/>
    <w:rsid w:val="004A0F87"/>
    <w:rsid w:val="004A0FCC"/>
    <w:rsid w:val="004A0FE1"/>
    <w:rsid w:val="004A1066"/>
    <w:rsid w:val="004A1094"/>
    <w:rsid w:val="004A1122"/>
    <w:rsid w:val="004A1179"/>
    <w:rsid w:val="004A117B"/>
    <w:rsid w:val="004A11E5"/>
    <w:rsid w:val="004A1212"/>
    <w:rsid w:val="004A12AB"/>
    <w:rsid w:val="004A12CB"/>
    <w:rsid w:val="004A12D6"/>
    <w:rsid w:val="004A131F"/>
    <w:rsid w:val="004A1326"/>
    <w:rsid w:val="004A1345"/>
    <w:rsid w:val="004A1354"/>
    <w:rsid w:val="004A135A"/>
    <w:rsid w:val="004A136A"/>
    <w:rsid w:val="004A1381"/>
    <w:rsid w:val="004A13A7"/>
    <w:rsid w:val="004A13A9"/>
    <w:rsid w:val="004A141E"/>
    <w:rsid w:val="004A146B"/>
    <w:rsid w:val="004A148B"/>
    <w:rsid w:val="004A14A5"/>
    <w:rsid w:val="004A14ED"/>
    <w:rsid w:val="004A1553"/>
    <w:rsid w:val="004A1596"/>
    <w:rsid w:val="004A15C6"/>
    <w:rsid w:val="004A15E7"/>
    <w:rsid w:val="004A160C"/>
    <w:rsid w:val="004A1631"/>
    <w:rsid w:val="004A1637"/>
    <w:rsid w:val="004A167A"/>
    <w:rsid w:val="004A170D"/>
    <w:rsid w:val="004A1763"/>
    <w:rsid w:val="004A1764"/>
    <w:rsid w:val="004A176E"/>
    <w:rsid w:val="004A1798"/>
    <w:rsid w:val="004A17FC"/>
    <w:rsid w:val="004A1855"/>
    <w:rsid w:val="004A187E"/>
    <w:rsid w:val="004A18F8"/>
    <w:rsid w:val="004A1975"/>
    <w:rsid w:val="004A1984"/>
    <w:rsid w:val="004A19A6"/>
    <w:rsid w:val="004A1A6E"/>
    <w:rsid w:val="004A1A85"/>
    <w:rsid w:val="004A1AA6"/>
    <w:rsid w:val="004A1B09"/>
    <w:rsid w:val="004A1B27"/>
    <w:rsid w:val="004A1B4E"/>
    <w:rsid w:val="004A1B66"/>
    <w:rsid w:val="004A1C49"/>
    <w:rsid w:val="004A1C51"/>
    <w:rsid w:val="004A1CB3"/>
    <w:rsid w:val="004A1D2F"/>
    <w:rsid w:val="004A1D42"/>
    <w:rsid w:val="004A1D66"/>
    <w:rsid w:val="004A1D7C"/>
    <w:rsid w:val="004A1DBC"/>
    <w:rsid w:val="004A1DBD"/>
    <w:rsid w:val="004A1DE9"/>
    <w:rsid w:val="004A1E07"/>
    <w:rsid w:val="004A1E4F"/>
    <w:rsid w:val="004A1E53"/>
    <w:rsid w:val="004A1F27"/>
    <w:rsid w:val="004A1F53"/>
    <w:rsid w:val="004A1F61"/>
    <w:rsid w:val="004A1F65"/>
    <w:rsid w:val="004A1F9F"/>
    <w:rsid w:val="004A1FA9"/>
    <w:rsid w:val="004A2006"/>
    <w:rsid w:val="004A200C"/>
    <w:rsid w:val="004A20EF"/>
    <w:rsid w:val="004A2139"/>
    <w:rsid w:val="004A218E"/>
    <w:rsid w:val="004A2192"/>
    <w:rsid w:val="004A219C"/>
    <w:rsid w:val="004A21D8"/>
    <w:rsid w:val="004A21DD"/>
    <w:rsid w:val="004A222B"/>
    <w:rsid w:val="004A226E"/>
    <w:rsid w:val="004A22AD"/>
    <w:rsid w:val="004A22B9"/>
    <w:rsid w:val="004A22BA"/>
    <w:rsid w:val="004A22BC"/>
    <w:rsid w:val="004A22EC"/>
    <w:rsid w:val="004A2336"/>
    <w:rsid w:val="004A233F"/>
    <w:rsid w:val="004A2371"/>
    <w:rsid w:val="004A2383"/>
    <w:rsid w:val="004A2396"/>
    <w:rsid w:val="004A23ED"/>
    <w:rsid w:val="004A23FD"/>
    <w:rsid w:val="004A23FF"/>
    <w:rsid w:val="004A243D"/>
    <w:rsid w:val="004A250F"/>
    <w:rsid w:val="004A254D"/>
    <w:rsid w:val="004A257F"/>
    <w:rsid w:val="004A25AE"/>
    <w:rsid w:val="004A25B3"/>
    <w:rsid w:val="004A25B7"/>
    <w:rsid w:val="004A25E3"/>
    <w:rsid w:val="004A25E7"/>
    <w:rsid w:val="004A2633"/>
    <w:rsid w:val="004A2659"/>
    <w:rsid w:val="004A265C"/>
    <w:rsid w:val="004A2661"/>
    <w:rsid w:val="004A26AC"/>
    <w:rsid w:val="004A274C"/>
    <w:rsid w:val="004A278E"/>
    <w:rsid w:val="004A27C0"/>
    <w:rsid w:val="004A27D9"/>
    <w:rsid w:val="004A2826"/>
    <w:rsid w:val="004A2845"/>
    <w:rsid w:val="004A28F1"/>
    <w:rsid w:val="004A2943"/>
    <w:rsid w:val="004A2966"/>
    <w:rsid w:val="004A29A4"/>
    <w:rsid w:val="004A29B5"/>
    <w:rsid w:val="004A29BA"/>
    <w:rsid w:val="004A29DA"/>
    <w:rsid w:val="004A2A2B"/>
    <w:rsid w:val="004A2A64"/>
    <w:rsid w:val="004A2A97"/>
    <w:rsid w:val="004A2AD9"/>
    <w:rsid w:val="004A2B92"/>
    <w:rsid w:val="004A2BC4"/>
    <w:rsid w:val="004A2C07"/>
    <w:rsid w:val="004A2C3A"/>
    <w:rsid w:val="004A2C5E"/>
    <w:rsid w:val="004A2CB9"/>
    <w:rsid w:val="004A2CFE"/>
    <w:rsid w:val="004A2D01"/>
    <w:rsid w:val="004A2D0C"/>
    <w:rsid w:val="004A2D3E"/>
    <w:rsid w:val="004A2D71"/>
    <w:rsid w:val="004A2DA0"/>
    <w:rsid w:val="004A2DB0"/>
    <w:rsid w:val="004A2DFA"/>
    <w:rsid w:val="004A2DFE"/>
    <w:rsid w:val="004A2E33"/>
    <w:rsid w:val="004A2EAF"/>
    <w:rsid w:val="004A2EB5"/>
    <w:rsid w:val="004A2FDE"/>
    <w:rsid w:val="004A2FE1"/>
    <w:rsid w:val="004A300A"/>
    <w:rsid w:val="004A302D"/>
    <w:rsid w:val="004A30A6"/>
    <w:rsid w:val="004A30CD"/>
    <w:rsid w:val="004A30CE"/>
    <w:rsid w:val="004A30DF"/>
    <w:rsid w:val="004A30F0"/>
    <w:rsid w:val="004A312D"/>
    <w:rsid w:val="004A312E"/>
    <w:rsid w:val="004A3175"/>
    <w:rsid w:val="004A3186"/>
    <w:rsid w:val="004A318A"/>
    <w:rsid w:val="004A318E"/>
    <w:rsid w:val="004A31FC"/>
    <w:rsid w:val="004A3231"/>
    <w:rsid w:val="004A3238"/>
    <w:rsid w:val="004A32C1"/>
    <w:rsid w:val="004A32FF"/>
    <w:rsid w:val="004A330E"/>
    <w:rsid w:val="004A334D"/>
    <w:rsid w:val="004A3350"/>
    <w:rsid w:val="004A3389"/>
    <w:rsid w:val="004A345E"/>
    <w:rsid w:val="004A3479"/>
    <w:rsid w:val="004A3488"/>
    <w:rsid w:val="004A34FD"/>
    <w:rsid w:val="004A34FE"/>
    <w:rsid w:val="004A356C"/>
    <w:rsid w:val="004A3584"/>
    <w:rsid w:val="004A35B0"/>
    <w:rsid w:val="004A35E7"/>
    <w:rsid w:val="004A35FD"/>
    <w:rsid w:val="004A3621"/>
    <w:rsid w:val="004A3641"/>
    <w:rsid w:val="004A36DC"/>
    <w:rsid w:val="004A370B"/>
    <w:rsid w:val="004A3796"/>
    <w:rsid w:val="004A381B"/>
    <w:rsid w:val="004A38D3"/>
    <w:rsid w:val="004A38E2"/>
    <w:rsid w:val="004A395A"/>
    <w:rsid w:val="004A396A"/>
    <w:rsid w:val="004A39AB"/>
    <w:rsid w:val="004A39FE"/>
    <w:rsid w:val="004A3A13"/>
    <w:rsid w:val="004A3A17"/>
    <w:rsid w:val="004A3A1D"/>
    <w:rsid w:val="004A3A5A"/>
    <w:rsid w:val="004A3A7D"/>
    <w:rsid w:val="004A3A8C"/>
    <w:rsid w:val="004A3AD3"/>
    <w:rsid w:val="004A3B12"/>
    <w:rsid w:val="004A3B3F"/>
    <w:rsid w:val="004A3B55"/>
    <w:rsid w:val="004A3B60"/>
    <w:rsid w:val="004A3B7B"/>
    <w:rsid w:val="004A3B7F"/>
    <w:rsid w:val="004A3BBA"/>
    <w:rsid w:val="004A3C0F"/>
    <w:rsid w:val="004A3C5E"/>
    <w:rsid w:val="004A3CC8"/>
    <w:rsid w:val="004A3CE0"/>
    <w:rsid w:val="004A3CFA"/>
    <w:rsid w:val="004A3D3E"/>
    <w:rsid w:val="004A3D7C"/>
    <w:rsid w:val="004A3DB6"/>
    <w:rsid w:val="004A3DD5"/>
    <w:rsid w:val="004A3DF3"/>
    <w:rsid w:val="004A3DF6"/>
    <w:rsid w:val="004A3E7F"/>
    <w:rsid w:val="004A3EE3"/>
    <w:rsid w:val="004A3EED"/>
    <w:rsid w:val="004A3F3C"/>
    <w:rsid w:val="004A3F47"/>
    <w:rsid w:val="004A3F49"/>
    <w:rsid w:val="004A3F7D"/>
    <w:rsid w:val="004A3F86"/>
    <w:rsid w:val="004A3F96"/>
    <w:rsid w:val="004A3FBC"/>
    <w:rsid w:val="004A4015"/>
    <w:rsid w:val="004A4079"/>
    <w:rsid w:val="004A4098"/>
    <w:rsid w:val="004A40A5"/>
    <w:rsid w:val="004A410F"/>
    <w:rsid w:val="004A4114"/>
    <w:rsid w:val="004A4121"/>
    <w:rsid w:val="004A4143"/>
    <w:rsid w:val="004A4179"/>
    <w:rsid w:val="004A41C8"/>
    <w:rsid w:val="004A4257"/>
    <w:rsid w:val="004A428B"/>
    <w:rsid w:val="004A4316"/>
    <w:rsid w:val="004A4324"/>
    <w:rsid w:val="004A4379"/>
    <w:rsid w:val="004A43C7"/>
    <w:rsid w:val="004A4429"/>
    <w:rsid w:val="004A4432"/>
    <w:rsid w:val="004A44A0"/>
    <w:rsid w:val="004A4501"/>
    <w:rsid w:val="004A4547"/>
    <w:rsid w:val="004A4560"/>
    <w:rsid w:val="004A45A0"/>
    <w:rsid w:val="004A45D8"/>
    <w:rsid w:val="004A4665"/>
    <w:rsid w:val="004A46A9"/>
    <w:rsid w:val="004A46C4"/>
    <w:rsid w:val="004A46FB"/>
    <w:rsid w:val="004A4708"/>
    <w:rsid w:val="004A4797"/>
    <w:rsid w:val="004A479C"/>
    <w:rsid w:val="004A47AA"/>
    <w:rsid w:val="004A47B1"/>
    <w:rsid w:val="004A482F"/>
    <w:rsid w:val="004A4851"/>
    <w:rsid w:val="004A4879"/>
    <w:rsid w:val="004A4888"/>
    <w:rsid w:val="004A48E5"/>
    <w:rsid w:val="004A4928"/>
    <w:rsid w:val="004A492B"/>
    <w:rsid w:val="004A4A50"/>
    <w:rsid w:val="004A4A72"/>
    <w:rsid w:val="004A4ADE"/>
    <w:rsid w:val="004A4AF6"/>
    <w:rsid w:val="004A4B16"/>
    <w:rsid w:val="004A4B4C"/>
    <w:rsid w:val="004A4B6B"/>
    <w:rsid w:val="004A4BB4"/>
    <w:rsid w:val="004A4BC0"/>
    <w:rsid w:val="004A4BF8"/>
    <w:rsid w:val="004A4C64"/>
    <w:rsid w:val="004A4C85"/>
    <w:rsid w:val="004A4CA5"/>
    <w:rsid w:val="004A4D10"/>
    <w:rsid w:val="004A4D39"/>
    <w:rsid w:val="004A4DBD"/>
    <w:rsid w:val="004A4E20"/>
    <w:rsid w:val="004A4E3D"/>
    <w:rsid w:val="004A4E52"/>
    <w:rsid w:val="004A4EBA"/>
    <w:rsid w:val="004A4EC1"/>
    <w:rsid w:val="004A4ED6"/>
    <w:rsid w:val="004A4F47"/>
    <w:rsid w:val="004A4FAD"/>
    <w:rsid w:val="004A4FB6"/>
    <w:rsid w:val="004A4FBC"/>
    <w:rsid w:val="004A4FD9"/>
    <w:rsid w:val="004A508B"/>
    <w:rsid w:val="004A52A5"/>
    <w:rsid w:val="004A52B1"/>
    <w:rsid w:val="004A52DE"/>
    <w:rsid w:val="004A5302"/>
    <w:rsid w:val="004A53CB"/>
    <w:rsid w:val="004A53E1"/>
    <w:rsid w:val="004A5441"/>
    <w:rsid w:val="004A5456"/>
    <w:rsid w:val="004A5458"/>
    <w:rsid w:val="004A5471"/>
    <w:rsid w:val="004A54AE"/>
    <w:rsid w:val="004A5563"/>
    <w:rsid w:val="004A55A7"/>
    <w:rsid w:val="004A564B"/>
    <w:rsid w:val="004A5657"/>
    <w:rsid w:val="004A56FB"/>
    <w:rsid w:val="004A5720"/>
    <w:rsid w:val="004A57C0"/>
    <w:rsid w:val="004A57E6"/>
    <w:rsid w:val="004A57F1"/>
    <w:rsid w:val="004A582B"/>
    <w:rsid w:val="004A583A"/>
    <w:rsid w:val="004A5857"/>
    <w:rsid w:val="004A58E9"/>
    <w:rsid w:val="004A595D"/>
    <w:rsid w:val="004A596E"/>
    <w:rsid w:val="004A599A"/>
    <w:rsid w:val="004A59C1"/>
    <w:rsid w:val="004A59DE"/>
    <w:rsid w:val="004A59F5"/>
    <w:rsid w:val="004A5A2F"/>
    <w:rsid w:val="004A5A64"/>
    <w:rsid w:val="004A5AB4"/>
    <w:rsid w:val="004A5AB5"/>
    <w:rsid w:val="004A5B09"/>
    <w:rsid w:val="004A5B47"/>
    <w:rsid w:val="004A5BAD"/>
    <w:rsid w:val="004A5BB5"/>
    <w:rsid w:val="004A5BE8"/>
    <w:rsid w:val="004A5C37"/>
    <w:rsid w:val="004A5C76"/>
    <w:rsid w:val="004A5C8A"/>
    <w:rsid w:val="004A5CF8"/>
    <w:rsid w:val="004A5E57"/>
    <w:rsid w:val="004A5EA2"/>
    <w:rsid w:val="004A5EAD"/>
    <w:rsid w:val="004A5F00"/>
    <w:rsid w:val="004A5F50"/>
    <w:rsid w:val="004A5F52"/>
    <w:rsid w:val="004A5F9F"/>
    <w:rsid w:val="004A5FCA"/>
    <w:rsid w:val="004A6022"/>
    <w:rsid w:val="004A603E"/>
    <w:rsid w:val="004A6068"/>
    <w:rsid w:val="004A60BF"/>
    <w:rsid w:val="004A61A8"/>
    <w:rsid w:val="004A61C4"/>
    <w:rsid w:val="004A626A"/>
    <w:rsid w:val="004A626C"/>
    <w:rsid w:val="004A62CF"/>
    <w:rsid w:val="004A62EF"/>
    <w:rsid w:val="004A62FF"/>
    <w:rsid w:val="004A6346"/>
    <w:rsid w:val="004A635D"/>
    <w:rsid w:val="004A6398"/>
    <w:rsid w:val="004A63B7"/>
    <w:rsid w:val="004A63DF"/>
    <w:rsid w:val="004A63E5"/>
    <w:rsid w:val="004A63F6"/>
    <w:rsid w:val="004A64EB"/>
    <w:rsid w:val="004A65D2"/>
    <w:rsid w:val="004A6605"/>
    <w:rsid w:val="004A665E"/>
    <w:rsid w:val="004A66AA"/>
    <w:rsid w:val="004A66BD"/>
    <w:rsid w:val="004A66E4"/>
    <w:rsid w:val="004A66F6"/>
    <w:rsid w:val="004A6736"/>
    <w:rsid w:val="004A67FC"/>
    <w:rsid w:val="004A681E"/>
    <w:rsid w:val="004A6843"/>
    <w:rsid w:val="004A684B"/>
    <w:rsid w:val="004A687B"/>
    <w:rsid w:val="004A68DD"/>
    <w:rsid w:val="004A68E9"/>
    <w:rsid w:val="004A6904"/>
    <w:rsid w:val="004A6919"/>
    <w:rsid w:val="004A6931"/>
    <w:rsid w:val="004A6939"/>
    <w:rsid w:val="004A6956"/>
    <w:rsid w:val="004A6958"/>
    <w:rsid w:val="004A697B"/>
    <w:rsid w:val="004A6988"/>
    <w:rsid w:val="004A69A9"/>
    <w:rsid w:val="004A69B7"/>
    <w:rsid w:val="004A69D2"/>
    <w:rsid w:val="004A69E1"/>
    <w:rsid w:val="004A6A01"/>
    <w:rsid w:val="004A6AF0"/>
    <w:rsid w:val="004A6B4E"/>
    <w:rsid w:val="004A6B8F"/>
    <w:rsid w:val="004A6BA4"/>
    <w:rsid w:val="004A6BC5"/>
    <w:rsid w:val="004A6BE1"/>
    <w:rsid w:val="004A6C07"/>
    <w:rsid w:val="004A6C58"/>
    <w:rsid w:val="004A6CBC"/>
    <w:rsid w:val="004A6D03"/>
    <w:rsid w:val="004A6D20"/>
    <w:rsid w:val="004A6D2F"/>
    <w:rsid w:val="004A6DB8"/>
    <w:rsid w:val="004A6E04"/>
    <w:rsid w:val="004A6E38"/>
    <w:rsid w:val="004A6E91"/>
    <w:rsid w:val="004A6EA2"/>
    <w:rsid w:val="004A6EA7"/>
    <w:rsid w:val="004A6EAA"/>
    <w:rsid w:val="004A6EBA"/>
    <w:rsid w:val="004A6EBE"/>
    <w:rsid w:val="004A6EF4"/>
    <w:rsid w:val="004A6F27"/>
    <w:rsid w:val="004A6F62"/>
    <w:rsid w:val="004A6F94"/>
    <w:rsid w:val="004A6F9D"/>
    <w:rsid w:val="004A6FB7"/>
    <w:rsid w:val="004A6FC6"/>
    <w:rsid w:val="004A7027"/>
    <w:rsid w:val="004A7048"/>
    <w:rsid w:val="004A7063"/>
    <w:rsid w:val="004A70DA"/>
    <w:rsid w:val="004A7101"/>
    <w:rsid w:val="004A7130"/>
    <w:rsid w:val="004A7167"/>
    <w:rsid w:val="004A71B0"/>
    <w:rsid w:val="004A71C2"/>
    <w:rsid w:val="004A722B"/>
    <w:rsid w:val="004A7245"/>
    <w:rsid w:val="004A7270"/>
    <w:rsid w:val="004A7272"/>
    <w:rsid w:val="004A7275"/>
    <w:rsid w:val="004A72D2"/>
    <w:rsid w:val="004A7311"/>
    <w:rsid w:val="004A731D"/>
    <w:rsid w:val="004A73B0"/>
    <w:rsid w:val="004A7401"/>
    <w:rsid w:val="004A7414"/>
    <w:rsid w:val="004A7422"/>
    <w:rsid w:val="004A7431"/>
    <w:rsid w:val="004A7432"/>
    <w:rsid w:val="004A7475"/>
    <w:rsid w:val="004A7477"/>
    <w:rsid w:val="004A74A6"/>
    <w:rsid w:val="004A74BA"/>
    <w:rsid w:val="004A74C8"/>
    <w:rsid w:val="004A74D9"/>
    <w:rsid w:val="004A74DE"/>
    <w:rsid w:val="004A74DF"/>
    <w:rsid w:val="004A74F0"/>
    <w:rsid w:val="004A74FC"/>
    <w:rsid w:val="004A7503"/>
    <w:rsid w:val="004A756B"/>
    <w:rsid w:val="004A75EC"/>
    <w:rsid w:val="004A7604"/>
    <w:rsid w:val="004A7607"/>
    <w:rsid w:val="004A7646"/>
    <w:rsid w:val="004A764D"/>
    <w:rsid w:val="004A766E"/>
    <w:rsid w:val="004A777F"/>
    <w:rsid w:val="004A778D"/>
    <w:rsid w:val="004A77A9"/>
    <w:rsid w:val="004A77B6"/>
    <w:rsid w:val="004A77BD"/>
    <w:rsid w:val="004A7819"/>
    <w:rsid w:val="004A787C"/>
    <w:rsid w:val="004A787D"/>
    <w:rsid w:val="004A7894"/>
    <w:rsid w:val="004A78A6"/>
    <w:rsid w:val="004A78D4"/>
    <w:rsid w:val="004A791C"/>
    <w:rsid w:val="004A791F"/>
    <w:rsid w:val="004A7927"/>
    <w:rsid w:val="004A7974"/>
    <w:rsid w:val="004A7996"/>
    <w:rsid w:val="004A799C"/>
    <w:rsid w:val="004A79BC"/>
    <w:rsid w:val="004A79DA"/>
    <w:rsid w:val="004A79E6"/>
    <w:rsid w:val="004A7A00"/>
    <w:rsid w:val="004A7A0B"/>
    <w:rsid w:val="004A7A17"/>
    <w:rsid w:val="004A7A1F"/>
    <w:rsid w:val="004A7A3E"/>
    <w:rsid w:val="004A7A67"/>
    <w:rsid w:val="004A7AD0"/>
    <w:rsid w:val="004A7B3F"/>
    <w:rsid w:val="004A7BDB"/>
    <w:rsid w:val="004A7C29"/>
    <w:rsid w:val="004A7C3D"/>
    <w:rsid w:val="004A7C56"/>
    <w:rsid w:val="004A7CA1"/>
    <w:rsid w:val="004A7CC0"/>
    <w:rsid w:val="004A7CFA"/>
    <w:rsid w:val="004A7D04"/>
    <w:rsid w:val="004A7D3E"/>
    <w:rsid w:val="004A7DAD"/>
    <w:rsid w:val="004A7DC6"/>
    <w:rsid w:val="004A7DF4"/>
    <w:rsid w:val="004A7E4D"/>
    <w:rsid w:val="004A7E51"/>
    <w:rsid w:val="004A7F3C"/>
    <w:rsid w:val="004A7F69"/>
    <w:rsid w:val="004A7FB1"/>
    <w:rsid w:val="004A7FE8"/>
    <w:rsid w:val="004A8266"/>
    <w:rsid w:val="004B0018"/>
    <w:rsid w:val="004B006A"/>
    <w:rsid w:val="004B00C1"/>
    <w:rsid w:val="004B00DC"/>
    <w:rsid w:val="004B00DE"/>
    <w:rsid w:val="004B00F5"/>
    <w:rsid w:val="004B010B"/>
    <w:rsid w:val="004B010C"/>
    <w:rsid w:val="004B0112"/>
    <w:rsid w:val="004B0116"/>
    <w:rsid w:val="004B011E"/>
    <w:rsid w:val="004B0190"/>
    <w:rsid w:val="004B01B4"/>
    <w:rsid w:val="004B0250"/>
    <w:rsid w:val="004B029B"/>
    <w:rsid w:val="004B02DC"/>
    <w:rsid w:val="004B035D"/>
    <w:rsid w:val="004B0391"/>
    <w:rsid w:val="004B03B0"/>
    <w:rsid w:val="004B03F4"/>
    <w:rsid w:val="004B03F5"/>
    <w:rsid w:val="004B041F"/>
    <w:rsid w:val="004B0425"/>
    <w:rsid w:val="004B044D"/>
    <w:rsid w:val="004B045B"/>
    <w:rsid w:val="004B04A5"/>
    <w:rsid w:val="004B0502"/>
    <w:rsid w:val="004B0524"/>
    <w:rsid w:val="004B053B"/>
    <w:rsid w:val="004B0547"/>
    <w:rsid w:val="004B054A"/>
    <w:rsid w:val="004B05DD"/>
    <w:rsid w:val="004B05F9"/>
    <w:rsid w:val="004B061E"/>
    <w:rsid w:val="004B062D"/>
    <w:rsid w:val="004B06CE"/>
    <w:rsid w:val="004B06E7"/>
    <w:rsid w:val="004B0727"/>
    <w:rsid w:val="004B0756"/>
    <w:rsid w:val="004B079A"/>
    <w:rsid w:val="004B07CF"/>
    <w:rsid w:val="004B07E7"/>
    <w:rsid w:val="004B07E9"/>
    <w:rsid w:val="004B07FA"/>
    <w:rsid w:val="004B082E"/>
    <w:rsid w:val="004B0833"/>
    <w:rsid w:val="004B0845"/>
    <w:rsid w:val="004B084F"/>
    <w:rsid w:val="004B0850"/>
    <w:rsid w:val="004B0851"/>
    <w:rsid w:val="004B08B4"/>
    <w:rsid w:val="004B0930"/>
    <w:rsid w:val="004B093D"/>
    <w:rsid w:val="004B0A45"/>
    <w:rsid w:val="004B0A56"/>
    <w:rsid w:val="004B0A85"/>
    <w:rsid w:val="004B0B16"/>
    <w:rsid w:val="004B0B30"/>
    <w:rsid w:val="004B0B74"/>
    <w:rsid w:val="004B0BA2"/>
    <w:rsid w:val="004B0C37"/>
    <w:rsid w:val="004B0C39"/>
    <w:rsid w:val="004B0C65"/>
    <w:rsid w:val="004B0C77"/>
    <w:rsid w:val="004B0C84"/>
    <w:rsid w:val="004B0C8A"/>
    <w:rsid w:val="004B0CEF"/>
    <w:rsid w:val="004B0D27"/>
    <w:rsid w:val="004B0D28"/>
    <w:rsid w:val="004B0D2D"/>
    <w:rsid w:val="004B0D9E"/>
    <w:rsid w:val="004B0E45"/>
    <w:rsid w:val="004B0E68"/>
    <w:rsid w:val="004B0EA6"/>
    <w:rsid w:val="004B0ECB"/>
    <w:rsid w:val="004B0ED4"/>
    <w:rsid w:val="004B0EFE"/>
    <w:rsid w:val="004B0F12"/>
    <w:rsid w:val="004B0F27"/>
    <w:rsid w:val="004B0FC2"/>
    <w:rsid w:val="004B0FED"/>
    <w:rsid w:val="004B1012"/>
    <w:rsid w:val="004B1032"/>
    <w:rsid w:val="004B1039"/>
    <w:rsid w:val="004B1088"/>
    <w:rsid w:val="004B1095"/>
    <w:rsid w:val="004B109C"/>
    <w:rsid w:val="004B10BC"/>
    <w:rsid w:val="004B10D6"/>
    <w:rsid w:val="004B10D9"/>
    <w:rsid w:val="004B114C"/>
    <w:rsid w:val="004B1160"/>
    <w:rsid w:val="004B1168"/>
    <w:rsid w:val="004B117C"/>
    <w:rsid w:val="004B1193"/>
    <w:rsid w:val="004B1197"/>
    <w:rsid w:val="004B11BE"/>
    <w:rsid w:val="004B1201"/>
    <w:rsid w:val="004B1209"/>
    <w:rsid w:val="004B1252"/>
    <w:rsid w:val="004B12C7"/>
    <w:rsid w:val="004B12E3"/>
    <w:rsid w:val="004B12FF"/>
    <w:rsid w:val="004B131D"/>
    <w:rsid w:val="004B132A"/>
    <w:rsid w:val="004B1348"/>
    <w:rsid w:val="004B135E"/>
    <w:rsid w:val="004B13E1"/>
    <w:rsid w:val="004B1406"/>
    <w:rsid w:val="004B1437"/>
    <w:rsid w:val="004B152C"/>
    <w:rsid w:val="004B1530"/>
    <w:rsid w:val="004B157D"/>
    <w:rsid w:val="004B159F"/>
    <w:rsid w:val="004B163D"/>
    <w:rsid w:val="004B166D"/>
    <w:rsid w:val="004B168C"/>
    <w:rsid w:val="004B168E"/>
    <w:rsid w:val="004B169C"/>
    <w:rsid w:val="004B16C5"/>
    <w:rsid w:val="004B170B"/>
    <w:rsid w:val="004B1714"/>
    <w:rsid w:val="004B1723"/>
    <w:rsid w:val="004B1765"/>
    <w:rsid w:val="004B176E"/>
    <w:rsid w:val="004B1785"/>
    <w:rsid w:val="004B17B4"/>
    <w:rsid w:val="004B17E5"/>
    <w:rsid w:val="004B186C"/>
    <w:rsid w:val="004B1885"/>
    <w:rsid w:val="004B18C7"/>
    <w:rsid w:val="004B18FE"/>
    <w:rsid w:val="004B190A"/>
    <w:rsid w:val="004B1974"/>
    <w:rsid w:val="004B1983"/>
    <w:rsid w:val="004B19BF"/>
    <w:rsid w:val="004B19ED"/>
    <w:rsid w:val="004B19FC"/>
    <w:rsid w:val="004B1A32"/>
    <w:rsid w:val="004B1A60"/>
    <w:rsid w:val="004B1AA7"/>
    <w:rsid w:val="004B1ADE"/>
    <w:rsid w:val="004B1ADF"/>
    <w:rsid w:val="004B1AFA"/>
    <w:rsid w:val="004B1BE0"/>
    <w:rsid w:val="004B1BF4"/>
    <w:rsid w:val="004B1BFC"/>
    <w:rsid w:val="004B1C1A"/>
    <w:rsid w:val="004B1C8C"/>
    <w:rsid w:val="004B1CA3"/>
    <w:rsid w:val="004B1CDC"/>
    <w:rsid w:val="004B1CE6"/>
    <w:rsid w:val="004B1CE7"/>
    <w:rsid w:val="004B1CF5"/>
    <w:rsid w:val="004B1D12"/>
    <w:rsid w:val="004B1D7D"/>
    <w:rsid w:val="004B1DA2"/>
    <w:rsid w:val="004B1DA5"/>
    <w:rsid w:val="004B1E2E"/>
    <w:rsid w:val="004B1E99"/>
    <w:rsid w:val="004B1E9E"/>
    <w:rsid w:val="004B1EBB"/>
    <w:rsid w:val="004B1EE2"/>
    <w:rsid w:val="004B1EF4"/>
    <w:rsid w:val="004B1F24"/>
    <w:rsid w:val="004B1F6D"/>
    <w:rsid w:val="004B1F86"/>
    <w:rsid w:val="004B1FBC"/>
    <w:rsid w:val="004B1FF7"/>
    <w:rsid w:val="004B2096"/>
    <w:rsid w:val="004B20C0"/>
    <w:rsid w:val="004B211E"/>
    <w:rsid w:val="004B2158"/>
    <w:rsid w:val="004B21AB"/>
    <w:rsid w:val="004B21FF"/>
    <w:rsid w:val="004B2228"/>
    <w:rsid w:val="004B22C3"/>
    <w:rsid w:val="004B22D1"/>
    <w:rsid w:val="004B2339"/>
    <w:rsid w:val="004B237F"/>
    <w:rsid w:val="004B23A3"/>
    <w:rsid w:val="004B23CC"/>
    <w:rsid w:val="004B2427"/>
    <w:rsid w:val="004B2453"/>
    <w:rsid w:val="004B2475"/>
    <w:rsid w:val="004B248E"/>
    <w:rsid w:val="004B24A2"/>
    <w:rsid w:val="004B2554"/>
    <w:rsid w:val="004B25B4"/>
    <w:rsid w:val="004B25BD"/>
    <w:rsid w:val="004B25BF"/>
    <w:rsid w:val="004B2605"/>
    <w:rsid w:val="004B2647"/>
    <w:rsid w:val="004B277E"/>
    <w:rsid w:val="004B2799"/>
    <w:rsid w:val="004B27F0"/>
    <w:rsid w:val="004B280D"/>
    <w:rsid w:val="004B284E"/>
    <w:rsid w:val="004B28BE"/>
    <w:rsid w:val="004B28D7"/>
    <w:rsid w:val="004B28DF"/>
    <w:rsid w:val="004B28EA"/>
    <w:rsid w:val="004B2925"/>
    <w:rsid w:val="004B292A"/>
    <w:rsid w:val="004B2932"/>
    <w:rsid w:val="004B2965"/>
    <w:rsid w:val="004B296D"/>
    <w:rsid w:val="004B2985"/>
    <w:rsid w:val="004B2989"/>
    <w:rsid w:val="004B2993"/>
    <w:rsid w:val="004B29DC"/>
    <w:rsid w:val="004B29E4"/>
    <w:rsid w:val="004B29F2"/>
    <w:rsid w:val="004B2A54"/>
    <w:rsid w:val="004B2A89"/>
    <w:rsid w:val="004B2AA5"/>
    <w:rsid w:val="004B2ADE"/>
    <w:rsid w:val="004B2B14"/>
    <w:rsid w:val="004B2B22"/>
    <w:rsid w:val="004B2B82"/>
    <w:rsid w:val="004B2BB0"/>
    <w:rsid w:val="004B2C35"/>
    <w:rsid w:val="004B2C39"/>
    <w:rsid w:val="004B2C68"/>
    <w:rsid w:val="004B2C7B"/>
    <w:rsid w:val="004B2C82"/>
    <w:rsid w:val="004B2C8C"/>
    <w:rsid w:val="004B2CA3"/>
    <w:rsid w:val="004B2CBA"/>
    <w:rsid w:val="004B2CE4"/>
    <w:rsid w:val="004B2D52"/>
    <w:rsid w:val="004B2D65"/>
    <w:rsid w:val="004B2D8D"/>
    <w:rsid w:val="004B2DD3"/>
    <w:rsid w:val="004B2DD5"/>
    <w:rsid w:val="004B2DD7"/>
    <w:rsid w:val="004B2E0F"/>
    <w:rsid w:val="004B2E14"/>
    <w:rsid w:val="004B2E8E"/>
    <w:rsid w:val="004B2EAC"/>
    <w:rsid w:val="004B2EC6"/>
    <w:rsid w:val="004B2EF2"/>
    <w:rsid w:val="004B2F5E"/>
    <w:rsid w:val="004B2F87"/>
    <w:rsid w:val="004B305A"/>
    <w:rsid w:val="004B30AC"/>
    <w:rsid w:val="004B30CA"/>
    <w:rsid w:val="004B310F"/>
    <w:rsid w:val="004B3184"/>
    <w:rsid w:val="004B31C9"/>
    <w:rsid w:val="004B3233"/>
    <w:rsid w:val="004B3268"/>
    <w:rsid w:val="004B32D1"/>
    <w:rsid w:val="004B331B"/>
    <w:rsid w:val="004B336C"/>
    <w:rsid w:val="004B3392"/>
    <w:rsid w:val="004B33A3"/>
    <w:rsid w:val="004B33A5"/>
    <w:rsid w:val="004B33B1"/>
    <w:rsid w:val="004B3422"/>
    <w:rsid w:val="004B3455"/>
    <w:rsid w:val="004B3477"/>
    <w:rsid w:val="004B3483"/>
    <w:rsid w:val="004B3499"/>
    <w:rsid w:val="004B3546"/>
    <w:rsid w:val="004B358A"/>
    <w:rsid w:val="004B35C4"/>
    <w:rsid w:val="004B35C5"/>
    <w:rsid w:val="004B3601"/>
    <w:rsid w:val="004B362F"/>
    <w:rsid w:val="004B36F2"/>
    <w:rsid w:val="004B37A2"/>
    <w:rsid w:val="004B38A1"/>
    <w:rsid w:val="004B38E9"/>
    <w:rsid w:val="004B3913"/>
    <w:rsid w:val="004B397D"/>
    <w:rsid w:val="004B397E"/>
    <w:rsid w:val="004B3A2A"/>
    <w:rsid w:val="004B3A5C"/>
    <w:rsid w:val="004B3A97"/>
    <w:rsid w:val="004B3B1B"/>
    <w:rsid w:val="004B3B1E"/>
    <w:rsid w:val="004B3B26"/>
    <w:rsid w:val="004B3B32"/>
    <w:rsid w:val="004B3B87"/>
    <w:rsid w:val="004B3B9E"/>
    <w:rsid w:val="004B3BE6"/>
    <w:rsid w:val="004B3C21"/>
    <w:rsid w:val="004B3C7A"/>
    <w:rsid w:val="004B3C7E"/>
    <w:rsid w:val="004B3D55"/>
    <w:rsid w:val="004B3D68"/>
    <w:rsid w:val="004B3DB8"/>
    <w:rsid w:val="004B3DB9"/>
    <w:rsid w:val="004B3DD6"/>
    <w:rsid w:val="004B3E28"/>
    <w:rsid w:val="004B3EE5"/>
    <w:rsid w:val="004B3EED"/>
    <w:rsid w:val="004B3F0E"/>
    <w:rsid w:val="004B3F3E"/>
    <w:rsid w:val="004B3F5C"/>
    <w:rsid w:val="004B3FA5"/>
    <w:rsid w:val="004B3FBB"/>
    <w:rsid w:val="004B3FBD"/>
    <w:rsid w:val="004B4001"/>
    <w:rsid w:val="004B4040"/>
    <w:rsid w:val="004B410B"/>
    <w:rsid w:val="004B410D"/>
    <w:rsid w:val="004B4150"/>
    <w:rsid w:val="004B417C"/>
    <w:rsid w:val="004B4198"/>
    <w:rsid w:val="004B41A9"/>
    <w:rsid w:val="004B41E6"/>
    <w:rsid w:val="004B4209"/>
    <w:rsid w:val="004B421B"/>
    <w:rsid w:val="004B426C"/>
    <w:rsid w:val="004B4279"/>
    <w:rsid w:val="004B42B7"/>
    <w:rsid w:val="004B42DD"/>
    <w:rsid w:val="004B42E7"/>
    <w:rsid w:val="004B438C"/>
    <w:rsid w:val="004B439D"/>
    <w:rsid w:val="004B43B0"/>
    <w:rsid w:val="004B43E6"/>
    <w:rsid w:val="004B43EA"/>
    <w:rsid w:val="004B442C"/>
    <w:rsid w:val="004B443E"/>
    <w:rsid w:val="004B4443"/>
    <w:rsid w:val="004B444D"/>
    <w:rsid w:val="004B4482"/>
    <w:rsid w:val="004B4486"/>
    <w:rsid w:val="004B4488"/>
    <w:rsid w:val="004B44C5"/>
    <w:rsid w:val="004B44F6"/>
    <w:rsid w:val="004B4531"/>
    <w:rsid w:val="004B4543"/>
    <w:rsid w:val="004B4608"/>
    <w:rsid w:val="004B4695"/>
    <w:rsid w:val="004B46CF"/>
    <w:rsid w:val="004B471B"/>
    <w:rsid w:val="004B47A1"/>
    <w:rsid w:val="004B47F6"/>
    <w:rsid w:val="004B4854"/>
    <w:rsid w:val="004B486B"/>
    <w:rsid w:val="004B4876"/>
    <w:rsid w:val="004B48A0"/>
    <w:rsid w:val="004B491D"/>
    <w:rsid w:val="004B49AC"/>
    <w:rsid w:val="004B49D4"/>
    <w:rsid w:val="004B49DF"/>
    <w:rsid w:val="004B4A79"/>
    <w:rsid w:val="004B4ABD"/>
    <w:rsid w:val="004B4B4A"/>
    <w:rsid w:val="004B4B64"/>
    <w:rsid w:val="004B4B94"/>
    <w:rsid w:val="004B4BB9"/>
    <w:rsid w:val="004B4BC4"/>
    <w:rsid w:val="004B4BD7"/>
    <w:rsid w:val="004B4BED"/>
    <w:rsid w:val="004B4BFA"/>
    <w:rsid w:val="004B4C1A"/>
    <w:rsid w:val="004B4C42"/>
    <w:rsid w:val="004B4C45"/>
    <w:rsid w:val="004B4C63"/>
    <w:rsid w:val="004B4C79"/>
    <w:rsid w:val="004B4CB8"/>
    <w:rsid w:val="004B4D49"/>
    <w:rsid w:val="004B4E33"/>
    <w:rsid w:val="004B4E61"/>
    <w:rsid w:val="004B4E7A"/>
    <w:rsid w:val="004B4E93"/>
    <w:rsid w:val="004B4EAB"/>
    <w:rsid w:val="004B4EB6"/>
    <w:rsid w:val="004B4ED7"/>
    <w:rsid w:val="004B4F1D"/>
    <w:rsid w:val="004B4FAE"/>
    <w:rsid w:val="004B50BA"/>
    <w:rsid w:val="004B5119"/>
    <w:rsid w:val="004B5120"/>
    <w:rsid w:val="004B5166"/>
    <w:rsid w:val="004B51B0"/>
    <w:rsid w:val="004B51DA"/>
    <w:rsid w:val="004B51DB"/>
    <w:rsid w:val="004B5251"/>
    <w:rsid w:val="004B52D5"/>
    <w:rsid w:val="004B530E"/>
    <w:rsid w:val="004B5317"/>
    <w:rsid w:val="004B5378"/>
    <w:rsid w:val="004B53E6"/>
    <w:rsid w:val="004B542F"/>
    <w:rsid w:val="004B5430"/>
    <w:rsid w:val="004B5444"/>
    <w:rsid w:val="004B546C"/>
    <w:rsid w:val="004B5481"/>
    <w:rsid w:val="004B54A4"/>
    <w:rsid w:val="004B54D4"/>
    <w:rsid w:val="004B54E4"/>
    <w:rsid w:val="004B557E"/>
    <w:rsid w:val="004B55A7"/>
    <w:rsid w:val="004B55DF"/>
    <w:rsid w:val="004B55FB"/>
    <w:rsid w:val="004B5622"/>
    <w:rsid w:val="004B5628"/>
    <w:rsid w:val="004B567B"/>
    <w:rsid w:val="004B56BA"/>
    <w:rsid w:val="004B5747"/>
    <w:rsid w:val="004B57DA"/>
    <w:rsid w:val="004B5861"/>
    <w:rsid w:val="004B5884"/>
    <w:rsid w:val="004B5887"/>
    <w:rsid w:val="004B5889"/>
    <w:rsid w:val="004B58AE"/>
    <w:rsid w:val="004B5941"/>
    <w:rsid w:val="004B596F"/>
    <w:rsid w:val="004B59B8"/>
    <w:rsid w:val="004B59F2"/>
    <w:rsid w:val="004B5A26"/>
    <w:rsid w:val="004B5A29"/>
    <w:rsid w:val="004B5A3D"/>
    <w:rsid w:val="004B5A57"/>
    <w:rsid w:val="004B5AAC"/>
    <w:rsid w:val="004B5AB4"/>
    <w:rsid w:val="004B5AF8"/>
    <w:rsid w:val="004B5B23"/>
    <w:rsid w:val="004B5B6D"/>
    <w:rsid w:val="004B5BB4"/>
    <w:rsid w:val="004B5BB9"/>
    <w:rsid w:val="004B5BD2"/>
    <w:rsid w:val="004B5BE6"/>
    <w:rsid w:val="004B5C56"/>
    <w:rsid w:val="004B5C78"/>
    <w:rsid w:val="004B5CAD"/>
    <w:rsid w:val="004B5DA2"/>
    <w:rsid w:val="004B5DBE"/>
    <w:rsid w:val="004B5DE0"/>
    <w:rsid w:val="004B5E12"/>
    <w:rsid w:val="004B5E4E"/>
    <w:rsid w:val="004B5E83"/>
    <w:rsid w:val="004B5EB5"/>
    <w:rsid w:val="004B5EC0"/>
    <w:rsid w:val="004B5EC6"/>
    <w:rsid w:val="004B5ED1"/>
    <w:rsid w:val="004B5EE2"/>
    <w:rsid w:val="004B5F40"/>
    <w:rsid w:val="004B5F57"/>
    <w:rsid w:val="004B5F7A"/>
    <w:rsid w:val="004B5FAB"/>
    <w:rsid w:val="004B5FCD"/>
    <w:rsid w:val="004B5FDE"/>
    <w:rsid w:val="004B6026"/>
    <w:rsid w:val="004B6054"/>
    <w:rsid w:val="004B6064"/>
    <w:rsid w:val="004B60FD"/>
    <w:rsid w:val="004B6101"/>
    <w:rsid w:val="004B6111"/>
    <w:rsid w:val="004B6154"/>
    <w:rsid w:val="004B617B"/>
    <w:rsid w:val="004B61D8"/>
    <w:rsid w:val="004B61DA"/>
    <w:rsid w:val="004B61DD"/>
    <w:rsid w:val="004B61E2"/>
    <w:rsid w:val="004B6242"/>
    <w:rsid w:val="004B6280"/>
    <w:rsid w:val="004B628D"/>
    <w:rsid w:val="004B62AC"/>
    <w:rsid w:val="004B62CC"/>
    <w:rsid w:val="004B62F1"/>
    <w:rsid w:val="004B630D"/>
    <w:rsid w:val="004B6377"/>
    <w:rsid w:val="004B6388"/>
    <w:rsid w:val="004B63AB"/>
    <w:rsid w:val="004B63AE"/>
    <w:rsid w:val="004B63D1"/>
    <w:rsid w:val="004B63DE"/>
    <w:rsid w:val="004B640D"/>
    <w:rsid w:val="004B6434"/>
    <w:rsid w:val="004B643C"/>
    <w:rsid w:val="004B6459"/>
    <w:rsid w:val="004B64A4"/>
    <w:rsid w:val="004B64C1"/>
    <w:rsid w:val="004B64E0"/>
    <w:rsid w:val="004B653D"/>
    <w:rsid w:val="004B655B"/>
    <w:rsid w:val="004B656C"/>
    <w:rsid w:val="004B65AF"/>
    <w:rsid w:val="004B65BE"/>
    <w:rsid w:val="004B6609"/>
    <w:rsid w:val="004B669A"/>
    <w:rsid w:val="004B669B"/>
    <w:rsid w:val="004B66D1"/>
    <w:rsid w:val="004B670B"/>
    <w:rsid w:val="004B6714"/>
    <w:rsid w:val="004B6744"/>
    <w:rsid w:val="004B675B"/>
    <w:rsid w:val="004B6770"/>
    <w:rsid w:val="004B67A4"/>
    <w:rsid w:val="004B67BF"/>
    <w:rsid w:val="004B67D4"/>
    <w:rsid w:val="004B67DE"/>
    <w:rsid w:val="004B6807"/>
    <w:rsid w:val="004B683F"/>
    <w:rsid w:val="004B6858"/>
    <w:rsid w:val="004B6866"/>
    <w:rsid w:val="004B68B9"/>
    <w:rsid w:val="004B68E0"/>
    <w:rsid w:val="004B68E7"/>
    <w:rsid w:val="004B690E"/>
    <w:rsid w:val="004B6977"/>
    <w:rsid w:val="004B69B1"/>
    <w:rsid w:val="004B6A0A"/>
    <w:rsid w:val="004B6A23"/>
    <w:rsid w:val="004B6A41"/>
    <w:rsid w:val="004B6A63"/>
    <w:rsid w:val="004B6A94"/>
    <w:rsid w:val="004B6AD7"/>
    <w:rsid w:val="004B6ADB"/>
    <w:rsid w:val="004B6B36"/>
    <w:rsid w:val="004B6B48"/>
    <w:rsid w:val="004B6BBA"/>
    <w:rsid w:val="004B6C16"/>
    <w:rsid w:val="004B6C43"/>
    <w:rsid w:val="004B6C49"/>
    <w:rsid w:val="004B6C61"/>
    <w:rsid w:val="004B6C7B"/>
    <w:rsid w:val="004B6C87"/>
    <w:rsid w:val="004B6CC7"/>
    <w:rsid w:val="004B6CCC"/>
    <w:rsid w:val="004B6D32"/>
    <w:rsid w:val="004B6D70"/>
    <w:rsid w:val="004B6DAE"/>
    <w:rsid w:val="004B6DDB"/>
    <w:rsid w:val="004B6E36"/>
    <w:rsid w:val="004B6E72"/>
    <w:rsid w:val="004B6F59"/>
    <w:rsid w:val="004B6F61"/>
    <w:rsid w:val="004B6F8B"/>
    <w:rsid w:val="004B6F92"/>
    <w:rsid w:val="004B6FBD"/>
    <w:rsid w:val="004B6FD0"/>
    <w:rsid w:val="004B6FD4"/>
    <w:rsid w:val="004B7008"/>
    <w:rsid w:val="004B7017"/>
    <w:rsid w:val="004B7035"/>
    <w:rsid w:val="004B704D"/>
    <w:rsid w:val="004B709D"/>
    <w:rsid w:val="004B712B"/>
    <w:rsid w:val="004B713D"/>
    <w:rsid w:val="004B7199"/>
    <w:rsid w:val="004B71AB"/>
    <w:rsid w:val="004B71F2"/>
    <w:rsid w:val="004B71FB"/>
    <w:rsid w:val="004B720F"/>
    <w:rsid w:val="004B7218"/>
    <w:rsid w:val="004B7265"/>
    <w:rsid w:val="004B727A"/>
    <w:rsid w:val="004B72C9"/>
    <w:rsid w:val="004B72CB"/>
    <w:rsid w:val="004B72D0"/>
    <w:rsid w:val="004B72D9"/>
    <w:rsid w:val="004B7311"/>
    <w:rsid w:val="004B7340"/>
    <w:rsid w:val="004B734D"/>
    <w:rsid w:val="004B7362"/>
    <w:rsid w:val="004B7436"/>
    <w:rsid w:val="004B74DF"/>
    <w:rsid w:val="004B74E2"/>
    <w:rsid w:val="004B7500"/>
    <w:rsid w:val="004B7511"/>
    <w:rsid w:val="004B7541"/>
    <w:rsid w:val="004B755D"/>
    <w:rsid w:val="004B75E2"/>
    <w:rsid w:val="004B76E6"/>
    <w:rsid w:val="004B76F5"/>
    <w:rsid w:val="004B7705"/>
    <w:rsid w:val="004B7726"/>
    <w:rsid w:val="004B7763"/>
    <w:rsid w:val="004B776B"/>
    <w:rsid w:val="004B77B0"/>
    <w:rsid w:val="004B77CF"/>
    <w:rsid w:val="004B7813"/>
    <w:rsid w:val="004B7824"/>
    <w:rsid w:val="004B786D"/>
    <w:rsid w:val="004B78B9"/>
    <w:rsid w:val="004B78D3"/>
    <w:rsid w:val="004B78F2"/>
    <w:rsid w:val="004B7928"/>
    <w:rsid w:val="004B795A"/>
    <w:rsid w:val="004B7982"/>
    <w:rsid w:val="004B799F"/>
    <w:rsid w:val="004B7A69"/>
    <w:rsid w:val="004B7AD4"/>
    <w:rsid w:val="004B7AD7"/>
    <w:rsid w:val="004B7AE4"/>
    <w:rsid w:val="004B7AFD"/>
    <w:rsid w:val="004B7B02"/>
    <w:rsid w:val="004B7B4A"/>
    <w:rsid w:val="004B7BA5"/>
    <w:rsid w:val="004B7BFB"/>
    <w:rsid w:val="004B7C96"/>
    <w:rsid w:val="004B7CA4"/>
    <w:rsid w:val="004B7CE4"/>
    <w:rsid w:val="004B7D71"/>
    <w:rsid w:val="004B7EA4"/>
    <w:rsid w:val="004B7EFE"/>
    <w:rsid w:val="004B7F95"/>
    <w:rsid w:val="004B7F96"/>
    <w:rsid w:val="004B7FF9"/>
    <w:rsid w:val="004C0006"/>
    <w:rsid w:val="004C001C"/>
    <w:rsid w:val="004C00D3"/>
    <w:rsid w:val="004C00EB"/>
    <w:rsid w:val="004C00FB"/>
    <w:rsid w:val="004C014A"/>
    <w:rsid w:val="004C014C"/>
    <w:rsid w:val="004C018A"/>
    <w:rsid w:val="004C0197"/>
    <w:rsid w:val="004C019C"/>
    <w:rsid w:val="004C0204"/>
    <w:rsid w:val="004C0224"/>
    <w:rsid w:val="004C0251"/>
    <w:rsid w:val="004C026D"/>
    <w:rsid w:val="004C0294"/>
    <w:rsid w:val="004C02FF"/>
    <w:rsid w:val="004C0323"/>
    <w:rsid w:val="004C032C"/>
    <w:rsid w:val="004C036A"/>
    <w:rsid w:val="004C03AD"/>
    <w:rsid w:val="004C0401"/>
    <w:rsid w:val="004C0419"/>
    <w:rsid w:val="004C047C"/>
    <w:rsid w:val="004C0490"/>
    <w:rsid w:val="004C04A8"/>
    <w:rsid w:val="004C0565"/>
    <w:rsid w:val="004C0571"/>
    <w:rsid w:val="004C0599"/>
    <w:rsid w:val="004C05BD"/>
    <w:rsid w:val="004C05C2"/>
    <w:rsid w:val="004C05D4"/>
    <w:rsid w:val="004C05DE"/>
    <w:rsid w:val="004C05F1"/>
    <w:rsid w:val="004C0616"/>
    <w:rsid w:val="004C062F"/>
    <w:rsid w:val="004C0683"/>
    <w:rsid w:val="004C0687"/>
    <w:rsid w:val="004C0692"/>
    <w:rsid w:val="004C06C5"/>
    <w:rsid w:val="004C0723"/>
    <w:rsid w:val="004C0772"/>
    <w:rsid w:val="004C07B7"/>
    <w:rsid w:val="004C0828"/>
    <w:rsid w:val="004C0831"/>
    <w:rsid w:val="004C0872"/>
    <w:rsid w:val="004C087F"/>
    <w:rsid w:val="004C08AE"/>
    <w:rsid w:val="004C08ED"/>
    <w:rsid w:val="004C0908"/>
    <w:rsid w:val="004C090A"/>
    <w:rsid w:val="004C0912"/>
    <w:rsid w:val="004C0960"/>
    <w:rsid w:val="004C0968"/>
    <w:rsid w:val="004C0973"/>
    <w:rsid w:val="004C09CC"/>
    <w:rsid w:val="004C0A4A"/>
    <w:rsid w:val="004C0A8E"/>
    <w:rsid w:val="004C0A9D"/>
    <w:rsid w:val="004C0AD7"/>
    <w:rsid w:val="004C0AE9"/>
    <w:rsid w:val="004C0B66"/>
    <w:rsid w:val="004C0BAB"/>
    <w:rsid w:val="004C0BEF"/>
    <w:rsid w:val="004C0BF7"/>
    <w:rsid w:val="004C0C5E"/>
    <w:rsid w:val="004C0C74"/>
    <w:rsid w:val="004C0CD3"/>
    <w:rsid w:val="004C0D6A"/>
    <w:rsid w:val="004C0D73"/>
    <w:rsid w:val="004C0D8B"/>
    <w:rsid w:val="004C0D9E"/>
    <w:rsid w:val="004C0DEA"/>
    <w:rsid w:val="004C0E09"/>
    <w:rsid w:val="004C0E59"/>
    <w:rsid w:val="004C0E6E"/>
    <w:rsid w:val="004C0E70"/>
    <w:rsid w:val="004C0E84"/>
    <w:rsid w:val="004C0ED4"/>
    <w:rsid w:val="004C0EDA"/>
    <w:rsid w:val="004C0F66"/>
    <w:rsid w:val="004C0FC9"/>
    <w:rsid w:val="004C1071"/>
    <w:rsid w:val="004C109C"/>
    <w:rsid w:val="004C10AA"/>
    <w:rsid w:val="004C1153"/>
    <w:rsid w:val="004C1185"/>
    <w:rsid w:val="004C11B8"/>
    <w:rsid w:val="004C1249"/>
    <w:rsid w:val="004C1269"/>
    <w:rsid w:val="004C128C"/>
    <w:rsid w:val="004C1306"/>
    <w:rsid w:val="004C133D"/>
    <w:rsid w:val="004C1371"/>
    <w:rsid w:val="004C13E9"/>
    <w:rsid w:val="004C13F0"/>
    <w:rsid w:val="004C140E"/>
    <w:rsid w:val="004C144E"/>
    <w:rsid w:val="004C145D"/>
    <w:rsid w:val="004C148A"/>
    <w:rsid w:val="004C14AD"/>
    <w:rsid w:val="004C14C1"/>
    <w:rsid w:val="004C1540"/>
    <w:rsid w:val="004C1543"/>
    <w:rsid w:val="004C155B"/>
    <w:rsid w:val="004C1562"/>
    <w:rsid w:val="004C1568"/>
    <w:rsid w:val="004C15AD"/>
    <w:rsid w:val="004C1605"/>
    <w:rsid w:val="004C1618"/>
    <w:rsid w:val="004C1623"/>
    <w:rsid w:val="004C1672"/>
    <w:rsid w:val="004C16F9"/>
    <w:rsid w:val="004C170A"/>
    <w:rsid w:val="004C172B"/>
    <w:rsid w:val="004C1739"/>
    <w:rsid w:val="004C1743"/>
    <w:rsid w:val="004C1744"/>
    <w:rsid w:val="004C17CD"/>
    <w:rsid w:val="004C184B"/>
    <w:rsid w:val="004C185A"/>
    <w:rsid w:val="004C1881"/>
    <w:rsid w:val="004C18E9"/>
    <w:rsid w:val="004C18F6"/>
    <w:rsid w:val="004C1933"/>
    <w:rsid w:val="004C198A"/>
    <w:rsid w:val="004C1A33"/>
    <w:rsid w:val="004C1A39"/>
    <w:rsid w:val="004C1A5F"/>
    <w:rsid w:val="004C1AAC"/>
    <w:rsid w:val="004C1B25"/>
    <w:rsid w:val="004C1B8D"/>
    <w:rsid w:val="004C1B8F"/>
    <w:rsid w:val="004C1B97"/>
    <w:rsid w:val="004C1BA8"/>
    <w:rsid w:val="004C1BA9"/>
    <w:rsid w:val="004C1BAC"/>
    <w:rsid w:val="004C1BB9"/>
    <w:rsid w:val="004C1BD2"/>
    <w:rsid w:val="004C1C19"/>
    <w:rsid w:val="004C1C33"/>
    <w:rsid w:val="004C1C79"/>
    <w:rsid w:val="004C1CE1"/>
    <w:rsid w:val="004C1D01"/>
    <w:rsid w:val="004C1D12"/>
    <w:rsid w:val="004C1D2C"/>
    <w:rsid w:val="004C1D39"/>
    <w:rsid w:val="004C1DC3"/>
    <w:rsid w:val="004C1E2D"/>
    <w:rsid w:val="004C1E5B"/>
    <w:rsid w:val="004C1E83"/>
    <w:rsid w:val="004C1E95"/>
    <w:rsid w:val="004C1ED0"/>
    <w:rsid w:val="004C1F0F"/>
    <w:rsid w:val="004C1F5A"/>
    <w:rsid w:val="004C1F77"/>
    <w:rsid w:val="004C1FA3"/>
    <w:rsid w:val="004C1FAC"/>
    <w:rsid w:val="004C1FBE"/>
    <w:rsid w:val="004C1FC1"/>
    <w:rsid w:val="004C1FD7"/>
    <w:rsid w:val="004C204F"/>
    <w:rsid w:val="004C207D"/>
    <w:rsid w:val="004C2141"/>
    <w:rsid w:val="004C2143"/>
    <w:rsid w:val="004C215D"/>
    <w:rsid w:val="004C2178"/>
    <w:rsid w:val="004C2187"/>
    <w:rsid w:val="004C218E"/>
    <w:rsid w:val="004C21C2"/>
    <w:rsid w:val="004C21E0"/>
    <w:rsid w:val="004C21EA"/>
    <w:rsid w:val="004C22C0"/>
    <w:rsid w:val="004C22EC"/>
    <w:rsid w:val="004C2310"/>
    <w:rsid w:val="004C2318"/>
    <w:rsid w:val="004C2328"/>
    <w:rsid w:val="004C2341"/>
    <w:rsid w:val="004C2396"/>
    <w:rsid w:val="004C2414"/>
    <w:rsid w:val="004C2439"/>
    <w:rsid w:val="004C246E"/>
    <w:rsid w:val="004C2495"/>
    <w:rsid w:val="004C24B3"/>
    <w:rsid w:val="004C24D8"/>
    <w:rsid w:val="004C24F3"/>
    <w:rsid w:val="004C24F6"/>
    <w:rsid w:val="004C2528"/>
    <w:rsid w:val="004C258E"/>
    <w:rsid w:val="004C25AA"/>
    <w:rsid w:val="004C25CF"/>
    <w:rsid w:val="004C25E0"/>
    <w:rsid w:val="004C25FA"/>
    <w:rsid w:val="004C2627"/>
    <w:rsid w:val="004C2646"/>
    <w:rsid w:val="004C2677"/>
    <w:rsid w:val="004C2684"/>
    <w:rsid w:val="004C26BC"/>
    <w:rsid w:val="004C26FE"/>
    <w:rsid w:val="004C2735"/>
    <w:rsid w:val="004C2750"/>
    <w:rsid w:val="004C2762"/>
    <w:rsid w:val="004C27DB"/>
    <w:rsid w:val="004C2818"/>
    <w:rsid w:val="004C282D"/>
    <w:rsid w:val="004C283C"/>
    <w:rsid w:val="004C2853"/>
    <w:rsid w:val="004C28A1"/>
    <w:rsid w:val="004C2927"/>
    <w:rsid w:val="004C2959"/>
    <w:rsid w:val="004C29B0"/>
    <w:rsid w:val="004C29D3"/>
    <w:rsid w:val="004C2A28"/>
    <w:rsid w:val="004C2A53"/>
    <w:rsid w:val="004C2A55"/>
    <w:rsid w:val="004C2A68"/>
    <w:rsid w:val="004C2A69"/>
    <w:rsid w:val="004C2A85"/>
    <w:rsid w:val="004C2AF5"/>
    <w:rsid w:val="004C2B10"/>
    <w:rsid w:val="004C2B18"/>
    <w:rsid w:val="004C2B55"/>
    <w:rsid w:val="004C2BCD"/>
    <w:rsid w:val="004C2BE0"/>
    <w:rsid w:val="004C2C3A"/>
    <w:rsid w:val="004C2C8E"/>
    <w:rsid w:val="004C2D74"/>
    <w:rsid w:val="004C2DC5"/>
    <w:rsid w:val="004C2E0A"/>
    <w:rsid w:val="004C2E65"/>
    <w:rsid w:val="004C2EA1"/>
    <w:rsid w:val="004C2F19"/>
    <w:rsid w:val="004C2F1F"/>
    <w:rsid w:val="004C2F23"/>
    <w:rsid w:val="004C2F95"/>
    <w:rsid w:val="004C2FF3"/>
    <w:rsid w:val="004C302B"/>
    <w:rsid w:val="004C302F"/>
    <w:rsid w:val="004C305C"/>
    <w:rsid w:val="004C30DF"/>
    <w:rsid w:val="004C30E7"/>
    <w:rsid w:val="004C30E8"/>
    <w:rsid w:val="004C30EF"/>
    <w:rsid w:val="004C3112"/>
    <w:rsid w:val="004C3151"/>
    <w:rsid w:val="004C32B0"/>
    <w:rsid w:val="004C32E4"/>
    <w:rsid w:val="004C32E5"/>
    <w:rsid w:val="004C32FC"/>
    <w:rsid w:val="004C3345"/>
    <w:rsid w:val="004C3352"/>
    <w:rsid w:val="004C3367"/>
    <w:rsid w:val="004C33D9"/>
    <w:rsid w:val="004C34BC"/>
    <w:rsid w:val="004C35AB"/>
    <w:rsid w:val="004C35B6"/>
    <w:rsid w:val="004C35E2"/>
    <w:rsid w:val="004C35FC"/>
    <w:rsid w:val="004C363C"/>
    <w:rsid w:val="004C36C2"/>
    <w:rsid w:val="004C3701"/>
    <w:rsid w:val="004C374D"/>
    <w:rsid w:val="004C377F"/>
    <w:rsid w:val="004C37C8"/>
    <w:rsid w:val="004C3850"/>
    <w:rsid w:val="004C38B8"/>
    <w:rsid w:val="004C38C2"/>
    <w:rsid w:val="004C38C9"/>
    <w:rsid w:val="004C38F7"/>
    <w:rsid w:val="004C38FE"/>
    <w:rsid w:val="004C3902"/>
    <w:rsid w:val="004C3921"/>
    <w:rsid w:val="004C3944"/>
    <w:rsid w:val="004C39A3"/>
    <w:rsid w:val="004C39AA"/>
    <w:rsid w:val="004C39EB"/>
    <w:rsid w:val="004C3A15"/>
    <w:rsid w:val="004C3A21"/>
    <w:rsid w:val="004C3A38"/>
    <w:rsid w:val="004C3A97"/>
    <w:rsid w:val="004C3AC9"/>
    <w:rsid w:val="004C3ADC"/>
    <w:rsid w:val="004C3AFF"/>
    <w:rsid w:val="004C3B50"/>
    <w:rsid w:val="004C3C22"/>
    <w:rsid w:val="004C3C43"/>
    <w:rsid w:val="004C3C9F"/>
    <w:rsid w:val="004C3CC3"/>
    <w:rsid w:val="004C3CE3"/>
    <w:rsid w:val="004C3D07"/>
    <w:rsid w:val="004C3D12"/>
    <w:rsid w:val="004C3D3D"/>
    <w:rsid w:val="004C3D79"/>
    <w:rsid w:val="004C3D91"/>
    <w:rsid w:val="004C3DE4"/>
    <w:rsid w:val="004C3DF0"/>
    <w:rsid w:val="004C3DF8"/>
    <w:rsid w:val="004C3E28"/>
    <w:rsid w:val="004C3E38"/>
    <w:rsid w:val="004C3E82"/>
    <w:rsid w:val="004C3ED4"/>
    <w:rsid w:val="004C3EE7"/>
    <w:rsid w:val="004C3F01"/>
    <w:rsid w:val="004C3F3A"/>
    <w:rsid w:val="004C3F45"/>
    <w:rsid w:val="004C3F5D"/>
    <w:rsid w:val="004C3FA8"/>
    <w:rsid w:val="004C402C"/>
    <w:rsid w:val="004C407A"/>
    <w:rsid w:val="004C4092"/>
    <w:rsid w:val="004C4095"/>
    <w:rsid w:val="004C40BF"/>
    <w:rsid w:val="004C40DD"/>
    <w:rsid w:val="004C4134"/>
    <w:rsid w:val="004C41AA"/>
    <w:rsid w:val="004C41B9"/>
    <w:rsid w:val="004C41BF"/>
    <w:rsid w:val="004C41E0"/>
    <w:rsid w:val="004C41ED"/>
    <w:rsid w:val="004C41FF"/>
    <w:rsid w:val="004C4208"/>
    <w:rsid w:val="004C4243"/>
    <w:rsid w:val="004C427C"/>
    <w:rsid w:val="004C42D0"/>
    <w:rsid w:val="004C4318"/>
    <w:rsid w:val="004C431B"/>
    <w:rsid w:val="004C4360"/>
    <w:rsid w:val="004C439F"/>
    <w:rsid w:val="004C43A6"/>
    <w:rsid w:val="004C444F"/>
    <w:rsid w:val="004C44BF"/>
    <w:rsid w:val="004C4504"/>
    <w:rsid w:val="004C4537"/>
    <w:rsid w:val="004C4584"/>
    <w:rsid w:val="004C4592"/>
    <w:rsid w:val="004C4599"/>
    <w:rsid w:val="004C4606"/>
    <w:rsid w:val="004C461E"/>
    <w:rsid w:val="004C4627"/>
    <w:rsid w:val="004C4632"/>
    <w:rsid w:val="004C4650"/>
    <w:rsid w:val="004C4665"/>
    <w:rsid w:val="004C4691"/>
    <w:rsid w:val="004C46B7"/>
    <w:rsid w:val="004C471D"/>
    <w:rsid w:val="004C4724"/>
    <w:rsid w:val="004C472D"/>
    <w:rsid w:val="004C475F"/>
    <w:rsid w:val="004C4787"/>
    <w:rsid w:val="004C479B"/>
    <w:rsid w:val="004C4866"/>
    <w:rsid w:val="004C48AE"/>
    <w:rsid w:val="004C48C9"/>
    <w:rsid w:val="004C48E1"/>
    <w:rsid w:val="004C4944"/>
    <w:rsid w:val="004C4985"/>
    <w:rsid w:val="004C49A4"/>
    <w:rsid w:val="004C4AC2"/>
    <w:rsid w:val="004C4AF8"/>
    <w:rsid w:val="004C4B22"/>
    <w:rsid w:val="004C4B2B"/>
    <w:rsid w:val="004C4B3F"/>
    <w:rsid w:val="004C4B52"/>
    <w:rsid w:val="004C4B6A"/>
    <w:rsid w:val="004C4BC8"/>
    <w:rsid w:val="004C4C07"/>
    <w:rsid w:val="004C4CB1"/>
    <w:rsid w:val="004C4D03"/>
    <w:rsid w:val="004C4D04"/>
    <w:rsid w:val="004C4D25"/>
    <w:rsid w:val="004C4D3F"/>
    <w:rsid w:val="004C4DA2"/>
    <w:rsid w:val="004C4DE4"/>
    <w:rsid w:val="004C4E27"/>
    <w:rsid w:val="004C4E3F"/>
    <w:rsid w:val="004C4E64"/>
    <w:rsid w:val="004C4EEB"/>
    <w:rsid w:val="004C4EF3"/>
    <w:rsid w:val="004C4FDB"/>
    <w:rsid w:val="004C4FF7"/>
    <w:rsid w:val="004C5024"/>
    <w:rsid w:val="004C5037"/>
    <w:rsid w:val="004C50AA"/>
    <w:rsid w:val="004C50C6"/>
    <w:rsid w:val="004C50D7"/>
    <w:rsid w:val="004C50DE"/>
    <w:rsid w:val="004C50ED"/>
    <w:rsid w:val="004C513D"/>
    <w:rsid w:val="004C513F"/>
    <w:rsid w:val="004C5148"/>
    <w:rsid w:val="004C5177"/>
    <w:rsid w:val="004C5197"/>
    <w:rsid w:val="004C51A8"/>
    <w:rsid w:val="004C51F7"/>
    <w:rsid w:val="004C5210"/>
    <w:rsid w:val="004C52E6"/>
    <w:rsid w:val="004C531D"/>
    <w:rsid w:val="004C5321"/>
    <w:rsid w:val="004C53B6"/>
    <w:rsid w:val="004C5427"/>
    <w:rsid w:val="004C5479"/>
    <w:rsid w:val="004C549F"/>
    <w:rsid w:val="004C554B"/>
    <w:rsid w:val="004C5569"/>
    <w:rsid w:val="004C559B"/>
    <w:rsid w:val="004C55AB"/>
    <w:rsid w:val="004C55DA"/>
    <w:rsid w:val="004C55F3"/>
    <w:rsid w:val="004C562C"/>
    <w:rsid w:val="004C5648"/>
    <w:rsid w:val="004C56BA"/>
    <w:rsid w:val="004C56EF"/>
    <w:rsid w:val="004C56FF"/>
    <w:rsid w:val="004C5745"/>
    <w:rsid w:val="004C5757"/>
    <w:rsid w:val="004C5780"/>
    <w:rsid w:val="004C5788"/>
    <w:rsid w:val="004C57CC"/>
    <w:rsid w:val="004C5803"/>
    <w:rsid w:val="004C5815"/>
    <w:rsid w:val="004C5819"/>
    <w:rsid w:val="004C583B"/>
    <w:rsid w:val="004C587E"/>
    <w:rsid w:val="004C58A1"/>
    <w:rsid w:val="004C58BC"/>
    <w:rsid w:val="004C58F8"/>
    <w:rsid w:val="004C5940"/>
    <w:rsid w:val="004C595E"/>
    <w:rsid w:val="004C59B8"/>
    <w:rsid w:val="004C59BF"/>
    <w:rsid w:val="004C5A15"/>
    <w:rsid w:val="004C5A44"/>
    <w:rsid w:val="004C5A4E"/>
    <w:rsid w:val="004C5AAC"/>
    <w:rsid w:val="004C5AC8"/>
    <w:rsid w:val="004C5BDC"/>
    <w:rsid w:val="004C5BE4"/>
    <w:rsid w:val="004C5C4A"/>
    <w:rsid w:val="004C5D45"/>
    <w:rsid w:val="004C5D52"/>
    <w:rsid w:val="004C5D65"/>
    <w:rsid w:val="004C5D92"/>
    <w:rsid w:val="004C5EF1"/>
    <w:rsid w:val="004C5F04"/>
    <w:rsid w:val="004C5F36"/>
    <w:rsid w:val="004C5F46"/>
    <w:rsid w:val="004C5F51"/>
    <w:rsid w:val="004C5F7C"/>
    <w:rsid w:val="004C5FC6"/>
    <w:rsid w:val="004C5FC8"/>
    <w:rsid w:val="004C5FE3"/>
    <w:rsid w:val="004C6110"/>
    <w:rsid w:val="004C612A"/>
    <w:rsid w:val="004C6146"/>
    <w:rsid w:val="004C61A3"/>
    <w:rsid w:val="004C61C0"/>
    <w:rsid w:val="004C61FA"/>
    <w:rsid w:val="004C61FC"/>
    <w:rsid w:val="004C623C"/>
    <w:rsid w:val="004C6262"/>
    <w:rsid w:val="004C6293"/>
    <w:rsid w:val="004C62C7"/>
    <w:rsid w:val="004C62DD"/>
    <w:rsid w:val="004C630F"/>
    <w:rsid w:val="004C633F"/>
    <w:rsid w:val="004C6370"/>
    <w:rsid w:val="004C6373"/>
    <w:rsid w:val="004C639B"/>
    <w:rsid w:val="004C63A7"/>
    <w:rsid w:val="004C63BE"/>
    <w:rsid w:val="004C63D6"/>
    <w:rsid w:val="004C63E2"/>
    <w:rsid w:val="004C641A"/>
    <w:rsid w:val="004C642B"/>
    <w:rsid w:val="004C643C"/>
    <w:rsid w:val="004C6493"/>
    <w:rsid w:val="004C64B9"/>
    <w:rsid w:val="004C64DE"/>
    <w:rsid w:val="004C6535"/>
    <w:rsid w:val="004C654E"/>
    <w:rsid w:val="004C6627"/>
    <w:rsid w:val="004C664B"/>
    <w:rsid w:val="004C676B"/>
    <w:rsid w:val="004C679F"/>
    <w:rsid w:val="004C67FE"/>
    <w:rsid w:val="004C682E"/>
    <w:rsid w:val="004C6872"/>
    <w:rsid w:val="004C6897"/>
    <w:rsid w:val="004C6903"/>
    <w:rsid w:val="004C6959"/>
    <w:rsid w:val="004C6988"/>
    <w:rsid w:val="004C699A"/>
    <w:rsid w:val="004C69B2"/>
    <w:rsid w:val="004C69B5"/>
    <w:rsid w:val="004C69BA"/>
    <w:rsid w:val="004C69CC"/>
    <w:rsid w:val="004C69E4"/>
    <w:rsid w:val="004C69FB"/>
    <w:rsid w:val="004C6A7F"/>
    <w:rsid w:val="004C6A8C"/>
    <w:rsid w:val="004C6AAC"/>
    <w:rsid w:val="004C6B2B"/>
    <w:rsid w:val="004C6B48"/>
    <w:rsid w:val="004C6B4D"/>
    <w:rsid w:val="004C6B87"/>
    <w:rsid w:val="004C6BB3"/>
    <w:rsid w:val="004C6BD5"/>
    <w:rsid w:val="004C6BF6"/>
    <w:rsid w:val="004C6C62"/>
    <w:rsid w:val="004C6CE7"/>
    <w:rsid w:val="004C6CEC"/>
    <w:rsid w:val="004C6CEE"/>
    <w:rsid w:val="004C6D11"/>
    <w:rsid w:val="004C6DED"/>
    <w:rsid w:val="004C6E08"/>
    <w:rsid w:val="004C6E34"/>
    <w:rsid w:val="004C6E45"/>
    <w:rsid w:val="004C6EF6"/>
    <w:rsid w:val="004C6EFB"/>
    <w:rsid w:val="004C6F2D"/>
    <w:rsid w:val="004C6FA6"/>
    <w:rsid w:val="004C6FFB"/>
    <w:rsid w:val="004C7009"/>
    <w:rsid w:val="004C70F7"/>
    <w:rsid w:val="004C716C"/>
    <w:rsid w:val="004C7175"/>
    <w:rsid w:val="004C7178"/>
    <w:rsid w:val="004C71E6"/>
    <w:rsid w:val="004C7232"/>
    <w:rsid w:val="004C72AF"/>
    <w:rsid w:val="004C734D"/>
    <w:rsid w:val="004C735C"/>
    <w:rsid w:val="004C73AA"/>
    <w:rsid w:val="004C73C9"/>
    <w:rsid w:val="004C73E2"/>
    <w:rsid w:val="004C73FE"/>
    <w:rsid w:val="004C74E2"/>
    <w:rsid w:val="004C7513"/>
    <w:rsid w:val="004C7521"/>
    <w:rsid w:val="004C7536"/>
    <w:rsid w:val="004C7560"/>
    <w:rsid w:val="004C757B"/>
    <w:rsid w:val="004C758B"/>
    <w:rsid w:val="004C758C"/>
    <w:rsid w:val="004C7599"/>
    <w:rsid w:val="004C75B0"/>
    <w:rsid w:val="004C760D"/>
    <w:rsid w:val="004C7611"/>
    <w:rsid w:val="004C7643"/>
    <w:rsid w:val="004C767E"/>
    <w:rsid w:val="004C769F"/>
    <w:rsid w:val="004C76AB"/>
    <w:rsid w:val="004C76D2"/>
    <w:rsid w:val="004C76FF"/>
    <w:rsid w:val="004C7741"/>
    <w:rsid w:val="004C7779"/>
    <w:rsid w:val="004C77FE"/>
    <w:rsid w:val="004C7829"/>
    <w:rsid w:val="004C7854"/>
    <w:rsid w:val="004C7881"/>
    <w:rsid w:val="004C7882"/>
    <w:rsid w:val="004C78EB"/>
    <w:rsid w:val="004C7948"/>
    <w:rsid w:val="004C7955"/>
    <w:rsid w:val="004C7A46"/>
    <w:rsid w:val="004C7B0C"/>
    <w:rsid w:val="004C7B1C"/>
    <w:rsid w:val="004C7B22"/>
    <w:rsid w:val="004C7BA2"/>
    <w:rsid w:val="004C7BA8"/>
    <w:rsid w:val="004C7BC8"/>
    <w:rsid w:val="004C7C12"/>
    <w:rsid w:val="004C7C24"/>
    <w:rsid w:val="004C7C74"/>
    <w:rsid w:val="004C7C9C"/>
    <w:rsid w:val="004C7CDA"/>
    <w:rsid w:val="004C7CE3"/>
    <w:rsid w:val="004C7D39"/>
    <w:rsid w:val="004C7DF6"/>
    <w:rsid w:val="004C7E0E"/>
    <w:rsid w:val="004C7E3A"/>
    <w:rsid w:val="004C7E44"/>
    <w:rsid w:val="004C7E79"/>
    <w:rsid w:val="004C7E8E"/>
    <w:rsid w:val="004C7EB3"/>
    <w:rsid w:val="004C7EC0"/>
    <w:rsid w:val="004C7ED2"/>
    <w:rsid w:val="004C7ED6"/>
    <w:rsid w:val="004C7F84"/>
    <w:rsid w:val="004C7F97"/>
    <w:rsid w:val="004C7FAD"/>
    <w:rsid w:val="004D0022"/>
    <w:rsid w:val="004D0041"/>
    <w:rsid w:val="004D0057"/>
    <w:rsid w:val="004D00C7"/>
    <w:rsid w:val="004D00E3"/>
    <w:rsid w:val="004D00F1"/>
    <w:rsid w:val="004D013B"/>
    <w:rsid w:val="004D018D"/>
    <w:rsid w:val="004D0250"/>
    <w:rsid w:val="004D026C"/>
    <w:rsid w:val="004D0270"/>
    <w:rsid w:val="004D0271"/>
    <w:rsid w:val="004D0276"/>
    <w:rsid w:val="004D0295"/>
    <w:rsid w:val="004D02A3"/>
    <w:rsid w:val="004D02B0"/>
    <w:rsid w:val="004D02BD"/>
    <w:rsid w:val="004D02EC"/>
    <w:rsid w:val="004D02F0"/>
    <w:rsid w:val="004D032D"/>
    <w:rsid w:val="004D0339"/>
    <w:rsid w:val="004D0351"/>
    <w:rsid w:val="004D0354"/>
    <w:rsid w:val="004D035D"/>
    <w:rsid w:val="004D0364"/>
    <w:rsid w:val="004D03BD"/>
    <w:rsid w:val="004D03EB"/>
    <w:rsid w:val="004D03FC"/>
    <w:rsid w:val="004D042E"/>
    <w:rsid w:val="004D043B"/>
    <w:rsid w:val="004D0480"/>
    <w:rsid w:val="004D0516"/>
    <w:rsid w:val="004D0565"/>
    <w:rsid w:val="004D057E"/>
    <w:rsid w:val="004D0596"/>
    <w:rsid w:val="004D05EF"/>
    <w:rsid w:val="004D061E"/>
    <w:rsid w:val="004D0705"/>
    <w:rsid w:val="004D07E0"/>
    <w:rsid w:val="004D080E"/>
    <w:rsid w:val="004D082F"/>
    <w:rsid w:val="004D0883"/>
    <w:rsid w:val="004D0938"/>
    <w:rsid w:val="004D097C"/>
    <w:rsid w:val="004D09A6"/>
    <w:rsid w:val="004D09DF"/>
    <w:rsid w:val="004D0A23"/>
    <w:rsid w:val="004D0A4D"/>
    <w:rsid w:val="004D0A50"/>
    <w:rsid w:val="004D0A7A"/>
    <w:rsid w:val="004D0A85"/>
    <w:rsid w:val="004D0AA5"/>
    <w:rsid w:val="004D0AD1"/>
    <w:rsid w:val="004D0B75"/>
    <w:rsid w:val="004D0B7C"/>
    <w:rsid w:val="004D0BA6"/>
    <w:rsid w:val="004D0BAB"/>
    <w:rsid w:val="004D0BBB"/>
    <w:rsid w:val="004D0BE2"/>
    <w:rsid w:val="004D0BFF"/>
    <w:rsid w:val="004D0D2F"/>
    <w:rsid w:val="004D0D34"/>
    <w:rsid w:val="004D0D45"/>
    <w:rsid w:val="004D0D71"/>
    <w:rsid w:val="004D0D7B"/>
    <w:rsid w:val="004D0D90"/>
    <w:rsid w:val="004D0DB7"/>
    <w:rsid w:val="004D0DF3"/>
    <w:rsid w:val="004D0E08"/>
    <w:rsid w:val="004D0E0B"/>
    <w:rsid w:val="004D0E9E"/>
    <w:rsid w:val="004D0EA6"/>
    <w:rsid w:val="004D0F0F"/>
    <w:rsid w:val="004D0F14"/>
    <w:rsid w:val="004D0F73"/>
    <w:rsid w:val="004D0FF7"/>
    <w:rsid w:val="004D1026"/>
    <w:rsid w:val="004D1038"/>
    <w:rsid w:val="004D109C"/>
    <w:rsid w:val="004D10AE"/>
    <w:rsid w:val="004D10E6"/>
    <w:rsid w:val="004D1109"/>
    <w:rsid w:val="004D112E"/>
    <w:rsid w:val="004D1148"/>
    <w:rsid w:val="004D114E"/>
    <w:rsid w:val="004D1194"/>
    <w:rsid w:val="004D1216"/>
    <w:rsid w:val="004D1237"/>
    <w:rsid w:val="004D1239"/>
    <w:rsid w:val="004D1245"/>
    <w:rsid w:val="004D126A"/>
    <w:rsid w:val="004D12D9"/>
    <w:rsid w:val="004D1338"/>
    <w:rsid w:val="004D1364"/>
    <w:rsid w:val="004D13F5"/>
    <w:rsid w:val="004D1449"/>
    <w:rsid w:val="004D1467"/>
    <w:rsid w:val="004D14FF"/>
    <w:rsid w:val="004D1508"/>
    <w:rsid w:val="004D156F"/>
    <w:rsid w:val="004D157B"/>
    <w:rsid w:val="004D158B"/>
    <w:rsid w:val="004D15D3"/>
    <w:rsid w:val="004D1627"/>
    <w:rsid w:val="004D1632"/>
    <w:rsid w:val="004D165D"/>
    <w:rsid w:val="004D165F"/>
    <w:rsid w:val="004D166B"/>
    <w:rsid w:val="004D1695"/>
    <w:rsid w:val="004D16BF"/>
    <w:rsid w:val="004D16E7"/>
    <w:rsid w:val="004D172B"/>
    <w:rsid w:val="004D180A"/>
    <w:rsid w:val="004D187E"/>
    <w:rsid w:val="004D1893"/>
    <w:rsid w:val="004D18B8"/>
    <w:rsid w:val="004D18DC"/>
    <w:rsid w:val="004D18FF"/>
    <w:rsid w:val="004D190E"/>
    <w:rsid w:val="004D1933"/>
    <w:rsid w:val="004D198B"/>
    <w:rsid w:val="004D1996"/>
    <w:rsid w:val="004D19A7"/>
    <w:rsid w:val="004D1A07"/>
    <w:rsid w:val="004D1A09"/>
    <w:rsid w:val="004D1A24"/>
    <w:rsid w:val="004D1A84"/>
    <w:rsid w:val="004D1AC0"/>
    <w:rsid w:val="004D1B35"/>
    <w:rsid w:val="004D1B96"/>
    <w:rsid w:val="004D1C83"/>
    <w:rsid w:val="004D1D93"/>
    <w:rsid w:val="004D1DEB"/>
    <w:rsid w:val="004D1E01"/>
    <w:rsid w:val="004D1E62"/>
    <w:rsid w:val="004D1E83"/>
    <w:rsid w:val="004D1F06"/>
    <w:rsid w:val="004D1F6F"/>
    <w:rsid w:val="004D1FB2"/>
    <w:rsid w:val="004D1FC2"/>
    <w:rsid w:val="004D1FC9"/>
    <w:rsid w:val="004D1FE3"/>
    <w:rsid w:val="004D1FF5"/>
    <w:rsid w:val="004D1FFE"/>
    <w:rsid w:val="004D200F"/>
    <w:rsid w:val="004D2022"/>
    <w:rsid w:val="004D20A8"/>
    <w:rsid w:val="004D20D6"/>
    <w:rsid w:val="004D20F3"/>
    <w:rsid w:val="004D2140"/>
    <w:rsid w:val="004D218E"/>
    <w:rsid w:val="004D218F"/>
    <w:rsid w:val="004D2195"/>
    <w:rsid w:val="004D2208"/>
    <w:rsid w:val="004D224E"/>
    <w:rsid w:val="004D2273"/>
    <w:rsid w:val="004D229B"/>
    <w:rsid w:val="004D22A5"/>
    <w:rsid w:val="004D22EF"/>
    <w:rsid w:val="004D2378"/>
    <w:rsid w:val="004D23F0"/>
    <w:rsid w:val="004D2422"/>
    <w:rsid w:val="004D248C"/>
    <w:rsid w:val="004D24A7"/>
    <w:rsid w:val="004D24AD"/>
    <w:rsid w:val="004D24CC"/>
    <w:rsid w:val="004D2527"/>
    <w:rsid w:val="004D252B"/>
    <w:rsid w:val="004D2567"/>
    <w:rsid w:val="004D2582"/>
    <w:rsid w:val="004D25A8"/>
    <w:rsid w:val="004D25CC"/>
    <w:rsid w:val="004D25FB"/>
    <w:rsid w:val="004D2617"/>
    <w:rsid w:val="004D2695"/>
    <w:rsid w:val="004D269F"/>
    <w:rsid w:val="004D26AE"/>
    <w:rsid w:val="004D26C1"/>
    <w:rsid w:val="004D2716"/>
    <w:rsid w:val="004D273E"/>
    <w:rsid w:val="004D2797"/>
    <w:rsid w:val="004D279E"/>
    <w:rsid w:val="004D27FA"/>
    <w:rsid w:val="004D2861"/>
    <w:rsid w:val="004D2887"/>
    <w:rsid w:val="004D28B0"/>
    <w:rsid w:val="004D28C3"/>
    <w:rsid w:val="004D28D1"/>
    <w:rsid w:val="004D28EA"/>
    <w:rsid w:val="004D293B"/>
    <w:rsid w:val="004D2977"/>
    <w:rsid w:val="004D2986"/>
    <w:rsid w:val="004D29A3"/>
    <w:rsid w:val="004D29EA"/>
    <w:rsid w:val="004D29F6"/>
    <w:rsid w:val="004D29FA"/>
    <w:rsid w:val="004D2A1C"/>
    <w:rsid w:val="004D2A4E"/>
    <w:rsid w:val="004D2A58"/>
    <w:rsid w:val="004D2A5A"/>
    <w:rsid w:val="004D2B16"/>
    <w:rsid w:val="004D2C6B"/>
    <w:rsid w:val="004D2CD4"/>
    <w:rsid w:val="004D2D77"/>
    <w:rsid w:val="004D2DCC"/>
    <w:rsid w:val="004D2DF0"/>
    <w:rsid w:val="004D2E16"/>
    <w:rsid w:val="004D2E19"/>
    <w:rsid w:val="004D2EDA"/>
    <w:rsid w:val="004D2EE6"/>
    <w:rsid w:val="004D2EFC"/>
    <w:rsid w:val="004D2F01"/>
    <w:rsid w:val="004D2F0B"/>
    <w:rsid w:val="004D2FB2"/>
    <w:rsid w:val="004D2FC4"/>
    <w:rsid w:val="004D2FC6"/>
    <w:rsid w:val="004D2FDD"/>
    <w:rsid w:val="004D2FE9"/>
    <w:rsid w:val="004D3009"/>
    <w:rsid w:val="004D3019"/>
    <w:rsid w:val="004D302B"/>
    <w:rsid w:val="004D306D"/>
    <w:rsid w:val="004D306E"/>
    <w:rsid w:val="004D307C"/>
    <w:rsid w:val="004D30EE"/>
    <w:rsid w:val="004D312D"/>
    <w:rsid w:val="004D313D"/>
    <w:rsid w:val="004D3142"/>
    <w:rsid w:val="004D3143"/>
    <w:rsid w:val="004D3169"/>
    <w:rsid w:val="004D31B5"/>
    <w:rsid w:val="004D31FF"/>
    <w:rsid w:val="004D3247"/>
    <w:rsid w:val="004D3259"/>
    <w:rsid w:val="004D32BF"/>
    <w:rsid w:val="004D32D3"/>
    <w:rsid w:val="004D332B"/>
    <w:rsid w:val="004D33FF"/>
    <w:rsid w:val="004D340D"/>
    <w:rsid w:val="004D3440"/>
    <w:rsid w:val="004D350D"/>
    <w:rsid w:val="004D3524"/>
    <w:rsid w:val="004D35ED"/>
    <w:rsid w:val="004D362A"/>
    <w:rsid w:val="004D3639"/>
    <w:rsid w:val="004D3699"/>
    <w:rsid w:val="004D3717"/>
    <w:rsid w:val="004D374E"/>
    <w:rsid w:val="004D3781"/>
    <w:rsid w:val="004D3858"/>
    <w:rsid w:val="004D385C"/>
    <w:rsid w:val="004D38A9"/>
    <w:rsid w:val="004D38DA"/>
    <w:rsid w:val="004D3927"/>
    <w:rsid w:val="004D39E1"/>
    <w:rsid w:val="004D3A2C"/>
    <w:rsid w:val="004D3A36"/>
    <w:rsid w:val="004D3A71"/>
    <w:rsid w:val="004D3A74"/>
    <w:rsid w:val="004D3AC4"/>
    <w:rsid w:val="004D3AC5"/>
    <w:rsid w:val="004D3AC7"/>
    <w:rsid w:val="004D3ACB"/>
    <w:rsid w:val="004D3AE6"/>
    <w:rsid w:val="004D3B76"/>
    <w:rsid w:val="004D3BA6"/>
    <w:rsid w:val="004D3BE9"/>
    <w:rsid w:val="004D3C24"/>
    <w:rsid w:val="004D3C25"/>
    <w:rsid w:val="004D3C5B"/>
    <w:rsid w:val="004D3CA4"/>
    <w:rsid w:val="004D3CC1"/>
    <w:rsid w:val="004D3CD2"/>
    <w:rsid w:val="004D3CDF"/>
    <w:rsid w:val="004D3CEC"/>
    <w:rsid w:val="004D3D1B"/>
    <w:rsid w:val="004D3D21"/>
    <w:rsid w:val="004D3DE4"/>
    <w:rsid w:val="004D3E02"/>
    <w:rsid w:val="004D3E29"/>
    <w:rsid w:val="004D3E5C"/>
    <w:rsid w:val="004D3E88"/>
    <w:rsid w:val="004D3EA6"/>
    <w:rsid w:val="004D3EB3"/>
    <w:rsid w:val="004D3EC7"/>
    <w:rsid w:val="004D3F22"/>
    <w:rsid w:val="004D3F3A"/>
    <w:rsid w:val="004D3F52"/>
    <w:rsid w:val="004D3F60"/>
    <w:rsid w:val="004D3F62"/>
    <w:rsid w:val="004D3F99"/>
    <w:rsid w:val="004D404D"/>
    <w:rsid w:val="004D407A"/>
    <w:rsid w:val="004D40CC"/>
    <w:rsid w:val="004D4107"/>
    <w:rsid w:val="004D41CB"/>
    <w:rsid w:val="004D41E0"/>
    <w:rsid w:val="004D4224"/>
    <w:rsid w:val="004D42E7"/>
    <w:rsid w:val="004D430E"/>
    <w:rsid w:val="004D432B"/>
    <w:rsid w:val="004D4333"/>
    <w:rsid w:val="004D433D"/>
    <w:rsid w:val="004D4362"/>
    <w:rsid w:val="004D43DB"/>
    <w:rsid w:val="004D43E9"/>
    <w:rsid w:val="004D4441"/>
    <w:rsid w:val="004D4457"/>
    <w:rsid w:val="004D4482"/>
    <w:rsid w:val="004D4499"/>
    <w:rsid w:val="004D44C1"/>
    <w:rsid w:val="004D4513"/>
    <w:rsid w:val="004D45F6"/>
    <w:rsid w:val="004D45FF"/>
    <w:rsid w:val="004D4620"/>
    <w:rsid w:val="004D467B"/>
    <w:rsid w:val="004D4722"/>
    <w:rsid w:val="004D4751"/>
    <w:rsid w:val="004D47B3"/>
    <w:rsid w:val="004D47D7"/>
    <w:rsid w:val="004D47DC"/>
    <w:rsid w:val="004D485D"/>
    <w:rsid w:val="004D48A8"/>
    <w:rsid w:val="004D48AE"/>
    <w:rsid w:val="004D48CE"/>
    <w:rsid w:val="004D48E3"/>
    <w:rsid w:val="004D4910"/>
    <w:rsid w:val="004D4952"/>
    <w:rsid w:val="004D4956"/>
    <w:rsid w:val="004D4971"/>
    <w:rsid w:val="004D49AD"/>
    <w:rsid w:val="004D49CA"/>
    <w:rsid w:val="004D4A4A"/>
    <w:rsid w:val="004D4ACB"/>
    <w:rsid w:val="004D4AD3"/>
    <w:rsid w:val="004D4B54"/>
    <w:rsid w:val="004D4B67"/>
    <w:rsid w:val="004D4B6B"/>
    <w:rsid w:val="004D4B8D"/>
    <w:rsid w:val="004D4BCD"/>
    <w:rsid w:val="004D4C9D"/>
    <w:rsid w:val="004D4CA0"/>
    <w:rsid w:val="004D4CA8"/>
    <w:rsid w:val="004D4CD1"/>
    <w:rsid w:val="004D4D33"/>
    <w:rsid w:val="004D4D62"/>
    <w:rsid w:val="004D4DBD"/>
    <w:rsid w:val="004D4DC6"/>
    <w:rsid w:val="004D4E00"/>
    <w:rsid w:val="004D4E03"/>
    <w:rsid w:val="004D4E04"/>
    <w:rsid w:val="004D4E45"/>
    <w:rsid w:val="004D4E79"/>
    <w:rsid w:val="004D4EC0"/>
    <w:rsid w:val="004D4F0D"/>
    <w:rsid w:val="004D4F59"/>
    <w:rsid w:val="004D4F73"/>
    <w:rsid w:val="004D4F93"/>
    <w:rsid w:val="004D4FE8"/>
    <w:rsid w:val="004D4FEA"/>
    <w:rsid w:val="004D4FF1"/>
    <w:rsid w:val="004D501A"/>
    <w:rsid w:val="004D507A"/>
    <w:rsid w:val="004D509A"/>
    <w:rsid w:val="004D50BB"/>
    <w:rsid w:val="004D50D7"/>
    <w:rsid w:val="004D5109"/>
    <w:rsid w:val="004D5135"/>
    <w:rsid w:val="004D514B"/>
    <w:rsid w:val="004D5195"/>
    <w:rsid w:val="004D5200"/>
    <w:rsid w:val="004D5202"/>
    <w:rsid w:val="004D5249"/>
    <w:rsid w:val="004D52CD"/>
    <w:rsid w:val="004D535D"/>
    <w:rsid w:val="004D5369"/>
    <w:rsid w:val="004D538A"/>
    <w:rsid w:val="004D53AE"/>
    <w:rsid w:val="004D53C4"/>
    <w:rsid w:val="004D540E"/>
    <w:rsid w:val="004D5484"/>
    <w:rsid w:val="004D5485"/>
    <w:rsid w:val="004D5510"/>
    <w:rsid w:val="004D5543"/>
    <w:rsid w:val="004D5570"/>
    <w:rsid w:val="004D567E"/>
    <w:rsid w:val="004D568E"/>
    <w:rsid w:val="004D56B9"/>
    <w:rsid w:val="004D56BA"/>
    <w:rsid w:val="004D56E6"/>
    <w:rsid w:val="004D5743"/>
    <w:rsid w:val="004D5782"/>
    <w:rsid w:val="004D57D4"/>
    <w:rsid w:val="004D5806"/>
    <w:rsid w:val="004D580E"/>
    <w:rsid w:val="004D587D"/>
    <w:rsid w:val="004D589B"/>
    <w:rsid w:val="004D58A4"/>
    <w:rsid w:val="004D58A8"/>
    <w:rsid w:val="004D590F"/>
    <w:rsid w:val="004D595A"/>
    <w:rsid w:val="004D5968"/>
    <w:rsid w:val="004D5996"/>
    <w:rsid w:val="004D59D1"/>
    <w:rsid w:val="004D59F7"/>
    <w:rsid w:val="004D59FD"/>
    <w:rsid w:val="004D5A08"/>
    <w:rsid w:val="004D5A0A"/>
    <w:rsid w:val="004D5A50"/>
    <w:rsid w:val="004D5A7D"/>
    <w:rsid w:val="004D5AB0"/>
    <w:rsid w:val="004D5BDF"/>
    <w:rsid w:val="004D5BFD"/>
    <w:rsid w:val="004D5C46"/>
    <w:rsid w:val="004D5C60"/>
    <w:rsid w:val="004D5C72"/>
    <w:rsid w:val="004D5D03"/>
    <w:rsid w:val="004D5D6D"/>
    <w:rsid w:val="004D5D89"/>
    <w:rsid w:val="004D5E0D"/>
    <w:rsid w:val="004D5E55"/>
    <w:rsid w:val="004D5E5A"/>
    <w:rsid w:val="004D5EB4"/>
    <w:rsid w:val="004D5F01"/>
    <w:rsid w:val="004D5F0E"/>
    <w:rsid w:val="004D5F2C"/>
    <w:rsid w:val="004D5F5B"/>
    <w:rsid w:val="004D5F88"/>
    <w:rsid w:val="004D60F2"/>
    <w:rsid w:val="004D6109"/>
    <w:rsid w:val="004D6181"/>
    <w:rsid w:val="004D6186"/>
    <w:rsid w:val="004D619D"/>
    <w:rsid w:val="004D624F"/>
    <w:rsid w:val="004D62AF"/>
    <w:rsid w:val="004D62FC"/>
    <w:rsid w:val="004D6310"/>
    <w:rsid w:val="004D6353"/>
    <w:rsid w:val="004D6359"/>
    <w:rsid w:val="004D639D"/>
    <w:rsid w:val="004D63C6"/>
    <w:rsid w:val="004D63E2"/>
    <w:rsid w:val="004D63F5"/>
    <w:rsid w:val="004D649E"/>
    <w:rsid w:val="004D64A4"/>
    <w:rsid w:val="004D6535"/>
    <w:rsid w:val="004D6554"/>
    <w:rsid w:val="004D6696"/>
    <w:rsid w:val="004D66DA"/>
    <w:rsid w:val="004D6705"/>
    <w:rsid w:val="004D6782"/>
    <w:rsid w:val="004D67AB"/>
    <w:rsid w:val="004D67BA"/>
    <w:rsid w:val="004D67DD"/>
    <w:rsid w:val="004D6834"/>
    <w:rsid w:val="004D68AF"/>
    <w:rsid w:val="004D69E3"/>
    <w:rsid w:val="004D6A20"/>
    <w:rsid w:val="004D6A2F"/>
    <w:rsid w:val="004D6B48"/>
    <w:rsid w:val="004D6B82"/>
    <w:rsid w:val="004D6B87"/>
    <w:rsid w:val="004D6B91"/>
    <w:rsid w:val="004D6BA3"/>
    <w:rsid w:val="004D6C1F"/>
    <w:rsid w:val="004D6C6D"/>
    <w:rsid w:val="004D6C97"/>
    <w:rsid w:val="004D6CFB"/>
    <w:rsid w:val="004D6D01"/>
    <w:rsid w:val="004D6D6E"/>
    <w:rsid w:val="004D6E51"/>
    <w:rsid w:val="004D6E54"/>
    <w:rsid w:val="004D6E75"/>
    <w:rsid w:val="004D6E9E"/>
    <w:rsid w:val="004D6EAE"/>
    <w:rsid w:val="004D6EE4"/>
    <w:rsid w:val="004D6F3C"/>
    <w:rsid w:val="004D6FE4"/>
    <w:rsid w:val="004D705B"/>
    <w:rsid w:val="004D70DB"/>
    <w:rsid w:val="004D70E1"/>
    <w:rsid w:val="004D713F"/>
    <w:rsid w:val="004D7160"/>
    <w:rsid w:val="004D7254"/>
    <w:rsid w:val="004D7257"/>
    <w:rsid w:val="004D7269"/>
    <w:rsid w:val="004D7318"/>
    <w:rsid w:val="004D7328"/>
    <w:rsid w:val="004D7340"/>
    <w:rsid w:val="004D7379"/>
    <w:rsid w:val="004D7389"/>
    <w:rsid w:val="004D738C"/>
    <w:rsid w:val="004D7464"/>
    <w:rsid w:val="004D74D5"/>
    <w:rsid w:val="004D7537"/>
    <w:rsid w:val="004D7582"/>
    <w:rsid w:val="004D75F0"/>
    <w:rsid w:val="004D7610"/>
    <w:rsid w:val="004D762C"/>
    <w:rsid w:val="004D76A4"/>
    <w:rsid w:val="004D76F5"/>
    <w:rsid w:val="004D770A"/>
    <w:rsid w:val="004D773D"/>
    <w:rsid w:val="004D77AE"/>
    <w:rsid w:val="004D77B3"/>
    <w:rsid w:val="004D77D0"/>
    <w:rsid w:val="004D7818"/>
    <w:rsid w:val="004D7830"/>
    <w:rsid w:val="004D7833"/>
    <w:rsid w:val="004D7849"/>
    <w:rsid w:val="004D785F"/>
    <w:rsid w:val="004D79CB"/>
    <w:rsid w:val="004D79E2"/>
    <w:rsid w:val="004D79EE"/>
    <w:rsid w:val="004D7A64"/>
    <w:rsid w:val="004D7A78"/>
    <w:rsid w:val="004D7AAF"/>
    <w:rsid w:val="004D7B15"/>
    <w:rsid w:val="004D7B76"/>
    <w:rsid w:val="004D7B96"/>
    <w:rsid w:val="004D7BB4"/>
    <w:rsid w:val="004D7BE1"/>
    <w:rsid w:val="004D7BEC"/>
    <w:rsid w:val="004D7C66"/>
    <w:rsid w:val="004D7CAF"/>
    <w:rsid w:val="004D7CC2"/>
    <w:rsid w:val="004D7CFF"/>
    <w:rsid w:val="004D7D10"/>
    <w:rsid w:val="004D7D69"/>
    <w:rsid w:val="004D7D9C"/>
    <w:rsid w:val="004D7DB7"/>
    <w:rsid w:val="004D7DD7"/>
    <w:rsid w:val="004D7DFE"/>
    <w:rsid w:val="004D7E0A"/>
    <w:rsid w:val="004D7E44"/>
    <w:rsid w:val="004D7E83"/>
    <w:rsid w:val="004D7EAA"/>
    <w:rsid w:val="004D7EB2"/>
    <w:rsid w:val="004D7F31"/>
    <w:rsid w:val="004D7FA5"/>
    <w:rsid w:val="004D7FCC"/>
    <w:rsid w:val="004E0005"/>
    <w:rsid w:val="004E001D"/>
    <w:rsid w:val="004E002A"/>
    <w:rsid w:val="004E006D"/>
    <w:rsid w:val="004E00CD"/>
    <w:rsid w:val="004E00FD"/>
    <w:rsid w:val="004E014B"/>
    <w:rsid w:val="004E0165"/>
    <w:rsid w:val="004E0170"/>
    <w:rsid w:val="004E0191"/>
    <w:rsid w:val="004E01F9"/>
    <w:rsid w:val="004E026E"/>
    <w:rsid w:val="004E0284"/>
    <w:rsid w:val="004E0299"/>
    <w:rsid w:val="004E02AE"/>
    <w:rsid w:val="004E02C9"/>
    <w:rsid w:val="004E0396"/>
    <w:rsid w:val="004E039A"/>
    <w:rsid w:val="004E03A4"/>
    <w:rsid w:val="004E03B2"/>
    <w:rsid w:val="004E03BB"/>
    <w:rsid w:val="004E03EC"/>
    <w:rsid w:val="004E0423"/>
    <w:rsid w:val="004E0447"/>
    <w:rsid w:val="004E0458"/>
    <w:rsid w:val="004E0478"/>
    <w:rsid w:val="004E047C"/>
    <w:rsid w:val="004E0484"/>
    <w:rsid w:val="004E049C"/>
    <w:rsid w:val="004E04B8"/>
    <w:rsid w:val="004E04CF"/>
    <w:rsid w:val="004E054D"/>
    <w:rsid w:val="004E058C"/>
    <w:rsid w:val="004E05D5"/>
    <w:rsid w:val="004E0619"/>
    <w:rsid w:val="004E0669"/>
    <w:rsid w:val="004E068E"/>
    <w:rsid w:val="004E0745"/>
    <w:rsid w:val="004E07BE"/>
    <w:rsid w:val="004E084F"/>
    <w:rsid w:val="004E086F"/>
    <w:rsid w:val="004E0879"/>
    <w:rsid w:val="004E08FF"/>
    <w:rsid w:val="004E0994"/>
    <w:rsid w:val="004E0A0A"/>
    <w:rsid w:val="004E0A31"/>
    <w:rsid w:val="004E0A3D"/>
    <w:rsid w:val="004E0A5A"/>
    <w:rsid w:val="004E0A72"/>
    <w:rsid w:val="004E0AC8"/>
    <w:rsid w:val="004E0AFB"/>
    <w:rsid w:val="004E0B74"/>
    <w:rsid w:val="004E0BAE"/>
    <w:rsid w:val="004E0BB4"/>
    <w:rsid w:val="004E0BDD"/>
    <w:rsid w:val="004E0C60"/>
    <w:rsid w:val="004E0CB0"/>
    <w:rsid w:val="004E0CE9"/>
    <w:rsid w:val="004E0D1E"/>
    <w:rsid w:val="004E0D69"/>
    <w:rsid w:val="004E0DCC"/>
    <w:rsid w:val="004E0DE6"/>
    <w:rsid w:val="004E0DE7"/>
    <w:rsid w:val="004E0DF0"/>
    <w:rsid w:val="004E0F1A"/>
    <w:rsid w:val="004E0F31"/>
    <w:rsid w:val="004E0F6A"/>
    <w:rsid w:val="004E0F76"/>
    <w:rsid w:val="004E0FCC"/>
    <w:rsid w:val="004E0FD4"/>
    <w:rsid w:val="004E0FD5"/>
    <w:rsid w:val="004E1009"/>
    <w:rsid w:val="004E1034"/>
    <w:rsid w:val="004E109D"/>
    <w:rsid w:val="004E10E2"/>
    <w:rsid w:val="004E1131"/>
    <w:rsid w:val="004E1141"/>
    <w:rsid w:val="004E11D9"/>
    <w:rsid w:val="004E121B"/>
    <w:rsid w:val="004E121C"/>
    <w:rsid w:val="004E1225"/>
    <w:rsid w:val="004E123F"/>
    <w:rsid w:val="004E129F"/>
    <w:rsid w:val="004E12BA"/>
    <w:rsid w:val="004E12BB"/>
    <w:rsid w:val="004E1301"/>
    <w:rsid w:val="004E1353"/>
    <w:rsid w:val="004E1448"/>
    <w:rsid w:val="004E14B0"/>
    <w:rsid w:val="004E14CC"/>
    <w:rsid w:val="004E1532"/>
    <w:rsid w:val="004E155B"/>
    <w:rsid w:val="004E15B3"/>
    <w:rsid w:val="004E15D9"/>
    <w:rsid w:val="004E1607"/>
    <w:rsid w:val="004E160D"/>
    <w:rsid w:val="004E1656"/>
    <w:rsid w:val="004E16A1"/>
    <w:rsid w:val="004E1756"/>
    <w:rsid w:val="004E176F"/>
    <w:rsid w:val="004E1785"/>
    <w:rsid w:val="004E17BA"/>
    <w:rsid w:val="004E17C2"/>
    <w:rsid w:val="004E181D"/>
    <w:rsid w:val="004E18A2"/>
    <w:rsid w:val="004E18BF"/>
    <w:rsid w:val="004E18FA"/>
    <w:rsid w:val="004E1908"/>
    <w:rsid w:val="004E1934"/>
    <w:rsid w:val="004E195F"/>
    <w:rsid w:val="004E1985"/>
    <w:rsid w:val="004E19C8"/>
    <w:rsid w:val="004E1A4C"/>
    <w:rsid w:val="004E1A7A"/>
    <w:rsid w:val="004E1B1C"/>
    <w:rsid w:val="004E1B38"/>
    <w:rsid w:val="004E1B9E"/>
    <w:rsid w:val="004E1C0C"/>
    <w:rsid w:val="004E1C3F"/>
    <w:rsid w:val="004E1C61"/>
    <w:rsid w:val="004E1CA2"/>
    <w:rsid w:val="004E1CED"/>
    <w:rsid w:val="004E1D09"/>
    <w:rsid w:val="004E1D1C"/>
    <w:rsid w:val="004E1D2F"/>
    <w:rsid w:val="004E1D36"/>
    <w:rsid w:val="004E1DDE"/>
    <w:rsid w:val="004E1E10"/>
    <w:rsid w:val="004E1E19"/>
    <w:rsid w:val="004E1EA4"/>
    <w:rsid w:val="004E1EA6"/>
    <w:rsid w:val="004E1EB0"/>
    <w:rsid w:val="004E1EF9"/>
    <w:rsid w:val="004E1F08"/>
    <w:rsid w:val="004E1F55"/>
    <w:rsid w:val="004E1F58"/>
    <w:rsid w:val="004E1FC8"/>
    <w:rsid w:val="004E1FCB"/>
    <w:rsid w:val="004E1FCD"/>
    <w:rsid w:val="004E2037"/>
    <w:rsid w:val="004E2042"/>
    <w:rsid w:val="004E2087"/>
    <w:rsid w:val="004E2092"/>
    <w:rsid w:val="004E20BD"/>
    <w:rsid w:val="004E20D9"/>
    <w:rsid w:val="004E20DA"/>
    <w:rsid w:val="004E2171"/>
    <w:rsid w:val="004E218A"/>
    <w:rsid w:val="004E21A3"/>
    <w:rsid w:val="004E21EA"/>
    <w:rsid w:val="004E21ED"/>
    <w:rsid w:val="004E2220"/>
    <w:rsid w:val="004E2229"/>
    <w:rsid w:val="004E2241"/>
    <w:rsid w:val="004E2272"/>
    <w:rsid w:val="004E22B3"/>
    <w:rsid w:val="004E2316"/>
    <w:rsid w:val="004E2332"/>
    <w:rsid w:val="004E2348"/>
    <w:rsid w:val="004E2467"/>
    <w:rsid w:val="004E24A3"/>
    <w:rsid w:val="004E253A"/>
    <w:rsid w:val="004E2586"/>
    <w:rsid w:val="004E2590"/>
    <w:rsid w:val="004E2593"/>
    <w:rsid w:val="004E259C"/>
    <w:rsid w:val="004E25A4"/>
    <w:rsid w:val="004E25C7"/>
    <w:rsid w:val="004E25DB"/>
    <w:rsid w:val="004E25F4"/>
    <w:rsid w:val="004E25FF"/>
    <w:rsid w:val="004E2630"/>
    <w:rsid w:val="004E263B"/>
    <w:rsid w:val="004E2680"/>
    <w:rsid w:val="004E2713"/>
    <w:rsid w:val="004E275C"/>
    <w:rsid w:val="004E283F"/>
    <w:rsid w:val="004E286A"/>
    <w:rsid w:val="004E2870"/>
    <w:rsid w:val="004E28DF"/>
    <w:rsid w:val="004E28FC"/>
    <w:rsid w:val="004E2904"/>
    <w:rsid w:val="004E2908"/>
    <w:rsid w:val="004E290E"/>
    <w:rsid w:val="004E2922"/>
    <w:rsid w:val="004E293D"/>
    <w:rsid w:val="004E294B"/>
    <w:rsid w:val="004E296A"/>
    <w:rsid w:val="004E2974"/>
    <w:rsid w:val="004E29A5"/>
    <w:rsid w:val="004E29B1"/>
    <w:rsid w:val="004E29B3"/>
    <w:rsid w:val="004E29ED"/>
    <w:rsid w:val="004E2A72"/>
    <w:rsid w:val="004E2AA8"/>
    <w:rsid w:val="004E2B31"/>
    <w:rsid w:val="004E2B56"/>
    <w:rsid w:val="004E2B85"/>
    <w:rsid w:val="004E2BA7"/>
    <w:rsid w:val="004E2C04"/>
    <w:rsid w:val="004E2C07"/>
    <w:rsid w:val="004E2C7C"/>
    <w:rsid w:val="004E2CA6"/>
    <w:rsid w:val="004E2CDF"/>
    <w:rsid w:val="004E2D16"/>
    <w:rsid w:val="004E2D2F"/>
    <w:rsid w:val="004E2D46"/>
    <w:rsid w:val="004E2D6D"/>
    <w:rsid w:val="004E2D72"/>
    <w:rsid w:val="004E2D86"/>
    <w:rsid w:val="004E2D9B"/>
    <w:rsid w:val="004E2DA5"/>
    <w:rsid w:val="004E2DB5"/>
    <w:rsid w:val="004E2E15"/>
    <w:rsid w:val="004E2ED3"/>
    <w:rsid w:val="004E2F2E"/>
    <w:rsid w:val="004E2F8A"/>
    <w:rsid w:val="004E2FA1"/>
    <w:rsid w:val="004E2FD0"/>
    <w:rsid w:val="004E302A"/>
    <w:rsid w:val="004E3035"/>
    <w:rsid w:val="004E308E"/>
    <w:rsid w:val="004E30B8"/>
    <w:rsid w:val="004E30BF"/>
    <w:rsid w:val="004E317A"/>
    <w:rsid w:val="004E31CE"/>
    <w:rsid w:val="004E3248"/>
    <w:rsid w:val="004E32B0"/>
    <w:rsid w:val="004E32F1"/>
    <w:rsid w:val="004E337E"/>
    <w:rsid w:val="004E339E"/>
    <w:rsid w:val="004E33FE"/>
    <w:rsid w:val="004E342B"/>
    <w:rsid w:val="004E3519"/>
    <w:rsid w:val="004E353B"/>
    <w:rsid w:val="004E3598"/>
    <w:rsid w:val="004E35AA"/>
    <w:rsid w:val="004E35C1"/>
    <w:rsid w:val="004E3613"/>
    <w:rsid w:val="004E3621"/>
    <w:rsid w:val="004E3674"/>
    <w:rsid w:val="004E36BB"/>
    <w:rsid w:val="004E3758"/>
    <w:rsid w:val="004E37B8"/>
    <w:rsid w:val="004E3802"/>
    <w:rsid w:val="004E3861"/>
    <w:rsid w:val="004E38BB"/>
    <w:rsid w:val="004E390F"/>
    <w:rsid w:val="004E391F"/>
    <w:rsid w:val="004E3938"/>
    <w:rsid w:val="004E396E"/>
    <w:rsid w:val="004E3971"/>
    <w:rsid w:val="004E39F4"/>
    <w:rsid w:val="004E39F8"/>
    <w:rsid w:val="004E3A2E"/>
    <w:rsid w:val="004E3A3F"/>
    <w:rsid w:val="004E3A52"/>
    <w:rsid w:val="004E3AB7"/>
    <w:rsid w:val="004E3B20"/>
    <w:rsid w:val="004E3B2F"/>
    <w:rsid w:val="004E3B8C"/>
    <w:rsid w:val="004E3BEE"/>
    <w:rsid w:val="004E3C1C"/>
    <w:rsid w:val="004E3C5A"/>
    <w:rsid w:val="004E3C8F"/>
    <w:rsid w:val="004E3C94"/>
    <w:rsid w:val="004E3D1F"/>
    <w:rsid w:val="004E3D57"/>
    <w:rsid w:val="004E3D96"/>
    <w:rsid w:val="004E3DB2"/>
    <w:rsid w:val="004E3EA8"/>
    <w:rsid w:val="004E3EC3"/>
    <w:rsid w:val="004E3ED3"/>
    <w:rsid w:val="004E4000"/>
    <w:rsid w:val="004E404F"/>
    <w:rsid w:val="004E40D0"/>
    <w:rsid w:val="004E40F0"/>
    <w:rsid w:val="004E414A"/>
    <w:rsid w:val="004E416F"/>
    <w:rsid w:val="004E41BB"/>
    <w:rsid w:val="004E41D7"/>
    <w:rsid w:val="004E41F4"/>
    <w:rsid w:val="004E420A"/>
    <w:rsid w:val="004E420F"/>
    <w:rsid w:val="004E4224"/>
    <w:rsid w:val="004E423F"/>
    <w:rsid w:val="004E430F"/>
    <w:rsid w:val="004E4332"/>
    <w:rsid w:val="004E43AC"/>
    <w:rsid w:val="004E43EA"/>
    <w:rsid w:val="004E43F5"/>
    <w:rsid w:val="004E4445"/>
    <w:rsid w:val="004E4509"/>
    <w:rsid w:val="004E4511"/>
    <w:rsid w:val="004E455F"/>
    <w:rsid w:val="004E4596"/>
    <w:rsid w:val="004E459B"/>
    <w:rsid w:val="004E45C4"/>
    <w:rsid w:val="004E45D2"/>
    <w:rsid w:val="004E45FB"/>
    <w:rsid w:val="004E462A"/>
    <w:rsid w:val="004E465D"/>
    <w:rsid w:val="004E46EE"/>
    <w:rsid w:val="004E46F2"/>
    <w:rsid w:val="004E4783"/>
    <w:rsid w:val="004E47FA"/>
    <w:rsid w:val="004E47FD"/>
    <w:rsid w:val="004E4832"/>
    <w:rsid w:val="004E4857"/>
    <w:rsid w:val="004E4874"/>
    <w:rsid w:val="004E48AE"/>
    <w:rsid w:val="004E48B5"/>
    <w:rsid w:val="004E493F"/>
    <w:rsid w:val="004E496C"/>
    <w:rsid w:val="004E49DF"/>
    <w:rsid w:val="004E4A6D"/>
    <w:rsid w:val="004E4A87"/>
    <w:rsid w:val="004E4ABE"/>
    <w:rsid w:val="004E4B15"/>
    <w:rsid w:val="004E4B2C"/>
    <w:rsid w:val="004E4B3E"/>
    <w:rsid w:val="004E4B83"/>
    <w:rsid w:val="004E4BBE"/>
    <w:rsid w:val="004E4BD0"/>
    <w:rsid w:val="004E4BE5"/>
    <w:rsid w:val="004E4C04"/>
    <w:rsid w:val="004E4C5A"/>
    <w:rsid w:val="004E4C69"/>
    <w:rsid w:val="004E4C7E"/>
    <w:rsid w:val="004E4C80"/>
    <w:rsid w:val="004E4C93"/>
    <w:rsid w:val="004E4CA8"/>
    <w:rsid w:val="004E4CE9"/>
    <w:rsid w:val="004E4CEF"/>
    <w:rsid w:val="004E4D70"/>
    <w:rsid w:val="004E4E21"/>
    <w:rsid w:val="004E4E2E"/>
    <w:rsid w:val="004E4EA0"/>
    <w:rsid w:val="004E4ECC"/>
    <w:rsid w:val="004E4F01"/>
    <w:rsid w:val="004E4F4B"/>
    <w:rsid w:val="004E4F82"/>
    <w:rsid w:val="004E4F97"/>
    <w:rsid w:val="004E4FA0"/>
    <w:rsid w:val="004E4FA5"/>
    <w:rsid w:val="004E4FD0"/>
    <w:rsid w:val="004E503A"/>
    <w:rsid w:val="004E5048"/>
    <w:rsid w:val="004E5067"/>
    <w:rsid w:val="004E50B1"/>
    <w:rsid w:val="004E51B9"/>
    <w:rsid w:val="004E5240"/>
    <w:rsid w:val="004E52C8"/>
    <w:rsid w:val="004E52CD"/>
    <w:rsid w:val="004E52DA"/>
    <w:rsid w:val="004E52F2"/>
    <w:rsid w:val="004E52FD"/>
    <w:rsid w:val="004E5318"/>
    <w:rsid w:val="004E53C2"/>
    <w:rsid w:val="004E5479"/>
    <w:rsid w:val="004E547B"/>
    <w:rsid w:val="004E54C4"/>
    <w:rsid w:val="004E54F8"/>
    <w:rsid w:val="004E5550"/>
    <w:rsid w:val="004E5559"/>
    <w:rsid w:val="004E5588"/>
    <w:rsid w:val="004E55CE"/>
    <w:rsid w:val="004E5602"/>
    <w:rsid w:val="004E561D"/>
    <w:rsid w:val="004E56AF"/>
    <w:rsid w:val="004E56B7"/>
    <w:rsid w:val="004E56B9"/>
    <w:rsid w:val="004E56D0"/>
    <w:rsid w:val="004E5726"/>
    <w:rsid w:val="004E577D"/>
    <w:rsid w:val="004E57A1"/>
    <w:rsid w:val="004E57AB"/>
    <w:rsid w:val="004E57E1"/>
    <w:rsid w:val="004E57E6"/>
    <w:rsid w:val="004E57F4"/>
    <w:rsid w:val="004E5805"/>
    <w:rsid w:val="004E5826"/>
    <w:rsid w:val="004E5897"/>
    <w:rsid w:val="004E58DC"/>
    <w:rsid w:val="004E58E4"/>
    <w:rsid w:val="004E593D"/>
    <w:rsid w:val="004E5995"/>
    <w:rsid w:val="004E59D8"/>
    <w:rsid w:val="004E5A07"/>
    <w:rsid w:val="004E5AB5"/>
    <w:rsid w:val="004E5B1F"/>
    <w:rsid w:val="004E5B26"/>
    <w:rsid w:val="004E5B4D"/>
    <w:rsid w:val="004E5B60"/>
    <w:rsid w:val="004E5B73"/>
    <w:rsid w:val="004E5B7A"/>
    <w:rsid w:val="004E5BBE"/>
    <w:rsid w:val="004E5BC0"/>
    <w:rsid w:val="004E5BC5"/>
    <w:rsid w:val="004E5C33"/>
    <w:rsid w:val="004E5C81"/>
    <w:rsid w:val="004E5CA9"/>
    <w:rsid w:val="004E5CAE"/>
    <w:rsid w:val="004E5CC7"/>
    <w:rsid w:val="004E5D15"/>
    <w:rsid w:val="004E5D44"/>
    <w:rsid w:val="004E5D8E"/>
    <w:rsid w:val="004E5D90"/>
    <w:rsid w:val="004E5D92"/>
    <w:rsid w:val="004E5DB4"/>
    <w:rsid w:val="004E5DF4"/>
    <w:rsid w:val="004E5E5F"/>
    <w:rsid w:val="004E5E9D"/>
    <w:rsid w:val="004E5EEA"/>
    <w:rsid w:val="004E5F14"/>
    <w:rsid w:val="004E5FA4"/>
    <w:rsid w:val="004E5FFD"/>
    <w:rsid w:val="004E6013"/>
    <w:rsid w:val="004E6028"/>
    <w:rsid w:val="004E6068"/>
    <w:rsid w:val="004E609D"/>
    <w:rsid w:val="004E60CA"/>
    <w:rsid w:val="004E6106"/>
    <w:rsid w:val="004E6128"/>
    <w:rsid w:val="004E6148"/>
    <w:rsid w:val="004E618D"/>
    <w:rsid w:val="004E619A"/>
    <w:rsid w:val="004E619F"/>
    <w:rsid w:val="004E61F6"/>
    <w:rsid w:val="004E621C"/>
    <w:rsid w:val="004E62B1"/>
    <w:rsid w:val="004E62C3"/>
    <w:rsid w:val="004E633D"/>
    <w:rsid w:val="004E634E"/>
    <w:rsid w:val="004E63A8"/>
    <w:rsid w:val="004E63B6"/>
    <w:rsid w:val="004E644B"/>
    <w:rsid w:val="004E6502"/>
    <w:rsid w:val="004E651E"/>
    <w:rsid w:val="004E6546"/>
    <w:rsid w:val="004E65A0"/>
    <w:rsid w:val="004E65F9"/>
    <w:rsid w:val="004E6651"/>
    <w:rsid w:val="004E6660"/>
    <w:rsid w:val="004E66A6"/>
    <w:rsid w:val="004E674A"/>
    <w:rsid w:val="004E6764"/>
    <w:rsid w:val="004E67C2"/>
    <w:rsid w:val="004E67C9"/>
    <w:rsid w:val="004E67DD"/>
    <w:rsid w:val="004E6817"/>
    <w:rsid w:val="004E68B9"/>
    <w:rsid w:val="004E69C9"/>
    <w:rsid w:val="004E6A00"/>
    <w:rsid w:val="004E6A47"/>
    <w:rsid w:val="004E6AE6"/>
    <w:rsid w:val="004E6B3B"/>
    <w:rsid w:val="004E6B61"/>
    <w:rsid w:val="004E6B82"/>
    <w:rsid w:val="004E6BA7"/>
    <w:rsid w:val="004E6BA9"/>
    <w:rsid w:val="004E6BFE"/>
    <w:rsid w:val="004E6C58"/>
    <w:rsid w:val="004E6C63"/>
    <w:rsid w:val="004E6C69"/>
    <w:rsid w:val="004E6C7D"/>
    <w:rsid w:val="004E6CCC"/>
    <w:rsid w:val="004E6CE1"/>
    <w:rsid w:val="004E6D0E"/>
    <w:rsid w:val="004E6D16"/>
    <w:rsid w:val="004E6D38"/>
    <w:rsid w:val="004E6D8D"/>
    <w:rsid w:val="004E6DAE"/>
    <w:rsid w:val="004E6DEB"/>
    <w:rsid w:val="004E6E20"/>
    <w:rsid w:val="004E6E2E"/>
    <w:rsid w:val="004E6E44"/>
    <w:rsid w:val="004E6EB7"/>
    <w:rsid w:val="004E6EC7"/>
    <w:rsid w:val="004E6EDB"/>
    <w:rsid w:val="004E6F0B"/>
    <w:rsid w:val="004E6F4A"/>
    <w:rsid w:val="004E6F4B"/>
    <w:rsid w:val="004E6F60"/>
    <w:rsid w:val="004E6F66"/>
    <w:rsid w:val="004E6F8B"/>
    <w:rsid w:val="004E6FD5"/>
    <w:rsid w:val="004E6FE1"/>
    <w:rsid w:val="004E7016"/>
    <w:rsid w:val="004E707D"/>
    <w:rsid w:val="004E708C"/>
    <w:rsid w:val="004E7094"/>
    <w:rsid w:val="004E7127"/>
    <w:rsid w:val="004E7148"/>
    <w:rsid w:val="004E7157"/>
    <w:rsid w:val="004E719F"/>
    <w:rsid w:val="004E71F7"/>
    <w:rsid w:val="004E725F"/>
    <w:rsid w:val="004E72AA"/>
    <w:rsid w:val="004E72C7"/>
    <w:rsid w:val="004E72FC"/>
    <w:rsid w:val="004E7314"/>
    <w:rsid w:val="004E7341"/>
    <w:rsid w:val="004E738A"/>
    <w:rsid w:val="004E73BC"/>
    <w:rsid w:val="004E7409"/>
    <w:rsid w:val="004E7422"/>
    <w:rsid w:val="004E7432"/>
    <w:rsid w:val="004E7436"/>
    <w:rsid w:val="004E7462"/>
    <w:rsid w:val="004E746E"/>
    <w:rsid w:val="004E7471"/>
    <w:rsid w:val="004E74C4"/>
    <w:rsid w:val="004E753F"/>
    <w:rsid w:val="004E756C"/>
    <w:rsid w:val="004E757C"/>
    <w:rsid w:val="004E75D1"/>
    <w:rsid w:val="004E76AF"/>
    <w:rsid w:val="004E76CF"/>
    <w:rsid w:val="004E76FA"/>
    <w:rsid w:val="004E7724"/>
    <w:rsid w:val="004E77B4"/>
    <w:rsid w:val="004E7807"/>
    <w:rsid w:val="004E780D"/>
    <w:rsid w:val="004E781D"/>
    <w:rsid w:val="004E7832"/>
    <w:rsid w:val="004E7866"/>
    <w:rsid w:val="004E788F"/>
    <w:rsid w:val="004E7892"/>
    <w:rsid w:val="004E7898"/>
    <w:rsid w:val="004E7951"/>
    <w:rsid w:val="004E7974"/>
    <w:rsid w:val="004E79B5"/>
    <w:rsid w:val="004E79B6"/>
    <w:rsid w:val="004E79B9"/>
    <w:rsid w:val="004E79D9"/>
    <w:rsid w:val="004E7A58"/>
    <w:rsid w:val="004E7A5A"/>
    <w:rsid w:val="004E7A8B"/>
    <w:rsid w:val="004E7A93"/>
    <w:rsid w:val="004E7AD2"/>
    <w:rsid w:val="004E7B27"/>
    <w:rsid w:val="004E7B2F"/>
    <w:rsid w:val="004E7B47"/>
    <w:rsid w:val="004E7B59"/>
    <w:rsid w:val="004E7B97"/>
    <w:rsid w:val="004E7C19"/>
    <w:rsid w:val="004E7C26"/>
    <w:rsid w:val="004E7C36"/>
    <w:rsid w:val="004E7CC8"/>
    <w:rsid w:val="004E7CEB"/>
    <w:rsid w:val="004E7D2E"/>
    <w:rsid w:val="004E7D5B"/>
    <w:rsid w:val="004E7D9B"/>
    <w:rsid w:val="004E7DA3"/>
    <w:rsid w:val="004E7DB5"/>
    <w:rsid w:val="004E7DCA"/>
    <w:rsid w:val="004E7DEB"/>
    <w:rsid w:val="004E7E0C"/>
    <w:rsid w:val="004E7E8F"/>
    <w:rsid w:val="004E7ECC"/>
    <w:rsid w:val="004E7ED8"/>
    <w:rsid w:val="004E7EE8"/>
    <w:rsid w:val="004E7F0C"/>
    <w:rsid w:val="004E7FD3"/>
    <w:rsid w:val="004E7FF5"/>
    <w:rsid w:val="004F0000"/>
    <w:rsid w:val="004F0099"/>
    <w:rsid w:val="004F00B9"/>
    <w:rsid w:val="004F00BE"/>
    <w:rsid w:val="004F00CE"/>
    <w:rsid w:val="004F0129"/>
    <w:rsid w:val="004F015D"/>
    <w:rsid w:val="004F015F"/>
    <w:rsid w:val="004F0165"/>
    <w:rsid w:val="004F018B"/>
    <w:rsid w:val="004F0197"/>
    <w:rsid w:val="004F01C5"/>
    <w:rsid w:val="004F01CE"/>
    <w:rsid w:val="004F023E"/>
    <w:rsid w:val="004F0256"/>
    <w:rsid w:val="004F026F"/>
    <w:rsid w:val="004F02A6"/>
    <w:rsid w:val="004F02AD"/>
    <w:rsid w:val="004F02BE"/>
    <w:rsid w:val="004F0308"/>
    <w:rsid w:val="004F0407"/>
    <w:rsid w:val="004F042C"/>
    <w:rsid w:val="004F044A"/>
    <w:rsid w:val="004F045C"/>
    <w:rsid w:val="004F049C"/>
    <w:rsid w:val="004F04C5"/>
    <w:rsid w:val="004F04CD"/>
    <w:rsid w:val="004F04F4"/>
    <w:rsid w:val="004F0508"/>
    <w:rsid w:val="004F052B"/>
    <w:rsid w:val="004F052E"/>
    <w:rsid w:val="004F0534"/>
    <w:rsid w:val="004F0590"/>
    <w:rsid w:val="004F059F"/>
    <w:rsid w:val="004F05C6"/>
    <w:rsid w:val="004F05D3"/>
    <w:rsid w:val="004F05EB"/>
    <w:rsid w:val="004F05FC"/>
    <w:rsid w:val="004F0639"/>
    <w:rsid w:val="004F0644"/>
    <w:rsid w:val="004F0674"/>
    <w:rsid w:val="004F0681"/>
    <w:rsid w:val="004F06D9"/>
    <w:rsid w:val="004F0718"/>
    <w:rsid w:val="004F0726"/>
    <w:rsid w:val="004F0742"/>
    <w:rsid w:val="004F074B"/>
    <w:rsid w:val="004F0752"/>
    <w:rsid w:val="004F0786"/>
    <w:rsid w:val="004F07FC"/>
    <w:rsid w:val="004F082B"/>
    <w:rsid w:val="004F0831"/>
    <w:rsid w:val="004F085F"/>
    <w:rsid w:val="004F0887"/>
    <w:rsid w:val="004F0915"/>
    <w:rsid w:val="004F0950"/>
    <w:rsid w:val="004F09CF"/>
    <w:rsid w:val="004F09D9"/>
    <w:rsid w:val="004F09F1"/>
    <w:rsid w:val="004F0A2B"/>
    <w:rsid w:val="004F0A50"/>
    <w:rsid w:val="004F0A52"/>
    <w:rsid w:val="004F0A5D"/>
    <w:rsid w:val="004F0A60"/>
    <w:rsid w:val="004F0A61"/>
    <w:rsid w:val="004F0A88"/>
    <w:rsid w:val="004F0AB4"/>
    <w:rsid w:val="004F0ACE"/>
    <w:rsid w:val="004F0AD5"/>
    <w:rsid w:val="004F0AEE"/>
    <w:rsid w:val="004F0B0E"/>
    <w:rsid w:val="004F0BDD"/>
    <w:rsid w:val="004F0BE5"/>
    <w:rsid w:val="004F0BF1"/>
    <w:rsid w:val="004F0C0A"/>
    <w:rsid w:val="004F0CB1"/>
    <w:rsid w:val="004F0CBF"/>
    <w:rsid w:val="004F0CD2"/>
    <w:rsid w:val="004F0D29"/>
    <w:rsid w:val="004F0D87"/>
    <w:rsid w:val="004F0DB4"/>
    <w:rsid w:val="004F0E15"/>
    <w:rsid w:val="004F0E21"/>
    <w:rsid w:val="004F0E44"/>
    <w:rsid w:val="004F0EA4"/>
    <w:rsid w:val="004F0ED8"/>
    <w:rsid w:val="004F0EF8"/>
    <w:rsid w:val="004F0F7B"/>
    <w:rsid w:val="004F0FD2"/>
    <w:rsid w:val="004F0FE2"/>
    <w:rsid w:val="004F1095"/>
    <w:rsid w:val="004F10C3"/>
    <w:rsid w:val="004F10F4"/>
    <w:rsid w:val="004F1106"/>
    <w:rsid w:val="004F1140"/>
    <w:rsid w:val="004F1173"/>
    <w:rsid w:val="004F1195"/>
    <w:rsid w:val="004F11B7"/>
    <w:rsid w:val="004F1220"/>
    <w:rsid w:val="004F1275"/>
    <w:rsid w:val="004F12B3"/>
    <w:rsid w:val="004F130D"/>
    <w:rsid w:val="004F1318"/>
    <w:rsid w:val="004F1347"/>
    <w:rsid w:val="004F13D1"/>
    <w:rsid w:val="004F13F6"/>
    <w:rsid w:val="004F1419"/>
    <w:rsid w:val="004F1437"/>
    <w:rsid w:val="004F14B7"/>
    <w:rsid w:val="004F14ED"/>
    <w:rsid w:val="004F150C"/>
    <w:rsid w:val="004F1566"/>
    <w:rsid w:val="004F1576"/>
    <w:rsid w:val="004F15FB"/>
    <w:rsid w:val="004F1621"/>
    <w:rsid w:val="004F1644"/>
    <w:rsid w:val="004F1648"/>
    <w:rsid w:val="004F1651"/>
    <w:rsid w:val="004F16A3"/>
    <w:rsid w:val="004F16DF"/>
    <w:rsid w:val="004F16FD"/>
    <w:rsid w:val="004F170B"/>
    <w:rsid w:val="004F1731"/>
    <w:rsid w:val="004F173F"/>
    <w:rsid w:val="004F1761"/>
    <w:rsid w:val="004F17A1"/>
    <w:rsid w:val="004F17D3"/>
    <w:rsid w:val="004F1803"/>
    <w:rsid w:val="004F1813"/>
    <w:rsid w:val="004F18AC"/>
    <w:rsid w:val="004F18B6"/>
    <w:rsid w:val="004F1912"/>
    <w:rsid w:val="004F19CF"/>
    <w:rsid w:val="004F19F4"/>
    <w:rsid w:val="004F1A4F"/>
    <w:rsid w:val="004F1B1E"/>
    <w:rsid w:val="004F1B35"/>
    <w:rsid w:val="004F1B7D"/>
    <w:rsid w:val="004F1C3C"/>
    <w:rsid w:val="004F1C4A"/>
    <w:rsid w:val="004F1C75"/>
    <w:rsid w:val="004F1C8B"/>
    <w:rsid w:val="004F1D18"/>
    <w:rsid w:val="004F1D28"/>
    <w:rsid w:val="004F1D3E"/>
    <w:rsid w:val="004F1D59"/>
    <w:rsid w:val="004F1D9E"/>
    <w:rsid w:val="004F1DB9"/>
    <w:rsid w:val="004F1E0B"/>
    <w:rsid w:val="004F1E1F"/>
    <w:rsid w:val="004F1E2E"/>
    <w:rsid w:val="004F1E3E"/>
    <w:rsid w:val="004F1EB4"/>
    <w:rsid w:val="004F1EB6"/>
    <w:rsid w:val="004F1F74"/>
    <w:rsid w:val="004F2010"/>
    <w:rsid w:val="004F206B"/>
    <w:rsid w:val="004F2084"/>
    <w:rsid w:val="004F209B"/>
    <w:rsid w:val="004F209C"/>
    <w:rsid w:val="004F20AC"/>
    <w:rsid w:val="004F20B3"/>
    <w:rsid w:val="004F2106"/>
    <w:rsid w:val="004F2133"/>
    <w:rsid w:val="004F2171"/>
    <w:rsid w:val="004F2185"/>
    <w:rsid w:val="004F2243"/>
    <w:rsid w:val="004F2253"/>
    <w:rsid w:val="004F22B2"/>
    <w:rsid w:val="004F2359"/>
    <w:rsid w:val="004F2384"/>
    <w:rsid w:val="004F238D"/>
    <w:rsid w:val="004F239E"/>
    <w:rsid w:val="004F23B1"/>
    <w:rsid w:val="004F2438"/>
    <w:rsid w:val="004F24AB"/>
    <w:rsid w:val="004F2508"/>
    <w:rsid w:val="004F2656"/>
    <w:rsid w:val="004F268C"/>
    <w:rsid w:val="004F26A3"/>
    <w:rsid w:val="004F26AF"/>
    <w:rsid w:val="004F26BC"/>
    <w:rsid w:val="004F2775"/>
    <w:rsid w:val="004F27FD"/>
    <w:rsid w:val="004F282F"/>
    <w:rsid w:val="004F287A"/>
    <w:rsid w:val="004F2889"/>
    <w:rsid w:val="004F28CE"/>
    <w:rsid w:val="004F28D9"/>
    <w:rsid w:val="004F28E2"/>
    <w:rsid w:val="004F2909"/>
    <w:rsid w:val="004F2939"/>
    <w:rsid w:val="004F298D"/>
    <w:rsid w:val="004F298E"/>
    <w:rsid w:val="004F29C6"/>
    <w:rsid w:val="004F29EA"/>
    <w:rsid w:val="004F29ED"/>
    <w:rsid w:val="004F2A11"/>
    <w:rsid w:val="004F2A18"/>
    <w:rsid w:val="004F2A36"/>
    <w:rsid w:val="004F2B96"/>
    <w:rsid w:val="004F2BA2"/>
    <w:rsid w:val="004F2BD4"/>
    <w:rsid w:val="004F2BED"/>
    <w:rsid w:val="004F2C04"/>
    <w:rsid w:val="004F2C1D"/>
    <w:rsid w:val="004F2C2A"/>
    <w:rsid w:val="004F2C5A"/>
    <w:rsid w:val="004F2C70"/>
    <w:rsid w:val="004F2CA1"/>
    <w:rsid w:val="004F2CBB"/>
    <w:rsid w:val="004F2CF8"/>
    <w:rsid w:val="004F2D14"/>
    <w:rsid w:val="004F2D1F"/>
    <w:rsid w:val="004F2D73"/>
    <w:rsid w:val="004F2D77"/>
    <w:rsid w:val="004F2D93"/>
    <w:rsid w:val="004F2DAD"/>
    <w:rsid w:val="004F2DBA"/>
    <w:rsid w:val="004F2DD2"/>
    <w:rsid w:val="004F2DD3"/>
    <w:rsid w:val="004F2DDA"/>
    <w:rsid w:val="004F2DDE"/>
    <w:rsid w:val="004F2DEE"/>
    <w:rsid w:val="004F2E3C"/>
    <w:rsid w:val="004F2E85"/>
    <w:rsid w:val="004F2E8C"/>
    <w:rsid w:val="004F2E96"/>
    <w:rsid w:val="004F2EC3"/>
    <w:rsid w:val="004F2EDE"/>
    <w:rsid w:val="004F2F78"/>
    <w:rsid w:val="004F2F82"/>
    <w:rsid w:val="004F2F8D"/>
    <w:rsid w:val="004F2F91"/>
    <w:rsid w:val="004F3039"/>
    <w:rsid w:val="004F3064"/>
    <w:rsid w:val="004F30B5"/>
    <w:rsid w:val="004F30EE"/>
    <w:rsid w:val="004F30F8"/>
    <w:rsid w:val="004F3122"/>
    <w:rsid w:val="004F318B"/>
    <w:rsid w:val="004F3202"/>
    <w:rsid w:val="004F3208"/>
    <w:rsid w:val="004F32BE"/>
    <w:rsid w:val="004F3399"/>
    <w:rsid w:val="004F339C"/>
    <w:rsid w:val="004F339E"/>
    <w:rsid w:val="004F33D2"/>
    <w:rsid w:val="004F33FC"/>
    <w:rsid w:val="004F3439"/>
    <w:rsid w:val="004F3452"/>
    <w:rsid w:val="004F3465"/>
    <w:rsid w:val="004F34A1"/>
    <w:rsid w:val="004F34C3"/>
    <w:rsid w:val="004F354A"/>
    <w:rsid w:val="004F3612"/>
    <w:rsid w:val="004F3618"/>
    <w:rsid w:val="004F3653"/>
    <w:rsid w:val="004F366B"/>
    <w:rsid w:val="004F3695"/>
    <w:rsid w:val="004F3744"/>
    <w:rsid w:val="004F3754"/>
    <w:rsid w:val="004F3755"/>
    <w:rsid w:val="004F375C"/>
    <w:rsid w:val="004F375D"/>
    <w:rsid w:val="004F37B5"/>
    <w:rsid w:val="004F37BC"/>
    <w:rsid w:val="004F37C5"/>
    <w:rsid w:val="004F380A"/>
    <w:rsid w:val="004F3810"/>
    <w:rsid w:val="004F3814"/>
    <w:rsid w:val="004F3871"/>
    <w:rsid w:val="004F3927"/>
    <w:rsid w:val="004F398F"/>
    <w:rsid w:val="004F3992"/>
    <w:rsid w:val="004F39C3"/>
    <w:rsid w:val="004F39EC"/>
    <w:rsid w:val="004F39F2"/>
    <w:rsid w:val="004F39FD"/>
    <w:rsid w:val="004F39FF"/>
    <w:rsid w:val="004F3A1E"/>
    <w:rsid w:val="004F3A29"/>
    <w:rsid w:val="004F3A89"/>
    <w:rsid w:val="004F3AB1"/>
    <w:rsid w:val="004F3AB5"/>
    <w:rsid w:val="004F3AF3"/>
    <w:rsid w:val="004F3B27"/>
    <w:rsid w:val="004F3B5C"/>
    <w:rsid w:val="004F3B8D"/>
    <w:rsid w:val="004F3B9D"/>
    <w:rsid w:val="004F3BE0"/>
    <w:rsid w:val="004F3C8B"/>
    <w:rsid w:val="004F3C9C"/>
    <w:rsid w:val="004F3CC1"/>
    <w:rsid w:val="004F3CC2"/>
    <w:rsid w:val="004F3CD8"/>
    <w:rsid w:val="004F3CEC"/>
    <w:rsid w:val="004F3D34"/>
    <w:rsid w:val="004F3D4C"/>
    <w:rsid w:val="004F3D87"/>
    <w:rsid w:val="004F3D8D"/>
    <w:rsid w:val="004F3DF7"/>
    <w:rsid w:val="004F3E35"/>
    <w:rsid w:val="004F3F42"/>
    <w:rsid w:val="004F3FAD"/>
    <w:rsid w:val="004F3FCC"/>
    <w:rsid w:val="004F3FDC"/>
    <w:rsid w:val="004F3FFB"/>
    <w:rsid w:val="004F402C"/>
    <w:rsid w:val="004F4072"/>
    <w:rsid w:val="004F40F9"/>
    <w:rsid w:val="004F4111"/>
    <w:rsid w:val="004F4117"/>
    <w:rsid w:val="004F4177"/>
    <w:rsid w:val="004F41D9"/>
    <w:rsid w:val="004F41DC"/>
    <w:rsid w:val="004F4225"/>
    <w:rsid w:val="004F42CB"/>
    <w:rsid w:val="004F4312"/>
    <w:rsid w:val="004F43BD"/>
    <w:rsid w:val="004F43FA"/>
    <w:rsid w:val="004F4407"/>
    <w:rsid w:val="004F442C"/>
    <w:rsid w:val="004F4457"/>
    <w:rsid w:val="004F446C"/>
    <w:rsid w:val="004F44AC"/>
    <w:rsid w:val="004F44B7"/>
    <w:rsid w:val="004F4566"/>
    <w:rsid w:val="004F456A"/>
    <w:rsid w:val="004F45A0"/>
    <w:rsid w:val="004F45BB"/>
    <w:rsid w:val="004F4605"/>
    <w:rsid w:val="004F4665"/>
    <w:rsid w:val="004F46B2"/>
    <w:rsid w:val="004F46EB"/>
    <w:rsid w:val="004F4717"/>
    <w:rsid w:val="004F4738"/>
    <w:rsid w:val="004F4742"/>
    <w:rsid w:val="004F4755"/>
    <w:rsid w:val="004F475A"/>
    <w:rsid w:val="004F4788"/>
    <w:rsid w:val="004F479D"/>
    <w:rsid w:val="004F4815"/>
    <w:rsid w:val="004F4822"/>
    <w:rsid w:val="004F484F"/>
    <w:rsid w:val="004F4879"/>
    <w:rsid w:val="004F48B5"/>
    <w:rsid w:val="004F48F8"/>
    <w:rsid w:val="004F4940"/>
    <w:rsid w:val="004F4961"/>
    <w:rsid w:val="004F4997"/>
    <w:rsid w:val="004F49C7"/>
    <w:rsid w:val="004F4A28"/>
    <w:rsid w:val="004F4A89"/>
    <w:rsid w:val="004F4A96"/>
    <w:rsid w:val="004F4A9E"/>
    <w:rsid w:val="004F4ABC"/>
    <w:rsid w:val="004F4ACA"/>
    <w:rsid w:val="004F4B43"/>
    <w:rsid w:val="004F4B62"/>
    <w:rsid w:val="004F4BA7"/>
    <w:rsid w:val="004F4BE8"/>
    <w:rsid w:val="004F4C06"/>
    <w:rsid w:val="004F4C1F"/>
    <w:rsid w:val="004F4C2A"/>
    <w:rsid w:val="004F4C40"/>
    <w:rsid w:val="004F4C4F"/>
    <w:rsid w:val="004F4CB0"/>
    <w:rsid w:val="004F4CB5"/>
    <w:rsid w:val="004F4CC8"/>
    <w:rsid w:val="004F4CC9"/>
    <w:rsid w:val="004F4CCF"/>
    <w:rsid w:val="004F4CD0"/>
    <w:rsid w:val="004F4D1C"/>
    <w:rsid w:val="004F4D25"/>
    <w:rsid w:val="004F4D3A"/>
    <w:rsid w:val="004F4DA8"/>
    <w:rsid w:val="004F4DAA"/>
    <w:rsid w:val="004F4DC7"/>
    <w:rsid w:val="004F4E00"/>
    <w:rsid w:val="004F4E4A"/>
    <w:rsid w:val="004F4E60"/>
    <w:rsid w:val="004F4E72"/>
    <w:rsid w:val="004F4EA7"/>
    <w:rsid w:val="004F4F0C"/>
    <w:rsid w:val="004F4F28"/>
    <w:rsid w:val="004F4F68"/>
    <w:rsid w:val="004F4F6C"/>
    <w:rsid w:val="004F4F90"/>
    <w:rsid w:val="004F4FA0"/>
    <w:rsid w:val="004F4FB4"/>
    <w:rsid w:val="004F4FE2"/>
    <w:rsid w:val="004F500D"/>
    <w:rsid w:val="004F5073"/>
    <w:rsid w:val="004F515E"/>
    <w:rsid w:val="004F51D1"/>
    <w:rsid w:val="004F52A4"/>
    <w:rsid w:val="004F52DE"/>
    <w:rsid w:val="004F52EA"/>
    <w:rsid w:val="004F5308"/>
    <w:rsid w:val="004F5335"/>
    <w:rsid w:val="004F5360"/>
    <w:rsid w:val="004F53A8"/>
    <w:rsid w:val="004F53D2"/>
    <w:rsid w:val="004F53D8"/>
    <w:rsid w:val="004F5473"/>
    <w:rsid w:val="004F54FF"/>
    <w:rsid w:val="004F552B"/>
    <w:rsid w:val="004F555F"/>
    <w:rsid w:val="004F5586"/>
    <w:rsid w:val="004F5594"/>
    <w:rsid w:val="004F5608"/>
    <w:rsid w:val="004F5648"/>
    <w:rsid w:val="004F5663"/>
    <w:rsid w:val="004F566F"/>
    <w:rsid w:val="004F57AD"/>
    <w:rsid w:val="004F586C"/>
    <w:rsid w:val="004F58A1"/>
    <w:rsid w:val="004F5909"/>
    <w:rsid w:val="004F5916"/>
    <w:rsid w:val="004F5932"/>
    <w:rsid w:val="004F5958"/>
    <w:rsid w:val="004F596A"/>
    <w:rsid w:val="004F5971"/>
    <w:rsid w:val="004F5988"/>
    <w:rsid w:val="004F5A32"/>
    <w:rsid w:val="004F5A3C"/>
    <w:rsid w:val="004F5A41"/>
    <w:rsid w:val="004F5AA6"/>
    <w:rsid w:val="004F5AC4"/>
    <w:rsid w:val="004F5ACE"/>
    <w:rsid w:val="004F5B10"/>
    <w:rsid w:val="004F5BC0"/>
    <w:rsid w:val="004F5BED"/>
    <w:rsid w:val="004F5C4A"/>
    <w:rsid w:val="004F5C4F"/>
    <w:rsid w:val="004F5C6B"/>
    <w:rsid w:val="004F5CDD"/>
    <w:rsid w:val="004F5CEE"/>
    <w:rsid w:val="004F5D24"/>
    <w:rsid w:val="004F5D45"/>
    <w:rsid w:val="004F5D5E"/>
    <w:rsid w:val="004F5DBD"/>
    <w:rsid w:val="004F5F64"/>
    <w:rsid w:val="004F5FB1"/>
    <w:rsid w:val="004F6083"/>
    <w:rsid w:val="004F609A"/>
    <w:rsid w:val="004F60A3"/>
    <w:rsid w:val="004F60A5"/>
    <w:rsid w:val="004F60B5"/>
    <w:rsid w:val="004F60E3"/>
    <w:rsid w:val="004F60F1"/>
    <w:rsid w:val="004F6105"/>
    <w:rsid w:val="004F6120"/>
    <w:rsid w:val="004F6161"/>
    <w:rsid w:val="004F61C0"/>
    <w:rsid w:val="004F61EF"/>
    <w:rsid w:val="004F6202"/>
    <w:rsid w:val="004F6249"/>
    <w:rsid w:val="004F6276"/>
    <w:rsid w:val="004F62A5"/>
    <w:rsid w:val="004F62B6"/>
    <w:rsid w:val="004F6318"/>
    <w:rsid w:val="004F6337"/>
    <w:rsid w:val="004F6364"/>
    <w:rsid w:val="004F636D"/>
    <w:rsid w:val="004F63C2"/>
    <w:rsid w:val="004F6417"/>
    <w:rsid w:val="004F6432"/>
    <w:rsid w:val="004F648D"/>
    <w:rsid w:val="004F648F"/>
    <w:rsid w:val="004F64CA"/>
    <w:rsid w:val="004F64E6"/>
    <w:rsid w:val="004F6552"/>
    <w:rsid w:val="004F656A"/>
    <w:rsid w:val="004F6578"/>
    <w:rsid w:val="004F65AC"/>
    <w:rsid w:val="004F65C6"/>
    <w:rsid w:val="004F65C8"/>
    <w:rsid w:val="004F65EB"/>
    <w:rsid w:val="004F65FE"/>
    <w:rsid w:val="004F66A7"/>
    <w:rsid w:val="004F66B8"/>
    <w:rsid w:val="004F6702"/>
    <w:rsid w:val="004F6746"/>
    <w:rsid w:val="004F67C0"/>
    <w:rsid w:val="004F67C2"/>
    <w:rsid w:val="004F67CD"/>
    <w:rsid w:val="004F6836"/>
    <w:rsid w:val="004F6848"/>
    <w:rsid w:val="004F68A1"/>
    <w:rsid w:val="004F68CB"/>
    <w:rsid w:val="004F68F9"/>
    <w:rsid w:val="004F691C"/>
    <w:rsid w:val="004F6921"/>
    <w:rsid w:val="004F6953"/>
    <w:rsid w:val="004F6956"/>
    <w:rsid w:val="004F69C1"/>
    <w:rsid w:val="004F6A3A"/>
    <w:rsid w:val="004F6A64"/>
    <w:rsid w:val="004F6A6D"/>
    <w:rsid w:val="004F6A6E"/>
    <w:rsid w:val="004F6A8A"/>
    <w:rsid w:val="004F6AA3"/>
    <w:rsid w:val="004F6AAD"/>
    <w:rsid w:val="004F6AC0"/>
    <w:rsid w:val="004F6AC2"/>
    <w:rsid w:val="004F6AC5"/>
    <w:rsid w:val="004F6AF0"/>
    <w:rsid w:val="004F6B1F"/>
    <w:rsid w:val="004F6B3D"/>
    <w:rsid w:val="004F6B99"/>
    <w:rsid w:val="004F6BD1"/>
    <w:rsid w:val="004F6BF2"/>
    <w:rsid w:val="004F6C5D"/>
    <w:rsid w:val="004F6C6C"/>
    <w:rsid w:val="004F6CA9"/>
    <w:rsid w:val="004F6D2A"/>
    <w:rsid w:val="004F6D56"/>
    <w:rsid w:val="004F6D77"/>
    <w:rsid w:val="004F6D7C"/>
    <w:rsid w:val="004F6E13"/>
    <w:rsid w:val="004F6EA5"/>
    <w:rsid w:val="004F6F44"/>
    <w:rsid w:val="004F6F59"/>
    <w:rsid w:val="004F6F75"/>
    <w:rsid w:val="004F6F91"/>
    <w:rsid w:val="004F6FCF"/>
    <w:rsid w:val="004F6FE8"/>
    <w:rsid w:val="004F6FF6"/>
    <w:rsid w:val="004F7010"/>
    <w:rsid w:val="004F7087"/>
    <w:rsid w:val="004F709A"/>
    <w:rsid w:val="004F70DE"/>
    <w:rsid w:val="004F7130"/>
    <w:rsid w:val="004F7147"/>
    <w:rsid w:val="004F718E"/>
    <w:rsid w:val="004F7193"/>
    <w:rsid w:val="004F71AD"/>
    <w:rsid w:val="004F71B5"/>
    <w:rsid w:val="004F71C8"/>
    <w:rsid w:val="004F7208"/>
    <w:rsid w:val="004F7221"/>
    <w:rsid w:val="004F7253"/>
    <w:rsid w:val="004F7282"/>
    <w:rsid w:val="004F72D1"/>
    <w:rsid w:val="004F736C"/>
    <w:rsid w:val="004F736D"/>
    <w:rsid w:val="004F73E2"/>
    <w:rsid w:val="004F7420"/>
    <w:rsid w:val="004F74E7"/>
    <w:rsid w:val="004F751E"/>
    <w:rsid w:val="004F7547"/>
    <w:rsid w:val="004F759F"/>
    <w:rsid w:val="004F75EE"/>
    <w:rsid w:val="004F768F"/>
    <w:rsid w:val="004F7695"/>
    <w:rsid w:val="004F76E8"/>
    <w:rsid w:val="004F76F3"/>
    <w:rsid w:val="004F771F"/>
    <w:rsid w:val="004F776B"/>
    <w:rsid w:val="004F7791"/>
    <w:rsid w:val="004F77A9"/>
    <w:rsid w:val="004F77AA"/>
    <w:rsid w:val="004F77B3"/>
    <w:rsid w:val="004F7803"/>
    <w:rsid w:val="004F780E"/>
    <w:rsid w:val="004F7823"/>
    <w:rsid w:val="004F7828"/>
    <w:rsid w:val="004F78EB"/>
    <w:rsid w:val="004F7941"/>
    <w:rsid w:val="004F7959"/>
    <w:rsid w:val="004F7980"/>
    <w:rsid w:val="004F79D9"/>
    <w:rsid w:val="004F7B40"/>
    <w:rsid w:val="004F7B49"/>
    <w:rsid w:val="004F7B5D"/>
    <w:rsid w:val="004F7C5B"/>
    <w:rsid w:val="004F7C87"/>
    <w:rsid w:val="004F7CAF"/>
    <w:rsid w:val="004F7CF9"/>
    <w:rsid w:val="004F7D06"/>
    <w:rsid w:val="004F7D15"/>
    <w:rsid w:val="004F7D2E"/>
    <w:rsid w:val="004F7D3A"/>
    <w:rsid w:val="004F7D9E"/>
    <w:rsid w:val="004F7DAD"/>
    <w:rsid w:val="004F7DAF"/>
    <w:rsid w:val="004F7DB2"/>
    <w:rsid w:val="004F7DE2"/>
    <w:rsid w:val="004F7E15"/>
    <w:rsid w:val="004F7E4E"/>
    <w:rsid w:val="004F7E4F"/>
    <w:rsid w:val="004F7E60"/>
    <w:rsid w:val="004F7EA1"/>
    <w:rsid w:val="004F7ED7"/>
    <w:rsid w:val="004F7F17"/>
    <w:rsid w:val="004F7F19"/>
    <w:rsid w:val="004F7F6A"/>
    <w:rsid w:val="004F7F70"/>
    <w:rsid w:val="004F7F92"/>
    <w:rsid w:val="004F7F9F"/>
    <w:rsid w:val="004F7FA3"/>
    <w:rsid w:val="004F7FA6"/>
    <w:rsid w:val="00500013"/>
    <w:rsid w:val="0050004F"/>
    <w:rsid w:val="00500072"/>
    <w:rsid w:val="005000E8"/>
    <w:rsid w:val="005000E9"/>
    <w:rsid w:val="00500188"/>
    <w:rsid w:val="005001A4"/>
    <w:rsid w:val="005001A7"/>
    <w:rsid w:val="005001AD"/>
    <w:rsid w:val="005001DD"/>
    <w:rsid w:val="005001E0"/>
    <w:rsid w:val="00500300"/>
    <w:rsid w:val="00500322"/>
    <w:rsid w:val="0050032A"/>
    <w:rsid w:val="00500347"/>
    <w:rsid w:val="00500383"/>
    <w:rsid w:val="00500396"/>
    <w:rsid w:val="0050045B"/>
    <w:rsid w:val="0050048A"/>
    <w:rsid w:val="005004EB"/>
    <w:rsid w:val="005004EF"/>
    <w:rsid w:val="00500509"/>
    <w:rsid w:val="0050050B"/>
    <w:rsid w:val="00500513"/>
    <w:rsid w:val="0050051A"/>
    <w:rsid w:val="00500541"/>
    <w:rsid w:val="005005AF"/>
    <w:rsid w:val="005005C4"/>
    <w:rsid w:val="005005DF"/>
    <w:rsid w:val="005005E4"/>
    <w:rsid w:val="00500606"/>
    <w:rsid w:val="00500629"/>
    <w:rsid w:val="00500683"/>
    <w:rsid w:val="005006DF"/>
    <w:rsid w:val="005006F1"/>
    <w:rsid w:val="005006FF"/>
    <w:rsid w:val="0050070B"/>
    <w:rsid w:val="00500740"/>
    <w:rsid w:val="00500766"/>
    <w:rsid w:val="0050078B"/>
    <w:rsid w:val="005007A7"/>
    <w:rsid w:val="005007E4"/>
    <w:rsid w:val="00500820"/>
    <w:rsid w:val="00500825"/>
    <w:rsid w:val="005008AD"/>
    <w:rsid w:val="005008C2"/>
    <w:rsid w:val="005008FD"/>
    <w:rsid w:val="00500902"/>
    <w:rsid w:val="0050091A"/>
    <w:rsid w:val="0050092E"/>
    <w:rsid w:val="005009DB"/>
    <w:rsid w:val="005009E1"/>
    <w:rsid w:val="00500A63"/>
    <w:rsid w:val="00500A93"/>
    <w:rsid w:val="00500AC2"/>
    <w:rsid w:val="00500B25"/>
    <w:rsid w:val="00500BAC"/>
    <w:rsid w:val="00500CA2"/>
    <w:rsid w:val="00500CF2"/>
    <w:rsid w:val="00500DBC"/>
    <w:rsid w:val="00500DD1"/>
    <w:rsid w:val="00500DFD"/>
    <w:rsid w:val="00500E0A"/>
    <w:rsid w:val="00500E35"/>
    <w:rsid w:val="00500EA9"/>
    <w:rsid w:val="00500EFE"/>
    <w:rsid w:val="00500F62"/>
    <w:rsid w:val="00500F77"/>
    <w:rsid w:val="00500FF1"/>
    <w:rsid w:val="00500FF3"/>
    <w:rsid w:val="0050101A"/>
    <w:rsid w:val="0050103A"/>
    <w:rsid w:val="0050104A"/>
    <w:rsid w:val="00501063"/>
    <w:rsid w:val="00501096"/>
    <w:rsid w:val="005010A9"/>
    <w:rsid w:val="005010BF"/>
    <w:rsid w:val="005010C9"/>
    <w:rsid w:val="005010EA"/>
    <w:rsid w:val="0050114D"/>
    <w:rsid w:val="0050116D"/>
    <w:rsid w:val="005011A8"/>
    <w:rsid w:val="00501220"/>
    <w:rsid w:val="00501235"/>
    <w:rsid w:val="00501242"/>
    <w:rsid w:val="0050128D"/>
    <w:rsid w:val="00501319"/>
    <w:rsid w:val="00501323"/>
    <w:rsid w:val="00501394"/>
    <w:rsid w:val="005013AA"/>
    <w:rsid w:val="00501449"/>
    <w:rsid w:val="005014A4"/>
    <w:rsid w:val="005014D6"/>
    <w:rsid w:val="0050156A"/>
    <w:rsid w:val="00501573"/>
    <w:rsid w:val="0050159A"/>
    <w:rsid w:val="005015A0"/>
    <w:rsid w:val="005015C2"/>
    <w:rsid w:val="005015E2"/>
    <w:rsid w:val="005015E6"/>
    <w:rsid w:val="0050168D"/>
    <w:rsid w:val="005016AD"/>
    <w:rsid w:val="005016F3"/>
    <w:rsid w:val="00501766"/>
    <w:rsid w:val="00501782"/>
    <w:rsid w:val="0050180C"/>
    <w:rsid w:val="00501822"/>
    <w:rsid w:val="005018B5"/>
    <w:rsid w:val="0050191F"/>
    <w:rsid w:val="00501933"/>
    <w:rsid w:val="00501959"/>
    <w:rsid w:val="00501983"/>
    <w:rsid w:val="00501996"/>
    <w:rsid w:val="005019AF"/>
    <w:rsid w:val="00501A07"/>
    <w:rsid w:val="00501AA7"/>
    <w:rsid w:val="00501ABC"/>
    <w:rsid w:val="00501AED"/>
    <w:rsid w:val="00501B0B"/>
    <w:rsid w:val="00501B54"/>
    <w:rsid w:val="00501C14"/>
    <w:rsid w:val="00501C9D"/>
    <w:rsid w:val="00501DA0"/>
    <w:rsid w:val="00501DC2"/>
    <w:rsid w:val="00501E20"/>
    <w:rsid w:val="00501E25"/>
    <w:rsid w:val="00501E53"/>
    <w:rsid w:val="00501E6D"/>
    <w:rsid w:val="00501E7B"/>
    <w:rsid w:val="00501EB2"/>
    <w:rsid w:val="00501F0E"/>
    <w:rsid w:val="00501F5F"/>
    <w:rsid w:val="00501F95"/>
    <w:rsid w:val="00501FC0"/>
    <w:rsid w:val="0050204E"/>
    <w:rsid w:val="0050207A"/>
    <w:rsid w:val="005020AA"/>
    <w:rsid w:val="005020CA"/>
    <w:rsid w:val="005020EE"/>
    <w:rsid w:val="005020EF"/>
    <w:rsid w:val="00502154"/>
    <w:rsid w:val="0050216A"/>
    <w:rsid w:val="00502176"/>
    <w:rsid w:val="00502194"/>
    <w:rsid w:val="00502263"/>
    <w:rsid w:val="00502272"/>
    <w:rsid w:val="005022F7"/>
    <w:rsid w:val="005022FD"/>
    <w:rsid w:val="00502395"/>
    <w:rsid w:val="0050239C"/>
    <w:rsid w:val="005023A4"/>
    <w:rsid w:val="005023AE"/>
    <w:rsid w:val="005023D6"/>
    <w:rsid w:val="0050240A"/>
    <w:rsid w:val="0050244A"/>
    <w:rsid w:val="00502496"/>
    <w:rsid w:val="00502592"/>
    <w:rsid w:val="005025C4"/>
    <w:rsid w:val="005025D0"/>
    <w:rsid w:val="005025EE"/>
    <w:rsid w:val="00502630"/>
    <w:rsid w:val="0050263C"/>
    <w:rsid w:val="005026FB"/>
    <w:rsid w:val="0050270F"/>
    <w:rsid w:val="0050272B"/>
    <w:rsid w:val="0050278D"/>
    <w:rsid w:val="005027BE"/>
    <w:rsid w:val="00502826"/>
    <w:rsid w:val="00502899"/>
    <w:rsid w:val="0050289C"/>
    <w:rsid w:val="005028AA"/>
    <w:rsid w:val="005028AF"/>
    <w:rsid w:val="005028C3"/>
    <w:rsid w:val="005028EC"/>
    <w:rsid w:val="00502948"/>
    <w:rsid w:val="0050299C"/>
    <w:rsid w:val="0050299F"/>
    <w:rsid w:val="005029C9"/>
    <w:rsid w:val="00502A09"/>
    <w:rsid w:val="00502AB7"/>
    <w:rsid w:val="00502B8C"/>
    <w:rsid w:val="00502BC8"/>
    <w:rsid w:val="00502BD2"/>
    <w:rsid w:val="00502BE1"/>
    <w:rsid w:val="00502C1E"/>
    <w:rsid w:val="00502C30"/>
    <w:rsid w:val="00502C45"/>
    <w:rsid w:val="00502C8E"/>
    <w:rsid w:val="00502CC6"/>
    <w:rsid w:val="00502CE4"/>
    <w:rsid w:val="00502CEE"/>
    <w:rsid w:val="00502D45"/>
    <w:rsid w:val="00502DB2"/>
    <w:rsid w:val="00502DBC"/>
    <w:rsid w:val="00502E06"/>
    <w:rsid w:val="00502E14"/>
    <w:rsid w:val="00502E1A"/>
    <w:rsid w:val="00502E34"/>
    <w:rsid w:val="00502E99"/>
    <w:rsid w:val="00502F5B"/>
    <w:rsid w:val="00502FAB"/>
    <w:rsid w:val="0050300D"/>
    <w:rsid w:val="00503010"/>
    <w:rsid w:val="00503075"/>
    <w:rsid w:val="00503088"/>
    <w:rsid w:val="005030C2"/>
    <w:rsid w:val="005030DA"/>
    <w:rsid w:val="005030E8"/>
    <w:rsid w:val="00503132"/>
    <w:rsid w:val="00503139"/>
    <w:rsid w:val="0050314F"/>
    <w:rsid w:val="00503175"/>
    <w:rsid w:val="0050319A"/>
    <w:rsid w:val="005031A5"/>
    <w:rsid w:val="005031C2"/>
    <w:rsid w:val="005031CD"/>
    <w:rsid w:val="005031E0"/>
    <w:rsid w:val="00503213"/>
    <w:rsid w:val="0050326D"/>
    <w:rsid w:val="00503290"/>
    <w:rsid w:val="005032DE"/>
    <w:rsid w:val="005032E9"/>
    <w:rsid w:val="00503306"/>
    <w:rsid w:val="0050336F"/>
    <w:rsid w:val="00503378"/>
    <w:rsid w:val="00503380"/>
    <w:rsid w:val="005033E0"/>
    <w:rsid w:val="005033E2"/>
    <w:rsid w:val="005033F6"/>
    <w:rsid w:val="00503415"/>
    <w:rsid w:val="0050342B"/>
    <w:rsid w:val="00503442"/>
    <w:rsid w:val="005034AD"/>
    <w:rsid w:val="005034BC"/>
    <w:rsid w:val="005034CE"/>
    <w:rsid w:val="00503504"/>
    <w:rsid w:val="00503507"/>
    <w:rsid w:val="0050354C"/>
    <w:rsid w:val="005035B8"/>
    <w:rsid w:val="005035E5"/>
    <w:rsid w:val="00503612"/>
    <w:rsid w:val="0050363D"/>
    <w:rsid w:val="005036F6"/>
    <w:rsid w:val="0050370F"/>
    <w:rsid w:val="00503727"/>
    <w:rsid w:val="0050374C"/>
    <w:rsid w:val="005037CA"/>
    <w:rsid w:val="005037D4"/>
    <w:rsid w:val="0050388B"/>
    <w:rsid w:val="005038CF"/>
    <w:rsid w:val="005038E4"/>
    <w:rsid w:val="005038F3"/>
    <w:rsid w:val="00503972"/>
    <w:rsid w:val="00503983"/>
    <w:rsid w:val="00503986"/>
    <w:rsid w:val="005039EA"/>
    <w:rsid w:val="00503A03"/>
    <w:rsid w:val="00503A4C"/>
    <w:rsid w:val="00503A4D"/>
    <w:rsid w:val="00503AAB"/>
    <w:rsid w:val="00503B4B"/>
    <w:rsid w:val="00503B78"/>
    <w:rsid w:val="00503B7B"/>
    <w:rsid w:val="00503C36"/>
    <w:rsid w:val="00503C44"/>
    <w:rsid w:val="00503CA6"/>
    <w:rsid w:val="00503CF8"/>
    <w:rsid w:val="00503D19"/>
    <w:rsid w:val="00503D1A"/>
    <w:rsid w:val="00503D4F"/>
    <w:rsid w:val="00503D5A"/>
    <w:rsid w:val="00503DD8"/>
    <w:rsid w:val="00503DFD"/>
    <w:rsid w:val="00503E00"/>
    <w:rsid w:val="00503E21"/>
    <w:rsid w:val="00503E49"/>
    <w:rsid w:val="00503E56"/>
    <w:rsid w:val="00503E80"/>
    <w:rsid w:val="00503E88"/>
    <w:rsid w:val="00503EB9"/>
    <w:rsid w:val="00503ED3"/>
    <w:rsid w:val="00503F28"/>
    <w:rsid w:val="00503F5B"/>
    <w:rsid w:val="00503F8D"/>
    <w:rsid w:val="00503F99"/>
    <w:rsid w:val="00503FB1"/>
    <w:rsid w:val="00503FFC"/>
    <w:rsid w:val="00504039"/>
    <w:rsid w:val="00504059"/>
    <w:rsid w:val="0050406A"/>
    <w:rsid w:val="00504097"/>
    <w:rsid w:val="005040AD"/>
    <w:rsid w:val="005040B6"/>
    <w:rsid w:val="005040BA"/>
    <w:rsid w:val="00504160"/>
    <w:rsid w:val="00504172"/>
    <w:rsid w:val="00504183"/>
    <w:rsid w:val="0050419A"/>
    <w:rsid w:val="005041D6"/>
    <w:rsid w:val="005041DF"/>
    <w:rsid w:val="005041E9"/>
    <w:rsid w:val="005041F2"/>
    <w:rsid w:val="00504224"/>
    <w:rsid w:val="00504232"/>
    <w:rsid w:val="00504244"/>
    <w:rsid w:val="00504334"/>
    <w:rsid w:val="005043B4"/>
    <w:rsid w:val="005043E6"/>
    <w:rsid w:val="0050441B"/>
    <w:rsid w:val="00504440"/>
    <w:rsid w:val="0050444A"/>
    <w:rsid w:val="0050444F"/>
    <w:rsid w:val="0050448C"/>
    <w:rsid w:val="005044FA"/>
    <w:rsid w:val="00504532"/>
    <w:rsid w:val="0050453A"/>
    <w:rsid w:val="00504587"/>
    <w:rsid w:val="0050463C"/>
    <w:rsid w:val="00504687"/>
    <w:rsid w:val="005046EA"/>
    <w:rsid w:val="005046FF"/>
    <w:rsid w:val="00504765"/>
    <w:rsid w:val="0050478C"/>
    <w:rsid w:val="005047C8"/>
    <w:rsid w:val="00504805"/>
    <w:rsid w:val="00504814"/>
    <w:rsid w:val="0050482C"/>
    <w:rsid w:val="00504880"/>
    <w:rsid w:val="005048AF"/>
    <w:rsid w:val="005048D8"/>
    <w:rsid w:val="005049A9"/>
    <w:rsid w:val="005049EA"/>
    <w:rsid w:val="00504A0E"/>
    <w:rsid w:val="00504A44"/>
    <w:rsid w:val="00504A65"/>
    <w:rsid w:val="00504A7A"/>
    <w:rsid w:val="00504A8A"/>
    <w:rsid w:val="00504AAF"/>
    <w:rsid w:val="00504AB2"/>
    <w:rsid w:val="00504AE0"/>
    <w:rsid w:val="00504B08"/>
    <w:rsid w:val="00504B0F"/>
    <w:rsid w:val="00504B53"/>
    <w:rsid w:val="00504B8D"/>
    <w:rsid w:val="00504B94"/>
    <w:rsid w:val="00504BB7"/>
    <w:rsid w:val="00504BB8"/>
    <w:rsid w:val="00504BCB"/>
    <w:rsid w:val="00504BCD"/>
    <w:rsid w:val="00504C0F"/>
    <w:rsid w:val="00504C38"/>
    <w:rsid w:val="00504C3A"/>
    <w:rsid w:val="00504C4B"/>
    <w:rsid w:val="00504C91"/>
    <w:rsid w:val="00504CD4"/>
    <w:rsid w:val="00504CF6"/>
    <w:rsid w:val="00504D22"/>
    <w:rsid w:val="00504D60"/>
    <w:rsid w:val="00504D9A"/>
    <w:rsid w:val="00504E19"/>
    <w:rsid w:val="00504E38"/>
    <w:rsid w:val="00504E65"/>
    <w:rsid w:val="00504EE8"/>
    <w:rsid w:val="00504EE9"/>
    <w:rsid w:val="00504EFE"/>
    <w:rsid w:val="00504EFF"/>
    <w:rsid w:val="00504F06"/>
    <w:rsid w:val="00504F0E"/>
    <w:rsid w:val="00504F1D"/>
    <w:rsid w:val="00504F22"/>
    <w:rsid w:val="00504F4D"/>
    <w:rsid w:val="00504F61"/>
    <w:rsid w:val="00504FB0"/>
    <w:rsid w:val="0050501E"/>
    <w:rsid w:val="0050505E"/>
    <w:rsid w:val="005050AD"/>
    <w:rsid w:val="0050510F"/>
    <w:rsid w:val="0050514A"/>
    <w:rsid w:val="005051C3"/>
    <w:rsid w:val="005051CF"/>
    <w:rsid w:val="00505261"/>
    <w:rsid w:val="00505314"/>
    <w:rsid w:val="00505317"/>
    <w:rsid w:val="0050534C"/>
    <w:rsid w:val="00505396"/>
    <w:rsid w:val="0050540D"/>
    <w:rsid w:val="0050544C"/>
    <w:rsid w:val="005054A7"/>
    <w:rsid w:val="005054A8"/>
    <w:rsid w:val="005054D3"/>
    <w:rsid w:val="005054E4"/>
    <w:rsid w:val="00505558"/>
    <w:rsid w:val="00505572"/>
    <w:rsid w:val="0050559C"/>
    <w:rsid w:val="005055A3"/>
    <w:rsid w:val="005055AB"/>
    <w:rsid w:val="005055CD"/>
    <w:rsid w:val="005055E6"/>
    <w:rsid w:val="0050560C"/>
    <w:rsid w:val="00505627"/>
    <w:rsid w:val="0050562F"/>
    <w:rsid w:val="00505661"/>
    <w:rsid w:val="00505684"/>
    <w:rsid w:val="005056C4"/>
    <w:rsid w:val="00505733"/>
    <w:rsid w:val="005057B6"/>
    <w:rsid w:val="005057BC"/>
    <w:rsid w:val="005057BE"/>
    <w:rsid w:val="005057BF"/>
    <w:rsid w:val="0050583D"/>
    <w:rsid w:val="00505883"/>
    <w:rsid w:val="0050589D"/>
    <w:rsid w:val="005058C2"/>
    <w:rsid w:val="0050590D"/>
    <w:rsid w:val="00505917"/>
    <w:rsid w:val="00505948"/>
    <w:rsid w:val="005059DF"/>
    <w:rsid w:val="00505ADF"/>
    <w:rsid w:val="00505B04"/>
    <w:rsid w:val="00505B5C"/>
    <w:rsid w:val="00505B80"/>
    <w:rsid w:val="00505B8E"/>
    <w:rsid w:val="00505C28"/>
    <w:rsid w:val="00505C40"/>
    <w:rsid w:val="00505C75"/>
    <w:rsid w:val="00505C93"/>
    <w:rsid w:val="00505CEA"/>
    <w:rsid w:val="00505D1E"/>
    <w:rsid w:val="00505D24"/>
    <w:rsid w:val="00505D35"/>
    <w:rsid w:val="00505D4F"/>
    <w:rsid w:val="00505D5E"/>
    <w:rsid w:val="00505D76"/>
    <w:rsid w:val="00505DC0"/>
    <w:rsid w:val="00505E2F"/>
    <w:rsid w:val="00505E60"/>
    <w:rsid w:val="00505E74"/>
    <w:rsid w:val="00505E81"/>
    <w:rsid w:val="00505E8A"/>
    <w:rsid w:val="00505EBE"/>
    <w:rsid w:val="00505ECC"/>
    <w:rsid w:val="00505ED3"/>
    <w:rsid w:val="00505F2B"/>
    <w:rsid w:val="00505F5E"/>
    <w:rsid w:val="00505FD4"/>
    <w:rsid w:val="00505FE9"/>
    <w:rsid w:val="00506007"/>
    <w:rsid w:val="0050607A"/>
    <w:rsid w:val="00506118"/>
    <w:rsid w:val="00506186"/>
    <w:rsid w:val="00506203"/>
    <w:rsid w:val="0050622E"/>
    <w:rsid w:val="0050628A"/>
    <w:rsid w:val="005062A1"/>
    <w:rsid w:val="005062A9"/>
    <w:rsid w:val="005062B5"/>
    <w:rsid w:val="005062F5"/>
    <w:rsid w:val="0050634D"/>
    <w:rsid w:val="00506357"/>
    <w:rsid w:val="005063BE"/>
    <w:rsid w:val="005063C2"/>
    <w:rsid w:val="00506458"/>
    <w:rsid w:val="00506460"/>
    <w:rsid w:val="0050646F"/>
    <w:rsid w:val="005064A5"/>
    <w:rsid w:val="005064C0"/>
    <w:rsid w:val="005064D6"/>
    <w:rsid w:val="005064F0"/>
    <w:rsid w:val="00506518"/>
    <w:rsid w:val="0050653C"/>
    <w:rsid w:val="005065A0"/>
    <w:rsid w:val="00506628"/>
    <w:rsid w:val="005066A4"/>
    <w:rsid w:val="005066AB"/>
    <w:rsid w:val="00506718"/>
    <w:rsid w:val="0050673B"/>
    <w:rsid w:val="00506763"/>
    <w:rsid w:val="005067A0"/>
    <w:rsid w:val="005067C4"/>
    <w:rsid w:val="005067EA"/>
    <w:rsid w:val="00506809"/>
    <w:rsid w:val="00506825"/>
    <w:rsid w:val="00506849"/>
    <w:rsid w:val="0050689D"/>
    <w:rsid w:val="00506910"/>
    <w:rsid w:val="00506932"/>
    <w:rsid w:val="00506978"/>
    <w:rsid w:val="00506985"/>
    <w:rsid w:val="0050698D"/>
    <w:rsid w:val="005069DB"/>
    <w:rsid w:val="00506A1A"/>
    <w:rsid w:val="00506A22"/>
    <w:rsid w:val="00506A53"/>
    <w:rsid w:val="00506A8C"/>
    <w:rsid w:val="00506AC8"/>
    <w:rsid w:val="00506B07"/>
    <w:rsid w:val="00506B48"/>
    <w:rsid w:val="00506B50"/>
    <w:rsid w:val="00506B8D"/>
    <w:rsid w:val="00506BAB"/>
    <w:rsid w:val="00506C28"/>
    <w:rsid w:val="00506C44"/>
    <w:rsid w:val="00506C4E"/>
    <w:rsid w:val="00506C63"/>
    <w:rsid w:val="00506CCD"/>
    <w:rsid w:val="00506CCF"/>
    <w:rsid w:val="00506CFA"/>
    <w:rsid w:val="00506D43"/>
    <w:rsid w:val="00506D77"/>
    <w:rsid w:val="00506D90"/>
    <w:rsid w:val="00506DFE"/>
    <w:rsid w:val="00506E1A"/>
    <w:rsid w:val="00506E37"/>
    <w:rsid w:val="00506EC5"/>
    <w:rsid w:val="00506EEB"/>
    <w:rsid w:val="00506F7C"/>
    <w:rsid w:val="00506FC6"/>
    <w:rsid w:val="00506FE9"/>
    <w:rsid w:val="00507006"/>
    <w:rsid w:val="005070DD"/>
    <w:rsid w:val="0050710E"/>
    <w:rsid w:val="00507117"/>
    <w:rsid w:val="00507133"/>
    <w:rsid w:val="00507151"/>
    <w:rsid w:val="00507197"/>
    <w:rsid w:val="005071E6"/>
    <w:rsid w:val="00507237"/>
    <w:rsid w:val="00507257"/>
    <w:rsid w:val="00507322"/>
    <w:rsid w:val="00507353"/>
    <w:rsid w:val="005073A7"/>
    <w:rsid w:val="005073B3"/>
    <w:rsid w:val="005073FB"/>
    <w:rsid w:val="00507462"/>
    <w:rsid w:val="0050747B"/>
    <w:rsid w:val="005074B1"/>
    <w:rsid w:val="005074D2"/>
    <w:rsid w:val="00507517"/>
    <w:rsid w:val="00507548"/>
    <w:rsid w:val="005075E9"/>
    <w:rsid w:val="00507646"/>
    <w:rsid w:val="005076A7"/>
    <w:rsid w:val="005076AA"/>
    <w:rsid w:val="005076FC"/>
    <w:rsid w:val="00507707"/>
    <w:rsid w:val="00507725"/>
    <w:rsid w:val="0050772E"/>
    <w:rsid w:val="00507739"/>
    <w:rsid w:val="0050774C"/>
    <w:rsid w:val="00507784"/>
    <w:rsid w:val="005077AA"/>
    <w:rsid w:val="005077C6"/>
    <w:rsid w:val="005077E9"/>
    <w:rsid w:val="005077FE"/>
    <w:rsid w:val="00507839"/>
    <w:rsid w:val="00507865"/>
    <w:rsid w:val="00507877"/>
    <w:rsid w:val="005078B2"/>
    <w:rsid w:val="00507901"/>
    <w:rsid w:val="005079DD"/>
    <w:rsid w:val="005079E2"/>
    <w:rsid w:val="005079F8"/>
    <w:rsid w:val="00507A2B"/>
    <w:rsid w:val="00507A3E"/>
    <w:rsid w:val="00507A54"/>
    <w:rsid w:val="00507AD5"/>
    <w:rsid w:val="00507AE9"/>
    <w:rsid w:val="00507BA7"/>
    <w:rsid w:val="00507C0F"/>
    <w:rsid w:val="00507C21"/>
    <w:rsid w:val="00507CD8"/>
    <w:rsid w:val="00507CEC"/>
    <w:rsid w:val="00507D44"/>
    <w:rsid w:val="00507D67"/>
    <w:rsid w:val="00507DB4"/>
    <w:rsid w:val="00507E09"/>
    <w:rsid w:val="00507E3A"/>
    <w:rsid w:val="00507E3B"/>
    <w:rsid w:val="00507E5B"/>
    <w:rsid w:val="00507EC2"/>
    <w:rsid w:val="00507ECA"/>
    <w:rsid w:val="00507ED5"/>
    <w:rsid w:val="00507ED9"/>
    <w:rsid w:val="00507EFC"/>
    <w:rsid w:val="00507F5F"/>
    <w:rsid w:val="00507F8F"/>
    <w:rsid w:val="0051000A"/>
    <w:rsid w:val="00510014"/>
    <w:rsid w:val="005100ED"/>
    <w:rsid w:val="0051014D"/>
    <w:rsid w:val="00510171"/>
    <w:rsid w:val="00510192"/>
    <w:rsid w:val="0051019A"/>
    <w:rsid w:val="005101B6"/>
    <w:rsid w:val="005101B7"/>
    <w:rsid w:val="00510200"/>
    <w:rsid w:val="0051026E"/>
    <w:rsid w:val="00510272"/>
    <w:rsid w:val="0051028F"/>
    <w:rsid w:val="00510290"/>
    <w:rsid w:val="005102A5"/>
    <w:rsid w:val="005102AD"/>
    <w:rsid w:val="00510336"/>
    <w:rsid w:val="0051033D"/>
    <w:rsid w:val="00510341"/>
    <w:rsid w:val="00510356"/>
    <w:rsid w:val="00510360"/>
    <w:rsid w:val="00510391"/>
    <w:rsid w:val="005103FD"/>
    <w:rsid w:val="0051042F"/>
    <w:rsid w:val="0051043C"/>
    <w:rsid w:val="00510442"/>
    <w:rsid w:val="00510447"/>
    <w:rsid w:val="0051052C"/>
    <w:rsid w:val="00510532"/>
    <w:rsid w:val="00510553"/>
    <w:rsid w:val="0051057A"/>
    <w:rsid w:val="00510589"/>
    <w:rsid w:val="0051058A"/>
    <w:rsid w:val="00510615"/>
    <w:rsid w:val="00510616"/>
    <w:rsid w:val="0051061E"/>
    <w:rsid w:val="00510734"/>
    <w:rsid w:val="00510739"/>
    <w:rsid w:val="00510774"/>
    <w:rsid w:val="005107A3"/>
    <w:rsid w:val="005107C2"/>
    <w:rsid w:val="00510801"/>
    <w:rsid w:val="0051081C"/>
    <w:rsid w:val="005108A0"/>
    <w:rsid w:val="005108BD"/>
    <w:rsid w:val="005108F6"/>
    <w:rsid w:val="0051093E"/>
    <w:rsid w:val="00510941"/>
    <w:rsid w:val="00510A78"/>
    <w:rsid w:val="00510AE7"/>
    <w:rsid w:val="00510B25"/>
    <w:rsid w:val="00510B34"/>
    <w:rsid w:val="00510BF5"/>
    <w:rsid w:val="00510BF6"/>
    <w:rsid w:val="00510C0C"/>
    <w:rsid w:val="00510C31"/>
    <w:rsid w:val="00510C37"/>
    <w:rsid w:val="00510C4B"/>
    <w:rsid w:val="00510C60"/>
    <w:rsid w:val="00510C72"/>
    <w:rsid w:val="00510CBA"/>
    <w:rsid w:val="00510CE1"/>
    <w:rsid w:val="00510D90"/>
    <w:rsid w:val="00510D93"/>
    <w:rsid w:val="00510DC3"/>
    <w:rsid w:val="00510E46"/>
    <w:rsid w:val="00510EA1"/>
    <w:rsid w:val="00510EA9"/>
    <w:rsid w:val="00510F19"/>
    <w:rsid w:val="00510F2E"/>
    <w:rsid w:val="00510F4F"/>
    <w:rsid w:val="00510FBB"/>
    <w:rsid w:val="00510FE7"/>
    <w:rsid w:val="00511016"/>
    <w:rsid w:val="00511069"/>
    <w:rsid w:val="005110BE"/>
    <w:rsid w:val="005110DC"/>
    <w:rsid w:val="0051111E"/>
    <w:rsid w:val="00511126"/>
    <w:rsid w:val="00511155"/>
    <w:rsid w:val="00511157"/>
    <w:rsid w:val="00511175"/>
    <w:rsid w:val="00511181"/>
    <w:rsid w:val="00511192"/>
    <w:rsid w:val="005111CE"/>
    <w:rsid w:val="005111D0"/>
    <w:rsid w:val="00511230"/>
    <w:rsid w:val="00511255"/>
    <w:rsid w:val="0051126C"/>
    <w:rsid w:val="00511290"/>
    <w:rsid w:val="0051129A"/>
    <w:rsid w:val="00511390"/>
    <w:rsid w:val="005113AA"/>
    <w:rsid w:val="005113E6"/>
    <w:rsid w:val="00511436"/>
    <w:rsid w:val="00511454"/>
    <w:rsid w:val="0051145F"/>
    <w:rsid w:val="00511464"/>
    <w:rsid w:val="0051153A"/>
    <w:rsid w:val="0051155B"/>
    <w:rsid w:val="00511587"/>
    <w:rsid w:val="005115C4"/>
    <w:rsid w:val="005115F7"/>
    <w:rsid w:val="0051165A"/>
    <w:rsid w:val="00511811"/>
    <w:rsid w:val="0051183A"/>
    <w:rsid w:val="005118D1"/>
    <w:rsid w:val="005118E4"/>
    <w:rsid w:val="0051190C"/>
    <w:rsid w:val="00511934"/>
    <w:rsid w:val="00511938"/>
    <w:rsid w:val="005119B2"/>
    <w:rsid w:val="005119B4"/>
    <w:rsid w:val="005119C4"/>
    <w:rsid w:val="005119DE"/>
    <w:rsid w:val="00511A29"/>
    <w:rsid w:val="00511A83"/>
    <w:rsid w:val="00511B1E"/>
    <w:rsid w:val="00511B20"/>
    <w:rsid w:val="00511B52"/>
    <w:rsid w:val="00511B5A"/>
    <w:rsid w:val="00511B66"/>
    <w:rsid w:val="00511BAA"/>
    <w:rsid w:val="00511BC0"/>
    <w:rsid w:val="00511BCA"/>
    <w:rsid w:val="00511C0D"/>
    <w:rsid w:val="00511CC1"/>
    <w:rsid w:val="00511CE6"/>
    <w:rsid w:val="00511D5F"/>
    <w:rsid w:val="00511D65"/>
    <w:rsid w:val="00511D70"/>
    <w:rsid w:val="00511D96"/>
    <w:rsid w:val="00511DBF"/>
    <w:rsid w:val="00511E06"/>
    <w:rsid w:val="00511E0B"/>
    <w:rsid w:val="00511E7F"/>
    <w:rsid w:val="00511FA6"/>
    <w:rsid w:val="00511FE3"/>
    <w:rsid w:val="00512065"/>
    <w:rsid w:val="00512073"/>
    <w:rsid w:val="00512078"/>
    <w:rsid w:val="00512090"/>
    <w:rsid w:val="005120B8"/>
    <w:rsid w:val="005120E6"/>
    <w:rsid w:val="0051211E"/>
    <w:rsid w:val="00512154"/>
    <w:rsid w:val="0051218E"/>
    <w:rsid w:val="005121BE"/>
    <w:rsid w:val="005121EB"/>
    <w:rsid w:val="00512215"/>
    <w:rsid w:val="00512269"/>
    <w:rsid w:val="0051226D"/>
    <w:rsid w:val="00512286"/>
    <w:rsid w:val="0051229D"/>
    <w:rsid w:val="005122AA"/>
    <w:rsid w:val="00512315"/>
    <w:rsid w:val="0051234D"/>
    <w:rsid w:val="00512366"/>
    <w:rsid w:val="00512373"/>
    <w:rsid w:val="00512384"/>
    <w:rsid w:val="005123AA"/>
    <w:rsid w:val="005123B6"/>
    <w:rsid w:val="005123ED"/>
    <w:rsid w:val="00512420"/>
    <w:rsid w:val="005124AA"/>
    <w:rsid w:val="005124E6"/>
    <w:rsid w:val="00512527"/>
    <w:rsid w:val="00512552"/>
    <w:rsid w:val="00512596"/>
    <w:rsid w:val="0051262A"/>
    <w:rsid w:val="0051263C"/>
    <w:rsid w:val="00512670"/>
    <w:rsid w:val="00512675"/>
    <w:rsid w:val="005126B9"/>
    <w:rsid w:val="005126FA"/>
    <w:rsid w:val="005126FF"/>
    <w:rsid w:val="00512700"/>
    <w:rsid w:val="00512706"/>
    <w:rsid w:val="00512768"/>
    <w:rsid w:val="0051277E"/>
    <w:rsid w:val="005127FC"/>
    <w:rsid w:val="0051283D"/>
    <w:rsid w:val="0051286A"/>
    <w:rsid w:val="0051287D"/>
    <w:rsid w:val="005128D4"/>
    <w:rsid w:val="0051298F"/>
    <w:rsid w:val="0051299D"/>
    <w:rsid w:val="005129F0"/>
    <w:rsid w:val="00512A6A"/>
    <w:rsid w:val="00512AA3"/>
    <w:rsid w:val="00512AED"/>
    <w:rsid w:val="00512B0A"/>
    <w:rsid w:val="00512B0B"/>
    <w:rsid w:val="00512B15"/>
    <w:rsid w:val="00512B3F"/>
    <w:rsid w:val="00512B41"/>
    <w:rsid w:val="00512B4D"/>
    <w:rsid w:val="00512B52"/>
    <w:rsid w:val="00512B6A"/>
    <w:rsid w:val="00512BDB"/>
    <w:rsid w:val="00512C85"/>
    <w:rsid w:val="00512C9C"/>
    <w:rsid w:val="00512D14"/>
    <w:rsid w:val="00512D2E"/>
    <w:rsid w:val="00512D4C"/>
    <w:rsid w:val="00512D5F"/>
    <w:rsid w:val="00512D77"/>
    <w:rsid w:val="00512DF4"/>
    <w:rsid w:val="00512EE4"/>
    <w:rsid w:val="00512F0B"/>
    <w:rsid w:val="00512F2D"/>
    <w:rsid w:val="00512F33"/>
    <w:rsid w:val="00512F3D"/>
    <w:rsid w:val="00512F60"/>
    <w:rsid w:val="00512F6F"/>
    <w:rsid w:val="00512F96"/>
    <w:rsid w:val="00512FC2"/>
    <w:rsid w:val="00512FFC"/>
    <w:rsid w:val="0051301E"/>
    <w:rsid w:val="00513055"/>
    <w:rsid w:val="005130C2"/>
    <w:rsid w:val="005130DF"/>
    <w:rsid w:val="00513114"/>
    <w:rsid w:val="00513143"/>
    <w:rsid w:val="0051316C"/>
    <w:rsid w:val="0051317D"/>
    <w:rsid w:val="00513186"/>
    <w:rsid w:val="00513203"/>
    <w:rsid w:val="0051321A"/>
    <w:rsid w:val="0051321C"/>
    <w:rsid w:val="0051324A"/>
    <w:rsid w:val="0051324B"/>
    <w:rsid w:val="005132C3"/>
    <w:rsid w:val="005132C5"/>
    <w:rsid w:val="005132CF"/>
    <w:rsid w:val="0051330A"/>
    <w:rsid w:val="0051332F"/>
    <w:rsid w:val="00513351"/>
    <w:rsid w:val="00513373"/>
    <w:rsid w:val="005133D0"/>
    <w:rsid w:val="00513454"/>
    <w:rsid w:val="005134BD"/>
    <w:rsid w:val="005134E5"/>
    <w:rsid w:val="00513535"/>
    <w:rsid w:val="00513542"/>
    <w:rsid w:val="0051354F"/>
    <w:rsid w:val="00513576"/>
    <w:rsid w:val="0051357B"/>
    <w:rsid w:val="005135F1"/>
    <w:rsid w:val="00513711"/>
    <w:rsid w:val="00513712"/>
    <w:rsid w:val="00513741"/>
    <w:rsid w:val="005137FA"/>
    <w:rsid w:val="0051383E"/>
    <w:rsid w:val="00513852"/>
    <w:rsid w:val="00513856"/>
    <w:rsid w:val="0051386A"/>
    <w:rsid w:val="005138A9"/>
    <w:rsid w:val="00513949"/>
    <w:rsid w:val="0051394E"/>
    <w:rsid w:val="0051395D"/>
    <w:rsid w:val="00513977"/>
    <w:rsid w:val="00513988"/>
    <w:rsid w:val="005139AB"/>
    <w:rsid w:val="005139D2"/>
    <w:rsid w:val="005139E9"/>
    <w:rsid w:val="00513A0A"/>
    <w:rsid w:val="00513A45"/>
    <w:rsid w:val="00513AA8"/>
    <w:rsid w:val="00513ABF"/>
    <w:rsid w:val="00513B18"/>
    <w:rsid w:val="00513B4B"/>
    <w:rsid w:val="00513B8B"/>
    <w:rsid w:val="00513B8E"/>
    <w:rsid w:val="00513B8F"/>
    <w:rsid w:val="00513B95"/>
    <w:rsid w:val="00513C8E"/>
    <w:rsid w:val="00513CA5"/>
    <w:rsid w:val="00513D60"/>
    <w:rsid w:val="00513D72"/>
    <w:rsid w:val="00513D87"/>
    <w:rsid w:val="00513E37"/>
    <w:rsid w:val="00513E3E"/>
    <w:rsid w:val="00513E46"/>
    <w:rsid w:val="00513E89"/>
    <w:rsid w:val="00513E8A"/>
    <w:rsid w:val="00513EB5"/>
    <w:rsid w:val="00513F1A"/>
    <w:rsid w:val="00513F23"/>
    <w:rsid w:val="00513F9C"/>
    <w:rsid w:val="00514013"/>
    <w:rsid w:val="00514032"/>
    <w:rsid w:val="0051405D"/>
    <w:rsid w:val="00514074"/>
    <w:rsid w:val="00514091"/>
    <w:rsid w:val="005140CC"/>
    <w:rsid w:val="005140D9"/>
    <w:rsid w:val="005140E7"/>
    <w:rsid w:val="00514114"/>
    <w:rsid w:val="00514183"/>
    <w:rsid w:val="0051418A"/>
    <w:rsid w:val="005141B8"/>
    <w:rsid w:val="0051423E"/>
    <w:rsid w:val="0051425B"/>
    <w:rsid w:val="00514268"/>
    <w:rsid w:val="00514282"/>
    <w:rsid w:val="00514284"/>
    <w:rsid w:val="0051429E"/>
    <w:rsid w:val="0051430F"/>
    <w:rsid w:val="00514384"/>
    <w:rsid w:val="005143FF"/>
    <w:rsid w:val="0051449B"/>
    <w:rsid w:val="005144AF"/>
    <w:rsid w:val="005144BF"/>
    <w:rsid w:val="005144E6"/>
    <w:rsid w:val="005144E8"/>
    <w:rsid w:val="00514515"/>
    <w:rsid w:val="0051451D"/>
    <w:rsid w:val="0051453C"/>
    <w:rsid w:val="00514541"/>
    <w:rsid w:val="00514649"/>
    <w:rsid w:val="00514655"/>
    <w:rsid w:val="00514661"/>
    <w:rsid w:val="0051466A"/>
    <w:rsid w:val="005146DE"/>
    <w:rsid w:val="00514714"/>
    <w:rsid w:val="0051472F"/>
    <w:rsid w:val="00514742"/>
    <w:rsid w:val="005147EA"/>
    <w:rsid w:val="005147FD"/>
    <w:rsid w:val="00514854"/>
    <w:rsid w:val="0051485F"/>
    <w:rsid w:val="00514915"/>
    <w:rsid w:val="00514920"/>
    <w:rsid w:val="00514969"/>
    <w:rsid w:val="00514984"/>
    <w:rsid w:val="005149B7"/>
    <w:rsid w:val="005149DC"/>
    <w:rsid w:val="00514A1D"/>
    <w:rsid w:val="00514A43"/>
    <w:rsid w:val="00514A60"/>
    <w:rsid w:val="00514A94"/>
    <w:rsid w:val="00514ADC"/>
    <w:rsid w:val="00514B4B"/>
    <w:rsid w:val="00514B51"/>
    <w:rsid w:val="00514B56"/>
    <w:rsid w:val="00514BEF"/>
    <w:rsid w:val="00514C39"/>
    <w:rsid w:val="00514C86"/>
    <w:rsid w:val="00514D11"/>
    <w:rsid w:val="00514D89"/>
    <w:rsid w:val="00514DA7"/>
    <w:rsid w:val="00514DE4"/>
    <w:rsid w:val="00514DF5"/>
    <w:rsid w:val="00514E79"/>
    <w:rsid w:val="00514E91"/>
    <w:rsid w:val="00514E9C"/>
    <w:rsid w:val="00514EC3"/>
    <w:rsid w:val="00514EF6"/>
    <w:rsid w:val="00514F2A"/>
    <w:rsid w:val="00514FDE"/>
    <w:rsid w:val="00515034"/>
    <w:rsid w:val="005150D1"/>
    <w:rsid w:val="005150DC"/>
    <w:rsid w:val="00515172"/>
    <w:rsid w:val="0051521A"/>
    <w:rsid w:val="00515230"/>
    <w:rsid w:val="005152A8"/>
    <w:rsid w:val="005152AB"/>
    <w:rsid w:val="00515337"/>
    <w:rsid w:val="00515359"/>
    <w:rsid w:val="0051537E"/>
    <w:rsid w:val="00515398"/>
    <w:rsid w:val="005153AB"/>
    <w:rsid w:val="005153AF"/>
    <w:rsid w:val="005153C8"/>
    <w:rsid w:val="005153F2"/>
    <w:rsid w:val="00515416"/>
    <w:rsid w:val="00515473"/>
    <w:rsid w:val="00515502"/>
    <w:rsid w:val="00515513"/>
    <w:rsid w:val="005155BF"/>
    <w:rsid w:val="005155DE"/>
    <w:rsid w:val="005155EE"/>
    <w:rsid w:val="00515625"/>
    <w:rsid w:val="00515653"/>
    <w:rsid w:val="0051565D"/>
    <w:rsid w:val="0051567A"/>
    <w:rsid w:val="005156F6"/>
    <w:rsid w:val="00515729"/>
    <w:rsid w:val="005157EC"/>
    <w:rsid w:val="00515836"/>
    <w:rsid w:val="005158DA"/>
    <w:rsid w:val="005158E4"/>
    <w:rsid w:val="005158F5"/>
    <w:rsid w:val="0051593F"/>
    <w:rsid w:val="00515968"/>
    <w:rsid w:val="00515990"/>
    <w:rsid w:val="005159D0"/>
    <w:rsid w:val="00515A2F"/>
    <w:rsid w:val="00515A46"/>
    <w:rsid w:val="00515A4B"/>
    <w:rsid w:val="00515A81"/>
    <w:rsid w:val="00515A8B"/>
    <w:rsid w:val="00515B0F"/>
    <w:rsid w:val="00515B25"/>
    <w:rsid w:val="00515B37"/>
    <w:rsid w:val="00515B5F"/>
    <w:rsid w:val="00515B78"/>
    <w:rsid w:val="00515B88"/>
    <w:rsid w:val="00515B94"/>
    <w:rsid w:val="00515BC5"/>
    <w:rsid w:val="00515C00"/>
    <w:rsid w:val="00515C1D"/>
    <w:rsid w:val="00515C4F"/>
    <w:rsid w:val="00515D2C"/>
    <w:rsid w:val="00515D78"/>
    <w:rsid w:val="00515D8B"/>
    <w:rsid w:val="00515DED"/>
    <w:rsid w:val="00515E0F"/>
    <w:rsid w:val="00515E92"/>
    <w:rsid w:val="00515F6F"/>
    <w:rsid w:val="00515F8E"/>
    <w:rsid w:val="00515F91"/>
    <w:rsid w:val="00515FBB"/>
    <w:rsid w:val="00515FF2"/>
    <w:rsid w:val="00516007"/>
    <w:rsid w:val="00516042"/>
    <w:rsid w:val="0051604A"/>
    <w:rsid w:val="00516088"/>
    <w:rsid w:val="00516106"/>
    <w:rsid w:val="00516116"/>
    <w:rsid w:val="005161AE"/>
    <w:rsid w:val="005161B4"/>
    <w:rsid w:val="0051627D"/>
    <w:rsid w:val="0051632A"/>
    <w:rsid w:val="0051638E"/>
    <w:rsid w:val="005163A3"/>
    <w:rsid w:val="005163E6"/>
    <w:rsid w:val="00516443"/>
    <w:rsid w:val="00516454"/>
    <w:rsid w:val="00516494"/>
    <w:rsid w:val="005164AD"/>
    <w:rsid w:val="005164DF"/>
    <w:rsid w:val="005164E0"/>
    <w:rsid w:val="005164FE"/>
    <w:rsid w:val="00516532"/>
    <w:rsid w:val="00516540"/>
    <w:rsid w:val="005165BE"/>
    <w:rsid w:val="005165C8"/>
    <w:rsid w:val="00516601"/>
    <w:rsid w:val="00516616"/>
    <w:rsid w:val="0051668F"/>
    <w:rsid w:val="00516722"/>
    <w:rsid w:val="0051672E"/>
    <w:rsid w:val="00516771"/>
    <w:rsid w:val="005167DD"/>
    <w:rsid w:val="0051689B"/>
    <w:rsid w:val="005168EA"/>
    <w:rsid w:val="00516928"/>
    <w:rsid w:val="0051693C"/>
    <w:rsid w:val="00516948"/>
    <w:rsid w:val="00516974"/>
    <w:rsid w:val="005169F0"/>
    <w:rsid w:val="005169FC"/>
    <w:rsid w:val="00516A1A"/>
    <w:rsid w:val="00516AF7"/>
    <w:rsid w:val="00516B36"/>
    <w:rsid w:val="00516B78"/>
    <w:rsid w:val="00516B8D"/>
    <w:rsid w:val="00516BCB"/>
    <w:rsid w:val="00516BDD"/>
    <w:rsid w:val="00516C25"/>
    <w:rsid w:val="00516C27"/>
    <w:rsid w:val="00516CA5"/>
    <w:rsid w:val="00516CDA"/>
    <w:rsid w:val="00516D04"/>
    <w:rsid w:val="00516D45"/>
    <w:rsid w:val="00516D57"/>
    <w:rsid w:val="00516D79"/>
    <w:rsid w:val="00516D8A"/>
    <w:rsid w:val="00516DA5"/>
    <w:rsid w:val="00516DB0"/>
    <w:rsid w:val="00516DFC"/>
    <w:rsid w:val="00516E55"/>
    <w:rsid w:val="00516EB5"/>
    <w:rsid w:val="00516ED0"/>
    <w:rsid w:val="00516F33"/>
    <w:rsid w:val="00516FAA"/>
    <w:rsid w:val="00516FCA"/>
    <w:rsid w:val="00516FCF"/>
    <w:rsid w:val="00516FEC"/>
    <w:rsid w:val="00517000"/>
    <w:rsid w:val="005170B3"/>
    <w:rsid w:val="005170D0"/>
    <w:rsid w:val="005170D9"/>
    <w:rsid w:val="005170F2"/>
    <w:rsid w:val="005170F7"/>
    <w:rsid w:val="00517115"/>
    <w:rsid w:val="00517153"/>
    <w:rsid w:val="005171AC"/>
    <w:rsid w:val="005171B7"/>
    <w:rsid w:val="005171E0"/>
    <w:rsid w:val="005171E5"/>
    <w:rsid w:val="005171F4"/>
    <w:rsid w:val="005171FC"/>
    <w:rsid w:val="0051722D"/>
    <w:rsid w:val="00517271"/>
    <w:rsid w:val="005172A9"/>
    <w:rsid w:val="005172F4"/>
    <w:rsid w:val="00517342"/>
    <w:rsid w:val="00517358"/>
    <w:rsid w:val="0051739C"/>
    <w:rsid w:val="005173D1"/>
    <w:rsid w:val="0051740F"/>
    <w:rsid w:val="0051747B"/>
    <w:rsid w:val="005174C3"/>
    <w:rsid w:val="00517501"/>
    <w:rsid w:val="00517540"/>
    <w:rsid w:val="0051754D"/>
    <w:rsid w:val="005175E6"/>
    <w:rsid w:val="00517665"/>
    <w:rsid w:val="0051768B"/>
    <w:rsid w:val="005176B0"/>
    <w:rsid w:val="005176EE"/>
    <w:rsid w:val="00517779"/>
    <w:rsid w:val="005177C5"/>
    <w:rsid w:val="005177E2"/>
    <w:rsid w:val="0051786D"/>
    <w:rsid w:val="0051793C"/>
    <w:rsid w:val="00517989"/>
    <w:rsid w:val="0051799F"/>
    <w:rsid w:val="005179BC"/>
    <w:rsid w:val="005179FE"/>
    <w:rsid w:val="005179FF"/>
    <w:rsid w:val="00517A10"/>
    <w:rsid w:val="00517A2A"/>
    <w:rsid w:val="00517AB7"/>
    <w:rsid w:val="00517AD6"/>
    <w:rsid w:val="00517AF4"/>
    <w:rsid w:val="00517B0A"/>
    <w:rsid w:val="00517B24"/>
    <w:rsid w:val="00517B67"/>
    <w:rsid w:val="00517B6D"/>
    <w:rsid w:val="00517B9A"/>
    <w:rsid w:val="00517BA8"/>
    <w:rsid w:val="00517BB3"/>
    <w:rsid w:val="00517BCF"/>
    <w:rsid w:val="00517C0F"/>
    <w:rsid w:val="00517C11"/>
    <w:rsid w:val="00517C4D"/>
    <w:rsid w:val="00517C6A"/>
    <w:rsid w:val="00517C79"/>
    <w:rsid w:val="00517D2C"/>
    <w:rsid w:val="00517D49"/>
    <w:rsid w:val="00517D71"/>
    <w:rsid w:val="00517DB9"/>
    <w:rsid w:val="00517DDF"/>
    <w:rsid w:val="00517E1E"/>
    <w:rsid w:val="00517E22"/>
    <w:rsid w:val="00517E55"/>
    <w:rsid w:val="00517E7A"/>
    <w:rsid w:val="00517E9D"/>
    <w:rsid w:val="00517F06"/>
    <w:rsid w:val="00517F27"/>
    <w:rsid w:val="00517FD9"/>
    <w:rsid w:val="00517FDE"/>
    <w:rsid w:val="0052000B"/>
    <w:rsid w:val="00520016"/>
    <w:rsid w:val="0052004D"/>
    <w:rsid w:val="005200A8"/>
    <w:rsid w:val="005200AE"/>
    <w:rsid w:val="005200B2"/>
    <w:rsid w:val="005200C3"/>
    <w:rsid w:val="0052011B"/>
    <w:rsid w:val="00520134"/>
    <w:rsid w:val="0052013B"/>
    <w:rsid w:val="0052014A"/>
    <w:rsid w:val="0052015B"/>
    <w:rsid w:val="00520191"/>
    <w:rsid w:val="005201D5"/>
    <w:rsid w:val="005201DF"/>
    <w:rsid w:val="0052021A"/>
    <w:rsid w:val="00520248"/>
    <w:rsid w:val="0052025B"/>
    <w:rsid w:val="0052025D"/>
    <w:rsid w:val="005202A8"/>
    <w:rsid w:val="005202AC"/>
    <w:rsid w:val="00520322"/>
    <w:rsid w:val="00520332"/>
    <w:rsid w:val="00520342"/>
    <w:rsid w:val="00520387"/>
    <w:rsid w:val="00520461"/>
    <w:rsid w:val="005204ED"/>
    <w:rsid w:val="00520511"/>
    <w:rsid w:val="0052055A"/>
    <w:rsid w:val="005205A4"/>
    <w:rsid w:val="005205A6"/>
    <w:rsid w:val="005205EF"/>
    <w:rsid w:val="005205F7"/>
    <w:rsid w:val="00520637"/>
    <w:rsid w:val="00520685"/>
    <w:rsid w:val="00520695"/>
    <w:rsid w:val="005206A9"/>
    <w:rsid w:val="005206C5"/>
    <w:rsid w:val="005206E0"/>
    <w:rsid w:val="0052072C"/>
    <w:rsid w:val="00520748"/>
    <w:rsid w:val="00520777"/>
    <w:rsid w:val="005207C5"/>
    <w:rsid w:val="005207D9"/>
    <w:rsid w:val="005207E2"/>
    <w:rsid w:val="00520809"/>
    <w:rsid w:val="00520820"/>
    <w:rsid w:val="00520848"/>
    <w:rsid w:val="00520885"/>
    <w:rsid w:val="00520897"/>
    <w:rsid w:val="005208B1"/>
    <w:rsid w:val="005208B5"/>
    <w:rsid w:val="005208E8"/>
    <w:rsid w:val="005209A8"/>
    <w:rsid w:val="005209C0"/>
    <w:rsid w:val="00520A16"/>
    <w:rsid w:val="00520ACA"/>
    <w:rsid w:val="00520ADB"/>
    <w:rsid w:val="00520AE2"/>
    <w:rsid w:val="00520AE6"/>
    <w:rsid w:val="00520AF4"/>
    <w:rsid w:val="00520B46"/>
    <w:rsid w:val="00520B59"/>
    <w:rsid w:val="00520B62"/>
    <w:rsid w:val="00520BA2"/>
    <w:rsid w:val="00520BF8"/>
    <w:rsid w:val="00520C1B"/>
    <w:rsid w:val="00520C32"/>
    <w:rsid w:val="00520C90"/>
    <w:rsid w:val="00520C9C"/>
    <w:rsid w:val="00520CA9"/>
    <w:rsid w:val="00520CFC"/>
    <w:rsid w:val="00520D38"/>
    <w:rsid w:val="00520D7E"/>
    <w:rsid w:val="00520D9D"/>
    <w:rsid w:val="00520DA8"/>
    <w:rsid w:val="00520DAF"/>
    <w:rsid w:val="00520DB5"/>
    <w:rsid w:val="00520DFD"/>
    <w:rsid w:val="00520E1F"/>
    <w:rsid w:val="00520E8C"/>
    <w:rsid w:val="00520E91"/>
    <w:rsid w:val="00520EDB"/>
    <w:rsid w:val="00520EE3"/>
    <w:rsid w:val="00520FA3"/>
    <w:rsid w:val="0052100F"/>
    <w:rsid w:val="0052101E"/>
    <w:rsid w:val="00521027"/>
    <w:rsid w:val="005210A1"/>
    <w:rsid w:val="005210D7"/>
    <w:rsid w:val="0052119E"/>
    <w:rsid w:val="005211F0"/>
    <w:rsid w:val="0052123B"/>
    <w:rsid w:val="0052123D"/>
    <w:rsid w:val="00521241"/>
    <w:rsid w:val="00521267"/>
    <w:rsid w:val="0052126A"/>
    <w:rsid w:val="00521274"/>
    <w:rsid w:val="005212B2"/>
    <w:rsid w:val="005212BF"/>
    <w:rsid w:val="0052145E"/>
    <w:rsid w:val="00521475"/>
    <w:rsid w:val="00521510"/>
    <w:rsid w:val="0052154C"/>
    <w:rsid w:val="005215D2"/>
    <w:rsid w:val="00521677"/>
    <w:rsid w:val="005216A3"/>
    <w:rsid w:val="00521779"/>
    <w:rsid w:val="00521799"/>
    <w:rsid w:val="0052179F"/>
    <w:rsid w:val="00521818"/>
    <w:rsid w:val="00521850"/>
    <w:rsid w:val="0052185D"/>
    <w:rsid w:val="005218AF"/>
    <w:rsid w:val="005218C8"/>
    <w:rsid w:val="00521902"/>
    <w:rsid w:val="00521999"/>
    <w:rsid w:val="00521A16"/>
    <w:rsid w:val="00521AC2"/>
    <w:rsid w:val="00521B69"/>
    <w:rsid w:val="00521C9E"/>
    <w:rsid w:val="00521CE8"/>
    <w:rsid w:val="00521D0E"/>
    <w:rsid w:val="00521D10"/>
    <w:rsid w:val="00521D45"/>
    <w:rsid w:val="00521D84"/>
    <w:rsid w:val="00521DD2"/>
    <w:rsid w:val="00521DFA"/>
    <w:rsid w:val="00521E10"/>
    <w:rsid w:val="00521E2D"/>
    <w:rsid w:val="00521E90"/>
    <w:rsid w:val="00521EE9"/>
    <w:rsid w:val="00521F4F"/>
    <w:rsid w:val="00521F5F"/>
    <w:rsid w:val="00521FFA"/>
    <w:rsid w:val="00522050"/>
    <w:rsid w:val="005220DA"/>
    <w:rsid w:val="00522109"/>
    <w:rsid w:val="0052210C"/>
    <w:rsid w:val="0052213A"/>
    <w:rsid w:val="00522145"/>
    <w:rsid w:val="0052214D"/>
    <w:rsid w:val="00522150"/>
    <w:rsid w:val="0052215A"/>
    <w:rsid w:val="0052218F"/>
    <w:rsid w:val="0052228E"/>
    <w:rsid w:val="005222C2"/>
    <w:rsid w:val="005222DA"/>
    <w:rsid w:val="005222ED"/>
    <w:rsid w:val="005222F1"/>
    <w:rsid w:val="00522327"/>
    <w:rsid w:val="0052236E"/>
    <w:rsid w:val="00522374"/>
    <w:rsid w:val="0052237A"/>
    <w:rsid w:val="0052239D"/>
    <w:rsid w:val="005223EC"/>
    <w:rsid w:val="0052241A"/>
    <w:rsid w:val="00522478"/>
    <w:rsid w:val="0052248C"/>
    <w:rsid w:val="005224E0"/>
    <w:rsid w:val="00522536"/>
    <w:rsid w:val="0052253F"/>
    <w:rsid w:val="00522551"/>
    <w:rsid w:val="00522557"/>
    <w:rsid w:val="0052259C"/>
    <w:rsid w:val="005225AA"/>
    <w:rsid w:val="005225BA"/>
    <w:rsid w:val="00522645"/>
    <w:rsid w:val="005226DE"/>
    <w:rsid w:val="005227BC"/>
    <w:rsid w:val="005227DE"/>
    <w:rsid w:val="00522845"/>
    <w:rsid w:val="00522852"/>
    <w:rsid w:val="0052285F"/>
    <w:rsid w:val="005228D1"/>
    <w:rsid w:val="005228DB"/>
    <w:rsid w:val="005228FE"/>
    <w:rsid w:val="00522920"/>
    <w:rsid w:val="00522923"/>
    <w:rsid w:val="005229AC"/>
    <w:rsid w:val="00522A17"/>
    <w:rsid w:val="00522ACB"/>
    <w:rsid w:val="00522B09"/>
    <w:rsid w:val="00522B8C"/>
    <w:rsid w:val="00522BBD"/>
    <w:rsid w:val="00522BF3"/>
    <w:rsid w:val="00522C4C"/>
    <w:rsid w:val="00522D46"/>
    <w:rsid w:val="00522D5C"/>
    <w:rsid w:val="00522DD8"/>
    <w:rsid w:val="00522DEE"/>
    <w:rsid w:val="00522E45"/>
    <w:rsid w:val="00522E88"/>
    <w:rsid w:val="00522EB2"/>
    <w:rsid w:val="00522EBD"/>
    <w:rsid w:val="00522EC9"/>
    <w:rsid w:val="00522F00"/>
    <w:rsid w:val="00522F19"/>
    <w:rsid w:val="00522F25"/>
    <w:rsid w:val="00522F31"/>
    <w:rsid w:val="00522F5A"/>
    <w:rsid w:val="0052303C"/>
    <w:rsid w:val="00523066"/>
    <w:rsid w:val="0052308A"/>
    <w:rsid w:val="005230C1"/>
    <w:rsid w:val="005230CB"/>
    <w:rsid w:val="005230F0"/>
    <w:rsid w:val="005230F7"/>
    <w:rsid w:val="0052319D"/>
    <w:rsid w:val="005231F6"/>
    <w:rsid w:val="0052326B"/>
    <w:rsid w:val="0052329C"/>
    <w:rsid w:val="005232C7"/>
    <w:rsid w:val="0052336F"/>
    <w:rsid w:val="005233A6"/>
    <w:rsid w:val="005233BC"/>
    <w:rsid w:val="005233D0"/>
    <w:rsid w:val="00523464"/>
    <w:rsid w:val="0052346B"/>
    <w:rsid w:val="00523475"/>
    <w:rsid w:val="005234C4"/>
    <w:rsid w:val="005234E3"/>
    <w:rsid w:val="005234E4"/>
    <w:rsid w:val="0052354A"/>
    <w:rsid w:val="00523569"/>
    <w:rsid w:val="0052356A"/>
    <w:rsid w:val="005235DC"/>
    <w:rsid w:val="00523649"/>
    <w:rsid w:val="0052371A"/>
    <w:rsid w:val="0052375C"/>
    <w:rsid w:val="0052376E"/>
    <w:rsid w:val="005237B3"/>
    <w:rsid w:val="005237B6"/>
    <w:rsid w:val="005237C6"/>
    <w:rsid w:val="005237DD"/>
    <w:rsid w:val="00523826"/>
    <w:rsid w:val="00523849"/>
    <w:rsid w:val="00523856"/>
    <w:rsid w:val="00523896"/>
    <w:rsid w:val="005238A6"/>
    <w:rsid w:val="005238C6"/>
    <w:rsid w:val="005238D7"/>
    <w:rsid w:val="005238DB"/>
    <w:rsid w:val="00523904"/>
    <w:rsid w:val="00523912"/>
    <w:rsid w:val="0052396E"/>
    <w:rsid w:val="0052399D"/>
    <w:rsid w:val="005239DE"/>
    <w:rsid w:val="00523A03"/>
    <w:rsid w:val="00523A1C"/>
    <w:rsid w:val="00523A2F"/>
    <w:rsid w:val="00523A75"/>
    <w:rsid w:val="00523AA3"/>
    <w:rsid w:val="00523AC1"/>
    <w:rsid w:val="00523B96"/>
    <w:rsid w:val="00523BA0"/>
    <w:rsid w:val="00523BB1"/>
    <w:rsid w:val="00523BD6"/>
    <w:rsid w:val="00523C14"/>
    <w:rsid w:val="00523CC0"/>
    <w:rsid w:val="00523D20"/>
    <w:rsid w:val="00523D2E"/>
    <w:rsid w:val="00523D89"/>
    <w:rsid w:val="00523D9B"/>
    <w:rsid w:val="00523DBF"/>
    <w:rsid w:val="00523E25"/>
    <w:rsid w:val="00523E5E"/>
    <w:rsid w:val="00523E9A"/>
    <w:rsid w:val="00523ED8"/>
    <w:rsid w:val="00523F0E"/>
    <w:rsid w:val="00524011"/>
    <w:rsid w:val="00524018"/>
    <w:rsid w:val="005240E3"/>
    <w:rsid w:val="005240F8"/>
    <w:rsid w:val="00524100"/>
    <w:rsid w:val="0052414F"/>
    <w:rsid w:val="0052417F"/>
    <w:rsid w:val="00524215"/>
    <w:rsid w:val="00524240"/>
    <w:rsid w:val="00524256"/>
    <w:rsid w:val="00524263"/>
    <w:rsid w:val="00524299"/>
    <w:rsid w:val="005242DA"/>
    <w:rsid w:val="005242DB"/>
    <w:rsid w:val="005242F0"/>
    <w:rsid w:val="0052434F"/>
    <w:rsid w:val="005243A7"/>
    <w:rsid w:val="005243E7"/>
    <w:rsid w:val="005244E8"/>
    <w:rsid w:val="00524547"/>
    <w:rsid w:val="00524550"/>
    <w:rsid w:val="00524581"/>
    <w:rsid w:val="005245CA"/>
    <w:rsid w:val="0052461F"/>
    <w:rsid w:val="00524628"/>
    <w:rsid w:val="00524681"/>
    <w:rsid w:val="005246AE"/>
    <w:rsid w:val="005246C2"/>
    <w:rsid w:val="005246CC"/>
    <w:rsid w:val="00524712"/>
    <w:rsid w:val="00524722"/>
    <w:rsid w:val="0052473C"/>
    <w:rsid w:val="00524774"/>
    <w:rsid w:val="00524782"/>
    <w:rsid w:val="005247B3"/>
    <w:rsid w:val="005247C8"/>
    <w:rsid w:val="005247F4"/>
    <w:rsid w:val="0052483D"/>
    <w:rsid w:val="0052486D"/>
    <w:rsid w:val="00524896"/>
    <w:rsid w:val="005248DB"/>
    <w:rsid w:val="00524914"/>
    <w:rsid w:val="00524987"/>
    <w:rsid w:val="0052498D"/>
    <w:rsid w:val="005249DC"/>
    <w:rsid w:val="00524A9E"/>
    <w:rsid w:val="00524AE1"/>
    <w:rsid w:val="00524B2B"/>
    <w:rsid w:val="00524B68"/>
    <w:rsid w:val="00524BA3"/>
    <w:rsid w:val="00524BC2"/>
    <w:rsid w:val="00524BEE"/>
    <w:rsid w:val="00524C37"/>
    <w:rsid w:val="00524C4C"/>
    <w:rsid w:val="00524CEF"/>
    <w:rsid w:val="00524CFE"/>
    <w:rsid w:val="00524D89"/>
    <w:rsid w:val="00524DBF"/>
    <w:rsid w:val="00524DCD"/>
    <w:rsid w:val="00524DCF"/>
    <w:rsid w:val="00524E24"/>
    <w:rsid w:val="00524E3C"/>
    <w:rsid w:val="00524EC8"/>
    <w:rsid w:val="00524F11"/>
    <w:rsid w:val="00524F24"/>
    <w:rsid w:val="00524F3B"/>
    <w:rsid w:val="00524F48"/>
    <w:rsid w:val="00524FB1"/>
    <w:rsid w:val="005250A4"/>
    <w:rsid w:val="005250CA"/>
    <w:rsid w:val="00525113"/>
    <w:rsid w:val="00525141"/>
    <w:rsid w:val="00525160"/>
    <w:rsid w:val="00525162"/>
    <w:rsid w:val="0052516D"/>
    <w:rsid w:val="00525192"/>
    <w:rsid w:val="005251AE"/>
    <w:rsid w:val="00525217"/>
    <w:rsid w:val="0052522C"/>
    <w:rsid w:val="005252C7"/>
    <w:rsid w:val="00525310"/>
    <w:rsid w:val="0052531A"/>
    <w:rsid w:val="00525325"/>
    <w:rsid w:val="0052537B"/>
    <w:rsid w:val="00525569"/>
    <w:rsid w:val="0052557B"/>
    <w:rsid w:val="005255CB"/>
    <w:rsid w:val="00525610"/>
    <w:rsid w:val="00525621"/>
    <w:rsid w:val="0052565C"/>
    <w:rsid w:val="005256E2"/>
    <w:rsid w:val="005256F2"/>
    <w:rsid w:val="00525773"/>
    <w:rsid w:val="005257C4"/>
    <w:rsid w:val="0052588C"/>
    <w:rsid w:val="005258C0"/>
    <w:rsid w:val="005258C1"/>
    <w:rsid w:val="005258F4"/>
    <w:rsid w:val="0052590C"/>
    <w:rsid w:val="00525995"/>
    <w:rsid w:val="005259BC"/>
    <w:rsid w:val="005259CD"/>
    <w:rsid w:val="005259ED"/>
    <w:rsid w:val="00525A4F"/>
    <w:rsid w:val="00525AC0"/>
    <w:rsid w:val="00525ACD"/>
    <w:rsid w:val="00525AFC"/>
    <w:rsid w:val="00525B31"/>
    <w:rsid w:val="00525B77"/>
    <w:rsid w:val="00525B98"/>
    <w:rsid w:val="00525C1C"/>
    <w:rsid w:val="00525C52"/>
    <w:rsid w:val="00525C88"/>
    <w:rsid w:val="00525CC0"/>
    <w:rsid w:val="00525D0C"/>
    <w:rsid w:val="00525D2E"/>
    <w:rsid w:val="00525D5D"/>
    <w:rsid w:val="00525DCC"/>
    <w:rsid w:val="00525DCE"/>
    <w:rsid w:val="00525EC7"/>
    <w:rsid w:val="00525ECD"/>
    <w:rsid w:val="00525EFC"/>
    <w:rsid w:val="00525F03"/>
    <w:rsid w:val="00525F06"/>
    <w:rsid w:val="00525F13"/>
    <w:rsid w:val="00525F14"/>
    <w:rsid w:val="00525F73"/>
    <w:rsid w:val="00525FC6"/>
    <w:rsid w:val="005260A3"/>
    <w:rsid w:val="005260E3"/>
    <w:rsid w:val="005260F9"/>
    <w:rsid w:val="00526164"/>
    <w:rsid w:val="0052617F"/>
    <w:rsid w:val="00526199"/>
    <w:rsid w:val="005261C1"/>
    <w:rsid w:val="0052632F"/>
    <w:rsid w:val="00526339"/>
    <w:rsid w:val="00526357"/>
    <w:rsid w:val="00526361"/>
    <w:rsid w:val="00526391"/>
    <w:rsid w:val="005263D9"/>
    <w:rsid w:val="005263E3"/>
    <w:rsid w:val="005263E6"/>
    <w:rsid w:val="00526429"/>
    <w:rsid w:val="00526471"/>
    <w:rsid w:val="00526481"/>
    <w:rsid w:val="005264A1"/>
    <w:rsid w:val="005264A7"/>
    <w:rsid w:val="005264BF"/>
    <w:rsid w:val="005264CF"/>
    <w:rsid w:val="005264E2"/>
    <w:rsid w:val="00526502"/>
    <w:rsid w:val="0052655A"/>
    <w:rsid w:val="00526576"/>
    <w:rsid w:val="00526605"/>
    <w:rsid w:val="00526640"/>
    <w:rsid w:val="00526678"/>
    <w:rsid w:val="00526699"/>
    <w:rsid w:val="00526750"/>
    <w:rsid w:val="00526752"/>
    <w:rsid w:val="00526766"/>
    <w:rsid w:val="0052679C"/>
    <w:rsid w:val="005267A7"/>
    <w:rsid w:val="005267B7"/>
    <w:rsid w:val="0052680D"/>
    <w:rsid w:val="00526842"/>
    <w:rsid w:val="00526889"/>
    <w:rsid w:val="005268DE"/>
    <w:rsid w:val="005268DF"/>
    <w:rsid w:val="00526947"/>
    <w:rsid w:val="00526992"/>
    <w:rsid w:val="00526A17"/>
    <w:rsid w:val="00526A66"/>
    <w:rsid w:val="00526A88"/>
    <w:rsid w:val="00526A89"/>
    <w:rsid w:val="00526AAF"/>
    <w:rsid w:val="00526AB4"/>
    <w:rsid w:val="00526AC3"/>
    <w:rsid w:val="00526AC7"/>
    <w:rsid w:val="00526ACA"/>
    <w:rsid w:val="00526AD1"/>
    <w:rsid w:val="00526AD9"/>
    <w:rsid w:val="00526B0B"/>
    <w:rsid w:val="00526BCB"/>
    <w:rsid w:val="00526C1E"/>
    <w:rsid w:val="00526C5D"/>
    <w:rsid w:val="00526C81"/>
    <w:rsid w:val="00526C89"/>
    <w:rsid w:val="00526CC6"/>
    <w:rsid w:val="00526D5F"/>
    <w:rsid w:val="00526D88"/>
    <w:rsid w:val="00526DC8"/>
    <w:rsid w:val="00526EC4"/>
    <w:rsid w:val="00526EC9"/>
    <w:rsid w:val="00526ED6"/>
    <w:rsid w:val="00526F0D"/>
    <w:rsid w:val="00526F58"/>
    <w:rsid w:val="0052703B"/>
    <w:rsid w:val="00527059"/>
    <w:rsid w:val="005270BF"/>
    <w:rsid w:val="00527187"/>
    <w:rsid w:val="0052722F"/>
    <w:rsid w:val="0052723A"/>
    <w:rsid w:val="00527245"/>
    <w:rsid w:val="0052726D"/>
    <w:rsid w:val="0052728B"/>
    <w:rsid w:val="00527290"/>
    <w:rsid w:val="005272CD"/>
    <w:rsid w:val="0052732D"/>
    <w:rsid w:val="00527360"/>
    <w:rsid w:val="0052737B"/>
    <w:rsid w:val="005273BF"/>
    <w:rsid w:val="00527442"/>
    <w:rsid w:val="00527487"/>
    <w:rsid w:val="00527493"/>
    <w:rsid w:val="005274A2"/>
    <w:rsid w:val="005274C9"/>
    <w:rsid w:val="00527502"/>
    <w:rsid w:val="00527555"/>
    <w:rsid w:val="005275F1"/>
    <w:rsid w:val="00527601"/>
    <w:rsid w:val="00527620"/>
    <w:rsid w:val="00527721"/>
    <w:rsid w:val="00527730"/>
    <w:rsid w:val="00527753"/>
    <w:rsid w:val="00527899"/>
    <w:rsid w:val="005278E5"/>
    <w:rsid w:val="0052794D"/>
    <w:rsid w:val="0052794F"/>
    <w:rsid w:val="005279A5"/>
    <w:rsid w:val="005279BE"/>
    <w:rsid w:val="005279ED"/>
    <w:rsid w:val="00527A34"/>
    <w:rsid w:val="00527A4B"/>
    <w:rsid w:val="00527A7E"/>
    <w:rsid w:val="00527AC0"/>
    <w:rsid w:val="00527ADD"/>
    <w:rsid w:val="00527B4E"/>
    <w:rsid w:val="00527B6A"/>
    <w:rsid w:val="00527B9B"/>
    <w:rsid w:val="00527BDB"/>
    <w:rsid w:val="00527C0E"/>
    <w:rsid w:val="00527C20"/>
    <w:rsid w:val="00527CCA"/>
    <w:rsid w:val="00527D0A"/>
    <w:rsid w:val="00527D1E"/>
    <w:rsid w:val="00527D4D"/>
    <w:rsid w:val="00527D53"/>
    <w:rsid w:val="00527DA4"/>
    <w:rsid w:val="00527DAA"/>
    <w:rsid w:val="00527DE8"/>
    <w:rsid w:val="00527E2B"/>
    <w:rsid w:val="00527E7F"/>
    <w:rsid w:val="00527EAB"/>
    <w:rsid w:val="00527F6E"/>
    <w:rsid w:val="00527F84"/>
    <w:rsid w:val="00527FB3"/>
    <w:rsid w:val="00527FB8"/>
    <w:rsid w:val="0053000C"/>
    <w:rsid w:val="0053001C"/>
    <w:rsid w:val="00530056"/>
    <w:rsid w:val="005300DF"/>
    <w:rsid w:val="005300F3"/>
    <w:rsid w:val="0053011E"/>
    <w:rsid w:val="00530140"/>
    <w:rsid w:val="0053017C"/>
    <w:rsid w:val="00530186"/>
    <w:rsid w:val="00530198"/>
    <w:rsid w:val="005301B2"/>
    <w:rsid w:val="005301CE"/>
    <w:rsid w:val="0053021B"/>
    <w:rsid w:val="005302AE"/>
    <w:rsid w:val="005302E8"/>
    <w:rsid w:val="00530310"/>
    <w:rsid w:val="00530356"/>
    <w:rsid w:val="0053038E"/>
    <w:rsid w:val="005303C3"/>
    <w:rsid w:val="005303FA"/>
    <w:rsid w:val="005303FC"/>
    <w:rsid w:val="00530490"/>
    <w:rsid w:val="005304A7"/>
    <w:rsid w:val="005304B8"/>
    <w:rsid w:val="005304D9"/>
    <w:rsid w:val="00530551"/>
    <w:rsid w:val="0053062B"/>
    <w:rsid w:val="00530637"/>
    <w:rsid w:val="00530654"/>
    <w:rsid w:val="00530657"/>
    <w:rsid w:val="00530658"/>
    <w:rsid w:val="005306CC"/>
    <w:rsid w:val="005306D2"/>
    <w:rsid w:val="005306D6"/>
    <w:rsid w:val="005306EA"/>
    <w:rsid w:val="005306FD"/>
    <w:rsid w:val="005306FF"/>
    <w:rsid w:val="0053074F"/>
    <w:rsid w:val="00530753"/>
    <w:rsid w:val="00530782"/>
    <w:rsid w:val="005307A6"/>
    <w:rsid w:val="005307B0"/>
    <w:rsid w:val="0053080F"/>
    <w:rsid w:val="00530827"/>
    <w:rsid w:val="0053082A"/>
    <w:rsid w:val="00530831"/>
    <w:rsid w:val="00530836"/>
    <w:rsid w:val="00530855"/>
    <w:rsid w:val="00530865"/>
    <w:rsid w:val="00530881"/>
    <w:rsid w:val="005308AD"/>
    <w:rsid w:val="005308BC"/>
    <w:rsid w:val="00530914"/>
    <w:rsid w:val="00530918"/>
    <w:rsid w:val="0053091E"/>
    <w:rsid w:val="00530971"/>
    <w:rsid w:val="0053097E"/>
    <w:rsid w:val="005309B7"/>
    <w:rsid w:val="005309BD"/>
    <w:rsid w:val="005309C0"/>
    <w:rsid w:val="005309C8"/>
    <w:rsid w:val="00530A21"/>
    <w:rsid w:val="00530AA7"/>
    <w:rsid w:val="00530ABC"/>
    <w:rsid w:val="00530B10"/>
    <w:rsid w:val="00530B4C"/>
    <w:rsid w:val="00530BFB"/>
    <w:rsid w:val="00530BFF"/>
    <w:rsid w:val="00530C20"/>
    <w:rsid w:val="00530C49"/>
    <w:rsid w:val="00530CC9"/>
    <w:rsid w:val="00530CD6"/>
    <w:rsid w:val="00530CDA"/>
    <w:rsid w:val="00530CE5"/>
    <w:rsid w:val="00530D3B"/>
    <w:rsid w:val="00530D46"/>
    <w:rsid w:val="00530D76"/>
    <w:rsid w:val="00530DC5"/>
    <w:rsid w:val="00530DD6"/>
    <w:rsid w:val="00530E06"/>
    <w:rsid w:val="00530E42"/>
    <w:rsid w:val="00530E7B"/>
    <w:rsid w:val="00530EAD"/>
    <w:rsid w:val="00530EE2"/>
    <w:rsid w:val="00530F6F"/>
    <w:rsid w:val="00530F82"/>
    <w:rsid w:val="00530FA7"/>
    <w:rsid w:val="00530FB9"/>
    <w:rsid w:val="00531014"/>
    <w:rsid w:val="0053102E"/>
    <w:rsid w:val="00531062"/>
    <w:rsid w:val="0053107F"/>
    <w:rsid w:val="005310B5"/>
    <w:rsid w:val="005310D5"/>
    <w:rsid w:val="00531167"/>
    <w:rsid w:val="0053119C"/>
    <w:rsid w:val="005311A7"/>
    <w:rsid w:val="00531216"/>
    <w:rsid w:val="00531287"/>
    <w:rsid w:val="0053129A"/>
    <w:rsid w:val="005312A5"/>
    <w:rsid w:val="005312E5"/>
    <w:rsid w:val="005312F1"/>
    <w:rsid w:val="00531308"/>
    <w:rsid w:val="0053132A"/>
    <w:rsid w:val="00531350"/>
    <w:rsid w:val="00531353"/>
    <w:rsid w:val="0053135F"/>
    <w:rsid w:val="00531368"/>
    <w:rsid w:val="00531494"/>
    <w:rsid w:val="005314AF"/>
    <w:rsid w:val="005314F1"/>
    <w:rsid w:val="0053156C"/>
    <w:rsid w:val="005315AC"/>
    <w:rsid w:val="005315D1"/>
    <w:rsid w:val="0053161F"/>
    <w:rsid w:val="0053163A"/>
    <w:rsid w:val="0053166E"/>
    <w:rsid w:val="00531681"/>
    <w:rsid w:val="00531698"/>
    <w:rsid w:val="00531699"/>
    <w:rsid w:val="005316C7"/>
    <w:rsid w:val="00531758"/>
    <w:rsid w:val="0053176E"/>
    <w:rsid w:val="005317E1"/>
    <w:rsid w:val="005317EB"/>
    <w:rsid w:val="005317F4"/>
    <w:rsid w:val="0053181E"/>
    <w:rsid w:val="0053186B"/>
    <w:rsid w:val="00531889"/>
    <w:rsid w:val="005318FE"/>
    <w:rsid w:val="0053194A"/>
    <w:rsid w:val="0053195A"/>
    <w:rsid w:val="005319A7"/>
    <w:rsid w:val="005319A9"/>
    <w:rsid w:val="005319BD"/>
    <w:rsid w:val="005319CE"/>
    <w:rsid w:val="00531A49"/>
    <w:rsid w:val="00531A5B"/>
    <w:rsid w:val="00531A60"/>
    <w:rsid w:val="00531AB6"/>
    <w:rsid w:val="00531ACD"/>
    <w:rsid w:val="00531AD9"/>
    <w:rsid w:val="00531AFC"/>
    <w:rsid w:val="00531B0D"/>
    <w:rsid w:val="00531B11"/>
    <w:rsid w:val="00531B43"/>
    <w:rsid w:val="00531B59"/>
    <w:rsid w:val="00531BA0"/>
    <w:rsid w:val="00531BC1"/>
    <w:rsid w:val="00531BCD"/>
    <w:rsid w:val="00531BEE"/>
    <w:rsid w:val="00531C3F"/>
    <w:rsid w:val="00531CCD"/>
    <w:rsid w:val="00531CD8"/>
    <w:rsid w:val="00531D2C"/>
    <w:rsid w:val="00531D36"/>
    <w:rsid w:val="00531D44"/>
    <w:rsid w:val="00531D8E"/>
    <w:rsid w:val="00531DA3"/>
    <w:rsid w:val="00531DFC"/>
    <w:rsid w:val="00531E28"/>
    <w:rsid w:val="00531E5E"/>
    <w:rsid w:val="00531EBC"/>
    <w:rsid w:val="00531ED9"/>
    <w:rsid w:val="00531EED"/>
    <w:rsid w:val="00531F02"/>
    <w:rsid w:val="00531F6B"/>
    <w:rsid w:val="00531FBD"/>
    <w:rsid w:val="00531FDB"/>
    <w:rsid w:val="00532029"/>
    <w:rsid w:val="00532083"/>
    <w:rsid w:val="00532085"/>
    <w:rsid w:val="00532086"/>
    <w:rsid w:val="005320C7"/>
    <w:rsid w:val="00532126"/>
    <w:rsid w:val="00532298"/>
    <w:rsid w:val="005322C8"/>
    <w:rsid w:val="005322CE"/>
    <w:rsid w:val="0053232F"/>
    <w:rsid w:val="0053240D"/>
    <w:rsid w:val="0053240E"/>
    <w:rsid w:val="00532412"/>
    <w:rsid w:val="00532443"/>
    <w:rsid w:val="00532464"/>
    <w:rsid w:val="00532538"/>
    <w:rsid w:val="00532579"/>
    <w:rsid w:val="005325C5"/>
    <w:rsid w:val="00532600"/>
    <w:rsid w:val="00532603"/>
    <w:rsid w:val="00532606"/>
    <w:rsid w:val="00532675"/>
    <w:rsid w:val="00532687"/>
    <w:rsid w:val="0053273D"/>
    <w:rsid w:val="00532758"/>
    <w:rsid w:val="00532767"/>
    <w:rsid w:val="0053279F"/>
    <w:rsid w:val="005327AE"/>
    <w:rsid w:val="005327BE"/>
    <w:rsid w:val="005327D9"/>
    <w:rsid w:val="0053282F"/>
    <w:rsid w:val="00532874"/>
    <w:rsid w:val="00532895"/>
    <w:rsid w:val="005328E3"/>
    <w:rsid w:val="00532908"/>
    <w:rsid w:val="0053290D"/>
    <w:rsid w:val="0053291A"/>
    <w:rsid w:val="00532950"/>
    <w:rsid w:val="005329A4"/>
    <w:rsid w:val="005329C9"/>
    <w:rsid w:val="005329E4"/>
    <w:rsid w:val="00532A64"/>
    <w:rsid w:val="00532A70"/>
    <w:rsid w:val="00532AF5"/>
    <w:rsid w:val="00532B1A"/>
    <w:rsid w:val="00532B23"/>
    <w:rsid w:val="00532B2B"/>
    <w:rsid w:val="00532B37"/>
    <w:rsid w:val="00532B66"/>
    <w:rsid w:val="00532C09"/>
    <w:rsid w:val="00532C4F"/>
    <w:rsid w:val="00532C73"/>
    <w:rsid w:val="00532D2A"/>
    <w:rsid w:val="00532D42"/>
    <w:rsid w:val="00532D5C"/>
    <w:rsid w:val="00532D65"/>
    <w:rsid w:val="00532D90"/>
    <w:rsid w:val="00532DAC"/>
    <w:rsid w:val="00532DC3"/>
    <w:rsid w:val="00532DE1"/>
    <w:rsid w:val="00532DEF"/>
    <w:rsid w:val="00532DFF"/>
    <w:rsid w:val="00532E0A"/>
    <w:rsid w:val="00532E21"/>
    <w:rsid w:val="00532E33"/>
    <w:rsid w:val="00532E3B"/>
    <w:rsid w:val="00532E68"/>
    <w:rsid w:val="00532E89"/>
    <w:rsid w:val="00532ED7"/>
    <w:rsid w:val="00532F04"/>
    <w:rsid w:val="00532F07"/>
    <w:rsid w:val="00532F2A"/>
    <w:rsid w:val="00532F93"/>
    <w:rsid w:val="00532FB8"/>
    <w:rsid w:val="00532FEA"/>
    <w:rsid w:val="0053304B"/>
    <w:rsid w:val="005330AE"/>
    <w:rsid w:val="00533101"/>
    <w:rsid w:val="00533133"/>
    <w:rsid w:val="00533135"/>
    <w:rsid w:val="0053313B"/>
    <w:rsid w:val="00533147"/>
    <w:rsid w:val="0053315D"/>
    <w:rsid w:val="0053316B"/>
    <w:rsid w:val="005331B1"/>
    <w:rsid w:val="005331DB"/>
    <w:rsid w:val="005331FE"/>
    <w:rsid w:val="00533211"/>
    <w:rsid w:val="00533261"/>
    <w:rsid w:val="005332A3"/>
    <w:rsid w:val="005332D1"/>
    <w:rsid w:val="0053332B"/>
    <w:rsid w:val="0053334D"/>
    <w:rsid w:val="00533385"/>
    <w:rsid w:val="005333A7"/>
    <w:rsid w:val="0053343B"/>
    <w:rsid w:val="0053347D"/>
    <w:rsid w:val="0053348D"/>
    <w:rsid w:val="00533509"/>
    <w:rsid w:val="005335CA"/>
    <w:rsid w:val="005335D1"/>
    <w:rsid w:val="00533607"/>
    <w:rsid w:val="0053363F"/>
    <w:rsid w:val="0053368F"/>
    <w:rsid w:val="0053370F"/>
    <w:rsid w:val="00533787"/>
    <w:rsid w:val="005337AD"/>
    <w:rsid w:val="005337C0"/>
    <w:rsid w:val="005337D9"/>
    <w:rsid w:val="005337E9"/>
    <w:rsid w:val="00533809"/>
    <w:rsid w:val="00533850"/>
    <w:rsid w:val="00533881"/>
    <w:rsid w:val="00533893"/>
    <w:rsid w:val="005338C6"/>
    <w:rsid w:val="005338D1"/>
    <w:rsid w:val="005338F3"/>
    <w:rsid w:val="00533903"/>
    <w:rsid w:val="0053390B"/>
    <w:rsid w:val="00533938"/>
    <w:rsid w:val="00533965"/>
    <w:rsid w:val="00533969"/>
    <w:rsid w:val="0053399B"/>
    <w:rsid w:val="005339CC"/>
    <w:rsid w:val="005339D5"/>
    <w:rsid w:val="005339D9"/>
    <w:rsid w:val="005339EB"/>
    <w:rsid w:val="00533A4A"/>
    <w:rsid w:val="00533A9A"/>
    <w:rsid w:val="00533AB5"/>
    <w:rsid w:val="00533AC6"/>
    <w:rsid w:val="00533ADD"/>
    <w:rsid w:val="00533AF9"/>
    <w:rsid w:val="00533B3E"/>
    <w:rsid w:val="00533BE6"/>
    <w:rsid w:val="00533C34"/>
    <w:rsid w:val="00533C59"/>
    <w:rsid w:val="00533C83"/>
    <w:rsid w:val="00533CC6"/>
    <w:rsid w:val="00533CCC"/>
    <w:rsid w:val="00533D33"/>
    <w:rsid w:val="00533DC0"/>
    <w:rsid w:val="00533DC5"/>
    <w:rsid w:val="00533DC7"/>
    <w:rsid w:val="00533DC8"/>
    <w:rsid w:val="00533DFE"/>
    <w:rsid w:val="00533DFF"/>
    <w:rsid w:val="00533E0C"/>
    <w:rsid w:val="00533E0E"/>
    <w:rsid w:val="00533E3C"/>
    <w:rsid w:val="00533EBD"/>
    <w:rsid w:val="00533EC9"/>
    <w:rsid w:val="00533ED2"/>
    <w:rsid w:val="00533EF2"/>
    <w:rsid w:val="00533FB0"/>
    <w:rsid w:val="00534075"/>
    <w:rsid w:val="00534087"/>
    <w:rsid w:val="00534112"/>
    <w:rsid w:val="0053411F"/>
    <w:rsid w:val="0053416F"/>
    <w:rsid w:val="00534289"/>
    <w:rsid w:val="005342A6"/>
    <w:rsid w:val="005342AC"/>
    <w:rsid w:val="00534352"/>
    <w:rsid w:val="0053439B"/>
    <w:rsid w:val="005343CC"/>
    <w:rsid w:val="00534470"/>
    <w:rsid w:val="0053451A"/>
    <w:rsid w:val="0053451C"/>
    <w:rsid w:val="005345DA"/>
    <w:rsid w:val="005345FA"/>
    <w:rsid w:val="00534630"/>
    <w:rsid w:val="00534649"/>
    <w:rsid w:val="00534696"/>
    <w:rsid w:val="005346E4"/>
    <w:rsid w:val="00534705"/>
    <w:rsid w:val="00534714"/>
    <w:rsid w:val="00534728"/>
    <w:rsid w:val="00534730"/>
    <w:rsid w:val="0053473A"/>
    <w:rsid w:val="00534766"/>
    <w:rsid w:val="0053476A"/>
    <w:rsid w:val="0053479D"/>
    <w:rsid w:val="005347A7"/>
    <w:rsid w:val="005347B6"/>
    <w:rsid w:val="005347BD"/>
    <w:rsid w:val="00534813"/>
    <w:rsid w:val="00534842"/>
    <w:rsid w:val="0053484C"/>
    <w:rsid w:val="00534882"/>
    <w:rsid w:val="005348C7"/>
    <w:rsid w:val="00534978"/>
    <w:rsid w:val="00534A0C"/>
    <w:rsid w:val="00534AF8"/>
    <w:rsid w:val="00534B97"/>
    <w:rsid w:val="00534BEA"/>
    <w:rsid w:val="00534BFD"/>
    <w:rsid w:val="00534C09"/>
    <w:rsid w:val="00534C6E"/>
    <w:rsid w:val="00534C8B"/>
    <w:rsid w:val="00534C97"/>
    <w:rsid w:val="00534D04"/>
    <w:rsid w:val="00534D2D"/>
    <w:rsid w:val="00534D46"/>
    <w:rsid w:val="00534D4A"/>
    <w:rsid w:val="00534D92"/>
    <w:rsid w:val="00534DBB"/>
    <w:rsid w:val="00534E85"/>
    <w:rsid w:val="00534E86"/>
    <w:rsid w:val="00534F11"/>
    <w:rsid w:val="00534F53"/>
    <w:rsid w:val="00534F55"/>
    <w:rsid w:val="00534FBF"/>
    <w:rsid w:val="00534FE9"/>
    <w:rsid w:val="00534FF1"/>
    <w:rsid w:val="00535174"/>
    <w:rsid w:val="0053518D"/>
    <w:rsid w:val="00535236"/>
    <w:rsid w:val="0053525B"/>
    <w:rsid w:val="00535262"/>
    <w:rsid w:val="005352A4"/>
    <w:rsid w:val="005352B4"/>
    <w:rsid w:val="005352F8"/>
    <w:rsid w:val="0053537E"/>
    <w:rsid w:val="00535380"/>
    <w:rsid w:val="00535390"/>
    <w:rsid w:val="00535399"/>
    <w:rsid w:val="005353A8"/>
    <w:rsid w:val="005353C2"/>
    <w:rsid w:val="005353E9"/>
    <w:rsid w:val="005353FF"/>
    <w:rsid w:val="00535423"/>
    <w:rsid w:val="00535430"/>
    <w:rsid w:val="005354BC"/>
    <w:rsid w:val="005354CD"/>
    <w:rsid w:val="005354DE"/>
    <w:rsid w:val="005354F3"/>
    <w:rsid w:val="00535587"/>
    <w:rsid w:val="005355CA"/>
    <w:rsid w:val="005355D7"/>
    <w:rsid w:val="005355F5"/>
    <w:rsid w:val="005355FC"/>
    <w:rsid w:val="00535638"/>
    <w:rsid w:val="00535648"/>
    <w:rsid w:val="00535677"/>
    <w:rsid w:val="005356FB"/>
    <w:rsid w:val="00535717"/>
    <w:rsid w:val="00535732"/>
    <w:rsid w:val="00535757"/>
    <w:rsid w:val="0053579F"/>
    <w:rsid w:val="0053583F"/>
    <w:rsid w:val="00535900"/>
    <w:rsid w:val="00535939"/>
    <w:rsid w:val="005359C1"/>
    <w:rsid w:val="005359D4"/>
    <w:rsid w:val="00535A4C"/>
    <w:rsid w:val="00535A65"/>
    <w:rsid w:val="00535A72"/>
    <w:rsid w:val="00535A7A"/>
    <w:rsid w:val="00535A96"/>
    <w:rsid w:val="00535A9F"/>
    <w:rsid w:val="00535AC6"/>
    <w:rsid w:val="00535AE2"/>
    <w:rsid w:val="00535AEB"/>
    <w:rsid w:val="00535AEF"/>
    <w:rsid w:val="00535B29"/>
    <w:rsid w:val="00535BA7"/>
    <w:rsid w:val="00535C70"/>
    <w:rsid w:val="00535C71"/>
    <w:rsid w:val="00535C87"/>
    <w:rsid w:val="00535CF1"/>
    <w:rsid w:val="00535D30"/>
    <w:rsid w:val="00535D36"/>
    <w:rsid w:val="00535D57"/>
    <w:rsid w:val="00535D6F"/>
    <w:rsid w:val="00535D87"/>
    <w:rsid w:val="00535DAA"/>
    <w:rsid w:val="00535DBF"/>
    <w:rsid w:val="00535DC9"/>
    <w:rsid w:val="00535E34"/>
    <w:rsid w:val="00535E4A"/>
    <w:rsid w:val="00535E56"/>
    <w:rsid w:val="00535E7A"/>
    <w:rsid w:val="00535EBC"/>
    <w:rsid w:val="00535ED8"/>
    <w:rsid w:val="00535F8B"/>
    <w:rsid w:val="00535FCF"/>
    <w:rsid w:val="00536018"/>
    <w:rsid w:val="0053601E"/>
    <w:rsid w:val="00536057"/>
    <w:rsid w:val="00536072"/>
    <w:rsid w:val="00536077"/>
    <w:rsid w:val="005360C9"/>
    <w:rsid w:val="005360F7"/>
    <w:rsid w:val="00536134"/>
    <w:rsid w:val="00536179"/>
    <w:rsid w:val="005361B5"/>
    <w:rsid w:val="005361C9"/>
    <w:rsid w:val="005361FC"/>
    <w:rsid w:val="005361FE"/>
    <w:rsid w:val="00536296"/>
    <w:rsid w:val="005362AE"/>
    <w:rsid w:val="005362E8"/>
    <w:rsid w:val="00536307"/>
    <w:rsid w:val="00536360"/>
    <w:rsid w:val="00536382"/>
    <w:rsid w:val="00536414"/>
    <w:rsid w:val="00536448"/>
    <w:rsid w:val="0053645D"/>
    <w:rsid w:val="0053646E"/>
    <w:rsid w:val="0053646F"/>
    <w:rsid w:val="00536508"/>
    <w:rsid w:val="00536510"/>
    <w:rsid w:val="00536542"/>
    <w:rsid w:val="00536576"/>
    <w:rsid w:val="005365A3"/>
    <w:rsid w:val="005365A6"/>
    <w:rsid w:val="005365C4"/>
    <w:rsid w:val="005365C7"/>
    <w:rsid w:val="005365DA"/>
    <w:rsid w:val="005365FD"/>
    <w:rsid w:val="005366B7"/>
    <w:rsid w:val="005366D5"/>
    <w:rsid w:val="005366DF"/>
    <w:rsid w:val="00536743"/>
    <w:rsid w:val="0053683C"/>
    <w:rsid w:val="0053687C"/>
    <w:rsid w:val="0053689D"/>
    <w:rsid w:val="005368E2"/>
    <w:rsid w:val="005368EF"/>
    <w:rsid w:val="00536995"/>
    <w:rsid w:val="005369BF"/>
    <w:rsid w:val="005369C8"/>
    <w:rsid w:val="00536A41"/>
    <w:rsid w:val="00536AE0"/>
    <w:rsid w:val="00536B15"/>
    <w:rsid w:val="00536BA1"/>
    <w:rsid w:val="00536BD8"/>
    <w:rsid w:val="00536BEC"/>
    <w:rsid w:val="00536CC9"/>
    <w:rsid w:val="00536D54"/>
    <w:rsid w:val="00536D61"/>
    <w:rsid w:val="00536D62"/>
    <w:rsid w:val="00536D6E"/>
    <w:rsid w:val="00536D9F"/>
    <w:rsid w:val="00536DA1"/>
    <w:rsid w:val="00536DDC"/>
    <w:rsid w:val="00536E42"/>
    <w:rsid w:val="00536F42"/>
    <w:rsid w:val="00536F53"/>
    <w:rsid w:val="00536FD0"/>
    <w:rsid w:val="00536FF0"/>
    <w:rsid w:val="0053701B"/>
    <w:rsid w:val="00537080"/>
    <w:rsid w:val="0053712E"/>
    <w:rsid w:val="00537166"/>
    <w:rsid w:val="0053722C"/>
    <w:rsid w:val="00537243"/>
    <w:rsid w:val="00537266"/>
    <w:rsid w:val="005372F4"/>
    <w:rsid w:val="00537301"/>
    <w:rsid w:val="0053731C"/>
    <w:rsid w:val="00537334"/>
    <w:rsid w:val="00537340"/>
    <w:rsid w:val="00537365"/>
    <w:rsid w:val="0053738C"/>
    <w:rsid w:val="005373DE"/>
    <w:rsid w:val="005373E7"/>
    <w:rsid w:val="0053740E"/>
    <w:rsid w:val="00537433"/>
    <w:rsid w:val="0053746C"/>
    <w:rsid w:val="00537488"/>
    <w:rsid w:val="0053748A"/>
    <w:rsid w:val="005374B2"/>
    <w:rsid w:val="005374B5"/>
    <w:rsid w:val="005374D3"/>
    <w:rsid w:val="00537507"/>
    <w:rsid w:val="00537542"/>
    <w:rsid w:val="005375A2"/>
    <w:rsid w:val="005375EC"/>
    <w:rsid w:val="00537639"/>
    <w:rsid w:val="00537650"/>
    <w:rsid w:val="00537653"/>
    <w:rsid w:val="0053765F"/>
    <w:rsid w:val="0053766D"/>
    <w:rsid w:val="005376B3"/>
    <w:rsid w:val="005376BC"/>
    <w:rsid w:val="005376F3"/>
    <w:rsid w:val="005376FE"/>
    <w:rsid w:val="00537771"/>
    <w:rsid w:val="00537772"/>
    <w:rsid w:val="005377BE"/>
    <w:rsid w:val="0053788A"/>
    <w:rsid w:val="005378F7"/>
    <w:rsid w:val="00537908"/>
    <w:rsid w:val="0053790C"/>
    <w:rsid w:val="00537915"/>
    <w:rsid w:val="00537947"/>
    <w:rsid w:val="005379D0"/>
    <w:rsid w:val="005379D1"/>
    <w:rsid w:val="00537A7D"/>
    <w:rsid w:val="00537A98"/>
    <w:rsid w:val="00537B14"/>
    <w:rsid w:val="00537B6E"/>
    <w:rsid w:val="00537B8E"/>
    <w:rsid w:val="00537C7A"/>
    <w:rsid w:val="00537C98"/>
    <w:rsid w:val="00537CAB"/>
    <w:rsid w:val="00537CCD"/>
    <w:rsid w:val="00537D4E"/>
    <w:rsid w:val="00537D78"/>
    <w:rsid w:val="00537D7A"/>
    <w:rsid w:val="00537DC2"/>
    <w:rsid w:val="00537DD2"/>
    <w:rsid w:val="00537DD7"/>
    <w:rsid w:val="00537E25"/>
    <w:rsid w:val="00537E34"/>
    <w:rsid w:val="00537E41"/>
    <w:rsid w:val="00537EA2"/>
    <w:rsid w:val="00537ED8"/>
    <w:rsid w:val="00537F12"/>
    <w:rsid w:val="00537F50"/>
    <w:rsid w:val="00537FA3"/>
    <w:rsid w:val="00540016"/>
    <w:rsid w:val="0054003A"/>
    <w:rsid w:val="005400C9"/>
    <w:rsid w:val="005400EE"/>
    <w:rsid w:val="005400FF"/>
    <w:rsid w:val="0054010F"/>
    <w:rsid w:val="005401D3"/>
    <w:rsid w:val="005402BD"/>
    <w:rsid w:val="0054033F"/>
    <w:rsid w:val="005403D7"/>
    <w:rsid w:val="005403F6"/>
    <w:rsid w:val="00540403"/>
    <w:rsid w:val="00540433"/>
    <w:rsid w:val="00540475"/>
    <w:rsid w:val="00540476"/>
    <w:rsid w:val="005404CD"/>
    <w:rsid w:val="005404F8"/>
    <w:rsid w:val="00540566"/>
    <w:rsid w:val="00540580"/>
    <w:rsid w:val="00540616"/>
    <w:rsid w:val="00540652"/>
    <w:rsid w:val="00540666"/>
    <w:rsid w:val="00540675"/>
    <w:rsid w:val="00540681"/>
    <w:rsid w:val="00540697"/>
    <w:rsid w:val="00540720"/>
    <w:rsid w:val="00540748"/>
    <w:rsid w:val="00540763"/>
    <w:rsid w:val="00540780"/>
    <w:rsid w:val="005407B5"/>
    <w:rsid w:val="005407CD"/>
    <w:rsid w:val="005407D3"/>
    <w:rsid w:val="005407EC"/>
    <w:rsid w:val="005407FB"/>
    <w:rsid w:val="00540803"/>
    <w:rsid w:val="00540818"/>
    <w:rsid w:val="0054082F"/>
    <w:rsid w:val="00540851"/>
    <w:rsid w:val="0054089C"/>
    <w:rsid w:val="005408D5"/>
    <w:rsid w:val="0054090A"/>
    <w:rsid w:val="005409A7"/>
    <w:rsid w:val="005409C8"/>
    <w:rsid w:val="005409F2"/>
    <w:rsid w:val="00540A7B"/>
    <w:rsid w:val="00540A7E"/>
    <w:rsid w:val="00540A9C"/>
    <w:rsid w:val="00540AA3"/>
    <w:rsid w:val="00540AD6"/>
    <w:rsid w:val="00540AE6"/>
    <w:rsid w:val="00540B24"/>
    <w:rsid w:val="00540B9E"/>
    <w:rsid w:val="00540BB3"/>
    <w:rsid w:val="00540BC3"/>
    <w:rsid w:val="00540BE0"/>
    <w:rsid w:val="00540BEB"/>
    <w:rsid w:val="00540C3D"/>
    <w:rsid w:val="00540D16"/>
    <w:rsid w:val="00540D75"/>
    <w:rsid w:val="00540D80"/>
    <w:rsid w:val="00540D82"/>
    <w:rsid w:val="00540D8D"/>
    <w:rsid w:val="00540DA4"/>
    <w:rsid w:val="00540DCF"/>
    <w:rsid w:val="00540E0C"/>
    <w:rsid w:val="00540E1F"/>
    <w:rsid w:val="00540E23"/>
    <w:rsid w:val="00540E29"/>
    <w:rsid w:val="00540E7A"/>
    <w:rsid w:val="00540EC5"/>
    <w:rsid w:val="00540F2C"/>
    <w:rsid w:val="00540F80"/>
    <w:rsid w:val="00540F9B"/>
    <w:rsid w:val="00540FAD"/>
    <w:rsid w:val="0054101D"/>
    <w:rsid w:val="0054102B"/>
    <w:rsid w:val="0054102C"/>
    <w:rsid w:val="005410B0"/>
    <w:rsid w:val="005410EB"/>
    <w:rsid w:val="00541105"/>
    <w:rsid w:val="00541117"/>
    <w:rsid w:val="0054111C"/>
    <w:rsid w:val="0054111E"/>
    <w:rsid w:val="00541158"/>
    <w:rsid w:val="00541184"/>
    <w:rsid w:val="005411AA"/>
    <w:rsid w:val="005411C8"/>
    <w:rsid w:val="005411F6"/>
    <w:rsid w:val="0054120C"/>
    <w:rsid w:val="0054121A"/>
    <w:rsid w:val="005412AF"/>
    <w:rsid w:val="005412B4"/>
    <w:rsid w:val="005412C5"/>
    <w:rsid w:val="005412CA"/>
    <w:rsid w:val="005412ED"/>
    <w:rsid w:val="0054130E"/>
    <w:rsid w:val="00541311"/>
    <w:rsid w:val="0054134C"/>
    <w:rsid w:val="0054139B"/>
    <w:rsid w:val="005413D8"/>
    <w:rsid w:val="005413DB"/>
    <w:rsid w:val="005413F0"/>
    <w:rsid w:val="005413FA"/>
    <w:rsid w:val="00541410"/>
    <w:rsid w:val="00541414"/>
    <w:rsid w:val="0054141F"/>
    <w:rsid w:val="00541457"/>
    <w:rsid w:val="00541460"/>
    <w:rsid w:val="00541480"/>
    <w:rsid w:val="005414A6"/>
    <w:rsid w:val="005414E6"/>
    <w:rsid w:val="0054153F"/>
    <w:rsid w:val="00541576"/>
    <w:rsid w:val="005415A7"/>
    <w:rsid w:val="00541614"/>
    <w:rsid w:val="0054162A"/>
    <w:rsid w:val="005416A9"/>
    <w:rsid w:val="005416D1"/>
    <w:rsid w:val="005416E0"/>
    <w:rsid w:val="005416EC"/>
    <w:rsid w:val="00541741"/>
    <w:rsid w:val="005417A6"/>
    <w:rsid w:val="005417D7"/>
    <w:rsid w:val="005417F1"/>
    <w:rsid w:val="005417F2"/>
    <w:rsid w:val="00541813"/>
    <w:rsid w:val="005418D3"/>
    <w:rsid w:val="005418FF"/>
    <w:rsid w:val="00541916"/>
    <w:rsid w:val="00541997"/>
    <w:rsid w:val="005419A6"/>
    <w:rsid w:val="00541A3C"/>
    <w:rsid w:val="00541AC0"/>
    <w:rsid w:val="00541BCE"/>
    <w:rsid w:val="00541BDA"/>
    <w:rsid w:val="00541BDB"/>
    <w:rsid w:val="00541BEA"/>
    <w:rsid w:val="00541BEF"/>
    <w:rsid w:val="00541C59"/>
    <w:rsid w:val="00541CC8"/>
    <w:rsid w:val="00541D02"/>
    <w:rsid w:val="00541D6F"/>
    <w:rsid w:val="00541DBE"/>
    <w:rsid w:val="00541DE2"/>
    <w:rsid w:val="00541DE6"/>
    <w:rsid w:val="00541DFC"/>
    <w:rsid w:val="00541E17"/>
    <w:rsid w:val="00541E46"/>
    <w:rsid w:val="00541E49"/>
    <w:rsid w:val="00541E67"/>
    <w:rsid w:val="00541E6B"/>
    <w:rsid w:val="00541EA0"/>
    <w:rsid w:val="00541EEB"/>
    <w:rsid w:val="00541F2E"/>
    <w:rsid w:val="00541F6F"/>
    <w:rsid w:val="00541F8D"/>
    <w:rsid w:val="00541FEB"/>
    <w:rsid w:val="0054205D"/>
    <w:rsid w:val="0054205E"/>
    <w:rsid w:val="00542076"/>
    <w:rsid w:val="005420D2"/>
    <w:rsid w:val="0054211D"/>
    <w:rsid w:val="00542121"/>
    <w:rsid w:val="0054212A"/>
    <w:rsid w:val="005421D7"/>
    <w:rsid w:val="005421E3"/>
    <w:rsid w:val="0054220A"/>
    <w:rsid w:val="00542255"/>
    <w:rsid w:val="00542276"/>
    <w:rsid w:val="00542288"/>
    <w:rsid w:val="00542291"/>
    <w:rsid w:val="005422A7"/>
    <w:rsid w:val="005422BE"/>
    <w:rsid w:val="005422CF"/>
    <w:rsid w:val="005422DE"/>
    <w:rsid w:val="00542345"/>
    <w:rsid w:val="00542369"/>
    <w:rsid w:val="005423F2"/>
    <w:rsid w:val="00542422"/>
    <w:rsid w:val="00542454"/>
    <w:rsid w:val="0054245A"/>
    <w:rsid w:val="0054245B"/>
    <w:rsid w:val="00542467"/>
    <w:rsid w:val="00542471"/>
    <w:rsid w:val="0054247A"/>
    <w:rsid w:val="0054251F"/>
    <w:rsid w:val="0054252C"/>
    <w:rsid w:val="0054256F"/>
    <w:rsid w:val="00542589"/>
    <w:rsid w:val="005425C3"/>
    <w:rsid w:val="00542642"/>
    <w:rsid w:val="00542654"/>
    <w:rsid w:val="00542693"/>
    <w:rsid w:val="00542706"/>
    <w:rsid w:val="0054273D"/>
    <w:rsid w:val="0054276B"/>
    <w:rsid w:val="005427B3"/>
    <w:rsid w:val="005427C2"/>
    <w:rsid w:val="005427D0"/>
    <w:rsid w:val="0054289C"/>
    <w:rsid w:val="005428CA"/>
    <w:rsid w:val="00542975"/>
    <w:rsid w:val="00542988"/>
    <w:rsid w:val="005429CC"/>
    <w:rsid w:val="005429E3"/>
    <w:rsid w:val="00542A64"/>
    <w:rsid w:val="00542A65"/>
    <w:rsid w:val="00542A8E"/>
    <w:rsid w:val="00542A9D"/>
    <w:rsid w:val="00542AF3"/>
    <w:rsid w:val="00542B10"/>
    <w:rsid w:val="00542B1A"/>
    <w:rsid w:val="00542B54"/>
    <w:rsid w:val="00542B5F"/>
    <w:rsid w:val="00542C2E"/>
    <w:rsid w:val="00542C36"/>
    <w:rsid w:val="00542C3E"/>
    <w:rsid w:val="00542C48"/>
    <w:rsid w:val="00542C73"/>
    <w:rsid w:val="00542C76"/>
    <w:rsid w:val="00542CF9"/>
    <w:rsid w:val="00542D15"/>
    <w:rsid w:val="00542D49"/>
    <w:rsid w:val="00542D6F"/>
    <w:rsid w:val="00542DAD"/>
    <w:rsid w:val="00542DCA"/>
    <w:rsid w:val="00542E38"/>
    <w:rsid w:val="00542E57"/>
    <w:rsid w:val="00542E86"/>
    <w:rsid w:val="00542F0C"/>
    <w:rsid w:val="00542F24"/>
    <w:rsid w:val="00542F26"/>
    <w:rsid w:val="00542F65"/>
    <w:rsid w:val="00542FA9"/>
    <w:rsid w:val="00543083"/>
    <w:rsid w:val="005430C1"/>
    <w:rsid w:val="005430FB"/>
    <w:rsid w:val="0054310E"/>
    <w:rsid w:val="00543122"/>
    <w:rsid w:val="00543169"/>
    <w:rsid w:val="0054316D"/>
    <w:rsid w:val="00543264"/>
    <w:rsid w:val="00543274"/>
    <w:rsid w:val="0054328C"/>
    <w:rsid w:val="00543291"/>
    <w:rsid w:val="00543296"/>
    <w:rsid w:val="005432D9"/>
    <w:rsid w:val="0054330D"/>
    <w:rsid w:val="0054333E"/>
    <w:rsid w:val="00543376"/>
    <w:rsid w:val="00543389"/>
    <w:rsid w:val="005433B5"/>
    <w:rsid w:val="005433FC"/>
    <w:rsid w:val="00543425"/>
    <w:rsid w:val="00543454"/>
    <w:rsid w:val="00543459"/>
    <w:rsid w:val="00543460"/>
    <w:rsid w:val="0054348E"/>
    <w:rsid w:val="005434B8"/>
    <w:rsid w:val="005434C6"/>
    <w:rsid w:val="0054350A"/>
    <w:rsid w:val="0054350E"/>
    <w:rsid w:val="0054351B"/>
    <w:rsid w:val="0054352E"/>
    <w:rsid w:val="00543567"/>
    <w:rsid w:val="005435C6"/>
    <w:rsid w:val="00543629"/>
    <w:rsid w:val="00543663"/>
    <w:rsid w:val="00543664"/>
    <w:rsid w:val="0054369A"/>
    <w:rsid w:val="00543738"/>
    <w:rsid w:val="00543747"/>
    <w:rsid w:val="005437D3"/>
    <w:rsid w:val="005437DD"/>
    <w:rsid w:val="005437EC"/>
    <w:rsid w:val="0054380E"/>
    <w:rsid w:val="0054384D"/>
    <w:rsid w:val="005438B1"/>
    <w:rsid w:val="005438BE"/>
    <w:rsid w:val="005438C9"/>
    <w:rsid w:val="005438E8"/>
    <w:rsid w:val="00543944"/>
    <w:rsid w:val="0054399B"/>
    <w:rsid w:val="005439B9"/>
    <w:rsid w:val="005439C3"/>
    <w:rsid w:val="005439C4"/>
    <w:rsid w:val="005439FA"/>
    <w:rsid w:val="00543A3E"/>
    <w:rsid w:val="00543A4A"/>
    <w:rsid w:val="00543A6B"/>
    <w:rsid w:val="00543A76"/>
    <w:rsid w:val="00543A87"/>
    <w:rsid w:val="00543AEF"/>
    <w:rsid w:val="00543B1C"/>
    <w:rsid w:val="00543B5C"/>
    <w:rsid w:val="00543B8C"/>
    <w:rsid w:val="00543BA8"/>
    <w:rsid w:val="00543BCF"/>
    <w:rsid w:val="00543BD9"/>
    <w:rsid w:val="00543BF5"/>
    <w:rsid w:val="00543C87"/>
    <w:rsid w:val="00543D2C"/>
    <w:rsid w:val="00543D3C"/>
    <w:rsid w:val="00543D64"/>
    <w:rsid w:val="00543DC9"/>
    <w:rsid w:val="00543DF8"/>
    <w:rsid w:val="00543E62"/>
    <w:rsid w:val="00543E75"/>
    <w:rsid w:val="00543E7F"/>
    <w:rsid w:val="00543E8C"/>
    <w:rsid w:val="00543E97"/>
    <w:rsid w:val="00543EB7"/>
    <w:rsid w:val="00543ECD"/>
    <w:rsid w:val="00543F09"/>
    <w:rsid w:val="00543F58"/>
    <w:rsid w:val="00543F8F"/>
    <w:rsid w:val="00543FEC"/>
    <w:rsid w:val="00544002"/>
    <w:rsid w:val="00544013"/>
    <w:rsid w:val="005440B9"/>
    <w:rsid w:val="0054412E"/>
    <w:rsid w:val="00544194"/>
    <w:rsid w:val="00544196"/>
    <w:rsid w:val="005441CE"/>
    <w:rsid w:val="0054424E"/>
    <w:rsid w:val="00544267"/>
    <w:rsid w:val="0054428C"/>
    <w:rsid w:val="005442B0"/>
    <w:rsid w:val="00544314"/>
    <w:rsid w:val="00544322"/>
    <w:rsid w:val="00544349"/>
    <w:rsid w:val="005443E7"/>
    <w:rsid w:val="0054444E"/>
    <w:rsid w:val="0054449F"/>
    <w:rsid w:val="005444B7"/>
    <w:rsid w:val="00544506"/>
    <w:rsid w:val="00544541"/>
    <w:rsid w:val="00544593"/>
    <w:rsid w:val="005445CF"/>
    <w:rsid w:val="005445F2"/>
    <w:rsid w:val="0054465F"/>
    <w:rsid w:val="00544663"/>
    <w:rsid w:val="005446CB"/>
    <w:rsid w:val="005446D5"/>
    <w:rsid w:val="005446E2"/>
    <w:rsid w:val="00544729"/>
    <w:rsid w:val="0054474C"/>
    <w:rsid w:val="0054476C"/>
    <w:rsid w:val="00544796"/>
    <w:rsid w:val="005447DC"/>
    <w:rsid w:val="00544824"/>
    <w:rsid w:val="0054482C"/>
    <w:rsid w:val="00544864"/>
    <w:rsid w:val="0054489F"/>
    <w:rsid w:val="005448E0"/>
    <w:rsid w:val="00544929"/>
    <w:rsid w:val="0054499F"/>
    <w:rsid w:val="00544A2B"/>
    <w:rsid w:val="00544A4A"/>
    <w:rsid w:val="00544A85"/>
    <w:rsid w:val="00544A88"/>
    <w:rsid w:val="00544AB1"/>
    <w:rsid w:val="00544AB3"/>
    <w:rsid w:val="00544ACE"/>
    <w:rsid w:val="00544ADC"/>
    <w:rsid w:val="00544AF1"/>
    <w:rsid w:val="00544B18"/>
    <w:rsid w:val="00544B4E"/>
    <w:rsid w:val="00544C10"/>
    <w:rsid w:val="00544C9C"/>
    <w:rsid w:val="00544CFD"/>
    <w:rsid w:val="00544D17"/>
    <w:rsid w:val="00544D35"/>
    <w:rsid w:val="00544D58"/>
    <w:rsid w:val="00544DB3"/>
    <w:rsid w:val="00544DC6"/>
    <w:rsid w:val="00544DEB"/>
    <w:rsid w:val="00544E51"/>
    <w:rsid w:val="00544E95"/>
    <w:rsid w:val="00544F17"/>
    <w:rsid w:val="00544F8A"/>
    <w:rsid w:val="00544FDE"/>
    <w:rsid w:val="00544FFB"/>
    <w:rsid w:val="00545001"/>
    <w:rsid w:val="0054500D"/>
    <w:rsid w:val="005450DB"/>
    <w:rsid w:val="005450F2"/>
    <w:rsid w:val="0054510C"/>
    <w:rsid w:val="00545152"/>
    <w:rsid w:val="00545194"/>
    <w:rsid w:val="005451A0"/>
    <w:rsid w:val="005451A2"/>
    <w:rsid w:val="00545245"/>
    <w:rsid w:val="005452BF"/>
    <w:rsid w:val="00545361"/>
    <w:rsid w:val="005453D7"/>
    <w:rsid w:val="0054543E"/>
    <w:rsid w:val="00545462"/>
    <w:rsid w:val="005454F5"/>
    <w:rsid w:val="005455B1"/>
    <w:rsid w:val="005455F1"/>
    <w:rsid w:val="0054564A"/>
    <w:rsid w:val="005456FC"/>
    <w:rsid w:val="0054570C"/>
    <w:rsid w:val="0054573E"/>
    <w:rsid w:val="0054573F"/>
    <w:rsid w:val="0054574F"/>
    <w:rsid w:val="00545751"/>
    <w:rsid w:val="005457AB"/>
    <w:rsid w:val="005457D7"/>
    <w:rsid w:val="005457E3"/>
    <w:rsid w:val="00545837"/>
    <w:rsid w:val="005458CF"/>
    <w:rsid w:val="00545906"/>
    <w:rsid w:val="0054590E"/>
    <w:rsid w:val="0054591E"/>
    <w:rsid w:val="0054595C"/>
    <w:rsid w:val="00545974"/>
    <w:rsid w:val="0054598A"/>
    <w:rsid w:val="005459DE"/>
    <w:rsid w:val="00545A3A"/>
    <w:rsid w:val="00545A6C"/>
    <w:rsid w:val="00545AA8"/>
    <w:rsid w:val="00545AC5"/>
    <w:rsid w:val="00545B31"/>
    <w:rsid w:val="00545B41"/>
    <w:rsid w:val="00545C10"/>
    <w:rsid w:val="00545C2F"/>
    <w:rsid w:val="00545C50"/>
    <w:rsid w:val="00545C7D"/>
    <w:rsid w:val="00545CC0"/>
    <w:rsid w:val="00545CC7"/>
    <w:rsid w:val="00545DCA"/>
    <w:rsid w:val="00545E7A"/>
    <w:rsid w:val="00545EFE"/>
    <w:rsid w:val="00545F35"/>
    <w:rsid w:val="00545F4A"/>
    <w:rsid w:val="00545F9A"/>
    <w:rsid w:val="00545FA3"/>
    <w:rsid w:val="00546042"/>
    <w:rsid w:val="005460DB"/>
    <w:rsid w:val="005460DC"/>
    <w:rsid w:val="0054613A"/>
    <w:rsid w:val="0054615A"/>
    <w:rsid w:val="00546161"/>
    <w:rsid w:val="00546188"/>
    <w:rsid w:val="005461B2"/>
    <w:rsid w:val="005461C2"/>
    <w:rsid w:val="005461F7"/>
    <w:rsid w:val="0054622D"/>
    <w:rsid w:val="005462C7"/>
    <w:rsid w:val="005462DB"/>
    <w:rsid w:val="0054631A"/>
    <w:rsid w:val="0054635F"/>
    <w:rsid w:val="005463C2"/>
    <w:rsid w:val="005463EB"/>
    <w:rsid w:val="005464BB"/>
    <w:rsid w:val="005464BC"/>
    <w:rsid w:val="00546500"/>
    <w:rsid w:val="0054651D"/>
    <w:rsid w:val="00546527"/>
    <w:rsid w:val="0054653C"/>
    <w:rsid w:val="00546545"/>
    <w:rsid w:val="0054657E"/>
    <w:rsid w:val="00546584"/>
    <w:rsid w:val="0054658B"/>
    <w:rsid w:val="0054658D"/>
    <w:rsid w:val="0054662A"/>
    <w:rsid w:val="00546659"/>
    <w:rsid w:val="0054667B"/>
    <w:rsid w:val="0054667E"/>
    <w:rsid w:val="005466C3"/>
    <w:rsid w:val="005466CD"/>
    <w:rsid w:val="00546779"/>
    <w:rsid w:val="00546788"/>
    <w:rsid w:val="005467F6"/>
    <w:rsid w:val="00546817"/>
    <w:rsid w:val="0054681F"/>
    <w:rsid w:val="0054684D"/>
    <w:rsid w:val="00546885"/>
    <w:rsid w:val="0054688E"/>
    <w:rsid w:val="0054689C"/>
    <w:rsid w:val="0054694F"/>
    <w:rsid w:val="00546975"/>
    <w:rsid w:val="005469D0"/>
    <w:rsid w:val="005469D4"/>
    <w:rsid w:val="00546A11"/>
    <w:rsid w:val="00546A34"/>
    <w:rsid w:val="00546AC7"/>
    <w:rsid w:val="00546ACB"/>
    <w:rsid w:val="00546B87"/>
    <w:rsid w:val="00546BD1"/>
    <w:rsid w:val="00546C52"/>
    <w:rsid w:val="00546C7F"/>
    <w:rsid w:val="00546C8E"/>
    <w:rsid w:val="00546D12"/>
    <w:rsid w:val="00546D15"/>
    <w:rsid w:val="00546D90"/>
    <w:rsid w:val="00546DE0"/>
    <w:rsid w:val="00546E08"/>
    <w:rsid w:val="00546E28"/>
    <w:rsid w:val="00546E36"/>
    <w:rsid w:val="00546E6A"/>
    <w:rsid w:val="00546E8A"/>
    <w:rsid w:val="00546ED5"/>
    <w:rsid w:val="00546F2B"/>
    <w:rsid w:val="00546F83"/>
    <w:rsid w:val="00546FCD"/>
    <w:rsid w:val="00546FFD"/>
    <w:rsid w:val="00547003"/>
    <w:rsid w:val="00547008"/>
    <w:rsid w:val="0054702D"/>
    <w:rsid w:val="00547061"/>
    <w:rsid w:val="0054707B"/>
    <w:rsid w:val="0054709F"/>
    <w:rsid w:val="005470D2"/>
    <w:rsid w:val="005470EA"/>
    <w:rsid w:val="00547285"/>
    <w:rsid w:val="005472A5"/>
    <w:rsid w:val="005472A7"/>
    <w:rsid w:val="005472BB"/>
    <w:rsid w:val="005472E3"/>
    <w:rsid w:val="005472EE"/>
    <w:rsid w:val="0054730E"/>
    <w:rsid w:val="00547335"/>
    <w:rsid w:val="005473C7"/>
    <w:rsid w:val="005473F3"/>
    <w:rsid w:val="00547459"/>
    <w:rsid w:val="00547465"/>
    <w:rsid w:val="0054748E"/>
    <w:rsid w:val="00547495"/>
    <w:rsid w:val="00547567"/>
    <w:rsid w:val="005475C7"/>
    <w:rsid w:val="005475FA"/>
    <w:rsid w:val="00547638"/>
    <w:rsid w:val="00547715"/>
    <w:rsid w:val="00547720"/>
    <w:rsid w:val="00547744"/>
    <w:rsid w:val="0054779C"/>
    <w:rsid w:val="005477C7"/>
    <w:rsid w:val="005477D7"/>
    <w:rsid w:val="005477EB"/>
    <w:rsid w:val="00547831"/>
    <w:rsid w:val="00547916"/>
    <w:rsid w:val="00547918"/>
    <w:rsid w:val="00547919"/>
    <w:rsid w:val="00547920"/>
    <w:rsid w:val="00547926"/>
    <w:rsid w:val="005479EE"/>
    <w:rsid w:val="005479F7"/>
    <w:rsid w:val="00547A01"/>
    <w:rsid w:val="00547A17"/>
    <w:rsid w:val="00547A45"/>
    <w:rsid w:val="00547A56"/>
    <w:rsid w:val="00547A58"/>
    <w:rsid w:val="00547B1E"/>
    <w:rsid w:val="00547B21"/>
    <w:rsid w:val="00547B2B"/>
    <w:rsid w:val="00547B48"/>
    <w:rsid w:val="00547B6C"/>
    <w:rsid w:val="00547B7E"/>
    <w:rsid w:val="00547B8A"/>
    <w:rsid w:val="00547B93"/>
    <w:rsid w:val="00547BB9"/>
    <w:rsid w:val="00547BD0"/>
    <w:rsid w:val="00547BDA"/>
    <w:rsid w:val="00547C4C"/>
    <w:rsid w:val="00547CC6"/>
    <w:rsid w:val="00547D2B"/>
    <w:rsid w:val="00547D47"/>
    <w:rsid w:val="00547D72"/>
    <w:rsid w:val="00547DC2"/>
    <w:rsid w:val="00547E4D"/>
    <w:rsid w:val="00547EE9"/>
    <w:rsid w:val="00547F47"/>
    <w:rsid w:val="00547F73"/>
    <w:rsid w:val="00547FF0"/>
    <w:rsid w:val="0055001A"/>
    <w:rsid w:val="00550041"/>
    <w:rsid w:val="00550043"/>
    <w:rsid w:val="0055005C"/>
    <w:rsid w:val="00550083"/>
    <w:rsid w:val="005500DA"/>
    <w:rsid w:val="00550169"/>
    <w:rsid w:val="00550178"/>
    <w:rsid w:val="00550248"/>
    <w:rsid w:val="00550285"/>
    <w:rsid w:val="00550288"/>
    <w:rsid w:val="005502A2"/>
    <w:rsid w:val="005502D4"/>
    <w:rsid w:val="00550301"/>
    <w:rsid w:val="00550311"/>
    <w:rsid w:val="0055035F"/>
    <w:rsid w:val="00550444"/>
    <w:rsid w:val="00550458"/>
    <w:rsid w:val="0055046D"/>
    <w:rsid w:val="005504A1"/>
    <w:rsid w:val="005504D1"/>
    <w:rsid w:val="005504E7"/>
    <w:rsid w:val="005504F2"/>
    <w:rsid w:val="00550500"/>
    <w:rsid w:val="00550531"/>
    <w:rsid w:val="0055056A"/>
    <w:rsid w:val="005505AD"/>
    <w:rsid w:val="005505B8"/>
    <w:rsid w:val="0055062A"/>
    <w:rsid w:val="00550663"/>
    <w:rsid w:val="005506A3"/>
    <w:rsid w:val="005506D7"/>
    <w:rsid w:val="00550724"/>
    <w:rsid w:val="005507B1"/>
    <w:rsid w:val="005507BB"/>
    <w:rsid w:val="005507C6"/>
    <w:rsid w:val="005507F5"/>
    <w:rsid w:val="00550822"/>
    <w:rsid w:val="00550823"/>
    <w:rsid w:val="00550850"/>
    <w:rsid w:val="005508A4"/>
    <w:rsid w:val="005508CE"/>
    <w:rsid w:val="005508F8"/>
    <w:rsid w:val="0055099C"/>
    <w:rsid w:val="005509A9"/>
    <w:rsid w:val="005509D9"/>
    <w:rsid w:val="00550A4E"/>
    <w:rsid w:val="00550A74"/>
    <w:rsid w:val="00550A8A"/>
    <w:rsid w:val="00550AAE"/>
    <w:rsid w:val="00550AE5"/>
    <w:rsid w:val="00550BA7"/>
    <w:rsid w:val="00550BC9"/>
    <w:rsid w:val="00550BF1"/>
    <w:rsid w:val="00550C1F"/>
    <w:rsid w:val="00550C21"/>
    <w:rsid w:val="00550C28"/>
    <w:rsid w:val="00550C70"/>
    <w:rsid w:val="00550C9D"/>
    <w:rsid w:val="00550D3A"/>
    <w:rsid w:val="00550DDC"/>
    <w:rsid w:val="00550E47"/>
    <w:rsid w:val="00550EA5"/>
    <w:rsid w:val="00550F84"/>
    <w:rsid w:val="00550FC4"/>
    <w:rsid w:val="00550FDB"/>
    <w:rsid w:val="00551018"/>
    <w:rsid w:val="00551139"/>
    <w:rsid w:val="00551145"/>
    <w:rsid w:val="00551153"/>
    <w:rsid w:val="005511AD"/>
    <w:rsid w:val="005511D6"/>
    <w:rsid w:val="00551206"/>
    <w:rsid w:val="00551210"/>
    <w:rsid w:val="00551241"/>
    <w:rsid w:val="00551244"/>
    <w:rsid w:val="00551255"/>
    <w:rsid w:val="00551278"/>
    <w:rsid w:val="00551282"/>
    <w:rsid w:val="00551336"/>
    <w:rsid w:val="00551356"/>
    <w:rsid w:val="00551359"/>
    <w:rsid w:val="005513F9"/>
    <w:rsid w:val="00551425"/>
    <w:rsid w:val="00551432"/>
    <w:rsid w:val="00551462"/>
    <w:rsid w:val="00551467"/>
    <w:rsid w:val="00551471"/>
    <w:rsid w:val="005514A4"/>
    <w:rsid w:val="005514CC"/>
    <w:rsid w:val="005514E0"/>
    <w:rsid w:val="00551502"/>
    <w:rsid w:val="0055154B"/>
    <w:rsid w:val="005515B1"/>
    <w:rsid w:val="005515BB"/>
    <w:rsid w:val="005515BF"/>
    <w:rsid w:val="005515CC"/>
    <w:rsid w:val="00551635"/>
    <w:rsid w:val="0055164E"/>
    <w:rsid w:val="00551652"/>
    <w:rsid w:val="0055167D"/>
    <w:rsid w:val="00551698"/>
    <w:rsid w:val="005516A7"/>
    <w:rsid w:val="005516AA"/>
    <w:rsid w:val="005516ED"/>
    <w:rsid w:val="00551755"/>
    <w:rsid w:val="005517E2"/>
    <w:rsid w:val="005517F7"/>
    <w:rsid w:val="00551805"/>
    <w:rsid w:val="00551871"/>
    <w:rsid w:val="0055189F"/>
    <w:rsid w:val="005518FE"/>
    <w:rsid w:val="00551902"/>
    <w:rsid w:val="00551907"/>
    <w:rsid w:val="00551920"/>
    <w:rsid w:val="00551941"/>
    <w:rsid w:val="00551956"/>
    <w:rsid w:val="0055197F"/>
    <w:rsid w:val="005519D6"/>
    <w:rsid w:val="005519E6"/>
    <w:rsid w:val="00551AC7"/>
    <w:rsid w:val="00551AFA"/>
    <w:rsid w:val="00551B9C"/>
    <w:rsid w:val="00551BBB"/>
    <w:rsid w:val="00551BD2"/>
    <w:rsid w:val="00551C0E"/>
    <w:rsid w:val="00551C78"/>
    <w:rsid w:val="00551C7A"/>
    <w:rsid w:val="00551CEE"/>
    <w:rsid w:val="00551DA4"/>
    <w:rsid w:val="00551DB2"/>
    <w:rsid w:val="00551DBB"/>
    <w:rsid w:val="00551E4F"/>
    <w:rsid w:val="00551EBC"/>
    <w:rsid w:val="00551ED5"/>
    <w:rsid w:val="00551F20"/>
    <w:rsid w:val="00551FA8"/>
    <w:rsid w:val="00551FC4"/>
    <w:rsid w:val="00551FE7"/>
    <w:rsid w:val="00552025"/>
    <w:rsid w:val="0055202B"/>
    <w:rsid w:val="00552036"/>
    <w:rsid w:val="0055203D"/>
    <w:rsid w:val="00552091"/>
    <w:rsid w:val="0055209C"/>
    <w:rsid w:val="005520B8"/>
    <w:rsid w:val="00552196"/>
    <w:rsid w:val="005521DF"/>
    <w:rsid w:val="0055220C"/>
    <w:rsid w:val="00552232"/>
    <w:rsid w:val="00552274"/>
    <w:rsid w:val="00552286"/>
    <w:rsid w:val="0055228D"/>
    <w:rsid w:val="005522A4"/>
    <w:rsid w:val="00552334"/>
    <w:rsid w:val="00552366"/>
    <w:rsid w:val="005523BF"/>
    <w:rsid w:val="005523DE"/>
    <w:rsid w:val="00552445"/>
    <w:rsid w:val="0055247F"/>
    <w:rsid w:val="005524C6"/>
    <w:rsid w:val="00552549"/>
    <w:rsid w:val="00552552"/>
    <w:rsid w:val="0055257A"/>
    <w:rsid w:val="0055258A"/>
    <w:rsid w:val="005525A8"/>
    <w:rsid w:val="005525AD"/>
    <w:rsid w:val="005525B0"/>
    <w:rsid w:val="0055260B"/>
    <w:rsid w:val="005526AC"/>
    <w:rsid w:val="005526E6"/>
    <w:rsid w:val="00552715"/>
    <w:rsid w:val="00552742"/>
    <w:rsid w:val="005527BF"/>
    <w:rsid w:val="005527C9"/>
    <w:rsid w:val="00552854"/>
    <w:rsid w:val="00552878"/>
    <w:rsid w:val="00552885"/>
    <w:rsid w:val="005528B6"/>
    <w:rsid w:val="00552957"/>
    <w:rsid w:val="00552966"/>
    <w:rsid w:val="005529CA"/>
    <w:rsid w:val="005529DB"/>
    <w:rsid w:val="005529F7"/>
    <w:rsid w:val="00552A31"/>
    <w:rsid w:val="00552A4D"/>
    <w:rsid w:val="00552A74"/>
    <w:rsid w:val="00552AAD"/>
    <w:rsid w:val="00552B12"/>
    <w:rsid w:val="00552B1D"/>
    <w:rsid w:val="00552B2F"/>
    <w:rsid w:val="00552BBC"/>
    <w:rsid w:val="00552BF0"/>
    <w:rsid w:val="00552BF5"/>
    <w:rsid w:val="00552C70"/>
    <w:rsid w:val="00552C91"/>
    <w:rsid w:val="00552CCD"/>
    <w:rsid w:val="00552CE9"/>
    <w:rsid w:val="00552CED"/>
    <w:rsid w:val="00552D52"/>
    <w:rsid w:val="00552D58"/>
    <w:rsid w:val="00552D83"/>
    <w:rsid w:val="00552DC1"/>
    <w:rsid w:val="00552DE0"/>
    <w:rsid w:val="00552E2B"/>
    <w:rsid w:val="00552E4A"/>
    <w:rsid w:val="00552E84"/>
    <w:rsid w:val="00552E99"/>
    <w:rsid w:val="00552EBD"/>
    <w:rsid w:val="00552F34"/>
    <w:rsid w:val="00552F3A"/>
    <w:rsid w:val="00552F60"/>
    <w:rsid w:val="00553025"/>
    <w:rsid w:val="00553067"/>
    <w:rsid w:val="005530A6"/>
    <w:rsid w:val="00553137"/>
    <w:rsid w:val="00553138"/>
    <w:rsid w:val="005531E7"/>
    <w:rsid w:val="00553221"/>
    <w:rsid w:val="0055325D"/>
    <w:rsid w:val="00553286"/>
    <w:rsid w:val="005532AF"/>
    <w:rsid w:val="005533DB"/>
    <w:rsid w:val="005533F3"/>
    <w:rsid w:val="005533F7"/>
    <w:rsid w:val="00553414"/>
    <w:rsid w:val="00553485"/>
    <w:rsid w:val="005534AD"/>
    <w:rsid w:val="005534E2"/>
    <w:rsid w:val="005534E5"/>
    <w:rsid w:val="00553549"/>
    <w:rsid w:val="00553568"/>
    <w:rsid w:val="00553584"/>
    <w:rsid w:val="005535EF"/>
    <w:rsid w:val="005535F2"/>
    <w:rsid w:val="00553604"/>
    <w:rsid w:val="00553624"/>
    <w:rsid w:val="00553652"/>
    <w:rsid w:val="0055366D"/>
    <w:rsid w:val="005536BF"/>
    <w:rsid w:val="005536E6"/>
    <w:rsid w:val="0055375C"/>
    <w:rsid w:val="00553771"/>
    <w:rsid w:val="0055378F"/>
    <w:rsid w:val="0055382B"/>
    <w:rsid w:val="00553847"/>
    <w:rsid w:val="00553880"/>
    <w:rsid w:val="00553895"/>
    <w:rsid w:val="005538BE"/>
    <w:rsid w:val="005538CA"/>
    <w:rsid w:val="00553983"/>
    <w:rsid w:val="0055398B"/>
    <w:rsid w:val="005539C8"/>
    <w:rsid w:val="005539FD"/>
    <w:rsid w:val="00553A13"/>
    <w:rsid w:val="00553A57"/>
    <w:rsid w:val="00553A64"/>
    <w:rsid w:val="00553AE8"/>
    <w:rsid w:val="00553AF2"/>
    <w:rsid w:val="00553AF3"/>
    <w:rsid w:val="00553B21"/>
    <w:rsid w:val="00553BB1"/>
    <w:rsid w:val="00553C2B"/>
    <w:rsid w:val="00553C37"/>
    <w:rsid w:val="00553C62"/>
    <w:rsid w:val="00553C6E"/>
    <w:rsid w:val="00553CCB"/>
    <w:rsid w:val="00553CE7"/>
    <w:rsid w:val="00553CED"/>
    <w:rsid w:val="00553D6A"/>
    <w:rsid w:val="00553D91"/>
    <w:rsid w:val="00553DAB"/>
    <w:rsid w:val="00553DD6"/>
    <w:rsid w:val="00553E4C"/>
    <w:rsid w:val="00553E97"/>
    <w:rsid w:val="00553EA8"/>
    <w:rsid w:val="00553F03"/>
    <w:rsid w:val="00553F4B"/>
    <w:rsid w:val="00553F6D"/>
    <w:rsid w:val="00553FDD"/>
    <w:rsid w:val="00553FFA"/>
    <w:rsid w:val="0055400A"/>
    <w:rsid w:val="0055404A"/>
    <w:rsid w:val="005540FA"/>
    <w:rsid w:val="00554145"/>
    <w:rsid w:val="00554209"/>
    <w:rsid w:val="0055420D"/>
    <w:rsid w:val="0055422C"/>
    <w:rsid w:val="0055426C"/>
    <w:rsid w:val="005542A6"/>
    <w:rsid w:val="005542B7"/>
    <w:rsid w:val="005542CD"/>
    <w:rsid w:val="00554305"/>
    <w:rsid w:val="0055432A"/>
    <w:rsid w:val="005543EB"/>
    <w:rsid w:val="005543EE"/>
    <w:rsid w:val="00554439"/>
    <w:rsid w:val="0055445A"/>
    <w:rsid w:val="0055450D"/>
    <w:rsid w:val="00554515"/>
    <w:rsid w:val="00554533"/>
    <w:rsid w:val="00554591"/>
    <w:rsid w:val="0055459B"/>
    <w:rsid w:val="005545C7"/>
    <w:rsid w:val="005545C8"/>
    <w:rsid w:val="00554603"/>
    <w:rsid w:val="00554675"/>
    <w:rsid w:val="00554714"/>
    <w:rsid w:val="0055474A"/>
    <w:rsid w:val="00554760"/>
    <w:rsid w:val="0055476D"/>
    <w:rsid w:val="00554789"/>
    <w:rsid w:val="00554795"/>
    <w:rsid w:val="005547BF"/>
    <w:rsid w:val="005547EA"/>
    <w:rsid w:val="005547F4"/>
    <w:rsid w:val="00554814"/>
    <w:rsid w:val="00554865"/>
    <w:rsid w:val="005548A8"/>
    <w:rsid w:val="005548DC"/>
    <w:rsid w:val="00554967"/>
    <w:rsid w:val="00554984"/>
    <w:rsid w:val="00554998"/>
    <w:rsid w:val="005549AA"/>
    <w:rsid w:val="005549F4"/>
    <w:rsid w:val="00554A52"/>
    <w:rsid w:val="00554AD9"/>
    <w:rsid w:val="00554B54"/>
    <w:rsid w:val="00554BA4"/>
    <w:rsid w:val="00554BC4"/>
    <w:rsid w:val="00554C2C"/>
    <w:rsid w:val="00554C93"/>
    <w:rsid w:val="00554CB8"/>
    <w:rsid w:val="00554CD2"/>
    <w:rsid w:val="00554CDC"/>
    <w:rsid w:val="00554CEB"/>
    <w:rsid w:val="00554D73"/>
    <w:rsid w:val="00554D96"/>
    <w:rsid w:val="00554DC5"/>
    <w:rsid w:val="00554E3A"/>
    <w:rsid w:val="00554ED8"/>
    <w:rsid w:val="00554EE1"/>
    <w:rsid w:val="00554F1D"/>
    <w:rsid w:val="00554F34"/>
    <w:rsid w:val="00554F3A"/>
    <w:rsid w:val="00554FCC"/>
    <w:rsid w:val="00554FFA"/>
    <w:rsid w:val="00554FFE"/>
    <w:rsid w:val="00555026"/>
    <w:rsid w:val="005551CB"/>
    <w:rsid w:val="00555285"/>
    <w:rsid w:val="00555298"/>
    <w:rsid w:val="005552B7"/>
    <w:rsid w:val="005552BC"/>
    <w:rsid w:val="00555332"/>
    <w:rsid w:val="0055537C"/>
    <w:rsid w:val="005553A1"/>
    <w:rsid w:val="005553A7"/>
    <w:rsid w:val="005553AB"/>
    <w:rsid w:val="005553C7"/>
    <w:rsid w:val="005553DA"/>
    <w:rsid w:val="0055540A"/>
    <w:rsid w:val="0055540C"/>
    <w:rsid w:val="00555436"/>
    <w:rsid w:val="005554C3"/>
    <w:rsid w:val="005554DF"/>
    <w:rsid w:val="005554F1"/>
    <w:rsid w:val="00555569"/>
    <w:rsid w:val="005556AC"/>
    <w:rsid w:val="005556CC"/>
    <w:rsid w:val="005556E7"/>
    <w:rsid w:val="00555707"/>
    <w:rsid w:val="0055577C"/>
    <w:rsid w:val="005557B6"/>
    <w:rsid w:val="005557CC"/>
    <w:rsid w:val="00555809"/>
    <w:rsid w:val="005558BF"/>
    <w:rsid w:val="005558D1"/>
    <w:rsid w:val="0055596D"/>
    <w:rsid w:val="005559A7"/>
    <w:rsid w:val="005559E5"/>
    <w:rsid w:val="005559FE"/>
    <w:rsid w:val="00555A7B"/>
    <w:rsid w:val="00555A81"/>
    <w:rsid w:val="00555A8D"/>
    <w:rsid w:val="00555ABD"/>
    <w:rsid w:val="00555ACB"/>
    <w:rsid w:val="00555B20"/>
    <w:rsid w:val="00555B27"/>
    <w:rsid w:val="00555B7E"/>
    <w:rsid w:val="00555BB9"/>
    <w:rsid w:val="00555BBF"/>
    <w:rsid w:val="00555BD4"/>
    <w:rsid w:val="00555BE2"/>
    <w:rsid w:val="00555C29"/>
    <w:rsid w:val="00555D00"/>
    <w:rsid w:val="00555D44"/>
    <w:rsid w:val="00555D9A"/>
    <w:rsid w:val="00555DB7"/>
    <w:rsid w:val="00555DC9"/>
    <w:rsid w:val="00555E30"/>
    <w:rsid w:val="00555E57"/>
    <w:rsid w:val="00555E5E"/>
    <w:rsid w:val="00555E72"/>
    <w:rsid w:val="00555E83"/>
    <w:rsid w:val="00555E8F"/>
    <w:rsid w:val="00555F1C"/>
    <w:rsid w:val="00555F1E"/>
    <w:rsid w:val="00555F81"/>
    <w:rsid w:val="00555FAE"/>
    <w:rsid w:val="00555FD2"/>
    <w:rsid w:val="00556069"/>
    <w:rsid w:val="005560C1"/>
    <w:rsid w:val="0055613A"/>
    <w:rsid w:val="00556144"/>
    <w:rsid w:val="00556154"/>
    <w:rsid w:val="00556159"/>
    <w:rsid w:val="005561D9"/>
    <w:rsid w:val="0055632E"/>
    <w:rsid w:val="00556357"/>
    <w:rsid w:val="00556364"/>
    <w:rsid w:val="00556367"/>
    <w:rsid w:val="00556393"/>
    <w:rsid w:val="0055639A"/>
    <w:rsid w:val="005563F4"/>
    <w:rsid w:val="0055642E"/>
    <w:rsid w:val="005564D3"/>
    <w:rsid w:val="00556585"/>
    <w:rsid w:val="005565A0"/>
    <w:rsid w:val="005565B6"/>
    <w:rsid w:val="005565C6"/>
    <w:rsid w:val="005565D4"/>
    <w:rsid w:val="0055662B"/>
    <w:rsid w:val="00556699"/>
    <w:rsid w:val="005566A9"/>
    <w:rsid w:val="005566DA"/>
    <w:rsid w:val="005566FA"/>
    <w:rsid w:val="00556790"/>
    <w:rsid w:val="005567C1"/>
    <w:rsid w:val="005567C4"/>
    <w:rsid w:val="00556830"/>
    <w:rsid w:val="005568A8"/>
    <w:rsid w:val="005568F6"/>
    <w:rsid w:val="00556950"/>
    <w:rsid w:val="00556965"/>
    <w:rsid w:val="005569A1"/>
    <w:rsid w:val="005569B5"/>
    <w:rsid w:val="005569FA"/>
    <w:rsid w:val="00556A1F"/>
    <w:rsid w:val="00556A68"/>
    <w:rsid w:val="00556A91"/>
    <w:rsid w:val="00556AA0"/>
    <w:rsid w:val="00556AAA"/>
    <w:rsid w:val="00556BA4"/>
    <w:rsid w:val="00556C37"/>
    <w:rsid w:val="00556C58"/>
    <w:rsid w:val="00556C72"/>
    <w:rsid w:val="00556CA1"/>
    <w:rsid w:val="00556CFA"/>
    <w:rsid w:val="00556D2D"/>
    <w:rsid w:val="00556D95"/>
    <w:rsid w:val="00556DCF"/>
    <w:rsid w:val="00556E20"/>
    <w:rsid w:val="00556E9E"/>
    <w:rsid w:val="00556F2E"/>
    <w:rsid w:val="00556F8C"/>
    <w:rsid w:val="00556FAA"/>
    <w:rsid w:val="00556FAD"/>
    <w:rsid w:val="00556FB0"/>
    <w:rsid w:val="00556FD7"/>
    <w:rsid w:val="00556FEF"/>
    <w:rsid w:val="00556FFB"/>
    <w:rsid w:val="00557007"/>
    <w:rsid w:val="00557011"/>
    <w:rsid w:val="00557024"/>
    <w:rsid w:val="0055705B"/>
    <w:rsid w:val="0055705F"/>
    <w:rsid w:val="0055709F"/>
    <w:rsid w:val="005570AB"/>
    <w:rsid w:val="005570CA"/>
    <w:rsid w:val="0055715A"/>
    <w:rsid w:val="00557188"/>
    <w:rsid w:val="0055718A"/>
    <w:rsid w:val="005571A9"/>
    <w:rsid w:val="005571B6"/>
    <w:rsid w:val="005571DE"/>
    <w:rsid w:val="00557202"/>
    <w:rsid w:val="005572E4"/>
    <w:rsid w:val="005572EF"/>
    <w:rsid w:val="005572F0"/>
    <w:rsid w:val="005572F2"/>
    <w:rsid w:val="00557312"/>
    <w:rsid w:val="00557313"/>
    <w:rsid w:val="00557317"/>
    <w:rsid w:val="00557320"/>
    <w:rsid w:val="0055732A"/>
    <w:rsid w:val="005573A4"/>
    <w:rsid w:val="005573EE"/>
    <w:rsid w:val="00557484"/>
    <w:rsid w:val="005574A6"/>
    <w:rsid w:val="005574CF"/>
    <w:rsid w:val="005575E2"/>
    <w:rsid w:val="005575EB"/>
    <w:rsid w:val="00557608"/>
    <w:rsid w:val="0055760C"/>
    <w:rsid w:val="005576A9"/>
    <w:rsid w:val="005576FF"/>
    <w:rsid w:val="0055771E"/>
    <w:rsid w:val="0055774A"/>
    <w:rsid w:val="0055774C"/>
    <w:rsid w:val="00557759"/>
    <w:rsid w:val="005577BE"/>
    <w:rsid w:val="00557808"/>
    <w:rsid w:val="0055784D"/>
    <w:rsid w:val="00557905"/>
    <w:rsid w:val="00557938"/>
    <w:rsid w:val="00557964"/>
    <w:rsid w:val="0055798E"/>
    <w:rsid w:val="00557A15"/>
    <w:rsid w:val="00557A28"/>
    <w:rsid w:val="00557A5C"/>
    <w:rsid w:val="00557A61"/>
    <w:rsid w:val="00557AA7"/>
    <w:rsid w:val="00557B23"/>
    <w:rsid w:val="00557B3D"/>
    <w:rsid w:val="00557B85"/>
    <w:rsid w:val="00557C48"/>
    <w:rsid w:val="00557C77"/>
    <w:rsid w:val="00557CFA"/>
    <w:rsid w:val="00557D26"/>
    <w:rsid w:val="00557D3C"/>
    <w:rsid w:val="00557D3F"/>
    <w:rsid w:val="00557D97"/>
    <w:rsid w:val="00557DCF"/>
    <w:rsid w:val="00557DFA"/>
    <w:rsid w:val="00557E04"/>
    <w:rsid w:val="00557E08"/>
    <w:rsid w:val="00557E13"/>
    <w:rsid w:val="00557E23"/>
    <w:rsid w:val="00557E9E"/>
    <w:rsid w:val="00557EBD"/>
    <w:rsid w:val="00557ED1"/>
    <w:rsid w:val="00557EE6"/>
    <w:rsid w:val="00557F54"/>
    <w:rsid w:val="00557FD7"/>
    <w:rsid w:val="00560058"/>
    <w:rsid w:val="0056006F"/>
    <w:rsid w:val="00560092"/>
    <w:rsid w:val="005600AE"/>
    <w:rsid w:val="005600BA"/>
    <w:rsid w:val="005600D8"/>
    <w:rsid w:val="00560137"/>
    <w:rsid w:val="00560181"/>
    <w:rsid w:val="0056019C"/>
    <w:rsid w:val="005601A0"/>
    <w:rsid w:val="005601D7"/>
    <w:rsid w:val="005601F6"/>
    <w:rsid w:val="0056024A"/>
    <w:rsid w:val="0056024E"/>
    <w:rsid w:val="0056027B"/>
    <w:rsid w:val="005602F4"/>
    <w:rsid w:val="005602FD"/>
    <w:rsid w:val="00560315"/>
    <w:rsid w:val="0056032C"/>
    <w:rsid w:val="0056038A"/>
    <w:rsid w:val="0056043E"/>
    <w:rsid w:val="0056044F"/>
    <w:rsid w:val="005604C4"/>
    <w:rsid w:val="0056058E"/>
    <w:rsid w:val="005605B7"/>
    <w:rsid w:val="005605F9"/>
    <w:rsid w:val="0056060A"/>
    <w:rsid w:val="00560747"/>
    <w:rsid w:val="00560761"/>
    <w:rsid w:val="00560772"/>
    <w:rsid w:val="005607A9"/>
    <w:rsid w:val="0056083C"/>
    <w:rsid w:val="00560859"/>
    <w:rsid w:val="005608CE"/>
    <w:rsid w:val="005608DB"/>
    <w:rsid w:val="005608E8"/>
    <w:rsid w:val="00560907"/>
    <w:rsid w:val="00560916"/>
    <w:rsid w:val="00560925"/>
    <w:rsid w:val="0056096A"/>
    <w:rsid w:val="00560982"/>
    <w:rsid w:val="00560999"/>
    <w:rsid w:val="005609D5"/>
    <w:rsid w:val="00560A39"/>
    <w:rsid w:val="00560A84"/>
    <w:rsid w:val="00560ACE"/>
    <w:rsid w:val="00560B0A"/>
    <w:rsid w:val="00560B41"/>
    <w:rsid w:val="00560B5E"/>
    <w:rsid w:val="00560B72"/>
    <w:rsid w:val="00560B91"/>
    <w:rsid w:val="00560BE9"/>
    <w:rsid w:val="00560C28"/>
    <w:rsid w:val="00560C75"/>
    <w:rsid w:val="00560C7E"/>
    <w:rsid w:val="00560C8C"/>
    <w:rsid w:val="00560CBC"/>
    <w:rsid w:val="00560CBD"/>
    <w:rsid w:val="00560CD2"/>
    <w:rsid w:val="00560CF1"/>
    <w:rsid w:val="00560D29"/>
    <w:rsid w:val="00560D33"/>
    <w:rsid w:val="00560DFC"/>
    <w:rsid w:val="00560E3D"/>
    <w:rsid w:val="00560E7C"/>
    <w:rsid w:val="00560E95"/>
    <w:rsid w:val="00560EB0"/>
    <w:rsid w:val="00560F0D"/>
    <w:rsid w:val="00560F12"/>
    <w:rsid w:val="00560F5B"/>
    <w:rsid w:val="00560F62"/>
    <w:rsid w:val="00560FC0"/>
    <w:rsid w:val="0056100A"/>
    <w:rsid w:val="0056100C"/>
    <w:rsid w:val="0056102D"/>
    <w:rsid w:val="0056103F"/>
    <w:rsid w:val="00561093"/>
    <w:rsid w:val="00561099"/>
    <w:rsid w:val="005610C6"/>
    <w:rsid w:val="0056113F"/>
    <w:rsid w:val="00561148"/>
    <w:rsid w:val="0056114A"/>
    <w:rsid w:val="005611EB"/>
    <w:rsid w:val="0056122C"/>
    <w:rsid w:val="0056125F"/>
    <w:rsid w:val="0056127B"/>
    <w:rsid w:val="005612C6"/>
    <w:rsid w:val="00561309"/>
    <w:rsid w:val="00561321"/>
    <w:rsid w:val="00561332"/>
    <w:rsid w:val="00561350"/>
    <w:rsid w:val="0056136E"/>
    <w:rsid w:val="00561404"/>
    <w:rsid w:val="00561423"/>
    <w:rsid w:val="00561450"/>
    <w:rsid w:val="00561489"/>
    <w:rsid w:val="005614A7"/>
    <w:rsid w:val="005614E7"/>
    <w:rsid w:val="005615BA"/>
    <w:rsid w:val="00561600"/>
    <w:rsid w:val="00561607"/>
    <w:rsid w:val="00561679"/>
    <w:rsid w:val="00561691"/>
    <w:rsid w:val="005616B6"/>
    <w:rsid w:val="00561766"/>
    <w:rsid w:val="00561787"/>
    <w:rsid w:val="005617A3"/>
    <w:rsid w:val="005617D5"/>
    <w:rsid w:val="005617DF"/>
    <w:rsid w:val="005617F0"/>
    <w:rsid w:val="0056185A"/>
    <w:rsid w:val="0056187D"/>
    <w:rsid w:val="005618FD"/>
    <w:rsid w:val="00561944"/>
    <w:rsid w:val="00561954"/>
    <w:rsid w:val="00561966"/>
    <w:rsid w:val="00561993"/>
    <w:rsid w:val="005619C0"/>
    <w:rsid w:val="00561A0A"/>
    <w:rsid w:val="00561A0B"/>
    <w:rsid w:val="00561A22"/>
    <w:rsid w:val="00561A85"/>
    <w:rsid w:val="00561A9B"/>
    <w:rsid w:val="00561B0F"/>
    <w:rsid w:val="00561B4A"/>
    <w:rsid w:val="00561B63"/>
    <w:rsid w:val="00561BFB"/>
    <w:rsid w:val="00561C3E"/>
    <w:rsid w:val="00561CAE"/>
    <w:rsid w:val="00561CFB"/>
    <w:rsid w:val="00561DB5"/>
    <w:rsid w:val="00561DD7"/>
    <w:rsid w:val="00561DF1"/>
    <w:rsid w:val="00561E1C"/>
    <w:rsid w:val="00561ED6"/>
    <w:rsid w:val="00561EDF"/>
    <w:rsid w:val="00561F17"/>
    <w:rsid w:val="00561F97"/>
    <w:rsid w:val="00561F99"/>
    <w:rsid w:val="00561FEE"/>
    <w:rsid w:val="0056207E"/>
    <w:rsid w:val="00562088"/>
    <w:rsid w:val="005620A7"/>
    <w:rsid w:val="005620D1"/>
    <w:rsid w:val="005620E8"/>
    <w:rsid w:val="005620FA"/>
    <w:rsid w:val="0056210F"/>
    <w:rsid w:val="00562168"/>
    <w:rsid w:val="0056216E"/>
    <w:rsid w:val="0056221B"/>
    <w:rsid w:val="0056233C"/>
    <w:rsid w:val="005623A2"/>
    <w:rsid w:val="005623B1"/>
    <w:rsid w:val="0056240E"/>
    <w:rsid w:val="00562426"/>
    <w:rsid w:val="0056243E"/>
    <w:rsid w:val="00562445"/>
    <w:rsid w:val="005624B0"/>
    <w:rsid w:val="005624BA"/>
    <w:rsid w:val="00562527"/>
    <w:rsid w:val="005625B4"/>
    <w:rsid w:val="005625C7"/>
    <w:rsid w:val="0056262A"/>
    <w:rsid w:val="0056263C"/>
    <w:rsid w:val="00562698"/>
    <w:rsid w:val="005626B4"/>
    <w:rsid w:val="005626F6"/>
    <w:rsid w:val="00562769"/>
    <w:rsid w:val="0056276C"/>
    <w:rsid w:val="0056277D"/>
    <w:rsid w:val="0056279B"/>
    <w:rsid w:val="005627B2"/>
    <w:rsid w:val="005627CD"/>
    <w:rsid w:val="005627E5"/>
    <w:rsid w:val="00562852"/>
    <w:rsid w:val="00562890"/>
    <w:rsid w:val="00562945"/>
    <w:rsid w:val="00562963"/>
    <w:rsid w:val="0056297A"/>
    <w:rsid w:val="005629B2"/>
    <w:rsid w:val="005629D8"/>
    <w:rsid w:val="00562A00"/>
    <w:rsid w:val="00562A47"/>
    <w:rsid w:val="00562A6E"/>
    <w:rsid w:val="00562AD1"/>
    <w:rsid w:val="00562B27"/>
    <w:rsid w:val="00562B3F"/>
    <w:rsid w:val="00562C03"/>
    <w:rsid w:val="00562C05"/>
    <w:rsid w:val="00562C07"/>
    <w:rsid w:val="00562C0A"/>
    <w:rsid w:val="00562C13"/>
    <w:rsid w:val="00562C27"/>
    <w:rsid w:val="00562C5F"/>
    <w:rsid w:val="00562C64"/>
    <w:rsid w:val="00562C77"/>
    <w:rsid w:val="00562CB9"/>
    <w:rsid w:val="00562D20"/>
    <w:rsid w:val="00562D7A"/>
    <w:rsid w:val="00562D84"/>
    <w:rsid w:val="00562DA8"/>
    <w:rsid w:val="00562DED"/>
    <w:rsid w:val="00562E97"/>
    <w:rsid w:val="00562F07"/>
    <w:rsid w:val="00562F47"/>
    <w:rsid w:val="00562F75"/>
    <w:rsid w:val="00562F9B"/>
    <w:rsid w:val="00562FE6"/>
    <w:rsid w:val="00562FEF"/>
    <w:rsid w:val="00563013"/>
    <w:rsid w:val="00563033"/>
    <w:rsid w:val="0056303F"/>
    <w:rsid w:val="0056306E"/>
    <w:rsid w:val="0056308B"/>
    <w:rsid w:val="005630D6"/>
    <w:rsid w:val="005630E0"/>
    <w:rsid w:val="005630F2"/>
    <w:rsid w:val="00563121"/>
    <w:rsid w:val="00563140"/>
    <w:rsid w:val="00563143"/>
    <w:rsid w:val="005631AB"/>
    <w:rsid w:val="005631E4"/>
    <w:rsid w:val="0056324E"/>
    <w:rsid w:val="005632D9"/>
    <w:rsid w:val="005632FC"/>
    <w:rsid w:val="0056336E"/>
    <w:rsid w:val="00563408"/>
    <w:rsid w:val="0056349F"/>
    <w:rsid w:val="005634AA"/>
    <w:rsid w:val="005634B9"/>
    <w:rsid w:val="0056351A"/>
    <w:rsid w:val="0056351B"/>
    <w:rsid w:val="00563522"/>
    <w:rsid w:val="0056355B"/>
    <w:rsid w:val="0056360A"/>
    <w:rsid w:val="0056360C"/>
    <w:rsid w:val="0056366B"/>
    <w:rsid w:val="0056369E"/>
    <w:rsid w:val="005636A5"/>
    <w:rsid w:val="005636FC"/>
    <w:rsid w:val="0056374B"/>
    <w:rsid w:val="0056374F"/>
    <w:rsid w:val="00563755"/>
    <w:rsid w:val="0056376B"/>
    <w:rsid w:val="00563775"/>
    <w:rsid w:val="00563792"/>
    <w:rsid w:val="0056379E"/>
    <w:rsid w:val="005637A4"/>
    <w:rsid w:val="005637DD"/>
    <w:rsid w:val="00563849"/>
    <w:rsid w:val="0056387C"/>
    <w:rsid w:val="00563889"/>
    <w:rsid w:val="005638C1"/>
    <w:rsid w:val="00563A12"/>
    <w:rsid w:val="00563A39"/>
    <w:rsid w:val="00563A7E"/>
    <w:rsid w:val="00563AF1"/>
    <w:rsid w:val="00563B05"/>
    <w:rsid w:val="00563B15"/>
    <w:rsid w:val="00563B3D"/>
    <w:rsid w:val="00563B4B"/>
    <w:rsid w:val="00563B80"/>
    <w:rsid w:val="00563BFF"/>
    <w:rsid w:val="00563CE4"/>
    <w:rsid w:val="00563D0F"/>
    <w:rsid w:val="00563D5B"/>
    <w:rsid w:val="00563D5E"/>
    <w:rsid w:val="00563D86"/>
    <w:rsid w:val="00563D98"/>
    <w:rsid w:val="00563D9D"/>
    <w:rsid w:val="00563DB8"/>
    <w:rsid w:val="00563DD6"/>
    <w:rsid w:val="00563DDA"/>
    <w:rsid w:val="00563E71"/>
    <w:rsid w:val="00563EE5"/>
    <w:rsid w:val="00563F4D"/>
    <w:rsid w:val="00563FA0"/>
    <w:rsid w:val="00563FD7"/>
    <w:rsid w:val="00563FF0"/>
    <w:rsid w:val="00564048"/>
    <w:rsid w:val="00564070"/>
    <w:rsid w:val="00564077"/>
    <w:rsid w:val="0056410D"/>
    <w:rsid w:val="00564145"/>
    <w:rsid w:val="0056416A"/>
    <w:rsid w:val="005641F6"/>
    <w:rsid w:val="00564208"/>
    <w:rsid w:val="00564313"/>
    <w:rsid w:val="00564327"/>
    <w:rsid w:val="00564356"/>
    <w:rsid w:val="00564379"/>
    <w:rsid w:val="00564393"/>
    <w:rsid w:val="005643F0"/>
    <w:rsid w:val="005643F3"/>
    <w:rsid w:val="00564422"/>
    <w:rsid w:val="00564439"/>
    <w:rsid w:val="00564481"/>
    <w:rsid w:val="005644A6"/>
    <w:rsid w:val="005644BE"/>
    <w:rsid w:val="005644C5"/>
    <w:rsid w:val="005644D5"/>
    <w:rsid w:val="005645EB"/>
    <w:rsid w:val="00564656"/>
    <w:rsid w:val="00564693"/>
    <w:rsid w:val="005646BE"/>
    <w:rsid w:val="0056470E"/>
    <w:rsid w:val="0056473D"/>
    <w:rsid w:val="005647B4"/>
    <w:rsid w:val="005648A5"/>
    <w:rsid w:val="0056495D"/>
    <w:rsid w:val="00564968"/>
    <w:rsid w:val="0056496D"/>
    <w:rsid w:val="00564A70"/>
    <w:rsid w:val="00564AB2"/>
    <w:rsid w:val="00564B24"/>
    <w:rsid w:val="00564B87"/>
    <w:rsid w:val="00564BAC"/>
    <w:rsid w:val="00564BB1"/>
    <w:rsid w:val="00564BCA"/>
    <w:rsid w:val="00564C0C"/>
    <w:rsid w:val="00564C88"/>
    <w:rsid w:val="00564C89"/>
    <w:rsid w:val="00564CB2"/>
    <w:rsid w:val="00564CB5"/>
    <w:rsid w:val="00564D03"/>
    <w:rsid w:val="00564D35"/>
    <w:rsid w:val="00564D41"/>
    <w:rsid w:val="00564D61"/>
    <w:rsid w:val="00564DA6"/>
    <w:rsid w:val="00564E1C"/>
    <w:rsid w:val="00564E63"/>
    <w:rsid w:val="00564E90"/>
    <w:rsid w:val="00564E9C"/>
    <w:rsid w:val="00564EF8"/>
    <w:rsid w:val="00564F0B"/>
    <w:rsid w:val="00564F13"/>
    <w:rsid w:val="00564F17"/>
    <w:rsid w:val="00564F9A"/>
    <w:rsid w:val="00564FA8"/>
    <w:rsid w:val="00565028"/>
    <w:rsid w:val="00565065"/>
    <w:rsid w:val="0056506F"/>
    <w:rsid w:val="00565079"/>
    <w:rsid w:val="00565082"/>
    <w:rsid w:val="00565087"/>
    <w:rsid w:val="005650C6"/>
    <w:rsid w:val="005650D4"/>
    <w:rsid w:val="0056510B"/>
    <w:rsid w:val="00565112"/>
    <w:rsid w:val="0056513E"/>
    <w:rsid w:val="00565161"/>
    <w:rsid w:val="0056517A"/>
    <w:rsid w:val="0056519A"/>
    <w:rsid w:val="0056519C"/>
    <w:rsid w:val="005651C8"/>
    <w:rsid w:val="005651D9"/>
    <w:rsid w:val="00565264"/>
    <w:rsid w:val="005652A0"/>
    <w:rsid w:val="005652B2"/>
    <w:rsid w:val="005652FE"/>
    <w:rsid w:val="0056531B"/>
    <w:rsid w:val="00565326"/>
    <w:rsid w:val="0056532F"/>
    <w:rsid w:val="0056533C"/>
    <w:rsid w:val="00565351"/>
    <w:rsid w:val="005653DD"/>
    <w:rsid w:val="00565419"/>
    <w:rsid w:val="00565424"/>
    <w:rsid w:val="005654C7"/>
    <w:rsid w:val="005654F6"/>
    <w:rsid w:val="0056552B"/>
    <w:rsid w:val="00565549"/>
    <w:rsid w:val="005655F6"/>
    <w:rsid w:val="0056561B"/>
    <w:rsid w:val="0056563F"/>
    <w:rsid w:val="00565650"/>
    <w:rsid w:val="00565655"/>
    <w:rsid w:val="0056570D"/>
    <w:rsid w:val="0056579D"/>
    <w:rsid w:val="005657D1"/>
    <w:rsid w:val="005657EE"/>
    <w:rsid w:val="00565834"/>
    <w:rsid w:val="0056587F"/>
    <w:rsid w:val="005658C8"/>
    <w:rsid w:val="0056590C"/>
    <w:rsid w:val="0056594C"/>
    <w:rsid w:val="00565953"/>
    <w:rsid w:val="005659AD"/>
    <w:rsid w:val="005659D2"/>
    <w:rsid w:val="005659F7"/>
    <w:rsid w:val="00565A20"/>
    <w:rsid w:val="00565A9B"/>
    <w:rsid w:val="00565AC1"/>
    <w:rsid w:val="00565AFC"/>
    <w:rsid w:val="00565B34"/>
    <w:rsid w:val="00565B44"/>
    <w:rsid w:val="00565BB6"/>
    <w:rsid w:val="00565BEF"/>
    <w:rsid w:val="00565C29"/>
    <w:rsid w:val="00565CB9"/>
    <w:rsid w:val="00565CF4"/>
    <w:rsid w:val="00565D6C"/>
    <w:rsid w:val="00565DD4"/>
    <w:rsid w:val="00565DD9"/>
    <w:rsid w:val="00565E0E"/>
    <w:rsid w:val="00565E1F"/>
    <w:rsid w:val="00565E4A"/>
    <w:rsid w:val="00565E5C"/>
    <w:rsid w:val="00565E91"/>
    <w:rsid w:val="00565ED3"/>
    <w:rsid w:val="00565EE4"/>
    <w:rsid w:val="00565F0C"/>
    <w:rsid w:val="00565F14"/>
    <w:rsid w:val="00565F52"/>
    <w:rsid w:val="00565F7E"/>
    <w:rsid w:val="00565F81"/>
    <w:rsid w:val="00566001"/>
    <w:rsid w:val="0056606A"/>
    <w:rsid w:val="00566083"/>
    <w:rsid w:val="005660E4"/>
    <w:rsid w:val="005660EE"/>
    <w:rsid w:val="0056611D"/>
    <w:rsid w:val="0056612E"/>
    <w:rsid w:val="00566158"/>
    <w:rsid w:val="0056615F"/>
    <w:rsid w:val="0056616D"/>
    <w:rsid w:val="0056618F"/>
    <w:rsid w:val="005661A0"/>
    <w:rsid w:val="005661D2"/>
    <w:rsid w:val="00566203"/>
    <w:rsid w:val="00566213"/>
    <w:rsid w:val="00566241"/>
    <w:rsid w:val="0056625C"/>
    <w:rsid w:val="0056626C"/>
    <w:rsid w:val="00566273"/>
    <w:rsid w:val="00566279"/>
    <w:rsid w:val="005662B0"/>
    <w:rsid w:val="005662BD"/>
    <w:rsid w:val="00566339"/>
    <w:rsid w:val="00566352"/>
    <w:rsid w:val="0056636E"/>
    <w:rsid w:val="0056640C"/>
    <w:rsid w:val="00566422"/>
    <w:rsid w:val="00566433"/>
    <w:rsid w:val="005664E3"/>
    <w:rsid w:val="005664EB"/>
    <w:rsid w:val="005664EC"/>
    <w:rsid w:val="005664FB"/>
    <w:rsid w:val="00566572"/>
    <w:rsid w:val="00566595"/>
    <w:rsid w:val="005665B7"/>
    <w:rsid w:val="005665EA"/>
    <w:rsid w:val="00566686"/>
    <w:rsid w:val="005666F4"/>
    <w:rsid w:val="0056675E"/>
    <w:rsid w:val="00566776"/>
    <w:rsid w:val="0056678E"/>
    <w:rsid w:val="00566797"/>
    <w:rsid w:val="005667D8"/>
    <w:rsid w:val="0056685F"/>
    <w:rsid w:val="00566881"/>
    <w:rsid w:val="00566893"/>
    <w:rsid w:val="005668F2"/>
    <w:rsid w:val="00566916"/>
    <w:rsid w:val="0056694F"/>
    <w:rsid w:val="00566960"/>
    <w:rsid w:val="00566966"/>
    <w:rsid w:val="00566975"/>
    <w:rsid w:val="005669BA"/>
    <w:rsid w:val="005669C1"/>
    <w:rsid w:val="00566A42"/>
    <w:rsid w:val="00566A82"/>
    <w:rsid w:val="00566AB4"/>
    <w:rsid w:val="00566AD0"/>
    <w:rsid w:val="00566AF4"/>
    <w:rsid w:val="00566B26"/>
    <w:rsid w:val="00566B2D"/>
    <w:rsid w:val="00566B77"/>
    <w:rsid w:val="00566C3E"/>
    <w:rsid w:val="00566CA1"/>
    <w:rsid w:val="00566CDA"/>
    <w:rsid w:val="00566CE4"/>
    <w:rsid w:val="00566D38"/>
    <w:rsid w:val="00566D48"/>
    <w:rsid w:val="00566D86"/>
    <w:rsid w:val="00566D91"/>
    <w:rsid w:val="00566D93"/>
    <w:rsid w:val="00566DB7"/>
    <w:rsid w:val="00566DD5"/>
    <w:rsid w:val="00566E2F"/>
    <w:rsid w:val="00566E39"/>
    <w:rsid w:val="00566F96"/>
    <w:rsid w:val="00566F9E"/>
    <w:rsid w:val="00566FB8"/>
    <w:rsid w:val="00567007"/>
    <w:rsid w:val="0056706C"/>
    <w:rsid w:val="005670ED"/>
    <w:rsid w:val="005670EF"/>
    <w:rsid w:val="00567135"/>
    <w:rsid w:val="00567139"/>
    <w:rsid w:val="0056713F"/>
    <w:rsid w:val="005671ED"/>
    <w:rsid w:val="0056723E"/>
    <w:rsid w:val="0056728D"/>
    <w:rsid w:val="00567362"/>
    <w:rsid w:val="0056738B"/>
    <w:rsid w:val="0056738C"/>
    <w:rsid w:val="005673A2"/>
    <w:rsid w:val="005673AB"/>
    <w:rsid w:val="005673DF"/>
    <w:rsid w:val="005673F6"/>
    <w:rsid w:val="00567407"/>
    <w:rsid w:val="0056742E"/>
    <w:rsid w:val="00567451"/>
    <w:rsid w:val="00567454"/>
    <w:rsid w:val="00567480"/>
    <w:rsid w:val="00567494"/>
    <w:rsid w:val="005674A9"/>
    <w:rsid w:val="00567564"/>
    <w:rsid w:val="0056758B"/>
    <w:rsid w:val="005675A9"/>
    <w:rsid w:val="00567610"/>
    <w:rsid w:val="00567625"/>
    <w:rsid w:val="0056762B"/>
    <w:rsid w:val="0056763B"/>
    <w:rsid w:val="00567686"/>
    <w:rsid w:val="005676D3"/>
    <w:rsid w:val="00567709"/>
    <w:rsid w:val="0056774B"/>
    <w:rsid w:val="005677DC"/>
    <w:rsid w:val="005677F8"/>
    <w:rsid w:val="0056780B"/>
    <w:rsid w:val="00567847"/>
    <w:rsid w:val="005678F5"/>
    <w:rsid w:val="00567958"/>
    <w:rsid w:val="00567978"/>
    <w:rsid w:val="00567A09"/>
    <w:rsid w:val="00567A1B"/>
    <w:rsid w:val="00567A25"/>
    <w:rsid w:val="00567A70"/>
    <w:rsid w:val="00567A8A"/>
    <w:rsid w:val="00567ACF"/>
    <w:rsid w:val="00567ADF"/>
    <w:rsid w:val="00567B3A"/>
    <w:rsid w:val="00567BA2"/>
    <w:rsid w:val="00567CCC"/>
    <w:rsid w:val="00567D26"/>
    <w:rsid w:val="00567D2B"/>
    <w:rsid w:val="00567D55"/>
    <w:rsid w:val="00567D67"/>
    <w:rsid w:val="00567DA8"/>
    <w:rsid w:val="00567DFF"/>
    <w:rsid w:val="00567E02"/>
    <w:rsid w:val="00567E2D"/>
    <w:rsid w:val="00567E45"/>
    <w:rsid w:val="00567E9D"/>
    <w:rsid w:val="00567EDF"/>
    <w:rsid w:val="00567F32"/>
    <w:rsid w:val="00567F6B"/>
    <w:rsid w:val="00567FEB"/>
    <w:rsid w:val="00567FF7"/>
    <w:rsid w:val="00570001"/>
    <w:rsid w:val="00570005"/>
    <w:rsid w:val="0057003A"/>
    <w:rsid w:val="0057004B"/>
    <w:rsid w:val="00570057"/>
    <w:rsid w:val="00570087"/>
    <w:rsid w:val="005700A6"/>
    <w:rsid w:val="00570105"/>
    <w:rsid w:val="00570124"/>
    <w:rsid w:val="0057014C"/>
    <w:rsid w:val="005701AA"/>
    <w:rsid w:val="00570212"/>
    <w:rsid w:val="00570219"/>
    <w:rsid w:val="00570245"/>
    <w:rsid w:val="00570275"/>
    <w:rsid w:val="005702A2"/>
    <w:rsid w:val="005702FD"/>
    <w:rsid w:val="005703C3"/>
    <w:rsid w:val="00570409"/>
    <w:rsid w:val="00570423"/>
    <w:rsid w:val="00570429"/>
    <w:rsid w:val="0057042A"/>
    <w:rsid w:val="0057045E"/>
    <w:rsid w:val="005704A2"/>
    <w:rsid w:val="005704B3"/>
    <w:rsid w:val="005704B4"/>
    <w:rsid w:val="005704B5"/>
    <w:rsid w:val="005704E2"/>
    <w:rsid w:val="0057054E"/>
    <w:rsid w:val="005705F3"/>
    <w:rsid w:val="00570626"/>
    <w:rsid w:val="005706C2"/>
    <w:rsid w:val="005706E4"/>
    <w:rsid w:val="005706FD"/>
    <w:rsid w:val="00570738"/>
    <w:rsid w:val="0057074B"/>
    <w:rsid w:val="0057076E"/>
    <w:rsid w:val="0057078F"/>
    <w:rsid w:val="00570793"/>
    <w:rsid w:val="00570794"/>
    <w:rsid w:val="0057081E"/>
    <w:rsid w:val="00570855"/>
    <w:rsid w:val="0057090E"/>
    <w:rsid w:val="00570919"/>
    <w:rsid w:val="0057092A"/>
    <w:rsid w:val="00570938"/>
    <w:rsid w:val="0057094E"/>
    <w:rsid w:val="005709B4"/>
    <w:rsid w:val="005709CE"/>
    <w:rsid w:val="00570A39"/>
    <w:rsid w:val="00570A42"/>
    <w:rsid w:val="00570A49"/>
    <w:rsid w:val="00570A51"/>
    <w:rsid w:val="00570A5B"/>
    <w:rsid w:val="00570A6D"/>
    <w:rsid w:val="00570A7D"/>
    <w:rsid w:val="00570AB1"/>
    <w:rsid w:val="00570AFC"/>
    <w:rsid w:val="00570B2E"/>
    <w:rsid w:val="00570B67"/>
    <w:rsid w:val="00570B70"/>
    <w:rsid w:val="00570B77"/>
    <w:rsid w:val="00570BB4"/>
    <w:rsid w:val="00570C44"/>
    <w:rsid w:val="00570C5E"/>
    <w:rsid w:val="00570C8C"/>
    <w:rsid w:val="00570CD8"/>
    <w:rsid w:val="00570CFC"/>
    <w:rsid w:val="00570DB8"/>
    <w:rsid w:val="00570DDB"/>
    <w:rsid w:val="00570E0E"/>
    <w:rsid w:val="00570E2C"/>
    <w:rsid w:val="00570E31"/>
    <w:rsid w:val="00570E74"/>
    <w:rsid w:val="00570E82"/>
    <w:rsid w:val="00570EC6"/>
    <w:rsid w:val="00570FCE"/>
    <w:rsid w:val="00570FD8"/>
    <w:rsid w:val="00571029"/>
    <w:rsid w:val="00571034"/>
    <w:rsid w:val="00571048"/>
    <w:rsid w:val="005710CA"/>
    <w:rsid w:val="0057117D"/>
    <w:rsid w:val="005711AF"/>
    <w:rsid w:val="005711C7"/>
    <w:rsid w:val="005711D9"/>
    <w:rsid w:val="00571242"/>
    <w:rsid w:val="00571254"/>
    <w:rsid w:val="005712E6"/>
    <w:rsid w:val="00571336"/>
    <w:rsid w:val="00571360"/>
    <w:rsid w:val="005713E1"/>
    <w:rsid w:val="0057140A"/>
    <w:rsid w:val="0057141F"/>
    <w:rsid w:val="0057142F"/>
    <w:rsid w:val="00571437"/>
    <w:rsid w:val="00571478"/>
    <w:rsid w:val="005714A8"/>
    <w:rsid w:val="005714E2"/>
    <w:rsid w:val="0057151F"/>
    <w:rsid w:val="00571564"/>
    <w:rsid w:val="00571585"/>
    <w:rsid w:val="0057165F"/>
    <w:rsid w:val="00571679"/>
    <w:rsid w:val="00571729"/>
    <w:rsid w:val="005717BF"/>
    <w:rsid w:val="005717D9"/>
    <w:rsid w:val="00571878"/>
    <w:rsid w:val="005718C3"/>
    <w:rsid w:val="00571971"/>
    <w:rsid w:val="005719A5"/>
    <w:rsid w:val="005719B0"/>
    <w:rsid w:val="00571A3F"/>
    <w:rsid w:val="00571A49"/>
    <w:rsid w:val="00571A58"/>
    <w:rsid w:val="00571A6F"/>
    <w:rsid w:val="00571AB3"/>
    <w:rsid w:val="00571ACD"/>
    <w:rsid w:val="00571ADB"/>
    <w:rsid w:val="00571B00"/>
    <w:rsid w:val="00571B38"/>
    <w:rsid w:val="00571B7F"/>
    <w:rsid w:val="00571B86"/>
    <w:rsid w:val="00571BD4"/>
    <w:rsid w:val="00571BDB"/>
    <w:rsid w:val="00571BF6"/>
    <w:rsid w:val="00571C30"/>
    <w:rsid w:val="00571C44"/>
    <w:rsid w:val="00571C49"/>
    <w:rsid w:val="00571C5E"/>
    <w:rsid w:val="00571C80"/>
    <w:rsid w:val="00571D00"/>
    <w:rsid w:val="00571D0A"/>
    <w:rsid w:val="00571D0C"/>
    <w:rsid w:val="00571D10"/>
    <w:rsid w:val="00571D2C"/>
    <w:rsid w:val="00571D30"/>
    <w:rsid w:val="00571D62"/>
    <w:rsid w:val="00571E20"/>
    <w:rsid w:val="00571E40"/>
    <w:rsid w:val="00571EE3"/>
    <w:rsid w:val="00571FAE"/>
    <w:rsid w:val="00571FC5"/>
    <w:rsid w:val="00571FF2"/>
    <w:rsid w:val="00572001"/>
    <w:rsid w:val="00572031"/>
    <w:rsid w:val="00572048"/>
    <w:rsid w:val="0057209E"/>
    <w:rsid w:val="005720E9"/>
    <w:rsid w:val="00572107"/>
    <w:rsid w:val="00572109"/>
    <w:rsid w:val="00572141"/>
    <w:rsid w:val="005721B6"/>
    <w:rsid w:val="005721F5"/>
    <w:rsid w:val="0057223B"/>
    <w:rsid w:val="00572253"/>
    <w:rsid w:val="0057226E"/>
    <w:rsid w:val="005722A9"/>
    <w:rsid w:val="0057236B"/>
    <w:rsid w:val="00572389"/>
    <w:rsid w:val="0057238F"/>
    <w:rsid w:val="005723B3"/>
    <w:rsid w:val="005723F2"/>
    <w:rsid w:val="00572471"/>
    <w:rsid w:val="005724AE"/>
    <w:rsid w:val="00572504"/>
    <w:rsid w:val="0057253F"/>
    <w:rsid w:val="0057254B"/>
    <w:rsid w:val="00572578"/>
    <w:rsid w:val="0057258E"/>
    <w:rsid w:val="0057264D"/>
    <w:rsid w:val="00572675"/>
    <w:rsid w:val="005726C9"/>
    <w:rsid w:val="005726FB"/>
    <w:rsid w:val="0057272F"/>
    <w:rsid w:val="00572750"/>
    <w:rsid w:val="00572801"/>
    <w:rsid w:val="0057282D"/>
    <w:rsid w:val="00572898"/>
    <w:rsid w:val="005728C4"/>
    <w:rsid w:val="00572998"/>
    <w:rsid w:val="005729D8"/>
    <w:rsid w:val="005729D9"/>
    <w:rsid w:val="00572A1B"/>
    <w:rsid w:val="00572A25"/>
    <w:rsid w:val="00572A47"/>
    <w:rsid w:val="00572A5B"/>
    <w:rsid w:val="00572AD4"/>
    <w:rsid w:val="00572B0D"/>
    <w:rsid w:val="00572B4F"/>
    <w:rsid w:val="00572B77"/>
    <w:rsid w:val="00572B89"/>
    <w:rsid w:val="00572BAC"/>
    <w:rsid w:val="00572BBE"/>
    <w:rsid w:val="00572BD1"/>
    <w:rsid w:val="00572BD5"/>
    <w:rsid w:val="00572C33"/>
    <w:rsid w:val="00572C63"/>
    <w:rsid w:val="00572CC4"/>
    <w:rsid w:val="00572D34"/>
    <w:rsid w:val="00572D3B"/>
    <w:rsid w:val="00572D9C"/>
    <w:rsid w:val="00572DCE"/>
    <w:rsid w:val="00572DE5"/>
    <w:rsid w:val="00572DEE"/>
    <w:rsid w:val="00572DF6"/>
    <w:rsid w:val="00572E21"/>
    <w:rsid w:val="00572EE0"/>
    <w:rsid w:val="00572F16"/>
    <w:rsid w:val="00572F36"/>
    <w:rsid w:val="00572F5B"/>
    <w:rsid w:val="00572F70"/>
    <w:rsid w:val="00572F7A"/>
    <w:rsid w:val="00572FBF"/>
    <w:rsid w:val="00572FC8"/>
    <w:rsid w:val="00572FEB"/>
    <w:rsid w:val="00573011"/>
    <w:rsid w:val="00573078"/>
    <w:rsid w:val="0057307B"/>
    <w:rsid w:val="0057310C"/>
    <w:rsid w:val="0057318D"/>
    <w:rsid w:val="0057319E"/>
    <w:rsid w:val="005731EC"/>
    <w:rsid w:val="00573201"/>
    <w:rsid w:val="0057336E"/>
    <w:rsid w:val="00573402"/>
    <w:rsid w:val="005734C5"/>
    <w:rsid w:val="005734C8"/>
    <w:rsid w:val="005734F9"/>
    <w:rsid w:val="00573511"/>
    <w:rsid w:val="005735C6"/>
    <w:rsid w:val="0057364D"/>
    <w:rsid w:val="0057366C"/>
    <w:rsid w:val="00573689"/>
    <w:rsid w:val="0057368A"/>
    <w:rsid w:val="005736A7"/>
    <w:rsid w:val="005736B3"/>
    <w:rsid w:val="005736CC"/>
    <w:rsid w:val="0057378C"/>
    <w:rsid w:val="00573796"/>
    <w:rsid w:val="005737D7"/>
    <w:rsid w:val="0057383C"/>
    <w:rsid w:val="00573883"/>
    <w:rsid w:val="00573884"/>
    <w:rsid w:val="00573898"/>
    <w:rsid w:val="00573954"/>
    <w:rsid w:val="00573981"/>
    <w:rsid w:val="005739CA"/>
    <w:rsid w:val="005739FD"/>
    <w:rsid w:val="00573A5E"/>
    <w:rsid w:val="00573AA8"/>
    <w:rsid w:val="00573ABD"/>
    <w:rsid w:val="00573AD8"/>
    <w:rsid w:val="00573B22"/>
    <w:rsid w:val="00573B2F"/>
    <w:rsid w:val="00573B38"/>
    <w:rsid w:val="00573B4A"/>
    <w:rsid w:val="00573B83"/>
    <w:rsid w:val="00573BC0"/>
    <w:rsid w:val="00573BF6"/>
    <w:rsid w:val="00573C64"/>
    <w:rsid w:val="00573DE8"/>
    <w:rsid w:val="00573E1E"/>
    <w:rsid w:val="00573E94"/>
    <w:rsid w:val="00573EF9"/>
    <w:rsid w:val="00573F47"/>
    <w:rsid w:val="00573F4F"/>
    <w:rsid w:val="00573F7B"/>
    <w:rsid w:val="00573FB9"/>
    <w:rsid w:val="00573FEB"/>
    <w:rsid w:val="00574084"/>
    <w:rsid w:val="0057409A"/>
    <w:rsid w:val="005740E6"/>
    <w:rsid w:val="005740F6"/>
    <w:rsid w:val="00574133"/>
    <w:rsid w:val="00574134"/>
    <w:rsid w:val="005741A0"/>
    <w:rsid w:val="005741CA"/>
    <w:rsid w:val="0057422B"/>
    <w:rsid w:val="00574274"/>
    <w:rsid w:val="0057429B"/>
    <w:rsid w:val="005742AF"/>
    <w:rsid w:val="005742F2"/>
    <w:rsid w:val="005742F7"/>
    <w:rsid w:val="00574319"/>
    <w:rsid w:val="00574393"/>
    <w:rsid w:val="00574399"/>
    <w:rsid w:val="005743BA"/>
    <w:rsid w:val="00574449"/>
    <w:rsid w:val="005744A0"/>
    <w:rsid w:val="005744C9"/>
    <w:rsid w:val="005744F7"/>
    <w:rsid w:val="0057451C"/>
    <w:rsid w:val="0057451D"/>
    <w:rsid w:val="00574520"/>
    <w:rsid w:val="00574551"/>
    <w:rsid w:val="0057459B"/>
    <w:rsid w:val="005745EC"/>
    <w:rsid w:val="005745ED"/>
    <w:rsid w:val="005745F8"/>
    <w:rsid w:val="00574612"/>
    <w:rsid w:val="00574618"/>
    <w:rsid w:val="00574626"/>
    <w:rsid w:val="00574627"/>
    <w:rsid w:val="00574629"/>
    <w:rsid w:val="0057463F"/>
    <w:rsid w:val="005746BA"/>
    <w:rsid w:val="005746BB"/>
    <w:rsid w:val="005746C7"/>
    <w:rsid w:val="005746F8"/>
    <w:rsid w:val="0057470E"/>
    <w:rsid w:val="00574713"/>
    <w:rsid w:val="0057474E"/>
    <w:rsid w:val="00574778"/>
    <w:rsid w:val="005747A8"/>
    <w:rsid w:val="005747A9"/>
    <w:rsid w:val="005747DA"/>
    <w:rsid w:val="00574848"/>
    <w:rsid w:val="0057487F"/>
    <w:rsid w:val="00574894"/>
    <w:rsid w:val="005748AE"/>
    <w:rsid w:val="005748BE"/>
    <w:rsid w:val="005748D3"/>
    <w:rsid w:val="005748DB"/>
    <w:rsid w:val="0057492B"/>
    <w:rsid w:val="0057495E"/>
    <w:rsid w:val="00574968"/>
    <w:rsid w:val="0057497B"/>
    <w:rsid w:val="0057497F"/>
    <w:rsid w:val="00574991"/>
    <w:rsid w:val="005749C6"/>
    <w:rsid w:val="005749E9"/>
    <w:rsid w:val="00574A30"/>
    <w:rsid w:val="00574A3F"/>
    <w:rsid w:val="00574A52"/>
    <w:rsid w:val="00574A88"/>
    <w:rsid w:val="00574ACF"/>
    <w:rsid w:val="00574B31"/>
    <w:rsid w:val="00574B3A"/>
    <w:rsid w:val="00574C06"/>
    <w:rsid w:val="00574C89"/>
    <w:rsid w:val="00574CB2"/>
    <w:rsid w:val="00574CDC"/>
    <w:rsid w:val="00574D6D"/>
    <w:rsid w:val="00574E29"/>
    <w:rsid w:val="00574E39"/>
    <w:rsid w:val="00574EBB"/>
    <w:rsid w:val="00574EEB"/>
    <w:rsid w:val="00574F85"/>
    <w:rsid w:val="00574F8C"/>
    <w:rsid w:val="005750B6"/>
    <w:rsid w:val="005750B9"/>
    <w:rsid w:val="005750C9"/>
    <w:rsid w:val="00575199"/>
    <w:rsid w:val="00575225"/>
    <w:rsid w:val="00575249"/>
    <w:rsid w:val="005752D5"/>
    <w:rsid w:val="005752E5"/>
    <w:rsid w:val="005753FF"/>
    <w:rsid w:val="00575437"/>
    <w:rsid w:val="00575441"/>
    <w:rsid w:val="00575456"/>
    <w:rsid w:val="005754A5"/>
    <w:rsid w:val="005754F8"/>
    <w:rsid w:val="0057553C"/>
    <w:rsid w:val="0057555B"/>
    <w:rsid w:val="00575576"/>
    <w:rsid w:val="0057558A"/>
    <w:rsid w:val="005755FD"/>
    <w:rsid w:val="005755FF"/>
    <w:rsid w:val="005756A3"/>
    <w:rsid w:val="005756AE"/>
    <w:rsid w:val="00575712"/>
    <w:rsid w:val="00575713"/>
    <w:rsid w:val="00575759"/>
    <w:rsid w:val="00575776"/>
    <w:rsid w:val="0057577B"/>
    <w:rsid w:val="00575781"/>
    <w:rsid w:val="0057582C"/>
    <w:rsid w:val="0057582F"/>
    <w:rsid w:val="005758BF"/>
    <w:rsid w:val="005758E7"/>
    <w:rsid w:val="00575982"/>
    <w:rsid w:val="00575988"/>
    <w:rsid w:val="00575A18"/>
    <w:rsid w:val="00575A94"/>
    <w:rsid w:val="00575B5B"/>
    <w:rsid w:val="00575BE1"/>
    <w:rsid w:val="00575C30"/>
    <w:rsid w:val="00575C4B"/>
    <w:rsid w:val="00575C61"/>
    <w:rsid w:val="00575C83"/>
    <w:rsid w:val="00575CB2"/>
    <w:rsid w:val="00575CB9"/>
    <w:rsid w:val="00575DD2"/>
    <w:rsid w:val="00575DDE"/>
    <w:rsid w:val="00575DF5"/>
    <w:rsid w:val="00575E13"/>
    <w:rsid w:val="00575E31"/>
    <w:rsid w:val="00575E8F"/>
    <w:rsid w:val="00575E92"/>
    <w:rsid w:val="00575EA5"/>
    <w:rsid w:val="00575EB7"/>
    <w:rsid w:val="00575EBD"/>
    <w:rsid w:val="00575F16"/>
    <w:rsid w:val="00575F66"/>
    <w:rsid w:val="00575FD5"/>
    <w:rsid w:val="0057603E"/>
    <w:rsid w:val="00576071"/>
    <w:rsid w:val="0057611A"/>
    <w:rsid w:val="0057615B"/>
    <w:rsid w:val="00576195"/>
    <w:rsid w:val="0057627B"/>
    <w:rsid w:val="0057628F"/>
    <w:rsid w:val="005762B5"/>
    <w:rsid w:val="005762DC"/>
    <w:rsid w:val="0057633F"/>
    <w:rsid w:val="0057637C"/>
    <w:rsid w:val="005763D1"/>
    <w:rsid w:val="0057641E"/>
    <w:rsid w:val="0057645A"/>
    <w:rsid w:val="005764A5"/>
    <w:rsid w:val="005764B0"/>
    <w:rsid w:val="00576539"/>
    <w:rsid w:val="00576559"/>
    <w:rsid w:val="00576596"/>
    <w:rsid w:val="0057659C"/>
    <w:rsid w:val="005765C8"/>
    <w:rsid w:val="005765DC"/>
    <w:rsid w:val="005765F0"/>
    <w:rsid w:val="005765FA"/>
    <w:rsid w:val="005766BA"/>
    <w:rsid w:val="0057672A"/>
    <w:rsid w:val="00576742"/>
    <w:rsid w:val="00576760"/>
    <w:rsid w:val="0057676F"/>
    <w:rsid w:val="00576794"/>
    <w:rsid w:val="005767B9"/>
    <w:rsid w:val="005767D6"/>
    <w:rsid w:val="005767DA"/>
    <w:rsid w:val="00576888"/>
    <w:rsid w:val="00576896"/>
    <w:rsid w:val="005768D9"/>
    <w:rsid w:val="0057699E"/>
    <w:rsid w:val="005769A6"/>
    <w:rsid w:val="005769BB"/>
    <w:rsid w:val="00576A69"/>
    <w:rsid w:val="00576AB0"/>
    <w:rsid w:val="00576B3D"/>
    <w:rsid w:val="00576B53"/>
    <w:rsid w:val="00576B8D"/>
    <w:rsid w:val="00576BB5"/>
    <w:rsid w:val="00576BC9"/>
    <w:rsid w:val="00576BCF"/>
    <w:rsid w:val="00576C17"/>
    <w:rsid w:val="00576C3F"/>
    <w:rsid w:val="00576CA8"/>
    <w:rsid w:val="00576CCE"/>
    <w:rsid w:val="00576D72"/>
    <w:rsid w:val="00576D9B"/>
    <w:rsid w:val="00576E2B"/>
    <w:rsid w:val="00576E68"/>
    <w:rsid w:val="00576EA8"/>
    <w:rsid w:val="00576EC2"/>
    <w:rsid w:val="00576F2A"/>
    <w:rsid w:val="00576F3F"/>
    <w:rsid w:val="00576F48"/>
    <w:rsid w:val="00576FB0"/>
    <w:rsid w:val="00576FB8"/>
    <w:rsid w:val="00576FFD"/>
    <w:rsid w:val="0057705A"/>
    <w:rsid w:val="0057718D"/>
    <w:rsid w:val="005771E8"/>
    <w:rsid w:val="0057725A"/>
    <w:rsid w:val="0057725B"/>
    <w:rsid w:val="0057728C"/>
    <w:rsid w:val="005772B4"/>
    <w:rsid w:val="005772D7"/>
    <w:rsid w:val="00577304"/>
    <w:rsid w:val="00577323"/>
    <w:rsid w:val="00577324"/>
    <w:rsid w:val="005773B1"/>
    <w:rsid w:val="0057744F"/>
    <w:rsid w:val="005774A7"/>
    <w:rsid w:val="005774B2"/>
    <w:rsid w:val="00577513"/>
    <w:rsid w:val="00577528"/>
    <w:rsid w:val="00577561"/>
    <w:rsid w:val="00577562"/>
    <w:rsid w:val="00577566"/>
    <w:rsid w:val="0057756F"/>
    <w:rsid w:val="00577572"/>
    <w:rsid w:val="0057761D"/>
    <w:rsid w:val="0057768A"/>
    <w:rsid w:val="005776E7"/>
    <w:rsid w:val="0057777C"/>
    <w:rsid w:val="005777B7"/>
    <w:rsid w:val="00577823"/>
    <w:rsid w:val="0057782D"/>
    <w:rsid w:val="005778DA"/>
    <w:rsid w:val="005778E8"/>
    <w:rsid w:val="005778FD"/>
    <w:rsid w:val="0057790F"/>
    <w:rsid w:val="00577911"/>
    <w:rsid w:val="0057792C"/>
    <w:rsid w:val="00577965"/>
    <w:rsid w:val="00577989"/>
    <w:rsid w:val="0057798E"/>
    <w:rsid w:val="005779C7"/>
    <w:rsid w:val="00577A62"/>
    <w:rsid w:val="00577A6F"/>
    <w:rsid w:val="00577ABD"/>
    <w:rsid w:val="00577AFD"/>
    <w:rsid w:val="00577B30"/>
    <w:rsid w:val="00577B40"/>
    <w:rsid w:val="00577B51"/>
    <w:rsid w:val="00577B8A"/>
    <w:rsid w:val="00577B9D"/>
    <w:rsid w:val="00577C21"/>
    <w:rsid w:val="00577C2A"/>
    <w:rsid w:val="00577C36"/>
    <w:rsid w:val="00577C82"/>
    <w:rsid w:val="00577C84"/>
    <w:rsid w:val="00577CBA"/>
    <w:rsid w:val="00577CC2"/>
    <w:rsid w:val="00577CD6"/>
    <w:rsid w:val="00577CD7"/>
    <w:rsid w:val="00577CF6"/>
    <w:rsid w:val="00577D2C"/>
    <w:rsid w:val="00577D56"/>
    <w:rsid w:val="00577E4B"/>
    <w:rsid w:val="00577E58"/>
    <w:rsid w:val="00577E67"/>
    <w:rsid w:val="00577E98"/>
    <w:rsid w:val="00577EDB"/>
    <w:rsid w:val="00577EEC"/>
    <w:rsid w:val="00577F14"/>
    <w:rsid w:val="00577F2E"/>
    <w:rsid w:val="00577F83"/>
    <w:rsid w:val="00577FA4"/>
    <w:rsid w:val="00577FC4"/>
    <w:rsid w:val="00577FC6"/>
    <w:rsid w:val="00577FE2"/>
    <w:rsid w:val="00577FF7"/>
    <w:rsid w:val="00577FFD"/>
    <w:rsid w:val="00580002"/>
    <w:rsid w:val="00580009"/>
    <w:rsid w:val="0058001F"/>
    <w:rsid w:val="00580025"/>
    <w:rsid w:val="00580054"/>
    <w:rsid w:val="00580068"/>
    <w:rsid w:val="0058006A"/>
    <w:rsid w:val="00580097"/>
    <w:rsid w:val="005800B3"/>
    <w:rsid w:val="00580112"/>
    <w:rsid w:val="00580175"/>
    <w:rsid w:val="005801D6"/>
    <w:rsid w:val="005801E9"/>
    <w:rsid w:val="005801FD"/>
    <w:rsid w:val="005801FF"/>
    <w:rsid w:val="0058022D"/>
    <w:rsid w:val="0058027C"/>
    <w:rsid w:val="0058029D"/>
    <w:rsid w:val="005802D4"/>
    <w:rsid w:val="0058031C"/>
    <w:rsid w:val="00580339"/>
    <w:rsid w:val="0058037A"/>
    <w:rsid w:val="005804F2"/>
    <w:rsid w:val="0058053A"/>
    <w:rsid w:val="00580555"/>
    <w:rsid w:val="0058055B"/>
    <w:rsid w:val="0058056C"/>
    <w:rsid w:val="00580585"/>
    <w:rsid w:val="005805EC"/>
    <w:rsid w:val="00580609"/>
    <w:rsid w:val="00580646"/>
    <w:rsid w:val="005806B0"/>
    <w:rsid w:val="005806D1"/>
    <w:rsid w:val="0058072F"/>
    <w:rsid w:val="005807AE"/>
    <w:rsid w:val="0058080D"/>
    <w:rsid w:val="0058085E"/>
    <w:rsid w:val="00580867"/>
    <w:rsid w:val="0058087D"/>
    <w:rsid w:val="0058088D"/>
    <w:rsid w:val="00580923"/>
    <w:rsid w:val="00580960"/>
    <w:rsid w:val="0058099D"/>
    <w:rsid w:val="005809CE"/>
    <w:rsid w:val="00580A1C"/>
    <w:rsid w:val="00580A5E"/>
    <w:rsid w:val="00580A8D"/>
    <w:rsid w:val="00580ABD"/>
    <w:rsid w:val="00580ACC"/>
    <w:rsid w:val="00580ADE"/>
    <w:rsid w:val="00580AED"/>
    <w:rsid w:val="00580AF2"/>
    <w:rsid w:val="00580B43"/>
    <w:rsid w:val="00580BD1"/>
    <w:rsid w:val="00580BED"/>
    <w:rsid w:val="00580C01"/>
    <w:rsid w:val="00580C17"/>
    <w:rsid w:val="00580C5E"/>
    <w:rsid w:val="00580D0B"/>
    <w:rsid w:val="00580D4A"/>
    <w:rsid w:val="00580D60"/>
    <w:rsid w:val="00580DA2"/>
    <w:rsid w:val="00580DB4"/>
    <w:rsid w:val="00580DC9"/>
    <w:rsid w:val="00580E08"/>
    <w:rsid w:val="00580E17"/>
    <w:rsid w:val="00580E61"/>
    <w:rsid w:val="00580EA5"/>
    <w:rsid w:val="00580EEE"/>
    <w:rsid w:val="00580EF8"/>
    <w:rsid w:val="00580EFA"/>
    <w:rsid w:val="00580EFB"/>
    <w:rsid w:val="00580FD9"/>
    <w:rsid w:val="00580FF5"/>
    <w:rsid w:val="0058103B"/>
    <w:rsid w:val="0058105D"/>
    <w:rsid w:val="00581071"/>
    <w:rsid w:val="00581082"/>
    <w:rsid w:val="00581116"/>
    <w:rsid w:val="00581158"/>
    <w:rsid w:val="005811FA"/>
    <w:rsid w:val="00581273"/>
    <w:rsid w:val="005812E2"/>
    <w:rsid w:val="0058131D"/>
    <w:rsid w:val="00581375"/>
    <w:rsid w:val="0058137B"/>
    <w:rsid w:val="005813BA"/>
    <w:rsid w:val="005813E4"/>
    <w:rsid w:val="00581461"/>
    <w:rsid w:val="005814DE"/>
    <w:rsid w:val="005814E1"/>
    <w:rsid w:val="005814EE"/>
    <w:rsid w:val="005814FA"/>
    <w:rsid w:val="00581549"/>
    <w:rsid w:val="005815A0"/>
    <w:rsid w:val="005815BD"/>
    <w:rsid w:val="00581688"/>
    <w:rsid w:val="005816B1"/>
    <w:rsid w:val="00581759"/>
    <w:rsid w:val="00581797"/>
    <w:rsid w:val="005817B5"/>
    <w:rsid w:val="005817D1"/>
    <w:rsid w:val="0058183F"/>
    <w:rsid w:val="00581877"/>
    <w:rsid w:val="005818A8"/>
    <w:rsid w:val="005818EF"/>
    <w:rsid w:val="00581912"/>
    <w:rsid w:val="00581926"/>
    <w:rsid w:val="00581961"/>
    <w:rsid w:val="0058196B"/>
    <w:rsid w:val="0058197A"/>
    <w:rsid w:val="0058198B"/>
    <w:rsid w:val="005819C9"/>
    <w:rsid w:val="00581A68"/>
    <w:rsid w:val="00581A9E"/>
    <w:rsid w:val="00581AE8"/>
    <w:rsid w:val="00581B06"/>
    <w:rsid w:val="00581B48"/>
    <w:rsid w:val="00581B74"/>
    <w:rsid w:val="00581C91"/>
    <w:rsid w:val="00581CB1"/>
    <w:rsid w:val="00581CE7"/>
    <w:rsid w:val="00581D02"/>
    <w:rsid w:val="00581D54"/>
    <w:rsid w:val="00581D70"/>
    <w:rsid w:val="00581D98"/>
    <w:rsid w:val="00581E04"/>
    <w:rsid w:val="00581E0E"/>
    <w:rsid w:val="00581E10"/>
    <w:rsid w:val="00581E23"/>
    <w:rsid w:val="00581E2C"/>
    <w:rsid w:val="00581E5E"/>
    <w:rsid w:val="00581E8A"/>
    <w:rsid w:val="00581EDE"/>
    <w:rsid w:val="00581F1B"/>
    <w:rsid w:val="00581F60"/>
    <w:rsid w:val="00581F74"/>
    <w:rsid w:val="00581FB6"/>
    <w:rsid w:val="00581FBA"/>
    <w:rsid w:val="00582036"/>
    <w:rsid w:val="00582054"/>
    <w:rsid w:val="00582069"/>
    <w:rsid w:val="00582079"/>
    <w:rsid w:val="005820BC"/>
    <w:rsid w:val="005820F4"/>
    <w:rsid w:val="00582102"/>
    <w:rsid w:val="00582105"/>
    <w:rsid w:val="0058213C"/>
    <w:rsid w:val="00582175"/>
    <w:rsid w:val="005821A2"/>
    <w:rsid w:val="005821E6"/>
    <w:rsid w:val="005821FA"/>
    <w:rsid w:val="0058222A"/>
    <w:rsid w:val="0058223E"/>
    <w:rsid w:val="0058226D"/>
    <w:rsid w:val="005822B0"/>
    <w:rsid w:val="005822E4"/>
    <w:rsid w:val="00582305"/>
    <w:rsid w:val="00582323"/>
    <w:rsid w:val="005823B1"/>
    <w:rsid w:val="005823C0"/>
    <w:rsid w:val="00582492"/>
    <w:rsid w:val="00582499"/>
    <w:rsid w:val="00582553"/>
    <w:rsid w:val="00582566"/>
    <w:rsid w:val="00582581"/>
    <w:rsid w:val="0058259E"/>
    <w:rsid w:val="005825B5"/>
    <w:rsid w:val="005825FC"/>
    <w:rsid w:val="0058260C"/>
    <w:rsid w:val="0058261A"/>
    <w:rsid w:val="0058263A"/>
    <w:rsid w:val="0058266E"/>
    <w:rsid w:val="00582672"/>
    <w:rsid w:val="00582686"/>
    <w:rsid w:val="00582691"/>
    <w:rsid w:val="005826C8"/>
    <w:rsid w:val="0058270D"/>
    <w:rsid w:val="00582714"/>
    <w:rsid w:val="00582776"/>
    <w:rsid w:val="00582783"/>
    <w:rsid w:val="00582793"/>
    <w:rsid w:val="005827BE"/>
    <w:rsid w:val="005827FD"/>
    <w:rsid w:val="00582824"/>
    <w:rsid w:val="00582871"/>
    <w:rsid w:val="00582872"/>
    <w:rsid w:val="00582923"/>
    <w:rsid w:val="0058294B"/>
    <w:rsid w:val="0058297E"/>
    <w:rsid w:val="005829CE"/>
    <w:rsid w:val="00582A1C"/>
    <w:rsid w:val="00582A61"/>
    <w:rsid w:val="00582AC7"/>
    <w:rsid w:val="00582AED"/>
    <w:rsid w:val="00582B10"/>
    <w:rsid w:val="00582B4F"/>
    <w:rsid w:val="00582B66"/>
    <w:rsid w:val="00582B85"/>
    <w:rsid w:val="00582BE8"/>
    <w:rsid w:val="00582BFA"/>
    <w:rsid w:val="00582C10"/>
    <w:rsid w:val="00582C17"/>
    <w:rsid w:val="00582C7A"/>
    <w:rsid w:val="00582CA3"/>
    <w:rsid w:val="00582CDD"/>
    <w:rsid w:val="00582CEC"/>
    <w:rsid w:val="00582CF6"/>
    <w:rsid w:val="00582D07"/>
    <w:rsid w:val="00582D5C"/>
    <w:rsid w:val="00582DAD"/>
    <w:rsid w:val="00582DC1"/>
    <w:rsid w:val="00582E47"/>
    <w:rsid w:val="00582EAA"/>
    <w:rsid w:val="00582EB3"/>
    <w:rsid w:val="00582ED3"/>
    <w:rsid w:val="00582ED7"/>
    <w:rsid w:val="00582F15"/>
    <w:rsid w:val="00582F1F"/>
    <w:rsid w:val="00582F29"/>
    <w:rsid w:val="00582F98"/>
    <w:rsid w:val="00583005"/>
    <w:rsid w:val="00583034"/>
    <w:rsid w:val="00583073"/>
    <w:rsid w:val="0058308B"/>
    <w:rsid w:val="005830D1"/>
    <w:rsid w:val="00583107"/>
    <w:rsid w:val="0058313B"/>
    <w:rsid w:val="0058316B"/>
    <w:rsid w:val="00583171"/>
    <w:rsid w:val="005831A9"/>
    <w:rsid w:val="00583252"/>
    <w:rsid w:val="00583267"/>
    <w:rsid w:val="0058327B"/>
    <w:rsid w:val="00583367"/>
    <w:rsid w:val="005833A9"/>
    <w:rsid w:val="005833B3"/>
    <w:rsid w:val="005833C7"/>
    <w:rsid w:val="005833CD"/>
    <w:rsid w:val="005833F1"/>
    <w:rsid w:val="00583445"/>
    <w:rsid w:val="005834AE"/>
    <w:rsid w:val="00583509"/>
    <w:rsid w:val="00583561"/>
    <w:rsid w:val="00583566"/>
    <w:rsid w:val="005835CB"/>
    <w:rsid w:val="005835DD"/>
    <w:rsid w:val="00583616"/>
    <w:rsid w:val="0058363E"/>
    <w:rsid w:val="005836A1"/>
    <w:rsid w:val="00583731"/>
    <w:rsid w:val="00583742"/>
    <w:rsid w:val="0058378B"/>
    <w:rsid w:val="005837FD"/>
    <w:rsid w:val="00583829"/>
    <w:rsid w:val="00583884"/>
    <w:rsid w:val="005838AC"/>
    <w:rsid w:val="005838E8"/>
    <w:rsid w:val="005838F7"/>
    <w:rsid w:val="005838FA"/>
    <w:rsid w:val="0058392B"/>
    <w:rsid w:val="00583954"/>
    <w:rsid w:val="0058398A"/>
    <w:rsid w:val="005839A0"/>
    <w:rsid w:val="005839E3"/>
    <w:rsid w:val="00583A28"/>
    <w:rsid w:val="00583A37"/>
    <w:rsid w:val="00583A3D"/>
    <w:rsid w:val="00583AA9"/>
    <w:rsid w:val="00583AC3"/>
    <w:rsid w:val="00583B09"/>
    <w:rsid w:val="00583B3D"/>
    <w:rsid w:val="00583B4B"/>
    <w:rsid w:val="00583B61"/>
    <w:rsid w:val="00583BC1"/>
    <w:rsid w:val="00583BCF"/>
    <w:rsid w:val="00583BD0"/>
    <w:rsid w:val="00583C1F"/>
    <w:rsid w:val="00583CA0"/>
    <w:rsid w:val="00583CAD"/>
    <w:rsid w:val="00583CF7"/>
    <w:rsid w:val="00583D17"/>
    <w:rsid w:val="00583D24"/>
    <w:rsid w:val="00583D70"/>
    <w:rsid w:val="00583DBE"/>
    <w:rsid w:val="00583DF4"/>
    <w:rsid w:val="00583E1C"/>
    <w:rsid w:val="00583E34"/>
    <w:rsid w:val="00583ED8"/>
    <w:rsid w:val="00583EDF"/>
    <w:rsid w:val="00583EFE"/>
    <w:rsid w:val="00583F40"/>
    <w:rsid w:val="00583F78"/>
    <w:rsid w:val="00583FB5"/>
    <w:rsid w:val="00583FF9"/>
    <w:rsid w:val="00583FFD"/>
    <w:rsid w:val="00584048"/>
    <w:rsid w:val="00584075"/>
    <w:rsid w:val="005840BA"/>
    <w:rsid w:val="00584160"/>
    <w:rsid w:val="005841C6"/>
    <w:rsid w:val="005841E3"/>
    <w:rsid w:val="005841FE"/>
    <w:rsid w:val="00584210"/>
    <w:rsid w:val="00584216"/>
    <w:rsid w:val="00584220"/>
    <w:rsid w:val="0058425B"/>
    <w:rsid w:val="005842C1"/>
    <w:rsid w:val="005842C4"/>
    <w:rsid w:val="005842D9"/>
    <w:rsid w:val="005842F5"/>
    <w:rsid w:val="0058433E"/>
    <w:rsid w:val="005843AF"/>
    <w:rsid w:val="005843D5"/>
    <w:rsid w:val="00584429"/>
    <w:rsid w:val="005844AA"/>
    <w:rsid w:val="005844BD"/>
    <w:rsid w:val="005844DA"/>
    <w:rsid w:val="005844EA"/>
    <w:rsid w:val="0058451C"/>
    <w:rsid w:val="00584522"/>
    <w:rsid w:val="0058456D"/>
    <w:rsid w:val="005845C9"/>
    <w:rsid w:val="0058464C"/>
    <w:rsid w:val="005847C4"/>
    <w:rsid w:val="0058480A"/>
    <w:rsid w:val="00584815"/>
    <w:rsid w:val="00584857"/>
    <w:rsid w:val="005848F4"/>
    <w:rsid w:val="00584905"/>
    <w:rsid w:val="0058491F"/>
    <w:rsid w:val="00584947"/>
    <w:rsid w:val="00584969"/>
    <w:rsid w:val="00584A19"/>
    <w:rsid w:val="00584A73"/>
    <w:rsid w:val="00584AB3"/>
    <w:rsid w:val="00584B57"/>
    <w:rsid w:val="00584B85"/>
    <w:rsid w:val="00584BAD"/>
    <w:rsid w:val="00584BEE"/>
    <w:rsid w:val="00584C2D"/>
    <w:rsid w:val="00584C4B"/>
    <w:rsid w:val="00584C6F"/>
    <w:rsid w:val="00584C79"/>
    <w:rsid w:val="00584CFF"/>
    <w:rsid w:val="00584D41"/>
    <w:rsid w:val="00584D44"/>
    <w:rsid w:val="00584D74"/>
    <w:rsid w:val="00584E00"/>
    <w:rsid w:val="00584E5F"/>
    <w:rsid w:val="00584EBD"/>
    <w:rsid w:val="00584EE2"/>
    <w:rsid w:val="00584F05"/>
    <w:rsid w:val="00584F48"/>
    <w:rsid w:val="00584F8F"/>
    <w:rsid w:val="00584FD7"/>
    <w:rsid w:val="00585021"/>
    <w:rsid w:val="00585027"/>
    <w:rsid w:val="0058503E"/>
    <w:rsid w:val="0058504E"/>
    <w:rsid w:val="00585055"/>
    <w:rsid w:val="00585057"/>
    <w:rsid w:val="005850AB"/>
    <w:rsid w:val="005850C5"/>
    <w:rsid w:val="005850E9"/>
    <w:rsid w:val="005850FF"/>
    <w:rsid w:val="0058511B"/>
    <w:rsid w:val="00585136"/>
    <w:rsid w:val="00585164"/>
    <w:rsid w:val="0058516E"/>
    <w:rsid w:val="005851A2"/>
    <w:rsid w:val="005851DA"/>
    <w:rsid w:val="0058521C"/>
    <w:rsid w:val="0058523D"/>
    <w:rsid w:val="0058523E"/>
    <w:rsid w:val="005853B2"/>
    <w:rsid w:val="005853D7"/>
    <w:rsid w:val="005853E7"/>
    <w:rsid w:val="005853F1"/>
    <w:rsid w:val="00585405"/>
    <w:rsid w:val="0058544E"/>
    <w:rsid w:val="0058548B"/>
    <w:rsid w:val="005854A7"/>
    <w:rsid w:val="005854B9"/>
    <w:rsid w:val="005854BE"/>
    <w:rsid w:val="005854C8"/>
    <w:rsid w:val="005854E0"/>
    <w:rsid w:val="00585519"/>
    <w:rsid w:val="00585561"/>
    <w:rsid w:val="00585594"/>
    <w:rsid w:val="00585650"/>
    <w:rsid w:val="0058568C"/>
    <w:rsid w:val="005856CD"/>
    <w:rsid w:val="0058570D"/>
    <w:rsid w:val="0058578C"/>
    <w:rsid w:val="00585791"/>
    <w:rsid w:val="005857B8"/>
    <w:rsid w:val="005857F6"/>
    <w:rsid w:val="0058585C"/>
    <w:rsid w:val="00585894"/>
    <w:rsid w:val="005858B9"/>
    <w:rsid w:val="005858ED"/>
    <w:rsid w:val="00585922"/>
    <w:rsid w:val="0058592A"/>
    <w:rsid w:val="00585937"/>
    <w:rsid w:val="0058596A"/>
    <w:rsid w:val="005859A7"/>
    <w:rsid w:val="005859F7"/>
    <w:rsid w:val="00585A32"/>
    <w:rsid w:val="00585A4E"/>
    <w:rsid w:val="00585A66"/>
    <w:rsid w:val="00585A73"/>
    <w:rsid w:val="00585AC0"/>
    <w:rsid w:val="00585AD4"/>
    <w:rsid w:val="00585AE3"/>
    <w:rsid w:val="00585B06"/>
    <w:rsid w:val="00585B81"/>
    <w:rsid w:val="00585BDA"/>
    <w:rsid w:val="00585BEE"/>
    <w:rsid w:val="00585C32"/>
    <w:rsid w:val="00585C63"/>
    <w:rsid w:val="00585C76"/>
    <w:rsid w:val="00585CA7"/>
    <w:rsid w:val="00585CDC"/>
    <w:rsid w:val="00585D0B"/>
    <w:rsid w:val="00585D3B"/>
    <w:rsid w:val="00585D75"/>
    <w:rsid w:val="00585D79"/>
    <w:rsid w:val="00585D81"/>
    <w:rsid w:val="00585D91"/>
    <w:rsid w:val="00585D93"/>
    <w:rsid w:val="00585D99"/>
    <w:rsid w:val="00585DBA"/>
    <w:rsid w:val="00585E15"/>
    <w:rsid w:val="00585E1E"/>
    <w:rsid w:val="00585E69"/>
    <w:rsid w:val="00585E70"/>
    <w:rsid w:val="00585FBE"/>
    <w:rsid w:val="00586069"/>
    <w:rsid w:val="005860AB"/>
    <w:rsid w:val="005860C9"/>
    <w:rsid w:val="005860E0"/>
    <w:rsid w:val="00586107"/>
    <w:rsid w:val="00586111"/>
    <w:rsid w:val="00586167"/>
    <w:rsid w:val="005861A2"/>
    <w:rsid w:val="005861A6"/>
    <w:rsid w:val="0058622B"/>
    <w:rsid w:val="00586294"/>
    <w:rsid w:val="005862C1"/>
    <w:rsid w:val="005862CE"/>
    <w:rsid w:val="0058637A"/>
    <w:rsid w:val="005863BF"/>
    <w:rsid w:val="005863EA"/>
    <w:rsid w:val="0058645A"/>
    <w:rsid w:val="00586465"/>
    <w:rsid w:val="0058647D"/>
    <w:rsid w:val="00586480"/>
    <w:rsid w:val="00586483"/>
    <w:rsid w:val="0058648D"/>
    <w:rsid w:val="005864F8"/>
    <w:rsid w:val="005864FE"/>
    <w:rsid w:val="0058653F"/>
    <w:rsid w:val="00586587"/>
    <w:rsid w:val="0058659A"/>
    <w:rsid w:val="005865BB"/>
    <w:rsid w:val="005865CB"/>
    <w:rsid w:val="00586635"/>
    <w:rsid w:val="0058663F"/>
    <w:rsid w:val="0058668B"/>
    <w:rsid w:val="0058669B"/>
    <w:rsid w:val="005866D5"/>
    <w:rsid w:val="0058671E"/>
    <w:rsid w:val="0058672B"/>
    <w:rsid w:val="00586738"/>
    <w:rsid w:val="00586754"/>
    <w:rsid w:val="00586793"/>
    <w:rsid w:val="00586829"/>
    <w:rsid w:val="005868AF"/>
    <w:rsid w:val="005868E1"/>
    <w:rsid w:val="005868F6"/>
    <w:rsid w:val="005868F8"/>
    <w:rsid w:val="00586937"/>
    <w:rsid w:val="00586A12"/>
    <w:rsid w:val="00586A16"/>
    <w:rsid w:val="00586A55"/>
    <w:rsid w:val="00586A71"/>
    <w:rsid w:val="00586A77"/>
    <w:rsid w:val="00586ABF"/>
    <w:rsid w:val="00586ACB"/>
    <w:rsid w:val="00586AF8"/>
    <w:rsid w:val="00586B1B"/>
    <w:rsid w:val="00586B4C"/>
    <w:rsid w:val="00586B5D"/>
    <w:rsid w:val="00586B61"/>
    <w:rsid w:val="00586BD6"/>
    <w:rsid w:val="00586BDF"/>
    <w:rsid w:val="00586C40"/>
    <w:rsid w:val="00586C54"/>
    <w:rsid w:val="00586CC6"/>
    <w:rsid w:val="00586CCF"/>
    <w:rsid w:val="00586D33"/>
    <w:rsid w:val="00586D58"/>
    <w:rsid w:val="00586D96"/>
    <w:rsid w:val="00586DC5"/>
    <w:rsid w:val="00586DE7"/>
    <w:rsid w:val="00586DEB"/>
    <w:rsid w:val="00586E3A"/>
    <w:rsid w:val="00586E62"/>
    <w:rsid w:val="00586E93"/>
    <w:rsid w:val="00586E95"/>
    <w:rsid w:val="00586ED3"/>
    <w:rsid w:val="00586F53"/>
    <w:rsid w:val="00586FB2"/>
    <w:rsid w:val="00586FCF"/>
    <w:rsid w:val="00586FED"/>
    <w:rsid w:val="0058700A"/>
    <w:rsid w:val="00587026"/>
    <w:rsid w:val="005870CC"/>
    <w:rsid w:val="0058713C"/>
    <w:rsid w:val="0058715D"/>
    <w:rsid w:val="005871AC"/>
    <w:rsid w:val="005871E1"/>
    <w:rsid w:val="0058720E"/>
    <w:rsid w:val="00587219"/>
    <w:rsid w:val="0058721E"/>
    <w:rsid w:val="00587262"/>
    <w:rsid w:val="005872D5"/>
    <w:rsid w:val="005872E8"/>
    <w:rsid w:val="0058731D"/>
    <w:rsid w:val="00587323"/>
    <w:rsid w:val="0058732E"/>
    <w:rsid w:val="0058733E"/>
    <w:rsid w:val="00587397"/>
    <w:rsid w:val="005873AC"/>
    <w:rsid w:val="005873AF"/>
    <w:rsid w:val="005873B0"/>
    <w:rsid w:val="0058746C"/>
    <w:rsid w:val="005874C3"/>
    <w:rsid w:val="005874E5"/>
    <w:rsid w:val="005874FE"/>
    <w:rsid w:val="00587509"/>
    <w:rsid w:val="00587550"/>
    <w:rsid w:val="00587597"/>
    <w:rsid w:val="005875B0"/>
    <w:rsid w:val="00587614"/>
    <w:rsid w:val="00587632"/>
    <w:rsid w:val="00587676"/>
    <w:rsid w:val="005876ED"/>
    <w:rsid w:val="00587719"/>
    <w:rsid w:val="0058772C"/>
    <w:rsid w:val="0058785D"/>
    <w:rsid w:val="005878A3"/>
    <w:rsid w:val="005878AB"/>
    <w:rsid w:val="005878D7"/>
    <w:rsid w:val="005878FD"/>
    <w:rsid w:val="00587948"/>
    <w:rsid w:val="005879D2"/>
    <w:rsid w:val="005879D4"/>
    <w:rsid w:val="00587A95"/>
    <w:rsid w:val="00587AA9"/>
    <w:rsid w:val="00587AB7"/>
    <w:rsid w:val="00587B11"/>
    <w:rsid w:val="00587B29"/>
    <w:rsid w:val="00587B51"/>
    <w:rsid w:val="00587BA1"/>
    <w:rsid w:val="00587C0C"/>
    <w:rsid w:val="00587C25"/>
    <w:rsid w:val="00587C43"/>
    <w:rsid w:val="00587C8C"/>
    <w:rsid w:val="00587CC2"/>
    <w:rsid w:val="00587CD2"/>
    <w:rsid w:val="00587D3C"/>
    <w:rsid w:val="00587DA3"/>
    <w:rsid w:val="00587DF5"/>
    <w:rsid w:val="00587E20"/>
    <w:rsid w:val="00587E4E"/>
    <w:rsid w:val="00587E82"/>
    <w:rsid w:val="00587EFF"/>
    <w:rsid w:val="00587F47"/>
    <w:rsid w:val="00587F63"/>
    <w:rsid w:val="00587F69"/>
    <w:rsid w:val="00587FC0"/>
    <w:rsid w:val="00587FD8"/>
    <w:rsid w:val="0059006F"/>
    <w:rsid w:val="0059013B"/>
    <w:rsid w:val="00590167"/>
    <w:rsid w:val="0059017F"/>
    <w:rsid w:val="00590218"/>
    <w:rsid w:val="00590240"/>
    <w:rsid w:val="00590254"/>
    <w:rsid w:val="00590265"/>
    <w:rsid w:val="0059039E"/>
    <w:rsid w:val="005903B8"/>
    <w:rsid w:val="005903DA"/>
    <w:rsid w:val="005903EF"/>
    <w:rsid w:val="005903FA"/>
    <w:rsid w:val="00590431"/>
    <w:rsid w:val="0059043E"/>
    <w:rsid w:val="00590448"/>
    <w:rsid w:val="0059044D"/>
    <w:rsid w:val="00590496"/>
    <w:rsid w:val="005904FB"/>
    <w:rsid w:val="00590509"/>
    <w:rsid w:val="00590589"/>
    <w:rsid w:val="005905A5"/>
    <w:rsid w:val="005905AC"/>
    <w:rsid w:val="005905F7"/>
    <w:rsid w:val="0059061C"/>
    <w:rsid w:val="0059066E"/>
    <w:rsid w:val="00590684"/>
    <w:rsid w:val="00590694"/>
    <w:rsid w:val="005906B5"/>
    <w:rsid w:val="005906E0"/>
    <w:rsid w:val="00590767"/>
    <w:rsid w:val="00590792"/>
    <w:rsid w:val="005907DB"/>
    <w:rsid w:val="005908AF"/>
    <w:rsid w:val="00590926"/>
    <w:rsid w:val="00590995"/>
    <w:rsid w:val="005909AC"/>
    <w:rsid w:val="00590A24"/>
    <w:rsid w:val="00590A40"/>
    <w:rsid w:val="00590A7D"/>
    <w:rsid w:val="00590AB1"/>
    <w:rsid w:val="00590AE6"/>
    <w:rsid w:val="00590AED"/>
    <w:rsid w:val="00590AF5"/>
    <w:rsid w:val="00590B16"/>
    <w:rsid w:val="00590B92"/>
    <w:rsid w:val="00590BAC"/>
    <w:rsid w:val="00590BB7"/>
    <w:rsid w:val="00590BB8"/>
    <w:rsid w:val="00590BFC"/>
    <w:rsid w:val="00590C1E"/>
    <w:rsid w:val="00590CB2"/>
    <w:rsid w:val="00590CBB"/>
    <w:rsid w:val="00590CBD"/>
    <w:rsid w:val="00590D07"/>
    <w:rsid w:val="00590D12"/>
    <w:rsid w:val="00590D1E"/>
    <w:rsid w:val="00590D29"/>
    <w:rsid w:val="00590D2B"/>
    <w:rsid w:val="00590D6E"/>
    <w:rsid w:val="00590D99"/>
    <w:rsid w:val="00590E26"/>
    <w:rsid w:val="00590EF5"/>
    <w:rsid w:val="00590F21"/>
    <w:rsid w:val="00590F23"/>
    <w:rsid w:val="00590F27"/>
    <w:rsid w:val="00590F36"/>
    <w:rsid w:val="00590F6E"/>
    <w:rsid w:val="00590F79"/>
    <w:rsid w:val="00590F85"/>
    <w:rsid w:val="00590FC0"/>
    <w:rsid w:val="00590FD0"/>
    <w:rsid w:val="00591004"/>
    <w:rsid w:val="00591012"/>
    <w:rsid w:val="00591018"/>
    <w:rsid w:val="00591095"/>
    <w:rsid w:val="005910B4"/>
    <w:rsid w:val="005910B9"/>
    <w:rsid w:val="005910F5"/>
    <w:rsid w:val="005910FC"/>
    <w:rsid w:val="00591115"/>
    <w:rsid w:val="00591116"/>
    <w:rsid w:val="00591117"/>
    <w:rsid w:val="0059111B"/>
    <w:rsid w:val="0059116D"/>
    <w:rsid w:val="00591184"/>
    <w:rsid w:val="005912B0"/>
    <w:rsid w:val="005912DD"/>
    <w:rsid w:val="0059131D"/>
    <w:rsid w:val="0059132B"/>
    <w:rsid w:val="0059133D"/>
    <w:rsid w:val="0059133E"/>
    <w:rsid w:val="00591365"/>
    <w:rsid w:val="005913F5"/>
    <w:rsid w:val="0059142E"/>
    <w:rsid w:val="00591442"/>
    <w:rsid w:val="00591477"/>
    <w:rsid w:val="005914D5"/>
    <w:rsid w:val="005914E8"/>
    <w:rsid w:val="005914FD"/>
    <w:rsid w:val="00591508"/>
    <w:rsid w:val="0059157E"/>
    <w:rsid w:val="005915CB"/>
    <w:rsid w:val="005915FD"/>
    <w:rsid w:val="0059162C"/>
    <w:rsid w:val="00591699"/>
    <w:rsid w:val="005916B1"/>
    <w:rsid w:val="0059177E"/>
    <w:rsid w:val="00591780"/>
    <w:rsid w:val="0059179B"/>
    <w:rsid w:val="005917BE"/>
    <w:rsid w:val="005917C8"/>
    <w:rsid w:val="00591803"/>
    <w:rsid w:val="00591835"/>
    <w:rsid w:val="0059183E"/>
    <w:rsid w:val="0059185A"/>
    <w:rsid w:val="0059185E"/>
    <w:rsid w:val="0059189E"/>
    <w:rsid w:val="005918A2"/>
    <w:rsid w:val="005918BC"/>
    <w:rsid w:val="005918CC"/>
    <w:rsid w:val="005918F5"/>
    <w:rsid w:val="005918FC"/>
    <w:rsid w:val="00591903"/>
    <w:rsid w:val="0059197D"/>
    <w:rsid w:val="00591998"/>
    <w:rsid w:val="005919CD"/>
    <w:rsid w:val="00591A40"/>
    <w:rsid w:val="00591A75"/>
    <w:rsid w:val="00591AFC"/>
    <w:rsid w:val="00591B23"/>
    <w:rsid w:val="00591B75"/>
    <w:rsid w:val="00591B98"/>
    <w:rsid w:val="00591BAB"/>
    <w:rsid w:val="00591BCA"/>
    <w:rsid w:val="00591BDD"/>
    <w:rsid w:val="00591C24"/>
    <w:rsid w:val="00591CCA"/>
    <w:rsid w:val="00591D16"/>
    <w:rsid w:val="00591D35"/>
    <w:rsid w:val="00591D3B"/>
    <w:rsid w:val="00591E4A"/>
    <w:rsid w:val="00591E65"/>
    <w:rsid w:val="00591E66"/>
    <w:rsid w:val="00591E89"/>
    <w:rsid w:val="00591EB5"/>
    <w:rsid w:val="00591EE2"/>
    <w:rsid w:val="00591F02"/>
    <w:rsid w:val="00591F42"/>
    <w:rsid w:val="00591FA3"/>
    <w:rsid w:val="00592032"/>
    <w:rsid w:val="0059204C"/>
    <w:rsid w:val="00592051"/>
    <w:rsid w:val="0059208A"/>
    <w:rsid w:val="005920BD"/>
    <w:rsid w:val="005920EA"/>
    <w:rsid w:val="005920FB"/>
    <w:rsid w:val="00592151"/>
    <w:rsid w:val="0059216B"/>
    <w:rsid w:val="00592187"/>
    <w:rsid w:val="00592201"/>
    <w:rsid w:val="00592283"/>
    <w:rsid w:val="005922AB"/>
    <w:rsid w:val="005922CA"/>
    <w:rsid w:val="005922D0"/>
    <w:rsid w:val="005922E0"/>
    <w:rsid w:val="00592349"/>
    <w:rsid w:val="00592351"/>
    <w:rsid w:val="00592375"/>
    <w:rsid w:val="0059237F"/>
    <w:rsid w:val="00592393"/>
    <w:rsid w:val="005923C0"/>
    <w:rsid w:val="005923D4"/>
    <w:rsid w:val="005923F0"/>
    <w:rsid w:val="0059240A"/>
    <w:rsid w:val="00592425"/>
    <w:rsid w:val="0059242E"/>
    <w:rsid w:val="00592442"/>
    <w:rsid w:val="00592460"/>
    <w:rsid w:val="005924A2"/>
    <w:rsid w:val="005924AC"/>
    <w:rsid w:val="00592559"/>
    <w:rsid w:val="0059257C"/>
    <w:rsid w:val="005925BE"/>
    <w:rsid w:val="0059262D"/>
    <w:rsid w:val="0059265A"/>
    <w:rsid w:val="005926B0"/>
    <w:rsid w:val="00592708"/>
    <w:rsid w:val="00592713"/>
    <w:rsid w:val="00592730"/>
    <w:rsid w:val="00592751"/>
    <w:rsid w:val="00592768"/>
    <w:rsid w:val="00592791"/>
    <w:rsid w:val="005927C7"/>
    <w:rsid w:val="005927D2"/>
    <w:rsid w:val="0059288E"/>
    <w:rsid w:val="005928C3"/>
    <w:rsid w:val="005928CE"/>
    <w:rsid w:val="005928E7"/>
    <w:rsid w:val="00592902"/>
    <w:rsid w:val="00592A1F"/>
    <w:rsid w:val="00592A3F"/>
    <w:rsid w:val="00592A54"/>
    <w:rsid w:val="00592A5A"/>
    <w:rsid w:val="00592A6E"/>
    <w:rsid w:val="00592A85"/>
    <w:rsid w:val="00592AB8"/>
    <w:rsid w:val="00592B31"/>
    <w:rsid w:val="00592B34"/>
    <w:rsid w:val="00592B54"/>
    <w:rsid w:val="00592C36"/>
    <w:rsid w:val="00592C58"/>
    <w:rsid w:val="00592CD5"/>
    <w:rsid w:val="00592D27"/>
    <w:rsid w:val="00592D2A"/>
    <w:rsid w:val="00592D37"/>
    <w:rsid w:val="00592DA3"/>
    <w:rsid w:val="00592DFE"/>
    <w:rsid w:val="00592E0F"/>
    <w:rsid w:val="00592E50"/>
    <w:rsid w:val="00592E70"/>
    <w:rsid w:val="00592EA1"/>
    <w:rsid w:val="00592EC0"/>
    <w:rsid w:val="00592ECB"/>
    <w:rsid w:val="00592F14"/>
    <w:rsid w:val="00592FAC"/>
    <w:rsid w:val="00592FB8"/>
    <w:rsid w:val="00593073"/>
    <w:rsid w:val="0059307E"/>
    <w:rsid w:val="00593098"/>
    <w:rsid w:val="005930A6"/>
    <w:rsid w:val="005930BE"/>
    <w:rsid w:val="005930DE"/>
    <w:rsid w:val="005930E2"/>
    <w:rsid w:val="0059310A"/>
    <w:rsid w:val="0059316B"/>
    <w:rsid w:val="00593202"/>
    <w:rsid w:val="00593221"/>
    <w:rsid w:val="005932CA"/>
    <w:rsid w:val="005932F8"/>
    <w:rsid w:val="0059333D"/>
    <w:rsid w:val="00593363"/>
    <w:rsid w:val="0059337B"/>
    <w:rsid w:val="005933B1"/>
    <w:rsid w:val="005933D6"/>
    <w:rsid w:val="00593406"/>
    <w:rsid w:val="00593412"/>
    <w:rsid w:val="00593465"/>
    <w:rsid w:val="0059349C"/>
    <w:rsid w:val="00593553"/>
    <w:rsid w:val="00593564"/>
    <w:rsid w:val="005935D2"/>
    <w:rsid w:val="005935DF"/>
    <w:rsid w:val="005935FF"/>
    <w:rsid w:val="00593650"/>
    <w:rsid w:val="00593655"/>
    <w:rsid w:val="00593657"/>
    <w:rsid w:val="00593664"/>
    <w:rsid w:val="0059366C"/>
    <w:rsid w:val="005936B1"/>
    <w:rsid w:val="005936E9"/>
    <w:rsid w:val="00593717"/>
    <w:rsid w:val="00593737"/>
    <w:rsid w:val="005937BF"/>
    <w:rsid w:val="005937D6"/>
    <w:rsid w:val="0059383C"/>
    <w:rsid w:val="00593885"/>
    <w:rsid w:val="005938A4"/>
    <w:rsid w:val="005938A8"/>
    <w:rsid w:val="00593905"/>
    <w:rsid w:val="00593975"/>
    <w:rsid w:val="00593A26"/>
    <w:rsid w:val="00593A68"/>
    <w:rsid w:val="00593A6B"/>
    <w:rsid w:val="00593A89"/>
    <w:rsid w:val="00593AA5"/>
    <w:rsid w:val="00593AB7"/>
    <w:rsid w:val="00593ABD"/>
    <w:rsid w:val="00593ACA"/>
    <w:rsid w:val="00593BF1"/>
    <w:rsid w:val="00593C10"/>
    <w:rsid w:val="00593C20"/>
    <w:rsid w:val="00593C28"/>
    <w:rsid w:val="00593CD6"/>
    <w:rsid w:val="00593D0A"/>
    <w:rsid w:val="00593D3A"/>
    <w:rsid w:val="00593D61"/>
    <w:rsid w:val="00593D87"/>
    <w:rsid w:val="00593D8B"/>
    <w:rsid w:val="00593E4F"/>
    <w:rsid w:val="00593E85"/>
    <w:rsid w:val="00593F07"/>
    <w:rsid w:val="00593F28"/>
    <w:rsid w:val="00593F71"/>
    <w:rsid w:val="00593F7C"/>
    <w:rsid w:val="00593FB4"/>
    <w:rsid w:val="00594008"/>
    <w:rsid w:val="005940A3"/>
    <w:rsid w:val="005940D2"/>
    <w:rsid w:val="005940D8"/>
    <w:rsid w:val="00594168"/>
    <w:rsid w:val="005941EB"/>
    <w:rsid w:val="00594204"/>
    <w:rsid w:val="0059429C"/>
    <w:rsid w:val="005942AE"/>
    <w:rsid w:val="0059436C"/>
    <w:rsid w:val="005943A7"/>
    <w:rsid w:val="005943AB"/>
    <w:rsid w:val="005943B0"/>
    <w:rsid w:val="00594418"/>
    <w:rsid w:val="00594552"/>
    <w:rsid w:val="0059455C"/>
    <w:rsid w:val="005945C2"/>
    <w:rsid w:val="005945F1"/>
    <w:rsid w:val="005945FE"/>
    <w:rsid w:val="0059461C"/>
    <w:rsid w:val="00594650"/>
    <w:rsid w:val="005946BB"/>
    <w:rsid w:val="00594735"/>
    <w:rsid w:val="0059476D"/>
    <w:rsid w:val="005947B5"/>
    <w:rsid w:val="005947D5"/>
    <w:rsid w:val="00594852"/>
    <w:rsid w:val="00594856"/>
    <w:rsid w:val="00594897"/>
    <w:rsid w:val="005948C2"/>
    <w:rsid w:val="00594910"/>
    <w:rsid w:val="00594934"/>
    <w:rsid w:val="00594936"/>
    <w:rsid w:val="00594963"/>
    <w:rsid w:val="0059496F"/>
    <w:rsid w:val="005949B7"/>
    <w:rsid w:val="005949EB"/>
    <w:rsid w:val="00594A41"/>
    <w:rsid w:val="00594A53"/>
    <w:rsid w:val="00594A55"/>
    <w:rsid w:val="00594A61"/>
    <w:rsid w:val="00594B45"/>
    <w:rsid w:val="00594B4C"/>
    <w:rsid w:val="00594BA4"/>
    <w:rsid w:val="00594BEE"/>
    <w:rsid w:val="00594C96"/>
    <w:rsid w:val="00594CED"/>
    <w:rsid w:val="00594D14"/>
    <w:rsid w:val="00594D22"/>
    <w:rsid w:val="00594D25"/>
    <w:rsid w:val="00594D61"/>
    <w:rsid w:val="00594D8C"/>
    <w:rsid w:val="00594DFA"/>
    <w:rsid w:val="00594E0E"/>
    <w:rsid w:val="00594E67"/>
    <w:rsid w:val="00594F30"/>
    <w:rsid w:val="00594FA5"/>
    <w:rsid w:val="00595027"/>
    <w:rsid w:val="00595035"/>
    <w:rsid w:val="00595055"/>
    <w:rsid w:val="0059506E"/>
    <w:rsid w:val="005950CC"/>
    <w:rsid w:val="00595124"/>
    <w:rsid w:val="0059516B"/>
    <w:rsid w:val="0059516D"/>
    <w:rsid w:val="00595186"/>
    <w:rsid w:val="00595222"/>
    <w:rsid w:val="00595269"/>
    <w:rsid w:val="00595272"/>
    <w:rsid w:val="0059529A"/>
    <w:rsid w:val="00595370"/>
    <w:rsid w:val="00595462"/>
    <w:rsid w:val="0059549F"/>
    <w:rsid w:val="005954A5"/>
    <w:rsid w:val="005954EF"/>
    <w:rsid w:val="005955E4"/>
    <w:rsid w:val="00595701"/>
    <w:rsid w:val="00595716"/>
    <w:rsid w:val="00595723"/>
    <w:rsid w:val="0059574F"/>
    <w:rsid w:val="00595778"/>
    <w:rsid w:val="005957D3"/>
    <w:rsid w:val="005957FB"/>
    <w:rsid w:val="0059582E"/>
    <w:rsid w:val="0059583C"/>
    <w:rsid w:val="00595859"/>
    <w:rsid w:val="0059588E"/>
    <w:rsid w:val="005958B9"/>
    <w:rsid w:val="005958D9"/>
    <w:rsid w:val="005958DC"/>
    <w:rsid w:val="0059593F"/>
    <w:rsid w:val="00595947"/>
    <w:rsid w:val="0059598D"/>
    <w:rsid w:val="00595A3C"/>
    <w:rsid w:val="00595A58"/>
    <w:rsid w:val="00595AAC"/>
    <w:rsid w:val="00595ACD"/>
    <w:rsid w:val="00595B26"/>
    <w:rsid w:val="00595B56"/>
    <w:rsid w:val="00595B68"/>
    <w:rsid w:val="00595BDC"/>
    <w:rsid w:val="00595C1A"/>
    <w:rsid w:val="00595C66"/>
    <w:rsid w:val="00595CB2"/>
    <w:rsid w:val="00595D1E"/>
    <w:rsid w:val="00595D39"/>
    <w:rsid w:val="00595D5C"/>
    <w:rsid w:val="00595D64"/>
    <w:rsid w:val="00595DC5"/>
    <w:rsid w:val="00595DC9"/>
    <w:rsid w:val="00595DD5"/>
    <w:rsid w:val="00595E0D"/>
    <w:rsid w:val="00595E37"/>
    <w:rsid w:val="00595EFA"/>
    <w:rsid w:val="00595FEA"/>
    <w:rsid w:val="00595FFF"/>
    <w:rsid w:val="0059601A"/>
    <w:rsid w:val="00596057"/>
    <w:rsid w:val="00596084"/>
    <w:rsid w:val="00596096"/>
    <w:rsid w:val="005960D7"/>
    <w:rsid w:val="005960EE"/>
    <w:rsid w:val="00596113"/>
    <w:rsid w:val="00596118"/>
    <w:rsid w:val="00596138"/>
    <w:rsid w:val="005961F1"/>
    <w:rsid w:val="005962C9"/>
    <w:rsid w:val="005962F0"/>
    <w:rsid w:val="0059632D"/>
    <w:rsid w:val="0059632E"/>
    <w:rsid w:val="00596334"/>
    <w:rsid w:val="0059634F"/>
    <w:rsid w:val="00596370"/>
    <w:rsid w:val="005963B5"/>
    <w:rsid w:val="005963C1"/>
    <w:rsid w:val="005963DA"/>
    <w:rsid w:val="0059649A"/>
    <w:rsid w:val="005964E9"/>
    <w:rsid w:val="00596557"/>
    <w:rsid w:val="005965A3"/>
    <w:rsid w:val="005965C4"/>
    <w:rsid w:val="005965F1"/>
    <w:rsid w:val="0059660F"/>
    <w:rsid w:val="0059664E"/>
    <w:rsid w:val="005966A0"/>
    <w:rsid w:val="005966B7"/>
    <w:rsid w:val="005966C2"/>
    <w:rsid w:val="00596733"/>
    <w:rsid w:val="00596744"/>
    <w:rsid w:val="0059678F"/>
    <w:rsid w:val="0059679D"/>
    <w:rsid w:val="005967AD"/>
    <w:rsid w:val="005967B5"/>
    <w:rsid w:val="005967B9"/>
    <w:rsid w:val="005967D8"/>
    <w:rsid w:val="005967EA"/>
    <w:rsid w:val="00596826"/>
    <w:rsid w:val="0059682A"/>
    <w:rsid w:val="00596866"/>
    <w:rsid w:val="0059687B"/>
    <w:rsid w:val="005968CA"/>
    <w:rsid w:val="005968EC"/>
    <w:rsid w:val="00596917"/>
    <w:rsid w:val="00596919"/>
    <w:rsid w:val="0059693E"/>
    <w:rsid w:val="00596958"/>
    <w:rsid w:val="0059699C"/>
    <w:rsid w:val="005969A3"/>
    <w:rsid w:val="005969CB"/>
    <w:rsid w:val="00596A08"/>
    <w:rsid w:val="00596A78"/>
    <w:rsid w:val="00596B8B"/>
    <w:rsid w:val="00596C15"/>
    <w:rsid w:val="00596D10"/>
    <w:rsid w:val="00596D76"/>
    <w:rsid w:val="00596D79"/>
    <w:rsid w:val="00596DA6"/>
    <w:rsid w:val="00596DB4"/>
    <w:rsid w:val="00596E01"/>
    <w:rsid w:val="00596EBE"/>
    <w:rsid w:val="00596EC3"/>
    <w:rsid w:val="00596ECE"/>
    <w:rsid w:val="00596ECF"/>
    <w:rsid w:val="00596EF1"/>
    <w:rsid w:val="00596F15"/>
    <w:rsid w:val="00596F56"/>
    <w:rsid w:val="00596F73"/>
    <w:rsid w:val="00596F88"/>
    <w:rsid w:val="00596FA6"/>
    <w:rsid w:val="00596FC8"/>
    <w:rsid w:val="00597061"/>
    <w:rsid w:val="0059708D"/>
    <w:rsid w:val="005970CA"/>
    <w:rsid w:val="00597135"/>
    <w:rsid w:val="0059714B"/>
    <w:rsid w:val="0059719B"/>
    <w:rsid w:val="005971FA"/>
    <w:rsid w:val="005972DE"/>
    <w:rsid w:val="005972F8"/>
    <w:rsid w:val="0059734D"/>
    <w:rsid w:val="005973B4"/>
    <w:rsid w:val="005973BF"/>
    <w:rsid w:val="005973C9"/>
    <w:rsid w:val="005973ED"/>
    <w:rsid w:val="00597412"/>
    <w:rsid w:val="0059747B"/>
    <w:rsid w:val="005974BA"/>
    <w:rsid w:val="005974E2"/>
    <w:rsid w:val="005974EF"/>
    <w:rsid w:val="00597595"/>
    <w:rsid w:val="0059759B"/>
    <w:rsid w:val="005975BD"/>
    <w:rsid w:val="005975D8"/>
    <w:rsid w:val="005975F2"/>
    <w:rsid w:val="005975FA"/>
    <w:rsid w:val="005976DF"/>
    <w:rsid w:val="005977CA"/>
    <w:rsid w:val="005977CB"/>
    <w:rsid w:val="005978C3"/>
    <w:rsid w:val="005978D3"/>
    <w:rsid w:val="005978FA"/>
    <w:rsid w:val="0059797D"/>
    <w:rsid w:val="00597992"/>
    <w:rsid w:val="005979CD"/>
    <w:rsid w:val="005979D5"/>
    <w:rsid w:val="005979DB"/>
    <w:rsid w:val="005979E9"/>
    <w:rsid w:val="00597A05"/>
    <w:rsid w:val="00597A14"/>
    <w:rsid w:val="00597A21"/>
    <w:rsid w:val="00597A7A"/>
    <w:rsid w:val="00597A7B"/>
    <w:rsid w:val="00597B15"/>
    <w:rsid w:val="00597B44"/>
    <w:rsid w:val="00597B5A"/>
    <w:rsid w:val="00597B7B"/>
    <w:rsid w:val="00597BD9"/>
    <w:rsid w:val="00597BED"/>
    <w:rsid w:val="00597C1F"/>
    <w:rsid w:val="00597CC8"/>
    <w:rsid w:val="00597CD0"/>
    <w:rsid w:val="00597CF4"/>
    <w:rsid w:val="00597D09"/>
    <w:rsid w:val="00597D70"/>
    <w:rsid w:val="00597D71"/>
    <w:rsid w:val="00597DA0"/>
    <w:rsid w:val="00597E00"/>
    <w:rsid w:val="00597E08"/>
    <w:rsid w:val="00597E0E"/>
    <w:rsid w:val="00597E14"/>
    <w:rsid w:val="00597E19"/>
    <w:rsid w:val="00597E54"/>
    <w:rsid w:val="00597E6F"/>
    <w:rsid w:val="00597E70"/>
    <w:rsid w:val="00597E72"/>
    <w:rsid w:val="00597E96"/>
    <w:rsid w:val="00597EEB"/>
    <w:rsid w:val="00597F08"/>
    <w:rsid w:val="00597F30"/>
    <w:rsid w:val="00597F95"/>
    <w:rsid w:val="005A008D"/>
    <w:rsid w:val="005A00A2"/>
    <w:rsid w:val="005A00AF"/>
    <w:rsid w:val="005A00C9"/>
    <w:rsid w:val="005A0164"/>
    <w:rsid w:val="005A0190"/>
    <w:rsid w:val="005A019A"/>
    <w:rsid w:val="005A01EF"/>
    <w:rsid w:val="005A0250"/>
    <w:rsid w:val="005A025E"/>
    <w:rsid w:val="005A026B"/>
    <w:rsid w:val="005A02B0"/>
    <w:rsid w:val="005A0309"/>
    <w:rsid w:val="005A0328"/>
    <w:rsid w:val="005A0366"/>
    <w:rsid w:val="005A0489"/>
    <w:rsid w:val="005A04A1"/>
    <w:rsid w:val="005A052A"/>
    <w:rsid w:val="005A057D"/>
    <w:rsid w:val="005A05B8"/>
    <w:rsid w:val="005A05CC"/>
    <w:rsid w:val="005A0614"/>
    <w:rsid w:val="005A06BC"/>
    <w:rsid w:val="005A06EF"/>
    <w:rsid w:val="005A070D"/>
    <w:rsid w:val="005A0710"/>
    <w:rsid w:val="005A073D"/>
    <w:rsid w:val="005A0745"/>
    <w:rsid w:val="005A077E"/>
    <w:rsid w:val="005A0789"/>
    <w:rsid w:val="005A07CE"/>
    <w:rsid w:val="005A0819"/>
    <w:rsid w:val="005A0860"/>
    <w:rsid w:val="005A0899"/>
    <w:rsid w:val="005A08C3"/>
    <w:rsid w:val="005A0924"/>
    <w:rsid w:val="005A0952"/>
    <w:rsid w:val="005A099B"/>
    <w:rsid w:val="005A09A4"/>
    <w:rsid w:val="005A09A5"/>
    <w:rsid w:val="005A09BA"/>
    <w:rsid w:val="005A0A1D"/>
    <w:rsid w:val="005A0A8B"/>
    <w:rsid w:val="005A0B22"/>
    <w:rsid w:val="005A0B2A"/>
    <w:rsid w:val="005A0BAF"/>
    <w:rsid w:val="005A0BB9"/>
    <w:rsid w:val="005A0C27"/>
    <w:rsid w:val="005A0C29"/>
    <w:rsid w:val="005A0C46"/>
    <w:rsid w:val="005A0C78"/>
    <w:rsid w:val="005A0C87"/>
    <w:rsid w:val="005A0CC8"/>
    <w:rsid w:val="005A0CF6"/>
    <w:rsid w:val="005A0D4E"/>
    <w:rsid w:val="005A0DB7"/>
    <w:rsid w:val="005A0E50"/>
    <w:rsid w:val="005A0E8B"/>
    <w:rsid w:val="005A0EBE"/>
    <w:rsid w:val="005A0EFB"/>
    <w:rsid w:val="005A0FAF"/>
    <w:rsid w:val="005A0FF9"/>
    <w:rsid w:val="005A107C"/>
    <w:rsid w:val="005A1098"/>
    <w:rsid w:val="005A10BC"/>
    <w:rsid w:val="005A1100"/>
    <w:rsid w:val="005A1114"/>
    <w:rsid w:val="005A1126"/>
    <w:rsid w:val="005A119F"/>
    <w:rsid w:val="005A11D3"/>
    <w:rsid w:val="005A1215"/>
    <w:rsid w:val="005A1247"/>
    <w:rsid w:val="005A1253"/>
    <w:rsid w:val="005A1256"/>
    <w:rsid w:val="005A128C"/>
    <w:rsid w:val="005A12A3"/>
    <w:rsid w:val="005A12B0"/>
    <w:rsid w:val="005A12B6"/>
    <w:rsid w:val="005A12C4"/>
    <w:rsid w:val="005A1347"/>
    <w:rsid w:val="005A1376"/>
    <w:rsid w:val="005A138F"/>
    <w:rsid w:val="005A13F8"/>
    <w:rsid w:val="005A13FC"/>
    <w:rsid w:val="005A1436"/>
    <w:rsid w:val="005A145A"/>
    <w:rsid w:val="005A1460"/>
    <w:rsid w:val="005A148B"/>
    <w:rsid w:val="005A14E5"/>
    <w:rsid w:val="005A1516"/>
    <w:rsid w:val="005A151D"/>
    <w:rsid w:val="005A155A"/>
    <w:rsid w:val="005A158A"/>
    <w:rsid w:val="005A159A"/>
    <w:rsid w:val="005A15CA"/>
    <w:rsid w:val="005A15DB"/>
    <w:rsid w:val="005A15DF"/>
    <w:rsid w:val="005A15FB"/>
    <w:rsid w:val="005A161F"/>
    <w:rsid w:val="005A1678"/>
    <w:rsid w:val="005A167E"/>
    <w:rsid w:val="005A16EF"/>
    <w:rsid w:val="005A1727"/>
    <w:rsid w:val="005A1734"/>
    <w:rsid w:val="005A1756"/>
    <w:rsid w:val="005A178F"/>
    <w:rsid w:val="005A17A1"/>
    <w:rsid w:val="005A17C6"/>
    <w:rsid w:val="005A186A"/>
    <w:rsid w:val="005A18C5"/>
    <w:rsid w:val="005A18DD"/>
    <w:rsid w:val="005A194B"/>
    <w:rsid w:val="005A196E"/>
    <w:rsid w:val="005A19AE"/>
    <w:rsid w:val="005A19AF"/>
    <w:rsid w:val="005A1A25"/>
    <w:rsid w:val="005A1A35"/>
    <w:rsid w:val="005A1A55"/>
    <w:rsid w:val="005A1A9E"/>
    <w:rsid w:val="005A1B09"/>
    <w:rsid w:val="005A1B4D"/>
    <w:rsid w:val="005A1B99"/>
    <w:rsid w:val="005A1BCF"/>
    <w:rsid w:val="005A1BF0"/>
    <w:rsid w:val="005A1C6C"/>
    <w:rsid w:val="005A1C9D"/>
    <w:rsid w:val="005A1CC1"/>
    <w:rsid w:val="005A1CD8"/>
    <w:rsid w:val="005A1CEE"/>
    <w:rsid w:val="005A1D17"/>
    <w:rsid w:val="005A1D38"/>
    <w:rsid w:val="005A1E29"/>
    <w:rsid w:val="005A1E44"/>
    <w:rsid w:val="005A1E65"/>
    <w:rsid w:val="005A1EE1"/>
    <w:rsid w:val="005A1F2D"/>
    <w:rsid w:val="005A1F72"/>
    <w:rsid w:val="005A1F99"/>
    <w:rsid w:val="005A20ED"/>
    <w:rsid w:val="005A20FC"/>
    <w:rsid w:val="005A2105"/>
    <w:rsid w:val="005A2113"/>
    <w:rsid w:val="005A2122"/>
    <w:rsid w:val="005A2148"/>
    <w:rsid w:val="005A214F"/>
    <w:rsid w:val="005A215F"/>
    <w:rsid w:val="005A2163"/>
    <w:rsid w:val="005A21A9"/>
    <w:rsid w:val="005A21E7"/>
    <w:rsid w:val="005A21EB"/>
    <w:rsid w:val="005A220D"/>
    <w:rsid w:val="005A2220"/>
    <w:rsid w:val="005A2274"/>
    <w:rsid w:val="005A2287"/>
    <w:rsid w:val="005A2363"/>
    <w:rsid w:val="005A2368"/>
    <w:rsid w:val="005A2387"/>
    <w:rsid w:val="005A23C1"/>
    <w:rsid w:val="005A23D6"/>
    <w:rsid w:val="005A23F4"/>
    <w:rsid w:val="005A2444"/>
    <w:rsid w:val="005A247F"/>
    <w:rsid w:val="005A2493"/>
    <w:rsid w:val="005A24A1"/>
    <w:rsid w:val="005A24C6"/>
    <w:rsid w:val="005A24D8"/>
    <w:rsid w:val="005A2503"/>
    <w:rsid w:val="005A253E"/>
    <w:rsid w:val="005A2543"/>
    <w:rsid w:val="005A25D2"/>
    <w:rsid w:val="005A2619"/>
    <w:rsid w:val="005A2678"/>
    <w:rsid w:val="005A26E1"/>
    <w:rsid w:val="005A26E6"/>
    <w:rsid w:val="005A272A"/>
    <w:rsid w:val="005A2740"/>
    <w:rsid w:val="005A2753"/>
    <w:rsid w:val="005A27AC"/>
    <w:rsid w:val="005A27B5"/>
    <w:rsid w:val="005A27E9"/>
    <w:rsid w:val="005A2800"/>
    <w:rsid w:val="005A2825"/>
    <w:rsid w:val="005A2857"/>
    <w:rsid w:val="005A285C"/>
    <w:rsid w:val="005A2868"/>
    <w:rsid w:val="005A287F"/>
    <w:rsid w:val="005A2895"/>
    <w:rsid w:val="005A28A3"/>
    <w:rsid w:val="005A28E3"/>
    <w:rsid w:val="005A296D"/>
    <w:rsid w:val="005A2994"/>
    <w:rsid w:val="005A29DA"/>
    <w:rsid w:val="005A29E0"/>
    <w:rsid w:val="005A2A19"/>
    <w:rsid w:val="005A2A2A"/>
    <w:rsid w:val="005A2A2D"/>
    <w:rsid w:val="005A2A32"/>
    <w:rsid w:val="005A2A4B"/>
    <w:rsid w:val="005A2A8F"/>
    <w:rsid w:val="005A2AAB"/>
    <w:rsid w:val="005A2ADD"/>
    <w:rsid w:val="005A2B30"/>
    <w:rsid w:val="005A2B82"/>
    <w:rsid w:val="005A2B94"/>
    <w:rsid w:val="005A2BA0"/>
    <w:rsid w:val="005A2BB2"/>
    <w:rsid w:val="005A2BC1"/>
    <w:rsid w:val="005A2BEE"/>
    <w:rsid w:val="005A2C2E"/>
    <w:rsid w:val="005A2C36"/>
    <w:rsid w:val="005A2C43"/>
    <w:rsid w:val="005A2C62"/>
    <w:rsid w:val="005A2C66"/>
    <w:rsid w:val="005A2CC4"/>
    <w:rsid w:val="005A2CFF"/>
    <w:rsid w:val="005A2D33"/>
    <w:rsid w:val="005A2D39"/>
    <w:rsid w:val="005A2D57"/>
    <w:rsid w:val="005A2D65"/>
    <w:rsid w:val="005A2D74"/>
    <w:rsid w:val="005A2D7E"/>
    <w:rsid w:val="005A2D84"/>
    <w:rsid w:val="005A2DCE"/>
    <w:rsid w:val="005A2E10"/>
    <w:rsid w:val="005A2E98"/>
    <w:rsid w:val="005A2F0E"/>
    <w:rsid w:val="005A2F1A"/>
    <w:rsid w:val="005A2F1E"/>
    <w:rsid w:val="005A2F43"/>
    <w:rsid w:val="005A2F55"/>
    <w:rsid w:val="005A2F6C"/>
    <w:rsid w:val="005A2FD8"/>
    <w:rsid w:val="005A2FE6"/>
    <w:rsid w:val="005A3030"/>
    <w:rsid w:val="005A306A"/>
    <w:rsid w:val="005A3079"/>
    <w:rsid w:val="005A3085"/>
    <w:rsid w:val="005A3098"/>
    <w:rsid w:val="005A30DE"/>
    <w:rsid w:val="005A3126"/>
    <w:rsid w:val="005A3188"/>
    <w:rsid w:val="005A31E3"/>
    <w:rsid w:val="005A31F0"/>
    <w:rsid w:val="005A320C"/>
    <w:rsid w:val="005A327F"/>
    <w:rsid w:val="005A3314"/>
    <w:rsid w:val="005A333D"/>
    <w:rsid w:val="005A3342"/>
    <w:rsid w:val="005A3357"/>
    <w:rsid w:val="005A3388"/>
    <w:rsid w:val="005A3398"/>
    <w:rsid w:val="005A33BF"/>
    <w:rsid w:val="005A33F0"/>
    <w:rsid w:val="005A346C"/>
    <w:rsid w:val="005A3581"/>
    <w:rsid w:val="005A3595"/>
    <w:rsid w:val="005A35CE"/>
    <w:rsid w:val="005A35E2"/>
    <w:rsid w:val="005A365A"/>
    <w:rsid w:val="005A379A"/>
    <w:rsid w:val="005A37E5"/>
    <w:rsid w:val="005A3820"/>
    <w:rsid w:val="005A388F"/>
    <w:rsid w:val="005A3890"/>
    <w:rsid w:val="005A38BF"/>
    <w:rsid w:val="005A38C6"/>
    <w:rsid w:val="005A38D8"/>
    <w:rsid w:val="005A38F3"/>
    <w:rsid w:val="005A392C"/>
    <w:rsid w:val="005A3930"/>
    <w:rsid w:val="005A396A"/>
    <w:rsid w:val="005A39B8"/>
    <w:rsid w:val="005A39F3"/>
    <w:rsid w:val="005A3A0E"/>
    <w:rsid w:val="005A3A1F"/>
    <w:rsid w:val="005A3A55"/>
    <w:rsid w:val="005A3AB9"/>
    <w:rsid w:val="005A3B73"/>
    <w:rsid w:val="005A3BD2"/>
    <w:rsid w:val="005A3BEA"/>
    <w:rsid w:val="005A3C5D"/>
    <w:rsid w:val="005A3CAD"/>
    <w:rsid w:val="005A3CF2"/>
    <w:rsid w:val="005A3D00"/>
    <w:rsid w:val="005A3D03"/>
    <w:rsid w:val="005A3D31"/>
    <w:rsid w:val="005A3D94"/>
    <w:rsid w:val="005A3DA1"/>
    <w:rsid w:val="005A3DE6"/>
    <w:rsid w:val="005A3E11"/>
    <w:rsid w:val="005A3E30"/>
    <w:rsid w:val="005A3E58"/>
    <w:rsid w:val="005A3E59"/>
    <w:rsid w:val="005A3E5D"/>
    <w:rsid w:val="005A3E78"/>
    <w:rsid w:val="005A3E97"/>
    <w:rsid w:val="005A3E9C"/>
    <w:rsid w:val="005A3EDB"/>
    <w:rsid w:val="005A3F06"/>
    <w:rsid w:val="005A3F44"/>
    <w:rsid w:val="005A3F47"/>
    <w:rsid w:val="005A3F5D"/>
    <w:rsid w:val="005A3F65"/>
    <w:rsid w:val="005A3F7C"/>
    <w:rsid w:val="005A3F9B"/>
    <w:rsid w:val="005A3FB6"/>
    <w:rsid w:val="005A4081"/>
    <w:rsid w:val="005A40DC"/>
    <w:rsid w:val="005A40FD"/>
    <w:rsid w:val="005A4110"/>
    <w:rsid w:val="005A4144"/>
    <w:rsid w:val="005A41AC"/>
    <w:rsid w:val="005A41E0"/>
    <w:rsid w:val="005A4262"/>
    <w:rsid w:val="005A427C"/>
    <w:rsid w:val="005A42FE"/>
    <w:rsid w:val="005A43B4"/>
    <w:rsid w:val="005A43F1"/>
    <w:rsid w:val="005A440E"/>
    <w:rsid w:val="005A4442"/>
    <w:rsid w:val="005A4455"/>
    <w:rsid w:val="005A4482"/>
    <w:rsid w:val="005A4500"/>
    <w:rsid w:val="005A452F"/>
    <w:rsid w:val="005A45D1"/>
    <w:rsid w:val="005A464A"/>
    <w:rsid w:val="005A4694"/>
    <w:rsid w:val="005A46BD"/>
    <w:rsid w:val="005A46EB"/>
    <w:rsid w:val="005A475C"/>
    <w:rsid w:val="005A477E"/>
    <w:rsid w:val="005A4794"/>
    <w:rsid w:val="005A47D7"/>
    <w:rsid w:val="005A47E3"/>
    <w:rsid w:val="005A47EB"/>
    <w:rsid w:val="005A4815"/>
    <w:rsid w:val="005A487D"/>
    <w:rsid w:val="005A48CC"/>
    <w:rsid w:val="005A48FC"/>
    <w:rsid w:val="005A4903"/>
    <w:rsid w:val="005A4922"/>
    <w:rsid w:val="005A497E"/>
    <w:rsid w:val="005A499E"/>
    <w:rsid w:val="005A49A1"/>
    <w:rsid w:val="005A4A56"/>
    <w:rsid w:val="005A4A61"/>
    <w:rsid w:val="005A4A68"/>
    <w:rsid w:val="005A4ACD"/>
    <w:rsid w:val="005A4AD9"/>
    <w:rsid w:val="005A4AE9"/>
    <w:rsid w:val="005A4B20"/>
    <w:rsid w:val="005A4CD4"/>
    <w:rsid w:val="005A4D09"/>
    <w:rsid w:val="005A4D28"/>
    <w:rsid w:val="005A4D9A"/>
    <w:rsid w:val="005A4DEC"/>
    <w:rsid w:val="005A4EEC"/>
    <w:rsid w:val="005A4F29"/>
    <w:rsid w:val="005A4FA7"/>
    <w:rsid w:val="005A4FBD"/>
    <w:rsid w:val="005A4FCD"/>
    <w:rsid w:val="005A5011"/>
    <w:rsid w:val="005A5014"/>
    <w:rsid w:val="005A50E4"/>
    <w:rsid w:val="005A515C"/>
    <w:rsid w:val="005A51C3"/>
    <w:rsid w:val="005A5254"/>
    <w:rsid w:val="005A5273"/>
    <w:rsid w:val="005A528F"/>
    <w:rsid w:val="005A5290"/>
    <w:rsid w:val="005A52B3"/>
    <w:rsid w:val="005A52DB"/>
    <w:rsid w:val="005A5333"/>
    <w:rsid w:val="005A53A1"/>
    <w:rsid w:val="005A53E1"/>
    <w:rsid w:val="005A53E4"/>
    <w:rsid w:val="005A5486"/>
    <w:rsid w:val="005A549F"/>
    <w:rsid w:val="005A54D2"/>
    <w:rsid w:val="005A5512"/>
    <w:rsid w:val="005A553B"/>
    <w:rsid w:val="005A55AA"/>
    <w:rsid w:val="005A55B9"/>
    <w:rsid w:val="005A5693"/>
    <w:rsid w:val="005A56CB"/>
    <w:rsid w:val="005A56DF"/>
    <w:rsid w:val="005A5712"/>
    <w:rsid w:val="005A5727"/>
    <w:rsid w:val="005A5728"/>
    <w:rsid w:val="005A574F"/>
    <w:rsid w:val="005A5765"/>
    <w:rsid w:val="005A5837"/>
    <w:rsid w:val="005A583B"/>
    <w:rsid w:val="005A5866"/>
    <w:rsid w:val="005A5878"/>
    <w:rsid w:val="005A589A"/>
    <w:rsid w:val="005A58BD"/>
    <w:rsid w:val="005A58E5"/>
    <w:rsid w:val="005A5901"/>
    <w:rsid w:val="005A592A"/>
    <w:rsid w:val="005A596E"/>
    <w:rsid w:val="005A598B"/>
    <w:rsid w:val="005A5A4F"/>
    <w:rsid w:val="005A5A64"/>
    <w:rsid w:val="005A5A9B"/>
    <w:rsid w:val="005A5B43"/>
    <w:rsid w:val="005A5B66"/>
    <w:rsid w:val="005A5BD2"/>
    <w:rsid w:val="005A5C21"/>
    <w:rsid w:val="005A5C47"/>
    <w:rsid w:val="005A5C60"/>
    <w:rsid w:val="005A5CCC"/>
    <w:rsid w:val="005A5D87"/>
    <w:rsid w:val="005A5D93"/>
    <w:rsid w:val="005A5DF5"/>
    <w:rsid w:val="005A5E11"/>
    <w:rsid w:val="005A5E37"/>
    <w:rsid w:val="005A5E80"/>
    <w:rsid w:val="005A5E96"/>
    <w:rsid w:val="005A5E9C"/>
    <w:rsid w:val="005A5EE7"/>
    <w:rsid w:val="005A5F07"/>
    <w:rsid w:val="005A5F1F"/>
    <w:rsid w:val="005A5F4C"/>
    <w:rsid w:val="005A5FDA"/>
    <w:rsid w:val="005A6038"/>
    <w:rsid w:val="005A609C"/>
    <w:rsid w:val="005A6109"/>
    <w:rsid w:val="005A6137"/>
    <w:rsid w:val="005A613B"/>
    <w:rsid w:val="005A616E"/>
    <w:rsid w:val="005A6178"/>
    <w:rsid w:val="005A61C1"/>
    <w:rsid w:val="005A621E"/>
    <w:rsid w:val="005A624B"/>
    <w:rsid w:val="005A6261"/>
    <w:rsid w:val="005A626A"/>
    <w:rsid w:val="005A6317"/>
    <w:rsid w:val="005A6348"/>
    <w:rsid w:val="005A634C"/>
    <w:rsid w:val="005A63B2"/>
    <w:rsid w:val="005A6404"/>
    <w:rsid w:val="005A648F"/>
    <w:rsid w:val="005A64A8"/>
    <w:rsid w:val="005A64AF"/>
    <w:rsid w:val="005A64F5"/>
    <w:rsid w:val="005A64F6"/>
    <w:rsid w:val="005A6509"/>
    <w:rsid w:val="005A6533"/>
    <w:rsid w:val="005A653F"/>
    <w:rsid w:val="005A6557"/>
    <w:rsid w:val="005A656A"/>
    <w:rsid w:val="005A6581"/>
    <w:rsid w:val="005A658F"/>
    <w:rsid w:val="005A65A1"/>
    <w:rsid w:val="005A65C0"/>
    <w:rsid w:val="005A6600"/>
    <w:rsid w:val="005A6624"/>
    <w:rsid w:val="005A663D"/>
    <w:rsid w:val="005A66DB"/>
    <w:rsid w:val="005A66E9"/>
    <w:rsid w:val="005A6701"/>
    <w:rsid w:val="005A676A"/>
    <w:rsid w:val="005A685A"/>
    <w:rsid w:val="005A6898"/>
    <w:rsid w:val="005A689D"/>
    <w:rsid w:val="005A68E4"/>
    <w:rsid w:val="005A68EC"/>
    <w:rsid w:val="005A68F5"/>
    <w:rsid w:val="005A6907"/>
    <w:rsid w:val="005A6934"/>
    <w:rsid w:val="005A6936"/>
    <w:rsid w:val="005A6956"/>
    <w:rsid w:val="005A6970"/>
    <w:rsid w:val="005A6996"/>
    <w:rsid w:val="005A69C5"/>
    <w:rsid w:val="005A6A58"/>
    <w:rsid w:val="005A6ACE"/>
    <w:rsid w:val="005A6B32"/>
    <w:rsid w:val="005A6B5B"/>
    <w:rsid w:val="005A6B81"/>
    <w:rsid w:val="005A6B8E"/>
    <w:rsid w:val="005A6B9B"/>
    <w:rsid w:val="005A6BC7"/>
    <w:rsid w:val="005A6BCB"/>
    <w:rsid w:val="005A6C32"/>
    <w:rsid w:val="005A6C62"/>
    <w:rsid w:val="005A6C8D"/>
    <w:rsid w:val="005A6CBA"/>
    <w:rsid w:val="005A6CDC"/>
    <w:rsid w:val="005A6D1C"/>
    <w:rsid w:val="005A6D2F"/>
    <w:rsid w:val="005A6D4A"/>
    <w:rsid w:val="005A6D5D"/>
    <w:rsid w:val="005A6D9A"/>
    <w:rsid w:val="005A6E2B"/>
    <w:rsid w:val="005A6E3E"/>
    <w:rsid w:val="005A6E7E"/>
    <w:rsid w:val="005A6EB1"/>
    <w:rsid w:val="005A6EB6"/>
    <w:rsid w:val="005A6F92"/>
    <w:rsid w:val="005A6FFA"/>
    <w:rsid w:val="005A7067"/>
    <w:rsid w:val="005A7073"/>
    <w:rsid w:val="005A7088"/>
    <w:rsid w:val="005A7089"/>
    <w:rsid w:val="005A708D"/>
    <w:rsid w:val="005A70A0"/>
    <w:rsid w:val="005A713A"/>
    <w:rsid w:val="005A71A4"/>
    <w:rsid w:val="005A71BF"/>
    <w:rsid w:val="005A720B"/>
    <w:rsid w:val="005A7223"/>
    <w:rsid w:val="005A723D"/>
    <w:rsid w:val="005A7265"/>
    <w:rsid w:val="005A7271"/>
    <w:rsid w:val="005A729A"/>
    <w:rsid w:val="005A7330"/>
    <w:rsid w:val="005A7347"/>
    <w:rsid w:val="005A73BC"/>
    <w:rsid w:val="005A7447"/>
    <w:rsid w:val="005A745F"/>
    <w:rsid w:val="005A74AC"/>
    <w:rsid w:val="005A74D4"/>
    <w:rsid w:val="005A7503"/>
    <w:rsid w:val="005A753B"/>
    <w:rsid w:val="005A75CE"/>
    <w:rsid w:val="005A75DA"/>
    <w:rsid w:val="005A75E9"/>
    <w:rsid w:val="005A7629"/>
    <w:rsid w:val="005A7631"/>
    <w:rsid w:val="005A763B"/>
    <w:rsid w:val="005A7681"/>
    <w:rsid w:val="005A76AF"/>
    <w:rsid w:val="005A76BB"/>
    <w:rsid w:val="005A76D7"/>
    <w:rsid w:val="005A76F5"/>
    <w:rsid w:val="005A771B"/>
    <w:rsid w:val="005A7773"/>
    <w:rsid w:val="005A77EA"/>
    <w:rsid w:val="005A77FF"/>
    <w:rsid w:val="005A78A9"/>
    <w:rsid w:val="005A78F6"/>
    <w:rsid w:val="005A78FC"/>
    <w:rsid w:val="005A7928"/>
    <w:rsid w:val="005A7946"/>
    <w:rsid w:val="005A796D"/>
    <w:rsid w:val="005A79BF"/>
    <w:rsid w:val="005A79D8"/>
    <w:rsid w:val="005A7A01"/>
    <w:rsid w:val="005A7A7B"/>
    <w:rsid w:val="005A7ACC"/>
    <w:rsid w:val="005A7AFC"/>
    <w:rsid w:val="005A7B05"/>
    <w:rsid w:val="005A7BA1"/>
    <w:rsid w:val="005A7BB8"/>
    <w:rsid w:val="005A7BC1"/>
    <w:rsid w:val="005A7CAE"/>
    <w:rsid w:val="005A7CEF"/>
    <w:rsid w:val="005A7D50"/>
    <w:rsid w:val="005A7D97"/>
    <w:rsid w:val="005A7E2D"/>
    <w:rsid w:val="005A7E48"/>
    <w:rsid w:val="005A7E6A"/>
    <w:rsid w:val="005A7E6F"/>
    <w:rsid w:val="005A7ECC"/>
    <w:rsid w:val="005A7F30"/>
    <w:rsid w:val="005A7F8D"/>
    <w:rsid w:val="005A7FB9"/>
    <w:rsid w:val="005B0032"/>
    <w:rsid w:val="005B00BB"/>
    <w:rsid w:val="005B00D6"/>
    <w:rsid w:val="005B00EE"/>
    <w:rsid w:val="005B0118"/>
    <w:rsid w:val="005B0124"/>
    <w:rsid w:val="005B0134"/>
    <w:rsid w:val="005B0260"/>
    <w:rsid w:val="005B0276"/>
    <w:rsid w:val="005B02A1"/>
    <w:rsid w:val="005B02EA"/>
    <w:rsid w:val="005B033D"/>
    <w:rsid w:val="005B0354"/>
    <w:rsid w:val="005B0376"/>
    <w:rsid w:val="005B03B6"/>
    <w:rsid w:val="005B03D1"/>
    <w:rsid w:val="005B043F"/>
    <w:rsid w:val="005B0448"/>
    <w:rsid w:val="005B046F"/>
    <w:rsid w:val="005B0498"/>
    <w:rsid w:val="005B049B"/>
    <w:rsid w:val="005B049F"/>
    <w:rsid w:val="005B0508"/>
    <w:rsid w:val="005B050E"/>
    <w:rsid w:val="005B053E"/>
    <w:rsid w:val="005B0545"/>
    <w:rsid w:val="005B05A1"/>
    <w:rsid w:val="005B05DD"/>
    <w:rsid w:val="005B060D"/>
    <w:rsid w:val="005B065B"/>
    <w:rsid w:val="005B069D"/>
    <w:rsid w:val="005B06EB"/>
    <w:rsid w:val="005B0710"/>
    <w:rsid w:val="005B071A"/>
    <w:rsid w:val="005B072F"/>
    <w:rsid w:val="005B078D"/>
    <w:rsid w:val="005B07F3"/>
    <w:rsid w:val="005B0814"/>
    <w:rsid w:val="005B086B"/>
    <w:rsid w:val="005B087F"/>
    <w:rsid w:val="005B08CD"/>
    <w:rsid w:val="005B08D6"/>
    <w:rsid w:val="005B08E6"/>
    <w:rsid w:val="005B08EC"/>
    <w:rsid w:val="005B0902"/>
    <w:rsid w:val="005B09DA"/>
    <w:rsid w:val="005B0A96"/>
    <w:rsid w:val="005B0B0B"/>
    <w:rsid w:val="005B0B92"/>
    <w:rsid w:val="005B0C01"/>
    <w:rsid w:val="005B0C1F"/>
    <w:rsid w:val="005B0CA0"/>
    <w:rsid w:val="005B0CCE"/>
    <w:rsid w:val="005B0D07"/>
    <w:rsid w:val="005B0D32"/>
    <w:rsid w:val="005B0D55"/>
    <w:rsid w:val="005B0D76"/>
    <w:rsid w:val="005B0E6E"/>
    <w:rsid w:val="005B0EC9"/>
    <w:rsid w:val="005B0EDE"/>
    <w:rsid w:val="005B0F20"/>
    <w:rsid w:val="005B0F56"/>
    <w:rsid w:val="005B0FA4"/>
    <w:rsid w:val="005B0FB4"/>
    <w:rsid w:val="005B1004"/>
    <w:rsid w:val="005B10E2"/>
    <w:rsid w:val="005B1141"/>
    <w:rsid w:val="005B11ED"/>
    <w:rsid w:val="005B123B"/>
    <w:rsid w:val="005B124E"/>
    <w:rsid w:val="005B127C"/>
    <w:rsid w:val="005B12A2"/>
    <w:rsid w:val="005B1362"/>
    <w:rsid w:val="005B1386"/>
    <w:rsid w:val="005B1387"/>
    <w:rsid w:val="005B1398"/>
    <w:rsid w:val="005B139B"/>
    <w:rsid w:val="005B13A6"/>
    <w:rsid w:val="005B13AC"/>
    <w:rsid w:val="005B13C1"/>
    <w:rsid w:val="005B1445"/>
    <w:rsid w:val="005B14A3"/>
    <w:rsid w:val="005B14A6"/>
    <w:rsid w:val="005B14C1"/>
    <w:rsid w:val="005B150A"/>
    <w:rsid w:val="005B1528"/>
    <w:rsid w:val="005B1545"/>
    <w:rsid w:val="005B1574"/>
    <w:rsid w:val="005B157F"/>
    <w:rsid w:val="005B1580"/>
    <w:rsid w:val="005B1627"/>
    <w:rsid w:val="005B166B"/>
    <w:rsid w:val="005B1692"/>
    <w:rsid w:val="005B16D2"/>
    <w:rsid w:val="005B1764"/>
    <w:rsid w:val="005B17B5"/>
    <w:rsid w:val="005B1802"/>
    <w:rsid w:val="005B1805"/>
    <w:rsid w:val="005B1841"/>
    <w:rsid w:val="005B1867"/>
    <w:rsid w:val="005B186D"/>
    <w:rsid w:val="005B18BF"/>
    <w:rsid w:val="005B18D6"/>
    <w:rsid w:val="005B190F"/>
    <w:rsid w:val="005B196E"/>
    <w:rsid w:val="005B1990"/>
    <w:rsid w:val="005B19B3"/>
    <w:rsid w:val="005B19C4"/>
    <w:rsid w:val="005B19E1"/>
    <w:rsid w:val="005B1A88"/>
    <w:rsid w:val="005B1A8A"/>
    <w:rsid w:val="005B1B28"/>
    <w:rsid w:val="005B1BC0"/>
    <w:rsid w:val="005B1C4A"/>
    <w:rsid w:val="005B1C62"/>
    <w:rsid w:val="005B1CC8"/>
    <w:rsid w:val="005B1CD2"/>
    <w:rsid w:val="005B1CF5"/>
    <w:rsid w:val="005B1CF8"/>
    <w:rsid w:val="005B1D27"/>
    <w:rsid w:val="005B1D3C"/>
    <w:rsid w:val="005B1D67"/>
    <w:rsid w:val="005B1D75"/>
    <w:rsid w:val="005B1D98"/>
    <w:rsid w:val="005B1E94"/>
    <w:rsid w:val="005B1EE4"/>
    <w:rsid w:val="005B1F19"/>
    <w:rsid w:val="005B1F2A"/>
    <w:rsid w:val="005B1F35"/>
    <w:rsid w:val="005B1F75"/>
    <w:rsid w:val="005B1F7F"/>
    <w:rsid w:val="005B1FDA"/>
    <w:rsid w:val="005B1FF4"/>
    <w:rsid w:val="005B1FFC"/>
    <w:rsid w:val="005B2011"/>
    <w:rsid w:val="005B201E"/>
    <w:rsid w:val="005B203E"/>
    <w:rsid w:val="005B2057"/>
    <w:rsid w:val="005B20A8"/>
    <w:rsid w:val="005B20BB"/>
    <w:rsid w:val="005B20CB"/>
    <w:rsid w:val="005B20DD"/>
    <w:rsid w:val="005B2127"/>
    <w:rsid w:val="005B2146"/>
    <w:rsid w:val="005B2160"/>
    <w:rsid w:val="005B21AF"/>
    <w:rsid w:val="005B21EA"/>
    <w:rsid w:val="005B2211"/>
    <w:rsid w:val="005B223B"/>
    <w:rsid w:val="005B2263"/>
    <w:rsid w:val="005B2283"/>
    <w:rsid w:val="005B22A4"/>
    <w:rsid w:val="005B22B7"/>
    <w:rsid w:val="005B22B9"/>
    <w:rsid w:val="005B22D0"/>
    <w:rsid w:val="005B22E4"/>
    <w:rsid w:val="005B2311"/>
    <w:rsid w:val="005B2312"/>
    <w:rsid w:val="005B2316"/>
    <w:rsid w:val="005B2318"/>
    <w:rsid w:val="005B233D"/>
    <w:rsid w:val="005B23AA"/>
    <w:rsid w:val="005B23E3"/>
    <w:rsid w:val="005B23E6"/>
    <w:rsid w:val="005B2406"/>
    <w:rsid w:val="005B2411"/>
    <w:rsid w:val="005B2423"/>
    <w:rsid w:val="005B243B"/>
    <w:rsid w:val="005B249A"/>
    <w:rsid w:val="005B24B5"/>
    <w:rsid w:val="005B2502"/>
    <w:rsid w:val="005B2548"/>
    <w:rsid w:val="005B255B"/>
    <w:rsid w:val="005B257A"/>
    <w:rsid w:val="005B25C4"/>
    <w:rsid w:val="005B2604"/>
    <w:rsid w:val="005B267B"/>
    <w:rsid w:val="005B2734"/>
    <w:rsid w:val="005B278D"/>
    <w:rsid w:val="005B279D"/>
    <w:rsid w:val="005B2836"/>
    <w:rsid w:val="005B2859"/>
    <w:rsid w:val="005B28ED"/>
    <w:rsid w:val="005B2925"/>
    <w:rsid w:val="005B2934"/>
    <w:rsid w:val="005B295D"/>
    <w:rsid w:val="005B2991"/>
    <w:rsid w:val="005B29B9"/>
    <w:rsid w:val="005B29F2"/>
    <w:rsid w:val="005B2AB8"/>
    <w:rsid w:val="005B2AD1"/>
    <w:rsid w:val="005B2AD6"/>
    <w:rsid w:val="005B2B35"/>
    <w:rsid w:val="005B2B3F"/>
    <w:rsid w:val="005B2B48"/>
    <w:rsid w:val="005B2B4A"/>
    <w:rsid w:val="005B2BD0"/>
    <w:rsid w:val="005B2C10"/>
    <w:rsid w:val="005B2C67"/>
    <w:rsid w:val="005B2C69"/>
    <w:rsid w:val="005B2C9C"/>
    <w:rsid w:val="005B2CA3"/>
    <w:rsid w:val="005B2D15"/>
    <w:rsid w:val="005B2D20"/>
    <w:rsid w:val="005B2DA3"/>
    <w:rsid w:val="005B2DF5"/>
    <w:rsid w:val="005B2E18"/>
    <w:rsid w:val="005B2E2F"/>
    <w:rsid w:val="005B2EBC"/>
    <w:rsid w:val="005B2ECE"/>
    <w:rsid w:val="005B2EE1"/>
    <w:rsid w:val="005B2F3B"/>
    <w:rsid w:val="005B2F95"/>
    <w:rsid w:val="005B2FD4"/>
    <w:rsid w:val="005B2FEA"/>
    <w:rsid w:val="005B303C"/>
    <w:rsid w:val="005B3042"/>
    <w:rsid w:val="005B3071"/>
    <w:rsid w:val="005B3078"/>
    <w:rsid w:val="005B3083"/>
    <w:rsid w:val="005B3089"/>
    <w:rsid w:val="005B30AA"/>
    <w:rsid w:val="005B30DA"/>
    <w:rsid w:val="005B3148"/>
    <w:rsid w:val="005B316B"/>
    <w:rsid w:val="005B317F"/>
    <w:rsid w:val="005B3196"/>
    <w:rsid w:val="005B31B7"/>
    <w:rsid w:val="005B3200"/>
    <w:rsid w:val="005B3226"/>
    <w:rsid w:val="005B3293"/>
    <w:rsid w:val="005B32A8"/>
    <w:rsid w:val="005B32B6"/>
    <w:rsid w:val="005B32BC"/>
    <w:rsid w:val="005B32C9"/>
    <w:rsid w:val="005B32CF"/>
    <w:rsid w:val="005B32EB"/>
    <w:rsid w:val="005B32FA"/>
    <w:rsid w:val="005B3325"/>
    <w:rsid w:val="005B3372"/>
    <w:rsid w:val="005B337E"/>
    <w:rsid w:val="005B33AD"/>
    <w:rsid w:val="005B33BD"/>
    <w:rsid w:val="005B33D5"/>
    <w:rsid w:val="005B3411"/>
    <w:rsid w:val="005B3441"/>
    <w:rsid w:val="005B3487"/>
    <w:rsid w:val="005B34FA"/>
    <w:rsid w:val="005B34FF"/>
    <w:rsid w:val="005B353E"/>
    <w:rsid w:val="005B355B"/>
    <w:rsid w:val="005B3569"/>
    <w:rsid w:val="005B3591"/>
    <w:rsid w:val="005B3592"/>
    <w:rsid w:val="005B35A5"/>
    <w:rsid w:val="005B35C6"/>
    <w:rsid w:val="005B3614"/>
    <w:rsid w:val="005B365D"/>
    <w:rsid w:val="005B36D2"/>
    <w:rsid w:val="005B36E1"/>
    <w:rsid w:val="005B36E6"/>
    <w:rsid w:val="005B3707"/>
    <w:rsid w:val="005B3710"/>
    <w:rsid w:val="005B3726"/>
    <w:rsid w:val="005B3748"/>
    <w:rsid w:val="005B3812"/>
    <w:rsid w:val="005B3842"/>
    <w:rsid w:val="005B394F"/>
    <w:rsid w:val="005B3972"/>
    <w:rsid w:val="005B3A0C"/>
    <w:rsid w:val="005B3B2B"/>
    <w:rsid w:val="005B3B73"/>
    <w:rsid w:val="005B3B9A"/>
    <w:rsid w:val="005B3BD8"/>
    <w:rsid w:val="005B3BDB"/>
    <w:rsid w:val="005B3BFF"/>
    <w:rsid w:val="005B3C64"/>
    <w:rsid w:val="005B3CA3"/>
    <w:rsid w:val="005B3CD4"/>
    <w:rsid w:val="005B3CE8"/>
    <w:rsid w:val="005B3CFE"/>
    <w:rsid w:val="005B3DD6"/>
    <w:rsid w:val="005B3E29"/>
    <w:rsid w:val="005B3F0C"/>
    <w:rsid w:val="005B3F37"/>
    <w:rsid w:val="005B3F57"/>
    <w:rsid w:val="005B3FAE"/>
    <w:rsid w:val="005B3FB2"/>
    <w:rsid w:val="005B402C"/>
    <w:rsid w:val="005B4032"/>
    <w:rsid w:val="005B40B0"/>
    <w:rsid w:val="005B40E9"/>
    <w:rsid w:val="005B40EC"/>
    <w:rsid w:val="005B4150"/>
    <w:rsid w:val="005B4190"/>
    <w:rsid w:val="005B4192"/>
    <w:rsid w:val="005B42AF"/>
    <w:rsid w:val="005B42DF"/>
    <w:rsid w:val="005B42F1"/>
    <w:rsid w:val="005B42F5"/>
    <w:rsid w:val="005B434B"/>
    <w:rsid w:val="005B4372"/>
    <w:rsid w:val="005B43B9"/>
    <w:rsid w:val="005B440A"/>
    <w:rsid w:val="005B44A8"/>
    <w:rsid w:val="005B458D"/>
    <w:rsid w:val="005B45A6"/>
    <w:rsid w:val="005B45C5"/>
    <w:rsid w:val="005B462D"/>
    <w:rsid w:val="005B4644"/>
    <w:rsid w:val="005B4646"/>
    <w:rsid w:val="005B4689"/>
    <w:rsid w:val="005B46D8"/>
    <w:rsid w:val="005B4881"/>
    <w:rsid w:val="005B489D"/>
    <w:rsid w:val="005B48A2"/>
    <w:rsid w:val="005B48AF"/>
    <w:rsid w:val="005B48B4"/>
    <w:rsid w:val="005B48B5"/>
    <w:rsid w:val="005B48CC"/>
    <w:rsid w:val="005B48E7"/>
    <w:rsid w:val="005B48FC"/>
    <w:rsid w:val="005B4987"/>
    <w:rsid w:val="005B4A05"/>
    <w:rsid w:val="005B4A48"/>
    <w:rsid w:val="005B4A54"/>
    <w:rsid w:val="005B4A59"/>
    <w:rsid w:val="005B4A9B"/>
    <w:rsid w:val="005B4AA8"/>
    <w:rsid w:val="005B4AAE"/>
    <w:rsid w:val="005B4AE1"/>
    <w:rsid w:val="005B4AF0"/>
    <w:rsid w:val="005B4B06"/>
    <w:rsid w:val="005B4B0D"/>
    <w:rsid w:val="005B4B75"/>
    <w:rsid w:val="005B4B79"/>
    <w:rsid w:val="005B4BBA"/>
    <w:rsid w:val="005B4BFC"/>
    <w:rsid w:val="005B4C1E"/>
    <w:rsid w:val="005B4C42"/>
    <w:rsid w:val="005B4C49"/>
    <w:rsid w:val="005B4C64"/>
    <w:rsid w:val="005B4CFE"/>
    <w:rsid w:val="005B4D27"/>
    <w:rsid w:val="005B4D49"/>
    <w:rsid w:val="005B4D5B"/>
    <w:rsid w:val="005B4DA5"/>
    <w:rsid w:val="005B4E13"/>
    <w:rsid w:val="005B4E18"/>
    <w:rsid w:val="005B4E3D"/>
    <w:rsid w:val="005B4EDB"/>
    <w:rsid w:val="005B4EEC"/>
    <w:rsid w:val="005B4F00"/>
    <w:rsid w:val="005B4F07"/>
    <w:rsid w:val="005B4F2C"/>
    <w:rsid w:val="005B4FA6"/>
    <w:rsid w:val="005B502C"/>
    <w:rsid w:val="005B5062"/>
    <w:rsid w:val="005B5137"/>
    <w:rsid w:val="005B517F"/>
    <w:rsid w:val="005B5191"/>
    <w:rsid w:val="005B51D7"/>
    <w:rsid w:val="005B5245"/>
    <w:rsid w:val="005B5258"/>
    <w:rsid w:val="005B5288"/>
    <w:rsid w:val="005B528A"/>
    <w:rsid w:val="005B52B0"/>
    <w:rsid w:val="005B52D8"/>
    <w:rsid w:val="005B5330"/>
    <w:rsid w:val="005B53BA"/>
    <w:rsid w:val="005B53EA"/>
    <w:rsid w:val="005B5407"/>
    <w:rsid w:val="005B5435"/>
    <w:rsid w:val="005B5496"/>
    <w:rsid w:val="005B54DA"/>
    <w:rsid w:val="005B550F"/>
    <w:rsid w:val="005B555D"/>
    <w:rsid w:val="005B5584"/>
    <w:rsid w:val="005B55F2"/>
    <w:rsid w:val="005B55FA"/>
    <w:rsid w:val="005B5607"/>
    <w:rsid w:val="005B5615"/>
    <w:rsid w:val="005B5662"/>
    <w:rsid w:val="005B568E"/>
    <w:rsid w:val="005B56E1"/>
    <w:rsid w:val="005B56FC"/>
    <w:rsid w:val="005B5702"/>
    <w:rsid w:val="005B574E"/>
    <w:rsid w:val="005B5790"/>
    <w:rsid w:val="005B57E5"/>
    <w:rsid w:val="005B580C"/>
    <w:rsid w:val="005B5814"/>
    <w:rsid w:val="005B5818"/>
    <w:rsid w:val="005B581B"/>
    <w:rsid w:val="005B584C"/>
    <w:rsid w:val="005B586A"/>
    <w:rsid w:val="005B58DC"/>
    <w:rsid w:val="005B5990"/>
    <w:rsid w:val="005B59CF"/>
    <w:rsid w:val="005B59F3"/>
    <w:rsid w:val="005B59FA"/>
    <w:rsid w:val="005B5A36"/>
    <w:rsid w:val="005B5A3E"/>
    <w:rsid w:val="005B5A73"/>
    <w:rsid w:val="005B5AB7"/>
    <w:rsid w:val="005B5AD1"/>
    <w:rsid w:val="005B5ADA"/>
    <w:rsid w:val="005B5B34"/>
    <w:rsid w:val="005B5BC4"/>
    <w:rsid w:val="005B5BD0"/>
    <w:rsid w:val="005B5C5A"/>
    <w:rsid w:val="005B5C62"/>
    <w:rsid w:val="005B5C74"/>
    <w:rsid w:val="005B5C77"/>
    <w:rsid w:val="005B5CDB"/>
    <w:rsid w:val="005B5D12"/>
    <w:rsid w:val="005B5DAE"/>
    <w:rsid w:val="005B5DBF"/>
    <w:rsid w:val="005B5DE7"/>
    <w:rsid w:val="005B5E53"/>
    <w:rsid w:val="005B5E60"/>
    <w:rsid w:val="005B5EB5"/>
    <w:rsid w:val="005B5FA1"/>
    <w:rsid w:val="005B5FFE"/>
    <w:rsid w:val="005B60EB"/>
    <w:rsid w:val="005B6143"/>
    <w:rsid w:val="005B618A"/>
    <w:rsid w:val="005B61FD"/>
    <w:rsid w:val="005B6241"/>
    <w:rsid w:val="005B6252"/>
    <w:rsid w:val="005B625D"/>
    <w:rsid w:val="005B629D"/>
    <w:rsid w:val="005B62AF"/>
    <w:rsid w:val="005B6336"/>
    <w:rsid w:val="005B63CD"/>
    <w:rsid w:val="005B63D0"/>
    <w:rsid w:val="005B63D2"/>
    <w:rsid w:val="005B63F5"/>
    <w:rsid w:val="005B641C"/>
    <w:rsid w:val="005B642A"/>
    <w:rsid w:val="005B648F"/>
    <w:rsid w:val="005B64DF"/>
    <w:rsid w:val="005B658A"/>
    <w:rsid w:val="005B659E"/>
    <w:rsid w:val="005B65C8"/>
    <w:rsid w:val="005B65DD"/>
    <w:rsid w:val="005B6602"/>
    <w:rsid w:val="005B6613"/>
    <w:rsid w:val="005B6617"/>
    <w:rsid w:val="005B6618"/>
    <w:rsid w:val="005B6630"/>
    <w:rsid w:val="005B665B"/>
    <w:rsid w:val="005B6660"/>
    <w:rsid w:val="005B666A"/>
    <w:rsid w:val="005B6678"/>
    <w:rsid w:val="005B6722"/>
    <w:rsid w:val="005B67AF"/>
    <w:rsid w:val="005B67CA"/>
    <w:rsid w:val="005B67D2"/>
    <w:rsid w:val="005B67E3"/>
    <w:rsid w:val="005B6821"/>
    <w:rsid w:val="005B688F"/>
    <w:rsid w:val="005B68B6"/>
    <w:rsid w:val="005B698A"/>
    <w:rsid w:val="005B6991"/>
    <w:rsid w:val="005B69A1"/>
    <w:rsid w:val="005B6A30"/>
    <w:rsid w:val="005B6A9A"/>
    <w:rsid w:val="005B6B14"/>
    <w:rsid w:val="005B6B47"/>
    <w:rsid w:val="005B6B5A"/>
    <w:rsid w:val="005B6B7B"/>
    <w:rsid w:val="005B6BC4"/>
    <w:rsid w:val="005B6C1E"/>
    <w:rsid w:val="005B6CC2"/>
    <w:rsid w:val="005B6CFD"/>
    <w:rsid w:val="005B6D56"/>
    <w:rsid w:val="005B6D5F"/>
    <w:rsid w:val="005B6DCC"/>
    <w:rsid w:val="005B6DD2"/>
    <w:rsid w:val="005B6DF9"/>
    <w:rsid w:val="005B6E04"/>
    <w:rsid w:val="005B6E17"/>
    <w:rsid w:val="005B6E19"/>
    <w:rsid w:val="005B6E1F"/>
    <w:rsid w:val="005B6EB8"/>
    <w:rsid w:val="005B6EDF"/>
    <w:rsid w:val="005B6F47"/>
    <w:rsid w:val="005B6F72"/>
    <w:rsid w:val="005B6F74"/>
    <w:rsid w:val="005B6F7C"/>
    <w:rsid w:val="005B6FB1"/>
    <w:rsid w:val="005B6FB9"/>
    <w:rsid w:val="005B7000"/>
    <w:rsid w:val="005B7043"/>
    <w:rsid w:val="005B707D"/>
    <w:rsid w:val="005B70DD"/>
    <w:rsid w:val="005B70E2"/>
    <w:rsid w:val="005B70E8"/>
    <w:rsid w:val="005B70FB"/>
    <w:rsid w:val="005B71BF"/>
    <w:rsid w:val="005B7279"/>
    <w:rsid w:val="005B7349"/>
    <w:rsid w:val="005B7366"/>
    <w:rsid w:val="005B73CC"/>
    <w:rsid w:val="005B7445"/>
    <w:rsid w:val="005B7447"/>
    <w:rsid w:val="005B7491"/>
    <w:rsid w:val="005B74AE"/>
    <w:rsid w:val="005B751D"/>
    <w:rsid w:val="005B7597"/>
    <w:rsid w:val="005B75B6"/>
    <w:rsid w:val="005B75DD"/>
    <w:rsid w:val="005B75DE"/>
    <w:rsid w:val="005B7625"/>
    <w:rsid w:val="005B7628"/>
    <w:rsid w:val="005B7658"/>
    <w:rsid w:val="005B7670"/>
    <w:rsid w:val="005B770E"/>
    <w:rsid w:val="005B7777"/>
    <w:rsid w:val="005B777E"/>
    <w:rsid w:val="005B778A"/>
    <w:rsid w:val="005B7799"/>
    <w:rsid w:val="005B779D"/>
    <w:rsid w:val="005B780C"/>
    <w:rsid w:val="005B785D"/>
    <w:rsid w:val="005B7918"/>
    <w:rsid w:val="005B7919"/>
    <w:rsid w:val="005B7984"/>
    <w:rsid w:val="005B798A"/>
    <w:rsid w:val="005B79F3"/>
    <w:rsid w:val="005B7A41"/>
    <w:rsid w:val="005B7A6C"/>
    <w:rsid w:val="005B7AEA"/>
    <w:rsid w:val="005B7BC9"/>
    <w:rsid w:val="005B7BED"/>
    <w:rsid w:val="005B7C4E"/>
    <w:rsid w:val="005B7C78"/>
    <w:rsid w:val="005B7CCE"/>
    <w:rsid w:val="005B7DBF"/>
    <w:rsid w:val="005B7E29"/>
    <w:rsid w:val="005B7E3B"/>
    <w:rsid w:val="005B7E52"/>
    <w:rsid w:val="005B7E5A"/>
    <w:rsid w:val="005B7E5C"/>
    <w:rsid w:val="005B7E66"/>
    <w:rsid w:val="005B7EA6"/>
    <w:rsid w:val="005B7EFC"/>
    <w:rsid w:val="005B7EFE"/>
    <w:rsid w:val="005B7F4B"/>
    <w:rsid w:val="005B7F64"/>
    <w:rsid w:val="005B7F6F"/>
    <w:rsid w:val="005B7F83"/>
    <w:rsid w:val="005B7F95"/>
    <w:rsid w:val="005B7FAC"/>
    <w:rsid w:val="005B7FCD"/>
    <w:rsid w:val="005C00D0"/>
    <w:rsid w:val="005C00E6"/>
    <w:rsid w:val="005C00EC"/>
    <w:rsid w:val="005C00F3"/>
    <w:rsid w:val="005C011A"/>
    <w:rsid w:val="005C0153"/>
    <w:rsid w:val="005C015C"/>
    <w:rsid w:val="005C01E6"/>
    <w:rsid w:val="005C0203"/>
    <w:rsid w:val="005C0249"/>
    <w:rsid w:val="005C0250"/>
    <w:rsid w:val="005C0273"/>
    <w:rsid w:val="005C028F"/>
    <w:rsid w:val="005C0291"/>
    <w:rsid w:val="005C0314"/>
    <w:rsid w:val="005C037F"/>
    <w:rsid w:val="005C03A3"/>
    <w:rsid w:val="005C03B9"/>
    <w:rsid w:val="005C03D2"/>
    <w:rsid w:val="005C0421"/>
    <w:rsid w:val="005C0441"/>
    <w:rsid w:val="005C0468"/>
    <w:rsid w:val="005C0499"/>
    <w:rsid w:val="005C052C"/>
    <w:rsid w:val="005C0533"/>
    <w:rsid w:val="005C05D0"/>
    <w:rsid w:val="005C05E7"/>
    <w:rsid w:val="005C05FF"/>
    <w:rsid w:val="005C061D"/>
    <w:rsid w:val="005C064C"/>
    <w:rsid w:val="005C06C8"/>
    <w:rsid w:val="005C0744"/>
    <w:rsid w:val="005C076F"/>
    <w:rsid w:val="005C0783"/>
    <w:rsid w:val="005C07B8"/>
    <w:rsid w:val="005C07BD"/>
    <w:rsid w:val="005C07C1"/>
    <w:rsid w:val="005C07DC"/>
    <w:rsid w:val="005C0807"/>
    <w:rsid w:val="005C080E"/>
    <w:rsid w:val="005C0829"/>
    <w:rsid w:val="005C0831"/>
    <w:rsid w:val="005C0839"/>
    <w:rsid w:val="005C0857"/>
    <w:rsid w:val="005C0859"/>
    <w:rsid w:val="005C087F"/>
    <w:rsid w:val="005C08A9"/>
    <w:rsid w:val="005C08AC"/>
    <w:rsid w:val="005C08C0"/>
    <w:rsid w:val="005C08C1"/>
    <w:rsid w:val="005C08E8"/>
    <w:rsid w:val="005C099B"/>
    <w:rsid w:val="005C09B5"/>
    <w:rsid w:val="005C09E1"/>
    <w:rsid w:val="005C0A3A"/>
    <w:rsid w:val="005C0A3E"/>
    <w:rsid w:val="005C0AB4"/>
    <w:rsid w:val="005C0AB5"/>
    <w:rsid w:val="005C0ACF"/>
    <w:rsid w:val="005C0B00"/>
    <w:rsid w:val="005C0C17"/>
    <w:rsid w:val="005C0C55"/>
    <w:rsid w:val="005C0C72"/>
    <w:rsid w:val="005C0C96"/>
    <w:rsid w:val="005C0C9E"/>
    <w:rsid w:val="005C0CB2"/>
    <w:rsid w:val="005C0DE6"/>
    <w:rsid w:val="005C0DFF"/>
    <w:rsid w:val="005C0E05"/>
    <w:rsid w:val="005C0E10"/>
    <w:rsid w:val="005C0E23"/>
    <w:rsid w:val="005C0E98"/>
    <w:rsid w:val="005C0EBB"/>
    <w:rsid w:val="005C0ED0"/>
    <w:rsid w:val="005C0F07"/>
    <w:rsid w:val="005C0F2B"/>
    <w:rsid w:val="005C0F91"/>
    <w:rsid w:val="005C0FC0"/>
    <w:rsid w:val="005C1075"/>
    <w:rsid w:val="005C1083"/>
    <w:rsid w:val="005C10BF"/>
    <w:rsid w:val="005C10D1"/>
    <w:rsid w:val="005C1107"/>
    <w:rsid w:val="005C11C3"/>
    <w:rsid w:val="005C126D"/>
    <w:rsid w:val="005C1280"/>
    <w:rsid w:val="005C12CF"/>
    <w:rsid w:val="005C1328"/>
    <w:rsid w:val="005C1378"/>
    <w:rsid w:val="005C1380"/>
    <w:rsid w:val="005C1385"/>
    <w:rsid w:val="005C139F"/>
    <w:rsid w:val="005C13D3"/>
    <w:rsid w:val="005C13DD"/>
    <w:rsid w:val="005C13EE"/>
    <w:rsid w:val="005C1450"/>
    <w:rsid w:val="005C1476"/>
    <w:rsid w:val="005C14BF"/>
    <w:rsid w:val="005C15BD"/>
    <w:rsid w:val="005C15DD"/>
    <w:rsid w:val="005C160A"/>
    <w:rsid w:val="005C1615"/>
    <w:rsid w:val="005C164F"/>
    <w:rsid w:val="005C167E"/>
    <w:rsid w:val="005C16EC"/>
    <w:rsid w:val="005C16EF"/>
    <w:rsid w:val="005C1721"/>
    <w:rsid w:val="005C173E"/>
    <w:rsid w:val="005C1760"/>
    <w:rsid w:val="005C1768"/>
    <w:rsid w:val="005C1786"/>
    <w:rsid w:val="005C1819"/>
    <w:rsid w:val="005C1825"/>
    <w:rsid w:val="005C183B"/>
    <w:rsid w:val="005C188B"/>
    <w:rsid w:val="005C18F9"/>
    <w:rsid w:val="005C1915"/>
    <w:rsid w:val="005C1929"/>
    <w:rsid w:val="005C1934"/>
    <w:rsid w:val="005C1A2C"/>
    <w:rsid w:val="005C1A34"/>
    <w:rsid w:val="005C1A60"/>
    <w:rsid w:val="005C1AAD"/>
    <w:rsid w:val="005C1ADE"/>
    <w:rsid w:val="005C1AE9"/>
    <w:rsid w:val="005C1B02"/>
    <w:rsid w:val="005C1BB6"/>
    <w:rsid w:val="005C1BFB"/>
    <w:rsid w:val="005C1C04"/>
    <w:rsid w:val="005C1C06"/>
    <w:rsid w:val="005C1CDA"/>
    <w:rsid w:val="005C1D04"/>
    <w:rsid w:val="005C1D18"/>
    <w:rsid w:val="005C1DA2"/>
    <w:rsid w:val="005C1DDB"/>
    <w:rsid w:val="005C1E2C"/>
    <w:rsid w:val="005C1E62"/>
    <w:rsid w:val="005C1E9C"/>
    <w:rsid w:val="005C1EE7"/>
    <w:rsid w:val="005C1EF5"/>
    <w:rsid w:val="005C1F19"/>
    <w:rsid w:val="005C1F5E"/>
    <w:rsid w:val="005C1F73"/>
    <w:rsid w:val="005C1F7D"/>
    <w:rsid w:val="005C1F99"/>
    <w:rsid w:val="005C1F9C"/>
    <w:rsid w:val="005C1FBC"/>
    <w:rsid w:val="005C2053"/>
    <w:rsid w:val="005C20B2"/>
    <w:rsid w:val="005C20E9"/>
    <w:rsid w:val="005C20EA"/>
    <w:rsid w:val="005C2116"/>
    <w:rsid w:val="005C2200"/>
    <w:rsid w:val="005C2248"/>
    <w:rsid w:val="005C2254"/>
    <w:rsid w:val="005C2291"/>
    <w:rsid w:val="005C22B3"/>
    <w:rsid w:val="005C22C8"/>
    <w:rsid w:val="005C22D7"/>
    <w:rsid w:val="005C231D"/>
    <w:rsid w:val="005C2345"/>
    <w:rsid w:val="005C2359"/>
    <w:rsid w:val="005C238E"/>
    <w:rsid w:val="005C23CA"/>
    <w:rsid w:val="005C23FC"/>
    <w:rsid w:val="005C24E5"/>
    <w:rsid w:val="005C253C"/>
    <w:rsid w:val="005C25E4"/>
    <w:rsid w:val="005C2614"/>
    <w:rsid w:val="005C261C"/>
    <w:rsid w:val="005C262B"/>
    <w:rsid w:val="005C264D"/>
    <w:rsid w:val="005C2658"/>
    <w:rsid w:val="005C2674"/>
    <w:rsid w:val="005C2728"/>
    <w:rsid w:val="005C273F"/>
    <w:rsid w:val="005C2748"/>
    <w:rsid w:val="005C27C2"/>
    <w:rsid w:val="005C27F1"/>
    <w:rsid w:val="005C28B5"/>
    <w:rsid w:val="005C2940"/>
    <w:rsid w:val="005C2A09"/>
    <w:rsid w:val="005C2A55"/>
    <w:rsid w:val="005C2A74"/>
    <w:rsid w:val="005C2ABC"/>
    <w:rsid w:val="005C2AE7"/>
    <w:rsid w:val="005C2AF9"/>
    <w:rsid w:val="005C2B65"/>
    <w:rsid w:val="005C2B95"/>
    <w:rsid w:val="005C2B96"/>
    <w:rsid w:val="005C2B97"/>
    <w:rsid w:val="005C2BA9"/>
    <w:rsid w:val="005C2BE5"/>
    <w:rsid w:val="005C2C29"/>
    <w:rsid w:val="005C2C4D"/>
    <w:rsid w:val="005C2CA5"/>
    <w:rsid w:val="005C2D15"/>
    <w:rsid w:val="005C2D19"/>
    <w:rsid w:val="005C2D4F"/>
    <w:rsid w:val="005C2D82"/>
    <w:rsid w:val="005C2D93"/>
    <w:rsid w:val="005C2DAC"/>
    <w:rsid w:val="005C2DB4"/>
    <w:rsid w:val="005C2DF8"/>
    <w:rsid w:val="005C2DFF"/>
    <w:rsid w:val="005C2E2D"/>
    <w:rsid w:val="005C2E74"/>
    <w:rsid w:val="005C2EC6"/>
    <w:rsid w:val="005C2EE8"/>
    <w:rsid w:val="005C2F65"/>
    <w:rsid w:val="005C2F82"/>
    <w:rsid w:val="005C2FA5"/>
    <w:rsid w:val="005C3095"/>
    <w:rsid w:val="005C30B0"/>
    <w:rsid w:val="005C30B3"/>
    <w:rsid w:val="005C30B6"/>
    <w:rsid w:val="005C30CB"/>
    <w:rsid w:val="005C312E"/>
    <w:rsid w:val="005C315E"/>
    <w:rsid w:val="005C3166"/>
    <w:rsid w:val="005C316B"/>
    <w:rsid w:val="005C31B0"/>
    <w:rsid w:val="005C31C6"/>
    <w:rsid w:val="005C31D3"/>
    <w:rsid w:val="005C31E5"/>
    <w:rsid w:val="005C32BC"/>
    <w:rsid w:val="005C32E2"/>
    <w:rsid w:val="005C32F6"/>
    <w:rsid w:val="005C334A"/>
    <w:rsid w:val="005C336E"/>
    <w:rsid w:val="005C33AC"/>
    <w:rsid w:val="005C33AE"/>
    <w:rsid w:val="005C33B2"/>
    <w:rsid w:val="005C33CA"/>
    <w:rsid w:val="005C33D0"/>
    <w:rsid w:val="005C33E3"/>
    <w:rsid w:val="005C340E"/>
    <w:rsid w:val="005C3428"/>
    <w:rsid w:val="005C3429"/>
    <w:rsid w:val="005C34BE"/>
    <w:rsid w:val="005C3517"/>
    <w:rsid w:val="005C351E"/>
    <w:rsid w:val="005C352D"/>
    <w:rsid w:val="005C365F"/>
    <w:rsid w:val="005C36A8"/>
    <w:rsid w:val="005C36C1"/>
    <w:rsid w:val="005C36D0"/>
    <w:rsid w:val="005C36D7"/>
    <w:rsid w:val="005C3729"/>
    <w:rsid w:val="005C372E"/>
    <w:rsid w:val="005C3749"/>
    <w:rsid w:val="005C374F"/>
    <w:rsid w:val="005C3757"/>
    <w:rsid w:val="005C379A"/>
    <w:rsid w:val="005C37A1"/>
    <w:rsid w:val="005C385F"/>
    <w:rsid w:val="005C38D7"/>
    <w:rsid w:val="005C38D8"/>
    <w:rsid w:val="005C38E1"/>
    <w:rsid w:val="005C397F"/>
    <w:rsid w:val="005C39D1"/>
    <w:rsid w:val="005C39FE"/>
    <w:rsid w:val="005C3A1E"/>
    <w:rsid w:val="005C3B1D"/>
    <w:rsid w:val="005C3B3A"/>
    <w:rsid w:val="005C3B6A"/>
    <w:rsid w:val="005C3B8D"/>
    <w:rsid w:val="005C3BA1"/>
    <w:rsid w:val="005C3BD1"/>
    <w:rsid w:val="005C3C19"/>
    <w:rsid w:val="005C3C1A"/>
    <w:rsid w:val="005C3D24"/>
    <w:rsid w:val="005C3D38"/>
    <w:rsid w:val="005C3D4B"/>
    <w:rsid w:val="005C3D5C"/>
    <w:rsid w:val="005C3E12"/>
    <w:rsid w:val="005C3E2D"/>
    <w:rsid w:val="005C3E85"/>
    <w:rsid w:val="005C3EAD"/>
    <w:rsid w:val="005C3EDD"/>
    <w:rsid w:val="005C3F10"/>
    <w:rsid w:val="005C3F23"/>
    <w:rsid w:val="005C3F31"/>
    <w:rsid w:val="005C3F82"/>
    <w:rsid w:val="005C3FAE"/>
    <w:rsid w:val="005C40F1"/>
    <w:rsid w:val="005C40F4"/>
    <w:rsid w:val="005C4104"/>
    <w:rsid w:val="005C4119"/>
    <w:rsid w:val="005C414D"/>
    <w:rsid w:val="005C4178"/>
    <w:rsid w:val="005C4181"/>
    <w:rsid w:val="005C41A7"/>
    <w:rsid w:val="005C4201"/>
    <w:rsid w:val="005C421B"/>
    <w:rsid w:val="005C428F"/>
    <w:rsid w:val="005C4298"/>
    <w:rsid w:val="005C42A3"/>
    <w:rsid w:val="005C4342"/>
    <w:rsid w:val="005C4394"/>
    <w:rsid w:val="005C4395"/>
    <w:rsid w:val="005C447D"/>
    <w:rsid w:val="005C454F"/>
    <w:rsid w:val="005C4569"/>
    <w:rsid w:val="005C457C"/>
    <w:rsid w:val="005C45A2"/>
    <w:rsid w:val="005C45F0"/>
    <w:rsid w:val="005C4604"/>
    <w:rsid w:val="005C4680"/>
    <w:rsid w:val="005C46D5"/>
    <w:rsid w:val="005C4769"/>
    <w:rsid w:val="005C47B7"/>
    <w:rsid w:val="005C47B9"/>
    <w:rsid w:val="005C47DB"/>
    <w:rsid w:val="005C4833"/>
    <w:rsid w:val="005C4895"/>
    <w:rsid w:val="005C48A7"/>
    <w:rsid w:val="005C4923"/>
    <w:rsid w:val="005C4936"/>
    <w:rsid w:val="005C4986"/>
    <w:rsid w:val="005C4989"/>
    <w:rsid w:val="005C4993"/>
    <w:rsid w:val="005C49CA"/>
    <w:rsid w:val="005C4A5D"/>
    <w:rsid w:val="005C4ADE"/>
    <w:rsid w:val="005C4B48"/>
    <w:rsid w:val="005C4C03"/>
    <w:rsid w:val="005C4C68"/>
    <w:rsid w:val="005C4CB3"/>
    <w:rsid w:val="005C4CF9"/>
    <w:rsid w:val="005C4D22"/>
    <w:rsid w:val="005C4D34"/>
    <w:rsid w:val="005C4D79"/>
    <w:rsid w:val="005C4DDC"/>
    <w:rsid w:val="005C4E47"/>
    <w:rsid w:val="005C4E8D"/>
    <w:rsid w:val="005C4EA4"/>
    <w:rsid w:val="005C4EA9"/>
    <w:rsid w:val="005C4EB0"/>
    <w:rsid w:val="005C4FC5"/>
    <w:rsid w:val="005C4FDC"/>
    <w:rsid w:val="005C501B"/>
    <w:rsid w:val="005C50A3"/>
    <w:rsid w:val="005C5141"/>
    <w:rsid w:val="005C515A"/>
    <w:rsid w:val="005C5161"/>
    <w:rsid w:val="005C519F"/>
    <w:rsid w:val="005C521A"/>
    <w:rsid w:val="005C5225"/>
    <w:rsid w:val="005C524D"/>
    <w:rsid w:val="005C525D"/>
    <w:rsid w:val="005C527D"/>
    <w:rsid w:val="005C52D7"/>
    <w:rsid w:val="005C53B7"/>
    <w:rsid w:val="005C5407"/>
    <w:rsid w:val="005C5438"/>
    <w:rsid w:val="005C5448"/>
    <w:rsid w:val="005C545E"/>
    <w:rsid w:val="005C5465"/>
    <w:rsid w:val="005C54E5"/>
    <w:rsid w:val="005C54F5"/>
    <w:rsid w:val="005C551C"/>
    <w:rsid w:val="005C5583"/>
    <w:rsid w:val="005C55B5"/>
    <w:rsid w:val="005C55C5"/>
    <w:rsid w:val="005C561B"/>
    <w:rsid w:val="005C5641"/>
    <w:rsid w:val="005C5718"/>
    <w:rsid w:val="005C572F"/>
    <w:rsid w:val="005C575E"/>
    <w:rsid w:val="005C57D4"/>
    <w:rsid w:val="005C57D7"/>
    <w:rsid w:val="005C57D9"/>
    <w:rsid w:val="005C5802"/>
    <w:rsid w:val="005C585F"/>
    <w:rsid w:val="005C586E"/>
    <w:rsid w:val="005C58A8"/>
    <w:rsid w:val="005C58F6"/>
    <w:rsid w:val="005C58F7"/>
    <w:rsid w:val="005C58FB"/>
    <w:rsid w:val="005C5943"/>
    <w:rsid w:val="005C59D1"/>
    <w:rsid w:val="005C59D8"/>
    <w:rsid w:val="005C5A01"/>
    <w:rsid w:val="005C5A32"/>
    <w:rsid w:val="005C5A79"/>
    <w:rsid w:val="005C5A9C"/>
    <w:rsid w:val="005C5AFE"/>
    <w:rsid w:val="005C5B14"/>
    <w:rsid w:val="005C5B18"/>
    <w:rsid w:val="005C5B19"/>
    <w:rsid w:val="005C5B4F"/>
    <w:rsid w:val="005C5B50"/>
    <w:rsid w:val="005C5B84"/>
    <w:rsid w:val="005C5BA2"/>
    <w:rsid w:val="005C5BB0"/>
    <w:rsid w:val="005C5C10"/>
    <w:rsid w:val="005C5C90"/>
    <w:rsid w:val="005C5CA5"/>
    <w:rsid w:val="005C5CB0"/>
    <w:rsid w:val="005C5CBC"/>
    <w:rsid w:val="005C5D63"/>
    <w:rsid w:val="005C5DB4"/>
    <w:rsid w:val="005C5DDE"/>
    <w:rsid w:val="005C5DEA"/>
    <w:rsid w:val="005C5E42"/>
    <w:rsid w:val="005C5E89"/>
    <w:rsid w:val="005C5E8B"/>
    <w:rsid w:val="005C5F40"/>
    <w:rsid w:val="005C5FA5"/>
    <w:rsid w:val="005C5FDE"/>
    <w:rsid w:val="005C5FE1"/>
    <w:rsid w:val="005C5FE9"/>
    <w:rsid w:val="005C602F"/>
    <w:rsid w:val="005C607A"/>
    <w:rsid w:val="005C60D4"/>
    <w:rsid w:val="005C6109"/>
    <w:rsid w:val="005C612E"/>
    <w:rsid w:val="005C61F5"/>
    <w:rsid w:val="005C622F"/>
    <w:rsid w:val="005C6230"/>
    <w:rsid w:val="005C627D"/>
    <w:rsid w:val="005C635B"/>
    <w:rsid w:val="005C6361"/>
    <w:rsid w:val="005C639F"/>
    <w:rsid w:val="005C63A7"/>
    <w:rsid w:val="005C63AB"/>
    <w:rsid w:val="005C641F"/>
    <w:rsid w:val="005C6420"/>
    <w:rsid w:val="005C642D"/>
    <w:rsid w:val="005C6432"/>
    <w:rsid w:val="005C6438"/>
    <w:rsid w:val="005C6476"/>
    <w:rsid w:val="005C650C"/>
    <w:rsid w:val="005C6536"/>
    <w:rsid w:val="005C6584"/>
    <w:rsid w:val="005C65E5"/>
    <w:rsid w:val="005C65F4"/>
    <w:rsid w:val="005C662A"/>
    <w:rsid w:val="005C6637"/>
    <w:rsid w:val="005C6666"/>
    <w:rsid w:val="005C667A"/>
    <w:rsid w:val="005C6689"/>
    <w:rsid w:val="005C66F7"/>
    <w:rsid w:val="005C676E"/>
    <w:rsid w:val="005C6784"/>
    <w:rsid w:val="005C67A0"/>
    <w:rsid w:val="005C685B"/>
    <w:rsid w:val="005C687B"/>
    <w:rsid w:val="005C68F7"/>
    <w:rsid w:val="005C6932"/>
    <w:rsid w:val="005C693B"/>
    <w:rsid w:val="005C694B"/>
    <w:rsid w:val="005C6955"/>
    <w:rsid w:val="005C6A3D"/>
    <w:rsid w:val="005C6A61"/>
    <w:rsid w:val="005C6A6B"/>
    <w:rsid w:val="005C6A83"/>
    <w:rsid w:val="005C6A88"/>
    <w:rsid w:val="005C6ACA"/>
    <w:rsid w:val="005C6B0D"/>
    <w:rsid w:val="005C6B22"/>
    <w:rsid w:val="005C6B24"/>
    <w:rsid w:val="005C6B37"/>
    <w:rsid w:val="005C6B5F"/>
    <w:rsid w:val="005C6B60"/>
    <w:rsid w:val="005C6BA8"/>
    <w:rsid w:val="005C6BE7"/>
    <w:rsid w:val="005C6C17"/>
    <w:rsid w:val="005C6C1C"/>
    <w:rsid w:val="005C6C3F"/>
    <w:rsid w:val="005C6C4D"/>
    <w:rsid w:val="005C6C90"/>
    <w:rsid w:val="005C6C92"/>
    <w:rsid w:val="005C6CA0"/>
    <w:rsid w:val="005C6CB5"/>
    <w:rsid w:val="005C6CCE"/>
    <w:rsid w:val="005C6DAE"/>
    <w:rsid w:val="005C6DD5"/>
    <w:rsid w:val="005C6DD6"/>
    <w:rsid w:val="005C6DED"/>
    <w:rsid w:val="005C6E05"/>
    <w:rsid w:val="005C6E55"/>
    <w:rsid w:val="005C6E91"/>
    <w:rsid w:val="005C6E99"/>
    <w:rsid w:val="005C6EFF"/>
    <w:rsid w:val="005C6F17"/>
    <w:rsid w:val="005C6F41"/>
    <w:rsid w:val="005C6F5D"/>
    <w:rsid w:val="005C6F77"/>
    <w:rsid w:val="005C6F94"/>
    <w:rsid w:val="005C6FA7"/>
    <w:rsid w:val="005C6FD3"/>
    <w:rsid w:val="005C6FF3"/>
    <w:rsid w:val="005C705E"/>
    <w:rsid w:val="005C709C"/>
    <w:rsid w:val="005C712F"/>
    <w:rsid w:val="005C7174"/>
    <w:rsid w:val="005C7175"/>
    <w:rsid w:val="005C71FF"/>
    <w:rsid w:val="005C7208"/>
    <w:rsid w:val="005C7243"/>
    <w:rsid w:val="005C726D"/>
    <w:rsid w:val="005C72A5"/>
    <w:rsid w:val="005C72C1"/>
    <w:rsid w:val="005C72D3"/>
    <w:rsid w:val="005C7311"/>
    <w:rsid w:val="005C731C"/>
    <w:rsid w:val="005C7323"/>
    <w:rsid w:val="005C732B"/>
    <w:rsid w:val="005C7448"/>
    <w:rsid w:val="005C7476"/>
    <w:rsid w:val="005C7479"/>
    <w:rsid w:val="005C74AE"/>
    <w:rsid w:val="005C74B0"/>
    <w:rsid w:val="005C74CB"/>
    <w:rsid w:val="005C74D3"/>
    <w:rsid w:val="005C74F9"/>
    <w:rsid w:val="005C7509"/>
    <w:rsid w:val="005C754A"/>
    <w:rsid w:val="005C754D"/>
    <w:rsid w:val="005C7553"/>
    <w:rsid w:val="005C7554"/>
    <w:rsid w:val="005C7565"/>
    <w:rsid w:val="005C7576"/>
    <w:rsid w:val="005C7588"/>
    <w:rsid w:val="005C75C5"/>
    <w:rsid w:val="005C75D2"/>
    <w:rsid w:val="005C762F"/>
    <w:rsid w:val="005C7680"/>
    <w:rsid w:val="005C7685"/>
    <w:rsid w:val="005C7723"/>
    <w:rsid w:val="005C7767"/>
    <w:rsid w:val="005C779B"/>
    <w:rsid w:val="005C77D1"/>
    <w:rsid w:val="005C77D3"/>
    <w:rsid w:val="005C77E8"/>
    <w:rsid w:val="005C77F7"/>
    <w:rsid w:val="005C7819"/>
    <w:rsid w:val="005C785F"/>
    <w:rsid w:val="005C793F"/>
    <w:rsid w:val="005C7941"/>
    <w:rsid w:val="005C7942"/>
    <w:rsid w:val="005C795B"/>
    <w:rsid w:val="005C7989"/>
    <w:rsid w:val="005C798A"/>
    <w:rsid w:val="005C79B2"/>
    <w:rsid w:val="005C79C8"/>
    <w:rsid w:val="005C79F1"/>
    <w:rsid w:val="005C79F6"/>
    <w:rsid w:val="005C7AEC"/>
    <w:rsid w:val="005C7AFF"/>
    <w:rsid w:val="005C7B22"/>
    <w:rsid w:val="005C7B8E"/>
    <w:rsid w:val="005C7B9A"/>
    <w:rsid w:val="005C7C73"/>
    <w:rsid w:val="005C7C99"/>
    <w:rsid w:val="005C7CC3"/>
    <w:rsid w:val="005C7CD6"/>
    <w:rsid w:val="005C7D24"/>
    <w:rsid w:val="005C7D2C"/>
    <w:rsid w:val="005C7D6E"/>
    <w:rsid w:val="005C7D7C"/>
    <w:rsid w:val="005C7DB8"/>
    <w:rsid w:val="005C7DD1"/>
    <w:rsid w:val="005C7DE7"/>
    <w:rsid w:val="005C7DFB"/>
    <w:rsid w:val="005C7DFD"/>
    <w:rsid w:val="005C7E31"/>
    <w:rsid w:val="005C7E4C"/>
    <w:rsid w:val="005C7E56"/>
    <w:rsid w:val="005C7E58"/>
    <w:rsid w:val="005C7E8E"/>
    <w:rsid w:val="005C7ECC"/>
    <w:rsid w:val="005C7F01"/>
    <w:rsid w:val="005C7F58"/>
    <w:rsid w:val="005C7F90"/>
    <w:rsid w:val="005C7F93"/>
    <w:rsid w:val="005D0003"/>
    <w:rsid w:val="005D0065"/>
    <w:rsid w:val="005D0090"/>
    <w:rsid w:val="005D009E"/>
    <w:rsid w:val="005D00B7"/>
    <w:rsid w:val="005D00C3"/>
    <w:rsid w:val="005D011C"/>
    <w:rsid w:val="005D014C"/>
    <w:rsid w:val="005D014E"/>
    <w:rsid w:val="005D01AB"/>
    <w:rsid w:val="005D01C5"/>
    <w:rsid w:val="005D0228"/>
    <w:rsid w:val="005D0233"/>
    <w:rsid w:val="005D0236"/>
    <w:rsid w:val="005D0238"/>
    <w:rsid w:val="005D0239"/>
    <w:rsid w:val="005D02E5"/>
    <w:rsid w:val="005D0335"/>
    <w:rsid w:val="005D03C6"/>
    <w:rsid w:val="005D0415"/>
    <w:rsid w:val="005D044F"/>
    <w:rsid w:val="005D0450"/>
    <w:rsid w:val="005D0461"/>
    <w:rsid w:val="005D0469"/>
    <w:rsid w:val="005D04B5"/>
    <w:rsid w:val="005D0503"/>
    <w:rsid w:val="005D050F"/>
    <w:rsid w:val="005D0577"/>
    <w:rsid w:val="005D058A"/>
    <w:rsid w:val="005D0610"/>
    <w:rsid w:val="005D0621"/>
    <w:rsid w:val="005D0641"/>
    <w:rsid w:val="005D0688"/>
    <w:rsid w:val="005D0699"/>
    <w:rsid w:val="005D06B2"/>
    <w:rsid w:val="005D070F"/>
    <w:rsid w:val="005D071B"/>
    <w:rsid w:val="005D0722"/>
    <w:rsid w:val="005D0751"/>
    <w:rsid w:val="005D07E3"/>
    <w:rsid w:val="005D07F6"/>
    <w:rsid w:val="005D07FD"/>
    <w:rsid w:val="005D080F"/>
    <w:rsid w:val="005D0866"/>
    <w:rsid w:val="005D09AB"/>
    <w:rsid w:val="005D0A26"/>
    <w:rsid w:val="005D0A2E"/>
    <w:rsid w:val="005D0A82"/>
    <w:rsid w:val="005D0A98"/>
    <w:rsid w:val="005D0AA9"/>
    <w:rsid w:val="005D0AE6"/>
    <w:rsid w:val="005D0B27"/>
    <w:rsid w:val="005D0B3D"/>
    <w:rsid w:val="005D0B68"/>
    <w:rsid w:val="005D0B7A"/>
    <w:rsid w:val="005D0BA4"/>
    <w:rsid w:val="005D0BB7"/>
    <w:rsid w:val="005D0BC3"/>
    <w:rsid w:val="005D0BCB"/>
    <w:rsid w:val="005D0BEF"/>
    <w:rsid w:val="005D0C16"/>
    <w:rsid w:val="005D0C34"/>
    <w:rsid w:val="005D0C57"/>
    <w:rsid w:val="005D0C90"/>
    <w:rsid w:val="005D0CDA"/>
    <w:rsid w:val="005D0D35"/>
    <w:rsid w:val="005D0DC0"/>
    <w:rsid w:val="005D0DD1"/>
    <w:rsid w:val="005D0E22"/>
    <w:rsid w:val="005D0E3D"/>
    <w:rsid w:val="005D0E58"/>
    <w:rsid w:val="005D0E6B"/>
    <w:rsid w:val="005D0ED5"/>
    <w:rsid w:val="005D0EE0"/>
    <w:rsid w:val="005D0F33"/>
    <w:rsid w:val="005D0F3D"/>
    <w:rsid w:val="005D0F70"/>
    <w:rsid w:val="005D0F71"/>
    <w:rsid w:val="005D0FAD"/>
    <w:rsid w:val="005D0FCA"/>
    <w:rsid w:val="005D10B3"/>
    <w:rsid w:val="005D11F3"/>
    <w:rsid w:val="005D11FB"/>
    <w:rsid w:val="005D1252"/>
    <w:rsid w:val="005D1278"/>
    <w:rsid w:val="005D12D3"/>
    <w:rsid w:val="005D12DD"/>
    <w:rsid w:val="005D132C"/>
    <w:rsid w:val="005D1330"/>
    <w:rsid w:val="005D136F"/>
    <w:rsid w:val="005D1532"/>
    <w:rsid w:val="005D1592"/>
    <w:rsid w:val="005D15A6"/>
    <w:rsid w:val="005D15C3"/>
    <w:rsid w:val="005D1605"/>
    <w:rsid w:val="005D16A8"/>
    <w:rsid w:val="005D16AC"/>
    <w:rsid w:val="005D16B3"/>
    <w:rsid w:val="005D16FA"/>
    <w:rsid w:val="005D177F"/>
    <w:rsid w:val="005D1785"/>
    <w:rsid w:val="005D17BD"/>
    <w:rsid w:val="005D18BF"/>
    <w:rsid w:val="005D18CB"/>
    <w:rsid w:val="005D18D8"/>
    <w:rsid w:val="005D1976"/>
    <w:rsid w:val="005D1980"/>
    <w:rsid w:val="005D1A23"/>
    <w:rsid w:val="005D1A2B"/>
    <w:rsid w:val="005D1A6F"/>
    <w:rsid w:val="005D1AF7"/>
    <w:rsid w:val="005D1AFE"/>
    <w:rsid w:val="005D1B0C"/>
    <w:rsid w:val="005D1B39"/>
    <w:rsid w:val="005D1B56"/>
    <w:rsid w:val="005D1B92"/>
    <w:rsid w:val="005D1B9E"/>
    <w:rsid w:val="005D1BB6"/>
    <w:rsid w:val="005D1C2D"/>
    <w:rsid w:val="005D1C2E"/>
    <w:rsid w:val="005D1C5A"/>
    <w:rsid w:val="005D1C91"/>
    <w:rsid w:val="005D1CAA"/>
    <w:rsid w:val="005D1CFA"/>
    <w:rsid w:val="005D1CFF"/>
    <w:rsid w:val="005D1D76"/>
    <w:rsid w:val="005D1D91"/>
    <w:rsid w:val="005D1DCF"/>
    <w:rsid w:val="005D1E13"/>
    <w:rsid w:val="005D1E1D"/>
    <w:rsid w:val="005D1E23"/>
    <w:rsid w:val="005D1E2A"/>
    <w:rsid w:val="005D1E66"/>
    <w:rsid w:val="005D1E6E"/>
    <w:rsid w:val="005D1EA9"/>
    <w:rsid w:val="005D1F49"/>
    <w:rsid w:val="005D2049"/>
    <w:rsid w:val="005D205E"/>
    <w:rsid w:val="005D20D9"/>
    <w:rsid w:val="005D2103"/>
    <w:rsid w:val="005D2136"/>
    <w:rsid w:val="005D2190"/>
    <w:rsid w:val="005D21A1"/>
    <w:rsid w:val="005D21E7"/>
    <w:rsid w:val="005D2200"/>
    <w:rsid w:val="005D2259"/>
    <w:rsid w:val="005D229D"/>
    <w:rsid w:val="005D229F"/>
    <w:rsid w:val="005D22CD"/>
    <w:rsid w:val="005D2305"/>
    <w:rsid w:val="005D230A"/>
    <w:rsid w:val="005D232E"/>
    <w:rsid w:val="005D2360"/>
    <w:rsid w:val="005D2385"/>
    <w:rsid w:val="005D23BB"/>
    <w:rsid w:val="005D23BC"/>
    <w:rsid w:val="005D23FE"/>
    <w:rsid w:val="005D2411"/>
    <w:rsid w:val="005D2416"/>
    <w:rsid w:val="005D2454"/>
    <w:rsid w:val="005D2498"/>
    <w:rsid w:val="005D249C"/>
    <w:rsid w:val="005D250A"/>
    <w:rsid w:val="005D2526"/>
    <w:rsid w:val="005D2581"/>
    <w:rsid w:val="005D2591"/>
    <w:rsid w:val="005D25BD"/>
    <w:rsid w:val="005D2605"/>
    <w:rsid w:val="005D2617"/>
    <w:rsid w:val="005D261F"/>
    <w:rsid w:val="005D2632"/>
    <w:rsid w:val="005D264A"/>
    <w:rsid w:val="005D267F"/>
    <w:rsid w:val="005D26DC"/>
    <w:rsid w:val="005D26F2"/>
    <w:rsid w:val="005D279A"/>
    <w:rsid w:val="005D27C5"/>
    <w:rsid w:val="005D27D1"/>
    <w:rsid w:val="005D2803"/>
    <w:rsid w:val="005D2887"/>
    <w:rsid w:val="005D28BF"/>
    <w:rsid w:val="005D28CB"/>
    <w:rsid w:val="005D291C"/>
    <w:rsid w:val="005D2940"/>
    <w:rsid w:val="005D296F"/>
    <w:rsid w:val="005D29C5"/>
    <w:rsid w:val="005D2A04"/>
    <w:rsid w:val="005D2A80"/>
    <w:rsid w:val="005D2B18"/>
    <w:rsid w:val="005D2B54"/>
    <w:rsid w:val="005D2B61"/>
    <w:rsid w:val="005D2C07"/>
    <w:rsid w:val="005D2C42"/>
    <w:rsid w:val="005D2CF6"/>
    <w:rsid w:val="005D2D05"/>
    <w:rsid w:val="005D2D2E"/>
    <w:rsid w:val="005D2D38"/>
    <w:rsid w:val="005D2DA2"/>
    <w:rsid w:val="005D2DEE"/>
    <w:rsid w:val="005D2E7F"/>
    <w:rsid w:val="005D2EF5"/>
    <w:rsid w:val="005D2F26"/>
    <w:rsid w:val="005D2F28"/>
    <w:rsid w:val="005D2F51"/>
    <w:rsid w:val="005D2FAF"/>
    <w:rsid w:val="005D2FB5"/>
    <w:rsid w:val="005D2FC0"/>
    <w:rsid w:val="005D2FEA"/>
    <w:rsid w:val="005D301F"/>
    <w:rsid w:val="005D3022"/>
    <w:rsid w:val="005D3029"/>
    <w:rsid w:val="005D304D"/>
    <w:rsid w:val="005D3065"/>
    <w:rsid w:val="005D311B"/>
    <w:rsid w:val="005D311F"/>
    <w:rsid w:val="005D3126"/>
    <w:rsid w:val="005D3162"/>
    <w:rsid w:val="005D31BB"/>
    <w:rsid w:val="005D31D1"/>
    <w:rsid w:val="005D3341"/>
    <w:rsid w:val="005D3392"/>
    <w:rsid w:val="005D33C5"/>
    <w:rsid w:val="005D33DC"/>
    <w:rsid w:val="005D341A"/>
    <w:rsid w:val="005D342B"/>
    <w:rsid w:val="005D3489"/>
    <w:rsid w:val="005D3492"/>
    <w:rsid w:val="005D34B6"/>
    <w:rsid w:val="005D34BE"/>
    <w:rsid w:val="005D3551"/>
    <w:rsid w:val="005D35B5"/>
    <w:rsid w:val="005D35D3"/>
    <w:rsid w:val="005D35E1"/>
    <w:rsid w:val="005D35E6"/>
    <w:rsid w:val="005D35F1"/>
    <w:rsid w:val="005D368F"/>
    <w:rsid w:val="005D3694"/>
    <w:rsid w:val="005D3695"/>
    <w:rsid w:val="005D36BB"/>
    <w:rsid w:val="005D36CE"/>
    <w:rsid w:val="005D3708"/>
    <w:rsid w:val="005D370A"/>
    <w:rsid w:val="005D3721"/>
    <w:rsid w:val="005D3756"/>
    <w:rsid w:val="005D376D"/>
    <w:rsid w:val="005D385C"/>
    <w:rsid w:val="005D38C2"/>
    <w:rsid w:val="005D38FC"/>
    <w:rsid w:val="005D3967"/>
    <w:rsid w:val="005D3983"/>
    <w:rsid w:val="005D3A10"/>
    <w:rsid w:val="005D3A4B"/>
    <w:rsid w:val="005D3B13"/>
    <w:rsid w:val="005D3B15"/>
    <w:rsid w:val="005D3B41"/>
    <w:rsid w:val="005D3B4F"/>
    <w:rsid w:val="005D3B69"/>
    <w:rsid w:val="005D3BE2"/>
    <w:rsid w:val="005D3C9A"/>
    <w:rsid w:val="005D3C9B"/>
    <w:rsid w:val="005D3CBC"/>
    <w:rsid w:val="005D3D2B"/>
    <w:rsid w:val="005D3D2F"/>
    <w:rsid w:val="005D3D8D"/>
    <w:rsid w:val="005D3D9A"/>
    <w:rsid w:val="005D3D9B"/>
    <w:rsid w:val="005D3DAB"/>
    <w:rsid w:val="005D3E53"/>
    <w:rsid w:val="005D3EF1"/>
    <w:rsid w:val="005D3EF7"/>
    <w:rsid w:val="005D3F95"/>
    <w:rsid w:val="005D3FCE"/>
    <w:rsid w:val="005D3FF0"/>
    <w:rsid w:val="005D3FFD"/>
    <w:rsid w:val="005D3FFE"/>
    <w:rsid w:val="005D401D"/>
    <w:rsid w:val="005D4030"/>
    <w:rsid w:val="005D4045"/>
    <w:rsid w:val="005D404D"/>
    <w:rsid w:val="005D406E"/>
    <w:rsid w:val="005D4079"/>
    <w:rsid w:val="005D407F"/>
    <w:rsid w:val="005D40A6"/>
    <w:rsid w:val="005D40B2"/>
    <w:rsid w:val="005D40BA"/>
    <w:rsid w:val="005D4137"/>
    <w:rsid w:val="005D413F"/>
    <w:rsid w:val="005D416E"/>
    <w:rsid w:val="005D4185"/>
    <w:rsid w:val="005D41FF"/>
    <w:rsid w:val="005D4245"/>
    <w:rsid w:val="005D42B6"/>
    <w:rsid w:val="005D42D3"/>
    <w:rsid w:val="005D4323"/>
    <w:rsid w:val="005D432A"/>
    <w:rsid w:val="005D4392"/>
    <w:rsid w:val="005D43DC"/>
    <w:rsid w:val="005D4444"/>
    <w:rsid w:val="005D444C"/>
    <w:rsid w:val="005D446C"/>
    <w:rsid w:val="005D44FC"/>
    <w:rsid w:val="005D4511"/>
    <w:rsid w:val="005D4524"/>
    <w:rsid w:val="005D45C8"/>
    <w:rsid w:val="005D4722"/>
    <w:rsid w:val="005D473A"/>
    <w:rsid w:val="005D4740"/>
    <w:rsid w:val="005D4741"/>
    <w:rsid w:val="005D4742"/>
    <w:rsid w:val="005D474C"/>
    <w:rsid w:val="005D474F"/>
    <w:rsid w:val="005D476C"/>
    <w:rsid w:val="005D4773"/>
    <w:rsid w:val="005D4786"/>
    <w:rsid w:val="005D47C1"/>
    <w:rsid w:val="005D4830"/>
    <w:rsid w:val="005D489D"/>
    <w:rsid w:val="005D48D9"/>
    <w:rsid w:val="005D4910"/>
    <w:rsid w:val="005D49E9"/>
    <w:rsid w:val="005D4A09"/>
    <w:rsid w:val="005D4AC0"/>
    <w:rsid w:val="005D4AD7"/>
    <w:rsid w:val="005D4AFD"/>
    <w:rsid w:val="005D4B61"/>
    <w:rsid w:val="005D4B85"/>
    <w:rsid w:val="005D4B8D"/>
    <w:rsid w:val="005D4B90"/>
    <w:rsid w:val="005D4BE0"/>
    <w:rsid w:val="005D4BFB"/>
    <w:rsid w:val="005D4C2A"/>
    <w:rsid w:val="005D4C30"/>
    <w:rsid w:val="005D4C3B"/>
    <w:rsid w:val="005D4C9A"/>
    <w:rsid w:val="005D4CE8"/>
    <w:rsid w:val="005D4D1C"/>
    <w:rsid w:val="005D4E22"/>
    <w:rsid w:val="005D4E39"/>
    <w:rsid w:val="005D4E3F"/>
    <w:rsid w:val="005D4F4E"/>
    <w:rsid w:val="005D4F9D"/>
    <w:rsid w:val="005D4FB8"/>
    <w:rsid w:val="005D4FDD"/>
    <w:rsid w:val="005D5037"/>
    <w:rsid w:val="005D5059"/>
    <w:rsid w:val="005D505E"/>
    <w:rsid w:val="005D5079"/>
    <w:rsid w:val="005D50DA"/>
    <w:rsid w:val="005D5151"/>
    <w:rsid w:val="005D515F"/>
    <w:rsid w:val="005D517F"/>
    <w:rsid w:val="005D51C4"/>
    <w:rsid w:val="005D51D2"/>
    <w:rsid w:val="005D5234"/>
    <w:rsid w:val="005D5236"/>
    <w:rsid w:val="005D527B"/>
    <w:rsid w:val="005D528F"/>
    <w:rsid w:val="005D5294"/>
    <w:rsid w:val="005D52A1"/>
    <w:rsid w:val="005D52C1"/>
    <w:rsid w:val="005D52CD"/>
    <w:rsid w:val="005D52D5"/>
    <w:rsid w:val="005D52E5"/>
    <w:rsid w:val="005D5319"/>
    <w:rsid w:val="005D5343"/>
    <w:rsid w:val="005D5373"/>
    <w:rsid w:val="005D53A4"/>
    <w:rsid w:val="005D540A"/>
    <w:rsid w:val="005D5475"/>
    <w:rsid w:val="005D5487"/>
    <w:rsid w:val="005D549A"/>
    <w:rsid w:val="005D5578"/>
    <w:rsid w:val="005D5589"/>
    <w:rsid w:val="005D5644"/>
    <w:rsid w:val="005D5668"/>
    <w:rsid w:val="005D5690"/>
    <w:rsid w:val="005D56AA"/>
    <w:rsid w:val="005D56DB"/>
    <w:rsid w:val="005D571F"/>
    <w:rsid w:val="005D573A"/>
    <w:rsid w:val="005D5742"/>
    <w:rsid w:val="005D574B"/>
    <w:rsid w:val="005D577D"/>
    <w:rsid w:val="005D57E0"/>
    <w:rsid w:val="005D57EB"/>
    <w:rsid w:val="005D580D"/>
    <w:rsid w:val="005D58DC"/>
    <w:rsid w:val="005D5929"/>
    <w:rsid w:val="005D593C"/>
    <w:rsid w:val="005D5980"/>
    <w:rsid w:val="005D5999"/>
    <w:rsid w:val="005D59AB"/>
    <w:rsid w:val="005D59E4"/>
    <w:rsid w:val="005D5A15"/>
    <w:rsid w:val="005D5B66"/>
    <w:rsid w:val="005D5B82"/>
    <w:rsid w:val="005D5B9C"/>
    <w:rsid w:val="005D5BEE"/>
    <w:rsid w:val="005D5C0D"/>
    <w:rsid w:val="005D5C8B"/>
    <w:rsid w:val="005D5CB4"/>
    <w:rsid w:val="005D5CBE"/>
    <w:rsid w:val="005D5D13"/>
    <w:rsid w:val="005D5D17"/>
    <w:rsid w:val="005D5D29"/>
    <w:rsid w:val="005D5DAA"/>
    <w:rsid w:val="005D5DCC"/>
    <w:rsid w:val="005D5DF9"/>
    <w:rsid w:val="005D5E3A"/>
    <w:rsid w:val="005D5EBC"/>
    <w:rsid w:val="005D5ED8"/>
    <w:rsid w:val="005D5F09"/>
    <w:rsid w:val="005D5F95"/>
    <w:rsid w:val="005D5FC2"/>
    <w:rsid w:val="005D5FEC"/>
    <w:rsid w:val="005D5FF1"/>
    <w:rsid w:val="005D6008"/>
    <w:rsid w:val="005D604C"/>
    <w:rsid w:val="005D6084"/>
    <w:rsid w:val="005D6087"/>
    <w:rsid w:val="005D608F"/>
    <w:rsid w:val="005D60D7"/>
    <w:rsid w:val="005D60DA"/>
    <w:rsid w:val="005D610B"/>
    <w:rsid w:val="005D61DE"/>
    <w:rsid w:val="005D62E6"/>
    <w:rsid w:val="005D630F"/>
    <w:rsid w:val="005D631B"/>
    <w:rsid w:val="005D6336"/>
    <w:rsid w:val="005D6369"/>
    <w:rsid w:val="005D63F2"/>
    <w:rsid w:val="005D646A"/>
    <w:rsid w:val="005D6475"/>
    <w:rsid w:val="005D64A5"/>
    <w:rsid w:val="005D64F5"/>
    <w:rsid w:val="005D652D"/>
    <w:rsid w:val="005D6542"/>
    <w:rsid w:val="005D6547"/>
    <w:rsid w:val="005D6576"/>
    <w:rsid w:val="005D6598"/>
    <w:rsid w:val="005D65E3"/>
    <w:rsid w:val="005D65E5"/>
    <w:rsid w:val="005D6655"/>
    <w:rsid w:val="005D6662"/>
    <w:rsid w:val="005D6665"/>
    <w:rsid w:val="005D6692"/>
    <w:rsid w:val="005D669E"/>
    <w:rsid w:val="005D6726"/>
    <w:rsid w:val="005D67B7"/>
    <w:rsid w:val="005D6818"/>
    <w:rsid w:val="005D684F"/>
    <w:rsid w:val="005D689A"/>
    <w:rsid w:val="005D68F3"/>
    <w:rsid w:val="005D6901"/>
    <w:rsid w:val="005D6938"/>
    <w:rsid w:val="005D6961"/>
    <w:rsid w:val="005D6A29"/>
    <w:rsid w:val="005D6A31"/>
    <w:rsid w:val="005D6B07"/>
    <w:rsid w:val="005D6B90"/>
    <w:rsid w:val="005D6B91"/>
    <w:rsid w:val="005D6C1E"/>
    <w:rsid w:val="005D6C1F"/>
    <w:rsid w:val="005D6C5B"/>
    <w:rsid w:val="005D6D05"/>
    <w:rsid w:val="005D6DCA"/>
    <w:rsid w:val="005D6DE7"/>
    <w:rsid w:val="005D6E18"/>
    <w:rsid w:val="005D6E23"/>
    <w:rsid w:val="005D6E30"/>
    <w:rsid w:val="005D6EB2"/>
    <w:rsid w:val="005D6ED6"/>
    <w:rsid w:val="005D6EE0"/>
    <w:rsid w:val="005D6F15"/>
    <w:rsid w:val="005D6F2A"/>
    <w:rsid w:val="005D6F32"/>
    <w:rsid w:val="005D6F75"/>
    <w:rsid w:val="005D6F91"/>
    <w:rsid w:val="005D7000"/>
    <w:rsid w:val="005D7001"/>
    <w:rsid w:val="005D7014"/>
    <w:rsid w:val="005D703A"/>
    <w:rsid w:val="005D706A"/>
    <w:rsid w:val="005D7095"/>
    <w:rsid w:val="005D7111"/>
    <w:rsid w:val="005D7128"/>
    <w:rsid w:val="005D7188"/>
    <w:rsid w:val="005D71BA"/>
    <w:rsid w:val="005D71F9"/>
    <w:rsid w:val="005D7200"/>
    <w:rsid w:val="005D736A"/>
    <w:rsid w:val="005D73A1"/>
    <w:rsid w:val="005D73AA"/>
    <w:rsid w:val="005D73C2"/>
    <w:rsid w:val="005D73E1"/>
    <w:rsid w:val="005D740A"/>
    <w:rsid w:val="005D7445"/>
    <w:rsid w:val="005D744A"/>
    <w:rsid w:val="005D74B6"/>
    <w:rsid w:val="005D7530"/>
    <w:rsid w:val="005D75AA"/>
    <w:rsid w:val="005D7605"/>
    <w:rsid w:val="005D7622"/>
    <w:rsid w:val="005D764F"/>
    <w:rsid w:val="005D7658"/>
    <w:rsid w:val="005D7684"/>
    <w:rsid w:val="005D769C"/>
    <w:rsid w:val="005D76B3"/>
    <w:rsid w:val="005D76C2"/>
    <w:rsid w:val="005D76C9"/>
    <w:rsid w:val="005D7756"/>
    <w:rsid w:val="005D77A3"/>
    <w:rsid w:val="005D780C"/>
    <w:rsid w:val="005D7864"/>
    <w:rsid w:val="005D789E"/>
    <w:rsid w:val="005D78D2"/>
    <w:rsid w:val="005D7912"/>
    <w:rsid w:val="005D796F"/>
    <w:rsid w:val="005D797B"/>
    <w:rsid w:val="005D79BD"/>
    <w:rsid w:val="005D79FE"/>
    <w:rsid w:val="005D7A09"/>
    <w:rsid w:val="005D7A2C"/>
    <w:rsid w:val="005D7A7E"/>
    <w:rsid w:val="005D7AB4"/>
    <w:rsid w:val="005D7AB9"/>
    <w:rsid w:val="005D7ADB"/>
    <w:rsid w:val="005D7AFC"/>
    <w:rsid w:val="005D7B10"/>
    <w:rsid w:val="005D7B33"/>
    <w:rsid w:val="005D7C28"/>
    <w:rsid w:val="005D7C82"/>
    <w:rsid w:val="005D7C96"/>
    <w:rsid w:val="005D7CBE"/>
    <w:rsid w:val="005D7CD8"/>
    <w:rsid w:val="005D7CEC"/>
    <w:rsid w:val="005D7D11"/>
    <w:rsid w:val="005D7D48"/>
    <w:rsid w:val="005D7D97"/>
    <w:rsid w:val="005D7DA6"/>
    <w:rsid w:val="005D7DC7"/>
    <w:rsid w:val="005D7E6D"/>
    <w:rsid w:val="005D7E74"/>
    <w:rsid w:val="005D7EBC"/>
    <w:rsid w:val="005D7F0D"/>
    <w:rsid w:val="005D7F7E"/>
    <w:rsid w:val="005D7FED"/>
    <w:rsid w:val="005E0011"/>
    <w:rsid w:val="005E004B"/>
    <w:rsid w:val="005E00B7"/>
    <w:rsid w:val="005E017C"/>
    <w:rsid w:val="005E021E"/>
    <w:rsid w:val="005E0247"/>
    <w:rsid w:val="005E02CD"/>
    <w:rsid w:val="005E02F5"/>
    <w:rsid w:val="005E0337"/>
    <w:rsid w:val="005E04AC"/>
    <w:rsid w:val="005E04B4"/>
    <w:rsid w:val="005E0535"/>
    <w:rsid w:val="005E0548"/>
    <w:rsid w:val="005E0550"/>
    <w:rsid w:val="005E056E"/>
    <w:rsid w:val="005E0572"/>
    <w:rsid w:val="005E05B4"/>
    <w:rsid w:val="005E05BF"/>
    <w:rsid w:val="005E05C7"/>
    <w:rsid w:val="005E05F6"/>
    <w:rsid w:val="005E0671"/>
    <w:rsid w:val="005E067A"/>
    <w:rsid w:val="005E0680"/>
    <w:rsid w:val="005E06C4"/>
    <w:rsid w:val="005E06FF"/>
    <w:rsid w:val="005E071A"/>
    <w:rsid w:val="005E0769"/>
    <w:rsid w:val="005E07AC"/>
    <w:rsid w:val="005E07BB"/>
    <w:rsid w:val="005E07BC"/>
    <w:rsid w:val="005E0818"/>
    <w:rsid w:val="005E08CC"/>
    <w:rsid w:val="005E08CD"/>
    <w:rsid w:val="005E08DB"/>
    <w:rsid w:val="005E0923"/>
    <w:rsid w:val="005E09BA"/>
    <w:rsid w:val="005E09CB"/>
    <w:rsid w:val="005E09CD"/>
    <w:rsid w:val="005E0A59"/>
    <w:rsid w:val="005E0A98"/>
    <w:rsid w:val="005E0B07"/>
    <w:rsid w:val="005E0B35"/>
    <w:rsid w:val="005E0B60"/>
    <w:rsid w:val="005E0BCE"/>
    <w:rsid w:val="005E0BED"/>
    <w:rsid w:val="005E0BFA"/>
    <w:rsid w:val="005E0C47"/>
    <w:rsid w:val="005E0C79"/>
    <w:rsid w:val="005E0C7F"/>
    <w:rsid w:val="005E0CB9"/>
    <w:rsid w:val="005E0CE1"/>
    <w:rsid w:val="005E0D59"/>
    <w:rsid w:val="005E0D60"/>
    <w:rsid w:val="005E0DCA"/>
    <w:rsid w:val="005E0DFA"/>
    <w:rsid w:val="005E0E03"/>
    <w:rsid w:val="005E0E42"/>
    <w:rsid w:val="005E0E59"/>
    <w:rsid w:val="005E0EA7"/>
    <w:rsid w:val="005E0EA9"/>
    <w:rsid w:val="005E0EB9"/>
    <w:rsid w:val="005E0F24"/>
    <w:rsid w:val="005E0F2E"/>
    <w:rsid w:val="005E0F7B"/>
    <w:rsid w:val="005E0F95"/>
    <w:rsid w:val="005E0F9B"/>
    <w:rsid w:val="005E0FD7"/>
    <w:rsid w:val="005E1050"/>
    <w:rsid w:val="005E107B"/>
    <w:rsid w:val="005E1151"/>
    <w:rsid w:val="005E1153"/>
    <w:rsid w:val="005E1173"/>
    <w:rsid w:val="005E11E1"/>
    <w:rsid w:val="005E1232"/>
    <w:rsid w:val="005E1257"/>
    <w:rsid w:val="005E12AC"/>
    <w:rsid w:val="005E1316"/>
    <w:rsid w:val="005E13DA"/>
    <w:rsid w:val="005E13DC"/>
    <w:rsid w:val="005E1464"/>
    <w:rsid w:val="005E1489"/>
    <w:rsid w:val="005E148B"/>
    <w:rsid w:val="005E14B5"/>
    <w:rsid w:val="005E14C6"/>
    <w:rsid w:val="005E14C8"/>
    <w:rsid w:val="005E1555"/>
    <w:rsid w:val="005E1556"/>
    <w:rsid w:val="005E155F"/>
    <w:rsid w:val="005E1584"/>
    <w:rsid w:val="005E15EA"/>
    <w:rsid w:val="005E15F7"/>
    <w:rsid w:val="005E15FD"/>
    <w:rsid w:val="005E1642"/>
    <w:rsid w:val="005E169B"/>
    <w:rsid w:val="005E16A5"/>
    <w:rsid w:val="005E172E"/>
    <w:rsid w:val="005E1741"/>
    <w:rsid w:val="005E1760"/>
    <w:rsid w:val="005E1765"/>
    <w:rsid w:val="005E1786"/>
    <w:rsid w:val="005E1790"/>
    <w:rsid w:val="005E179D"/>
    <w:rsid w:val="005E1800"/>
    <w:rsid w:val="005E1865"/>
    <w:rsid w:val="005E186B"/>
    <w:rsid w:val="005E1888"/>
    <w:rsid w:val="005E18B3"/>
    <w:rsid w:val="005E198B"/>
    <w:rsid w:val="005E19A6"/>
    <w:rsid w:val="005E19AB"/>
    <w:rsid w:val="005E19CD"/>
    <w:rsid w:val="005E19EB"/>
    <w:rsid w:val="005E19F3"/>
    <w:rsid w:val="005E1A12"/>
    <w:rsid w:val="005E1A77"/>
    <w:rsid w:val="005E1A91"/>
    <w:rsid w:val="005E1AB6"/>
    <w:rsid w:val="005E1ADE"/>
    <w:rsid w:val="005E1AF1"/>
    <w:rsid w:val="005E1B2F"/>
    <w:rsid w:val="005E1B3B"/>
    <w:rsid w:val="005E1B97"/>
    <w:rsid w:val="005E1BC5"/>
    <w:rsid w:val="005E1BED"/>
    <w:rsid w:val="005E1BF0"/>
    <w:rsid w:val="005E1C1D"/>
    <w:rsid w:val="005E1C22"/>
    <w:rsid w:val="005E1C77"/>
    <w:rsid w:val="005E1CA2"/>
    <w:rsid w:val="005E1CCF"/>
    <w:rsid w:val="005E1D0B"/>
    <w:rsid w:val="005E1D43"/>
    <w:rsid w:val="005E1D65"/>
    <w:rsid w:val="005E1DA0"/>
    <w:rsid w:val="005E1DCE"/>
    <w:rsid w:val="005E1E03"/>
    <w:rsid w:val="005E1E29"/>
    <w:rsid w:val="005E1E30"/>
    <w:rsid w:val="005E1EF2"/>
    <w:rsid w:val="005E1F1C"/>
    <w:rsid w:val="005E1F2B"/>
    <w:rsid w:val="005E1F43"/>
    <w:rsid w:val="005E1F68"/>
    <w:rsid w:val="005E1F7A"/>
    <w:rsid w:val="005E1F9F"/>
    <w:rsid w:val="005E1FB0"/>
    <w:rsid w:val="005E1FB1"/>
    <w:rsid w:val="005E1FCC"/>
    <w:rsid w:val="005E1FF3"/>
    <w:rsid w:val="005E2062"/>
    <w:rsid w:val="005E20D6"/>
    <w:rsid w:val="005E210C"/>
    <w:rsid w:val="005E2161"/>
    <w:rsid w:val="005E218D"/>
    <w:rsid w:val="005E219D"/>
    <w:rsid w:val="005E21A9"/>
    <w:rsid w:val="005E21BC"/>
    <w:rsid w:val="005E21D6"/>
    <w:rsid w:val="005E21DD"/>
    <w:rsid w:val="005E223A"/>
    <w:rsid w:val="005E2277"/>
    <w:rsid w:val="005E2287"/>
    <w:rsid w:val="005E22A0"/>
    <w:rsid w:val="005E2368"/>
    <w:rsid w:val="005E2370"/>
    <w:rsid w:val="005E2377"/>
    <w:rsid w:val="005E237E"/>
    <w:rsid w:val="005E2390"/>
    <w:rsid w:val="005E23C8"/>
    <w:rsid w:val="005E23EE"/>
    <w:rsid w:val="005E2436"/>
    <w:rsid w:val="005E24AE"/>
    <w:rsid w:val="005E24B1"/>
    <w:rsid w:val="005E2519"/>
    <w:rsid w:val="005E2565"/>
    <w:rsid w:val="005E2593"/>
    <w:rsid w:val="005E25B5"/>
    <w:rsid w:val="005E25F6"/>
    <w:rsid w:val="005E262B"/>
    <w:rsid w:val="005E26F2"/>
    <w:rsid w:val="005E2735"/>
    <w:rsid w:val="005E282A"/>
    <w:rsid w:val="005E2889"/>
    <w:rsid w:val="005E28AC"/>
    <w:rsid w:val="005E28B5"/>
    <w:rsid w:val="005E28B9"/>
    <w:rsid w:val="005E2905"/>
    <w:rsid w:val="005E2919"/>
    <w:rsid w:val="005E2982"/>
    <w:rsid w:val="005E2A27"/>
    <w:rsid w:val="005E2A47"/>
    <w:rsid w:val="005E2AB4"/>
    <w:rsid w:val="005E2B14"/>
    <w:rsid w:val="005E2B75"/>
    <w:rsid w:val="005E2BB1"/>
    <w:rsid w:val="005E2BEF"/>
    <w:rsid w:val="005E2C82"/>
    <w:rsid w:val="005E2CB7"/>
    <w:rsid w:val="005E2CC2"/>
    <w:rsid w:val="005E2CC9"/>
    <w:rsid w:val="005E2D5A"/>
    <w:rsid w:val="005E2DE7"/>
    <w:rsid w:val="005E2E05"/>
    <w:rsid w:val="005E2E0D"/>
    <w:rsid w:val="005E2E7B"/>
    <w:rsid w:val="005E2EFC"/>
    <w:rsid w:val="005E2F30"/>
    <w:rsid w:val="005E2FB1"/>
    <w:rsid w:val="005E2FF6"/>
    <w:rsid w:val="005E3016"/>
    <w:rsid w:val="005E302B"/>
    <w:rsid w:val="005E30B1"/>
    <w:rsid w:val="005E30D0"/>
    <w:rsid w:val="005E30D5"/>
    <w:rsid w:val="005E3144"/>
    <w:rsid w:val="005E314D"/>
    <w:rsid w:val="005E3175"/>
    <w:rsid w:val="005E3177"/>
    <w:rsid w:val="005E3190"/>
    <w:rsid w:val="005E31AD"/>
    <w:rsid w:val="005E31AE"/>
    <w:rsid w:val="005E31FB"/>
    <w:rsid w:val="005E3254"/>
    <w:rsid w:val="005E327E"/>
    <w:rsid w:val="005E32E7"/>
    <w:rsid w:val="005E3327"/>
    <w:rsid w:val="005E3371"/>
    <w:rsid w:val="005E3380"/>
    <w:rsid w:val="005E33C6"/>
    <w:rsid w:val="005E33EA"/>
    <w:rsid w:val="005E34C8"/>
    <w:rsid w:val="005E34E1"/>
    <w:rsid w:val="005E34E3"/>
    <w:rsid w:val="005E3551"/>
    <w:rsid w:val="005E3604"/>
    <w:rsid w:val="005E3613"/>
    <w:rsid w:val="005E36BC"/>
    <w:rsid w:val="005E36E3"/>
    <w:rsid w:val="005E37C6"/>
    <w:rsid w:val="005E37D0"/>
    <w:rsid w:val="005E389A"/>
    <w:rsid w:val="005E38A4"/>
    <w:rsid w:val="005E38BE"/>
    <w:rsid w:val="005E3941"/>
    <w:rsid w:val="005E394C"/>
    <w:rsid w:val="005E39B3"/>
    <w:rsid w:val="005E39DC"/>
    <w:rsid w:val="005E39F0"/>
    <w:rsid w:val="005E3A03"/>
    <w:rsid w:val="005E3A13"/>
    <w:rsid w:val="005E3A2C"/>
    <w:rsid w:val="005E3ACA"/>
    <w:rsid w:val="005E3B05"/>
    <w:rsid w:val="005E3BA4"/>
    <w:rsid w:val="005E3BE3"/>
    <w:rsid w:val="005E3BF8"/>
    <w:rsid w:val="005E3C0D"/>
    <w:rsid w:val="005E3C16"/>
    <w:rsid w:val="005E3C23"/>
    <w:rsid w:val="005E3C2E"/>
    <w:rsid w:val="005E3C5A"/>
    <w:rsid w:val="005E3C6B"/>
    <w:rsid w:val="005E3CA4"/>
    <w:rsid w:val="005E3D1D"/>
    <w:rsid w:val="005E3D40"/>
    <w:rsid w:val="005E3E01"/>
    <w:rsid w:val="005E3E7B"/>
    <w:rsid w:val="005E3ECD"/>
    <w:rsid w:val="005E3EE5"/>
    <w:rsid w:val="005E3EEC"/>
    <w:rsid w:val="005E3F41"/>
    <w:rsid w:val="005E3F57"/>
    <w:rsid w:val="005E3F5B"/>
    <w:rsid w:val="005E3F9B"/>
    <w:rsid w:val="005E3FB3"/>
    <w:rsid w:val="005E4017"/>
    <w:rsid w:val="005E409A"/>
    <w:rsid w:val="005E40AE"/>
    <w:rsid w:val="005E4128"/>
    <w:rsid w:val="005E4145"/>
    <w:rsid w:val="005E4153"/>
    <w:rsid w:val="005E4167"/>
    <w:rsid w:val="005E4177"/>
    <w:rsid w:val="005E41FB"/>
    <w:rsid w:val="005E4281"/>
    <w:rsid w:val="005E430B"/>
    <w:rsid w:val="005E433A"/>
    <w:rsid w:val="005E438E"/>
    <w:rsid w:val="005E438F"/>
    <w:rsid w:val="005E4393"/>
    <w:rsid w:val="005E43DE"/>
    <w:rsid w:val="005E43E0"/>
    <w:rsid w:val="005E43E3"/>
    <w:rsid w:val="005E43ED"/>
    <w:rsid w:val="005E43EF"/>
    <w:rsid w:val="005E4412"/>
    <w:rsid w:val="005E4435"/>
    <w:rsid w:val="005E448B"/>
    <w:rsid w:val="005E448C"/>
    <w:rsid w:val="005E44C9"/>
    <w:rsid w:val="005E4504"/>
    <w:rsid w:val="005E4576"/>
    <w:rsid w:val="005E45BE"/>
    <w:rsid w:val="005E45FB"/>
    <w:rsid w:val="005E4638"/>
    <w:rsid w:val="005E4686"/>
    <w:rsid w:val="005E46B3"/>
    <w:rsid w:val="005E46C2"/>
    <w:rsid w:val="005E46F4"/>
    <w:rsid w:val="005E47B4"/>
    <w:rsid w:val="005E47BC"/>
    <w:rsid w:val="005E47DF"/>
    <w:rsid w:val="005E47FB"/>
    <w:rsid w:val="005E4824"/>
    <w:rsid w:val="005E4912"/>
    <w:rsid w:val="005E4941"/>
    <w:rsid w:val="005E4946"/>
    <w:rsid w:val="005E495F"/>
    <w:rsid w:val="005E49B6"/>
    <w:rsid w:val="005E49C8"/>
    <w:rsid w:val="005E4A12"/>
    <w:rsid w:val="005E4A17"/>
    <w:rsid w:val="005E4A66"/>
    <w:rsid w:val="005E4A82"/>
    <w:rsid w:val="005E4ABE"/>
    <w:rsid w:val="005E4AD4"/>
    <w:rsid w:val="005E4B6F"/>
    <w:rsid w:val="005E4B9E"/>
    <w:rsid w:val="005E4BFE"/>
    <w:rsid w:val="005E4C38"/>
    <w:rsid w:val="005E4C4E"/>
    <w:rsid w:val="005E4CC3"/>
    <w:rsid w:val="005E4D32"/>
    <w:rsid w:val="005E4D3C"/>
    <w:rsid w:val="005E4DC7"/>
    <w:rsid w:val="005E4DDE"/>
    <w:rsid w:val="005E4E24"/>
    <w:rsid w:val="005E4EA2"/>
    <w:rsid w:val="005E4EB6"/>
    <w:rsid w:val="005E4EC0"/>
    <w:rsid w:val="005E4F34"/>
    <w:rsid w:val="005E4F8E"/>
    <w:rsid w:val="005E4FCD"/>
    <w:rsid w:val="005E5018"/>
    <w:rsid w:val="005E50BB"/>
    <w:rsid w:val="005E50DD"/>
    <w:rsid w:val="005E50E7"/>
    <w:rsid w:val="005E5133"/>
    <w:rsid w:val="005E5195"/>
    <w:rsid w:val="005E5197"/>
    <w:rsid w:val="005E51B7"/>
    <w:rsid w:val="005E51DB"/>
    <w:rsid w:val="005E51E1"/>
    <w:rsid w:val="005E5249"/>
    <w:rsid w:val="005E525D"/>
    <w:rsid w:val="005E5269"/>
    <w:rsid w:val="005E52B0"/>
    <w:rsid w:val="005E5356"/>
    <w:rsid w:val="005E539C"/>
    <w:rsid w:val="005E53AC"/>
    <w:rsid w:val="005E543E"/>
    <w:rsid w:val="005E55EE"/>
    <w:rsid w:val="005E55F7"/>
    <w:rsid w:val="005E55FF"/>
    <w:rsid w:val="005E5619"/>
    <w:rsid w:val="005E568F"/>
    <w:rsid w:val="005E570E"/>
    <w:rsid w:val="005E571E"/>
    <w:rsid w:val="005E5774"/>
    <w:rsid w:val="005E57F5"/>
    <w:rsid w:val="005E5870"/>
    <w:rsid w:val="005E587F"/>
    <w:rsid w:val="005E58A6"/>
    <w:rsid w:val="005E58EC"/>
    <w:rsid w:val="005E5904"/>
    <w:rsid w:val="005E5908"/>
    <w:rsid w:val="005E590C"/>
    <w:rsid w:val="005E59AA"/>
    <w:rsid w:val="005E59FB"/>
    <w:rsid w:val="005E5A0E"/>
    <w:rsid w:val="005E5A23"/>
    <w:rsid w:val="005E5AB8"/>
    <w:rsid w:val="005E5AD4"/>
    <w:rsid w:val="005E5B06"/>
    <w:rsid w:val="005E5B39"/>
    <w:rsid w:val="005E5B77"/>
    <w:rsid w:val="005E5BC1"/>
    <w:rsid w:val="005E5C24"/>
    <w:rsid w:val="005E5C49"/>
    <w:rsid w:val="005E5C75"/>
    <w:rsid w:val="005E5C8F"/>
    <w:rsid w:val="005E5CAC"/>
    <w:rsid w:val="005E5CCD"/>
    <w:rsid w:val="005E5CFB"/>
    <w:rsid w:val="005E5D11"/>
    <w:rsid w:val="005E5D28"/>
    <w:rsid w:val="005E5D38"/>
    <w:rsid w:val="005E5E10"/>
    <w:rsid w:val="005E5E1D"/>
    <w:rsid w:val="005E5E51"/>
    <w:rsid w:val="005E5E68"/>
    <w:rsid w:val="005E5E6F"/>
    <w:rsid w:val="005E5E72"/>
    <w:rsid w:val="005E5E82"/>
    <w:rsid w:val="005E5EA8"/>
    <w:rsid w:val="005E5ECC"/>
    <w:rsid w:val="005E5ED1"/>
    <w:rsid w:val="005E5EF0"/>
    <w:rsid w:val="005E5F9F"/>
    <w:rsid w:val="005E5FAB"/>
    <w:rsid w:val="005E611A"/>
    <w:rsid w:val="005E6134"/>
    <w:rsid w:val="005E6164"/>
    <w:rsid w:val="005E6187"/>
    <w:rsid w:val="005E61F3"/>
    <w:rsid w:val="005E6204"/>
    <w:rsid w:val="005E6215"/>
    <w:rsid w:val="005E6222"/>
    <w:rsid w:val="005E6231"/>
    <w:rsid w:val="005E626C"/>
    <w:rsid w:val="005E628B"/>
    <w:rsid w:val="005E6295"/>
    <w:rsid w:val="005E6305"/>
    <w:rsid w:val="005E6320"/>
    <w:rsid w:val="005E6322"/>
    <w:rsid w:val="005E6330"/>
    <w:rsid w:val="005E6347"/>
    <w:rsid w:val="005E6370"/>
    <w:rsid w:val="005E637C"/>
    <w:rsid w:val="005E63C7"/>
    <w:rsid w:val="005E63E3"/>
    <w:rsid w:val="005E63E4"/>
    <w:rsid w:val="005E63FD"/>
    <w:rsid w:val="005E64B5"/>
    <w:rsid w:val="005E64EC"/>
    <w:rsid w:val="005E64ED"/>
    <w:rsid w:val="005E6506"/>
    <w:rsid w:val="005E6513"/>
    <w:rsid w:val="005E6562"/>
    <w:rsid w:val="005E65C9"/>
    <w:rsid w:val="005E6629"/>
    <w:rsid w:val="005E6698"/>
    <w:rsid w:val="005E66B3"/>
    <w:rsid w:val="005E66B4"/>
    <w:rsid w:val="005E66D6"/>
    <w:rsid w:val="005E6712"/>
    <w:rsid w:val="005E671D"/>
    <w:rsid w:val="005E67AD"/>
    <w:rsid w:val="005E6809"/>
    <w:rsid w:val="005E69C4"/>
    <w:rsid w:val="005E69D7"/>
    <w:rsid w:val="005E6A8E"/>
    <w:rsid w:val="005E6AB3"/>
    <w:rsid w:val="005E6B46"/>
    <w:rsid w:val="005E6B74"/>
    <w:rsid w:val="005E6B77"/>
    <w:rsid w:val="005E6BA2"/>
    <w:rsid w:val="005E6BF3"/>
    <w:rsid w:val="005E6BFB"/>
    <w:rsid w:val="005E6BFE"/>
    <w:rsid w:val="005E6C18"/>
    <w:rsid w:val="005E6C5D"/>
    <w:rsid w:val="005E6C75"/>
    <w:rsid w:val="005E6C97"/>
    <w:rsid w:val="005E6D08"/>
    <w:rsid w:val="005E6D33"/>
    <w:rsid w:val="005E6DDF"/>
    <w:rsid w:val="005E6E49"/>
    <w:rsid w:val="005E6EA4"/>
    <w:rsid w:val="005E6EFA"/>
    <w:rsid w:val="005E6F33"/>
    <w:rsid w:val="005E6F3A"/>
    <w:rsid w:val="005E6F3B"/>
    <w:rsid w:val="005E7032"/>
    <w:rsid w:val="005E7061"/>
    <w:rsid w:val="005E7097"/>
    <w:rsid w:val="005E70E3"/>
    <w:rsid w:val="005E70F1"/>
    <w:rsid w:val="005E7187"/>
    <w:rsid w:val="005E7215"/>
    <w:rsid w:val="005E7263"/>
    <w:rsid w:val="005E729F"/>
    <w:rsid w:val="005E72E1"/>
    <w:rsid w:val="005E72FB"/>
    <w:rsid w:val="005E7312"/>
    <w:rsid w:val="005E73BC"/>
    <w:rsid w:val="005E73C9"/>
    <w:rsid w:val="005E73F2"/>
    <w:rsid w:val="005E740B"/>
    <w:rsid w:val="005E7450"/>
    <w:rsid w:val="005E7466"/>
    <w:rsid w:val="005E74C1"/>
    <w:rsid w:val="005E74C9"/>
    <w:rsid w:val="005E758A"/>
    <w:rsid w:val="005E75A1"/>
    <w:rsid w:val="005E75C5"/>
    <w:rsid w:val="005E75F8"/>
    <w:rsid w:val="005E7645"/>
    <w:rsid w:val="005E767A"/>
    <w:rsid w:val="005E770D"/>
    <w:rsid w:val="005E776D"/>
    <w:rsid w:val="005E77AE"/>
    <w:rsid w:val="005E77CD"/>
    <w:rsid w:val="005E77DB"/>
    <w:rsid w:val="005E7828"/>
    <w:rsid w:val="005E785F"/>
    <w:rsid w:val="005E7951"/>
    <w:rsid w:val="005E7971"/>
    <w:rsid w:val="005E7985"/>
    <w:rsid w:val="005E79CB"/>
    <w:rsid w:val="005E7A1C"/>
    <w:rsid w:val="005E7A62"/>
    <w:rsid w:val="005E7AC5"/>
    <w:rsid w:val="005E7B0B"/>
    <w:rsid w:val="005E7B0E"/>
    <w:rsid w:val="005E7B36"/>
    <w:rsid w:val="005E7B37"/>
    <w:rsid w:val="005E7B3E"/>
    <w:rsid w:val="005E7B52"/>
    <w:rsid w:val="005E7BF1"/>
    <w:rsid w:val="005E7C55"/>
    <w:rsid w:val="005E7CAD"/>
    <w:rsid w:val="005E7CD8"/>
    <w:rsid w:val="005E7CFE"/>
    <w:rsid w:val="005E7D1A"/>
    <w:rsid w:val="005E7D4C"/>
    <w:rsid w:val="005E7E13"/>
    <w:rsid w:val="005E7E94"/>
    <w:rsid w:val="005E7EE9"/>
    <w:rsid w:val="005E7F00"/>
    <w:rsid w:val="005E7F1C"/>
    <w:rsid w:val="005E7F3D"/>
    <w:rsid w:val="005E7FC6"/>
    <w:rsid w:val="005F0025"/>
    <w:rsid w:val="005F0045"/>
    <w:rsid w:val="005F004A"/>
    <w:rsid w:val="005F00A4"/>
    <w:rsid w:val="005F00ED"/>
    <w:rsid w:val="005F00F6"/>
    <w:rsid w:val="005F00F8"/>
    <w:rsid w:val="005F0189"/>
    <w:rsid w:val="005F01F9"/>
    <w:rsid w:val="005F024F"/>
    <w:rsid w:val="005F02A0"/>
    <w:rsid w:val="005F030B"/>
    <w:rsid w:val="005F0358"/>
    <w:rsid w:val="005F0398"/>
    <w:rsid w:val="005F03CC"/>
    <w:rsid w:val="005F03E1"/>
    <w:rsid w:val="005F03EC"/>
    <w:rsid w:val="005F0411"/>
    <w:rsid w:val="005F044D"/>
    <w:rsid w:val="005F0477"/>
    <w:rsid w:val="005F0488"/>
    <w:rsid w:val="005F04B9"/>
    <w:rsid w:val="005F04BE"/>
    <w:rsid w:val="005F04ED"/>
    <w:rsid w:val="005F054E"/>
    <w:rsid w:val="005F0608"/>
    <w:rsid w:val="005F060F"/>
    <w:rsid w:val="005F0628"/>
    <w:rsid w:val="005F0631"/>
    <w:rsid w:val="005F0645"/>
    <w:rsid w:val="005F0656"/>
    <w:rsid w:val="005F0659"/>
    <w:rsid w:val="005F066A"/>
    <w:rsid w:val="005F066E"/>
    <w:rsid w:val="005F067F"/>
    <w:rsid w:val="005F0682"/>
    <w:rsid w:val="005F06CA"/>
    <w:rsid w:val="005F0704"/>
    <w:rsid w:val="005F073E"/>
    <w:rsid w:val="005F07DD"/>
    <w:rsid w:val="005F07E9"/>
    <w:rsid w:val="005F0832"/>
    <w:rsid w:val="005F08C5"/>
    <w:rsid w:val="005F08E3"/>
    <w:rsid w:val="005F08F6"/>
    <w:rsid w:val="005F0919"/>
    <w:rsid w:val="005F0953"/>
    <w:rsid w:val="005F09DF"/>
    <w:rsid w:val="005F0A37"/>
    <w:rsid w:val="005F0A6F"/>
    <w:rsid w:val="005F0A86"/>
    <w:rsid w:val="005F0A8B"/>
    <w:rsid w:val="005F0AA4"/>
    <w:rsid w:val="005F0AD4"/>
    <w:rsid w:val="005F0B18"/>
    <w:rsid w:val="005F0B2F"/>
    <w:rsid w:val="005F0B3E"/>
    <w:rsid w:val="005F0BE3"/>
    <w:rsid w:val="005F0C39"/>
    <w:rsid w:val="005F0C4C"/>
    <w:rsid w:val="005F0C5F"/>
    <w:rsid w:val="005F0C86"/>
    <w:rsid w:val="005F0D71"/>
    <w:rsid w:val="005F0DB4"/>
    <w:rsid w:val="005F0DB9"/>
    <w:rsid w:val="005F0DE6"/>
    <w:rsid w:val="005F0E1D"/>
    <w:rsid w:val="005F0E27"/>
    <w:rsid w:val="005F0E2A"/>
    <w:rsid w:val="005F0E54"/>
    <w:rsid w:val="005F0E5E"/>
    <w:rsid w:val="005F0E7C"/>
    <w:rsid w:val="005F0EA6"/>
    <w:rsid w:val="005F0EAD"/>
    <w:rsid w:val="005F0EAE"/>
    <w:rsid w:val="005F0F00"/>
    <w:rsid w:val="005F0F8C"/>
    <w:rsid w:val="005F0F92"/>
    <w:rsid w:val="005F0FCC"/>
    <w:rsid w:val="005F0FD3"/>
    <w:rsid w:val="005F0FF2"/>
    <w:rsid w:val="005F1011"/>
    <w:rsid w:val="005F102D"/>
    <w:rsid w:val="005F1077"/>
    <w:rsid w:val="005F107A"/>
    <w:rsid w:val="005F10CA"/>
    <w:rsid w:val="005F10F9"/>
    <w:rsid w:val="005F119C"/>
    <w:rsid w:val="005F11A7"/>
    <w:rsid w:val="005F11BE"/>
    <w:rsid w:val="005F11E9"/>
    <w:rsid w:val="005F11F7"/>
    <w:rsid w:val="005F123A"/>
    <w:rsid w:val="005F1249"/>
    <w:rsid w:val="005F128B"/>
    <w:rsid w:val="005F12B8"/>
    <w:rsid w:val="005F12F5"/>
    <w:rsid w:val="005F1307"/>
    <w:rsid w:val="005F1340"/>
    <w:rsid w:val="005F13B8"/>
    <w:rsid w:val="005F13D0"/>
    <w:rsid w:val="005F1425"/>
    <w:rsid w:val="005F1450"/>
    <w:rsid w:val="005F1478"/>
    <w:rsid w:val="005F14CF"/>
    <w:rsid w:val="005F14FE"/>
    <w:rsid w:val="005F1522"/>
    <w:rsid w:val="005F1589"/>
    <w:rsid w:val="005F15D0"/>
    <w:rsid w:val="005F15FA"/>
    <w:rsid w:val="005F166A"/>
    <w:rsid w:val="005F169B"/>
    <w:rsid w:val="005F16A7"/>
    <w:rsid w:val="005F16D8"/>
    <w:rsid w:val="005F1730"/>
    <w:rsid w:val="005F1774"/>
    <w:rsid w:val="005F1828"/>
    <w:rsid w:val="005F1877"/>
    <w:rsid w:val="005F188E"/>
    <w:rsid w:val="005F1912"/>
    <w:rsid w:val="005F1944"/>
    <w:rsid w:val="005F1A79"/>
    <w:rsid w:val="005F1A9F"/>
    <w:rsid w:val="005F1ABC"/>
    <w:rsid w:val="005F1AE8"/>
    <w:rsid w:val="005F1B16"/>
    <w:rsid w:val="005F1B3C"/>
    <w:rsid w:val="005F1B9F"/>
    <w:rsid w:val="005F1BCB"/>
    <w:rsid w:val="005F1BFB"/>
    <w:rsid w:val="005F1C96"/>
    <w:rsid w:val="005F1C9F"/>
    <w:rsid w:val="005F1D35"/>
    <w:rsid w:val="005F1D3B"/>
    <w:rsid w:val="005F1D51"/>
    <w:rsid w:val="005F1D66"/>
    <w:rsid w:val="005F1D8E"/>
    <w:rsid w:val="005F1D93"/>
    <w:rsid w:val="005F1D99"/>
    <w:rsid w:val="005F1DC8"/>
    <w:rsid w:val="005F1DCC"/>
    <w:rsid w:val="005F1DD5"/>
    <w:rsid w:val="005F1E01"/>
    <w:rsid w:val="005F1EAA"/>
    <w:rsid w:val="005F1ECB"/>
    <w:rsid w:val="005F1F31"/>
    <w:rsid w:val="005F1F43"/>
    <w:rsid w:val="005F1F62"/>
    <w:rsid w:val="005F1FAF"/>
    <w:rsid w:val="005F1FDC"/>
    <w:rsid w:val="005F2061"/>
    <w:rsid w:val="005F2105"/>
    <w:rsid w:val="005F210B"/>
    <w:rsid w:val="005F2157"/>
    <w:rsid w:val="005F2162"/>
    <w:rsid w:val="005F21CC"/>
    <w:rsid w:val="005F2210"/>
    <w:rsid w:val="005F2228"/>
    <w:rsid w:val="005F2258"/>
    <w:rsid w:val="005F2283"/>
    <w:rsid w:val="005F234D"/>
    <w:rsid w:val="005F240A"/>
    <w:rsid w:val="005F2423"/>
    <w:rsid w:val="005F24A8"/>
    <w:rsid w:val="005F24EB"/>
    <w:rsid w:val="005F24ED"/>
    <w:rsid w:val="005F25E4"/>
    <w:rsid w:val="005F2601"/>
    <w:rsid w:val="005F2674"/>
    <w:rsid w:val="005F2677"/>
    <w:rsid w:val="005F268A"/>
    <w:rsid w:val="005F26C6"/>
    <w:rsid w:val="005F26C9"/>
    <w:rsid w:val="005F2791"/>
    <w:rsid w:val="005F27CC"/>
    <w:rsid w:val="005F281B"/>
    <w:rsid w:val="005F2853"/>
    <w:rsid w:val="005F285C"/>
    <w:rsid w:val="005F2865"/>
    <w:rsid w:val="005F292E"/>
    <w:rsid w:val="005F2943"/>
    <w:rsid w:val="005F2964"/>
    <w:rsid w:val="005F29C6"/>
    <w:rsid w:val="005F29D9"/>
    <w:rsid w:val="005F2A42"/>
    <w:rsid w:val="005F2B8B"/>
    <w:rsid w:val="005F2BA3"/>
    <w:rsid w:val="005F2C38"/>
    <w:rsid w:val="005F2C46"/>
    <w:rsid w:val="005F2CB5"/>
    <w:rsid w:val="005F2CB8"/>
    <w:rsid w:val="005F2CF4"/>
    <w:rsid w:val="005F2D2F"/>
    <w:rsid w:val="005F2D32"/>
    <w:rsid w:val="005F2D44"/>
    <w:rsid w:val="005F2D77"/>
    <w:rsid w:val="005F2D84"/>
    <w:rsid w:val="005F2E0C"/>
    <w:rsid w:val="005F2E5B"/>
    <w:rsid w:val="005F2EDE"/>
    <w:rsid w:val="005F2FD3"/>
    <w:rsid w:val="005F2FF7"/>
    <w:rsid w:val="005F300A"/>
    <w:rsid w:val="005F302E"/>
    <w:rsid w:val="005F305C"/>
    <w:rsid w:val="005F30BD"/>
    <w:rsid w:val="005F3112"/>
    <w:rsid w:val="005F313F"/>
    <w:rsid w:val="005F3167"/>
    <w:rsid w:val="005F318B"/>
    <w:rsid w:val="005F319C"/>
    <w:rsid w:val="005F31B2"/>
    <w:rsid w:val="005F31CF"/>
    <w:rsid w:val="005F31E3"/>
    <w:rsid w:val="005F3217"/>
    <w:rsid w:val="005F321C"/>
    <w:rsid w:val="005F3234"/>
    <w:rsid w:val="005F332C"/>
    <w:rsid w:val="005F339E"/>
    <w:rsid w:val="005F344D"/>
    <w:rsid w:val="005F34B0"/>
    <w:rsid w:val="005F34DC"/>
    <w:rsid w:val="005F34FC"/>
    <w:rsid w:val="005F350F"/>
    <w:rsid w:val="005F351D"/>
    <w:rsid w:val="005F3521"/>
    <w:rsid w:val="005F3563"/>
    <w:rsid w:val="005F356B"/>
    <w:rsid w:val="005F3584"/>
    <w:rsid w:val="005F35A2"/>
    <w:rsid w:val="005F3607"/>
    <w:rsid w:val="005F3635"/>
    <w:rsid w:val="005F3661"/>
    <w:rsid w:val="005F3672"/>
    <w:rsid w:val="005F3683"/>
    <w:rsid w:val="005F368F"/>
    <w:rsid w:val="005F36A8"/>
    <w:rsid w:val="005F36F0"/>
    <w:rsid w:val="005F374D"/>
    <w:rsid w:val="005F376B"/>
    <w:rsid w:val="005F377A"/>
    <w:rsid w:val="005F37EC"/>
    <w:rsid w:val="005F37FF"/>
    <w:rsid w:val="005F381A"/>
    <w:rsid w:val="005F3878"/>
    <w:rsid w:val="005F38DA"/>
    <w:rsid w:val="005F394A"/>
    <w:rsid w:val="005F395F"/>
    <w:rsid w:val="005F3971"/>
    <w:rsid w:val="005F398B"/>
    <w:rsid w:val="005F39D2"/>
    <w:rsid w:val="005F3A00"/>
    <w:rsid w:val="005F3A13"/>
    <w:rsid w:val="005F3A14"/>
    <w:rsid w:val="005F3A61"/>
    <w:rsid w:val="005F3AA9"/>
    <w:rsid w:val="005F3AE7"/>
    <w:rsid w:val="005F3B18"/>
    <w:rsid w:val="005F3B2C"/>
    <w:rsid w:val="005F3B5A"/>
    <w:rsid w:val="005F3C17"/>
    <w:rsid w:val="005F3C21"/>
    <w:rsid w:val="005F3C28"/>
    <w:rsid w:val="005F3C59"/>
    <w:rsid w:val="005F3CA2"/>
    <w:rsid w:val="005F3CA5"/>
    <w:rsid w:val="005F3CB8"/>
    <w:rsid w:val="005F3CBF"/>
    <w:rsid w:val="005F3D10"/>
    <w:rsid w:val="005F3D79"/>
    <w:rsid w:val="005F3E15"/>
    <w:rsid w:val="005F3ED2"/>
    <w:rsid w:val="005F3F13"/>
    <w:rsid w:val="005F3F19"/>
    <w:rsid w:val="005F3F1E"/>
    <w:rsid w:val="005F3F23"/>
    <w:rsid w:val="005F3F57"/>
    <w:rsid w:val="005F3F66"/>
    <w:rsid w:val="005F3F6D"/>
    <w:rsid w:val="005F3F73"/>
    <w:rsid w:val="005F3FAE"/>
    <w:rsid w:val="005F3FBF"/>
    <w:rsid w:val="005F4053"/>
    <w:rsid w:val="005F4085"/>
    <w:rsid w:val="005F40B2"/>
    <w:rsid w:val="005F4178"/>
    <w:rsid w:val="005F41A0"/>
    <w:rsid w:val="005F41AB"/>
    <w:rsid w:val="005F41B0"/>
    <w:rsid w:val="005F41FF"/>
    <w:rsid w:val="005F4225"/>
    <w:rsid w:val="005F42C7"/>
    <w:rsid w:val="005F42CC"/>
    <w:rsid w:val="005F42F6"/>
    <w:rsid w:val="005F4340"/>
    <w:rsid w:val="005F4419"/>
    <w:rsid w:val="005F445E"/>
    <w:rsid w:val="005F4487"/>
    <w:rsid w:val="005F44A2"/>
    <w:rsid w:val="005F44BE"/>
    <w:rsid w:val="005F44FF"/>
    <w:rsid w:val="005F4525"/>
    <w:rsid w:val="005F4569"/>
    <w:rsid w:val="005F457E"/>
    <w:rsid w:val="005F45FD"/>
    <w:rsid w:val="005F465C"/>
    <w:rsid w:val="005F4681"/>
    <w:rsid w:val="005F468F"/>
    <w:rsid w:val="005F4690"/>
    <w:rsid w:val="005F46AB"/>
    <w:rsid w:val="005F46FF"/>
    <w:rsid w:val="005F4715"/>
    <w:rsid w:val="005F471C"/>
    <w:rsid w:val="005F4778"/>
    <w:rsid w:val="005F47BD"/>
    <w:rsid w:val="005F47C0"/>
    <w:rsid w:val="005F482A"/>
    <w:rsid w:val="005F4839"/>
    <w:rsid w:val="005F48A6"/>
    <w:rsid w:val="005F48ED"/>
    <w:rsid w:val="005F493D"/>
    <w:rsid w:val="005F495D"/>
    <w:rsid w:val="005F498C"/>
    <w:rsid w:val="005F4998"/>
    <w:rsid w:val="005F49C2"/>
    <w:rsid w:val="005F4A37"/>
    <w:rsid w:val="005F4A3D"/>
    <w:rsid w:val="005F4A66"/>
    <w:rsid w:val="005F4B27"/>
    <w:rsid w:val="005F4B42"/>
    <w:rsid w:val="005F4B54"/>
    <w:rsid w:val="005F4B65"/>
    <w:rsid w:val="005F4B74"/>
    <w:rsid w:val="005F4C1F"/>
    <w:rsid w:val="005F4C76"/>
    <w:rsid w:val="005F4CB7"/>
    <w:rsid w:val="005F4CBD"/>
    <w:rsid w:val="005F4DCE"/>
    <w:rsid w:val="005F4E66"/>
    <w:rsid w:val="005F4E9D"/>
    <w:rsid w:val="005F4EA8"/>
    <w:rsid w:val="005F4F18"/>
    <w:rsid w:val="005F4FE7"/>
    <w:rsid w:val="005F501E"/>
    <w:rsid w:val="005F50BA"/>
    <w:rsid w:val="005F5112"/>
    <w:rsid w:val="005F512A"/>
    <w:rsid w:val="005F5182"/>
    <w:rsid w:val="005F519E"/>
    <w:rsid w:val="005F51E6"/>
    <w:rsid w:val="005F5225"/>
    <w:rsid w:val="005F5251"/>
    <w:rsid w:val="005F5258"/>
    <w:rsid w:val="005F52C5"/>
    <w:rsid w:val="005F52F9"/>
    <w:rsid w:val="005F5316"/>
    <w:rsid w:val="005F534A"/>
    <w:rsid w:val="005F540D"/>
    <w:rsid w:val="005F5425"/>
    <w:rsid w:val="005F5426"/>
    <w:rsid w:val="005F549B"/>
    <w:rsid w:val="005F54F9"/>
    <w:rsid w:val="005F5551"/>
    <w:rsid w:val="005F5594"/>
    <w:rsid w:val="005F5697"/>
    <w:rsid w:val="005F56BE"/>
    <w:rsid w:val="005F56CD"/>
    <w:rsid w:val="005F5717"/>
    <w:rsid w:val="005F57A0"/>
    <w:rsid w:val="005F5818"/>
    <w:rsid w:val="005F5826"/>
    <w:rsid w:val="005F583F"/>
    <w:rsid w:val="005F5851"/>
    <w:rsid w:val="005F5872"/>
    <w:rsid w:val="005F5888"/>
    <w:rsid w:val="005F588B"/>
    <w:rsid w:val="005F58D1"/>
    <w:rsid w:val="005F590F"/>
    <w:rsid w:val="005F5934"/>
    <w:rsid w:val="005F59FC"/>
    <w:rsid w:val="005F5A23"/>
    <w:rsid w:val="005F5A92"/>
    <w:rsid w:val="005F5AA4"/>
    <w:rsid w:val="005F5AD3"/>
    <w:rsid w:val="005F5B07"/>
    <w:rsid w:val="005F5B19"/>
    <w:rsid w:val="005F5B7C"/>
    <w:rsid w:val="005F5B7D"/>
    <w:rsid w:val="005F5BBA"/>
    <w:rsid w:val="005F5BC5"/>
    <w:rsid w:val="005F5C83"/>
    <w:rsid w:val="005F5C8A"/>
    <w:rsid w:val="005F5CD4"/>
    <w:rsid w:val="005F5D19"/>
    <w:rsid w:val="005F5D83"/>
    <w:rsid w:val="005F5DBE"/>
    <w:rsid w:val="005F5E34"/>
    <w:rsid w:val="005F5E3B"/>
    <w:rsid w:val="005F5E6E"/>
    <w:rsid w:val="005F5E71"/>
    <w:rsid w:val="005F5E8C"/>
    <w:rsid w:val="005F5EEF"/>
    <w:rsid w:val="005F5F64"/>
    <w:rsid w:val="005F5FB9"/>
    <w:rsid w:val="005F5FD3"/>
    <w:rsid w:val="005F5FEF"/>
    <w:rsid w:val="005F601E"/>
    <w:rsid w:val="005F6020"/>
    <w:rsid w:val="005F602A"/>
    <w:rsid w:val="005F6053"/>
    <w:rsid w:val="005F6071"/>
    <w:rsid w:val="005F60C0"/>
    <w:rsid w:val="005F617B"/>
    <w:rsid w:val="005F619E"/>
    <w:rsid w:val="005F61AC"/>
    <w:rsid w:val="005F6275"/>
    <w:rsid w:val="005F6323"/>
    <w:rsid w:val="005F6349"/>
    <w:rsid w:val="005F635A"/>
    <w:rsid w:val="005F636A"/>
    <w:rsid w:val="005F63E9"/>
    <w:rsid w:val="005F6418"/>
    <w:rsid w:val="005F6420"/>
    <w:rsid w:val="005F6431"/>
    <w:rsid w:val="005F6465"/>
    <w:rsid w:val="005F64F5"/>
    <w:rsid w:val="005F654C"/>
    <w:rsid w:val="005F6560"/>
    <w:rsid w:val="005F6563"/>
    <w:rsid w:val="005F65A0"/>
    <w:rsid w:val="005F65C5"/>
    <w:rsid w:val="005F6611"/>
    <w:rsid w:val="005F661E"/>
    <w:rsid w:val="005F662A"/>
    <w:rsid w:val="005F669F"/>
    <w:rsid w:val="005F66B2"/>
    <w:rsid w:val="005F66F6"/>
    <w:rsid w:val="005F6736"/>
    <w:rsid w:val="005F6761"/>
    <w:rsid w:val="005F6792"/>
    <w:rsid w:val="005F67E1"/>
    <w:rsid w:val="005F6832"/>
    <w:rsid w:val="005F687C"/>
    <w:rsid w:val="005F68BF"/>
    <w:rsid w:val="005F693E"/>
    <w:rsid w:val="005F6A33"/>
    <w:rsid w:val="005F6A4E"/>
    <w:rsid w:val="005F6A5E"/>
    <w:rsid w:val="005F6A68"/>
    <w:rsid w:val="005F6A72"/>
    <w:rsid w:val="005F6AEE"/>
    <w:rsid w:val="005F6BAA"/>
    <w:rsid w:val="005F6BCE"/>
    <w:rsid w:val="005F6C23"/>
    <w:rsid w:val="005F6C92"/>
    <w:rsid w:val="005F6CD8"/>
    <w:rsid w:val="005F6D2B"/>
    <w:rsid w:val="005F6D67"/>
    <w:rsid w:val="005F6DDE"/>
    <w:rsid w:val="005F6E19"/>
    <w:rsid w:val="005F6E23"/>
    <w:rsid w:val="005F6E45"/>
    <w:rsid w:val="005F6E7D"/>
    <w:rsid w:val="005F6EDD"/>
    <w:rsid w:val="005F6EEB"/>
    <w:rsid w:val="005F6F02"/>
    <w:rsid w:val="005F6F16"/>
    <w:rsid w:val="005F6F4E"/>
    <w:rsid w:val="005F6F5E"/>
    <w:rsid w:val="005F70C3"/>
    <w:rsid w:val="005F70F3"/>
    <w:rsid w:val="005F710D"/>
    <w:rsid w:val="005F7127"/>
    <w:rsid w:val="005F7132"/>
    <w:rsid w:val="005F715E"/>
    <w:rsid w:val="005F71B2"/>
    <w:rsid w:val="005F7214"/>
    <w:rsid w:val="005F7228"/>
    <w:rsid w:val="005F728C"/>
    <w:rsid w:val="005F72CD"/>
    <w:rsid w:val="005F72FA"/>
    <w:rsid w:val="005F7338"/>
    <w:rsid w:val="005F736D"/>
    <w:rsid w:val="005F737A"/>
    <w:rsid w:val="005F7394"/>
    <w:rsid w:val="005F73B8"/>
    <w:rsid w:val="005F73CC"/>
    <w:rsid w:val="005F7411"/>
    <w:rsid w:val="005F7439"/>
    <w:rsid w:val="005F745D"/>
    <w:rsid w:val="005F746F"/>
    <w:rsid w:val="005F74C0"/>
    <w:rsid w:val="005F7536"/>
    <w:rsid w:val="005F75B4"/>
    <w:rsid w:val="005F75B9"/>
    <w:rsid w:val="005F75C5"/>
    <w:rsid w:val="005F75E2"/>
    <w:rsid w:val="005F75EE"/>
    <w:rsid w:val="005F7606"/>
    <w:rsid w:val="005F760F"/>
    <w:rsid w:val="005F76B0"/>
    <w:rsid w:val="005F7719"/>
    <w:rsid w:val="005F77E5"/>
    <w:rsid w:val="005F7816"/>
    <w:rsid w:val="005F781A"/>
    <w:rsid w:val="005F7855"/>
    <w:rsid w:val="005F787C"/>
    <w:rsid w:val="005F7894"/>
    <w:rsid w:val="005F78B3"/>
    <w:rsid w:val="005F78E4"/>
    <w:rsid w:val="005F7905"/>
    <w:rsid w:val="005F7921"/>
    <w:rsid w:val="005F7947"/>
    <w:rsid w:val="005F7951"/>
    <w:rsid w:val="005F7975"/>
    <w:rsid w:val="005F7984"/>
    <w:rsid w:val="005F7992"/>
    <w:rsid w:val="005F7A84"/>
    <w:rsid w:val="005F7A8F"/>
    <w:rsid w:val="005F7AEE"/>
    <w:rsid w:val="005F7B09"/>
    <w:rsid w:val="005F7BF3"/>
    <w:rsid w:val="005F7CD7"/>
    <w:rsid w:val="005F7D19"/>
    <w:rsid w:val="005F7DD3"/>
    <w:rsid w:val="005F7DD6"/>
    <w:rsid w:val="005F7DDF"/>
    <w:rsid w:val="005F7E34"/>
    <w:rsid w:val="005F7E64"/>
    <w:rsid w:val="005F7E80"/>
    <w:rsid w:val="005F7ED2"/>
    <w:rsid w:val="005F7F0B"/>
    <w:rsid w:val="005F7F69"/>
    <w:rsid w:val="005F7F9B"/>
    <w:rsid w:val="005F7FB7"/>
    <w:rsid w:val="005F7FBE"/>
    <w:rsid w:val="0060002E"/>
    <w:rsid w:val="0060009B"/>
    <w:rsid w:val="006000A2"/>
    <w:rsid w:val="0060012C"/>
    <w:rsid w:val="00600133"/>
    <w:rsid w:val="0060014D"/>
    <w:rsid w:val="0060019C"/>
    <w:rsid w:val="0060019E"/>
    <w:rsid w:val="006001FF"/>
    <w:rsid w:val="00600207"/>
    <w:rsid w:val="00600229"/>
    <w:rsid w:val="0060022D"/>
    <w:rsid w:val="00600251"/>
    <w:rsid w:val="00600261"/>
    <w:rsid w:val="00600262"/>
    <w:rsid w:val="006002BC"/>
    <w:rsid w:val="00600344"/>
    <w:rsid w:val="0060035E"/>
    <w:rsid w:val="0060036B"/>
    <w:rsid w:val="0060041C"/>
    <w:rsid w:val="0060042B"/>
    <w:rsid w:val="0060047F"/>
    <w:rsid w:val="006004E0"/>
    <w:rsid w:val="006004F5"/>
    <w:rsid w:val="0060050F"/>
    <w:rsid w:val="0060052A"/>
    <w:rsid w:val="0060058D"/>
    <w:rsid w:val="00600597"/>
    <w:rsid w:val="006005B7"/>
    <w:rsid w:val="006005E1"/>
    <w:rsid w:val="006005E6"/>
    <w:rsid w:val="0060064B"/>
    <w:rsid w:val="00600653"/>
    <w:rsid w:val="00600656"/>
    <w:rsid w:val="0060065A"/>
    <w:rsid w:val="00600673"/>
    <w:rsid w:val="006006BB"/>
    <w:rsid w:val="006006BF"/>
    <w:rsid w:val="006006C5"/>
    <w:rsid w:val="0060070E"/>
    <w:rsid w:val="0060071C"/>
    <w:rsid w:val="00600734"/>
    <w:rsid w:val="00600743"/>
    <w:rsid w:val="00600748"/>
    <w:rsid w:val="0060074D"/>
    <w:rsid w:val="006007EC"/>
    <w:rsid w:val="00600822"/>
    <w:rsid w:val="00600885"/>
    <w:rsid w:val="006008AD"/>
    <w:rsid w:val="006008FD"/>
    <w:rsid w:val="0060090F"/>
    <w:rsid w:val="00600939"/>
    <w:rsid w:val="0060099A"/>
    <w:rsid w:val="006009E3"/>
    <w:rsid w:val="00600A40"/>
    <w:rsid w:val="00600AA8"/>
    <w:rsid w:val="00600AC0"/>
    <w:rsid w:val="00600BC4"/>
    <w:rsid w:val="00600BD8"/>
    <w:rsid w:val="00600C0E"/>
    <w:rsid w:val="00600C8E"/>
    <w:rsid w:val="00600CDE"/>
    <w:rsid w:val="00600CE7"/>
    <w:rsid w:val="00600D21"/>
    <w:rsid w:val="00600D76"/>
    <w:rsid w:val="00600D7C"/>
    <w:rsid w:val="00600E08"/>
    <w:rsid w:val="00600E8E"/>
    <w:rsid w:val="00600ED8"/>
    <w:rsid w:val="00600EF8"/>
    <w:rsid w:val="00600F09"/>
    <w:rsid w:val="00600F2C"/>
    <w:rsid w:val="00600F89"/>
    <w:rsid w:val="00600FB5"/>
    <w:rsid w:val="00601060"/>
    <w:rsid w:val="0060107A"/>
    <w:rsid w:val="006010A5"/>
    <w:rsid w:val="006010CF"/>
    <w:rsid w:val="006010F2"/>
    <w:rsid w:val="00601122"/>
    <w:rsid w:val="0060113A"/>
    <w:rsid w:val="006011DB"/>
    <w:rsid w:val="006011E4"/>
    <w:rsid w:val="0060121B"/>
    <w:rsid w:val="00601369"/>
    <w:rsid w:val="00601379"/>
    <w:rsid w:val="006013AA"/>
    <w:rsid w:val="006013B7"/>
    <w:rsid w:val="006013D3"/>
    <w:rsid w:val="006013E4"/>
    <w:rsid w:val="006013E5"/>
    <w:rsid w:val="006013EC"/>
    <w:rsid w:val="0060146B"/>
    <w:rsid w:val="006014B1"/>
    <w:rsid w:val="006014B4"/>
    <w:rsid w:val="006014DB"/>
    <w:rsid w:val="00601517"/>
    <w:rsid w:val="0060151A"/>
    <w:rsid w:val="0060157C"/>
    <w:rsid w:val="006015CF"/>
    <w:rsid w:val="00601604"/>
    <w:rsid w:val="00601626"/>
    <w:rsid w:val="00601653"/>
    <w:rsid w:val="0060165F"/>
    <w:rsid w:val="0060169C"/>
    <w:rsid w:val="006016BE"/>
    <w:rsid w:val="00601780"/>
    <w:rsid w:val="0060178A"/>
    <w:rsid w:val="00601792"/>
    <w:rsid w:val="006017FB"/>
    <w:rsid w:val="0060180A"/>
    <w:rsid w:val="006018B9"/>
    <w:rsid w:val="00601910"/>
    <w:rsid w:val="00601919"/>
    <w:rsid w:val="00601924"/>
    <w:rsid w:val="00601989"/>
    <w:rsid w:val="006019D2"/>
    <w:rsid w:val="00601A10"/>
    <w:rsid w:val="00601A3C"/>
    <w:rsid w:val="00601A3D"/>
    <w:rsid w:val="00601A71"/>
    <w:rsid w:val="00601AEB"/>
    <w:rsid w:val="00601B76"/>
    <w:rsid w:val="00601BAF"/>
    <w:rsid w:val="00601BDB"/>
    <w:rsid w:val="00601C03"/>
    <w:rsid w:val="00601C54"/>
    <w:rsid w:val="00601C6C"/>
    <w:rsid w:val="00601CED"/>
    <w:rsid w:val="00601D14"/>
    <w:rsid w:val="00601D1B"/>
    <w:rsid w:val="00601D36"/>
    <w:rsid w:val="00601DB6"/>
    <w:rsid w:val="00601DCC"/>
    <w:rsid w:val="00601DE3"/>
    <w:rsid w:val="00601DFA"/>
    <w:rsid w:val="00601E09"/>
    <w:rsid w:val="00601E23"/>
    <w:rsid w:val="00601E27"/>
    <w:rsid w:val="00601E81"/>
    <w:rsid w:val="00601E87"/>
    <w:rsid w:val="00601EC5"/>
    <w:rsid w:val="00601EFB"/>
    <w:rsid w:val="00601EFD"/>
    <w:rsid w:val="00601F07"/>
    <w:rsid w:val="00601F8C"/>
    <w:rsid w:val="00601F98"/>
    <w:rsid w:val="00601FB5"/>
    <w:rsid w:val="00602033"/>
    <w:rsid w:val="00602042"/>
    <w:rsid w:val="0060206B"/>
    <w:rsid w:val="0060207D"/>
    <w:rsid w:val="0060207E"/>
    <w:rsid w:val="006020BC"/>
    <w:rsid w:val="00602176"/>
    <w:rsid w:val="00602180"/>
    <w:rsid w:val="00602193"/>
    <w:rsid w:val="006021B7"/>
    <w:rsid w:val="00602225"/>
    <w:rsid w:val="0060222E"/>
    <w:rsid w:val="0060227D"/>
    <w:rsid w:val="00602283"/>
    <w:rsid w:val="0060228A"/>
    <w:rsid w:val="006022D2"/>
    <w:rsid w:val="006023B0"/>
    <w:rsid w:val="0060243A"/>
    <w:rsid w:val="0060243B"/>
    <w:rsid w:val="0060244D"/>
    <w:rsid w:val="006024AF"/>
    <w:rsid w:val="00602501"/>
    <w:rsid w:val="0060258F"/>
    <w:rsid w:val="0060259F"/>
    <w:rsid w:val="006025C5"/>
    <w:rsid w:val="006025F2"/>
    <w:rsid w:val="006026A7"/>
    <w:rsid w:val="00602785"/>
    <w:rsid w:val="00602793"/>
    <w:rsid w:val="0060285B"/>
    <w:rsid w:val="00602882"/>
    <w:rsid w:val="006028D2"/>
    <w:rsid w:val="00602964"/>
    <w:rsid w:val="006029EB"/>
    <w:rsid w:val="006029F1"/>
    <w:rsid w:val="006029F6"/>
    <w:rsid w:val="00602A35"/>
    <w:rsid w:val="00602A48"/>
    <w:rsid w:val="00602A49"/>
    <w:rsid w:val="00602A6D"/>
    <w:rsid w:val="00602B44"/>
    <w:rsid w:val="00602B8B"/>
    <w:rsid w:val="00602B9E"/>
    <w:rsid w:val="00602BCF"/>
    <w:rsid w:val="00602BD4"/>
    <w:rsid w:val="00602C4F"/>
    <w:rsid w:val="00602C61"/>
    <w:rsid w:val="00602C6E"/>
    <w:rsid w:val="00602C9C"/>
    <w:rsid w:val="00602CD8"/>
    <w:rsid w:val="00602D1D"/>
    <w:rsid w:val="00602D3C"/>
    <w:rsid w:val="00602DC4"/>
    <w:rsid w:val="00602DE2"/>
    <w:rsid w:val="00602DEF"/>
    <w:rsid w:val="00602E1D"/>
    <w:rsid w:val="00602E30"/>
    <w:rsid w:val="00602E4E"/>
    <w:rsid w:val="00602ED9"/>
    <w:rsid w:val="00602EE8"/>
    <w:rsid w:val="00602F59"/>
    <w:rsid w:val="00602F70"/>
    <w:rsid w:val="00602F81"/>
    <w:rsid w:val="00602F83"/>
    <w:rsid w:val="00602FDF"/>
    <w:rsid w:val="00602FFB"/>
    <w:rsid w:val="00602FFC"/>
    <w:rsid w:val="006030A8"/>
    <w:rsid w:val="006030BE"/>
    <w:rsid w:val="006030D1"/>
    <w:rsid w:val="0060317C"/>
    <w:rsid w:val="00603184"/>
    <w:rsid w:val="006031A2"/>
    <w:rsid w:val="006031D5"/>
    <w:rsid w:val="0060322D"/>
    <w:rsid w:val="00603279"/>
    <w:rsid w:val="00603288"/>
    <w:rsid w:val="006032D9"/>
    <w:rsid w:val="00603301"/>
    <w:rsid w:val="00603399"/>
    <w:rsid w:val="006033B8"/>
    <w:rsid w:val="006033C3"/>
    <w:rsid w:val="006033CF"/>
    <w:rsid w:val="00603459"/>
    <w:rsid w:val="0060346C"/>
    <w:rsid w:val="00603495"/>
    <w:rsid w:val="006034F4"/>
    <w:rsid w:val="006034FB"/>
    <w:rsid w:val="0060356E"/>
    <w:rsid w:val="006035DA"/>
    <w:rsid w:val="006035E9"/>
    <w:rsid w:val="00603667"/>
    <w:rsid w:val="006036E0"/>
    <w:rsid w:val="00603767"/>
    <w:rsid w:val="0060376F"/>
    <w:rsid w:val="006037AE"/>
    <w:rsid w:val="006037D2"/>
    <w:rsid w:val="006037D9"/>
    <w:rsid w:val="0060381E"/>
    <w:rsid w:val="00603830"/>
    <w:rsid w:val="0060385F"/>
    <w:rsid w:val="006038D1"/>
    <w:rsid w:val="006038D8"/>
    <w:rsid w:val="0060390F"/>
    <w:rsid w:val="0060396E"/>
    <w:rsid w:val="0060399F"/>
    <w:rsid w:val="006039B7"/>
    <w:rsid w:val="006039E6"/>
    <w:rsid w:val="006039F9"/>
    <w:rsid w:val="00603A15"/>
    <w:rsid w:val="00603A53"/>
    <w:rsid w:val="00603A62"/>
    <w:rsid w:val="00603A88"/>
    <w:rsid w:val="00603A9B"/>
    <w:rsid w:val="00603B12"/>
    <w:rsid w:val="00603B60"/>
    <w:rsid w:val="00603BE2"/>
    <w:rsid w:val="00603C42"/>
    <w:rsid w:val="00603C4B"/>
    <w:rsid w:val="00603C66"/>
    <w:rsid w:val="00603CEC"/>
    <w:rsid w:val="00603D2A"/>
    <w:rsid w:val="00603DBA"/>
    <w:rsid w:val="00603DC2"/>
    <w:rsid w:val="00603E39"/>
    <w:rsid w:val="00603E73"/>
    <w:rsid w:val="00603ECD"/>
    <w:rsid w:val="00603ECF"/>
    <w:rsid w:val="00603EFA"/>
    <w:rsid w:val="00603F72"/>
    <w:rsid w:val="00603F8D"/>
    <w:rsid w:val="00603F8F"/>
    <w:rsid w:val="00603FD1"/>
    <w:rsid w:val="00603FEB"/>
    <w:rsid w:val="00604022"/>
    <w:rsid w:val="0060402B"/>
    <w:rsid w:val="00604071"/>
    <w:rsid w:val="00604074"/>
    <w:rsid w:val="006040F7"/>
    <w:rsid w:val="006040F8"/>
    <w:rsid w:val="00604132"/>
    <w:rsid w:val="0060413D"/>
    <w:rsid w:val="00604143"/>
    <w:rsid w:val="006041B8"/>
    <w:rsid w:val="006041CB"/>
    <w:rsid w:val="0060423F"/>
    <w:rsid w:val="0060424C"/>
    <w:rsid w:val="00604264"/>
    <w:rsid w:val="00604270"/>
    <w:rsid w:val="0060435C"/>
    <w:rsid w:val="00604399"/>
    <w:rsid w:val="006043C0"/>
    <w:rsid w:val="0060441D"/>
    <w:rsid w:val="0060441F"/>
    <w:rsid w:val="0060442D"/>
    <w:rsid w:val="0060446C"/>
    <w:rsid w:val="0060449B"/>
    <w:rsid w:val="0060450C"/>
    <w:rsid w:val="006045D9"/>
    <w:rsid w:val="006045FF"/>
    <w:rsid w:val="00604627"/>
    <w:rsid w:val="00604636"/>
    <w:rsid w:val="006046C8"/>
    <w:rsid w:val="006046EB"/>
    <w:rsid w:val="0060475B"/>
    <w:rsid w:val="0060475D"/>
    <w:rsid w:val="0060478E"/>
    <w:rsid w:val="006047BC"/>
    <w:rsid w:val="0060481A"/>
    <w:rsid w:val="00604859"/>
    <w:rsid w:val="00604960"/>
    <w:rsid w:val="00604ADC"/>
    <w:rsid w:val="00604B02"/>
    <w:rsid w:val="00604B25"/>
    <w:rsid w:val="00604B3F"/>
    <w:rsid w:val="00604BA8"/>
    <w:rsid w:val="00604BB1"/>
    <w:rsid w:val="00604BB7"/>
    <w:rsid w:val="00604BFD"/>
    <w:rsid w:val="00604C55"/>
    <w:rsid w:val="00604C99"/>
    <w:rsid w:val="00604C9E"/>
    <w:rsid w:val="00604CE7"/>
    <w:rsid w:val="00604CEC"/>
    <w:rsid w:val="00604DED"/>
    <w:rsid w:val="00604DF5"/>
    <w:rsid w:val="00604E09"/>
    <w:rsid w:val="00604E4D"/>
    <w:rsid w:val="00604EB9"/>
    <w:rsid w:val="00604EC4"/>
    <w:rsid w:val="00604ECD"/>
    <w:rsid w:val="00604F45"/>
    <w:rsid w:val="00604F79"/>
    <w:rsid w:val="00604FA0"/>
    <w:rsid w:val="00604FC4"/>
    <w:rsid w:val="00604FD5"/>
    <w:rsid w:val="00604FED"/>
    <w:rsid w:val="00604FF8"/>
    <w:rsid w:val="00605067"/>
    <w:rsid w:val="00605093"/>
    <w:rsid w:val="006050B5"/>
    <w:rsid w:val="00605149"/>
    <w:rsid w:val="006051BF"/>
    <w:rsid w:val="006051CE"/>
    <w:rsid w:val="006051E4"/>
    <w:rsid w:val="006051F2"/>
    <w:rsid w:val="00605200"/>
    <w:rsid w:val="00605229"/>
    <w:rsid w:val="0060523F"/>
    <w:rsid w:val="00605247"/>
    <w:rsid w:val="006052D2"/>
    <w:rsid w:val="006052EA"/>
    <w:rsid w:val="0060534B"/>
    <w:rsid w:val="00605390"/>
    <w:rsid w:val="00605414"/>
    <w:rsid w:val="0060541C"/>
    <w:rsid w:val="0060547D"/>
    <w:rsid w:val="00605482"/>
    <w:rsid w:val="0060549D"/>
    <w:rsid w:val="006054A1"/>
    <w:rsid w:val="006054E1"/>
    <w:rsid w:val="0060553E"/>
    <w:rsid w:val="00605543"/>
    <w:rsid w:val="0060554C"/>
    <w:rsid w:val="00605551"/>
    <w:rsid w:val="00605555"/>
    <w:rsid w:val="006055AA"/>
    <w:rsid w:val="00605650"/>
    <w:rsid w:val="0060565F"/>
    <w:rsid w:val="0060568B"/>
    <w:rsid w:val="0060574D"/>
    <w:rsid w:val="00605769"/>
    <w:rsid w:val="00605778"/>
    <w:rsid w:val="00605796"/>
    <w:rsid w:val="0060579E"/>
    <w:rsid w:val="006057EE"/>
    <w:rsid w:val="006057FD"/>
    <w:rsid w:val="00605805"/>
    <w:rsid w:val="00605819"/>
    <w:rsid w:val="006058BF"/>
    <w:rsid w:val="00605912"/>
    <w:rsid w:val="00605931"/>
    <w:rsid w:val="0060595C"/>
    <w:rsid w:val="006059A9"/>
    <w:rsid w:val="006059BB"/>
    <w:rsid w:val="00605A02"/>
    <w:rsid w:val="00605A14"/>
    <w:rsid w:val="00605A50"/>
    <w:rsid w:val="00605A65"/>
    <w:rsid w:val="00605A99"/>
    <w:rsid w:val="00605ADD"/>
    <w:rsid w:val="00605AE7"/>
    <w:rsid w:val="00605B17"/>
    <w:rsid w:val="00605B42"/>
    <w:rsid w:val="00605B7B"/>
    <w:rsid w:val="00605B9A"/>
    <w:rsid w:val="00605C06"/>
    <w:rsid w:val="00605C45"/>
    <w:rsid w:val="00605C62"/>
    <w:rsid w:val="00605CD7"/>
    <w:rsid w:val="00605DF8"/>
    <w:rsid w:val="00605E04"/>
    <w:rsid w:val="00605E2A"/>
    <w:rsid w:val="00605E54"/>
    <w:rsid w:val="00605E74"/>
    <w:rsid w:val="00605E89"/>
    <w:rsid w:val="00605E9D"/>
    <w:rsid w:val="00605EAB"/>
    <w:rsid w:val="00605EFC"/>
    <w:rsid w:val="00605F1E"/>
    <w:rsid w:val="00605F37"/>
    <w:rsid w:val="00605F5F"/>
    <w:rsid w:val="00605F74"/>
    <w:rsid w:val="00605F89"/>
    <w:rsid w:val="00605F9D"/>
    <w:rsid w:val="00605FB6"/>
    <w:rsid w:val="00605FC8"/>
    <w:rsid w:val="00605FDA"/>
    <w:rsid w:val="00605FEE"/>
    <w:rsid w:val="0060601A"/>
    <w:rsid w:val="0060605D"/>
    <w:rsid w:val="00606069"/>
    <w:rsid w:val="006060A1"/>
    <w:rsid w:val="006060AE"/>
    <w:rsid w:val="006060D5"/>
    <w:rsid w:val="00606148"/>
    <w:rsid w:val="006061DD"/>
    <w:rsid w:val="006061FC"/>
    <w:rsid w:val="00606206"/>
    <w:rsid w:val="00606280"/>
    <w:rsid w:val="006062B2"/>
    <w:rsid w:val="006062BC"/>
    <w:rsid w:val="006062C0"/>
    <w:rsid w:val="006062E5"/>
    <w:rsid w:val="006062FC"/>
    <w:rsid w:val="0060636F"/>
    <w:rsid w:val="006063DE"/>
    <w:rsid w:val="0060642D"/>
    <w:rsid w:val="0060648F"/>
    <w:rsid w:val="006064AA"/>
    <w:rsid w:val="006064EC"/>
    <w:rsid w:val="006064EF"/>
    <w:rsid w:val="006064FE"/>
    <w:rsid w:val="0060652C"/>
    <w:rsid w:val="006065B8"/>
    <w:rsid w:val="006065F4"/>
    <w:rsid w:val="006065FC"/>
    <w:rsid w:val="00606611"/>
    <w:rsid w:val="00606635"/>
    <w:rsid w:val="00606636"/>
    <w:rsid w:val="006066C2"/>
    <w:rsid w:val="006066F6"/>
    <w:rsid w:val="00606716"/>
    <w:rsid w:val="0060673C"/>
    <w:rsid w:val="0060677B"/>
    <w:rsid w:val="006067FA"/>
    <w:rsid w:val="00606820"/>
    <w:rsid w:val="00606876"/>
    <w:rsid w:val="006068DB"/>
    <w:rsid w:val="00606941"/>
    <w:rsid w:val="00606A4C"/>
    <w:rsid w:val="00606A6B"/>
    <w:rsid w:val="00606AB0"/>
    <w:rsid w:val="00606ABE"/>
    <w:rsid w:val="00606ACD"/>
    <w:rsid w:val="00606B36"/>
    <w:rsid w:val="00606B55"/>
    <w:rsid w:val="00606B64"/>
    <w:rsid w:val="00606B77"/>
    <w:rsid w:val="00606B8A"/>
    <w:rsid w:val="00606C24"/>
    <w:rsid w:val="00606CD9"/>
    <w:rsid w:val="00606CEB"/>
    <w:rsid w:val="00606D18"/>
    <w:rsid w:val="00606D6A"/>
    <w:rsid w:val="00606D83"/>
    <w:rsid w:val="00606D91"/>
    <w:rsid w:val="00606DD1"/>
    <w:rsid w:val="00606F24"/>
    <w:rsid w:val="00606F6D"/>
    <w:rsid w:val="00606F73"/>
    <w:rsid w:val="00606F9A"/>
    <w:rsid w:val="00606FBD"/>
    <w:rsid w:val="00606FC6"/>
    <w:rsid w:val="00606FDC"/>
    <w:rsid w:val="00606FEE"/>
    <w:rsid w:val="0060707A"/>
    <w:rsid w:val="006070BA"/>
    <w:rsid w:val="006070BC"/>
    <w:rsid w:val="006070BE"/>
    <w:rsid w:val="006070E4"/>
    <w:rsid w:val="0060711C"/>
    <w:rsid w:val="00607159"/>
    <w:rsid w:val="00607160"/>
    <w:rsid w:val="00607163"/>
    <w:rsid w:val="0060716A"/>
    <w:rsid w:val="00607186"/>
    <w:rsid w:val="0060718F"/>
    <w:rsid w:val="0060719F"/>
    <w:rsid w:val="0060722E"/>
    <w:rsid w:val="0060724C"/>
    <w:rsid w:val="0060725C"/>
    <w:rsid w:val="0060726F"/>
    <w:rsid w:val="00607296"/>
    <w:rsid w:val="006072DB"/>
    <w:rsid w:val="00607309"/>
    <w:rsid w:val="00607315"/>
    <w:rsid w:val="00607336"/>
    <w:rsid w:val="0060734B"/>
    <w:rsid w:val="0060735D"/>
    <w:rsid w:val="006073A2"/>
    <w:rsid w:val="006073B7"/>
    <w:rsid w:val="006073BB"/>
    <w:rsid w:val="006073D2"/>
    <w:rsid w:val="00607402"/>
    <w:rsid w:val="0060742F"/>
    <w:rsid w:val="0060743B"/>
    <w:rsid w:val="00607441"/>
    <w:rsid w:val="0060747D"/>
    <w:rsid w:val="006074B1"/>
    <w:rsid w:val="006074C1"/>
    <w:rsid w:val="006074CD"/>
    <w:rsid w:val="00607500"/>
    <w:rsid w:val="00607514"/>
    <w:rsid w:val="0060751D"/>
    <w:rsid w:val="00607572"/>
    <w:rsid w:val="0060758E"/>
    <w:rsid w:val="00607598"/>
    <w:rsid w:val="006075D9"/>
    <w:rsid w:val="006075F5"/>
    <w:rsid w:val="0060761A"/>
    <w:rsid w:val="0060761B"/>
    <w:rsid w:val="0060764E"/>
    <w:rsid w:val="00607662"/>
    <w:rsid w:val="00607686"/>
    <w:rsid w:val="006076B3"/>
    <w:rsid w:val="006076D4"/>
    <w:rsid w:val="006076DD"/>
    <w:rsid w:val="006076F8"/>
    <w:rsid w:val="00607789"/>
    <w:rsid w:val="006078F0"/>
    <w:rsid w:val="0060792D"/>
    <w:rsid w:val="0060793A"/>
    <w:rsid w:val="0060793E"/>
    <w:rsid w:val="00607947"/>
    <w:rsid w:val="00607949"/>
    <w:rsid w:val="0060797D"/>
    <w:rsid w:val="006079CD"/>
    <w:rsid w:val="00607AEC"/>
    <w:rsid w:val="00607B1E"/>
    <w:rsid w:val="00607B7C"/>
    <w:rsid w:val="00607BA0"/>
    <w:rsid w:val="00607C2A"/>
    <w:rsid w:val="00607C42"/>
    <w:rsid w:val="00607C73"/>
    <w:rsid w:val="00607D16"/>
    <w:rsid w:val="00607D33"/>
    <w:rsid w:val="00607D4F"/>
    <w:rsid w:val="00607D58"/>
    <w:rsid w:val="00607D9C"/>
    <w:rsid w:val="00607DF0"/>
    <w:rsid w:val="00607E1A"/>
    <w:rsid w:val="00607E6B"/>
    <w:rsid w:val="00607E80"/>
    <w:rsid w:val="00607EAB"/>
    <w:rsid w:val="00607EC6"/>
    <w:rsid w:val="00607EC7"/>
    <w:rsid w:val="00607F09"/>
    <w:rsid w:val="00607F57"/>
    <w:rsid w:val="00607F8B"/>
    <w:rsid w:val="00607FDA"/>
    <w:rsid w:val="00607FDE"/>
    <w:rsid w:val="00610000"/>
    <w:rsid w:val="00610032"/>
    <w:rsid w:val="00610064"/>
    <w:rsid w:val="0061009E"/>
    <w:rsid w:val="006100A0"/>
    <w:rsid w:val="006100BA"/>
    <w:rsid w:val="0061011D"/>
    <w:rsid w:val="00610131"/>
    <w:rsid w:val="0061018F"/>
    <w:rsid w:val="006101BD"/>
    <w:rsid w:val="00610208"/>
    <w:rsid w:val="00610253"/>
    <w:rsid w:val="00610263"/>
    <w:rsid w:val="00610285"/>
    <w:rsid w:val="00610286"/>
    <w:rsid w:val="006102A2"/>
    <w:rsid w:val="006102DC"/>
    <w:rsid w:val="006102E0"/>
    <w:rsid w:val="00610333"/>
    <w:rsid w:val="00610359"/>
    <w:rsid w:val="0061038F"/>
    <w:rsid w:val="00610407"/>
    <w:rsid w:val="0061042F"/>
    <w:rsid w:val="006104EB"/>
    <w:rsid w:val="006104ED"/>
    <w:rsid w:val="006104F2"/>
    <w:rsid w:val="00610575"/>
    <w:rsid w:val="006105BE"/>
    <w:rsid w:val="006105C3"/>
    <w:rsid w:val="006105C6"/>
    <w:rsid w:val="006105EF"/>
    <w:rsid w:val="0061065B"/>
    <w:rsid w:val="0061066C"/>
    <w:rsid w:val="006106CE"/>
    <w:rsid w:val="0061073D"/>
    <w:rsid w:val="0061074E"/>
    <w:rsid w:val="00610769"/>
    <w:rsid w:val="006107C4"/>
    <w:rsid w:val="00610804"/>
    <w:rsid w:val="00610844"/>
    <w:rsid w:val="00610892"/>
    <w:rsid w:val="006108A1"/>
    <w:rsid w:val="006108B4"/>
    <w:rsid w:val="006108BD"/>
    <w:rsid w:val="006108DE"/>
    <w:rsid w:val="006108F2"/>
    <w:rsid w:val="00610913"/>
    <w:rsid w:val="00610919"/>
    <w:rsid w:val="00610949"/>
    <w:rsid w:val="0061094E"/>
    <w:rsid w:val="00610959"/>
    <w:rsid w:val="0061095A"/>
    <w:rsid w:val="00610985"/>
    <w:rsid w:val="006109B8"/>
    <w:rsid w:val="00610A6A"/>
    <w:rsid w:val="00610AA7"/>
    <w:rsid w:val="00610AAE"/>
    <w:rsid w:val="00610AE3"/>
    <w:rsid w:val="00610B07"/>
    <w:rsid w:val="00610BA4"/>
    <w:rsid w:val="00610C00"/>
    <w:rsid w:val="00610C13"/>
    <w:rsid w:val="00610C1C"/>
    <w:rsid w:val="00610C32"/>
    <w:rsid w:val="00610CD0"/>
    <w:rsid w:val="00610CE1"/>
    <w:rsid w:val="00610D09"/>
    <w:rsid w:val="00610D72"/>
    <w:rsid w:val="00610D92"/>
    <w:rsid w:val="00610D95"/>
    <w:rsid w:val="00610E02"/>
    <w:rsid w:val="00610E2B"/>
    <w:rsid w:val="00610E90"/>
    <w:rsid w:val="00610F2D"/>
    <w:rsid w:val="00610F34"/>
    <w:rsid w:val="00610F4C"/>
    <w:rsid w:val="00611033"/>
    <w:rsid w:val="0061103F"/>
    <w:rsid w:val="00611085"/>
    <w:rsid w:val="006110D4"/>
    <w:rsid w:val="0061118A"/>
    <w:rsid w:val="00611190"/>
    <w:rsid w:val="006111D3"/>
    <w:rsid w:val="006111E5"/>
    <w:rsid w:val="00611217"/>
    <w:rsid w:val="0061121D"/>
    <w:rsid w:val="0061123D"/>
    <w:rsid w:val="00611250"/>
    <w:rsid w:val="00611311"/>
    <w:rsid w:val="00611350"/>
    <w:rsid w:val="00611351"/>
    <w:rsid w:val="00611388"/>
    <w:rsid w:val="00611393"/>
    <w:rsid w:val="006113A6"/>
    <w:rsid w:val="006113D1"/>
    <w:rsid w:val="00611405"/>
    <w:rsid w:val="0061145A"/>
    <w:rsid w:val="00611460"/>
    <w:rsid w:val="00611466"/>
    <w:rsid w:val="00611472"/>
    <w:rsid w:val="00611484"/>
    <w:rsid w:val="0061149A"/>
    <w:rsid w:val="00611507"/>
    <w:rsid w:val="00611549"/>
    <w:rsid w:val="0061157C"/>
    <w:rsid w:val="00611592"/>
    <w:rsid w:val="006115C8"/>
    <w:rsid w:val="00611635"/>
    <w:rsid w:val="0061163B"/>
    <w:rsid w:val="00611660"/>
    <w:rsid w:val="00611663"/>
    <w:rsid w:val="0061167D"/>
    <w:rsid w:val="006116E6"/>
    <w:rsid w:val="0061171A"/>
    <w:rsid w:val="006117A6"/>
    <w:rsid w:val="006117B7"/>
    <w:rsid w:val="0061183D"/>
    <w:rsid w:val="00611847"/>
    <w:rsid w:val="006118B4"/>
    <w:rsid w:val="006118E7"/>
    <w:rsid w:val="0061190D"/>
    <w:rsid w:val="0061191B"/>
    <w:rsid w:val="0061193F"/>
    <w:rsid w:val="006119A7"/>
    <w:rsid w:val="006119D5"/>
    <w:rsid w:val="00611A1B"/>
    <w:rsid w:val="00611A1D"/>
    <w:rsid w:val="00611A2C"/>
    <w:rsid w:val="00611A44"/>
    <w:rsid w:val="00611A50"/>
    <w:rsid w:val="00611A7E"/>
    <w:rsid w:val="00611A8B"/>
    <w:rsid w:val="00611B2B"/>
    <w:rsid w:val="00611B52"/>
    <w:rsid w:val="00611B95"/>
    <w:rsid w:val="00611BB5"/>
    <w:rsid w:val="00611C01"/>
    <w:rsid w:val="00611C27"/>
    <w:rsid w:val="00611C98"/>
    <w:rsid w:val="00611CE9"/>
    <w:rsid w:val="00611D18"/>
    <w:rsid w:val="00611D26"/>
    <w:rsid w:val="00611D5F"/>
    <w:rsid w:val="00611D69"/>
    <w:rsid w:val="00611D87"/>
    <w:rsid w:val="00611DB4"/>
    <w:rsid w:val="00611E9D"/>
    <w:rsid w:val="00611F04"/>
    <w:rsid w:val="00611F41"/>
    <w:rsid w:val="00611F53"/>
    <w:rsid w:val="00611FB3"/>
    <w:rsid w:val="00611FF7"/>
    <w:rsid w:val="00612010"/>
    <w:rsid w:val="0061201E"/>
    <w:rsid w:val="00612037"/>
    <w:rsid w:val="00612059"/>
    <w:rsid w:val="0061206A"/>
    <w:rsid w:val="00612083"/>
    <w:rsid w:val="00612087"/>
    <w:rsid w:val="0061209D"/>
    <w:rsid w:val="006120A6"/>
    <w:rsid w:val="006120BB"/>
    <w:rsid w:val="006120D8"/>
    <w:rsid w:val="006121D7"/>
    <w:rsid w:val="006121DA"/>
    <w:rsid w:val="00612219"/>
    <w:rsid w:val="00612252"/>
    <w:rsid w:val="00612283"/>
    <w:rsid w:val="006122B9"/>
    <w:rsid w:val="006122BE"/>
    <w:rsid w:val="006122CD"/>
    <w:rsid w:val="00612329"/>
    <w:rsid w:val="0061232C"/>
    <w:rsid w:val="0061236D"/>
    <w:rsid w:val="006123F7"/>
    <w:rsid w:val="0061242E"/>
    <w:rsid w:val="00612466"/>
    <w:rsid w:val="0061246A"/>
    <w:rsid w:val="00612472"/>
    <w:rsid w:val="0061251B"/>
    <w:rsid w:val="00612527"/>
    <w:rsid w:val="0061259B"/>
    <w:rsid w:val="006125C1"/>
    <w:rsid w:val="006125D1"/>
    <w:rsid w:val="006125F0"/>
    <w:rsid w:val="0061261C"/>
    <w:rsid w:val="0061262D"/>
    <w:rsid w:val="00612631"/>
    <w:rsid w:val="00612655"/>
    <w:rsid w:val="006126CD"/>
    <w:rsid w:val="006126E5"/>
    <w:rsid w:val="006126FA"/>
    <w:rsid w:val="00612725"/>
    <w:rsid w:val="00612730"/>
    <w:rsid w:val="00612739"/>
    <w:rsid w:val="00612749"/>
    <w:rsid w:val="006127DF"/>
    <w:rsid w:val="006127E1"/>
    <w:rsid w:val="00612838"/>
    <w:rsid w:val="00612878"/>
    <w:rsid w:val="0061288A"/>
    <w:rsid w:val="00612913"/>
    <w:rsid w:val="006129B1"/>
    <w:rsid w:val="00612A20"/>
    <w:rsid w:val="00612A32"/>
    <w:rsid w:val="00612A57"/>
    <w:rsid w:val="00612A61"/>
    <w:rsid w:val="00612A62"/>
    <w:rsid w:val="00612A92"/>
    <w:rsid w:val="00612B14"/>
    <w:rsid w:val="00612B1A"/>
    <w:rsid w:val="00612B94"/>
    <w:rsid w:val="00612BCC"/>
    <w:rsid w:val="00612C00"/>
    <w:rsid w:val="00612C73"/>
    <w:rsid w:val="00612C90"/>
    <w:rsid w:val="00612C9B"/>
    <w:rsid w:val="00612CD1"/>
    <w:rsid w:val="00612CD7"/>
    <w:rsid w:val="00612D0B"/>
    <w:rsid w:val="00612D0F"/>
    <w:rsid w:val="00612D17"/>
    <w:rsid w:val="00612D57"/>
    <w:rsid w:val="00612D91"/>
    <w:rsid w:val="00612D9F"/>
    <w:rsid w:val="00612DE1"/>
    <w:rsid w:val="00612E5D"/>
    <w:rsid w:val="00612E90"/>
    <w:rsid w:val="00612F93"/>
    <w:rsid w:val="00613015"/>
    <w:rsid w:val="00613059"/>
    <w:rsid w:val="006130AA"/>
    <w:rsid w:val="006131C8"/>
    <w:rsid w:val="00613208"/>
    <w:rsid w:val="00613218"/>
    <w:rsid w:val="0061321E"/>
    <w:rsid w:val="0061324D"/>
    <w:rsid w:val="0061325E"/>
    <w:rsid w:val="006132C8"/>
    <w:rsid w:val="006132D4"/>
    <w:rsid w:val="006132F5"/>
    <w:rsid w:val="00613340"/>
    <w:rsid w:val="00613351"/>
    <w:rsid w:val="0061335A"/>
    <w:rsid w:val="00613393"/>
    <w:rsid w:val="00613395"/>
    <w:rsid w:val="006133FD"/>
    <w:rsid w:val="0061347F"/>
    <w:rsid w:val="0061349C"/>
    <w:rsid w:val="006134EB"/>
    <w:rsid w:val="00613570"/>
    <w:rsid w:val="00613634"/>
    <w:rsid w:val="00613638"/>
    <w:rsid w:val="00613639"/>
    <w:rsid w:val="00613655"/>
    <w:rsid w:val="006136A0"/>
    <w:rsid w:val="006136CF"/>
    <w:rsid w:val="006136D9"/>
    <w:rsid w:val="00613751"/>
    <w:rsid w:val="00613777"/>
    <w:rsid w:val="00613789"/>
    <w:rsid w:val="006137B2"/>
    <w:rsid w:val="00613818"/>
    <w:rsid w:val="00613834"/>
    <w:rsid w:val="00613845"/>
    <w:rsid w:val="006138BB"/>
    <w:rsid w:val="00613976"/>
    <w:rsid w:val="006139A2"/>
    <w:rsid w:val="006139DE"/>
    <w:rsid w:val="00613A11"/>
    <w:rsid w:val="00613A22"/>
    <w:rsid w:val="00613A41"/>
    <w:rsid w:val="00613A79"/>
    <w:rsid w:val="00613B1C"/>
    <w:rsid w:val="00613B8F"/>
    <w:rsid w:val="00613BDB"/>
    <w:rsid w:val="00613CE5"/>
    <w:rsid w:val="00613D36"/>
    <w:rsid w:val="00613D4E"/>
    <w:rsid w:val="00613D61"/>
    <w:rsid w:val="00613E07"/>
    <w:rsid w:val="00613E5D"/>
    <w:rsid w:val="00613E82"/>
    <w:rsid w:val="00613EB0"/>
    <w:rsid w:val="00613EB3"/>
    <w:rsid w:val="00613EEE"/>
    <w:rsid w:val="00613EFF"/>
    <w:rsid w:val="00613FC1"/>
    <w:rsid w:val="00613FEC"/>
    <w:rsid w:val="0061400E"/>
    <w:rsid w:val="00614029"/>
    <w:rsid w:val="00614031"/>
    <w:rsid w:val="0061403A"/>
    <w:rsid w:val="0061406B"/>
    <w:rsid w:val="0061410C"/>
    <w:rsid w:val="00614173"/>
    <w:rsid w:val="00614196"/>
    <w:rsid w:val="006141F7"/>
    <w:rsid w:val="00614239"/>
    <w:rsid w:val="00614255"/>
    <w:rsid w:val="006142E9"/>
    <w:rsid w:val="0061432B"/>
    <w:rsid w:val="0061433F"/>
    <w:rsid w:val="00614373"/>
    <w:rsid w:val="0061437C"/>
    <w:rsid w:val="006143C8"/>
    <w:rsid w:val="006143CD"/>
    <w:rsid w:val="006143FF"/>
    <w:rsid w:val="0061440D"/>
    <w:rsid w:val="00614415"/>
    <w:rsid w:val="006144D1"/>
    <w:rsid w:val="006144F4"/>
    <w:rsid w:val="00614575"/>
    <w:rsid w:val="00614585"/>
    <w:rsid w:val="00614590"/>
    <w:rsid w:val="006145E4"/>
    <w:rsid w:val="00614680"/>
    <w:rsid w:val="006146B4"/>
    <w:rsid w:val="006146D9"/>
    <w:rsid w:val="006146E4"/>
    <w:rsid w:val="00614725"/>
    <w:rsid w:val="0061472D"/>
    <w:rsid w:val="00614782"/>
    <w:rsid w:val="006147BD"/>
    <w:rsid w:val="0061481F"/>
    <w:rsid w:val="00614872"/>
    <w:rsid w:val="00614878"/>
    <w:rsid w:val="006148A3"/>
    <w:rsid w:val="006148A6"/>
    <w:rsid w:val="006148EF"/>
    <w:rsid w:val="00614939"/>
    <w:rsid w:val="006149C1"/>
    <w:rsid w:val="00614A9E"/>
    <w:rsid w:val="00614B25"/>
    <w:rsid w:val="00614B2A"/>
    <w:rsid w:val="00614B54"/>
    <w:rsid w:val="00614B55"/>
    <w:rsid w:val="00614B65"/>
    <w:rsid w:val="00614B6B"/>
    <w:rsid w:val="00614B75"/>
    <w:rsid w:val="00614B8E"/>
    <w:rsid w:val="00614BB0"/>
    <w:rsid w:val="00614BE5"/>
    <w:rsid w:val="00614C08"/>
    <w:rsid w:val="00614C0D"/>
    <w:rsid w:val="00614C33"/>
    <w:rsid w:val="00614C7E"/>
    <w:rsid w:val="00614C8C"/>
    <w:rsid w:val="00614C95"/>
    <w:rsid w:val="00614DB2"/>
    <w:rsid w:val="00614DC0"/>
    <w:rsid w:val="00614DE0"/>
    <w:rsid w:val="00614DEE"/>
    <w:rsid w:val="00614E0A"/>
    <w:rsid w:val="00614E44"/>
    <w:rsid w:val="00614E5A"/>
    <w:rsid w:val="00614E86"/>
    <w:rsid w:val="00614ED4"/>
    <w:rsid w:val="00614F0F"/>
    <w:rsid w:val="00614F18"/>
    <w:rsid w:val="00614F40"/>
    <w:rsid w:val="00614FC4"/>
    <w:rsid w:val="0061500A"/>
    <w:rsid w:val="00615037"/>
    <w:rsid w:val="0061503B"/>
    <w:rsid w:val="00615092"/>
    <w:rsid w:val="006150B8"/>
    <w:rsid w:val="006150F0"/>
    <w:rsid w:val="00615108"/>
    <w:rsid w:val="00615194"/>
    <w:rsid w:val="006151AB"/>
    <w:rsid w:val="006151B2"/>
    <w:rsid w:val="00615225"/>
    <w:rsid w:val="00615246"/>
    <w:rsid w:val="006152CC"/>
    <w:rsid w:val="006152E6"/>
    <w:rsid w:val="006152FE"/>
    <w:rsid w:val="0061530B"/>
    <w:rsid w:val="00615325"/>
    <w:rsid w:val="0061532C"/>
    <w:rsid w:val="00615336"/>
    <w:rsid w:val="006153B0"/>
    <w:rsid w:val="006153F3"/>
    <w:rsid w:val="00615423"/>
    <w:rsid w:val="00615477"/>
    <w:rsid w:val="006154A4"/>
    <w:rsid w:val="006154B4"/>
    <w:rsid w:val="006154F1"/>
    <w:rsid w:val="006154F5"/>
    <w:rsid w:val="00615521"/>
    <w:rsid w:val="00615534"/>
    <w:rsid w:val="00615588"/>
    <w:rsid w:val="006155A1"/>
    <w:rsid w:val="006155A3"/>
    <w:rsid w:val="006155E8"/>
    <w:rsid w:val="00615614"/>
    <w:rsid w:val="0061562A"/>
    <w:rsid w:val="0061562B"/>
    <w:rsid w:val="0061563A"/>
    <w:rsid w:val="00615644"/>
    <w:rsid w:val="00615651"/>
    <w:rsid w:val="00615670"/>
    <w:rsid w:val="00615679"/>
    <w:rsid w:val="00615695"/>
    <w:rsid w:val="0061569E"/>
    <w:rsid w:val="006156B2"/>
    <w:rsid w:val="006156BB"/>
    <w:rsid w:val="006156C9"/>
    <w:rsid w:val="006156E3"/>
    <w:rsid w:val="0061572D"/>
    <w:rsid w:val="0061573E"/>
    <w:rsid w:val="0061575D"/>
    <w:rsid w:val="0061579D"/>
    <w:rsid w:val="0061585C"/>
    <w:rsid w:val="00615865"/>
    <w:rsid w:val="00615873"/>
    <w:rsid w:val="00615874"/>
    <w:rsid w:val="006158CA"/>
    <w:rsid w:val="00615909"/>
    <w:rsid w:val="006159AF"/>
    <w:rsid w:val="006159CE"/>
    <w:rsid w:val="00615AAA"/>
    <w:rsid w:val="00615ABE"/>
    <w:rsid w:val="00615B05"/>
    <w:rsid w:val="00615B33"/>
    <w:rsid w:val="00615B3B"/>
    <w:rsid w:val="00615B6D"/>
    <w:rsid w:val="00615BBF"/>
    <w:rsid w:val="00615C74"/>
    <w:rsid w:val="00615C9A"/>
    <w:rsid w:val="00615CAB"/>
    <w:rsid w:val="00615CBA"/>
    <w:rsid w:val="00615CC4"/>
    <w:rsid w:val="00615D17"/>
    <w:rsid w:val="00615D2C"/>
    <w:rsid w:val="00615D3A"/>
    <w:rsid w:val="00615D95"/>
    <w:rsid w:val="00615DB6"/>
    <w:rsid w:val="00615E2B"/>
    <w:rsid w:val="00615E92"/>
    <w:rsid w:val="00615EA7"/>
    <w:rsid w:val="00615ED5"/>
    <w:rsid w:val="00615EF5"/>
    <w:rsid w:val="00615FAD"/>
    <w:rsid w:val="00615FAE"/>
    <w:rsid w:val="00615FCB"/>
    <w:rsid w:val="00615FF7"/>
    <w:rsid w:val="0061607A"/>
    <w:rsid w:val="0061607E"/>
    <w:rsid w:val="00616109"/>
    <w:rsid w:val="00616163"/>
    <w:rsid w:val="0061617A"/>
    <w:rsid w:val="006161BD"/>
    <w:rsid w:val="00616212"/>
    <w:rsid w:val="0061622B"/>
    <w:rsid w:val="00616231"/>
    <w:rsid w:val="00616253"/>
    <w:rsid w:val="00616272"/>
    <w:rsid w:val="0061627E"/>
    <w:rsid w:val="006162B4"/>
    <w:rsid w:val="006162C7"/>
    <w:rsid w:val="006162CA"/>
    <w:rsid w:val="0061633E"/>
    <w:rsid w:val="00616397"/>
    <w:rsid w:val="006163AC"/>
    <w:rsid w:val="0061642F"/>
    <w:rsid w:val="0061644D"/>
    <w:rsid w:val="006164A3"/>
    <w:rsid w:val="006164AD"/>
    <w:rsid w:val="006164BB"/>
    <w:rsid w:val="006164DB"/>
    <w:rsid w:val="00616503"/>
    <w:rsid w:val="00616559"/>
    <w:rsid w:val="00616560"/>
    <w:rsid w:val="00616586"/>
    <w:rsid w:val="006165FC"/>
    <w:rsid w:val="00616608"/>
    <w:rsid w:val="0061662B"/>
    <w:rsid w:val="00616653"/>
    <w:rsid w:val="00616657"/>
    <w:rsid w:val="006166C3"/>
    <w:rsid w:val="00616758"/>
    <w:rsid w:val="0061676F"/>
    <w:rsid w:val="00616841"/>
    <w:rsid w:val="006168BB"/>
    <w:rsid w:val="006168C9"/>
    <w:rsid w:val="006168F2"/>
    <w:rsid w:val="00616956"/>
    <w:rsid w:val="00616972"/>
    <w:rsid w:val="00616976"/>
    <w:rsid w:val="00616990"/>
    <w:rsid w:val="00616AAA"/>
    <w:rsid w:val="00616ABC"/>
    <w:rsid w:val="00616AFB"/>
    <w:rsid w:val="00616B1F"/>
    <w:rsid w:val="00616B28"/>
    <w:rsid w:val="00616B4A"/>
    <w:rsid w:val="00616BD0"/>
    <w:rsid w:val="00616C28"/>
    <w:rsid w:val="00616C2F"/>
    <w:rsid w:val="00616CEA"/>
    <w:rsid w:val="00616DE4"/>
    <w:rsid w:val="00616E1B"/>
    <w:rsid w:val="00616E2D"/>
    <w:rsid w:val="00616E3C"/>
    <w:rsid w:val="00616EBF"/>
    <w:rsid w:val="00616EDB"/>
    <w:rsid w:val="00616F0B"/>
    <w:rsid w:val="00616FA0"/>
    <w:rsid w:val="00616FB7"/>
    <w:rsid w:val="00616FEA"/>
    <w:rsid w:val="00617027"/>
    <w:rsid w:val="0061704C"/>
    <w:rsid w:val="00617076"/>
    <w:rsid w:val="00617079"/>
    <w:rsid w:val="00617087"/>
    <w:rsid w:val="00617098"/>
    <w:rsid w:val="006170F2"/>
    <w:rsid w:val="0061720E"/>
    <w:rsid w:val="00617226"/>
    <w:rsid w:val="0061723B"/>
    <w:rsid w:val="00617255"/>
    <w:rsid w:val="00617262"/>
    <w:rsid w:val="006172B1"/>
    <w:rsid w:val="0061734B"/>
    <w:rsid w:val="0061735B"/>
    <w:rsid w:val="0061735D"/>
    <w:rsid w:val="0061735F"/>
    <w:rsid w:val="00617362"/>
    <w:rsid w:val="00617373"/>
    <w:rsid w:val="006173AF"/>
    <w:rsid w:val="006173FF"/>
    <w:rsid w:val="00617418"/>
    <w:rsid w:val="0061741D"/>
    <w:rsid w:val="00617424"/>
    <w:rsid w:val="0061744C"/>
    <w:rsid w:val="006174B1"/>
    <w:rsid w:val="006174C4"/>
    <w:rsid w:val="0061753C"/>
    <w:rsid w:val="0061754F"/>
    <w:rsid w:val="006175B1"/>
    <w:rsid w:val="006175F3"/>
    <w:rsid w:val="00617604"/>
    <w:rsid w:val="00617628"/>
    <w:rsid w:val="00617634"/>
    <w:rsid w:val="0061763A"/>
    <w:rsid w:val="0061764D"/>
    <w:rsid w:val="006176D7"/>
    <w:rsid w:val="006176DC"/>
    <w:rsid w:val="006177A0"/>
    <w:rsid w:val="006177B8"/>
    <w:rsid w:val="0061780A"/>
    <w:rsid w:val="00617878"/>
    <w:rsid w:val="00617890"/>
    <w:rsid w:val="006178A3"/>
    <w:rsid w:val="006178AB"/>
    <w:rsid w:val="006178F8"/>
    <w:rsid w:val="006178FA"/>
    <w:rsid w:val="006178FC"/>
    <w:rsid w:val="00617937"/>
    <w:rsid w:val="0061797E"/>
    <w:rsid w:val="00617982"/>
    <w:rsid w:val="006179A3"/>
    <w:rsid w:val="006179AF"/>
    <w:rsid w:val="006179B6"/>
    <w:rsid w:val="006179D1"/>
    <w:rsid w:val="006179DC"/>
    <w:rsid w:val="00617A2C"/>
    <w:rsid w:val="00617A38"/>
    <w:rsid w:val="00617A7E"/>
    <w:rsid w:val="00617A96"/>
    <w:rsid w:val="00617A97"/>
    <w:rsid w:val="00617AA5"/>
    <w:rsid w:val="00617ABA"/>
    <w:rsid w:val="00617ADD"/>
    <w:rsid w:val="00617AE2"/>
    <w:rsid w:val="00617B4D"/>
    <w:rsid w:val="00617B5B"/>
    <w:rsid w:val="00617B7F"/>
    <w:rsid w:val="00617B9D"/>
    <w:rsid w:val="00617BC5"/>
    <w:rsid w:val="00617BD2"/>
    <w:rsid w:val="00617C39"/>
    <w:rsid w:val="00617C43"/>
    <w:rsid w:val="00617C63"/>
    <w:rsid w:val="00617C77"/>
    <w:rsid w:val="00617C85"/>
    <w:rsid w:val="00617C90"/>
    <w:rsid w:val="00617CD2"/>
    <w:rsid w:val="00617D01"/>
    <w:rsid w:val="00617D12"/>
    <w:rsid w:val="00617D1A"/>
    <w:rsid w:val="00617D6B"/>
    <w:rsid w:val="00617D84"/>
    <w:rsid w:val="00617DC0"/>
    <w:rsid w:val="00617DE4"/>
    <w:rsid w:val="00617DF7"/>
    <w:rsid w:val="00617E08"/>
    <w:rsid w:val="00617E58"/>
    <w:rsid w:val="00617E6F"/>
    <w:rsid w:val="00617E8E"/>
    <w:rsid w:val="00617E8F"/>
    <w:rsid w:val="00617EEA"/>
    <w:rsid w:val="00617F00"/>
    <w:rsid w:val="00617F45"/>
    <w:rsid w:val="00617F5F"/>
    <w:rsid w:val="00620006"/>
    <w:rsid w:val="0062003C"/>
    <w:rsid w:val="00620055"/>
    <w:rsid w:val="0062008A"/>
    <w:rsid w:val="006200B1"/>
    <w:rsid w:val="006200BA"/>
    <w:rsid w:val="0062012A"/>
    <w:rsid w:val="006201B3"/>
    <w:rsid w:val="006201B9"/>
    <w:rsid w:val="006201D3"/>
    <w:rsid w:val="0062027D"/>
    <w:rsid w:val="00620281"/>
    <w:rsid w:val="006202C5"/>
    <w:rsid w:val="006202C8"/>
    <w:rsid w:val="00620304"/>
    <w:rsid w:val="00620334"/>
    <w:rsid w:val="0062038A"/>
    <w:rsid w:val="0062038E"/>
    <w:rsid w:val="0062039F"/>
    <w:rsid w:val="006203B0"/>
    <w:rsid w:val="006203CC"/>
    <w:rsid w:val="006203D8"/>
    <w:rsid w:val="00620427"/>
    <w:rsid w:val="006204B4"/>
    <w:rsid w:val="00620500"/>
    <w:rsid w:val="00620507"/>
    <w:rsid w:val="00620530"/>
    <w:rsid w:val="00620540"/>
    <w:rsid w:val="006205A2"/>
    <w:rsid w:val="006205BF"/>
    <w:rsid w:val="006205F7"/>
    <w:rsid w:val="006205FF"/>
    <w:rsid w:val="0062060C"/>
    <w:rsid w:val="00620620"/>
    <w:rsid w:val="0062064A"/>
    <w:rsid w:val="0062068A"/>
    <w:rsid w:val="00620696"/>
    <w:rsid w:val="006206A7"/>
    <w:rsid w:val="006206CD"/>
    <w:rsid w:val="006206EC"/>
    <w:rsid w:val="00620737"/>
    <w:rsid w:val="0062075B"/>
    <w:rsid w:val="006207A8"/>
    <w:rsid w:val="006207BC"/>
    <w:rsid w:val="006207D5"/>
    <w:rsid w:val="00620811"/>
    <w:rsid w:val="00620815"/>
    <w:rsid w:val="0062082B"/>
    <w:rsid w:val="006208B4"/>
    <w:rsid w:val="00620952"/>
    <w:rsid w:val="00620969"/>
    <w:rsid w:val="0062097F"/>
    <w:rsid w:val="0062098D"/>
    <w:rsid w:val="00620AA8"/>
    <w:rsid w:val="00620AF6"/>
    <w:rsid w:val="00620B89"/>
    <w:rsid w:val="00620BA9"/>
    <w:rsid w:val="00620C60"/>
    <w:rsid w:val="00620C9B"/>
    <w:rsid w:val="00620D64"/>
    <w:rsid w:val="00620D84"/>
    <w:rsid w:val="00620DB8"/>
    <w:rsid w:val="00620E42"/>
    <w:rsid w:val="00620E4B"/>
    <w:rsid w:val="00620EE8"/>
    <w:rsid w:val="00620FDF"/>
    <w:rsid w:val="006210BF"/>
    <w:rsid w:val="006211F2"/>
    <w:rsid w:val="0062128C"/>
    <w:rsid w:val="00621298"/>
    <w:rsid w:val="0062132E"/>
    <w:rsid w:val="00621354"/>
    <w:rsid w:val="00621389"/>
    <w:rsid w:val="006213CA"/>
    <w:rsid w:val="006213DE"/>
    <w:rsid w:val="006213E8"/>
    <w:rsid w:val="006213EA"/>
    <w:rsid w:val="00621417"/>
    <w:rsid w:val="0062141D"/>
    <w:rsid w:val="00621441"/>
    <w:rsid w:val="0062146F"/>
    <w:rsid w:val="006214CE"/>
    <w:rsid w:val="006214F7"/>
    <w:rsid w:val="00621519"/>
    <w:rsid w:val="00621528"/>
    <w:rsid w:val="00621535"/>
    <w:rsid w:val="0062153A"/>
    <w:rsid w:val="00621555"/>
    <w:rsid w:val="00621556"/>
    <w:rsid w:val="00621568"/>
    <w:rsid w:val="0062157B"/>
    <w:rsid w:val="006215B8"/>
    <w:rsid w:val="006215C0"/>
    <w:rsid w:val="006215E6"/>
    <w:rsid w:val="00621636"/>
    <w:rsid w:val="00621647"/>
    <w:rsid w:val="0062164F"/>
    <w:rsid w:val="006216C6"/>
    <w:rsid w:val="006216F1"/>
    <w:rsid w:val="00621736"/>
    <w:rsid w:val="00621738"/>
    <w:rsid w:val="006217A5"/>
    <w:rsid w:val="006217FA"/>
    <w:rsid w:val="0062185E"/>
    <w:rsid w:val="00621877"/>
    <w:rsid w:val="00621894"/>
    <w:rsid w:val="0062189C"/>
    <w:rsid w:val="006218A1"/>
    <w:rsid w:val="006218B2"/>
    <w:rsid w:val="006218B4"/>
    <w:rsid w:val="006218FA"/>
    <w:rsid w:val="0062194B"/>
    <w:rsid w:val="00621975"/>
    <w:rsid w:val="006219E9"/>
    <w:rsid w:val="00621A84"/>
    <w:rsid w:val="00621A96"/>
    <w:rsid w:val="00621A99"/>
    <w:rsid w:val="00621AAB"/>
    <w:rsid w:val="00621BA7"/>
    <w:rsid w:val="00621BAC"/>
    <w:rsid w:val="00621BAF"/>
    <w:rsid w:val="00621BB2"/>
    <w:rsid w:val="00621BFC"/>
    <w:rsid w:val="00621C73"/>
    <w:rsid w:val="00621CC1"/>
    <w:rsid w:val="00621CCA"/>
    <w:rsid w:val="00621D50"/>
    <w:rsid w:val="00621D8E"/>
    <w:rsid w:val="00621E20"/>
    <w:rsid w:val="00621E26"/>
    <w:rsid w:val="00621E38"/>
    <w:rsid w:val="00621E42"/>
    <w:rsid w:val="00621EA9"/>
    <w:rsid w:val="00621EB7"/>
    <w:rsid w:val="00621EEB"/>
    <w:rsid w:val="00621F04"/>
    <w:rsid w:val="00621F12"/>
    <w:rsid w:val="00621F6E"/>
    <w:rsid w:val="00621FAE"/>
    <w:rsid w:val="00621FC5"/>
    <w:rsid w:val="00621FCB"/>
    <w:rsid w:val="00621FEF"/>
    <w:rsid w:val="00621FF2"/>
    <w:rsid w:val="00622046"/>
    <w:rsid w:val="00622047"/>
    <w:rsid w:val="00622070"/>
    <w:rsid w:val="0062207A"/>
    <w:rsid w:val="00622141"/>
    <w:rsid w:val="00622153"/>
    <w:rsid w:val="0062216D"/>
    <w:rsid w:val="00622175"/>
    <w:rsid w:val="0062217F"/>
    <w:rsid w:val="0062219A"/>
    <w:rsid w:val="006221BA"/>
    <w:rsid w:val="006221CF"/>
    <w:rsid w:val="006221DC"/>
    <w:rsid w:val="00622206"/>
    <w:rsid w:val="006222A3"/>
    <w:rsid w:val="006222FD"/>
    <w:rsid w:val="0062233D"/>
    <w:rsid w:val="006223C8"/>
    <w:rsid w:val="006223E0"/>
    <w:rsid w:val="00622427"/>
    <w:rsid w:val="00622433"/>
    <w:rsid w:val="006224CC"/>
    <w:rsid w:val="006224DD"/>
    <w:rsid w:val="0062258F"/>
    <w:rsid w:val="006225D1"/>
    <w:rsid w:val="006225FC"/>
    <w:rsid w:val="0062260F"/>
    <w:rsid w:val="00622616"/>
    <w:rsid w:val="00622645"/>
    <w:rsid w:val="00622678"/>
    <w:rsid w:val="00622706"/>
    <w:rsid w:val="00622707"/>
    <w:rsid w:val="0062271D"/>
    <w:rsid w:val="006227D9"/>
    <w:rsid w:val="00622851"/>
    <w:rsid w:val="00622868"/>
    <w:rsid w:val="00622886"/>
    <w:rsid w:val="006228E1"/>
    <w:rsid w:val="00622928"/>
    <w:rsid w:val="00622943"/>
    <w:rsid w:val="006229FB"/>
    <w:rsid w:val="00622A2C"/>
    <w:rsid w:val="00622AD2"/>
    <w:rsid w:val="00622B1E"/>
    <w:rsid w:val="00622BDC"/>
    <w:rsid w:val="00622BF1"/>
    <w:rsid w:val="00622C0B"/>
    <w:rsid w:val="00622CAD"/>
    <w:rsid w:val="00622CC5"/>
    <w:rsid w:val="00622D8B"/>
    <w:rsid w:val="00622E01"/>
    <w:rsid w:val="00622E1F"/>
    <w:rsid w:val="00622E26"/>
    <w:rsid w:val="00622E64"/>
    <w:rsid w:val="00622EC4"/>
    <w:rsid w:val="00622EC5"/>
    <w:rsid w:val="00622F55"/>
    <w:rsid w:val="00622F6B"/>
    <w:rsid w:val="00622FAA"/>
    <w:rsid w:val="00622FCC"/>
    <w:rsid w:val="00622FDF"/>
    <w:rsid w:val="00622FEA"/>
    <w:rsid w:val="00623000"/>
    <w:rsid w:val="00623042"/>
    <w:rsid w:val="00623050"/>
    <w:rsid w:val="00623059"/>
    <w:rsid w:val="006230B0"/>
    <w:rsid w:val="006230C2"/>
    <w:rsid w:val="006230D1"/>
    <w:rsid w:val="00623154"/>
    <w:rsid w:val="006231B6"/>
    <w:rsid w:val="006231C4"/>
    <w:rsid w:val="006231C8"/>
    <w:rsid w:val="00623247"/>
    <w:rsid w:val="00623254"/>
    <w:rsid w:val="00623275"/>
    <w:rsid w:val="0062327B"/>
    <w:rsid w:val="006232AB"/>
    <w:rsid w:val="00623325"/>
    <w:rsid w:val="0062332A"/>
    <w:rsid w:val="00623353"/>
    <w:rsid w:val="00623371"/>
    <w:rsid w:val="006233B2"/>
    <w:rsid w:val="006233F5"/>
    <w:rsid w:val="0062342F"/>
    <w:rsid w:val="00623484"/>
    <w:rsid w:val="006234C6"/>
    <w:rsid w:val="006234DE"/>
    <w:rsid w:val="0062352E"/>
    <w:rsid w:val="0062354A"/>
    <w:rsid w:val="00623565"/>
    <w:rsid w:val="0062362F"/>
    <w:rsid w:val="006236A5"/>
    <w:rsid w:val="006236A6"/>
    <w:rsid w:val="006236D2"/>
    <w:rsid w:val="006236D8"/>
    <w:rsid w:val="00623713"/>
    <w:rsid w:val="00623716"/>
    <w:rsid w:val="0062373F"/>
    <w:rsid w:val="00623741"/>
    <w:rsid w:val="00623764"/>
    <w:rsid w:val="00623775"/>
    <w:rsid w:val="00623778"/>
    <w:rsid w:val="006237BF"/>
    <w:rsid w:val="006237C6"/>
    <w:rsid w:val="00623872"/>
    <w:rsid w:val="006238D0"/>
    <w:rsid w:val="0062394E"/>
    <w:rsid w:val="00623987"/>
    <w:rsid w:val="00623998"/>
    <w:rsid w:val="00623999"/>
    <w:rsid w:val="006239F2"/>
    <w:rsid w:val="00623A22"/>
    <w:rsid w:val="00623A48"/>
    <w:rsid w:val="00623A82"/>
    <w:rsid w:val="00623AA8"/>
    <w:rsid w:val="00623ACA"/>
    <w:rsid w:val="00623AF8"/>
    <w:rsid w:val="00623B00"/>
    <w:rsid w:val="00623B57"/>
    <w:rsid w:val="00623B69"/>
    <w:rsid w:val="00623C1C"/>
    <w:rsid w:val="00623C53"/>
    <w:rsid w:val="00623C59"/>
    <w:rsid w:val="00623C5C"/>
    <w:rsid w:val="00623C5D"/>
    <w:rsid w:val="00623C8C"/>
    <w:rsid w:val="00623CC8"/>
    <w:rsid w:val="00623CCB"/>
    <w:rsid w:val="00623D33"/>
    <w:rsid w:val="00623D4F"/>
    <w:rsid w:val="00623D96"/>
    <w:rsid w:val="00623DA1"/>
    <w:rsid w:val="00623E63"/>
    <w:rsid w:val="00623E72"/>
    <w:rsid w:val="00623EC9"/>
    <w:rsid w:val="00623F18"/>
    <w:rsid w:val="00623F1F"/>
    <w:rsid w:val="00623F22"/>
    <w:rsid w:val="00623F72"/>
    <w:rsid w:val="00623F73"/>
    <w:rsid w:val="00623F88"/>
    <w:rsid w:val="00623FEB"/>
    <w:rsid w:val="00623FF1"/>
    <w:rsid w:val="00624003"/>
    <w:rsid w:val="00624066"/>
    <w:rsid w:val="00624099"/>
    <w:rsid w:val="006240BE"/>
    <w:rsid w:val="006240D3"/>
    <w:rsid w:val="0062414D"/>
    <w:rsid w:val="00624162"/>
    <w:rsid w:val="00624183"/>
    <w:rsid w:val="006241B1"/>
    <w:rsid w:val="006241B8"/>
    <w:rsid w:val="006241E4"/>
    <w:rsid w:val="006241F0"/>
    <w:rsid w:val="006241FB"/>
    <w:rsid w:val="00624217"/>
    <w:rsid w:val="0062426E"/>
    <w:rsid w:val="0062428B"/>
    <w:rsid w:val="006242AD"/>
    <w:rsid w:val="006242EB"/>
    <w:rsid w:val="006242F2"/>
    <w:rsid w:val="00624305"/>
    <w:rsid w:val="00624315"/>
    <w:rsid w:val="00624338"/>
    <w:rsid w:val="0062434C"/>
    <w:rsid w:val="006243B4"/>
    <w:rsid w:val="006243EE"/>
    <w:rsid w:val="00624404"/>
    <w:rsid w:val="0062440D"/>
    <w:rsid w:val="0062444B"/>
    <w:rsid w:val="00624469"/>
    <w:rsid w:val="0062448A"/>
    <w:rsid w:val="006244A2"/>
    <w:rsid w:val="006244A8"/>
    <w:rsid w:val="00624513"/>
    <w:rsid w:val="006245ED"/>
    <w:rsid w:val="00624603"/>
    <w:rsid w:val="00624636"/>
    <w:rsid w:val="00624685"/>
    <w:rsid w:val="006246A8"/>
    <w:rsid w:val="006246C1"/>
    <w:rsid w:val="006246E6"/>
    <w:rsid w:val="00624724"/>
    <w:rsid w:val="00624829"/>
    <w:rsid w:val="00624838"/>
    <w:rsid w:val="0062489A"/>
    <w:rsid w:val="00624902"/>
    <w:rsid w:val="00624940"/>
    <w:rsid w:val="006249AA"/>
    <w:rsid w:val="006249CF"/>
    <w:rsid w:val="006249DC"/>
    <w:rsid w:val="006249DE"/>
    <w:rsid w:val="00624A73"/>
    <w:rsid w:val="00624A9F"/>
    <w:rsid w:val="00624AB7"/>
    <w:rsid w:val="00624AE4"/>
    <w:rsid w:val="00624AE6"/>
    <w:rsid w:val="00624B05"/>
    <w:rsid w:val="00624B08"/>
    <w:rsid w:val="00624B12"/>
    <w:rsid w:val="00624B4A"/>
    <w:rsid w:val="00624BAE"/>
    <w:rsid w:val="00624BB9"/>
    <w:rsid w:val="00624BCF"/>
    <w:rsid w:val="00624BFC"/>
    <w:rsid w:val="00624CA1"/>
    <w:rsid w:val="00624D47"/>
    <w:rsid w:val="00624D84"/>
    <w:rsid w:val="00624D89"/>
    <w:rsid w:val="00624DCF"/>
    <w:rsid w:val="00624E04"/>
    <w:rsid w:val="00624E12"/>
    <w:rsid w:val="00624E21"/>
    <w:rsid w:val="00624E96"/>
    <w:rsid w:val="00624F1F"/>
    <w:rsid w:val="00624F4A"/>
    <w:rsid w:val="00624F7B"/>
    <w:rsid w:val="00624FE8"/>
    <w:rsid w:val="0062501A"/>
    <w:rsid w:val="00625048"/>
    <w:rsid w:val="0062504C"/>
    <w:rsid w:val="0062504E"/>
    <w:rsid w:val="0062506A"/>
    <w:rsid w:val="0062506B"/>
    <w:rsid w:val="00625096"/>
    <w:rsid w:val="006250B9"/>
    <w:rsid w:val="006250EE"/>
    <w:rsid w:val="00625130"/>
    <w:rsid w:val="00625144"/>
    <w:rsid w:val="00625177"/>
    <w:rsid w:val="006251C2"/>
    <w:rsid w:val="0062520A"/>
    <w:rsid w:val="00625216"/>
    <w:rsid w:val="0062529E"/>
    <w:rsid w:val="006252C9"/>
    <w:rsid w:val="006252F9"/>
    <w:rsid w:val="00625305"/>
    <w:rsid w:val="0062532A"/>
    <w:rsid w:val="00625381"/>
    <w:rsid w:val="006253E3"/>
    <w:rsid w:val="0062544D"/>
    <w:rsid w:val="00625494"/>
    <w:rsid w:val="00625495"/>
    <w:rsid w:val="006254BC"/>
    <w:rsid w:val="006254CB"/>
    <w:rsid w:val="00625552"/>
    <w:rsid w:val="00625587"/>
    <w:rsid w:val="00625588"/>
    <w:rsid w:val="006255FA"/>
    <w:rsid w:val="0062560F"/>
    <w:rsid w:val="0062564D"/>
    <w:rsid w:val="0062565B"/>
    <w:rsid w:val="006256D2"/>
    <w:rsid w:val="006256D5"/>
    <w:rsid w:val="006256E3"/>
    <w:rsid w:val="0062575B"/>
    <w:rsid w:val="006257B8"/>
    <w:rsid w:val="006257BB"/>
    <w:rsid w:val="006257C0"/>
    <w:rsid w:val="006257FA"/>
    <w:rsid w:val="00625819"/>
    <w:rsid w:val="0062588F"/>
    <w:rsid w:val="006258E5"/>
    <w:rsid w:val="00625A23"/>
    <w:rsid w:val="00625A4F"/>
    <w:rsid w:val="00625A54"/>
    <w:rsid w:val="00625AB3"/>
    <w:rsid w:val="00625ABE"/>
    <w:rsid w:val="00625AE0"/>
    <w:rsid w:val="00625B00"/>
    <w:rsid w:val="00625B16"/>
    <w:rsid w:val="00625B2D"/>
    <w:rsid w:val="00625B51"/>
    <w:rsid w:val="00625B8E"/>
    <w:rsid w:val="00625B95"/>
    <w:rsid w:val="00625B9E"/>
    <w:rsid w:val="00625BA4"/>
    <w:rsid w:val="00625BE6"/>
    <w:rsid w:val="00625C13"/>
    <w:rsid w:val="00625C15"/>
    <w:rsid w:val="00625C54"/>
    <w:rsid w:val="00625C58"/>
    <w:rsid w:val="00625C82"/>
    <w:rsid w:val="00625D2F"/>
    <w:rsid w:val="00625D33"/>
    <w:rsid w:val="00625D78"/>
    <w:rsid w:val="00625DB1"/>
    <w:rsid w:val="00625DC6"/>
    <w:rsid w:val="00625E22"/>
    <w:rsid w:val="00625E68"/>
    <w:rsid w:val="00625EA3"/>
    <w:rsid w:val="00625EB9"/>
    <w:rsid w:val="00625EC2"/>
    <w:rsid w:val="00625EC7"/>
    <w:rsid w:val="00625EE9"/>
    <w:rsid w:val="00625F1E"/>
    <w:rsid w:val="00625F71"/>
    <w:rsid w:val="00625F96"/>
    <w:rsid w:val="00625FFB"/>
    <w:rsid w:val="00625FFE"/>
    <w:rsid w:val="00626023"/>
    <w:rsid w:val="006260B5"/>
    <w:rsid w:val="006260B9"/>
    <w:rsid w:val="006260F5"/>
    <w:rsid w:val="00626106"/>
    <w:rsid w:val="0062614C"/>
    <w:rsid w:val="0062618C"/>
    <w:rsid w:val="006261E9"/>
    <w:rsid w:val="006261F3"/>
    <w:rsid w:val="00626206"/>
    <w:rsid w:val="00626227"/>
    <w:rsid w:val="0062625D"/>
    <w:rsid w:val="00626263"/>
    <w:rsid w:val="00626270"/>
    <w:rsid w:val="00626277"/>
    <w:rsid w:val="00626280"/>
    <w:rsid w:val="00626291"/>
    <w:rsid w:val="006262F7"/>
    <w:rsid w:val="00626300"/>
    <w:rsid w:val="00626345"/>
    <w:rsid w:val="0062634B"/>
    <w:rsid w:val="00626390"/>
    <w:rsid w:val="00626393"/>
    <w:rsid w:val="006263AA"/>
    <w:rsid w:val="006263B5"/>
    <w:rsid w:val="006263DD"/>
    <w:rsid w:val="0062643B"/>
    <w:rsid w:val="00626451"/>
    <w:rsid w:val="00626479"/>
    <w:rsid w:val="0062653C"/>
    <w:rsid w:val="00626592"/>
    <w:rsid w:val="00626609"/>
    <w:rsid w:val="00626611"/>
    <w:rsid w:val="0062663E"/>
    <w:rsid w:val="0062666D"/>
    <w:rsid w:val="006266A7"/>
    <w:rsid w:val="00626704"/>
    <w:rsid w:val="00626769"/>
    <w:rsid w:val="00626770"/>
    <w:rsid w:val="00626792"/>
    <w:rsid w:val="006268A0"/>
    <w:rsid w:val="006268B9"/>
    <w:rsid w:val="006268CD"/>
    <w:rsid w:val="0062690B"/>
    <w:rsid w:val="0062694E"/>
    <w:rsid w:val="00626955"/>
    <w:rsid w:val="00626985"/>
    <w:rsid w:val="006269F8"/>
    <w:rsid w:val="00626A04"/>
    <w:rsid w:val="00626A0B"/>
    <w:rsid w:val="00626A91"/>
    <w:rsid w:val="00626A93"/>
    <w:rsid w:val="00626B1C"/>
    <w:rsid w:val="00626B37"/>
    <w:rsid w:val="00626B43"/>
    <w:rsid w:val="00626B57"/>
    <w:rsid w:val="00626B71"/>
    <w:rsid w:val="00626B82"/>
    <w:rsid w:val="00626BAC"/>
    <w:rsid w:val="00626BC6"/>
    <w:rsid w:val="00626BD1"/>
    <w:rsid w:val="00626C76"/>
    <w:rsid w:val="00626CA1"/>
    <w:rsid w:val="00626D03"/>
    <w:rsid w:val="00626D32"/>
    <w:rsid w:val="00626D7D"/>
    <w:rsid w:val="00626D81"/>
    <w:rsid w:val="00626D82"/>
    <w:rsid w:val="00626E09"/>
    <w:rsid w:val="00626E62"/>
    <w:rsid w:val="00626E67"/>
    <w:rsid w:val="00626E96"/>
    <w:rsid w:val="00626ED3"/>
    <w:rsid w:val="00626F7E"/>
    <w:rsid w:val="00626F8A"/>
    <w:rsid w:val="0062708F"/>
    <w:rsid w:val="006270AC"/>
    <w:rsid w:val="006270D7"/>
    <w:rsid w:val="006270ED"/>
    <w:rsid w:val="00627143"/>
    <w:rsid w:val="0062714E"/>
    <w:rsid w:val="0062719A"/>
    <w:rsid w:val="006271AA"/>
    <w:rsid w:val="006271E4"/>
    <w:rsid w:val="006271F9"/>
    <w:rsid w:val="00627251"/>
    <w:rsid w:val="00627270"/>
    <w:rsid w:val="00627283"/>
    <w:rsid w:val="006272BA"/>
    <w:rsid w:val="00627316"/>
    <w:rsid w:val="00627331"/>
    <w:rsid w:val="00627370"/>
    <w:rsid w:val="006273E6"/>
    <w:rsid w:val="0062742B"/>
    <w:rsid w:val="006274B5"/>
    <w:rsid w:val="0062755A"/>
    <w:rsid w:val="0062757C"/>
    <w:rsid w:val="00627581"/>
    <w:rsid w:val="006275BB"/>
    <w:rsid w:val="006275C0"/>
    <w:rsid w:val="006276D8"/>
    <w:rsid w:val="006276E2"/>
    <w:rsid w:val="00627720"/>
    <w:rsid w:val="00627781"/>
    <w:rsid w:val="0062780D"/>
    <w:rsid w:val="00627812"/>
    <w:rsid w:val="0062786F"/>
    <w:rsid w:val="006278D7"/>
    <w:rsid w:val="006278E4"/>
    <w:rsid w:val="006278F2"/>
    <w:rsid w:val="006278FF"/>
    <w:rsid w:val="0062790F"/>
    <w:rsid w:val="0062792C"/>
    <w:rsid w:val="0062793B"/>
    <w:rsid w:val="00627942"/>
    <w:rsid w:val="00627998"/>
    <w:rsid w:val="006279EF"/>
    <w:rsid w:val="00627A24"/>
    <w:rsid w:val="00627A65"/>
    <w:rsid w:val="00627A77"/>
    <w:rsid w:val="00627A7D"/>
    <w:rsid w:val="00627ABF"/>
    <w:rsid w:val="00627AD9"/>
    <w:rsid w:val="00627AE6"/>
    <w:rsid w:val="00627B03"/>
    <w:rsid w:val="00627B0D"/>
    <w:rsid w:val="00627B26"/>
    <w:rsid w:val="00627B37"/>
    <w:rsid w:val="00627B3C"/>
    <w:rsid w:val="00627B96"/>
    <w:rsid w:val="00627BB0"/>
    <w:rsid w:val="00627BBF"/>
    <w:rsid w:val="00627BC3"/>
    <w:rsid w:val="00627CD0"/>
    <w:rsid w:val="00627CE1"/>
    <w:rsid w:val="00627D5A"/>
    <w:rsid w:val="00627D5D"/>
    <w:rsid w:val="00627D84"/>
    <w:rsid w:val="00627DA8"/>
    <w:rsid w:val="00627DBC"/>
    <w:rsid w:val="00627DF0"/>
    <w:rsid w:val="00627EA1"/>
    <w:rsid w:val="00627EF1"/>
    <w:rsid w:val="00627EF9"/>
    <w:rsid w:val="00627F09"/>
    <w:rsid w:val="00627F10"/>
    <w:rsid w:val="00627F3C"/>
    <w:rsid w:val="00627F6C"/>
    <w:rsid w:val="00627FE3"/>
    <w:rsid w:val="00627FEB"/>
    <w:rsid w:val="00630067"/>
    <w:rsid w:val="0063011C"/>
    <w:rsid w:val="00630172"/>
    <w:rsid w:val="0063023D"/>
    <w:rsid w:val="00630254"/>
    <w:rsid w:val="00630257"/>
    <w:rsid w:val="0063026F"/>
    <w:rsid w:val="006302D7"/>
    <w:rsid w:val="006302F8"/>
    <w:rsid w:val="00630337"/>
    <w:rsid w:val="00630377"/>
    <w:rsid w:val="006303A9"/>
    <w:rsid w:val="006303D6"/>
    <w:rsid w:val="006303E0"/>
    <w:rsid w:val="00630418"/>
    <w:rsid w:val="0063044C"/>
    <w:rsid w:val="0063053C"/>
    <w:rsid w:val="006305C0"/>
    <w:rsid w:val="006305C7"/>
    <w:rsid w:val="006305FB"/>
    <w:rsid w:val="0063061B"/>
    <w:rsid w:val="00630642"/>
    <w:rsid w:val="00630658"/>
    <w:rsid w:val="00630663"/>
    <w:rsid w:val="006306A3"/>
    <w:rsid w:val="006306BF"/>
    <w:rsid w:val="0063073B"/>
    <w:rsid w:val="006307AB"/>
    <w:rsid w:val="006307D9"/>
    <w:rsid w:val="00630811"/>
    <w:rsid w:val="00630857"/>
    <w:rsid w:val="006308D4"/>
    <w:rsid w:val="006308D5"/>
    <w:rsid w:val="006309D5"/>
    <w:rsid w:val="006309DA"/>
    <w:rsid w:val="006309EA"/>
    <w:rsid w:val="006309FA"/>
    <w:rsid w:val="00630A34"/>
    <w:rsid w:val="00630A39"/>
    <w:rsid w:val="00630A3D"/>
    <w:rsid w:val="00630A58"/>
    <w:rsid w:val="00630A89"/>
    <w:rsid w:val="00630ACD"/>
    <w:rsid w:val="00630AD6"/>
    <w:rsid w:val="00630B2C"/>
    <w:rsid w:val="00630BB9"/>
    <w:rsid w:val="00630BD9"/>
    <w:rsid w:val="00630BF0"/>
    <w:rsid w:val="00630BF8"/>
    <w:rsid w:val="00630C00"/>
    <w:rsid w:val="00630C6D"/>
    <w:rsid w:val="00630C9F"/>
    <w:rsid w:val="00630CA7"/>
    <w:rsid w:val="00630CE9"/>
    <w:rsid w:val="00630D09"/>
    <w:rsid w:val="00630D19"/>
    <w:rsid w:val="00630DAF"/>
    <w:rsid w:val="00630DEE"/>
    <w:rsid w:val="00630DFC"/>
    <w:rsid w:val="00630E7F"/>
    <w:rsid w:val="00630EBD"/>
    <w:rsid w:val="00630EDC"/>
    <w:rsid w:val="00630EE8"/>
    <w:rsid w:val="00630F54"/>
    <w:rsid w:val="00630FAF"/>
    <w:rsid w:val="006310B6"/>
    <w:rsid w:val="00631167"/>
    <w:rsid w:val="006311C0"/>
    <w:rsid w:val="006311C9"/>
    <w:rsid w:val="006311D6"/>
    <w:rsid w:val="006311F0"/>
    <w:rsid w:val="006311F5"/>
    <w:rsid w:val="006311F8"/>
    <w:rsid w:val="00631233"/>
    <w:rsid w:val="00631254"/>
    <w:rsid w:val="00631269"/>
    <w:rsid w:val="00631321"/>
    <w:rsid w:val="0063132F"/>
    <w:rsid w:val="00631433"/>
    <w:rsid w:val="00631462"/>
    <w:rsid w:val="0063146E"/>
    <w:rsid w:val="006314AA"/>
    <w:rsid w:val="006314D7"/>
    <w:rsid w:val="00631522"/>
    <w:rsid w:val="00631573"/>
    <w:rsid w:val="00631589"/>
    <w:rsid w:val="00631597"/>
    <w:rsid w:val="0063159A"/>
    <w:rsid w:val="006315A3"/>
    <w:rsid w:val="0063161E"/>
    <w:rsid w:val="00631681"/>
    <w:rsid w:val="006316C3"/>
    <w:rsid w:val="006316D3"/>
    <w:rsid w:val="006316D4"/>
    <w:rsid w:val="00631721"/>
    <w:rsid w:val="00631725"/>
    <w:rsid w:val="00631787"/>
    <w:rsid w:val="0063178C"/>
    <w:rsid w:val="006318EE"/>
    <w:rsid w:val="0063193E"/>
    <w:rsid w:val="00631A60"/>
    <w:rsid w:val="00631A71"/>
    <w:rsid w:val="00631AEB"/>
    <w:rsid w:val="00631B88"/>
    <w:rsid w:val="00631C41"/>
    <w:rsid w:val="00631C8E"/>
    <w:rsid w:val="00631CB9"/>
    <w:rsid w:val="00631CE6"/>
    <w:rsid w:val="00631CF5"/>
    <w:rsid w:val="00631D8F"/>
    <w:rsid w:val="00631DA0"/>
    <w:rsid w:val="00631DA9"/>
    <w:rsid w:val="00631DEA"/>
    <w:rsid w:val="00631DF9"/>
    <w:rsid w:val="00631E1B"/>
    <w:rsid w:val="00631E27"/>
    <w:rsid w:val="00631E3B"/>
    <w:rsid w:val="00631E62"/>
    <w:rsid w:val="00631E8B"/>
    <w:rsid w:val="00631FA1"/>
    <w:rsid w:val="0063201A"/>
    <w:rsid w:val="00632027"/>
    <w:rsid w:val="00632072"/>
    <w:rsid w:val="00632136"/>
    <w:rsid w:val="00632143"/>
    <w:rsid w:val="0063215A"/>
    <w:rsid w:val="00632188"/>
    <w:rsid w:val="0063220B"/>
    <w:rsid w:val="0063224F"/>
    <w:rsid w:val="00632293"/>
    <w:rsid w:val="0063235A"/>
    <w:rsid w:val="0063238E"/>
    <w:rsid w:val="006323A3"/>
    <w:rsid w:val="006323AF"/>
    <w:rsid w:val="006323BB"/>
    <w:rsid w:val="006323C0"/>
    <w:rsid w:val="006323CE"/>
    <w:rsid w:val="00632426"/>
    <w:rsid w:val="0063247A"/>
    <w:rsid w:val="006324AC"/>
    <w:rsid w:val="0063250D"/>
    <w:rsid w:val="00632526"/>
    <w:rsid w:val="00632547"/>
    <w:rsid w:val="006325C5"/>
    <w:rsid w:val="00632648"/>
    <w:rsid w:val="006326D9"/>
    <w:rsid w:val="006326E8"/>
    <w:rsid w:val="006327B0"/>
    <w:rsid w:val="006327BF"/>
    <w:rsid w:val="006327C9"/>
    <w:rsid w:val="006327EA"/>
    <w:rsid w:val="00632845"/>
    <w:rsid w:val="00632895"/>
    <w:rsid w:val="006328D6"/>
    <w:rsid w:val="006328DF"/>
    <w:rsid w:val="00632956"/>
    <w:rsid w:val="0063295C"/>
    <w:rsid w:val="00632A12"/>
    <w:rsid w:val="00632A84"/>
    <w:rsid w:val="00632AF2"/>
    <w:rsid w:val="00632AF4"/>
    <w:rsid w:val="00632B07"/>
    <w:rsid w:val="00632BB9"/>
    <w:rsid w:val="00632BC7"/>
    <w:rsid w:val="00632C04"/>
    <w:rsid w:val="00632CED"/>
    <w:rsid w:val="00632D3A"/>
    <w:rsid w:val="00632D7E"/>
    <w:rsid w:val="00632DDD"/>
    <w:rsid w:val="00632DE5"/>
    <w:rsid w:val="00632E1C"/>
    <w:rsid w:val="00632E90"/>
    <w:rsid w:val="00632EA8"/>
    <w:rsid w:val="00632EC5"/>
    <w:rsid w:val="00632ECC"/>
    <w:rsid w:val="00632EFC"/>
    <w:rsid w:val="00632EFD"/>
    <w:rsid w:val="00632F48"/>
    <w:rsid w:val="00632F6A"/>
    <w:rsid w:val="00632F75"/>
    <w:rsid w:val="00632F7B"/>
    <w:rsid w:val="00632FA7"/>
    <w:rsid w:val="00632FD8"/>
    <w:rsid w:val="0063300E"/>
    <w:rsid w:val="00633014"/>
    <w:rsid w:val="00633064"/>
    <w:rsid w:val="00633191"/>
    <w:rsid w:val="006332AA"/>
    <w:rsid w:val="00633384"/>
    <w:rsid w:val="006333D3"/>
    <w:rsid w:val="00633455"/>
    <w:rsid w:val="00633468"/>
    <w:rsid w:val="006334E0"/>
    <w:rsid w:val="006334FE"/>
    <w:rsid w:val="0063350C"/>
    <w:rsid w:val="0063351C"/>
    <w:rsid w:val="00633537"/>
    <w:rsid w:val="00633586"/>
    <w:rsid w:val="00633591"/>
    <w:rsid w:val="006335CC"/>
    <w:rsid w:val="00633645"/>
    <w:rsid w:val="00633698"/>
    <w:rsid w:val="006336BB"/>
    <w:rsid w:val="00633721"/>
    <w:rsid w:val="00633762"/>
    <w:rsid w:val="006337CD"/>
    <w:rsid w:val="0063388B"/>
    <w:rsid w:val="006338FC"/>
    <w:rsid w:val="00633921"/>
    <w:rsid w:val="00633990"/>
    <w:rsid w:val="006339C3"/>
    <w:rsid w:val="006339E2"/>
    <w:rsid w:val="006339F9"/>
    <w:rsid w:val="006339FC"/>
    <w:rsid w:val="00633A2D"/>
    <w:rsid w:val="00633A6F"/>
    <w:rsid w:val="00633A80"/>
    <w:rsid w:val="00633A9C"/>
    <w:rsid w:val="00633B06"/>
    <w:rsid w:val="00633B29"/>
    <w:rsid w:val="00633B2A"/>
    <w:rsid w:val="00633B41"/>
    <w:rsid w:val="00633B50"/>
    <w:rsid w:val="00633B62"/>
    <w:rsid w:val="00633BC2"/>
    <w:rsid w:val="00633C03"/>
    <w:rsid w:val="00633C09"/>
    <w:rsid w:val="00633C52"/>
    <w:rsid w:val="00633C91"/>
    <w:rsid w:val="00633CCB"/>
    <w:rsid w:val="00633D29"/>
    <w:rsid w:val="00633D6E"/>
    <w:rsid w:val="00633DB1"/>
    <w:rsid w:val="00633DC7"/>
    <w:rsid w:val="00633E48"/>
    <w:rsid w:val="00633E66"/>
    <w:rsid w:val="00633E90"/>
    <w:rsid w:val="00633EC4"/>
    <w:rsid w:val="00633EF3"/>
    <w:rsid w:val="00633F19"/>
    <w:rsid w:val="00633F29"/>
    <w:rsid w:val="00633F59"/>
    <w:rsid w:val="00633F83"/>
    <w:rsid w:val="00633FCE"/>
    <w:rsid w:val="0063401D"/>
    <w:rsid w:val="00634086"/>
    <w:rsid w:val="00634098"/>
    <w:rsid w:val="006340AB"/>
    <w:rsid w:val="006340AD"/>
    <w:rsid w:val="006340EB"/>
    <w:rsid w:val="006341B7"/>
    <w:rsid w:val="006341BD"/>
    <w:rsid w:val="006341BE"/>
    <w:rsid w:val="00634214"/>
    <w:rsid w:val="0063423F"/>
    <w:rsid w:val="0063426D"/>
    <w:rsid w:val="00634282"/>
    <w:rsid w:val="00634292"/>
    <w:rsid w:val="0063429B"/>
    <w:rsid w:val="0063430B"/>
    <w:rsid w:val="00634313"/>
    <w:rsid w:val="00634381"/>
    <w:rsid w:val="006343A4"/>
    <w:rsid w:val="006343FD"/>
    <w:rsid w:val="006344BE"/>
    <w:rsid w:val="006344E5"/>
    <w:rsid w:val="006344F8"/>
    <w:rsid w:val="0063453D"/>
    <w:rsid w:val="0063455F"/>
    <w:rsid w:val="0063458E"/>
    <w:rsid w:val="006345C6"/>
    <w:rsid w:val="006345D0"/>
    <w:rsid w:val="00634627"/>
    <w:rsid w:val="006346C1"/>
    <w:rsid w:val="0063470F"/>
    <w:rsid w:val="0063471E"/>
    <w:rsid w:val="00634729"/>
    <w:rsid w:val="0063477C"/>
    <w:rsid w:val="006347B8"/>
    <w:rsid w:val="006347CE"/>
    <w:rsid w:val="006347D6"/>
    <w:rsid w:val="006347FC"/>
    <w:rsid w:val="0063481B"/>
    <w:rsid w:val="0063482E"/>
    <w:rsid w:val="0063483C"/>
    <w:rsid w:val="00634848"/>
    <w:rsid w:val="0063492C"/>
    <w:rsid w:val="0063493C"/>
    <w:rsid w:val="00634994"/>
    <w:rsid w:val="006349D0"/>
    <w:rsid w:val="00634A21"/>
    <w:rsid w:val="00634A35"/>
    <w:rsid w:val="00634A7E"/>
    <w:rsid w:val="00634AA5"/>
    <w:rsid w:val="00634AC3"/>
    <w:rsid w:val="00634AC4"/>
    <w:rsid w:val="00634AE5"/>
    <w:rsid w:val="00634AFA"/>
    <w:rsid w:val="00634B43"/>
    <w:rsid w:val="00634B51"/>
    <w:rsid w:val="00634B7B"/>
    <w:rsid w:val="00634B7D"/>
    <w:rsid w:val="00634BDC"/>
    <w:rsid w:val="00634C16"/>
    <w:rsid w:val="00634C32"/>
    <w:rsid w:val="00634C33"/>
    <w:rsid w:val="00634CAA"/>
    <w:rsid w:val="00634CF4"/>
    <w:rsid w:val="00634D82"/>
    <w:rsid w:val="00634D88"/>
    <w:rsid w:val="00634DA3"/>
    <w:rsid w:val="00634DD0"/>
    <w:rsid w:val="00634DF8"/>
    <w:rsid w:val="00634E17"/>
    <w:rsid w:val="00634E18"/>
    <w:rsid w:val="00634E2B"/>
    <w:rsid w:val="00634E48"/>
    <w:rsid w:val="00634EB8"/>
    <w:rsid w:val="00634EBE"/>
    <w:rsid w:val="00634EFF"/>
    <w:rsid w:val="00634F39"/>
    <w:rsid w:val="00634F88"/>
    <w:rsid w:val="00635032"/>
    <w:rsid w:val="0063503A"/>
    <w:rsid w:val="00635064"/>
    <w:rsid w:val="0063508A"/>
    <w:rsid w:val="00635092"/>
    <w:rsid w:val="006350DD"/>
    <w:rsid w:val="006350E0"/>
    <w:rsid w:val="0063512C"/>
    <w:rsid w:val="00635151"/>
    <w:rsid w:val="00635222"/>
    <w:rsid w:val="00635241"/>
    <w:rsid w:val="006352E8"/>
    <w:rsid w:val="006352F7"/>
    <w:rsid w:val="006352FF"/>
    <w:rsid w:val="0063533D"/>
    <w:rsid w:val="0063533E"/>
    <w:rsid w:val="0063536F"/>
    <w:rsid w:val="00635395"/>
    <w:rsid w:val="006353B6"/>
    <w:rsid w:val="006353E3"/>
    <w:rsid w:val="0063545E"/>
    <w:rsid w:val="006354D0"/>
    <w:rsid w:val="006354DA"/>
    <w:rsid w:val="006354F0"/>
    <w:rsid w:val="0063553B"/>
    <w:rsid w:val="0063554C"/>
    <w:rsid w:val="006355D1"/>
    <w:rsid w:val="00635621"/>
    <w:rsid w:val="00635631"/>
    <w:rsid w:val="006356F3"/>
    <w:rsid w:val="0063574A"/>
    <w:rsid w:val="0063579E"/>
    <w:rsid w:val="006357A8"/>
    <w:rsid w:val="006357D5"/>
    <w:rsid w:val="00635897"/>
    <w:rsid w:val="00635939"/>
    <w:rsid w:val="00635942"/>
    <w:rsid w:val="00635993"/>
    <w:rsid w:val="006359C4"/>
    <w:rsid w:val="006359CB"/>
    <w:rsid w:val="00635A5D"/>
    <w:rsid w:val="00635AEF"/>
    <w:rsid w:val="00635AFC"/>
    <w:rsid w:val="00635B23"/>
    <w:rsid w:val="00635B4E"/>
    <w:rsid w:val="00635B4F"/>
    <w:rsid w:val="00635C52"/>
    <w:rsid w:val="00635C5E"/>
    <w:rsid w:val="00635C83"/>
    <w:rsid w:val="00635CAF"/>
    <w:rsid w:val="00635CEC"/>
    <w:rsid w:val="00635DBE"/>
    <w:rsid w:val="00635DCA"/>
    <w:rsid w:val="00635E39"/>
    <w:rsid w:val="00635E76"/>
    <w:rsid w:val="00635E77"/>
    <w:rsid w:val="00635E95"/>
    <w:rsid w:val="00635F53"/>
    <w:rsid w:val="00635F78"/>
    <w:rsid w:val="00635FD2"/>
    <w:rsid w:val="00636033"/>
    <w:rsid w:val="00636080"/>
    <w:rsid w:val="00636096"/>
    <w:rsid w:val="006360C2"/>
    <w:rsid w:val="006360CA"/>
    <w:rsid w:val="006360E4"/>
    <w:rsid w:val="00636110"/>
    <w:rsid w:val="00636139"/>
    <w:rsid w:val="0063615D"/>
    <w:rsid w:val="006361AD"/>
    <w:rsid w:val="006361BC"/>
    <w:rsid w:val="006361D9"/>
    <w:rsid w:val="006361E5"/>
    <w:rsid w:val="00636223"/>
    <w:rsid w:val="006362FF"/>
    <w:rsid w:val="0063631B"/>
    <w:rsid w:val="00636373"/>
    <w:rsid w:val="00636389"/>
    <w:rsid w:val="0063638C"/>
    <w:rsid w:val="006363AC"/>
    <w:rsid w:val="006363BA"/>
    <w:rsid w:val="006363F8"/>
    <w:rsid w:val="00636412"/>
    <w:rsid w:val="00636417"/>
    <w:rsid w:val="0063641B"/>
    <w:rsid w:val="0063644E"/>
    <w:rsid w:val="006364B0"/>
    <w:rsid w:val="006364D0"/>
    <w:rsid w:val="006364E1"/>
    <w:rsid w:val="006364E2"/>
    <w:rsid w:val="00636523"/>
    <w:rsid w:val="0063652C"/>
    <w:rsid w:val="00636532"/>
    <w:rsid w:val="00636540"/>
    <w:rsid w:val="0063657B"/>
    <w:rsid w:val="006365CA"/>
    <w:rsid w:val="00636616"/>
    <w:rsid w:val="0063661F"/>
    <w:rsid w:val="00636646"/>
    <w:rsid w:val="006366D6"/>
    <w:rsid w:val="006366F0"/>
    <w:rsid w:val="0063672A"/>
    <w:rsid w:val="0063673D"/>
    <w:rsid w:val="00636780"/>
    <w:rsid w:val="006367AC"/>
    <w:rsid w:val="0063680B"/>
    <w:rsid w:val="00636814"/>
    <w:rsid w:val="0063687E"/>
    <w:rsid w:val="00636886"/>
    <w:rsid w:val="006368A8"/>
    <w:rsid w:val="006368C7"/>
    <w:rsid w:val="006368EE"/>
    <w:rsid w:val="00636933"/>
    <w:rsid w:val="00636953"/>
    <w:rsid w:val="00636954"/>
    <w:rsid w:val="00636992"/>
    <w:rsid w:val="0063699B"/>
    <w:rsid w:val="006369DA"/>
    <w:rsid w:val="006369F6"/>
    <w:rsid w:val="00636A1C"/>
    <w:rsid w:val="00636A4A"/>
    <w:rsid w:val="00636AC0"/>
    <w:rsid w:val="00636B8B"/>
    <w:rsid w:val="00636BAC"/>
    <w:rsid w:val="00636BF2"/>
    <w:rsid w:val="00636C0B"/>
    <w:rsid w:val="00636C70"/>
    <w:rsid w:val="00636C87"/>
    <w:rsid w:val="00636C88"/>
    <w:rsid w:val="00636C99"/>
    <w:rsid w:val="00636CBC"/>
    <w:rsid w:val="00636CF7"/>
    <w:rsid w:val="00636D0F"/>
    <w:rsid w:val="00636D1D"/>
    <w:rsid w:val="00636D31"/>
    <w:rsid w:val="00636D4A"/>
    <w:rsid w:val="00636DB3"/>
    <w:rsid w:val="00636DDA"/>
    <w:rsid w:val="00636DDD"/>
    <w:rsid w:val="00636DFA"/>
    <w:rsid w:val="00636E37"/>
    <w:rsid w:val="00636E39"/>
    <w:rsid w:val="00636E8A"/>
    <w:rsid w:val="00636ED0"/>
    <w:rsid w:val="00636F14"/>
    <w:rsid w:val="00636FD1"/>
    <w:rsid w:val="00636FD8"/>
    <w:rsid w:val="0063706B"/>
    <w:rsid w:val="00637086"/>
    <w:rsid w:val="0063708A"/>
    <w:rsid w:val="006370B0"/>
    <w:rsid w:val="006370B1"/>
    <w:rsid w:val="006370B2"/>
    <w:rsid w:val="00637141"/>
    <w:rsid w:val="00637150"/>
    <w:rsid w:val="0063725C"/>
    <w:rsid w:val="00637291"/>
    <w:rsid w:val="006372D3"/>
    <w:rsid w:val="0063735E"/>
    <w:rsid w:val="006373AD"/>
    <w:rsid w:val="006373BF"/>
    <w:rsid w:val="006373CE"/>
    <w:rsid w:val="006373E2"/>
    <w:rsid w:val="0063740B"/>
    <w:rsid w:val="0063742A"/>
    <w:rsid w:val="00637434"/>
    <w:rsid w:val="0063745B"/>
    <w:rsid w:val="0063746F"/>
    <w:rsid w:val="00637472"/>
    <w:rsid w:val="0063748C"/>
    <w:rsid w:val="00637491"/>
    <w:rsid w:val="006374BB"/>
    <w:rsid w:val="006374C2"/>
    <w:rsid w:val="006374D4"/>
    <w:rsid w:val="006374EE"/>
    <w:rsid w:val="006374F9"/>
    <w:rsid w:val="0063754D"/>
    <w:rsid w:val="00637593"/>
    <w:rsid w:val="006375AF"/>
    <w:rsid w:val="006375E9"/>
    <w:rsid w:val="00637611"/>
    <w:rsid w:val="006376E3"/>
    <w:rsid w:val="00637703"/>
    <w:rsid w:val="006377D2"/>
    <w:rsid w:val="006377EA"/>
    <w:rsid w:val="006377F7"/>
    <w:rsid w:val="0063780A"/>
    <w:rsid w:val="0063787B"/>
    <w:rsid w:val="006378B2"/>
    <w:rsid w:val="006378B5"/>
    <w:rsid w:val="006378E1"/>
    <w:rsid w:val="00637910"/>
    <w:rsid w:val="00637925"/>
    <w:rsid w:val="0063793F"/>
    <w:rsid w:val="0063794F"/>
    <w:rsid w:val="00637981"/>
    <w:rsid w:val="00637A0A"/>
    <w:rsid w:val="00637A58"/>
    <w:rsid w:val="00637A7C"/>
    <w:rsid w:val="00637A9B"/>
    <w:rsid w:val="00637AB5"/>
    <w:rsid w:val="00637AD6"/>
    <w:rsid w:val="00637B09"/>
    <w:rsid w:val="00637B28"/>
    <w:rsid w:val="00637B53"/>
    <w:rsid w:val="00637B56"/>
    <w:rsid w:val="00637B7F"/>
    <w:rsid w:val="00637B85"/>
    <w:rsid w:val="00637B92"/>
    <w:rsid w:val="00637BBF"/>
    <w:rsid w:val="00637BC7"/>
    <w:rsid w:val="00637C0D"/>
    <w:rsid w:val="00637C20"/>
    <w:rsid w:val="00637C71"/>
    <w:rsid w:val="00637CC1"/>
    <w:rsid w:val="00637CCE"/>
    <w:rsid w:val="00637D25"/>
    <w:rsid w:val="00637D45"/>
    <w:rsid w:val="00637D5C"/>
    <w:rsid w:val="00637DE4"/>
    <w:rsid w:val="00637DF9"/>
    <w:rsid w:val="00637E84"/>
    <w:rsid w:val="00637EBA"/>
    <w:rsid w:val="00637EE3"/>
    <w:rsid w:val="00637EFF"/>
    <w:rsid w:val="00637F46"/>
    <w:rsid w:val="00637F47"/>
    <w:rsid w:val="00637F5C"/>
    <w:rsid w:val="00637F64"/>
    <w:rsid w:val="00637F81"/>
    <w:rsid w:val="00637FA4"/>
    <w:rsid w:val="00640005"/>
    <w:rsid w:val="0064005A"/>
    <w:rsid w:val="00640074"/>
    <w:rsid w:val="0064007D"/>
    <w:rsid w:val="0064007E"/>
    <w:rsid w:val="006400B0"/>
    <w:rsid w:val="00640174"/>
    <w:rsid w:val="0064018A"/>
    <w:rsid w:val="006401DE"/>
    <w:rsid w:val="006401E3"/>
    <w:rsid w:val="00640220"/>
    <w:rsid w:val="00640252"/>
    <w:rsid w:val="00640278"/>
    <w:rsid w:val="006402B0"/>
    <w:rsid w:val="0064033B"/>
    <w:rsid w:val="00640371"/>
    <w:rsid w:val="0064042E"/>
    <w:rsid w:val="00640458"/>
    <w:rsid w:val="0064045E"/>
    <w:rsid w:val="0064045F"/>
    <w:rsid w:val="006404AE"/>
    <w:rsid w:val="0064051D"/>
    <w:rsid w:val="00640552"/>
    <w:rsid w:val="00640593"/>
    <w:rsid w:val="006405B9"/>
    <w:rsid w:val="006405D9"/>
    <w:rsid w:val="006405FF"/>
    <w:rsid w:val="00640612"/>
    <w:rsid w:val="00640638"/>
    <w:rsid w:val="0064068E"/>
    <w:rsid w:val="006406AA"/>
    <w:rsid w:val="006406B4"/>
    <w:rsid w:val="00640743"/>
    <w:rsid w:val="00640766"/>
    <w:rsid w:val="006407CF"/>
    <w:rsid w:val="00640835"/>
    <w:rsid w:val="0064083E"/>
    <w:rsid w:val="006408BF"/>
    <w:rsid w:val="00640918"/>
    <w:rsid w:val="0064092B"/>
    <w:rsid w:val="006409C9"/>
    <w:rsid w:val="006409EE"/>
    <w:rsid w:val="00640A33"/>
    <w:rsid w:val="00640A4A"/>
    <w:rsid w:val="00640A5D"/>
    <w:rsid w:val="00640B39"/>
    <w:rsid w:val="00640B43"/>
    <w:rsid w:val="00640B99"/>
    <w:rsid w:val="00640BA0"/>
    <w:rsid w:val="00640BA5"/>
    <w:rsid w:val="00640BBC"/>
    <w:rsid w:val="00640BEE"/>
    <w:rsid w:val="00640C39"/>
    <w:rsid w:val="00640CB9"/>
    <w:rsid w:val="00640CBA"/>
    <w:rsid w:val="00640D47"/>
    <w:rsid w:val="00640D58"/>
    <w:rsid w:val="00640DB8"/>
    <w:rsid w:val="00640DBB"/>
    <w:rsid w:val="00640E49"/>
    <w:rsid w:val="00640EE6"/>
    <w:rsid w:val="00640F3D"/>
    <w:rsid w:val="00640F64"/>
    <w:rsid w:val="00640FF1"/>
    <w:rsid w:val="00640FFE"/>
    <w:rsid w:val="00641019"/>
    <w:rsid w:val="00641050"/>
    <w:rsid w:val="00641067"/>
    <w:rsid w:val="0064106F"/>
    <w:rsid w:val="006410AB"/>
    <w:rsid w:val="006410BF"/>
    <w:rsid w:val="006410C8"/>
    <w:rsid w:val="006410F2"/>
    <w:rsid w:val="006410F7"/>
    <w:rsid w:val="00641118"/>
    <w:rsid w:val="00641147"/>
    <w:rsid w:val="00641148"/>
    <w:rsid w:val="0064115E"/>
    <w:rsid w:val="0064118E"/>
    <w:rsid w:val="006411CA"/>
    <w:rsid w:val="006411F1"/>
    <w:rsid w:val="00641251"/>
    <w:rsid w:val="00641256"/>
    <w:rsid w:val="00641277"/>
    <w:rsid w:val="00641284"/>
    <w:rsid w:val="00641299"/>
    <w:rsid w:val="006412AB"/>
    <w:rsid w:val="006412CC"/>
    <w:rsid w:val="006412ED"/>
    <w:rsid w:val="00641335"/>
    <w:rsid w:val="00641351"/>
    <w:rsid w:val="006413BE"/>
    <w:rsid w:val="006413C2"/>
    <w:rsid w:val="006413C7"/>
    <w:rsid w:val="006413EC"/>
    <w:rsid w:val="006413F8"/>
    <w:rsid w:val="00641417"/>
    <w:rsid w:val="0064142A"/>
    <w:rsid w:val="006414A5"/>
    <w:rsid w:val="006414BD"/>
    <w:rsid w:val="006414D5"/>
    <w:rsid w:val="00641578"/>
    <w:rsid w:val="006415D3"/>
    <w:rsid w:val="006415FE"/>
    <w:rsid w:val="0064160D"/>
    <w:rsid w:val="0064168D"/>
    <w:rsid w:val="006416ED"/>
    <w:rsid w:val="0064172B"/>
    <w:rsid w:val="0064176B"/>
    <w:rsid w:val="006417DC"/>
    <w:rsid w:val="00641809"/>
    <w:rsid w:val="00641814"/>
    <w:rsid w:val="00641864"/>
    <w:rsid w:val="00641884"/>
    <w:rsid w:val="006418D5"/>
    <w:rsid w:val="006418E7"/>
    <w:rsid w:val="006418F4"/>
    <w:rsid w:val="00641968"/>
    <w:rsid w:val="00641972"/>
    <w:rsid w:val="006419C1"/>
    <w:rsid w:val="00641A0F"/>
    <w:rsid w:val="00641A9F"/>
    <w:rsid w:val="00641B59"/>
    <w:rsid w:val="00641BDE"/>
    <w:rsid w:val="00641BED"/>
    <w:rsid w:val="00641C18"/>
    <w:rsid w:val="00641CC8"/>
    <w:rsid w:val="00641CFD"/>
    <w:rsid w:val="00641D25"/>
    <w:rsid w:val="00641D64"/>
    <w:rsid w:val="00641D66"/>
    <w:rsid w:val="00641DC1"/>
    <w:rsid w:val="00641DE4"/>
    <w:rsid w:val="00641EC3"/>
    <w:rsid w:val="00641EFF"/>
    <w:rsid w:val="00641F4C"/>
    <w:rsid w:val="00641F56"/>
    <w:rsid w:val="00641F6F"/>
    <w:rsid w:val="00641F80"/>
    <w:rsid w:val="00641FD3"/>
    <w:rsid w:val="00642026"/>
    <w:rsid w:val="00642050"/>
    <w:rsid w:val="00642053"/>
    <w:rsid w:val="00642085"/>
    <w:rsid w:val="0064208E"/>
    <w:rsid w:val="006420E9"/>
    <w:rsid w:val="00642103"/>
    <w:rsid w:val="0064216D"/>
    <w:rsid w:val="00642288"/>
    <w:rsid w:val="0064228D"/>
    <w:rsid w:val="00642317"/>
    <w:rsid w:val="0064231B"/>
    <w:rsid w:val="00642320"/>
    <w:rsid w:val="00642347"/>
    <w:rsid w:val="00642376"/>
    <w:rsid w:val="0064238A"/>
    <w:rsid w:val="006423CD"/>
    <w:rsid w:val="006423E8"/>
    <w:rsid w:val="0064240E"/>
    <w:rsid w:val="0064241B"/>
    <w:rsid w:val="00642466"/>
    <w:rsid w:val="0064247F"/>
    <w:rsid w:val="006424C8"/>
    <w:rsid w:val="006424FE"/>
    <w:rsid w:val="0064250F"/>
    <w:rsid w:val="00642557"/>
    <w:rsid w:val="00642573"/>
    <w:rsid w:val="00642583"/>
    <w:rsid w:val="00642736"/>
    <w:rsid w:val="0064274B"/>
    <w:rsid w:val="00642754"/>
    <w:rsid w:val="00642763"/>
    <w:rsid w:val="0064279B"/>
    <w:rsid w:val="006427A9"/>
    <w:rsid w:val="006427AC"/>
    <w:rsid w:val="006427D8"/>
    <w:rsid w:val="006427DA"/>
    <w:rsid w:val="006427E5"/>
    <w:rsid w:val="00642835"/>
    <w:rsid w:val="0064285C"/>
    <w:rsid w:val="006428A4"/>
    <w:rsid w:val="006428F2"/>
    <w:rsid w:val="006429F4"/>
    <w:rsid w:val="00642A27"/>
    <w:rsid w:val="00642A29"/>
    <w:rsid w:val="00642A39"/>
    <w:rsid w:val="00642A48"/>
    <w:rsid w:val="00642A60"/>
    <w:rsid w:val="00642A78"/>
    <w:rsid w:val="00642A99"/>
    <w:rsid w:val="00642B13"/>
    <w:rsid w:val="00642B4E"/>
    <w:rsid w:val="00642BF4"/>
    <w:rsid w:val="00642C11"/>
    <w:rsid w:val="00642C31"/>
    <w:rsid w:val="00642C55"/>
    <w:rsid w:val="00642CA8"/>
    <w:rsid w:val="00642CAA"/>
    <w:rsid w:val="00642CB7"/>
    <w:rsid w:val="00642CCD"/>
    <w:rsid w:val="00642CE2"/>
    <w:rsid w:val="00642CEF"/>
    <w:rsid w:val="00642D0C"/>
    <w:rsid w:val="00642D16"/>
    <w:rsid w:val="00642D3D"/>
    <w:rsid w:val="00642D57"/>
    <w:rsid w:val="00642DDC"/>
    <w:rsid w:val="00642E68"/>
    <w:rsid w:val="00642E81"/>
    <w:rsid w:val="00642F04"/>
    <w:rsid w:val="00642F11"/>
    <w:rsid w:val="00642F2E"/>
    <w:rsid w:val="00642F56"/>
    <w:rsid w:val="00642F5F"/>
    <w:rsid w:val="00642FD5"/>
    <w:rsid w:val="00643010"/>
    <w:rsid w:val="00643036"/>
    <w:rsid w:val="00643045"/>
    <w:rsid w:val="00643051"/>
    <w:rsid w:val="00643070"/>
    <w:rsid w:val="00643100"/>
    <w:rsid w:val="00643104"/>
    <w:rsid w:val="00643124"/>
    <w:rsid w:val="0064314D"/>
    <w:rsid w:val="00643192"/>
    <w:rsid w:val="006431A0"/>
    <w:rsid w:val="006431C4"/>
    <w:rsid w:val="006431DE"/>
    <w:rsid w:val="006431F7"/>
    <w:rsid w:val="00643203"/>
    <w:rsid w:val="00643209"/>
    <w:rsid w:val="00643213"/>
    <w:rsid w:val="00643228"/>
    <w:rsid w:val="00643238"/>
    <w:rsid w:val="0064325F"/>
    <w:rsid w:val="0064326C"/>
    <w:rsid w:val="00643295"/>
    <w:rsid w:val="0064331B"/>
    <w:rsid w:val="006433BB"/>
    <w:rsid w:val="006433C1"/>
    <w:rsid w:val="006434C4"/>
    <w:rsid w:val="0064351A"/>
    <w:rsid w:val="006435A8"/>
    <w:rsid w:val="006435EC"/>
    <w:rsid w:val="006435F7"/>
    <w:rsid w:val="0064365B"/>
    <w:rsid w:val="006436A0"/>
    <w:rsid w:val="006436BC"/>
    <w:rsid w:val="006436C9"/>
    <w:rsid w:val="006436D6"/>
    <w:rsid w:val="00643708"/>
    <w:rsid w:val="00643786"/>
    <w:rsid w:val="006438AB"/>
    <w:rsid w:val="006438E9"/>
    <w:rsid w:val="00643909"/>
    <w:rsid w:val="00643920"/>
    <w:rsid w:val="0064395F"/>
    <w:rsid w:val="00643961"/>
    <w:rsid w:val="00643A0D"/>
    <w:rsid w:val="00643A21"/>
    <w:rsid w:val="00643A30"/>
    <w:rsid w:val="00643A99"/>
    <w:rsid w:val="00643B17"/>
    <w:rsid w:val="00643B2B"/>
    <w:rsid w:val="00643B50"/>
    <w:rsid w:val="00643B55"/>
    <w:rsid w:val="00643B82"/>
    <w:rsid w:val="00643BB1"/>
    <w:rsid w:val="00643C1B"/>
    <w:rsid w:val="00643CD3"/>
    <w:rsid w:val="00643CF1"/>
    <w:rsid w:val="00643CFA"/>
    <w:rsid w:val="00643D01"/>
    <w:rsid w:val="00643D02"/>
    <w:rsid w:val="00643D4F"/>
    <w:rsid w:val="00643D57"/>
    <w:rsid w:val="00643D7B"/>
    <w:rsid w:val="00643DB0"/>
    <w:rsid w:val="00643DCD"/>
    <w:rsid w:val="00643E5A"/>
    <w:rsid w:val="00643F39"/>
    <w:rsid w:val="00643F91"/>
    <w:rsid w:val="00643F9A"/>
    <w:rsid w:val="00644018"/>
    <w:rsid w:val="0064401E"/>
    <w:rsid w:val="00644044"/>
    <w:rsid w:val="00644061"/>
    <w:rsid w:val="0064409E"/>
    <w:rsid w:val="006440F2"/>
    <w:rsid w:val="00644127"/>
    <w:rsid w:val="00644176"/>
    <w:rsid w:val="006441AF"/>
    <w:rsid w:val="006441C3"/>
    <w:rsid w:val="006441C4"/>
    <w:rsid w:val="0064421D"/>
    <w:rsid w:val="00644256"/>
    <w:rsid w:val="0064425B"/>
    <w:rsid w:val="00644283"/>
    <w:rsid w:val="006442B6"/>
    <w:rsid w:val="006442BA"/>
    <w:rsid w:val="006442DF"/>
    <w:rsid w:val="00644301"/>
    <w:rsid w:val="0064430C"/>
    <w:rsid w:val="0064438B"/>
    <w:rsid w:val="006443A6"/>
    <w:rsid w:val="006443D4"/>
    <w:rsid w:val="00644432"/>
    <w:rsid w:val="00644455"/>
    <w:rsid w:val="0064449B"/>
    <w:rsid w:val="006444BE"/>
    <w:rsid w:val="006444FF"/>
    <w:rsid w:val="00644505"/>
    <w:rsid w:val="0064455C"/>
    <w:rsid w:val="00644565"/>
    <w:rsid w:val="00644566"/>
    <w:rsid w:val="0064456B"/>
    <w:rsid w:val="006445A4"/>
    <w:rsid w:val="006445D1"/>
    <w:rsid w:val="006445EA"/>
    <w:rsid w:val="00644612"/>
    <w:rsid w:val="00644676"/>
    <w:rsid w:val="0064467C"/>
    <w:rsid w:val="00644697"/>
    <w:rsid w:val="006446B6"/>
    <w:rsid w:val="006446E7"/>
    <w:rsid w:val="006446F3"/>
    <w:rsid w:val="00644702"/>
    <w:rsid w:val="00644726"/>
    <w:rsid w:val="00644771"/>
    <w:rsid w:val="006447A9"/>
    <w:rsid w:val="00644856"/>
    <w:rsid w:val="00644858"/>
    <w:rsid w:val="0064489A"/>
    <w:rsid w:val="006448C3"/>
    <w:rsid w:val="006448EF"/>
    <w:rsid w:val="00644902"/>
    <w:rsid w:val="00644907"/>
    <w:rsid w:val="0064495C"/>
    <w:rsid w:val="00644962"/>
    <w:rsid w:val="0064497A"/>
    <w:rsid w:val="006449E3"/>
    <w:rsid w:val="006449E8"/>
    <w:rsid w:val="006449EC"/>
    <w:rsid w:val="00644A96"/>
    <w:rsid w:val="00644B02"/>
    <w:rsid w:val="00644B46"/>
    <w:rsid w:val="00644B56"/>
    <w:rsid w:val="00644B57"/>
    <w:rsid w:val="00644B66"/>
    <w:rsid w:val="00644B97"/>
    <w:rsid w:val="00644BA3"/>
    <w:rsid w:val="00644BC8"/>
    <w:rsid w:val="00644BD9"/>
    <w:rsid w:val="00644BDF"/>
    <w:rsid w:val="00644BFB"/>
    <w:rsid w:val="00644C15"/>
    <w:rsid w:val="00644C3D"/>
    <w:rsid w:val="00644C86"/>
    <w:rsid w:val="00644CB8"/>
    <w:rsid w:val="00644D33"/>
    <w:rsid w:val="00644D85"/>
    <w:rsid w:val="00644D8F"/>
    <w:rsid w:val="00644DB8"/>
    <w:rsid w:val="00644DC4"/>
    <w:rsid w:val="00644DD0"/>
    <w:rsid w:val="00644E22"/>
    <w:rsid w:val="00644E2C"/>
    <w:rsid w:val="00644E55"/>
    <w:rsid w:val="00644E86"/>
    <w:rsid w:val="00644E8A"/>
    <w:rsid w:val="00644EAD"/>
    <w:rsid w:val="00644F8A"/>
    <w:rsid w:val="00644F8D"/>
    <w:rsid w:val="00644FB1"/>
    <w:rsid w:val="00644FBE"/>
    <w:rsid w:val="00644FD1"/>
    <w:rsid w:val="00644FEA"/>
    <w:rsid w:val="0064500F"/>
    <w:rsid w:val="0064502D"/>
    <w:rsid w:val="006450E0"/>
    <w:rsid w:val="00645137"/>
    <w:rsid w:val="00645147"/>
    <w:rsid w:val="00645152"/>
    <w:rsid w:val="0064515E"/>
    <w:rsid w:val="00645194"/>
    <w:rsid w:val="006451FE"/>
    <w:rsid w:val="0064520A"/>
    <w:rsid w:val="00645230"/>
    <w:rsid w:val="00645252"/>
    <w:rsid w:val="00645255"/>
    <w:rsid w:val="00645261"/>
    <w:rsid w:val="00645272"/>
    <w:rsid w:val="00645325"/>
    <w:rsid w:val="00645336"/>
    <w:rsid w:val="0064533B"/>
    <w:rsid w:val="0064533E"/>
    <w:rsid w:val="0064534A"/>
    <w:rsid w:val="0064537C"/>
    <w:rsid w:val="006453D4"/>
    <w:rsid w:val="006453FE"/>
    <w:rsid w:val="0064540B"/>
    <w:rsid w:val="00645471"/>
    <w:rsid w:val="006454A1"/>
    <w:rsid w:val="006454E6"/>
    <w:rsid w:val="00645518"/>
    <w:rsid w:val="0064551D"/>
    <w:rsid w:val="00645522"/>
    <w:rsid w:val="00645579"/>
    <w:rsid w:val="006456B1"/>
    <w:rsid w:val="00645719"/>
    <w:rsid w:val="00645772"/>
    <w:rsid w:val="006457ED"/>
    <w:rsid w:val="00645835"/>
    <w:rsid w:val="00645876"/>
    <w:rsid w:val="006458E0"/>
    <w:rsid w:val="00645935"/>
    <w:rsid w:val="00645988"/>
    <w:rsid w:val="0064598C"/>
    <w:rsid w:val="006459BF"/>
    <w:rsid w:val="006459C3"/>
    <w:rsid w:val="006459DE"/>
    <w:rsid w:val="006459FB"/>
    <w:rsid w:val="00645A82"/>
    <w:rsid w:val="00645B0F"/>
    <w:rsid w:val="00645B16"/>
    <w:rsid w:val="00645BE3"/>
    <w:rsid w:val="00645CB6"/>
    <w:rsid w:val="00645DB7"/>
    <w:rsid w:val="00645E0A"/>
    <w:rsid w:val="00645E36"/>
    <w:rsid w:val="00645EB4"/>
    <w:rsid w:val="00645EB6"/>
    <w:rsid w:val="00645FC5"/>
    <w:rsid w:val="00645FDD"/>
    <w:rsid w:val="006460A7"/>
    <w:rsid w:val="006460C3"/>
    <w:rsid w:val="00646104"/>
    <w:rsid w:val="00646162"/>
    <w:rsid w:val="00646198"/>
    <w:rsid w:val="006461B4"/>
    <w:rsid w:val="006461D6"/>
    <w:rsid w:val="006461DA"/>
    <w:rsid w:val="00646283"/>
    <w:rsid w:val="006462C5"/>
    <w:rsid w:val="006462CA"/>
    <w:rsid w:val="006462D9"/>
    <w:rsid w:val="006462F3"/>
    <w:rsid w:val="00646335"/>
    <w:rsid w:val="00646387"/>
    <w:rsid w:val="006463A4"/>
    <w:rsid w:val="0064641B"/>
    <w:rsid w:val="00646429"/>
    <w:rsid w:val="00646431"/>
    <w:rsid w:val="0064647F"/>
    <w:rsid w:val="006464E1"/>
    <w:rsid w:val="006464ED"/>
    <w:rsid w:val="006464FD"/>
    <w:rsid w:val="0064652A"/>
    <w:rsid w:val="00646530"/>
    <w:rsid w:val="00646546"/>
    <w:rsid w:val="0064655C"/>
    <w:rsid w:val="006465A2"/>
    <w:rsid w:val="006465A5"/>
    <w:rsid w:val="006465C5"/>
    <w:rsid w:val="006465F2"/>
    <w:rsid w:val="00646606"/>
    <w:rsid w:val="0064660D"/>
    <w:rsid w:val="00646610"/>
    <w:rsid w:val="00646646"/>
    <w:rsid w:val="0064671D"/>
    <w:rsid w:val="0064675A"/>
    <w:rsid w:val="006467B7"/>
    <w:rsid w:val="006467D3"/>
    <w:rsid w:val="0064683D"/>
    <w:rsid w:val="0064684C"/>
    <w:rsid w:val="00646881"/>
    <w:rsid w:val="006468A1"/>
    <w:rsid w:val="00646948"/>
    <w:rsid w:val="0064694F"/>
    <w:rsid w:val="00646A72"/>
    <w:rsid w:val="00646B61"/>
    <w:rsid w:val="00646B6D"/>
    <w:rsid w:val="00646BD2"/>
    <w:rsid w:val="00646BD3"/>
    <w:rsid w:val="00646C6E"/>
    <w:rsid w:val="00646C98"/>
    <w:rsid w:val="00646CA8"/>
    <w:rsid w:val="00646CC1"/>
    <w:rsid w:val="00646D2D"/>
    <w:rsid w:val="00646DA7"/>
    <w:rsid w:val="00646DD0"/>
    <w:rsid w:val="00646E3F"/>
    <w:rsid w:val="00646E8C"/>
    <w:rsid w:val="00646EED"/>
    <w:rsid w:val="00646F02"/>
    <w:rsid w:val="00646F2E"/>
    <w:rsid w:val="00646F86"/>
    <w:rsid w:val="00646F91"/>
    <w:rsid w:val="00646FB0"/>
    <w:rsid w:val="00646FBB"/>
    <w:rsid w:val="0064703D"/>
    <w:rsid w:val="0064705B"/>
    <w:rsid w:val="0064705D"/>
    <w:rsid w:val="00647068"/>
    <w:rsid w:val="0064709D"/>
    <w:rsid w:val="00647169"/>
    <w:rsid w:val="006471B9"/>
    <w:rsid w:val="006471CF"/>
    <w:rsid w:val="006471D9"/>
    <w:rsid w:val="00647212"/>
    <w:rsid w:val="006472B9"/>
    <w:rsid w:val="006472F1"/>
    <w:rsid w:val="00647361"/>
    <w:rsid w:val="006473CE"/>
    <w:rsid w:val="006473F3"/>
    <w:rsid w:val="00647446"/>
    <w:rsid w:val="006474A7"/>
    <w:rsid w:val="006474BC"/>
    <w:rsid w:val="006474CD"/>
    <w:rsid w:val="006474F9"/>
    <w:rsid w:val="0064752F"/>
    <w:rsid w:val="00647552"/>
    <w:rsid w:val="00647669"/>
    <w:rsid w:val="006476C8"/>
    <w:rsid w:val="0064774B"/>
    <w:rsid w:val="006477C1"/>
    <w:rsid w:val="006477C8"/>
    <w:rsid w:val="00647817"/>
    <w:rsid w:val="0064784B"/>
    <w:rsid w:val="00647884"/>
    <w:rsid w:val="0064793B"/>
    <w:rsid w:val="0064798F"/>
    <w:rsid w:val="006479DA"/>
    <w:rsid w:val="00647A4A"/>
    <w:rsid w:val="00647A7C"/>
    <w:rsid w:val="00647AD9"/>
    <w:rsid w:val="00647B66"/>
    <w:rsid w:val="00647B79"/>
    <w:rsid w:val="00647BF6"/>
    <w:rsid w:val="00647C68"/>
    <w:rsid w:val="00647C88"/>
    <w:rsid w:val="00647CCD"/>
    <w:rsid w:val="00647CE1"/>
    <w:rsid w:val="00647D08"/>
    <w:rsid w:val="00647D0B"/>
    <w:rsid w:val="00647D43"/>
    <w:rsid w:val="00647D54"/>
    <w:rsid w:val="00647DD1"/>
    <w:rsid w:val="00647EC3"/>
    <w:rsid w:val="00647ED2"/>
    <w:rsid w:val="00647F1C"/>
    <w:rsid w:val="00647F47"/>
    <w:rsid w:val="00647FDA"/>
    <w:rsid w:val="006500CA"/>
    <w:rsid w:val="006500FF"/>
    <w:rsid w:val="00650138"/>
    <w:rsid w:val="0065019E"/>
    <w:rsid w:val="006501C4"/>
    <w:rsid w:val="006501F0"/>
    <w:rsid w:val="00650267"/>
    <w:rsid w:val="0065028D"/>
    <w:rsid w:val="006502B8"/>
    <w:rsid w:val="006502F0"/>
    <w:rsid w:val="00650303"/>
    <w:rsid w:val="00650321"/>
    <w:rsid w:val="00650334"/>
    <w:rsid w:val="0065033C"/>
    <w:rsid w:val="0065039A"/>
    <w:rsid w:val="006503C2"/>
    <w:rsid w:val="00650424"/>
    <w:rsid w:val="0065045E"/>
    <w:rsid w:val="00650488"/>
    <w:rsid w:val="006504A9"/>
    <w:rsid w:val="006504F4"/>
    <w:rsid w:val="006504F6"/>
    <w:rsid w:val="006504F7"/>
    <w:rsid w:val="0065057B"/>
    <w:rsid w:val="006505FB"/>
    <w:rsid w:val="00650611"/>
    <w:rsid w:val="0065062A"/>
    <w:rsid w:val="0065062C"/>
    <w:rsid w:val="00650695"/>
    <w:rsid w:val="006506EF"/>
    <w:rsid w:val="006506FF"/>
    <w:rsid w:val="00650749"/>
    <w:rsid w:val="00650754"/>
    <w:rsid w:val="00650772"/>
    <w:rsid w:val="0065077E"/>
    <w:rsid w:val="0065078B"/>
    <w:rsid w:val="00650794"/>
    <w:rsid w:val="006507BF"/>
    <w:rsid w:val="006507DD"/>
    <w:rsid w:val="0065089C"/>
    <w:rsid w:val="006508AE"/>
    <w:rsid w:val="00650963"/>
    <w:rsid w:val="00650987"/>
    <w:rsid w:val="0065098B"/>
    <w:rsid w:val="006509DF"/>
    <w:rsid w:val="006509F3"/>
    <w:rsid w:val="006509FB"/>
    <w:rsid w:val="00650A88"/>
    <w:rsid w:val="00650AF1"/>
    <w:rsid w:val="00650B50"/>
    <w:rsid w:val="00650B9C"/>
    <w:rsid w:val="00650BD0"/>
    <w:rsid w:val="00650CF3"/>
    <w:rsid w:val="00650D1E"/>
    <w:rsid w:val="00650D27"/>
    <w:rsid w:val="00650D4B"/>
    <w:rsid w:val="00650E0C"/>
    <w:rsid w:val="00650E26"/>
    <w:rsid w:val="00650E6D"/>
    <w:rsid w:val="00650EB2"/>
    <w:rsid w:val="00650EC9"/>
    <w:rsid w:val="00650EF2"/>
    <w:rsid w:val="00650F08"/>
    <w:rsid w:val="00650F48"/>
    <w:rsid w:val="00650F4D"/>
    <w:rsid w:val="00650F77"/>
    <w:rsid w:val="00650F7C"/>
    <w:rsid w:val="00650F80"/>
    <w:rsid w:val="00650FC0"/>
    <w:rsid w:val="00650FDD"/>
    <w:rsid w:val="00650FFD"/>
    <w:rsid w:val="0065102E"/>
    <w:rsid w:val="00651039"/>
    <w:rsid w:val="0065105C"/>
    <w:rsid w:val="006510A5"/>
    <w:rsid w:val="006510B1"/>
    <w:rsid w:val="006510B5"/>
    <w:rsid w:val="006510DF"/>
    <w:rsid w:val="006510F7"/>
    <w:rsid w:val="00651126"/>
    <w:rsid w:val="00651154"/>
    <w:rsid w:val="0065116B"/>
    <w:rsid w:val="0065118C"/>
    <w:rsid w:val="006511B2"/>
    <w:rsid w:val="006511C4"/>
    <w:rsid w:val="00651280"/>
    <w:rsid w:val="00651291"/>
    <w:rsid w:val="0065129E"/>
    <w:rsid w:val="0065131C"/>
    <w:rsid w:val="00651357"/>
    <w:rsid w:val="006513C3"/>
    <w:rsid w:val="00651439"/>
    <w:rsid w:val="0065145D"/>
    <w:rsid w:val="006514F5"/>
    <w:rsid w:val="00651518"/>
    <w:rsid w:val="00651578"/>
    <w:rsid w:val="0065157C"/>
    <w:rsid w:val="006515B2"/>
    <w:rsid w:val="006515F8"/>
    <w:rsid w:val="00651607"/>
    <w:rsid w:val="0065161A"/>
    <w:rsid w:val="006516BA"/>
    <w:rsid w:val="006516E0"/>
    <w:rsid w:val="00651724"/>
    <w:rsid w:val="0065174B"/>
    <w:rsid w:val="00651753"/>
    <w:rsid w:val="00651754"/>
    <w:rsid w:val="00651769"/>
    <w:rsid w:val="0065187C"/>
    <w:rsid w:val="006518D2"/>
    <w:rsid w:val="006518DD"/>
    <w:rsid w:val="006518DF"/>
    <w:rsid w:val="00651916"/>
    <w:rsid w:val="00651937"/>
    <w:rsid w:val="006519CB"/>
    <w:rsid w:val="006519D1"/>
    <w:rsid w:val="006519DF"/>
    <w:rsid w:val="00651A62"/>
    <w:rsid w:val="00651A67"/>
    <w:rsid w:val="00651A7E"/>
    <w:rsid w:val="00651AAB"/>
    <w:rsid w:val="00651AE4"/>
    <w:rsid w:val="00651AF2"/>
    <w:rsid w:val="00651B4D"/>
    <w:rsid w:val="00651B7E"/>
    <w:rsid w:val="00651BC1"/>
    <w:rsid w:val="00651BD1"/>
    <w:rsid w:val="00651BD6"/>
    <w:rsid w:val="00651C14"/>
    <w:rsid w:val="00651C28"/>
    <w:rsid w:val="00651C3B"/>
    <w:rsid w:val="00651C50"/>
    <w:rsid w:val="00651C6D"/>
    <w:rsid w:val="00651D23"/>
    <w:rsid w:val="00651D68"/>
    <w:rsid w:val="00651D6F"/>
    <w:rsid w:val="00651DFB"/>
    <w:rsid w:val="00651E28"/>
    <w:rsid w:val="00651E3E"/>
    <w:rsid w:val="00651EA6"/>
    <w:rsid w:val="00651EE3"/>
    <w:rsid w:val="00651F0B"/>
    <w:rsid w:val="00651F2E"/>
    <w:rsid w:val="00651F2F"/>
    <w:rsid w:val="00651F5A"/>
    <w:rsid w:val="00651F64"/>
    <w:rsid w:val="00651FF2"/>
    <w:rsid w:val="0065200A"/>
    <w:rsid w:val="00652021"/>
    <w:rsid w:val="006520AD"/>
    <w:rsid w:val="006520FB"/>
    <w:rsid w:val="006521B4"/>
    <w:rsid w:val="00652217"/>
    <w:rsid w:val="00652219"/>
    <w:rsid w:val="00652458"/>
    <w:rsid w:val="00652483"/>
    <w:rsid w:val="00652519"/>
    <w:rsid w:val="00652544"/>
    <w:rsid w:val="00652553"/>
    <w:rsid w:val="00652598"/>
    <w:rsid w:val="006525C0"/>
    <w:rsid w:val="0065267E"/>
    <w:rsid w:val="00652692"/>
    <w:rsid w:val="006526E3"/>
    <w:rsid w:val="006526F3"/>
    <w:rsid w:val="0065270E"/>
    <w:rsid w:val="0065272E"/>
    <w:rsid w:val="006527B9"/>
    <w:rsid w:val="006527D6"/>
    <w:rsid w:val="006527E8"/>
    <w:rsid w:val="006527F4"/>
    <w:rsid w:val="006528D8"/>
    <w:rsid w:val="006528EA"/>
    <w:rsid w:val="00652938"/>
    <w:rsid w:val="00652941"/>
    <w:rsid w:val="00652958"/>
    <w:rsid w:val="0065297D"/>
    <w:rsid w:val="0065299A"/>
    <w:rsid w:val="0065299C"/>
    <w:rsid w:val="00652A40"/>
    <w:rsid w:val="00652A41"/>
    <w:rsid w:val="00652A78"/>
    <w:rsid w:val="00652A8E"/>
    <w:rsid w:val="00652AC9"/>
    <w:rsid w:val="00652AD0"/>
    <w:rsid w:val="00652AF2"/>
    <w:rsid w:val="00652AF9"/>
    <w:rsid w:val="00652B24"/>
    <w:rsid w:val="00652BA9"/>
    <w:rsid w:val="00652BCC"/>
    <w:rsid w:val="00652C1F"/>
    <w:rsid w:val="00652C5A"/>
    <w:rsid w:val="00652C67"/>
    <w:rsid w:val="00652CF1"/>
    <w:rsid w:val="00652D56"/>
    <w:rsid w:val="00652DA2"/>
    <w:rsid w:val="00652DFF"/>
    <w:rsid w:val="00652E86"/>
    <w:rsid w:val="00652ED3"/>
    <w:rsid w:val="00652EE7"/>
    <w:rsid w:val="00652F18"/>
    <w:rsid w:val="00652F31"/>
    <w:rsid w:val="0065300C"/>
    <w:rsid w:val="00653043"/>
    <w:rsid w:val="00653049"/>
    <w:rsid w:val="00653086"/>
    <w:rsid w:val="006530B1"/>
    <w:rsid w:val="006530EA"/>
    <w:rsid w:val="00653130"/>
    <w:rsid w:val="006531A9"/>
    <w:rsid w:val="006531EF"/>
    <w:rsid w:val="006531FE"/>
    <w:rsid w:val="00653248"/>
    <w:rsid w:val="00653267"/>
    <w:rsid w:val="006532C9"/>
    <w:rsid w:val="006532F1"/>
    <w:rsid w:val="006532F2"/>
    <w:rsid w:val="0065334A"/>
    <w:rsid w:val="0065336A"/>
    <w:rsid w:val="00653393"/>
    <w:rsid w:val="006533B5"/>
    <w:rsid w:val="006533EE"/>
    <w:rsid w:val="00653405"/>
    <w:rsid w:val="00653452"/>
    <w:rsid w:val="00653473"/>
    <w:rsid w:val="00653520"/>
    <w:rsid w:val="006535AA"/>
    <w:rsid w:val="006535C0"/>
    <w:rsid w:val="006535D5"/>
    <w:rsid w:val="00653666"/>
    <w:rsid w:val="0065366C"/>
    <w:rsid w:val="006536B7"/>
    <w:rsid w:val="006536CD"/>
    <w:rsid w:val="00653763"/>
    <w:rsid w:val="00653767"/>
    <w:rsid w:val="00653783"/>
    <w:rsid w:val="006537EF"/>
    <w:rsid w:val="00653855"/>
    <w:rsid w:val="006538E2"/>
    <w:rsid w:val="006538FA"/>
    <w:rsid w:val="0065391F"/>
    <w:rsid w:val="00653971"/>
    <w:rsid w:val="0065397C"/>
    <w:rsid w:val="006539E7"/>
    <w:rsid w:val="00653A06"/>
    <w:rsid w:val="00653A19"/>
    <w:rsid w:val="00653AA0"/>
    <w:rsid w:val="00653AD6"/>
    <w:rsid w:val="00653BDF"/>
    <w:rsid w:val="00653BFD"/>
    <w:rsid w:val="00653C12"/>
    <w:rsid w:val="00653C6C"/>
    <w:rsid w:val="00653C74"/>
    <w:rsid w:val="00653C7E"/>
    <w:rsid w:val="00653CCE"/>
    <w:rsid w:val="00653D55"/>
    <w:rsid w:val="00653D62"/>
    <w:rsid w:val="00653DC9"/>
    <w:rsid w:val="00653DD2"/>
    <w:rsid w:val="00653E12"/>
    <w:rsid w:val="00653E58"/>
    <w:rsid w:val="00653EB4"/>
    <w:rsid w:val="00653ED1"/>
    <w:rsid w:val="00654025"/>
    <w:rsid w:val="00654028"/>
    <w:rsid w:val="006540F6"/>
    <w:rsid w:val="00654115"/>
    <w:rsid w:val="00654118"/>
    <w:rsid w:val="0065415A"/>
    <w:rsid w:val="0065415C"/>
    <w:rsid w:val="00654184"/>
    <w:rsid w:val="00654226"/>
    <w:rsid w:val="006542AE"/>
    <w:rsid w:val="00654316"/>
    <w:rsid w:val="00654325"/>
    <w:rsid w:val="0065433E"/>
    <w:rsid w:val="006543D2"/>
    <w:rsid w:val="0065445D"/>
    <w:rsid w:val="00654498"/>
    <w:rsid w:val="006544F9"/>
    <w:rsid w:val="00654591"/>
    <w:rsid w:val="00654596"/>
    <w:rsid w:val="0065464B"/>
    <w:rsid w:val="0065466B"/>
    <w:rsid w:val="0065466E"/>
    <w:rsid w:val="00654684"/>
    <w:rsid w:val="00654750"/>
    <w:rsid w:val="00654794"/>
    <w:rsid w:val="006547C7"/>
    <w:rsid w:val="006547CC"/>
    <w:rsid w:val="0065481A"/>
    <w:rsid w:val="006548BC"/>
    <w:rsid w:val="0065491D"/>
    <w:rsid w:val="0065492B"/>
    <w:rsid w:val="00654941"/>
    <w:rsid w:val="00654962"/>
    <w:rsid w:val="006549C6"/>
    <w:rsid w:val="006549D2"/>
    <w:rsid w:val="006549F6"/>
    <w:rsid w:val="00654A0B"/>
    <w:rsid w:val="00654A17"/>
    <w:rsid w:val="00654A1C"/>
    <w:rsid w:val="00654AA5"/>
    <w:rsid w:val="00654AC4"/>
    <w:rsid w:val="00654B1E"/>
    <w:rsid w:val="00654B36"/>
    <w:rsid w:val="00654B46"/>
    <w:rsid w:val="00654B55"/>
    <w:rsid w:val="00654BB0"/>
    <w:rsid w:val="00654BCB"/>
    <w:rsid w:val="00654BCF"/>
    <w:rsid w:val="00654C57"/>
    <w:rsid w:val="00654C5C"/>
    <w:rsid w:val="00654C6A"/>
    <w:rsid w:val="00654C8F"/>
    <w:rsid w:val="00654CE5"/>
    <w:rsid w:val="00654D87"/>
    <w:rsid w:val="00654D89"/>
    <w:rsid w:val="00654D93"/>
    <w:rsid w:val="00654DA0"/>
    <w:rsid w:val="00654DAC"/>
    <w:rsid w:val="00654DC7"/>
    <w:rsid w:val="00654DDB"/>
    <w:rsid w:val="00654DE2"/>
    <w:rsid w:val="00654E5A"/>
    <w:rsid w:val="00654E85"/>
    <w:rsid w:val="00654EAA"/>
    <w:rsid w:val="00654EC6"/>
    <w:rsid w:val="00654EDF"/>
    <w:rsid w:val="00654EEF"/>
    <w:rsid w:val="00654F90"/>
    <w:rsid w:val="00654FC0"/>
    <w:rsid w:val="00654FD3"/>
    <w:rsid w:val="0065502F"/>
    <w:rsid w:val="00655084"/>
    <w:rsid w:val="006550B4"/>
    <w:rsid w:val="006550B7"/>
    <w:rsid w:val="006550D7"/>
    <w:rsid w:val="006550FD"/>
    <w:rsid w:val="00655101"/>
    <w:rsid w:val="00655165"/>
    <w:rsid w:val="0065517D"/>
    <w:rsid w:val="006551E2"/>
    <w:rsid w:val="0065523F"/>
    <w:rsid w:val="0065528E"/>
    <w:rsid w:val="00655302"/>
    <w:rsid w:val="00655328"/>
    <w:rsid w:val="0065534A"/>
    <w:rsid w:val="00655352"/>
    <w:rsid w:val="006553B6"/>
    <w:rsid w:val="0065542F"/>
    <w:rsid w:val="00655441"/>
    <w:rsid w:val="0065545F"/>
    <w:rsid w:val="00655479"/>
    <w:rsid w:val="0065548F"/>
    <w:rsid w:val="006554A7"/>
    <w:rsid w:val="0065553B"/>
    <w:rsid w:val="0065555F"/>
    <w:rsid w:val="00655587"/>
    <w:rsid w:val="006555BF"/>
    <w:rsid w:val="006555D0"/>
    <w:rsid w:val="00655649"/>
    <w:rsid w:val="0065569F"/>
    <w:rsid w:val="006556D8"/>
    <w:rsid w:val="006556E8"/>
    <w:rsid w:val="006556FD"/>
    <w:rsid w:val="00655751"/>
    <w:rsid w:val="00655760"/>
    <w:rsid w:val="006557B0"/>
    <w:rsid w:val="006557CC"/>
    <w:rsid w:val="006557F1"/>
    <w:rsid w:val="0065580E"/>
    <w:rsid w:val="0065581F"/>
    <w:rsid w:val="00655840"/>
    <w:rsid w:val="0065584F"/>
    <w:rsid w:val="00655851"/>
    <w:rsid w:val="006558A9"/>
    <w:rsid w:val="006558C8"/>
    <w:rsid w:val="006558E4"/>
    <w:rsid w:val="006558F8"/>
    <w:rsid w:val="00655917"/>
    <w:rsid w:val="00655947"/>
    <w:rsid w:val="00655948"/>
    <w:rsid w:val="006559C7"/>
    <w:rsid w:val="006559DB"/>
    <w:rsid w:val="006559E6"/>
    <w:rsid w:val="00655A2A"/>
    <w:rsid w:val="00655A7A"/>
    <w:rsid w:val="00655AB4"/>
    <w:rsid w:val="00655AC2"/>
    <w:rsid w:val="00655AE0"/>
    <w:rsid w:val="00655AF1"/>
    <w:rsid w:val="00655B21"/>
    <w:rsid w:val="00655B22"/>
    <w:rsid w:val="00655B3F"/>
    <w:rsid w:val="00655B7D"/>
    <w:rsid w:val="00655BE6"/>
    <w:rsid w:val="00655BF5"/>
    <w:rsid w:val="00655BFA"/>
    <w:rsid w:val="00655C45"/>
    <w:rsid w:val="00655C62"/>
    <w:rsid w:val="00655C6D"/>
    <w:rsid w:val="00655CD1"/>
    <w:rsid w:val="00655D58"/>
    <w:rsid w:val="00655D76"/>
    <w:rsid w:val="00655DE4"/>
    <w:rsid w:val="00655E08"/>
    <w:rsid w:val="00655E40"/>
    <w:rsid w:val="00655E42"/>
    <w:rsid w:val="00655E60"/>
    <w:rsid w:val="00655ECA"/>
    <w:rsid w:val="00655EF3"/>
    <w:rsid w:val="00655F25"/>
    <w:rsid w:val="00655F4B"/>
    <w:rsid w:val="00655FB3"/>
    <w:rsid w:val="00655FC5"/>
    <w:rsid w:val="00655FD8"/>
    <w:rsid w:val="00655FEF"/>
    <w:rsid w:val="0065600A"/>
    <w:rsid w:val="0065609A"/>
    <w:rsid w:val="0065610E"/>
    <w:rsid w:val="00656152"/>
    <w:rsid w:val="0065619C"/>
    <w:rsid w:val="0065623A"/>
    <w:rsid w:val="00656256"/>
    <w:rsid w:val="0065628B"/>
    <w:rsid w:val="00656294"/>
    <w:rsid w:val="006562DF"/>
    <w:rsid w:val="00656305"/>
    <w:rsid w:val="00656306"/>
    <w:rsid w:val="00656307"/>
    <w:rsid w:val="00656337"/>
    <w:rsid w:val="00656348"/>
    <w:rsid w:val="00656391"/>
    <w:rsid w:val="006563A8"/>
    <w:rsid w:val="00656463"/>
    <w:rsid w:val="00656518"/>
    <w:rsid w:val="00656542"/>
    <w:rsid w:val="0065655F"/>
    <w:rsid w:val="0065664D"/>
    <w:rsid w:val="00656660"/>
    <w:rsid w:val="00656683"/>
    <w:rsid w:val="0065669C"/>
    <w:rsid w:val="006566E3"/>
    <w:rsid w:val="006567AA"/>
    <w:rsid w:val="0065680B"/>
    <w:rsid w:val="00656835"/>
    <w:rsid w:val="006568BF"/>
    <w:rsid w:val="00656950"/>
    <w:rsid w:val="00656953"/>
    <w:rsid w:val="006569B5"/>
    <w:rsid w:val="00656A1C"/>
    <w:rsid w:val="00656A1F"/>
    <w:rsid w:val="00656AFD"/>
    <w:rsid w:val="00656B13"/>
    <w:rsid w:val="00656BA7"/>
    <w:rsid w:val="00656BF8"/>
    <w:rsid w:val="00656C19"/>
    <w:rsid w:val="00656C4E"/>
    <w:rsid w:val="00656C7B"/>
    <w:rsid w:val="00656C9C"/>
    <w:rsid w:val="00656CC6"/>
    <w:rsid w:val="00656CD1"/>
    <w:rsid w:val="00656CE0"/>
    <w:rsid w:val="00656CE2"/>
    <w:rsid w:val="00656D0E"/>
    <w:rsid w:val="00656D3B"/>
    <w:rsid w:val="00656D4B"/>
    <w:rsid w:val="00656D6A"/>
    <w:rsid w:val="00656D79"/>
    <w:rsid w:val="00656D97"/>
    <w:rsid w:val="00656DC7"/>
    <w:rsid w:val="00656DE0"/>
    <w:rsid w:val="00656E05"/>
    <w:rsid w:val="00656E85"/>
    <w:rsid w:val="00656EA8"/>
    <w:rsid w:val="00656EDE"/>
    <w:rsid w:val="00656F00"/>
    <w:rsid w:val="00656F20"/>
    <w:rsid w:val="00656F36"/>
    <w:rsid w:val="00656F3D"/>
    <w:rsid w:val="00656F43"/>
    <w:rsid w:val="00656F87"/>
    <w:rsid w:val="00656F9C"/>
    <w:rsid w:val="00656FD0"/>
    <w:rsid w:val="00656FFE"/>
    <w:rsid w:val="00657033"/>
    <w:rsid w:val="00657039"/>
    <w:rsid w:val="00657064"/>
    <w:rsid w:val="006570BE"/>
    <w:rsid w:val="00657155"/>
    <w:rsid w:val="00657174"/>
    <w:rsid w:val="0065718A"/>
    <w:rsid w:val="006571C9"/>
    <w:rsid w:val="006571E3"/>
    <w:rsid w:val="006571FB"/>
    <w:rsid w:val="00657277"/>
    <w:rsid w:val="00657290"/>
    <w:rsid w:val="006572CF"/>
    <w:rsid w:val="00657320"/>
    <w:rsid w:val="0065736F"/>
    <w:rsid w:val="006573DC"/>
    <w:rsid w:val="006573E4"/>
    <w:rsid w:val="00657453"/>
    <w:rsid w:val="00657460"/>
    <w:rsid w:val="006574E2"/>
    <w:rsid w:val="006574F2"/>
    <w:rsid w:val="0065750A"/>
    <w:rsid w:val="00657516"/>
    <w:rsid w:val="0065756C"/>
    <w:rsid w:val="0065757A"/>
    <w:rsid w:val="006575AC"/>
    <w:rsid w:val="006575CD"/>
    <w:rsid w:val="006576DD"/>
    <w:rsid w:val="0065773F"/>
    <w:rsid w:val="00657749"/>
    <w:rsid w:val="00657761"/>
    <w:rsid w:val="006577B5"/>
    <w:rsid w:val="00657824"/>
    <w:rsid w:val="0065782C"/>
    <w:rsid w:val="0065783E"/>
    <w:rsid w:val="0065788E"/>
    <w:rsid w:val="006578F4"/>
    <w:rsid w:val="00657929"/>
    <w:rsid w:val="00657951"/>
    <w:rsid w:val="0065795D"/>
    <w:rsid w:val="00657990"/>
    <w:rsid w:val="00657A30"/>
    <w:rsid w:val="00657A93"/>
    <w:rsid w:val="00657AD2"/>
    <w:rsid w:val="00657AE1"/>
    <w:rsid w:val="00657AF5"/>
    <w:rsid w:val="00657AF9"/>
    <w:rsid w:val="00657B43"/>
    <w:rsid w:val="00657B82"/>
    <w:rsid w:val="00657BB5"/>
    <w:rsid w:val="00657BC5"/>
    <w:rsid w:val="00657C39"/>
    <w:rsid w:val="00657CCE"/>
    <w:rsid w:val="00657D58"/>
    <w:rsid w:val="00657DD1"/>
    <w:rsid w:val="00657E07"/>
    <w:rsid w:val="00657E34"/>
    <w:rsid w:val="00657E63"/>
    <w:rsid w:val="00657EB1"/>
    <w:rsid w:val="00657ED5"/>
    <w:rsid w:val="00657F09"/>
    <w:rsid w:val="00657F3A"/>
    <w:rsid w:val="00657F5D"/>
    <w:rsid w:val="006600C2"/>
    <w:rsid w:val="006600CE"/>
    <w:rsid w:val="00660100"/>
    <w:rsid w:val="0066010C"/>
    <w:rsid w:val="00660157"/>
    <w:rsid w:val="006601EF"/>
    <w:rsid w:val="00660225"/>
    <w:rsid w:val="006602D1"/>
    <w:rsid w:val="00660314"/>
    <w:rsid w:val="00660331"/>
    <w:rsid w:val="00660337"/>
    <w:rsid w:val="0066037D"/>
    <w:rsid w:val="0066037E"/>
    <w:rsid w:val="00660392"/>
    <w:rsid w:val="0066043B"/>
    <w:rsid w:val="00660455"/>
    <w:rsid w:val="00660481"/>
    <w:rsid w:val="00660483"/>
    <w:rsid w:val="00660484"/>
    <w:rsid w:val="006604F8"/>
    <w:rsid w:val="006605E4"/>
    <w:rsid w:val="00660610"/>
    <w:rsid w:val="00660630"/>
    <w:rsid w:val="0066063A"/>
    <w:rsid w:val="00660664"/>
    <w:rsid w:val="006606B9"/>
    <w:rsid w:val="00660736"/>
    <w:rsid w:val="00660788"/>
    <w:rsid w:val="006607A4"/>
    <w:rsid w:val="00660847"/>
    <w:rsid w:val="00660849"/>
    <w:rsid w:val="0066085D"/>
    <w:rsid w:val="006608A8"/>
    <w:rsid w:val="006608C9"/>
    <w:rsid w:val="00660905"/>
    <w:rsid w:val="0066091B"/>
    <w:rsid w:val="0066094A"/>
    <w:rsid w:val="0066096D"/>
    <w:rsid w:val="0066096F"/>
    <w:rsid w:val="006609E3"/>
    <w:rsid w:val="00660A14"/>
    <w:rsid w:val="00660A17"/>
    <w:rsid w:val="00660A2D"/>
    <w:rsid w:val="00660A78"/>
    <w:rsid w:val="00660B40"/>
    <w:rsid w:val="00660BD3"/>
    <w:rsid w:val="00660C77"/>
    <w:rsid w:val="00660C87"/>
    <w:rsid w:val="00660CF4"/>
    <w:rsid w:val="00660CFB"/>
    <w:rsid w:val="00660D3C"/>
    <w:rsid w:val="00660D52"/>
    <w:rsid w:val="00660D81"/>
    <w:rsid w:val="00660DE4"/>
    <w:rsid w:val="00660DEB"/>
    <w:rsid w:val="00660E94"/>
    <w:rsid w:val="00660EDC"/>
    <w:rsid w:val="00660EF8"/>
    <w:rsid w:val="00660F24"/>
    <w:rsid w:val="00660F27"/>
    <w:rsid w:val="00660F88"/>
    <w:rsid w:val="00660F9C"/>
    <w:rsid w:val="00660FF7"/>
    <w:rsid w:val="0066100D"/>
    <w:rsid w:val="0066105B"/>
    <w:rsid w:val="006610DE"/>
    <w:rsid w:val="006610EE"/>
    <w:rsid w:val="00661165"/>
    <w:rsid w:val="00661211"/>
    <w:rsid w:val="00661252"/>
    <w:rsid w:val="00661288"/>
    <w:rsid w:val="006612F8"/>
    <w:rsid w:val="006612FD"/>
    <w:rsid w:val="00661340"/>
    <w:rsid w:val="006613BA"/>
    <w:rsid w:val="006613E4"/>
    <w:rsid w:val="00661414"/>
    <w:rsid w:val="00661446"/>
    <w:rsid w:val="006614AB"/>
    <w:rsid w:val="006614B5"/>
    <w:rsid w:val="006614B9"/>
    <w:rsid w:val="006614E7"/>
    <w:rsid w:val="00661536"/>
    <w:rsid w:val="0066153D"/>
    <w:rsid w:val="00661544"/>
    <w:rsid w:val="0066154C"/>
    <w:rsid w:val="00661590"/>
    <w:rsid w:val="006615B4"/>
    <w:rsid w:val="006615B5"/>
    <w:rsid w:val="006615F3"/>
    <w:rsid w:val="006615FA"/>
    <w:rsid w:val="00661607"/>
    <w:rsid w:val="0066164F"/>
    <w:rsid w:val="0066166A"/>
    <w:rsid w:val="0066167A"/>
    <w:rsid w:val="00661687"/>
    <w:rsid w:val="00661699"/>
    <w:rsid w:val="006616C1"/>
    <w:rsid w:val="006616D5"/>
    <w:rsid w:val="006616E9"/>
    <w:rsid w:val="00661726"/>
    <w:rsid w:val="00661770"/>
    <w:rsid w:val="00661776"/>
    <w:rsid w:val="0066179F"/>
    <w:rsid w:val="006617A7"/>
    <w:rsid w:val="0066184A"/>
    <w:rsid w:val="00661888"/>
    <w:rsid w:val="006618DF"/>
    <w:rsid w:val="006619B8"/>
    <w:rsid w:val="006619CE"/>
    <w:rsid w:val="006619D0"/>
    <w:rsid w:val="00661A1E"/>
    <w:rsid w:val="00661A47"/>
    <w:rsid w:val="00661AD5"/>
    <w:rsid w:val="00661AF1"/>
    <w:rsid w:val="00661B08"/>
    <w:rsid w:val="00661BC0"/>
    <w:rsid w:val="00661BFE"/>
    <w:rsid w:val="00661C47"/>
    <w:rsid w:val="00661C69"/>
    <w:rsid w:val="00661CCB"/>
    <w:rsid w:val="00661D05"/>
    <w:rsid w:val="00661D0D"/>
    <w:rsid w:val="00661D50"/>
    <w:rsid w:val="00661DB2"/>
    <w:rsid w:val="00661DB7"/>
    <w:rsid w:val="00661DC6"/>
    <w:rsid w:val="00661E08"/>
    <w:rsid w:val="00661E6C"/>
    <w:rsid w:val="00661E72"/>
    <w:rsid w:val="00661E97"/>
    <w:rsid w:val="00661E9A"/>
    <w:rsid w:val="00661E9D"/>
    <w:rsid w:val="00661EF0"/>
    <w:rsid w:val="00661F71"/>
    <w:rsid w:val="00661FAC"/>
    <w:rsid w:val="00661FAF"/>
    <w:rsid w:val="00661FC4"/>
    <w:rsid w:val="00661FDB"/>
    <w:rsid w:val="00662055"/>
    <w:rsid w:val="0066208C"/>
    <w:rsid w:val="00662116"/>
    <w:rsid w:val="0066211D"/>
    <w:rsid w:val="006621A7"/>
    <w:rsid w:val="006621D7"/>
    <w:rsid w:val="006621DD"/>
    <w:rsid w:val="006621E2"/>
    <w:rsid w:val="006621ED"/>
    <w:rsid w:val="006621EF"/>
    <w:rsid w:val="006621FE"/>
    <w:rsid w:val="0066220E"/>
    <w:rsid w:val="00662271"/>
    <w:rsid w:val="006622A5"/>
    <w:rsid w:val="006622C2"/>
    <w:rsid w:val="00662324"/>
    <w:rsid w:val="00662394"/>
    <w:rsid w:val="006623A6"/>
    <w:rsid w:val="006623BE"/>
    <w:rsid w:val="00662416"/>
    <w:rsid w:val="00662424"/>
    <w:rsid w:val="00662458"/>
    <w:rsid w:val="006624DA"/>
    <w:rsid w:val="006624DC"/>
    <w:rsid w:val="0066253A"/>
    <w:rsid w:val="00662550"/>
    <w:rsid w:val="0066255D"/>
    <w:rsid w:val="00662570"/>
    <w:rsid w:val="0066258F"/>
    <w:rsid w:val="006625AD"/>
    <w:rsid w:val="006625F9"/>
    <w:rsid w:val="00662616"/>
    <w:rsid w:val="00662643"/>
    <w:rsid w:val="006626CE"/>
    <w:rsid w:val="00662751"/>
    <w:rsid w:val="0066275F"/>
    <w:rsid w:val="006627E7"/>
    <w:rsid w:val="00662831"/>
    <w:rsid w:val="00662839"/>
    <w:rsid w:val="00662919"/>
    <w:rsid w:val="00662925"/>
    <w:rsid w:val="00662966"/>
    <w:rsid w:val="00662988"/>
    <w:rsid w:val="006629A5"/>
    <w:rsid w:val="006629BD"/>
    <w:rsid w:val="006629DA"/>
    <w:rsid w:val="00662A3F"/>
    <w:rsid w:val="00662A43"/>
    <w:rsid w:val="00662AA1"/>
    <w:rsid w:val="00662ABC"/>
    <w:rsid w:val="00662AEC"/>
    <w:rsid w:val="00662B66"/>
    <w:rsid w:val="00662C2D"/>
    <w:rsid w:val="00662C45"/>
    <w:rsid w:val="00662CEA"/>
    <w:rsid w:val="00662D07"/>
    <w:rsid w:val="00662D25"/>
    <w:rsid w:val="00662D5B"/>
    <w:rsid w:val="00662D5D"/>
    <w:rsid w:val="00662D5E"/>
    <w:rsid w:val="00662D7E"/>
    <w:rsid w:val="00662DF0"/>
    <w:rsid w:val="00662E0C"/>
    <w:rsid w:val="00662E10"/>
    <w:rsid w:val="00662E42"/>
    <w:rsid w:val="00662E7F"/>
    <w:rsid w:val="00662ED6"/>
    <w:rsid w:val="00662EFB"/>
    <w:rsid w:val="00662F18"/>
    <w:rsid w:val="00662F2E"/>
    <w:rsid w:val="00662F7D"/>
    <w:rsid w:val="00662F8E"/>
    <w:rsid w:val="00662F99"/>
    <w:rsid w:val="00662FC7"/>
    <w:rsid w:val="00663050"/>
    <w:rsid w:val="00663078"/>
    <w:rsid w:val="0066309A"/>
    <w:rsid w:val="006630E5"/>
    <w:rsid w:val="00663113"/>
    <w:rsid w:val="00663157"/>
    <w:rsid w:val="00663194"/>
    <w:rsid w:val="00663197"/>
    <w:rsid w:val="00663288"/>
    <w:rsid w:val="006632B8"/>
    <w:rsid w:val="006632BB"/>
    <w:rsid w:val="00663338"/>
    <w:rsid w:val="0066339A"/>
    <w:rsid w:val="006633EB"/>
    <w:rsid w:val="00663423"/>
    <w:rsid w:val="00663426"/>
    <w:rsid w:val="0066343C"/>
    <w:rsid w:val="006634A1"/>
    <w:rsid w:val="00663518"/>
    <w:rsid w:val="0066352E"/>
    <w:rsid w:val="00663566"/>
    <w:rsid w:val="00663610"/>
    <w:rsid w:val="0066361B"/>
    <w:rsid w:val="0066366D"/>
    <w:rsid w:val="00663698"/>
    <w:rsid w:val="00663718"/>
    <w:rsid w:val="00663759"/>
    <w:rsid w:val="006637B3"/>
    <w:rsid w:val="00663826"/>
    <w:rsid w:val="00663829"/>
    <w:rsid w:val="006638BA"/>
    <w:rsid w:val="00663959"/>
    <w:rsid w:val="00663972"/>
    <w:rsid w:val="00663A1A"/>
    <w:rsid w:val="00663A2A"/>
    <w:rsid w:val="00663A49"/>
    <w:rsid w:val="00663AEA"/>
    <w:rsid w:val="00663AEC"/>
    <w:rsid w:val="00663AEE"/>
    <w:rsid w:val="00663AFB"/>
    <w:rsid w:val="00663B13"/>
    <w:rsid w:val="00663BE1"/>
    <w:rsid w:val="00663C19"/>
    <w:rsid w:val="00663C4B"/>
    <w:rsid w:val="00663C62"/>
    <w:rsid w:val="00663C66"/>
    <w:rsid w:val="00663CD8"/>
    <w:rsid w:val="00663D68"/>
    <w:rsid w:val="00663E08"/>
    <w:rsid w:val="00663E11"/>
    <w:rsid w:val="00663E1A"/>
    <w:rsid w:val="00663E20"/>
    <w:rsid w:val="00663E22"/>
    <w:rsid w:val="00663E8B"/>
    <w:rsid w:val="00663E9B"/>
    <w:rsid w:val="00663EF3"/>
    <w:rsid w:val="00663F0A"/>
    <w:rsid w:val="00663F7A"/>
    <w:rsid w:val="00663FBB"/>
    <w:rsid w:val="00663FC4"/>
    <w:rsid w:val="0066400E"/>
    <w:rsid w:val="0066401C"/>
    <w:rsid w:val="00664044"/>
    <w:rsid w:val="0066406D"/>
    <w:rsid w:val="0066407C"/>
    <w:rsid w:val="0066408C"/>
    <w:rsid w:val="006640BF"/>
    <w:rsid w:val="006640F8"/>
    <w:rsid w:val="00664123"/>
    <w:rsid w:val="00664127"/>
    <w:rsid w:val="00664154"/>
    <w:rsid w:val="00664186"/>
    <w:rsid w:val="006641E8"/>
    <w:rsid w:val="00664211"/>
    <w:rsid w:val="0066423D"/>
    <w:rsid w:val="00664275"/>
    <w:rsid w:val="00664307"/>
    <w:rsid w:val="0066431A"/>
    <w:rsid w:val="00664333"/>
    <w:rsid w:val="0066435F"/>
    <w:rsid w:val="0066438B"/>
    <w:rsid w:val="006643A0"/>
    <w:rsid w:val="006643D4"/>
    <w:rsid w:val="0066441B"/>
    <w:rsid w:val="00664425"/>
    <w:rsid w:val="006644D5"/>
    <w:rsid w:val="00664533"/>
    <w:rsid w:val="00664548"/>
    <w:rsid w:val="0066458C"/>
    <w:rsid w:val="0066458F"/>
    <w:rsid w:val="006645A3"/>
    <w:rsid w:val="006645B2"/>
    <w:rsid w:val="006645CF"/>
    <w:rsid w:val="006645D3"/>
    <w:rsid w:val="006645E5"/>
    <w:rsid w:val="006645F5"/>
    <w:rsid w:val="006645FD"/>
    <w:rsid w:val="0066460E"/>
    <w:rsid w:val="00664636"/>
    <w:rsid w:val="006646B5"/>
    <w:rsid w:val="006646E4"/>
    <w:rsid w:val="006646F8"/>
    <w:rsid w:val="006646FB"/>
    <w:rsid w:val="00664734"/>
    <w:rsid w:val="00664758"/>
    <w:rsid w:val="00664768"/>
    <w:rsid w:val="006647FF"/>
    <w:rsid w:val="0066480A"/>
    <w:rsid w:val="00664827"/>
    <w:rsid w:val="0066482C"/>
    <w:rsid w:val="00664886"/>
    <w:rsid w:val="00664889"/>
    <w:rsid w:val="006648D7"/>
    <w:rsid w:val="006648EA"/>
    <w:rsid w:val="006648EB"/>
    <w:rsid w:val="0066495F"/>
    <w:rsid w:val="00664969"/>
    <w:rsid w:val="0066496A"/>
    <w:rsid w:val="00664992"/>
    <w:rsid w:val="006649E0"/>
    <w:rsid w:val="00664A31"/>
    <w:rsid w:val="00664A34"/>
    <w:rsid w:val="00664A4C"/>
    <w:rsid w:val="00664A81"/>
    <w:rsid w:val="00664AC4"/>
    <w:rsid w:val="00664ACB"/>
    <w:rsid w:val="00664B00"/>
    <w:rsid w:val="00664B2C"/>
    <w:rsid w:val="00664B36"/>
    <w:rsid w:val="00664B50"/>
    <w:rsid w:val="00664BC9"/>
    <w:rsid w:val="00664C10"/>
    <w:rsid w:val="00664C17"/>
    <w:rsid w:val="00664C2E"/>
    <w:rsid w:val="00664C46"/>
    <w:rsid w:val="00664C6C"/>
    <w:rsid w:val="00664CAC"/>
    <w:rsid w:val="00664CC5"/>
    <w:rsid w:val="00664CE8"/>
    <w:rsid w:val="00664D7F"/>
    <w:rsid w:val="00664DC4"/>
    <w:rsid w:val="00664DD4"/>
    <w:rsid w:val="00664E49"/>
    <w:rsid w:val="00664E7B"/>
    <w:rsid w:val="00664E7C"/>
    <w:rsid w:val="00664E7E"/>
    <w:rsid w:val="00664E87"/>
    <w:rsid w:val="00664EAE"/>
    <w:rsid w:val="00664EE1"/>
    <w:rsid w:val="00664F2C"/>
    <w:rsid w:val="00664F6E"/>
    <w:rsid w:val="00665022"/>
    <w:rsid w:val="00665036"/>
    <w:rsid w:val="00665067"/>
    <w:rsid w:val="006650A0"/>
    <w:rsid w:val="006650F3"/>
    <w:rsid w:val="00665124"/>
    <w:rsid w:val="0066516F"/>
    <w:rsid w:val="00665171"/>
    <w:rsid w:val="006651B6"/>
    <w:rsid w:val="006651C8"/>
    <w:rsid w:val="006651D6"/>
    <w:rsid w:val="006651FD"/>
    <w:rsid w:val="006651FE"/>
    <w:rsid w:val="0066520B"/>
    <w:rsid w:val="00665256"/>
    <w:rsid w:val="00665278"/>
    <w:rsid w:val="00665282"/>
    <w:rsid w:val="006652C8"/>
    <w:rsid w:val="00665306"/>
    <w:rsid w:val="0066534B"/>
    <w:rsid w:val="00665366"/>
    <w:rsid w:val="0066536A"/>
    <w:rsid w:val="006653E5"/>
    <w:rsid w:val="0066542F"/>
    <w:rsid w:val="00665454"/>
    <w:rsid w:val="0066546E"/>
    <w:rsid w:val="00665508"/>
    <w:rsid w:val="00665571"/>
    <w:rsid w:val="00665596"/>
    <w:rsid w:val="006655FE"/>
    <w:rsid w:val="00665601"/>
    <w:rsid w:val="00665603"/>
    <w:rsid w:val="00665648"/>
    <w:rsid w:val="0066564F"/>
    <w:rsid w:val="006656F8"/>
    <w:rsid w:val="006656F9"/>
    <w:rsid w:val="0066571F"/>
    <w:rsid w:val="006657BE"/>
    <w:rsid w:val="006657D7"/>
    <w:rsid w:val="006657E2"/>
    <w:rsid w:val="00665847"/>
    <w:rsid w:val="00665861"/>
    <w:rsid w:val="00665894"/>
    <w:rsid w:val="006658EF"/>
    <w:rsid w:val="006658FC"/>
    <w:rsid w:val="0066591E"/>
    <w:rsid w:val="0066597A"/>
    <w:rsid w:val="00665988"/>
    <w:rsid w:val="006659D2"/>
    <w:rsid w:val="006659DA"/>
    <w:rsid w:val="00665A28"/>
    <w:rsid w:val="00665A46"/>
    <w:rsid w:val="00665A6A"/>
    <w:rsid w:val="00665AC2"/>
    <w:rsid w:val="00665AC3"/>
    <w:rsid w:val="00665ACC"/>
    <w:rsid w:val="00665B8D"/>
    <w:rsid w:val="00665B92"/>
    <w:rsid w:val="00665BB9"/>
    <w:rsid w:val="00665BD1"/>
    <w:rsid w:val="00665C0A"/>
    <w:rsid w:val="00665C2A"/>
    <w:rsid w:val="00665C37"/>
    <w:rsid w:val="00665C61"/>
    <w:rsid w:val="00665DCD"/>
    <w:rsid w:val="00665DEA"/>
    <w:rsid w:val="00665E2D"/>
    <w:rsid w:val="00665EA7"/>
    <w:rsid w:val="00665EE3"/>
    <w:rsid w:val="00665EE9"/>
    <w:rsid w:val="00665F08"/>
    <w:rsid w:val="00665F2E"/>
    <w:rsid w:val="00665F37"/>
    <w:rsid w:val="00665F54"/>
    <w:rsid w:val="00665F95"/>
    <w:rsid w:val="00666013"/>
    <w:rsid w:val="00666021"/>
    <w:rsid w:val="00666044"/>
    <w:rsid w:val="00666052"/>
    <w:rsid w:val="006660CA"/>
    <w:rsid w:val="006660DE"/>
    <w:rsid w:val="006660F4"/>
    <w:rsid w:val="006660F6"/>
    <w:rsid w:val="00666103"/>
    <w:rsid w:val="0066612E"/>
    <w:rsid w:val="0066613D"/>
    <w:rsid w:val="00666208"/>
    <w:rsid w:val="00666236"/>
    <w:rsid w:val="00666274"/>
    <w:rsid w:val="00666306"/>
    <w:rsid w:val="00666337"/>
    <w:rsid w:val="0066633A"/>
    <w:rsid w:val="00666348"/>
    <w:rsid w:val="0066639C"/>
    <w:rsid w:val="00666433"/>
    <w:rsid w:val="0066643A"/>
    <w:rsid w:val="00666471"/>
    <w:rsid w:val="00666479"/>
    <w:rsid w:val="00666483"/>
    <w:rsid w:val="00666488"/>
    <w:rsid w:val="00666495"/>
    <w:rsid w:val="006664B4"/>
    <w:rsid w:val="006664BA"/>
    <w:rsid w:val="006664BC"/>
    <w:rsid w:val="006664BF"/>
    <w:rsid w:val="006664E1"/>
    <w:rsid w:val="0066653A"/>
    <w:rsid w:val="00666566"/>
    <w:rsid w:val="0066661E"/>
    <w:rsid w:val="0066663C"/>
    <w:rsid w:val="00666787"/>
    <w:rsid w:val="0066679D"/>
    <w:rsid w:val="006667AF"/>
    <w:rsid w:val="006667D4"/>
    <w:rsid w:val="00666893"/>
    <w:rsid w:val="006668FB"/>
    <w:rsid w:val="0066690A"/>
    <w:rsid w:val="0066697A"/>
    <w:rsid w:val="00666991"/>
    <w:rsid w:val="006669C8"/>
    <w:rsid w:val="006669EA"/>
    <w:rsid w:val="00666A0C"/>
    <w:rsid w:val="00666A61"/>
    <w:rsid w:val="00666AA9"/>
    <w:rsid w:val="00666AC5"/>
    <w:rsid w:val="00666AC9"/>
    <w:rsid w:val="00666AF0"/>
    <w:rsid w:val="00666B19"/>
    <w:rsid w:val="00666B31"/>
    <w:rsid w:val="00666B56"/>
    <w:rsid w:val="00666B9C"/>
    <w:rsid w:val="00666BAF"/>
    <w:rsid w:val="00666C03"/>
    <w:rsid w:val="00666C33"/>
    <w:rsid w:val="00666CDF"/>
    <w:rsid w:val="00666CE8"/>
    <w:rsid w:val="00666D04"/>
    <w:rsid w:val="00666D47"/>
    <w:rsid w:val="00666D62"/>
    <w:rsid w:val="00666D70"/>
    <w:rsid w:val="00666D78"/>
    <w:rsid w:val="00666E08"/>
    <w:rsid w:val="00666E1D"/>
    <w:rsid w:val="00666E28"/>
    <w:rsid w:val="00666E8D"/>
    <w:rsid w:val="00666E9B"/>
    <w:rsid w:val="00666EB1"/>
    <w:rsid w:val="00666EFF"/>
    <w:rsid w:val="00666F16"/>
    <w:rsid w:val="00666FA0"/>
    <w:rsid w:val="00666FC8"/>
    <w:rsid w:val="00666FF5"/>
    <w:rsid w:val="0066709D"/>
    <w:rsid w:val="006670B1"/>
    <w:rsid w:val="006670BB"/>
    <w:rsid w:val="006670D5"/>
    <w:rsid w:val="006670DB"/>
    <w:rsid w:val="00667166"/>
    <w:rsid w:val="0066717F"/>
    <w:rsid w:val="006671FC"/>
    <w:rsid w:val="0066720D"/>
    <w:rsid w:val="0066721B"/>
    <w:rsid w:val="00667258"/>
    <w:rsid w:val="006672D7"/>
    <w:rsid w:val="006672D9"/>
    <w:rsid w:val="00667313"/>
    <w:rsid w:val="00667331"/>
    <w:rsid w:val="00667339"/>
    <w:rsid w:val="006673C4"/>
    <w:rsid w:val="006673CB"/>
    <w:rsid w:val="006673D6"/>
    <w:rsid w:val="006673D8"/>
    <w:rsid w:val="006673E0"/>
    <w:rsid w:val="0066740A"/>
    <w:rsid w:val="0066741B"/>
    <w:rsid w:val="0066748E"/>
    <w:rsid w:val="006674A6"/>
    <w:rsid w:val="006674BC"/>
    <w:rsid w:val="006674CF"/>
    <w:rsid w:val="006674D8"/>
    <w:rsid w:val="00667503"/>
    <w:rsid w:val="00667532"/>
    <w:rsid w:val="006675CD"/>
    <w:rsid w:val="006675D0"/>
    <w:rsid w:val="006675D2"/>
    <w:rsid w:val="006675E4"/>
    <w:rsid w:val="006675EA"/>
    <w:rsid w:val="00667640"/>
    <w:rsid w:val="00667659"/>
    <w:rsid w:val="0066765C"/>
    <w:rsid w:val="0066767F"/>
    <w:rsid w:val="006676B6"/>
    <w:rsid w:val="006676CA"/>
    <w:rsid w:val="006676E5"/>
    <w:rsid w:val="006676EA"/>
    <w:rsid w:val="006676F1"/>
    <w:rsid w:val="00667738"/>
    <w:rsid w:val="0066774D"/>
    <w:rsid w:val="00667786"/>
    <w:rsid w:val="006677B5"/>
    <w:rsid w:val="006677D0"/>
    <w:rsid w:val="00667833"/>
    <w:rsid w:val="0066785C"/>
    <w:rsid w:val="00667896"/>
    <w:rsid w:val="006678A9"/>
    <w:rsid w:val="00667940"/>
    <w:rsid w:val="00667973"/>
    <w:rsid w:val="0066798F"/>
    <w:rsid w:val="006679A4"/>
    <w:rsid w:val="006679AB"/>
    <w:rsid w:val="006679B2"/>
    <w:rsid w:val="006679F0"/>
    <w:rsid w:val="00667A00"/>
    <w:rsid w:val="00667A3D"/>
    <w:rsid w:val="00667B02"/>
    <w:rsid w:val="00667B22"/>
    <w:rsid w:val="00667BF3"/>
    <w:rsid w:val="00667C0D"/>
    <w:rsid w:val="00667C0F"/>
    <w:rsid w:val="00667C14"/>
    <w:rsid w:val="00667C3B"/>
    <w:rsid w:val="00667C6D"/>
    <w:rsid w:val="00667C82"/>
    <w:rsid w:val="00667D06"/>
    <w:rsid w:val="00667D07"/>
    <w:rsid w:val="00667EAF"/>
    <w:rsid w:val="00667EEB"/>
    <w:rsid w:val="00667F84"/>
    <w:rsid w:val="00667FA1"/>
    <w:rsid w:val="0067000C"/>
    <w:rsid w:val="00670050"/>
    <w:rsid w:val="00670147"/>
    <w:rsid w:val="0067018F"/>
    <w:rsid w:val="006701C4"/>
    <w:rsid w:val="006701CD"/>
    <w:rsid w:val="00670210"/>
    <w:rsid w:val="00670216"/>
    <w:rsid w:val="0067022C"/>
    <w:rsid w:val="0067025C"/>
    <w:rsid w:val="00670266"/>
    <w:rsid w:val="006702DF"/>
    <w:rsid w:val="006702F9"/>
    <w:rsid w:val="00670355"/>
    <w:rsid w:val="00670392"/>
    <w:rsid w:val="00670461"/>
    <w:rsid w:val="00670492"/>
    <w:rsid w:val="0067049C"/>
    <w:rsid w:val="0067051B"/>
    <w:rsid w:val="00670558"/>
    <w:rsid w:val="0067056E"/>
    <w:rsid w:val="006705B0"/>
    <w:rsid w:val="00670620"/>
    <w:rsid w:val="0067064A"/>
    <w:rsid w:val="006706CB"/>
    <w:rsid w:val="0067070B"/>
    <w:rsid w:val="0067076E"/>
    <w:rsid w:val="00670851"/>
    <w:rsid w:val="00670870"/>
    <w:rsid w:val="00670875"/>
    <w:rsid w:val="0067088A"/>
    <w:rsid w:val="006708A0"/>
    <w:rsid w:val="006708A4"/>
    <w:rsid w:val="006708B3"/>
    <w:rsid w:val="006708DF"/>
    <w:rsid w:val="0067091D"/>
    <w:rsid w:val="00670936"/>
    <w:rsid w:val="0067099F"/>
    <w:rsid w:val="00670A2A"/>
    <w:rsid w:val="00670A2D"/>
    <w:rsid w:val="00670AAF"/>
    <w:rsid w:val="00670AC4"/>
    <w:rsid w:val="00670ADD"/>
    <w:rsid w:val="00670AE7"/>
    <w:rsid w:val="00670BB2"/>
    <w:rsid w:val="00670BB6"/>
    <w:rsid w:val="00670BCB"/>
    <w:rsid w:val="00670BCD"/>
    <w:rsid w:val="00670BDB"/>
    <w:rsid w:val="00670BDC"/>
    <w:rsid w:val="00670C31"/>
    <w:rsid w:val="00670C44"/>
    <w:rsid w:val="00670C90"/>
    <w:rsid w:val="00670C99"/>
    <w:rsid w:val="00670CB8"/>
    <w:rsid w:val="00670CD5"/>
    <w:rsid w:val="00670CDF"/>
    <w:rsid w:val="00670D0F"/>
    <w:rsid w:val="00670D1B"/>
    <w:rsid w:val="00670D1E"/>
    <w:rsid w:val="00670D58"/>
    <w:rsid w:val="00670D5D"/>
    <w:rsid w:val="00670DBA"/>
    <w:rsid w:val="00670E1D"/>
    <w:rsid w:val="00670E1F"/>
    <w:rsid w:val="00670E4A"/>
    <w:rsid w:val="00670EA9"/>
    <w:rsid w:val="00670F05"/>
    <w:rsid w:val="00670F62"/>
    <w:rsid w:val="00670FCD"/>
    <w:rsid w:val="00670FFD"/>
    <w:rsid w:val="00671016"/>
    <w:rsid w:val="0067106D"/>
    <w:rsid w:val="00671090"/>
    <w:rsid w:val="00671143"/>
    <w:rsid w:val="006711E5"/>
    <w:rsid w:val="006711F3"/>
    <w:rsid w:val="00671228"/>
    <w:rsid w:val="00671237"/>
    <w:rsid w:val="0067123C"/>
    <w:rsid w:val="0067123F"/>
    <w:rsid w:val="00671275"/>
    <w:rsid w:val="0067128E"/>
    <w:rsid w:val="0067131D"/>
    <w:rsid w:val="00671320"/>
    <w:rsid w:val="00671322"/>
    <w:rsid w:val="006713CA"/>
    <w:rsid w:val="006713FA"/>
    <w:rsid w:val="0067148F"/>
    <w:rsid w:val="006714AF"/>
    <w:rsid w:val="006714FA"/>
    <w:rsid w:val="00671500"/>
    <w:rsid w:val="0067151B"/>
    <w:rsid w:val="00671527"/>
    <w:rsid w:val="006715CB"/>
    <w:rsid w:val="006715E7"/>
    <w:rsid w:val="0067161C"/>
    <w:rsid w:val="00671645"/>
    <w:rsid w:val="00671675"/>
    <w:rsid w:val="00671760"/>
    <w:rsid w:val="006717D2"/>
    <w:rsid w:val="00671854"/>
    <w:rsid w:val="00671878"/>
    <w:rsid w:val="006718EC"/>
    <w:rsid w:val="006718F3"/>
    <w:rsid w:val="00671919"/>
    <w:rsid w:val="0067193E"/>
    <w:rsid w:val="00671956"/>
    <w:rsid w:val="0067196E"/>
    <w:rsid w:val="006719A3"/>
    <w:rsid w:val="006719E0"/>
    <w:rsid w:val="006719E5"/>
    <w:rsid w:val="00671A22"/>
    <w:rsid w:val="00671A70"/>
    <w:rsid w:val="00671A7F"/>
    <w:rsid w:val="00671A92"/>
    <w:rsid w:val="00671AB4"/>
    <w:rsid w:val="00671ADE"/>
    <w:rsid w:val="00671AED"/>
    <w:rsid w:val="00671AF9"/>
    <w:rsid w:val="00671B87"/>
    <w:rsid w:val="00671B8C"/>
    <w:rsid w:val="00671B92"/>
    <w:rsid w:val="00671BC2"/>
    <w:rsid w:val="00671BEA"/>
    <w:rsid w:val="00671C13"/>
    <w:rsid w:val="00671C27"/>
    <w:rsid w:val="00671C4A"/>
    <w:rsid w:val="00671DCF"/>
    <w:rsid w:val="00671DF2"/>
    <w:rsid w:val="00671E11"/>
    <w:rsid w:val="00671EFE"/>
    <w:rsid w:val="00671F71"/>
    <w:rsid w:val="00671F79"/>
    <w:rsid w:val="00671FC6"/>
    <w:rsid w:val="0067201F"/>
    <w:rsid w:val="00672067"/>
    <w:rsid w:val="006720B6"/>
    <w:rsid w:val="00672128"/>
    <w:rsid w:val="006721A1"/>
    <w:rsid w:val="006721D9"/>
    <w:rsid w:val="006721F8"/>
    <w:rsid w:val="00672243"/>
    <w:rsid w:val="00672254"/>
    <w:rsid w:val="00672280"/>
    <w:rsid w:val="006722D1"/>
    <w:rsid w:val="006722E4"/>
    <w:rsid w:val="0067232B"/>
    <w:rsid w:val="006723F5"/>
    <w:rsid w:val="00672462"/>
    <w:rsid w:val="0067246A"/>
    <w:rsid w:val="006724AD"/>
    <w:rsid w:val="006724CF"/>
    <w:rsid w:val="006724D0"/>
    <w:rsid w:val="006724F7"/>
    <w:rsid w:val="00672550"/>
    <w:rsid w:val="00672565"/>
    <w:rsid w:val="0067260F"/>
    <w:rsid w:val="0067262D"/>
    <w:rsid w:val="0067263A"/>
    <w:rsid w:val="0067266B"/>
    <w:rsid w:val="006726E1"/>
    <w:rsid w:val="00672705"/>
    <w:rsid w:val="00672740"/>
    <w:rsid w:val="0067274D"/>
    <w:rsid w:val="00672752"/>
    <w:rsid w:val="0067279D"/>
    <w:rsid w:val="006727AA"/>
    <w:rsid w:val="006727D2"/>
    <w:rsid w:val="00672803"/>
    <w:rsid w:val="00672853"/>
    <w:rsid w:val="0067286E"/>
    <w:rsid w:val="006728B0"/>
    <w:rsid w:val="00672949"/>
    <w:rsid w:val="0067294C"/>
    <w:rsid w:val="00672A82"/>
    <w:rsid w:val="00672AC0"/>
    <w:rsid w:val="00672AC5"/>
    <w:rsid w:val="00672AFC"/>
    <w:rsid w:val="00672B16"/>
    <w:rsid w:val="00672BAC"/>
    <w:rsid w:val="00672BAF"/>
    <w:rsid w:val="00672C03"/>
    <w:rsid w:val="00672C07"/>
    <w:rsid w:val="00672C44"/>
    <w:rsid w:val="00672C6B"/>
    <w:rsid w:val="00672D74"/>
    <w:rsid w:val="00672D87"/>
    <w:rsid w:val="00672DB5"/>
    <w:rsid w:val="00672DD9"/>
    <w:rsid w:val="00672DE3"/>
    <w:rsid w:val="00672E00"/>
    <w:rsid w:val="00672E22"/>
    <w:rsid w:val="00672EC3"/>
    <w:rsid w:val="00672F27"/>
    <w:rsid w:val="00672F61"/>
    <w:rsid w:val="00672F73"/>
    <w:rsid w:val="00672FE0"/>
    <w:rsid w:val="006730F5"/>
    <w:rsid w:val="00673105"/>
    <w:rsid w:val="00673130"/>
    <w:rsid w:val="00673131"/>
    <w:rsid w:val="0067313A"/>
    <w:rsid w:val="00673170"/>
    <w:rsid w:val="00673191"/>
    <w:rsid w:val="006731C4"/>
    <w:rsid w:val="006731D8"/>
    <w:rsid w:val="006731F9"/>
    <w:rsid w:val="00673238"/>
    <w:rsid w:val="0067324B"/>
    <w:rsid w:val="006732F8"/>
    <w:rsid w:val="00673346"/>
    <w:rsid w:val="00673385"/>
    <w:rsid w:val="0067340C"/>
    <w:rsid w:val="0067343B"/>
    <w:rsid w:val="00673449"/>
    <w:rsid w:val="0067348C"/>
    <w:rsid w:val="006734C2"/>
    <w:rsid w:val="0067352A"/>
    <w:rsid w:val="00673576"/>
    <w:rsid w:val="006735AE"/>
    <w:rsid w:val="006735FB"/>
    <w:rsid w:val="0067368B"/>
    <w:rsid w:val="0067374A"/>
    <w:rsid w:val="00673790"/>
    <w:rsid w:val="0067388E"/>
    <w:rsid w:val="006738B3"/>
    <w:rsid w:val="006738CB"/>
    <w:rsid w:val="00673909"/>
    <w:rsid w:val="0067394D"/>
    <w:rsid w:val="00673953"/>
    <w:rsid w:val="00673976"/>
    <w:rsid w:val="00673981"/>
    <w:rsid w:val="00673A26"/>
    <w:rsid w:val="00673A63"/>
    <w:rsid w:val="00673ADB"/>
    <w:rsid w:val="00673ADF"/>
    <w:rsid w:val="00673B03"/>
    <w:rsid w:val="00673B12"/>
    <w:rsid w:val="00673B46"/>
    <w:rsid w:val="00673B59"/>
    <w:rsid w:val="00673B73"/>
    <w:rsid w:val="00673B88"/>
    <w:rsid w:val="00673BF4"/>
    <w:rsid w:val="00673C99"/>
    <w:rsid w:val="00673CA3"/>
    <w:rsid w:val="00673CC4"/>
    <w:rsid w:val="00673D18"/>
    <w:rsid w:val="00673D1D"/>
    <w:rsid w:val="00673D49"/>
    <w:rsid w:val="00673D79"/>
    <w:rsid w:val="00673E28"/>
    <w:rsid w:val="00673E62"/>
    <w:rsid w:val="00673E8D"/>
    <w:rsid w:val="00673F0E"/>
    <w:rsid w:val="00673F2E"/>
    <w:rsid w:val="00673F3D"/>
    <w:rsid w:val="00673F57"/>
    <w:rsid w:val="00673F5B"/>
    <w:rsid w:val="00673F80"/>
    <w:rsid w:val="00673FA4"/>
    <w:rsid w:val="00673FAB"/>
    <w:rsid w:val="00674070"/>
    <w:rsid w:val="00674087"/>
    <w:rsid w:val="00674117"/>
    <w:rsid w:val="00674139"/>
    <w:rsid w:val="006741C8"/>
    <w:rsid w:val="006741D8"/>
    <w:rsid w:val="006741D9"/>
    <w:rsid w:val="00674326"/>
    <w:rsid w:val="00674336"/>
    <w:rsid w:val="0067433A"/>
    <w:rsid w:val="00674345"/>
    <w:rsid w:val="00674351"/>
    <w:rsid w:val="00674369"/>
    <w:rsid w:val="0067436A"/>
    <w:rsid w:val="006743C9"/>
    <w:rsid w:val="006743DE"/>
    <w:rsid w:val="00674456"/>
    <w:rsid w:val="00674466"/>
    <w:rsid w:val="0067447E"/>
    <w:rsid w:val="006744D3"/>
    <w:rsid w:val="0067451F"/>
    <w:rsid w:val="0067453C"/>
    <w:rsid w:val="00674540"/>
    <w:rsid w:val="0067454F"/>
    <w:rsid w:val="00674570"/>
    <w:rsid w:val="0067459C"/>
    <w:rsid w:val="006745B3"/>
    <w:rsid w:val="0067460B"/>
    <w:rsid w:val="00674641"/>
    <w:rsid w:val="006746D1"/>
    <w:rsid w:val="0067471C"/>
    <w:rsid w:val="00674773"/>
    <w:rsid w:val="0067478F"/>
    <w:rsid w:val="006747BA"/>
    <w:rsid w:val="006747E9"/>
    <w:rsid w:val="00674842"/>
    <w:rsid w:val="00674883"/>
    <w:rsid w:val="00674896"/>
    <w:rsid w:val="006748A8"/>
    <w:rsid w:val="006748F3"/>
    <w:rsid w:val="006748FE"/>
    <w:rsid w:val="00674900"/>
    <w:rsid w:val="0067490E"/>
    <w:rsid w:val="00674950"/>
    <w:rsid w:val="00674965"/>
    <w:rsid w:val="006749C9"/>
    <w:rsid w:val="006749D5"/>
    <w:rsid w:val="00674A1D"/>
    <w:rsid w:val="00674A48"/>
    <w:rsid w:val="00674A5A"/>
    <w:rsid w:val="00674A5E"/>
    <w:rsid w:val="00674A77"/>
    <w:rsid w:val="00674A8A"/>
    <w:rsid w:val="00674A94"/>
    <w:rsid w:val="00674A9F"/>
    <w:rsid w:val="00674AA6"/>
    <w:rsid w:val="00674AD3"/>
    <w:rsid w:val="00674AE5"/>
    <w:rsid w:val="00674AFD"/>
    <w:rsid w:val="00674B0A"/>
    <w:rsid w:val="00674B2E"/>
    <w:rsid w:val="00674B50"/>
    <w:rsid w:val="00674B73"/>
    <w:rsid w:val="00674B7E"/>
    <w:rsid w:val="00674BB3"/>
    <w:rsid w:val="00674C0A"/>
    <w:rsid w:val="00674C1A"/>
    <w:rsid w:val="00674C28"/>
    <w:rsid w:val="00674C7B"/>
    <w:rsid w:val="00674C8A"/>
    <w:rsid w:val="00674CC1"/>
    <w:rsid w:val="00674D53"/>
    <w:rsid w:val="00674D6D"/>
    <w:rsid w:val="00674DCD"/>
    <w:rsid w:val="00674DE6"/>
    <w:rsid w:val="00674DFA"/>
    <w:rsid w:val="00674E58"/>
    <w:rsid w:val="00674E64"/>
    <w:rsid w:val="00674E72"/>
    <w:rsid w:val="00674E86"/>
    <w:rsid w:val="00674E8A"/>
    <w:rsid w:val="00674EA2"/>
    <w:rsid w:val="00674ED3"/>
    <w:rsid w:val="00674EE9"/>
    <w:rsid w:val="00674EF5"/>
    <w:rsid w:val="00674F41"/>
    <w:rsid w:val="00674F5A"/>
    <w:rsid w:val="00674FB8"/>
    <w:rsid w:val="00674FF6"/>
    <w:rsid w:val="00674FFF"/>
    <w:rsid w:val="00675015"/>
    <w:rsid w:val="0067502E"/>
    <w:rsid w:val="006750B4"/>
    <w:rsid w:val="006750D8"/>
    <w:rsid w:val="0067513C"/>
    <w:rsid w:val="0067517B"/>
    <w:rsid w:val="00675185"/>
    <w:rsid w:val="00675193"/>
    <w:rsid w:val="006751A4"/>
    <w:rsid w:val="006751D0"/>
    <w:rsid w:val="006751F8"/>
    <w:rsid w:val="00675201"/>
    <w:rsid w:val="0067521A"/>
    <w:rsid w:val="00675226"/>
    <w:rsid w:val="0067523A"/>
    <w:rsid w:val="006752D5"/>
    <w:rsid w:val="006752D6"/>
    <w:rsid w:val="006752DA"/>
    <w:rsid w:val="006752DF"/>
    <w:rsid w:val="006752E1"/>
    <w:rsid w:val="006753A1"/>
    <w:rsid w:val="006753E7"/>
    <w:rsid w:val="0067540E"/>
    <w:rsid w:val="00675438"/>
    <w:rsid w:val="00675481"/>
    <w:rsid w:val="006754BD"/>
    <w:rsid w:val="006754C9"/>
    <w:rsid w:val="006754E4"/>
    <w:rsid w:val="0067554A"/>
    <w:rsid w:val="00675599"/>
    <w:rsid w:val="006755A0"/>
    <w:rsid w:val="00675612"/>
    <w:rsid w:val="00675633"/>
    <w:rsid w:val="00675785"/>
    <w:rsid w:val="00675796"/>
    <w:rsid w:val="006757A7"/>
    <w:rsid w:val="006757AF"/>
    <w:rsid w:val="006757B8"/>
    <w:rsid w:val="006757CE"/>
    <w:rsid w:val="00675833"/>
    <w:rsid w:val="00675881"/>
    <w:rsid w:val="00675968"/>
    <w:rsid w:val="00675978"/>
    <w:rsid w:val="0067598D"/>
    <w:rsid w:val="00675A27"/>
    <w:rsid w:val="00675A2F"/>
    <w:rsid w:val="00675A4D"/>
    <w:rsid w:val="00675AA3"/>
    <w:rsid w:val="00675AFD"/>
    <w:rsid w:val="00675B6F"/>
    <w:rsid w:val="00675B8E"/>
    <w:rsid w:val="00675BC3"/>
    <w:rsid w:val="00675BCF"/>
    <w:rsid w:val="00675BD4"/>
    <w:rsid w:val="00675BD8"/>
    <w:rsid w:val="00675C0F"/>
    <w:rsid w:val="00675C43"/>
    <w:rsid w:val="00675C48"/>
    <w:rsid w:val="00675D0C"/>
    <w:rsid w:val="00675D3D"/>
    <w:rsid w:val="00675D4A"/>
    <w:rsid w:val="00675DB2"/>
    <w:rsid w:val="00675DB3"/>
    <w:rsid w:val="00675DC2"/>
    <w:rsid w:val="00675DC8"/>
    <w:rsid w:val="00675DD6"/>
    <w:rsid w:val="00675EBF"/>
    <w:rsid w:val="00675F0A"/>
    <w:rsid w:val="00675F37"/>
    <w:rsid w:val="00675F86"/>
    <w:rsid w:val="00675F8F"/>
    <w:rsid w:val="00675FD2"/>
    <w:rsid w:val="00675FF2"/>
    <w:rsid w:val="00676044"/>
    <w:rsid w:val="00676064"/>
    <w:rsid w:val="0067606B"/>
    <w:rsid w:val="00676115"/>
    <w:rsid w:val="0067611B"/>
    <w:rsid w:val="006761A7"/>
    <w:rsid w:val="006761B2"/>
    <w:rsid w:val="0067620C"/>
    <w:rsid w:val="0067620D"/>
    <w:rsid w:val="00676217"/>
    <w:rsid w:val="006762C6"/>
    <w:rsid w:val="006762ED"/>
    <w:rsid w:val="0067632B"/>
    <w:rsid w:val="00676344"/>
    <w:rsid w:val="00676382"/>
    <w:rsid w:val="00676411"/>
    <w:rsid w:val="00676421"/>
    <w:rsid w:val="00676439"/>
    <w:rsid w:val="0067643F"/>
    <w:rsid w:val="00676450"/>
    <w:rsid w:val="00676475"/>
    <w:rsid w:val="006764BB"/>
    <w:rsid w:val="006764C6"/>
    <w:rsid w:val="006764F3"/>
    <w:rsid w:val="00676573"/>
    <w:rsid w:val="006765BC"/>
    <w:rsid w:val="006765EC"/>
    <w:rsid w:val="006765F7"/>
    <w:rsid w:val="00676613"/>
    <w:rsid w:val="00676690"/>
    <w:rsid w:val="0067671A"/>
    <w:rsid w:val="00676726"/>
    <w:rsid w:val="0067675B"/>
    <w:rsid w:val="00676770"/>
    <w:rsid w:val="006767E0"/>
    <w:rsid w:val="00676865"/>
    <w:rsid w:val="006768AB"/>
    <w:rsid w:val="00676900"/>
    <w:rsid w:val="00676902"/>
    <w:rsid w:val="00676922"/>
    <w:rsid w:val="00676956"/>
    <w:rsid w:val="0067696A"/>
    <w:rsid w:val="00676978"/>
    <w:rsid w:val="006769D9"/>
    <w:rsid w:val="00676A07"/>
    <w:rsid w:val="00676A23"/>
    <w:rsid w:val="00676A3E"/>
    <w:rsid w:val="00676A5A"/>
    <w:rsid w:val="00676A7B"/>
    <w:rsid w:val="00676AA1"/>
    <w:rsid w:val="00676AC0"/>
    <w:rsid w:val="00676AD4"/>
    <w:rsid w:val="00676B15"/>
    <w:rsid w:val="00676B1F"/>
    <w:rsid w:val="00676B81"/>
    <w:rsid w:val="00676BB2"/>
    <w:rsid w:val="00676BB3"/>
    <w:rsid w:val="00676BBE"/>
    <w:rsid w:val="00676BD1"/>
    <w:rsid w:val="00676C17"/>
    <w:rsid w:val="00676C23"/>
    <w:rsid w:val="00676C4B"/>
    <w:rsid w:val="00676C99"/>
    <w:rsid w:val="00676CD0"/>
    <w:rsid w:val="00676CD3"/>
    <w:rsid w:val="00676CF5"/>
    <w:rsid w:val="00676D7A"/>
    <w:rsid w:val="00676DA1"/>
    <w:rsid w:val="00676E79"/>
    <w:rsid w:val="00676E7F"/>
    <w:rsid w:val="00676E85"/>
    <w:rsid w:val="00676F10"/>
    <w:rsid w:val="00676F2A"/>
    <w:rsid w:val="00676FB3"/>
    <w:rsid w:val="00676FBA"/>
    <w:rsid w:val="00676FBF"/>
    <w:rsid w:val="00676FCE"/>
    <w:rsid w:val="00676FD3"/>
    <w:rsid w:val="00676FE1"/>
    <w:rsid w:val="00676FF6"/>
    <w:rsid w:val="00676FFC"/>
    <w:rsid w:val="006770C4"/>
    <w:rsid w:val="0067720B"/>
    <w:rsid w:val="00677228"/>
    <w:rsid w:val="00677251"/>
    <w:rsid w:val="00677306"/>
    <w:rsid w:val="0067730B"/>
    <w:rsid w:val="0067730F"/>
    <w:rsid w:val="006773D6"/>
    <w:rsid w:val="006774B3"/>
    <w:rsid w:val="00677505"/>
    <w:rsid w:val="0067756E"/>
    <w:rsid w:val="0067757B"/>
    <w:rsid w:val="006775AC"/>
    <w:rsid w:val="006775B1"/>
    <w:rsid w:val="0067762F"/>
    <w:rsid w:val="00677633"/>
    <w:rsid w:val="0067765F"/>
    <w:rsid w:val="006776DE"/>
    <w:rsid w:val="00677731"/>
    <w:rsid w:val="00677768"/>
    <w:rsid w:val="0067778B"/>
    <w:rsid w:val="0067778C"/>
    <w:rsid w:val="0067779D"/>
    <w:rsid w:val="006777BD"/>
    <w:rsid w:val="006777E2"/>
    <w:rsid w:val="006777FF"/>
    <w:rsid w:val="0067782F"/>
    <w:rsid w:val="0067784D"/>
    <w:rsid w:val="0067785E"/>
    <w:rsid w:val="006778A6"/>
    <w:rsid w:val="006778BA"/>
    <w:rsid w:val="006778E4"/>
    <w:rsid w:val="006778EB"/>
    <w:rsid w:val="00677964"/>
    <w:rsid w:val="00677977"/>
    <w:rsid w:val="006779E1"/>
    <w:rsid w:val="006779F4"/>
    <w:rsid w:val="00677A06"/>
    <w:rsid w:val="00677A69"/>
    <w:rsid w:val="00677AB2"/>
    <w:rsid w:val="00677AC4"/>
    <w:rsid w:val="00677AC9"/>
    <w:rsid w:val="00677AFA"/>
    <w:rsid w:val="00677B94"/>
    <w:rsid w:val="00677BB5"/>
    <w:rsid w:val="00677BED"/>
    <w:rsid w:val="00677C09"/>
    <w:rsid w:val="00677C81"/>
    <w:rsid w:val="00677D47"/>
    <w:rsid w:val="00677D5A"/>
    <w:rsid w:val="00677D6E"/>
    <w:rsid w:val="00677D77"/>
    <w:rsid w:val="00677E1E"/>
    <w:rsid w:val="00677E22"/>
    <w:rsid w:val="00677EE8"/>
    <w:rsid w:val="00677F3E"/>
    <w:rsid w:val="00677F94"/>
    <w:rsid w:val="0068001F"/>
    <w:rsid w:val="0068003A"/>
    <w:rsid w:val="00680051"/>
    <w:rsid w:val="00680092"/>
    <w:rsid w:val="006800F4"/>
    <w:rsid w:val="00680114"/>
    <w:rsid w:val="006801B6"/>
    <w:rsid w:val="00680231"/>
    <w:rsid w:val="00680256"/>
    <w:rsid w:val="0068025C"/>
    <w:rsid w:val="0068029D"/>
    <w:rsid w:val="006802AA"/>
    <w:rsid w:val="006802DD"/>
    <w:rsid w:val="006802F5"/>
    <w:rsid w:val="006802FA"/>
    <w:rsid w:val="00680326"/>
    <w:rsid w:val="00680352"/>
    <w:rsid w:val="00680389"/>
    <w:rsid w:val="0068039A"/>
    <w:rsid w:val="006803C7"/>
    <w:rsid w:val="006803DA"/>
    <w:rsid w:val="00680413"/>
    <w:rsid w:val="00680416"/>
    <w:rsid w:val="006804B2"/>
    <w:rsid w:val="006804E6"/>
    <w:rsid w:val="0068050C"/>
    <w:rsid w:val="00680521"/>
    <w:rsid w:val="00680546"/>
    <w:rsid w:val="00680597"/>
    <w:rsid w:val="006805AC"/>
    <w:rsid w:val="00680622"/>
    <w:rsid w:val="0068063A"/>
    <w:rsid w:val="0068065C"/>
    <w:rsid w:val="00680676"/>
    <w:rsid w:val="006806C8"/>
    <w:rsid w:val="006806F8"/>
    <w:rsid w:val="0068070B"/>
    <w:rsid w:val="0068074C"/>
    <w:rsid w:val="0068074D"/>
    <w:rsid w:val="006807A2"/>
    <w:rsid w:val="0068088C"/>
    <w:rsid w:val="006808FE"/>
    <w:rsid w:val="0068098B"/>
    <w:rsid w:val="00680996"/>
    <w:rsid w:val="006809C4"/>
    <w:rsid w:val="00680A1F"/>
    <w:rsid w:val="00680A43"/>
    <w:rsid w:val="00680A63"/>
    <w:rsid w:val="00680AA2"/>
    <w:rsid w:val="00680AD4"/>
    <w:rsid w:val="00680B5F"/>
    <w:rsid w:val="00680B65"/>
    <w:rsid w:val="00680B73"/>
    <w:rsid w:val="00680B7F"/>
    <w:rsid w:val="00680C03"/>
    <w:rsid w:val="00680C26"/>
    <w:rsid w:val="00680C4F"/>
    <w:rsid w:val="00680C55"/>
    <w:rsid w:val="00680C6F"/>
    <w:rsid w:val="00680CA0"/>
    <w:rsid w:val="00680D1A"/>
    <w:rsid w:val="00680D37"/>
    <w:rsid w:val="00680D3D"/>
    <w:rsid w:val="00680D5B"/>
    <w:rsid w:val="00680D5D"/>
    <w:rsid w:val="00680DBD"/>
    <w:rsid w:val="00680E5A"/>
    <w:rsid w:val="00680EF2"/>
    <w:rsid w:val="00680F34"/>
    <w:rsid w:val="00680F45"/>
    <w:rsid w:val="00680F92"/>
    <w:rsid w:val="00680FB7"/>
    <w:rsid w:val="00681026"/>
    <w:rsid w:val="00681086"/>
    <w:rsid w:val="0068108D"/>
    <w:rsid w:val="006810B6"/>
    <w:rsid w:val="006810E3"/>
    <w:rsid w:val="006810FC"/>
    <w:rsid w:val="0068116C"/>
    <w:rsid w:val="00681192"/>
    <w:rsid w:val="006811BA"/>
    <w:rsid w:val="006811F2"/>
    <w:rsid w:val="00681265"/>
    <w:rsid w:val="00681300"/>
    <w:rsid w:val="00681326"/>
    <w:rsid w:val="006813A1"/>
    <w:rsid w:val="006813B5"/>
    <w:rsid w:val="006813E1"/>
    <w:rsid w:val="00681426"/>
    <w:rsid w:val="0068145E"/>
    <w:rsid w:val="006814AD"/>
    <w:rsid w:val="00681523"/>
    <w:rsid w:val="00681536"/>
    <w:rsid w:val="00681549"/>
    <w:rsid w:val="0068154A"/>
    <w:rsid w:val="0068154B"/>
    <w:rsid w:val="006815A8"/>
    <w:rsid w:val="006815EC"/>
    <w:rsid w:val="00681601"/>
    <w:rsid w:val="00681639"/>
    <w:rsid w:val="0068163B"/>
    <w:rsid w:val="0068163F"/>
    <w:rsid w:val="006816E0"/>
    <w:rsid w:val="006816EE"/>
    <w:rsid w:val="0068171E"/>
    <w:rsid w:val="00681741"/>
    <w:rsid w:val="0068181A"/>
    <w:rsid w:val="0068182D"/>
    <w:rsid w:val="0068183C"/>
    <w:rsid w:val="00681869"/>
    <w:rsid w:val="00681884"/>
    <w:rsid w:val="0068188A"/>
    <w:rsid w:val="006818CE"/>
    <w:rsid w:val="0068192B"/>
    <w:rsid w:val="00681999"/>
    <w:rsid w:val="0068199A"/>
    <w:rsid w:val="006819C9"/>
    <w:rsid w:val="00681A2E"/>
    <w:rsid w:val="00681AF1"/>
    <w:rsid w:val="00681B01"/>
    <w:rsid w:val="00681B08"/>
    <w:rsid w:val="00681B0F"/>
    <w:rsid w:val="00681B24"/>
    <w:rsid w:val="00681B4B"/>
    <w:rsid w:val="00681BA7"/>
    <w:rsid w:val="00681BB3"/>
    <w:rsid w:val="00681BB7"/>
    <w:rsid w:val="00681BDE"/>
    <w:rsid w:val="00681C17"/>
    <w:rsid w:val="00681C60"/>
    <w:rsid w:val="00681C72"/>
    <w:rsid w:val="00681D66"/>
    <w:rsid w:val="00681D80"/>
    <w:rsid w:val="00681E2A"/>
    <w:rsid w:val="00681F08"/>
    <w:rsid w:val="00681F33"/>
    <w:rsid w:val="00681F38"/>
    <w:rsid w:val="00681FF6"/>
    <w:rsid w:val="0068202D"/>
    <w:rsid w:val="0068203D"/>
    <w:rsid w:val="0068207B"/>
    <w:rsid w:val="00682086"/>
    <w:rsid w:val="006820F1"/>
    <w:rsid w:val="00682103"/>
    <w:rsid w:val="0068220B"/>
    <w:rsid w:val="0068221A"/>
    <w:rsid w:val="0068226E"/>
    <w:rsid w:val="006822D7"/>
    <w:rsid w:val="00682321"/>
    <w:rsid w:val="0068232C"/>
    <w:rsid w:val="00682338"/>
    <w:rsid w:val="006823AE"/>
    <w:rsid w:val="006823C8"/>
    <w:rsid w:val="006823D5"/>
    <w:rsid w:val="006823F0"/>
    <w:rsid w:val="00682435"/>
    <w:rsid w:val="00682497"/>
    <w:rsid w:val="006824A4"/>
    <w:rsid w:val="006824A9"/>
    <w:rsid w:val="006824C4"/>
    <w:rsid w:val="006824DD"/>
    <w:rsid w:val="006824FA"/>
    <w:rsid w:val="006824FF"/>
    <w:rsid w:val="0068252F"/>
    <w:rsid w:val="00682583"/>
    <w:rsid w:val="006825AF"/>
    <w:rsid w:val="00682620"/>
    <w:rsid w:val="00682643"/>
    <w:rsid w:val="0068265B"/>
    <w:rsid w:val="00682702"/>
    <w:rsid w:val="0068272B"/>
    <w:rsid w:val="0068273B"/>
    <w:rsid w:val="00682759"/>
    <w:rsid w:val="00682768"/>
    <w:rsid w:val="006827B5"/>
    <w:rsid w:val="006827B7"/>
    <w:rsid w:val="006827DA"/>
    <w:rsid w:val="006828D2"/>
    <w:rsid w:val="006828E1"/>
    <w:rsid w:val="006828F9"/>
    <w:rsid w:val="00682938"/>
    <w:rsid w:val="006829BB"/>
    <w:rsid w:val="006829C7"/>
    <w:rsid w:val="00682A2D"/>
    <w:rsid w:val="00682A3B"/>
    <w:rsid w:val="00682A41"/>
    <w:rsid w:val="00682A9C"/>
    <w:rsid w:val="00682ACF"/>
    <w:rsid w:val="00682AD9"/>
    <w:rsid w:val="00682B1D"/>
    <w:rsid w:val="00682B2C"/>
    <w:rsid w:val="00682B60"/>
    <w:rsid w:val="00682B80"/>
    <w:rsid w:val="00682B9E"/>
    <w:rsid w:val="00682C64"/>
    <w:rsid w:val="00682CA0"/>
    <w:rsid w:val="00682CB2"/>
    <w:rsid w:val="00682CDD"/>
    <w:rsid w:val="00682D21"/>
    <w:rsid w:val="00682D54"/>
    <w:rsid w:val="00682D58"/>
    <w:rsid w:val="00682DA3"/>
    <w:rsid w:val="00682DAA"/>
    <w:rsid w:val="00682DD3"/>
    <w:rsid w:val="00682E04"/>
    <w:rsid w:val="00682E49"/>
    <w:rsid w:val="00682E6E"/>
    <w:rsid w:val="00682F62"/>
    <w:rsid w:val="00682F74"/>
    <w:rsid w:val="00682FEC"/>
    <w:rsid w:val="00682FF6"/>
    <w:rsid w:val="00682FFE"/>
    <w:rsid w:val="006830F2"/>
    <w:rsid w:val="006831B2"/>
    <w:rsid w:val="006831EB"/>
    <w:rsid w:val="006831F2"/>
    <w:rsid w:val="0068320F"/>
    <w:rsid w:val="00683259"/>
    <w:rsid w:val="0068329A"/>
    <w:rsid w:val="006832A7"/>
    <w:rsid w:val="0068333A"/>
    <w:rsid w:val="00683356"/>
    <w:rsid w:val="0068337F"/>
    <w:rsid w:val="006833AE"/>
    <w:rsid w:val="006833B4"/>
    <w:rsid w:val="006833D9"/>
    <w:rsid w:val="006833DF"/>
    <w:rsid w:val="006833EE"/>
    <w:rsid w:val="006833F9"/>
    <w:rsid w:val="00683409"/>
    <w:rsid w:val="00683446"/>
    <w:rsid w:val="006834A0"/>
    <w:rsid w:val="006834C4"/>
    <w:rsid w:val="0068352A"/>
    <w:rsid w:val="0068352D"/>
    <w:rsid w:val="00683551"/>
    <w:rsid w:val="0068359D"/>
    <w:rsid w:val="0068363A"/>
    <w:rsid w:val="00683652"/>
    <w:rsid w:val="006836DD"/>
    <w:rsid w:val="006836E2"/>
    <w:rsid w:val="006836FE"/>
    <w:rsid w:val="0068373D"/>
    <w:rsid w:val="00683748"/>
    <w:rsid w:val="006837D0"/>
    <w:rsid w:val="006837FE"/>
    <w:rsid w:val="00683811"/>
    <w:rsid w:val="0068381A"/>
    <w:rsid w:val="0068389B"/>
    <w:rsid w:val="006838B4"/>
    <w:rsid w:val="006838CE"/>
    <w:rsid w:val="00683A05"/>
    <w:rsid w:val="00683A5C"/>
    <w:rsid w:val="00683A7C"/>
    <w:rsid w:val="00683AC7"/>
    <w:rsid w:val="00683B3A"/>
    <w:rsid w:val="00683B69"/>
    <w:rsid w:val="00683B7D"/>
    <w:rsid w:val="00683B8C"/>
    <w:rsid w:val="00683B92"/>
    <w:rsid w:val="00683BA4"/>
    <w:rsid w:val="00683BDE"/>
    <w:rsid w:val="00683C07"/>
    <w:rsid w:val="00683C22"/>
    <w:rsid w:val="00683C6A"/>
    <w:rsid w:val="00683C83"/>
    <w:rsid w:val="00683C9C"/>
    <w:rsid w:val="00683C9D"/>
    <w:rsid w:val="00683D56"/>
    <w:rsid w:val="00683DE0"/>
    <w:rsid w:val="00683E5D"/>
    <w:rsid w:val="00683E63"/>
    <w:rsid w:val="00683E6A"/>
    <w:rsid w:val="00683E7A"/>
    <w:rsid w:val="00683EF7"/>
    <w:rsid w:val="00683F23"/>
    <w:rsid w:val="00683F72"/>
    <w:rsid w:val="00683F9A"/>
    <w:rsid w:val="0068407B"/>
    <w:rsid w:val="00684083"/>
    <w:rsid w:val="006840A4"/>
    <w:rsid w:val="00684133"/>
    <w:rsid w:val="0068418E"/>
    <w:rsid w:val="006841F5"/>
    <w:rsid w:val="00684247"/>
    <w:rsid w:val="0068426E"/>
    <w:rsid w:val="00684283"/>
    <w:rsid w:val="006842A0"/>
    <w:rsid w:val="00684306"/>
    <w:rsid w:val="006843B3"/>
    <w:rsid w:val="0068445C"/>
    <w:rsid w:val="006844B9"/>
    <w:rsid w:val="006845E1"/>
    <w:rsid w:val="00684636"/>
    <w:rsid w:val="00684673"/>
    <w:rsid w:val="00684692"/>
    <w:rsid w:val="006846C5"/>
    <w:rsid w:val="006846D7"/>
    <w:rsid w:val="00684783"/>
    <w:rsid w:val="006847AF"/>
    <w:rsid w:val="006847EB"/>
    <w:rsid w:val="00684818"/>
    <w:rsid w:val="00684825"/>
    <w:rsid w:val="006848E9"/>
    <w:rsid w:val="00684900"/>
    <w:rsid w:val="00684909"/>
    <w:rsid w:val="0068497F"/>
    <w:rsid w:val="006849B3"/>
    <w:rsid w:val="006849C8"/>
    <w:rsid w:val="006849F5"/>
    <w:rsid w:val="00684A9F"/>
    <w:rsid w:val="00684BE9"/>
    <w:rsid w:val="00684BFD"/>
    <w:rsid w:val="00684C76"/>
    <w:rsid w:val="00684C7B"/>
    <w:rsid w:val="00684C86"/>
    <w:rsid w:val="00684CA8"/>
    <w:rsid w:val="00684D02"/>
    <w:rsid w:val="00684D0A"/>
    <w:rsid w:val="00684D53"/>
    <w:rsid w:val="00684DB3"/>
    <w:rsid w:val="00684DE0"/>
    <w:rsid w:val="00684E51"/>
    <w:rsid w:val="00684E56"/>
    <w:rsid w:val="00684E7A"/>
    <w:rsid w:val="00684EC6"/>
    <w:rsid w:val="00684F01"/>
    <w:rsid w:val="00684F04"/>
    <w:rsid w:val="00684F22"/>
    <w:rsid w:val="00684F5D"/>
    <w:rsid w:val="00684FF1"/>
    <w:rsid w:val="00685017"/>
    <w:rsid w:val="00685048"/>
    <w:rsid w:val="00685073"/>
    <w:rsid w:val="006850A0"/>
    <w:rsid w:val="0068515F"/>
    <w:rsid w:val="0068518D"/>
    <w:rsid w:val="00685199"/>
    <w:rsid w:val="006851D8"/>
    <w:rsid w:val="00685201"/>
    <w:rsid w:val="0068523D"/>
    <w:rsid w:val="00685292"/>
    <w:rsid w:val="006852BB"/>
    <w:rsid w:val="006852DC"/>
    <w:rsid w:val="00685316"/>
    <w:rsid w:val="006853C3"/>
    <w:rsid w:val="006853C6"/>
    <w:rsid w:val="006853EC"/>
    <w:rsid w:val="00685410"/>
    <w:rsid w:val="00685432"/>
    <w:rsid w:val="00685458"/>
    <w:rsid w:val="00685507"/>
    <w:rsid w:val="0068550A"/>
    <w:rsid w:val="00685514"/>
    <w:rsid w:val="0068551D"/>
    <w:rsid w:val="00685525"/>
    <w:rsid w:val="00685530"/>
    <w:rsid w:val="00685568"/>
    <w:rsid w:val="006855A5"/>
    <w:rsid w:val="00685669"/>
    <w:rsid w:val="00685698"/>
    <w:rsid w:val="006856A1"/>
    <w:rsid w:val="006856A3"/>
    <w:rsid w:val="006856C8"/>
    <w:rsid w:val="006856CA"/>
    <w:rsid w:val="006856E4"/>
    <w:rsid w:val="0068571C"/>
    <w:rsid w:val="00685737"/>
    <w:rsid w:val="0068575C"/>
    <w:rsid w:val="006857D0"/>
    <w:rsid w:val="006857F1"/>
    <w:rsid w:val="0068585D"/>
    <w:rsid w:val="00685875"/>
    <w:rsid w:val="00685895"/>
    <w:rsid w:val="00685899"/>
    <w:rsid w:val="006858FA"/>
    <w:rsid w:val="0068594A"/>
    <w:rsid w:val="0068595E"/>
    <w:rsid w:val="00685969"/>
    <w:rsid w:val="006859FA"/>
    <w:rsid w:val="00685A1E"/>
    <w:rsid w:val="00685A31"/>
    <w:rsid w:val="00685A4B"/>
    <w:rsid w:val="00685A7A"/>
    <w:rsid w:val="00685AD7"/>
    <w:rsid w:val="00685AE6"/>
    <w:rsid w:val="00685B0E"/>
    <w:rsid w:val="00685B39"/>
    <w:rsid w:val="00685B47"/>
    <w:rsid w:val="00685BA5"/>
    <w:rsid w:val="00685BB5"/>
    <w:rsid w:val="00685BC1"/>
    <w:rsid w:val="00685C0D"/>
    <w:rsid w:val="00685C1F"/>
    <w:rsid w:val="00685C9A"/>
    <w:rsid w:val="00685C9D"/>
    <w:rsid w:val="00685D26"/>
    <w:rsid w:val="00685D5F"/>
    <w:rsid w:val="00685DAE"/>
    <w:rsid w:val="00685E41"/>
    <w:rsid w:val="00685E5B"/>
    <w:rsid w:val="00685EA0"/>
    <w:rsid w:val="00685ED6"/>
    <w:rsid w:val="00685F10"/>
    <w:rsid w:val="00685F47"/>
    <w:rsid w:val="00685F8D"/>
    <w:rsid w:val="00685FA4"/>
    <w:rsid w:val="00685FB9"/>
    <w:rsid w:val="00685FF7"/>
    <w:rsid w:val="00686037"/>
    <w:rsid w:val="00686059"/>
    <w:rsid w:val="0068608C"/>
    <w:rsid w:val="006860B1"/>
    <w:rsid w:val="006860EF"/>
    <w:rsid w:val="00686129"/>
    <w:rsid w:val="00686152"/>
    <w:rsid w:val="0068616A"/>
    <w:rsid w:val="00686180"/>
    <w:rsid w:val="006861C3"/>
    <w:rsid w:val="006861CA"/>
    <w:rsid w:val="006861D1"/>
    <w:rsid w:val="00686248"/>
    <w:rsid w:val="0068624D"/>
    <w:rsid w:val="00686277"/>
    <w:rsid w:val="006862C2"/>
    <w:rsid w:val="006862CC"/>
    <w:rsid w:val="00686302"/>
    <w:rsid w:val="00686311"/>
    <w:rsid w:val="0068633C"/>
    <w:rsid w:val="00686341"/>
    <w:rsid w:val="00686364"/>
    <w:rsid w:val="00686390"/>
    <w:rsid w:val="006863C5"/>
    <w:rsid w:val="00686460"/>
    <w:rsid w:val="0068647F"/>
    <w:rsid w:val="00686508"/>
    <w:rsid w:val="00686526"/>
    <w:rsid w:val="00686533"/>
    <w:rsid w:val="0068655E"/>
    <w:rsid w:val="00686598"/>
    <w:rsid w:val="006865D7"/>
    <w:rsid w:val="006865FE"/>
    <w:rsid w:val="006866D6"/>
    <w:rsid w:val="006866D9"/>
    <w:rsid w:val="00686739"/>
    <w:rsid w:val="0068675D"/>
    <w:rsid w:val="0068677B"/>
    <w:rsid w:val="0068678A"/>
    <w:rsid w:val="0068679B"/>
    <w:rsid w:val="006867B4"/>
    <w:rsid w:val="0068684E"/>
    <w:rsid w:val="006868DB"/>
    <w:rsid w:val="006868E8"/>
    <w:rsid w:val="006868FD"/>
    <w:rsid w:val="00686924"/>
    <w:rsid w:val="00686961"/>
    <w:rsid w:val="0068697D"/>
    <w:rsid w:val="006869EB"/>
    <w:rsid w:val="00686A4E"/>
    <w:rsid w:val="00686A7B"/>
    <w:rsid w:val="00686AD7"/>
    <w:rsid w:val="00686B04"/>
    <w:rsid w:val="00686B54"/>
    <w:rsid w:val="00686BD5"/>
    <w:rsid w:val="00686C20"/>
    <w:rsid w:val="00686C3A"/>
    <w:rsid w:val="00686C52"/>
    <w:rsid w:val="00686C63"/>
    <w:rsid w:val="00686C67"/>
    <w:rsid w:val="00686C81"/>
    <w:rsid w:val="00686C84"/>
    <w:rsid w:val="00686D9D"/>
    <w:rsid w:val="00686DA8"/>
    <w:rsid w:val="00686DDA"/>
    <w:rsid w:val="00686ECC"/>
    <w:rsid w:val="00686EF6"/>
    <w:rsid w:val="00686F24"/>
    <w:rsid w:val="00686F3B"/>
    <w:rsid w:val="00686F7F"/>
    <w:rsid w:val="00686F8C"/>
    <w:rsid w:val="00686F94"/>
    <w:rsid w:val="00686FDC"/>
    <w:rsid w:val="00686FE5"/>
    <w:rsid w:val="00686FED"/>
    <w:rsid w:val="00687018"/>
    <w:rsid w:val="0068705E"/>
    <w:rsid w:val="00687091"/>
    <w:rsid w:val="00687124"/>
    <w:rsid w:val="00687153"/>
    <w:rsid w:val="00687171"/>
    <w:rsid w:val="00687187"/>
    <w:rsid w:val="006871BD"/>
    <w:rsid w:val="006871C8"/>
    <w:rsid w:val="00687216"/>
    <w:rsid w:val="0068723A"/>
    <w:rsid w:val="0068725A"/>
    <w:rsid w:val="00687269"/>
    <w:rsid w:val="0068728D"/>
    <w:rsid w:val="00687299"/>
    <w:rsid w:val="00687332"/>
    <w:rsid w:val="00687333"/>
    <w:rsid w:val="00687337"/>
    <w:rsid w:val="00687369"/>
    <w:rsid w:val="006873A3"/>
    <w:rsid w:val="006873BD"/>
    <w:rsid w:val="006873E1"/>
    <w:rsid w:val="006873E9"/>
    <w:rsid w:val="0068745F"/>
    <w:rsid w:val="00687489"/>
    <w:rsid w:val="00687498"/>
    <w:rsid w:val="006874B4"/>
    <w:rsid w:val="006874E4"/>
    <w:rsid w:val="00687516"/>
    <w:rsid w:val="00687564"/>
    <w:rsid w:val="006877BF"/>
    <w:rsid w:val="00687802"/>
    <w:rsid w:val="00687914"/>
    <w:rsid w:val="0068791D"/>
    <w:rsid w:val="00687966"/>
    <w:rsid w:val="00687967"/>
    <w:rsid w:val="00687971"/>
    <w:rsid w:val="00687A4C"/>
    <w:rsid w:val="00687A8E"/>
    <w:rsid w:val="00687AA1"/>
    <w:rsid w:val="00687AC8"/>
    <w:rsid w:val="00687B0D"/>
    <w:rsid w:val="00687B12"/>
    <w:rsid w:val="00687B72"/>
    <w:rsid w:val="00687B99"/>
    <w:rsid w:val="00687BCA"/>
    <w:rsid w:val="00687C19"/>
    <w:rsid w:val="00687C52"/>
    <w:rsid w:val="00687C81"/>
    <w:rsid w:val="00687C97"/>
    <w:rsid w:val="00687CA0"/>
    <w:rsid w:val="00687CA8"/>
    <w:rsid w:val="00687D31"/>
    <w:rsid w:val="00687DA4"/>
    <w:rsid w:val="00687DB5"/>
    <w:rsid w:val="00687E49"/>
    <w:rsid w:val="00687E66"/>
    <w:rsid w:val="00687E7B"/>
    <w:rsid w:val="00687E97"/>
    <w:rsid w:val="00687EBF"/>
    <w:rsid w:val="00687EDC"/>
    <w:rsid w:val="00687F1A"/>
    <w:rsid w:val="00687F36"/>
    <w:rsid w:val="00687F4C"/>
    <w:rsid w:val="00687F76"/>
    <w:rsid w:val="00687F7A"/>
    <w:rsid w:val="00687F97"/>
    <w:rsid w:val="00690063"/>
    <w:rsid w:val="00690093"/>
    <w:rsid w:val="00690099"/>
    <w:rsid w:val="006900B7"/>
    <w:rsid w:val="006900F6"/>
    <w:rsid w:val="0069016F"/>
    <w:rsid w:val="0069019C"/>
    <w:rsid w:val="0069020A"/>
    <w:rsid w:val="0069020B"/>
    <w:rsid w:val="00690280"/>
    <w:rsid w:val="00690281"/>
    <w:rsid w:val="006902B1"/>
    <w:rsid w:val="006902BD"/>
    <w:rsid w:val="006902D1"/>
    <w:rsid w:val="0069034F"/>
    <w:rsid w:val="0069035C"/>
    <w:rsid w:val="00690370"/>
    <w:rsid w:val="00690394"/>
    <w:rsid w:val="006903B7"/>
    <w:rsid w:val="00690401"/>
    <w:rsid w:val="0069040B"/>
    <w:rsid w:val="00690418"/>
    <w:rsid w:val="006904C7"/>
    <w:rsid w:val="006904F9"/>
    <w:rsid w:val="00690517"/>
    <w:rsid w:val="00690530"/>
    <w:rsid w:val="00690554"/>
    <w:rsid w:val="00690577"/>
    <w:rsid w:val="0069057F"/>
    <w:rsid w:val="00690600"/>
    <w:rsid w:val="00690649"/>
    <w:rsid w:val="0069065D"/>
    <w:rsid w:val="00690672"/>
    <w:rsid w:val="0069068E"/>
    <w:rsid w:val="0069069C"/>
    <w:rsid w:val="006906C3"/>
    <w:rsid w:val="0069073B"/>
    <w:rsid w:val="00690771"/>
    <w:rsid w:val="00690777"/>
    <w:rsid w:val="006907A0"/>
    <w:rsid w:val="006907AC"/>
    <w:rsid w:val="006907BE"/>
    <w:rsid w:val="006907E2"/>
    <w:rsid w:val="006908E0"/>
    <w:rsid w:val="00690902"/>
    <w:rsid w:val="0069094B"/>
    <w:rsid w:val="00690955"/>
    <w:rsid w:val="006909C0"/>
    <w:rsid w:val="00690A47"/>
    <w:rsid w:val="00690AAB"/>
    <w:rsid w:val="00690AAC"/>
    <w:rsid w:val="00690AAD"/>
    <w:rsid w:val="00690AF1"/>
    <w:rsid w:val="00690B19"/>
    <w:rsid w:val="00690B9D"/>
    <w:rsid w:val="00690BAC"/>
    <w:rsid w:val="00690BB4"/>
    <w:rsid w:val="00690BF5"/>
    <w:rsid w:val="00690C03"/>
    <w:rsid w:val="00690C31"/>
    <w:rsid w:val="00690C69"/>
    <w:rsid w:val="00690D18"/>
    <w:rsid w:val="00690D6B"/>
    <w:rsid w:val="00690DBC"/>
    <w:rsid w:val="00690DF8"/>
    <w:rsid w:val="00690E01"/>
    <w:rsid w:val="00690E31"/>
    <w:rsid w:val="00690E84"/>
    <w:rsid w:val="00690EB8"/>
    <w:rsid w:val="00690EBB"/>
    <w:rsid w:val="00690EEB"/>
    <w:rsid w:val="00690EF4"/>
    <w:rsid w:val="00690F0C"/>
    <w:rsid w:val="00690F28"/>
    <w:rsid w:val="00690F6D"/>
    <w:rsid w:val="00690FA5"/>
    <w:rsid w:val="00690FB1"/>
    <w:rsid w:val="00691021"/>
    <w:rsid w:val="0069109C"/>
    <w:rsid w:val="00691126"/>
    <w:rsid w:val="0069113C"/>
    <w:rsid w:val="00691146"/>
    <w:rsid w:val="0069117B"/>
    <w:rsid w:val="00691188"/>
    <w:rsid w:val="0069118B"/>
    <w:rsid w:val="00691198"/>
    <w:rsid w:val="006911DB"/>
    <w:rsid w:val="00691219"/>
    <w:rsid w:val="0069125A"/>
    <w:rsid w:val="0069128F"/>
    <w:rsid w:val="006912FD"/>
    <w:rsid w:val="006913F3"/>
    <w:rsid w:val="00691400"/>
    <w:rsid w:val="00691415"/>
    <w:rsid w:val="00691431"/>
    <w:rsid w:val="0069144A"/>
    <w:rsid w:val="00691454"/>
    <w:rsid w:val="00691457"/>
    <w:rsid w:val="00691466"/>
    <w:rsid w:val="0069148D"/>
    <w:rsid w:val="006914CB"/>
    <w:rsid w:val="0069151E"/>
    <w:rsid w:val="00691540"/>
    <w:rsid w:val="006915E9"/>
    <w:rsid w:val="0069164D"/>
    <w:rsid w:val="006916A8"/>
    <w:rsid w:val="006916B5"/>
    <w:rsid w:val="006916EC"/>
    <w:rsid w:val="00691715"/>
    <w:rsid w:val="00691724"/>
    <w:rsid w:val="00691758"/>
    <w:rsid w:val="0069178D"/>
    <w:rsid w:val="006917DA"/>
    <w:rsid w:val="006917FB"/>
    <w:rsid w:val="00691847"/>
    <w:rsid w:val="00691868"/>
    <w:rsid w:val="006918E5"/>
    <w:rsid w:val="006918E9"/>
    <w:rsid w:val="006918FF"/>
    <w:rsid w:val="0069196C"/>
    <w:rsid w:val="006919AF"/>
    <w:rsid w:val="00691A11"/>
    <w:rsid w:val="00691A9F"/>
    <w:rsid w:val="00691AFD"/>
    <w:rsid w:val="00691B0D"/>
    <w:rsid w:val="00691BA5"/>
    <w:rsid w:val="00691C0B"/>
    <w:rsid w:val="00691C6E"/>
    <w:rsid w:val="00691C77"/>
    <w:rsid w:val="00691CA6"/>
    <w:rsid w:val="00691CD0"/>
    <w:rsid w:val="00691D18"/>
    <w:rsid w:val="00691DC6"/>
    <w:rsid w:val="00691DD0"/>
    <w:rsid w:val="00691DD2"/>
    <w:rsid w:val="00691DDA"/>
    <w:rsid w:val="00691E09"/>
    <w:rsid w:val="00691E58"/>
    <w:rsid w:val="00691EE4"/>
    <w:rsid w:val="00691EF1"/>
    <w:rsid w:val="00691EF3"/>
    <w:rsid w:val="00691F0A"/>
    <w:rsid w:val="00691F1D"/>
    <w:rsid w:val="00691FD5"/>
    <w:rsid w:val="0069206C"/>
    <w:rsid w:val="00692073"/>
    <w:rsid w:val="00692074"/>
    <w:rsid w:val="006920EB"/>
    <w:rsid w:val="006921ED"/>
    <w:rsid w:val="00692201"/>
    <w:rsid w:val="00692202"/>
    <w:rsid w:val="0069222D"/>
    <w:rsid w:val="00692246"/>
    <w:rsid w:val="00692284"/>
    <w:rsid w:val="00692289"/>
    <w:rsid w:val="006922C2"/>
    <w:rsid w:val="006922CC"/>
    <w:rsid w:val="006922E0"/>
    <w:rsid w:val="006922FD"/>
    <w:rsid w:val="006923BB"/>
    <w:rsid w:val="0069241E"/>
    <w:rsid w:val="006924C3"/>
    <w:rsid w:val="00692517"/>
    <w:rsid w:val="00692596"/>
    <w:rsid w:val="006925E8"/>
    <w:rsid w:val="00692633"/>
    <w:rsid w:val="0069263E"/>
    <w:rsid w:val="006926AA"/>
    <w:rsid w:val="006926E5"/>
    <w:rsid w:val="00692875"/>
    <w:rsid w:val="0069288C"/>
    <w:rsid w:val="006928B5"/>
    <w:rsid w:val="006928F5"/>
    <w:rsid w:val="0069297F"/>
    <w:rsid w:val="006929A7"/>
    <w:rsid w:val="006929B7"/>
    <w:rsid w:val="006929EB"/>
    <w:rsid w:val="00692A20"/>
    <w:rsid w:val="00692A30"/>
    <w:rsid w:val="00692B5E"/>
    <w:rsid w:val="00692BCF"/>
    <w:rsid w:val="00692BDA"/>
    <w:rsid w:val="00692BEE"/>
    <w:rsid w:val="00692BF8"/>
    <w:rsid w:val="00692C19"/>
    <w:rsid w:val="00692CE3"/>
    <w:rsid w:val="00692CFC"/>
    <w:rsid w:val="00692D6A"/>
    <w:rsid w:val="00692D78"/>
    <w:rsid w:val="00692DCE"/>
    <w:rsid w:val="00692DD3"/>
    <w:rsid w:val="00692DD6"/>
    <w:rsid w:val="00692DE0"/>
    <w:rsid w:val="00692E33"/>
    <w:rsid w:val="00692E72"/>
    <w:rsid w:val="00692E7A"/>
    <w:rsid w:val="00692E8C"/>
    <w:rsid w:val="00692E9A"/>
    <w:rsid w:val="00692EA3"/>
    <w:rsid w:val="00692EB2"/>
    <w:rsid w:val="00692EE7"/>
    <w:rsid w:val="00692F7A"/>
    <w:rsid w:val="00692F87"/>
    <w:rsid w:val="00692FB9"/>
    <w:rsid w:val="00692FBD"/>
    <w:rsid w:val="00693017"/>
    <w:rsid w:val="0069301B"/>
    <w:rsid w:val="0069301C"/>
    <w:rsid w:val="0069305E"/>
    <w:rsid w:val="006930C1"/>
    <w:rsid w:val="006930EF"/>
    <w:rsid w:val="00693107"/>
    <w:rsid w:val="00693143"/>
    <w:rsid w:val="0069314C"/>
    <w:rsid w:val="006931D6"/>
    <w:rsid w:val="006931E0"/>
    <w:rsid w:val="00693203"/>
    <w:rsid w:val="0069322A"/>
    <w:rsid w:val="00693232"/>
    <w:rsid w:val="00693274"/>
    <w:rsid w:val="006932DC"/>
    <w:rsid w:val="006932EA"/>
    <w:rsid w:val="006932FB"/>
    <w:rsid w:val="00693305"/>
    <w:rsid w:val="0069330A"/>
    <w:rsid w:val="00693323"/>
    <w:rsid w:val="00693341"/>
    <w:rsid w:val="006933B3"/>
    <w:rsid w:val="006933E2"/>
    <w:rsid w:val="006933EF"/>
    <w:rsid w:val="00693495"/>
    <w:rsid w:val="006934AD"/>
    <w:rsid w:val="006934C6"/>
    <w:rsid w:val="006934E7"/>
    <w:rsid w:val="00693508"/>
    <w:rsid w:val="0069350C"/>
    <w:rsid w:val="0069352B"/>
    <w:rsid w:val="0069355C"/>
    <w:rsid w:val="00693577"/>
    <w:rsid w:val="00693583"/>
    <w:rsid w:val="00693585"/>
    <w:rsid w:val="0069358B"/>
    <w:rsid w:val="006935EA"/>
    <w:rsid w:val="006935F6"/>
    <w:rsid w:val="0069363A"/>
    <w:rsid w:val="0069364C"/>
    <w:rsid w:val="0069367C"/>
    <w:rsid w:val="00693689"/>
    <w:rsid w:val="006936A6"/>
    <w:rsid w:val="006936B6"/>
    <w:rsid w:val="006936BC"/>
    <w:rsid w:val="006936DA"/>
    <w:rsid w:val="00693766"/>
    <w:rsid w:val="00693885"/>
    <w:rsid w:val="0069389A"/>
    <w:rsid w:val="006938A5"/>
    <w:rsid w:val="006938E6"/>
    <w:rsid w:val="0069396F"/>
    <w:rsid w:val="00693993"/>
    <w:rsid w:val="0069399C"/>
    <w:rsid w:val="006939B0"/>
    <w:rsid w:val="006939B2"/>
    <w:rsid w:val="006939BC"/>
    <w:rsid w:val="006939CF"/>
    <w:rsid w:val="00693A49"/>
    <w:rsid w:val="00693A4A"/>
    <w:rsid w:val="00693AAC"/>
    <w:rsid w:val="00693AD1"/>
    <w:rsid w:val="00693AE6"/>
    <w:rsid w:val="00693B08"/>
    <w:rsid w:val="00693B6F"/>
    <w:rsid w:val="00693BE2"/>
    <w:rsid w:val="00693C86"/>
    <w:rsid w:val="00693CC8"/>
    <w:rsid w:val="00693CC9"/>
    <w:rsid w:val="00693CDF"/>
    <w:rsid w:val="00693CE2"/>
    <w:rsid w:val="00693D11"/>
    <w:rsid w:val="00693D1C"/>
    <w:rsid w:val="00693D2D"/>
    <w:rsid w:val="00693DC7"/>
    <w:rsid w:val="00693DDA"/>
    <w:rsid w:val="00693DDF"/>
    <w:rsid w:val="00693DFB"/>
    <w:rsid w:val="00693E03"/>
    <w:rsid w:val="00693E3F"/>
    <w:rsid w:val="00693E63"/>
    <w:rsid w:val="00693E7E"/>
    <w:rsid w:val="00693EB3"/>
    <w:rsid w:val="00693EF6"/>
    <w:rsid w:val="00693EFE"/>
    <w:rsid w:val="00693F47"/>
    <w:rsid w:val="00693F5E"/>
    <w:rsid w:val="00693F6D"/>
    <w:rsid w:val="00693F8B"/>
    <w:rsid w:val="00693FB2"/>
    <w:rsid w:val="00693FBB"/>
    <w:rsid w:val="0069406C"/>
    <w:rsid w:val="00694084"/>
    <w:rsid w:val="00694090"/>
    <w:rsid w:val="006940A8"/>
    <w:rsid w:val="006940FD"/>
    <w:rsid w:val="00694170"/>
    <w:rsid w:val="0069417F"/>
    <w:rsid w:val="006941A5"/>
    <w:rsid w:val="006941D9"/>
    <w:rsid w:val="006941F2"/>
    <w:rsid w:val="006941FE"/>
    <w:rsid w:val="006941FF"/>
    <w:rsid w:val="00694212"/>
    <w:rsid w:val="0069421B"/>
    <w:rsid w:val="00694225"/>
    <w:rsid w:val="00694238"/>
    <w:rsid w:val="00694283"/>
    <w:rsid w:val="0069428D"/>
    <w:rsid w:val="006942AF"/>
    <w:rsid w:val="006942C9"/>
    <w:rsid w:val="00694333"/>
    <w:rsid w:val="0069433A"/>
    <w:rsid w:val="0069433B"/>
    <w:rsid w:val="00694356"/>
    <w:rsid w:val="00694387"/>
    <w:rsid w:val="006943A6"/>
    <w:rsid w:val="00694403"/>
    <w:rsid w:val="00694443"/>
    <w:rsid w:val="00694479"/>
    <w:rsid w:val="006944A5"/>
    <w:rsid w:val="006944AD"/>
    <w:rsid w:val="00694504"/>
    <w:rsid w:val="00694546"/>
    <w:rsid w:val="0069454A"/>
    <w:rsid w:val="006945B5"/>
    <w:rsid w:val="00694693"/>
    <w:rsid w:val="006946AB"/>
    <w:rsid w:val="006946AC"/>
    <w:rsid w:val="00694717"/>
    <w:rsid w:val="00694736"/>
    <w:rsid w:val="0069474E"/>
    <w:rsid w:val="006947A9"/>
    <w:rsid w:val="006947C6"/>
    <w:rsid w:val="006947C7"/>
    <w:rsid w:val="006947CC"/>
    <w:rsid w:val="006947E5"/>
    <w:rsid w:val="00694860"/>
    <w:rsid w:val="006948B4"/>
    <w:rsid w:val="006948B6"/>
    <w:rsid w:val="00694930"/>
    <w:rsid w:val="0069493C"/>
    <w:rsid w:val="0069496C"/>
    <w:rsid w:val="00694972"/>
    <w:rsid w:val="00694986"/>
    <w:rsid w:val="006949B1"/>
    <w:rsid w:val="006949D1"/>
    <w:rsid w:val="006949FD"/>
    <w:rsid w:val="00694A12"/>
    <w:rsid w:val="00694A3F"/>
    <w:rsid w:val="00694A8B"/>
    <w:rsid w:val="00694A8C"/>
    <w:rsid w:val="00694AA5"/>
    <w:rsid w:val="00694AEA"/>
    <w:rsid w:val="00694B1E"/>
    <w:rsid w:val="00694B28"/>
    <w:rsid w:val="00694B3D"/>
    <w:rsid w:val="00694B4D"/>
    <w:rsid w:val="00694B71"/>
    <w:rsid w:val="00694C3B"/>
    <w:rsid w:val="00694C54"/>
    <w:rsid w:val="00694C5B"/>
    <w:rsid w:val="00694CB2"/>
    <w:rsid w:val="00694D49"/>
    <w:rsid w:val="00694D4E"/>
    <w:rsid w:val="00694D52"/>
    <w:rsid w:val="00694DB4"/>
    <w:rsid w:val="00694DE3"/>
    <w:rsid w:val="00694E03"/>
    <w:rsid w:val="00694E70"/>
    <w:rsid w:val="00694E88"/>
    <w:rsid w:val="00694EF2"/>
    <w:rsid w:val="00694F1A"/>
    <w:rsid w:val="00694F38"/>
    <w:rsid w:val="00694F96"/>
    <w:rsid w:val="00694F97"/>
    <w:rsid w:val="00694FEA"/>
    <w:rsid w:val="00694FF8"/>
    <w:rsid w:val="00695087"/>
    <w:rsid w:val="0069509D"/>
    <w:rsid w:val="006950F2"/>
    <w:rsid w:val="006950F6"/>
    <w:rsid w:val="006950F7"/>
    <w:rsid w:val="00695105"/>
    <w:rsid w:val="0069510B"/>
    <w:rsid w:val="00695119"/>
    <w:rsid w:val="00695131"/>
    <w:rsid w:val="00695142"/>
    <w:rsid w:val="00695158"/>
    <w:rsid w:val="00695176"/>
    <w:rsid w:val="0069517F"/>
    <w:rsid w:val="006951B8"/>
    <w:rsid w:val="006951D8"/>
    <w:rsid w:val="00695213"/>
    <w:rsid w:val="00695215"/>
    <w:rsid w:val="00695238"/>
    <w:rsid w:val="00695242"/>
    <w:rsid w:val="00695261"/>
    <w:rsid w:val="00695299"/>
    <w:rsid w:val="0069532A"/>
    <w:rsid w:val="00695394"/>
    <w:rsid w:val="006953D3"/>
    <w:rsid w:val="006953E5"/>
    <w:rsid w:val="006953EE"/>
    <w:rsid w:val="00695498"/>
    <w:rsid w:val="006954B4"/>
    <w:rsid w:val="00695514"/>
    <w:rsid w:val="00695570"/>
    <w:rsid w:val="006955DE"/>
    <w:rsid w:val="006955F9"/>
    <w:rsid w:val="00695628"/>
    <w:rsid w:val="00695654"/>
    <w:rsid w:val="0069567F"/>
    <w:rsid w:val="006956BB"/>
    <w:rsid w:val="006956CA"/>
    <w:rsid w:val="006956EF"/>
    <w:rsid w:val="00695704"/>
    <w:rsid w:val="00695712"/>
    <w:rsid w:val="0069572D"/>
    <w:rsid w:val="00695755"/>
    <w:rsid w:val="00695770"/>
    <w:rsid w:val="006957AE"/>
    <w:rsid w:val="006957B1"/>
    <w:rsid w:val="0069582A"/>
    <w:rsid w:val="0069582E"/>
    <w:rsid w:val="00695848"/>
    <w:rsid w:val="00695898"/>
    <w:rsid w:val="006958A4"/>
    <w:rsid w:val="006958BC"/>
    <w:rsid w:val="00695901"/>
    <w:rsid w:val="0069594E"/>
    <w:rsid w:val="006959D9"/>
    <w:rsid w:val="00695A6F"/>
    <w:rsid w:val="00695A9D"/>
    <w:rsid w:val="00695AF2"/>
    <w:rsid w:val="00695AF8"/>
    <w:rsid w:val="00695B3C"/>
    <w:rsid w:val="00695B98"/>
    <w:rsid w:val="00695B9A"/>
    <w:rsid w:val="00695BA1"/>
    <w:rsid w:val="00695BA5"/>
    <w:rsid w:val="00695BC0"/>
    <w:rsid w:val="00695BFA"/>
    <w:rsid w:val="00695C87"/>
    <w:rsid w:val="00695CB3"/>
    <w:rsid w:val="00695CC3"/>
    <w:rsid w:val="00695CCF"/>
    <w:rsid w:val="00695D51"/>
    <w:rsid w:val="00695D61"/>
    <w:rsid w:val="00695D75"/>
    <w:rsid w:val="00695D94"/>
    <w:rsid w:val="00695D9A"/>
    <w:rsid w:val="00695DD1"/>
    <w:rsid w:val="00695DF2"/>
    <w:rsid w:val="00695E6A"/>
    <w:rsid w:val="00695E9C"/>
    <w:rsid w:val="00695EA2"/>
    <w:rsid w:val="00695EAD"/>
    <w:rsid w:val="00695F03"/>
    <w:rsid w:val="00695F21"/>
    <w:rsid w:val="00695F70"/>
    <w:rsid w:val="00695F83"/>
    <w:rsid w:val="00695FD9"/>
    <w:rsid w:val="00695FF1"/>
    <w:rsid w:val="0069600A"/>
    <w:rsid w:val="0069601E"/>
    <w:rsid w:val="00696026"/>
    <w:rsid w:val="00696044"/>
    <w:rsid w:val="0069606E"/>
    <w:rsid w:val="00696074"/>
    <w:rsid w:val="00696085"/>
    <w:rsid w:val="0069608E"/>
    <w:rsid w:val="006960BA"/>
    <w:rsid w:val="006960BB"/>
    <w:rsid w:val="00696144"/>
    <w:rsid w:val="00696184"/>
    <w:rsid w:val="00696197"/>
    <w:rsid w:val="006961C1"/>
    <w:rsid w:val="006961C6"/>
    <w:rsid w:val="006961F8"/>
    <w:rsid w:val="0069621C"/>
    <w:rsid w:val="00696272"/>
    <w:rsid w:val="00696276"/>
    <w:rsid w:val="00696354"/>
    <w:rsid w:val="00696364"/>
    <w:rsid w:val="006963ED"/>
    <w:rsid w:val="00696426"/>
    <w:rsid w:val="00696438"/>
    <w:rsid w:val="00696490"/>
    <w:rsid w:val="00696494"/>
    <w:rsid w:val="00696496"/>
    <w:rsid w:val="006964BE"/>
    <w:rsid w:val="00696535"/>
    <w:rsid w:val="0069656F"/>
    <w:rsid w:val="0069658D"/>
    <w:rsid w:val="006965EE"/>
    <w:rsid w:val="006965EF"/>
    <w:rsid w:val="006965F9"/>
    <w:rsid w:val="00696603"/>
    <w:rsid w:val="00696607"/>
    <w:rsid w:val="0069662B"/>
    <w:rsid w:val="0069662C"/>
    <w:rsid w:val="00696639"/>
    <w:rsid w:val="00696654"/>
    <w:rsid w:val="0069669E"/>
    <w:rsid w:val="006966B0"/>
    <w:rsid w:val="006966BC"/>
    <w:rsid w:val="006966EF"/>
    <w:rsid w:val="0069671B"/>
    <w:rsid w:val="0069679B"/>
    <w:rsid w:val="0069683E"/>
    <w:rsid w:val="00696885"/>
    <w:rsid w:val="006968A5"/>
    <w:rsid w:val="006968CF"/>
    <w:rsid w:val="00696919"/>
    <w:rsid w:val="0069692D"/>
    <w:rsid w:val="00696935"/>
    <w:rsid w:val="0069695F"/>
    <w:rsid w:val="00696981"/>
    <w:rsid w:val="0069698B"/>
    <w:rsid w:val="006969BA"/>
    <w:rsid w:val="006969C5"/>
    <w:rsid w:val="006969D4"/>
    <w:rsid w:val="00696A2C"/>
    <w:rsid w:val="00696A59"/>
    <w:rsid w:val="00696A7E"/>
    <w:rsid w:val="00696AA1"/>
    <w:rsid w:val="00696AE9"/>
    <w:rsid w:val="00696AEF"/>
    <w:rsid w:val="00696BD7"/>
    <w:rsid w:val="00696C3E"/>
    <w:rsid w:val="00696D8E"/>
    <w:rsid w:val="00696D90"/>
    <w:rsid w:val="00696DAB"/>
    <w:rsid w:val="00696DC6"/>
    <w:rsid w:val="00696DFA"/>
    <w:rsid w:val="00696DFB"/>
    <w:rsid w:val="00696E3E"/>
    <w:rsid w:val="00696EF3"/>
    <w:rsid w:val="00696F76"/>
    <w:rsid w:val="00696F8B"/>
    <w:rsid w:val="00696F8F"/>
    <w:rsid w:val="0069706B"/>
    <w:rsid w:val="006970B4"/>
    <w:rsid w:val="00697131"/>
    <w:rsid w:val="00697185"/>
    <w:rsid w:val="00697190"/>
    <w:rsid w:val="006971A6"/>
    <w:rsid w:val="006971F3"/>
    <w:rsid w:val="00697248"/>
    <w:rsid w:val="0069725E"/>
    <w:rsid w:val="00697292"/>
    <w:rsid w:val="006972CA"/>
    <w:rsid w:val="006972E6"/>
    <w:rsid w:val="006972EE"/>
    <w:rsid w:val="00697315"/>
    <w:rsid w:val="00697316"/>
    <w:rsid w:val="0069740D"/>
    <w:rsid w:val="00697424"/>
    <w:rsid w:val="0069743A"/>
    <w:rsid w:val="006974EF"/>
    <w:rsid w:val="0069751B"/>
    <w:rsid w:val="00697555"/>
    <w:rsid w:val="00697570"/>
    <w:rsid w:val="006975C2"/>
    <w:rsid w:val="006975C4"/>
    <w:rsid w:val="006975F2"/>
    <w:rsid w:val="0069764F"/>
    <w:rsid w:val="0069776E"/>
    <w:rsid w:val="00697792"/>
    <w:rsid w:val="006977C6"/>
    <w:rsid w:val="006977DF"/>
    <w:rsid w:val="006977EC"/>
    <w:rsid w:val="00697807"/>
    <w:rsid w:val="00697815"/>
    <w:rsid w:val="0069783C"/>
    <w:rsid w:val="00697850"/>
    <w:rsid w:val="0069787B"/>
    <w:rsid w:val="00697891"/>
    <w:rsid w:val="006978D0"/>
    <w:rsid w:val="00697928"/>
    <w:rsid w:val="00697939"/>
    <w:rsid w:val="00697959"/>
    <w:rsid w:val="0069795F"/>
    <w:rsid w:val="00697968"/>
    <w:rsid w:val="006979D7"/>
    <w:rsid w:val="006979D8"/>
    <w:rsid w:val="00697A9D"/>
    <w:rsid w:val="00697B05"/>
    <w:rsid w:val="00697B18"/>
    <w:rsid w:val="00697B1E"/>
    <w:rsid w:val="00697B75"/>
    <w:rsid w:val="00697BDA"/>
    <w:rsid w:val="00697BE9"/>
    <w:rsid w:val="00697CB5"/>
    <w:rsid w:val="00697CCA"/>
    <w:rsid w:val="00697CEF"/>
    <w:rsid w:val="00697D42"/>
    <w:rsid w:val="00697D8F"/>
    <w:rsid w:val="00697DF3"/>
    <w:rsid w:val="00697E21"/>
    <w:rsid w:val="00697E5E"/>
    <w:rsid w:val="00697EC7"/>
    <w:rsid w:val="00697EEE"/>
    <w:rsid w:val="00697F30"/>
    <w:rsid w:val="00697F5A"/>
    <w:rsid w:val="00697F76"/>
    <w:rsid w:val="00697F7A"/>
    <w:rsid w:val="00697FD3"/>
    <w:rsid w:val="006A0073"/>
    <w:rsid w:val="006A0076"/>
    <w:rsid w:val="006A0084"/>
    <w:rsid w:val="006A00A0"/>
    <w:rsid w:val="006A00AD"/>
    <w:rsid w:val="006A00AF"/>
    <w:rsid w:val="006A00BF"/>
    <w:rsid w:val="006A00CA"/>
    <w:rsid w:val="006A01DB"/>
    <w:rsid w:val="006A01E7"/>
    <w:rsid w:val="006A027D"/>
    <w:rsid w:val="006A02A3"/>
    <w:rsid w:val="006A030C"/>
    <w:rsid w:val="006A0383"/>
    <w:rsid w:val="006A03AD"/>
    <w:rsid w:val="006A03EF"/>
    <w:rsid w:val="006A044D"/>
    <w:rsid w:val="006A0474"/>
    <w:rsid w:val="006A047E"/>
    <w:rsid w:val="006A0494"/>
    <w:rsid w:val="006A0495"/>
    <w:rsid w:val="006A0496"/>
    <w:rsid w:val="006A0503"/>
    <w:rsid w:val="006A062D"/>
    <w:rsid w:val="006A0647"/>
    <w:rsid w:val="006A066E"/>
    <w:rsid w:val="006A06DA"/>
    <w:rsid w:val="006A06F2"/>
    <w:rsid w:val="006A0707"/>
    <w:rsid w:val="006A071F"/>
    <w:rsid w:val="006A0798"/>
    <w:rsid w:val="006A07FD"/>
    <w:rsid w:val="006A081E"/>
    <w:rsid w:val="006A0823"/>
    <w:rsid w:val="006A0856"/>
    <w:rsid w:val="006A085C"/>
    <w:rsid w:val="006A08CD"/>
    <w:rsid w:val="006A08D2"/>
    <w:rsid w:val="006A0932"/>
    <w:rsid w:val="006A093C"/>
    <w:rsid w:val="006A095A"/>
    <w:rsid w:val="006A0966"/>
    <w:rsid w:val="006A0970"/>
    <w:rsid w:val="006A0971"/>
    <w:rsid w:val="006A0A01"/>
    <w:rsid w:val="006A0A1D"/>
    <w:rsid w:val="006A0A24"/>
    <w:rsid w:val="006A0A2A"/>
    <w:rsid w:val="006A0A31"/>
    <w:rsid w:val="006A0A58"/>
    <w:rsid w:val="006A0A6A"/>
    <w:rsid w:val="006A0A77"/>
    <w:rsid w:val="006A0ABF"/>
    <w:rsid w:val="006A0AC8"/>
    <w:rsid w:val="006A0B38"/>
    <w:rsid w:val="006A0B6F"/>
    <w:rsid w:val="006A0BE2"/>
    <w:rsid w:val="006A0C3E"/>
    <w:rsid w:val="006A0C58"/>
    <w:rsid w:val="006A0D47"/>
    <w:rsid w:val="006A0D5E"/>
    <w:rsid w:val="006A0D94"/>
    <w:rsid w:val="006A0DFB"/>
    <w:rsid w:val="006A0E02"/>
    <w:rsid w:val="006A0E08"/>
    <w:rsid w:val="006A0E24"/>
    <w:rsid w:val="006A0E66"/>
    <w:rsid w:val="006A0E9E"/>
    <w:rsid w:val="006A0EC1"/>
    <w:rsid w:val="006A0EF8"/>
    <w:rsid w:val="006A0F3C"/>
    <w:rsid w:val="006A0F40"/>
    <w:rsid w:val="006A0F7C"/>
    <w:rsid w:val="006A0F93"/>
    <w:rsid w:val="006A0FF1"/>
    <w:rsid w:val="006A1000"/>
    <w:rsid w:val="006A1046"/>
    <w:rsid w:val="006A1149"/>
    <w:rsid w:val="006A11B5"/>
    <w:rsid w:val="006A1275"/>
    <w:rsid w:val="006A1285"/>
    <w:rsid w:val="006A1293"/>
    <w:rsid w:val="006A130D"/>
    <w:rsid w:val="006A130F"/>
    <w:rsid w:val="006A1376"/>
    <w:rsid w:val="006A137B"/>
    <w:rsid w:val="006A13DD"/>
    <w:rsid w:val="006A1413"/>
    <w:rsid w:val="006A147E"/>
    <w:rsid w:val="006A14D4"/>
    <w:rsid w:val="006A151E"/>
    <w:rsid w:val="006A1559"/>
    <w:rsid w:val="006A155B"/>
    <w:rsid w:val="006A15E1"/>
    <w:rsid w:val="006A1604"/>
    <w:rsid w:val="006A161C"/>
    <w:rsid w:val="006A1702"/>
    <w:rsid w:val="006A170A"/>
    <w:rsid w:val="006A1759"/>
    <w:rsid w:val="006A1775"/>
    <w:rsid w:val="006A178B"/>
    <w:rsid w:val="006A17B1"/>
    <w:rsid w:val="006A17BD"/>
    <w:rsid w:val="006A17D5"/>
    <w:rsid w:val="006A17D6"/>
    <w:rsid w:val="006A180D"/>
    <w:rsid w:val="006A18B9"/>
    <w:rsid w:val="006A18E9"/>
    <w:rsid w:val="006A1973"/>
    <w:rsid w:val="006A199C"/>
    <w:rsid w:val="006A19E1"/>
    <w:rsid w:val="006A1A69"/>
    <w:rsid w:val="006A1AD1"/>
    <w:rsid w:val="006A1B20"/>
    <w:rsid w:val="006A1B2B"/>
    <w:rsid w:val="006A1BD1"/>
    <w:rsid w:val="006A1C62"/>
    <w:rsid w:val="006A1CC3"/>
    <w:rsid w:val="006A1CE3"/>
    <w:rsid w:val="006A1D2D"/>
    <w:rsid w:val="006A1D7A"/>
    <w:rsid w:val="006A1DA0"/>
    <w:rsid w:val="006A1EA3"/>
    <w:rsid w:val="006A1F32"/>
    <w:rsid w:val="006A1F51"/>
    <w:rsid w:val="006A1F60"/>
    <w:rsid w:val="006A1F6E"/>
    <w:rsid w:val="006A1FAA"/>
    <w:rsid w:val="006A1FBF"/>
    <w:rsid w:val="006A1FE2"/>
    <w:rsid w:val="006A1FEA"/>
    <w:rsid w:val="006A1FF3"/>
    <w:rsid w:val="006A1FF5"/>
    <w:rsid w:val="006A20D8"/>
    <w:rsid w:val="006A2124"/>
    <w:rsid w:val="006A213C"/>
    <w:rsid w:val="006A2145"/>
    <w:rsid w:val="006A2159"/>
    <w:rsid w:val="006A215E"/>
    <w:rsid w:val="006A216C"/>
    <w:rsid w:val="006A21AC"/>
    <w:rsid w:val="006A21AD"/>
    <w:rsid w:val="006A21D1"/>
    <w:rsid w:val="006A21F5"/>
    <w:rsid w:val="006A2224"/>
    <w:rsid w:val="006A224C"/>
    <w:rsid w:val="006A227E"/>
    <w:rsid w:val="006A22DB"/>
    <w:rsid w:val="006A22F5"/>
    <w:rsid w:val="006A2337"/>
    <w:rsid w:val="006A239C"/>
    <w:rsid w:val="006A2405"/>
    <w:rsid w:val="006A2452"/>
    <w:rsid w:val="006A2481"/>
    <w:rsid w:val="006A2490"/>
    <w:rsid w:val="006A2501"/>
    <w:rsid w:val="006A2515"/>
    <w:rsid w:val="006A2554"/>
    <w:rsid w:val="006A25DF"/>
    <w:rsid w:val="006A261E"/>
    <w:rsid w:val="006A2621"/>
    <w:rsid w:val="006A268D"/>
    <w:rsid w:val="006A2693"/>
    <w:rsid w:val="006A26B9"/>
    <w:rsid w:val="006A2713"/>
    <w:rsid w:val="006A2754"/>
    <w:rsid w:val="006A2798"/>
    <w:rsid w:val="006A27C9"/>
    <w:rsid w:val="006A281D"/>
    <w:rsid w:val="006A2885"/>
    <w:rsid w:val="006A28C9"/>
    <w:rsid w:val="006A29B8"/>
    <w:rsid w:val="006A29BC"/>
    <w:rsid w:val="006A29C2"/>
    <w:rsid w:val="006A2A1F"/>
    <w:rsid w:val="006A2AA2"/>
    <w:rsid w:val="006A2B5B"/>
    <w:rsid w:val="006A2B79"/>
    <w:rsid w:val="006A2B85"/>
    <w:rsid w:val="006A2B94"/>
    <w:rsid w:val="006A2B9C"/>
    <w:rsid w:val="006A2BA7"/>
    <w:rsid w:val="006A2BAB"/>
    <w:rsid w:val="006A2BD2"/>
    <w:rsid w:val="006A2BDE"/>
    <w:rsid w:val="006A2C02"/>
    <w:rsid w:val="006A2C2B"/>
    <w:rsid w:val="006A2C2E"/>
    <w:rsid w:val="006A2C59"/>
    <w:rsid w:val="006A2C77"/>
    <w:rsid w:val="006A2C8F"/>
    <w:rsid w:val="006A2CAA"/>
    <w:rsid w:val="006A2CB1"/>
    <w:rsid w:val="006A2D8B"/>
    <w:rsid w:val="006A2E48"/>
    <w:rsid w:val="006A2E82"/>
    <w:rsid w:val="006A2EAA"/>
    <w:rsid w:val="006A2EB8"/>
    <w:rsid w:val="006A2F1B"/>
    <w:rsid w:val="006A2F59"/>
    <w:rsid w:val="006A2F5B"/>
    <w:rsid w:val="006A2FB6"/>
    <w:rsid w:val="006A2FC9"/>
    <w:rsid w:val="006A2FFE"/>
    <w:rsid w:val="006A3016"/>
    <w:rsid w:val="006A301E"/>
    <w:rsid w:val="006A3021"/>
    <w:rsid w:val="006A306A"/>
    <w:rsid w:val="006A308F"/>
    <w:rsid w:val="006A3137"/>
    <w:rsid w:val="006A319A"/>
    <w:rsid w:val="006A31CB"/>
    <w:rsid w:val="006A31F5"/>
    <w:rsid w:val="006A3246"/>
    <w:rsid w:val="006A3265"/>
    <w:rsid w:val="006A3292"/>
    <w:rsid w:val="006A32BA"/>
    <w:rsid w:val="006A32E9"/>
    <w:rsid w:val="006A32EE"/>
    <w:rsid w:val="006A3314"/>
    <w:rsid w:val="006A331B"/>
    <w:rsid w:val="006A33AC"/>
    <w:rsid w:val="006A347A"/>
    <w:rsid w:val="006A356D"/>
    <w:rsid w:val="006A359B"/>
    <w:rsid w:val="006A360F"/>
    <w:rsid w:val="006A3643"/>
    <w:rsid w:val="006A3692"/>
    <w:rsid w:val="006A36E9"/>
    <w:rsid w:val="006A3723"/>
    <w:rsid w:val="006A3729"/>
    <w:rsid w:val="006A3785"/>
    <w:rsid w:val="006A38CA"/>
    <w:rsid w:val="006A38F4"/>
    <w:rsid w:val="006A38F5"/>
    <w:rsid w:val="006A395C"/>
    <w:rsid w:val="006A3A1A"/>
    <w:rsid w:val="006A3A55"/>
    <w:rsid w:val="006A3A67"/>
    <w:rsid w:val="006A3A72"/>
    <w:rsid w:val="006A3A94"/>
    <w:rsid w:val="006A3AB2"/>
    <w:rsid w:val="006A3AE5"/>
    <w:rsid w:val="006A3B01"/>
    <w:rsid w:val="006A3B26"/>
    <w:rsid w:val="006A3B6B"/>
    <w:rsid w:val="006A3BC7"/>
    <w:rsid w:val="006A3BC8"/>
    <w:rsid w:val="006A3BD5"/>
    <w:rsid w:val="006A3BDD"/>
    <w:rsid w:val="006A3C63"/>
    <w:rsid w:val="006A3CEA"/>
    <w:rsid w:val="006A3D2E"/>
    <w:rsid w:val="006A3D4E"/>
    <w:rsid w:val="006A3D62"/>
    <w:rsid w:val="006A3D67"/>
    <w:rsid w:val="006A3DA5"/>
    <w:rsid w:val="006A3DD3"/>
    <w:rsid w:val="006A3E5A"/>
    <w:rsid w:val="006A3E63"/>
    <w:rsid w:val="006A3E75"/>
    <w:rsid w:val="006A3E78"/>
    <w:rsid w:val="006A3E8A"/>
    <w:rsid w:val="006A3E9D"/>
    <w:rsid w:val="006A3ECA"/>
    <w:rsid w:val="006A3ED9"/>
    <w:rsid w:val="006A3F32"/>
    <w:rsid w:val="006A3F4D"/>
    <w:rsid w:val="006A3FC8"/>
    <w:rsid w:val="006A403E"/>
    <w:rsid w:val="006A409D"/>
    <w:rsid w:val="006A40B3"/>
    <w:rsid w:val="006A40E9"/>
    <w:rsid w:val="006A40F6"/>
    <w:rsid w:val="006A4115"/>
    <w:rsid w:val="006A4167"/>
    <w:rsid w:val="006A418A"/>
    <w:rsid w:val="006A4196"/>
    <w:rsid w:val="006A41F5"/>
    <w:rsid w:val="006A429B"/>
    <w:rsid w:val="006A42E8"/>
    <w:rsid w:val="006A42F2"/>
    <w:rsid w:val="006A4379"/>
    <w:rsid w:val="006A4395"/>
    <w:rsid w:val="006A43C2"/>
    <w:rsid w:val="006A442F"/>
    <w:rsid w:val="006A4459"/>
    <w:rsid w:val="006A446F"/>
    <w:rsid w:val="006A447A"/>
    <w:rsid w:val="006A4480"/>
    <w:rsid w:val="006A451E"/>
    <w:rsid w:val="006A4586"/>
    <w:rsid w:val="006A45A3"/>
    <w:rsid w:val="006A45BB"/>
    <w:rsid w:val="006A45C5"/>
    <w:rsid w:val="006A462A"/>
    <w:rsid w:val="006A4657"/>
    <w:rsid w:val="006A46ED"/>
    <w:rsid w:val="006A4773"/>
    <w:rsid w:val="006A47AE"/>
    <w:rsid w:val="006A47B4"/>
    <w:rsid w:val="006A47B5"/>
    <w:rsid w:val="006A47B7"/>
    <w:rsid w:val="006A47C8"/>
    <w:rsid w:val="006A47E6"/>
    <w:rsid w:val="006A483B"/>
    <w:rsid w:val="006A4877"/>
    <w:rsid w:val="006A487D"/>
    <w:rsid w:val="006A4885"/>
    <w:rsid w:val="006A48A5"/>
    <w:rsid w:val="006A4957"/>
    <w:rsid w:val="006A4A09"/>
    <w:rsid w:val="006A4A0A"/>
    <w:rsid w:val="006A4A4A"/>
    <w:rsid w:val="006A4AC5"/>
    <w:rsid w:val="006A4B5E"/>
    <w:rsid w:val="006A4BB3"/>
    <w:rsid w:val="006A4C20"/>
    <w:rsid w:val="006A4C24"/>
    <w:rsid w:val="006A4C59"/>
    <w:rsid w:val="006A4C88"/>
    <w:rsid w:val="006A4CD7"/>
    <w:rsid w:val="006A4CDD"/>
    <w:rsid w:val="006A4CE6"/>
    <w:rsid w:val="006A4D1B"/>
    <w:rsid w:val="006A4D2B"/>
    <w:rsid w:val="006A4D5A"/>
    <w:rsid w:val="006A4D79"/>
    <w:rsid w:val="006A4DD8"/>
    <w:rsid w:val="006A4E18"/>
    <w:rsid w:val="006A4E31"/>
    <w:rsid w:val="006A4E46"/>
    <w:rsid w:val="006A4EC4"/>
    <w:rsid w:val="006A4EEB"/>
    <w:rsid w:val="006A4F01"/>
    <w:rsid w:val="006A4F06"/>
    <w:rsid w:val="006A4F25"/>
    <w:rsid w:val="006A4F5B"/>
    <w:rsid w:val="006A4F6A"/>
    <w:rsid w:val="006A4FFB"/>
    <w:rsid w:val="006A5023"/>
    <w:rsid w:val="006A5038"/>
    <w:rsid w:val="006A5099"/>
    <w:rsid w:val="006A509E"/>
    <w:rsid w:val="006A50CC"/>
    <w:rsid w:val="006A50CF"/>
    <w:rsid w:val="006A510A"/>
    <w:rsid w:val="006A5153"/>
    <w:rsid w:val="006A5180"/>
    <w:rsid w:val="006A519C"/>
    <w:rsid w:val="006A51A6"/>
    <w:rsid w:val="006A51CE"/>
    <w:rsid w:val="006A51D7"/>
    <w:rsid w:val="006A5203"/>
    <w:rsid w:val="006A5214"/>
    <w:rsid w:val="006A5224"/>
    <w:rsid w:val="006A522B"/>
    <w:rsid w:val="006A5282"/>
    <w:rsid w:val="006A529D"/>
    <w:rsid w:val="006A52EF"/>
    <w:rsid w:val="006A52F4"/>
    <w:rsid w:val="006A533C"/>
    <w:rsid w:val="006A5352"/>
    <w:rsid w:val="006A537E"/>
    <w:rsid w:val="006A5395"/>
    <w:rsid w:val="006A53AB"/>
    <w:rsid w:val="006A53BC"/>
    <w:rsid w:val="006A54ED"/>
    <w:rsid w:val="006A5503"/>
    <w:rsid w:val="006A5540"/>
    <w:rsid w:val="006A55F9"/>
    <w:rsid w:val="006A5605"/>
    <w:rsid w:val="006A563D"/>
    <w:rsid w:val="006A5643"/>
    <w:rsid w:val="006A5655"/>
    <w:rsid w:val="006A5683"/>
    <w:rsid w:val="006A5711"/>
    <w:rsid w:val="006A5756"/>
    <w:rsid w:val="006A5792"/>
    <w:rsid w:val="006A57C1"/>
    <w:rsid w:val="006A57CE"/>
    <w:rsid w:val="006A5834"/>
    <w:rsid w:val="006A584B"/>
    <w:rsid w:val="006A5851"/>
    <w:rsid w:val="006A585A"/>
    <w:rsid w:val="006A587C"/>
    <w:rsid w:val="006A596E"/>
    <w:rsid w:val="006A59B7"/>
    <w:rsid w:val="006A5A1D"/>
    <w:rsid w:val="006A5A46"/>
    <w:rsid w:val="006A5A65"/>
    <w:rsid w:val="006A5AA6"/>
    <w:rsid w:val="006A5AD8"/>
    <w:rsid w:val="006A5AD9"/>
    <w:rsid w:val="006A5B1E"/>
    <w:rsid w:val="006A5B63"/>
    <w:rsid w:val="006A5B8C"/>
    <w:rsid w:val="006A5B8F"/>
    <w:rsid w:val="006A5BA3"/>
    <w:rsid w:val="006A5C19"/>
    <w:rsid w:val="006A5CE1"/>
    <w:rsid w:val="006A5D45"/>
    <w:rsid w:val="006A5D5C"/>
    <w:rsid w:val="006A5D8E"/>
    <w:rsid w:val="006A5DB3"/>
    <w:rsid w:val="006A5DDB"/>
    <w:rsid w:val="006A5DEE"/>
    <w:rsid w:val="006A5E45"/>
    <w:rsid w:val="006A5E6D"/>
    <w:rsid w:val="006A5EB1"/>
    <w:rsid w:val="006A5EBC"/>
    <w:rsid w:val="006A5ECC"/>
    <w:rsid w:val="006A5EE2"/>
    <w:rsid w:val="006A5F0C"/>
    <w:rsid w:val="006A5F8E"/>
    <w:rsid w:val="006A603C"/>
    <w:rsid w:val="006A60DE"/>
    <w:rsid w:val="006A60E6"/>
    <w:rsid w:val="006A60FE"/>
    <w:rsid w:val="006A6123"/>
    <w:rsid w:val="006A6173"/>
    <w:rsid w:val="006A6186"/>
    <w:rsid w:val="006A6210"/>
    <w:rsid w:val="006A6214"/>
    <w:rsid w:val="006A6239"/>
    <w:rsid w:val="006A633D"/>
    <w:rsid w:val="006A634B"/>
    <w:rsid w:val="006A63BF"/>
    <w:rsid w:val="006A63EE"/>
    <w:rsid w:val="006A64A8"/>
    <w:rsid w:val="006A64C0"/>
    <w:rsid w:val="006A652F"/>
    <w:rsid w:val="006A6593"/>
    <w:rsid w:val="006A6598"/>
    <w:rsid w:val="006A65AA"/>
    <w:rsid w:val="006A65AC"/>
    <w:rsid w:val="006A666B"/>
    <w:rsid w:val="006A6697"/>
    <w:rsid w:val="006A66A5"/>
    <w:rsid w:val="006A66D7"/>
    <w:rsid w:val="006A6725"/>
    <w:rsid w:val="006A6744"/>
    <w:rsid w:val="006A6766"/>
    <w:rsid w:val="006A676C"/>
    <w:rsid w:val="006A6786"/>
    <w:rsid w:val="006A6801"/>
    <w:rsid w:val="006A6847"/>
    <w:rsid w:val="006A6866"/>
    <w:rsid w:val="006A690C"/>
    <w:rsid w:val="006A694C"/>
    <w:rsid w:val="006A6954"/>
    <w:rsid w:val="006A69A9"/>
    <w:rsid w:val="006A6A23"/>
    <w:rsid w:val="006A6AD3"/>
    <w:rsid w:val="006A6AE8"/>
    <w:rsid w:val="006A6BB8"/>
    <w:rsid w:val="006A6C13"/>
    <w:rsid w:val="006A6CA7"/>
    <w:rsid w:val="006A6CA9"/>
    <w:rsid w:val="006A6CE8"/>
    <w:rsid w:val="006A6D19"/>
    <w:rsid w:val="006A6D28"/>
    <w:rsid w:val="006A6D6C"/>
    <w:rsid w:val="006A6D93"/>
    <w:rsid w:val="006A6DFA"/>
    <w:rsid w:val="006A6E1F"/>
    <w:rsid w:val="006A6E2F"/>
    <w:rsid w:val="006A6E64"/>
    <w:rsid w:val="006A6EE7"/>
    <w:rsid w:val="006A6F04"/>
    <w:rsid w:val="006A6F33"/>
    <w:rsid w:val="006A6F61"/>
    <w:rsid w:val="006A6F71"/>
    <w:rsid w:val="006A6F94"/>
    <w:rsid w:val="006A6FC2"/>
    <w:rsid w:val="006A6FF7"/>
    <w:rsid w:val="006A6FFE"/>
    <w:rsid w:val="006A700D"/>
    <w:rsid w:val="006A701E"/>
    <w:rsid w:val="006A7049"/>
    <w:rsid w:val="006A706F"/>
    <w:rsid w:val="006A70CB"/>
    <w:rsid w:val="006A710B"/>
    <w:rsid w:val="006A7139"/>
    <w:rsid w:val="006A7199"/>
    <w:rsid w:val="006A71B2"/>
    <w:rsid w:val="006A7240"/>
    <w:rsid w:val="006A725A"/>
    <w:rsid w:val="006A727E"/>
    <w:rsid w:val="006A72F5"/>
    <w:rsid w:val="006A72FD"/>
    <w:rsid w:val="006A7301"/>
    <w:rsid w:val="006A7321"/>
    <w:rsid w:val="006A7390"/>
    <w:rsid w:val="006A743D"/>
    <w:rsid w:val="006A7586"/>
    <w:rsid w:val="006A759B"/>
    <w:rsid w:val="006A75AA"/>
    <w:rsid w:val="006A75AC"/>
    <w:rsid w:val="006A75D9"/>
    <w:rsid w:val="006A75F7"/>
    <w:rsid w:val="006A76FC"/>
    <w:rsid w:val="006A7730"/>
    <w:rsid w:val="006A774F"/>
    <w:rsid w:val="006A77C0"/>
    <w:rsid w:val="006A7801"/>
    <w:rsid w:val="006A7825"/>
    <w:rsid w:val="006A7826"/>
    <w:rsid w:val="006A782B"/>
    <w:rsid w:val="006A788B"/>
    <w:rsid w:val="006A7898"/>
    <w:rsid w:val="006A789A"/>
    <w:rsid w:val="006A7940"/>
    <w:rsid w:val="006A795A"/>
    <w:rsid w:val="006A7990"/>
    <w:rsid w:val="006A7995"/>
    <w:rsid w:val="006A79C8"/>
    <w:rsid w:val="006A7A40"/>
    <w:rsid w:val="006A7A45"/>
    <w:rsid w:val="006A7A75"/>
    <w:rsid w:val="006A7A92"/>
    <w:rsid w:val="006A7A98"/>
    <w:rsid w:val="006A7ABC"/>
    <w:rsid w:val="006A7AEE"/>
    <w:rsid w:val="006A7B48"/>
    <w:rsid w:val="006A7B5A"/>
    <w:rsid w:val="006A7B98"/>
    <w:rsid w:val="006A7B9A"/>
    <w:rsid w:val="006A7BA9"/>
    <w:rsid w:val="006A7C2A"/>
    <w:rsid w:val="006A7C79"/>
    <w:rsid w:val="006A7C9A"/>
    <w:rsid w:val="006A7D21"/>
    <w:rsid w:val="006A7D4D"/>
    <w:rsid w:val="006A7D6B"/>
    <w:rsid w:val="006A7DBB"/>
    <w:rsid w:val="006A7DFA"/>
    <w:rsid w:val="006A7E28"/>
    <w:rsid w:val="006A7E5C"/>
    <w:rsid w:val="006A7EDF"/>
    <w:rsid w:val="006A7F7F"/>
    <w:rsid w:val="006A7F88"/>
    <w:rsid w:val="006A7FAC"/>
    <w:rsid w:val="006B000C"/>
    <w:rsid w:val="006B012D"/>
    <w:rsid w:val="006B0173"/>
    <w:rsid w:val="006B01A1"/>
    <w:rsid w:val="006B01B9"/>
    <w:rsid w:val="006B01CA"/>
    <w:rsid w:val="006B01E1"/>
    <w:rsid w:val="006B01E9"/>
    <w:rsid w:val="006B02FD"/>
    <w:rsid w:val="006B0311"/>
    <w:rsid w:val="006B0405"/>
    <w:rsid w:val="006B044D"/>
    <w:rsid w:val="006B0480"/>
    <w:rsid w:val="006B04C0"/>
    <w:rsid w:val="006B0530"/>
    <w:rsid w:val="006B0553"/>
    <w:rsid w:val="006B0571"/>
    <w:rsid w:val="006B0582"/>
    <w:rsid w:val="006B0584"/>
    <w:rsid w:val="006B05A4"/>
    <w:rsid w:val="006B05BA"/>
    <w:rsid w:val="006B061A"/>
    <w:rsid w:val="006B0639"/>
    <w:rsid w:val="006B0665"/>
    <w:rsid w:val="006B0697"/>
    <w:rsid w:val="006B06A2"/>
    <w:rsid w:val="006B0704"/>
    <w:rsid w:val="006B0717"/>
    <w:rsid w:val="006B081F"/>
    <w:rsid w:val="006B0874"/>
    <w:rsid w:val="006B087E"/>
    <w:rsid w:val="006B089F"/>
    <w:rsid w:val="006B08CC"/>
    <w:rsid w:val="006B0919"/>
    <w:rsid w:val="006B0928"/>
    <w:rsid w:val="006B092A"/>
    <w:rsid w:val="006B0955"/>
    <w:rsid w:val="006B0979"/>
    <w:rsid w:val="006B09C8"/>
    <w:rsid w:val="006B09FE"/>
    <w:rsid w:val="006B0A15"/>
    <w:rsid w:val="006B0A2A"/>
    <w:rsid w:val="006B0AAE"/>
    <w:rsid w:val="006B0B04"/>
    <w:rsid w:val="006B0B06"/>
    <w:rsid w:val="006B0B07"/>
    <w:rsid w:val="006B0B0F"/>
    <w:rsid w:val="006B0B68"/>
    <w:rsid w:val="006B0B80"/>
    <w:rsid w:val="006B0BDC"/>
    <w:rsid w:val="006B0C5F"/>
    <w:rsid w:val="006B0C75"/>
    <w:rsid w:val="006B0CE4"/>
    <w:rsid w:val="006B0CE7"/>
    <w:rsid w:val="006B0CFD"/>
    <w:rsid w:val="006B0D49"/>
    <w:rsid w:val="006B0D4B"/>
    <w:rsid w:val="006B0DDF"/>
    <w:rsid w:val="006B0E53"/>
    <w:rsid w:val="006B0EBC"/>
    <w:rsid w:val="006B0ECC"/>
    <w:rsid w:val="006B0F05"/>
    <w:rsid w:val="006B0F26"/>
    <w:rsid w:val="006B0F6C"/>
    <w:rsid w:val="006B0F9C"/>
    <w:rsid w:val="006B0FAB"/>
    <w:rsid w:val="006B0FB9"/>
    <w:rsid w:val="006B1013"/>
    <w:rsid w:val="006B10C8"/>
    <w:rsid w:val="006B10CA"/>
    <w:rsid w:val="006B10CB"/>
    <w:rsid w:val="006B10F1"/>
    <w:rsid w:val="006B11A1"/>
    <w:rsid w:val="006B11C8"/>
    <w:rsid w:val="006B11FF"/>
    <w:rsid w:val="006B1216"/>
    <w:rsid w:val="006B121A"/>
    <w:rsid w:val="006B121E"/>
    <w:rsid w:val="006B12B7"/>
    <w:rsid w:val="006B12C2"/>
    <w:rsid w:val="006B131B"/>
    <w:rsid w:val="006B134E"/>
    <w:rsid w:val="006B1364"/>
    <w:rsid w:val="006B138A"/>
    <w:rsid w:val="006B1409"/>
    <w:rsid w:val="006B1425"/>
    <w:rsid w:val="006B142A"/>
    <w:rsid w:val="006B14A0"/>
    <w:rsid w:val="006B157A"/>
    <w:rsid w:val="006B1598"/>
    <w:rsid w:val="006B162A"/>
    <w:rsid w:val="006B16CB"/>
    <w:rsid w:val="006B1707"/>
    <w:rsid w:val="006B170F"/>
    <w:rsid w:val="006B1724"/>
    <w:rsid w:val="006B173D"/>
    <w:rsid w:val="006B1755"/>
    <w:rsid w:val="006B1781"/>
    <w:rsid w:val="006B17D5"/>
    <w:rsid w:val="006B1813"/>
    <w:rsid w:val="006B183E"/>
    <w:rsid w:val="006B187A"/>
    <w:rsid w:val="006B1884"/>
    <w:rsid w:val="006B18A2"/>
    <w:rsid w:val="006B18D3"/>
    <w:rsid w:val="006B18E3"/>
    <w:rsid w:val="006B18EC"/>
    <w:rsid w:val="006B1953"/>
    <w:rsid w:val="006B199A"/>
    <w:rsid w:val="006B19F7"/>
    <w:rsid w:val="006B1A11"/>
    <w:rsid w:val="006B1A5E"/>
    <w:rsid w:val="006B1A82"/>
    <w:rsid w:val="006B1AC0"/>
    <w:rsid w:val="006B1AFD"/>
    <w:rsid w:val="006B1B06"/>
    <w:rsid w:val="006B1B61"/>
    <w:rsid w:val="006B1B82"/>
    <w:rsid w:val="006B1BF7"/>
    <w:rsid w:val="006B1C11"/>
    <w:rsid w:val="006B1C72"/>
    <w:rsid w:val="006B1C9B"/>
    <w:rsid w:val="006B1CDA"/>
    <w:rsid w:val="006B1D57"/>
    <w:rsid w:val="006B1DDE"/>
    <w:rsid w:val="006B1EEC"/>
    <w:rsid w:val="006B1F55"/>
    <w:rsid w:val="006B1F9A"/>
    <w:rsid w:val="006B201F"/>
    <w:rsid w:val="006B2071"/>
    <w:rsid w:val="006B2079"/>
    <w:rsid w:val="006B20AC"/>
    <w:rsid w:val="006B20D1"/>
    <w:rsid w:val="006B20DA"/>
    <w:rsid w:val="006B20EE"/>
    <w:rsid w:val="006B20F5"/>
    <w:rsid w:val="006B211B"/>
    <w:rsid w:val="006B2131"/>
    <w:rsid w:val="006B214C"/>
    <w:rsid w:val="006B21F6"/>
    <w:rsid w:val="006B2205"/>
    <w:rsid w:val="006B2296"/>
    <w:rsid w:val="006B22AA"/>
    <w:rsid w:val="006B22BA"/>
    <w:rsid w:val="006B22ED"/>
    <w:rsid w:val="006B22FC"/>
    <w:rsid w:val="006B233C"/>
    <w:rsid w:val="006B238E"/>
    <w:rsid w:val="006B23FE"/>
    <w:rsid w:val="006B241E"/>
    <w:rsid w:val="006B24F3"/>
    <w:rsid w:val="006B24FA"/>
    <w:rsid w:val="006B2558"/>
    <w:rsid w:val="006B2570"/>
    <w:rsid w:val="006B258A"/>
    <w:rsid w:val="006B262C"/>
    <w:rsid w:val="006B263A"/>
    <w:rsid w:val="006B2650"/>
    <w:rsid w:val="006B2657"/>
    <w:rsid w:val="006B2673"/>
    <w:rsid w:val="006B267B"/>
    <w:rsid w:val="006B2696"/>
    <w:rsid w:val="006B26B4"/>
    <w:rsid w:val="006B26E9"/>
    <w:rsid w:val="006B2704"/>
    <w:rsid w:val="006B2723"/>
    <w:rsid w:val="006B2759"/>
    <w:rsid w:val="006B2796"/>
    <w:rsid w:val="006B27DC"/>
    <w:rsid w:val="006B2801"/>
    <w:rsid w:val="006B2854"/>
    <w:rsid w:val="006B2925"/>
    <w:rsid w:val="006B2944"/>
    <w:rsid w:val="006B2986"/>
    <w:rsid w:val="006B29D1"/>
    <w:rsid w:val="006B2AE5"/>
    <w:rsid w:val="006B2B69"/>
    <w:rsid w:val="006B2C1B"/>
    <w:rsid w:val="006B2CBC"/>
    <w:rsid w:val="006B2CC6"/>
    <w:rsid w:val="006B2D0D"/>
    <w:rsid w:val="006B2D18"/>
    <w:rsid w:val="006B2DE9"/>
    <w:rsid w:val="006B2DFC"/>
    <w:rsid w:val="006B2E5C"/>
    <w:rsid w:val="006B2F36"/>
    <w:rsid w:val="006B2F39"/>
    <w:rsid w:val="006B3034"/>
    <w:rsid w:val="006B307F"/>
    <w:rsid w:val="006B308F"/>
    <w:rsid w:val="006B30B8"/>
    <w:rsid w:val="006B30F1"/>
    <w:rsid w:val="006B31E7"/>
    <w:rsid w:val="006B325D"/>
    <w:rsid w:val="006B3264"/>
    <w:rsid w:val="006B3283"/>
    <w:rsid w:val="006B32B3"/>
    <w:rsid w:val="006B338F"/>
    <w:rsid w:val="006B33ED"/>
    <w:rsid w:val="006B341B"/>
    <w:rsid w:val="006B3478"/>
    <w:rsid w:val="006B349B"/>
    <w:rsid w:val="006B34B2"/>
    <w:rsid w:val="006B34E5"/>
    <w:rsid w:val="006B34EF"/>
    <w:rsid w:val="006B3507"/>
    <w:rsid w:val="006B3588"/>
    <w:rsid w:val="006B35D1"/>
    <w:rsid w:val="006B35F0"/>
    <w:rsid w:val="006B363E"/>
    <w:rsid w:val="006B367D"/>
    <w:rsid w:val="006B36DC"/>
    <w:rsid w:val="006B36E5"/>
    <w:rsid w:val="006B371F"/>
    <w:rsid w:val="006B3761"/>
    <w:rsid w:val="006B3822"/>
    <w:rsid w:val="006B3824"/>
    <w:rsid w:val="006B3877"/>
    <w:rsid w:val="006B3880"/>
    <w:rsid w:val="006B3892"/>
    <w:rsid w:val="006B390F"/>
    <w:rsid w:val="006B3947"/>
    <w:rsid w:val="006B3979"/>
    <w:rsid w:val="006B39E3"/>
    <w:rsid w:val="006B3A4B"/>
    <w:rsid w:val="006B3A7F"/>
    <w:rsid w:val="006B3ABF"/>
    <w:rsid w:val="006B3ACA"/>
    <w:rsid w:val="006B3B09"/>
    <w:rsid w:val="006B3B49"/>
    <w:rsid w:val="006B3B4D"/>
    <w:rsid w:val="006B3B6E"/>
    <w:rsid w:val="006B3B93"/>
    <w:rsid w:val="006B3BA0"/>
    <w:rsid w:val="006B3BAD"/>
    <w:rsid w:val="006B3C13"/>
    <w:rsid w:val="006B3CB4"/>
    <w:rsid w:val="006B3CC4"/>
    <w:rsid w:val="006B3D5A"/>
    <w:rsid w:val="006B3D8C"/>
    <w:rsid w:val="006B3E4B"/>
    <w:rsid w:val="006B3E5E"/>
    <w:rsid w:val="006B3E90"/>
    <w:rsid w:val="006B3F06"/>
    <w:rsid w:val="006B3F1D"/>
    <w:rsid w:val="006B3FDA"/>
    <w:rsid w:val="006B3FFC"/>
    <w:rsid w:val="006B40BF"/>
    <w:rsid w:val="006B40E8"/>
    <w:rsid w:val="006B40F5"/>
    <w:rsid w:val="006B4144"/>
    <w:rsid w:val="006B41A4"/>
    <w:rsid w:val="006B41D0"/>
    <w:rsid w:val="006B41D4"/>
    <w:rsid w:val="006B41E6"/>
    <w:rsid w:val="006B423B"/>
    <w:rsid w:val="006B424A"/>
    <w:rsid w:val="006B4265"/>
    <w:rsid w:val="006B4268"/>
    <w:rsid w:val="006B42FE"/>
    <w:rsid w:val="006B4324"/>
    <w:rsid w:val="006B439C"/>
    <w:rsid w:val="006B4406"/>
    <w:rsid w:val="006B4439"/>
    <w:rsid w:val="006B4443"/>
    <w:rsid w:val="006B447F"/>
    <w:rsid w:val="006B44C8"/>
    <w:rsid w:val="006B454E"/>
    <w:rsid w:val="006B4633"/>
    <w:rsid w:val="006B464B"/>
    <w:rsid w:val="006B4697"/>
    <w:rsid w:val="006B46DA"/>
    <w:rsid w:val="006B4715"/>
    <w:rsid w:val="006B471F"/>
    <w:rsid w:val="006B475E"/>
    <w:rsid w:val="006B47AE"/>
    <w:rsid w:val="006B488C"/>
    <w:rsid w:val="006B48EC"/>
    <w:rsid w:val="006B4917"/>
    <w:rsid w:val="006B49AF"/>
    <w:rsid w:val="006B49CC"/>
    <w:rsid w:val="006B4A21"/>
    <w:rsid w:val="006B4A70"/>
    <w:rsid w:val="006B4A81"/>
    <w:rsid w:val="006B4AB2"/>
    <w:rsid w:val="006B4B12"/>
    <w:rsid w:val="006B4B90"/>
    <w:rsid w:val="006B4BB3"/>
    <w:rsid w:val="006B4C44"/>
    <w:rsid w:val="006B4C74"/>
    <w:rsid w:val="006B4CDF"/>
    <w:rsid w:val="006B4D48"/>
    <w:rsid w:val="006B4D71"/>
    <w:rsid w:val="006B4DAF"/>
    <w:rsid w:val="006B4DD6"/>
    <w:rsid w:val="006B4E24"/>
    <w:rsid w:val="006B4E72"/>
    <w:rsid w:val="006B4E94"/>
    <w:rsid w:val="006B4EA8"/>
    <w:rsid w:val="006B4EBB"/>
    <w:rsid w:val="006B4F03"/>
    <w:rsid w:val="006B4F63"/>
    <w:rsid w:val="006B4F6A"/>
    <w:rsid w:val="006B4F6C"/>
    <w:rsid w:val="006B4F73"/>
    <w:rsid w:val="006B4F96"/>
    <w:rsid w:val="006B4FA9"/>
    <w:rsid w:val="006B4FD7"/>
    <w:rsid w:val="006B50B2"/>
    <w:rsid w:val="006B50F7"/>
    <w:rsid w:val="006B510C"/>
    <w:rsid w:val="006B5114"/>
    <w:rsid w:val="006B511A"/>
    <w:rsid w:val="006B513A"/>
    <w:rsid w:val="006B514F"/>
    <w:rsid w:val="006B51B3"/>
    <w:rsid w:val="006B5264"/>
    <w:rsid w:val="006B529B"/>
    <w:rsid w:val="006B52C2"/>
    <w:rsid w:val="006B52CD"/>
    <w:rsid w:val="006B5348"/>
    <w:rsid w:val="006B539E"/>
    <w:rsid w:val="006B53BB"/>
    <w:rsid w:val="006B53E4"/>
    <w:rsid w:val="006B5406"/>
    <w:rsid w:val="006B540C"/>
    <w:rsid w:val="006B5424"/>
    <w:rsid w:val="006B5431"/>
    <w:rsid w:val="006B5444"/>
    <w:rsid w:val="006B548C"/>
    <w:rsid w:val="006B54A5"/>
    <w:rsid w:val="006B54E2"/>
    <w:rsid w:val="006B5500"/>
    <w:rsid w:val="006B557D"/>
    <w:rsid w:val="006B55A6"/>
    <w:rsid w:val="006B55C9"/>
    <w:rsid w:val="006B5628"/>
    <w:rsid w:val="006B56B2"/>
    <w:rsid w:val="006B56BD"/>
    <w:rsid w:val="006B56BE"/>
    <w:rsid w:val="006B574A"/>
    <w:rsid w:val="006B5769"/>
    <w:rsid w:val="006B5783"/>
    <w:rsid w:val="006B57B8"/>
    <w:rsid w:val="006B57DC"/>
    <w:rsid w:val="006B5819"/>
    <w:rsid w:val="006B5821"/>
    <w:rsid w:val="006B5835"/>
    <w:rsid w:val="006B5896"/>
    <w:rsid w:val="006B58EA"/>
    <w:rsid w:val="006B593B"/>
    <w:rsid w:val="006B59A3"/>
    <w:rsid w:val="006B59F1"/>
    <w:rsid w:val="006B5A0E"/>
    <w:rsid w:val="006B5A24"/>
    <w:rsid w:val="006B5A2F"/>
    <w:rsid w:val="006B5A30"/>
    <w:rsid w:val="006B5ABF"/>
    <w:rsid w:val="006B5AF6"/>
    <w:rsid w:val="006B5B6E"/>
    <w:rsid w:val="006B5B75"/>
    <w:rsid w:val="006B5BD1"/>
    <w:rsid w:val="006B5CCE"/>
    <w:rsid w:val="006B5CD9"/>
    <w:rsid w:val="006B5D01"/>
    <w:rsid w:val="006B5D1F"/>
    <w:rsid w:val="006B5D31"/>
    <w:rsid w:val="006B5D58"/>
    <w:rsid w:val="006B5E3D"/>
    <w:rsid w:val="006B5E41"/>
    <w:rsid w:val="006B5E47"/>
    <w:rsid w:val="006B5E74"/>
    <w:rsid w:val="006B5EBD"/>
    <w:rsid w:val="006B5F67"/>
    <w:rsid w:val="006B5F8F"/>
    <w:rsid w:val="006B5FF4"/>
    <w:rsid w:val="006B603E"/>
    <w:rsid w:val="006B6074"/>
    <w:rsid w:val="006B60BB"/>
    <w:rsid w:val="006B60D6"/>
    <w:rsid w:val="006B60D7"/>
    <w:rsid w:val="006B612A"/>
    <w:rsid w:val="006B6135"/>
    <w:rsid w:val="006B6164"/>
    <w:rsid w:val="006B6178"/>
    <w:rsid w:val="006B61C5"/>
    <w:rsid w:val="006B61DA"/>
    <w:rsid w:val="006B620B"/>
    <w:rsid w:val="006B6254"/>
    <w:rsid w:val="006B62D4"/>
    <w:rsid w:val="006B630E"/>
    <w:rsid w:val="006B6372"/>
    <w:rsid w:val="006B646F"/>
    <w:rsid w:val="006B6473"/>
    <w:rsid w:val="006B6489"/>
    <w:rsid w:val="006B64B7"/>
    <w:rsid w:val="006B64C3"/>
    <w:rsid w:val="006B6513"/>
    <w:rsid w:val="006B6534"/>
    <w:rsid w:val="006B655A"/>
    <w:rsid w:val="006B6585"/>
    <w:rsid w:val="006B65F2"/>
    <w:rsid w:val="006B65FA"/>
    <w:rsid w:val="006B663F"/>
    <w:rsid w:val="006B6640"/>
    <w:rsid w:val="006B6691"/>
    <w:rsid w:val="006B66F2"/>
    <w:rsid w:val="006B66FA"/>
    <w:rsid w:val="006B671D"/>
    <w:rsid w:val="006B67A9"/>
    <w:rsid w:val="006B67B0"/>
    <w:rsid w:val="006B6808"/>
    <w:rsid w:val="006B6820"/>
    <w:rsid w:val="006B6823"/>
    <w:rsid w:val="006B6838"/>
    <w:rsid w:val="006B689C"/>
    <w:rsid w:val="006B68CA"/>
    <w:rsid w:val="006B695E"/>
    <w:rsid w:val="006B6978"/>
    <w:rsid w:val="006B699E"/>
    <w:rsid w:val="006B69C4"/>
    <w:rsid w:val="006B6AAE"/>
    <w:rsid w:val="006B6ABA"/>
    <w:rsid w:val="006B6ABD"/>
    <w:rsid w:val="006B6B91"/>
    <w:rsid w:val="006B6B9E"/>
    <w:rsid w:val="006B6C3B"/>
    <w:rsid w:val="006B6C6E"/>
    <w:rsid w:val="006B6CB6"/>
    <w:rsid w:val="006B6D14"/>
    <w:rsid w:val="006B6D4B"/>
    <w:rsid w:val="006B6D5A"/>
    <w:rsid w:val="006B6D86"/>
    <w:rsid w:val="006B6D8C"/>
    <w:rsid w:val="006B6E38"/>
    <w:rsid w:val="006B6E4C"/>
    <w:rsid w:val="006B6E90"/>
    <w:rsid w:val="006B6E92"/>
    <w:rsid w:val="006B6F37"/>
    <w:rsid w:val="006B6F84"/>
    <w:rsid w:val="006B6FC7"/>
    <w:rsid w:val="006B6FED"/>
    <w:rsid w:val="006B6FEF"/>
    <w:rsid w:val="006B7024"/>
    <w:rsid w:val="006B704C"/>
    <w:rsid w:val="006B7065"/>
    <w:rsid w:val="006B7068"/>
    <w:rsid w:val="006B706D"/>
    <w:rsid w:val="006B7088"/>
    <w:rsid w:val="006B7127"/>
    <w:rsid w:val="006B7136"/>
    <w:rsid w:val="006B7165"/>
    <w:rsid w:val="006B71A1"/>
    <w:rsid w:val="006B71CB"/>
    <w:rsid w:val="006B71F4"/>
    <w:rsid w:val="006B726C"/>
    <w:rsid w:val="006B72D4"/>
    <w:rsid w:val="006B7300"/>
    <w:rsid w:val="006B7370"/>
    <w:rsid w:val="006B7380"/>
    <w:rsid w:val="006B73F5"/>
    <w:rsid w:val="006B741A"/>
    <w:rsid w:val="006B7439"/>
    <w:rsid w:val="006B744B"/>
    <w:rsid w:val="006B747B"/>
    <w:rsid w:val="006B74CC"/>
    <w:rsid w:val="006B75C3"/>
    <w:rsid w:val="006B75F6"/>
    <w:rsid w:val="006B761E"/>
    <w:rsid w:val="006B76ED"/>
    <w:rsid w:val="006B772A"/>
    <w:rsid w:val="006B77BA"/>
    <w:rsid w:val="006B7840"/>
    <w:rsid w:val="006B7851"/>
    <w:rsid w:val="006B785D"/>
    <w:rsid w:val="006B7893"/>
    <w:rsid w:val="006B78EA"/>
    <w:rsid w:val="006B7906"/>
    <w:rsid w:val="006B7982"/>
    <w:rsid w:val="006B798C"/>
    <w:rsid w:val="006B79B8"/>
    <w:rsid w:val="006B79DB"/>
    <w:rsid w:val="006B79EB"/>
    <w:rsid w:val="006B7A2C"/>
    <w:rsid w:val="006B7ADC"/>
    <w:rsid w:val="006B7B16"/>
    <w:rsid w:val="006B7B3B"/>
    <w:rsid w:val="006B7BBF"/>
    <w:rsid w:val="006B7C12"/>
    <w:rsid w:val="006B7C2F"/>
    <w:rsid w:val="006B7C86"/>
    <w:rsid w:val="006B7CA4"/>
    <w:rsid w:val="006B7CD9"/>
    <w:rsid w:val="006B7D48"/>
    <w:rsid w:val="006B7D52"/>
    <w:rsid w:val="006B7DBB"/>
    <w:rsid w:val="006B7E1D"/>
    <w:rsid w:val="006B7E96"/>
    <w:rsid w:val="006B7EF9"/>
    <w:rsid w:val="006B7F37"/>
    <w:rsid w:val="006B7FC6"/>
    <w:rsid w:val="006C0081"/>
    <w:rsid w:val="006C0086"/>
    <w:rsid w:val="006C009E"/>
    <w:rsid w:val="006C00FA"/>
    <w:rsid w:val="006C00FF"/>
    <w:rsid w:val="006C017C"/>
    <w:rsid w:val="006C01EE"/>
    <w:rsid w:val="006C0248"/>
    <w:rsid w:val="006C0279"/>
    <w:rsid w:val="006C027A"/>
    <w:rsid w:val="006C028A"/>
    <w:rsid w:val="006C029F"/>
    <w:rsid w:val="006C02FE"/>
    <w:rsid w:val="006C039D"/>
    <w:rsid w:val="006C03A7"/>
    <w:rsid w:val="006C03BD"/>
    <w:rsid w:val="006C03D0"/>
    <w:rsid w:val="006C03D8"/>
    <w:rsid w:val="006C03F8"/>
    <w:rsid w:val="006C0415"/>
    <w:rsid w:val="006C0426"/>
    <w:rsid w:val="006C0460"/>
    <w:rsid w:val="006C04B0"/>
    <w:rsid w:val="006C04D0"/>
    <w:rsid w:val="006C0500"/>
    <w:rsid w:val="006C0554"/>
    <w:rsid w:val="006C0565"/>
    <w:rsid w:val="006C05A6"/>
    <w:rsid w:val="006C05EF"/>
    <w:rsid w:val="006C0626"/>
    <w:rsid w:val="006C0632"/>
    <w:rsid w:val="006C06E7"/>
    <w:rsid w:val="006C06EF"/>
    <w:rsid w:val="006C06F1"/>
    <w:rsid w:val="006C0711"/>
    <w:rsid w:val="006C0760"/>
    <w:rsid w:val="006C0767"/>
    <w:rsid w:val="006C077C"/>
    <w:rsid w:val="006C0786"/>
    <w:rsid w:val="006C07B0"/>
    <w:rsid w:val="006C07D3"/>
    <w:rsid w:val="006C0806"/>
    <w:rsid w:val="006C082A"/>
    <w:rsid w:val="006C0880"/>
    <w:rsid w:val="006C08A2"/>
    <w:rsid w:val="006C08D4"/>
    <w:rsid w:val="006C08DE"/>
    <w:rsid w:val="006C0901"/>
    <w:rsid w:val="006C0914"/>
    <w:rsid w:val="006C0925"/>
    <w:rsid w:val="006C0961"/>
    <w:rsid w:val="006C098F"/>
    <w:rsid w:val="006C0995"/>
    <w:rsid w:val="006C09A1"/>
    <w:rsid w:val="006C09DB"/>
    <w:rsid w:val="006C0A24"/>
    <w:rsid w:val="006C0A88"/>
    <w:rsid w:val="006C0B0D"/>
    <w:rsid w:val="006C0B2A"/>
    <w:rsid w:val="006C0B36"/>
    <w:rsid w:val="006C0B51"/>
    <w:rsid w:val="006C0B65"/>
    <w:rsid w:val="006C0C2A"/>
    <w:rsid w:val="006C0C81"/>
    <w:rsid w:val="006C0C8B"/>
    <w:rsid w:val="006C0C9D"/>
    <w:rsid w:val="006C0CD0"/>
    <w:rsid w:val="006C0CEC"/>
    <w:rsid w:val="006C0D09"/>
    <w:rsid w:val="006C0D33"/>
    <w:rsid w:val="006C0D88"/>
    <w:rsid w:val="006C0DAC"/>
    <w:rsid w:val="006C0DB7"/>
    <w:rsid w:val="006C0DCA"/>
    <w:rsid w:val="006C0DDA"/>
    <w:rsid w:val="006C0E44"/>
    <w:rsid w:val="006C0E49"/>
    <w:rsid w:val="006C0E8D"/>
    <w:rsid w:val="006C0EF9"/>
    <w:rsid w:val="006C0F3E"/>
    <w:rsid w:val="006C0FC9"/>
    <w:rsid w:val="006C101A"/>
    <w:rsid w:val="006C10BC"/>
    <w:rsid w:val="006C10CD"/>
    <w:rsid w:val="006C10D7"/>
    <w:rsid w:val="006C110A"/>
    <w:rsid w:val="006C11C6"/>
    <w:rsid w:val="006C11EA"/>
    <w:rsid w:val="006C1228"/>
    <w:rsid w:val="006C122F"/>
    <w:rsid w:val="006C1299"/>
    <w:rsid w:val="006C131D"/>
    <w:rsid w:val="006C1340"/>
    <w:rsid w:val="006C1374"/>
    <w:rsid w:val="006C137E"/>
    <w:rsid w:val="006C138D"/>
    <w:rsid w:val="006C139E"/>
    <w:rsid w:val="006C13A6"/>
    <w:rsid w:val="006C140E"/>
    <w:rsid w:val="006C1414"/>
    <w:rsid w:val="006C1443"/>
    <w:rsid w:val="006C14B1"/>
    <w:rsid w:val="006C14F6"/>
    <w:rsid w:val="006C1518"/>
    <w:rsid w:val="006C151C"/>
    <w:rsid w:val="006C157F"/>
    <w:rsid w:val="006C158D"/>
    <w:rsid w:val="006C15A0"/>
    <w:rsid w:val="006C15EB"/>
    <w:rsid w:val="006C16B6"/>
    <w:rsid w:val="006C16B8"/>
    <w:rsid w:val="006C1705"/>
    <w:rsid w:val="006C1749"/>
    <w:rsid w:val="006C1767"/>
    <w:rsid w:val="006C17A1"/>
    <w:rsid w:val="006C1823"/>
    <w:rsid w:val="006C1825"/>
    <w:rsid w:val="006C182C"/>
    <w:rsid w:val="006C183B"/>
    <w:rsid w:val="006C1865"/>
    <w:rsid w:val="006C1877"/>
    <w:rsid w:val="006C188D"/>
    <w:rsid w:val="006C189E"/>
    <w:rsid w:val="006C18B2"/>
    <w:rsid w:val="006C18B8"/>
    <w:rsid w:val="006C18ED"/>
    <w:rsid w:val="006C1926"/>
    <w:rsid w:val="006C193D"/>
    <w:rsid w:val="006C1978"/>
    <w:rsid w:val="006C199B"/>
    <w:rsid w:val="006C19A1"/>
    <w:rsid w:val="006C19A9"/>
    <w:rsid w:val="006C19BE"/>
    <w:rsid w:val="006C1A19"/>
    <w:rsid w:val="006C1AAE"/>
    <w:rsid w:val="006C1AFA"/>
    <w:rsid w:val="006C1B2C"/>
    <w:rsid w:val="006C1B83"/>
    <w:rsid w:val="006C1BB7"/>
    <w:rsid w:val="006C1CB1"/>
    <w:rsid w:val="006C1CF4"/>
    <w:rsid w:val="006C1D23"/>
    <w:rsid w:val="006C1D5E"/>
    <w:rsid w:val="006C1E11"/>
    <w:rsid w:val="006C1E15"/>
    <w:rsid w:val="006C1E16"/>
    <w:rsid w:val="006C1E1A"/>
    <w:rsid w:val="006C1E33"/>
    <w:rsid w:val="006C1E3A"/>
    <w:rsid w:val="006C1F26"/>
    <w:rsid w:val="006C1F4F"/>
    <w:rsid w:val="006C1F7E"/>
    <w:rsid w:val="006C1F90"/>
    <w:rsid w:val="006C2013"/>
    <w:rsid w:val="006C2039"/>
    <w:rsid w:val="006C2087"/>
    <w:rsid w:val="006C20C1"/>
    <w:rsid w:val="006C20D4"/>
    <w:rsid w:val="006C2123"/>
    <w:rsid w:val="006C214A"/>
    <w:rsid w:val="006C2176"/>
    <w:rsid w:val="006C21D6"/>
    <w:rsid w:val="006C2282"/>
    <w:rsid w:val="006C228E"/>
    <w:rsid w:val="006C22C6"/>
    <w:rsid w:val="006C22E2"/>
    <w:rsid w:val="006C234C"/>
    <w:rsid w:val="006C2377"/>
    <w:rsid w:val="006C237A"/>
    <w:rsid w:val="006C2385"/>
    <w:rsid w:val="006C238E"/>
    <w:rsid w:val="006C23E3"/>
    <w:rsid w:val="006C241A"/>
    <w:rsid w:val="006C2471"/>
    <w:rsid w:val="006C249B"/>
    <w:rsid w:val="006C2513"/>
    <w:rsid w:val="006C25AE"/>
    <w:rsid w:val="006C25E5"/>
    <w:rsid w:val="006C25EB"/>
    <w:rsid w:val="006C2615"/>
    <w:rsid w:val="006C268D"/>
    <w:rsid w:val="006C26B3"/>
    <w:rsid w:val="006C26C1"/>
    <w:rsid w:val="006C26D5"/>
    <w:rsid w:val="006C2702"/>
    <w:rsid w:val="006C270C"/>
    <w:rsid w:val="006C2724"/>
    <w:rsid w:val="006C277F"/>
    <w:rsid w:val="006C278D"/>
    <w:rsid w:val="006C27D5"/>
    <w:rsid w:val="006C286A"/>
    <w:rsid w:val="006C2925"/>
    <w:rsid w:val="006C2926"/>
    <w:rsid w:val="006C2930"/>
    <w:rsid w:val="006C2952"/>
    <w:rsid w:val="006C2979"/>
    <w:rsid w:val="006C29B9"/>
    <w:rsid w:val="006C29D3"/>
    <w:rsid w:val="006C29E2"/>
    <w:rsid w:val="006C2A16"/>
    <w:rsid w:val="006C2AC1"/>
    <w:rsid w:val="006C2B29"/>
    <w:rsid w:val="006C2BC2"/>
    <w:rsid w:val="006C2C15"/>
    <w:rsid w:val="006C2C4C"/>
    <w:rsid w:val="006C2C51"/>
    <w:rsid w:val="006C2C5D"/>
    <w:rsid w:val="006C2C96"/>
    <w:rsid w:val="006C2CA0"/>
    <w:rsid w:val="006C2CD0"/>
    <w:rsid w:val="006C2D0F"/>
    <w:rsid w:val="006C2D18"/>
    <w:rsid w:val="006C2D25"/>
    <w:rsid w:val="006C2D62"/>
    <w:rsid w:val="006C2D8E"/>
    <w:rsid w:val="006C2DA1"/>
    <w:rsid w:val="006C2DA3"/>
    <w:rsid w:val="006C2DB1"/>
    <w:rsid w:val="006C2E00"/>
    <w:rsid w:val="006C2E51"/>
    <w:rsid w:val="006C2E65"/>
    <w:rsid w:val="006C2E6C"/>
    <w:rsid w:val="006C2E9A"/>
    <w:rsid w:val="006C2EA2"/>
    <w:rsid w:val="006C2EB9"/>
    <w:rsid w:val="006C2EC0"/>
    <w:rsid w:val="006C2ECA"/>
    <w:rsid w:val="006C2EFC"/>
    <w:rsid w:val="006C2F33"/>
    <w:rsid w:val="006C2F46"/>
    <w:rsid w:val="006C2F50"/>
    <w:rsid w:val="006C2F82"/>
    <w:rsid w:val="006C2FA8"/>
    <w:rsid w:val="006C2FAA"/>
    <w:rsid w:val="006C2FEB"/>
    <w:rsid w:val="006C3003"/>
    <w:rsid w:val="006C301D"/>
    <w:rsid w:val="006C3041"/>
    <w:rsid w:val="006C309D"/>
    <w:rsid w:val="006C30EB"/>
    <w:rsid w:val="006C3133"/>
    <w:rsid w:val="006C3198"/>
    <w:rsid w:val="006C31AE"/>
    <w:rsid w:val="006C31E1"/>
    <w:rsid w:val="006C31F2"/>
    <w:rsid w:val="006C31FF"/>
    <w:rsid w:val="006C3220"/>
    <w:rsid w:val="006C3225"/>
    <w:rsid w:val="006C3232"/>
    <w:rsid w:val="006C3244"/>
    <w:rsid w:val="006C3273"/>
    <w:rsid w:val="006C3294"/>
    <w:rsid w:val="006C32F0"/>
    <w:rsid w:val="006C3354"/>
    <w:rsid w:val="006C33C9"/>
    <w:rsid w:val="006C33E5"/>
    <w:rsid w:val="006C340B"/>
    <w:rsid w:val="006C3428"/>
    <w:rsid w:val="006C342B"/>
    <w:rsid w:val="006C3488"/>
    <w:rsid w:val="006C34B1"/>
    <w:rsid w:val="006C34C6"/>
    <w:rsid w:val="006C34D7"/>
    <w:rsid w:val="006C354F"/>
    <w:rsid w:val="006C3599"/>
    <w:rsid w:val="006C359D"/>
    <w:rsid w:val="006C35BF"/>
    <w:rsid w:val="006C3612"/>
    <w:rsid w:val="006C3624"/>
    <w:rsid w:val="006C3647"/>
    <w:rsid w:val="006C36E2"/>
    <w:rsid w:val="006C3730"/>
    <w:rsid w:val="006C377D"/>
    <w:rsid w:val="006C37CE"/>
    <w:rsid w:val="006C37F0"/>
    <w:rsid w:val="006C3807"/>
    <w:rsid w:val="006C382D"/>
    <w:rsid w:val="006C3907"/>
    <w:rsid w:val="006C3965"/>
    <w:rsid w:val="006C3967"/>
    <w:rsid w:val="006C397A"/>
    <w:rsid w:val="006C3994"/>
    <w:rsid w:val="006C39B3"/>
    <w:rsid w:val="006C3A5C"/>
    <w:rsid w:val="006C3AAD"/>
    <w:rsid w:val="006C3AC1"/>
    <w:rsid w:val="006C3B0A"/>
    <w:rsid w:val="006C3B5A"/>
    <w:rsid w:val="006C3B8E"/>
    <w:rsid w:val="006C3C0B"/>
    <w:rsid w:val="006C3C24"/>
    <w:rsid w:val="006C3C3B"/>
    <w:rsid w:val="006C3C8C"/>
    <w:rsid w:val="006C3CD4"/>
    <w:rsid w:val="006C3CE4"/>
    <w:rsid w:val="006C3CF6"/>
    <w:rsid w:val="006C3D4E"/>
    <w:rsid w:val="006C3D9F"/>
    <w:rsid w:val="006C3DB7"/>
    <w:rsid w:val="006C3DC9"/>
    <w:rsid w:val="006C3DFA"/>
    <w:rsid w:val="006C3E16"/>
    <w:rsid w:val="006C3E5E"/>
    <w:rsid w:val="006C3E6B"/>
    <w:rsid w:val="006C3ED7"/>
    <w:rsid w:val="006C3F21"/>
    <w:rsid w:val="006C3F2F"/>
    <w:rsid w:val="006C3F9E"/>
    <w:rsid w:val="006C3FDA"/>
    <w:rsid w:val="006C3FFC"/>
    <w:rsid w:val="006C3FFD"/>
    <w:rsid w:val="006C4028"/>
    <w:rsid w:val="006C404B"/>
    <w:rsid w:val="006C4052"/>
    <w:rsid w:val="006C408A"/>
    <w:rsid w:val="006C40A3"/>
    <w:rsid w:val="006C40C9"/>
    <w:rsid w:val="006C40EA"/>
    <w:rsid w:val="006C4137"/>
    <w:rsid w:val="006C4145"/>
    <w:rsid w:val="006C4156"/>
    <w:rsid w:val="006C41AA"/>
    <w:rsid w:val="006C4202"/>
    <w:rsid w:val="006C4204"/>
    <w:rsid w:val="006C425E"/>
    <w:rsid w:val="006C42A8"/>
    <w:rsid w:val="006C42BE"/>
    <w:rsid w:val="006C42D1"/>
    <w:rsid w:val="006C4385"/>
    <w:rsid w:val="006C4392"/>
    <w:rsid w:val="006C43DA"/>
    <w:rsid w:val="006C43DD"/>
    <w:rsid w:val="006C44AC"/>
    <w:rsid w:val="006C44DE"/>
    <w:rsid w:val="006C450E"/>
    <w:rsid w:val="006C4528"/>
    <w:rsid w:val="006C4599"/>
    <w:rsid w:val="006C45C1"/>
    <w:rsid w:val="006C4635"/>
    <w:rsid w:val="006C46DC"/>
    <w:rsid w:val="006C46E4"/>
    <w:rsid w:val="006C472A"/>
    <w:rsid w:val="006C4746"/>
    <w:rsid w:val="006C4748"/>
    <w:rsid w:val="006C4755"/>
    <w:rsid w:val="006C475B"/>
    <w:rsid w:val="006C47A8"/>
    <w:rsid w:val="006C47F0"/>
    <w:rsid w:val="006C4818"/>
    <w:rsid w:val="006C4839"/>
    <w:rsid w:val="006C4850"/>
    <w:rsid w:val="006C4870"/>
    <w:rsid w:val="006C4899"/>
    <w:rsid w:val="006C489F"/>
    <w:rsid w:val="006C48C9"/>
    <w:rsid w:val="006C4901"/>
    <w:rsid w:val="006C491D"/>
    <w:rsid w:val="006C494B"/>
    <w:rsid w:val="006C4973"/>
    <w:rsid w:val="006C498D"/>
    <w:rsid w:val="006C49A1"/>
    <w:rsid w:val="006C49AB"/>
    <w:rsid w:val="006C49C9"/>
    <w:rsid w:val="006C4A40"/>
    <w:rsid w:val="006C4A92"/>
    <w:rsid w:val="006C4B24"/>
    <w:rsid w:val="006C4B30"/>
    <w:rsid w:val="006C4B41"/>
    <w:rsid w:val="006C4B6D"/>
    <w:rsid w:val="006C4B99"/>
    <w:rsid w:val="006C4BD3"/>
    <w:rsid w:val="006C4C29"/>
    <w:rsid w:val="006C4C49"/>
    <w:rsid w:val="006C4C74"/>
    <w:rsid w:val="006C4D0A"/>
    <w:rsid w:val="006C4D5A"/>
    <w:rsid w:val="006C4E06"/>
    <w:rsid w:val="006C4E6E"/>
    <w:rsid w:val="006C4E7A"/>
    <w:rsid w:val="006C4ECE"/>
    <w:rsid w:val="006C4F59"/>
    <w:rsid w:val="006C4FA4"/>
    <w:rsid w:val="006C4FC6"/>
    <w:rsid w:val="006C5078"/>
    <w:rsid w:val="006C50FE"/>
    <w:rsid w:val="006C5105"/>
    <w:rsid w:val="006C511D"/>
    <w:rsid w:val="006C514D"/>
    <w:rsid w:val="006C5169"/>
    <w:rsid w:val="006C519D"/>
    <w:rsid w:val="006C5203"/>
    <w:rsid w:val="006C5219"/>
    <w:rsid w:val="006C5238"/>
    <w:rsid w:val="006C5246"/>
    <w:rsid w:val="006C52A8"/>
    <w:rsid w:val="006C532B"/>
    <w:rsid w:val="006C5387"/>
    <w:rsid w:val="006C538E"/>
    <w:rsid w:val="006C53D4"/>
    <w:rsid w:val="006C53E4"/>
    <w:rsid w:val="006C544E"/>
    <w:rsid w:val="006C5452"/>
    <w:rsid w:val="006C5499"/>
    <w:rsid w:val="006C54A4"/>
    <w:rsid w:val="006C54E9"/>
    <w:rsid w:val="006C550D"/>
    <w:rsid w:val="006C5511"/>
    <w:rsid w:val="006C551F"/>
    <w:rsid w:val="006C5529"/>
    <w:rsid w:val="006C554C"/>
    <w:rsid w:val="006C555D"/>
    <w:rsid w:val="006C5563"/>
    <w:rsid w:val="006C557D"/>
    <w:rsid w:val="006C55C8"/>
    <w:rsid w:val="006C55D0"/>
    <w:rsid w:val="006C5602"/>
    <w:rsid w:val="006C5669"/>
    <w:rsid w:val="006C568B"/>
    <w:rsid w:val="006C5725"/>
    <w:rsid w:val="006C57F7"/>
    <w:rsid w:val="006C5842"/>
    <w:rsid w:val="006C5847"/>
    <w:rsid w:val="006C587C"/>
    <w:rsid w:val="006C587D"/>
    <w:rsid w:val="006C58B4"/>
    <w:rsid w:val="006C58D6"/>
    <w:rsid w:val="006C593C"/>
    <w:rsid w:val="006C5972"/>
    <w:rsid w:val="006C5980"/>
    <w:rsid w:val="006C59D5"/>
    <w:rsid w:val="006C5A04"/>
    <w:rsid w:val="006C5A42"/>
    <w:rsid w:val="006C5A7E"/>
    <w:rsid w:val="006C5A85"/>
    <w:rsid w:val="006C5A94"/>
    <w:rsid w:val="006C5AEA"/>
    <w:rsid w:val="006C5AED"/>
    <w:rsid w:val="006C5B05"/>
    <w:rsid w:val="006C5B27"/>
    <w:rsid w:val="006C5B76"/>
    <w:rsid w:val="006C5B9D"/>
    <w:rsid w:val="006C5C28"/>
    <w:rsid w:val="006C5CB9"/>
    <w:rsid w:val="006C5CC0"/>
    <w:rsid w:val="006C5CE2"/>
    <w:rsid w:val="006C5CF0"/>
    <w:rsid w:val="006C5D0E"/>
    <w:rsid w:val="006C5DA6"/>
    <w:rsid w:val="006C5DAF"/>
    <w:rsid w:val="006C5DD4"/>
    <w:rsid w:val="006C5DDC"/>
    <w:rsid w:val="006C5DE4"/>
    <w:rsid w:val="006C5DF5"/>
    <w:rsid w:val="006C5E2C"/>
    <w:rsid w:val="006C5E38"/>
    <w:rsid w:val="006C5E7B"/>
    <w:rsid w:val="006C5EAC"/>
    <w:rsid w:val="006C5F0B"/>
    <w:rsid w:val="006C5F17"/>
    <w:rsid w:val="006C5F49"/>
    <w:rsid w:val="006C5FB4"/>
    <w:rsid w:val="006C5FC2"/>
    <w:rsid w:val="006C6011"/>
    <w:rsid w:val="006C6055"/>
    <w:rsid w:val="006C607E"/>
    <w:rsid w:val="006C60C5"/>
    <w:rsid w:val="006C60F9"/>
    <w:rsid w:val="006C6157"/>
    <w:rsid w:val="006C6189"/>
    <w:rsid w:val="006C618E"/>
    <w:rsid w:val="006C61CD"/>
    <w:rsid w:val="006C61F0"/>
    <w:rsid w:val="006C620D"/>
    <w:rsid w:val="006C62AE"/>
    <w:rsid w:val="006C62EC"/>
    <w:rsid w:val="006C6353"/>
    <w:rsid w:val="006C6376"/>
    <w:rsid w:val="006C63B2"/>
    <w:rsid w:val="006C63B4"/>
    <w:rsid w:val="006C63CF"/>
    <w:rsid w:val="006C63DC"/>
    <w:rsid w:val="006C640F"/>
    <w:rsid w:val="006C642D"/>
    <w:rsid w:val="006C6471"/>
    <w:rsid w:val="006C648D"/>
    <w:rsid w:val="006C6542"/>
    <w:rsid w:val="006C6568"/>
    <w:rsid w:val="006C65EF"/>
    <w:rsid w:val="006C660D"/>
    <w:rsid w:val="006C66BE"/>
    <w:rsid w:val="006C6765"/>
    <w:rsid w:val="006C676B"/>
    <w:rsid w:val="006C6788"/>
    <w:rsid w:val="006C67A3"/>
    <w:rsid w:val="006C67E3"/>
    <w:rsid w:val="006C686D"/>
    <w:rsid w:val="006C686E"/>
    <w:rsid w:val="006C694F"/>
    <w:rsid w:val="006C695E"/>
    <w:rsid w:val="006C6998"/>
    <w:rsid w:val="006C69B6"/>
    <w:rsid w:val="006C6BBB"/>
    <w:rsid w:val="006C6BCA"/>
    <w:rsid w:val="006C6C13"/>
    <w:rsid w:val="006C6C31"/>
    <w:rsid w:val="006C6CC1"/>
    <w:rsid w:val="006C6D34"/>
    <w:rsid w:val="006C6D38"/>
    <w:rsid w:val="006C6D46"/>
    <w:rsid w:val="006C6D70"/>
    <w:rsid w:val="006C6D8B"/>
    <w:rsid w:val="006C6D94"/>
    <w:rsid w:val="006C6D9F"/>
    <w:rsid w:val="006C6DC3"/>
    <w:rsid w:val="006C6E23"/>
    <w:rsid w:val="006C6E5C"/>
    <w:rsid w:val="006C6EA6"/>
    <w:rsid w:val="006C6EC8"/>
    <w:rsid w:val="006C6ECA"/>
    <w:rsid w:val="006C6EFA"/>
    <w:rsid w:val="006C6EFC"/>
    <w:rsid w:val="006C6F0C"/>
    <w:rsid w:val="006C6F9C"/>
    <w:rsid w:val="006C6FCD"/>
    <w:rsid w:val="006C6FDD"/>
    <w:rsid w:val="006C6FDF"/>
    <w:rsid w:val="006C6FE6"/>
    <w:rsid w:val="006C7041"/>
    <w:rsid w:val="006C709D"/>
    <w:rsid w:val="006C71C0"/>
    <w:rsid w:val="006C71CE"/>
    <w:rsid w:val="006C71D9"/>
    <w:rsid w:val="006C71DF"/>
    <w:rsid w:val="006C7202"/>
    <w:rsid w:val="006C7208"/>
    <w:rsid w:val="006C721F"/>
    <w:rsid w:val="006C72DE"/>
    <w:rsid w:val="006C737C"/>
    <w:rsid w:val="006C738B"/>
    <w:rsid w:val="006C73E3"/>
    <w:rsid w:val="006C7450"/>
    <w:rsid w:val="006C7454"/>
    <w:rsid w:val="006C7460"/>
    <w:rsid w:val="006C7482"/>
    <w:rsid w:val="006C7529"/>
    <w:rsid w:val="006C753A"/>
    <w:rsid w:val="006C7544"/>
    <w:rsid w:val="006C7570"/>
    <w:rsid w:val="006C759A"/>
    <w:rsid w:val="006C75A6"/>
    <w:rsid w:val="006C75DC"/>
    <w:rsid w:val="006C7659"/>
    <w:rsid w:val="006C76D4"/>
    <w:rsid w:val="006C76DE"/>
    <w:rsid w:val="006C76E5"/>
    <w:rsid w:val="006C76FA"/>
    <w:rsid w:val="006C77EF"/>
    <w:rsid w:val="006C781F"/>
    <w:rsid w:val="006C7922"/>
    <w:rsid w:val="006C7952"/>
    <w:rsid w:val="006C7976"/>
    <w:rsid w:val="006C79A4"/>
    <w:rsid w:val="006C7A30"/>
    <w:rsid w:val="006C7B01"/>
    <w:rsid w:val="006C7B08"/>
    <w:rsid w:val="006C7B82"/>
    <w:rsid w:val="006C7BC5"/>
    <w:rsid w:val="006C7BD1"/>
    <w:rsid w:val="006C7BD4"/>
    <w:rsid w:val="006C7C3F"/>
    <w:rsid w:val="006C7CB7"/>
    <w:rsid w:val="006C7CC5"/>
    <w:rsid w:val="006C7D00"/>
    <w:rsid w:val="006C7D15"/>
    <w:rsid w:val="006C7D2C"/>
    <w:rsid w:val="006C7D47"/>
    <w:rsid w:val="006C7D4D"/>
    <w:rsid w:val="006C7D52"/>
    <w:rsid w:val="006C7D90"/>
    <w:rsid w:val="006C7DD7"/>
    <w:rsid w:val="006C7E08"/>
    <w:rsid w:val="006C7E16"/>
    <w:rsid w:val="006C7E38"/>
    <w:rsid w:val="006C7E46"/>
    <w:rsid w:val="006C7E72"/>
    <w:rsid w:val="006C7E8D"/>
    <w:rsid w:val="006C7EAB"/>
    <w:rsid w:val="006C7EC6"/>
    <w:rsid w:val="006C7EE7"/>
    <w:rsid w:val="006C7F68"/>
    <w:rsid w:val="006C7F84"/>
    <w:rsid w:val="006C7FF0"/>
    <w:rsid w:val="006D0015"/>
    <w:rsid w:val="006D003B"/>
    <w:rsid w:val="006D0073"/>
    <w:rsid w:val="006D00B5"/>
    <w:rsid w:val="006D0117"/>
    <w:rsid w:val="006D01D1"/>
    <w:rsid w:val="006D01F3"/>
    <w:rsid w:val="006D0206"/>
    <w:rsid w:val="006D021A"/>
    <w:rsid w:val="006D0237"/>
    <w:rsid w:val="006D026A"/>
    <w:rsid w:val="006D02D6"/>
    <w:rsid w:val="006D030E"/>
    <w:rsid w:val="006D0391"/>
    <w:rsid w:val="006D039D"/>
    <w:rsid w:val="006D0418"/>
    <w:rsid w:val="006D043C"/>
    <w:rsid w:val="006D0456"/>
    <w:rsid w:val="006D049F"/>
    <w:rsid w:val="006D04D4"/>
    <w:rsid w:val="006D0520"/>
    <w:rsid w:val="006D052A"/>
    <w:rsid w:val="006D0559"/>
    <w:rsid w:val="006D05AD"/>
    <w:rsid w:val="006D05FF"/>
    <w:rsid w:val="006D0629"/>
    <w:rsid w:val="006D0644"/>
    <w:rsid w:val="006D071F"/>
    <w:rsid w:val="006D073C"/>
    <w:rsid w:val="006D074E"/>
    <w:rsid w:val="006D07D0"/>
    <w:rsid w:val="006D0826"/>
    <w:rsid w:val="006D085F"/>
    <w:rsid w:val="006D0883"/>
    <w:rsid w:val="006D089A"/>
    <w:rsid w:val="006D08B7"/>
    <w:rsid w:val="006D0911"/>
    <w:rsid w:val="006D0933"/>
    <w:rsid w:val="006D093F"/>
    <w:rsid w:val="006D0988"/>
    <w:rsid w:val="006D0998"/>
    <w:rsid w:val="006D09BB"/>
    <w:rsid w:val="006D09F9"/>
    <w:rsid w:val="006D0A13"/>
    <w:rsid w:val="006D0A7C"/>
    <w:rsid w:val="006D0A9A"/>
    <w:rsid w:val="006D0AAB"/>
    <w:rsid w:val="006D0AC4"/>
    <w:rsid w:val="006D0AF4"/>
    <w:rsid w:val="006D0B1D"/>
    <w:rsid w:val="006D0B34"/>
    <w:rsid w:val="006D0B52"/>
    <w:rsid w:val="006D0B94"/>
    <w:rsid w:val="006D0BAB"/>
    <w:rsid w:val="006D0C8C"/>
    <w:rsid w:val="006D0C94"/>
    <w:rsid w:val="006D0DC2"/>
    <w:rsid w:val="006D0E79"/>
    <w:rsid w:val="006D0E87"/>
    <w:rsid w:val="006D0EFF"/>
    <w:rsid w:val="006D0F11"/>
    <w:rsid w:val="006D0F33"/>
    <w:rsid w:val="006D0F3B"/>
    <w:rsid w:val="006D0F45"/>
    <w:rsid w:val="006D0F5F"/>
    <w:rsid w:val="006D0F6E"/>
    <w:rsid w:val="006D107E"/>
    <w:rsid w:val="006D10D2"/>
    <w:rsid w:val="006D10EC"/>
    <w:rsid w:val="006D10FC"/>
    <w:rsid w:val="006D1112"/>
    <w:rsid w:val="006D1145"/>
    <w:rsid w:val="006D1146"/>
    <w:rsid w:val="006D1172"/>
    <w:rsid w:val="006D118C"/>
    <w:rsid w:val="006D118D"/>
    <w:rsid w:val="006D118E"/>
    <w:rsid w:val="006D1192"/>
    <w:rsid w:val="006D11C5"/>
    <w:rsid w:val="006D1213"/>
    <w:rsid w:val="006D1228"/>
    <w:rsid w:val="006D1232"/>
    <w:rsid w:val="006D129C"/>
    <w:rsid w:val="006D12C9"/>
    <w:rsid w:val="006D12D1"/>
    <w:rsid w:val="006D134B"/>
    <w:rsid w:val="006D13F5"/>
    <w:rsid w:val="006D1406"/>
    <w:rsid w:val="006D14BE"/>
    <w:rsid w:val="006D1526"/>
    <w:rsid w:val="006D1529"/>
    <w:rsid w:val="006D1561"/>
    <w:rsid w:val="006D1568"/>
    <w:rsid w:val="006D15F7"/>
    <w:rsid w:val="006D15FA"/>
    <w:rsid w:val="006D1630"/>
    <w:rsid w:val="006D1660"/>
    <w:rsid w:val="006D16AD"/>
    <w:rsid w:val="006D16C6"/>
    <w:rsid w:val="006D1717"/>
    <w:rsid w:val="006D173B"/>
    <w:rsid w:val="006D17C3"/>
    <w:rsid w:val="006D17EA"/>
    <w:rsid w:val="006D17EB"/>
    <w:rsid w:val="006D182B"/>
    <w:rsid w:val="006D186C"/>
    <w:rsid w:val="006D18C2"/>
    <w:rsid w:val="006D1975"/>
    <w:rsid w:val="006D197D"/>
    <w:rsid w:val="006D19B0"/>
    <w:rsid w:val="006D1A05"/>
    <w:rsid w:val="006D1AAD"/>
    <w:rsid w:val="006D1AC4"/>
    <w:rsid w:val="006D1AF2"/>
    <w:rsid w:val="006D1B24"/>
    <w:rsid w:val="006D1B4F"/>
    <w:rsid w:val="006D1C6A"/>
    <w:rsid w:val="006D1C6F"/>
    <w:rsid w:val="006D1CC9"/>
    <w:rsid w:val="006D1CD9"/>
    <w:rsid w:val="006D1D2C"/>
    <w:rsid w:val="006D1D3C"/>
    <w:rsid w:val="006D1D40"/>
    <w:rsid w:val="006D1DD6"/>
    <w:rsid w:val="006D1E48"/>
    <w:rsid w:val="006D1E8A"/>
    <w:rsid w:val="006D1E93"/>
    <w:rsid w:val="006D1EC5"/>
    <w:rsid w:val="006D1ECD"/>
    <w:rsid w:val="006D1FF4"/>
    <w:rsid w:val="006D2025"/>
    <w:rsid w:val="006D206E"/>
    <w:rsid w:val="006D208F"/>
    <w:rsid w:val="006D2099"/>
    <w:rsid w:val="006D20F0"/>
    <w:rsid w:val="006D20F3"/>
    <w:rsid w:val="006D212A"/>
    <w:rsid w:val="006D2191"/>
    <w:rsid w:val="006D21C1"/>
    <w:rsid w:val="006D22E6"/>
    <w:rsid w:val="006D239A"/>
    <w:rsid w:val="006D23B2"/>
    <w:rsid w:val="006D240B"/>
    <w:rsid w:val="006D240E"/>
    <w:rsid w:val="006D247D"/>
    <w:rsid w:val="006D2489"/>
    <w:rsid w:val="006D2514"/>
    <w:rsid w:val="006D2537"/>
    <w:rsid w:val="006D256C"/>
    <w:rsid w:val="006D25E5"/>
    <w:rsid w:val="006D2602"/>
    <w:rsid w:val="006D260E"/>
    <w:rsid w:val="006D2653"/>
    <w:rsid w:val="006D2658"/>
    <w:rsid w:val="006D271A"/>
    <w:rsid w:val="006D2726"/>
    <w:rsid w:val="006D2735"/>
    <w:rsid w:val="006D2737"/>
    <w:rsid w:val="006D2760"/>
    <w:rsid w:val="006D27F1"/>
    <w:rsid w:val="006D282A"/>
    <w:rsid w:val="006D283A"/>
    <w:rsid w:val="006D2846"/>
    <w:rsid w:val="006D2863"/>
    <w:rsid w:val="006D2885"/>
    <w:rsid w:val="006D2899"/>
    <w:rsid w:val="006D289A"/>
    <w:rsid w:val="006D28A4"/>
    <w:rsid w:val="006D2939"/>
    <w:rsid w:val="006D2961"/>
    <w:rsid w:val="006D29BF"/>
    <w:rsid w:val="006D2A13"/>
    <w:rsid w:val="006D2A39"/>
    <w:rsid w:val="006D2A53"/>
    <w:rsid w:val="006D2A92"/>
    <w:rsid w:val="006D2B05"/>
    <w:rsid w:val="006D2B27"/>
    <w:rsid w:val="006D2B36"/>
    <w:rsid w:val="006D2C2F"/>
    <w:rsid w:val="006D2C4E"/>
    <w:rsid w:val="006D2CE0"/>
    <w:rsid w:val="006D2D64"/>
    <w:rsid w:val="006D2D78"/>
    <w:rsid w:val="006D2D8B"/>
    <w:rsid w:val="006D2E51"/>
    <w:rsid w:val="006D2EDA"/>
    <w:rsid w:val="006D2F23"/>
    <w:rsid w:val="006D2F97"/>
    <w:rsid w:val="006D2F9A"/>
    <w:rsid w:val="006D2FCB"/>
    <w:rsid w:val="006D2FF3"/>
    <w:rsid w:val="006D3141"/>
    <w:rsid w:val="006D3148"/>
    <w:rsid w:val="006D3180"/>
    <w:rsid w:val="006D318E"/>
    <w:rsid w:val="006D31A2"/>
    <w:rsid w:val="006D325F"/>
    <w:rsid w:val="006D326D"/>
    <w:rsid w:val="006D32A0"/>
    <w:rsid w:val="006D32DD"/>
    <w:rsid w:val="006D331A"/>
    <w:rsid w:val="006D3322"/>
    <w:rsid w:val="006D3340"/>
    <w:rsid w:val="006D337C"/>
    <w:rsid w:val="006D33A4"/>
    <w:rsid w:val="006D33F7"/>
    <w:rsid w:val="006D3429"/>
    <w:rsid w:val="006D344D"/>
    <w:rsid w:val="006D345F"/>
    <w:rsid w:val="006D3471"/>
    <w:rsid w:val="006D34F1"/>
    <w:rsid w:val="006D34F9"/>
    <w:rsid w:val="006D3541"/>
    <w:rsid w:val="006D3549"/>
    <w:rsid w:val="006D3552"/>
    <w:rsid w:val="006D35EE"/>
    <w:rsid w:val="006D3623"/>
    <w:rsid w:val="006D364B"/>
    <w:rsid w:val="006D36C2"/>
    <w:rsid w:val="006D36FD"/>
    <w:rsid w:val="006D376B"/>
    <w:rsid w:val="006D37E5"/>
    <w:rsid w:val="006D37EE"/>
    <w:rsid w:val="006D380F"/>
    <w:rsid w:val="006D38D2"/>
    <w:rsid w:val="006D38DC"/>
    <w:rsid w:val="006D38F2"/>
    <w:rsid w:val="006D3927"/>
    <w:rsid w:val="006D399B"/>
    <w:rsid w:val="006D39D3"/>
    <w:rsid w:val="006D39D4"/>
    <w:rsid w:val="006D3B07"/>
    <w:rsid w:val="006D3B8B"/>
    <w:rsid w:val="006D3BB0"/>
    <w:rsid w:val="006D3BC2"/>
    <w:rsid w:val="006D3BD3"/>
    <w:rsid w:val="006D3C2B"/>
    <w:rsid w:val="006D3C70"/>
    <w:rsid w:val="006D3C94"/>
    <w:rsid w:val="006D3CA7"/>
    <w:rsid w:val="006D3CB2"/>
    <w:rsid w:val="006D3CEE"/>
    <w:rsid w:val="006D3D0E"/>
    <w:rsid w:val="006D3D17"/>
    <w:rsid w:val="006D3DDC"/>
    <w:rsid w:val="006D3E4C"/>
    <w:rsid w:val="006D3E60"/>
    <w:rsid w:val="006D3E6C"/>
    <w:rsid w:val="006D3E90"/>
    <w:rsid w:val="006D3EA4"/>
    <w:rsid w:val="006D3EB8"/>
    <w:rsid w:val="006D3ECF"/>
    <w:rsid w:val="006D3EE9"/>
    <w:rsid w:val="006D3F1A"/>
    <w:rsid w:val="006D3F43"/>
    <w:rsid w:val="006D3F7E"/>
    <w:rsid w:val="006D3F9E"/>
    <w:rsid w:val="006D3FB0"/>
    <w:rsid w:val="006D3FB4"/>
    <w:rsid w:val="006D3FE1"/>
    <w:rsid w:val="006D401C"/>
    <w:rsid w:val="006D40A7"/>
    <w:rsid w:val="006D40B5"/>
    <w:rsid w:val="006D4112"/>
    <w:rsid w:val="006D415B"/>
    <w:rsid w:val="006D417D"/>
    <w:rsid w:val="006D41B4"/>
    <w:rsid w:val="006D41D8"/>
    <w:rsid w:val="006D41E7"/>
    <w:rsid w:val="006D4261"/>
    <w:rsid w:val="006D4273"/>
    <w:rsid w:val="006D428E"/>
    <w:rsid w:val="006D4297"/>
    <w:rsid w:val="006D42C1"/>
    <w:rsid w:val="006D4306"/>
    <w:rsid w:val="006D430F"/>
    <w:rsid w:val="006D432B"/>
    <w:rsid w:val="006D434A"/>
    <w:rsid w:val="006D4351"/>
    <w:rsid w:val="006D43A1"/>
    <w:rsid w:val="006D43A7"/>
    <w:rsid w:val="006D43E4"/>
    <w:rsid w:val="006D43F8"/>
    <w:rsid w:val="006D4453"/>
    <w:rsid w:val="006D4462"/>
    <w:rsid w:val="006D4490"/>
    <w:rsid w:val="006D44E1"/>
    <w:rsid w:val="006D4530"/>
    <w:rsid w:val="006D4534"/>
    <w:rsid w:val="006D4563"/>
    <w:rsid w:val="006D4623"/>
    <w:rsid w:val="006D4641"/>
    <w:rsid w:val="006D466F"/>
    <w:rsid w:val="006D4679"/>
    <w:rsid w:val="006D4681"/>
    <w:rsid w:val="006D4698"/>
    <w:rsid w:val="006D46D0"/>
    <w:rsid w:val="006D46EA"/>
    <w:rsid w:val="006D4703"/>
    <w:rsid w:val="006D47AE"/>
    <w:rsid w:val="006D47BC"/>
    <w:rsid w:val="006D47ED"/>
    <w:rsid w:val="006D4869"/>
    <w:rsid w:val="006D488B"/>
    <w:rsid w:val="006D4951"/>
    <w:rsid w:val="006D49B3"/>
    <w:rsid w:val="006D4A0F"/>
    <w:rsid w:val="006D4A82"/>
    <w:rsid w:val="006D4AAD"/>
    <w:rsid w:val="006D4ADB"/>
    <w:rsid w:val="006D4B1B"/>
    <w:rsid w:val="006D4B6D"/>
    <w:rsid w:val="006D4B8B"/>
    <w:rsid w:val="006D4C45"/>
    <w:rsid w:val="006D4CC6"/>
    <w:rsid w:val="006D4CDE"/>
    <w:rsid w:val="006D4CE0"/>
    <w:rsid w:val="006D4CE8"/>
    <w:rsid w:val="006D4CFB"/>
    <w:rsid w:val="006D4D08"/>
    <w:rsid w:val="006D4D21"/>
    <w:rsid w:val="006D4D64"/>
    <w:rsid w:val="006D4DDB"/>
    <w:rsid w:val="006D4DF4"/>
    <w:rsid w:val="006D4E72"/>
    <w:rsid w:val="006D4ED7"/>
    <w:rsid w:val="006D4EEE"/>
    <w:rsid w:val="006D4F07"/>
    <w:rsid w:val="006D4FA5"/>
    <w:rsid w:val="006D4FC8"/>
    <w:rsid w:val="006D501D"/>
    <w:rsid w:val="006D5027"/>
    <w:rsid w:val="006D504A"/>
    <w:rsid w:val="006D509F"/>
    <w:rsid w:val="006D50C0"/>
    <w:rsid w:val="006D50F8"/>
    <w:rsid w:val="006D5144"/>
    <w:rsid w:val="006D5155"/>
    <w:rsid w:val="006D517D"/>
    <w:rsid w:val="006D51A2"/>
    <w:rsid w:val="006D5210"/>
    <w:rsid w:val="006D532C"/>
    <w:rsid w:val="006D5380"/>
    <w:rsid w:val="006D53D8"/>
    <w:rsid w:val="006D53FD"/>
    <w:rsid w:val="006D53FE"/>
    <w:rsid w:val="006D5467"/>
    <w:rsid w:val="006D5468"/>
    <w:rsid w:val="006D549C"/>
    <w:rsid w:val="006D549D"/>
    <w:rsid w:val="006D5553"/>
    <w:rsid w:val="006D558B"/>
    <w:rsid w:val="006D55C7"/>
    <w:rsid w:val="006D55E1"/>
    <w:rsid w:val="006D55E9"/>
    <w:rsid w:val="006D55F5"/>
    <w:rsid w:val="006D55F6"/>
    <w:rsid w:val="006D561E"/>
    <w:rsid w:val="006D5622"/>
    <w:rsid w:val="006D5653"/>
    <w:rsid w:val="006D56CB"/>
    <w:rsid w:val="006D572C"/>
    <w:rsid w:val="006D5771"/>
    <w:rsid w:val="006D5783"/>
    <w:rsid w:val="006D5788"/>
    <w:rsid w:val="006D57B5"/>
    <w:rsid w:val="006D5836"/>
    <w:rsid w:val="006D5850"/>
    <w:rsid w:val="006D5862"/>
    <w:rsid w:val="006D58C8"/>
    <w:rsid w:val="006D58CE"/>
    <w:rsid w:val="006D58F5"/>
    <w:rsid w:val="006D58F6"/>
    <w:rsid w:val="006D590A"/>
    <w:rsid w:val="006D5949"/>
    <w:rsid w:val="006D59AA"/>
    <w:rsid w:val="006D59BF"/>
    <w:rsid w:val="006D59CF"/>
    <w:rsid w:val="006D5A49"/>
    <w:rsid w:val="006D5A7C"/>
    <w:rsid w:val="006D5AD3"/>
    <w:rsid w:val="006D5AF9"/>
    <w:rsid w:val="006D5B1E"/>
    <w:rsid w:val="006D5B5C"/>
    <w:rsid w:val="006D5B8C"/>
    <w:rsid w:val="006D5B8E"/>
    <w:rsid w:val="006D5C22"/>
    <w:rsid w:val="006D5C76"/>
    <w:rsid w:val="006D5C95"/>
    <w:rsid w:val="006D5CC7"/>
    <w:rsid w:val="006D5D17"/>
    <w:rsid w:val="006D5DE5"/>
    <w:rsid w:val="006D5DF0"/>
    <w:rsid w:val="006D5DF5"/>
    <w:rsid w:val="006D5E01"/>
    <w:rsid w:val="006D5E1A"/>
    <w:rsid w:val="006D5E44"/>
    <w:rsid w:val="006D5EAE"/>
    <w:rsid w:val="006D5EB6"/>
    <w:rsid w:val="006D5F44"/>
    <w:rsid w:val="006D5F64"/>
    <w:rsid w:val="006D5F80"/>
    <w:rsid w:val="006D5FE6"/>
    <w:rsid w:val="006D603F"/>
    <w:rsid w:val="006D6052"/>
    <w:rsid w:val="006D6066"/>
    <w:rsid w:val="006D6099"/>
    <w:rsid w:val="006D60AD"/>
    <w:rsid w:val="006D60D1"/>
    <w:rsid w:val="006D60F9"/>
    <w:rsid w:val="006D6160"/>
    <w:rsid w:val="006D6256"/>
    <w:rsid w:val="006D6275"/>
    <w:rsid w:val="006D62D1"/>
    <w:rsid w:val="006D62EB"/>
    <w:rsid w:val="006D630D"/>
    <w:rsid w:val="006D6326"/>
    <w:rsid w:val="006D6349"/>
    <w:rsid w:val="006D634E"/>
    <w:rsid w:val="006D6381"/>
    <w:rsid w:val="006D6383"/>
    <w:rsid w:val="006D63DA"/>
    <w:rsid w:val="006D643A"/>
    <w:rsid w:val="006D64B5"/>
    <w:rsid w:val="006D64C5"/>
    <w:rsid w:val="006D64CF"/>
    <w:rsid w:val="006D64DE"/>
    <w:rsid w:val="006D6595"/>
    <w:rsid w:val="006D65A2"/>
    <w:rsid w:val="006D65D9"/>
    <w:rsid w:val="006D6607"/>
    <w:rsid w:val="006D661A"/>
    <w:rsid w:val="006D663B"/>
    <w:rsid w:val="006D6689"/>
    <w:rsid w:val="006D66DD"/>
    <w:rsid w:val="006D6735"/>
    <w:rsid w:val="006D678E"/>
    <w:rsid w:val="006D6791"/>
    <w:rsid w:val="006D67B8"/>
    <w:rsid w:val="006D67DF"/>
    <w:rsid w:val="006D67F9"/>
    <w:rsid w:val="006D6826"/>
    <w:rsid w:val="006D682D"/>
    <w:rsid w:val="006D684F"/>
    <w:rsid w:val="006D689C"/>
    <w:rsid w:val="006D68AC"/>
    <w:rsid w:val="006D68F0"/>
    <w:rsid w:val="006D68F5"/>
    <w:rsid w:val="006D68FA"/>
    <w:rsid w:val="006D6938"/>
    <w:rsid w:val="006D696C"/>
    <w:rsid w:val="006D6987"/>
    <w:rsid w:val="006D6A90"/>
    <w:rsid w:val="006D6ABA"/>
    <w:rsid w:val="006D6AE9"/>
    <w:rsid w:val="006D6AED"/>
    <w:rsid w:val="006D6BA2"/>
    <w:rsid w:val="006D6BC5"/>
    <w:rsid w:val="006D6C28"/>
    <w:rsid w:val="006D6C5B"/>
    <w:rsid w:val="006D6CB1"/>
    <w:rsid w:val="006D6CCE"/>
    <w:rsid w:val="006D6CFA"/>
    <w:rsid w:val="006D6D0B"/>
    <w:rsid w:val="006D6D4D"/>
    <w:rsid w:val="006D6D5C"/>
    <w:rsid w:val="006D6D64"/>
    <w:rsid w:val="006D6DB3"/>
    <w:rsid w:val="006D6DB9"/>
    <w:rsid w:val="006D6DBA"/>
    <w:rsid w:val="006D6E1C"/>
    <w:rsid w:val="006D6E53"/>
    <w:rsid w:val="006D6E6F"/>
    <w:rsid w:val="006D6EA6"/>
    <w:rsid w:val="006D6EFF"/>
    <w:rsid w:val="006D6F33"/>
    <w:rsid w:val="006D6F74"/>
    <w:rsid w:val="006D6F80"/>
    <w:rsid w:val="006D6F8D"/>
    <w:rsid w:val="006D708E"/>
    <w:rsid w:val="006D7092"/>
    <w:rsid w:val="006D70C6"/>
    <w:rsid w:val="006D70D3"/>
    <w:rsid w:val="006D70E2"/>
    <w:rsid w:val="006D70FF"/>
    <w:rsid w:val="006D7120"/>
    <w:rsid w:val="006D714B"/>
    <w:rsid w:val="006D715E"/>
    <w:rsid w:val="006D71E4"/>
    <w:rsid w:val="006D727F"/>
    <w:rsid w:val="006D72E0"/>
    <w:rsid w:val="006D7305"/>
    <w:rsid w:val="006D7306"/>
    <w:rsid w:val="006D749D"/>
    <w:rsid w:val="006D74B6"/>
    <w:rsid w:val="006D74CB"/>
    <w:rsid w:val="006D74DC"/>
    <w:rsid w:val="006D751B"/>
    <w:rsid w:val="006D756F"/>
    <w:rsid w:val="006D75A9"/>
    <w:rsid w:val="006D7605"/>
    <w:rsid w:val="006D7624"/>
    <w:rsid w:val="006D7695"/>
    <w:rsid w:val="006D76FA"/>
    <w:rsid w:val="006D7735"/>
    <w:rsid w:val="006D773C"/>
    <w:rsid w:val="006D7762"/>
    <w:rsid w:val="006D7783"/>
    <w:rsid w:val="006D7784"/>
    <w:rsid w:val="006D779D"/>
    <w:rsid w:val="006D77BF"/>
    <w:rsid w:val="006D77D5"/>
    <w:rsid w:val="006D77E4"/>
    <w:rsid w:val="006D7837"/>
    <w:rsid w:val="006D785B"/>
    <w:rsid w:val="006D7863"/>
    <w:rsid w:val="006D788A"/>
    <w:rsid w:val="006D789D"/>
    <w:rsid w:val="006D78A3"/>
    <w:rsid w:val="006D78C8"/>
    <w:rsid w:val="006D78D7"/>
    <w:rsid w:val="006D7902"/>
    <w:rsid w:val="006D7970"/>
    <w:rsid w:val="006D7996"/>
    <w:rsid w:val="006D79A0"/>
    <w:rsid w:val="006D79A3"/>
    <w:rsid w:val="006D79E6"/>
    <w:rsid w:val="006D79FB"/>
    <w:rsid w:val="006D7A2F"/>
    <w:rsid w:val="006D7A68"/>
    <w:rsid w:val="006D7B1A"/>
    <w:rsid w:val="006D7BB2"/>
    <w:rsid w:val="006D7BF3"/>
    <w:rsid w:val="006D7C4D"/>
    <w:rsid w:val="006D7C72"/>
    <w:rsid w:val="006D7C9E"/>
    <w:rsid w:val="006D7CBF"/>
    <w:rsid w:val="006D7CD1"/>
    <w:rsid w:val="006D7D1E"/>
    <w:rsid w:val="006D7D70"/>
    <w:rsid w:val="006D7D7B"/>
    <w:rsid w:val="006D7E2B"/>
    <w:rsid w:val="006D7E97"/>
    <w:rsid w:val="006D7EDE"/>
    <w:rsid w:val="006D7F31"/>
    <w:rsid w:val="006D7F52"/>
    <w:rsid w:val="006D7F6F"/>
    <w:rsid w:val="006D7F75"/>
    <w:rsid w:val="006D7F94"/>
    <w:rsid w:val="006D7FAF"/>
    <w:rsid w:val="006D7FC9"/>
    <w:rsid w:val="006D7FE5"/>
    <w:rsid w:val="006E00C6"/>
    <w:rsid w:val="006E00F1"/>
    <w:rsid w:val="006E0108"/>
    <w:rsid w:val="006E0275"/>
    <w:rsid w:val="006E0283"/>
    <w:rsid w:val="006E03BD"/>
    <w:rsid w:val="006E03D3"/>
    <w:rsid w:val="006E0445"/>
    <w:rsid w:val="006E04E5"/>
    <w:rsid w:val="006E04EC"/>
    <w:rsid w:val="006E0504"/>
    <w:rsid w:val="006E0516"/>
    <w:rsid w:val="006E054A"/>
    <w:rsid w:val="006E05A7"/>
    <w:rsid w:val="006E0673"/>
    <w:rsid w:val="006E0679"/>
    <w:rsid w:val="006E0709"/>
    <w:rsid w:val="006E070B"/>
    <w:rsid w:val="006E072F"/>
    <w:rsid w:val="006E0772"/>
    <w:rsid w:val="006E07C5"/>
    <w:rsid w:val="006E07F4"/>
    <w:rsid w:val="006E0823"/>
    <w:rsid w:val="006E0831"/>
    <w:rsid w:val="006E0866"/>
    <w:rsid w:val="006E0880"/>
    <w:rsid w:val="006E08BC"/>
    <w:rsid w:val="006E08C8"/>
    <w:rsid w:val="006E08C9"/>
    <w:rsid w:val="006E094E"/>
    <w:rsid w:val="006E0970"/>
    <w:rsid w:val="006E0984"/>
    <w:rsid w:val="006E09C0"/>
    <w:rsid w:val="006E09CC"/>
    <w:rsid w:val="006E09DD"/>
    <w:rsid w:val="006E09E3"/>
    <w:rsid w:val="006E09F7"/>
    <w:rsid w:val="006E0A18"/>
    <w:rsid w:val="006E0AFA"/>
    <w:rsid w:val="006E0B84"/>
    <w:rsid w:val="006E0B86"/>
    <w:rsid w:val="006E0BA1"/>
    <w:rsid w:val="006E0BD4"/>
    <w:rsid w:val="006E0C4F"/>
    <w:rsid w:val="006E0CA7"/>
    <w:rsid w:val="006E0CAF"/>
    <w:rsid w:val="006E0CB3"/>
    <w:rsid w:val="006E0CB7"/>
    <w:rsid w:val="006E0CFC"/>
    <w:rsid w:val="006E0D24"/>
    <w:rsid w:val="006E0D39"/>
    <w:rsid w:val="006E0D5E"/>
    <w:rsid w:val="006E0DA5"/>
    <w:rsid w:val="006E0DC0"/>
    <w:rsid w:val="006E0E35"/>
    <w:rsid w:val="006E0E5B"/>
    <w:rsid w:val="006E0EDE"/>
    <w:rsid w:val="006E0EF5"/>
    <w:rsid w:val="006E0F05"/>
    <w:rsid w:val="006E0F55"/>
    <w:rsid w:val="006E0F64"/>
    <w:rsid w:val="006E0F6A"/>
    <w:rsid w:val="006E0FE9"/>
    <w:rsid w:val="006E0FFC"/>
    <w:rsid w:val="006E1041"/>
    <w:rsid w:val="006E1058"/>
    <w:rsid w:val="006E10A9"/>
    <w:rsid w:val="006E10AC"/>
    <w:rsid w:val="006E10BC"/>
    <w:rsid w:val="006E10BD"/>
    <w:rsid w:val="006E10E4"/>
    <w:rsid w:val="006E10F5"/>
    <w:rsid w:val="006E1103"/>
    <w:rsid w:val="006E110B"/>
    <w:rsid w:val="006E111F"/>
    <w:rsid w:val="006E113A"/>
    <w:rsid w:val="006E115A"/>
    <w:rsid w:val="006E11A8"/>
    <w:rsid w:val="006E11CF"/>
    <w:rsid w:val="006E11FD"/>
    <w:rsid w:val="006E120A"/>
    <w:rsid w:val="006E1211"/>
    <w:rsid w:val="006E1223"/>
    <w:rsid w:val="006E1231"/>
    <w:rsid w:val="006E12C8"/>
    <w:rsid w:val="006E1355"/>
    <w:rsid w:val="006E1394"/>
    <w:rsid w:val="006E13AF"/>
    <w:rsid w:val="006E13E7"/>
    <w:rsid w:val="006E140F"/>
    <w:rsid w:val="006E144C"/>
    <w:rsid w:val="006E1488"/>
    <w:rsid w:val="006E148A"/>
    <w:rsid w:val="006E14E7"/>
    <w:rsid w:val="006E14F8"/>
    <w:rsid w:val="006E152B"/>
    <w:rsid w:val="006E159B"/>
    <w:rsid w:val="006E1601"/>
    <w:rsid w:val="006E160F"/>
    <w:rsid w:val="006E165F"/>
    <w:rsid w:val="006E1676"/>
    <w:rsid w:val="006E169A"/>
    <w:rsid w:val="006E16C7"/>
    <w:rsid w:val="006E175E"/>
    <w:rsid w:val="006E175F"/>
    <w:rsid w:val="006E177F"/>
    <w:rsid w:val="006E1796"/>
    <w:rsid w:val="006E17AD"/>
    <w:rsid w:val="006E1801"/>
    <w:rsid w:val="006E180D"/>
    <w:rsid w:val="006E1892"/>
    <w:rsid w:val="006E18A1"/>
    <w:rsid w:val="006E18C9"/>
    <w:rsid w:val="006E18DB"/>
    <w:rsid w:val="006E1922"/>
    <w:rsid w:val="006E192C"/>
    <w:rsid w:val="006E197E"/>
    <w:rsid w:val="006E19B3"/>
    <w:rsid w:val="006E1A05"/>
    <w:rsid w:val="006E1A19"/>
    <w:rsid w:val="006E1A2D"/>
    <w:rsid w:val="006E1A7B"/>
    <w:rsid w:val="006E1AA4"/>
    <w:rsid w:val="006E1ABB"/>
    <w:rsid w:val="006E1AC8"/>
    <w:rsid w:val="006E1AD7"/>
    <w:rsid w:val="006E1AFF"/>
    <w:rsid w:val="006E1B02"/>
    <w:rsid w:val="006E1B76"/>
    <w:rsid w:val="006E1BF9"/>
    <w:rsid w:val="006E1BFD"/>
    <w:rsid w:val="006E1C3B"/>
    <w:rsid w:val="006E1C76"/>
    <w:rsid w:val="006E1CA3"/>
    <w:rsid w:val="006E1CBA"/>
    <w:rsid w:val="006E1CDA"/>
    <w:rsid w:val="006E1CE7"/>
    <w:rsid w:val="006E1CF0"/>
    <w:rsid w:val="006E1D05"/>
    <w:rsid w:val="006E1D17"/>
    <w:rsid w:val="006E1D58"/>
    <w:rsid w:val="006E1D62"/>
    <w:rsid w:val="006E1DA3"/>
    <w:rsid w:val="006E1DB3"/>
    <w:rsid w:val="006E1E26"/>
    <w:rsid w:val="006E1E8E"/>
    <w:rsid w:val="006E1EB2"/>
    <w:rsid w:val="006E1F1F"/>
    <w:rsid w:val="006E1F5D"/>
    <w:rsid w:val="006E1FB9"/>
    <w:rsid w:val="006E2021"/>
    <w:rsid w:val="006E2046"/>
    <w:rsid w:val="006E2071"/>
    <w:rsid w:val="006E20B9"/>
    <w:rsid w:val="006E20C1"/>
    <w:rsid w:val="006E20D1"/>
    <w:rsid w:val="006E2134"/>
    <w:rsid w:val="006E214D"/>
    <w:rsid w:val="006E2191"/>
    <w:rsid w:val="006E21BC"/>
    <w:rsid w:val="006E2281"/>
    <w:rsid w:val="006E2346"/>
    <w:rsid w:val="006E236D"/>
    <w:rsid w:val="006E2394"/>
    <w:rsid w:val="006E23B7"/>
    <w:rsid w:val="006E23DE"/>
    <w:rsid w:val="006E2403"/>
    <w:rsid w:val="006E240D"/>
    <w:rsid w:val="006E2436"/>
    <w:rsid w:val="006E2437"/>
    <w:rsid w:val="006E243F"/>
    <w:rsid w:val="006E244A"/>
    <w:rsid w:val="006E2459"/>
    <w:rsid w:val="006E246D"/>
    <w:rsid w:val="006E2491"/>
    <w:rsid w:val="006E24B0"/>
    <w:rsid w:val="006E24BF"/>
    <w:rsid w:val="006E2514"/>
    <w:rsid w:val="006E2528"/>
    <w:rsid w:val="006E252E"/>
    <w:rsid w:val="006E253E"/>
    <w:rsid w:val="006E258B"/>
    <w:rsid w:val="006E259F"/>
    <w:rsid w:val="006E2603"/>
    <w:rsid w:val="006E2615"/>
    <w:rsid w:val="006E2657"/>
    <w:rsid w:val="006E26D8"/>
    <w:rsid w:val="006E26F2"/>
    <w:rsid w:val="006E26F6"/>
    <w:rsid w:val="006E279C"/>
    <w:rsid w:val="006E27A6"/>
    <w:rsid w:val="006E27BB"/>
    <w:rsid w:val="006E27FC"/>
    <w:rsid w:val="006E280C"/>
    <w:rsid w:val="006E282C"/>
    <w:rsid w:val="006E2839"/>
    <w:rsid w:val="006E283A"/>
    <w:rsid w:val="006E2904"/>
    <w:rsid w:val="006E2915"/>
    <w:rsid w:val="006E2974"/>
    <w:rsid w:val="006E29A4"/>
    <w:rsid w:val="006E29C5"/>
    <w:rsid w:val="006E29C7"/>
    <w:rsid w:val="006E29CA"/>
    <w:rsid w:val="006E29EB"/>
    <w:rsid w:val="006E29F9"/>
    <w:rsid w:val="006E2A1D"/>
    <w:rsid w:val="006E2A41"/>
    <w:rsid w:val="006E2A56"/>
    <w:rsid w:val="006E2A67"/>
    <w:rsid w:val="006E2ACF"/>
    <w:rsid w:val="006E2AD4"/>
    <w:rsid w:val="006E2B2E"/>
    <w:rsid w:val="006E2B5F"/>
    <w:rsid w:val="006E2BBE"/>
    <w:rsid w:val="006E2C0C"/>
    <w:rsid w:val="006E2C0F"/>
    <w:rsid w:val="006E2C5F"/>
    <w:rsid w:val="006E2C88"/>
    <w:rsid w:val="006E2CDF"/>
    <w:rsid w:val="006E2D53"/>
    <w:rsid w:val="006E2D8D"/>
    <w:rsid w:val="006E2D91"/>
    <w:rsid w:val="006E2D9E"/>
    <w:rsid w:val="006E2E6E"/>
    <w:rsid w:val="006E2E7E"/>
    <w:rsid w:val="006E2E96"/>
    <w:rsid w:val="006E2EB4"/>
    <w:rsid w:val="006E2F0E"/>
    <w:rsid w:val="006E2F22"/>
    <w:rsid w:val="006E2F26"/>
    <w:rsid w:val="006E2F4F"/>
    <w:rsid w:val="006E2FD3"/>
    <w:rsid w:val="006E3023"/>
    <w:rsid w:val="006E3040"/>
    <w:rsid w:val="006E3062"/>
    <w:rsid w:val="006E306F"/>
    <w:rsid w:val="006E3098"/>
    <w:rsid w:val="006E3104"/>
    <w:rsid w:val="006E3171"/>
    <w:rsid w:val="006E3175"/>
    <w:rsid w:val="006E3187"/>
    <w:rsid w:val="006E31A3"/>
    <w:rsid w:val="006E31E9"/>
    <w:rsid w:val="006E323F"/>
    <w:rsid w:val="006E327B"/>
    <w:rsid w:val="006E329F"/>
    <w:rsid w:val="006E32B5"/>
    <w:rsid w:val="006E3306"/>
    <w:rsid w:val="006E336D"/>
    <w:rsid w:val="006E337D"/>
    <w:rsid w:val="006E33C2"/>
    <w:rsid w:val="006E33E6"/>
    <w:rsid w:val="006E3402"/>
    <w:rsid w:val="006E34A0"/>
    <w:rsid w:val="006E34A8"/>
    <w:rsid w:val="006E34C6"/>
    <w:rsid w:val="006E34D3"/>
    <w:rsid w:val="006E3513"/>
    <w:rsid w:val="006E3519"/>
    <w:rsid w:val="006E3560"/>
    <w:rsid w:val="006E35BB"/>
    <w:rsid w:val="006E35E8"/>
    <w:rsid w:val="006E3627"/>
    <w:rsid w:val="006E362F"/>
    <w:rsid w:val="006E3681"/>
    <w:rsid w:val="006E36BA"/>
    <w:rsid w:val="006E36D8"/>
    <w:rsid w:val="006E374F"/>
    <w:rsid w:val="006E3774"/>
    <w:rsid w:val="006E3788"/>
    <w:rsid w:val="006E3839"/>
    <w:rsid w:val="006E3844"/>
    <w:rsid w:val="006E38BE"/>
    <w:rsid w:val="006E391C"/>
    <w:rsid w:val="006E3960"/>
    <w:rsid w:val="006E397A"/>
    <w:rsid w:val="006E39CC"/>
    <w:rsid w:val="006E3A4B"/>
    <w:rsid w:val="006E3AA3"/>
    <w:rsid w:val="006E3ADF"/>
    <w:rsid w:val="006E3AE4"/>
    <w:rsid w:val="006E3AE6"/>
    <w:rsid w:val="006E3AEC"/>
    <w:rsid w:val="006E3AF3"/>
    <w:rsid w:val="006E3AF8"/>
    <w:rsid w:val="006E3B05"/>
    <w:rsid w:val="006E3B1B"/>
    <w:rsid w:val="006E3B30"/>
    <w:rsid w:val="006E3BC4"/>
    <w:rsid w:val="006E3BDF"/>
    <w:rsid w:val="006E3BE8"/>
    <w:rsid w:val="006E3BEB"/>
    <w:rsid w:val="006E3C3F"/>
    <w:rsid w:val="006E3C7F"/>
    <w:rsid w:val="006E3CA9"/>
    <w:rsid w:val="006E3CB8"/>
    <w:rsid w:val="006E3D07"/>
    <w:rsid w:val="006E3D0F"/>
    <w:rsid w:val="006E3D61"/>
    <w:rsid w:val="006E3DCB"/>
    <w:rsid w:val="006E3DCF"/>
    <w:rsid w:val="006E3DD0"/>
    <w:rsid w:val="006E3E6F"/>
    <w:rsid w:val="006E3ECB"/>
    <w:rsid w:val="006E3EE2"/>
    <w:rsid w:val="006E3EE9"/>
    <w:rsid w:val="006E3F04"/>
    <w:rsid w:val="006E3F2C"/>
    <w:rsid w:val="006E3F35"/>
    <w:rsid w:val="006E3F4E"/>
    <w:rsid w:val="006E3F72"/>
    <w:rsid w:val="006E3FC1"/>
    <w:rsid w:val="006E3FFA"/>
    <w:rsid w:val="006E40F3"/>
    <w:rsid w:val="006E421C"/>
    <w:rsid w:val="006E4230"/>
    <w:rsid w:val="006E42E6"/>
    <w:rsid w:val="006E42EE"/>
    <w:rsid w:val="006E42F2"/>
    <w:rsid w:val="006E4312"/>
    <w:rsid w:val="006E4340"/>
    <w:rsid w:val="006E4345"/>
    <w:rsid w:val="006E437C"/>
    <w:rsid w:val="006E4454"/>
    <w:rsid w:val="006E448B"/>
    <w:rsid w:val="006E455A"/>
    <w:rsid w:val="006E458A"/>
    <w:rsid w:val="006E45E4"/>
    <w:rsid w:val="006E4612"/>
    <w:rsid w:val="006E4636"/>
    <w:rsid w:val="006E4639"/>
    <w:rsid w:val="006E4687"/>
    <w:rsid w:val="006E468F"/>
    <w:rsid w:val="006E4690"/>
    <w:rsid w:val="006E4724"/>
    <w:rsid w:val="006E4749"/>
    <w:rsid w:val="006E47DE"/>
    <w:rsid w:val="006E4889"/>
    <w:rsid w:val="006E488B"/>
    <w:rsid w:val="006E48A1"/>
    <w:rsid w:val="006E48DA"/>
    <w:rsid w:val="006E48EE"/>
    <w:rsid w:val="006E4902"/>
    <w:rsid w:val="006E494B"/>
    <w:rsid w:val="006E496D"/>
    <w:rsid w:val="006E49FD"/>
    <w:rsid w:val="006E4A2E"/>
    <w:rsid w:val="006E4A46"/>
    <w:rsid w:val="006E4A56"/>
    <w:rsid w:val="006E4ADF"/>
    <w:rsid w:val="006E4AE4"/>
    <w:rsid w:val="006E4B6A"/>
    <w:rsid w:val="006E4B87"/>
    <w:rsid w:val="006E4B8A"/>
    <w:rsid w:val="006E4C06"/>
    <w:rsid w:val="006E4C35"/>
    <w:rsid w:val="006E4CDF"/>
    <w:rsid w:val="006E4D1E"/>
    <w:rsid w:val="006E4D4C"/>
    <w:rsid w:val="006E4D53"/>
    <w:rsid w:val="006E4D6F"/>
    <w:rsid w:val="006E4E22"/>
    <w:rsid w:val="006E4E26"/>
    <w:rsid w:val="006E4E40"/>
    <w:rsid w:val="006E4E60"/>
    <w:rsid w:val="006E4F4E"/>
    <w:rsid w:val="006E4F5C"/>
    <w:rsid w:val="006E4F64"/>
    <w:rsid w:val="006E4FB0"/>
    <w:rsid w:val="006E4FC1"/>
    <w:rsid w:val="006E4FC3"/>
    <w:rsid w:val="006E4FE8"/>
    <w:rsid w:val="006E5056"/>
    <w:rsid w:val="006E5087"/>
    <w:rsid w:val="006E509D"/>
    <w:rsid w:val="006E50BA"/>
    <w:rsid w:val="006E50C2"/>
    <w:rsid w:val="006E513B"/>
    <w:rsid w:val="006E515A"/>
    <w:rsid w:val="006E5186"/>
    <w:rsid w:val="006E51C7"/>
    <w:rsid w:val="006E5266"/>
    <w:rsid w:val="006E5275"/>
    <w:rsid w:val="006E529B"/>
    <w:rsid w:val="006E52BE"/>
    <w:rsid w:val="006E52EF"/>
    <w:rsid w:val="006E538A"/>
    <w:rsid w:val="006E5392"/>
    <w:rsid w:val="006E53DA"/>
    <w:rsid w:val="006E53E7"/>
    <w:rsid w:val="006E5447"/>
    <w:rsid w:val="006E54C6"/>
    <w:rsid w:val="006E54CA"/>
    <w:rsid w:val="006E54DD"/>
    <w:rsid w:val="006E54F2"/>
    <w:rsid w:val="006E5527"/>
    <w:rsid w:val="006E558B"/>
    <w:rsid w:val="006E55BF"/>
    <w:rsid w:val="006E5645"/>
    <w:rsid w:val="006E5666"/>
    <w:rsid w:val="006E5691"/>
    <w:rsid w:val="006E569A"/>
    <w:rsid w:val="006E569C"/>
    <w:rsid w:val="006E56DA"/>
    <w:rsid w:val="006E56DE"/>
    <w:rsid w:val="006E56E5"/>
    <w:rsid w:val="006E56E9"/>
    <w:rsid w:val="006E5700"/>
    <w:rsid w:val="006E5702"/>
    <w:rsid w:val="006E5753"/>
    <w:rsid w:val="006E576E"/>
    <w:rsid w:val="006E5779"/>
    <w:rsid w:val="006E577A"/>
    <w:rsid w:val="006E57B0"/>
    <w:rsid w:val="006E5836"/>
    <w:rsid w:val="006E58A8"/>
    <w:rsid w:val="006E58B9"/>
    <w:rsid w:val="006E591D"/>
    <w:rsid w:val="006E5939"/>
    <w:rsid w:val="006E5969"/>
    <w:rsid w:val="006E5997"/>
    <w:rsid w:val="006E5A0C"/>
    <w:rsid w:val="006E5A45"/>
    <w:rsid w:val="006E5A8E"/>
    <w:rsid w:val="006E5AAC"/>
    <w:rsid w:val="006E5AAF"/>
    <w:rsid w:val="006E5AE9"/>
    <w:rsid w:val="006E5AF0"/>
    <w:rsid w:val="006E5B07"/>
    <w:rsid w:val="006E5B38"/>
    <w:rsid w:val="006E5B9C"/>
    <w:rsid w:val="006E5BB5"/>
    <w:rsid w:val="006E5C0A"/>
    <w:rsid w:val="006E5C1C"/>
    <w:rsid w:val="006E5C41"/>
    <w:rsid w:val="006E5C5E"/>
    <w:rsid w:val="006E5CA6"/>
    <w:rsid w:val="006E5CBF"/>
    <w:rsid w:val="006E5CE4"/>
    <w:rsid w:val="006E5CFA"/>
    <w:rsid w:val="006E5D58"/>
    <w:rsid w:val="006E5DCE"/>
    <w:rsid w:val="006E5DEC"/>
    <w:rsid w:val="006E5E41"/>
    <w:rsid w:val="006E5E8E"/>
    <w:rsid w:val="006E5FA9"/>
    <w:rsid w:val="006E5FD4"/>
    <w:rsid w:val="006E600A"/>
    <w:rsid w:val="006E607F"/>
    <w:rsid w:val="006E6080"/>
    <w:rsid w:val="006E6091"/>
    <w:rsid w:val="006E609E"/>
    <w:rsid w:val="006E60B3"/>
    <w:rsid w:val="006E60F1"/>
    <w:rsid w:val="006E60FD"/>
    <w:rsid w:val="006E615B"/>
    <w:rsid w:val="006E61BC"/>
    <w:rsid w:val="006E61D2"/>
    <w:rsid w:val="006E6213"/>
    <w:rsid w:val="006E625D"/>
    <w:rsid w:val="006E62B7"/>
    <w:rsid w:val="006E62CD"/>
    <w:rsid w:val="006E6306"/>
    <w:rsid w:val="006E6353"/>
    <w:rsid w:val="006E6367"/>
    <w:rsid w:val="006E6375"/>
    <w:rsid w:val="006E63D0"/>
    <w:rsid w:val="006E63E9"/>
    <w:rsid w:val="006E63FD"/>
    <w:rsid w:val="006E6456"/>
    <w:rsid w:val="006E646C"/>
    <w:rsid w:val="006E64AA"/>
    <w:rsid w:val="006E652C"/>
    <w:rsid w:val="006E652D"/>
    <w:rsid w:val="006E6574"/>
    <w:rsid w:val="006E65C9"/>
    <w:rsid w:val="006E665C"/>
    <w:rsid w:val="006E6686"/>
    <w:rsid w:val="006E6687"/>
    <w:rsid w:val="006E668D"/>
    <w:rsid w:val="006E6704"/>
    <w:rsid w:val="006E670D"/>
    <w:rsid w:val="006E6795"/>
    <w:rsid w:val="006E6796"/>
    <w:rsid w:val="006E67B3"/>
    <w:rsid w:val="006E67C8"/>
    <w:rsid w:val="006E6844"/>
    <w:rsid w:val="006E68A3"/>
    <w:rsid w:val="006E68FE"/>
    <w:rsid w:val="006E690A"/>
    <w:rsid w:val="006E691A"/>
    <w:rsid w:val="006E699B"/>
    <w:rsid w:val="006E69B6"/>
    <w:rsid w:val="006E69C1"/>
    <w:rsid w:val="006E69F0"/>
    <w:rsid w:val="006E6A48"/>
    <w:rsid w:val="006E6A55"/>
    <w:rsid w:val="006E6A9E"/>
    <w:rsid w:val="006E6AA2"/>
    <w:rsid w:val="006E6AB9"/>
    <w:rsid w:val="006E6ABA"/>
    <w:rsid w:val="006E6ACE"/>
    <w:rsid w:val="006E6AF0"/>
    <w:rsid w:val="006E6B12"/>
    <w:rsid w:val="006E6B3C"/>
    <w:rsid w:val="006E6B61"/>
    <w:rsid w:val="006E6B77"/>
    <w:rsid w:val="006E6B96"/>
    <w:rsid w:val="006E6BA7"/>
    <w:rsid w:val="006E6BAE"/>
    <w:rsid w:val="006E6BCA"/>
    <w:rsid w:val="006E6BD7"/>
    <w:rsid w:val="006E6C08"/>
    <w:rsid w:val="006E6C1D"/>
    <w:rsid w:val="006E6C38"/>
    <w:rsid w:val="006E6CE9"/>
    <w:rsid w:val="006E6CF8"/>
    <w:rsid w:val="006E6D2C"/>
    <w:rsid w:val="006E6D3D"/>
    <w:rsid w:val="006E6D43"/>
    <w:rsid w:val="006E6D56"/>
    <w:rsid w:val="006E6DC9"/>
    <w:rsid w:val="006E6E40"/>
    <w:rsid w:val="006E6E75"/>
    <w:rsid w:val="006E6EAE"/>
    <w:rsid w:val="006E6F0F"/>
    <w:rsid w:val="006E6F63"/>
    <w:rsid w:val="006E6F73"/>
    <w:rsid w:val="006E6FAA"/>
    <w:rsid w:val="006E704E"/>
    <w:rsid w:val="006E705D"/>
    <w:rsid w:val="006E705F"/>
    <w:rsid w:val="006E706B"/>
    <w:rsid w:val="006E707A"/>
    <w:rsid w:val="006E70AC"/>
    <w:rsid w:val="006E70B5"/>
    <w:rsid w:val="006E70BA"/>
    <w:rsid w:val="006E7118"/>
    <w:rsid w:val="006E7134"/>
    <w:rsid w:val="006E7148"/>
    <w:rsid w:val="006E7190"/>
    <w:rsid w:val="006E71C5"/>
    <w:rsid w:val="006E71D2"/>
    <w:rsid w:val="006E71E8"/>
    <w:rsid w:val="006E71F9"/>
    <w:rsid w:val="006E7204"/>
    <w:rsid w:val="006E72E4"/>
    <w:rsid w:val="006E7324"/>
    <w:rsid w:val="006E7337"/>
    <w:rsid w:val="006E734C"/>
    <w:rsid w:val="006E735A"/>
    <w:rsid w:val="006E7377"/>
    <w:rsid w:val="006E7384"/>
    <w:rsid w:val="006E73F4"/>
    <w:rsid w:val="006E7493"/>
    <w:rsid w:val="006E74A1"/>
    <w:rsid w:val="006E74AB"/>
    <w:rsid w:val="006E7512"/>
    <w:rsid w:val="006E751B"/>
    <w:rsid w:val="006E7526"/>
    <w:rsid w:val="006E75A7"/>
    <w:rsid w:val="006E75AF"/>
    <w:rsid w:val="006E763F"/>
    <w:rsid w:val="006E7652"/>
    <w:rsid w:val="006E777A"/>
    <w:rsid w:val="006E778C"/>
    <w:rsid w:val="006E77E4"/>
    <w:rsid w:val="006E781F"/>
    <w:rsid w:val="006E782C"/>
    <w:rsid w:val="006E78E9"/>
    <w:rsid w:val="006E7962"/>
    <w:rsid w:val="006E797C"/>
    <w:rsid w:val="006E79EA"/>
    <w:rsid w:val="006E7A17"/>
    <w:rsid w:val="006E7A18"/>
    <w:rsid w:val="006E7A5B"/>
    <w:rsid w:val="006E7AB3"/>
    <w:rsid w:val="006E7ACF"/>
    <w:rsid w:val="006E7AE0"/>
    <w:rsid w:val="006E7B3C"/>
    <w:rsid w:val="006E7B44"/>
    <w:rsid w:val="006E7B5D"/>
    <w:rsid w:val="006E7BBC"/>
    <w:rsid w:val="006E7BFA"/>
    <w:rsid w:val="006E7BFD"/>
    <w:rsid w:val="006E7C12"/>
    <w:rsid w:val="006E7C14"/>
    <w:rsid w:val="006E7CC3"/>
    <w:rsid w:val="006E7CDC"/>
    <w:rsid w:val="006E7D18"/>
    <w:rsid w:val="006E7D31"/>
    <w:rsid w:val="006E7D35"/>
    <w:rsid w:val="006E7DE9"/>
    <w:rsid w:val="006E7E02"/>
    <w:rsid w:val="006E7E0B"/>
    <w:rsid w:val="006E7E45"/>
    <w:rsid w:val="006E7E9A"/>
    <w:rsid w:val="006E7EF4"/>
    <w:rsid w:val="006E7F08"/>
    <w:rsid w:val="006E7F9D"/>
    <w:rsid w:val="006E7FBF"/>
    <w:rsid w:val="006E7FD1"/>
    <w:rsid w:val="006F0047"/>
    <w:rsid w:val="006F01A2"/>
    <w:rsid w:val="006F01B2"/>
    <w:rsid w:val="006F0229"/>
    <w:rsid w:val="006F0241"/>
    <w:rsid w:val="006F0249"/>
    <w:rsid w:val="006F02F1"/>
    <w:rsid w:val="006F02FD"/>
    <w:rsid w:val="006F033A"/>
    <w:rsid w:val="006F03D7"/>
    <w:rsid w:val="006F0413"/>
    <w:rsid w:val="006F0475"/>
    <w:rsid w:val="006F0485"/>
    <w:rsid w:val="006F051D"/>
    <w:rsid w:val="006F058B"/>
    <w:rsid w:val="006F059A"/>
    <w:rsid w:val="006F05A1"/>
    <w:rsid w:val="006F05CB"/>
    <w:rsid w:val="006F0606"/>
    <w:rsid w:val="006F064E"/>
    <w:rsid w:val="006F0680"/>
    <w:rsid w:val="006F0694"/>
    <w:rsid w:val="006F06DD"/>
    <w:rsid w:val="006F075C"/>
    <w:rsid w:val="006F07B3"/>
    <w:rsid w:val="006F07C1"/>
    <w:rsid w:val="006F07C7"/>
    <w:rsid w:val="006F07EB"/>
    <w:rsid w:val="006F07F5"/>
    <w:rsid w:val="006F0866"/>
    <w:rsid w:val="006F08C0"/>
    <w:rsid w:val="006F08C1"/>
    <w:rsid w:val="006F08F1"/>
    <w:rsid w:val="006F0968"/>
    <w:rsid w:val="006F0977"/>
    <w:rsid w:val="006F09F6"/>
    <w:rsid w:val="006F0A01"/>
    <w:rsid w:val="006F0A1E"/>
    <w:rsid w:val="006F0A35"/>
    <w:rsid w:val="006F0A6E"/>
    <w:rsid w:val="006F0A88"/>
    <w:rsid w:val="006F0B0E"/>
    <w:rsid w:val="006F0B3E"/>
    <w:rsid w:val="006F0B66"/>
    <w:rsid w:val="006F0BA9"/>
    <w:rsid w:val="006F0BB5"/>
    <w:rsid w:val="006F0BBE"/>
    <w:rsid w:val="006F0C60"/>
    <w:rsid w:val="006F0CA0"/>
    <w:rsid w:val="006F0CA5"/>
    <w:rsid w:val="006F0D81"/>
    <w:rsid w:val="006F0E24"/>
    <w:rsid w:val="006F0E5A"/>
    <w:rsid w:val="006F0E6D"/>
    <w:rsid w:val="006F0EC5"/>
    <w:rsid w:val="006F0EC9"/>
    <w:rsid w:val="006F0ECB"/>
    <w:rsid w:val="006F0F14"/>
    <w:rsid w:val="006F0F37"/>
    <w:rsid w:val="006F0F5D"/>
    <w:rsid w:val="006F0F98"/>
    <w:rsid w:val="006F0FB4"/>
    <w:rsid w:val="006F0FC7"/>
    <w:rsid w:val="006F1011"/>
    <w:rsid w:val="006F1046"/>
    <w:rsid w:val="006F1080"/>
    <w:rsid w:val="006F10B6"/>
    <w:rsid w:val="006F10D0"/>
    <w:rsid w:val="006F1107"/>
    <w:rsid w:val="006F1119"/>
    <w:rsid w:val="006F1123"/>
    <w:rsid w:val="006F1143"/>
    <w:rsid w:val="006F115A"/>
    <w:rsid w:val="006F117D"/>
    <w:rsid w:val="006F118A"/>
    <w:rsid w:val="006F1195"/>
    <w:rsid w:val="006F121A"/>
    <w:rsid w:val="006F12B5"/>
    <w:rsid w:val="006F12D2"/>
    <w:rsid w:val="006F132E"/>
    <w:rsid w:val="006F1408"/>
    <w:rsid w:val="006F1424"/>
    <w:rsid w:val="006F146F"/>
    <w:rsid w:val="006F149A"/>
    <w:rsid w:val="006F14A6"/>
    <w:rsid w:val="006F1590"/>
    <w:rsid w:val="006F1596"/>
    <w:rsid w:val="006F15D9"/>
    <w:rsid w:val="006F1664"/>
    <w:rsid w:val="006F16CC"/>
    <w:rsid w:val="006F16D5"/>
    <w:rsid w:val="006F16DF"/>
    <w:rsid w:val="006F16EE"/>
    <w:rsid w:val="006F16F8"/>
    <w:rsid w:val="006F1700"/>
    <w:rsid w:val="006F172B"/>
    <w:rsid w:val="006F175C"/>
    <w:rsid w:val="006F17A8"/>
    <w:rsid w:val="006F17AA"/>
    <w:rsid w:val="006F180E"/>
    <w:rsid w:val="006F1844"/>
    <w:rsid w:val="006F184D"/>
    <w:rsid w:val="006F184E"/>
    <w:rsid w:val="006F184F"/>
    <w:rsid w:val="006F1855"/>
    <w:rsid w:val="006F18B3"/>
    <w:rsid w:val="006F18DC"/>
    <w:rsid w:val="006F1920"/>
    <w:rsid w:val="006F196D"/>
    <w:rsid w:val="006F19DB"/>
    <w:rsid w:val="006F1A64"/>
    <w:rsid w:val="006F1A8B"/>
    <w:rsid w:val="006F1AA4"/>
    <w:rsid w:val="006F1B16"/>
    <w:rsid w:val="006F1B80"/>
    <w:rsid w:val="006F1BB0"/>
    <w:rsid w:val="006F1C86"/>
    <w:rsid w:val="006F1CC4"/>
    <w:rsid w:val="006F1CE0"/>
    <w:rsid w:val="006F1D00"/>
    <w:rsid w:val="006F1D77"/>
    <w:rsid w:val="006F1D85"/>
    <w:rsid w:val="006F1DC7"/>
    <w:rsid w:val="006F1E00"/>
    <w:rsid w:val="006F1E04"/>
    <w:rsid w:val="006F1E27"/>
    <w:rsid w:val="006F1E43"/>
    <w:rsid w:val="006F1ED2"/>
    <w:rsid w:val="006F1EDD"/>
    <w:rsid w:val="006F1EE1"/>
    <w:rsid w:val="006F1F40"/>
    <w:rsid w:val="006F1F4B"/>
    <w:rsid w:val="006F1F55"/>
    <w:rsid w:val="006F1F8B"/>
    <w:rsid w:val="006F1F95"/>
    <w:rsid w:val="006F1FA0"/>
    <w:rsid w:val="006F1FC3"/>
    <w:rsid w:val="006F1FE7"/>
    <w:rsid w:val="006F2030"/>
    <w:rsid w:val="006F203E"/>
    <w:rsid w:val="006F2064"/>
    <w:rsid w:val="006F208D"/>
    <w:rsid w:val="006F20E5"/>
    <w:rsid w:val="006F2123"/>
    <w:rsid w:val="006F2240"/>
    <w:rsid w:val="006F2246"/>
    <w:rsid w:val="006F2260"/>
    <w:rsid w:val="006F22B6"/>
    <w:rsid w:val="006F231E"/>
    <w:rsid w:val="006F2365"/>
    <w:rsid w:val="006F238E"/>
    <w:rsid w:val="006F2394"/>
    <w:rsid w:val="006F23BB"/>
    <w:rsid w:val="006F243B"/>
    <w:rsid w:val="006F2440"/>
    <w:rsid w:val="006F244D"/>
    <w:rsid w:val="006F24EC"/>
    <w:rsid w:val="006F250E"/>
    <w:rsid w:val="006F251A"/>
    <w:rsid w:val="006F2537"/>
    <w:rsid w:val="006F259E"/>
    <w:rsid w:val="006F265D"/>
    <w:rsid w:val="006F268B"/>
    <w:rsid w:val="006F2704"/>
    <w:rsid w:val="006F2708"/>
    <w:rsid w:val="006F2718"/>
    <w:rsid w:val="006F2719"/>
    <w:rsid w:val="006F271F"/>
    <w:rsid w:val="006F2736"/>
    <w:rsid w:val="006F2813"/>
    <w:rsid w:val="006F2819"/>
    <w:rsid w:val="006F2861"/>
    <w:rsid w:val="006F2869"/>
    <w:rsid w:val="006F2871"/>
    <w:rsid w:val="006F2878"/>
    <w:rsid w:val="006F2893"/>
    <w:rsid w:val="006F28A3"/>
    <w:rsid w:val="006F28B4"/>
    <w:rsid w:val="006F28BC"/>
    <w:rsid w:val="006F28F5"/>
    <w:rsid w:val="006F28FD"/>
    <w:rsid w:val="006F2917"/>
    <w:rsid w:val="006F2935"/>
    <w:rsid w:val="006F293B"/>
    <w:rsid w:val="006F296A"/>
    <w:rsid w:val="006F298F"/>
    <w:rsid w:val="006F29CB"/>
    <w:rsid w:val="006F29D5"/>
    <w:rsid w:val="006F29E5"/>
    <w:rsid w:val="006F2A75"/>
    <w:rsid w:val="006F2A92"/>
    <w:rsid w:val="006F2B52"/>
    <w:rsid w:val="006F2BA4"/>
    <w:rsid w:val="006F2BA9"/>
    <w:rsid w:val="006F2BFB"/>
    <w:rsid w:val="006F2CD0"/>
    <w:rsid w:val="006F2D59"/>
    <w:rsid w:val="006F2DBE"/>
    <w:rsid w:val="006F2DC0"/>
    <w:rsid w:val="006F2E8D"/>
    <w:rsid w:val="006F2F82"/>
    <w:rsid w:val="006F2F98"/>
    <w:rsid w:val="006F2FA3"/>
    <w:rsid w:val="006F2FB2"/>
    <w:rsid w:val="006F2FE4"/>
    <w:rsid w:val="006F3013"/>
    <w:rsid w:val="006F3046"/>
    <w:rsid w:val="006F30C3"/>
    <w:rsid w:val="006F3126"/>
    <w:rsid w:val="006F3132"/>
    <w:rsid w:val="006F3238"/>
    <w:rsid w:val="006F32EB"/>
    <w:rsid w:val="006F33C1"/>
    <w:rsid w:val="006F340E"/>
    <w:rsid w:val="006F3421"/>
    <w:rsid w:val="006F345C"/>
    <w:rsid w:val="006F3463"/>
    <w:rsid w:val="006F346F"/>
    <w:rsid w:val="006F3475"/>
    <w:rsid w:val="006F3481"/>
    <w:rsid w:val="006F3490"/>
    <w:rsid w:val="006F34CD"/>
    <w:rsid w:val="006F34CE"/>
    <w:rsid w:val="006F34FA"/>
    <w:rsid w:val="006F3527"/>
    <w:rsid w:val="006F356A"/>
    <w:rsid w:val="006F357F"/>
    <w:rsid w:val="006F358D"/>
    <w:rsid w:val="006F35B7"/>
    <w:rsid w:val="006F35C8"/>
    <w:rsid w:val="006F364C"/>
    <w:rsid w:val="006F3658"/>
    <w:rsid w:val="006F3698"/>
    <w:rsid w:val="006F369C"/>
    <w:rsid w:val="006F3706"/>
    <w:rsid w:val="006F3737"/>
    <w:rsid w:val="006F373F"/>
    <w:rsid w:val="006F3762"/>
    <w:rsid w:val="006F37A6"/>
    <w:rsid w:val="006F3845"/>
    <w:rsid w:val="006F3863"/>
    <w:rsid w:val="006F387A"/>
    <w:rsid w:val="006F388F"/>
    <w:rsid w:val="006F38AF"/>
    <w:rsid w:val="006F38ED"/>
    <w:rsid w:val="006F3919"/>
    <w:rsid w:val="006F3935"/>
    <w:rsid w:val="006F3951"/>
    <w:rsid w:val="006F396C"/>
    <w:rsid w:val="006F3A1B"/>
    <w:rsid w:val="006F3A56"/>
    <w:rsid w:val="006F3A93"/>
    <w:rsid w:val="006F3ACA"/>
    <w:rsid w:val="006F3ACB"/>
    <w:rsid w:val="006F3B12"/>
    <w:rsid w:val="006F3B47"/>
    <w:rsid w:val="006F3B71"/>
    <w:rsid w:val="006F3BD9"/>
    <w:rsid w:val="006F3BE8"/>
    <w:rsid w:val="006F3C39"/>
    <w:rsid w:val="006F3C4B"/>
    <w:rsid w:val="006F3C97"/>
    <w:rsid w:val="006F3CA2"/>
    <w:rsid w:val="006F3CA8"/>
    <w:rsid w:val="006F3CEC"/>
    <w:rsid w:val="006F3D14"/>
    <w:rsid w:val="006F3D16"/>
    <w:rsid w:val="006F3D46"/>
    <w:rsid w:val="006F3D75"/>
    <w:rsid w:val="006F3D90"/>
    <w:rsid w:val="006F3DB3"/>
    <w:rsid w:val="006F3DB9"/>
    <w:rsid w:val="006F3DE8"/>
    <w:rsid w:val="006F3DEA"/>
    <w:rsid w:val="006F3EA5"/>
    <w:rsid w:val="006F3EAF"/>
    <w:rsid w:val="006F3F0F"/>
    <w:rsid w:val="006F3F3B"/>
    <w:rsid w:val="006F3F48"/>
    <w:rsid w:val="006F3F61"/>
    <w:rsid w:val="006F3F7E"/>
    <w:rsid w:val="006F3FA5"/>
    <w:rsid w:val="006F3FBF"/>
    <w:rsid w:val="006F401F"/>
    <w:rsid w:val="006F409B"/>
    <w:rsid w:val="006F40A5"/>
    <w:rsid w:val="006F40E8"/>
    <w:rsid w:val="006F40F3"/>
    <w:rsid w:val="006F4162"/>
    <w:rsid w:val="006F4199"/>
    <w:rsid w:val="006F41CD"/>
    <w:rsid w:val="006F4215"/>
    <w:rsid w:val="006F4219"/>
    <w:rsid w:val="006F426E"/>
    <w:rsid w:val="006F42B7"/>
    <w:rsid w:val="006F42BF"/>
    <w:rsid w:val="006F4327"/>
    <w:rsid w:val="006F4352"/>
    <w:rsid w:val="006F43C2"/>
    <w:rsid w:val="006F43DE"/>
    <w:rsid w:val="006F44C9"/>
    <w:rsid w:val="006F44FD"/>
    <w:rsid w:val="006F4502"/>
    <w:rsid w:val="006F4568"/>
    <w:rsid w:val="006F4584"/>
    <w:rsid w:val="006F45B3"/>
    <w:rsid w:val="006F45CD"/>
    <w:rsid w:val="006F4622"/>
    <w:rsid w:val="006F472B"/>
    <w:rsid w:val="006F4740"/>
    <w:rsid w:val="006F476D"/>
    <w:rsid w:val="006F47A2"/>
    <w:rsid w:val="006F47B0"/>
    <w:rsid w:val="006F47E4"/>
    <w:rsid w:val="006F480A"/>
    <w:rsid w:val="006F4811"/>
    <w:rsid w:val="006F4813"/>
    <w:rsid w:val="006F4822"/>
    <w:rsid w:val="006F4837"/>
    <w:rsid w:val="006F4845"/>
    <w:rsid w:val="006F488B"/>
    <w:rsid w:val="006F490E"/>
    <w:rsid w:val="006F4915"/>
    <w:rsid w:val="006F49B5"/>
    <w:rsid w:val="006F49C0"/>
    <w:rsid w:val="006F49C7"/>
    <w:rsid w:val="006F4A16"/>
    <w:rsid w:val="006F4A1D"/>
    <w:rsid w:val="006F4A6D"/>
    <w:rsid w:val="006F4AA7"/>
    <w:rsid w:val="006F4ACA"/>
    <w:rsid w:val="006F4AE0"/>
    <w:rsid w:val="006F4AE3"/>
    <w:rsid w:val="006F4B5F"/>
    <w:rsid w:val="006F4B70"/>
    <w:rsid w:val="006F4BC6"/>
    <w:rsid w:val="006F4C12"/>
    <w:rsid w:val="006F4C15"/>
    <w:rsid w:val="006F4C2A"/>
    <w:rsid w:val="006F4C49"/>
    <w:rsid w:val="006F4C6A"/>
    <w:rsid w:val="006F4CAF"/>
    <w:rsid w:val="006F4CC8"/>
    <w:rsid w:val="006F4D5A"/>
    <w:rsid w:val="006F4D71"/>
    <w:rsid w:val="006F4D88"/>
    <w:rsid w:val="006F4DD7"/>
    <w:rsid w:val="006F4E1E"/>
    <w:rsid w:val="006F4E31"/>
    <w:rsid w:val="006F4E86"/>
    <w:rsid w:val="006F4EDC"/>
    <w:rsid w:val="006F4FAC"/>
    <w:rsid w:val="006F4FFD"/>
    <w:rsid w:val="006F5029"/>
    <w:rsid w:val="006F509A"/>
    <w:rsid w:val="006F50B3"/>
    <w:rsid w:val="006F50F0"/>
    <w:rsid w:val="006F5119"/>
    <w:rsid w:val="006F511D"/>
    <w:rsid w:val="006F513B"/>
    <w:rsid w:val="006F5168"/>
    <w:rsid w:val="006F5171"/>
    <w:rsid w:val="006F5185"/>
    <w:rsid w:val="006F528F"/>
    <w:rsid w:val="006F52B4"/>
    <w:rsid w:val="006F52C0"/>
    <w:rsid w:val="006F52E2"/>
    <w:rsid w:val="006F533D"/>
    <w:rsid w:val="006F5340"/>
    <w:rsid w:val="006F539D"/>
    <w:rsid w:val="006F53A2"/>
    <w:rsid w:val="006F53A8"/>
    <w:rsid w:val="006F53A9"/>
    <w:rsid w:val="006F53DE"/>
    <w:rsid w:val="006F5411"/>
    <w:rsid w:val="006F5446"/>
    <w:rsid w:val="006F54AE"/>
    <w:rsid w:val="006F54B0"/>
    <w:rsid w:val="006F54B5"/>
    <w:rsid w:val="006F54B7"/>
    <w:rsid w:val="006F5510"/>
    <w:rsid w:val="006F5568"/>
    <w:rsid w:val="006F5597"/>
    <w:rsid w:val="006F55EE"/>
    <w:rsid w:val="006F5606"/>
    <w:rsid w:val="006F562B"/>
    <w:rsid w:val="006F5641"/>
    <w:rsid w:val="006F5652"/>
    <w:rsid w:val="006F5680"/>
    <w:rsid w:val="006F5689"/>
    <w:rsid w:val="006F5695"/>
    <w:rsid w:val="006F56AF"/>
    <w:rsid w:val="006F56B8"/>
    <w:rsid w:val="006F56CE"/>
    <w:rsid w:val="006F56EB"/>
    <w:rsid w:val="006F5708"/>
    <w:rsid w:val="006F5730"/>
    <w:rsid w:val="006F5779"/>
    <w:rsid w:val="006F5787"/>
    <w:rsid w:val="006F578C"/>
    <w:rsid w:val="006F5791"/>
    <w:rsid w:val="006F57AA"/>
    <w:rsid w:val="006F5803"/>
    <w:rsid w:val="006F5808"/>
    <w:rsid w:val="006F581A"/>
    <w:rsid w:val="006F58ED"/>
    <w:rsid w:val="006F592E"/>
    <w:rsid w:val="006F599A"/>
    <w:rsid w:val="006F59B0"/>
    <w:rsid w:val="006F59BF"/>
    <w:rsid w:val="006F59F6"/>
    <w:rsid w:val="006F5A1F"/>
    <w:rsid w:val="006F5A49"/>
    <w:rsid w:val="006F5A72"/>
    <w:rsid w:val="006F5A96"/>
    <w:rsid w:val="006F5AEE"/>
    <w:rsid w:val="006F5B4D"/>
    <w:rsid w:val="006F5B85"/>
    <w:rsid w:val="006F5B98"/>
    <w:rsid w:val="006F5BD0"/>
    <w:rsid w:val="006F5BE5"/>
    <w:rsid w:val="006F5BEC"/>
    <w:rsid w:val="006F5BED"/>
    <w:rsid w:val="006F5C04"/>
    <w:rsid w:val="006F5C27"/>
    <w:rsid w:val="006F5C69"/>
    <w:rsid w:val="006F5C79"/>
    <w:rsid w:val="006F5C80"/>
    <w:rsid w:val="006F5C82"/>
    <w:rsid w:val="006F5CD2"/>
    <w:rsid w:val="006F5E33"/>
    <w:rsid w:val="006F5E3B"/>
    <w:rsid w:val="006F5E4B"/>
    <w:rsid w:val="006F5E5B"/>
    <w:rsid w:val="006F5E64"/>
    <w:rsid w:val="006F5EA8"/>
    <w:rsid w:val="006F5EBB"/>
    <w:rsid w:val="006F5F1A"/>
    <w:rsid w:val="006F5FA0"/>
    <w:rsid w:val="006F5FE6"/>
    <w:rsid w:val="006F6017"/>
    <w:rsid w:val="006F6021"/>
    <w:rsid w:val="006F6072"/>
    <w:rsid w:val="006F6077"/>
    <w:rsid w:val="006F60A3"/>
    <w:rsid w:val="006F60AA"/>
    <w:rsid w:val="006F60D3"/>
    <w:rsid w:val="006F61A6"/>
    <w:rsid w:val="006F621C"/>
    <w:rsid w:val="006F62A7"/>
    <w:rsid w:val="006F62BE"/>
    <w:rsid w:val="006F6312"/>
    <w:rsid w:val="006F6321"/>
    <w:rsid w:val="006F6339"/>
    <w:rsid w:val="006F6382"/>
    <w:rsid w:val="006F63A8"/>
    <w:rsid w:val="006F63D7"/>
    <w:rsid w:val="006F63EE"/>
    <w:rsid w:val="006F640D"/>
    <w:rsid w:val="006F6413"/>
    <w:rsid w:val="006F641C"/>
    <w:rsid w:val="006F6434"/>
    <w:rsid w:val="006F6470"/>
    <w:rsid w:val="006F6530"/>
    <w:rsid w:val="006F6544"/>
    <w:rsid w:val="006F657F"/>
    <w:rsid w:val="006F6581"/>
    <w:rsid w:val="006F6600"/>
    <w:rsid w:val="006F664A"/>
    <w:rsid w:val="006F664B"/>
    <w:rsid w:val="006F668B"/>
    <w:rsid w:val="006F66B0"/>
    <w:rsid w:val="006F672A"/>
    <w:rsid w:val="006F6736"/>
    <w:rsid w:val="006F6798"/>
    <w:rsid w:val="006F67C9"/>
    <w:rsid w:val="006F67CB"/>
    <w:rsid w:val="006F67DD"/>
    <w:rsid w:val="006F67F5"/>
    <w:rsid w:val="006F684C"/>
    <w:rsid w:val="006F6866"/>
    <w:rsid w:val="006F68AC"/>
    <w:rsid w:val="006F6909"/>
    <w:rsid w:val="006F6911"/>
    <w:rsid w:val="006F6957"/>
    <w:rsid w:val="006F695A"/>
    <w:rsid w:val="006F6971"/>
    <w:rsid w:val="006F69B5"/>
    <w:rsid w:val="006F69E8"/>
    <w:rsid w:val="006F69F2"/>
    <w:rsid w:val="006F6A11"/>
    <w:rsid w:val="006F6A30"/>
    <w:rsid w:val="006F6AC4"/>
    <w:rsid w:val="006F6B49"/>
    <w:rsid w:val="006F6B5D"/>
    <w:rsid w:val="006F6B83"/>
    <w:rsid w:val="006F6C22"/>
    <w:rsid w:val="006F6C3F"/>
    <w:rsid w:val="006F6C8F"/>
    <w:rsid w:val="006F6CF6"/>
    <w:rsid w:val="006F6D6C"/>
    <w:rsid w:val="006F6E9F"/>
    <w:rsid w:val="006F6EA8"/>
    <w:rsid w:val="006F6EC6"/>
    <w:rsid w:val="006F6EC8"/>
    <w:rsid w:val="006F6EF4"/>
    <w:rsid w:val="006F6EFF"/>
    <w:rsid w:val="006F6F31"/>
    <w:rsid w:val="006F6F3E"/>
    <w:rsid w:val="006F6F8E"/>
    <w:rsid w:val="006F6FB5"/>
    <w:rsid w:val="006F6FBE"/>
    <w:rsid w:val="006F7087"/>
    <w:rsid w:val="006F7089"/>
    <w:rsid w:val="006F7098"/>
    <w:rsid w:val="006F70B1"/>
    <w:rsid w:val="006F70B4"/>
    <w:rsid w:val="006F710B"/>
    <w:rsid w:val="006F7116"/>
    <w:rsid w:val="006F7119"/>
    <w:rsid w:val="006F7145"/>
    <w:rsid w:val="006F71D8"/>
    <w:rsid w:val="006F7221"/>
    <w:rsid w:val="006F7224"/>
    <w:rsid w:val="006F722F"/>
    <w:rsid w:val="006F72C8"/>
    <w:rsid w:val="006F72F7"/>
    <w:rsid w:val="006F734D"/>
    <w:rsid w:val="006F73B4"/>
    <w:rsid w:val="006F73C5"/>
    <w:rsid w:val="006F73FD"/>
    <w:rsid w:val="006F7441"/>
    <w:rsid w:val="006F7484"/>
    <w:rsid w:val="006F757A"/>
    <w:rsid w:val="006F7581"/>
    <w:rsid w:val="006F75A6"/>
    <w:rsid w:val="006F75E3"/>
    <w:rsid w:val="006F75F6"/>
    <w:rsid w:val="006F7609"/>
    <w:rsid w:val="006F7651"/>
    <w:rsid w:val="006F7680"/>
    <w:rsid w:val="006F76C8"/>
    <w:rsid w:val="006F76DE"/>
    <w:rsid w:val="006F7738"/>
    <w:rsid w:val="006F7762"/>
    <w:rsid w:val="006F77D5"/>
    <w:rsid w:val="006F77EF"/>
    <w:rsid w:val="006F77FB"/>
    <w:rsid w:val="006F791F"/>
    <w:rsid w:val="006F7946"/>
    <w:rsid w:val="006F7983"/>
    <w:rsid w:val="006F79F9"/>
    <w:rsid w:val="006F7A46"/>
    <w:rsid w:val="006F7A89"/>
    <w:rsid w:val="006F7AFA"/>
    <w:rsid w:val="006F7AFB"/>
    <w:rsid w:val="006F7B36"/>
    <w:rsid w:val="006F7B7D"/>
    <w:rsid w:val="006F7BA0"/>
    <w:rsid w:val="006F7BA9"/>
    <w:rsid w:val="006F7BEC"/>
    <w:rsid w:val="006F7C0E"/>
    <w:rsid w:val="006F7C15"/>
    <w:rsid w:val="006F7C1D"/>
    <w:rsid w:val="006F7C3E"/>
    <w:rsid w:val="006F7C4A"/>
    <w:rsid w:val="006F7C54"/>
    <w:rsid w:val="006F7D8D"/>
    <w:rsid w:val="006F7D90"/>
    <w:rsid w:val="006F7DCC"/>
    <w:rsid w:val="006F7E27"/>
    <w:rsid w:val="006F7E45"/>
    <w:rsid w:val="006F7EAF"/>
    <w:rsid w:val="006F7EBA"/>
    <w:rsid w:val="006F7F20"/>
    <w:rsid w:val="006F7F6E"/>
    <w:rsid w:val="006F7FC4"/>
    <w:rsid w:val="006F7FF0"/>
    <w:rsid w:val="0070007A"/>
    <w:rsid w:val="007000DC"/>
    <w:rsid w:val="00700109"/>
    <w:rsid w:val="00700173"/>
    <w:rsid w:val="00700180"/>
    <w:rsid w:val="00700198"/>
    <w:rsid w:val="007001E3"/>
    <w:rsid w:val="0070022D"/>
    <w:rsid w:val="00700241"/>
    <w:rsid w:val="007002FC"/>
    <w:rsid w:val="00700341"/>
    <w:rsid w:val="0070037D"/>
    <w:rsid w:val="007003B5"/>
    <w:rsid w:val="0070042B"/>
    <w:rsid w:val="00700459"/>
    <w:rsid w:val="007004B2"/>
    <w:rsid w:val="007004DC"/>
    <w:rsid w:val="007004FC"/>
    <w:rsid w:val="0070050E"/>
    <w:rsid w:val="0070053D"/>
    <w:rsid w:val="0070057B"/>
    <w:rsid w:val="007005A8"/>
    <w:rsid w:val="007005B6"/>
    <w:rsid w:val="007005F6"/>
    <w:rsid w:val="00700607"/>
    <w:rsid w:val="00700616"/>
    <w:rsid w:val="00700665"/>
    <w:rsid w:val="0070066B"/>
    <w:rsid w:val="007006C0"/>
    <w:rsid w:val="007006E5"/>
    <w:rsid w:val="00700707"/>
    <w:rsid w:val="0070081C"/>
    <w:rsid w:val="00700822"/>
    <w:rsid w:val="00700842"/>
    <w:rsid w:val="00700882"/>
    <w:rsid w:val="007008CF"/>
    <w:rsid w:val="007008D0"/>
    <w:rsid w:val="007008F0"/>
    <w:rsid w:val="007008FE"/>
    <w:rsid w:val="00700900"/>
    <w:rsid w:val="0070092E"/>
    <w:rsid w:val="0070096A"/>
    <w:rsid w:val="0070099A"/>
    <w:rsid w:val="007009B9"/>
    <w:rsid w:val="007009CF"/>
    <w:rsid w:val="00700A1E"/>
    <w:rsid w:val="00700A47"/>
    <w:rsid w:val="00700AC3"/>
    <w:rsid w:val="00700AE3"/>
    <w:rsid w:val="00700AEE"/>
    <w:rsid w:val="00700AFD"/>
    <w:rsid w:val="00700B12"/>
    <w:rsid w:val="00700B3D"/>
    <w:rsid w:val="00700B57"/>
    <w:rsid w:val="00700B76"/>
    <w:rsid w:val="00700B7B"/>
    <w:rsid w:val="00700B99"/>
    <w:rsid w:val="00700BDB"/>
    <w:rsid w:val="00700C67"/>
    <w:rsid w:val="00700C76"/>
    <w:rsid w:val="00700CAD"/>
    <w:rsid w:val="00700CC1"/>
    <w:rsid w:val="00700CEC"/>
    <w:rsid w:val="00700D0F"/>
    <w:rsid w:val="00700D23"/>
    <w:rsid w:val="00700D3D"/>
    <w:rsid w:val="00700D46"/>
    <w:rsid w:val="00700D79"/>
    <w:rsid w:val="00700E5F"/>
    <w:rsid w:val="00700EC2"/>
    <w:rsid w:val="00700EE8"/>
    <w:rsid w:val="00700EEA"/>
    <w:rsid w:val="00700F01"/>
    <w:rsid w:val="00700F22"/>
    <w:rsid w:val="00700F29"/>
    <w:rsid w:val="00700F6D"/>
    <w:rsid w:val="00700F95"/>
    <w:rsid w:val="00700FA1"/>
    <w:rsid w:val="00700FA5"/>
    <w:rsid w:val="00700FC1"/>
    <w:rsid w:val="00700FF1"/>
    <w:rsid w:val="00700FF5"/>
    <w:rsid w:val="00701089"/>
    <w:rsid w:val="007010B1"/>
    <w:rsid w:val="007010BC"/>
    <w:rsid w:val="007010E7"/>
    <w:rsid w:val="007010F0"/>
    <w:rsid w:val="00701170"/>
    <w:rsid w:val="007011DA"/>
    <w:rsid w:val="007011E3"/>
    <w:rsid w:val="0070120A"/>
    <w:rsid w:val="00701216"/>
    <w:rsid w:val="00701236"/>
    <w:rsid w:val="0070125B"/>
    <w:rsid w:val="00701260"/>
    <w:rsid w:val="00701267"/>
    <w:rsid w:val="00701270"/>
    <w:rsid w:val="0070132C"/>
    <w:rsid w:val="0070135C"/>
    <w:rsid w:val="00701377"/>
    <w:rsid w:val="007013D6"/>
    <w:rsid w:val="007013DD"/>
    <w:rsid w:val="007013F9"/>
    <w:rsid w:val="007013FE"/>
    <w:rsid w:val="00701401"/>
    <w:rsid w:val="007014AA"/>
    <w:rsid w:val="007014B0"/>
    <w:rsid w:val="007014EC"/>
    <w:rsid w:val="0070155A"/>
    <w:rsid w:val="00701561"/>
    <w:rsid w:val="0070156D"/>
    <w:rsid w:val="00701580"/>
    <w:rsid w:val="007015A3"/>
    <w:rsid w:val="007015E9"/>
    <w:rsid w:val="0070161B"/>
    <w:rsid w:val="00701624"/>
    <w:rsid w:val="007016A5"/>
    <w:rsid w:val="007016CA"/>
    <w:rsid w:val="00701705"/>
    <w:rsid w:val="0070171C"/>
    <w:rsid w:val="0070177A"/>
    <w:rsid w:val="0070185E"/>
    <w:rsid w:val="0070186A"/>
    <w:rsid w:val="007018E3"/>
    <w:rsid w:val="00701910"/>
    <w:rsid w:val="0070191E"/>
    <w:rsid w:val="00701927"/>
    <w:rsid w:val="00701A1C"/>
    <w:rsid w:val="00701A37"/>
    <w:rsid w:val="00701A5F"/>
    <w:rsid w:val="00701ABA"/>
    <w:rsid w:val="00701AC9"/>
    <w:rsid w:val="00701B26"/>
    <w:rsid w:val="00701B62"/>
    <w:rsid w:val="00701BA5"/>
    <w:rsid w:val="00701D7B"/>
    <w:rsid w:val="00701D80"/>
    <w:rsid w:val="00701DC5"/>
    <w:rsid w:val="00701DC6"/>
    <w:rsid w:val="00701DD0"/>
    <w:rsid w:val="00701E51"/>
    <w:rsid w:val="00701E61"/>
    <w:rsid w:val="00701E64"/>
    <w:rsid w:val="00701E94"/>
    <w:rsid w:val="00701E9E"/>
    <w:rsid w:val="00701EBE"/>
    <w:rsid w:val="00701F21"/>
    <w:rsid w:val="00701F4A"/>
    <w:rsid w:val="00701F76"/>
    <w:rsid w:val="00701FF5"/>
    <w:rsid w:val="0070200A"/>
    <w:rsid w:val="00702046"/>
    <w:rsid w:val="00702069"/>
    <w:rsid w:val="0070206C"/>
    <w:rsid w:val="007020A1"/>
    <w:rsid w:val="00702125"/>
    <w:rsid w:val="00702199"/>
    <w:rsid w:val="007021A2"/>
    <w:rsid w:val="007021D1"/>
    <w:rsid w:val="00702222"/>
    <w:rsid w:val="0070223D"/>
    <w:rsid w:val="00702244"/>
    <w:rsid w:val="007022AD"/>
    <w:rsid w:val="0070230D"/>
    <w:rsid w:val="00702310"/>
    <w:rsid w:val="00702324"/>
    <w:rsid w:val="00702334"/>
    <w:rsid w:val="0070234C"/>
    <w:rsid w:val="007023A0"/>
    <w:rsid w:val="007023D2"/>
    <w:rsid w:val="007023D8"/>
    <w:rsid w:val="007023E3"/>
    <w:rsid w:val="007023EF"/>
    <w:rsid w:val="00702414"/>
    <w:rsid w:val="00702451"/>
    <w:rsid w:val="00702452"/>
    <w:rsid w:val="0070247D"/>
    <w:rsid w:val="00702502"/>
    <w:rsid w:val="00702554"/>
    <w:rsid w:val="00702566"/>
    <w:rsid w:val="00702589"/>
    <w:rsid w:val="00702596"/>
    <w:rsid w:val="00702621"/>
    <w:rsid w:val="00702683"/>
    <w:rsid w:val="00702686"/>
    <w:rsid w:val="007026B6"/>
    <w:rsid w:val="007026E9"/>
    <w:rsid w:val="00702721"/>
    <w:rsid w:val="0070275B"/>
    <w:rsid w:val="00702762"/>
    <w:rsid w:val="007027F7"/>
    <w:rsid w:val="0070281F"/>
    <w:rsid w:val="00702843"/>
    <w:rsid w:val="007028E3"/>
    <w:rsid w:val="007028F8"/>
    <w:rsid w:val="007028FC"/>
    <w:rsid w:val="00702975"/>
    <w:rsid w:val="0070297D"/>
    <w:rsid w:val="00702983"/>
    <w:rsid w:val="0070298A"/>
    <w:rsid w:val="007029EC"/>
    <w:rsid w:val="00702A02"/>
    <w:rsid w:val="00702A36"/>
    <w:rsid w:val="00702ABC"/>
    <w:rsid w:val="00702B86"/>
    <w:rsid w:val="00702BD8"/>
    <w:rsid w:val="00702C4C"/>
    <w:rsid w:val="00702CE8"/>
    <w:rsid w:val="00702D0C"/>
    <w:rsid w:val="00702D7B"/>
    <w:rsid w:val="00702DAD"/>
    <w:rsid w:val="00702DDB"/>
    <w:rsid w:val="00702E0E"/>
    <w:rsid w:val="00702E16"/>
    <w:rsid w:val="00702E19"/>
    <w:rsid w:val="00702E45"/>
    <w:rsid w:val="00702E70"/>
    <w:rsid w:val="00702EB4"/>
    <w:rsid w:val="00702F08"/>
    <w:rsid w:val="00703015"/>
    <w:rsid w:val="00703016"/>
    <w:rsid w:val="00703028"/>
    <w:rsid w:val="00703044"/>
    <w:rsid w:val="00703055"/>
    <w:rsid w:val="007030C0"/>
    <w:rsid w:val="007030EE"/>
    <w:rsid w:val="00703134"/>
    <w:rsid w:val="0070315C"/>
    <w:rsid w:val="007031BC"/>
    <w:rsid w:val="007031F7"/>
    <w:rsid w:val="0070325F"/>
    <w:rsid w:val="00703270"/>
    <w:rsid w:val="007032A9"/>
    <w:rsid w:val="007032CE"/>
    <w:rsid w:val="007032F8"/>
    <w:rsid w:val="00703308"/>
    <w:rsid w:val="00703338"/>
    <w:rsid w:val="00703342"/>
    <w:rsid w:val="00703350"/>
    <w:rsid w:val="00703452"/>
    <w:rsid w:val="0070346E"/>
    <w:rsid w:val="007034E8"/>
    <w:rsid w:val="007034EB"/>
    <w:rsid w:val="0070352A"/>
    <w:rsid w:val="00703553"/>
    <w:rsid w:val="00703566"/>
    <w:rsid w:val="00703567"/>
    <w:rsid w:val="00703641"/>
    <w:rsid w:val="007036EE"/>
    <w:rsid w:val="00703702"/>
    <w:rsid w:val="00703719"/>
    <w:rsid w:val="00703739"/>
    <w:rsid w:val="007037A5"/>
    <w:rsid w:val="007037C5"/>
    <w:rsid w:val="00703812"/>
    <w:rsid w:val="007038AB"/>
    <w:rsid w:val="007038BF"/>
    <w:rsid w:val="007038C4"/>
    <w:rsid w:val="0070391B"/>
    <w:rsid w:val="0070391C"/>
    <w:rsid w:val="00703994"/>
    <w:rsid w:val="00703999"/>
    <w:rsid w:val="007039A9"/>
    <w:rsid w:val="00703ABE"/>
    <w:rsid w:val="00703AC8"/>
    <w:rsid w:val="00703ACE"/>
    <w:rsid w:val="00703AD8"/>
    <w:rsid w:val="00703BD0"/>
    <w:rsid w:val="00703C46"/>
    <w:rsid w:val="00703CD6"/>
    <w:rsid w:val="00703CE0"/>
    <w:rsid w:val="00703D3D"/>
    <w:rsid w:val="00703D90"/>
    <w:rsid w:val="00703DAF"/>
    <w:rsid w:val="00703DBE"/>
    <w:rsid w:val="00703DC6"/>
    <w:rsid w:val="00703E22"/>
    <w:rsid w:val="00703EDB"/>
    <w:rsid w:val="00703EE2"/>
    <w:rsid w:val="00703F2C"/>
    <w:rsid w:val="00703F82"/>
    <w:rsid w:val="00703FDB"/>
    <w:rsid w:val="00703FF5"/>
    <w:rsid w:val="00704038"/>
    <w:rsid w:val="00704049"/>
    <w:rsid w:val="0070404F"/>
    <w:rsid w:val="00704055"/>
    <w:rsid w:val="007040B4"/>
    <w:rsid w:val="007040CA"/>
    <w:rsid w:val="00704151"/>
    <w:rsid w:val="0070417C"/>
    <w:rsid w:val="007041CE"/>
    <w:rsid w:val="007041D3"/>
    <w:rsid w:val="0070420F"/>
    <w:rsid w:val="0070424B"/>
    <w:rsid w:val="00704261"/>
    <w:rsid w:val="00704283"/>
    <w:rsid w:val="007042EE"/>
    <w:rsid w:val="007042F2"/>
    <w:rsid w:val="00704359"/>
    <w:rsid w:val="0070435F"/>
    <w:rsid w:val="00704407"/>
    <w:rsid w:val="00704488"/>
    <w:rsid w:val="00704498"/>
    <w:rsid w:val="0070451F"/>
    <w:rsid w:val="00704553"/>
    <w:rsid w:val="007045AA"/>
    <w:rsid w:val="00704604"/>
    <w:rsid w:val="0070465D"/>
    <w:rsid w:val="0070467A"/>
    <w:rsid w:val="0070468E"/>
    <w:rsid w:val="00704736"/>
    <w:rsid w:val="00704773"/>
    <w:rsid w:val="00704789"/>
    <w:rsid w:val="00704791"/>
    <w:rsid w:val="0070484A"/>
    <w:rsid w:val="00704893"/>
    <w:rsid w:val="007048CE"/>
    <w:rsid w:val="0070490A"/>
    <w:rsid w:val="00704915"/>
    <w:rsid w:val="0070495B"/>
    <w:rsid w:val="00704963"/>
    <w:rsid w:val="00704992"/>
    <w:rsid w:val="007049B8"/>
    <w:rsid w:val="00704A67"/>
    <w:rsid w:val="00704A8D"/>
    <w:rsid w:val="00704A8F"/>
    <w:rsid w:val="00704ACB"/>
    <w:rsid w:val="00704AE4"/>
    <w:rsid w:val="00704B01"/>
    <w:rsid w:val="00704B2C"/>
    <w:rsid w:val="00704BEC"/>
    <w:rsid w:val="00704C0E"/>
    <w:rsid w:val="00704C4E"/>
    <w:rsid w:val="00704C68"/>
    <w:rsid w:val="00704C91"/>
    <w:rsid w:val="00704CAE"/>
    <w:rsid w:val="00704CBD"/>
    <w:rsid w:val="00704D3E"/>
    <w:rsid w:val="00704DA7"/>
    <w:rsid w:val="00704DBA"/>
    <w:rsid w:val="00704DC4"/>
    <w:rsid w:val="00704DE8"/>
    <w:rsid w:val="00704DEF"/>
    <w:rsid w:val="00704DFF"/>
    <w:rsid w:val="00704E07"/>
    <w:rsid w:val="00704E15"/>
    <w:rsid w:val="00704E24"/>
    <w:rsid w:val="00704E3D"/>
    <w:rsid w:val="00704E97"/>
    <w:rsid w:val="00704EBC"/>
    <w:rsid w:val="00704F12"/>
    <w:rsid w:val="00704F2B"/>
    <w:rsid w:val="00704FE0"/>
    <w:rsid w:val="00704FFE"/>
    <w:rsid w:val="0070502E"/>
    <w:rsid w:val="00705035"/>
    <w:rsid w:val="0070503B"/>
    <w:rsid w:val="0070506C"/>
    <w:rsid w:val="007050BA"/>
    <w:rsid w:val="007050CE"/>
    <w:rsid w:val="007050F3"/>
    <w:rsid w:val="00705146"/>
    <w:rsid w:val="00705148"/>
    <w:rsid w:val="0070515F"/>
    <w:rsid w:val="0070516F"/>
    <w:rsid w:val="0070519D"/>
    <w:rsid w:val="007051C3"/>
    <w:rsid w:val="0070525D"/>
    <w:rsid w:val="0070525F"/>
    <w:rsid w:val="007052A4"/>
    <w:rsid w:val="007053A6"/>
    <w:rsid w:val="007053AA"/>
    <w:rsid w:val="007053D2"/>
    <w:rsid w:val="007053DC"/>
    <w:rsid w:val="007053DF"/>
    <w:rsid w:val="00705415"/>
    <w:rsid w:val="0070542D"/>
    <w:rsid w:val="00705443"/>
    <w:rsid w:val="00705480"/>
    <w:rsid w:val="0070548E"/>
    <w:rsid w:val="00705583"/>
    <w:rsid w:val="00705618"/>
    <w:rsid w:val="007056BB"/>
    <w:rsid w:val="007056FF"/>
    <w:rsid w:val="00705726"/>
    <w:rsid w:val="00705765"/>
    <w:rsid w:val="007057D5"/>
    <w:rsid w:val="0070580A"/>
    <w:rsid w:val="0070581F"/>
    <w:rsid w:val="00705821"/>
    <w:rsid w:val="00705847"/>
    <w:rsid w:val="007058AC"/>
    <w:rsid w:val="007058C8"/>
    <w:rsid w:val="00705930"/>
    <w:rsid w:val="00705975"/>
    <w:rsid w:val="00705981"/>
    <w:rsid w:val="00705A0F"/>
    <w:rsid w:val="00705A3F"/>
    <w:rsid w:val="00705B31"/>
    <w:rsid w:val="00705B63"/>
    <w:rsid w:val="00705BD9"/>
    <w:rsid w:val="00705BF9"/>
    <w:rsid w:val="00705C18"/>
    <w:rsid w:val="00705C8A"/>
    <w:rsid w:val="00705CE2"/>
    <w:rsid w:val="00705D24"/>
    <w:rsid w:val="00705D3E"/>
    <w:rsid w:val="00705D55"/>
    <w:rsid w:val="00705D5B"/>
    <w:rsid w:val="00705E29"/>
    <w:rsid w:val="00705E2D"/>
    <w:rsid w:val="00705EE0"/>
    <w:rsid w:val="00705F28"/>
    <w:rsid w:val="00705F6A"/>
    <w:rsid w:val="00705F99"/>
    <w:rsid w:val="00705FF9"/>
    <w:rsid w:val="0070603D"/>
    <w:rsid w:val="00706188"/>
    <w:rsid w:val="00706189"/>
    <w:rsid w:val="00706207"/>
    <w:rsid w:val="007062B9"/>
    <w:rsid w:val="0070630C"/>
    <w:rsid w:val="00706325"/>
    <w:rsid w:val="00706398"/>
    <w:rsid w:val="007063E5"/>
    <w:rsid w:val="0070641F"/>
    <w:rsid w:val="00706429"/>
    <w:rsid w:val="00706440"/>
    <w:rsid w:val="00706478"/>
    <w:rsid w:val="0070649B"/>
    <w:rsid w:val="007064B9"/>
    <w:rsid w:val="007064BA"/>
    <w:rsid w:val="007064F4"/>
    <w:rsid w:val="0070653F"/>
    <w:rsid w:val="0070655B"/>
    <w:rsid w:val="00706579"/>
    <w:rsid w:val="00706599"/>
    <w:rsid w:val="007065A3"/>
    <w:rsid w:val="007065AA"/>
    <w:rsid w:val="00706601"/>
    <w:rsid w:val="00706690"/>
    <w:rsid w:val="007066B3"/>
    <w:rsid w:val="007066C2"/>
    <w:rsid w:val="007066E0"/>
    <w:rsid w:val="007066E1"/>
    <w:rsid w:val="0070673C"/>
    <w:rsid w:val="007067CB"/>
    <w:rsid w:val="007067FB"/>
    <w:rsid w:val="00706835"/>
    <w:rsid w:val="0070683F"/>
    <w:rsid w:val="00706875"/>
    <w:rsid w:val="007068C4"/>
    <w:rsid w:val="007068DF"/>
    <w:rsid w:val="007068EE"/>
    <w:rsid w:val="00706907"/>
    <w:rsid w:val="0070694A"/>
    <w:rsid w:val="00706954"/>
    <w:rsid w:val="0070697B"/>
    <w:rsid w:val="0070698D"/>
    <w:rsid w:val="007069C9"/>
    <w:rsid w:val="007069DE"/>
    <w:rsid w:val="00706A03"/>
    <w:rsid w:val="00706A1B"/>
    <w:rsid w:val="00706A24"/>
    <w:rsid w:val="00706A31"/>
    <w:rsid w:val="00706A63"/>
    <w:rsid w:val="00706ADB"/>
    <w:rsid w:val="00706AF0"/>
    <w:rsid w:val="00706B02"/>
    <w:rsid w:val="00706B08"/>
    <w:rsid w:val="00706B1C"/>
    <w:rsid w:val="00706B5A"/>
    <w:rsid w:val="00706B9B"/>
    <w:rsid w:val="00706BAD"/>
    <w:rsid w:val="00706BC2"/>
    <w:rsid w:val="00706BEC"/>
    <w:rsid w:val="00706C53"/>
    <w:rsid w:val="00706C58"/>
    <w:rsid w:val="00706CDC"/>
    <w:rsid w:val="00706CF5"/>
    <w:rsid w:val="00706CFF"/>
    <w:rsid w:val="00706D02"/>
    <w:rsid w:val="00706D76"/>
    <w:rsid w:val="00706D7A"/>
    <w:rsid w:val="00706DAE"/>
    <w:rsid w:val="00706DC5"/>
    <w:rsid w:val="00706DE1"/>
    <w:rsid w:val="00706E0C"/>
    <w:rsid w:val="00706E2B"/>
    <w:rsid w:val="00706EB3"/>
    <w:rsid w:val="00706F55"/>
    <w:rsid w:val="00706F8F"/>
    <w:rsid w:val="00707047"/>
    <w:rsid w:val="00707062"/>
    <w:rsid w:val="0070708E"/>
    <w:rsid w:val="007070A0"/>
    <w:rsid w:val="007070B5"/>
    <w:rsid w:val="007070C6"/>
    <w:rsid w:val="007070CE"/>
    <w:rsid w:val="0070720C"/>
    <w:rsid w:val="0070725F"/>
    <w:rsid w:val="007072A1"/>
    <w:rsid w:val="007072C2"/>
    <w:rsid w:val="007072C5"/>
    <w:rsid w:val="007072FB"/>
    <w:rsid w:val="00707302"/>
    <w:rsid w:val="0070733A"/>
    <w:rsid w:val="00707363"/>
    <w:rsid w:val="007073BD"/>
    <w:rsid w:val="00707423"/>
    <w:rsid w:val="00707439"/>
    <w:rsid w:val="00707462"/>
    <w:rsid w:val="00707477"/>
    <w:rsid w:val="00707482"/>
    <w:rsid w:val="0070748F"/>
    <w:rsid w:val="00707510"/>
    <w:rsid w:val="0070751D"/>
    <w:rsid w:val="007075A8"/>
    <w:rsid w:val="0070763E"/>
    <w:rsid w:val="00707669"/>
    <w:rsid w:val="00707684"/>
    <w:rsid w:val="007076E7"/>
    <w:rsid w:val="00707717"/>
    <w:rsid w:val="00707722"/>
    <w:rsid w:val="0070774D"/>
    <w:rsid w:val="00707776"/>
    <w:rsid w:val="0070777B"/>
    <w:rsid w:val="00707787"/>
    <w:rsid w:val="00707791"/>
    <w:rsid w:val="00707798"/>
    <w:rsid w:val="00707809"/>
    <w:rsid w:val="00707811"/>
    <w:rsid w:val="00707826"/>
    <w:rsid w:val="00707876"/>
    <w:rsid w:val="007078A7"/>
    <w:rsid w:val="007078B4"/>
    <w:rsid w:val="007078BB"/>
    <w:rsid w:val="00707944"/>
    <w:rsid w:val="007079CC"/>
    <w:rsid w:val="007079DC"/>
    <w:rsid w:val="00707A2A"/>
    <w:rsid w:val="00707A6B"/>
    <w:rsid w:val="00707A83"/>
    <w:rsid w:val="00707A87"/>
    <w:rsid w:val="00707A8A"/>
    <w:rsid w:val="00707AA6"/>
    <w:rsid w:val="00707B28"/>
    <w:rsid w:val="00707B42"/>
    <w:rsid w:val="00707B47"/>
    <w:rsid w:val="00707B79"/>
    <w:rsid w:val="00707B86"/>
    <w:rsid w:val="00707BBF"/>
    <w:rsid w:val="00707BC2"/>
    <w:rsid w:val="00707BF7"/>
    <w:rsid w:val="00707C2C"/>
    <w:rsid w:val="00707C36"/>
    <w:rsid w:val="00707C7A"/>
    <w:rsid w:val="00707C83"/>
    <w:rsid w:val="00707CA2"/>
    <w:rsid w:val="00707D16"/>
    <w:rsid w:val="00707D38"/>
    <w:rsid w:val="00707D66"/>
    <w:rsid w:val="00707D76"/>
    <w:rsid w:val="00707D7E"/>
    <w:rsid w:val="00707E06"/>
    <w:rsid w:val="00707E89"/>
    <w:rsid w:val="00707EB2"/>
    <w:rsid w:val="00707EC0"/>
    <w:rsid w:val="00707EEA"/>
    <w:rsid w:val="00707EED"/>
    <w:rsid w:val="00707EFD"/>
    <w:rsid w:val="00707F52"/>
    <w:rsid w:val="00707F81"/>
    <w:rsid w:val="0070BB0A"/>
    <w:rsid w:val="00710038"/>
    <w:rsid w:val="00710090"/>
    <w:rsid w:val="007100AD"/>
    <w:rsid w:val="007100BB"/>
    <w:rsid w:val="007100C1"/>
    <w:rsid w:val="007100EF"/>
    <w:rsid w:val="007101FC"/>
    <w:rsid w:val="00710206"/>
    <w:rsid w:val="00710253"/>
    <w:rsid w:val="0071028A"/>
    <w:rsid w:val="007102E2"/>
    <w:rsid w:val="007103A7"/>
    <w:rsid w:val="007103EA"/>
    <w:rsid w:val="0071046A"/>
    <w:rsid w:val="007104BE"/>
    <w:rsid w:val="007104EE"/>
    <w:rsid w:val="00710558"/>
    <w:rsid w:val="0071055F"/>
    <w:rsid w:val="00710577"/>
    <w:rsid w:val="007105E1"/>
    <w:rsid w:val="007105E6"/>
    <w:rsid w:val="007105EB"/>
    <w:rsid w:val="00710601"/>
    <w:rsid w:val="00710662"/>
    <w:rsid w:val="007106DA"/>
    <w:rsid w:val="00710701"/>
    <w:rsid w:val="0071070A"/>
    <w:rsid w:val="00710771"/>
    <w:rsid w:val="0071077C"/>
    <w:rsid w:val="0071079C"/>
    <w:rsid w:val="0071079D"/>
    <w:rsid w:val="00710889"/>
    <w:rsid w:val="007108AC"/>
    <w:rsid w:val="007108F9"/>
    <w:rsid w:val="0071091E"/>
    <w:rsid w:val="00710983"/>
    <w:rsid w:val="00710993"/>
    <w:rsid w:val="007109D7"/>
    <w:rsid w:val="00710A3A"/>
    <w:rsid w:val="00710ABC"/>
    <w:rsid w:val="00710AE8"/>
    <w:rsid w:val="00710B0D"/>
    <w:rsid w:val="00710B4E"/>
    <w:rsid w:val="00710B92"/>
    <w:rsid w:val="00710C38"/>
    <w:rsid w:val="00710C50"/>
    <w:rsid w:val="00710C99"/>
    <w:rsid w:val="00710D48"/>
    <w:rsid w:val="00710D50"/>
    <w:rsid w:val="00710D52"/>
    <w:rsid w:val="00710DA2"/>
    <w:rsid w:val="00710DEC"/>
    <w:rsid w:val="00710E49"/>
    <w:rsid w:val="00710E6E"/>
    <w:rsid w:val="00710EE7"/>
    <w:rsid w:val="00710EEC"/>
    <w:rsid w:val="00710F2A"/>
    <w:rsid w:val="00710F3A"/>
    <w:rsid w:val="00710F56"/>
    <w:rsid w:val="00710FBA"/>
    <w:rsid w:val="00710FDB"/>
    <w:rsid w:val="00711010"/>
    <w:rsid w:val="00711034"/>
    <w:rsid w:val="007110A1"/>
    <w:rsid w:val="007110AB"/>
    <w:rsid w:val="007110F9"/>
    <w:rsid w:val="0071110F"/>
    <w:rsid w:val="00711110"/>
    <w:rsid w:val="0071128A"/>
    <w:rsid w:val="007112BC"/>
    <w:rsid w:val="007112CD"/>
    <w:rsid w:val="007112DA"/>
    <w:rsid w:val="00711310"/>
    <w:rsid w:val="00711313"/>
    <w:rsid w:val="00711317"/>
    <w:rsid w:val="00711341"/>
    <w:rsid w:val="00711384"/>
    <w:rsid w:val="0071139B"/>
    <w:rsid w:val="007113E8"/>
    <w:rsid w:val="007113F5"/>
    <w:rsid w:val="0071147C"/>
    <w:rsid w:val="00711481"/>
    <w:rsid w:val="007114CD"/>
    <w:rsid w:val="00711564"/>
    <w:rsid w:val="00711566"/>
    <w:rsid w:val="007115E5"/>
    <w:rsid w:val="007115F4"/>
    <w:rsid w:val="007115F6"/>
    <w:rsid w:val="00711671"/>
    <w:rsid w:val="00711691"/>
    <w:rsid w:val="00711720"/>
    <w:rsid w:val="00711728"/>
    <w:rsid w:val="00711743"/>
    <w:rsid w:val="00711780"/>
    <w:rsid w:val="007117B2"/>
    <w:rsid w:val="00711860"/>
    <w:rsid w:val="0071187D"/>
    <w:rsid w:val="0071189F"/>
    <w:rsid w:val="007119B2"/>
    <w:rsid w:val="007119CE"/>
    <w:rsid w:val="007119D0"/>
    <w:rsid w:val="007119DB"/>
    <w:rsid w:val="00711A11"/>
    <w:rsid w:val="00711A72"/>
    <w:rsid w:val="00711A82"/>
    <w:rsid w:val="00711AE6"/>
    <w:rsid w:val="00711B3E"/>
    <w:rsid w:val="00711B74"/>
    <w:rsid w:val="00711C1D"/>
    <w:rsid w:val="00711C3D"/>
    <w:rsid w:val="00711C41"/>
    <w:rsid w:val="00711C9C"/>
    <w:rsid w:val="00711CF9"/>
    <w:rsid w:val="00711D84"/>
    <w:rsid w:val="00711E0E"/>
    <w:rsid w:val="00711E16"/>
    <w:rsid w:val="00711E3E"/>
    <w:rsid w:val="00711E5C"/>
    <w:rsid w:val="00711EB2"/>
    <w:rsid w:val="00711EBD"/>
    <w:rsid w:val="00711F20"/>
    <w:rsid w:val="00711F29"/>
    <w:rsid w:val="00711F61"/>
    <w:rsid w:val="00711F74"/>
    <w:rsid w:val="00711FA0"/>
    <w:rsid w:val="00712046"/>
    <w:rsid w:val="0071205C"/>
    <w:rsid w:val="0071208D"/>
    <w:rsid w:val="00712147"/>
    <w:rsid w:val="00712160"/>
    <w:rsid w:val="0071217B"/>
    <w:rsid w:val="00712210"/>
    <w:rsid w:val="0071221C"/>
    <w:rsid w:val="0071224A"/>
    <w:rsid w:val="0071226E"/>
    <w:rsid w:val="007122C2"/>
    <w:rsid w:val="007122E9"/>
    <w:rsid w:val="0071236F"/>
    <w:rsid w:val="00712398"/>
    <w:rsid w:val="007123E3"/>
    <w:rsid w:val="007123F3"/>
    <w:rsid w:val="007123F8"/>
    <w:rsid w:val="0071243E"/>
    <w:rsid w:val="00712493"/>
    <w:rsid w:val="007124FD"/>
    <w:rsid w:val="00712564"/>
    <w:rsid w:val="007125B5"/>
    <w:rsid w:val="007125DA"/>
    <w:rsid w:val="007125ED"/>
    <w:rsid w:val="00712629"/>
    <w:rsid w:val="00712638"/>
    <w:rsid w:val="0071269E"/>
    <w:rsid w:val="007126B6"/>
    <w:rsid w:val="007126BF"/>
    <w:rsid w:val="007126E5"/>
    <w:rsid w:val="00712743"/>
    <w:rsid w:val="0071278A"/>
    <w:rsid w:val="007127D9"/>
    <w:rsid w:val="00712802"/>
    <w:rsid w:val="00712826"/>
    <w:rsid w:val="0071283E"/>
    <w:rsid w:val="00712882"/>
    <w:rsid w:val="007128DF"/>
    <w:rsid w:val="00712933"/>
    <w:rsid w:val="00712945"/>
    <w:rsid w:val="0071296A"/>
    <w:rsid w:val="0071299F"/>
    <w:rsid w:val="007129DB"/>
    <w:rsid w:val="007129F0"/>
    <w:rsid w:val="00712A67"/>
    <w:rsid w:val="00712A71"/>
    <w:rsid w:val="00712AEA"/>
    <w:rsid w:val="00712B1B"/>
    <w:rsid w:val="00712B5D"/>
    <w:rsid w:val="00712B8A"/>
    <w:rsid w:val="00712BDF"/>
    <w:rsid w:val="00712C1D"/>
    <w:rsid w:val="00712C7C"/>
    <w:rsid w:val="00712CAB"/>
    <w:rsid w:val="00712CBB"/>
    <w:rsid w:val="00712CFC"/>
    <w:rsid w:val="00712D42"/>
    <w:rsid w:val="00712E12"/>
    <w:rsid w:val="00712E33"/>
    <w:rsid w:val="00712E62"/>
    <w:rsid w:val="00712E6B"/>
    <w:rsid w:val="00712E75"/>
    <w:rsid w:val="00712EAD"/>
    <w:rsid w:val="00712EDC"/>
    <w:rsid w:val="00712F18"/>
    <w:rsid w:val="00712F1D"/>
    <w:rsid w:val="00712F26"/>
    <w:rsid w:val="00712F68"/>
    <w:rsid w:val="00712F8C"/>
    <w:rsid w:val="00712F93"/>
    <w:rsid w:val="00712FB8"/>
    <w:rsid w:val="00712FFF"/>
    <w:rsid w:val="0071300F"/>
    <w:rsid w:val="00713032"/>
    <w:rsid w:val="0071304B"/>
    <w:rsid w:val="0071307B"/>
    <w:rsid w:val="00713087"/>
    <w:rsid w:val="0071311F"/>
    <w:rsid w:val="00713153"/>
    <w:rsid w:val="007131BB"/>
    <w:rsid w:val="007131D4"/>
    <w:rsid w:val="00713207"/>
    <w:rsid w:val="00713217"/>
    <w:rsid w:val="0071322F"/>
    <w:rsid w:val="0071323F"/>
    <w:rsid w:val="0071324E"/>
    <w:rsid w:val="00713286"/>
    <w:rsid w:val="007132A5"/>
    <w:rsid w:val="007132BC"/>
    <w:rsid w:val="007132E8"/>
    <w:rsid w:val="007132FB"/>
    <w:rsid w:val="0071331E"/>
    <w:rsid w:val="00713398"/>
    <w:rsid w:val="0071339F"/>
    <w:rsid w:val="007133F2"/>
    <w:rsid w:val="0071345D"/>
    <w:rsid w:val="00713475"/>
    <w:rsid w:val="0071348A"/>
    <w:rsid w:val="007134A3"/>
    <w:rsid w:val="007134AF"/>
    <w:rsid w:val="00713515"/>
    <w:rsid w:val="00713521"/>
    <w:rsid w:val="00713538"/>
    <w:rsid w:val="0071355B"/>
    <w:rsid w:val="0071355E"/>
    <w:rsid w:val="007135E5"/>
    <w:rsid w:val="007136A8"/>
    <w:rsid w:val="007136EF"/>
    <w:rsid w:val="0071371C"/>
    <w:rsid w:val="0071379F"/>
    <w:rsid w:val="0071380C"/>
    <w:rsid w:val="00713822"/>
    <w:rsid w:val="00713882"/>
    <w:rsid w:val="007138F9"/>
    <w:rsid w:val="0071392D"/>
    <w:rsid w:val="0071395B"/>
    <w:rsid w:val="00713965"/>
    <w:rsid w:val="007139BE"/>
    <w:rsid w:val="00713A42"/>
    <w:rsid w:val="00713A8A"/>
    <w:rsid w:val="00713A9C"/>
    <w:rsid w:val="00713AEF"/>
    <w:rsid w:val="00713B0A"/>
    <w:rsid w:val="00713B12"/>
    <w:rsid w:val="00713B2F"/>
    <w:rsid w:val="00713B7C"/>
    <w:rsid w:val="00713C03"/>
    <w:rsid w:val="00713C4A"/>
    <w:rsid w:val="00713C7F"/>
    <w:rsid w:val="00713CF5"/>
    <w:rsid w:val="00713D1A"/>
    <w:rsid w:val="00713D4D"/>
    <w:rsid w:val="00713D63"/>
    <w:rsid w:val="00713D8E"/>
    <w:rsid w:val="00713DBD"/>
    <w:rsid w:val="00713DE3"/>
    <w:rsid w:val="00713E10"/>
    <w:rsid w:val="00713E52"/>
    <w:rsid w:val="00713E72"/>
    <w:rsid w:val="00713E83"/>
    <w:rsid w:val="00713E90"/>
    <w:rsid w:val="00713EDE"/>
    <w:rsid w:val="00713F09"/>
    <w:rsid w:val="00713F1C"/>
    <w:rsid w:val="00713F27"/>
    <w:rsid w:val="00713F42"/>
    <w:rsid w:val="0071407D"/>
    <w:rsid w:val="007140B8"/>
    <w:rsid w:val="007141F4"/>
    <w:rsid w:val="007141FC"/>
    <w:rsid w:val="007141FD"/>
    <w:rsid w:val="00714288"/>
    <w:rsid w:val="00714293"/>
    <w:rsid w:val="007142E2"/>
    <w:rsid w:val="0071434D"/>
    <w:rsid w:val="00714353"/>
    <w:rsid w:val="00714360"/>
    <w:rsid w:val="007143A5"/>
    <w:rsid w:val="00714493"/>
    <w:rsid w:val="007144C7"/>
    <w:rsid w:val="007144D3"/>
    <w:rsid w:val="007144EF"/>
    <w:rsid w:val="0071458A"/>
    <w:rsid w:val="0071459A"/>
    <w:rsid w:val="00714617"/>
    <w:rsid w:val="007146AB"/>
    <w:rsid w:val="00714714"/>
    <w:rsid w:val="007147AA"/>
    <w:rsid w:val="007147D0"/>
    <w:rsid w:val="007147D9"/>
    <w:rsid w:val="007147DB"/>
    <w:rsid w:val="007147F3"/>
    <w:rsid w:val="00714834"/>
    <w:rsid w:val="00714842"/>
    <w:rsid w:val="007148A5"/>
    <w:rsid w:val="0071491E"/>
    <w:rsid w:val="0071494F"/>
    <w:rsid w:val="0071498A"/>
    <w:rsid w:val="00714997"/>
    <w:rsid w:val="007149D4"/>
    <w:rsid w:val="00714A03"/>
    <w:rsid w:val="00714A1C"/>
    <w:rsid w:val="00714A28"/>
    <w:rsid w:val="00714AEE"/>
    <w:rsid w:val="00714B9D"/>
    <w:rsid w:val="00714BFF"/>
    <w:rsid w:val="00714C37"/>
    <w:rsid w:val="00714C57"/>
    <w:rsid w:val="00714D40"/>
    <w:rsid w:val="00714D6C"/>
    <w:rsid w:val="00714E11"/>
    <w:rsid w:val="00714E61"/>
    <w:rsid w:val="00714E7D"/>
    <w:rsid w:val="00714E81"/>
    <w:rsid w:val="00714EB5"/>
    <w:rsid w:val="00714EF7"/>
    <w:rsid w:val="00714F06"/>
    <w:rsid w:val="00714F35"/>
    <w:rsid w:val="00714F92"/>
    <w:rsid w:val="00714FA9"/>
    <w:rsid w:val="00714FBC"/>
    <w:rsid w:val="00714FCD"/>
    <w:rsid w:val="0071506C"/>
    <w:rsid w:val="007150A3"/>
    <w:rsid w:val="007150DA"/>
    <w:rsid w:val="0071514F"/>
    <w:rsid w:val="00715182"/>
    <w:rsid w:val="00715196"/>
    <w:rsid w:val="007151A8"/>
    <w:rsid w:val="007151D6"/>
    <w:rsid w:val="007151DF"/>
    <w:rsid w:val="00715248"/>
    <w:rsid w:val="0071529A"/>
    <w:rsid w:val="0071529F"/>
    <w:rsid w:val="007152A2"/>
    <w:rsid w:val="007152A3"/>
    <w:rsid w:val="007152BB"/>
    <w:rsid w:val="007152D5"/>
    <w:rsid w:val="00715380"/>
    <w:rsid w:val="00715392"/>
    <w:rsid w:val="007153A1"/>
    <w:rsid w:val="007153BC"/>
    <w:rsid w:val="007153D9"/>
    <w:rsid w:val="00715405"/>
    <w:rsid w:val="00715452"/>
    <w:rsid w:val="00715492"/>
    <w:rsid w:val="007154C5"/>
    <w:rsid w:val="007154D0"/>
    <w:rsid w:val="00715548"/>
    <w:rsid w:val="00715567"/>
    <w:rsid w:val="007155A0"/>
    <w:rsid w:val="007155A7"/>
    <w:rsid w:val="007155BF"/>
    <w:rsid w:val="007155DE"/>
    <w:rsid w:val="0071565D"/>
    <w:rsid w:val="0071568D"/>
    <w:rsid w:val="00715691"/>
    <w:rsid w:val="00715749"/>
    <w:rsid w:val="00715763"/>
    <w:rsid w:val="00715774"/>
    <w:rsid w:val="0071578B"/>
    <w:rsid w:val="007157F0"/>
    <w:rsid w:val="007157FF"/>
    <w:rsid w:val="00715938"/>
    <w:rsid w:val="00715A15"/>
    <w:rsid w:val="00715A27"/>
    <w:rsid w:val="00715A3C"/>
    <w:rsid w:val="00715A5C"/>
    <w:rsid w:val="00715A87"/>
    <w:rsid w:val="00715AC2"/>
    <w:rsid w:val="00715B29"/>
    <w:rsid w:val="00715B53"/>
    <w:rsid w:val="00715C37"/>
    <w:rsid w:val="00715C39"/>
    <w:rsid w:val="00715C5B"/>
    <w:rsid w:val="00715C78"/>
    <w:rsid w:val="00715C8A"/>
    <w:rsid w:val="00715CAC"/>
    <w:rsid w:val="00715CF3"/>
    <w:rsid w:val="00715D91"/>
    <w:rsid w:val="00715DE3"/>
    <w:rsid w:val="00715E0A"/>
    <w:rsid w:val="00715E36"/>
    <w:rsid w:val="00715F20"/>
    <w:rsid w:val="00715FDB"/>
    <w:rsid w:val="00715FE0"/>
    <w:rsid w:val="00716046"/>
    <w:rsid w:val="00716049"/>
    <w:rsid w:val="00716071"/>
    <w:rsid w:val="007160B9"/>
    <w:rsid w:val="007160D5"/>
    <w:rsid w:val="00716173"/>
    <w:rsid w:val="00716185"/>
    <w:rsid w:val="00716209"/>
    <w:rsid w:val="00716282"/>
    <w:rsid w:val="00716304"/>
    <w:rsid w:val="0071631D"/>
    <w:rsid w:val="00716323"/>
    <w:rsid w:val="00716329"/>
    <w:rsid w:val="0071639C"/>
    <w:rsid w:val="007163A6"/>
    <w:rsid w:val="007163B4"/>
    <w:rsid w:val="00716426"/>
    <w:rsid w:val="0071643C"/>
    <w:rsid w:val="0071645F"/>
    <w:rsid w:val="00716483"/>
    <w:rsid w:val="0071648F"/>
    <w:rsid w:val="00716523"/>
    <w:rsid w:val="00716552"/>
    <w:rsid w:val="007165CC"/>
    <w:rsid w:val="00716646"/>
    <w:rsid w:val="0071666A"/>
    <w:rsid w:val="00716674"/>
    <w:rsid w:val="007166B1"/>
    <w:rsid w:val="007166DB"/>
    <w:rsid w:val="007166FD"/>
    <w:rsid w:val="00716726"/>
    <w:rsid w:val="00716746"/>
    <w:rsid w:val="00716747"/>
    <w:rsid w:val="00716766"/>
    <w:rsid w:val="00716796"/>
    <w:rsid w:val="007167B3"/>
    <w:rsid w:val="00716874"/>
    <w:rsid w:val="00716879"/>
    <w:rsid w:val="00716888"/>
    <w:rsid w:val="007168CA"/>
    <w:rsid w:val="007168D0"/>
    <w:rsid w:val="007168E4"/>
    <w:rsid w:val="0071695C"/>
    <w:rsid w:val="0071698A"/>
    <w:rsid w:val="007169C2"/>
    <w:rsid w:val="007169EC"/>
    <w:rsid w:val="00716A0B"/>
    <w:rsid w:val="00716A50"/>
    <w:rsid w:val="00716A53"/>
    <w:rsid w:val="00716AAA"/>
    <w:rsid w:val="00716ACB"/>
    <w:rsid w:val="00716AFD"/>
    <w:rsid w:val="00716B09"/>
    <w:rsid w:val="00716B53"/>
    <w:rsid w:val="00716B5A"/>
    <w:rsid w:val="00716B67"/>
    <w:rsid w:val="00716B6C"/>
    <w:rsid w:val="00716B7D"/>
    <w:rsid w:val="00716BB2"/>
    <w:rsid w:val="00716BFE"/>
    <w:rsid w:val="00716C64"/>
    <w:rsid w:val="00716C6C"/>
    <w:rsid w:val="00716C86"/>
    <w:rsid w:val="00716CAD"/>
    <w:rsid w:val="00716D06"/>
    <w:rsid w:val="00716D16"/>
    <w:rsid w:val="00716D1C"/>
    <w:rsid w:val="00716D57"/>
    <w:rsid w:val="00716D7F"/>
    <w:rsid w:val="00716DB3"/>
    <w:rsid w:val="00716DBD"/>
    <w:rsid w:val="00716E38"/>
    <w:rsid w:val="00716EA7"/>
    <w:rsid w:val="00716EC3"/>
    <w:rsid w:val="00716EF6"/>
    <w:rsid w:val="00716F0F"/>
    <w:rsid w:val="00716F18"/>
    <w:rsid w:val="00716F95"/>
    <w:rsid w:val="00716F9F"/>
    <w:rsid w:val="00717116"/>
    <w:rsid w:val="00717134"/>
    <w:rsid w:val="0071715B"/>
    <w:rsid w:val="0071716B"/>
    <w:rsid w:val="007172A9"/>
    <w:rsid w:val="007172C7"/>
    <w:rsid w:val="007172EF"/>
    <w:rsid w:val="0071735E"/>
    <w:rsid w:val="00717389"/>
    <w:rsid w:val="0071738C"/>
    <w:rsid w:val="007173FD"/>
    <w:rsid w:val="00717436"/>
    <w:rsid w:val="007174D6"/>
    <w:rsid w:val="007174D8"/>
    <w:rsid w:val="007174F5"/>
    <w:rsid w:val="00717597"/>
    <w:rsid w:val="007175B9"/>
    <w:rsid w:val="0071760B"/>
    <w:rsid w:val="0071761A"/>
    <w:rsid w:val="0071764E"/>
    <w:rsid w:val="0071767A"/>
    <w:rsid w:val="00717694"/>
    <w:rsid w:val="007176A8"/>
    <w:rsid w:val="007176C8"/>
    <w:rsid w:val="00717727"/>
    <w:rsid w:val="0071775C"/>
    <w:rsid w:val="0071779D"/>
    <w:rsid w:val="007177D6"/>
    <w:rsid w:val="00717850"/>
    <w:rsid w:val="00717875"/>
    <w:rsid w:val="007178D2"/>
    <w:rsid w:val="00717937"/>
    <w:rsid w:val="00717A16"/>
    <w:rsid w:val="00717A22"/>
    <w:rsid w:val="00717A7A"/>
    <w:rsid w:val="00717A82"/>
    <w:rsid w:val="00717AB4"/>
    <w:rsid w:val="00717BD9"/>
    <w:rsid w:val="00717C0B"/>
    <w:rsid w:val="00717C3B"/>
    <w:rsid w:val="00717C8B"/>
    <w:rsid w:val="00717CF5"/>
    <w:rsid w:val="00717D23"/>
    <w:rsid w:val="00717D94"/>
    <w:rsid w:val="00717DF0"/>
    <w:rsid w:val="00717E0C"/>
    <w:rsid w:val="00717E1C"/>
    <w:rsid w:val="00717E5A"/>
    <w:rsid w:val="00717E6B"/>
    <w:rsid w:val="00717E7F"/>
    <w:rsid w:val="00717E89"/>
    <w:rsid w:val="00717F00"/>
    <w:rsid w:val="00717F67"/>
    <w:rsid w:val="00717FB1"/>
    <w:rsid w:val="00717FCA"/>
    <w:rsid w:val="00720083"/>
    <w:rsid w:val="00720187"/>
    <w:rsid w:val="0072018A"/>
    <w:rsid w:val="0072019B"/>
    <w:rsid w:val="007201BE"/>
    <w:rsid w:val="0072022C"/>
    <w:rsid w:val="00720292"/>
    <w:rsid w:val="007202BF"/>
    <w:rsid w:val="0072033F"/>
    <w:rsid w:val="00720364"/>
    <w:rsid w:val="00720403"/>
    <w:rsid w:val="0072040C"/>
    <w:rsid w:val="00720458"/>
    <w:rsid w:val="0072049E"/>
    <w:rsid w:val="007204A1"/>
    <w:rsid w:val="007204CB"/>
    <w:rsid w:val="007204E7"/>
    <w:rsid w:val="00720581"/>
    <w:rsid w:val="007205D0"/>
    <w:rsid w:val="007205DF"/>
    <w:rsid w:val="007205F3"/>
    <w:rsid w:val="00720604"/>
    <w:rsid w:val="0072069F"/>
    <w:rsid w:val="007206AB"/>
    <w:rsid w:val="007206D3"/>
    <w:rsid w:val="00720703"/>
    <w:rsid w:val="0072070A"/>
    <w:rsid w:val="0072075B"/>
    <w:rsid w:val="00720775"/>
    <w:rsid w:val="00720782"/>
    <w:rsid w:val="007207BB"/>
    <w:rsid w:val="0072081D"/>
    <w:rsid w:val="0072086B"/>
    <w:rsid w:val="00720876"/>
    <w:rsid w:val="0072087F"/>
    <w:rsid w:val="007208DD"/>
    <w:rsid w:val="007208FB"/>
    <w:rsid w:val="00720950"/>
    <w:rsid w:val="0072096A"/>
    <w:rsid w:val="00720999"/>
    <w:rsid w:val="007209CE"/>
    <w:rsid w:val="007209DD"/>
    <w:rsid w:val="007209DE"/>
    <w:rsid w:val="00720A03"/>
    <w:rsid w:val="00720A1B"/>
    <w:rsid w:val="00720B09"/>
    <w:rsid w:val="00720B0E"/>
    <w:rsid w:val="00720B14"/>
    <w:rsid w:val="00720B2E"/>
    <w:rsid w:val="00720B88"/>
    <w:rsid w:val="00720C03"/>
    <w:rsid w:val="00720C52"/>
    <w:rsid w:val="00720D16"/>
    <w:rsid w:val="00720DA4"/>
    <w:rsid w:val="00720DB0"/>
    <w:rsid w:val="00720DC8"/>
    <w:rsid w:val="00720DE4"/>
    <w:rsid w:val="00720DF6"/>
    <w:rsid w:val="00720E16"/>
    <w:rsid w:val="00720E43"/>
    <w:rsid w:val="00720E72"/>
    <w:rsid w:val="00720E77"/>
    <w:rsid w:val="00720E7A"/>
    <w:rsid w:val="00720E93"/>
    <w:rsid w:val="00720EAB"/>
    <w:rsid w:val="00720EAD"/>
    <w:rsid w:val="00720EBB"/>
    <w:rsid w:val="00720EF1"/>
    <w:rsid w:val="00720F67"/>
    <w:rsid w:val="00720FAB"/>
    <w:rsid w:val="00720FAC"/>
    <w:rsid w:val="00720FAF"/>
    <w:rsid w:val="00720FD5"/>
    <w:rsid w:val="00720FDB"/>
    <w:rsid w:val="00721014"/>
    <w:rsid w:val="00721049"/>
    <w:rsid w:val="0072104D"/>
    <w:rsid w:val="00721083"/>
    <w:rsid w:val="007210B7"/>
    <w:rsid w:val="007210D5"/>
    <w:rsid w:val="00721114"/>
    <w:rsid w:val="00721169"/>
    <w:rsid w:val="007211F6"/>
    <w:rsid w:val="007211FB"/>
    <w:rsid w:val="00721219"/>
    <w:rsid w:val="00721238"/>
    <w:rsid w:val="0072123E"/>
    <w:rsid w:val="00721246"/>
    <w:rsid w:val="00721283"/>
    <w:rsid w:val="007212D2"/>
    <w:rsid w:val="007212D7"/>
    <w:rsid w:val="00721313"/>
    <w:rsid w:val="00721355"/>
    <w:rsid w:val="00721357"/>
    <w:rsid w:val="00721363"/>
    <w:rsid w:val="00721395"/>
    <w:rsid w:val="007213B2"/>
    <w:rsid w:val="007213C8"/>
    <w:rsid w:val="007213DD"/>
    <w:rsid w:val="007213FF"/>
    <w:rsid w:val="00721472"/>
    <w:rsid w:val="007214B0"/>
    <w:rsid w:val="007214B6"/>
    <w:rsid w:val="0072150B"/>
    <w:rsid w:val="00721518"/>
    <w:rsid w:val="00721589"/>
    <w:rsid w:val="00721625"/>
    <w:rsid w:val="00721626"/>
    <w:rsid w:val="00721675"/>
    <w:rsid w:val="0072177B"/>
    <w:rsid w:val="00721800"/>
    <w:rsid w:val="0072182D"/>
    <w:rsid w:val="0072189A"/>
    <w:rsid w:val="007218F4"/>
    <w:rsid w:val="00721909"/>
    <w:rsid w:val="00721918"/>
    <w:rsid w:val="00721946"/>
    <w:rsid w:val="0072196E"/>
    <w:rsid w:val="0072198C"/>
    <w:rsid w:val="0072199B"/>
    <w:rsid w:val="007219B1"/>
    <w:rsid w:val="00721A89"/>
    <w:rsid w:val="00721A8F"/>
    <w:rsid w:val="00721A91"/>
    <w:rsid w:val="00721AD1"/>
    <w:rsid w:val="00721AF7"/>
    <w:rsid w:val="00721B16"/>
    <w:rsid w:val="00721B5C"/>
    <w:rsid w:val="00721B66"/>
    <w:rsid w:val="00721BA1"/>
    <w:rsid w:val="00721C0C"/>
    <w:rsid w:val="00721C4D"/>
    <w:rsid w:val="00721C5D"/>
    <w:rsid w:val="00721C71"/>
    <w:rsid w:val="00721D09"/>
    <w:rsid w:val="00721D57"/>
    <w:rsid w:val="00721D88"/>
    <w:rsid w:val="00721DB4"/>
    <w:rsid w:val="00721E06"/>
    <w:rsid w:val="00721E1B"/>
    <w:rsid w:val="00721E2E"/>
    <w:rsid w:val="00721F04"/>
    <w:rsid w:val="0072205D"/>
    <w:rsid w:val="007220BB"/>
    <w:rsid w:val="007220C6"/>
    <w:rsid w:val="00722114"/>
    <w:rsid w:val="00722118"/>
    <w:rsid w:val="0072211B"/>
    <w:rsid w:val="007221D5"/>
    <w:rsid w:val="0072222F"/>
    <w:rsid w:val="00722241"/>
    <w:rsid w:val="00722282"/>
    <w:rsid w:val="00722283"/>
    <w:rsid w:val="00722285"/>
    <w:rsid w:val="007222C6"/>
    <w:rsid w:val="00722308"/>
    <w:rsid w:val="00722344"/>
    <w:rsid w:val="00722355"/>
    <w:rsid w:val="007223CD"/>
    <w:rsid w:val="007223E1"/>
    <w:rsid w:val="007223E6"/>
    <w:rsid w:val="00722435"/>
    <w:rsid w:val="007224C9"/>
    <w:rsid w:val="00722519"/>
    <w:rsid w:val="007225DD"/>
    <w:rsid w:val="00722604"/>
    <w:rsid w:val="00722625"/>
    <w:rsid w:val="00722644"/>
    <w:rsid w:val="0072266B"/>
    <w:rsid w:val="007226BA"/>
    <w:rsid w:val="007226F6"/>
    <w:rsid w:val="007226FF"/>
    <w:rsid w:val="00722701"/>
    <w:rsid w:val="00722724"/>
    <w:rsid w:val="00722729"/>
    <w:rsid w:val="00722738"/>
    <w:rsid w:val="007227AB"/>
    <w:rsid w:val="007227B1"/>
    <w:rsid w:val="007227DC"/>
    <w:rsid w:val="007227F3"/>
    <w:rsid w:val="0072283D"/>
    <w:rsid w:val="0072284E"/>
    <w:rsid w:val="00722892"/>
    <w:rsid w:val="007228DD"/>
    <w:rsid w:val="007228E8"/>
    <w:rsid w:val="00722918"/>
    <w:rsid w:val="0072293F"/>
    <w:rsid w:val="00722950"/>
    <w:rsid w:val="0072295A"/>
    <w:rsid w:val="00722974"/>
    <w:rsid w:val="00722994"/>
    <w:rsid w:val="00722A1D"/>
    <w:rsid w:val="00722A2C"/>
    <w:rsid w:val="00722A9E"/>
    <w:rsid w:val="00722AC7"/>
    <w:rsid w:val="00722B42"/>
    <w:rsid w:val="00722B49"/>
    <w:rsid w:val="00722B7A"/>
    <w:rsid w:val="00722BD0"/>
    <w:rsid w:val="00722BD9"/>
    <w:rsid w:val="00722C36"/>
    <w:rsid w:val="00722C41"/>
    <w:rsid w:val="00722CEC"/>
    <w:rsid w:val="00722D62"/>
    <w:rsid w:val="00722D8D"/>
    <w:rsid w:val="00722DA3"/>
    <w:rsid w:val="00722DDB"/>
    <w:rsid w:val="00722DDC"/>
    <w:rsid w:val="00722E14"/>
    <w:rsid w:val="00722E23"/>
    <w:rsid w:val="00722E35"/>
    <w:rsid w:val="00722E7C"/>
    <w:rsid w:val="00722E9D"/>
    <w:rsid w:val="00722EA0"/>
    <w:rsid w:val="00722EEF"/>
    <w:rsid w:val="00722F24"/>
    <w:rsid w:val="00722F65"/>
    <w:rsid w:val="00722F7A"/>
    <w:rsid w:val="00722FFA"/>
    <w:rsid w:val="00723014"/>
    <w:rsid w:val="00723017"/>
    <w:rsid w:val="0072302D"/>
    <w:rsid w:val="007230C2"/>
    <w:rsid w:val="007230FE"/>
    <w:rsid w:val="00723163"/>
    <w:rsid w:val="00723203"/>
    <w:rsid w:val="0072320E"/>
    <w:rsid w:val="00723238"/>
    <w:rsid w:val="0072326B"/>
    <w:rsid w:val="00723281"/>
    <w:rsid w:val="007232D6"/>
    <w:rsid w:val="0072330A"/>
    <w:rsid w:val="00723366"/>
    <w:rsid w:val="007233B2"/>
    <w:rsid w:val="007233C7"/>
    <w:rsid w:val="00723403"/>
    <w:rsid w:val="0072341D"/>
    <w:rsid w:val="0072344A"/>
    <w:rsid w:val="0072344B"/>
    <w:rsid w:val="0072349C"/>
    <w:rsid w:val="007234A0"/>
    <w:rsid w:val="007234DD"/>
    <w:rsid w:val="00723540"/>
    <w:rsid w:val="00723555"/>
    <w:rsid w:val="007235F7"/>
    <w:rsid w:val="00723679"/>
    <w:rsid w:val="0072368C"/>
    <w:rsid w:val="007236C1"/>
    <w:rsid w:val="007236EE"/>
    <w:rsid w:val="00723799"/>
    <w:rsid w:val="007237BA"/>
    <w:rsid w:val="007237DB"/>
    <w:rsid w:val="007237F5"/>
    <w:rsid w:val="00723808"/>
    <w:rsid w:val="0072380E"/>
    <w:rsid w:val="0072385B"/>
    <w:rsid w:val="00723876"/>
    <w:rsid w:val="0072389B"/>
    <w:rsid w:val="007238C1"/>
    <w:rsid w:val="00723946"/>
    <w:rsid w:val="007239B3"/>
    <w:rsid w:val="007239E1"/>
    <w:rsid w:val="007239EB"/>
    <w:rsid w:val="00723A36"/>
    <w:rsid w:val="00723A5C"/>
    <w:rsid w:val="00723ABC"/>
    <w:rsid w:val="00723ADD"/>
    <w:rsid w:val="00723AE5"/>
    <w:rsid w:val="00723AED"/>
    <w:rsid w:val="00723B7E"/>
    <w:rsid w:val="00723B8D"/>
    <w:rsid w:val="00723BAF"/>
    <w:rsid w:val="00723BCB"/>
    <w:rsid w:val="00723C1B"/>
    <w:rsid w:val="00723C2F"/>
    <w:rsid w:val="00723C4A"/>
    <w:rsid w:val="00723C87"/>
    <w:rsid w:val="00723D1D"/>
    <w:rsid w:val="00723D27"/>
    <w:rsid w:val="00723D45"/>
    <w:rsid w:val="00723D92"/>
    <w:rsid w:val="00723E39"/>
    <w:rsid w:val="00723E90"/>
    <w:rsid w:val="00723F6F"/>
    <w:rsid w:val="00723F84"/>
    <w:rsid w:val="00723FFD"/>
    <w:rsid w:val="0072400A"/>
    <w:rsid w:val="00724048"/>
    <w:rsid w:val="007240E5"/>
    <w:rsid w:val="00724126"/>
    <w:rsid w:val="00724128"/>
    <w:rsid w:val="00724170"/>
    <w:rsid w:val="0072417D"/>
    <w:rsid w:val="0072418C"/>
    <w:rsid w:val="007241B2"/>
    <w:rsid w:val="007241E3"/>
    <w:rsid w:val="007241EA"/>
    <w:rsid w:val="00724201"/>
    <w:rsid w:val="00724240"/>
    <w:rsid w:val="00724250"/>
    <w:rsid w:val="007242C0"/>
    <w:rsid w:val="007242C5"/>
    <w:rsid w:val="00724333"/>
    <w:rsid w:val="007243B5"/>
    <w:rsid w:val="007243CE"/>
    <w:rsid w:val="00724400"/>
    <w:rsid w:val="0072440F"/>
    <w:rsid w:val="00724477"/>
    <w:rsid w:val="00724499"/>
    <w:rsid w:val="007244F3"/>
    <w:rsid w:val="00724530"/>
    <w:rsid w:val="007245E3"/>
    <w:rsid w:val="0072460B"/>
    <w:rsid w:val="00724612"/>
    <w:rsid w:val="0072463C"/>
    <w:rsid w:val="00724695"/>
    <w:rsid w:val="007246A4"/>
    <w:rsid w:val="007246C3"/>
    <w:rsid w:val="0072473E"/>
    <w:rsid w:val="007247CE"/>
    <w:rsid w:val="00724804"/>
    <w:rsid w:val="0072480D"/>
    <w:rsid w:val="00724813"/>
    <w:rsid w:val="00724863"/>
    <w:rsid w:val="00724972"/>
    <w:rsid w:val="0072499C"/>
    <w:rsid w:val="007249D6"/>
    <w:rsid w:val="007249EA"/>
    <w:rsid w:val="00724A34"/>
    <w:rsid w:val="00724A43"/>
    <w:rsid w:val="00724A67"/>
    <w:rsid w:val="00724AA7"/>
    <w:rsid w:val="00724BD3"/>
    <w:rsid w:val="00724C00"/>
    <w:rsid w:val="00724C84"/>
    <w:rsid w:val="00724C8D"/>
    <w:rsid w:val="00724CAA"/>
    <w:rsid w:val="00724CC1"/>
    <w:rsid w:val="00724CD3"/>
    <w:rsid w:val="00724CFC"/>
    <w:rsid w:val="00724D33"/>
    <w:rsid w:val="00724D3F"/>
    <w:rsid w:val="00724D56"/>
    <w:rsid w:val="00724D87"/>
    <w:rsid w:val="00724D8E"/>
    <w:rsid w:val="00724DC1"/>
    <w:rsid w:val="00724E63"/>
    <w:rsid w:val="00724E6F"/>
    <w:rsid w:val="00724E7A"/>
    <w:rsid w:val="00724EFC"/>
    <w:rsid w:val="00724F77"/>
    <w:rsid w:val="00724FA5"/>
    <w:rsid w:val="00724FEA"/>
    <w:rsid w:val="00725024"/>
    <w:rsid w:val="00725039"/>
    <w:rsid w:val="00725060"/>
    <w:rsid w:val="00725075"/>
    <w:rsid w:val="007250E0"/>
    <w:rsid w:val="00725107"/>
    <w:rsid w:val="00725114"/>
    <w:rsid w:val="00725138"/>
    <w:rsid w:val="0072516F"/>
    <w:rsid w:val="007251BE"/>
    <w:rsid w:val="00725219"/>
    <w:rsid w:val="00725293"/>
    <w:rsid w:val="007252B0"/>
    <w:rsid w:val="007252B8"/>
    <w:rsid w:val="007252E7"/>
    <w:rsid w:val="007252ED"/>
    <w:rsid w:val="0072533F"/>
    <w:rsid w:val="0072539C"/>
    <w:rsid w:val="007253D1"/>
    <w:rsid w:val="0072546B"/>
    <w:rsid w:val="00725481"/>
    <w:rsid w:val="00725506"/>
    <w:rsid w:val="00725509"/>
    <w:rsid w:val="007255AD"/>
    <w:rsid w:val="007255AF"/>
    <w:rsid w:val="007255B9"/>
    <w:rsid w:val="007255F0"/>
    <w:rsid w:val="00725620"/>
    <w:rsid w:val="00725677"/>
    <w:rsid w:val="007256B3"/>
    <w:rsid w:val="007256E7"/>
    <w:rsid w:val="00725748"/>
    <w:rsid w:val="00725788"/>
    <w:rsid w:val="007257F4"/>
    <w:rsid w:val="0072580C"/>
    <w:rsid w:val="00725820"/>
    <w:rsid w:val="0072583A"/>
    <w:rsid w:val="00725867"/>
    <w:rsid w:val="007258A4"/>
    <w:rsid w:val="00725926"/>
    <w:rsid w:val="00725993"/>
    <w:rsid w:val="007259A8"/>
    <w:rsid w:val="007259B0"/>
    <w:rsid w:val="007259F3"/>
    <w:rsid w:val="00725A10"/>
    <w:rsid w:val="00725A80"/>
    <w:rsid w:val="00725AC5"/>
    <w:rsid w:val="00725B2B"/>
    <w:rsid w:val="00725B38"/>
    <w:rsid w:val="00725B98"/>
    <w:rsid w:val="00725C79"/>
    <w:rsid w:val="00725C8B"/>
    <w:rsid w:val="00725CC3"/>
    <w:rsid w:val="00725D0B"/>
    <w:rsid w:val="00725D27"/>
    <w:rsid w:val="00725D42"/>
    <w:rsid w:val="00725D52"/>
    <w:rsid w:val="00725D6D"/>
    <w:rsid w:val="00725D82"/>
    <w:rsid w:val="00725DB6"/>
    <w:rsid w:val="00725DF1"/>
    <w:rsid w:val="00725E2F"/>
    <w:rsid w:val="00725E59"/>
    <w:rsid w:val="00725EA6"/>
    <w:rsid w:val="00725EF6"/>
    <w:rsid w:val="00725F1C"/>
    <w:rsid w:val="00725F61"/>
    <w:rsid w:val="00725F98"/>
    <w:rsid w:val="00725FEC"/>
    <w:rsid w:val="00726007"/>
    <w:rsid w:val="0072602A"/>
    <w:rsid w:val="00726039"/>
    <w:rsid w:val="00726049"/>
    <w:rsid w:val="00726096"/>
    <w:rsid w:val="00726183"/>
    <w:rsid w:val="00726187"/>
    <w:rsid w:val="0072618D"/>
    <w:rsid w:val="007261A2"/>
    <w:rsid w:val="007261B4"/>
    <w:rsid w:val="00726221"/>
    <w:rsid w:val="0072626E"/>
    <w:rsid w:val="007262B3"/>
    <w:rsid w:val="00726302"/>
    <w:rsid w:val="0072630C"/>
    <w:rsid w:val="0072630D"/>
    <w:rsid w:val="007263C3"/>
    <w:rsid w:val="007263E6"/>
    <w:rsid w:val="00726409"/>
    <w:rsid w:val="00726434"/>
    <w:rsid w:val="00726451"/>
    <w:rsid w:val="00726462"/>
    <w:rsid w:val="00726476"/>
    <w:rsid w:val="0072651D"/>
    <w:rsid w:val="0072655C"/>
    <w:rsid w:val="00726604"/>
    <w:rsid w:val="0072665E"/>
    <w:rsid w:val="0072667F"/>
    <w:rsid w:val="00726689"/>
    <w:rsid w:val="0072669E"/>
    <w:rsid w:val="007266E0"/>
    <w:rsid w:val="00726734"/>
    <w:rsid w:val="00726774"/>
    <w:rsid w:val="007267D9"/>
    <w:rsid w:val="00726800"/>
    <w:rsid w:val="00726806"/>
    <w:rsid w:val="00726864"/>
    <w:rsid w:val="007268A0"/>
    <w:rsid w:val="007268C3"/>
    <w:rsid w:val="00726939"/>
    <w:rsid w:val="0072694B"/>
    <w:rsid w:val="00726985"/>
    <w:rsid w:val="007269DB"/>
    <w:rsid w:val="00726A03"/>
    <w:rsid w:val="00726A16"/>
    <w:rsid w:val="00726A41"/>
    <w:rsid w:val="00726A4D"/>
    <w:rsid w:val="00726A54"/>
    <w:rsid w:val="00726A79"/>
    <w:rsid w:val="00726A81"/>
    <w:rsid w:val="00726AA6"/>
    <w:rsid w:val="00726ACE"/>
    <w:rsid w:val="00726ADA"/>
    <w:rsid w:val="00726AE3"/>
    <w:rsid w:val="00726B2B"/>
    <w:rsid w:val="00726B34"/>
    <w:rsid w:val="00726C0E"/>
    <w:rsid w:val="00726C12"/>
    <w:rsid w:val="00726C1F"/>
    <w:rsid w:val="00726C29"/>
    <w:rsid w:val="00726C7F"/>
    <w:rsid w:val="00726C8E"/>
    <w:rsid w:val="00726CB2"/>
    <w:rsid w:val="00726CB8"/>
    <w:rsid w:val="00726CFE"/>
    <w:rsid w:val="00726D38"/>
    <w:rsid w:val="00726D4F"/>
    <w:rsid w:val="00726D5B"/>
    <w:rsid w:val="00726D8F"/>
    <w:rsid w:val="00726D99"/>
    <w:rsid w:val="00726DB7"/>
    <w:rsid w:val="00726DC2"/>
    <w:rsid w:val="00726DC6"/>
    <w:rsid w:val="00726DCB"/>
    <w:rsid w:val="00726DD3"/>
    <w:rsid w:val="00726DE1"/>
    <w:rsid w:val="00726ED8"/>
    <w:rsid w:val="00726F6B"/>
    <w:rsid w:val="00726F82"/>
    <w:rsid w:val="00726F86"/>
    <w:rsid w:val="00726F8E"/>
    <w:rsid w:val="00726F90"/>
    <w:rsid w:val="0072700D"/>
    <w:rsid w:val="00727036"/>
    <w:rsid w:val="007270C7"/>
    <w:rsid w:val="007270CF"/>
    <w:rsid w:val="00727113"/>
    <w:rsid w:val="00727167"/>
    <w:rsid w:val="0072719F"/>
    <w:rsid w:val="00727204"/>
    <w:rsid w:val="0072725A"/>
    <w:rsid w:val="007272D7"/>
    <w:rsid w:val="00727303"/>
    <w:rsid w:val="00727344"/>
    <w:rsid w:val="007273C5"/>
    <w:rsid w:val="007273D4"/>
    <w:rsid w:val="00727400"/>
    <w:rsid w:val="00727460"/>
    <w:rsid w:val="0072747D"/>
    <w:rsid w:val="0072747F"/>
    <w:rsid w:val="00727492"/>
    <w:rsid w:val="007274DA"/>
    <w:rsid w:val="007275B7"/>
    <w:rsid w:val="0072761C"/>
    <w:rsid w:val="00727621"/>
    <w:rsid w:val="0072762C"/>
    <w:rsid w:val="0072765E"/>
    <w:rsid w:val="00727686"/>
    <w:rsid w:val="0072774B"/>
    <w:rsid w:val="007277C8"/>
    <w:rsid w:val="00727837"/>
    <w:rsid w:val="00727851"/>
    <w:rsid w:val="00727899"/>
    <w:rsid w:val="007278A5"/>
    <w:rsid w:val="007278BF"/>
    <w:rsid w:val="007278F9"/>
    <w:rsid w:val="00727965"/>
    <w:rsid w:val="007279D1"/>
    <w:rsid w:val="00727AC5"/>
    <w:rsid w:val="00727AEF"/>
    <w:rsid w:val="00727B18"/>
    <w:rsid w:val="00727B28"/>
    <w:rsid w:val="00727B3E"/>
    <w:rsid w:val="00727B49"/>
    <w:rsid w:val="00727B80"/>
    <w:rsid w:val="00727B8C"/>
    <w:rsid w:val="00727BD0"/>
    <w:rsid w:val="00727C12"/>
    <w:rsid w:val="00727C25"/>
    <w:rsid w:val="00727C43"/>
    <w:rsid w:val="00727CA4"/>
    <w:rsid w:val="00727CB1"/>
    <w:rsid w:val="00727D0B"/>
    <w:rsid w:val="00727D82"/>
    <w:rsid w:val="00727D99"/>
    <w:rsid w:val="00727DC9"/>
    <w:rsid w:val="00727E11"/>
    <w:rsid w:val="00727E43"/>
    <w:rsid w:val="00727E4E"/>
    <w:rsid w:val="00727EDA"/>
    <w:rsid w:val="00727F08"/>
    <w:rsid w:val="00727F2F"/>
    <w:rsid w:val="00727F3C"/>
    <w:rsid w:val="00727F5C"/>
    <w:rsid w:val="00727F6D"/>
    <w:rsid w:val="00727F80"/>
    <w:rsid w:val="00727FD8"/>
    <w:rsid w:val="00727FFC"/>
    <w:rsid w:val="0073007F"/>
    <w:rsid w:val="0073009E"/>
    <w:rsid w:val="007300DC"/>
    <w:rsid w:val="00730131"/>
    <w:rsid w:val="00730161"/>
    <w:rsid w:val="0073016C"/>
    <w:rsid w:val="007301CC"/>
    <w:rsid w:val="007301D3"/>
    <w:rsid w:val="007301EC"/>
    <w:rsid w:val="00730230"/>
    <w:rsid w:val="007302A5"/>
    <w:rsid w:val="007302A6"/>
    <w:rsid w:val="0073030B"/>
    <w:rsid w:val="0073034D"/>
    <w:rsid w:val="0073037B"/>
    <w:rsid w:val="0073038F"/>
    <w:rsid w:val="007303F0"/>
    <w:rsid w:val="0073041D"/>
    <w:rsid w:val="00730461"/>
    <w:rsid w:val="007304D9"/>
    <w:rsid w:val="007304F8"/>
    <w:rsid w:val="00730538"/>
    <w:rsid w:val="0073057E"/>
    <w:rsid w:val="0073058A"/>
    <w:rsid w:val="007305E1"/>
    <w:rsid w:val="007305F6"/>
    <w:rsid w:val="00730601"/>
    <w:rsid w:val="0073061A"/>
    <w:rsid w:val="0073063A"/>
    <w:rsid w:val="00730652"/>
    <w:rsid w:val="0073068E"/>
    <w:rsid w:val="00730735"/>
    <w:rsid w:val="0073075E"/>
    <w:rsid w:val="007307D3"/>
    <w:rsid w:val="0073082D"/>
    <w:rsid w:val="0073083D"/>
    <w:rsid w:val="0073083E"/>
    <w:rsid w:val="0073084B"/>
    <w:rsid w:val="0073088B"/>
    <w:rsid w:val="0073088D"/>
    <w:rsid w:val="007308F1"/>
    <w:rsid w:val="00730934"/>
    <w:rsid w:val="0073095E"/>
    <w:rsid w:val="0073097B"/>
    <w:rsid w:val="007309DC"/>
    <w:rsid w:val="00730A35"/>
    <w:rsid w:val="00730AA5"/>
    <w:rsid w:val="00730ABB"/>
    <w:rsid w:val="00730ABE"/>
    <w:rsid w:val="00730B10"/>
    <w:rsid w:val="00730B14"/>
    <w:rsid w:val="00730B7B"/>
    <w:rsid w:val="00730BBD"/>
    <w:rsid w:val="00730BDF"/>
    <w:rsid w:val="00730C24"/>
    <w:rsid w:val="00730CAB"/>
    <w:rsid w:val="00730CB0"/>
    <w:rsid w:val="00730D3B"/>
    <w:rsid w:val="00730DA9"/>
    <w:rsid w:val="00730DF4"/>
    <w:rsid w:val="00730E37"/>
    <w:rsid w:val="00730E79"/>
    <w:rsid w:val="00730E7C"/>
    <w:rsid w:val="00730ED1"/>
    <w:rsid w:val="00730EFE"/>
    <w:rsid w:val="00730F0F"/>
    <w:rsid w:val="00730F80"/>
    <w:rsid w:val="00730F93"/>
    <w:rsid w:val="00730FCC"/>
    <w:rsid w:val="00730FEC"/>
    <w:rsid w:val="00731000"/>
    <w:rsid w:val="00731007"/>
    <w:rsid w:val="00731027"/>
    <w:rsid w:val="0073103A"/>
    <w:rsid w:val="007310B9"/>
    <w:rsid w:val="00731156"/>
    <w:rsid w:val="0073115A"/>
    <w:rsid w:val="0073117F"/>
    <w:rsid w:val="0073118D"/>
    <w:rsid w:val="00731192"/>
    <w:rsid w:val="0073122E"/>
    <w:rsid w:val="0073124A"/>
    <w:rsid w:val="00731271"/>
    <w:rsid w:val="00731293"/>
    <w:rsid w:val="007312BC"/>
    <w:rsid w:val="007312E8"/>
    <w:rsid w:val="007312FE"/>
    <w:rsid w:val="007313A7"/>
    <w:rsid w:val="007313C5"/>
    <w:rsid w:val="007313CE"/>
    <w:rsid w:val="007313E2"/>
    <w:rsid w:val="00731410"/>
    <w:rsid w:val="00731414"/>
    <w:rsid w:val="0073141D"/>
    <w:rsid w:val="00731421"/>
    <w:rsid w:val="00731457"/>
    <w:rsid w:val="0073147C"/>
    <w:rsid w:val="007315DC"/>
    <w:rsid w:val="007315E9"/>
    <w:rsid w:val="00731607"/>
    <w:rsid w:val="00731628"/>
    <w:rsid w:val="00731639"/>
    <w:rsid w:val="0073164C"/>
    <w:rsid w:val="007316CA"/>
    <w:rsid w:val="007316DC"/>
    <w:rsid w:val="0073170B"/>
    <w:rsid w:val="00731768"/>
    <w:rsid w:val="0073179D"/>
    <w:rsid w:val="0073179E"/>
    <w:rsid w:val="007317C7"/>
    <w:rsid w:val="007317D6"/>
    <w:rsid w:val="007317EF"/>
    <w:rsid w:val="0073180B"/>
    <w:rsid w:val="00731812"/>
    <w:rsid w:val="00731819"/>
    <w:rsid w:val="0073181B"/>
    <w:rsid w:val="00731994"/>
    <w:rsid w:val="007319DD"/>
    <w:rsid w:val="00731A34"/>
    <w:rsid w:val="00731A8F"/>
    <w:rsid w:val="00731AAC"/>
    <w:rsid w:val="00731AD6"/>
    <w:rsid w:val="00731AF3"/>
    <w:rsid w:val="00731B00"/>
    <w:rsid w:val="00731B24"/>
    <w:rsid w:val="00731B3A"/>
    <w:rsid w:val="00731B4A"/>
    <w:rsid w:val="00731B4D"/>
    <w:rsid w:val="00731B57"/>
    <w:rsid w:val="00731B72"/>
    <w:rsid w:val="00731B77"/>
    <w:rsid w:val="00731B7D"/>
    <w:rsid w:val="00731BBF"/>
    <w:rsid w:val="00731BCD"/>
    <w:rsid w:val="00731BD5"/>
    <w:rsid w:val="00731BDB"/>
    <w:rsid w:val="00731BEB"/>
    <w:rsid w:val="00731D51"/>
    <w:rsid w:val="00731D81"/>
    <w:rsid w:val="00731E26"/>
    <w:rsid w:val="00731E53"/>
    <w:rsid w:val="00731E55"/>
    <w:rsid w:val="00731E5F"/>
    <w:rsid w:val="00731EB1"/>
    <w:rsid w:val="00731EB3"/>
    <w:rsid w:val="00731F04"/>
    <w:rsid w:val="00731F5A"/>
    <w:rsid w:val="00731F6C"/>
    <w:rsid w:val="00731FAB"/>
    <w:rsid w:val="00731FE7"/>
    <w:rsid w:val="00732016"/>
    <w:rsid w:val="00732122"/>
    <w:rsid w:val="00732165"/>
    <w:rsid w:val="00732170"/>
    <w:rsid w:val="00732172"/>
    <w:rsid w:val="00732173"/>
    <w:rsid w:val="0073217A"/>
    <w:rsid w:val="00732190"/>
    <w:rsid w:val="0073219B"/>
    <w:rsid w:val="00732206"/>
    <w:rsid w:val="007322FD"/>
    <w:rsid w:val="00732385"/>
    <w:rsid w:val="007323C6"/>
    <w:rsid w:val="007323D8"/>
    <w:rsid w:val="0073243A"/>
    <w:rsid w:val="00732457"/>
    <w:rsid w:val="007324A2"/>
    <w:rsid w:val="007324AF"/>
    <w:rsid w:val="007324CA"/>
    <w:rsid w:val="0073253D"/>
    <w:rsid w:val="0073259B"/>
    <w:rsid w:val="007325DD"/>
    <w:rsid w:val="007325EF"/>
    <w:rsid w:val="00732691"/>
    <w:rsid w:val="007326A9"/>
    <w:rsid w:val="007326BB"/>
    <w:rsid w:val="007326DE"/>
    <w:rsid w:val="00732719"/>
    <w:rsid w:val="007327AD"/>
    <w:rsid w:val="007327BB"/>
    <w:rsid w:val="00732822"/>
    <w:rsid w:val="007328B2"/>
    <w:rsid w:val="007328C9"/>
    <w:rsid w:val="007328F8"/>
    <w:rsid w:val="0073290B"/>
    <w:rsid w:val="0073291C"/>
    <w:rsid w:val="0073292E"/>
    <w:rsid w:val="00732941"/>
    <w:rsid w:val="0073299A"/>
    <w:rsid w:val="0073299C"/>
    <w:rsid w:val="007329C2"/>
    <w:rsid w:val="007329FE"/>
    <w:rsid w:val="00732A0D"/>
    <w:rsid w:val="00732A15"/>
    <w:rsid w:val="00732A2D"/>
    <w:rsid w:val="00732A98"/>
    <w:rsid w:val="00732AB5"/>
    <w:rsid w:val="00732AD8"/>
    <w:rsid w:val="00732AF8"/>
    <w:rsid w:val="00732B0A"/>
    <w:rsid w:val="00732B15"/>
    <w:rsid w:val="00732B4A"/>
    <w:rsid w:val="00732BB5"/>
    <w:rsid w:val="00732BCC"/>
    <w:rsid w:val="00732C2E"/>
    <w:rsid w:val="00732C64"/>
    <w:rsid w:val="00732CA2"/>
    <w:rsid w:val="00732CA4"/>
    <w:rsid w:val="00732CAB"/>
    <w:rsid w:val="00732D1E"/>
    <w:rsid w:val="00732E2B"/>
    <w:rsid w:val="00732E5E"/>
    <w:rsid w:val="00732E92"/>
    <w:rsid w:val="00732ECA"/>
    <w:rsid w:val="00732EE8"/>
    <w:rsid w:val="00732EEB"/>
    <w:rsid w:val="00732EEC"/>
    <w:rsid w:val="00732F0A"/>
    <w:rsid w:val="00732F2D"/>
    <w:rsid w:val="00732F36"/>
    <w:rsid w:val="00732F77"/>
    <w:rsid w:val="00732FA9"/>
    <w:rsid w:val="00732FF0"/>
    <w:rsid w:val="00733014"/>
    <w:rsid w:val="00733015"/>
    <w:rsid w:val="00733082"/>
    <w:rsid w:val="007330B8"/>
    <w:rsid w:val="007330D2"/>
    <w:rsid w:val="007330FF"/>
    <w:rsid w:val="00733103"/>
    <w:rsid w:val="00733160"/>
    <w:rsid w:val="007331A3"/>
    <w:rsid w:val="007331C2"/>
    <w:rsid w:val="007331F5"/>
    <w:rsid w:val="00733214"/>
    <w:rsid w:val="00733274"/>
    <w:rsid w:val="007332C0"/>
    <w:rsid w:val="007332D9"/>
    <w:rsid w:val="00733311"/>
    <w:rsid w:val="00733335"/>
    <w:rsid w:val="00733396"/>
    <w:rsid w:val="007333ED"/>
    <w:rsid w:val="00733400"/>
    <w:rsid w:val="00733448"/>
    <w:rsid w:val="0073345C"/>
    <w:rsid w:val="00733476"/>
    <w:rsid w:val="0073347E"/>
    <w:rsid w:val="007334C0"/>
    <w:rsid w:val="007334E0"/>
    <w:rsid w:val="007334E6"/>
    <w:rsid w:val="0073350D"/>
    <w:rsid w:val="007335B3"/>
    <w:rsid w:val="00733600"/>
    <w:rsid w:val="0073365E"/>
    <w:rsid w:val="00733661"/>
    <w:rsid w:val="007336A9"/>
    <w:rsid w:val="007336EE"/>
    <w:rsid w:val="00733701"/>
    <w:rsid w:val="00733711"/>
    <w:rsid w:val="007337B2"/>
    <w:rsid w:val="00733819"/>
    <w:rsid w:val="00733841"/>
    <w:rsid w:val="00733846"/>
    <w:rsid w:val="007338FC"/>
    <w:rsid w:val="007339A0"/>
    <w:rsid w:val="007339AD"/>
    <w:rsid w:val="007339CB"/>
    <w:rsid w:val="007339F4"/>
    <w:rsid w:val="007339F5"/>
    <w:rsid w:val="00733A0F"/>
    <w:rsid w:val="00733AC5"/>
    <w:rsid w:val="00733ACA"/>
    <w:rsid w:val="00733B89"/>
    <w:rsid w:val="00733BB7"/>
    <w:rsid w:val="00733C1A"/>
    <w:rsid w:val="00733C3F"/>
    <w:rsid w:val="00733CF1"/>
    <w:rsid w:val="00733D83"/>
    <w:rsid w:val="00733D91"/>
    <w:rsid w:val="00733D9F"/>
    <w:rsid w:val="00733DBA"/>
    <w:rsid w:val="00733E87"/>
    <w:rsid w:val="00733E96"/>
    <w:rsid w:val="00733F16"/>
    <w:rsid w:val="00733F95"/>
    <w:rsid w:val="00733F9B"/>
    <w:rsid w:val="00733FDE"/>
    <w:rsid w:val="00734042"/>
    <w:rsid w:val="00734072"/>
    <w:rsid w:val="007340A9"/>
    <w:rsid w:val="00734121"/>
    <w:rsid w:val="00734165"/>
    <w:rsid w:val="00734172"/>
    <w:rsid w:val="00734177"/>
    <w:rsid w:val="00734203"/>
    <w:rsid w:val="00734207"/>
    <w:rsid w:val="00734246"/>
    <w:rsid w:val="007342D1"/>
    <w:rsid w:val="007342E9"/>
    <w:rsid w:val="007342F0"/>
    <w:rsid w:val="00734313"/>
    <w:rsid w:val="007343AA"/>
    <w:rsid w:val="007343FD"/>
    <w:rsid w:val="00734427"/>
    <w:rsid w:val="0073444C"/>
    <w:rsid w:val="00734479"/>
    <w:rsid w:val="00734495"/>
    <w:rsid w:val="007344B7"/>
    <w:rsid w:val="007344E5"/>
    <w:rsid w:val="007344E8"/>
    <w:rsid w:val="00734519"/>
    <w:rsid w:val="0073455D"/>
    <w:rsid w:val="007345A6"/>
    <w:rsid w:val="007345CB"/>
    <w:rsid w:val="0073462D"/>
    <w:rsid w:val="00734638"/>
    <w:rsid w:val="00734682"/>
    <w:rsid w:val="00734687"/>
    <w:rsid w:val="007346D3"/>
    <w:rsid w:val="0073470E"/>
    <w:rsid w:val="00734761"/>
    <w:rsid w:val="00734790"/>
    <w:rsid w:val="00734829"/>
    <w:rsid w:val="00734836"/>
    <w:rsid w:val="00734876"/>
    <w:rsid w:val="00734880"/>
    <w:rsid w:val="007348F1"/>
    <w:rsid w:val="00734954"/>
    <w:rsid w:val="0073498B"/>
    <w:rsid w:val="007349BB"/>
    <w:rsid w:val="00734A97"/>
    <w:rsid w:val="00734AC1"/>
    <w:rsid w:val="00734AFF"/>
    <w:rsid w:val="00734B26"/>
    <w:rsid w:val="00734B3C"/>
    <w:rsid w:val="00734B55"/>
    <w:rsid w:val="00734BFA"/>
    <w:rsid w:val="00734C17"/>
    <w:rsid w:val="00734C45"/>
    <w:rsid w:val="00734C4A"/>
    <w:rsid w:val="00734C9B"/>
    <w:rsid w:val="00734CD6"/>
    <w:rsid w:val="00734D31"/>
    <w:rsid w:val="00734D3B"/>
    <w:rsid w:val="00734E0B"/>
    <w:rsid w:val="00734E48"/>
    <w:rsid w:val="00734E4D"/>
    <w:rsid w:val="00734E85"/>
    <w:rsid w:val="00734EE3"/>
    <w:rsid w:val="00734F61"/>
    <w:rsid w:val="00734F7C"/>
    <w:rsid w:val="00734FA7"/>
    <w:rsid w:val="00734FC4"/>
    <w:rsid w:val="0073501A"/>
    <w:rsid w:val="0073503B"/>
    <w:rsid w:val="0073504A"/>
    <w:rsid w:val="0073506C"/>
    <w:rsid w:val="0073509E"/>
    <w:rsid w:val="007350E1"/>
    <w:rsid w:val="00735131"/>
    <w:rsid w:val="00735270"/>
    <w:rsid w:val="0073528D"/>
    <w:rsid w:val="007352C7"/>
    <w:rsid w:val="00735351"/>
    <w:rsid w:val="0073537A"/>
    <w:rsid w:val="0073537E"/>
    <w:rsid w:val="007353C8"/>
    <w:rsid w:val="007353E8"/>
    <w:rsid w:val="0073547D"/>
    <w:rsid w:val="007354DC"/>
    <w:rsid w:val="007354F6"/>
    <w:rsid w:val="00735526"/>
    <w:rsid w:val="00735541"/>
    <w:rsid w:val="00735554"/>
    <w:rsid w:val="00735562"/>
    <w:rsid w:val="00735592"/>
    <w:rsid w:val="007355C3"/>
    <w:rsid w:val="00735630"/>
    <w:rsid w:val="0073564A"/>
    <w:rsid w:val="0073566C"/>
    <w:rsid w:val="007356F1"/>
    <w:rsid w:val="007356F2"/>
    <w:rsid w:val="007356F4"/>
    <w:rsid w:val="007356F8"/>
    <w:rsid w:val="0073572E"/>
    <w:rsid w:val="0073574F"/>
    <w:rsid w:val="00735759"/>
    <w:rsid w:val="0073575A"/>
    <w:rsid w:val="00735765"/>
    <w:rsid w:val="0073579B"/>
    <w:rsid w:val="0073579F"/>
    <w:rsid w:val="007357B1"/>
    <w:rsid w:val="007357B9"/>
    <w:rsid w:val="007357F1"/>
    <w:rsid w:val="007357F9"/>
    <w:rsid w:val="007357FF"/>
    <w:rsid w:val="00735883"/>
    <w:rsid w:val="0073589A"/>
    <w:rsid w:val="0073589D"/>
    <w:rsid w:val="007358DE"/>
    <w:rsid w:val="00735937"/>
    <w:rsid w:val="00735953"/>
    <w:rsid w:val="00735954"/>
    <w:rsid w:val="0073597E"/>
    <w:rsid w:val="007359D0"/>
    <w:rsid w:val="00735A11"/>
    <w:rsid w:val="00735A71"/>
    <w:rsid w:val="00735A7F"/>
    <w:rsid w:val="00735AA6"/>
    <w:rsid w:val="00735AD5"/>
    <w:rsid w:val="00735B04"/>
    <w:rsid w:val="00735B2B"/>
    <w:rsid w:val="00735B71"/>
    <w:rsid w:val="00735B7B"/>
    <w:rsid w:val="00735B9E"/>
    <w:rsid w:val="00735BAB"/>
    <w:rsid w:val="00735BC7"/>
    <w:rsid w:val="00735BE1"/>
    <w:rsid w:val="00735C24"/>
    <w:rsid w:val="00735C71"/>
    <w:rsid w:val="00735D7A"/>
    <w:rsid w:val="00735D8F"/>
    <w:rsid w:val="00735DC5"/>
    <w:rsid w:val="00735DEC"/>
    <w:rsid w:val="00735E6D"/>
    <w:rsid w:val="00735F27"/>
    <w:rsid w:val="00735F85"/>
    <w:rsid w:val="00735FA7"/>
    <w:rsid w:val="00735FB2"/>
    <w:rsid w:val="00736046"/>
    <w:rsid w:val="00736049"/>
    <w:rsid w:val="0073607E"/>
    <w:rsid w:val="00736092"/>
    <w:rsid w:val="0073609F"/>
    <w:rsid w:val="007360B9"/>
    <w:rsid w:val="007360C2"/>
    <w:rsid w:val="007360D7"/>
    <w:rsid w:val="007360F0"/>
    <w:rsid w:val="00736117"/>
    <w:rsid w:val="00736166"/>
    <w:rsid w:val="007361C6"/>
    <w:rsid w:val="007361D9"/>
    <w:rsid w:val="007362E9"/>
    <w:rsid w:val="00736304"/>
    <w:rsid w:val="00736308"/>
    <w:rsid w:val="0073635E"/>
    <w:rsid w:val="007363DE"/>
    <w:rsid w:val="007363E6"/>
    <w:rsid w:val="007363FD"/>
    <w:rsid w:val="0073640D"/>
    <w:rsid w:val="00736430"/>
    <w:rsid w:val="00736460"/>
    <w:rsid w:val="007364AE"/>
    <w:rsid w:val="007364C9"/>
    <w:rsid w:val="007365D4"/>
    <w:rsid w:val="007366A9"/>
    <w:rsid w:val="007366B1"/>
    <w:rsid w:val="007366BC"/>
    <w:rsid w:val="00736701"/>
    <w:rsid w:val="00736715"/>
    <w:rsid w:val="0073674F"/>
    <w:rsid w:val="0073676F"/>
    <w:rsid w:val="007367BE"/>
    <w:rsid w:val="007367E5"/>
    <w:rsid w:val="007367FF"/>
    <w:rsid w:val="007368A7"/>
    <w:rsid w:val="007368BE"/>
    <w:rsid w:val="007368F4"/>
    <w:rsid w:val="007368F9"/>
    <w:rsid w:val="00736900"/>
    <w:rsid w:val="00736934"/>
    <w:rsid w:val="0073693D"/>
    <w:rsid w:val="007369CD"/>
    <w:rsid w:val="007369E2"/>
    <w:rsid w:val="007369ED"/>
    <w:rsid w:val="00736A64"/>
    <w:rsid w:val="00736A65"/>
    <w:rsid w:val="00736A92"/>
    <w:rsid w:val="00736A95"/>
    <w:rsid w:val="00736AC8"/>
    <w:rsid w:val="00736B06"/>
    <w:rsid w:val="00736B34"/>
    <w:rsid w:val="00736B91"/>
    <w:rsid w:val="00736BDD"/>
    <w:rsid w:val="00736C01"/>
    <w:rsid w:val="00736C19"/>
    <w:rsid w:val="00736C61"/>
    <w:rsid w:val="00736CD3"/>
    <w:rsid w:val="00736CE1"/>
    <w:rsid w:val="00736D32"/>
    <w:rsid w:val="00736D6C"/>
    <w:rsid w:val="00736D90"/>
    <w:rsid w:val="00736DAA"/>
    <w:rsid w:val="00736E08"/>
    <w:rsid w:val="00736E5E"/>
    <w:rsid w:val="00736EF7"/>
    <w:rsid w:val="00736F02"/>
    <w:rsid w:val="00736F07"/>
    <w:rsid w:val="00736F0D"/>
    <w:rsid w:val="00736F1D"/>
    <w:rsid w:val="00736F2A"/>
    <w:rsid w:val="00736F47"/>
    <w:rsid w:val="00736FF7"/>
    <w:rsid w:val="00737070"/>
    <w:rsid w:val="0073709D"/>
    <w:rsid w:val="007370F0"/>
    <w:rsid w:val="0073717B"/>
    <w:rsid w:val="007371CE"/>
    <w:rsid w:val="007371F3"/>
    <w:rsid w:val="00737214"/>
    <w:rsid w:val="00737272"/>
    <w:rsid w:val="00737288"/>
    <w:rsid w:val="007372A7"/>
    <w:rsid w:val="007372AD"/>
    <w:rsid w:val="007372AE"/>
    <w:rsid w:val="007372CD"/>
    <w:rsid w:val="007372E4"/>
    <w:rsid w:val="0073733A"/>
    <w:rsid w:val="00737346"/>
    <w:rsid w:val="00737351"/>
    <w:rsid w:val="00737390"/>
    <w:rsid w:val="007373FB"/>
    <w:rsid w:val="007373FD"/>
    <w:rsid w:val="007374C1"/>
    <w:rsid w:val="007374F6"/>
    <w:rsid w:val="00737513"/>
    <w:rsid w:val="00737535"/>
    <w:rsid w:val="00737537"/>
    <w:rsid w:val="00737551"/>
    <w:rsid w:val="00737575"/>
    <w:rsid w:val="0073759B"/>
    <w:rsid w:val="007375A8"/>
    <w:rsid w:val="007375A9"/>
    <w:rsid w:val="00737614"/>
    <w:rsid w:val="007376DF"/>
    <w:rsid w:val="00737739"/>
    <w:rsid w:val="00737740"/>
    <w:rsid w:val="007377F8"/>
    <w:rsid w:val="0073780F"/>
    <w:rsid w:val="00737858"/>
    <w:rsid w:val="00737861"/>
    <w:rsid w:val="00737885"/>
    <w:rsid w:val="007378BF"/>
    <w:rsid w:val="007378C1"/>
    <w:rsid w:val="00737951"/>
    <w:rsid w:val="0073797E"/>
    <w:rsid w:val="0073798C"/>
    <w:rsid w:val="00737992"/>
    <w:rsid w:val="007379B4"/>
    <w:rsid w:val="00737A8D"/>
    <w:rsid w:val="00737AC8"/>
    <w:rsid w:val="00737AE8"/>
    <w:rsid w:val="00737AFF"/>
    <w:rsid w:val="00737B07"/>
    <w:rsid w:val="00737B25"/>
    <w:rsid w:val="00737B3B"/>
    <w:rsid w:val="00737B6A"/>
    <w:rsid w:val="00737B85"/>
    <w:rsid w:val="00737BBA"/>
    <w:rsid w:val="00737BE8"/>
    <w:rsid w:val="00737C62"/>
    <w:rsid w:val="00737C91"/>
    <w:rsid w:val="00737CB4"/>
    <w:rsid w:val="00737CC1"/>
    <w:rsid w:val="00737D0F"/>
    <w:rsid w:val="00737D5E"/>
    <w:rsid w:val="00737D69"/>
    <w:rsid w:val="00737D88"/>
    <w:rsid w:val="00737DC5"/>
    <w:rsid w:val="00737E33"/>
    <w:rsid w:val="00737E3A"/>
    <w:rsid w:val="00737E9E"/>
    <w:rsid w:val="00737F8C"/>
    <w:rsid w:val="00740077"/>
    <w:rsid w:val="0074007A"/>
    <w:rsid w:val="00740099"/>
    <w:rsid w:val="007400A8"/>
    <w:rsid w:val="007400AA"/>
    <w:rsid w:val="007400B6"/>
    <w:rsid w:val="0074010B"/>
    <w:rsid w:val="00740129"/>
    <w:rsid w:val="00740186"/>
    <w:rsid w:val="007401E9"/>
    <w:rsid w:val="00740220"/>
    <w:rsid w:val="0074023F"/>
    <w:rsid w:val="00740256"/>
    <w:rsid w:val="00740261"/>
    <w:rsid w:val="007402FD"/>
    <w:rsid w:val="00740311"/>
    <w:rsid w:val="0074032F"/>
    <w:rsid w:val="00740407"/>
    <w:rsid w:val="0074041D"/>
    <w:rsid w:val="00740463"/>
    <w:rsid w:val="00740467"/>
    <w:rsid w:val="00740473"/>
    <w:rsid w:val="0074047D"/>
    <w:rsid w:val="00740486"/>
    <w:rsid w:val="007404C2"/>
    <w:rsid w:val="007404F3"/>
    <w:rsid w:val="007404FB"/>
    <w:rsid w:val="0074051B"/>
    <w:rsid w:val="0074053F"/>
    <w:rsid w:val="00740592"/>
    <w:rsid w:val="0074059F"/>
    <w:rsid w:val="007405A7"/>
    <w:rsid w:val="007405E4"/>
    <w:rsid w:val="007405ED"/>
    <w:rsid w:val="00740603"/>
    <w:rsid w:val="00740670"/>
    <w:rsid w:val="007406A0"/>
    <w:rsid w:val="007406A3"/>
    <w:rsid w:val="007406C7"/>
    <w:rsid w:val="0074073F"/>
    <w:rsid w:val="0074074F"/>
    <w:rsid w:val="00740788"/>
    <w:rsid w:val="007407E0"/>
    <w:rsid w:val="0074081F"/>
    <w:rsid w:val="0074088D"/>
    <w:rsid w:val="0074092E"/>
    <w:rsid w:val="0074099D"/>
    <w:rsid w:val="007409B3"/>
    <w:rsid w:val="007409EC"/>
    <w:rsid w:val="007409F7"/>
    <w:rsid w:val="00740A2C"/>
    <w:rsid w:val="00740A4B"/>
    <w:rsid w:val="00740A6F"/>
    <w:rsid w:val="00740A76"/>
    <w:rsid w:val="00740ACB"/>
    <w:rsid w:val="00740B67"/>
    <w:rsid w:val="00740B6A"/>
    <w:rsid w:val="00740B6D"/>
    <w:rsid w:val="00740B6F"/>
    <w:rsid w:val="00740B9C"/>
    <w:rsid w:val="00740BA7"/>
    <w:rsid w:val="00740BDF"/>
    <w:rsid w:val="00740C74"/>
    <w:rsid w:val="00740CA2"/>
    <w:rsid w:val="00740CE1"/>
    <w:rsid w:val="00740CF0"/>
    <w:rsid w:val="00740D62"/>
    <w:rsid w:val="00740D7C"/>
    <w:rsid w:val="00740DBA"/>
    <w:rsid w:val="00740DD3"/>
    <w:rsid w:val="00740E87"/>
    <w:rsid w:val="00740EC2"/>
    <w:rsid w:val="00740EDF"/>
    <w:rsid w:val="00740EF3"/>
    <w:rsid w:val="00740F11"/>
    <w:rsid w:val="00740F3C"/>
    <w:rsid w:val="00740F45"/>
    <w:rsid w:val="00740F50"/>
    <w:rsid w:val="00740F53"/>
    <w:rsid w:val="00740FC3"/>
    <w:rsid w:val="00740FF5"/>
    <w:rsid w:val="0074108B"/>
    <w:rsid w:val="007410B5"/>
    <w:rsid w:val="007410C0"/>
    <w:rsid w:val="007410C2"/>
    <w:rsid w:val="007410D2"/>
    <w:rsid w:val="00741121"/>
    <w:rsid w:val="0074112D"/>
    <w:rsid w:val="00741158"/>
    <w:rsid w:val="0074116F"/>
    <w:rsid w:val="007411F4"/>
    <w:rsid w:val="00741210"/>
    <w:rsid w:val="0074122C"/>
    <w:rsid w:val="0074126A"/>
    <w:rsid w:val="0074126F"/>
    <w:rsid w:val="007412DF"/>
    <w:rsid w:val="007412ED"/>
    <w:rsid w:val="007412F0"/>
    <w:rsid w:val="00741314"/>
    <w:rsid w:val="00741320"/>
    <w:rsid w:val="0074133C"/>
    <w:rsid w:val="00741392"/>
    <w:rsid w:val="007413A4"/>
    <w:rsid w:val="007413D0"/>
    <w:rsid w:val="007413FB"/>
    <w:rsid w:val="00741414"/>
    <w:rsid w:val="00741435"/>
    <w:rsid w:val="007414BE"/>
    <w:rsid w:val="007414C2"/>
    <w:rsid w:val="007414CA"/>
    <w:rsid w:val="007414E1"/>
    <w:rsid w:val="00741545"/>
    <w:rsid w:val="0074158A"/>
    <w:rsid w:val="0074159B"/>
    <w:rsid w:val="007415A2"/>
    <w:rsid w:val="007415C7"/>
    <w:rsid w:val="007415D3"/>
    <w:rsid w:val="007415D8"/>
    <w:rsid w:val="007415DE"/>
    <w:rsid w:val="00741626"/>
    <w:rsid w:val="0074163A"/>
    <w:rsid w:val="0074164E"/>
    <w:rsid w:val="0074167C"/>
    <w:rsid w:val="0074168C"/>
    <w:rsid w:val="00741758"/>
    <w:rsid w:val="0074175F"/>
    <w:rsid w:val="00741770"/>
    <w:rsid w:val="0074179B"/>
    <w:rsid w:val="00741814"/>
    <w:rsid w:val="00741831"/>
    <w:rsid w:val="00741875"/>
    <w:rsid w:val="007418A3"/>
    <w:rsid w:val="007418E2"/>
    <w:rsid w:val="00741910"/>
    <w:rsid w:val="00741973"/>
    <w:rsid w:val="00741975"/>
    <w:rsid w:val="0074197C"/>
    <w:rsid w:val="007419B5"/>
    <w:rsid w:val="007419BA"/>
    <w:rsid w:val="007419E0"/>
    <w:rsid w:val="00741A33"/>
    <w:rsid w:val="00741A3E"/>
    <w:rsid w:val="00741A65"/>
    <w:rsid w:val="00741AC9"/>
    <w:rsid w:val="00741AFC"/>
    <w:rsid w:val="00741B15"/>
    <w:rsid w:val="00741B71"/>
    <w:rsid w:val="00741BEE"/>
    <w:rsid w:val="00741C04"/>
    <w:rsid w:val="00741C0E"/>
    <w:rsid w:val="00741C5D"/>
    <w:rsid w:val="00741C71"/>
    <w:rsid w:val="00741C94"/>
    <w:rsid w:val="00741D0B"/>
    <w:rsid w:val="00741D13"/>
    <w:rsid w:val="00741D2E"/>
    <w:rsid w:val="00741D3F"/>
    <w:rsid w:val="00741D7C"/>
    <w:rsid w:val="00741D97"/>
    <w:rsid w:val="00741DA5"/>
    <w:rsid w:val="00741DB9"/>
    <w:rsid w:val="00741DC7"/>
    <w:rsid w:val="00741E71"/>
    <w:rsid w:val="00741EA3"/>
    <w:rsid w:val="00741ED4"/>
    <w:rsid w:val="00741ED8"/>
    <w:rsid w:val="00741EDE"/>
    <w:rsid w:val="00741F4B"/>
    <w:rsid w:val="00741FFF"/>
    <w:rsid w:val="00742048"/>
    <w:rsid w:val="00742057"/>
    <w:rsid w:val="0074208D"/>
    <w:rsid w:val="007420D0"/>
    <w:rsid w:val="007420E8"/>
    <w:rsid w:val="00742127"/>
    <w:rsid w:val="00742144"/>
    <w:rsid w:val="007421C7"/>
    <w:rsid w:val="007421D3"/>
    <w:rsid w:val="007421F0"/>
    <w:rsid w:val="00742209"/>
    <w:rsid w:val="0074224F"/>
    <w:rsid w:val="00742277"/>
    <w:rsid w:val="007422D2"/>
    <w:rsid w:val="007422D3"/>
    <w:rsid w:val="007423A9"/>
    <w:rsid w:val="007423BE"/>
    <w:rsid w:val="0074241E"/>
    <w:rsid w:val="0074243E"/>
    <w:rsid w:val="0074244C"/>
    <w:rsid w:val="0074245C"/>
    <w:rsid w:val="007424B8"/>
    <w:rsid w:val="007424E7"/>
    <w:rsid w:val="0074254D"/>
    <w:rsid w:val="0074255F"/>
    <w:rsid w:val="00742595"/>
    <w:rsid w:val="00742599"/>
    <w:rsid w:val="007425DD"/>
    <w:rsid w:val="0074264E"/>
    <w:rsid w:val="00742677"/>
    <w:rsid w:val="00742683"/>
    <w:rsid w:val="007426B3"/>
    <w:rsid w:val="0074273F"/>
    <w:rsid w:val="00742780"/>
    <w:rsid w:val="007427EA"/>
    <w:rsid w:val="0074280D"/>
    <w:rsid w:val="007428DF"/>
    <w:rsid w:val="0074291A"/>
    <w:rsid w:val="007429CC"/>
    <w:rsid w:val="007429D7"/>
    <w:rsid w:val="007429E1"/>
    <w:rsid w:val="00742A2E"/>
    <w:rsid w:val="00742A3F"/>
    <w:rsid w:val="00742AE3"/>
    <w:rsid w:val="00742AF2"/>
    <w:rsid w:val="00742B09"/>
    <w:rsid w:val="00742B77"/>
    <w:rsid w:val="00742B7E"/>
    <w:rsid w:val="00742B87"/>
    <w:rsid w:val="00742BB2"/>
    <w:rsid w:val="00742BB8"/>
    <w:rsid w:val="00742BD5"/>
    <w:rsid w:val="00742BE7"/>
    <w:rsid w:val="00742BFA"/>
    <w:rsid w:val="00742C40"/>
    <w:rsid w:val="00742C5D"/>
    <w:rsid w:val="00742C84"/>
    <w:rsid w:val="00742CAF"/>
    <w:rsid w:val="00742D30"/>
    <w:rsid w:val="00742D3F"/>
    <w:rsid w:val="00742D66"/>
    <w:rsid w:val="00742D67"/>
    <w:rsid w:val="00742D7B"/>
    <w:rsid w:val="00742DE7"/>
    <w:rsid w:val="00742E09"/>
    <w:rsid w:val="00742E0B"/>
    <w:rsid w:val="00742E5B"/>
    <w:rsid w:val="00742E88"/>
    <w:rsid w:val="00742E8F"/>
    <w:rsid w:val="00742EAF"/>
    <w:rsid w:val="00742F1B"/>
    <w:rsid w:val="00742F35"/>
    <w:rsid w:val="00742F43"/>
    <w:rsid w:val="00742FDE"/>
    <w:rsid w:val="00742FEA"/>
    <w:rsid w:val="00742FEB"/>
    <w:rsid w:val="00742FFB"/>
    <w:rsid w:val="00743004"/>
    <w:rsid w:val="00743026"/>
    <w:rsid w:val="0074303A"/>
    <w:rsid w:val="0074303C"/>
    <w:rsid w:val="007430DD"/>
    <w:rsid w:val="00743143"/>
    <w:rsid w:val="0074316C"/>
    <w:rsid w:val="00743187"/>
    <w:rsid w:val="00743235"/>
    <w:rsid w:val="00743284"/>
    <w:rsid w:val="00743333"/>
    <w:rsid w:val="00743349"/>
    <w:rsid w:val="007433B8"/>
    <w:rsid w:val="007433CE"/>
    <w:rsid w:val="007433E7"/>
    <w:rsid w:val="0074341A"/>
    <w:rsid w:val="00743495"/>
    <w:rsid w:val="007434A7"/>
    <w:rsid w:val="00743524"/>
    <w:rsid w:val="0074355D"/>
    <w:rsid w:val="007435DC"/>
    <w:rsid w:val="007435F4"/>
    <w:rsid w:val="00743647"/>
    <w:rsid w:val="00743664"/>
    <w:rsid w:val="007436CC"/>
    <w:rsid w:val="00743700"/>
    <w:rsid w:val="0074371B"/>
    <w:rsid w:val="0074371C"/>
    <w:rsid w:val="0074376F"/>
    <w:rsid w:val="007437AD"/>
    <w:rsid w:val="007437F9"/>
    <w:rsid w:val="00743801"/>
    <w:rsid w:val="00743804"/>
    <w:rsid w:val="0074380D"/>
    <w:rsid w:val="007438A4"/>
    <w:rsid w:val="007438AE"/>
    <w:rsid w:val="00743902"/>
    <w:rsid w:val="0074390B"/>
    <w:rsid w:val="0074394D"/>
    <w:rsid w:val="00743A15"/>
    <w:rsid w:val="00743AA9"/>
    <w:rsid w:val="00743AB2"/>
    <w:rsid w:val="00743B22"/>
    <w:rsid w:val="00743B34"/>
    <w:rsid w:val="00743B50"/>
    <w:rsid w:val="00743B53"/>
    <w:rsid w:val="00743BB1"/>
    <w:rsid w:val="00743C2D"/>
    <w:rsid w:val="00743C52"/>
    <w:rsid w:val="00743CA4"/>
    <w:rsid w:val="00743D08"/>
    <w:rsid w:val="00743D46"/>
    <w:rsid w:val="00743DB9"/>
    <w:rsid w:val="00743DC4"/>
    <w:rsid w:val="00743DD5"/>
    <w:rsid w:val="00743E46"/>
    <w:rsid w:val="00743E67"/>
    <w:rsid w:val="00743E88"/>
    <w:rsid w:val="00743EA5"/>
    <w:rsid w:val="00743F1F"/>
    <w:rsid w:val="00743F7E"/>
    <w:rsid w:val="00743F84"/>
    <w:rsid w:val="00743F9E"/>
    <w:rsid w:val="00743FBA"/>
    <w:rsid w:val="00743FF7"/>
    <w:rsid w:val="007440A8"/>
    <w:rsid w:val="007440CD"/>
    <w:rsid w:val="007440F3"/>
    <w:rsid w:val="007440FC"/>
    <w:rsid w:val="00744167"/>
    <w:rsid w:val="0074418E"/>
    <w:rsid w:val="00744194"/>
    <w:rsid w:val="007441DE"/>
    <w:rsid w:val="007441E0"/>
    <w:rsid w:val="00744215"/>
    <w:rsid w:val="00744305"/>
    <w:rsid w:val="00744355"/>
    <w:rsid w:val="00744361"/>
    <w:rsid w:val="007443A9"/>
    <w:rsid w:val="0074446D"/>
    <w:rsid w:val="0074446F"/>
    <w:rsid w:val="00744479"/>
    <w:rsid w:val="007444F7"/>
    <w:rsid w:val="00744504"/>
    <w:rsid w:val="00744594"/>
    <w:rsid w:val="007445D0"/>
    <w:rsid w:val="007445E5"/>
    <w:rsid w:val="007445E6"/>
    <w:rsid w:val="00744606"/>
    <w:rsid w:val="0074463D"/>
    <w:rsid w:val="00744660"/>
    <w:rsid w:val="007446A2"/>
    <w:rsid w:val="007446CC"/>
    <w:rsid w:val="007446DC"/>
    <w:rsid w:val="00744700"/>
    <w:rsid w:val="0074470A"/>
    <w:rsid w:val="007447A6"/>
    <w:rsid w:val="007447B3"/>
    <w:rsid w:val="007447C9"/>
    <w:rsid w:val="007447FB"/>
    <w:rsid w:val="00744802"/>
    <w:rsid w:val="0074483C"/>
    <w:rsid w:val="00744866"/>
    <w:rsid w:val="007448A5"/>
    <w:rsid w:val="007448E8"/>
    <w:rsid w:val="007448FB"/>
    <w:rsid w:val="0074490C"/>
    <w:rsid w:val="00744914"/>
    <w:rsid w:val="00744921"/>
    <w:rsid w:val="00744958"/>
    <w:rsid w:val="007449C1"/>
    <w:rsid w:val="00744A90"/>
    <w:rsid w:val="00744B17"/>
    <w:rsid w:val="00744B26"/>
    <w:rsid w:val="00744B57"/>
    <w:rsid w:val="00744B74"/>
    <w:rsid w:val="00744BC7"/>
    <w:rsid w:val="00744C17"/>
    <w:rsid w:val="00744C87"/>
    <w:rsid w:val="00744C92"/>
    <w:rsid w:val="00744CB0"/>
    <w:rsid w:val="00744CFC"/>
    <w:rsid w:val="00744CFF"/>
    <w:rsid w:val="00744D09"/>
    <w:rsid w:val="00744D23"/>
    <w:rsid w:val="00744D31"/>
    <w:rsid w:val="00744D3C"/>
    <w:rsid w:val="00744D50"/>
    <w:rsid w:val="00744D53"/>
    <w:rsid w:val="00744D7F"/>
    <w:rsid w:val="00744D92"/>
    <w:rsid w:val="00744D93"/>
    <w:rsid w:val="00744DB8"/>
    <w:rsid w:val="00744DF0"/>
    <w:rsid w:val="00744E0C"/>
    <w:rsid w:val="00744E24"/>
    <w:rsid w:val="00744E55"/>
    <w:rsid w:val="00744E61"/>
    <w:rsid w:val="00744E9C"/>
    <w:rsid w:val="00744EB2"/>
    <w:rsid w:val="00744EF3"/>
    <w:rsid w:val="00744F43"/>
    <w:rsid w:val="00744F76"/>
    <w:rsid w:val="00744F77"/>
    <w:rsid w:val="00744F81"/>
    <w:rsid w:val="00744F87"/>
    <w:rsid w:val="00744F97"/>
    <w:rsid w:val="00744FAC"/>
    <w:rsid w:val="00745024"/>
    <w:rsid w:val="00745026"/>
    <w:rsid w:val="00745027"/>
    <w:rsid w:val="00745052"/>
    <w:rsid w:val="00745081"/>
    <w:rsid w:val="00745098"/>
    <w:rsid w:val="007450BF"/>
    <w:rsid w:val="007450C7"/>
    <w:rsid w:val="007450D3"/>
    <w:rsid w:val="00745112"/>
    <w:rsid w:val="0074513D"/>
    <w:rsid w:val="007451DD"/>
    <w:rsid w:val="007451F3"/>
    <w:rsid w:val="00745249"/>
    <w:rsid w:val="007452B9"/>
    <w:rsid w:val="007452CA"/>
    <w:rsid w:val="007452D0"/>
    <w:rsid w:val="007453D4"/>
    <w:rsid w:val="007453E6"/>
    <w:rsid w:val="007453F8"/>
    <w:rsid w:val="00745468"/>
    <w:rsid w:val="0074546A"/>
    <w:rsid w:val="0074546B"/>
    <w:rsid w:val="00745522"/>
    <w:rsid w:val="0074552E"/>
    <w:rsid w:val="00745548"/>
    <w:rsid w:val="0074559E"/>
    <w:rsid w:val="0074561A"/>
    <w:rsid w:val="00745665"/>
    <w:rsid w:val="0074572D"/>
    <w:rsid w:val="00745731"/>
    <w:rsid w:val="007457B3"/>
    <w:rsid w:val="007457C7"/>
    <w:rsid w:val="007457CF"/>
    <w:rsid w:val="0074581C"/>
    <w:rsid w:val="007458B0"/>
    <w:rsid w:val="007458BD"/>
    <w:rsid w:val="007458F0"/>
    <w:rsid w:val="007458F6"/>
    <w:rsid w:val="00745910"/>
    <w:rsid w:val="0074595D"/>
    <w:rsid w:val="00745965"/>
    <w:rsid w:val="007459DB"/>
    <w:rsid w:val="00745A1C"/>
    <w:rsid w:val="00745A1E"/>
    <w:rsid w:val="00745A57"/>
    <w:rsid w:val="00745A99"/>
    <w:rsid w:val="00745B00"/>
    <w:rsid w:val="00745B01"/>
    <w:rsid w:val="00745B3A"/>
    <w:rsid w:val="00745B5B"/>
    <w:rsid w:val="00745B70"/>
    <w:rsid w:val="00745BE1"/>
    <w:rsid w:val="00745BFA"/>
    <w:rsid w:val="00745C36"/>
    <w:rsid w:val="00745C61"/>
    <w:rsid w:val="00745D10"/>
    <w:rsid w:val="00745D50"/>
    <w:rsid w:val="00745D72"/>
    <w:rsid w:val="00745D74"/>
    <w:rsid w:val="00745DD2"/>
    <w:rsid w:val="00745E6B"/>
    <w:rsid w:val="00745E72"/>
    <w:rsid w:val="00745E74"/>
    <w:rsid w:val="00745E75"/>
    <w:rsid w:val="00745ED3"/>
    <w:rsid w:val="00745EDD"/>
    <w:rsid w:val="00745EEC"/>
    <w:rsid w:val="00745F24"/>
    <w:rsid w:val="00745F40"/>
    <w:rsid w:val="00745F54"/>
    <w:rsid w:val="00745F6A"/>
    <w:rsid w:val="00745F8E"/>
    <w:rsid w:val="00745F90"/>
    <w:rsid w:val="00745FE8"/>
    <w:rsid w:val="00745FF7"/>
    <w:rsid w:val="0074600D"/>
    <w:rsid w:val="00746011"/>
    <w:rsid w:val="00746012"/>
    <w:rsid w:val="007460AF"/>
    <w:rsid w:val="0074613B"/>
    <w:rsid w:val="00746145"/>
    <w:rsid w:val="007461F5"/>
    <w:rsid w:val="00746251"/>
    <w:rsid w:val="0074629D"/>
    <w:rsid w:val="007462C1"/>
    <w:rsid w:val="007462CC"/>
    <w:rsid w:val="00746315"/>
    <w:rsid w:val="00746331"/>
    <w:rsid w:val="0074637D"/>
    <w:rsid w:val="00746464"/>
    <w:rsid w:val="007464B3"/>
    <w:rsid w:val="007464D7"/>
    <w:rsid w:val="0074651E"/>
    <w:rsid w:val="0074656B"/>
    <w:rsid w:val="007465B2"/>
    <w:rsid w:val="007465C8"/>
    <w:rsid w:val="007465F6"/>
    <w:rsid w:val="00746659"/>
    <w:rsid w:val="0074666E"/>
    <w:rsid w:val="00746773"/>
    <w:rsid w:val="007467AE"/>
    <w:rsid w:val="007467E4"/>
    <w:rsid w:val="00746835"/>
    <w:rsid w:val="00746867"/>
    <w:rsid w:val="00746885"/>
    <w:rsid w:val="007468AB"/>
    <w:rsid w:val="007468C0"/>
    <w:rsid w:val="007468CC"/>
    <w:rsid w:val="00746905"/>
    <w:rsid w:val="00746919"/>
    <w:rsid w:val="0074691C"/>
    <w:rsid w:val="0074693A"/>
    <w:rsid w:val="0074693D"/>
    <w:rsid w:val="00746993"/>
    <w:rsid w:val="007469CF"/>
    <w:rsid w:val="007469E1"/>
    <w:rsid w:val="007469F2"/>
    <w:rsid w:val="00746A7C"/>
    <w:rsid w:val="00746ABE"/>
    <w:rsid w:val="00746B30"/>
    <w:rsid w:val="00746B69"/>
    <w:rsid w:val="00746BF2"/>
    <w:rsid w:val="00746C17"/>
    <w:rsid w:val="00746CD5"/>
    <w:rsid w:val="00746D7A"/>
    <w:rsid w:val="00746D88"/>
    <w:rsid w:val="00746D8E"/>
    <w:rsid w:val="00746DB9"/>
    <w:rsid w:val="00746DCD"/>
    <w:rsid w:val="00746E07"/>
    <w:rsid w:val="00746E14"/>
    <w:rsid w:val="00746E34"/>
    <w:rsid w:val="00746E3F"/>
    <w:rsid w:val="00746E47"/>
    <w:rsid w:val="00746E58"/>
    <w:rsid w:val="00746E62"/>
    <w:rsid w:val="00746ED8"/>
    <w:rsid w:val="00746F0A"/>
    <w:rsid w:val="00746F59"/>
    <w:rsid w:val="00746F71"/>
    <w:rsid w:val="00746FB0"/>
    <w:rsid w:val="00747017"/>
    <w:rsid w:val="00747032"/>
    <w:rsid w:val="00747052"/>
    <w:rsid w:val="0074705E"/>
    <w:rsid w:val="007470A5"/>
    <w:rsid w:val="007470B7"/>
    <w:rsid w:val="007470BA"/>
    <w:rsid w:val="007470C2"/>
    <w:rsid w:val="007470C6"/>
    <w:rsid w:val="00747142"/>
    <w:rsid w:val="007471B9"/>
    <w:rsid w:val="007471ED"/>
    <w:rsid w:val="00747202"/>
    <w:rsid w:val="00747209"/>
    <w:rsid w:val="00747233"/>
    <w:rsid w:val="0074726B"/>
    <w:rsid w:val="007472E9"/>
    <w:rsid w:val="00747323"/>
    <w:rsid w:val="00747343"/>
    <w:rsid w:val="0074735B"/>
    <w:rsid w:val="007473BC"/>
    <w:rsid w:val="007473C8"/>
    <w:rsid w:val="007473D7"/>
    <w:rsid w:val="007473E0"/>
    <w:rsid w:val="007473FF"/>
    <w:rsid w:val="00747422"/>
    <w:rsid w:val="0074743D"/>
    <w:rsid w:val="0074747F"/>
    <w:rsid w:val="0074748A"/>
    <w:rsid w:val="00747491"/>
    <w:rsid w:val="0074749A"/>
    <w:rsid w:val="007474C0"/>
    <w:rsid w:val="007474EA"/>
    <w:rsid w:val="007474FC"/>
    <w:rsid w:val="00747500"/>
    <w:rsid w:val="0074752D"/>
    <w:rsid w:val="00747574"/>
    <w:rsid w:val="0074758B"/>
    <w:rsid w:val="00747619"/>
    <w:rsid w:val="00747685"/>
    <w:rsid w:val="007476F7"/>
    <w:rsid w:val="00747767"/>
    <w:rsid w:val="0074777B"/>
    <w:rsid w:val="007477D9"/>
    <w:rsid w:val="007477E2"/>
    <w:rsid w:val="007478DE"/>
    <w:rsid w:val="00747953"/>
    <w:rsid w:val="007479B5"/>
    <w:rsid w:val="007479E9"/>
    <w:rsid w:val="00747A45"/>
    <w:rsid w:val="00747B1C"/>
    <w:rsid w:val="00747B2D"/>
    <w:rsid w:val="00747B61"/>
    <w:rsid w:val="00747BA6"/>
    <w:rsid w:val="00747C70"/>
    <w:rsid w:val="00747C86"/>
    <w:rsid w:val="00747CDD"/>
    <w:rsid w:val="00747D35"/>
    <w:rsid w:val="00747D7D"/>
    <w:rsid w:val="00747D83"/>
    <w:rsid w:val="00747D91"/>
    <w:rsid w:val="00747DB6"/>
    <w:rsid w:val="00747DF5"/>
    <w:rsid w:val="00747E08"/>
    <w:rsid w:val="00747E30"/>
    <w:rsid w:val="00747F0E"/>
    <w:rsid w:val="00747FC8"/>
    <w:rsid w:val="007500D6"/>
    <w:rsid w:val="00750162"/>
    <w:rsid w:val="00750171"/>
    <w:rsid w:val="00750185"/>
    <w:rsid w:val="007501EE"/>
    <w:rsid w:val="00750277"/>
    <w:rsid w:val="0075027B"/>
    <w:rsid w:val="007502BA"/>
    <w:rsid w:val="007502FE"/>
    <w:rsid w:val="0075031A"/>
    <w:rsid w:val="00750359"/>
    <w:rsid w:val="00750361"/>
    <w:rsid w:val="0075037D"/>
    <w:rsid w:val="007503A5"/>
    <w:rsid w:val="007503D8"/>
    <w:rsid w:val="00750438"/>
    <w:rsid w:val="0075045F"/>
    <w:rsid w:val="00750529"/>
    <w:rsid w:val="00750531"/>
    <w:rsid w:val="00750564"/>
    <w:rsid w:val="00750594"/>
    <w:rsid w:val="007506D9"/>
    <w:rsid w:val="007506EA"/>
    <w:rsid w:val="007506F2"/>
    <w:rsid w:val="007506FD"/>
    <w:rsid w:val="00750701"/>
    <w:rsid w:val="007507BA"/>
    <w:rsid w:val="007507EA"/>
    <w:rsid w:val="00750801"/>
    <w:rsid w:val="0075084C"/>
    <w:rsid w:val="0075086C"/>
    <w:rsid w:val="0075090D"/>
    <w:rsid w:val="0075094C"/>
    <w:rsid w:val="007509B0"/>
    <w:rsid w:val="007509E1"/>
    <w:rsid w:val="007509F2"/>
    <w:rsid w:val="007509F5"/>
    <w:rsid w:val="00750A03"/>
    <w:rsid w:val="00750AD6"/>
    <w:rsid w:val="00750ADC"/>
    <w:rsid w:val="00750AF8"/>
    <w:rsid w:val="00750B06"/>
    <w:rsid w:val="00750B08"/>
    <w:rsid w:val="00750B47"/>
    <w:rsid w:val="00750B67"/>
    <w:rsid w:val="00750B97"/>
    <w:rsid w:val="00750B9F"/>
    <w:rsid w:val="00750C1A"/>
    <w:rsid w:val="00750C28"/>
    <w:rsid w:val="00750C4F"/>
    <w:rsid w:val="00750C6B"/>
    <w:rsid w:val="00750C7E"/>
    <w:rsid w:val="00750D1D"/>
    <w:rsid w:val="00750D68"/>
    <w:rsid w:val="00750DC7"/>
    <w:rsid w:val="00750E07"/>
    <w:rsid w:val="00750E73"/>
    <w:rsid w:val="00750F79"/>
    <w:rsid w:val="00750FA7"/>
    <w:rsid w:val="00750FCB"/>
    <w:rsid w:val="0075102D"/>
    <w:rsid w:val="00751049"/>
    <w:rsid w:val="0075107E"/>
    <w:rsid w:val="00751096"/>
    <w:rsid w:val="007510C9"/>
    <w:rsid w:val="007510DE"/>
    <w:rsid w:val="00751100"/>
    <w:rsid w:val="0075111F"/>
    <w:rsid w:val="0075113D"/>
    <w:rsid w:val="0075117C"/>
    <w:rsid w:val="00751193"/>
    <w:rsid w:val="007511AD"/>
    <w:rsid w:val="0075120D"/>
    <w:rsid w:val="00751244"/>
    <w:rsid w:val="00751245"/>
    <w:rsid w:val="0075124F"/>
    <w:rsid w:val="0075125C"/>
    <w:rsid w:val="007512E5"/>
    <w:rsid w:val="007512EF"/>
    <w:rsid w:val="00751325"/>
    <w:rsid w:val="00751334"/>
    <w:rsid w:val="0075138F"/>
    <w:rsid w:val="0075139E"/>
    <w:rsid w:val="007513BF"/>
    <w:rsid w:val="00751411"/>
    <w:rsid w:val="00751480"/>
    <w:rsid w:val="00751482"/>
    <w:rsid w:val="007514BF"/>
    <w:rsid w:val="007515C4"/>
    <w:rsid w:val="007515DA"/>
    <w:rsid w:val="007515DF"/>
    <w:rsid w:val="00751699"/>
    <w:rsid w:val="007516A1"/>
    <w:rsid w:val="007516BE"/>
    <w:rsid w:val="0075170C"/>
    <w:rsid w:val="00751723"/>
    <w:rsid w:val="00751749"/>
    <w:rsid w:val="00751752"/>
    <w:rsid w:val="0075175B"/>
    <w:rsid w:val="00751797"/>
    <w:rsid w:val="00751865"/>
    <w:rsid w:val="0075187A"/>
    <w:rsid w:val="0075187D"/>
    <w:rsid w:val="0075189C"/>
    <w:rsid w:val="0075197F"/>
    <w:rsid w:val="00751995"/>
    <w:rsid w:val="007519B9"/>
    <w:rsid w:val="007519EA"/>
    <w:rsid w:val="007519FC"/>
    <w:rsid w:val="00751A13"/>
    <w:rsid w:val="00751A3C"/>
    <w:rsid w:val="00751A6D"/>
    <w:rsid w:val="00751AA3"/>
    <w:rsid w:val="00751AB6"/>
    <w:rsid w:val="00751AE7"/>
    <w:rsid w:val="00751B27"/>
    <w:rsid w:val="00751B5C"/>
    <w:rsid w:val="00751B89"/>
    <w:rsid w:val="00751B97"/>
    <w:rsid w:val="00751B98"/>
    <w:rsid w:val="00751BBE"/>
    <w:rsid w:val="00751BF4"/>
    <w:rsid w:val="00751C3C"/>
    <w:rsid w:val="00751C74"/>
    <w:rsid w:val="00751C79"/>
    <w:rsid w:val="00751E09"/>
    <w:rsid w:val="00751E4C"/>
    <w:rsid w:val="00751E68"/>
    <w:rsid w:val="00751E76"/>
    <w:rsid w:val="00751EA4"/>
    <w:rsid w:val="00751EB7"/>
    <w:rsid w:val="00751F33"/>
    <w:rsid w:val="00751F87"/>
    <w:rsid w:val="00751F9A"/>
    <w:rsid w:val="00751FA4"/>
    <w:rsid w:val="00751FA8"/>
    <w:rsid w:val="00751FC5"/>
    <w:rsid w:val="0075202D"/>
    <w:rsid w:val="0075208B"/>
    <w:rsid w:val="00752096"/>
    <w:rsid w:val="007520A0"/>
    <w:rsid w:val="00752157"/>
    <w:rsid w:val="0075216B"/>
    <w:rsid w:val="007521CC"/>
    <w:rsid w:val="007521D9"/>
    <w:rsid w:val="00752206"/>
    <w:rsid w:val="00752295"/>
    <w:rsid w:val="007522C8"/>
    <w:rsid w:val="007522DE"/>
    <w:rsid w:val="00752312"/>
    <w:rsid w:val="00752323"/>
    <w:rsid w:val="0075234E"/>
    <w:rsid w:val="00752387"/>
    <w:rsid w:val="007523A3"/>
    <w:rsid w:val="007523D1"/>
    <w:rsid w:val="007523EE"/>
    <w:rsid w:val="00752442"/>
    <w:rsid w:val="0075247E"/>
    <w:rsid w:val="007524C7"/>
    <w:rsid w:val="007524EE"/>
    <w:rsid w:val="007524FA"/>
    <w:rsid w:val="0075250D"/>
    <w:rsid w:val="00752518"/>
    <w:rsid w:val="00752532"/>
    <w:rsid w:val="00752585"/>
    <w:rsid w:val="007525EF"/>
    <w:rsid w:val="0075264D"/>
    <w:rsid w:val="0075267E"/>
    <w:rsid w:val="007526A3"/>
    <w:rsid w:val="007526DE"/>
    <w:rsid w:val="007526E7"/>
    <w:rsid w:val="00752719"/>
    <w:rsid w:val="007527B1"/>
    <w:rsid w:val="0075280A"/>
    <w:rsid w:val="00752818"/>
    <w:rsid w:val="00752838"/>
    <w:rsid w:val="0075283E"/>
    <w:rsid w:val="00752868"/>
    <w:rsid w:val="007528B6"/>
    <w:rsid w:val="007528F4"/>
    <w:rsid w:val="0075293E"/>
    <w:rsid w:val="00752949"/>
    <w:rsid w:val="007529A0"/>
    <w:rsid w:val="007529DB"/>
    <w:rsid w:val="00752A15"/>
    <w:rsid w:val="00752A1F"/>
    <w:rsid w:val="00752A2C"/>
    <w:rsid w:val="00752A50"/>
    <w:rsid w:val="00752A5B"/>
    <w:rsid w:val="00752A74"/>
    <w:rsid w:val="00752A8E"/>
    <w:rsid w:val="00752AC2"/>
    <w:rsid w:val="00752AED"/>
    <w:rsid w:val="00752B73"/>
    <w:rsid w:val="00752BA1"/>
    <w:rsid w:val="00752BB3"/>
    <w:rsid w:val="00752BBF"/>
    <w:rsid w:val="00752C20"/>
    <w:rsid w:val="00752C4F"/>
    <w:rsid w:val="00752C90"/>
    <w:rsid w:val="00752C9E"/>
    <w:rsid w:val="00752D39"/>
    <w:rsid w:val="00752D54"/>
    <w:rsid w:val="00752D6F"/>
    <w:rsid w:val="00752D78"/>
    <w:rsid w:val="00752D98"/>
    <w:rsid w:val="00752DF0"/>
    <w:rsid w:val="00752E15"/>
    <w:rsid w:val="00752E6F"/>
    <w:rsid w:val="00752ED4"/>
    <w:rsid w:val="00752EF5"/>
    <w:rsid w:val="00752F09"/>
    <w:rsid w:val="00752F15"/>
    <w:rsid w:val="00752F4F"/>
    <w:rsid w:val="00752F8A"/>
    <w:rsid w:val="0075306C"/>
    <w:rsid w:val="00753072"/>
    <w:rsid w:val="00753146"/>
    <w:rsid w:val="007531B2"/>
    <w:rsid w:val="00753281"/>
    <w:rsid w:val="007532EE"/>
    <w:rsid w:val="00753383"/>
    <w:rsid w:val="0075338F"/>
    <w:rsid w:val="007533B1"/>
    <w:rsid w:val="00753420"/>
    <w:rsid w:val="0075347D"/>
    <w:rsid w:val="00753481"/>
    <w:rsid w:val="007534ED"/>
    <w:rsid w:val="00753565"/>
    <w:rsid w:val="00753671"/>
    <w:rsid w:val="00753675"/>
    <w:rsid w:val="0075368B"/>
    <w:rsid w:val="007536D9"/>
    <w:rsid w:val="007536EF"/>
    <w:rsid w:val="0075375B"/>
    <w:rsid w:val="00753773"/>
    <w:rsid w:val="0075377D"/>
    <w:rsid w:val="007537A2"/>
    <w:rsid w:val="007537E5"/>
    <w:rsid w:val="007537EE"/>
    <w:rsid w:val="00753847"/>
    <w:rsid w:val="0075384D"/>
    <w:rsid w:val="00753889"/>
    <w:rsid w:val="00753949"/>
    <w:rsid w:val="0075394C"/>
    <w:rsid w:val="00753959"/>
    <w:rsid w:val="007539A7"/>
    <w:rsid w:val="007539E2"/>
    <w:rsid w:val="00753A31"/>
    <w:rsid w:val="00753A99"/>
    <w:rsid w:val="00753B10"/>
    <w:rsid w:val="00753B33"/>
    <w:rsid w:val="00753B50"/>
    <w:rsid w:val="00753B64"/>
    <w:rsid w:val="00753B6B"/>
    <w:rsid w:val="00753BDD"/>
    <w:rsid w:val="00753BE9"/>
    <w:rsid w:val="00753BEA"/>
    <w:rsid w:val="00753C07"/>
    <w:rsid w:val="00753C10"/>
    <w:rsid w:val="00753C1F"/>
    <w:rsid w:val="00753C46"/>
    <w:rsid w:val="00753C7C"/>
    <w:rsid w:val="00753C87"/>
    <w:rsid w:val="00753C93"/>
    <w:rsid w:val="00753D95"/>
    <w:rsid w:val="00753DAF"/>
    <w:rsid w:val="00753DF7"/>
    <w:rsid w:val="00753E9A"/>
    <w:rsid w:val="00753EA9"/>
    <w:rsid w:val="00753F0C"/>
    <w:rsid w:val="00753F47"/>
    <w:rsid w:val="00753F5B"/>
    <w:rsid w:val="00753FBC"/>
    <w:rsid w:val="00753FC1"/>
    <w:rsid w:val="00754006"/>
    <w:rsid w:val="0075402C"/>
    <w:rsid w:val="0075403D"/>
    <w:rsid w:val="0075405A"/>
    <w:rsid w:val="007540B9"/>
    <w:rsid w:val="007540D3"/>
    <w:rsid w:val="007540DC"/>
    <w:rsid w:val="007540E7"/>
    <w:rsid w:val="00754112"/>
    <w:rsid w:val="00754137"/>
    <w:rsid w:val="00754143"/>
    <w:rsid w:val="00754175"/>
    <w:rsid w:val="007541C4"/>
    <w:rsid w:val="00754202"/>
    <w:rsid w:val="0075420C"/>
    <w:rsid w:val="00754229"/>
    <w:rsid w:val="0075423E"/>
    <w:rsid w:val="0075428D"/>
    <w:rsid w:val="007542D5"/>
    <w:rsid w:val="007542F4"/>
    <w:rsid w:val="007542F6"/>
    <w:rsid w:val="00754302"/>
    <w:rsid w:val="0075434E"/>
    <w:rsid w:val="00754350"/>
    <w:rsid w:val="00754361"/>
    <w:rsid w:val="00754372"/>
    <w:rsid w:val="007543A0"/>
    <w:rsid w:val="007543B0"/>
    <w:rsid w:val="007543B5"/>
    <w:rsid w:val="007544AC"/>
    <w:rsid w:val="007544C3"/>
    <w:rsid w:val="007544D3"/>
    <w:rsid w:val="007544EF"/>
    <w:rsid w:val="00754512"/>
    <w:rsid w:val="00754583"/>
    <w:rsid w:val="0075459C"/>
    <w:rsid w:val="007545A0"/>
    <w:rsid w:val="007545B7"/>
    <w:rsid w:val="007545C2"/>
    <w:rsid w:val="007545F1"/>
    <w:rsid w:val="00754653"/>
    <w:rsid w:val="00754677"/>
    <w:rsid w:val="007546B4"/>
    <w:rsid w:val="007546B5"/>
    <w:rsid w:val="007546EA"/>
    <w:rsid w:val="007546EB"/>
    <w:rsid w:val="00754775"/>
    <w:rsid w:val="007547AE"/>
    <w:rsid w:val="007547B2"/>
    <w:rsid w:val="007547D8"/>
    <w:rsid w:val="007547E0"/>
    <w:rsid w:val="00754815"/>
    <w:rsid w:val="00754860"/>
    <w:rsid w:val="00754861"/>
    <w:rsid w:val="0075487B"/>
    <w:rsid w:val="007548A0"/>
    <w:rsid w:val="007548AF"/>
    <w:rsid w:val="007548E3"/>
    <w:rsid w:val="00754904"/>
    <w:rsid w:val="00754917"/>
    <w:rsid w:val="0075494C"/>
    <w:rsid w:val="00754981"/>
    <w:rsid w:val="00754A4B"/>
    <w:rsid w:val="00754A6F"/>
    <w:rsid w:val="00754A8F"/>
    <w:rsid w:val="00754A93"/>
    <w:rsid w:val="00754B0E"/>
    <w:rsid w:val="00754B5A"/>
    <w:rsid w:val="00754B7A"/>
    <w:rsid w:val="00754BA1"/>
    <w:rsid w:val="00754BD6"/>
    <w:rsid w:val="00754BF1"/>
    <w:rsid w:val="00754C59"/>
    <w:rsid w:val="00754C67"/>
    <w:rsid w:val="00754C9D"/>
    <w:rsid w:val="00754CA2"/>
    <w:rsid w:val="00754CFA"/>
    <w:rsid w:val="00754CFE"/>
    <w:rsid w:val="00754D06"/>
    <w:rsid w:val="00754D5F"/>
    <w:rsid w:val="00754D7C"/>
    <w:rsid w:val="00754E13"/>
    <w:rsid w:val="00754E2A"/>
    <w:rsid w:val="00754E8A"/>
    <w:rsid w:val="00754F3B"/>
    <w:rsid w:val="00754F61"/>
    <w:rsid w:val="00754F6C"/>
    <w:rsid w:val="00754F97"/>
    <w:rsid w:val="00754FD6"/>
    <w:rsid w:val="0075516C"/>
    <w:rsid w:val="0075523A"/>
    <w:rsid w:val="0075525F"/>
    <w:rsid w:val="0075529E"/>
    <w:rsid w:val="007552B3"/>
    <w:rsid w:val="007552B5"/>
    <w:rsid w:val="007552BB"/>
    <w:rsid w:val="007552E8"/>
    <w:rsid w:val="007552F9"/>
    <w:rsid w:val="00755307"/>
    <w:rsid w:val="007553F5"/>
    <w:rsid w:val="007553FD"/>
    <w:rsid w:val="00755407"/>
    <w:rsid w:val="00755478"/>
    <w:rsid w:val="007554AC"/>
    <w:rsid w:val="00755530"/>
    <w:rsid w:val="0075553E"/>
    <w:rsid w:val="0075554D"/>
    <w:rsid w:val="00755553"/>
    <w:rsid w:val="00755563"/>
    <w:rsid w:val="007555B9"/>
    <w:rsid w:val="007555BC"/>
    <w:rsid w:val="00755680"/>
    <w:rsid w:val="00755693"/>
    <w:rsid w:val="007556E2"/>
    <w:rsid w:val="00755762"/>
    <w:rsid w:val="00755784"/>
    <w:rsid w:val="007557B2"/>
    <w:rsid w:val="007557D3"/>
    <w:rsid w:val="00755868"/>
    <w:rsid w:val="00755875"/>
    <w:rsid w:val="0075590E"/>
    <w:rsid w:val="00755911"/>
    <w:rsid w:val="00755963"/>
    <w:rsid w:val="007559C6"/>
    <w:rsid w:val="007559D2"/>
    <w:rsid w:val="007559FF"/>
    <w:rsid w:val="00755A5D"/>
    <w:rsid w:val="00755A88"/>
    <w:rsid w:val="00755ACA"/>
    <w:rsid w:val="00755AF8"/>
    <w:rsid w:val="00755B13"/>
    <w:rsid w:val="00755BBC"/>
    <w:rsid w:val="00755BFC"/>
    <w:rsid w:val="00755C26"/>
    <w:rsid w:val="00755C28"/>
    <w:rsid w:val="00755C62"/>
    <w:rsid w:val="00755C69"/>
    <w:rsid w:val="00755CF3"/>
    <w:rsid w:val="00755D5E"/>
    <w:rsid w:val="00755D76"/>
    <w:rsid w:val="00755D94"/>
    <w:rsid w:val="00755DBB"/>
    <w:rsid w:val="00755DDC"/>
    <w:rsid w:val="00755EFF"/>
    <w:rsid w:val="00755F0A"/>
    <w:rsid w:val="00755F2F"/>
    <w:rsid w:val="00755F4B"/>
    <w:rsid w:val="00755FBB"/>
    <w:rsid w:val="00755FE5"/>
    <w:rsid w:val="00756017"/>
    <w:rsid w:val="00756028"/>
    <w:rsid w:val="00756037"/>
    <w:rsid w:val="00756038"/>
    <w:rsid w:val="0075604C"/>
    <w:rsid w:val="0075607C"/>
    <w:rsid w:val="007560FC"/>
    <w:rsid w:val="00756100"/>
    <w:rsid w:val="00756122"/>
    <w:rsid w:val="007561CA"/>
    <w:rsid w:val="007561F7"/>
    <w:rsid w:val="0075621E"/>
    <w:rsid w:val="0075627F"/>
    <w:rsid w:val="007562D0"/>
    <w:rsid w:val="00756315"/>
    <w:rsid w:val="00756385"/>
    <w:rsid w:val="0075638F"/>
    <w:rsid w:val="007563AE"/>
    <w:rsid w:val="007563B4"/>
    <w:rsid w:val="007563C7"/>
    <w:rsid w:val="007563E1"/>
    <w:rsid w:val="00756404"/>
    <w:rsid w:val="0075640F"/>
    <w:rsid w:val="00756410"/>
    <w:rsid w:val="0075642C"/>
    <w:rsid w:val="00756483"/>
    <w:rsid w:val="0075651A"/>
    <w:rsid w:val="00756547"/>
    <w:rsid w:val="00756588"/>
    <w:rsid w:val="0075658F"/>
    <w:rsid w:val="007565A0"/>
    <w:rsid w:val="007565C2"/>
    <w:rsid w:val="007565D4"/>
    <w:rsid w:val="00756651"/>
    <w:rsid w:val="0075665D"/>
    <w:rsid w:val="00756660"/>
    <w:rsid w:val="00756674"/>
    <w:rsid w:val="00756676"/>
    <w:rsid w:val="007566AD"/>
    <w:rsid w:val="00756760"/>
    <w:rsid w:val="00756768"/>
    <w:rsid w:val="0075676E"/>
    <w:rsid w:val="00756781"/>
    <w:rsid w:val="007568AE"/>
    <w:rsid w:val="007568B6"/>
    <w:rsid w:val="00756907"/>
    <w:rsid w:val="00756919"/>
    <w:rsid w:val="0075698F"/>
    <w:rsid w:val="00756A13"/>
    <w:rsid w:val="00756AE1"/>
    <w:rsid w:val="00756B1A"/>
    <w:rsid w:val="00756B35"/>
    <w:rsid w:val="00756B55"/>
    <w:rsid w:val="00756C76"/>
    <w:rsid w:val="00756CCC"/>
    <w:rsid w:val="00756D22"/>
    <w:rsid w:val="00756D41"/>
    <w:rsid w:val="00756D43"/>
    <w:rsid w:val="00756D6C"/>
    <w:rsid w:val="00756D6D"/>
    <w:rsid w:val="00756D99"/>
    <w:rsid w:val="00756DAA"/>
    <w:rsid w:val="00756DF0"/>
    <w:rsid w:val="00756E16"/>
    <w:rsid w:val="00756EED"/>
    <w:rsid w:val="00756EF6"/>
    <w:rsid w:val="00756F44"/>
    <w:rsid w:val="00756F4E"/>
    <w:rsid w:val="00756FA2"/>
    <w:rsid w:val="00756FAA"/>
    <w:rsid w:val="00756FCB"/>
    <w:rsid w:val="00757005"/>
    <w:rsid w:val="00757024"/>
    <w:rsid w:val="0075702B"/>
    <w:rsid w:val="00757051"/>
    <w:rsid w:val="007570B7"/>
    <w:rsid w:val="007570D2"/>
    <w:rsid w:val="00757109"/>
    <w:rsid w:val="00757122"/>
    <w:rsid w:val="0075716B"/>
    <w:rsid w:val="00757195"/>
    <w:rsid w:val="007571A6"/>
    <w:rsid w:val="007571D2"/>
    <w:rsid w:val="007571D7"/>
    <w:rsid w:val="0075728D"/>
    <w:rsid w:val="007572C4"/>
    <w:rsid w:val="007573B2"/>
    <w:rsid w:val="007573E5"/>
    <w:rsid w:val="00757478"/>
    <w:rsid w:val="00757480"/>
    <w:rsid w:val="007574CE"/>
    <w:rsid w:val="0075751B"/>
    <w:rsid w:val="0075755A"/>
    <w:rsid w:val="00757602"/>
    <w:rsid w:val="0075762D"/>
    <w:rsid w:val="0075766A"/>
    <w:rsid w:val="00757736"/>
    <w:rsid w:val="00757757"/>
    <w:rsid w:val="0075777E"/>
    <w:rsid w:val="007577A2"/>
    <w:rsid w:val="007577F0"/>
    <w:rsid w:val="00757830"/>
    <w:rsid w:val="00757844"/>
    <w:rsid w:val="00757889"/>
    <w:rsid w:val="007578A8"/>
    <w:rsid w:val="007578AB"/>
    <w:rsid w:val="007578F7"/>
    <w:rsid w:val="0075794A"/>
    <w:rsid w:val="00757952"/>
    <w:rsid w:val="00757971"/>
    <w:rsid w:val="00757987"/>
    <w:rsid w:val="007579B6"/>
    <w:rsid w:val="00757A04"/>
    <w:rsid w:val="00757A0C"/>
    <w:rsid w:val="00757A23"/>
    <w:rsid w:val="00757A82"/>
    <w:rsid w:val="00757A95"/>
    <w:rsid w:val="00757AA5"/>
    <w:rsid w:val="00757AAE"/>
    <w:rsid w:val="00757ADA"/>
    <w:rsid w:val="00757B5F"/>
    <w:rsid w:val="00757B76"/>
    <w:rsid w:val="00757BC2"/>
    <w:rsid w:val="00757BE6"/>
    <w:rsid w:val="00757BE8"/>
    <w:rsid w:val="00757BED"/>
    <w:rsid w:val="00757C40"/>
    <w:rsid w:val="00757C45"/>
    <w:rsid w:val="00757D69"/>
    <w:rsid w:val="00757DAD"/>
    <w:rsid w:val="00757DAF"/>
    <w:rsid w:val="00757DD8"/>
    <w:rsid w:val="00757DE3"/>
    <w:rsid w:val="00757E06"/>
    <w:rsid w:val="00757E1B"/>
    <w:rsid w:val="00757E24"/>
    <w:rsid w:val="00757E3A"/>
    <w:rsid w:val="00757E54"/>
    <w:rsid w:val="00757E59"/>
    <w:rsid w:val="00757EBD"/>
    <w:rsid w:val="00757EEC"/>
    <w:rsid w:val="00757F64"/>
    <w:rsid w:val="00757F7D"/>
    <w:rsid w:val="00757FBF"/>
    <w:rsid w:val="00757FD0"/>
    <w:rsid w:val="00760014"/>
    <w:rsid w:val="0076001E"/>
    <w:rsid w:val="007600DB"/>
    <w:rsid w:val="007600F8"/>
    <w:rsid w:val="00760120"/>
    <w:rsid w:val="0076015B"/>
    <w:rsid w:val="0076018D"/>
    <w:rsid w:val="007601B8"/>
    <w:rsid w:val="007601C6"/>
    <w:rsid w:val="007601E0"/>
    <w:rsid w:val="007601E2"/>
    <w:rsid w:val="007601E3"/>
    <w:rsid w:val="007601FF"/>
    <w:rsid w:val="00760265"/>
    <w:rsid w:val="00760293"/>
    <w:rsid w:val="00760296"/>
    <w:rsid w:val="007602EC"/>
    <w:rsid w:val="007602FC"/>
    <w:rsid w:val="0076033E"/>
    <w:rsid w:val="0076036E"/>
    <w:rsid w:val="00760386"/>
    <w:rsid w:val="007603D6"/>
    <w:rsid w:val="00760451"/>
    <w:rsid w:val="0076045E"/>
    <w:rsid w:val="0076047A"/>
    <w:rsid w:val="00760485"/>
    <w:rsid w:val="007604B7"/>
    <w:rsid w:val="00760521"/>
    <w:rsid w:val="00760553"/>
    <w:rsid w:val="007605C2"/>
    <w:rsid w:val="007605CC"/>
    <w:rsid w:val="00760608"/>
    <w:rsid w:val="00760644"/>
    <w:rsid w:val="007606C3"/>
    <w:rsid w:val="007606C8"/>
    <w:rsid w:val="007606FB"/>
    <w:rsid w:val="00760727"/>
    <w:rsid w:val="00760732"/>
    <w:rsid w:val="00760760"/>
    <w:rsid w:val="0076078E"/>
    <w:rsid w:val="007607F3"/>
    <w:rsid w:val="007607F4"/>
    <w:rsid w:val="00760810"/>
    <w:rsid w:val="00760824"/>
    <w:rsid w:val="00760850"/>
    <w:rsid w:val="00760867"/>
    <w:rsid w:val="0076090E"/>
    <w:rsid w:val="00760924"/>
    <w:rsid w:val="00760989"/>
    <w:rsid w:val="0076099D"/>
    <w:rsid w:val="00760A0E"/>
    <w:rsid w:val="00760A65"/>
    <w:rsid w:val="00760A7C"/>
    <w:rsid w:val="00760A9C"/>
    <w:rsid w:val="00760AFC"/>
    <w:rsid w:val="00760B1A"/>
    <w:rsid w:val="00760B1D"/>
    <w:rsid w:val="00760BA8"/>
    <w:rsid w:val="00760C0B"/>
    <w:rsid w:val="00760C27"/>
    <w:rsid w:val="00760C2E"/>
    <w:rsid w:val="00760C52"/>
    <w:rsid w:val="00760D4F"/>
    <w:rsid w:val="00760D6B"/>
    <w:rsid w:val="00760DE8"/>
    <w:rsid w:val="00760E13"/>
    <w:rsid w:val="00760F59"/>
    <w:rsid w:val="00760F67"/>
    <w:rsid w:val="00760FE1"/>
    <w:rsid w:val="00760FE4"/>
    <w:rsid w:val="007610F6"/>
    <w:rsid w:val="00761119"/>
    <w:rsid w:val="0076118C"/>
    <w:rsid w:val="007611E4"/>
    <w:rsid w:val="00761206"/>
    <w:rsid w:val="00761215"/>
    <w:rsid w:val="00761250"/>
    <w:rsid w:val="00761264"/>
    <w:rsid w:val="00761279"/>
    <w:rsid w:val="0076128D"/>
    <w:rsid w:val="007612C0"/>
    <w:rsid w:val="00761323"/>
    <w:rsid w:val="0076133C"/>
    <w:rsid w:val="00761364"/>
    <w:rsid w:val="0076141D"/>
    <w:rsid w:val="00761435"/>
    <w:rsid w:val="00761529"/>
    <w:rsid w:val="0076153C"/>
    <w:rsid w:val="0076153D"/>
    <w:rsid w:val="0076156D"/>
    <w:rsid w:val="00761598"/>
    <w:rsid w:val="007615D6"/>
    <w:rsid w:val="0076162E"/>
    <w:rsid w:val="0076168D"/>
    <w:rsid w:val="007616C9"/>
    <w:rsid w:val="00761728"/>
    <w:rsid w:val="00761747"/>
    <w:rsid w:val="007617AF"/>
    <w:rsid w:val="007617D6"/>
    <w:rsid w:val="007617D8"/>
    <w:rsid w:val="00761832"/>
    <w:rsid w:val="0076183F"/>
    <w:rsid w:val="0076186B"/>
    <w:rsid w:val="007618BC"/>
    <w:rsid w:val="007618E8"/>
    <w:rsid w:val="0076190C"/>
    <w:rsid w:val="0076192F"/>
    <w:rsid w:val="00761959"/>
    <w:rsid w:val="00761964"/>
    <w:rsid w:val="007619AE"/>
    <w:rsid w:val="007619D8"/>
    <w:rsid w:val="007619E4"/>
    <w:rsid w:val="00761A20"/>
    <w:rsid w:val="00761B03"/>
    <w:rsid w:val="00761B58"/>
    <w:rsid w:val="00761B6F"/>
    <w:rsid w:val="00761BD8"/>
    <w:rsid w:val="00761BF9"/>
    <w:rsid w:val="00761BFB"/>
    <w:rsid w:val="00761C1E"/>
    <w:rsid w:val="00761C61"/>
    <w:rsid w:val="00761C6C"/>
    <w:rsid w:val="00761D2E"/>
    <w:rsid w:val="00761D74"/>
    <w:rsid w:val="00761DAC"/>
    <w:rsid w:val="00761DEF"/>
    <w:rsid w:val="00761E2F"/>
    <w:rsid w:val="00761E60"/>
    <w:rsid w:val="00761E64"/>
    <w:rsid w:val="00761E96"/>
    <w:rsid w:val="00761EB6"/>
    <w:rsid w:val="00761F45"/>
    <w:rsid w:val="00761F46"/>
    <w:rsid w:val="00761F73"/>
    <w:rsid w:val="00761F7F"/>
    <w:rsid w:val="00761F8D"/>
    <w:rsid w:val="00761F95"/>
    <w:rsid w:val="00761F96"/>
    <w:rsid w:val="00761FC6"/>
    <w:rsid w:val="00761FD2"/>
    <w:rsid w:val="00761FF2"/>
    <w:rsid w:val="0076200C"/>
    <w:rsid w:val="007620EF"/>
    <w:rsid w:val="00762133"/>
    <w:rsid w:val="00762136"/>
    <w:rsid w:val="00762139"/>
    <w:rsid w:val="00762162"/>
    <w:rsid w:val="0076216E"/>
    <w:rsid w:val="00762182"/>
    <w:rsid w:val="00762254"/>
    <w:rsid w:val="007622BE"/>
    <w:rsid w:val="0076239B"/>
    <w:rsid w:val="007623CB"/>
    <w:rsid w:val="00762453"/>
    <w:rsid w:val="0076245C"/>
    <w:rsid w:val="00762488"/>
    <w:rsid w:val="00762535"/>
    <w:rsid w:val="00762599"/>
    <w:rsid w:val="007625AC"/>
    <w:rsid w:val="007625B3"/>
    <w:rsid w:val="007625FF"/>
    <w:rsid w:val="0076263A"/>
    <w:rsid w:val="0076269C"/>
    <w:rsid w:val="007626AA"/>
    <w:rsid w:val="007626AE"/>
    <w:rsid w:val="007627DD"/>
    <w:rsid w:val="007627F2"/>
    <w:rsid w:val="007627FE"/>
    <w:rsid w:val="00762858"/>
    <w:rsid w:val="007628C3"/>
    <w:rsid w:val="007628E0"/>
    <w:rsid w:val="007628E4"/>
    <w:rsid w:val="00762914"/>
    <w:rsid w:val="00762942"/>
    <w:rsid w:val="0076298D"/>
    <w:rsid w:val="00762997"/>
    <w:rsid w:val="007629CD"/>
    <w:rsid w:val="00762A02"/>
    <w:rsid w:val="00762A03"/>
    <w:rsid w:val="00762A87"/>
    <w:rsid w:val="00762B22"/>
    <w:rsid w:val="00762B29"/>
    <w:rsid w:val="00762B4C"/>
    <w:rsid w:val="00762BA6"/>
    <w:rsid w:val="00762BAA"/>
    <w:rsid w:val="00762BDE"/>
    <w:rsid w:val="00762C4D"/>
    <w:rsid w:val="00762C68"/>
    <w:rsid w:val="00762C69"/>
    <w:rsid w:val="00762D76"/>
    <w:rsid w:val="00762DA3"/>
    <w:rsid w:val="00762DAF"/>
    <w:rsid w:val="00762DF0"/>
    <w:rsid w:val="00762DF9"/>
    <w:rsid w:val="00762E08"/>
    <w:rsid w:val="00762E48"/>
    <w:rsid w:val="00762E81"/>
    <w:rsid w:val="00762E90"/>
    <w:rsid w:val="00762EC4"/>
    <w:rsid w:val="00762EC5"/>
    <w:rsid w:val="00762F1B"/>
    <w:rsid w:val="00762F76"/>
    <w:rsid w:val="00762FA8"/>
    <w:rsid w:val="00762FBF"/>
    <w:rsid w:val="00762FD0"/>
    <w:rsid w:val="00763056"/>
    <w:rsid w:val="00763090"/>
    <w:rsid w:val="00763099"/>
    <w:rsid w:val="00763129"/>
    <w:rsid w:val="00763168"/>
    <w:rsid w:val="0076319E"/>
    <w:rsid w:val="007631D0"/>
    <w:rsid w:val="00763200"/>
    <w:rsid w:val="00763277"/>
    <w:rsid w:val="0076333B"/>
    <w:rsid w:val="00763375"/>
    <w:rsid w:val="0076340C"/>
    <w:rsid w:val="00763427"/>
    <w:rsid w:val="0076342D"/>
    <w:rsid w:val="00763437"/>
    <w:rsid w:val="007634A9"/>
    <w:rsid w:val="007634BF"/>
    <w:rsid w:val="00763500"/>
    <w:rsid w:val="0076350D"/>
    <w:rsid w:val="00763528"/>
    <w:rsid w:val="00763538"/>
    <w:rsid w:val="0076354F"/>
    <w:rsid w:val="0076355D"/>
    <w:rsid w:val="00763572"/>
    <w:rsid w:val="00763573"/>
    <w:rsid w:val="00763587"/>
    <w:rsid w:val="007635A9"/>
    <w:rsid w:val="007635AE"/>
    <w:rsid w:val="007635B3"/>
    <w:rsid w:val="007635CA"/>
    <w:rsid w:val="007635D4"/>
    <w:rsid w:val="007635DA"/>
    <w:rsid w:val="007635DB"/>
    <w:rsid w:val="007635F1"/>
    <w:rsid w:val="007635FA"/>
    <w:rsid w:val="00763638"/>
    <w:rsid w:val="0076369C"/>
    <w:rsid w:val="007636A6"/>
    <w:rsid w:val="0076373D"/>
    <w:rsid w:val="007637C6"/>
    <w:rsid w:val="007637F7"/>
    <w:rsid w:val="0076383A"/>
    <w:rsid w:val="0076386A"/>
    <w:rsid w:val="0076388D"/>
    <w:rsid w:val="00763892"/>
    <w:rsid w:val="00763899"/>
    <w:rsid w:val="007638FA"/>
    <w:rsid w:val="007639A6"/>
    <w:rsid w:val="007639AE"/>
    <w:rsid w:val="007639E2"/>
    <w:rsid w:val="007639F2"/>
    <w:rsid w:val="007639F8"/>
    <w:rsid w:val="00763A09"/>
    <w:rsid w:val="00763A25"/>
    <w:rsid w:val="00763A63"/>
    <w:rsid w:val="00763A7A"/>
    <w:rsid w:val="00763AA1"/>
    <w:rsid w:val="00763ABA"/>
    <w:rsid w:val="00763AF0"/>
    <w:rsid w:val="00763B05"/>
    <w:rsid w:val="00763B87"/>
    <w:rsid w:val="00763C0B"/>
    <w:rsid w:val="00763C20"/>
    <w:rsid w:val="00763C27"/>
    <w:rsid w:val="00763C33"/>
    <w:rsid w:val="00763C71"/>
    <w:rsid w:val="00763CC6"/>
    <w:rsid w:val="00763CE9"/>
    <w:rsid w:val="00763D09"/>
    <w:rsid w:val="00763D64"/>
    <w:rsid w:val="00763D8A"/>
    <w:rsid w:val="00763DE4"/>
    <w:rsid w:val="00763DF1"/>
    <w:rsid w:val="00763E2B"/>
    <w:rsid w:val="00763E4A"/>
    <w:rsid w:val="00763E6A"/>
    <w:rsid w:val="00763E85"/>
    <w:rsid w:val="00763E99"/>
    <w:rsid w:val="00763F09"/>
    <w:rsid w:val="00763F15"/>
    <w:rsid w:val="00763F21"/>
    <w:rsid w:val="00763F7C"/>
    <w:rsid w:val="00763FD9"/>
    <w:rsid w:val="00763FE4"/>
    <w:rsid w:val="00763FF6"/>
    <w:rsid w:val="0076409D"/>
    <w:rsid w:val="007640BB"/>
    <w:rsid w:val="007640E8"/>
    <w:rsid w:val="007641A0"/>
    <w:rsid w:val="007641CB"/>
    <w:rsid w:val="00764283"/>
    <w:rsid w:val="007642A2"/>
    <w:rsid w:val="007642A9"/>
    <w:rsid w:val="007642AB"/>
    <w:rsid w:val="007642C6"/>
    <w:rsid w:val="007642E3"/>
    <w:rsid w:val="0076431E"/>
    <w:rsid w:val="0076435B"/>
    <w:rsid w:val="007643B9"/>
    <w:rsid w:val="007643E4"/>
    <w:rsid w:val="0076443D"/>
    <w:rsid w:val="00764476"/>
    <w:rsid w:val="0076458B"/>
    <w:rsid w:val="0076459A"/>
    <w:rsid w:val="007645B3"/>
    <w:rsid w:val="007645F1"/>
    <w:rsid w:val="007646CC"/>
    <w:rsid w:val="0076474F"/>
    <w:rsid w:val="00764775"/>
    <w:rsid w:val="007647A6"/>
    <w:rsid w:val="007647F1"/>
    <w:rsid w:val="00764851"/>
    <w:rsid w:val="007648CD"/>
    <w:rsid w:val="007649A4"/>
    <w:rsid w:val="007649B5"/>
    <w:rsid w:val="007649F6"/>
    <w:rsid w:val="00764A18"/>
    <w:rsid w:val="00764A9E"/>
    <w:rsid w:val="00764ACC"/>
    <w:rsid w:val="00764AF3"/>
    <w:rsid w:val="00764B49"/>
    <w:rsid w:val="00764B64"/>
    <w:rsid w:val="00764B7D"/>
    <w:rsid w:val="00764C4E"/>
    <w:rsid w:val="00764C5B"/>
    <w:rsid w:val="00764CDB"/>
    <w:rsid w:val="00764CEA"/>
    <w:rsid w:val="00764E0F"/>
    <w:rsid w:val="00764ED0"/>
    <w:rsid w:val="00764EDF"/>
    <w:rsid w:val="00764EE9"/>
    <w:rsid w:val="00764F17"/>
    <w:rsid w:val="00764FD1"/>
    <w:rsid w:val="00765006"/>
    <w:rsid w:val="0076500C"/>
    <w:rsid w:val="00765068"/>
    <w:rsid w:val="00765083"/>
    <w:rsid w:val="007650AF"/>
    <w:rsid w:val="007650D6"/>
    <w:rsid w:val="0076511D"/>
    <w:rsid w:val="0076511F"/>
    <w:rsid w:val="0076515D"/>
    <w:rsid w:val="0076518D"/>
    <w:rsid w:val="007651C0"/>
    <w:rsid w:val="007651D4"/>
    <w:rsid w:val="007652AD"/>
    <w:rsid w:val="007652C5"/>
    <w:rsid w:val="007652D9"/>
    <w:rsid w:val="007652FB"/>
    <w:rsid w:val="00765302"/>
    <w:rsid w:val="00765308"/>
    <w:rsid w:val="00765320"/>
    <w:rsid w:val="0076537C"/>
    <w:rsid w:val="00765382"/>
    <w:rsid w:val="007653B9"/>
    <w:rsid w:val="007653C2"/>
    <w:rsid w:val="007653E9"/>
    <w:rsid w:val="00765409"/>
    <w:rsid w:val="00765418"/>
    <w:rsid w:val="00765428"/>
    <w:rsid w:val="00765471"/>
    <w:rsid w:val="007654A5"/>
    <w:rsid w:val="007654DD"/>
    <w:rsid w:val="00765532"/>
    <w:rsid w:val="007655AA"/>
    <w:rsid w:val="007655CA"/>
    <w:rsid w:val="007655E6"/>
    <w:rsid w:val="00765618"/>
    <w:rsid w:val="00765634"/>
    <w:rsid w:val="0076564C"/>
    <w:rsid w:val="007656BF"/>
    <w:rsid w:val="0076570F"/>
    <w:rsid w:val="00765775"/>
    <w:rsid w:val="0076578D"/>
    <w:rsid w:val="0076579F"/>
    <w:rsid w:val="007657AF"/>
    <w:rsid w:val="007657BC"/>
    <w:rsid w:val="007657D0"/>
    <w:rsid w:val="00765809"/>
    <w:rsid w:val="007658DA"/>
    <w:rsid w:val="00765944"/>
    <w:rsid w:val="00765947"/>
    <w:rsid w:val="007659CB"/>
    <w:rsid w:val="007659D4"/>
    <w:rsid w:val="007659D6"/>
    <w:rsid w:val="00765A5A"/>
    <w:rsid w:val="00765A7D"/>
    <w:rsid w:val="00765A92"/>
    <w:rsid w:val="00765B74"/>
    <w:rsid w:val="00765B75"/>
    <w:rsid w:val="00765BCE"/>
    <w:rsid w:val="00765C13"/>
    <w:rsid w:val="00765C16"/>
    <w:rsid w:val="00765C31"/>
    <w:rsid w:val="00765C73"/>
    <w:rsid w:val="00765CE1"/>
    <w:rsid w:val="00765D10"/>
    <w:rsid w:val="00765D1B"/>
    <w:rsid w:val="00765D73"/>
    <w:rsid w:val="00765D87"/>
    <w:rsid w:val="00765DBD"/>
    <w:rsid w:val="00765E14"/>
    <w:rsid w:val="00765E25"/>
    <w:rsid w:val="00765E94"/>
    <w:rsid w:val="00765ECB"/>
    <w:rsid w:val="00765F4C"/>
    <w:rsid w:val="00765F70"/>
    <w:rsid w:val="00765F75"/>
    <w:rsid w:val="00766036"/>
    <w:rsid w:val="00766040"/>
    <w:rsid w:val="007660A0"/>
    <w:rsid w:val="007660C5"/>
    <w:rsid w:val="007660EC"/>
    <w:rsid w:val="0076611E"/>
    <w:rsid w:val="00766125"/>
    <w:rsid w:val="00766144"/>
    <w:rsid w:val="00766165"/>
    <w:rsid w:val="00766172"/>
    <w:rsid w:val="0076617D"/>
    <w:rsid w:val="007661C2"/>
    <w:rsid w:val="007661F4"/>
    <w:rsid w:val="007662B1"/>
    <w:rsid w:val="00766347"/>
    <w:rsid w:val="00766349"/>
    <w:rsid w:val="00766362"/>
    <w:rsid w:val="00766383"/>
    <w:rsid w:val="0076641B"/>
    <w:rsid w:val="0076642C"/>
    <w:rsid w:val="0076642E"/>
    <w:rsid w:val="007664C2"/>
    <w:rsid w:val="00766509"/>
    <w:rsid w:val="00766549"/>
    <w:rsid w:val="00766565"/>
    <w:rsid w:val="0076657D"/>
    <w:rsid w:val="007665B9"/>
    <w:rsid w:val="0076661C"/>
    <w:rsid w:val="00766673"/>
    <w:rsid w:val="007666A0"/>
    <w:rsid w:val="007666FA"/>
    <w:rsid w:val="00766750"/>
    <w:rsid w:val="0076680F"/>
    <w:rsid w:val="00766838"/>
    <w:rsid w:val="007668A5"/>
    <w:rsid w:val="007668B0"/>
    <w:rsid w:val="007668DE"/>
    <w:rsid w:val="007668ED"/>
    <w:rsid w:val="007668F0"/>
    <w:rsid w:val="00766927"/>
    <w:rsid w:val="0076697D"/>
    <w:rsid w:val="007669AD"/>
    <w:rsid w:val="007669D8"/>
    <w:rsid w:val="007669E0"/>
    <w:rsid w:val="007669EE"/>
    <w:rsid w:val="00766A05"/>
    <w:rsid w:val="00766A0E"/>
    <w:rsid w:val="00766A5A"/>
    <w:rsid w:val="00766A66"/>
    <w:rsid w:val="00766A7A"/>
    <w:rsid w:val="00766AA0"/>
    <w:rsid w:val="00766AA6"/>
    <w:rsid w:val="00766ABF"/>
    <w:rsid w:val="00766AD8"/>
    <w:rsid w:val="00766AF2"/>
    <w:rsid w:val="00766B2E"/>
    <w:rsid w:val="00766B8B"/>
    <w:rsid w:val="00766C51"/>
    <w:rsid w:val="00766C6F"/>
    <w:rsid w:val="00766C8C"/>
    <w:rsid w:val="00766CE1"/>
    <w:rsid w:val="00766D28"/>
    <w:rsid w:val="00766D80"/>
    <w:rsid w:val="00766D8F"/>
    <w:rsid w:val="00766DDA"/>
    <w:rsid w:val="00766E2C"/>
    <w:rsid w:val="00766E8C"/>
    <w:rsid w:val="00766E94"/>
    <w:rsid w:val="00766E99"/>
    <w:rsid w:val="00766EF4"/>
    <w:rsid w:val="00766F7E"/>
    <w:rsid w:val="00766F83"/>
    <w:rsid w:val="00766FC4"/>
    <w:rsid w:val="00766FF2"/>
    <w:rsid w:val="00767002"/>
    <w:rsid w:val="0076702F"/>
    <w:rsid w:val="0076704A"/>
    <w:rsid w:val="00767053"/>
    <w:rsid w:val="00767060"/>
    <w:rsid w:val="0076707F"/>
    <w:rsid w:val="007670AA"/>
    <w:rsid w:val="00767100"/>
    <w:rsid w:val="00767105"/>
    <w:rsid w:val="0076713C"/>
    <w:rsid w:val="00767175"/>
    <w:rsid w:val="00767266"/>
    <w:rsid w:val="0076728A"/>
    <w:rsid w:val="0076729D"/>
    <w:rsid w:val="007672B0"/>
    <w:rsid w:val="007672C7"/>
    <w:rsid w:val="007672E2"/>
    <w:rsid w:val="00767308"/>
    <w:rsid w:val="00767315"/>
    <w:rsid w:val="00767392"/>
    <w:rsid w:val="007674BA"/>
    <w:rsid w:val="007674C0"/>
    <w:rsid w:val="0076750A"/>
    <w:rsid w:val="0076752D"/>
    <w:rsid w:val="0076754B"/>
    <w:rsid w:val="007675B4"/>
    <w:rsid w:val="0076762C"/>
    <w:rsid w:val="0076762D"/>
    <w:rsid w:val="00767645"/>
    <w:rsid w:val="007676C0"/>
    <w:rsid w:val="007676FC"/>
    <w:rsid w:val="00767717"/>
    <w:rsid w:val="0076776D"/>
    <w:rsid w:val="00767777"/>
    <w:rsid w:val="007677B1"/>
    <w:rsid w:val="007677DF"/>
    <w:rsid w:val="00767807"/>
    <w:rsid w:val="0076786E"/>
    <w:rsid w:val="007678A8"/>
    <w:rsid w:val="007678ED"/>
    <w:rsid w:val="00767908"/>
    <w:rsid w:val="00767974"/>
    <w:rsid w:val="0076798A"/>
    <w:rsid w:val="007679E7"/>
    <w:rsid w:val="007679F5"/>
    <w:rsid w:val="00767A85"/>
    <w:rsid w:val="00767AB4"/>
    <w:rsid w:val="00767AC0"/>
    <w:rsid w:val="00767ADE"/>
    <w:rsid w:val="00767B1D"/>
    <w:rsid w:val="00767B26"/>
    <w:rsid w:val="00767B78"/>
    <w:rsid w:val="00767BAF"/>
    <w:rsid w:val="00767C1D"/>
    <w:rsid w:val="00767C8A"/>
    <w:rsid w:val="00767CAB"/>
    <w:rsid w:val="00767CC4"/>
    <w:rsid w:val="00767CDE"/>
    <w:rsid w:val="00767CF9"/>
    <w:rsid w:val="00767E27"/>
    <w:rsid w:val="00767E80"/>
    <w:rsid w:val="00767E83"/>
    <w:rsid w:val="00767EDE"/>
    <w:rsid w:val="0077000E"/>
    <w:rsid w:val="0077006A"/>
    <w:rsid w:val="0077006B"/>
    <w:rsid w:val="00770099"/>
    <w:rsid w:val="007700A9"/>
    <w:rsid w:val="007700B0"/>
    <w:rsid w:val="007700E8"/>
    <w:rsid w:val="007700F7"/>
    <w:rsid w:val="00770108"/>
    <w:rsid w:val="0077015D"/>
    <w:rsid w:val="0077018D"/>
    <w:rsid w:val="007701C0"/>
    <w:rsid w:val="007701DC"/>
    <w:rsid w:val="007701F6"/>
    <w:rsid w:val="00770200"/>
    <w:rsid w:val="0077021D"/>
    <w:rsid w:val="00770256"/>
    <w:rsid w:val="00770295"/>
    <w:rsid w:val="007702A0"/>
    <w:rsid w:val="00770332"/>
    <w:rsid w:val="00770374"/>
    <w:rsid w:val="007703A5"/>
    <w:rsid w:val="007703AB"/>
    <w:rsid w:val="0077040C"/>
    <w:rsid w:val="00770424"/>
    <w:rsid w:val="00770432"/>
    <w:rsid w:val="0077044C"/>
    <w:rsid w:val="00770499"/>
    <w:rsid w:val="007704AA"/>
    <w:rsid w:val="007704CA"/>
    <w:rsid w:val="007704F6"/>
    <w:rsid w:val="00770537"/>
    <w:rsid w:val="00770586"/>
    <w:rsid w:val="00770597"/>
    <w:rsid w:val="007705AC"/>
    <w:rsid w:val="007705CD"/>
    <w:rsid w:val="007705D9"/>
    <w:rsid w:val="00770680"/>
    <w:rsid w:val="007706A1"/>
    <w:rsid w:val="007706AA"/>
    <w:rsid w:val="0077071B"/>
    <w:rsid w:val="0077072A"/>
    <w:rsid w:val="007707A1"/>
    <w:rsid w:val="007707AA"/>
    <w:rsid w:val="007707BE"/>
    <w:rsid w:val="007707DB"/>
    <w:rsid w:val="007707EC"/>
    <w:rsid w:val="00770811"/>
    <w:rsid w:val="00770865"/>
    <w:rsid w:val="00770940"/>
    <w:rsid w:val="00770986"/>
    <w:rsid w:val="0077098B"/>
    <w:rsid w:val="007709BF"/>
    <w:rsid w:val="007709E4"/>
    <w:rsid w:val="00770A4C"/>
    <w:rsid w:val="00770A84"/>
    <w:rsid w:val="00770B51"/>
    <w:rsid w:val="00770B54"/>
    <w:rsid w:val="00770B92"/>
    <w:rsid w:val="00770BAE"/>
    <w:rsid w:val="00770BD1"/>
    <w:rsid w:val="00770BFC"/>
    <w:rsid w:val="00770C97"/>
    <w:rsid w:val="00770CB5"/>
    <w:rsid w:val="00770CD4"/>
    <w:rsid w:val="00770CE8"/>
    <w:rsid w:val="00770CFC"/>
    <w:rsid w:val="00770D40"/>
    <w:rsid w:val="00770D4A"/>
    <w:rsid w:val="00770DAD"/>
    <w:rsid w:val="00770DC9"/>
    <w:rsid w:val="00770E02"/>
    <w:rsid w:val="00770E22"/>
    <w:rsid w:val="00770E47"/>
    <w:rsid w:val="00770EC4"/>
    <w:rsid w:val="00770F1A"/>
    <w:rsid w:val="00770F3A"/>
    <w:rsid w:val="00770F7C"/>
    <w:rsid w:val="00770F86"/>
    <w:rsid w:val="00770F98"/>
    <w:rsid w:val="00771017"/>
    <w:rsid w:val="00771036"/>
    <w:rsid w:val="0077103D"/>
    <w:rsid w:val="0077103E"/>
    <w:rsid w:val="0077106D"/>
    <w:rsid w:val="0077106E"/>
    <w:rsid w:val="00771089"/>
    <w:rsid w:val="007710DE"/>
    <w:rsid w:val="00771164"/>
    <w:rsid w:val="00771180"/>
    <w:rsid w:val="007711C9"/>
    <w:rsid w:val="00771229"/>
    <w:rsid w:val="00771250"/>
    <w:rsid w:val="0077127B"/>
    <w:rsid w:val="007712DC"/>
    <w:rsid w:val="00771349"/>
    <w:rsid w:val="00771370"/>
    <w:rsid w:val="007713B4"/>
    <w:rsid w:val="007713BA"/>
    <w:rsid w:val="007713C1"/>
    <w:rsid w:val="00771401"/>
    <w:rsid w:val="0077144B"/>
    <w:rsid w:val="00771532"/>
    <w:rsid w:val="0077155B"/>
    <w:rsid w:val="0077158D"/>
    <w:rsid w:val="007715B5"/>
    <w:rsid w:val="007716B1"/>
    <w:rsid w:val="007716C0"/>
    <w:rsid w:val="007716F2"/>
    <w:rsid w:val="00771736"/>
    <w:rsid w:val="0077176D"/>
    <w:rsid w:val="00771794"/>
    <w:rsid w:val="0077179A"/>
    <w:rsid w:val="007717E9"/>
    <w:rsid w:val="00771833"/>
    <w:rsid w:val="00771852"/>
    <w:rsid w:val="0077185A"/>
    <w:rsid w:val="007718AE"/>
    <w:rsid w:val="007718AF"/>
    <w:rsid w:val="00771996"/>
    <w:rsid w:val="0077199F"/>
    <w:rsid w:val="00771A09"/>
    <w:rsid w:val="00771A15"/>
    <w:rsid w:val="00771A24"/>
    <w:rsid w:val="00771A45"/>
    <w:rsid w:val="00771A6A"/>
    <w:rsid w:val="00771A6B"/>
    <w:rsid w:val="00771A90"/>
    <w:rsid w:val="00771AA8"/>
    <w:rsid w:val="00771AF6"/>
    <w:rsid w:val="00771B05"/>
    <w:rsid w:val="00771B8C"/>
    <w:rsid w:val="00771C4C"/>
    <w:rsid w:val="00771C54"/>
    <w:rsid w:val="00771C65"/>
    <w:rsid w:val="00771C84"/>
    <w:rsid w:val="00771D54"/>
    <w:rsid w:val="00771D6C"/>
    <w:rsid w:val="00771DCA"/>
    <w:rsid w:val="00771F3C"/>
    <w:rsid w:val="00771F49"/>
    <w:rsid w:val="00771F55"/>
    <w:rsid w:val="00771F63"/>
    <w:rsid w:val="00771F85"/>
    <w:rsid w:val="00771FDD"/>
    <w:rsid w:val="00771FDE"/>
    <w:rsid w:val="00771FE6"/>
    <w:rsid w:val="00771FEA"/>
    <w:rsid w:val="0077201C"/>
    <w:rsid w:val="00772021"/>
    <w:rsid w:val="00772344"/>
    <w:rsid w:val="00772350"/>
    <w:rsid w:val="00772380"/>
    <w:rsid w:val="007723CA"/>
    <w:rsid w:val="007723E8"/>
    <w:rsid w:val="007724D7"/>
    <w:rsid w:val="007724F0"/>
    <w:rsid w:val="007724F3"/>
    <w:rsid w:val="00772539"/>
    <w:rsid w:val="0077254C"/>
    <w:rsid w:val="0077257B"/>
    <w:rsid w:val="007725FD"/>
    <w:rsid w:val="0077263E"/>
    <w:rsid w:val="00772657"/>
    <w:rsid w:val="00772662"/>
    <w:rsid w:val="0077267E"/>
    <w:rsid w:val="00772684"/>
    <w:rsid w:val="0077268D"/>
    <w:rsid w:val="0077269A"/>
    <w:rsid w:val="0077269D"/>
    <w:rsid w:val="007726B1"/>
    <w:rsid w:val="007726C2"/>
    <w:rsid w:val="007726D4"/>
    <w:rsid w:val="007726E8"/>
    <w:rsid w:val="00772704"/>
    <w:rsid w:val="0077272E"/>
    <w:rsid w:val="0077273A"/>
    <w:rsid w:val="0077273C"/>
    <w:rsid w:val="0077277C"/>
    <w:rsid w:val="00772787"/>
    <w:rsid w:val="007727B0"/>
    <w:rsid w:val="007727C6"/>
    <w:rsid w:val="007727F1"/>
    <w:rsid w:val="00772875"/>
    <w:rsid w:val="00772882"/>
    <w:rsid w:val="00772990"/>
    <w:rsid w:val="00772A2A"/>
    <w:rsid w:val="00772A74"/>
    <w:rsid w:val="00772A8F"/>
    <w:rsid w:val="00772AA4"/>
    <w:rsid w:val="00772AF2"/>
    <w:rsid w:val="00772B04"/>
    <w:rsid w:val="00772B20"/>
    <w:rsid w:val="00772B7F"/>
    <w:rsid w:val="00772BA1"/>
    <w:rsid w:val="00772BC8"/>
    <w:rsid w:val="00772BCA"/>
    <w:rsid w:val="00772C94"/>
    <w:rsid w:val="00772CA6"/>
    <w:rsid w:val="00772D5C"/>
    <w:rsid w:val="00772D6C"/>
    <w:rsid w:val="00772D9E"/>
    <w:rsid w:val="00772DCD"/>
    <w:rsid w:val="00772E61"/>
    <w:rsid w:val="00772E99"/>
    <w:rsid w:val="00772EA1"/>
    <w:rsid w:val="00772EC7"/>
    <w:rsid w:val="00772F44"/>
    <w:rsid w:val="00772F4F"/>
    <w:rsid w:val="00772FCA"/>
    <w:rsid w:val="00772FEE"/>
    <w:rsid w:val="0077301D"/>
    <w:rsid w:val="0077302E"/>
    <w:rsid w:val="00773042"/>
    <w:rsid w:val="00773046"/>
    <w:rsid w:val="0077308B"/>
    <w:rsid w:val="007730BC"/>
    <w:rsid w:val="007730E2"/>
    <w:rsid w:val="007730FF"/>
    <w:rsid w:val="0077313B"/>
    <w:rsid w:val="00773162"/>
    <w:rsid w:val="0077320A"/>
    <w:rsid w:val="00773270"/>
    <w:rsid w:val="00773295"/>
    <w:rsid w:val="00773323"/>
    <w:rsid w:val="00773349"/>
    <w:rsid w:val="0077338F"/>
    <w:rsid w:val="007733CB"/>
    <w:rsid w:val="00773456"/>
    <w:rsid w:val="00773483"/>
    <w:rsid w:val="0077349E"/>
    <w:rsid w:val="007734D2"/>
    <w:rsid w:val="00773511"/>
    <w:rsid w:val="0077351B"/>
    <w:rsid w:val="00773535"/>
    <w:rsid w:val="007735FF"/>
    <w:rsid w:val="00773611"/>
    <w:rsid w:val="0077364E"/>
    <w:rsid w:val="00773681"/>
    <w:rsid w:val="00773684"/>
    <w:rsid w:val="007736BA"/>
    <w:rsid w:val="007736D7"/>
    <w:rsid w:val="00773778"/>
    <w:rsid w:val="007737C0"/>
    <w:rsid w:val="0077381E"/>
    <w:rsid w:val="00773823"/>
    <w:rsid w:val="0077382A"/>
    <w:rsid w:val="007738FD"/>
    <w:rsid w:val="00773973"/>
    <w:rsid w:val="0077397D"/>
    <w:rsid w:val="007739D3"/>
    <w:rsid w:val="007739E4"/>
    <w:rsid w:val="007739FB"/>
    <w:rsid w:val="00773A1C"/>
    <w:rsid w:val="00773A36"/>
    <w:rsid w:val="00773A38"/>
    <w:rsid w:val="00773A3F"/>
    <w:rsid w:val="00773A97"/>
    <w:rsid w:val="00773AA1"/>
    <w:rsid w:val="00773AD4"/>
    <w:rsid w:val="00773B45"/>
    <w:rsid w:val="00773B68"/>
    <w:rsid w:val="00773BA3"/>
    <w:rsid w:val="00773BA9"/>
    <w:rsid w:val="00773C09"/>
    <w:rsid w:val="00773C33"/>
    <w:rsid w:val="00773C61"/>
    <w:rsid w:val="00773CDD"/>
    <w:rsid w:val="00773CF0"/>
    <w:rsid w:val="00773CF4"/>
    <w:rsid w:val="00773D01"/>
    <w:rsid w:val="00773D6E"/>
    <w:rsid w:val="00773D7A"/>
    <w:rsid w:val="00773DA7"/>
    <w:rsid w:val="00773E44"/>
    <w:rsid w:val="00773E61"/>
    <w:rsid w:val="00773E67"/>
    <w:rsid w:val="00773F0A"/>
    <w:rsid w:val="00773F13"/>
    <w:rsid w:val="00773F14"/>
    <w:rsid w:val="00773F1A"/>
    <w:rsid w:val="00773F4A"/>
    <w:rsid w:val="00773F6A"/>
    <w:rsid w:val="00773F86"/>
    <w:rsid w:val="00773FD8"/>
    <w:rsid w:val="00774013"/>
    <w:rsid w:val="00774043"/>
    <w:rsid w:val="0077405E"/>
    <w:rsid w:val="00774089"/>
    <w:rsid w:val="007740A6"/>
    <w:rsid w:val="007740D6"/>
    <w:rsid w:val="00774131"/>
    <w:rsid w:val="00774134"/>
    <w:rsid w:val="00774143"/>
    <w:rsid w:val="00774150"/>
    <w:rsid w:val="0077415B"/>
    <w:rsid w:val="00774164"/>
    <w:rsid w:val="00774180"/>
    <w:rsid w:val="00774181"/>
    <w:rsid w:val="007741D3"/>
    <w:rsid w:val="0077422B"/>
    <w:rsid w:val="00774277"/>
    <w:rsid w:val="007742B8"/>
    <w:rsid w:val="007742D1"/>
    <w:rsid w:val="00774340"/>
    <w:rsid w:val="0077434D"/>
    <w:rsid w:val="00774356"/>
    <w:rsid w:val="007743BF"/>
    <w:rsid w:val="007743D3"/>
    <w:rsid w:val="00774406"/>
    <w:rsid w:val="00774465"/>
    <w:rsid w:val="007744BB"/>
    <w:rsid w:val="007744EB"/>
    <w:rsid w:val="00774500"/>
    <w:rsid w:val="00774552"/>
    <w:rsid w:val="0077458F"/>
    <w:rsid w:val="00774684"/>
    <w:rsid w:val="0077468B"/>
    <w:rsid w:val="007746EC"/>
    <w:rsid w:val="007746F1"/>
    <w:rsid w:val="00774710"/>
    <w:rsid w:val="00774773"/>
    <w:rsid w:val="007747B9"/>
    <w:rsid w:val="007747C3"/>
    <w:rsid w:val="007747EA"/>
    <w:rsid w:val="007747FC"/>
    <w:rsid w:val="00774837"/>
    <w:rsid w:val="00774873"/>
    <w:rsid w:val="007748A8"/>
    <w:rsid w:val="007748AE"/>
    <w:rsid w:val="00774944"/>
    <w:rsid w:val="007749AF"/>
    <w:rsid w:val="007749B9"/>
    <w:rsid w:val="007749C7"/>
    <w:rsid w:val="007749FF"/>
    <w:rsid w:val="00774A18"/>
    <w:rsid w:val="00774B20"/>
    <w:rsid w:val="00774B23"/>
    <w:rsid w:val="00774B3A"/>
    <w:rsid w:val="00774B6C"/>
    <w:rsid w:val="00774B9A"/>
    <w:rsid w:val="00774BF0"/>
    <w:rsid w:val="00774C0F"/>
    <w:rsid w:val="00774C14"/>
    <w:rsid w:val="00774C7C"/>
    <w:rsid w:val="00774CC5"/>
    <w:rsid w:val="00774CD4"/>
    <w:rsid w:val="00774D06"/>
    <w:rsid w:val="00774D10"/>
    <w:rsid w:val="00774D51"/>
    <w:rsid w:val="00774D70"/>
    <w:rsid w:val="00774D81"/>
    <w:rsid w:val="00774D8A"/>
    <w:rsid w:val="00774DE8"/>
    <w:rsid w:val="00774E02"/>
    <w:rsid w:val="00774E0A"/>
    <w:rsid w:val="00774E24"/>
    <w:rsid w:val="00774E75"/>
    <w:rsid w:val="00774EBD"/>
    <w:rsid w:val="00774F5C"/>
    <w:rsid w:val="00774F60"/>
    <w:rsid w:val="00774F83"/>
    <w:rsid w:val="00774FD0"/>
    <w:rsid w:val="00774FDC"/>
    <w:rsid w:val="0077500A"/>
    <w:rsid w:val="0077508B"/>
    <w:rsid w:val="00775094"/>
    <w:rsid w:val="007750C6"/>
    <w:rsid w:val="00775162"/>
    <w:rsid w:val="007751A5"/>
    <w:rsid w:val="007751BA"/>
    <w:rsid w:val="00775290"/>
    <w:rsid w:val="007752E1"/>
    <w:rsid w:val="007752E2"/>
    <w:rsid w:val="00775324"/>
    <w:rsid w:val="0077533E"/>
    <w:rsid w:val="007753A7"/>
    <w:rsid w:val="007753B4"/>
    <w:rsid w:val="0077541A"/>
    <w:rsid w:val="00775442"/>
    <w:rsid w:val="00775454"/>
    <w:rsid w:val="007754F5"/>
    <w:rsid w:val="0077559F"/>
    <w:rsid w:val="007755B1"/>
    <w:rsid w:val="0077563D"/>
    <w:rsid w:val="0077564B"/>
    <w:rsid w:val="00775683"/>
    <w:rsid w:val="00775696"/>
    <w:rsid w:val="007756FB"/>
    <w:rsid w:val="00775727"/>
    <w:rsid w:val="0077576A"/>
    <w:rsid w:val="0077578E"/>
    <w:rsid w:val="007757B4"/>
    <w:rsid w:val="007757B8"/>
    <w:rsid w:val="007757E0"/>
    <w:rsid w:val="007757ED"/>
    <w:rsid w:val="00775824"/>
    <w:rsid w:val="0077585E"/>
    <w:rsid w:val="0077586F"/>
    <w:rsid w:val="00775896"/>
    <w:rsid w:val="007758B7"/>
    <w:rsid w:val="007758DB"/>
    <w:rsid w:val="00775919"/>
    <w:rsid w:val="00775973"/>
    <w:rsid w:val="007759A4"/>
    <w:rsid w:val="00775A86"/>
    <w:rsid w:val="00775AEB"/>
    <w:rsid w:val="00775B41"/>
    <w:rsid w:val="00775B73"/>
    <w:rsid w:val="00775B78"/>
    <w:rsid w:val="00775B80"/>
    <w:rsid w:val="00775BCD"/>
    <w:rsid w:val="00775BE4"/>
    <w:rsid w:val="00775BF9"/>
    <w:rsid w:val="00775C36"/>
    <w:rsid w:val="00775C3E"/>
    <w:rsid w:val="00775C61"/>
    <w:rsid w:val="00775C8A"/>
    <w:rsid w:val="00775CA1"/>
    <w:rsid w:val="00775CC5"/>
    <w:rsid w:val="00775D4A"/>
    <w:rsid w:val="00775D88"/>
    <w:rsid w:val="00775E0A"/>
    <w:rsid w:val="00775E35"/>
    <w:rsid w:val="00775E82"/>
    <w:rsid w:val="00775EB8"/>
    <w:rsid w:val="00775EBF"/>
    <w:rsid w:val="00775EE0"/>
    <w:rsid w:val="00775F04"/>
    <w:rsid w:val="00775F2D"/>
    <w:rsid w:val="00775F61"/>
    <w:rsid w:val="00775F6D"/>
    <w:rsid w:val="00775F8E"/>
    <w:rsid w:val="00775F9E"/>
    <w:rsid w:val="00775FA4"/>
    <w:rsid w:val="00775FCA"/>
    <w:rsid w:val="00775FF2"/>
    <w:rsid w:val="00775FF4"/>
    <w:rsid w:val="0077603E"/>
    <w:rsid w:val="00776054"/>
    <w:rsid w:val="00776096"/>
    <w:rsid w:val="00776099"/>
    <w:rsid w:val="0077612B"/>
    <w:rsid w:val="00776148"/>
    <w:rsid w:val="007761F4"/>
    <w:rsid w:val="007762C4"/>
    <w:rsid w:val="00776300"/>
    <w:rsid w:val="0077634A"/>
    <w:rsid w:val="00776358"/>
    <w:rsid w:val="00776365"/>
    <w:rsid w:val="00776399"/>
    <w:rsid w:val="007763BF"/>
    <w:rsid w:val="00776400"/>
    <w:rsid w:val="0077642E"/>
    <w:rsid w:val="00776461"/>
    <w:rsid w:val="00776491"/>
    <w:rsid w:val="007764A9"/>
    <w:rsid w:val="007764B0"/>
    <w:rsid w:val="007764B4"/>
    <w:rsid w:val="0077650B"/>
    <w:rsid w:val="0077652F"/>
    <w:rsid w:val="0077658E"/>
    <w:rsid w:val="00776595"/>
    <w:rsid w:val="007765AF"/>
    <w:rsid w:val="007765C4"/>
    <w:rsid w:val="007765C5"/>
    <w:rsid w:val="007765F4"/>
    <w:rsid w:val="00776603"/>
    <w:rsid w:val="00776695"/>
    <w:rsid w:val="007766DC"/>
    <w:rsid w:val="00776703"/>
    <w:rsid w:val="00776733"/>
    <w:rsid w:val="0077674D"/>
    <w:rsid w:val="00776762"/>
    <w:rsid w:val="00776787"/>
    <w:rsid w:val="007767A5"/>
    <w:rsid w:val="007767E0"/>
    <w:rsid w:val="0077684D"/>
    <w:rsid w:val="00776858"/>
    <w:rsid w:val="007768C0"/>
    <w:rsid w:val="00776922"/>
    <w:rsid w:val="007769B1"/>
    <w:rsid w:val="007769E1"/>
    <w:rsid w:val="00776A1A"/>
    <w:rsid w:val="00776A3B"/>
    <w:rsid w:val="00776A3D"/>
    <w:rsid w:val="00776A53"/>
    <w:rsid w:val="00776A60"/>
    <w:rsid w:val="00776ABF"/>
    <w:rsid w:val="00776B07"/>
    <w:rsid w:val="00776B20"/>
    <w:rsid w:val="00776B76"/>
    <w:rsid w:val="00776BA3"/>
    <w:rsid w:val="00776BC7"/>
    <w:rsid w:val="00776C17"/>
    <w:rsid w:val="00776C92"/>
    <w:rsid w:val="00776CB9"/>
    <w:rsid w:val="00776D28"/>
    <w:rsid w:val="00776D64"/>
    <w:rsid w:val="00776D67"/>
    <w:rsid w:val="00776D79"/>
    <w:rsid w:val="00776D91"/>
    <w:rsid w:val="00776DC6"/>
    <w:rsid w:val="00776DD1"/>
    <w:rsid w:val="00776E12"/>
    <w:rsid w:val="00776E53"/>
    <w:rsid w:val="00776E71"/>
    <w:rsid w:val="00776E94"/>
    <w:rsid w:val="00776EB3"/>
    <w:rsid w:val="00776EC8"/>
    <w:rsid w:val="00776F27"/>
    <w:rsid w:val="00776F36"/>
    <w:rsid w:val="00776F5D"/>
    <w:rsid w:val="00776F77"/>
    <w:rsid w:val="00776F86"/>
    <w:rsid w:val="00776F88"/>
    <w:rsid w:val="00776F9E"/>
    <w:rsid w:val="00776FC0"/>
    <w:rsid w:val="00776FD8"/>
    <w:rsid w:val="00776FE6"/>
    <w:rsid w:val="00776FED"/>
    <w:rsid w:val="00777010"/>
    <w:rsid w:val="0077705D"/>
    <w:rsid w:val="0077709A"/>
    <w:rsid w:val="007770AF"/>
    <w:rsid w:val="007770F1"/>
    <w:rsid w:val="0077717F"/>
    <w:rsid w:val="00777195"/>
    <w:rsid w:val="00777237"/>
    <w:rsid w:val="0077727A"/>
    <w:rsid w:val="007772C6"/>
    <w:rsid w:val="00777314"/>
    <w:rsid w:val="00777410"/>
    <w:rsid w:val="00777418"/>
    <w:rsid w:val="00777432"/>
    <w:rsid w:val="00777449"/>
    <w:rsid w:val="007774AB"/>
    <w:rsid w:val="007774E3"/>
    <w:rsid w:val="0077752C"/>
    <w:rsid w:val="007775DE"/>
    <w:rsid w:val="00777644"/>
    <w:rsid w:val="007776AF"/>
    <w:rsid w:val="007776C4"/>
    <w:rsid w:val="007776CD"/>
    <w:rsid w:val="007776CF"/>
    <w:rsid w:val="007776DB"/>
    <w:rsid w:val="00777702"/>
    <w:rsid w:val="0077774B"/>
    <w:rsid w:val="00777776"/>
    <w:rsid w:val="0077778B"/>
    <w:rsid w:val="007777D3"/>
    <w:rsid w:val="00777853"/>
    <w:rsid w:val="0077785C"/>
    <w:rsid w:val="00777862"/>
    <w:rsid w:val="007778A8"/>
    <w:rsid w:val="007778C4"/>
    <w:rsid w:val="007778F7"/>
    <w:rsid w:val="007779A6"/>
    <w:rsid w:val="007779D8"/>
    <w:rsid w:val="00777A06"/>
    <w:rsid w:val="00777A97"/>
    <w:rsid w:val="00777AAA"/>
    <w:rsid w:val="00777AB0"/>
    <w:rsid w:val="00777AF9"/>
    <w:rsid w:val="00777B23"/>
    <w:rsid w:val="00777B7C"/>
    <w:rsid w:val="00777B97"/>
    <w:rsid w:val="00777BA3"/>
    <w:rsid w:val="00777BF9"/>
    <w:rsid w:val="00777C4F"/>
    <w:rsid w:val="00777C59"/>
    <w:rsid w:val="00777C76"/>
    <w:rsid w:val="00777CB8"/>
    <w:rsid w:val="00777CBE"/>
    <w:rsid w:val="00777CE7"/>
    <w:rsid w:val="00777CF3"/>
    <w:rsid w:val="00777D5A"/>
    <w:rsid w:val="00777D5E"/>
    <w:rsid w:val="00777D8C"/>
    <w:rsid w:val="00777DDD"/>
    <w:rsid w:val="00777E28"/>
    <w:rsid w:val="00777E52"/>
    <w:rsid w:val="00777E7E"/>
    <w:rsid w:val="00777EC6"/>
    <w:rsid w:val="00777ED6"/>
    <w:rsid w:val="00777F2E"/>
    <w:rsid w:val="00777F5A"/>
    <w:rsid w:val="00777F63"/>
    <w:rsid w:val="00777FBC"/>
    <w:rsid w:val="00777FD7"/>
    <w:rsid w:val="00777FFA"/>
    <w:rsid w:val="00780078"/>
    <w:rsid w:val="007800D5"/>
    <w:rsid w:val="00780100"/>
    <w:rsid w:val="00780121"/>
    <w:rsid w:val="00780133"/>
    <w:rsid w:val="00780134"/>
    <w:rsid w:val="007801D0"/>
    <w:rsid w:val="00780233"/>
    <w:rsid w:val="00780255"/>
    <w:rsid w:val="00780274"/>
    <w:rsid w:val="00780297"/>
    <w:rsid w:val="007802C5"/>
    <w:rsid w:val="007802D8"/>
    <w:rsid w:val="00780339"/>
    <w:rsid w:val="0078035D"/>
    <w:rsid w:val="00780372"/>
    <w:rsid w:val="0078038F"/>
    <w:rsid w:val="00780391"/>
    <w:rsid w:val="00780425"/>
    <w:rsid w:val="0078042C"/>
    <w:rsid w:val="007804AB"/>
    <w:rsid w:val="007804DB"/>
    <w:rsid w:val="00780529"/>
    <w:rsid w:val="007805D6"/>
    <w:rsid w:val="00780622"/>
    <w:rsid w:val="0078065A"/>
    <w:rsid w:val="00780674"/>
    <w:rsid w:val="007806F3"/>
    <w:rsid w:val="00780740"/>
    <w:rsid w:val="0078077C"/>
    <w:rsid w:val="00780787"/>
    <w:rsid w:val="007807FF"/>
    <w:rsid w:val="00780801"/>
    <w:rsid w:val="0078080F"/>
    <w:rsid w:val="00780815"/>
    <w:rsid w:val="00780887"/>
    <w:rsid w:val="007808AB"/>
    <w:rsid w:val="007808DA"/>
    <w:rsid w:val="007808E6"/>
    <w:rsid w:val="007808EB"/>
    <w:rsid w:val="007809C4"/>
    <w:rsid w:val="00780A29"/>
    <w:rsid w:val="00780A34"/>
    <w:rsid w:val="00780A95"/>
    <w:rsid w:val="00780AA2"/>
    <w:rsid w:val="00780AB1"/>
    <w:rsid w:val="00780B28"/>
    <w:rsid w:val="00780B60"/>
    <w:rsid w:val="00780BB8"/>
    <w:rsid w:val="00780BE3"/>
    <w:rsid w:val="00780C4D"/>
    <w:rsid w:val="00780D0C"/>
    <w:rsid w:val="00780D44"/>
    <w:rsid w:val="00780D78"/>
    <w:rsid w:val="00780D86"/>
    <w:rsid w:val="00780DBF"/>
    <w:rsid w:val="00780E69"/>
    <w:rsid w:val="00780E82"/>
    <w:rsid w:val="00780E86"/>
    <w:rsid w:val="00780EED"/>
    <w:rsid w:val="00780EFE"/>
    <w:rsid w:val="00780F1C"/>
    <w:rsid w:val="00780F4F"/>
    <w:rsid w:val="00780F59"/>
    <w:rsid w:val="00780F71"/>
    <w:rsid w:val="00780F8F"/>
    <w:rsid w:val="00780FCE"/>
    <w:rsid w:val="00780FFD"/>
    <w:rsid w:val="00781047"/>
    <w:rsid w:val="0078106A"/>
    <w:rsid w:val="007810F6"/>
    <w:rsid w:val="0078115C"/>
    <w:rsid w:val="0078117C"/>
    <w:rsid w:val="00781186"/>
    <w:rsid w:val="007811CE"/>
    <w:rsid w:val="0078122B"/>
    <w:rsid w:val="00781239"/>
    <w:rsid w:val="0078125D"/>
    <w:rsid w:val="0078137A"/>
    <w:rsid w:val="00781436"/>
    <w:rsid w:val="0078145C"/>
    <w:rsid w:val="00781496"/>
    <w:rsid w:val="007814C7"/>
    <w:rsid w:val="007814CB"/>
    <w:rsid w:val="007814E9"/>
    <w:rsid w:val="007814F4"/>
    <w:rsid w:val="00781550"/>
    <w:rsid w:val="00781564"/>
    <w:rsid w:val="00781598"/>
    <w:rsid w:val="00781616"/>
    <w:rsid w:val="0078161D"/>
    <w:rsid w:val="007816CF"/>
    <w:rsid w:val="007816F3"/>
    <w:rsid w:val="00781706"/>
    <w:rsid w:val="0078171A"/>
    <w:rsid w:val="0078172E"/>
    <w:rsid w:val="0078172F"/>
    <w:rsid w:val="00781739"/>
    <w:rsid w:val="00781742"/>
    <w:rsid w:val="0078174E"/>
    <w:rsid w:val="00781766"/>
    <w:rsid w:val="00781797"/>
    <w:rsid w:val="007817FD"/>
    <w:rsid w:val="00781836"/>
    <w:rsid w:val="00781878"/>
    <w:rsid w:val="007819BD"/>
    <w:rsid w:val="00781A55"/>
    <w:rsid w:val="00781A5F"/>
    <w:rsid w:val="00781A66"/>
    <w:rsid w:val="00781AA8"/>
    <w:rsid w:val="00781B12"/>
    <w:rsid w:val="00781B1C"/>
    <w:rsid w:val="00781B7B"/>
    <w:rsid w:val="00781B9F"/>
    <w:rsid w:val="00781BFE"/>
    <w:rsid w:val="00781C13"/>
    <w:rsid w:val="00781C4E"/>
    <w:rsid w:val="00781C89"/>
    <w:rsid w:val="00781CB8"/>
    <w:rsid w:val="00781D0E"/>
    <w:rsid w:val="00781D10"/>
    <w:rsid w:val="00781D2A"/>
    <w:rsid w:val="00781D62"/>
    <w:rsid w:val="00781D8B"/>
    <w:rsid w:val="00781DA2"/>
    <w:rsid w:val="00781DB8"/>
    <w:rsid w:val="00781E16"/>
    <w:rsid w:val="00781E30"/>
    <w:rsid w:val="00781E53"/>
    <w:rsid w:val="00781E83"/>
    <w:rsid w:val="00781E91"/>
    <w:rsid w:val="00781ED9"/>
    <w:rsid w:val="00781FA2"/>
    <w:rsid w:val="00781FF2"/>
    <w:rsid w:val="00782031"/>
    <w:rsid w:val="00782063"/>
    <w:rsid w:val="007820A8"/>
    <w:rsid w:val="0078213F"/>
    <w:rsid w:val="00782215"/>
    <w:rsid w:val="007822BE"/>
    <w:rsid w:val="0078236A"/>
    <w:rsid w:val="00782371"/>
    <w:rsid w:val="007823BA"/>
    <w:rsid w:val="007823C7"/>
    <w:rsid w:val="0078247B"/>
    <w:rsid w:val="00782495"/>
    <w:rsid w:val="007824AD"/>
    <w:rsid w:val="007824B0"/>
    <w:rsid w:val="007824EB"/>
    <w:rsid w:val="007824F1"/>
    <w:rsid w:val="00782509"/>
    <w:rsid w:val="00782580"/>
    <w:rsid w:val="007825C8"/>
    <w:rsid w:val="0078261C"/>
    <w:rsid w:val="00782656"/>
    <w:rsid w:val="007826A3"/>
    <w:rsid w:val="007826C4"/>
    <w:rsid w:val="00782742"/>
    <w:rsid w:val="0078279A"/>
    <w:rsid w:val="007827E1"/>
    <w:rsid w:val="00782809"/>
    <w:rsid w:val="0078289D"/>
    <w:rsid w:val="007828C2"/>
    <w:rsid w:val="007828FA"/>
    <w:rsid w:val="0078298B"/>
    <w:rsid w:val="007829B4"/>
    <w:rsid w:val="007829D0"/>
    <w:rsid w:val="007829DE"/>
    <w:rsid w:val="007829EA"/>
    <w:rsid w:val="00782A5F"/>
    <w:rsid w:val="00782AA4"/>
    <w:rsid w:val="00782AE1"/>
    <w:rsid w:val="00782AE4"/>
    <w:rsid w:val="00782B1F"/>
    <w:rsid w:val="00782B48"/>
    <w:rsid w:val="00782B5E"/>
    <w:rsid w:val="00782C55"/>
    <w:rsid w:val="00782CBC"/>
    <w:rsid w:val="00782CD2"/>
    <w:rsid w:val="00782CF1"/>
    <w:rsid w:val="00782CF6"/>
    <w:rsid w:val="00782CF7"/>
    <w:rsid w:val="00782D5A"/>
    <w:rsid w:val="00782D8C"/>
    <w:rsid w:val="00782D95"/>
    <w:rsid w:val="00782E25"/>
    <w:rsid w:val="00782E3F"/>
    <w:rsid w:val="00782E81"/>
    <w:rsid w:val="00782E93"/>
    <w:rsid w:val="00782E94"/>
    <w:rsid w:val="00782EC0"/>
    <w:rsid w:val="00782EC8"/>
    <w:rsid w:val="00782ECB"/>
    <w:rsid w:val="00782ED4"/>
    <w:rsid w:val="00782ED8"/>
    <w:rsid w:val="00782F03"/>
    <w:rsid w:val="00782F12"/>
    <w:rsid w:val="00782F9E"/>
    <w:rsid w:val="00782FB0"/>
    <w:rsid w:val="00782FF7"/>
    <w:rsid w:val="00783015"/>
    <w:rsid w:val="0078305C"/>
    <w:rsid w:val="00783070"/>
    <w:rsid w:val="00783096"/>
    <w:rsid w:val="007830B7"/>
    <w:rsid w:val="00783177"/>
    <w:rsid w:val="007831D4"/>
    <w:rsid w:val="007831D6"/>
    <w:rsid w:val="00783206"/>
    <w:rsid w:val="00783293"/>
    <w:rsid w:val="007832BD"/>
    <w:rsid w:val="007832CE"/>
    <w:rsid w:val="007832D3"/>
    <w:rsid w:val="007832EE"/>
    <w:rsid w:val="007832F1"/>
    <w:rsid w:val="00783321"/>
    <w:rsid w:val="00783348"/>
    <w:rsid w:val="00783357"/>
    <w:rsid w:val="00783396"/>
    <w:rsid w:val="007833CB"/>
    <w:rsid w:val="007833D3"/>
    <w:rsid w:val="007833E4"/>
    <w:rsid w:val="00783474"/>
    <w:rsid w:val="00783489"/>
    <w:rsid w:val="007834C8"/>
    <w:rsid w:val="00783510"/>
    <w:rsid w:val="0078351A"/>
    <w:rsid w:val="00783521"/>
    <w:rsid w:val="00783528"/>
    <w:rsid w:val="0078352B"/>
    <w:rsid w:val="0078353F"/>
    <w:rsid w:val="00783557"/>
    <w:rsid w:val="007835A0"/>
    <w:rsid w:val="007835AE"/>
    <w:rsid w:val="00783603"/>
    <w:rsid w:val="00783628"/>
    <w:rsid w:val="00783636"/>
    <w:rsid w:val="00783647"/>
    <w:rsid w:val="00783660"/>
    <w:rsid w:val="00783663"/>
    <w:rsid w:val="00783686"/>
    <w:rsid w:val="007836CC"/>
    <w:rsid w:val="00783710"/>
    <w:rsid w:val="00783738"/>
    <w:rsid w:val="0078374A"/>
    <w:rsid w:val="007837A3"/>
    <w:rsid w:val="007837F7"/>
    <w:rsid w:val="0078380B"/>
    <w:rsid w:val="0078381E"/>
    <w:rsid w:val="00783846"/>
    <w:rsid w:val="0078384B"/>
    <w:rsid w:val="007838E7"/>
    <w:rsid w:val="007838F3"/>
    <w:rsid w:val="00783923"/>
    <w:rsid w:val="00783959"/>
    <w:rsid w:val="0078395E"/>
    <w:rsid w:val="007839D9"/>
    <w:rsid w:val="007839DD"/>
    <w:rsid w:val="00783ABE"/>
    <w:rsid w:val="00783B10"/>
    <w:rsid w:val="00783B2F"/>
    <w:rsid w:val="00783BAB"/>
    <w:rsid w:val="00783BB5"/>
    <w:rsid w:val="00783BCC"/>
    <w:rsid w:val="00783BDC"/>
    <w:rsid w:val="00783C12"/>
    <w:rsid w:val="00783C67"/>
    <w:rsid w:val="00783CAA"/>
    <w:rsid w:val="00783E53"/>
    <w:rsid w:val="00783F0E"/>
    <w:rsid w:val="00783F11"/>
    <w:rsid w:val="00783F13"/>
    <w:rsid w:val="00783F4B"/>
    <w:rsid w:val="00783F63"/>
    <w:rsid w:val="00783FAD"/>
    <w:rsid w:val="0078402F"/>
    <w:rsid w:val="00784096"/>
    <w:rsid w:val="00784097"/>
    <w:rsid w:val="007840A9"/>
    <w:rsid w:val="00784147"/>
    <w:rsid w:val="00784177"/>
    <w:rsid w:val="0078423E"/>
    <w:rsid w:val="007842CC"/>
    <w:rsid w:val="007842FB"/>
    <w:rsid w:val="00784306"/>
    <w:rsid w:val="00784343"/>
    <w:rsid w:val="00784357"/>
    <w:rsid w:val="00784359"/>
    <w:rsid w:val="00784372"/>
    <w:rsid w:val="007843B5"/>
    <w:rsid w:val="0078446D"/>
    <w:rsid w:val="0078449A"/>
    <w:rsid w:val="007844F4"/>
    <w:rsid w:val="00784505"/>
    <w:rsid w:val="00784595"/>
    <w:rsid w:val="007845F5"/>
    <w:rsid w:val="007845FF"/>
    <w:rsid w:val="007846CD"/>
    <w:rsid w:val="007846E6"/>
    <w:rsid w:val="007846FE"/>
    <w:rsid w:val="00784742"/>
    <w:rsid w:val="0078475F"/>
    <w:rsid w:val="00784765"/>
    <w:rsid w:val="007847B4"/>
    <w:rsid w:val="007847C8"/>
    <w:rsid w:val="0078480D"/>
    <w:rsid w:val="00784815"/>
    <w:rsid w:val="0078482C"/>
    <w:rsid w:val="0078485C"/>
    <w:rsid w:val="007848D5"/>
    <w:rsid w:val="00784922"/>
    <w:rsid w:val="00784926"/>
    <w:rsid w:val="00784945"/>
    <w:rsid w:val="0078495F"/>
    <w:rsid w:val="00784964"/>
    <w:rsid w:val="00784968"/>
    <w:rsid w:val="00784984"/>
    <w:rsid w:val="007849C7"/>
    <w:rsid w:val="007849C8"/>
    <w:rsid w:val="007849EC"/>
    <w:rsid w:val="007849FF"/>
    <w:rsid w:val="00784A43"/>
    <w:rsid w:val="00784A5C"/>
    <w:rsid w:val="00784A78"/>
    <w:rsid w:val="00784AB0"/>
    <w:rsid w:val="00784ACB"/>
    <w:rsid w:val="00784B1B"/>
    <w:rsid w:val="00784B84"/>
    <w:rsid w:val="00784C85"/>
    <w:rsid w:val="00784D03"/>
    <w:rsid w:val="00784D48"/>
    <w:rsid w:val="00784D68"/>
    <w:rsid w:val="00784D72"/>
    <w:rsid w:val="00784DF8"/>
    <w:rsid w:val="00784DFE"/>
    <w:rsid w:val="00784E0F"/>
    <w:rsid w:val="00784E34"/>
    <w:rsid w:val="00784E36"/>
    <w:rsid w:val="00784E82"/>
    <w:rsid w:val="00784F00"/>
    <w:rsid w:val="00784F19"/>
    <w:rsid w:val="00784F7A"/>
    <w:rsid w:val="00784F7B"/>
    <w:rsid w:val="00784FCB"/>
    <w:rsid w:val="00785016"/>
    <w:rsid w:val="0078502F"/>
    <w:rsid w:val="0078508E"/>
    <w:rsid w:val="007850E2"/>
    <w:rsid w:val="00785179"/>
    <w:rsid w:val="007851AB"/>
    <w:rsid w:val="007851FC"/>
    <w:rsid w:val="00785215"/>
    <w:rsid w:val="0078523C"/>
    <w:rsid w:val="00785289"/>
    <w:rsid w:val="007852F7"/>
    <w:rsid w:val="00785312"/>
    <w:rsid w:val="0078532A"/>
    <w:rsid w:val="00785352"/>
    <w:rsid w:val="0078540F"/>
    <w:rsid w:val="00785410"/>
    <w:rsid w:val="0078548B"/>
    <w:rsid w:val="007854BA"/>
    <w:rsid w:val="007854E3"/>
    <w:rsid w:val="00785535"/>
    <w:rsid w:val="0078555C"/>
    <w:rsid w:val="007855D8"/>
    <w:rsid w:val="007855E0"/>
    <w:rsid w:val="007855ED"/>
    <w:rsid w:val="0078560B"/>
    <w:rsid w:val="00785669"/>
    <w:rsid w:val="00785687"/>
    <w:rsid w:val="007856CE"/>
    <w:rsid w:val="007856ED"/>
    <w:rsid w:val="00785703"/>
    <w:rsid w:val="0078577F"/>
    <w:rsid w:val="0078579D"/>
    <w:rsid w:val="007857CA"/>
    <w:rsid w:val="007857FE"/>
    <w:rsid w:val="0078584E"/>
    <w:rsid w:val="0078585B"/>
    <w:rsid w:val="00785886"/>
    <w:rsid w:val="00785888"/>
    <w:rsid w:val="0078588E"/>
    <w:rsid w:val="007858C2"/>
    <w:rsid w:val="007858CD"/>
    <w:rsid w:val="00785905"/>
    <w:rsid w:val="00785907"/>
    <w:rsid w:val="00785971"/>
    <w:rsid w:val="007859B9"/>
    <w:rsid w:val="007859C8"/>
    <w:rsid w:val="00785A57"/>
    <w:rsid w:val="00785ACB"/>
    <w:rsid w:val="00785AD8"/>
    <w:rsid w:val="00785ADE"/>
    <w:rsid w:val="00785B0E"/>
    <w:rsid w:val="00785B14"/>
    <w:rsid w:val="00785B75"/>
    <w:rsid w:val="00785C1E"/>
    <w:rsid w:val="00785CD9"/>
    <w:rsid w:val="00785CE1"/>
    <w:rsid w:val="00785CFA"/>
    <w:rsid w:val="00785D09"/>
    <w:rsid w:val="00785D32"/>
    <w:rsid w:val="00785D60"/>
    <w:rsid w:val="00785D88"/>
    <w:rsid w:val="00785D91"/>
    <w:rsid w:val="00785D9E"/>
    <w:rsid w:val="00785DA9"/>
    <w:rsid w:val="00785DF6"/>
    <w:rsid w:val="00785E41"/>
    <w:rsid w:val="00785E48"/>
    <w:rsid w:val="00785E80"/>
    <w:rsid w:val="00785EF7"/>
    <w:rsid w:val="00785F05"/>
    <w:rsid w:val="00785F24"/>
    <w:rsid w:val="00785F27"/>
    <w:rsid w:val="00785F32"/>
    <w:rsid w:val="00785FAE"/>
    <w:rsid w:val="00785FE8"/>
    <w:rsid w:val="00786025"/>
    <w:rsid w:val="00786026"/>
    <w:rsid w:val="00786030"/>
    <w:rsid w:val="00786162"/>
    <w:rsid w:val="00786183"/>
    <w:rsid w:val="007861AC"/>
    <w:rsid w:val="007861DA"/>
    <w:rsid w:val="007861E6"/>
    <w:rsid w:val="00786241"/>
    <w:rsid w:val="00786263"/>
    <w:rsid w:val="007862A6"/>
    <w:rsid w:val="007862C3"/>
    <w:rsid w:val="0078630B"/>
    <w:rsid w:val="0078630D"/>
    <w:rsid w:val="0078636E"/>
    <w:rsid w:val="007863C9"/>
    <w:rsid w:val="007863F0"/>
    <w:rsid w:val="0078641C"/>
    <w:rsid w:val="00786427"/>
    <w:rsid w:val="0078644E"/>
    <w:rsid w:val="00786469"/>
    <w:rsid w:val="007864BE"/>
    <w:rsid w:val="007864D3"/>
    <w:rsid w:val="00786520"/>
    <w:rsid w:val="00786597"/>
    <w:rsid w:val="007865C8"/>
    <w:rsid w:val="007865E4"/>
    <w:rsid w:val="007865E6"/>
    <w:rsid w:val="00786602"/>
    <w:rsid w:val="00786604"/>
    <w:rsid w:val="007866C9"/>
    <w:rsid w:val="007866E9"/>
    <w:rsid w:val="0078672F"/>
    <w:rsid w:val="00786733"/>
    <w:rsid w:val="00786770"/>
    <w:rsid w:val="007867AE"/>
    <w:rsid w:val="00786800"/>
    <w:rsid w:val="00786857"/>
    <w:rsid w:val="0078689C"/>
    <w:rsid w:val="007868A6"/>
    <w:rsid w:val="007868C3"/>
    <w:rsid w:val="007868EA"/>
    <w:rsid w:val="00786A0C"/>
    <w:rsid w:val="00786A21"/>
    <w:rsid w:val="00786A40"/>
    <w:rsid w:val="00786A71"/>
    <w:rsid w:val="00786AA8"/>
    <w:rsid w:val="00786AB5"/>
    <w:rsid w:val="00786AC1"/>
    <w:rsid w:val="00786AF2"/>
    <w:rsid w:val="00786B2C"/>
    <w:rsid w:val="00786B5C"/>
    <w:rsid w:val="00786B7A"/>
    <w:rsid w:val="00786BA5"/>
    <w:rsid w:val="00786BB6"/>
    <w:rsid w:val="00786BC2"/>
    <w:rsid w:val="00786BEF"/>
    <w:rsid w:val="00786C39"/>
    <w:rsid w:val="00786C8C"/>
    <w:rsid w:val="00786CA2"/>
    <w:rsid w:val="00786CA7"/>
    <w:rsid w:val="00786CAE"/>
    <w:rsid w:val="00786CD6"/>
    <w:rsid w:val="00786D0F"/>
    <w:rsid w:val="00786DD2"/>
    <w:rsid w:val="00786EC9"/>
    <w:rsid w:val="00786ECC"/>
    <w:rsid w:val="00786EF6"/>
    <w:rsid w:val="00786EF7"/>
    <w:rsid w:val="00786F1F"/>
    <w:rsid w:val="00786F2B"/>
    <w:rsid w:val="00786FC2"/>
    <w:rsid w:val="00787021"/>
    <w:rsid w:val="00787043"/>
    <w:rsid w:val="0078705B"/>
    <w:rsid w:val="0078712F"/>
    <w:rsid w:val="00787167"/>
    <w:rsid w:val="007871BD"/>
    <w:rsid w:val="007871C9"/>
    <w:rsid w:val="00787217"/>
    <w:rsid w:val="0078725A"/>
    <w:rsid w:val="0078726E"/>
    <w:rsid w:val="00787276"/>
    <w:rsid w:val="0078728E"/>
    <w:rsid w:val="007872BF"/>
    <w:rsid w:val="007872E7"/>
    <w:rsid w:val="00787304"/>
    <w:rsid w:val="00787340"/>
    <w:rsid w:val="00787357"/>
    <w:rsid w:val="00787380"/>
    <w:rsid w:val="007873DE"/>
    <w:rsid w:val="007873F1"/>
    <w:rsid w:val="007873FA"/>
    <w:rsid w:val="007873FB"/>
    <w:rsid w:val="00787402"/>
    <w:rsid w:val="0078741B"/>
    <w:rsid w:val="00787463"/>
    <w:rsid w:val="007874EB"/>
    <w:rsid w:val="0078752D"/>
    <w:rsid w:val="00787581"/>
    <w:rsid w:val="00787586"/>
    <w:rsid w:val="007875BA"/>
    <w:rsid w:val="007875C4"/>
    <w:rsid w:val="00787608"/>
    <w:rsid w:val="00787654"/>
    <w:rsid w:val="0078769D"/>
    <w:rsid w:val="007876BA"/>
    <w:rsid w:val="007876E4"/>
    <w:rsid w:val="007876ED"/>
    <w:rsid w:val="0078778A"/>
    <w:rsid w:val="0078778C"/>
    <w:rsid w:val="007877DC"/>
    <w:rsid w:val="00787901"/>
    <w:rsid w:val="00787908"/>
    <w:rsid w:val="0078793F"/>
    <w:rsid w:val="00787968"/>
    <w:rsid w:val="007879A0"/>
    <w:rsid w:val="007879A6"/>
    <w:rsid w:val="007879CE"/>
    <w:rsid w:val="007879E7"/>
    <w:rsid w:val="007879FE"/>
    <w:rsid w:val="00787A0F"/>
    <w:rsid w:val="00787A5B"/>
    <w:rsid w:val="00787B23"/>
    <w:rsid w:val="00787B41"/>
    <w:rsid w:val="00787B67"/>
    <w:rsid w:val="00787BD6"/>
    <w:rsid w:val="00787BEF"/>
    <w:rsid w:val="00787C07"/>
    <w:rsid w:val="00787C3D"/>
    <w:rsid w:val="00787C99"/>
    <w:rsid w:val="00787D2D"/>
    <w:rsid w:val="00787D8E"/>
    <w:rsid w:val="00787DBC"/>
    <w:rsid w:val="00787DC1"/>
    <w:rsid w:val="00787DC7"/>
    <w:rsid w:val="00787E0A"/>
    <w:rsid w:val="00787E2C"/>
    <w:rsid w:val="00787EA3"/>
    <w:rsid w:val="00787EE5"/>
    <w:rsid w:val="00787F53"/>
    <w:rsid w:val="00787F54"/>
    <w:rsid w:val="00787F56"/>
    <w:rsid w:val="00787F73"/>
    <w:rsid w:val="00787FE5"/>
    <w:rsid w:val="00790072"/>
    <w:rsid w:val="00790081"/>
    <w:rsid w:val="007900F9"/>
    <w:rsid w:val="00790146"/>
    <w:rsid w:val="007901A6"/>
    <w:rsid w:val="007901D3"/>
    <w:rsid w:val="00790221"/>
    <w:rsid w:val="00790250"/>
    <w:rsid w:val="0079028C"/>
    <w:rsid w:val="007902BE"/>
    <w:rsid w:val="00790392"/>
    <w:rsid w:val="007903A7"/>
    <w:rsid w:val="00790421"/>
    <w:rsid w:val="0079042C"/>
    <w:rsid w:val="00790464"/>
    <w:rsid w:val="00790494"/>
    <w:rsid w:val="007904C2"/>
    <w:rsid w:val="0079050C"/>
    <w:rsid w:val="00790515"/>
    <w:rsid w:val="00790540"/>
    <w:rsid w:val="00790567"/>
    <w:rsid w:val="007905C8"/>
    <w:rsid w:val="007905CB"/>
    <w:rsid w:val="007906C8"/>
    <w:rsid w:val="007906CD"/>
    <w:rsid w:val="007906DA"/>
    <w:rsid w:val="0079071A"/>
    <w:rsid w:val="0079071E"/>
    <w:rsid w:val="0079072E"/>
    <w:rsid w:val="0079075D"/>
    <w:rsid w:val="0079076B"/>
    <w:rsid w:val="007907F2"/>
    <w:rsid w:val="0079082C"/>
    <w:rsid w:val="00790891"/>
    <w:rsid w:val="007908A4"/>
    <w:rsid w:val="00790900"/>
    <w:rsid w:val="0079091C"/>
    <w:rsid w:val="00790937"/>
    <w:rsid w:val="00790975"/>
    <w:rsid w:val="00790979"/>
    <w:rsid w:val="007909E1"/>
    <w:rsid w:val="00790A59"/>
    <w:rsid w:val="00790A69"/>
    <w:rsid w:val="00790A74"/>
    <w:rsid w:val="00790A80"/>
    <w:rsid w:val="00790A8F"/>
    <w:rsid w:val="00790AD9"/>
    <w:rsid w:val="00790B16"/>
    <w:rsid w:val="00790B28"/>
    <w:rsid w:val="00790B55"/>
    <w:rsid w:val="00790B8B"/>
    <w:rsid w:val="00790B9D"/>
    <w:rsid w:val="00790BB8"/>
    <w:rsid w:val="00790BF7"/>
    <w:rsid w:val="00790BFB"/>
    <w:rsid w:val="00790C4B"/>
    <w:rsid w:val="00790CC6"/>
    <w:rsid w:val="00790CD8"/>
    <w:rsid w:val="00790CF7"/>
    <w:rsid w:val="00790D0E"/>
    <w:rsid w:val="00790D3A"/>
    <w:rsid w:val="00790D4A"/>
    <w:rsid w:val="00790D6A"/>
    <w:rsid w:val="00790D8D"/>
    <w:rsid w:val="00790D90"/>
    <w:rsid w:val="00790D99"/>
    <w:rsid w:val="00790DDF"/>
    <w:rsid w:val="00790DF0"/>
    <w:rsid w:val="00790E0D"/>
    <w:rsid w:val="00790E21"/>
    <w:rsid w:val="00790E4E"/>
    <w:rsid w:val="00790EC1"/>
    <w:rsid w:val="00790EEC"/>
    <w:rsid w:val="00790F27"/>
    <w:rsid w:val="00790F76"/>
    <w:rsid w:val="00790F77"/>
    <w:rsid w:val="00790F8E"/>
    <w:rsid w:val="00790F9A"/>
    <w:rsid w:val="00790FF3"/>
    <w:rsid w:val="00791002"/>
    <w:rsid w:val="00791012"/>
    <w:rsid w:val="00791013"/>
    <w:rsid w:val="007910AC"/>
    <w:rsid w:val="007910CA"/>
    <w:rsid w:val="0079111C"/>
    <w:rsid w:val="00791174"/>
    <w:rsid w:val="00791191"/>
    <w:rsid w:val="007911A7"/>
    <w:rsid w:val="007911B5"/>
    <w:rsid w:val="007911FC"/>
    <w:rsid w:val="0079123B"/>
    <w:rsid w:val="00791256"/>
    <w:rsid w:val="0079128A"/>
    <w:rsid w:val="00791296"/>
    <w:rsid w:val="0079129F"/>
    <w:rsid w:val="007912EA"/>
    <w:rsid w:val="00791336"/>
    <w:rsid w:val="00791351"/>
    <w:rsid w:val="0079136D"/>
    <w:rsid w:val="007913D8"/>
    <w:rsid w:val="0079144D"/>
    <w:rsid w:val="0079147B"/>
    <w:rsid w:val="007914F4"/>
    <w:rsid w:val="00791504"/>
    <w:rsid w:val="00791512"/>
    <w:rsid w:val="00791528"/>
    <w:rsid w:val="0079158C"/>
    <w:rsid w:val="0079159B"/>
    <w:rsid w:val="0079159D"/>
    <w:rsid w:val="007915CB"/>
    <w:rsid w:val="007915CD"/>
    <w:rsid w:val="007915EA"/>
    <w:rsid w:val="00791601"/>
    <w:rsid w:val="00791615"/>
    <w:rsid w:val="0079166C"/>
    <w:rsid w:val="0079169A"/>
    <w:rsid w:val="007916A5"/>
    <w:rsid w:val="007916B3"/>
    <w:rsid w:val="007916B7"/>
    <w:rsid w:val="007916C4"/>
    <w:rsid w:val="007916D9"/>
    <w:rsid w:val="00791714"/>
    <w:rsid w:val="0079172C"/>
    <w:rsid w:val="0079173E"/>
    <w:rsid w:val="00791744"/>
    <w:rsid w:val="00791772"/>
    <w:rsid w:val="00791795"/>
    <w:rsid w:val="00791816"/>
    <w:rsid w:val="00791841"/>
    <w:rsid w:val="00791842"/>
    <w:rsid w:val="007918C0"/>
    <w:rsid w:val="00791931"/>
    <w:rsid w:val="007919C0"/>
    <w:rsid w:val="00791A30"/>
    <w:rsid w:val="00791A3F"/>
    <w:rsid w:val="00791A9A"/>
    <w:rsid w:val="00791AD0"/>
    <w:rsid w:val="00791B89"/>
    <w:rsid w:val="00791BA2"/>
    <w:rsid w:val="00791BEE"/>
    <w:rsid w:val="00791BFC"/>
    <w:rsid w:val="00791C40"/>
    <w:rsid w:val="00791C94"/>
    <w:rsid w:val="00791CFF"/>
    <w:rsid w:val="00791D00"/>
    <w:rsid w:val="00791D34"/>
    <w:rsid w:val="00791D53"/>
    <w:rsid w:val="00791D86"/>
    <w:rsid w:val="00791D88"/>
    <w:rsid w:val="00791DD5"/>
    <w:rsid w:val="00791DE7"/>
    <w:rsid w:val="00791E39"/>
    <w:rsid w:val="00791EB4"/>
    <w:rsid w:val="00791EB7"/>
    <w:rsid w:val="00791F36"/>
    <w:rsid w:val="00791F90"/>
    <w:rsid w:val="00791FD0"/>
    <w:rsid w:val="00791FF2"/>
    <w:rsid w:val="0079201B"/>
    <w:rsid w:val="00792053"/>
    <w:rsid w:val="00792058"/>
    <w:rsid w:val="00792063"/>
    <w:rsid w:val="0079211D"/>
    <w:rsid w:val="00792146"/>
    <w:rsid w:val="0079216C"/>
    <w:rsid w:val="00792181"/>
    <w:rsid w:val="0079218C"/>
    <w:rsid w:val="007921BC"/>
    <w:rsid w:val="007921CB"/>
    <w:rsid w:val="007921D5"/>
    <w:rsid w:val="007921F1"/>
    <w:rsid w:val="007921F6"/>
    <w:rsid w:val="00792236"/>
    <w:rsid w:val="00792256"/>
    <w:rsid w:val="0079225C"/>
    <w:rsid w:val="007922F9"/>
    <w:rsid w:val="007923E6"/>
    <w:rsid w:val="00792429"/>
    <w:rsid w:val="0079249B"/>
    <w:rsid w:val="007924C5"/>
    <w:rsid w:val="007924E0"/>
    <w:rsid w:val="00792528"/>
    <w:rsid w:val="00792576"/>
    <w:rsid w:val="0079257D"/>
    <w:rsid w:val="00792584"/>
    <w:rsid w:val="00792594"/>
    <w:rsid w:val="007925B3"/>
    <w:rsid w:val="007925FF"/>
    <w:rsid w:val="00792604"/>
    <w:rsid w:val="0079262D"/>
    <w:rsid w:val="00792688"/>
    <w:rsid w:val="00792732"/>
    <w:rsid w:val="0079276C"/>
    <w:rsid w:val="007927EE"/>
    <w:rsid w:val="0079280E"/>
    <w:rsid w:val="007928B4"/>
    <w:rsid w:val="007928DE"/>
    <w:rsid w:val="007928F5"/>
    <w:rsid w:val="0079290B"/>
    <w:rsid w:val="00792923"/>
    <w:rsid w:val="0079298A"/>
    <w:rsid w:val="00792A0D"/>
    <w:rsid w:val="00792A2A"/>
    <w:rsid w:val="00792A8B"/>
    <w:rsid w:val="00792AFC"/>
    <w:rsid w:val="00792B3E"/>
    <w:rsid w:val="00792B66"/>
    <w:rsid w:val="00792BCB"/>
    <w:rsid w:val="00792C99"/>
    <w:rsid w:val="00792CC8"/>
    <w:rsid w:val="00792D16"/>
    <w:rsid w:val="00792DA3"/>
    <w:rsid w:val="00792DDC"/>
    <w:rsid w:val="00792E9C"/>
    <w:rsid w:val="00792EC3"/>
    <w:rsid w:val="00792EDF"/>
    <w:rsid w:val="00792EED"/>
    <w:rsid w:val="00792EFF"/>
    <w:rsid w:val="00792F06"/>
    <w:rsid w:val="00792F50"/>
    <w:rsid w:val="00792F62"/>
    <w:rsid w:val="00792F9B"/>
    <w:rsid w:val="00792FF4"/>
    <w:rsid w:val="00792FF8"/>
    <w:rsid w:val="0079301C"/>
    <w:rsid w:val="00793032"/>
    <w:rsid w:val="00793038"/>
    <w:rsid w:val="0079303E"/>
    <w:rsid w:val="00793058"/>
    <w:rsid w:val="007930C4"/>
    <w:rsid w:val="00793128"/>
    <w:rsid w:val="0079319D"/>
    <w:rsid w:val="007931C0"/>
    <w:rsid w:val="007931CB"/>
    <w:rsid w:val="007931FD"/>
    <w:rsid w:val="00793235"/>
    <w:rsid w:val="00793254"/>
    <w:rsid w:val="0079328F"/>
    <w:rsid w:val="007932AE"/>
    <w:rsid w:val="007932F1"/>
    <w:rsid w:val="00793331"/>
    <w:rsid w:val="0079333B"/>
    <w:rsid w:val="007933B6"/>
    <w:rsid w:val="00793403"/>
    <w:rsid w:val="00793405"/>
    <w:rsid w:val="00793409"/>
    <w:rsid w:val="00793417"/>
    <w:rsid w:val="00793431"/>
    <w:rsid w:val="00793453"/>
    <w:rsid w:val="007934C2"/>
    <w:rsid w:val="007934C7"/>
    <w:rsid w:val="00793528"/>
    <w:rsid w:val="00793535"/>
    <w:rsid w:val="00793550"/>
    <w:rsid w:val="00793551"/>
    <w:rsid w:val="0079355E"/>
    <w:rsid w:val="00793568"/>
    <w:rsid w:val="00793578"/>
    <w:rsid w:val="007935A5"/>
    <w:rsid w:val="007935AE"/>
    <w:rsid w:val="007935B2"/>
    <w:rsid w:val="007935CB"/>
    <w:rsid w:val="007935D0"/>
    <w:rsid w:val="00793638"/>
    <w:rsid w:val="00793646"/>
    <w:rsid w:val="00793659"/>
    <w:rsid w:val="00793726"/>
    <w:rsid w:val="00793727"/>
    <w:rsid w:val="00793738"/>
    <w:rsid w:val="00793783"/>
    <w:rsid w:val="007937CC"/>
    <w:rsid w:val="007937F0"/>
    <w:rsid w:val="007937FE"/>
    <w:rsid w:val="00793885"/>
    <w:rsid w:val="007938A1"/>
    <w:rsid w:val="007938C6"/>
    <w:rsid w:val="007938CA"/>
    <w:rsid w:val="007938D5"/>
    <w:rsid w:val="0079392C"/>
    <w:rsid w:val="0079396B"/>
    <w:rsid w:val="0079396D"/>
    <w:rsid w:val="007939C1"/>
    <w:rsid w:val="00793A10"/>
    <w:rsid w:val="00793A8D"/>
    <w:rsid w:val="00793AA6"/>
    <w:rsid w:val="00793AAE"/>
    <w:rsid w:val="00793AD3"/>
    <w:rsid w:val="00793B1A"/>
    <w:rsid w:val="00793B1F"/>
    <w:rsid w:val="00793B6D"/>
    <w:rsid w:val="00793B7F"/>
    <w:rsid w:val="00793B86"/>
    <w:rsid w:val="00793BFA"/>
    <w:rsid w:val="00793C40"/>
    <w:rsid w:val="00793C5A"/>
    <w:rsid w:val="00793C6E"/>
    <w:rsid w:val="00793C79"/>
    <w:rsid w:val="00793C80"/>
    <w:rsid w:val="00793C8F"/>
    <w:rsid w:val="00793CA7"/>
    <w:rsid w:val="00793CCC"/>
    <w:rsid w:val="00793D0A"/>
    <w:rsid w:val="00793DDE"/>
    <w:rsid w:val="00793EB2"/>
    <w:rsid w:val="00793F00"/>
    <w:rsid w:val="00793F29"/>
    <w:rsid w:val="00793F37"/>
    <w:rsid w:val="00793F47"/>
    <w:rsid w:val="00793F4F"/>
    <w:rsid w:val="00793FA4"/>
    <w:rsid w:val="00793FB0"/>
    <w:rsid w:val="00793FCA"/>
    <w:rsid w:val="00793FCF"/>
    <w:rsid w:val="0079402F"/>
    <w:rsid w:val="00794043"/>
    <w:rsid w:val="0079404D"/>
    <w:rsid w:val="007940A1"/>
    <w:rsid w:val="007941FA"/>
    <w:rsid w:val="00794218"/>
    <w:rsid w:val="0079422B"/>
    <w:rsid w:val="0079422C"/>
    <w:rsid w:val="007942C4"/>
    <w:rsid w:val="007942CB"/>
    <w:rsid w:val="00794303"/>
    <w:rsid w:val="0079431A"/>
    <w:rsid w:val="00794330"/>
    <w:rsid w:val="00794337"/>
    <w:rsid w:val="00794338"/>
    <w:rsid w:val="00794365"/>
    <w:rsid w:val="00794395"/>
    <w:rsid w:val="00794397"/>
    <w:rsid w:val="00794439"/>
    <w:rsid w:val="00794474"/>
    <w:rsid w:val="007944F1"/>
    <w:rsid w:val="00794504"/>
    <w:rsid w:val="00794508"/>
    <w:rsid w:val="00794531"/>
    <w:rsid w:val="0079453E"/>
    <w:rsid w:val="00794632"/>
    <w:rsid w:val="00794635"/>
    <w:rsid w:val="0079467A"/>
    <w:rsid w:val="007946D6"/>
    <w:rsid w:val="0079471F"/>
    <w:rsid w:val="00794773"/>
    <w:rsid w:val="00794797"/>
    <w:rsid w:val="007947E0"/>
    <w:rsid w:val="007947E5"/>
    <w:rsid w:val="0079489C"/>
    <w:rsid w:val="007948A5"/>
    <w:rsid w:val="007948BD"/>
    <w:rsid w:val="007948EB"/>
    <w:rsid w:val="007948EE"/>
    <w:rsid w:val="0079496D"/>
    <w:rsid w:val="00794975"/>
    <w:rsid w:val="00794987"/>
    <w:rsid w:val="00794A09"/>
    <w:rsid w:val="00794A23"/>
    <w:rsid w:val="00794A2E"/>
    <w:rsid w:val="00794A38"/>
    <w:rsid w:val="00794A3A"/>
    <w:rsid w:val="00794A8B"/>
    <w:rsid w:val="00794A8C"/>
    <w:rsid w:val="00794ADD"/>
    <w:rsid w:val="00794AF3"/>
    <w:rsid w:val="00794B2C"/>
    <w:rsid w:val="00794B39"/>
    <w:rsid w:val="00794B42"/>
    <w:rsid w:val="00794B53"/>
    <w:rsid w:val="00794BBB"/>
    <w:rsid w:val="00794BD3"/>
    <w:rsid w:val="00794BEC"/>
    <w:rsid w:val="00794BF6"/>
    <w:rsid w:val="00794BFF"/>
    <w:rsid w:val="00794C19"/>
    <w:rsid w:val="00794C1F"/>
    <w:rsid w:val="00794C69"/>
    <w:rsid w:val="00794C8B"/>
    <w:rsid w:val="00794C94"/>
    <w:rsid w:val="00794C9E"/>
    <w:rsid w:val="00794CFB"/>
    <w:rsid w:val="00794DE6"/>
    <w:rsid w:val="00794DFD"/>
    <w:rsid w:val="00794E0D"/>
    <w:rsid w:val="00794E37"/>
    <w:rsid w:val="00794E76"/>
    <w:rsid w:val="00794EBC"/>
    <w:rsid w:val="00794F21"/>
    <w:rsid w:val="00794F56"/>
    <w:rsid w:val="00794F74"/>
    <w:rsid w:val="00794F75"/>
    <w:rsid w:val="0079503C"/>
    <w:rsid w:val="0079504E"/>
    <w:rsid w:val="00795074"/>
    <w:rsid w:val="00795085"/>
    <w:rsid w:val="007950DC"/>
    <w:rsid w:val="007950E4"/>
    <w:rsid w:val="0079510B"/>
    <w:rsid w:val="00795128"/>
    <w:rsid w:val="00795146"/>
    <w:rsid w:val="007951E2"/>
    <w:rsid w:val="00795206"/>
    <w:rsid w:val="00795209"/>
    <w:rsid w:val="0079520B"/>
    <w:rsid w:val="007952EC"/>
    <w:rsid w:val="007953C8"/>
    <w:rsid w:val="007953DE"/>
    <w:rsid w:val="007953E5"/>
    <w:rsid w:val="00795417"/>
    <w:rsid w:val="00795422"/>
    <w:rsid w:val="00795438"/>
    <w:rsid w:val="00795450"/>
    <w:rsid w:val="007954A5"/>
    <w:rsid w:val="007954A7"/>
    <w:rsid w:val="007954EB"/>
    <w:rsid w:val="007954FA"/>
    <w:rsid w:val="0079550E"/>
    <w:rsid w:val="00795516"/>
    <w:rsid w:val="0079552E"/>
    <w:rsid w:val="00795537"/>
    <w:rsid w:val="00795565"/>
    <w:rsid w:val="00795599"/>
    <w:rsid w:val="007955EF"/>
    <w:rsid w:val="007955F5"/>
    <w:rsid w:val="0079571B"/>
    <w:rsid w:val="0079571D"/>
    <w:rsid w:val="00795769"/>
    <w:rsid w:val="00795855"/>
    <w:rsid w:val="00795863"/>
    <w:rsid w:val="007958B9"/>
    <w:rsid w:val="00795917"/>
    <w:rsid w:val="00795942"/>
    <w:rsid w:val="00795995"/>
    <w:rsid w:val="007959BA"/>
    <w:rsid w:val="007959BD"/>
    <w:rsid w:val="007959BF"/>
    <w:rsid w:val="00795A01"/>
    <w:rsid w:val="00795A0E"/>
    <w:rsid w:val="00795A60"/>
    <w:rsid w:val="00795A77"/>
    <w:rsid w:val="00795A82"/>
    <w:rsid w:val="00795B22"/>
    <w:rsid w:val="00795B36"/>
    <w:rsid w:val="00795B50"/>
    <w:rsid w:val="00795B89"/>
    <w:rsid w:val="00795C23"/>
    <w:rsid w:val="00795C52"/>
    <w:rsid w:val="00795C5B"/>
    <w:rsid w:val="00795CA5"/>
    <w:rsid w:val="00795CDE"/>
    <w:rsid w:val="00795DEC"/>
    <w:rsid w:val="00795E03"/>
    <w:rsid w:val="00795E18"/>
    <w:rsid w:val="00795E28"/>
    <w:rsid w:val="00795E3B"/>
    <w:rsid w:val="00795E47"/>
    <w:rsid w:val="00795ED0"/>
    <w:rsid w:val="00795F16"/>
    <w:rsid w:val="00795F58"/>
    <w:rsid w:val="0079601E"/>
    <w:rsid w:val="00796046"/>
    <w:rsid w:val="007960D3"/>
    <w:rsid w:val="0079612D"/>
    <w:rsid w:val="00796181"/>
    <w:rsid w:val="007961AB"/>
    <w:rsid w:val="007961CD"/>
    <w:rsid w:val="00796280"/>
    <w:rsid w:val="0079629B"/>
    <w:rsid w:val="007962AA"/>
    <w:rsid w:val="007962B5"/>
    <w:rsid w:val="00796309"/>
    <w:rsid w:val="00796356"/>
    <w:rsid w:val="0079638F"/>
    <w:rsid w:val="00796418"/>
    <w:rsid w:val="00796426"/>
    <w:rsid w:val="00796444"/>
    <w:rsid w:val="0079646D"/>
    <w:rsid w:val="00796480"/>
    <w:rsid w:val="00796496"/>
    <w:rsid w:val="007964CD"/>
    <w:rsid w:val="007964E0"/>
    <w:rsid w:val="0079654A"/>
    <w:rsid w:val="00796584"/>
    <w:rsid w:val="007965D5"/>
    <w:rsid w:val="00796652"/>
    <w:rsid w:val="00796699"/>
    <w:rsid w:val="007966CC"/>
    <w:rsid w:val="007966D9"/>
    <w:rsid w:val="0079680D"/>
    <w:rsid w:val="00796817"/>
    <w:rsid w:val="00796851"/>
    <w:rsid w:val="0079685A"/>
    <w:rsid w:val="007968A7"/>
    <w:rsid w:val="007968C8"/>
    <w:rsid w:val="0079691E"/>
    <w:rsid w:val="0079692A"/>
    <w:rsid w:val="00796999"/>
    <w:rsid w:val="007969A8"/>
    <w:rsid w:val="007969D7"/>
    <w:rsid w:val="00796A57"/>
    <w:rsid w:val="00796A5D"/>
    <w:rsid w:val="00796AB9"/>
    <w:rsid w:val="00796ACF"/>
    <w:rsid w:val="00796B69"/>
    <w:rsid w:val="00796B8F"/>
    <w:rsid w:val="00796BA9"/>
    <w:rsid w:val="00796BC2"/>
    <w:rsid w:val="00796C17"/>
    <w:rsid w:val="00796C2E"/>
    <w:rsid w:val="00796C8C"/>
    <w:rsid w:val="00796D02"/>
    <w:rsid w:val="00796D26"/>
    <w:rsid w:val="00796D30"/>
    <w:rsid w:val="00796D94"/>
    <w:rsid w:val="00796DDF"/>
    <w:rsid w:val="00796E12"/>
    <w:rsid w:val="00796E40"/>
    <w:rsid w:val="00796E46"/>
    <w:rsid w:val="00796E5D"/>
    <w:rsid w:val="00796E91"/>
    <w:rsid w:val="00796EBB"/>
    <w:rsid w:val="00796ED5"/>
    <w:rsid w:val="00796F00"/>
    <w:rsid w:val="00796F35"/>
    <w:rsid w:val="00796F60"/>
    <w:rsid w:val="00796F73"/>
    <w:rsid w:val="00796FFD"/>
    <w:rsid w:val="0079702B"/>
    <w:rsid w:val="0079707D"/>
    <w:rsid w:val="0079707E"/>
    <w:rsid w:val="007970F2"/>
    <w:rsid w:val="00797167"/>
    <w:rsid w:val="0079719F"/>
    <w:rsid w:val="007971A4"/>
    <w:rsid w:val="00797246"/>
    <w:rsid w:val="00797248"/>
    <w:rsid w:val="00797298"/>
    <w:rsid w:val="007972D3"/>
    <w:rsid w:val="007972F4"/>
    <w:rsid w:val="00797317"/>
    <w:rsid w:val="00797353"/>
    <w:rsid w:val="00797377"/>
    <w:rsid w:val="0079738F"/>
    <w:rsid w:val="007973D6"/>
    <w:rsid w:val="007973DC"/>
    <w:rsid w:val="00797404"/>
    <w:rsid w:val="00797437"/>
    <w:rsid w:val="0079743A"/>
    <w:rsid w:val="00797451"/>
    <w:rsid w:val="0079746A"/>
    <w:rsid w:val="0079748B"/>
    <w:rsid w:val="007974B5"/>
    <w:rsid w:val="007974EC"/>
    <w:rsid w:val="00797553"/>
    <w:rsid w:val="00797554"/>
    <w:rsid w:val="007975EC"/>
    <w:rsid w:val="007975EE"/>
    <w:rsid w:val="007975F3"/>
    <w:rsid w:val="00797647"/>
    <w:rsid w:val="007976A1"/>
    <w:rsid w:val="007976B4"/>
    <w:rsid w:val="007976C9"/>
    <w:rsid w:val="007976E0"/>
    <w:rsid w:val="00797743"/>
    <w:rsid w:val="0079774A"/>
    <w:rsid w:val="0079775A"/>
    <w:rsid w:val="0079777D"/>
    <w:rsid w:val="00797794"/>
    <w:rsid w:val="007977D0"/>
    <w:rsid w:val="007977EE"/>
    <w:rsid w:val="0079782E"/>
    <w:rsid w:val="00797842"/>
    <w:rsid w:val="00797857"/>
    <w:rsid w:val="00797957"/>
    <w:rsid w:val="00797984"/>
    <w:rsid w:val="007979C4"/>
    <w:rsid w:val="00797A5D"/>
    <w:rsid w:val="00797A97"/>
    <w:rsid w:val="00797A9C"/>
    <w:rsid w:val="00797AE0"/>
    <w:rsid w:val="00797AED"/>
    <w:rsid w:val="00797BA6"/>
    <w:rsid w:val="00797BDC"/>
    <w:rsid w:val="00797BEE"/>
    <w:rsid w:val="00797BF1"/>
    <w:rsid w:val="00797C2B"/>
    <w:rsid w:val="00797C38"/>
    <w:rsid w:val="00797CB2"/>
    <w:rsid w:val="00797D50"/>
    <w:rsid w:val="00797D88"/>
    <w:rsid w:val="00797D9C"/>
    <w:rsid w:val="00797DDA"/>
    <w:rsid w:val="00797E2C"/>
    <w:rsid w:val="00797E65"/>
    <w:rsid w:val="00797E94"/>
    <w:rsid w:val="00797E9B"/>
    <w:rsid w:val="00797ED4"/>
    <w:rsid w:val="00797EFD"/>
    <w:rsid w:val="00797EFE"/>
    <w:rsid w:val="00797F3A"/>
    <w:rsid w:val="00797F3F"/>
    <w:rsid w:val="00797F5B"/>
    <w:rsid w:val="00797FA8"/>
    <w:rsid w:val="00797FD1"/>
    <w:rsid w:val="00797FD9"/>
    <w:rsid w:val="007A001A"/>
    <w:rsid w:val="007A0034"/>
    <w:rsid w:val="007A007C"/>
    <w:rsid w:val="007A008E"/>
    <w:rsid w:val="007A0104"/>
    <w:rsid w:val="007A0186"/>
    <w:rsid w:val="007A01BA"/>
    <w:rsid w:val="007A020E"/>
    <w:rsid w:val="007A022A"/>
    <w:rsid w:val="007A0262"/>
    <w:rsid w:val="007A0286"/>
    <w:rsid w:val="007A028B"/>
    <w:rsid w:val="007A02B8"/>
    <w:rsid w:val="007A02DD"/>
    <w:rsid w:val="007A02E8"/>
    <w:rsid w:val="007A0313"/>
    <w:rsid w:val="007A033F"/>
    <w:rsid w:val="007A0349"/>
    <w:rsid w:val="007A047F"/>
    <w:rsid w:val="007A0481"/>
    <w:rsid w:val="007A048A"/>
    <w:rsid w:val="007A0492"/>
    <w:rsid w:val="007A04D6"/>
    <w:rsid w:val="007A04DE"/>
    <w:rsid w:val="007A04F0"/>
    <w:rsid w:val="007A052C"/>
    <w:rsid w:val="007A0532"/>
    <w:rsid w:val="007A0554"/>
    <w:rsid w:val="007A0560"/>
    <w:rsid w:val="007A0567"/>
    <w:rsid w:val="007A06C5"/>
    <w:rsid w:val="007A075F"/>
    <w:rsid w:val="007A076D"/>
    <w:rsid w:val="007A0776"/>
    <w:rsid w:val="007A079E"/>
    <w:rsid w:val="007A07A9"/>
    <w:rsid w:val="007A07C7"/>
    <w:rsid w:val="007A07C9"/>
    <w:rsid w:val="007A08D0"/>
    <w:rsid w:val="007A08E8"/>
    <w:rsid w:val="007A091E"/>
    <w:rsid w:val="007A091F"/>
    <w:rsid w:val="007A095C"/>
    <w:rsid w:val="007A096F"/>
    <w:rsid w:val="007A09B6"/>
    <w:rsid w:val="007A09B8"/>
    <w:rsid w:val="007A09D2"/>
    <w:rsid w:val="007A0A53"/>
    <w:rsid w:val="007A0A73"/>
    <w:rsid w:val="007A0A7E"/>
    <w:rsid w:val="007A0A84"/>
    <w:rsid w:val="007A0A90"/>
    <w:rsid w:val="007A0B01"/>
    <w:rsid w:val="007A0B5E"/>
    <w:rsid w:val="007A0B79"/>
    <w:rsid w:val="007A0BBF"/>
    <w:rsid w:val="007A0C39"/>
    <w:rsid w:val="007A0CC0"/>
    <w:rsid w:val="007A0D02"/>
    <w:rsid w:val="007A0D13"/>
    <w:rsid w:val="007A0D61"/>
    <w:rsid w:val="007A0D73"/>
    <w:rsid w:val="007A0DFB"/>
    <w:rsid w:val="007A0DFD"/>
    <w:rsid w:val="007A0E15"/>
    <w:rsid w:val="007A0E44"/>
    <w:rsid w:val="007A0E47"/>
    <w:rsid w:val="007A0EB9"/>
    <w:rsid w:val="007A0F0C"/>
    <w:rsid w:val="007A0F10"/>
    <w:rsid w:val="007A0F27"/>
    <w:rsid w:val="007A0F56"/>
    <w:rsid w:val="007A0F59"/>
    <w:rsid w:val="007A0F8D"/>
    <w:rsid w:val="007A1027"/>
    <w:rsid w:val="007A10F2"/>
    <w:rsid w:val="007A110C"/>
    <w:rsid w:val="007A110E"/>
    <w:rsid w:val="007A1197"/>
    <w:rsid w:val="007A11AA"/>
    <w:rsid w:val="007A11EF"/>
    <w:rsid w:val="007A11F6"/>
    <w:rsid w:val="007A128E"/>
    <w:rsid w:val="007A1314"/>
    <w:rsid w:val="007A133C"/>
    <w:rsid w:val="007A1345"/>
    <w:rsid w:val="007A13A6"/>
    <w:rsid w:val="007A13B4"/>
    <w:rsid w:val="007A13E1"/>
    <w:rsid w:val="007A141A"/>
    <w:rsid w:val="007A1485"/>
    <w:rsid w:val="007A1488"/>
    <w:rsid w:val="007A1493"/>
    <w:rsid w:val="007A1497"/>
    <w:rsid w:val="007A14B5"/>
    <w:rsid w:val="007A14F2"/>
    <w:rsid w:val="007A1510"/>
    <w:rsid w:val="007A1533"/>
    <w:rsid w:val="007A155A"/>
    <w:rsid w:val="007A159F"/>
    <w:rsid w:val="007A15D3"/>
    <w:rsid w:val="007A15DE"/>
    <w:rsid w:val="007A1608"/>
    <w:rsid w:val="007A1665"/>
    <w:rsid w:val="007A16C1"/>
    <w:rsid w:val="007A1745"/>
    <w:rsid w:val="007A178B"/>
    <w:rsid w:val="007A178C"/>
    <w:rsid w:val="007A1805"/>
    <w:rsid w:val="007A182E"/>
    <w:rsid w:val="007A1864"/>
    <w:rsid w:val="007A187F"/>
    <w:rsid w:val="007A1880"/>
    <w:rsid w:val="007A189D"/>
    <w:rsid w:val="007A18FA"/>
    <w:rsid w:val="007A1951"/>
    <w:rsid w:val="007A1978"/>
    <w:rsid w:val="007A19A2"/>
    <w:rsid w:val="007A19BE"/>
    <w:rsid w:val="007A1A5A"/>
    <w:rsid w:val="007A1A5F"/>
    <w:rsid w:val="007A1A6D"/>
    <w:rsid w:val="007A1AD9"/>
    <w:rsid w:val="007A1B0C"/>
    <w:rsid w:val="007A1B3D"/>
    <w:rsid w:val="007A1B48"/>
    <w:rsid w:val="007A1B6C"/>
    <w:rsid w:val="007A1BD2"/>
    <w:rsid w:val="007A1C74"/>
    <w:rsid w:val="007A1C7E"/>
    <w:rsid w:val="007A1CAB"/>
    <w:rsid w:val="007A1CC2"/>
    <w:rsid w:val="007A1CF9"/>
    <w:rsid w:val="007A1D0B"/>
    <w:rsid w:val="007A1D29"/>
    <w:rsid w:val="007A1D99"/>
    <w:rsid w:val="007A1E13"/>
    <w:rsid w:val="007A1E45"/>
    <w:rsid w:val="007A1E54"/>
    <w:rsid w:val="007A1E70"/>
    <w:rsid w:val="007A1E79"/>
    <w:rsid w:val="007A1E90"/>
    <w:rsid w:val="007A1EA7"/>
    <w:rsid w:val="007A1F20"/>
    <w:rsid w:val="007A1FBF"/>
    <w:rsid w:val="007A201D"/>
    <w:rsid w:val="007A2062"/>
    <w:rsid w:val="007A2071"/>
    <w:rsid w:val="007A207F"/>
    <w:rsid w:val="007A2097"/>
    <w:rsid w:val="007A209C"/>
    <w:rsid w:val="007A20AF"/>
    <w:rsid w:val="007A20D0"/>
    <w:rsid w:val="007A20D5"/>
    <w:rsid w:val="007A20E9"/>
    <w:rsid w:val="007A2118"/>
    <w:rsid w:val="007A2150"/>
    <w:rsid w:val="007A2168"/>
    <w:rsid w:val="007A2171"/>
    <w:rsid w:val="007A21CA"/>
    <w:rsid w:val="007A21E1"/>
    <w:rsid w:val="007A21F5"/>
    <w:rsid w:val="007A221B"/>
    <w:rsid w:val="007A2248"/>
    <w:rsid w:val="007A2263"/>
    <w:rsid w:val="007A2294"/>
    <w:rsid w:val="007A22BD"/>
    <w:rsid w:val="007A22EE"/>
    <w:rsid w:val="007A22FF"/>
    <w:rsid w:val="007A2337"/>
    <w:rsid w:val="007A23CC"/>
    <w:rsid w:val="007A23CD"/>
    <w:rsid w:val="007A23F8"/>
    <w:rsid w:val="007A2445"/>
    <w:rsid w:val="007A24A0"/>
    <w:rsid w:val="007A24BA"/>
    <w:rsid w:val="007A24D8"/>
    <w:rsid w:val="007A252E"/>
    <w:rsid w:val="007A2581"/>
    <w:rsid w:val="007A2587"/>
    <w:rsid w:val="007A25A0"/>
    <w:rsid w:val="007A25A9"/>
    <w:rsid w:val="007A25C9"/>
    <w:rsid w:val="007A25ED"/>
    <w:rsid w:val="007A2619"/>
    <w:rsid w:val="007A2675"/>
    <w:rsid w:val="007A26E1"/>
    <w:rsid w:val="007A26FB"/>
    <w:rsid w:val="007A2739"/>
    <w:rsid w:val="007A2742"/>
    <w:rsid w:val="007A27CA"/>
    <w:rsid w:val="007A27D4"/>
    <w:rsid w:val="007A28CB"/>
    <w:rsid w:val="007A2918"/>
    <w:rsid w:val="007A294D"/>
    <w:rsid w:val="007A295B"/>
    <w:rsid w:val="007A2999"/>
    <w:rsid w:val="007A29AB"/>
    <w:rsid w:val="007A29C9"/>
    <w:rsid w:val="007A29FF"/>
    <w:rsid w:val="007A2A0E"/>
    <w:rsid w:val="007A2B1E"/>
    <w:rsid w:val="007A2B5E"/>
    <w:rsid w:val="007A2B5F"/>
    <w:rsid w:val="007A2B99"/>
    <w:rsid w:val="007A2BB8"/>
    <w:rsid w:val="007A2BDF"/>
    <w:rsid w:val="007A2C06"/>
    <w:rsid w:val="007A2C2C"/>
    <w:rsid w:val="007A2C5B"/>
    <w:rsid w:val="007A2CCC"/>
    <w:rsid w:val="007A2CCE"/>
    <w:rsid w:val="007A2CF7"/>
    <w:rsid w:val="007A2D62"/>
    <w:rsid w:val="007A2D7E"/>
    <w:rsid w:val="007A2E15"/>
    <w:rsid w:val="007A2E9A"/>
    <w:rsid w:val="007A2EBD"/>
    <w:rsid w:val="007A2F07"/>
    <w:rsid w:val="007A2F72"/>
    <w:rsid w:val="007A2F7E"/>
    <w:rsid w:val="007A2FA3"/>
    <w:rsid w:val="007A2FB7"/>
    <w:rsid w:val="007A3084"/>
    <w:rsid w:val="007A30B1"/>
    <w:rsid w:val="007A30B6"/>
    <w:rsid w:val="007A30B9"/>
    <w:rsid w:val="007A30FA"/>
    <w:rsid w:val="007A3149"/>
    <w:rsid w:val="007A3154"/>
    <w:rsid w:val="007A3156"/>
    <w:rsid w:val="007A31DB"/>
    <w:rsid w:val="007A31E9"/>
    <w:rsid w:val="007A3249"/>
    <w:rsid w:val="007A3267"/>
    <w:rsid w:val="007A32B4"/>
    <w:rsid w:val="007A32BB"/>
    <w:rsid w:val="007A336C"/>
    <w:rsid w:val="007A3374"/>
    <w:rsid w:val="007A33E5"/>
    <w:rsid w:val="007A33F7"/>
    <w:rsid w:val="007A33F8"/>
    <w:rsid w:val="007A3434"/>
    <w:rsid w:val="007A3558"/>
    <w:rsid w:val="007A359B"/>
    <w:rsid w:val="007A35BA"/>
    <w:rsid w:val="007A35BD"/>
    <w:rsid w:val="007A35D0"/>
    <w:rsid w:val="007A364A"/>
    <w:rsid w:val="007A3652"/>
    <w:rsid w:val="007A3670"/>
    <w:rsid w:val="007A3693"/>
    <w:rsid w:val="007A36A6"/>
    <w:rsid w:val="007A371A"/>
    <w:rsid w:val="007A3748"/>
    <w:rsid w:val="007A3787"/>
    <w:rsid w:val="007A37AF"/>
    <w:rsid w:val="007A37E8"/>
    <w:rsid w:val="007A37FF"/>
    <w:rsid w:val="007A382A"/>
    <w:rsid w:val="007A3831"/>
    <w:rsid w:val="007A38B5"/>
    <w:rsid w:val="007A3948"/>
    <w:rsid w:val="007A394F"/>
    <w:rsid w:val="007A396E"/>
    <w:rsid w:val="007A3975"/>
    <w:rsid w:val="007A39C8"/>
    <w:rsid w:val="007A3A02"/>
    <w:rsid w:val="007A3A41"/>
    <w:rsid w:val="007A3A6E"/>
    <w:rsid w:val="007A3B38"/>
    <w:rsid w:val="007A3B55"/>
    <w:rsid w:val="007A3BA3"/>
    <w:rsid w:val="007A3BAF"/>
    <w:rsid w:val="007A3BB9"/>
    <w:rsid w:val="007A3C0A"/>
    <w:rsid w:val="007A3C10"/>
    <w:rsid w:val="007A3C1B"/>
    <w:rsid w:val="007A3C80"/>
    <w:rsid w:val="007A3CB3"/>
    <w:rsid w:val="007A3D16"/>
    <w:rsid w:val="007A3D45"/>
    <w:rsid w:val="007A3D7A"/>
    <w:rsid w:val="007A3D7B"/>
    <w:rsid w:val="007A3DAA"/>
    <w:rsid w:val="007A3E36"/>
    <w:rsid w:val="007A3E7C"/>
    <w:rsid w:val="007A3EAF"/>
    <w:rsid w:val="007A3EEE"/>
    <w:rsid w:val="007A3F0B"/>
    <w:rsid w:val="007A3F19"/>
    <w:rsid w:val="007A3F95"/>
    <w:rsid w:val="007A3FCD"/>
    <w:rsid w:val="007A3FF9"/>
    <w:rsid w:val="007A4014"/>
    <w:rsid w:val="007A4068"/>
    <w:rsid w:val="007A4084"/>
    <w:rsid w:val="007A40B5"/>
    <w:rsid w:val="007A40BC"/>
    <w:rsid w:val="007A40DC"/>
    <w:rsid w:val="007A4120"/>
    <w:rsid w:val="007A4148"/>
    <w:rsid w:val="007A41D2"/>
    <w:rsid w:val="007A420D"/>
    <w:rsid w:val="007A4225"/>
    <w:rsid w:val="007A4231"/>
    <w:rsid w:val="007A427E"/>
    <w:rsid w:val="007A428F"/>
    <w:rsid w:val="007A42D2"/>
    <w:rsid w:val="007A42F2"/>
    <w:rsid w:val="007A43EA"/>
    <w:rsid w:val="007A43F4"/>
    <w:rsid w:val="007A442D"/>
    <w:rsid w:val="007A4440"/>
    <w:rsid w:val="007A444F"/>
    <w:rsid w:val="007A446C"/>
    <w:rsid w:val="007A45C1"/>
    <w:rsid w:val="007A45F7"/>
    <w:rsid w:val="007A4607"/>
    <w:rsid w:val="007A4619"/>
    <w:rsid w:val="007A461F"/>
    <w:rsid w:val="007A4688"/>
    <w:rsid w:val="007A46A9"/>
    <w:rsid w:val="007A46E8"/>
    <w:rsid w:val="007A4726"/>
    <w:rsid w:val="007A4740"/>
    <w:rsid w:val="007A479D"/>
    <w:rsid w:val="007A47F3"/>
    <w:rsid w:val="007A480D"/>
    <w:rsid w:val="007A4889"/>
    <w:rsid w:val="007A492D"/>
    <w:rsid w:val="007A4931"/>
    <w:rsid w:val="007A49DD"/>
    <w:rsid w:val="007A49EB"/>
    <w:rsid w:val="007A4AD5"/>
    <w:rsid w:val="007A4B32"/>
    <w:rsid w:val="007A4B49"/>
    <w:rsid w:val="007A4C30"/>
    <w:rsid w:val="007A4C84"/>
    <w:rsid w:val="007A4CE8"/>
    <w:rsid w:val="007A4D0E"/>
    <w:rsid w:val="007A4D46"/>
    <w:rsid w:val="007A4E1B"/>
    <w:rsid w:val="007A4E27"/>
    <w:rsid w:val="007A4E4D"/>
    <w:rsid w:val="007A4E62"/>
    <w:rsid w:val="007A4EEA"/>
    <w:rsid w:val="007A4EF9"/>
    <w:rsid w:val="007A4F02"/>
    <w:rsid w:val="007A4F20"/>
    <w:rsid w:val="007A4F27"/>
    <w:rsid w:val="007A4F62"/>
    <w:rsid w:val="007A4F71"/>
    <w:rsid w:val="007A5011"/>
    <w:rsid w:val="007A5013"/>
    <w:rsid w:val="007A504B"/>
    <w:rsid w:val="007A507E"/>
    <w:rsid w:val="007A50C5"/>
    <w:rsid w:val="007A50E4"/>
    <w:rsid w:val="007A50EB"/>
    <w:rsid w:val="007A5183"/>
    <w:rsid w:val="007A519B"/>
    <w:rsid w:val="007A51A6"/>
    <w:rsid w:val="007A51E8"/>
    <w:rsid w:val="007A523A"/>
    <w:rsid w:val="007A5289"/>
    <w:rsid w:val="007A52DF"/>
    <w:rsid w:val="007A52F8"/>
    <w:rsid w:val="007A52FD"/>
    <w:rsid w:val="007A5386"/>
    <w:rsid w:val="007A53A4"/>
    <w:rsid w:val="007A53AB"/>
    <w:rsid w:val="007A53E4"/>
    <w:rsid w:val="007A5418"/>
    <w:rsid w:val="007A5426"/>
    <w:rsid w:val="007A5484"/>
    <w:rsid w:val="007A5486"/>
    <w:rsid w:val="007A54A9"/>
    <w:rsid w:val="007A54EE"/>
    <w:rsid w:val="007A5568"/>
    <w:rsid w:val="007A55A9"/>
    <w:rsid w:val="007A55F7"/>
    <w:rsid w:val="007A5634"/>
    <w:rsid w:val="007A5670"/>
    <w:rsid w:val="007A56BD"/>
    <w:rsid w:val="007A5722"/>
    <w:rsid w:val="007A5726"/>
    <w:rsid w:val="007A5789"/>
    <w:rsid w:val="007A57E2"/>
    <w:rsid w:val="007A580A"/>
    <w:rsid w:val="007A5833"/>
    <w:rsid w:val="007A58B4"/>
    <w:rsid w:val="007A58C7"/>
    <w:rsid w:val="007A58F9"/>
    <w:rsid w:val="007A598D"/>
    <w:rsid w:val="007A59A0"/>
    <w:rsid w:val="007A59C8"/>
    <w:rsid w:val="007A59CA"/>
    <w:rsid w:val="007A5A1B"/>
    <w:rsid w:val="007A5A51"/>
    <w:rsid w:val="007A5AAD"/>
    <w:rsid w:val="007A5AC0"/>
    <w:rsid w:val="007A5B69"/>
    <w:rsid w:val="007A5B83"/>
    <w:rsid w:val="007A5D02"/>
    <w:rsid w:val="007A5D31"/>
    <w:rsid w:val="007A5D4B"/>
    <w:rsid w:val="007A5D59"/>
    <w:rsid w:val="007A5DA9"/>
    <w:rsid w:val="007A5DC8"/>
    <w:rsid w:val="007A5E3B"/>
    <w:rsid w:val="007A5E60"/>
    <w:rsid w:val="007A5E6A"/>
    <w:rsid w:val="007A5EA6"/>
    <w:rsid w:val="007A5EFD"/>
    <w:rsid w:val="007A5F02"/>
    <w:rsid w:val="007A5F35"/>
    <w:rsid w:val="007A5F5C"/>
    <w:rsid w:val="007A5F6A"/>
    <w:rsid w:val="007A5FAA"/>
    <w:rsid w:val="007A5FC8"/>
    <w:rsid w:val="007A5FD0"/>
    <w:rsid w:val="007A5FF2"/>
    <w:rsid w:val="007A6024"/>
    <w:rsid w:val="007A604B"/>
    <w:rsid w:val="007A6098"/>
    <w:rsid w:val="007A60A4"/>
    <w:rsid w:val="007A60D0"/>
    <w:rsid w:val="007A60D5"/>
    <w:rsid w:val="007A6127"/>
    <w:rsid w:val="007A618A"/>
    <w:rsid w:val="007A61CD"/>
    <w:rsid w:val="007A61F1"/>
    <w:rsid w:val="007A6214"/>
    <w:rsid w:val="007A6230"/>
    <w:rsid w:val="007A623C"/>
    <w:rsid w:val="007A6281"/>
    <w:rsid w:val="007A62BE"/>
    <w:rsid w:val="007A62D0"/>
    <w:rsid w:val="007A630B"/>
    <w:rsid w:val="007A633F"/>
    <w:rsid w:val="007A6426"/>
    <w:rsid w:val="007A6439"/>
    <w:rsid w:val="007A64B0"/>
    <w:rsid w:val="007A650A"/>
    <w:rsid w:val="007A6530"/>
    <w:rsid w:val="007A6554"/>
    <w:rsid w:val="007A659E"/>
    <w:rsid w:val="007A65D8"/>
    <w:rsid w:val="007A6610"/>
    <w:rsid w:val="007A661C"/>
    <w:rsid w:val="007A662B"/>
    <w:rsid w:val="007A6636"/>
    <w:rsid w:val="007A6682"/>
    <w:rsid w:val="007A66C8"/>
    <w:rsid w:val="007A66CD"/>
    <w:rsid w:val="007A66F2"/>
    <w:rsid w:val="007A6723"/>
    <w:rsid w:val="007A6755"/>
    <w:rsid w:val="007A6790"/>
    <w:rsid w:val="007A67A3"/>
    <w:rsid w:val="007A684C"/>
    <w:rsid w:val="007A68B4"/>
    <w:rsid w:val="007A68C5"/>
    <w:rsid w:val="007A68FE"/>
    <w:rsid w:val="007A6904"/>
    <w:rsid w:val="007A69BA"/>
    <w:rsid w:val="007A6A2A"/>
    <w:rsid w:val="007A6A37"/>
    <w:rsid w:val="007A6AAF"/>
    <w:rsid w:val="007A6ABE"/>
    <w:rsid w:val="007A6AF0"/>
    <w:rsid w:val="007A6B2F"/>
    <w:rsid w:val="007A6B47"/>
    <w:rsid w:val="007A6B65"/>
    <w:rsid w:val="007A6B69"/>
    <w:rsid w:val="007A6B6D"/>
    <w:rsid w:val="007A6B9D"/>
    <w:rsid w:val="007A6C40"/>
    <w:rsid w:val="007A6C81"/>
    <w:rsid w:val="007A6C8B"/>
    <w:rsid w:val="007A6CBA"/>
    <w:rsid w:val="007A6CED"/>
    <w:rsid w:val="007A6D46"/>
    <w:rsid w:val="007A6D53"/>
    <w:rsid w:val="007A6D62"/>
    <w:rsid w:val="007A6D6F"/>
    <w:rsid w:val="007A6D72"/>
    <w:rsid w:val="007A6DC0"/>
    <w:rsid w:val="007A6EBE"/>
    <w:rsid w:val="007A6F20"/>
    <w:rsid w:val="007A6F22"/>
    <w:rsid w:val="007A6F76"/>
    <w:rsid w:val="007A6FDB"/>
    <w:rsid w:val="007A7000"/>
    <w:rsid w:val="007A7089"/>
    <w:rsid w:val="007A708A"/>
    <w:rsid w:val="007A7141"/>
    <w:rsid w:val="007A7148"/>
    <w:rsid w:val="007A724E"/>
    <w:rsid w:val="007A72D1"/>
    <w:rsid w:val="007A7307"/>
    <w:rsid w:val="007A732F"/>
    <w:rsid w:val="007A7379"/>
    <w:rsid w:val="007A737A"/>
    <w:rsid w:val="007A7398"/>
    <w:rsid w:val="007A73D5"/>
    <w:rsid w:val="007A745D"/>
    <w:rsid w:val="007A7462"/>
    <w:rsid w:val="007A747C"/>
    <w:rsid w:val="007A7486"/>
    <w:rsid w:val="007A74F2"/>
    <w:rsid w:val="007A750C"/>
    <w:rsid w:val="007A7517"/>
    <w:rsid w:val="007A75BB"/>
    <w:rsid w:val="007A762D"/>
    <w:rsid w:val="007A7639"/>
    <w:rsid w:val="007A7660"/>
    <w:rsid w:val="007A76C2"/>
    <w:rsid w:val="007A7767"/>
    <w:rsid w:val="007A778E"/>
    <w:rsid w:val="007A77CE"/>
    <w:rsid w:val="007A785E"/>
    <w:rsid w:val="007A7920"/>
    <w:rsid w:val="007A7934"/>
    <w:rsid w:val="007A795D"/>
    <w:rsid w:val="007A796C"/>
    <w:rsid w:val="007A79E0"/>
    <w:rsid w:val="007A79EF"/>
    <w:rsid w:val="007A7A12"/>
    <w:rsid w:val="007A7A8A"/>
    <w:rsid w:val="007A7B4B"/>
    <w:rsid w:val="007A7B5E"/>
    <w:rsid w:val="007A7B83"/>
    <w:rsid w:val="007A7C0F"/>
    <w:rsid w:val="007A7C55"/>
    <w:rsid w:val="007A7C67"/>
    <w:rsid w:val="007A7CB9"/>
    <w:rsid w:val="007A7D03"/>
    <w:rsid w:val="007A7D11"/>
    <w:rsid w:val="007A7D16"/>
    <w:rsid w:val="007A7D48"/>
    <w:rsid w:val="007A7D71"/>
    <w:rsid w:val="007A7DAF"/>
    <w:rsid w:val="007A7DE7"/>
    <w:rsid w:val="007A7E2B"/>
    <w:rsid w:val="007A7E88"/>
    <w:rsid w:val="007A7ECD"/>
    <w:rsid w:val="007A7EEC"/>
    <w:rsid w:val="007A7F5C"/>
    <w:rsid w:val="007A7FA3"/>
    <w:rsid w:val="007B0020"/>
    <w:rsid w:val="007B00C1"/>
    <w:rsid w:val="007B00CF"/>
    <w:rsid w:val="007B00F8"/>
    <w:rsid w:val="007B014D"/>
    <w:rsid w:val="007B01BC"/>
    <w:rsid w:val="007B0202"/>
    <w:rsid w:val="007B0250"/>
    <w:rsid w:val="007B0256"/>
    <w:rsid w:val="007B026B"/>
    <w:rsid w:val="007B02A1"/>
    <w:rsid w:val="007B02B3"/>
    <w:rsid w:val="007B02CA"/>
    <w:rsid w:val="007B031F"/>
    <w:rsid w:val="007B0332"/>
    <w:rsid w:val="007B0354"/>
    <w:rsid w:val="007B035E"/>
    <w:rsid w:val="007B0395"/>
    <w:rsid w:val="007B0466"/>
    <w:rsid w:val="007B0469"/>
    <w:rsid w:val="007B0503"/>
    <w:rsid w:val="007B0540"/>
    <w:rsid w:val="007B0620"/>
    <w:rsid w:val="007B0631"/>
    <w:rsid w:val="007B06ED"/>
    <w:rsid w:val="007B06F3"/>
    <w:rsid w:val="007B071C"/>
    <w:rsid w:val="007B0755"/>
    <w:rsid w:val="007B0771"/>
    <w:rsid w:val="007B079D"/>
    <w:rsid w:val="007B07DE"/>
    <w:rsid w:val="007B07F5"/>
    <w:rsid w:val="007B0876"/>
    <w:rsid w:val="007B08AE"/>
    <w:rsid w:val="007B08CB"/>
    <w:rsid w:val="007B08CE"/>
    <w:rsid w:val="007B08EE"/>
    <w:rsid w:val="007B09B9"/>
    <w:rsid w:val="007B09EB"/>
    <w:rsid w:val="007B0A3C"/>
    <w:rsid w:val="007B0A7B"/>
    <w:rsid w:val="007B0A7E"/>
    <w:rsid w:val="007B0AA0"/>
    <w:rsid w:val="007B0ADC"/>
    <w:rsid w:val="007B0B10"/>
    <w:rsid w:val="007B0B52"/>
    <w:rsid w:val="007B0B54"/>
    <w:rsid w:val="007B0BF7"/>
    <w:rsid w:val="007B0BFE"/>
    <w:rsid w:val="007B0C2A"/>
    <w:rsid w:val="007B0CD7"/>
    <w:rsid w:val="007B0D06"/>
    <w:rsid w:val="007B0D58"/>
    <w:rsid w:val="007B0DA0"/>
    <w:rsid w:val="007B0E46"/>
    <w:rsid w:val="007B0EC3"/>
    <w:rsid w:val="007B0EFE"/>
    <w:rsid w:val="007B0F02"/>
    <w:rsid w:val="007B0F26"/>
    <w:rsid w:val="007B0F59"/>
    <w:rsid w:val="007B0F79"/>
    <w:rsid w:val="007B0F8F"/>
    <w:rsid w:val="007B0FB3"/>
    <w:rsid w:val="007B0FEA"/>
    <w:rsid w:val="007B1001"/>
    <w:rsid w:val="007B1020"/>
    <w:rsid w:val="007B10D8"/>
    <w:rsid w:val="007B111E"/>
    <w:rsid w:val="007B1152"/>
    <w:rsid w:val="007B1162"/>
    <w:rsid w:val="007B11EB"/>
    <w:rsid w:val="007B11F1"/>
    <w:rsid w:val="007B122A"/>
    <w:rsid w:val="007B128F"/>
    <w:rsid w:val="007B1339"/>
    <w:rsid w:val="007B133E"/>
    <w:rsid w:val="007B1393"/>
    <w:rsid w:val="007B13E1"/>
    <w:rsid w:val="007B13E3"/>
    <w:rsid w:val="007B1412"/>
    <w:rsid w:val="007B1473"/>
    <w:rsid w:val="007B147C"/>
    <w:rsid w:val="007B1486"/>
    <w:rsid w:val="007B14A9"/>
    <w:rsid w:val="007B14AC"/>
    <w:rsid w:val="007B14CB"/>
    <w:rsid w:val="007B14FA"/>
    <w:rsid w:val="007B152C"/>
    <w:rsid w:val="007B153C"/>
    <w:rsid w:val="007B1551"/>
    <w:rsid w:val="007B1554"/>
    <w:rsid w:val="007B156E"/>
    <w:rsid w:val="007B1579"/>
    <w:rsid w:val="007B1596"/>
    <w:rsid w:val="007B159A"/>
    <w:rsid w:val="007B16B4"/>
    <w:rsid w:val="007B16BA"/>
    <w:rsid w:val="007B16DD"/>
    <w:rsid w:val="007B1717"/>
    <w:rsid w:val="007B17B5"/>
    <w:rsid w:val="007B17EE"/>
    <w:rsid w:val="007B17F3"/>
    <w:rsid w:val="007B1803"/>
    <w:rsid w:val="007B1840"/>
    <w:rsid w:val="007B1862"/>
    <w:rsid w:val="007B18C7"/>
    <w:rsid w:val="007B1960"/>
    <w:rsid w:val="007B1981"/>
    <w:rsid w:val="007B198D"/>
    <w:rsid w:val="007B19C6"/>
    <w:rsid w:val="007B1A09"/>
    <w:rsid w:val="007B1A63"/>
    <w:rsid w:val="007B1AAD"/>
    <w:rsid w:val="007B1AC7"/>
    <w:rsid w:val="007B1B2D"/>
    <w:rsid w:val="007B1B3B"/>
    <w:rsid w:val="007B1C79"/>
    <w:rsid w:val="007B1C7B"/>
    <w:rsid w:val="007B1CBD"/>
    <w:rsid w:val="007B1CE7"/>
    <w:rsid w:val="007B1D16"/>
    <w:rsid w:val="007B1D19"/>
    <w:rsid w:val="007B1D56"/>
    <w:rsid w:val="007B1D61"/>
    <w:rsid w:val="007B1DA4"/>
    <w:rsid w:val="007B1DC7"/>
    <w:rsid w:val="007B1E0D"/>
    <w:rsid w:val="007B1E0F"/>
    <w:rsid w:val="007B1E15"/>
    <w:rsid w:val="007B1E49"/>
    <w:rsid w:val="007B1E7C"/>
    <w:rsid w:val="007B1E99"/>
    <w:rsid w:val="007B1F09"/>
    <w:rsid w:val="007B1F11"/>
    <w:rsid w:val="007B1F6B"/>
    <w:rsid w:val="007B1F97"/>
    <w:rsid w:val="007B1FE8"/>
    <w:rsid w:val="007B2015"/>
    <w:rsid w:val="007B2044"/>
    <w:rsid w:val="007B206B"/>
    <w:rsid w:val="007B20B9"/>
    <w:rsid w:val="007B20E6"/>
    <w:rsid w:val="007B20EE"/>
    <w:rsid w:val="007B2115"/>
    <w:rsid w:val="007B2163"/>
    <w:rsid w:val="007B21B1"/>
    <w:rsid w:val="007B21CC"/>
    <w:rsid w:val="007B220C"/>
    <w:rsid w:val="007B2222"/>
    <w:rsid w:val="007B2234"/>
    <w:rsid w:val="007B22D2"/>
    <w:rsid w:val="007B22DA"/>
    <w:rsid w:val="007B232A"/>
    <w:rsid w:val="007B2364"/>
    <w:rsid w:val="007B247D"/>
    <w:rsid w:val="007B24CD"/>
    <w:rsid w:val="007B250D"/>
    <w:rsid w:val="007B2534"/>
    <w:rsid w:val="007B2546"/>
    <w:rsid w:val="007B255B"/>
    <w:rsid w:val="007B2562"/>
    <w:rsid w:val="007B2578"/>
    <w:rsid w:val="007B259B"/>
    <w:rsid w:val="007B25A6"/>
    <w:rsid w:val="007B25B4"/>
    <w:rsid w:val="007B2697"/>
    <w:rsid w:val="007B26EF"/>
    <w:rsid w:val="007B2760"/>
    <w:rsid w:val="007B2797"/>
    <w:rsid w:val="007B2814"/>
    <w:rsid w:val="007B283A"/>
    <w:rsid w:val="007B2958"/>
    <w:rsid w:val="007B295C"/>
    <w:rsid w:val="007B2991"/>
    <w:rsid w:val="007B29CA"/>
    <w:rsid w:val="007B2A27"/>
    <w:rsid w:val="007B2A4B"/>
    <w:rsid w:val="007B2A99"/>
    <w:rsid w:val="007B2AB4"/>
    <w:rsid w:val="007B2AD1"/>
    <w:rsid w:val="007B2B2C"/>
    <w:rsid w:val="007B2B50"/>
    <w:rsid w:val="007B2B6E"/>
    <w:rsid w:val="007B2BA0"/>
    <w:rsid w:val="007B2BB4"/>
    <w:rsid w:val="007B2C3F"/>
    <w:rsid w:val="007B2C6A"/>
    <w:rsid w:val="007B2CD4"/>
    <w:rsid w:val="007B2D4D"/>
    <w:rsid w:val="007B2D66"/>
    <w:rsid w:val="007B2D75"/>
    <w:rsid w:val="007B2D76"/>
    <w:rsid w:val="007B2D83"/>
    <w:rsid w:val="007B2DBD"/>
    <w:rsid w:val="007B2E1F"/>
    <w:rsid w:val="007B2E44"/>
    <w:rsid w:val="007B2E51"/>
    <w:rsid w:val="007B2E5C"/>
    <w:rsid w:val="007B2E89"/>
    <w:rsid w:val="007B2E8B"/>
    <w:rsid w:val="007B2EFC"/>
    <w:rsid w:val="007B2F5E"/>
    <w:rsid w:val="007B2F7F"/>
    <w:rsid w:val="007B2F82"/>
    <w:rsid w:val="007B2F86"/>
    <w:rsid w:val="007B2FF7"/>
    <w:rsid w:val="007B3045"/>
    <w:rsid w:val="007B30D6"/>
    <w:rsid w:val="007B3105"/>
    <w:rsid w:val="007B313B"/>
    <w:rsid w:val="007B3146"/>
    <w:rsid w:val="007B31E5"/>
    <w:rsid w:val="007B31F6"/>
    <w:rsid w:val="007B322E"/>
    <w:rsid w:val="007B32B0"/>
    <w:rsid w:val="007B3453"/>
    <w:rsid w:val="007B3493"/>
    <w:rsid w:val="007B34CA"/>
    <w:rsid w:val="007B351B"/>
    <w:rsid w:val="007B3557"/>
    <w:rsid w:val="007B3559"/>
    <w:rsid w:val="007B3587"/>
    <w:rsid w:val="007B35AB"/>
    <w:rsid w:val="007B3603"/>
    <w:rsid w:val="007B363C"/>
    <w:rsid w:val="007B3672"/>
    <w:rsid w:val="007B36BD"/>
    <w:rsid w:val="007B3768"/>
    <w:rsid w:val="007B37BA"/>
    <w:rsid w:val="007B37CD"/>
    <w:rsid w:val="007B3804"/>
    <w:rsid w:val="007B38AC"/>
    <w:rsid w:val="007B38EE"/>
    <w:rsid w:val="007B3912"/>
    <w:rsid w:val="007B3926"/>
    <w:rsid w:val="007B398F"/>
    <w:rsid w:val="007B3A7B"/>
    <w:rsid w:val="007B3A95"/>
    <w:rsid w:val="007B3ABE"/>
    <w:rsid w:val="007B3AD8"/>
    <w:rsid w:val="007B3B21"/>
    <w:rsid w:val="007B3B22"/>
    <w:rsid w:val="007B3B41"/>
    <w:rsid w:val="007B3B4B"/>
    <w:rsid w:val="007B3B50"/>
    <w:rsid w:val="007B3B65"/>
    <w:rsid w:val="007B3B6C"/>
    <w:rsid w:val="007B3B75"/>
    <w:rsid w:val="007B3B88"/>
    <w:rsid w:val="007B3BB3"/>
    <w:rsid w:val="007B3BC0"/>
    <w:rsid w:val="007B3BE7"/>
    <w:rsid w:val="007B3C2C"/>
    <w:rsid w:val="007B3C57"/>
    <w:rsid w:val="007B3C8A"/>
    <w:rsid w:val="007B3D02"/>
    <w:rsid w:val="007B3D97"/>
    <w:rsid w:val="007B3D9A"/>
    <w:rsid w:val="007B3DCA"/>
    <w:rsid w:val="007B3E00"/>
    <w:rsid w:val="007B3E06"/>
    <w:rsid w:val="007B3E0D"/>
    <w:rsid w:val="007B3E7B"/>
    <w:rsid w:val="007B3E7F"/>
    <w:rsid w:val="007B3E89"/>
    <w:rsid w:val="007B3EB3"/>
    <w:rsid w:val="007B3ED9"/>
    <w:rsid w:val="007B3EF7"/>
    <w:rsid w:val="007B3FFC"/>
    <w:rsid w:val="007B40A5"/>
    <w:rsid w:val="007B40D2"/>
    <w:rsid w:val="007B40DC"/>
    <w:rsid w:val="007B4109"/>
    <w:rsid w:val="007B415A"/>
    <w:rsid w:val="007B41AB"/>
    <w:rsid w:val="007B41D9"/>
    <w:rsid w:val="007B4227"/>
    <w:rsid w:val="007B42A4"/>
    <w:rsid w:val="007B43DF"/>
    <w:rsid w:val="007B4400"/>
    <w:rsid w:val="007B4437"/>
    <w:rsid w:val="007B44A1"/>
    <w:rsid w:val="007B44AE"/>
    <w:rsid w:val="007B44BC"/>
    <w:rsid w:val="007B44CD"/>
    <w:rsid w:val="007B45A6"/>
    <w:rsid w:val="007B45B2"/>
    <w:rsid w:val="007B45C7"/>
    <w:rsid w:val="007B45E9"/>
    <w:rsid w:val="007B46D6"/>
    <w:rsid w:val="007B46E2"/>
    <w:rsid w:val="007B4797"/>
    <w:rsid w:val="007B4798"/>
    <w:rsid w:val="007B47A1"/>
    <w:rsid w:val="007B47C1"/>
    <w:rsid w:val="007B4801"/>
    <w:rsid w:val="007B480B"/>
    <w:rsid w:val="007B488B"/>
    <w:rsid w:val="007B48A1"/>
    <w:rsid w:val="007B4900"/>
    <w:rsid w:val="007B4919"/>
    <w:rsid w:val="007B4924"/>
    <w:rsid w:val="007B4962"/>
    <w:rsid w:val="007B49C3"/>
    <w:rsid w:val="007B4A9E"/>
    <w:rsid w:val="007B4ACB"/>
    <w:rsid w:val="007B4AD2"/>
    <w:rsid w:val="007B4AD3"/>
    <w:rsid w:val="007B4AD9"/>
    <w:rsid w:val="007B4B64"/>
    <w:rsid w:val="007B4B7C"/>
    <w:rsid w:val="007B4BCD"/>
    <w:rsid w:val="007B4C47"/>
    <w:rsid w:val="007B4C91"/>
    <w:rsid w:val="007B4D3B"/>
    <w:rsid w:val="007B4DA3"/>
    <w:rsid w:val="007B4E1B"/>
    <w:rsid w:val="007B4E84"/>
    <w:rsid w:val="007B4FFA"/>
    <w:rsid w:val="007B5023"/>
    <w:rsid w:val="007B5028"/>
    <w:rsid w:val="007B5043"/>
    <w:rsid w:val="007B5054"/>
    <w:rsid w:val="007B5063"/>
    <w:rsid w:val="007B507C"/>
    <w:rsid w:val="007B509D"/>
    <w:rsid w:val="007B50D5"/>
    <w:rsid w:val="007B50DF"/>
    <w:rsid w:val="007B50F8"/>
    <w:rsid w:val="007B510F"/>
    <w:rsid w:val="007B5120"/>
    <w:rsid w:val="007B512C"/>
    <w:rsid w:val="007B51C8"/>
    <w:rsid w:val="007B5217"/>
    <w:rsid w:val="007B529D"/>
    <w:rsid w:val="007B52A6"/>
    <w:rsid w:val="007B52B0"/>
    <w:rsid w:val="007B5300"/>
    <w:rsid w:val="007B530A"/>
    <w:rsid w:val="007B5329"/>
    <w:rsid w:val="007B5350"/>
    <w:rsid w:val="007B537F"/>
    <w:rsid w:val="007B5390"/>
    <w:rsid w:val="007B53A2"/>
    <w:rsid w:val="007B5406"/>
    <w:rsid w:val="007B541E"/>
    <w:rsid w:val="007B542F"/>
    <w:rsid w:val="007B5496"/>
    <w:rsid w:val="007B54C8"/>
    <w:rsid w:val="007B54DA"/>
    <w:rsid w:val="007B5612"/>
    <w:rsid w:val="007B5618"/>
    <w:rsid w:val="007B5696"/>
    <w:rsid w:val="007B56A8"/>
    <w:rsid w:val="007B579D"/>
    <w:rsid w:val="007B57A9"/>
    <w:rsid w:val="007B57D2"/>
    <w:rsid w:val="007B58A0"/>
    <w:rsid w:val="007B58BC"/>
    <w:rsid w:val="007B591E"/>
    <w:rsid w:val="007B5950"/>
    <w:rsid w:val="007B5986"/>
    <w:rsid w:val="007B59F2"/>
    <w:rsid w:val="007B5A23"/>
    <w:rsid w:val="007B5A3F"/>
    <w:rsid w:val="007B5A67"/>
    <w:rsid w:val="007B5AE3"/>
    <w:rsid w:val="007B5B2A"/>
    <w:rsid w:val="007B5B4C"/>
    <w:rsid w:val="007B5B8F"/>
    <w:rsid w:val="007B5B93"/>
    <w:rsid w:val="007B5C0A"/>
    <w:rsid w:val="007B5C1B"/>
    <w:rsid w:val="007B5D49"/>
    <w:rsid w:val="007B5D60"/>
    <w:rsid w:val="007B5D97"/>
    <w:rsid w:val="007B5D98"/>
    <w:rsid w:val="007B5DFA"/>
    <w:rsid w:val="007B5F76"/>
    <w:rsid w:val="007B6025"/>
    <w:rsid w:val="007B6062"/>
    <w:rsid w:val="007B6064"/>
    <w:rsid w:val="007B6081"/>
    <w:rsid w:val="007B6082"/>
    <w:rsid w:val="007B609D"/>
    <w:rsid w:val="007B60C0"/>
    <w:rsid w:val="007B60CC"/>
    <w:rsid w:val="007B611A"/>
    <w:rsid w:val="007B61A7"/>
    <w:rsid w:val="007B61C1"/>
    <w:rsid w:val="007B61C3"/>
    <w:rsid w:val="007B61DE"/>
    <w:rsid w:val="007B62C4"/>
    <w:rsid w:val="007B62FE"/>
    <w:rsid w:val="007B63DA"/>
    <w:rsid w:val="007B641E"/>
    <w:rsid w:val="007B6484"/>
    <w:rsid w:val="007B6490"/>
    <w:rsid w:val="007B64D6"/>
    <w:rsid w:val="007B64D8"/>
    <w:rsid w:val="007B64F5"/>
    <w:rsid w:val="007B6515"/>
    <w:rsid w:val="007B6565"/>
    <w:rsid w:val="007B65B1"/>
    <w:rsid w:val="007B65BC"/>
    <w:rsid w:val="007B65C8"/>
    <w:rsid w:val="007B65EC"/>
    <w:rsid w:val="007B65FB"/>
    <w:rsid w:val="007B6634"/>
    <w:rsid w:val="007B6655"/>
    <w:rsid w:val="007B666F"/>
    <w:rsid w:val="007B66CE"/>
    <w:rsid w:val="007B66E9"/>
    <w:rsid w:val="007B66F6"/>
    <w:rsid w:val="007B6765"/>
    <w:rsid w:val="007B6777"/>
    <w:rsid w:val="007B6797"/>
    <w:rsid w:val="007B67C7"/>
    <w:rsid w:val="007B67EC"/>
    <w:rsid w:val="007B680B"/>
    <w:rsid w:val="007B6916"/>
    <w:rsid w:val="007B6949"/>
    <w:rsid w:val="007B69AA"/>
    <w:rsid w:val="007B69BC"/>
    <w:rsid w:val="007B6A07"/>
    <w:rsid w:val="007B6A27"/>
    <w:rsid w:val="007B6A40"/>
    <w:rsid w:val="007B6A45"/>
    <w:rsid w:val="007B6A5B"/>
    <w:rsid w:val="007B6A62"/>
    <w:rsid w:val="007B6A66"/>
    <w:rsid w:val="007B6A69"/>
    <w:rsid w:val="007B6A90"/>
    <w:rsid w:val="007B6A96"/>
    <w:rsid w:val="007B6A97"/>
    <w:rsid w:val="007B6ADD"/>
    <w:rsid w:val="007B6AE2"/>
    <w:rsid w:val="007B6B1C"/>
    <w:rsid w:val="007B6B3E"/>
    <w:rsid w:val="007B6B90"/>
    <w:rsid w:val="007B6BC9"/>
    <w:rsid w:val="007B6BDD"/>
    <w:rsid w:val="007B6BE4"/>
    <w:rsid w:val="007B6C55"/>
    <w:rsid w:val="007B6C71"/>
    <w:rsid w:val="007B6CA0"/>
    <w:rsid w:val="007B6CE6"/>
    <w:rsid w:val="007B6CF3"/>
    <w:rsid w:val="007B6DCF"/>
    <w:rsid w:val="007B6DD3"/>
    <w:rsid w:val="007B6DDB"/>
    <w:rsid w:val="007B6DE0"/>
    <w:rsid w:val="007B6E07"/>
    <w:rsid w:val="007B6E0F"/>
    <w:rsid w:val="007B6E95"/>
    <w:rsid w:val="007B6F0D"/>
    <w:rsid w:val="007B6F6B"/>
    <w:rsid w:val="007B6F79"/>
    <w:rsid w:val="007B6FF9"/>
    <w:rsid w:val="007B6FFE"/>
    <w:rsid w:val="007B7054"/>
    <w:rsid w:val="007B70B8"/>
    <w:rsid w:val="007B70D4"/>
    <w:rsid w:val="007B7141"/>
    <w:rsid w:val="007B7194"/>
    <w:rsid w:val="007B71BA"/>
    <w:rsid w:val="007B71FB"/>
    <w:rsid w:val="007B71FE"/>
    <w:rsid w:val="007B7207"/>
    <w:rsid w:val="007B7208"/>
    <w:rsid w:val="007B721B"/>
    <w:rsid w:val="007B723E"/>
    <w:rsid w:val="007B7242"/>
    <w:rsid w:val="007B7285"/>
    <w:rsid w:val="007B728B"/>
    <w:rsid w:val="007B728C"/>
    <w:rsid w:val="007B72DE"/>
    <w:rsid w:val="007B733F"/>
    <w:rsid w:val="007B7365"/>
    <w:rsid w:val="007B736B"/>
    <w:rsid w:val="007B737D"/>
    <w:rsid w:val="007B7384"/>
    <w:rsid w:val="007B7395"/>
    <w:rsid w:val="007B73A1"/>
    <w:rsid w:val="007B73CE"/>
    <w:rsid w:val="007B73DA"/>
    <w:rsid w:val="007B744F"/>
    <w:rsid w:val="007B745C"/>
    <w:rsid w:val="007B7486"/>
    <w:rsid w:val="007B75C9"/>
    <w:rsid w:val="007B75D3"/>
    <w:rsid w:val="007B76BD"/>
    <w:rsid w:val="007B76CC"/>
    <w:rsid w:val="007B771E"/>
    <w:rsid w:val="007B773C"/>
    <w:rsid w:val="007B7754"/>
    <w:rsid w:val="007B775E"/>
    <w:rsid w:val="007B7772"/>
    <w:rsid w:val="007B77C8"/>
    <w:rsid w:val="007B7819"/>
    <w:rsid w:val="007B7858"/>
    <w:rsid w:val="007B7871"/>
    <w:rsid w:val="007B789E"/>
    <w:rsid w:val="007B78AE"/>
    <w:rsid w:val="007B790F"/>
    <w:rsid w:val="007B793A"/>
    <w:rsid w:val="007B7957"/>
    <w:rsid w:val="007B7979"/>
    <w:rsid w:val="007B79C3"/>
    <w:rsid w:val="007B79E2"/>
    <w:rsid w:val="007B79E9"/>
    <w:rsid w:val="007B7A78"/>
    <w:rsid w:val="007B7A85"/>
    <w:rsid w:val="007B7AA5"/>
    <w:rsid w:val="007B7AF4"/>
    <w:rsid w:val="007B7AF9"/>
    <w:rsid w:val="007B7B0B"/>
    <w:rsid w:val="007B7B1D"/>
    <w:rsid w:val="007B7B1F"/>
    <w:rsid w:val="007B7B2A"/>
    <w:rsid w:val="007B7B7B"/>
    <w:rsid w:val="007B7B95"/>
    <w:rsid w:val="007B7C0C"/>
    <w:rsid w:val="007B7C25"/>
    <w:rsid w:val="007B7C33"/>
    <w:rsid w:val="007B7C49"/>
    <w:rsid w:val="007B7CAD"/>
    <w:rsid w:val="007B7CED"/>
    <w:rsid w:val="007B7CF5"/>
    <w:rsid w:val="007B7D46"/>
    <w:rsid w:val="007B7D95"/>
    <w:rsid w:val="007B7E32"/>
    <w:rsid w:val="007B7E50"/>
    <w:rsid w:val="007B7E83"/>
    <w:rsid w:val="007B7EEA"/>
    <w:rsid w:val="007B7EF1"/>
    <w:rsid w:val="007B7F05"/>
    <w:rsid w:val="007B7F2A"/>
    <w:rsid w:val="007B7F47"/>
    <w:rsid w:val="007B7F4D"/>
    <w:rsid w:val="007B7F62"/>
    <w:rsid w:val="007B7F9F"/>
    <w:rsid w:val="007C003C"/>
    <w:rsid w:val="007C0066"/>
    <w:rsid w:val="007C008B"/>
    <w:rsid w:val="007C00A0"/>
    <w:rsid w:val="007C018B"/>
    <w:rsid w:val="007C021E"/>
    <w:rsid w:val="007C0246"/>
    <w:rsid w:val="007C02B0"/>
    <w:rsid w:val="007C02EC"/>
    <w:rsid w:val="007C0310"/>
    <w:rsid w:val="007C031E"/>
    <w:rsid w:val="007C032D"/>
    <w:rsid w:val="007C0334"/>
    <w:rsid w:val="007C0499"/>
    <w:rsid w:val="007C055C"/>
    <w:rsid w:val="007C058B"/>
    <w:rsid w:val="007C05B3"/>
    <w:rsid w:val="007C05B8"/>
    <w:rsid w:val="007C060F"/>
    <w:rsid w:val="007C0615"/>
    <w:rsid w:val="007C062A"/>
    <w:rsid w:val="007C0667"/>
    <w:rsid w:val="007C06B0"/>
    <w:rsid w:val="007C080C"/>
    <w:rsid w:val="007C0874"/>
    <w:rsid w:val="007C08ED"/>
    <w:rsid w:val="007C08EF"/>
    <w:rsid w:val="007C09C3"/>
    <w:rsid w:val="007C09E6"/>
    <w:rsid w:val="007C0A83"/>
    <w:rsid w:val="007C0A94"/>
    <w:rsid w:val="007C0AA1"/>
    <w:rsid w:val="007C0B3E"/>
    <w:rsid w:val="007C0B40"/>
    <w:rsid w:val="007C0B55"/>
    <w:rsid w:val="007C0B58"/>
    <w:rsid w:val="007C0B7C"/>
    <w:rsid w:val="007C0B8F"/>
    <w:rsid w:val="007C0BD2"/>
    <w:rsid w:val="007C0BD7"/>
    <w:rsid w:val="007C0C95"/>
    <w:rsid w:val="007C0C9D"/>
    <w:rsid w:val="007C0CCB"/>
    <w:rsid w:val="007C0CE4"/>
    <w:rsid w:val="007C0CF0"/>
    <w:rsid w:val="007C0D6F"/>
    <w:rsid w:val="007C0DC3"/>
    <w:rsid w:val="007C0DCA"/>
    <w:rsid w:val="007C0DCC"/>
    <w:rsid w:val="007C0E65"/>
    <w:rsid w:val="007C0E74"/>
    <w:rsid w:val="007C0EA3"/>
    <w:rsid w:val="007C0ED7"/>
    <w:rsid w:val="007C0F00"/>
    <w:rsid w:val="007C0F0B"/>
    <w:rsid w:val="007C0F61"/>
    <w:rsid w:val="007C0FC4"/>
    <w:rsid w:val="007C0FE6"/>
    <w:rsid w:val="007C0FFF"/>
    <w:rsid w:val="007C1014"/>
    <w:rsid w:val="007C105D"/>
    <w:rsid w:val="007C10C0"/>
    <w:rsid w:val="007C10C3"/>
    <w:rsid w:val="007C1293"/>
    <w:rsid w:val="007C12BE"/>
    <w:rsid w:val="007C12F4"/>
    <w:rsid w:val="007C1307"/>
    <w:rsid w:val="007C1339"/>
    <w:rsid w:val="007C13C6"/>
    <w:rsid w:val="007C1460"/>
    <w:rsid w:val="007C1515"/>
    <w:rsid w:val="007C1576"/>
    <w:rsid w:val="007C1600"/>
    <w:rsid w:val="007C1688"/>
    <w:rsid w:val="007C16B2"/>
    <w:rsid w:val="007C16D0"/>
    <w:rsid w:val="007C175D"/>
    <w:rsid w:val="007C1786"/>
    <w:rsid w:val="007C1792"/>
    <w:rsid w:val="007C17C7"/>
    <w:rsid w:val="007C17CD"/>
    <w:rsid w:val="007C17F9"/>
    <w:rsid w:val="007C17FD"/>
    <w:rsid w:val="007C1805"/>
    <w:rsid w:val="007C185B"/>
    <w:rsid w:val="007C186F"/>
    <w:rsid w:val="007C187E"/>
    <w:rsid w:val="007C188A"/>
    <w:rsid w:val="007C188C"/>
    <w:rsid w:val="007C18E1"/>
    <w:rsid w:val="007C18E3"/>
    <w:rsid w:val="007C1904"/>
    <w:rsid w:val="007C1962"/>
    <w:rsid w:val="007C19A7"/>
    <w:rsid w:val="007C19D8"/>
    <w:rsid w:val="007C19F2"/>
    <w:rsid w:val="007C1A44"/>
    <w:rsid w:val="007C1AA5"/>
    <w:rsid w:val="007C1AB0"/>
    <w:rsid w:val="007C1AFA"/>
    <w:rsid w:val="007C1B46"/>
    <w:rsid w:val="007C1B67"/>
    <w:rsid w:val="007C1BBC"/>
    <w:rsid w:val="007C1BC4"/>
    <w:rsid w:val="007C1BC8"/>
    <w:rsid w:val="007C1BEE"/>
    <w:rsid w:val="007C1BF9"/>
    <w:rsid w:val="007C1C09"/>
    <w:rsid w:val="007C1C77"/>
    <w:rsid w:val="007C1C7A"/>
    <w:rsid w:val="007C1CCC"/>
    <w:rsid w:val="007C1CE2"/>
    <w:rsid w:val="007C1D65"/>
    <w:rsid w:val="007C1D7F"/>
    <w:rsid w:val="007C1DA0"/>
    <w:rsid w:val="007C1E74"/>
    <w:rsid w:val="007C1E76"/>
    <w:rsid w:val="007C1EAE"/>
    <w:rsid w:val="007C1EC2"/>
    <w:rsid w:val="007C1ECA"/>
    <w:rsid w:val="007C1ED1"/>
    <w:rsid w:val="007C1F06"/>
    <w:rsid w:val="007C1F24"/>
    <w:rsid w:val="007C1F49"/>
    <w:rsid w:val="007C1F85"/>
    <w:rsid w:val="007C201D"/>
    <w:rsid w:val="007C2031"/>
    <w:rsid w:val="007C208C"/>
    <w:rsid w:val="007C20EB"/>
    <w:rsid w:val="007C20FA"/>
    <w:rsid w:val="007C2139"/>
    <w:rsid w:val="007C215F"/>
    <w:rsid w:val="007C21D2"/>
    <w:rsid w:val="007C2228"/>
    <w:rsid w:val="007C2258"/>
    <w:rsid w:val="007C2290"/>
    <w:rsid w:val="007C22EE"/>
    <w:rsid w:val="007C22F8"/>
    <w:rsid w:val="007C2330"/>
    <w:rsid w:val="007C23BE"/>
    <w:rsid w:val="007C23C4"/>
    <w:rsid w:val="007C23E9"/>
    <w:rsid w:val="007C2414"/>
    <w:rsid w:val="007C247B"/>
    <w:rsid w:val="007C2507"/>
    <w:rsid w:val="007C253D"/>
    <w:rsid w:val="007C257A"/>
    <w:rsid w:val="007C258D"/>
    <w:rsid w:val="007C25A4"/>
    <w:rsid w:val="007C25C8"/>
    <w:rsid w:val="007C261C"/>
    <w:rsid w:val="007C262D"/>
    <w:rsid w:val="007C2631"/>
    <w:rsid w:val="007C2644"/>
    <w:rsid w:val="007C2661"/>
    <w:rsid w:val="007C266B"/>
    <w:rsid w:val="007C26E0"/>
    <w:rsid w:val="007C2701"/>
    <w:rsid w:val="007C2711"/>
    <w:rsid w:val="007C272A"/>
    <w:rsid w:val="007C273B"/>
    <w:rsid w:val="007C2743"/>
    <w:rsid w:val="007C2760"/>
    <w:rsid w:val="007C2775"/>
    <w:rsid w:val="007C278C"/>
    <w:rsid w:val="007C27BE"/>
    <w:rsid w:val="007C27DC"/>
    <w:rsid w:val="007C28EB"/>
    <w:rsid w:val="007C2932"/>
    <w:rsid w:val="007C29AA"/>
    <w:rsid w:val="007C29D3"/>
    <w:rsid w:val="007C2A3A"/>
    <w:rsid w:val="007C2A7F"/>
    <w:rsid w:val="007C2AC3"/>
    <w:rsid w:val="007C2B2C"/>
    <w:rsid w:val="007C2BE2"/>
    <w:rsid w:val="007C2C3B"/>
    <w:rsid w:val="007C2CC1"/>
    <w:rsid w:val="007C2CFC"/>
    <w:rsid w:val="007C2D16"/>
    <w:rsid w:val="007C2D17"/>
    <w:rsid w:val="007C2D7E"/>
    <w:rsid w:val="007C2D88"/>
    <w:rsid w:val="007C2DF3"/>
    <w:rsid w:val="007C2DF6"/>
    <w:rsid w:val="007C2E6E"/>
    <w:rsid w:val="007C2EDD"/>
    <w:rsid w:val="007C2EFB"/>
    <w:rsid w:val="007C2F7B"/>
    <w:rsid w:val="007C2F82"/>
    <w:rsid w:val="007C306F"/>
    <w:rsid w:val="007C3070"/>
    <w:rsid w:val="007C31C7"/>
    <w:rsid w:val="007C31EA"/>
    <w:rsid w:val="007C31EE"/>
    <w:rsid w:val="007C321A"/>
    <w:rsid w:val="007C3255"/>
    <w:rsid w:val="007C327A"/>
    <w:rsid w:val="007C3288"/>
    <w:rsid w:val="007C32B2"/>
    <w:rsid w:val="007C3302"/>
    <w:rsid w:val="007C332C"/>
    <w:rsid w:val="007C3407"/>
    <w:rsid w:val="007C3469"/>
    <w:rsid w:val="007C34BF"/>
    <w:rsid w:val="007C3578"/>
    <w:rsid w:val="007C35B7"/>
    <w:rsid w:val="007C35EE"/>
    <w:rsid w:val="007C3606"/>
    <w:rsid w:val="007C3618"/>
    <w:rsid w:val="007C363A"/>
    <w:rsid w:val="007C3653"/>
    <w:rsid w:val="007C3654"/>
    <w:rsid w:val="007C36C0"/>
    <w:rsid w:val="007C3717"/>
    <w:rsid w:val="007C37C2"/>
    <w:rsid w:val="007C37E4"/>
    <w:rsid w:val="007C37FA"/>
    <w:rsid w:val="007C37FE"/>
    <w:rsid w:val="007C3812"/>
    <w:rsid w:val="007C386F"/>
    <w:rsid w:val="007C3889"/>
    <w:rsid w:val="007C389C"/>
    <w:rsid w:val="007C38A3"/>
    <w:rsid w:val="007C38A7"/>
    <w:rsid w:val="007C38C5"/>
    <w:rsid w:val="007C38D8"/>
    <w:rsid w:val="007C38E7"/>
    <w:rsid w:val="007C3A32"/>
    <w:rsid w:val="007C3A8D"/>
    <w:rsid w:val="007C3B29"/>
    <w:rsid w:val="007C3B39"/>
    <w:rsid w:val="007C3B47"/>
    <w:rsid w:val="007C3B6D"/>
    <w:rsid w:val="007C3C1F"/>
    <w:rsid w:val="007C3C20"/>
    <w:rsid w:val="007C3C68"/>
    <w:rsid w:val="007C3CA8"/>
    <w:rsid w:val="007C3CAE"/>
    <w:rsid w:val="007C3CDE"/>
    <w:rsid w:val="007C3CEF"/>
    <w:rsid w:val="007C3D00"/>
    <w:rsid w:val="007C3D58"/>
    <w:rsid w:val="007C3D6F"/>
    <w:rsid w:val="007C3D71"/>
    <w:rsid w:val="007C3D98"/>
    <w:rsid w:val="007C3DEC"/>
    <w:rsid w:val="007C3E21"/>
    <w:rsid w:val="007C3E79"/>
    <w:rsid w:val="007C3EB4"/>
    <w:rsid w:val="007C3ECB"/>
    <w:rsid w:val="007C3F24"/>
    <w:rsid w:val="007C3F52"/>
    <w:rsid w:val="007C3F55"/>
    <w:rsid w:val="007C3F63"/>
    <w:rsid w:val="007C3FB8"/>
    <w:rsid w:val="007C3FC3"/>
    <w:rsid w:val="007C3FD6"/>
    <w:rsid w:val="007C4008"/>
    <w:rsid w:val="007C403D"/>
    <w:rsid w:val="007C403F"/>
    <w:rsid w:val="007C4048"/>
    <w:rsid w:val="007C405D"/>
    <w:rsid w:val="007C4064"/>
    <w:rsid w:val="007C40A9"/>
    <w:rsid w:val="007C40BA"/>
    <w:rsid w:val="007C4122"/>
    <w:rsid w:val="007C4153"/>
    <w:rsid w:val="007C418E"/>
    <w:rsid w:val="007C4215"/>
    <w:rsid w:val="007C4223"/>
    <w:rsid w:val="007C4229"/>
    <w:rsid w:val="007C4300"/>
    <w:rsid w:val="007C4360"/>
    <w:rsid w:val="007C436F"/>
    <w:rsid w:val="007C4399"/>
    <w:rsid w:val="007C4438"/>
    <w:rsid w:val="007C44A6"/>
    <w:rsid w:val="007C4504"/>
    <w:rsid w:val="007C4577"/>
    <w:rsid w:val="007C45A4"/>
    <w:rsid w:val="007C4605"/>
    <w:rsid w:val="007C461B"/>
    <w:rsid w:val="007C469B"/>
    <w:rsid w:val="007C46A2"/>
    <w:rsid w:val="007C46A7"/>
    <w:rsid w:val="007C46C4"/>
    <w:rsid w:val="007C4717"/>
    <w:rsid w:val="007C4751"/>
    <w:rsid w:val="007C4774"/>
    <w:rsid w:val="007C47E6"/>
    <w:rsid w:val="007C47F8"/>
    <w:rsid w:val="007C4865"/>
    <w:rsid w:val="007C48D3"/>
    <w:rsid w:val="007C48E1"/>
    <w:rsid w:val="007C48E2"/>
    <w:rsid w:val="007C492C"/>
    <w:rsid w:val="007C497C"/>
    <w:rsid w:val="007C4994"/>
    <w:rsid w:val="007C4997"/>
    <w:rsid w:val="007C4A03"/>
    <w:rsid w:val="007C4A28"/>
    <w:rsid w:val="007C4AE4"/>
    <w:rsid w:val="007C4B22"/>
    <w:rsid w:val="007C4B2C"/>
    <w:rsid w:val="007C4B47"/>
    <w:rsid w:val="007C4B8E"/>
    <w:rsid w:val="007C4B99"/>
    <w:rsid w:val="007C4BB2"/>
    <w:rsid w:val="007C4C54"/>
    <w:rsid w:val="007C4CC4"/>
    <w:rsid w:val="007C4CD8"/>
    <w:rsid w:val="007C4CED"/>
    <w:rsid w:val="007C4D07"/>
    <w:rsid w:val="007C4D45"/>
    <w:rsid w:val="007C4E14"/>
    <w:rsid w:val="007C4E3A"/>
    <w:rsid w:val="007C4E60"/>
    <w:rsid w:val="007C4E62"/>
    <w:rsid w:val="007C4E7F"/>
    <w:rsid w:val="007C4EC4"/>
    <w:rsid w:val="007C4EE1"/>
    <w:rsid w:val="007C4F05"/>
    <w:rsid w:val="007C4F1C"/>
    <w:rsid w:val="007C4F9F"/>
    <w:rsid w:val="007C4FB4"/>
    <w:rsid w:val="007C500F"/>
    <w:rsid w:val="007C504D"/>
    <w:rsid w:val="007C5055"/>
    <w:rsid w:val="007C5066"/>
    <w:rsid w:val="007C509E"/>
    <w:rsid w:val="007C50CC"/>
    <w:rsid w:val="007C50CD"/>
    <w:rsid w:val="007C512D"/>
    <w:rsid w:val="007C5137"/>
    <w:rsid w:val="007C5143"/>
    <w:rsid w:val="007C5161"/>
    <w:rsid w:val="007C516A"/>
    <w:rsid w:val="007C51A1"/>
    <w:rsid w:val="007C51EC"/>
    <w:rsid w:val="007C51FA"/>
    <w:rsid w:val="007C5289"/>
    <w:rsid w:val="007C5298"/>
    <w:rsid w:val="007C532B"/>
    <w:rsid w:val="007C533E"/>
    <w:rsid w:val="007C5378"/>
    <w:rsid w:val="007C5390"/>
    <w:rsid w:val="007C53D4"/>
    <w:rsid w:val="007C5434"/>
    <w:rsid w:val="007C5435"/>
    <w:rsid w:val="007C543E"/>
    <w:rsid w:val="007C5442"/>
    <w:rsid w:val="007C547E"/>
    <w:rsid w:val="007C5480"/>
    <w:rsid w:val="007C54D1"/>
    <w:rsid w:val="007C5509"/>
    <w:rsid w:val="007C557A"/>
    <w:rsid w:val="007C55D9"/>
    <w:rsid w:val="007C55F2"/>
    <w:rsid w:val="007C5613"/>
    <w:rsid w:val="007C56D3"/>
    <w:rsid w:val="007C56F5"/>
    <w:rsid w:val="007C5710"/>
    <w:rsid w:val="007C5714"/>
    <w:rsid w:val="007C57CC"/>
    <w:rsid w:val="007C580B"/>
    <w:rsid w:val="007C5832"/>
    <w:rsid w:val="007C5833"/>
    <w:rsid w:val="007C5861"/>
    <w:rsid w:val="007C58AD"/>
    <w:rsid w:val="007C5900"/>
    <w:rsid w:val="007C5952"/>
    <w:rsid w:val="007C5975"/>
    <w:rsid w:val="007C597C"/>
    <w:rsid w:val="007C59C5"/>
    <w:rsid w:val="007C5A2A"/>
    <w:rsid w:val="007C5A6E"/>
    <w:rsid w:val="007C5AF5"/>
    <w:rsid w:val="007C5B3B"/>
    <w:rsid w:val="007C5B72"/>
    <w:rsid w:val="007C5B87"/>
    <w:rsid w:val="007C5BE0"/>
    <w:rsid w:val="007C5C03"/>
    <w:rsid w:val="007C5C4E"/>
    <w:rsid w:val="007C5CE9"/>
    <w:rsid w:val="007C5CF2"/>
    <w:rsid w:val="007C5D00"/>
    <w:rsid w:val="007C5D01"/>
    <w:rsid w:val="007C5D11"/>
    <w:rsid w:val="007C5D17"/>
    <w:rsid w:val="007C5D1C"/>
    <w:rsid w:val="007C5D31"/>
    <w:rsid w:val="007C5D49"/>
    <w:rsid w:val="007C5DE3"/>
    <w:rsid w:val="007C5E37"/>
    <w:rsid w:val="007C5E6B"/>
    <w:rsid w:val="007C5EB4"/>
    <w:rsid w:val="007C5ECE"/>
    <w:rsid w:val="007C5ED6"/>
    <w:rsid w:val="007C5F0F"/>
    <w:rsid w:val="007C5F4C"/>
    <w:rsid w:val="007C5F69"/>
    <w:rsid w:val="007C5F8F"/>
    <w:rsid w:val="007C5FB1"/>
    <w:rsid w:val="007C5FE6"/>
    <w:rsid w:val="007C611D"/>
    <w:rsid w:val="007C611F"/>
    <w:rsid w:val="007C6126"/>
    <w:rsid w:val="007C6163"/>
    <w:rsid w:val="007C61B7"/>
    <w:rsid w:val="007C61DC"/>
    <w:rsid w:val="007C6215"/>
    <w:rsid w:val="007C6283"/>
    <w:rsid w:val="007C628B"/>
    <w:rsid w:val="007C62DE"/>
    <w:rsid w:val="007C633D"/>
    <w:rsid w:val="007C637F"/>
    <w:rsid w:val="007C638C"/>
    <w:rsid w:val="007C6418"/>
    <w:rsid w:val="007C6443"/>
    <w:rsid w:val="007C646E"/>
    <w:rsid w:val="007C64AD"/>
    <w:rsid w:val="007C64F9"/>
    <w:rsid w:val="007C6502"/>
    <w:rsid w:val="007C6567"/>
    <w:rsid w:val="007C65A5"/>
    <w:rsid w:val="007C65CD"/>
    <w:rsid w:val="007C65F9"/>
    <w:rsid w:val="007C662D"/>
    <w:rsid w:val="007C6703"/>
    <w:rsid w:val="007C6708"/>
    <w:rsid w:val="007C6743"/>
    <w:rsid w:val="007C675B"/>
    <w:rsid w:val="007C678D"/>
    <w:rsid w:val="007C67B4"/>
    <w:rsid w:val="007C67B5"/>
    <w:rsid w:val="007C6841"/>
    <w:rsid w:val="007C6940"/>
    <w:rsid w:val="007C6972"/>
    <w:rsid w:val="007C69ED"/>
    <w:rsid w:val="007C6AD3"/>
    <w:rsid w:val="007C6B28"/>
    <w:rsid w:val="007C6B3A"/>
    <w:rsid w:val="007C6B99"/>
    <w:rsid w:val="007C6BDF"/>
    <w:rsid w:val="007C6BF2"/>
    <w:rsid w:val="007C6BFB"/>
    <w:rsid w:val="007C6C74"/>
    <w:rsid w:val="007C6D12"/>
    <w:rsid w:val="007C6D40"/>
    <w:rsid w:val="007C6D48"/>
    <w:rsid w:val="007C6D55"/>
    <w:rsid w:val="007C6D6F"/>
    <w:rsid w:val="007C6D89"/>
    <w:rsid w:val="007C6DD2"/>
    <w:rsid w:val="007C6E03"/>
    <w:rsid w:val="007C6E36"/>
    <w:rsid w:val="007C6E45"/>
    <w:rsid w:val="007C6E66"/>
    <w:rsid w:val="007C6E81"/>
    <w:rsid w:val="007C6E8F"/>
    <w:rsid w:val="007C6EB2"/>
    <w:rsid w:val="007C6ED5"/>
    <w:rsid w:val="007C6EEA"/>
    <w:rsid w:val="007C6EF8"/>
    <w:rsid w:val="007C6F14"/>
    <w:rsid w:val="007C6F6B"/>
    <w:rsid w:val="007C6F79"/>
    <w:rsid w:val="007C6FAA"/>
    <w:rsid w:val="007C6FBA"/>
    <w:rsid w:val="007C7037"/>
    <w:rsid w:val="007C703F"/>
    <w:rsid w:val="007C704A"/>
    <w:rsid w:val="007C7050"/>
    <w:rsid w:val="007C705E"/>
    <w:rsid w:val="007C70FC"/>
    <w:rsid w:val="007C7106"/>
    <w:rsid w:val="007C71A7"/>
    <w:rsid w:val="007C71AB"/>
    <w:rsid w:val="007C71EC"/>
    <w:rsid w:val="007C723F"/>
    <w:rsid w:val="007C7253"/>
    <w:rsid w:val="007C7286"/>
    <w:rsid w:val="007C7298"/>
    <w:rsid w:val="007C72B5"/>
    <w:rsid w:val="007C72E4"/>
    <w:rsid w:val="007C7335"/>
    <w:rsid w:val="007C7339"/>
    <w:rsid w:val="007C7353"/>
    <w:rsid w:val="007C7368"/>
    <w:rsid w:val="007C737A"/>
    <w:rsid w:val="007C7386"/>
    <w:rsid w:val="007C738F"/>
    <w:rsid w:val="007C745B"/>
    <w:rsid w:val="007C7496"/>
    <w:rsid w:val="007C74C1"/>
    <w:rsid w:val="007C7510"/>
    <w:rsid w:val="007C758C"/>
    <w:rsid w:val="007C7594"/>
    <w:rsid w:val="007C7623"/>
    <w:rsid w:val="007C7648"/>
    <w:rsid w:val="007C7650"/>
    <w:rsid w:val="007C76B3"/>
    <w:rsid w:val="007C787A"/>
    <w:rsid w:val="007C78C4"/>
    <w:rsid w:val="007C78C9"/>
    <w:rsid w:val="007C78E6"/>
    <w:rsid w:val="007C78F6"/>
    <w:rsid w:val="007C7902"/>
    <w:rsid w:val="007C7943"/>
    <w:rsid w:val="007C7945"/>
    <w:rsid w:val="007C799E"/>
    <w:rsid w:val="007C79C1"/>
    <w:rsid w:val="007C79EA"/>
    <w:rsid w:val="007C7A00"/>
    <w:rsid w:val="007C7A30"/>
    <w:rsid w:val="007C7A51"/>
    <w:rsid w:val="007C7A7D"/>
    <w:rsid w:val="007C7A8E"/>
    <w:rsid w:val="007C7AFD"/>
    <w:rsid w:val="007C7B80"/>
    <w:rsid w:val="007C7B9B"/>
    <w:rsid w:val="007C7BEC"/>
    <w:rsid w:val="007C7C70"/>
    <w:rsid w:val="007C7C9E"/>
    <w:rsid w:val="007C7D8D"/>
    <w:rsid w:val="007C7D9B"/>
    <w:rsid w:val="007C7DA1"/>
    <w:rsid w:val="007C7DE9"/>
    <w:rsid w:val="007C7E33"/>
    <w:rsid w:val="007C7E72"/>
    <w:rsid w:val="007C7EA6"/>
    <w:rsid w:val="007C7F02"/>
    <w:rsid w:val="007C7F73"/>
    <w:rsid w:val="007C7FA7"/>
    <w:rsid w:val="007C7FB6"/>
    <w:rsid w:val="007C7FCB"/>
    <w:rsid w:val="007D0008"/>
    <w:rsid w:val="007D0040"/>
    <w:rsid w:val="007D0063"/>
    <w:rsid w:val="007D0089"/>
    <w:rsid w:val="007D00C8"/>
    <w:rsid w:val="007D0115"/>
    <w:rsid w:val="007D016E"/>
    <w:rsid w:val="007D01BD"/>
    <w:rsid w:val="007D01C3"/>
    <w:rsid w:val="007D01FA"/>
    <w:rsid w:val="007D021B"/>
    <w:rsid w:val="007D02B9"/>
    <w:rsid w:val="007D02BA"/>
    <w:rsid w:val="007D02C7"/>
    <w:rsid w:val="007D0317"/>
    <w:rsid w:val="007D0327"/>
    <w:rsid w:val="007D0364"/>
    <w:rsid w:val="007D0385"/>
    <w:rsid w:val="007D03AA"/>
    <w:rsid w:val="007D043D"/>
    <w:rsid w:val="007D0445"/>
    <w:rsid w:val="007D0453"/>
    <w:rsid w:val="007D048B"/>
    <w:rsid w:val="007D05D8"/>
    <w:rsid w:val="007D0628"/>
    <w:rsid w:val="007D062C"/>
    <w:rsid w:val="007D0650"/>
    <w:rsid w:val="007D0694"/>
    <w:rsid w:val="007D0706"/>
    <w:rsid w:val="007D07CC"/>
    <w:rsid w:val="007D07D3"/>
    <w:rsid w:val="007D080E"/>
    <w:rsid w:val="007D083F"/>
    <w:rsid w:val="007D089E"/>
    <w:rsid w:val="007D08F8"/>
    <w:rsid w:val="007D094F"/>
    <w:rsid w:val="007D09AD"/>
    <w:rsid w:val="007D09D7"/>
    <w:rsid w:val="007D09F2"/>
    <w:rsid w:val="007D0A0B"/>
    <w:rsid w:val="007D0A7A"/>
    <w:rsid w:val="007D0AAE"/>
    <w:rsid w:val="007D0AF1"/>
    <w:rsid w:val="007D0B20"/>
    <w:rsid w:val="007D0B3F"/>
    <w:rsid w:val="007D0B47"/>
    <w:rsid w:val="007D0B61"/>
    <w:rsid w:val="007D0B9D"/>
    <w:rsid w:val="007D0BBD"/>
    <w:rsid w:val="007D0BC3"/>
    <w:rsid w:val="007D0BC9"/>
    <w:rsid w:val="007D0C09"/>
    <w:rsid w:val="007D0CA6"/>
    <w:rsid w:val="007D0CD8"/>
    <w:rsid w:val="007D0D1C"/>
    <w:rsid w:val="007D0D3C"/>
    <w:rsid w:val="007D0D3F"/>
    <w:rsid w:val="007D0D50"/>
    <w:rsid w:val="007D0D54"/>
    <w:rsid w:val="007D0D7A"/>
    <w:rsid w:val="007D0DA6"/>
    <w:rsid w:val="007D0DD6"/>
    <w:rsid w:val="007D0DDC"/>
    <w:rsid w:val="007D0E37"/>
    <w:rsid w:val="007D0E3F"/>
    <w:rsid w:val="007D0E44"/>
    <w:rsid w:val="007D0E69"/>
    <w:rsid w:val="007D0EAA"/>
    <w:rsid w:val="007D0EE1"/>
    <w:rsid w:val="007D0EFB"/>
    <w:rsid w:val="007D0F7E"/>
    <w:rsid w:val="007D0FF2"/>
    <w:rsid w:val="007D102D"/>
    <w:rsid w:val="007D1061"/>
    <w:rsid w:val="007D107F"/>
    <w:rsid w:val="007D10C6"/>
    <w:rsid w:val="007D10D6"/>
    <w:rsid w:val="007D1129"/>
    <w:rsid w:val="007D115D"/>
    <w:rsid w:val="007D11A2"/>
    <w:rsid w:val="007D11AD"/>
    <w:rsid w:val="007D11BB"/>
    <w:rsid w:val="007D1248"/>
    <w:rsid w:val="007D1265"/>
    <w:rsid w:val="007D12C4"/>
    <w:rsid w:val="007D1342"/>
    <w:rsid w:val="007D134F"/>
    <w:rsid w:val="007D1357"/>
    <w:rsid w:val="007D1366"/>
    <w:rsid w:val="007D137D"/>
    <w:rsid w:val="007D1385"/>
    <w:rsid w:val="007D13A6"/>
    <w:rsid w:val="007D13AA"/>
    <w:rsid w:val="007D142A"/>
    <w:rsid w:val="007D145B"/>
    <w:rsid w:val="007D1494"/>
    <w:rsid w:val="007D14DE"/>
    <w:rsid w:val="007D1540"/>
    <w:rsid w:val="007D159C"/>
    <w:rsid w:val="007D15BC"/>
    <w:rsid w:val="007D15EA"/>
    <w:rsid w:val="007D166A"/>
    <w:rsid w:val="007D1691"/>
    <w:rsid w:val="007D16A8"/>
    <w:rsid w:val="007D16F2"/>
    <w:rsid w:val="007D1796"/>
    <w:rsid w:val="007D17BA"/>
    <w:rsid w:val="007D17F4"/>
    <w:rsid w:val="007D18C4"/>
    <w:rsid w:val="007D18CA"/>
    <w:rsid w:val="007D18ED"/>
    <w:rsid w:val="007D18F0"/>
    <w:rsid w:val="007D18F9"/>
    <w:rsid w:val="007D1949"/>
    <w:rsid w:val="007D19BA"/>
    <w:rsid w:val="007D19E0"/>
    <w:rsid w:val="007D1A09"/>
    <w:rsid w:val="007D1A1E"/>
    <w:rsid w:val="007D1A24"/>
    <w:rsid w:val="007D1A54"/>
    <w:rsid w:val="007D1B14"/>
    <w:rsid w:val="007D1B1B"/>
    <w:rsid w:val="007D1B74"/>
    <w:rsid w:val="007D1BB3"/>
    <w:rsid w:val="007D1BB8"/>
    <w:rsid w:val="007D1BC5"/>
    <w:rsid w:val="007D1BC6"/>
    <w:rsid w:val="007D1BCD"/>
    <w:rsid w:val="007D1BED"/>
    <w:rsid w:val="007D1BFD"/>
    <w:rsid w:val="007D1C18"/>
    <w:rsid w:val="007D1C25"/>
    <w:rsid w:val="007D1C64"/>
    <w:rsid w:val="007D1C81"/>
    <w:rsid w:val="007D1C93"/>
    <w:rsid w:val="007D1CC3"/>
    <w:rsid w:val="007D1CF1"/>
    <w:rsid w:val="007D1D53"/>
    <w:rsid w:val="007D1DE8"/>
    <w:rsid w:val="007D1E85"/>
    <w:rsid w:val="007D1EC2"/>
    <w:rsid w:val="007D1F2E"/>
    <w:rsid w:val="007D2030"/>
    <w:rsid w:val="007D209A"/>
    <w:rsid w:val="007D20A0"/>
    <w:rsid w:val="007D20A1"/>
    <w:rsid w:val="007D20B8"/>
    <w:rsid w:val="007D20FC"/>
    <w:rsid w:val="007D211D"/>
    <w:rsid w:val="007D2169"/>
    <w:rsid w:val="007D217F"/>
    <w:rsid w:val="007D21A7"/>
    <w:rsid w:val="007D2253"/>
    <w:rsid w:val="007D2276"/>
    <w:rsid w:val="007D2285"/>
    <w:rsid w:val="007D22B2"/>
    <w:rsid w:val="007D2302"/>
    <w:rsid w:val="007D230C"/>
    <w:rsid w:val="007D2342"/>
    <w:rsid w:val="007D2346"/>
    <w:rsid w:val="007D2416"/>
    <w:rsid w:val="007D241E"/>
    <w:rsid w:val="007D2461"/>
    <w:rsid w:val="007D24C4"/>
    <w:rsid w:val="007D24E4"/>
    <w:rsid w:val="007D2502"/>
    <w:rsid w:val="007D2543"/>
    <w:rsid w:val="007D25B0"/>
    <w:rsid w:val="007D261C"/>
    <w:rsid w:val="007D2657"/>
    <w:rsid w:val="007D2674"/>
    <w:rsid w:val="007D26AE"/>
    <w:rsid w:val="007D2716"/>
    <w:rsid w:val="007D2737"/>
    <w:rsid w:val="007D2792"/>
    <w:rsid w:val="007D27EA"/>
    <w:rsid w:val="007D281F"/>
    <w:rsid w:val="007D2841"/>
    <w:rsid w:val="007D2871"/>
    <w:rsid w:val="007D2872"/>
    <w:rsid w:val="007D288C"/>
    <w:rsid w:val="007D28AC"/>
    <w:rsid w:val="007D28B9"/>
    <w:rsid w:val="007D28C6"/>
    <w:rsid w:val="007D28E2"/>
    <w:rsid w:val="007D2949"/>
    <w:rsid w:val="007D2960"/>
    <w:rsid w:val="007D298A"/>
    <w:rsid w:val="007D29F6"/>
    <w:rsid w:val="007D29FB"/>
    <w:rsid w:val="007D2A0A"/>
    <w:rsid w:val="007D2A82"/>
    <w:rsid w:val="007D2A92"/>
    <w:rsid w:val="007D2A9B"/>
    <w:rsid w:val="007D2AF2"/>
    <w:rsid w:val="007D2B0E"/>
    <w:rsid w:val="007D2B43"/>
    <w:rsid w:val="007D2B87"/>
    <w:rsid w:val="007D2C41"/>
    <w:rsid w:val="007D2C48"/>
    <w:rsid w:val="007D2C6F"/>
    <w:rsid w:val="007D2C7A"/>
    <w:rsid w:val="007D2CDA"/>
    <w:rsid w:val="007D2D46"/>
    <w:rsid w:val="007D2DDE"/>
    <w:rsid w:val="007D2DE5"/>
    <w:rsid w:val="007D2DEC"/>
    <w:rsid w:val="007D2E76"/>
    <w:rsid w:val="007D2E77"/>
    <w:rsid w:val="007D2E90"/>
    <w:rsid w:val="007D2E94"/>
    <w:rsid w:val="007D2EC5"/>
    <w:rsid w:val="007D2ED1"/>
    <w:rsid w:val="007D2ED8"/>
    <w:rsid w:val="007D2F1E"/>
    <w:rsid w:val="007D2F7F"/>
    <w:rsid w:val="007D2FD9"/>
    <w:rsid w:val="007D3149"/>
    <w:rsid w:val="007D3167"/>
    <w:rsid w:val="007D31E3"/>
    <w:rsid w:val="007D31F7"/>
    <w:rsid w:val="007D3233"/>
    <w:rsid w:val="007D3299"/>
    <w:rsid w:val="007D333C"/>
    <w:rsid w:val="007D3341"/>
    <w:rsid w:val="007D338C"/>
    <w:rsid w:val="007D33DB"/>
    <w:rsid w:val="007D33DE"/>
    <w:rsid w:val="007D33E6"/>
    <w:rsid w:val="007D3506"/>
    <w:rsid w:val="007D3511"/>
    <w:rsid w:val="007D351D"/>
    <w:rsid w:val="007D354C"/>
    <w:rsid w:val="007D35F3"/>
    <w:rsid w:val="007D367B"/>
    <w:rsid w:val="007D3694"/>
    <w:rsid w:val="007D36A4"/>
    <w:rsid w:val="007D3704"/>
    <w:rsid w:val="007D371C"/>
    <w:rsid w:val="007D37B1"/>
    <w:rsid w:val="007D37C3"/>
    <w:rsid w:val="007D37C6"/>
    <w:rsid w:val="007D37F5"/>
    <w:rsid w:val="007D3807"/>
    <w:rsid w:val="007D3812"/>
    <w:rsid w:val="007D3814"/>
    <w:rsid w:val="007D3825"/>
    <w:rsid w:val="007D387D"/>
    <w:rsid w:val="007D38F8"/>
    <w:rsid w:val="007D3948"/>
    <w:rsid w:val="007D3961"/>
    <w:rsid w:val="007D3992"/>
    <w:rsid w:val="007D399A"/>
    <w:rsid w:val="007D39A8"/>
    <w:rsid w:val="007D39B6"/>
    <w:rsid w:val="007D3A46"/>
    <w:rsid w:val="007D3AD6"/>
    <w:rsid w:val="007D3ADE"/>
    <w:rsid w:val="007D3AEC"/>
    <w:rsid w:val="007D3AFF"/>
    <w:rsid w:val="007D3B58"/>
    <w:rsid w:val="007D3B5D"/>
    <w:rsid w:val="007D3B90"/>
    <w:rsid w:val="007D3B9A"/>
    <w:rsid w:val="007D3C31"/>
    <w:rsid w:val="007D3C35"/>
    <w:rsid w:val="007D3C3B"/>
    <w:rsid w:val="007D3CF9"/>
    <w:rsid w:val="007D3D07"/>
    <w:rsid w:val="007D3D0F"/>
    <w:rsid w:val="007D3D38"/>
    <w:rsid w:val="007D3D6F"/>
    <w:rsid w:val="007D3D9B"/>
    <w:rsid w:val="007D3DCE"/>
    <w:rsid w:val="007D3DE0"/>
    <w:rsid w:val="007D3E56"/>
    <w:rsid w:val="007D3E6F"/>
    <w:rsid w:val="007D3FE9"/>
    <w:rsid w:val="007D4009"/>
    <w:rsid w:val="007D4044"/>
    <w:rsid w:val="007D408E"/>
    <w:rsid w:val="007D409D"/>
    <w:rsid w:val="007D40D4"/>
    <w:rsid w:val="007D40E2"/>
    <w:rsid w:val="007D4106"/>
    <w:rsid w:val="007D4176"/>
    <w:rsid w:val="007D420F"/>
    <w:rsid w:val="007D426F"/>
    <w:rsid w:val="007D427C"/>
    <w:rsid w:val="007D4286"/>
    <w:rsid w:val="007D4291"/>
    <w:rsid w:val="007D429F"/>
    <w:rsid w:val="007D42FA"/>
    <w:rsid w:val="007D4316"/>
    <w:rsid w:val="007D4318"/>
    <w:rsid w:val="007D4361"/>
    <w:rsid w:val="007D43A4"/>
    <w:rsid w:val="007D43D4"/>
    <w:rsid w:val="007D440B"/>
    <w:rsid w:val="007D4464"/>
    <w:rsid w:val="007D448B"/>
    <w:rsid w:val="007D44BE"/>
    <w:rsid w:val="007D44F4"/>
    <w:rsid w:val="007D44F9"/>
    <w:rsid w:val="007D453B"/>
    <w:rsid w:val="007D4544"/>
    <w:rsid w:val="007D45A8"/>
    <w:rsid w:val="007D45EF"/>
    <w:rsid w:val="007D4615"/>
    <w:rsid w:val="007D461F"/>
    <w:rsid w:val="007D463D"/>
    <w:rsid w:val="007D46B6"/>
    <w:rsid w:val="007D470B"/>
    <w:rsid w:val="007D470F"/>
    <w:rsid w:val="007D4750"/>
    <w:rsid w:val="007D4772"/>
    <w:rsid w:val="007D4777"/>
    <w:rsid w:val="007D4788"/>
    <w:rsid w:val="007D47C8"/>
    <w:rsid w:val="007D47EF"/>
    <w:rsid w:val="007D47F3"/>
    <w:rsid w:val="007D482A"/>
    <w:rsid w:val="007D48A5"/>
    <w:rsid w:val="007D491A"/>
    <w:rsid w:val="007D4953"/>
    <w:rsid w:val="007D4985"/>
    <w:rsid w:val="007D49F3"/>
    <w:rsid w:val="007D4A29"/>
    <w:rsid w:val="007D4A8C"/>
    <w:rsid w:val="007D4B27"/>
    <w:rsid w:val="007D4B63"/>
    <w:rsid w:val="007D4B6E"/>
    <w:rsid w:val="007D4B78"/>
    <w:rsid w:val="007D4BBE"/>
    <w:rsid w:val="007D4BC1"/>
    <w:rsid w:val="007D4BED"/>
    <w:rsid w:val="007D4C06"/>
    <w:rsid w:val="007D4C8B"/>
    <w:rsid w:val="007D4CD9"/>
    <w:rsid w:val="007D4CDE"/>
    <w:rsid w:val="007D4D03"/>
    <w:rsid w:val="007D4D13"/>
    <w:rsid w:val="007D4D1C"/>
    <w:rsid w:val="007D4D1F"/>
    <w:rsid w:val="007D4D88"/>
    <w:rsid w:val="007D4D8E"/>
    <w:rsid w:val="007D4DC1"/>
    <w:rsid w:val="007D4DDD"/>
    <w:rsid w:val="007D4DE8"/>
    <w:rsid w:val="007D4DFD"/>
    <w:rsid w:val="007D4E04"/>
    <w:rsid w:val="007D4E4A"/>
    <w:rsid w:val="007D4E8A"/>
    <w:rsid w:val="007D4E90"/>
    <w:rsid w:val="007D4E93"/>
    <w:rsid w:val="007D4E9C"/>
    <w:rsid w:val="007D4EC9"/>
    <w:rsid w:val="007D4EF5"/>
    <w:rsid w:val="007D4F2F"/>
    <w:rsid w:val="007D4F46"/>
    <w:rsid w:val="007D4F65"/>
    <w:rsid w:val="007D4F8F"/>
    <w:rsid w:val="007D4FA8"/>
    <w:rsid w:val="007D4FB4"/>
    <w:rsid w:val="007D4FC5"/>
    <w:rsid w:val="007D4FE6"/>
    <w:rsid w:val="007D5005"/>
    <w:rsid w:val="007D5068"/>
    <w:rsid w:val="007D5089"/>
    <w:rsid w:val="007D5095"/>
    <w:rsid w:val="007D50E2"/>
    <w:rsid w:val="007D50E3"/>
    <w:rsid w:val="007D50FC"/>
    <w:rsid w:val="007D5107"/>
    <w:rsid w:val="007D5114"/>
    <w:rsid w:val="007D520C"/>
    <w:rsid w:val="007D5257"/>
    <w:rsid w:val="007D5277"/>
    <w:rsid w:val="007D52CC"/>
    <w:rsid w:val="007D52D8"/>
    <w:rsid w:val="007D52F9"/>
    <w:rsid w:val="007D5318"/>
    <w:rsid w:val="007D53BF"/>
    <w:rsid w:val="007D53D0"/>
    <w:rsid w:val="007D5464"/>
    <w:rsid w:val="007D547D"/>
    <w:rsid w:val="007D5483"/>
    <w:rsid w:val="007D54DF"/>
    <w:rsid w:val="007D54FB"/>
    <w:rsid w:val="007D557E"/>
    <w:rsid w:val="007D55DA"/>
    <w:rsid w:val="007D5633"/>
    <w:rsid w:val="007D565E"/>
    <w:rsid w:val="007D5673"/>
    <w:rsid w:val="007D5675"/>
    <w:rsid w:val="007D56BC"/>
    <w:rsid w:val="007D5746"/>
    <w:rsid w:val="007D57CF"/>
    <w:rsid w:val="007D57D5"/>
    <w:rsid w:val="007D5809"/>
    <w:rsid w:val="007D581E"/>
    <w:rsid w:val="007D5892"/>
    <w:rsid w:val="007D58B3"/>
    <w:rsid w:val="007D58BF"/>
    <w:rsid w:val="007D58DD"/>
    <w:rsid w:val="007D58F7"/>
    <w:rsid w:val="007D5934"/>
    <w:rsid w:val="007D5A34"/>
    <w:rsid w:val="007D5A77"/>
    <w:rsid w:val="007D5A7E"/>
    <w:rsid w:val="007D5AEF"/>
    <w:rsid w:val="007D5AFE"/>
    <w:rsid w:val="007D5B7F"/>
    <w:rsid w:val="007D5B86"/>
    <w:rsid w:val="007D5BD0"/>
    <w:rsid w:val="007D5BED"/>
    <w:rsid w:val="007D5BF0"/>
    <w:rsid w:val="007D5C08"/>
    <w:rsid w:val="007D5C16"/>
    <w:rsid w:val="007D5D7D"/>
    <w:rsid w:val="007D5E01"/>
    <w:rsid w:val="007D5E4B"/>
    <w:rsid w:val="007D5EC4"/>
    <w:rsid w:val="007D5EE0"/>
    <w:rsid w:val="007D5F1D"/>
    <w:rsid w:val="007D5F3C"/>
    <w:rsid w:val="007D5F96"/>
    <w:rsid w:val="007D5FD5"/>
    <w:rsid w:val="007D6050"/>
    <w:rsid w:val="007D6062"/>
    <w:rsid w:val="007D6067"/>
    <w:rsid w:val="007D6081"/>
    <w:rsid w:val="007D60D9"/>
    <w:rsid w:val="007D60EA"/>
    <w:rsid w:val="007D60F3"/>
    <w:rsid w:val="007D6147"/>
    <w:rsid w:val="007D617C"/>
    <w:rsid w:val="007D6194"/>
    <w:rsid w:val="007D622D"/>
    <w:rsid w:val="007D628A"/>
    <w:rsid w:val="007D62A7"/>
    <w:rsid w:val="007D633E"/>
    <w:rsid w:val="007D6402"/>
    <w:rsid w:val="007D643A"/>
    <w:rsid w:val="007D644A"/>
    <w:rsid w:val="007D64D0"/>
    <w:rsid w:val="007D653C"/>
    <w:rsid w:val="007D659E"/>
    <w:rsid w:val="007D65C9"/>
    <w:rsid w:val="007D65CB"/>
    <w:rsid w:val="007D6605"/>
    <w:rsid w:val="007D663F"/>
    <w:rsid w:val="007D664F"/>
    <w:rsid w:val="007D665A"/>
    <w:rsid w:val="007D6678"/>
    <w:rsid w:val="007D66EA"/>
    <w:rsid w:val="007D6701"/>
    <w:rsid w:val="007D6737"/>
    <w:rsid w:val="007D6748"/>
    <w:rsid w:val="007D674E"/>
    <w:rsid w:val="007D6781"/>
    <w:rsid w:val="007D6869"/>
    <w:rsid w:val="007D689A"/>
    <w:rsid w:val="007D68AB"/>
    <w:rsid w:val="007D68AF"/>
    <w:rsid w:val="007D68BC"/>
    <w:rsid w:val="007D68C4"/>
    <w:rsid w:val="007D692F"/>
    <w:rsid w:val="007D6933"/>
    <w:rsid w:val="007D694D"/>
    <w:rsid w:val="007D694F"/>
    <w:rsid w:val="007D69B9"/>
    <w:rsid w:val="007D6A46"/>
    <w:rsid w:val="007D6A58"/>
    <w:rsid w:val="007D6A6C"/>
    <w:rsid w:val="007D6AC6"/>
    <w:rsid w:val="007D6AF3"/>
    <w:rsid w:val="007D6B2C"/>
    <w:rsid w:val="007D6B78"/>
    <w:rsid w:val="007D6B8A"/>
    <w:rsid w:val="007D6B94"/>
    <w:rsid w:val="007D6B95"/>
    <w:rsid w:val="007D6BB3"/>
    <w:rsid w:val="007D6BB7"/>
    <w:rsid w:val="007D6BCC"/>
    <w:rsid w:val="007D6BD1"/>
    <w:rsid w:val="007D6BF8"/>
    <w:rsid w:val="007D6BFE"/>
    <w:rsid w:val="007D6CAF"/>
    <w:rsid w:val="007D6D35"/>
    <w:rsid w:val="007D6D40"/>
    <w:rsid w:val="007D6D48"/>
    <w:rsid w:val="007D6D6F"/>
    <w:rsid w:val="007D6DAC"/>
    <w:rsid w:val="007D6DD8"/>
    <w:rsid w:val="007D6E5C"/>
    <w:rsid w:val="007D6EC2"/>
    <w:rsid w:val="007D6F8F"/>
    <w:rsid w:val="007D6FB3"/>
    <w:rsid w:val="007D7057"/>
    <w:rsid w:val="007D706E"/>
    <w:rsid w:val="007D70BE"/>
    <w:rsid w:val="007D70C6"/>
    <w:rsid w:val="007D7119"/>
    <w:rsid w:val="007D714A"/>
    <w:rsid w:val="007D71A0"/>
    <w:rsid w:val="007D724E"/>
    <w:rsid w:val="007D7271"/>
    <w:rsid w:val="007D7295"/>
    <w:rsid w:val="007D7361"/>
    <w:rsid w:val="007D7389"/>
    <w:rsid w:val="007D73AB"/>
    <w:rsid w:val="007D73BB"/>
    <w:rsid w:val="007D73C5"/>
    <w:rsid w:val="007D73F0"/>
    <w:rsid w:val="007D7410"/>
    <w:rsid w:val="007D7423"/>
    <w:rsid w:val="007D7433"/>
    <w:rsid w:val="007D745F"/>
    <w:rsid w:val="007D7476"/>
    <w:rsid w:val="007D74B0"/>
    <w:rsid w:val="007D7503"/>
    <w:rsid w:val="007D7511"/>
    <w:rsid w:val="007D7527"/>
    <w:rsid w:val="007D7552"/>
    <w:rsid w:val="007D75AD"/>
    <w:rsid w:val="007D75C6"/>
    <w:rsid w:val="007D75C8"/>
    <w:rsid w:val="007D761C"/>
    <w:rsid w:val="007D7658"/>
    <w:rsid w:val="007D7673"/>
    <w:rsid w:val="007D768E"/>
    <w:rsid w:val="007D7785"/>
    <w:rsid w:val="007D7789"/>
    <w:rsid w:val="007D77A3"/>
    <w:rsid w:val="007D77B9"/>
    <w:rsid w:val="007D77E0"/>
    <w:rsid w:val="007D7911"/>
    <w:rsid w:val="007D793B"/>
    <w:rsid w:val="007D796E"/>
    <w:rsid w:val="007D79C5"/>
    <w:rsid w:val="007D79C6"/>
    <w:rsid w:val="007D7A08"/>
    <w:rsid w:val="007D7A0E"/>
    <w:rsid w:val="007D7A45"/>
    <w:rsid w:val="007D7A4A"/>
    <w:rsid w:val="007D7A50"/>
    <w:rsid w:val="007D7AE3"/>
    <w:rsid w:val="007D7B0F"/>
    <w:rsid w:val="007D7B8B"/>
    <w:rsid w:val="007D7B8E"/>
    <w:rsid w:val="007D7B91"/>
    <w:rsid w:val="007D7B96"/>
    <w:rsid w:val="007D7C3E"/>
    <w:rsid w:val="007D7C64"/>
    <w:rsid w:val="007D7C8C"/>
    <w:rsid w:val="007D7C9C"/>
    <w:rsid w:val="007D7CF0"/>
    <w:rsid w:val="007D7D23"/>
    <w:rsid w:val="007D7D6B"/>
    <w:rsid w:val="007D7D8B"/>
    <w:rsid w:val="007D7D95"/>
    <w:rsid w:val="007D7DB6"/>
    <w:rsid w:val="007D7DE1"/>
    <w:rsid w:val="007D7DEA"/>
    <w:rsid w:val="007D7E40"/>
    <w:rsid w:val="007D7E97"/>
    <w:rsid w:val="007D7EA5"/>
    <w:rsid w:val="007D7EE7"/>
    <w:rsid w:val="007D7F52"/>
    <w:rsid w:val="007E000F"/>
    <w:rsid w:val="007E0021"/>
    <w:rsid w:val="007E00D9"/>
    <w:rsid w:val="007E0101"/>
    <w:rsid w:val="007E015D"/>
    <w:rsid w:val="007E0170"/>
    <w:rsid w:val="007E0194"/>
    <w:rsid w:val="007E01D0"/>
    <w:rsid w:val="007E01DC"/>
    <w:rsid w:val="007E0214"/>
    <w:rsid w:val="007E025A"/>
    <w:rsid w:val="007E028C"/>
    <w:rsid w:val="007E0292"/>
    <w:rsid w:val="007E02BC"/>
    <w:rsid w:val="007E0342"/>
    <w:rsid w:val="007E0389"/>
    <w:rsid w:val="007E03F4"/>
    <w:rsid w:val="007E0404"/>
    <w:rsid w:val="007E043C"/>
    <w:rsid w:val="007E0483"/>
    <w:rsid w:val="007E04A5"/>
    <w:rsid w:val="007E04B1"/>
    <w:rsid w:val="007E04DA"/>
    <w:rsid w:val="007E0558"/>
    <w:rsid w:val="007E056A"/>
    <w:rsid w:val="007E062A"/>
    <w:rsid w:val="007E063C"/>
    <w:rsid w:val="007E0646"/>
    <w:rsid w:val="007E0662"/>
    <w:rsid w:val="007E06A7"/>
    <w:rsid w:val="007E06AF"/>
    <w:rsid w:val="007E06E8"/>
    <w:rsid w:val="007E06FA"/>
    <w:rsid w:val="007E0746"/>
    <w:rsid w:val="007E0785"/>
    <w:rsid w:val="007E07C6"/>
    <w:rsid w:val="007E080C"/>
    <w:rsid w:val="007E0865"/>
    <w:rsid w:val="007E08B1"/>
    <w:rsid w:val="007E08F5"/>
    <w:rsid w:val="007E0916"/>
    <w:rsid w:val="007E091D"/>
    <w:rsid w:val="007E092A"/>
    <w:rsid w:val="007E0944"/>
    <w:rsid w:val="007E095B"/>
    <w:rsid w:val="007E0977"/>
    <w:rsid w:val="007E09BB"/>
    <w:rsid w:val="007E0A08"/>
    <w:rsid w:val="007E0A28"/>
    <w:rsid w:val="007E0ABA"/>
    <w:rsid w:val="007E0AE6"/>
    <w:rsid w:val="007E0B25"/>
    <w:rsid w:val="007E0B2C"/>
    <w:rsid w:val="007E0B4D"/>
    <w:rsid w:val="007E0B54"/>
    <w:rsid w:val="007E0B7C"/>
    <w:rsid w:val="007E0BEF"/>
    <w:rsid w:val="007E0BF3"/>
    <w:rsid w:val="007E0BF5"/>
    <w:rsid w:val="007E0C1C"/>
    <w:rsid w:val="007E0C23"/>
    <w:rsid w:val="007E0C2E"/>
    <w:rsid w:val="007E0C38"/>
    <w:rsid w:val="007E0C85"/>
    <w:rsid w:val="007E0CA4"/>
    <w:rsid w:val="007E0CD0"/>
    <w:rsid w:val="007E0D06"/>
    <w:rsid w:val="007E0D3C"/>
    <w:rsid w:val="007E0D9B"/>
    <w:rsid w:val="007E0DB5"/>
    <w:rsid w:val="007E0E52"/>
    <w:rsid w:val="007E0E98"/>
    <w:rsid w:val="007E0E99"/>
    <w:rsid w:val="007E0FA2"/>
    <w:rsid w:val="007E0FAB"/>
    <w:rsid w:val="007E0FEB"/>
    <w:rsid w:val="007E109D"/>
    <w:rsid w:val="007E10B1"/>
    <w:rsid w:val="007E10FA"/>
    <w:rsid w:val="007E110C"/>
    <w:rsid w:val="007E110E"/>
    <w:rsid w:val="007E1121"/>
    <w:rsid w:val="007E113E"/>
    <w:rsid w:val="007E1155"/>
    <w:rsid w:val="007E117D"/>
    <w:rsid w:val="007E11A7"/>
    <w:rsid w:val="007E1200"/>
    <w:rsid w:val="007E1213"/>
    <w:rsid w:val="007E12B2"/>
    <w:rsid w:val="007E133B"/>
    <w:rsid w:val="007E135B"/>
    <w:rsid w:val="007E137C"/>
    <w:rsid w:val="007E13C6"/>
    <w:rsid w:val="007E13DD"/>
    <w:rsid w:val="007E13E0"/>
    <w:rsid w:val="007E1404"/>
    <w:rsid w:val="007E1427"/>
    <w:rsid w:val="007E1448"/>
    <w:rsid w:val="007E14C6"/>
    <w:rsid w:val="007E14DA"/>
    <w:rsid w:val="007E14E8"/>
    <w:rsid w:val="007E150F"/>
    <w:rsid w:val="007E158F"/>
    <w:rsid w:val="007E159F"/>
    <w:rsid w:val="007E15A2"/>
    <w:rsid w:val="007E15C9"/>
    <w:rsid w:val="007E15ED"/>
    <w:rsid w:val="007E15FB"/>
    <w:rsid w:val="007E164C"/>
    <w:rsid w:val="007E165B"/>
    <w:rsid w:val="007E16B7"/>
    <w:rsid w:val="007E16C7"/>
    <w:rsid w:val="007E16E2"/>
    <w:rsid w:val="007E16E7"/>
    <w:rsid w:val="007E174D"/>
    <w:rsid w:val="007E1752"/>
    <w:rsid w:val="007E1783"/>
    <w:rsid w:val="007E17EC"/>
    <w:rsid w:val="007E1884"/>
    <w:rsid w:val="007E18B4"/>
    <w:rsid w:val="007E191D"/>
    <w:rsid w:val="007E1A4B"/>
    <w:rsid w:val="007E1AF4"/>
    <w:rsid w:val="007E1B56"/>
    <w:rsid w:val="007E1B67"/>
    <w:rsid w:val="007E1B7C"/>
    <w:rsid w:val="007E1BA4"/>
    <w:rsid w:val="007E1BAD"/>
    <w:rsid w:val="007E1BC0"/>
    <w:rsid w:val="007E1BEC"/>
    <w:rsid w:val="007E1BED"/>
    <w:rsid w:val="007E1C65"/>
    <w:rsid w:val="007E1C6B"/>
    <w:rsid w:val="007E1C8A"/>
    <w:rsid w:val="007E1D09"/>
    <w:rsid w:val="007E1D62"/>
    <w:rsid w:val="007E1DC1"/>
    <w:rsid w:val="007E1DD2"/>
    <w:rsid w:val="007E1E15"/>
    <w:rsid w:val="007E1E22"/>
    <w:rsid w:val="007E1E4A"/>
    <w:rsid w:val="007E1E65"/>
    <w:rsid w:val="007E1E6A"/>
    <w:rsid w:val="007E1EBF"/>
    <w:rsid w:val="007E1F3A"/>
    <w:rsid w:val="007E1F3D"/>
    <w:rsid w:val="007E1FA3"/>
    <w:rsid w:val="007E2005"/>
    <w:rsid w:val="007E200D"/>
    <w:rsid w:val="007E2067"/>
    <w:rsid w:val="007E207A"/>
    <w:rsid w:val="007E2097"/>
    <w:rsid w:val="007E2143"/>
    <w:rsid w:val="007E2145"/>
    <w:rsid w:val="007E21F0"/>
    <w:rsid w:val="007E2265"/>
    <w:rsid w:val="007E2271"/>
    <w:rsid w:val="007E2278"/>
    <w:rsid w:val="007E233C"/>
    <w:rsid w:val="007E2342"/>
    <w:rsid w:val="007E2487"/>
    <w:rsid w:val="007E24D0"/>
    <w:rsid w:val="007E24EF"/>
    <w:rsid w:val="007E251A"/>
    <w:rsid w:val="007E251F"/>
    <w:rsid w:val="007E252C"/>
    <w:rsid w:val="007E2592"/>
    <w:rsid w:val="007E25A8"/>
    <w:rsid w:val="007E25AB"/>
    <w:rsid w:val="007E25AD"/>
    <w:rsid w:val="007E2618"/>
    <w:rsid w:val="007E2623"/>
    <w:rsid w:val="007E26A4"/>
    <w:rsid w:val="007E26B5"/>
    <w:rsid w:val="007E26D6"/>
    <w:rsid w:val="007E2720"/>
    <w:rsid w:val="007E2753"/>
    <w:rsid w:val="007E2780"/>
    <w:rsid w:val="007E279B"/>
    <w:rsid w:val="007E2880"/>
    <w:rsid w:val="007E289C"/>
    <w:rsid w:val="007E28F3"/>
    <w:rsid w:val="007E29B6"/>
    <w:rsid w:val="007E29DB"/>
    <w:rsid w:val="007E2A5C"/>
    <w:rsid w:val="007E2A6F"/>
    <w:rsid w:val="007E2A71"/>
    <w:rsid w:val="007E2B9B"/>
    <w:rsid w:val="007E2BC8"/>
    <w:rsid w:val="007E2C11"/>
    <w:rsid w:val="007E2C66"/>
    <w:rsid w:val="007E2CD1"/>
    <w:rsid w:val="007E2D24"/>
    <w:rsid w:val="007E2DCF"/>
    <w:rsid w:val="007E2DF9"/>
    <w:rsid w:val="007E2E25"/>
    <w:rsid w:val="007E2E32"/>
    <w:rsid w:val="007E2EA9"/>
    <w:rsid w:val="007E2EB4"/>
    <w:rsid w:val="007E2F2A"/>
    <w:rsid w:val="007E2F42"/>
    <w:rsid w:val="007E2FAB"/>
    <w:rsid w:val="007E2FD9"/>
    <w:rsid w:val="007E3042"/>
    <w:rsid w:val="007E30A8"/>
    <w:rsid w:val="007E30F6"/>
    <w:rsid w:val="007E30FE"/>
    <w:rsid w:val="007E311F"/>
    <w:rsid w:val="007E313C"/>
    <w:rsid w:val="007E317E"/>
    <w:rsid w:val="007E31C7"/>
    <w:rsid w:val="007E31D5"/>
    <w:rsid w:val="007E31E1"/>
    <w:rsid w:val="007E320B"/>
    <w:rsid w:val="007E3239"/>
    <w:rsid w:val="007E3260"/>
    <w:rsid w:val="007E32DB"/>
    <w:rsid w:val="007E3302"/>
    <w:rsid w:val="007E3315"/>
    <w:rsid w:val="007E3417"/>
    <w:rsid w:val="007E3424"/>
    <w:rsid w:val="007E3427"/>
    <w:rsid w:val="007E3437"/>
    <w:rsid w:val="007E346C"/>
    <w:rsid w:val="007E3478"/>
    <w:rsid w:val="007E348D"/>
    <w:rsid w:val="007E34F5"/>
    <w:rsid w:val="007E3505"/>
    <w:rsid w:val="007E350C"/>
    <w:rsid w:val="007E3584"/>
    <w:rsid w:val="007E358C"/>
    <w:rsid w:val="007E35FD"/>
    <w:rsid w:val="007E35FE"/>
    <w:rsid w:val="007E3609"/>
    <w:rsid w:val="007E3629"/>
    <w:rsid w:val="007E3659"/>
    <w:rsid w:val="007E3679"/>
    <w:rsid w:val="007E367F"/>
    <w:rsid w:val="007E3698"/>
    <w:rsid w:val="007E36B8"/>
    <w:rsid w:val="007E36E4"/>
    <w:rsid w:val="007E37E7"/>
    <w:rsid w:val="007E37F5"/>
    <w:rsid w:val="007E3827"/>
    <w:rsid w:val="007E3863"/>
    <w:rsid w:val="007E38AA"/>
    <w:rsid w:val="007E391A"/>
    <w:rsid w:val="007E397D"/>
    <w:rsid w:val="007E3990"/>
    <w:rsid w:val="007E39B6"/>
    <w:rsid w:val="007E3A30"/>
    <w:rsid w:val="007E3A32"/>
    <w:rsid w:val="007E3A3F"/>
    <w:rsid w:val="007E3A89"/>
    <w:rsid w:val="007E3AC5"/>
    <w:rsid w:val="007E3B0D"/>
    <w:rsid w:val="007E3B25"/>
    <w:rsid w:val="007E3B63"/>
    <w:rsid w:val="007E3C46"/>
    <w:rsid w:val="007E3D08"/>
    <w:rsid w:val="007E3D0D"/>
    <w:rsid w:val="007E3D36"/>
    <w:rsid w:val="007E3DA5"/>
    <w:rsid w:val="007E3DE5"/>
    <w:rsid w:val="007E3E2D"/>
    <w:rsid w:val="007E3E43"/>
    <w:rsid w:val="007E3E6C"/>
    <w:rsid w:val="007E3E84"/>
    <w:rsid w:val="007E3F1A"/>
    <w:rsid w:val="007E3F96"/>
    <w:rsid w:val="007E3FC6"/>
    <w:rsid w:val="007E4008"/>
    <w:rsid w:val="007E40CC"/>
    <w:rsid w:val="007E40F4"/>
    <w:rsid w:val="007E411A"/>
    <w:rsid w:val="007E414A"/>
    <w:rsid w:val="007E4294"/>
    <w:rsid w:val="007E42AB"/>
    <w:rsid w:val="007E42FB"/>
    <w:rsid w:val="007E4330"/>
    <w:rsid w:val="007E4354"/>
    <w:rsid w:val="007E4383"/>
    <w:rsid w:val="007E4396"/>
    <w:rsid w:val="007E43B4"/>
    <w:rsid w:val="007E43BC"/>
    <w:rsid w:val="007E43C9"/>
    <w:rsid w:val="007E4461"/>
    <w:rsid w:val="007E44BB"/>
    <w:rsid w:val="007E44D1"/>
    <w:rsid w:val="007E44F6"/>
    <w:rsid w:val="007E4528"/>
    <w:rsid w:val="007E452B"/>
    <w:rsid w:val="007E4534"/>
    <w:rsid w:val="007E456A"/>
    <w:rsid w:val="007E45A3"/>
    <w:rsid w:val="007E45B8"/>
    <w:rsid w:val="007E4611"/>
    <w:rsid w:val="007E462E"/>
    <w:rsid w:val="007E46D1"/>
    <w:rsid w:val="007E46D8"/>
    <w:rsid w:val="007E46E5"/>
    <w:rsid w:val="007E46EA"/>
    <w:rsid w:val="007E47E6"/>
    <w:rsid w:val="007E47E9"/>
    <w:rsid w:val="007E4843"/>
    <w:rsid w:val="007E4886"/>
    <w:rsid w:val="007E488D"/>
    <w:rsid w:val="007E48EA"/>
    <w:rsid w:val="007E48EB"/>
    <w:rsid w:val="007E4903"/>
    <w:rsid w:val="007E491B"/>
    <w:rsid w:val="007E4963"/>
    <w:rsid w:val="007E4A64"/>
    <w:rsid w:val="007E4A77"/>
    <w:rsid w:val="007E4AE6"/>
    <w:rsid w:val="007E4AF2"/>
    <w:rsid w:val="007E4B0A"/>
    <w:rsid w:val="007E4B53"/>
    <w:rsid w:val="007E4B62"/>
    <w:rsid w:val="007E4B90"/>
    <w:rsid w:val="007E4BC2"/>
    <w:rsid w:val="007E4BCD"/>
    <w:rsid w:val="007E4C28"/>
    <w:rsid w:val="007E4C75"/>
    <w:rsid w:val="007E4CA5"/>
    <w:rsid w:val="007E4CCE"/>
    <w:rsid w:val="007E4D20"/>
    <w:rsid w:val="007E4D69"/>
    <w:rsid w:val="007E4D6C"/>
    <w:rsid w:val="007E4D7A"/>
    <w:rsid w:val="007E4DB8"/>
    <w:rsid w:val="007E4E16"/>
    <w:rsid w:val="007E4E28"/>
    <w:rsid w:val="007E4EAE"/>
    <w:rsid w:val="007E4EB2"/>
    <w:rsid w:val="007E4F11"/>
    <w:rsid w:val="007E4FE0"/>
    <w:rsid w:val="007E502A"/>
    <w:rsid w:val="007E5060"/>
    <w:rsid w:val="007E5080"/>
    <w:rsid w:val="007E5094"/>
    <w:rsid w:val="007E511B"/>
    <w:rsid w:val="007E514E"/>
    <w:rsid w:val="007E518D"/>
    <w:rsid w:val="007E51A8"/>
    <w:rsid w:val="007E51B3"/>
    <w:rsid w:val="007E51CD"/>
    <w:rsid w:val="007E51E0"/>
    <w:rsid w:val="007E523B"/>
    <w:rsid w:val="007E527D"/>
    <w:rsid w:val="007E528F"/>
    <w:rsid w:val="007E531C"/>
    <w:rsid w:val="007E531F"/>
    <w:rsid w:val="007E5363"/>
    <w:rsid w:val="007E54CE"/>
    <w:rsid w:val="007E5525"/>
    <w:rsid w:val="007E552E"/>
    <w:rsid w:val="007E5542"/>
    <w:rsid w:val="007E5543"/>
    <w:rsid w:val="007E5550"/>
    <w:rsid w:val="007E5598"/>
    <w:rsid w:val="007E55AE"/>
    <w:rsid w:val="007E55DE"/>
    <w:rsid w:val="007E5632"/>
    <w:rsid w:val="007E5646"/>
    <w:rsid w:val="007E56D4"/>
    <w:rsid w:val="007E5727"/>
    <w:rsid w:val="007E577C"/>
    <w:rsid w:val="007E57C0"/>
    <w:rsid w:val="007E57C6"/>
    <w:rsid w:val="007E57E8"/>
    <w:rsid w:val="007E580A"/>
    <w:rsid w:val="007E5823"/>
    <w:rsid w:val="007E5839"/>
    <w:rsid w:val="007E58AE"/>
    <w:rsid w:val="007E5923"/>
    <w:rsid w:val="007E5947"/>
    <w:rsid w:val="007E5957"/>
    <w:rsid w:val="007E59CE"/>
    <w:rsid w:val="007E59D3"/>
    <w:rsid w:val="007E59E2"/>
    <w:rsid w:val="007E59F5"/>
    <w:rsid w:val="007E5A1A"/>
    <w:rsid w:val="007E5A3C"/>
    <w:rsid w:val="007E5A4D"/>
    <w:rsid w:val="007E5A69"/>
    <w:rsid w:val="007E5A76"/>
    <w:rsid w:val="007E5A79"/>
    <w:rsid w:val="007E5AA8"/>
    <w:rsid w:val="007E5AB4"/>
    <w:rsid w:val="007E5B24"/>
    <w:rsid w:val="007E5B25"/>
    <w:rsid w:val="007E5B33"/>
    <w:rsid w:val="007E5BEB"/>
    <w:rsid w:val="007E5C08"/>
    <w:rsid w:val="007E5C1A"/>
    <w:rsid w:val="007E5CEB"/>
    <w:rsid w:val="007E5D41"/>
    <w:rsid w:val="007E5D54"/>
    <w:rsid w:val="007E5DBA"/>
    <w:rsid w:val="007E5E19"/>
    <w:rsid w:val="007E5FD4"/>
    <w:rsid w:val="007E5FDD"/>
    <w:rsid w:val="007E5FE1"/>
    <w:rsid w:val="007E5FE6"/>
    <w:rsid w:val="007E5FF7"/>
    <w:rsid w:val="007E60A5"/>
    <w:rsid w:val="007E60D8"/>
    <w:rsid w:val="007E6106"/>
    <w:rsid w:val="007E616F"/>
    <w:rsid w:val="007E6170"/>
    <w:rsid w:val="007E61DD"/>
    <w:rsid w:val="007E6249"/>
    <w:rsid w:val="007E6255"/>
    <w:rsid w:val="007E628E"/>
    <w:rsid w:val="007E6343"/>
    <w:rsid w:val="007E63C4"/>
    <w:rsid w:val="007E6403"/>
    <w:rsid w:val="007E6423"/>
    <w:rsid w:val="007E642F"/>
    <w:rsid w:val="007E6461"/>
    <w:rsid w:val="007E649A"/>
    <w:rsid w:val="007E649D"/>
    <w:rsid w:val="007E64BC"/>
    <w:rsid w:val="007E65A7"/>
    <w:rsid w:val="007E65D4"/>
    <w:rsid w:val="007E6620"/>
    <w:rsid w:val="007E664F"/>
    <w:rsid w:val="007E665C"/>
    <w:rsid w:val="007E6699"/>
    <w:rsid w:val="007E66CE"/>
    <w:rsid w:val="007E66EE"/>
    <w:rsid w:val="007E6704"/>
    <w:rsid w:val="007E672C"/>
    <w:rsid w:val="007E677E"/>
    <w:rsid w:val="007E6793"/>
    <w:rsid w:val="007E67EE"/>
    <w:rsid w:val="007E67FC"/>
    <w:rsid w:val="007E6814"/>
    <w:rsid w:val="007E684E"/>
    <w:rsid w:val="007E68A9"/>
    <w:rsid w:val="007E68AE"/>
    <w:rsid w:val="007E68DD"/>
    <w:rsid w:val="007E68FC"/>
    <w:rsid w:val="007E69CE"/>
    <w:rsid w:val="007E69D2"/>
    <w:rsid w:val="007E6A1D"/>
    <w:rsid w:val="007E6A6F"/>
    <w:rsid w:val="007E6A95"/>
    <w:rsid w:val="007E6A96"/>
    <w:rsid w:val="007E6B4A"/>
    <w:rsid w:val="007E6B55"/>
    <w:rsid w:val="007E6B99"/>
    <w:rsid w:val="007E6BBE"/>
    <w:rsid w:val="007E6C72"/>
    <w:rsid w:val="007E6C79"/>
    <w:rsid w:val="007E6C8A"/>
    <w:rsid w:val="007E6CBA"/>
    <w:rsid w:val="007E6CD0"/>
    <w:rsid w:val="007E6D50"/>
    <w:rsid w:val="007E6D90"/>
    <w:rsid w:val="007E6DC9"/>
    <w:rsid w:val="007E6DDC"/>
    <w:rsid w:val="007E6DF0"/>
    <w:rsid w:val="007E6E59"/>
    <w:rsid w:val="007E6EA5"/>
    <w:rsid w:val="007E6EC7"/>
    <w:rsid w:val="007E6EF0"/>
    <w:rsid w:val="007E6F22"/>
    <w:rsid w:val="007E7006"/>
    <w:rsid w:val="007E705E"/>
    <w:rsid w:val="007E7071"/>
    <w:rsid w:val="007E70B6"/>
    <w:rsid w:val="007E717C"/>
    <w:rsid w:val="007E71C5"/>
    <w:rsid w:val="007E72AD"/>
    <w:rsid w:val="007E72CB"/>
    <w:rsid w:val="007E72FB"/>
    <w:rsid w:val="007E733C"/>
    <w:rsid w:val="007E7354"/>
    <w:rsid w:val="007E7383"/>
    <w:rsid w:val="007E738E"/>
    <w:rsid w:val="007E73A1"/>
    <w:rsid w:val="007E741A"/>
    <w:rsid w:val="007E744E"/>
    <w:rsid w:val="007E74B6"/>
    <w:rsid w:val="007E753F"/>
    <w:rsid w:val="007E7546"/>
    <w:rsid w:val="007E756C"/>
    <w:rsid w:val="007E75A2"/>
    <w:rsid w:val="007E75FC"/>
    <w:rsid w:val="007E7602"/>
    <w:rsid w:val="007E7607"/>
    <w:rsid w:val="007E7645"/>
    <w:rsid w:val="007E7661"/>
    <w:rsid w:val="007E769C"/>
    <w:rsid w:val="007E7732"/>
    <w:rsid w:val="007E7760"/>
    <w:rsid w:val="007E779E"/>
    <w:rsid w:val="007E77AE"/>
    <w:rsid w:val="007E7808"/>
    <w:rsid w:val="007E7809"/>
    <w:rsid w:val="007E7812"/>
    <w:rsid w:val="007E7842"/>
    <w:rsid w:val="007E787F"/>
    <w:rsid w:val="007E78BA"/>
    <w:rsid w:val="007E78CA"/>
    <w:rsid w:val="007E78F5"/>
    <w:rsid w:val="007E791A"/>
    <w:rsid w:val="007E794B"/>
    <w:rsid w:val="007E79E1"/>
    <w:rsid w:val="007E7A31"/>
    <w:rsid w:val="007E7A72"/>
    <w:rsid w:val="007E7AD2"/>
    <w:rsid w:val="007E7B69"/>
    <w:rsid w:val="007E7BA2"/>
    <w:rsid w:val="007E7BDC"/>
    <w:rsid w:val="007E7C11"/>
    <w:rsid w:val="007E7C53"/>
    <w:rsid w:val="007E7C6F"/>
    <w:rsid w:val="007E7C8B"/>
    <w:rsid w:val="007E7CA5"/>
    <w:rsid w:val="007E7D55"/>
    <w:rsid w:val="007E7DF0"/>
    <w:rsid w:val="007E7E42"/>
    <w:rsid w:val="007E7E4E"/>
    <w:rsid w:val="007E7E58"/>
    <w:rsid w:val="007E7E9D"/>
    <w:rsid w:val="007E7EBA"/>
    <w:rsid w:val="007E7EEF"/>
    <w:rsid w:val="007E7F03"/>
    <w:rsid w:val="007E7F9B"/>
    <w:rsid w:val="007E7FCB"/>
    <w:rsid w:val="007F0085"/>
    <w:rsid w:val="007F0120"/>
    <w:rsid w:val="007F01B4"/>
    <w:rsid w:val="007F01B5"/>
    <w:rsid w:val="007F020A"/>
    <w:rsid w:val="007F02DE"/>
    <w:rsid w:val="007F031D"/>
    <w:rsid w:val="007F0355"/>
    <w:rsid w:val="007F0386"/>
    <w:rsid w:val="007F041B"/>
    <w:rsid w:val="007F0429"/>
    <w:rsid w:val="007F0431"/>
    <w:rsid w:val="007F045F"/>
    <w:rsid w:val="007F0462"/>
    <w:rsid w:val="007F0523"/>
    <w:rsid w:val="007F053C"/>
    <w:rsid w:val="007F0562"/>
    <w:rsid w:val="007F05D5"/>
    <w:rsid w:val="007F0675"/>
    <w:rsid w:val="007F06BC"/>
    <w:rsid w:val="007F06C5"/>
    <w:rsid w:val="007F074C"/>
    <w:rsid w:val="007F07AC"/>
    <w:rsid w:val="007F07E9"/>
    <w:rsid w:val="007F085D"/>
    <w:rsid w:val="007F0867"/>
    <w:rsid w:val="007F0878"/>
    <w:rsid w:val="007F087C"/>
    <w:rsid w:val="007F08B2"/>
    <w:rsid w:val="007F08B7"/>
    <w:rsid w:val="007F08C3"/>
    <w:rsid w:val="007F0A3C"/>
    <w:rsid w:val="007F0A70"/>
    <w:rsid w:val="007F0AA8"/>
    <w:rsid w:val="007F0AC8"/>
    <w:rsid w:val="007F0ACA"/>
    <w:rsid w:val="007F0B35"/>
    <w:rsid w:val="007F0B44"/>
    <w:rsid w:val="007F0B4C"/>
    <w:rsid w:val="007F0BA5"/>
    <w:rsid w:val="007F0BFA"/>
    <w:rsid w:val="007F0BFD"/>
    <w:rsid w:val="007F0C17"/>
    <w:rsid w:val="007F0C1A"/>
    <w:rsid w:val="007F0C44"/>
    <w:rsid w:val="007F0C86"/>
    <w:rsid w:val="007F0C87"/>
    <w:rsid w:val="007F0C95"/>
    <w:rsid w:val="007F0CA7"/>
    <w:rsid w:val="007F0CDD"/>
    <w:rsid w:val="007F0CE9"/>
    <w:rsid w:val="007F0CF9"/>
    <w:rsid w:val="007F0D19"/>
    <w:rsid w:val="007F0D31"/>
    <w:rsid w:val="007F0DC0"/>
    <w:rsid w:val="007F0E46"/>
    <w:rsid w:val="007F0ED2"/>
    <w:rsid w:val="007F0F31"/>
    <w:rsid w:val="007F0F4F"/>
    <w:rsid w:val="007F0F73"/>
    <w:rsid w:val="007F0F77"/>
    <w:rsid w:val="007F0F85"/>
    <w:rsid w:val="007F0FC3"/>
    <w:rsid w:val="007F1017"/>
    <w:rsid w:val="007F10C6"/>
    <w:rsid w:val="007F10E3"/>
    <w:rsid w:val="007F10F7"/>
    <w:rsid w:val="007F1108"/>
    <w:rsid w:val="007F110C"/>
    <w:rsid w:val="007F1144"/>
    <w:rsid w:val="007F115F"/>
    <w:rsid w:val="007F118E"/>
    <w:rsid w:val="007F11A9"/>
    <w:rsid w:val="007F11B5"/>
    <w:rsid w:val="007F11C6"/>
    <w:rsid w:val="007F11D5"/>
    <w:rsid w:val="007F1234"/>
    <w:rsid w:val="007F123C"/>
    <w:rsid w:val="007F1242"/>
    <w:rsid w:val="007F124A"/>
    <w:rsid w:val="007F1250"/>
    <w:rsid w:val="007F125D"/>
    <w:rsid w:val="007F127C"/>
    <w:rsid w:val="007F128C"/>
    <w:rsid w:val="007F12C2"/>
    <w:rsid w:val="007F12C8"/>
    <w:rsid w:val="007F134C"/>
    <w:rsid w:val="007F1380"/>
    <w:rsid w:val="007F13B7"/>
    <w:rsid w:val="007F13B8"/>
    <w:rsid w:val="007F13FC"/>
    <w:rsid w:val="007F1414"/>
    <w:rsid w:val="007F143E"/>
    <w:rsid w:val="007F1451"/>
    <w:rsid w:val="007F14DC"/>
    <w:rsid w:val="007F1502"/>
    <w:rsid w:val="007F1525"/>
    <w:rsid w:val="007F1532"/>
    <w:rsid w:val="007F153B"/>
    <w:rsid w:val="007F1553"/>
    <w:rsid w:val="007F15C8"/>
    <w:rsid w:val="007F165C"/>
    <w:rsid w:val="007F16FA"/>
    <w:rsid w:val="007F1712"/>
    <w:rsid w:val="007F171C"/>
    <w:rsid w:val="007F1749"/>
    <w:rsid w:val="007F1822"/>
    <w:rsid w:val="007F18F4"/>
    <w:rsid w:val="007F1914"/>
    <w:rsid w:val="007F193A"/>
    <w:rsid w:val="007F198D"/>
    <w:rsid w:val="007F19AB"/>
    <w:rsid w:val="007F19DB"/>
    <w:rsid w:val="007F1A2C"/>
    <w:rsid w:val="007F1A39"/>
    <w:rsid w:val="007F1A9B"/>
    <w:rsid w:val="007F1B24"/>
    <w:rsid w:val="007F1B7A"/>
    <w:rsid w:val="007F1BF9"/>
    <w:rsid w:val="007F1C93"/>
    <w:rsid w:val="007F1CA3"/>
    <w:rsid w:val="007F1CB3"/>
    <w:rsid w:val="007F1CCF"/>
    <w:rsid w:val="007F1D06"/>
    <w:rsid w:val="007F1D45"/>
    <w:rsid w:val="007F1D62"/>
    <w:rsid w:val="007F1D8C"/>
    <w:rsid w:val="007F1EAB"/>
    <w:rsid w:val="007F1EE3"/>
    <w:rsid w:val="007F1F33"/>
    <w:rsid w:val="007F1F36"/>
    <w:rsid w:val="007F1FA5"/>
    <w:rsid w:val="007F1FAC"/>
    <w:rsid w:val="007F2064"/>
    <w:rsid w:val="007F208B"/>
    <w:rsid w:val="007F20A5"/>
    <w:rsid w:val="007F2130"/>
    <w:rsid w:val="007F21A0"/>
    <w:rsid w:val="007F21CA"/>
    <w:rsid w:val="007F21D5"/>
    <w:rsid w:val="007F21F8"/>
    <w:rsid w:val="007F2206"/>
    <w:rsid w:val="007F223D"/>
    <w:rsid w:val="007F2255"/>
    <w:rsid w:val="007F225F"/>
    <w:rsid w:val="007F2268"/>
    <w:rsid w:val="007F2273"/>
    <w:rsid w:val="007F2299"/>
    <w:rsid w:val="007F2335"/>
    <w:rsid w:val="007F2343"/>
    <w:rsid w:val="007F23BA"/>
    <w:rsid w:val="007F2420"/>
    <w:rsid w:val="007F2466"/>
    <w:rsid w:val="007F2493"/>
    <w:rsid w:val="007F24CF"/>
    <w:rsid w:val="007F24F8"/>
    <w:rsid w:val="007F250B"/>
    <w:rsid w:val="007F2562"/>
    <w:rsid w:val="007F25B2"/>
    <w:rsid w:val="007F25D8"/>
    <w:rsid w:val="007F25F7"/>
    <w:rsid w:val="007F2614"/>
    <w:rsid w:val="007F2619"/>
    <w:rsid w:val="007F263D"/>
    <w:rsid w:val="007F2668"/>
    <w:rsid w:val="007F26D1"/>
    <w:rsid w:val="007F2704"/>
    <w:rsid w:val="007F2725"/>
    <w:rsid w:val="007F2744"/>
    <w:rsid w:val="007F27B8"/>
    <w:rsid w:val="007F27DB"/>
    <w:rsid w:val="007F2854"/>
    <w:rsid w:val="007F2885"/>
    <w:rsid w:val="007F2891"/>
    <w:rsid w:val="007F28CF"/>
    <w:rsid w:val="007F28D3"/>
    <w:rsid w:val="007F28DC"/>
    <w:rsid w:val="007F2910"/>
    <w:rsid w:val="007F29A7"/>
    <w:rsid w:val="007F29F4"/>
    <w:rsid w:val="007F2A1A"/>
    <w:rsid w:val="007F2A1D"/>
    <w:rsid w:val="007F2A2C"/>
    <w:rsid w:val="007F2A43"/>
    <w:rsid w:val="007F2A91"/>
    <w:rsid w:val="007F2ACD"/>
    <w:rsid w:val="007F2ADF"/>
    <w:rsid w:val="007F2AE1"/>
    <w:rsid w:val="007F2B62"/>
    <w:rsid w:val="007F2B79"/>
    <w:rsid w:val="007F2B90"/>
    <w:rsid w:val="007F2BBC"/>
    <w:rsid w:val="007F2BC1"/>
    <w:rsid w:val="007F2BE0"/>
    <w:rsid w:val="007F2C8E"/>
    <w:rsid w:val="007F2CCF"/>
    <w:rsid w:val="007F2CE8"/>
    <w:rsid w:val="007F2D2F"/>
    <w:rsid w:val="007F2D31"/>
    <w:rsid w:val="007F2DB6"/>
    <w:rsid w:val="007F2DCD"/>
    <w:rsid w:val="007F2E42"/>
    <w:rsid w:val="007F2E85"/>
    <w:rsid w:val="007F2E96"/>
    <w:rsid w:val="007F2F9D"/>
    <w:rsid w:val="007F2FDD"/>
    <w:rsid w:val="007F30A7"/>
    <w:rsid w:val="007F310C"/>
    <w:rsid w:val="007F3110"/>
    <w:rsid w:val="007F312A"/>
    <w:rsid w:val="007F3134"/>
    <w:rsid w:val="007F315A"/>
    <w:rsid w:val="007F3192"/>
    <w:rsid w:val="007F3195"/>
    <w:rsid w:val="007F31BB"/>
    <w:rsid w:val="007F31CC"/>
    <w:rsid w:val="007F3238"/>
    <w:rsid w:val="007F3265"/>
    <w:rsid w:val="007F3280"/>
    <w:rsid w:val="007F32D5"/>
    <w:rsid w:val="007F3319"/>
    <w:rsid w:val="007F332D"/>
    <w:rsid w:val="007F3368"/>
    <w:rsid w:val="007F336D"/>
    <w:rsid w:val="007F33E1"/>
    <w:rsid w:val="007F34A7"/>
    <w:rsid w:val="007F34C1"/>
    <w:rsid w:val="007F3548"/>
    <w:rsid w:val="007F3565"/>
    <w:rsid w:val="007F356A"/>
    <w:rsid w:val="007F3570"/>
    <w:rsid w:val="007F35C1"/>
    <w:rsid w:val="007F35F1"/>
    <w:rsid w:val="007F3623"/>
    <w:rsid w:val="007F3646"/>
    <w:rsid w:val="007F3714"/>
    <w:rsid w:val="007F373C"/>
    <w:rsid w:val="007F37E4"/>
    <w:rsid w:val="007F383D"/>
    <w:rsid w:val="007F3841"/>
    <w:rsid w:val="007F3872"/>
    <w:rsid w:val="007F38C5"/>
    <w:rsid w:val="007F38CC"/>
    <w:rsid w:val="007F38DC"/>
    <w:rsid w:val="007F3933"/>
    <w:rsid w:val="007F39C4"/>
    <w:rsid w:val="007F39D6"/>
    <w:rsid w:val="007F3A03"/>
    <w:rsid w:val="007F3A31"/>
    <w:rsid w:val="007F3AA5"/>
    <w:rsid w:val="007F3AC7"/>
    <w:rsid w:val="007F3B04"/>
    <w:rsid w:val="007F3B81"/>
    <w:rsid w:val="007F3BA9"/>
    <w:rsid w:val="007F3BF2"/>
    <w:rsid w:val="007F3C2A"/>
    <w:rsid w:val="007F3C7C"/>
    <w:rsid w:val="007F3C9A"/>
    <w:rsid w:val="007F3CDE"/>
    <w:rsid w:val="007F3D17"/>
    <w:rsid w:val="007F3D26"/>
    <w:rsid w:val="007F3D9F"/>
    <w:rsid w:val="007F3DBE"/>
    <w:rsid w:val="007F3DC4"/>
    <w:rsid w:val="007F3DE3"/>
    <w:rsid w:val="007F3DEC"/>
    <w:rsid w:val="007F3DF5"/>
    <w:rsid w:val="007F3E04"/>
    <w:rsid w:val="007F3E1B"/>
    <w:rsid w:val="007F3E5A"/>
    <w:rsid w:val="007F3E6E"/>
    <w:rsid w:val="007F3E79"/>
    <w:rsid w:val="007F3E86"/>
    <w:rsid w:val="007F3EB4"/>
    <w:rsid w:val="007F3F0F"/>
    <w:rsid w:val="007F3F4F"/>
    <w:rsid w:val="007F3FA1"/>
    <w:rsid w:val="007F3FE3"/>
    <w:rsid w:val="007F3FFF"/>
    <w:rsid w:val="007F402D"/>
    <w:rsid w:val="007F404A"/>
    <w:rsid w:val="007F416C"/>
    <w:rsid w:val="007F417B"/>
    <w:rsid w:val="007F417E"/>
    <w:rsid w:val="007F41E2"/>
    <w:rsid w:val="007F41E4"/>
    <w:rsid w:val="007F428C"/>
    <w:rsid w:val="007F429D"/>
    <w:rsid w:val="007F42A6"/>
    <w:rsid w:val="007F42E4"/>
    <w:rsid w:val="007F42FF"/>
    <w:rsid w:val="007F4337"/>
    <w:rsid w:val="007F4358"/>
    <w:rsid w:val="007F4364"/>
    <w:rsid w:val="007F43A6"/>
    <w:rsid w:val="007F44B5"/>
    <w:rsid w:val="007F44B9"/>
    <w:rsid w:val="007F4500"/>
    <w:rsid w:val="007F4503"/>
    <w:rsid w:val="007F451E"/>
    <w:rsid w:val="007F4537"/>
    <w:rsid w:val="007F4545"/>
    <w:rsid w:val="007F4563"/>
    <w:rsid w:val="007F4599"/>
    <w:rsid w:val="007F45C6"/>
    <w:rsid w:val="007F4634"/>
    <w:rsid w:val="007F46F2"/>
    <w:rsid w:val="007F4717"/>
    <w:rsid w:val="007F473A"/>
    <w:rsid w:val="007F4787"/>
    <w:rsid w:val="007F47C7"/>
    <w:rsid w:val="007F4842"/>
    <w:rsid w:val="007F486F"/>
    <w:rsid w:val="007F4894"/>
    <w:rsid w:val="007F48AF"/>
    <w:rsid w:val="007F4904"/>
    <w:rsid w:val="007F498D"/>
    <w:rsid w:val="007F49DB"/>
    <w:rsid w:val="007F49FB"/>
    <w:rsid w:val="007F4A4A"/>
    <w:rsid w:val="007F4A85"/>
    <w:rsid w:val="007F4B42"/>
    <w:rsid w:val="007F4B79"/>
    <w:rsid w:val="007F4B97"/>
    <w:rsid w:val="007F4BF0"/>
    <w:rsid w:val="007F4BFB"/>
    <w:rsid w:val="007F4C5C"/>
    <w:rsid w:val="007F4C95"/>
    <w:rsid w:val="007F4CA4"/>
    <w:rsid w:val="007F4CD9"/>
    <w:rsid w:val="007F4CDB"/>
    <w:rsid w:val="007F4D35"/>
    <w:rsid w:val="007F4D43"/>
    <w:rsid w:val="007F4DD9"/>
    <w:rsid w:val="007F4E08"/>
    <w:rsid w:val="007F4E2E"/>
    <w:rsid w:val="007F4E40"/>
    <w:rsid w:val="007F4EAD"/>
    <w:rsid w:val="007F4F68"/>
    <w:rsid w:val="007F4F84"/>
    <w:rsid w:val="007F4FC7"/>
    <w:rsid w:val="007F4FF3"/>
    <w:rsid w:val="007F5013"/>
    <w:rsid w:val="007F5040"/>
    <w:rsid w:val="007F507E"/>
    <w:rsid w:val="007F5082"/>
    <w:rsid w:val="007F511E"/>
    <w:rsid w:val="007F513D"/>
    <w:rsid w:val="007F51D9"/>
    <w:rsid w:val="007F5211"/>
    <w:rsid w:val="007F524F"/>
    <w:rsid w:val="007F5315"/>
    <w:rsid w:val="007F5347"/>
    <w:rsid w:val="007F5348"/>
    <w:rsid w:val="007F536D"/>
    <w:rsid w:val="007F53BF"/>
    <w:rsid w:val="007F53C8"/>
    <w:rsid w:val="007F53E3"/>
    <w:rsid w:val="007F5470"/>
    <w:rsid w:val="007F54EE"/>
    <w:rsid w:val="007F555E"/>
    <w:rsid w:val="007F555F"/>
    <w:rsid w:val="007F5568"/>
    <w:rsid w:val="007F5665"/>
    <w:rsid w:val="007F56AF"/>
    <w:rsid w:val="007F56B3"/>
    <w:rsid w:val="007F56B4"/>
    <w:rsid w:val="007F56DB"/>
    <w:rsid w:val="007F570D"/>
    <w:rsid w:val="007F5738"/>
    <w:rsid w:val="007F5759"/>
    <w:rsid w:val="007F57F7"/>
    <w:rsid w:val="007F5823"/>
    <w:rsid w:val="007F5858"/>
    <w:rsid w:val="007F58C4"/>
    <w:rsid w:val="007F58C8"/>
    <w:rsid w:val="007F58DE"/>
    <w:rsid w:val="007F58DF"/>
    <w:rsid w:val="007F5938"/>
    <w:rsid w:val="007F593A"/>
    <w:rsid w:val="007F593C"/>
    <w:rsid w:val="007F594D"/>
    <w:rsid w:val="007F59E6"/>
    <w:rsid w:val="007F5A24"/>
    <w:rsid w:val="007F5A60"/>
    <w:rsid w:val="007F5AC3"/>
    <w:rsid w:val="007F5AD4"/>
    <w:rsid w:val="007F5B1F"/>
    <w:rsid w:val="007F5B56"/>
    <w:rsid w:val="007F5B92"/>
    <w:rsid w:val="007F5BB1"/>
    <w:rsid w:val="007F5BF0"/>
    <w:rsid w:val="007F5C2C"/>
    <w:rsid w:val="007F5C3E"/>
    <w:rsid w:val="007F5C55"/>
    <w:rsid w:val="007F5C78"/>
    <w:rsid w:val="007F5C8F"/>
    <w:rsid w:val="007F5CC1"/>
    <w:rsid w:val="007F5CEC"/>
    <w:rsid w:val="007F5D12"/>
    <w:rsid w:val="007F5D36"/>
    <w:rsid w:val="007F5DC6"/>
    <w:rsid w:val="007F5DE9"/>
    <w:rsid w:val="007F5DF0"/>
    <w:rsid w:val="007F5E0B"/>
    <w:rsid w:val="007F5E38"/>
    <w:rsid w:val="007F5E8C"/>
    <w:rsid w:val="007F5E93"/>
    <w:rsid w:val="007F5E97"/>
    <w:rsid w:val="007F5EDC"/>
    <w:rsid w:val="007F5EE9"/>
    <w:rsid w:val="007F5F68"/>
    <w:rsid w:val="007F5FF5"/>
    <w:rsid w:val="007F6046"/>
    <w:rsid w:val="007F6052"/>
    <w:rsid w:val="007F611B"/>
    <w:rsid w:val="007F6129"/>
    <w:rsid w:val="007F617E"/>
    <w:rsid w:val="007F6183"/>
    <w:rsid w:val="007F61B5"/>
    <w:rsid w:val="007F61E8"/>
    <w:rsid w:val="007F6216"/>
    <w:rsid w:val="007F6230"/>
    <w:rsid w:val="007F6232"/>
    <w:rsid w:val="007F6252"/>
    <w:rsid w:val="007F6276"/>
    <w:rsid w:val="007F6300"/>
    <w:rsid w:val="007F631A"/>
    <w:rsid w:val="007F636B"/>
    <w:rsid w:val="007F6381"/>
    <w:rsid w:val="007F6391"/>
    <w:rsid w:val="007F63C4"/>
    <w:rsid w:val="007F6460"/>
    <w:rsid w:val="007F6491"/>
    <w:rsid w:val="007F649B"/>
    <w:rsid w:val="007F64B6"/>
    <w:rsid w:val="007F64E8"/>
    <w:rsid w:val="007F64FD"/>
    <w:rsid w:val="007F651E"/>
    <w:rsid w:val="007F6573"/>
    <w:rsid w:val="007F6579"/>
    <w:rsid w:val="007F6585"/>
    <w:rsid w:val="007F6590"/>
    <w:rsid w:val="007F65C7"/>
    <w:rsid w:val="007F6616"/>
    <w:rsid w:val="007F662D"/>
    <w:rsid w:val="007F6699"/>
    <w:rsid w:val="007F677E"/>
    <w:rsid w:val="007F6793"/>
    <w:rsid w:val="007F685F"/>
    <w:rsid w:val="007F686A"/>
    <w:rsid w:val="007F68C4"/>
    <w:rsid w:val="007F6908"/>
    <w:rsid w:val="007F692D"/>
    <w:rsid w:val="007F6943"/>
    <w:rsid w:val="007F69E9"/>
    <w:rsid w:val="007F6A4E"/>
    <w:rsid w:val="007F6A53"/>
    <w:rsid w:val="007F6AA7"/>
    <w:rsid w:val="007F6B03"/>
    <w:rsid w:val="007F6B36"/>
    <w:rsid w:val="007F6B6B"/>
    <w:rsid w:val="007F6B70"/>
    <w:rsid w:val="007F6B72"/>
    <w:rsid w:val="007F6B8D"/>
    <w:rsid w:val="007F6C08"/>
    <w:rsid w:val="007F6C0B"/>
    <w:rsid w:val="007F6C34"/>
    <w:rsid w:val="007F6C70"/>
    <w:rsid w:val="007F6DAF"/>
    <w:rsid w:val="007F6E24"/>
    <w:rsid w:val="007F6E2E"/>
    <w:rsid w:val="007F6E49"/>
    <w:rsid w:val="007F6E6F"/>
    <w:rsid w:val="007F6E74"/>
    <w:rsid w:val="007F6F24"/>
    <w:rsid w:val="007F6FC4"/>
    <w:rsid w:val="007F7053"/>
    <w:rsid w:val="007F708A"/>
    <w:rsid w:val="007F70CB"/>
    <w:rsid w:val="007F7192"/>
    <w:rsid w:val="007F7215"/>
    <w:rsid w:val="007F722A"/>
    <w:rsid w:val="007F72BF"/>
    <w:rsid w:val="007F72FA"/>
    <w:rsid w:val="007F732F"/>
    <w:rsid w:val="007F733F"/>
    <w:rsid w:val="007F737D"/>
    <w:rsid w:val="007F73B9"/>
    <w:rsid w:val="007F7403"/>
    <w:rsid w:val="007F7433"/>
    <w:rsid w:val="007F7488"/>
    <w:rsid w:val="007F74FA"/>
    <w:rsid w:val="007F753C"/>
    <w:rsid w:val="007F7543"/>
    <w:rsid w:val="007F7601"/>
    <w:rsid w:val="007F7625"/>
    <w:rsid w:val="007F7675"/>
    <w:rsid w:val="007F7690"/>
    <w:rsid w:val="007F7698"/>
    <w:rsid w:val="007F76CB"/>
    <w:rsid w:val="007F76CD"/>
    <w:rsid w:val="007F771A"/>
    <w:rsid w:val="007F7740"/>
    <w:rsid w:val="007F776B"/>
    <w:rsid w:val="007F779E"/>
    <w:rsid w:val="007F77EE"/>
    <w:rsid w:val="007F7809"/>
    <w:rsid w:val="007F780C"/>
    <w:rsid w:val="007F781C"/>
    <w:rsid w:val="007F7946"/>
    <w:rsid w:val="007F7984"/>
    <w:rsid w:val="007F79A5"/>
    <w:rsid w:val="007F79D7"/>
    <w:rsid w:val="007F79F2"/>
    <w:rsid w:val="007F79FE"/>
    <w:rsid w:val="007F7ADA"/>
    <w:rsid w:val="007F7AF9"/>
    <w:rsid w:val="007F7B4B"/>
    <w:rsid w:val="007F7BD7"/>
    <w:rsid w:val="007F7BDD"/>
    <w:rsid w:val="007F7C07"/>
    <w:rsid w:val="007F7C19"/>
    <w:rsid w:val="007F7CC8"/>
    <w:rsid w:val="007F7CD6"/>
    <w:rsid w:val="007F7D00"/>
    <w:rsid w:val="007F7D35"/>
    <w:rsid w:val="007F7D36"/>
    <w:rsid w:val="007F7DC1"/>
    <w:rsid w:val="007F7E04"/>
    <w:rsid w:val="007F7E3A"/>
    <w:rsid w:val="007F7EA2"/>
    <w:rsid w:val="007F7EAE"/>
    <w:rsid w:val="007F7ECE"/>
    <w:rsid w:val="007F7F46"/>
    <w:rsid w:val="007F7FAA"/>
    <w:rsid w:val="007F7FD8"/>
    <w:rsid w:val="0080002C"/>
    <w:rsid w:val="00800059"/>
    <w:rsid w:val="0080007A"/>
    <w:rsid w:val="00800089"/>
    <w:rsid w:val="008000E8"/>
    <w:rsid w:val="008000F2"/>
    <w:rsid w:val="008000FF"/>
    <w:rsid w:val="0080010D"/>
    <w:rsid w:val="00800128"/>
    <w:rsid w:val="00800166"/>
    <w:rsid w:val="008001A6"/>
    <w:rsid w:val="008001C5"/>
    <w:rsid w:val="008001E3"/>
    <w:rsid w:val="008001E4"/>
    <w:rsid w:val="00800212"/>
    <w:rsid w:val="00800242"/>
    <w:rsid w:val="00800249"/>
    <w:rsid w:val="00800274"/>
    <w:rsid w:val="00800292"/>
    <w:rsid w:val="008002DF"/>
    <w:rsid w:val="00800302"/>
    <w:rsid w:val="00800324"/>
    <w:rsid w:val="0080033D"/>
    <w:rsid w:val="0080035F"/>
    <w:rsid w:val="00800415"/>
    <w:rsid w:val="00800428"/>
    <w:rsid w:val="00800442"/>
    <w:rsid w:val="0080048C"/>
    <w:rsid w:val="008004D0"/>
    <w:rsid w:val="008004DC"/>
    <w:rsid w:val="008004F1"/>
    <w:rsid w:val="008004F9"/>
    <w:rsid w:val="0080050B"/>
    <w:rsid w:val="00800537"/>
    <w:rsid w:val="0080059D"/>
    <w:rsid w:val="008005A2"/>
    <w:rsid w:val="008005AD"/>
    <w:rsid w:val="008005CD"/>
    <w:rsid w:val="00800639"/>
    <w:rsid w:val="00800659"/>
    <w:rsid w:val="00800688"/>
    <w:rsid w:val="008006A2"/>
    <w:rsid w:val="008006E4"/>
    <w:rsid w:val="0080073C"/>
    <w:rsid w:val="00800759"/>
    <w:rsid w:val="00800773"/>
    <w:rsid w:val="0080077C"/>
    <w:rsid w:val="008007B2"/>
    <w:rsid w:val="008007DF"/>
    <w:rsid w:val="008007E6"/>
    <w:rsid w:val="00800804"/>
    <w:rsid w:val="00800880"/>
    <w:rsid w:val="00800899"/>
    <w:rsid w:val="008008C6"/>
    <w:rsid w:val="008008E8"/>
    <w:rsid w:val="008008F6"/>
    <w:rsid w:val="00800917"/>
    <w:rsid w:val="0080094E"/>
    <w:rsid w:val="0080098B"/>
    <w:rsid w:val="008009A4"/>
    <w:rsid w:val="00800A3C"/>
    <w:rsid w:val="00800A63"/>
    <w:rsid w:val="00800B01"/>
    <w:rsid w:val="00800B2D"/>
    <w:rsid w:val="00800B9E"/>
    <w:rsid w:val="00800BB6"/>
    <w:rsid w:val="00800BCE"/>
    <w:rsid w:val="00800C9B"/>
    <w:rsid w:val="00800CA0"/>
    <w:rsid w:val="00800CB1"/>
    <w:rsid w:val="00800CE6"/>
    <w:rsid w:val="00800D00"/>
    <w:rsid w:val="00800D20"/>
    <w:rsid w:val="00800D5D"/>
    <w:rsid w:val="00800D65"/>
    <w:rsid w:val="00800DB2"/>
    <w:rsid w:val="00800E1E"/>
    <w:rsid w:val="00800E57"/>
    <w:rsid w:val="00800E9C"/>
    <w:rsid w:val="00800EA0"/>
    <w:rsid w:val="00800EB0"/>
    <w:rsid w:val="00800EC8"/>
    <w:rsid w:val="00800F1C"/>
    <w:rsid w:val="00800F21"/>
    <w:rsid w:val="00800F3D"/>
    <w:rsid w:val="00800F43"/>
    <w:rsid w:val="00800F54"/>
    <w:rsid w:val="00800FA7"/>
    <w:rsid w:val="00800FFC"/>
    <w:rsid w:val="00801042"/>
    <w:rsid w:val="00801069"/>
    <w:rsid w:val="0080107E"/>
    <w:rsid w:val="0080109E"/>
    <w:rsid w:val="008010D9"/>
    <w:rsid w:val="0080116F"/>
    <w:rsid w:val="008011B2"/>
    <w:rsid w:val="00801206"/>
    <w:rsid w:val="00801268"/>
    <w:rsid w:val="008012C4"/>
    <w:rsid w:val="00801322"/>
    <w:rsid w:val="00801323"/>
    <w:rsid w:val="00801390"/>
    <w:rsid w:val="008013B9"/>
    <w:rsid w:val="008013E9"/>
    <w:rsid w:val="0080145A"/>
    <w:rsid w:val="00801477"/>
    <w:rsid w:val="008014D9"/>
    <w:rsid w:val="008014FE"/>
    <w:rsid w:val="0080157C"/>
    <w:rsid w:val="00801662"/>
    <w:rsid w:val="008016A4"/>
    <w:rsid w:val="008016AD"/>
    <w:rsid w:val="008016BF"/>
    <w:rsid w:val="0080171F"/>
    <w:rsid w:val="0080176E"/>
    <w:rsid w:val="00801825"/>
    <w:rsid w:val="00801835"/>
    <w:rsid w:val="00801843"/>
    <w:rsid w:val="0080184B"/>
    <w:rsid w:val="00801882"/>
    <w:rsid w:val="008018A4"/>
    <w:rsid w:val="00801906"/>
    <w:rsid w:val="00801925"/>
    <w:rsid w:val="00801975"/>
    <w:rsid w:val="0080199D"/>
    <w:rsid w:val="008019C6"/>
    <w:rsid w:val="008019E4"/>
    <w:rsid w:val="00801AA4"/>
    <w:rsid w:val="00801AE0"/>
    <w:rsid w:val="00801AED"/>
    <w:rsid w:val="00801B08"/>
    <w:rsid w:val="00801C69"/>
    <w:rsid w:val="00801C87"/>
    <w:rsid w:val="00801CB7"/>
    <w:rsid w:val="00801CFF"/>
    <w:rsid w:val="00801D28"/>
    <w:rsid w:val="00801D65"/>
    <w:rsid w:val="00801DCD"/>
    <w:rsid w:val="00801DD7"/>
    <w:rsid w:val="00801DE8"/>
    <w:rsid w:val="00801E2C"/>
    <w:rsid w:val="00801E68"/>
    <w:rsid w:val="00801E99"/>
    <w:rsid w:val="00801EA0"/>
    <w:rsid w:val="00801EBD"/>
    <w:rsid w:val="00801F12"/>
    <w:rsid w:val="00801F2F"/>
    <w:rsid w:val="00801FD5"/>
    <w:rsid w:val="00801FEC"/>
    <w:rsid w:val="00801FF3"/>
    <w:rsid w:val="00802001"/>
    <w:rsid w:val="00802023"/>
    <w:rsid w:val="00802064"/>
    <w:rsid w:val="008020BD"/>
    <w:rsid w:val="00802196"/>
    <w:rsid w:val="008021E9"/>
    <w:rsid w:val="008021FF"/>
    <w:rsid w:val="00802206"/>
    <w:rsid w:val="0080222C"/>
    <w:rsid w:val="00802234"/>
    <w:rsid w:val="00802254"/>
    <w:rsid w:val="00802325"/>
    <w:rsid w:val="00802330"/>
    <w:rsid w:val="00802366"/>
    <w:rsid w:val="00802374"/>
    <w:rsid w:val="008023CE"/>
    <w:rsid w:val="0080242D"/>
    <w:rsid w:val="0080244A"/>
    <w:rsid w:val="008024E8"/>
    <w:rsid w:val="0080254A"/>
    <w:rsid w:val="00802576"/>
    <w:rsid w:val="008025B0"/>
    <w:rsid w:val="008025CD"/>
    <w:rsid w:val="008025E6"/>
    <w:rsid w:val="00802618"/>
    <w:rsid w:val="0080262F"/>
    <w:rsid w:val="0080265C"/>
    <w:rsid w:val="0080265E"/>
    <w:rsid w:val="00802694"/>
    <w:rsid w:val="0080271A"/>
    <w:rsid w:val="0080273A"/>
    <w:rsid w:val="008027E1"/>
    <w:rsid w:val="00802846"/>
    <w:rsid w:val="0080285C"/>
    <w:rsid w:val="008028F0"/>
    <w:rsid w:val="008029BA"/>
    <w:rsid w:val="00802A31"/>
    <w:rsid w:val="00802A4A"/>
    <w:rsid w:val="00802AC2"/>
    <w:rsid w:val="00802AC4"/>
    <w:rsid w:val="00802B51"/>
    <w:rsid w:val="00802B8C"/>
    <w:rsid w:val="00802B96"/>
    <w:rsid w:val="00802BC0"/>
    <w:rsid w:val="00802BC5"/>
    <w:rsid w:val="00802C2F"/>
    <w:rsid w:val="00802C41"/>
    <w:rsid w:val="00802C45"/>
    <w:rsid w:val="00802C5F"/>
    <w:rsid w:val="00802CB6"/>
    <w:rsid w:val="00802CBB"/>
    <w:rsid w:val="00802CC4"/>
    <w:rsid w:val="00802CF5"/>
    <w:rsid w:val="00802D17"/>
    <w:rsid w:val="00802D2E"/>
    <w:rsid w:val="00802E44"/>
    <w:rsid w:val="00802EE2"/>
    <w:rsid w:val="00802EF8"/>
    <w:rsid w:val="00802F06"/>
    <w:rsid w:val="00802F21"/>
    <w:rsid w:val="00802FC4"/>
    <w:rsid w:val="00802FC5"/>
    <w:rsid w:val="0080308A"/>
    <w:rsid w:val="00803094"/>
    <w:rsid w:val="008030F0"/>
    <w:rsid w:val="008030F9"/>
    <w:rsid w:val="00803100"/>
    <w:rsid w:val="00803115"/>
    <w:rsid w:val="00803155"/>
    <w:rsid w:val="0080316E"/>
    <w:rsid w:val="00803268"/>
    <w:rsid w:val="00803281"/>
    <w:rsid w:val="008032EB"/>
    <w:rsid w:val="00803382"/>
    <w:rsid w:val="00803384"/>
    <w:rsid w:val="008033D8"/>
    <w:rsid w:val="008033E0"/>
    <w:rsid w:val="00803407"/>
    <w:rsid w:val="0080346A"/>
    <w:rsid w:val="008034C1"/>
    <w:rsid w:val="008034DB"/>
    <w:rsid w:val="008034E6"/>
    <w:rsid w:val="00803509"/>
    <w:rsid w:val="00803514"/>
    <w:rsid w:val="0080353F"/>
    <w:rsid w:val="008035AA"/>
    <w:rsid w:val="008035B3"/>
    <w:rsid w:val="00803646"/>
    <w:rsid w:val="00803648"/>
    <w:rsid w:val="0080365A"/>
    <w:rsid w:val="008036C9"/>
    <w:rsid w:val="008036D1"/>
    <w:rsid w:val="008036D9"/>
    <w:rsid w:val="0080372E"/>
    <w:rsid w:val="0080378C"/>
    <w:rsid w:val="008037C1"/>
    <w:rsid w:val="00803889"/>
    <w:rsid w:val="008038A7"/>
    <w:rsid w:val="008038DA"/>
    <w:rsid w:val="008038F7"/>
    <w:rsid w:val="00803939"/>
    <w:rsid w:val="0080394F"/>
    <w:rsid w:val="00803AAF"/>
    <w:rsid w:val="00803AF2"/>
    <w:rsid w:val="00803B07"/>
    <w:rsid w:val="00803B49"/>
    <w:rsid w:val="00803BB5"/>
    <w:rsid w:val="00803BD3"/>
    <w:rsid w:val="00803C07"/>
    <w:rsid w:val="00803D12"/>
    <w:rsid w:val="00803D49"/>
    <w:rsid w:val="00803D7A"/>
    <w:rsid w:val="00803D84"/>
    <w:rsid w:val="00803DD8"/>
    <w:rsid w:val="00803E9E"/>
    <w:rsid w:val="00803ED8"/>
    <w:rsid w:val="00803EDB"/>
    <w:rsid w:val="00803EE3"/>
    <w:rsid w:val="00803F2E"/>
    <w:rsid w:val="00803F39"/>
    <w:rsid w:val="00803F5C"/>
    <w:rsid w:val="00803FB0"/>
    <w:rsid w:val="00804085"/>
    <w:rsid w:val="008040B2"/>
    <w:rsid w:val="008040D3"/>
    <w:rsid w:val="00804101"/>
    <w:rsid w:val="00804117"/>
    <w:rsid w:val="00804134"/>
    <w:rsid w:val="00804144"/>
    <w:rsid w:val="00804155"/>
    <w:rsid w:val="008041AE"/>
    <w:rsid w:val="008041E4"/>
    <w:rsid w:val="00804242"/>
    <w:rsid w:val="00804277"/>
    <w:rsid w:val="008042F0"/>
    <w:rsid w:val="0080431A"/>
    <w:rsid w:val="008043A3"/>
    <w:rsid w:val="008043C5"/>
    <w:rsid w:val="0080448C"/>
    <w:rsid w:val="008044AB"/>
    <w:rsid w:val="008044B9"/>
    <w:rsid w:val="008044C4"/>
    <w:rsid w:val="00804525"/>
    <w:rsid w:val="0080460F"/>
    <w:rsid w:val="0080465B"/>
    <w:rsid w:val="008046A9"/>
    <w:rsid w:val="008046AF"/>
    <w:rsid w:val="008046E3"/>
    <w:rsid w:val="00804723"/>
    <w:rsid w:val="0080472A"/>
    <w:rsid w:val="008047A8"/>
    <w:rsid w:val="008047B4"/>
    <w:rsid w:val="008047C0"/>
    <w:rsid w:val="008047E5"/>
    <w:rsid w:val="00804854"/>
    <w:rsid w:val="00804865"/>
    <w:rsid w:val="008048CE"/>
    <w:rsid w:val="00804925"/>
    <w:rsid w:val="00804997"/>
    <w:rsid w:val="0080499E"/>
    <w:rsid w:val="00804A0C"/>
    <w:rsid w:val="00804A14"/>
    <w:rsid w:val="00804A51"/>
    <w:rsid w:val="00804A8C"/>
    <w:rsid w:val="00804A92"/>
    <w:rsid w:val="00804AA2"/>
    <w:rsid w:val="00804AD4"/>
    <w:rsid w:val="00804AE6"/>
    <w:rsid w:val="00804B64"/>
    <w:rsid w:val="00804B98"/>
    <w:rsid w:val="00804BCC"/>
    <w:rsid w:val="00804BF3"/>
    <w:rsid w:val="00804C18"/>
    <w:rsid w:val="00804C86"/>
    <w:rsid w:val="00804CAB"/>
    <w:rsid w:val="00804D3E"/>
    <w:rsid w:val="00804D41"/>
    <w:rsid w:val="00804D45"/>
    <w:rsid w:val="00804D5D"/>
    <w:rsid w:val="00804D74"/>
    <w:rsid w:val="00804D75"/>
    <w:rsid w:val="00804DB0"/>
    <w:rsid w:val="00804E2D"/>
    <w:rsid w:val="00804E62"/>
    <w:rsid w:val="00804E67"/>
    <w:rsid w:val="00804E79"/>
    <w:rsid w:val="00804EA0"/>
    <w:rsid w:val="00804EB4"/>
    <w:rsid w:val="00804EC4"/>
    <w:rsid w:val="00804ED7"/>
    <w:rsid w:val="00804F4C"/>
    <w:rsid w:val="00804F4D"/>
    <w:rsid w:val="00804F64"/>
    <w:rsid w:val="00804F8C"/>
    <w:rsid w:val="00804FD7"/>
    <w:rsid w:val="00805032"/>
    <w:rsid w:val="00805043"/>
    <w:rsid w:val="00805061"/>
    <w:rsid w:val="00805088"/>
    <w:rsid w:val="008050AE"/>
    <w:rsid w:val="008050FC"/>
    <w:rsid w:val="00805108"/>
    <w:rsid w:val="00805129"/>
    <w:rsid w:val="00805169"/>
    <w:rsid w:val="008051A6"/>
    <w:rsid w:val="008051D1"/>
    <w:rsid w:val="00805245"/>
    <w:rsid w:val="00805263"/>
    <w:rsid w:val="0080529E"/>
    <w:rsid w:val="008052BB"/>
    <w:rsid w:val="008052E1"/>
    <w:rsid w:val="00805332"/>
    <w:rsid w:val="008053A9"/>
    <w:rsid w:val="008053DA"/>
    <w:rsid w:val="008053E1"/>
    <w:rsid w:val="00805403"/>
    <w:rsid w:val="00805476"/>
    <w:rsid w:val="00805581"/>
    <w:rsid w:val="00805584"/>
    <w:rsid w:val="008055BA"/>
    <w:rsid w:val="0080562E"/>
    <w:rsid w:val="00805646"/>
    <w:rsid w:val="008056AC"/>
    <w:rsid w:val="008056F0"/>
    <w:rsid w:val="00805713"/>
    <w:rsid w:val="0080579F"/>
    <w:rsid w:val="008057A0"/>
    <w:rsid w:val="00805836"/>
    <w:rsid w:val="00805850"/>
    <w:rsid w:val="008058AD"/>
    <w:rsid w:val="008058D1"/>
    <w:rsid w:val="00805922"/>
    <w:rsid w:val="00805932"/>
    <w:rsid w:val="00805934"/>
    <w:rsid w:val="00805956"/>
    <w:rsid w:val="008059EB"/>
    <w:rsid w:val="00805A00"/>
    <w:rsid w:val="00805A10"/>
    <w:rsid w:val="00805A2E"/>
    <w:rsid w:val="00805A5F"/>
    <w:rsid w:val="00805A95"/>
    <w:rsid w:val="00805AB3"/>
    <w:rsid w:val="00805AC0"/>
    <w:rsid w:val="00805AD1"/>
    <w:rsid w:val="00805BC4"/>
    <w:rsid w:val="00805BC6"/>
    <w:rsid w:val="00805C3D"/>
    <w:rsid w:val="00805C4D"/>
    <w:rsid w:val="00805C57"/>
    <w:rsid w:val="00805C88"/>
    <w:rsid w:val="00805CA6"/>
    <w:rsid w:val="00805CD4"/>
    <w:rsid w:val="00805DCB"/>
    <w:rsid w:val="00805DD1"/>
    <w:rsid w:val="00805F0C"/>
    <w:rsid w:val="00805F51"/>
    <w:rsid w:val="008060AB"/>
    <w:rsid w:val="008060C3"/>
    <w:rsid w:val="008060E8"/>
    <w:rsid w:val="00806193"/>
    <w:rsid w:val="008061A1"/>
    <w:rsid w:val="008061E6"/>
    <w:rsid w:val="008061F9"/>
    <w:rsid w:val="008062D3"/>
    <w:rsid w:val="00806355"/>
    <w:rsid w:val="00806356"/>
    <w:rsid w:val="0080636C"/>
    <w:rsid w:val="0080636F"/>
    <w:rsid w:val="008063AF"/>
    <w:rsid w:val="008063BA"/>
    <w:rsid w:val="0080640A"/>
    <w:rsid w:val="00806431"/>
    <w:rsid w:val="00806449"/>
    <w:rsid w:val="008064B5"/>
    <w:rsid w:val="008064CD"/>
    <w:rsid w:val="008064E9"/>
    <w:rsid w:val="00806502"/>
    <w:rsid w:val="00806503"/>
    <w:rsid w:val="00806611"/>
    <w:rsid w:val="0080662F"/>
    <w:rsid w:val="0080665A"/>
    <w:rsid w:val="008066F2"/>
    <w:rsid w:val="00806736"/>
    <w:rsid w:val="00806765"/>
    <w:rsid w:val="008067F8"/>
    <w:rsid w:val="008067FB"/>
    <w:rsid w:val="00806820"/>
    <w:rsid w:val="00806840"/>
    <w:rsid w:val="0080692D"/>
    <w:rsid w:val="008069D5"/>
    <w:rsid w:val="00806A9D"/>
    <w:rsid w:val="00806ACF"/>
    <w:rsid w:val="00806B20"/>
    <w:rsid w:val="00806B49"/>
    <w:rsid w:val="00806B53"/>
    <w:rsid w:val="00806B85"/>
    <w:rsid w:val="00806BD2"/>
    <w:rsid w:val="00806C80"/>
    <w:rsid w:val="00806C85"/>
    <w:rsid w:val="00806D22"/>
    <w:rsid w:val="00806D37"/>
    <w:rsid w:val="00806D43"/>
    <w:rsid w:val="00806D5B"/>
    <w:rsid w:val="00806D69"/>
    <w:rsid w:val="00806D73"/>
    <w:rsid w:val="00806DDC"/>
    <w:rsid w:val="00806DF7"/>
    <w:rsid w:val="00806F0B"/>
    <w:rsid w:val="00806F46"/>
    <w:rsid w:val="00806F9E"/>
    <w:rsid w:val="00807009"/>
    <w:rsid w:val="0080700C"/>
    <w:rsid w:val="0080704E"/>
    <w:rsid w:val="00807106"/>
    <w:rsid w:val="0080712F"/>
    <w:rsid w:val="008071BC"/>
    <w:rsid w:val="0080720D"/>
    <w:rsid w:val="0080727B"/>
    <w:rsid w:val="00807291"/>
    <w:rsid w:val="00807328"/>
    <w:rsid w:val="00807360"/>
    <w:rsid w:val="0080738C"/>
    <w:rsid w:val="00807390"/>
    <w:rsid w:val="0080739B"/>
    <w:rsid w:val="008073B9"/>
    <w:rsid w:val="008073C4"/>
    <w:rsid w:val="008073CA"/>
    <w:rsid w:val="008073D0"/>
    <w:rsid w:val="008073D1"/>
    <w:rsid w:val="0080740B"/>
    <w:rsid w:val="00807445"/>
    <w:rsid w:val="0080745C"/>
    <w:rsid w:val="00807471"/>
    <w:rsid w:val="008074CC"/>
    <w:rsid w:val="0080752C"/>
    <w:rsid w:val="0080752E"/>
    <w:rsid w:val="008075CA"/>
    <w:rsid w:val="008075FC"/>
    <w:rsid w:val="0080762F"/>
    <w:rsid w:val="00807632"/>
    <w:rsid w:val="008077A6"/>
    <w:rsid w:val="008077B4"/>
    <w:rsid w:val="008077BE"/>
    <w:rsid w:val="00807805"/>
    <w:rsid w:val="00807815"/>
    <w:rsid w:val="00807857"/>
    <w:rsid w:val="008078B2"/>
    <w:rsid w:val="008078DB"/>
    <w:rsid w:val="00807904"/>
    <w:rsid w:val="0080797E"/>
    <w:rsid w:val="008079D4"/>
    <w:rsid w:val="00807A94"/>
    <w:rsid w:val="00807B02"/>
    <w:rsid w:val="00807B0E"/>
    <w:rsid w:val="00807B2C"/>
    <w:rsid w:val="00807B61"/>
    <w:rsid w:val="00807BA5"/>
    <w:rsid w:val="00807BCB"/>
    <w:rsid w:val="00807BF7"/>
    <w:rsid w:val="00807C23"/>
    <w:rsid w:val="00807C2A"/>
    <w:rsid w:val="00807C2D"/>
    <w:rsid w:val="00807C91"/>
    <w:rsid w:val="00807CBE"/>
    <w:rsid w:val="00807CCA"/>
    <w:rsid w:val="00807D52"/>
    <w:rsid w:val="00807D61"/>
    <w:rsid w:val="00807D85"/>
    <w:rsid w:val="00807D98"/>
    <w:rsid w:val="00807D9C"/>
    <w:rsid w:val="00807E08"/>
    <w:rsid w:val="00807EB3"/>
    <w:rsid w:val="00807F05"/>
    <w:rsid w:val="00807F13"/>
    <w:rsid w:val="00807F35"/>
    <w:rsid w:val="00807F3E"/>
    <w:rsid w:val="00807F7B"/>
    <w:rsid w:val="00807F9C"/>
    <w:rsid w:val="00807FF9"/>
    <w:rsid w:val="00810049"/>
    <w:rsid w:val="00810080"/>
    <w:rsid w:val="008100AB"/>
    <w:rsid w:val="00810108"/>
    <w:rsid w:val="0081018A"/>
    <w:rsid w:val="0081020C"/>
    <w:rsid w:val="00810269"/>
    <w:rsid w:val="00810339"/>
    <w:rsid w:val="00810356"/>
    <w:rsid w:val="008103AD"/>
    <w:rsid w:val="00810422"/>
    <w:rsid w:val="008104D8"/>
    <w:rsid w:val="0081052D"/>
    <w:rsid w:val="00810543"/>
    <w:rsid w:val="008105EE"/>
    <w:rsid w:val="00810634"/>
    <w:rsid w:val="0081068A"/>
    <w:rsid w:val="008106C1"/>
    <w:rsid w:val="008106F0"/>
    <w:rsid w:val="00810731"/>
    <w:rsid w:val="00810741"/>
    <w:rsid w:val="00810747"/>
    <w:rsid w:val="0081074F"/>
    <w:rsid w:val="008107B4"/>
    <w:rsid w:val="00810884"/>
    <w:rsid w:val="00810886"/>
    <w:rsid w:val="00810891"/>
    <w:rsid w:val="0081095C"/>
    <w:rsid w:val="00810972"/>
    <w:rsid w:val="00810999"/>
    <w:rsid w:val="00810A54"/>
    <w:rsid w:val="00810A58"/>
    <w:rsid w:val="00810A71"/>
    <w:rsid w:val="00810A98"/>
    <w:rsid w:val="00810B16"/>
    <w:rsid w:val="00810B3B"/>
    <w:rsid w:val="00810BAF"/>
    <w:rsid w:val="00810C0D"/>
    <w:rsid w:val="00810C33"/>
    <w:rsid w:val="00810C49"/>
    <w:rsid w:val="00810C4A"/>
    <w:rsid w:val="00810C51"/>
    <w:rsid w:val="00810C86"/>
    <w:rsid w:val="00810CC4"/>
    <w:rsid w:val="00810D0F"/>
    <w:rsid w:val="00810D9D"/>
    <w:rsid w:val="00810DA3"/>
    <w:rsid w:val="00810E07"/>
    <w:rsid w:val="00810E11"/>
    <w:rsid w:val="00810E30"/>
    <w:rsid w:val="00810E5A"/>
    <w:rsid w:val="00810E6A"/>
    <w:rsid w:val="00810E90"/>
    <w:rsid w:val="00810EA7"/>
    <w:rsid w:val="00810EB0"/>
    <w:rsid w:val="00810EC3"/>
    <w:rsid w:val="00810F3A"/>
    <w:rsid w:val="00810F4B"/>
    <w:rsid w:val="00810F59"/>
    <w:rsid w:val="00810FBB"/>
    <w:rsid w:val="00810FE9"/>
    <w:rsid w:val="00810FFB"/>
    <w:rsid w:val="00811025"/>
    <w:rsid w:val="00811059"/>
    <w:rsid w:val="00811091"/>
    <w:rsid w:val="00811096"/>
    <w:rsid w:val="008110AF"/>
    <w:rsid w:val="008110CD"/>
    <w:rsid w:val="008110D1"/>
    <w:rsid w:val="008110EC"/>
    <w:rsid w:val="008110F8"/>
    <w:rsid w:val="00811112"/>
    <w:rsid w:val="0081112B"/>
    <w:rsid w:val="0081112C"/>
    <w:rsid w:val="0081114B"/>
    <w:rsid w:val="008111C9"/>
    <w:rsid w:val="008111F2"/>
    <w:rsid w:val="0081121A"/>
    <w:rsid w:val="008112B9"/>
    <w:rsid w:val="008112C1"/>
    <w:rsid w:val="008112D0"/>
    <w:rsid w:val="00811314"/>
    <w:rsid w:val="008113A3"/>
    <w:rsid w:val="0081145A"/>
    <w:rsid w:val="00811461"/>
    <w:rsid w:val="0081149D"/>
    <w:rsid w:val="008114A0"/>
    <w:rsid w:val="008114F6"/>
    <w:rsid w:val="00811502"/>
    <w:rsid w:val="0081152B"/>
    <w:rsid w:val="0081153F"/>
    <w:rsid w:val="00811540"/>
    <w:rsid w:val="008115AA"/>
    <w:rsid w:val="008115B4"/>
    <w:rsid w:val="008115F6"/>
    <w:rsid w:val="008115FD"/>
    <w:rsid w:val="00811617"/>
    <w:rsid w:val="00811631"/>
    <w:rsid w:val="008116CC"/>
    <w:rsid w:val="00811706"/>
    <w:rsid w:val="00811778"/>
    <w:rsid w:val="00811886"/>
    <w:rsid w:val="008118CD"/>
    <w:rsid w:val="0081193B"/>
    <w:rsid w:val="0081195E"/>
    <w:rsid w:val="00811A49"/>
    <w:rsid w:val="00811A4A"/>
    <w:rsid w:val="00811A8C"/>
    <w:rsid w:val="00811ADC"/>
    <w:rsid w:val="00811AEA"/>
    <w:rsid w:val="00811B28"/>
    <w:rsid w:val="00811B5B"/>
    <w:rsid w:val="00811B71"/>
    <w:rsid w:val="00811B7D"/>
    <w:rsid w:val="00811C51"/>
    <w:rsid w:val="00811C57"/>
    <w:rsid w:val="00811C5B"/>
    <w:rsid w:val="00811C70"/>
    <w:rsid w:val="00811CD5"/>
    <w:rsid w:val="00811CD8"/>
    <w:rsid w:val="00811D10"/>
    <w:rsid w:val="00811D7B"/>
    <w:rsid w:val="00811E0C"/>
    <w:rsid w:val="00811E0D"/>
    <w:rsid w:val="00811E15"/>
    <w:rsid w:val="00811E6C"/>
    <w:rsid w:val="00811E86"/>
    <w:rsid w:val="00811EDA"/>
    <w:rsid w:val="00811EE4"/>
    <w:rsid w:val="00811F3D"/>
    <w:rsid w:val="00811FAE"/>
    <w:rsid w:val="00811FC0"/>
    <w:rsid w:val="00811FC2"/>
    <w:rsid w:val="00811FF7"/>
    <w:rsid w:val="00812021"/>
    <w:rsid w:val="008120AE"/>
    <w:rsid w:val="008120DD"/>
    <w:rsid w:val="008120DF"/>
    <w:rsid w:val="00812102"/>
    <w:rsid w:val="00812103"/>
    <w:rsid w:val="0081214B"/>
    <w:rsid w:val="0081215C"/>
    <w:rsid w:val="008121C9"/>
    <w:rsid w:val="00812203"/>
    <w:rsid w:val="0081230A"/>
    <w:rsid w:val="00812344"/>
    <w:rsid w:val="00812357"/>
    <w:rsid w:val="00812358"/>
    <w:rsid w:val="008123CF"/>
    <w:rsid w:val="008123D7"/>
    <w:rsid w:val="00812419"/>
    <w:rsid w:val="00812457"/>
    <w:rsid w:val="008124D6"/>
    <w:rsid w:val="008124DA"/>
    <w:rsid w:val="00812503"/>
    <w:rsid w:val="0081251D"/>
    <w:rsid w:val="0081252D"/>
    <w:rsid w:val="00812533"/>
    <w:rsid w:val="0081253A"/>
    <w:rsid w:val="00812570"/>
    <w:rsid w:val="00812574"/>
    <w:rsid w:val="008126F9"/>
    <w:rsid w:val="00812704"/>
    <w:rsid w:val="00812706"/>
    <w:rsid w:val="0081272D"/>
    <w:rsid w:val="00812733"/>
    <w:rsid w:val="00812788"/>
    <w:rsid w:val="00812824"/>
    <w:rsid w:val="00812837"/>
    <w:rsid w:val="0081285F"/>
    <w:rsid w:val="008128CD"/>
    <w:rsid w:val="008128D5"/>
    <w:rsid w:val="008128E2"/>
    <w:rsid w:val="008128EC"/>
    <w:rsid w:val="008128F5"/>
    <w:rsid w:val="00812901"/>
    <w:rsid w:val="00812942"/>
    <w:rsid w:val="0081295B"/>
    <w:rsid w:val="008129AE"/>
    <w:rsid w:val="00812A0B"/>
    <w:rsid w:val="00812A38"/>
    <w:rsid w:val="00812A59"/>
    <w:rsid w:val="00812ACD"/>
    <w:rsid w:val="00812B17"/>
    <w:rsid w:val="00812B82"/>
    <w:rsid w:val="00812B98"/>
    <w:rsid w:val="00812BD9"/>
    <w:rsid w:val="00812C25"/>
    <w:rsid w:val="00812C52"/>
    <w:rsid w:val="00812CB3"/>
    <w:rsid w:val="00812CBB"/>
    <w:rsid w:val="00812CBE"/>
    <w:rsid w:val="00812CC8"/>
    <w:rsid w:val="00812D20"/>
    <w:rsid w:val="00812E41"/>
    <w:rsid w:val="00812E4D"/>
    <w:rsid w:val="00812E9F"/>
    <w:rsid w:val="00812ED8"/>
    <w:rsid w:val="00812F10"/>
    <w:rsid w:val="00812F55"/>
    <w:rsid w:val="00812F60"/>
    <w:rsid w:val="00812F77"/>
    <w:rsid w:val="00812F84"/>
    <w:rsid w:val="00812FD6"/>
    <w:rsid w:val="00813077"/>
    <w:rsid w:val="00813085"/>
    <w:rsid w:val="008130D2"/>
    <w:rsid w:val="008130F2"/>
    <w:rsid w:val="0081313F"/>
    <w:rsid w:val="00813142"/>
    <w:rsid w:val="00813163"/>
    <w:rsid w:val="008131D5"/>
    <w:rsid w:val="008131E2"/>
    <w:rsid w:val="00813224"/>
    <w:rsid w:val="0081327A"/>
    <w:rsid w:val="008132F6"/>
    <w:rsid w:val="0081331F"/>
    <w:rsid w:val="0081338E"/>
    <w:rsid w:val="0081338F"/>
    <w:rsid w:val="008133AC"/>
    <w:rsid w:val="008133D3"/>
    <w:rsid w:val="00813427"/>
    <w:rsid w:val="00813429"/>
    <w:rsid w:val="00813493"/>
    <w:rsid w:val="0081349A"/>
    <w:rsid w:val="008134B6"/>
    <w:rsid w:val="008134E9"/>
    <w:rsid w:val="00813559"/>
    <w:rsid w:val="0081357F"/>
    <w:rsid w:val="008135F3"/>
    <w:rsid w:val="008136DA"/>
    <w:rsid w:val="00813726"/>
    <w:rsid w:val="00813732"/>
    <w:rsid w:val="0081377C"/>
    <w:rsid w:val="00813794"/>
    <w:rsid w:val="008137A7"/>
    <w:rsid w:val="00813818"/>
    <w:rsid w:val="008138E3"/>
    <w:rsid w:val="008138F1"/>
    <w:rsid w:val="00813929"/>
    <w:rsid w:val="0081395A"/>
    <w:rsid w:val="0081397A"/>
    <w:rsid w:val="008139D6"/>
    <w:rsid w:val="00813A27"/>
    <w:rsid w:val="00813A32"/>
    <w:rsid w:val="00813A61"/>
    <w:rsid w:val="00813AA2"/>
    <w:rsid w:val="00813ABA"/>
    <w:rsid w:val="00813AED"/>
    <w:rsid w:val="00813B2D"/>
    <w:rsid w:val="00813B4F"/>
    <w:rsid w:val="00813B61"/>
    <w:rsid w:val="00813C35"/>
    <w:rsid w:val="00813C9C"/>
    <w:rsid w:val="00813D1C"/>
    <w:rsid w:val="00813D3D"/>
    <w:rsid w:val="00813DF7"/>
    <w:rsid w:val="00813E12"/>
    <w:rsid w:val="00813E89"/>
    <w:rsid w:val="00813EEF"/>
    <w:rsid w:val="00813EF1"/>
    <w:rsid w:val="00813F02"/>
    <w:rsid w:val="00813F28"/>
    <w:rsid w:val="00813F88"/>
    <w:rsid w:val="00813FDF"/>
    <w:rsid w:val="008140A0"/>
    <w:rsid w:val="008140F8"/>
    <w:rsid w:val="0081411C"/>
    <w:rsid w:val="00814127"/>
    <w:rsid w:val="00814145"/>
    <w:rsid w:val="00814164"/>
    <w:rsid w:val="0081416F"/>
    <w:rsid w:val="00814195"/>
    <w:rsid w:val="008141CA"/>
    <w:rsid w:val="008141DB"/>
    <w:rsid w:val="008141F8"/>
    <w:rsid w:val="0081421B"/>
    <w:rsid w:val="00814244"/>
    <w:rsid w:val="00814284"/>
    <w:rsid w:val="008142BD"/>
    <w:rsid w:val="008142E0"/>
    <w:rsid w:val="0081430E"/>
    <w:rsid w:val="0081430F"/>
    <w:rsid w:val="008143A4"/>
    <w:rsid w:val="008143AD"/>
    <w:rsid w:val="00814453"/>
    <w:rsid w:val="00814460"/>
    <w:rsid w:val="00814473"/>
    <w:rsid w:val="0081450A"/>
    <w:rsid w:val="00814570"/>
    <w:rsid w:val="008145BE"/>
    <w:rsid w:val="008145F5"/>
    <w:rsid w:val="0081460B"/>
    <w:rsid w:val="0081460E"/>
    <w:rsid w:val="00814655"/>
    <w:rsid w:val="008146DD"/>
    <w:rsid w:val="0081474D"/>
    <w:rsid w:val="00814774"/>
    <w:rsid w:val="0081482F"/>
    <w:rsid w:val="00814839"/>
    <w:rsid w:val="00814861"/>
    <w:rsid w:val="00814867"/>
    <w:rsid w:val="008148A4"/>
    <w:rsid w:val="008148C4"/>
    <w:rsid w:val="008148FC"/>
    <w:rsid w:val="0081495D"/>
    <w:rsid w:val="00814983"/>
    <w:rsid w:val="008149B4"/>
    <w:rsid w:val="008149B5"/>
    <w:rsid w:val="00814A0F"/>
    <w:rsid w:val="00814A8E"/>
    <w:rsid w:val="00814AAD"/>
    <w:rsid w:val="00814ACD"/>
    <w:rsid w:val="00814B1E"/>
    <w:rsid w:val="00814B3D"/>
    <w:rsid w:val="00814B9A"/>
    <w:rsid w:val="00814BC1"/>
    <w:rsid w:val="00814BC4"/>
    <w:rsid w:val="00814BEE"/>
    <w:rsid w:val="00814C2C"/>
    <w:rsid w:val="00814C47"/>
    <w:rsid w:val="00814C59"/>
    <w:rsid w:val="00814C8C"/>
    <w:rsid w:val="00814CC7"/>
    <w:rsid w:val="00814CEF"/>
    <w:rsid w:val="00814D27"/>
    <w:rsid w:val="00814D33"/>
    <w:rsid w:val="00814D81"/>
    <w:rsid w:val="00814D86"/>
    <w:rsid w:val="00814E09"/>
    <w:rsid w:val="00814E55"/>
    <w:rsid w:val="00814E5D"/>
    <w:rsid w:val="00814EBC"/>
    <w:rsid w:val="00814EEA"/>
    <w:rsid w:val="00814EED"/>
    <w:rsid w:val="00814F13"/>
    <w:rsid w:val="00814FE0"/>
    <w:rsid w:val="00815015"/>
    <w:rsid w:val="00815019"/>
    <w:rsid w:val="0081503C"/>
    <w:rsid w:val="0081506D"/>
    <w:rsid w:val="00815092"/>
    <w:rsid w:val="008150EA"/>
    <w:rsid w:val="00815126"/>
    <w:rsid w:val="00815141"/>
    <w:rsid w:val="00815156"/>
    <w:rsid w:val="008151A4"/>
    <w:rsid w:val="008151D3"/>
    <w:rsid w:val="0081524B"/>
    <w:rsid w:val="0081524F"/>
    <w:rsid w:val="0081526E"/>
    <w:rsid w:val="00815288"/>
    <w:rsid w:val="008152A2"/>
    <w:rsid w:val="008152B2"/>
    <w:rsid w:val="00815349"/>
    <w:rsid w:val="008153CF"/>
    <w:rsid w:val="0081547D"/>
    <w:rsid w:val="008154D3"/>
    <w:rsid w:val="0081553F"/>
    <w:rsid w:val="00815546"/>
    <w:rsid w:val="008155F6"/>
    <w:rsid w:val="00815600"/>
    <w:rsid w:val="00815655"/>
    <w:rsid w:val="00815660"/>
    <w:rsid w:val="00815669"/>
    <w:rsid w:val="008156A3"/>
    <w:rsid w:val="008156C8"/>
    <w:rsid w:val="00815704"/>
    <w:rsid w:val="00815771"/>
    <w:rsid w:val="0081578F"/>
    <w:rsid w:val="008157A9"/>
    <w:rsid w:val="008157F7"/>
    <w:rsid w:val="0081580F"/>
    <w:rsid w:val="0081581B"/>
    <w:rsid w:val="00815891"/>
    <w:rsid w:val="008158DC"/>
    <w:rsid w:val="008158EF"/>
    <w:rsid w:val="0081591C"/>
    <w:rsid w:val="008159BD"/>
    <w:rsid w:val="00815A1F"/>
    <w:rsid w:val="00815A37"/>
    <w:rsid w:val="00815ABA"/>
    <w:rsid w:val="00815B17"/>
    <w:rsid w:val="00815B25"/>
    <w:rsid w:val="00815B56"/>
    <w:rsid w:val="00815BB3"/>
    <w:rsid w:val="00815BF4"/>
    <w:rsid w:val="00815C33"/>
    <w:rsid w:val="00815C3B"/>
    <w:rsid w:val="00815C76"/>
    <w:rsid w:val="00815CD2"/>
    <w:rsid w:val="00815CD4"/>
    <w:rsid w:val="00815CE5"/>
    <w:rsid w:val="00815CF6"/>
    <w:rsid w:val="00815D0A"/>
    <w:rsid w:val="00815D1A"/>
    <w:rsid w:val="00815D47"/>
    <w:rsid w:val="00815D88"/>
    <w:rsid w:val="00815DDD"/>
    <w:rsid w:val="00815E53"/>
    <w:rsid w:val="00815F4A"/>
    <w:rsid w:val="00815F87"/>
    <w:rsid w:val="00815FB8"/>
    <w:rsid w:val="00815FBF"/>
    <w:rsid w:val="008160F9"/>
    <w:rsid w:val="00816175"/>
    <w:rsid w:val="0081619D"/>
    <w:rsid w:val="008161ED"/>
    <w:rsid w:val="00816215"/>
    <w:rsid w:val="00816226"/>
    <w:rsid w:val="0081623C"/>
    <w:rsid w:val="00816261"/>
    <w:rsid w:val="00816265"/>
    <w:rsid w:val="0081630E"/>
    <w:rsid w:val="00816314"/>
    <w:rsid w:val="0081636C"/>
    <w:rsid w:val="008163A9"/>
    <w:rsid w:val="008163B8"/>
    <w:rsid w:val="008163BE"/>
    <w:rsid w:val="008163DF"/>
    <w:rsid w:val="008163FC"/>
    <w:rsid w:val="00816435"/>
    <w:rsid w:val="0081649C"/>
    <w:rsid w:val="008164A8"/>
    <w:rsid w:val="008164D5"/>
    <w:rsid w:val="008164E3"/>
    <w:rsid w:val="008164EA"/>
    <w:rsid w:val="00816519"/>
    <w:rsid w:val="008165A2"/>
    <w:rsid w:val="008165BE"/>
    <w:rsid w:val="00816650"/>
    <w:rsid w:val="00816679"/>
    <w:rsid w:val="0081668A"/>
    <w:rsid w:val="00816699"/>
    <w:rsid w:val="008166A1"/>
    <w:rsid w:val="008166C6"/>
    <w:rsid w:val="0081670E"/>
    <w:rsid w:val="00816744"/>
    <w:rsid w:val="0081675E"/>
    <w:rsid w:val="008167D9"/>
    <w:rsid w:val="00816895"/>
    <w:rsid w:val="008168A4"/>
    <w:rsid w:val="008168DF"/>
    <w:rsid w:val="008169B1"/>
    <w:rsid w:val="008169CD"/>
    <w:rsid w:val="008169DC"/>
    <w:rsid w:val="008169F5"/>
    <w:rsid w:val="00816ADE"/>
    <w:rsid w:val="00816B59"/>
    <w:rsid w:val="00816B62"/>
    <w:rsid w:val="00816BBA"/>
    <w:rsid w:val="00816C02"/>
    <w:rsid w:val="00816C4C"/>
    <w:rsid w:val="00816C56"/>
    <w:rsid w:val="00816C5D"/>
    <w:rsid w:val="00816C70"/>
    <w:rsid w:val="00816C75"/>
    <w:rsid w:val="00816CAC"/>
    <w:rsid w:val="00816D11"/>
    <w:rsid w:val="00816D20"/>
    <w:rsid w:val="00816D28"/>
    <w:rsid w:val="00816D65"/>
    <w:rsid w:val="00816DE7"/>
    <w:rsid w:val="00816E39"/>
    <w:rsid w:val="00816E63"/>
    <w:rsid w:val="00816E64"/>
    <w:rsid w:val="00816E66"/>
    <w:rsid w:val="00816EA1"/>
    <w:rsid w:val="00816EB3"/>
    <w:rsid w:val="00816EB5"/>
    <w:rsid w:val="00816ECF"/>
    <w:rsid w:val="00816F1B"/>
    <w:rsid w:val="00816F4A"/>
    <w:rsid w:val="00816F59"/>
    <w:rsid w:val="00816F74"/>
    <w:rsid w:val="00816FB9"/>
    <w:rsid w:val="00816FFA"/>
    <w:rsid w:val="00817040"/>
    <w:rsid w:val="008170F8"/>
    <w:rsid w:val="0081714F"/>
    <w:rsid w:val="0081716F"/>
    <w:rsid w:val="008171A8"/>
    <w:rsid w:val="008171DE"/>
    <w:rsid w:val="00817237"/>
    <w:rsid w:val="00817254"/>
    <w:rsid w:val="0081725B"/>
    <w:rsid w:val="00817268"/>
    <w:rsid w:val="0081734C"/>
    <w:rsid w:val="008173DD"/>
    <w:rsid w:val="008173FA"/>
    <w:rsid w:val="00817403"/>
    <w:rsid w:val="008174FD"/>
    <w:rsid w:val="008175D7"/>
    <w:rsid w:val="00817629"/>
    <w:rsid w:val="00817689"/>
    <w:rsid w:val="008176C0"/>
    <w:rsid w:val="00817774"/>
    <w:rsid w:val="00817783"/>
    <w:rsid w:val="0081778B"/>
    <w:rsid w:val="0081779A"/>
    <w:rsid w:val="008177BC"/>
    <w:rsid w:val="00817812"/>
    <w:rsid w:val="00817886"/>
    <w:rsid w:val="008178EF"/>
    <w:rsid w:val="00817900"/>
    <w:rsid w:val="00817913"/>
    <w:rsid w:val="00817924"/>
    <w:rsid w:val="0081792B"/>
    <w:rsid w:val="00817975"/>
    <w:rsid w:val="00817984"/>
    <w:rsid w:val="00817986"/>
    <w:rsid w:val="008179CE"/>
    <w:rsid w:val="00817A38"/>
    <w:rsid w:val="00817A4B"/>
    <w:rsid w:val="00817B0C"/>
    <w:rsid w:val="00817B1C"/>
    <w:rsid w:val="00817B65"/>
    <w:rsid w:val="00817B69"/>
    <w:rsid w:val="00817BA7"/>
    <w:rsid w:val="00817BCE"/>
    <w:rsid w:val="00817C46"/>
    <w:rsid w:val="00817C68"/>
    <w:rsid w:val="00817C6E"/>
    <w:rsid w:val="00817CE4"/>
    <w:rsid w:val="00817D3D"/>
    <w:rsid w:val="00817DB6"/>
    <w:rsid w:val="00817DFD"/>
    <w:rsid w:val="00817E37"/>
    <w:rsid w:val="00817E69"/>
    <w:rsid w:val="00817F35"/>
    <w:rsid w:val="00817F59"/>
    <w:rsid w:val="00817FB8"/>
    <w:rsid w:val="0082002B"/>
    <w:rsid w:val="0082003A"/>
    <w:rsid w:val="00820042"/>
    <w:rsid w:val="00820068"/>
    <w:rsid w:val="00820090"/>
    <w:rsid w:val="008200C3"/>
    <w:rsid w:val="008200DC"/>
    <w:rsid w:val="008200E7"/>
    <w:rsid w:val="0082010F"/>
    <w:rsid w:val="0082011B"/>
    <w:rsid w:val="0082012B"/>
    <w:rsid w:val="0082013F"/>
    <w:rsid w:val="00820146"/>
    <w:rsid w:val="0082014E"/>
    <w:rsid w:val="00820155"/>
    <w:rsid w:val="0082015D"/>
    <w:rsid w:val="00820167"/>
    <w:rsid w:val="0082017E"/>
    <w:rsid w:val="0082018A"/>
    <w:rsid w:val="008201A1"/>
    <w:rsid w:val="008201AF"/>
    <w:rsid w:val="0082024C"/>
    <w:rsid w:val="00820277"/>
    <w:rsid w:val="008202A5"/>
    <w:rsid w:val="008202DB"/>
    <w:rsid w:val="00820303"/>
    <w:rsid w:val="00820307"/>
    <w:rsid w:val="0082030E"/>
    <w:rsid w:val="00820314"/>
    <w:rsid w:val="00820326"/>
    <w:rsid w:val="00820334"/>
    <w:rsid w:val="00820338"/>
    <w:rsid w:val="00820354"/>
    <w:rsid w:val="00820379"/>
    <w:rsid w:val="008203B7"/>
    <w:rsid w:val="008203C8"/>
    <w:rsid w:val="008203FF"/>
    <w:rsid w:val="0082043F"/>
    <w:rsid w:val="00820458"/>
    <w:rsid w:val="008204F6"/>
    <w:rsid w:val="008204FE"/>
    <w:rsid w:val="00820592"/>
    <w:rsid w:val="008205F5"/>
    <w:rsid w:val="008205F9"/>
    <w:rsid w:val="008206A6"/>
    <w:rsid w:val="008206B2"/>
    <w:rsid w:val="008206FF"/>
    <w:rsid w:val="0082077F"/>
    <w:rsid w:val="00820785"/>
    <w:rsid w:val="00820790"/>
    <w:rsid w:val="008207B6"/>
    <w:rsid w:val="008207F3"/>
    <w:rsid w:val="0082084B"/>
    <w:rsid w:val="0082087D"/>
    <w:rsid w:val="0082087F"/>
    <w:rsid w:val="008208A4"/>
    <w:rsid w:val="0082090C"/>
    <w:rsid w:val="00820911"/>
    <w:rsid w:val="0082092A"/>
    <w:rsid w:val="00820A5A"/>
    <w:rsid w:val="00820A63"/>
    <w:rsid w:val="00820AC8"/>
    <w:rsid w:val="00820B1F"/>
    <w:rsid w:val="00820B3D"/>
    <w:rsid w:val="00820B8F"/>
    <w:rsid w:val="00820BA5"/>
    <w:rsid w:val="00820BFC"/>
    <w:rsid w:val="00820C31"/>
    <w:rsid w:val="00820C4E"/>
    <w:rsid w:val="00820C5C"/>
    <w:rsid w:val="00820C9A"/>
    <w:rsid w:val="00820D27"/>
    <w:rsid w:val="00820D85"/>
    <w:rsid w:val="00820E75"/>
    <w:rsid w:val="00820E79"/>
    <w:rsid w:val="00820EB1"/>
    <w:rsid w:val="00820EE5"/>
    <w:rsid w:val="00820EEC"/>
    <w:rsid w:val="00820F00"/>
    <w:rsid w:val="00820F3F"/>
    <w:rsid w:val="00820F9F"/>
    <w:rsid w:val="00820FBD"/>
    <w:rsid w:val="00821020"/>
    <w:rsid w:val="0082105C"/>
    <w:rsid w:val="008210B3"/>
    <w:rsid w:val="0082111C"/>
    <w:rsid w:val="0082111D"/>
    <w:rsid w:val="0082115C"/>
    <w:rsid w:val="0082115E"/>
    <w:rsid w:val="00821178"/>
    <w:rsid w:val="008211AE"/>
    <w:rsid w:val="008211F8"/>
    <w:rsid w:val="00821214"/>
    <w:rsid w:val="00821235"/>
    <w:rsid w:val="008212A2"/>
    <w:rsid w:val="008212AB"/>
    <w:rsid w:val="008212E5"/>
    <w:rsid w:val="00821313"/>
    <w:rsid w:val="00821328"/>
    <w:rsid w:val="0082137A"/>
    <w:rsid w:val="008213AE"/>
    <w:rsid w:val="008213B2"/>
    <w:rsid w:val="00821401"/>
    <w:rsid w:val="00821452"/>
    <w:rsid w:val="00821461"/>
    <w:rsid w:val="0082149F"/>
    <w:rsid w:val="008214CB"/>
    <w:rsid w:val="008214E2"/>
    <w:rsid w:val="008214F2"/>
    <w:rsid w:val="00821522"/>
    <w:rsid w:val="00821528"/>
    <w:rsid w:val="008215B3"/>
    <w:rsid w:val="008215CB"/>
    <w:rsid w:val="008215D0"/>
    <w:rsid w:val="008215DF"/>
    <w:rsid w:val="008216FE"/>
    <w:rsid w:val="00821704"/>
    <w:rsid w:val="0082170F"/>
    <w:rsid w:val="00821725"/>
    <w:rsid w:val="0082174D"/>
    <w:rsid w:val="008217B7"/>
    <w:rsid w:val="008217C4"/>
    <w:rsid w:val="008217DA"/>
    <w:rsid w:val="0082184B"/>
    <w:rsid w:val="0082187F"/>
    <w:rsid w:val="0082189B"/>
    <w:rsid w:val="0082189E"/>
    <w:rsid w:val="00821903"/>
    <w:rsid w:val="00821914"/>
    <w:rsid w:val="00821924"/>
    <w:rsid w:val="00821957"/>
    <w:rsid w:val="00821964"/>
    <w:rsid w:val="00821A0D"/>
    <w:rsid w:val="00821A60"/>
    <w:rsid w:val="00821A6A"/>
    <w:rsid w:val="00821A80"/>
    <w:rsid w:val="00821A96"/>
    <w:rsid w:val="00821AA1"/>
    <w:rsid w:val="00821AF7"/>
    <w:rsid w:val="00821B3A"/>
    <w:rsid w:val="00821C11"/>
    <w:rsid w:val="00821C4B"/>
    <w:rsid w:val="00821C91"/>
    <w:rsid w:val="00821D06"/>
    <w:rsid w:val="00821D1C"/>
    <w:rsid w:val="00821D6B"/>
    <w:rsid w:val="00821D70"/>
    <w:rsid w:val="00821D75"/>
    <w:rsid w:val="00821DAF"/>
    <w:rsid w:val="00821DBB"/>
    <w:rsid w:val="00821DBD"/>
    <w:rsid w:val="00821DD8"/>
    <w:rsid w:val="00821E63"/>
    <w:rsid w:val="00821EAE"/>
    <w:rsid w:val="00821F3C"/>
    <w:rsid w:val="00821FE1"/>
    <w:rsid w:val="00822044"/>
    <w:rsid w:val="0082211B"/>
    <w:rsid w:val="0082217E"/>
    <w:rsid w:val="008221D9"/>
    <w:rsid w:val="008221E0"/>
    <w:rsid w:val="00822223"/>
    <w:rsid w:val="00822224"/>
    <w:rsid w:val="00822238"/>
    <w:rsid w:val="008222BF"/>
    <w:rsid w:val="008222C6"/>
    <w:rsid w:val="008222E8"/>
    <w:rsid w:val="0082231A"/>
    <w:rsid w:val="008223D1"/>
    <w:rsid w:val="0082240D"/>
    <w:rsid w:val="008224E1"/>
    <w:rsid w:val="008224F0"/>
    <w:rsid w:val="008225B2"/>
    <w:rsid w:val="0082260E"/>
    <w:rsid w:val="0082261E"/>
    <w:rsid w:val="00822665"/>
    <w:rsid w:val="0082269C"/>
    <w:rsid w:val="008226BA"/>
    <w:rsid w:val="008226E7"/>
    <w:rsid w:val="008226EE"/>
    <w:rsid w:val="00822751"/>
    <w:rsid w:val="00822761"/>
    <w:rsid w:val="00822779"/>
    <w:rsid w:val="008227A0"/>
    <w:rsid w:val="008227AB"/>
    <w:rsid w:val="008227B3"/>
    <w:rsid w:val="00822896"/>
    <w:rsid w:val="008228AB"/>
    <w:rsid w:val="008228F3"/>
    <w:rsid w:val="008229B8"/>
    <w:rsid w:val="00822A1E"/>
    <w:rsid w:val="00822B57"/>
    <w:rsid w:val="00822B7A"/>
    <w:rsid w:val="00822B94"/>
    <w:rsid w:val="00822BB0"/>
    <w:rsid w:val="00822BFD"/>
    <w:rsid w:val="00822BFF"/>
    <w:rsid w:val="00822C4E"/>
    <w:rsid w:val="00822C84"/>
    <w:rsid w:val="00822D09"/>
    <w:rsid w:val="00822D62"/>
    <w:rsid w:val="00822D77"/>
    <w:rsid w:val="00822E08"/>
    <w:rsid w:val="00822E24"/>
    <w:rsid w:val="00822E76"/>
    <w:rsid w:val="00822ED0"/>
    <w:rsid w:val="00822EFE"/>
    <w:rsid w:val="00822F06"/>
    <w:rsid w:val="00822F07"/>
    <w:rsid w:val="00822F17"/>
    <w:rsid w:val="00822F18"/>
    <w:rsid w:val="00822F41"/>
    <w:rsid w:val="00822F63"/>
    <w:rsid w:val="00822F8D"/>
    <w:rsid w:val="00822F8E"/>
    <w:rsid w:val="00822FB8"/>
    <w:rsid w:val="00822FBC"/>
    <w:rsid w:val="00823017"/>
    <w:rsid w:val="0082303E"/>
    <w:rsid w:val="00823048"/>
    <w:rsid w:val="00823059"/>
    <w:rsid w:val="00823063"/>
    <w:rsid w:val="008230E8"/>
    <w:rsid w:val="00823142"/>
    <w:rsid w:val="00823154"/>
    <w:rsid w:val="0082319C"/>
    <w:rsid w:val="00823211"/>
    <w:rsid w:val="00823223"/>
    <w:rsid w:val="00823249"/>
    <w:rsid w:val="00823250"/>
    <w:rsid w:val="00823259"/>
    <w:rsid w:val="008232C7"/>
    <w:rsid w:val="0082334B"/>
    <w:rsid w:val="0082335A"/>
    <w:rsid w:val="0082337A"/>
    <w:rsid w:val="008233AE"/>
    <w:rsid w:val="008233B1"/>
    <w:rsid w:val="008233E7"/>
    <w:rsid w:val="0082340E"/>
    <w:rsid w:val="00823437"/>
    <w:rsid w:val="00823459"/>
    <w:rsid w:val="0082348C"/>
    <w:rsid w:val="0082348E"/>
    <w:rsid w:val="0082353A"/>
    <w:rsid w:val="008235AF"/>
    <w:rsid w:val="00823674"/>
    <w:rsid w:val="0082369D"/>
    <w:rsid w:val="008236B8"/>
    <w:rsid w:val="008236D0"/>
    <w:rsid w:val="008236D6"/>
    <w:rsid w:val="0082370A"/>
    <w:rsid w:val="00823735"/>
    <w:rsid w:val="00823791"/>
    <w:rsid w:val="008237CF"/>
    <w:rsid w:val="00823821"/>
    <w:rsid w:val="00823869"/>
    <w:rsid w:val="008238B2"/>
    <w:rsid w:val="008238E3"/>
    <w:rsid w:val="0082390D"/>
    <w:rsid w:val="008239B5"/>
    <w:rsid w:val="008239DF"/>
    <w:rsid w:val="00823A44"/>
    <w:rsid w:val="00823A62"/>
    <w:rsid w:val="00823A72"/>
    <w:rsid w:val="00823A7E"/>
    <w:rsid w:val="00823A98"/>
    <w:rsid w:val="00823AB7"/>
    <w:rsid w:val="00823ADC"/>
    <w:rsid w:val="00823AF2"/>
    <w:rsid w:val="00823B0B"/>
    <w:rsid w:val="00823B41"/>
    <w:rsid w:val="00823B63"/>
    <w:rsid w:val="00823B75"/>
    <w:rsid w:val="00823BDB"/>
    <w:rsid w:val="00823C6F"/>
    <w:rsid w:val="00823CB1"/>
    <w:rsid w:val="00823DB7"/>
    <w:rsid w:val="00823DCE"/>
    <w:rsid w:val="00823E11"/>
    <w:rsid w:val="00823E58"/>
    <w:rsid w:val="00823E62"/>
    <w:rsid w:val="00823E6A"/>
    <w:rsid w:val="00823E82"/>
    <w:rsid w:val="00823E97"/>
    <w:rsid w:val="00823EDB"/>
    <w:rsid w:val="00823F21"/>
    <w:rsid w:val="00823FEA"/>
    <w:rsid w:val="0082407C"/>
    <w:rsid w:val="0082409E"/>
    <w:rsid w:val="00824162"/>
    <w:rsid w:val="00824193"/>
    <w:rsid w:val="008241E7"/>
    <w:rsid w:val="008241F9"/>
    <w:rsid w:val="0082420D"/>
    <w:rsid w:val="0082422C"/>
    <w:rsid w:val="00824237"/>
    <w:rsid w:val="00824251"/>
    <w:rsid w:val="008242EF"/>
    <w:rsid w:val="00824304"/>
    <w:rsid w:val="0082433C"/>
    <w:rsid w:val="008243AA"/>
    <w:rsid w:val="008243C7"/>
    <w:rsid w:val="00824478"/>
    <w:rsid w:val="008244BD"/>
    <w:rsid w:val="008245B9"/>
    <w:rsid w:val="0082465C"/>
    <w:rsid w:val="00824696"/>
    <w:rsid w:val="008246BA"/>
    <w:rsid w:val="00824735"/>
    <w:rsid w:val="00824736"/>
    <w:rsid w:val="00824740"/>
    <w:rsid w:val="00824750"/>
    <w:rsid w:val="0082475E"/>
    <w:rsid w:val="008247CE"/>
    <w:rsid w:val="008247E2"/>
    <w:rsid w:val="008247E7"/>
    <w:rsid w:val="008247F2"/>
    <w:rsid w:val="0082480A"/>
    <w:rsid w:val="00824812"/>
    <w:rsid w:val="0082482F"/>
    <w:rsid w:val="00824840"/>
    <w:rsid w:val="00824847"/>
    <w:rsid w:val="008248C0"/>
    <w:rsid w:val="008248C3"/>
    <w:rsid w:val="008248F9"/>
    <w:rsid w:val="00824918"/>
    <w:rsid w:val="00824A3D"/>
    <w:rsid w:val="00824A56"/>
    <w:rsid w:val="00824A84"/>
    <w:rsid w:val="00824A94"/>
    <w:rsid w:val="00824A9E"/>
    <w:rsid w:val="00824AB8"/>
    <w:rsid w:val="00824ACF"/>
    <w:rsid w:val="00824B6C"/>
    <w:rsid w:val="00824B74"/>
    <w:rsid w:val="00824B9C"/>
    <w:rsid w:val="00824C4E"/>
    <w:rsid w:val="00824CA6"/>
    <w:rsid w:val="00824CBE"/>
    <w:rsid w:val="00824CC7"/>
    <w:rsid w:val="00824D15"/>
    <w:rsid w:val="00824D23"/>
    <w:rsid w:val="00824D47"/>
    <w:rsid w:val="00824D52"/>
    <w:rsid w:val="00824DCA"/>
    <w:rsid w:val="00824E04"/>
    <w:rsid w:val="00824ED7"/>
    <w:rsid w:val="00824EFA"/>
    <w:rsid w:val="00824EFB"/>
    <w:rsid w:val="00824F32"/>
    <w:rsid w:val="00824FC4"/>
    <w:rsid w:val="00824FFA"/>
    <w:rsid w:val="0082502E"/>
    <w:rsid w:val="0082505A"/>
    <w:rsid w:val="0082515B"/>
    <w:rsid w:val="008251B7"/>
    <w:rsid w:val="008251E9"/>
    <w:rsid w:val="00825201"/>
    <w:rsid w:val="00825248"/>
    <w:rsid w:val="0082527D"/>
    <w:rsid w:val="00825326"/>
    <w:rsid w:val="008253A0"/>
    <w:rsid w:val="00825423"/>
    <w:rsid w:val="00825495"/>
    <w:rsid w:val="0082552B"/>
    <w:rsid w:val="00825587"/>
    <w:rsid w:val="00825590"/>
    <w:rsid w:val="00825622"/>
    <w:rsid w:val="00825623"/>
    <w:rsid w:val="00825647"/>
    <w:rsid w:val="00825684"/>
    <w:rsid w:val="008256AD"/>
    <w:rsid w:val="008256D5"/>
    <w:rsid w:val="008256D9"/>
    <w:rsid w:val="008256E0"/>
    <w:rsid w:val="008256FD"/>
    <w:rsid w:val="0082570E"/>
    <w:rsid w:val="0082578D"/>
    <w:rsid w:val="008257B3"/>
    <w:rsid w:val="008257E5"/>
    <w:rsid w:val="00825816"/>
    <w:rsid w:val="0082585B"/>
    <w:rsid w:val="00825885"/>
    <w:rsid w:val="008258B5"/>
    <w:rsid w:val="008258C0"/>
    <w:rsid w:val="0082592D"/>
    <w:rsid w:val="00825935"/>
    <w:rsid w:val="0082596F"/>
    <w:rsid w:val="00825970"/>
    <w:rsid w:val="00825A42"/>
    <w:rsid w:val="00825A6B"/>
    <w:rsid w:val="00825AAA"/>
    <w:rsid w:val="00825B48"/>
    <w:rsid w:val="00825B73"/>
    <w:rsid w:val="00825BA0"/>
    <w:rsid w:val="00825BB5"/>
    <w:rsid w:val="00825C24"/>
    <w:rsid w:val="00825C50"/>
    <w:rsid w:val="00825C69"/>
    <w:rsid w:val="00825CD3"/>
    <w:rsid w:val="00825CF0"/>
    <w:rsid w:val="00825D44"/>
    <w:rsid w:val="00825D82"/>
    <w:rsid w:val="00825DCF"/>
    <w:rsid w:val="00825DF5"/>
    <w:rsid w:val="00825E49"/>
    <w:rsid w:val="00825E4B"/>
    <w:rsid w:val="00825E60"/>
    <w:rsid w:val="00825E68"/>
    <w:rsid w:val="00825E69"/>
    <w:rsid w:val="00825E7A"/>
    <w:rsid w:val="00825EA8"/>
    <w:rsid w:val="00825ED9"/>
    <w:rsid w:val="00825EE9"/>
    <w:rsid w:val="00825EFB"/>
    <w:rsid w:val="00825F27"/>
    <w:rsid w:val="00825FF8"/>
    <w:rsid w:val="00826024"/>
    <w:rsid w:val="0082603A"/>
    <w:rsid w:val="00826074"/>
    <w:rsid w:val="008260D1"/>
    <w:rsid w:val="008260DC"/>
    <w:rsid w:val="0082611E"/>
    <w:rsid w:val="008261CB"/>
    <w:rsid w:val="008261F7"/>
    <w:rsid w:val="008261F9"/>
    <w:rsid w:val="00826239"/>
    <w:rsid w:val="0082624E"/>
    <w:rsid w:val="0082629F"/>
    <w:rsid w:val="008262F3"/>
    <w:rsid w:val="00826362"/>
    <w:rsid w:val="008263AE"/>
    <w:rsid w:val="008263ED"/>
    <w:rsid w:val="0082642E"/>
    <w:rsid w:val="00826437"/>
    <w:rsid w:val="00826479"/>
    <w:rsid w:val="0082648A"/>
    <w:rsid w:val="008264CC"/>
    <w:rsid w:val="00826525"/>
    <w:rsid w:val="00826537"/>
    <w:rsid w:val="00826555"/>
    <w:rsid w:val="0082656B"/>
    <w:rsid w:val="0082658A"/>
    <w:rsid w:val="0082661A"/>
    <w:rsid w:val="00826649"/>
    <w:rsid w:val="00826652"/>
    <w:rsid w:val="008266B5"/>
    <w:rsid w:val="008266C5"/>
    <w:rsid w:val="008266D6"/>
    <w:rsid w:val="00826720"/>
    <w:rsid w:val="00826741"/>
    <w:rsid w:val="00826784"/>
    <w:rsid w:val="0082679E"/>
    <w:rsid w:val="008267A8"/>
    <w:rsid w:val="008267F3"/>
    <w:rsid w:val="00826819"/>
    <w:rsid w:val="00826825"/>
    <w:rsid w:val="00826896"/>
    <w:rsid w:val="00826949"/>
    <w:rsid w:val="0082696A"/>
    <w:rsid w:val="008269C2"/>
    <w:rsid w:val="008269F2"/>
    <w:rsid w:val="00826A65"/>
    <w:rsid w:val="00826ACB"/>
    <w:rsid w:val="00826AF8"/>
    <w:rsid w:val="00826B03"/>
    <w:rsid w:val="00826B36"/>
    <w:rsid w:val="00826B42"/>
    <w:rsid w:val="00826B72"/>
    <w:rsid w:val="00826BBC"/>
    <w:rsid w:val="00826BEC"/>
    <w:rsid w:val="00826C1D"/>
    <w:rsid w:val="00826C5D"/>
    <w:rsid w:val="00826C91"/>
    <w:rsid w:val="00826CA8"/>
    <w:rsid w:val="00826CB8"/>
    <w:rsid w:val="00826CD3"/>
    <w:rsid w:val="00826CF0"/>
    <w:rsid w:val="00826CF7"/>
    <w:rsid w:val="00826D5C"/>
    <w:rsid w:val="00826D5E"/>
    <w:rsid w:val="00826DA1"/>
    <w:rsid w:val="00826E14"/>
    <w:rsid w:val="00826E3E"/>
    <w:rsid w:val="00826E40"/>
    <w:rsid w:val="00826E87"/>
    <w:rsid w:val="00826E8B"/>
    <w:rsid w:val="00826EA9"/>
    <w:rsid w:val="00826EDE"/>
    <w:rsid w:val="00826F1E"/>
    <w:rsid w:val="00826F29"/>
    <w:rsid w:val="00826F7F"/>
    <w:rsid w:val="00826F84"/>
    <w:rsid w:val="00826FEB"/>
    <w:rsid w:val="00827001"/>
    <w:rsid w:val="0082702D"/>
    <w:rsid w:val="00827032"/>
    <w:rsid w:val="0082704D"/>
    <w:rsid w:val="00827058"/>
    <w:rsid w:val="0082707E"/>
    <w:rsid w:val="008270ED"/>
    <w:rsid w:val="0082712A"/>
    <w:rsid w:val="0082717C"/>
    <w:rsid w:val="00827184"/>
    <w:rsid w:val="008271B9"/>
    <w:rsid w:val="008271C3"/>
    <w:rsid w:val="0082724A"/>
    <w:rsid w:val="00827294"/>
    <w:rsid w:val="008272C8"/>
    <w:rsid w:val="008272DB"/>
    <w:rsid w:val="008272E1"/>
    <w:rsid w:val="008272F0"/>
    <w:rsid w:val="008272FA"/>
    <w:rsid w:val="00827306"/>
    <w:rsid w:val="00827326"/>
    <w:rsid w:val="00827433"/>
    <w:rsid w:val="0082747C"/>
    <w:rsid w:val="0082748C"/>
    <w:rsid w:val="0082755C"/>
    <w:rsid w:val="00827596"/>
    <w:rsid w:val="008275C0"/>
    <w:rsid w:val="0082761D"/>
    <w:rsid w:val="0082764F"/>
    <w:rsid w:val="008276F7"/>
    <w:rsid w:val="0082771F"/>
    <w:rsid w:val="008277D4"/>
    <w:rsid w:val="008277FA"/>
    <w:rsid w:val="0082787E"/>
    <w:rsid w:val="0082789A"/>
    <w:rsid w:val="008278B0"/>
    <w:rsid w:val="008278D1"/>
    <w:rsid w:val="0082792C"/>
    <w:rsid w:val="00827936"/>
    <w:rsid w:val="0082793C"/>
    <w:rsid w:val="0082793D"/>
    <w:rsid w:val="0082795B"/>
    <w:rsid w:val="00827970"/>
    <w:rsid w:val="008279B7"/>
    <w:rsid w:val="008279F4"/>
    <w:rsid w:val="008279FE"/>
    <w:rsid w:val="00827A26"/>
    <w:rsid w:val="00827A69"/>
    <w:rsid w:val="00827AB2"/>
    <w:rsid w:val="00827ACA"/>
    <w:rsid w:val="00827AF5"/>
    <w:rsid w:val="00827B90"/>
    <w:rsid w:val="00827BDF"/>
    <w:rsid w:val="00827C14"/>
    <w:rsid w:val="00827C18"/>
    <w:rsid w:val="00827C35"/>
    <w:rsid w:val="00827C37"/>
    <w:rsid w:val="00827C3B"/>
    <w:rsid w:val="00827C8C"/>
    <w:rsid w:val="00827C8F"/>
    <w:rsid w:val="00827C9D"/>
    <w:rsid w:val="00827CE1"/>
    <w:rsid w:val="00827CF8"/>
    <w:rsid w:val="00827D7A"/>
    <w:rsid w:val="00827D85"/>
    <w:rsid w:val="00827D8D"/>
    <w:rsid w:val="00827DC6"/>
    <w:rsid w:val="00827E5A"/>
    <w:rsid w:val="00827EBC"/>
    <w:rsid w:val="00827EDC"/>
    <w:rsid w:val="00827EE8"/>
    <w:rsid w:val="00827F24"/>
    <w:rsid w:val="00827F94"/>
    <w:rsid w:val="00830043"/>
    <w:rsid w:val="008300EC"/>
    <w:rsid w:val="008300FA"/>
    <w:rsid w:val="00830113"/>
    <w:rsid w:val="00830125"/>
    <w:rsid w:val="00830154"/>
    <w:rsid w:val="0083017E"/>
    <w:rsid w:val="00830184"/>
    <w:rsid w:val="008301E5"/>
    <w:rsid w:val="008301F2"/>
    <w:rsid w:val="008301F6"/>
    <w:rsid w:val="0083023B"/>
    <w:rsid w:val="00830260"/>
    <w:rsid w:val="00830282"/>
    <w:rsid w:val="00830287"/>
    <w:rsid w:val="008302AF"/>
    <w:rsid w:val="0083030B"/>
    <w:rsid w:val="0083033B"/>
    <w:rsid w:val="008303B7"/>
    <w:rsid w:val="008303E6"/>
    <w:rsid w:val="0083040A"/>
    <w:rsid w:val="0083040B"/>
    <w:rsid w:val="0083045C"/>
    <w:rsid w:val="008304A7"/>
    <w:rsid w:val="008304AB"/>
    <w:rsid w:val="008304BB"/>
    <w:rsid w:val="008304D1"/>
    <w:rsid w:val="00830528"/>
    <w:rsid w:val="00830568"/>
    <w:rsid w:val="00830569"/>
    <w:rsid w:val="008305A4"/>
    <w:rsid w:val="008305D4"/>
    <w:rsid w:val="00830624"/>
    <w:rsid w:val="00830626"/>
    <w:rsid w:val="00830672"/>
    <w:rsid w:val="008306A2"/>
    <w:rsid w:val="008306D9"/>
    <w:rsid w:val="008306FE"/>
    <w:rsid w:val="0083071B"/>
    <w:rsid w:val="00830724"/>
    <w:rsid w:val="00830747"/>
    <w:rsid w:val="0083078F"/>
    <w:rsid w:val="008307B0"/>
    <w:rsid w:val="008307B5"/>
    <w:rsid w:val="00830879"/>
    <w:rsid w:val="008308A9"/>
    <w:rsid w:val="00830904"/>
    <w:rsid w:val="0083096E"/>
    <w:rsid w:val="0083098D"/>
    <w:rsid w:val="008309C8"/>
    <w:rsid w:val="008309D0"/>
    <w:rsid w:val="00830A6C"/>
    <w:rsid w:val="00830A7F"/>
    <w:rsid w:val="00830AA8"/>
    <w:rsid w:val="00830B5A"/>
    <w:rsid w:val="00830B68"/>
    <w:rsid w:val="00830B77"/>
    <w:rsid w:val="00830B9C"/>
    <w:rsid w:val="00830BAF"/>
    <w:rsid w:val="00830BB8"/>
    <w:rsid w:val="00830BFC"/>
    <w:rsid w:val="00830C28"/>
    <w:rsid w:val="00830C34"/>
    <w:rsid w:val="00830C6B"/>
    <w:rsid w:val="00830CC5"/>
    <w:rsid w:val="00830CC6"/>
    <w:rsid w:val="00830CCC"/>
    <w:rsid w:val="00830CE3"/>
    <w:rsid w:val="00830D5B"/>
    <w:rsid w:val="00830D91"/>
    <w:rsid w:val="00830DC9"/>
    <w:rsid w:val="00830DE4"/>
    <w:rsid w:val="00830E69"/>
    <w:rsid w:val="00830E8F"/>
    <w:rsid w:val="00830EB3"/>
    <w:rsid w:val="00830F32"/>
    <w:rsid w:val="00830F3C"/>
    <w:rsid w:val="00830FA5"/>
    <w:rsid w:val="00830FFA"/>
    <w:rsid w:val="00831008"/>
    <w:rsid w:val="00831029"/>
    <w:rsid w:val="00831076"/>
    <w:rsid w:val="00831078"/>
    <w:rsid w:val="00831081"/>
    <w:rsid w:val="008310A8"/>
    <w:rsid w:val="00831100"/>
    <w:rsid w:val="0083119B"/>
    <w:rsid w:val="008311CD"/>
    <w:rsid w:val="008312AE"/>
    <w:rsid w:val="008312E1"/>
    <w:rsid w:val="00831309"/>
    <w:rsid w:val="00831354"/>
    <w:rsid w:val="008313C8"/>
    <w:rsid w:val="008313D4"/>
    <w:rsid w:val="008313F7"/>
    <w:rsid w:val="00831497"/>
    <w:rsid w:val="00831519"/>
    <w:rsid w:val="0083154A"/>
    <w:rsid w:val="008315C3"/>
    <w:rsid w:val="008315D9"/>
    <w:rsid w:val="008315E3"/>
    <w:rsid w:val="00831601"/>
    <w:rsid w:val="00831607"/>
    <w:rsid w:val="00831608"/>
    <w:rsid w:val="0083160A"/>
    <w:rsid w:val="00831626"/>
    <w:rsid w:val="008316E2"/>
    <w:rsid w:val="008316FF"/>
    <w:rsid w:val="0083172D"/>
    <w:rsid w:val="0083173E"/>
    <w:rsid w:val="00831754"/>
    <w:rsid w:val="00831755"/>
    <w:rsid w:val="008317DE"/>
    <w:rsid w:val="00831820"/>
    <w:rsid w:val="0083188F"/>
    <w:rsid w:val="008318B4"/>
    <w:rsid w:val="0083192A"/>
    <w:rsid w:val="0083193C"/>
    <w:rsid w:val="00831A27"/>
    <w:rsid w:val="00831A36"/>
    <w:rsid w:val="00831A59"/>
    <w:rsid w:val="00831A7E"/>
    <w:rsid w:val="00831AB2"/>
    <w:rsid w:val="00831AFD"/>
    <w:rsid w:val="00831B10"/>
    <w:rsid w:val="00831B98"/>
    <w:rsid w:val="00831C58"/>
    <w:rsid w:val="00831CB3"/>
    <w:rsid w:val="00831DFD"/>
    <w:rsid w:val="00831E0B"/>
    <w:rsid w:val="00831E76"/>
    <w:rsid w:val="00831EDD"/>
    <w:rsid w:val="00831EFF"/>
    <w:rsid w:val="00831F15"/>
    <w:rsid w:val="00831F3E"/>
    <w:rsid w:val="00832086"/>
    <w:rsid w:val="008320D0"/>
    <w:rsid w:val="00832119"/>
    <w:rsid w:val="00832124"/>
    <w:rsid w:val="00832137"/>
    <w:rsid w:val="00832152"/>
    <w:rsid w:val="0083216F"/>
    <w:rsid w:val="008321CF"/>
    <w:rsid w:val="0083224B"/>
    <w:rsid w:val="008322E0"/>
    <w:rsid w:val="00832337"/>
    <w:rsid w:val="00832377"/>
    <w:rsid w:val="008323A8"/>
    <w:rsid w:val="008323FD"/>
    <w:rsid w:val="0083242E"/>
    <w:rsid w:val="00832488"/>
    <w:rsid w:val="008324E1"/>
    <w:rsid w:val="0083250A"/>
    <w:rsid w:val="00832542"/>
    <w:rsid w:val="008325BC"/>
    <w:rsid w:val="008325C9"/>
    <w:rsid w:val="008325F9"/>
    <w:rsid w:val="008325FA"/>
    <w:rsid w:val="00832603"/>
    <w:rsid w:val="008326EA"/>
    <w:rsid w:val="00832729"/>
    <w:rsid w:val="0083279F"/>
    <w:rsid w:val="008327EA"/>
    <w:rsid w:val="00832856"/>
    <w:rsid w:val="00832866"/>
    <w:rsid w:val="008328E3"/>
    <w:rsid w:val="008328FF"/>
    <w:rsid w:val="00832917"/>
    <w:rsid w:val="0083294D"/>
    <w:rsid w:val="00832966"/>
    <w:rsid w:val="00832988"/>
    <w:rsid w:val="00832A22"/>
    <w:rsid w:val="00832A65"/>
    <w:rsid w:val="00832A94"/>
    <w:rsid w:val="00832AE3"/>
    <w:rsid w:val="00832AEB"/>
    <w:rsid w:val="00832B16"/>
    <w:rsid w:val="00832B23"/>
    <w:rsid w:val="00832B29"/>
    <w:rsid w:val="00832B60"/>
    <w:rsid w:val="00832B86"/>
    <w:rsid w:val="00832B93"/>
    <w:rsid w:val="00832BA0"/>
    <w:rsid w:val="00832C30"/>
    <w:rsid w:val="00832C7A"/>
    <w:rsid w:val="00832CA7"/>
    <w:rsid w:val="00832CE8"/>
    <w:rsid w:val="00832D35"/>
    <w:rsid w:val="00832DCA"/>
    <w:rsid w:val="00832DCD"/>
    <w:rsid w:val="00832E48"/>
    <w:rsid w:val="00832EB8"/>
    <w:rsid w:val="00832ED6"/>
    <w:rsid w:val="00832EE8"/>
    <w:rsid w:val="00832FDB"/>
    <w:rsid w:val="00832FFC"/>
    <w:rsid w:val="0083308A"/>
    <w:rsid w:val="008330A7"/>
    <w:rsid w:val="008330B0"/>
    <w:rsid w:val="008330C2"/>
    <w:rsid w:val="008330C8"/>
    <w:rsid w:val="0083316B"/>
    <w:rsid w:val="0083319E"/>
    <w:rsid w:val="008331D2"/>
    <w:rsid w:val="008331E7"/>
    <w:rsid w:val="008331F7"/>
    <w:rsid w:val="00833261"/>
    <w:rsid w:val="0083327C"/>
    <w:rsid w:val="008332F5"/>
    <w:rsid w:val="00833334"/>
    <w:rsid w:val="0083333F"/>
    <w:rsid w:val="00833370"/>
    <w:rsid w:val="00833460"/>
    <w:rsid w:val="008334BD"/>
    <w:rsid w:val="008334C2"/>
    <w:rsid w:val="0083350A"/>
    <w:rsid w:val="0083354A"/>
    <w:rsid w:val="00833568"/>
    <w:rsid w:val="0083359F"/>
    <w:rsid w:val="008335A0"/>
    <w:rsid w:val="008335D4"/>
    <w:rsid w:val="008335DA"/>
    <w:rsid w:val="008335FB"/>
    <w:rsid w:val="0083360C"/>
    <w:rsid w:val="0083362B"/>
    <w:rsid w:val="00833643"/>
    <w:rsid w:val="00833675"/>
    <w:rsid w:val="008336D9"/>
    <w:rsid w:val="00833729"/>
    <w:rsid w:val="00833783"/>
    <w:rsid w:val="00833794"/>
    <w:rsid w:val="008337AA"/>
    <w:rsid w:val="008338AA"/>
    <w:rsid w:val="00833966"/>
    <w:rsid w:val="008339EF"/>
    <w:rsid w:val="00833A32"/>
    <w:rsid w:val="00833A3F"/>
    <w:rsid w:val="00833A4D"/>
    <w:rsid w:val="00833A9A"/>
    <w:rsid w:val="00833A9D"/>
    <w:rsid w:val="00833AA3"/>
    <w:rsid w:val="00833AD2"/>
    <w:rsid w:val="00833AD4"/>
    <w:rsid w:val="00833B58"/>
    <w:rsid w:val="00833B6E"/>
    <w:rsid w:val="00833B9D"/>
    <w:rsid w:val="00833BB3"/>
    <w:rsid w:val="00833BD9"/>
    <w:rsid w:val="00833C49"/>
    <w:rsid w:val="00833C81"/>
    <w:rsid w:val="00833C83"/>
    <w:rsid w:val="00833D10"/>
    <w:rsid w:val="00833D23"/>
    <w:rsid w:val="00833D8D"/>
    <w:rsid w:val="00833E40"/>
    <w:rsid w:val="00833E42"/>
    <w:rsid w:val="00833E80"/>
    <w:rsid w:val="00833EA6"/>
    <w:rsid w:val="00833F00"/>
    <w:rsid w:val="00833F0C"/>
    <w:rsid w:val="00833FD1"/>
    <w:rsid w:val="00834017"/>
    <w:rsid w:val="00834049"/>
    <w:rsid w:val="008340F9"/>
    <w:rsid w:val="00834132"/>
    <w:rsid w:val="00834141"/>
    <w:rsid w:val="00834161"/>
    <w:rsid w:val="00834171"/>
    <w:rsid w:val="0083417A"/>
    <w:rsid w:val="008341FD"/>
    <w:rsid w:val="00834202"/>
    <w:rsid w:val="0083420A"/>
    <w:rsid w:val="0083420F"/>
    <w:rsid w:val="008342C9"/>
    <w:rsid w:val="00834332"/>
    <w:rsid w:val="00834334"/>
    <w:rsid w:val="00834344"/>
    <w:rsid w:val="00834352"/>
    <w:rsid w:val="008343D5"/>
    <w:rsid w:val="008343E6"/>
    <w:rsid w:val="00834489"/>
    <w:rsid w:val="008344B8"/>
    <w:rsid w:val="008344CF"/>
    <w:rsid w:val="0083456E"/>
    <w:rsid w:val="008345A2"/>
    <w:rsid w:val="0083460D"/>
    <w:rsid w:val="0083460F"/>
    <w:rsid w:val="00834623"/>
    <w:rsid w:val="0083462F"/>
    <w:rsid w:val="00834639"/>
    <w:rsid w:val="0083469F"/>
    <w:rsid w:val="008346F0"/>
    <w:rsid w:val="0083474B"/>
    <w:rsid w:val="00834818"/>
    <w:rsid w:val="00834819"/>
    <w:rsid w:val="0083481C"/>
    <w:rsid w:val="0083489D"/>
    <w:rsid w:val="008348AA"/>
    <w:rsid w:val="008348BD"/>
    <w:rsid w:val="008348EF"/>
    <w:rsid w:val="00834980"/>
    <w:rsid w:val="008349B8"/>
    <w:rsid w:val="00834A14"/>
    <w:rsid w:val="00834AA3"/>
    <w:rsid w:val="00834AB1"/>
    <w:rsid w:val="00834AF6"/>
    <w:rsid w:val="00834B14"/>
    <w:rsid w:val="00834B43"/>
    <w:rsid w:val="00834B5F"/>
    <w:rsid w:val="00834BE5"/>
    <w:rsid w:val="00834BE6"/>
    <w:rsid w:val="00834C30"/>
    <w:rsid w:val="00834C31"/>
    <w:rsid w:val="00834C32"/>
    <w:rsid w:val="00834D05"/>
    <w:rsid w:val="00834D68"/>
    <w:rsid w:val="00834DD0"/>
    <w:rsid w:val="00834E4D"/>
    <w:rsid w:val="00834E8A"/>
    <w:rsid w:val="00834E8B"/>
    <w:rsid w:val="00834EAA"/>
    <w:rsid w:val="00834F58"/>
    <w:rsid w:val="00834F61"/>
    <w:rsid w:val="00834F69"/>
    <w:rsid w:val="00834F8E"/>
    <w:rsid w:val="00834FEC"/>
    <w:rsid w:val="00835013"/>
    <w:rsid w:val="00835028"/>
    <w:rsid w:val="00835040"/>
    <w:rsid w:val="00835067"/>
    <w:rsid w:val="008350C9"/>
    <w:rsid w:val="008350D9"/>
    <w:rsid w:val="00835108"/>
    <w:rsid w:val="00835114"/>
    <w:rsid w:val="00835141"/>
    <w:rsid w:val="00835142"/>
    <w:rsid w:val="0083515C"/>
    <w:rsid w:val="00835166"/>
    <w:rsid w:val="0083516A"/>
    <w:rsid w:val="00835186"/>
    <w:rsid w:val="008351F3"/>
    <w:rsid w:val="00835283"/>
    <w:rsid w:val="008352F2"/>
    <w:rsid w:val="00835314"/>
    <w:rsid w:val="00835317"/>
    <w:rsid w:val="00835334"/>
    <w:rsid w:val="0083533E"/>
    <w:rsid w:val="00835384"/>
    <w:rsid w:val="008353AD"/>
    <w:rsid w:val="008353F5"/>
    <w:rsid w:val="00835472"/>
    <w:rsid w:val="00835499"/>
    <w:rsid w:val="0083556D"/>
    <w:rsid w:val="0083556F"/>
    <w:rsid w:val="00835589"/>
    <w:rsid w:val="008355DF"/>
    <w:rsid w:val="008355F4"/>
    <w:rsid w:val="00835645"/>
    <w:rsid w:val="00835649"/>
    <w:rsid w:val="008356A3"/>
    <w:rsid w:val="008356B1"/>
    <w:rsid w:val="00835744"/>
    <w:rsid w:val="00835764"/>
    <w:rsid w:val="00835771"/>
    <w:rsid w:val="00835781"/>
    <w:rsid w:val="008357E0"/>
    <w:rsid w:val="008357FE"/>
    <w:rsid w:val="00835827"/>
    <w:rsid w:val="0083582B"/>
    <w:rsid w:val="008358BC"/>
    <w:rsid w:val="008358C3"/>
    <w:rsid w:val="008358EB"/>
    <w:rsid w:val="00835A84"/>
    <w:rsid w:val="00835A9C"/>
    <w:rsid w:val="00835A9D"/>
    <w:rsid w:val="00835ABC"/>
    <w:rsid w:val="00835B17"/>
    <w:rsid w:val="00835B2F"/>
    <w:rsid w:val="00835B6D"/>
    <w:rsid w:val="00835B8F"/>
    <w:rsid w:val="00835B90"/>
    <w:rsid w:val="00835BD0"/>
    <w:rsid w:val="00835BD3"/>
    <w:rsid w:val="00835BD6"/>
    <w:rsid w:val="00835C7B"/>
    <w:rsid w:val="00835C9E"/>
    <w:rsid w:val="00835CEC"/>
    <w:rsid w:val="00835D1F"/>
    <w:rsid w:val="00835D56"/>
    <w:rsid w:val="00835D96"/>
    <w:rsid w:val="00835DA0"/>
    <w:rsid w:val="00835DDC"/>
    <w:rsid w:val="00835E83"/>
    <w:rsid w:val="00835EAD"/>
    <w:rsid w:val="00835EBC"/>
    <w:rsid w:val="00835EBD"/>
    <w:rsid w:val="00835F7D"/>
    <w:rsid w:val="00835F89"/>
    <w:rsid w:val="00835F9A"/>
    <w:rsid w:val="00835FB1"/>
    <w:rsid w:val="00835FFD"/>
    <w:rsid w:val="0083607C"/>
    <w:rsid w:val="008360AF"/>
    <w:rsid w:val="008360E0"/>
    <w:rsid w:val="00836116"/>
    <w:rsid w:val="0083614B"/>
    <w:rsid w:val="00836164"/>
    <w:rsid w:val="0083618C"/>
    <w:rsid w:val="008361BC"/>
    <w:rsid w:val="008361FE"/>
    <w:rsid w:val="00836237"/>
    <w:rsid w:val="0083624C"/>
    <w:rsid w:val="0083629D"/>
    <w:rsid w:val="008362B5"/>
    <w:rsid w:val="00836314"/>
    <w:rsid w:val="00836438"/>
    <w:rsid w:val="0083643C"/>
    <w:rsid w:val="008364BD"/>
    <w:rsid w:val="0083655A"/>
    <w:rsid w:val="008365DF"/>
    <w:rsid w:val="00836618"/>
    <w:rsid w:val="00836674"/>
    <w:rsid w:val="008366D4"/>
    <w:rsid w:val="00836719"/>
    <w:rsid w:val="008367BC"/>
    <w:rsid w:val="008367D6"/>
    <w:rsid w:val="008367E4"/>
    <w:rsid w:val="0083683E"/>
    <w:rsid w:val="008368BD"/>
    <w:rsid w:val="008368BE"/>
    <w:rsid w:val="008368D9"/>
    <w:rsid w:val="00836984"/>
    <w:rsid w:val="008369B6"/>
    <w:rsid w:val="008369B8"/>
    <w:rsid w:val="00836A78"/>
    <w:rsid w:val="00836A84"/>
    <w:rsid w:val="00836AA0"/>
    <w:rsid w:val="00836AFB"/>
    <w:rsid w:val="00836B10"/>
    <w:rsid w:val="00836C4F"/>
    <w:rsid w:val="00836C89"/>
    <w:rsid w:val="00836C9A"/>
    <w:rsid w:val="00836CA3"/>
    <w:rsid w:val="00836D57"/>
    <w:rsid w:val="00836D5B"/>
    <w:rsid w:val="00836DC7"/>
    <w:rsid w:val="00836DDB"/>
    <w:rsid w:val="00836E3B"/>
    <w:rsid w:val="00836E3C"/>
    <w:rsid w:val="00836E59"/>
    <w:rsid w:val="00836E8C"/>
    <w:rsid w:val="00836EBC"/>
    <w:rsid w:val="00836EC6"/>
    <w:rsid w:val="00836ED1"/>
    <w:rsid w:val="00836F01"/>
    <w:rsid w:val="00836F31"/>
    <w:rsid w:val="00836FA9"/>
    <w:rsid w:val="00836FE9"/>
    <w:rsid w:val="00837058"/>
    <w:rsid w:val="0083710D"/>
    <w:rsid w:val="00837166"/>
    <w:rsid w:val="00837181"/>
    <w:rsid w:val="008371AD"/>
    <w:rsid w:val="008371D3"/>
    <w:rsid w:val="008371D5"/>
    <w:rsid w:val="00837250"/>
    <w:rsid w:val="00837264"/>
    <w:rsid w:val="0083729D"/>
    <w:rsid w:val="008372CD"/>
    <w:rsid w:val="008372DB"/>
    <w:rsid w:val="00837308"/>
    <w:rsid w:val="008373AF"/>
    <w:rsid w:val="00837401"/>
    <w:rsid w:val="00837418"/>
    <w:rsid w:val="0083742E"/>
    <w:rsid w:val="00837442"/>
    <w:rsid w:val="00837480"/>
    <w:rsid w:val="00837488"/>
    <w:rsid w:val="00837489"/>
    <w:rsid w:val="00837498"/>
    <w:rsid w:val="00837499"/>
    <w:rsid w:val="008374DB"/>
    <w:rsid w:val="00837501"/>
    <w:rsid w:val="008375A3"/>
    <w:rsid w:val="008375A6"/>
    <w:rsid w:val="008375FB"/>
    <w:rsid w:val="00837621"/>
    <w:rsid w:val="00837624"/>
    <w:rsid w:val="0083762D"/>
    <w:rsid w:val="0083763F"/>
    <w:rsid w:val="0083768A"/>
    <w:rsid w:val="008376AD"/>
    <w:rsid w:val="00837700"/>
    <w:rsid w:val="00837711"/>
    <w:rsid w:val="0083773B"/>
    <w:rsid w:val="008377B3"/>
    <w:rsid w:val="008377C3"/>
    <w:rsid w:val="00837841"/>
    <w:rsid w:val="00837883"/>
    <w:rsid w:val="008378AE"/>
    <w:rsid w:val="008378C2"/>
    <w:rsid w:val="008378FF"/>
    <w:rsid w:val="00837924"/>
    <w:rsid w:val="00837940"/>
    <w:rsid w:val="00837966"/>
    <w:rsid w:val="008379BF"/>
    <w:rsid w:val="008379CA"/>
    <w:rsid w:val="00837A0D"/>
    <w:rsid w:val="00837A4A"/>
    <w:rsid w:val="00837A51"/>
    <w:rsid w:val="00837A68"/>
    <w:rsid w:val="00837AA8"/>
    <w:rsid w:val="00837B15"/>
    <w:rsid w:val="00837B1D"/>
    <w:rsid w:val="00837B2A"/>
    <w:rsid w:val="00837BE5"/>
    <w:rsid w:val="00837C19"/>
    <w:rsid w:val="00837C2D"/>
    <w:rsid w:val="00837C32"/>
    <w:rsid w:val="00837CAA"/>
    <w:rsid w:val="00837CAB"/>
    <w:rsid w:val="00837CAC"/>
    <w:rsid w:val="00837CD7"/>
    <w:rsid w:val="00837CE1"/>
    <w:rsid w:val="00837D08"/>
    <w:rsid w:val="00837D50"/>
    <w:rsid w:val="00837D8F"/>
    <w:rsid w:val="00837DC0"/>
    <w:rsid w:val="00837DE0"/>
    <w:rsid w:val="00837E00"/>
    <w:rsid w:val="00837E2B"/>
    <w:rsid w:val="00837E4B"/>
    <w:rsid w:val="00837E52"/>
    <w:rsid w:val="00837E5D"/>
    <w:rsid w:val="00837E7C"/>
    <w:rsid w:val="00837EAA"/>
    <w:rsid w:val="00837EBB"/>
    <w:rsid w:val="00837ED9"/>
    <w:rsid w:val="00837FBB"/>
    <w:rsid w:val="00837FC1"/>
    <w:rsid w:val="0084002D"/>
    <w:rsid w:val="0084003E"/>
    <w:rsid w:val="00840047"/>
    <w:rsid w:val="00840067"/>
    <w:rsid w:val="00840086"/>
    <w:rsid w:val="008400EF"/>
    <w:rsid w:val="008400F5"/>
    <w:rsid w:val="0084010C"/>
    <w:rsid w:val="0084013F"/>
    <w:rsid w:val="00840194"/>
    <w:rsid w:val="008401A3"/>
    <w:rsid w:val="008401B2"/>
    <w:rsid w:val="008401C3"/>
    <w:rsid w:val="008401E3"/>
    <w:rsid w:val="008401FA"/>
    <w:rsid w:val="00840292"/>
    <w:rsid w:val="008402C7"/>
    <w:rsid w:val="008402F9"/>
    <w:rsid w:val="00840303"/>
    <w:rsid w:val="00840306"/>
    <w:rsid w:val="00840344"/>
    <w:rsid w:val="00840345"/>
    <w:rsid w:val="0084037D"/>
    <w:rsid w:val="0084037F"/>
    <w:rsid w:val="0084038F"/>
    <w:rsid w:val="00840413"/>
    <w:rsid w:val="00840448"/>
    <w:rsid w:val="008404B6"/>
    <w:rsid w:val="008404C6"/>
    <w:rsid w:val="008404EA"/>
    <w:rsid w:val="0084050D"/>
    <w:rsid w:val="008405A7"/>
    <w:rsid w:val="008405B2"/>
    <w:rsid w:val="00840624"/>
    <w:rsid w:val="00840681"/>
    <w:rsid w:val="0084068A"/>
    <w:rsid w:val="00840700"/>
    <w:rsid w:val="0084070B"/>
    <w:rsid w:val="0084073A"/>
    <w:rsid w:val="0084074C"/>
    <w:rsid w:val="00840757"/>
    <w:rsid w:val="008407A1"/>
    <w:rsid w:val="008407C6"/>
    <w:rsid w:val="008407DB"/>
    <w:rsid w:val="00840854"/>
    <w:rsid w:val="00840935"/>
    <w:rsid w:val="00840971"/>
    <w:rsid w:val="008409A1"/>
    <w:rsid w:val="008409AF"/>
    <w:rsid w:val="008409D0"/>
    <w:rsid w:val="008409F2"/>
    <w:rsid w:val="00840A34"/>
    <w:rsid w:val="00840A75"/>
    <w:rsid w:val="00840AFC"/>
    <w:rsid w:val="00840B0B"/>
    <w:rsid w:val="00840B3D"/>
    <w:rsid w:val="00840BD2"/>
    <w:rsid w:val="00840C2E"/>
    <w:rsid w:val="00840D1A"/>
    <w:rsid w:val="00840D38"/>
    <w:rsid w:val="00840D41"/>
    <w:rsid w:val="00840D4D"/>
    <w:rsid w:val="00840D58"/>
    <w:rsid w:val="00840D8B"/>
    <w:rsid w:val="00840DBC"/>
    <w:rsid w:val="00840E19"/>
    <w:rsid w:val="00840E30"/>
    <w:rsid w:val="00840E9D"/>
    <w:rsid w:val="00840F01"/>
    <w:rsid w:val="00840FFC"/>
    <w:rsid w:val="00841002"/>
    <w:rsid w:val="0084103A"/>
    <w:rsid w:val="0084107B"/>
    <w:rsid w:val="00841084"/>
    <w:rsid w:val="008410BA"/>
    <w:rsid w:val="00841114"/>
    <w:rsid w:val="008411AA"/>
    <w:rsid w:val="008411B8"/>
    <w:rsid w:val="008411D2"/>
    <w:rsid w:val="008412B7"/>
    <w:rsid w:val="008412D1"/>
    <w:rsid w:val="00841331"/>
    <w:rsid w:val="00841342"/>
    <w:rsid w:val="00841368"/>
    <w:rsid w:val="008413DE"/>
    <w:rsid w:val="008413FF"/>
    <w:rsid w:val="00841449"/>
    <w:rsid w:val="0084146E"/>
    <w:rsid w:val="00841486"/>
    <w:rsid w:val="0084151B"/>
    <w:rsid w:val="00841550"/>
    <w:rsid w:val="0084160F"/>
    <w:rsid w:val="00841646"/>
    <w:rsid w:val="008416AB"/>
    <w:rsid w:val="008416D4"/>
    <w:rsid w:val="00841771"/>
    <w:rsid w:val="00841778"/>
    <w:rsid w:val="00841806"/>
    <w:rsid w:val="008418B9"/>
    <w:rsid w:val="008418BF"/>
    <w:rsid w:val="008418FA"/>
    <w:rsid w:val="00841947"/>
    <w:rsid w:val="00841980"/>
    <w:rsid w:val="00841997"/>
    <w:rsid w:val="008419C6"/>
    <w:rsid w:val="008419CA"/>
    <w:rsid w:val="00841A3A"/>
    <w:rsid w:val="00841A4D"/>
    <w:rsid w:val="00841B0C"/>
    <w:rsid w:val="00841B0F"/>
    <w:rsid w:val="00841B1F"/>
    <w:rsid w:val="00841B2B"/>
    <w:rsid w:val="00841B4D"/>
    <w:rsid w:val="00841B55"/>
    <w:rsid w:val="00841C8D"/>
    <w:rsid w:val="00841CAF"/>
    <w:rsid w:val="00841CCF"/>
    <w:rsid w:val="00841CE6"/>
    <w:rsid w:val="00841CE9"/>
    <w:rsid w:val="00841D07"/>
    <w:rsid w:val="00841D1E"/>
    <w:rsid w:val="00841D49"/>
    <w:rsid w:val="00841D52"/>
    <w:rsid w:val="00841D58"/>
    <w:rsid w:val="00841DFF"/>
    <w:rsid w:val="00841E1D"/>
    <w:rsid w:val="00841E27"/>
    <w:rsid w:val="00841E52"/>
    <w:rsid w:val="00841E5F"/>
    <w:rsid w:val="00841EAD"/>
    <w:rsid w:val="00841F1C"/>
    <w:rsid w:val="00841F4E"/>
    <w:rsid w:val="00841F88"/>
    <w:rsid w:val="00841FD7"/>
    <w:rsid w:val="00841FD8"/>
    <w:rsid w:val="00841FF3"/>
    <w:rsid w:val="00842035"/>
    <w:rsid w:val="00842091"/>
    <w:rsid w:val="008420C2"/>
    <w:rsid w:val="008420C5"/>
    <w:rsid w:val="00842145"/>
    <w:rsid w:val="00842182"/>
    <w:rsid w:val="00842193"/>
    <w:rsid w:val="00842198"/>
    <w:rsid w:val="008421A3"/>
    <w:rsid w:val="008422D7"/>
    <w:rsid w:val="008422EE"/>
    <w:rsid w:val="00842305"/>
    <w:rsid w:val="0084235A"/>
    <w:rsid w:val="00842422"/>
    <w:rsid w:val="00842486"/>
    <w:rsid w:val="00842502"/>
    <w:rsid w:val="0084252C"/>
    <w:rsid w:val="0084252D"/>
    <w:rsid w:val="00842537"/>
    <w:rsid w:val="00842539"/>
    <w:rsid w:val="00842576"/>
    <w:rsid w:val="0084259E"/>
    <w:rsid w:val="00842617"/>
    <w:rsid w:val="008426B4"/>
    <w:rsid w:val="008427AF"/>
    <w:rsid w:val="008428D9"/>
    <w:rsid w:val="008428EC"/>
    <w:rsid w:val="00842908"/>
    <w:rsid w:val="0084292E"/>
    <w:rsid w:val="0084296C"/>
    <w:rsid w:val="0084296D"/>
    <w:rsid w:val="00842982"/>
    <w:rsid w:val="008429CD"/>
    <w:rsid w:val="008429D0"/>
    <w:rsid w:val="00842A15"/>
    <w:rsid w:val="00842A69"/>
    <w:rsid w:val="00842A80"/>
    <w:rsid w:val="00842B77"/>
    <w:rsid w:val="00842B8F"/>
    <w:rsid w:val="00842BF9"/>
    <w:rsid w:val="00842BFC"/>
    <w:rsid w:val="00842C1A"/>
    <w:rsid w:val="00842C59"/>
    <w:rsid w:val="00842C70"/>
    <w:rsid w:val="00842CB8"/>
    <w:rsid w:val="00842CF2"/>
    <w:rsid w:val="00842D08"/>
    <w:rsid w:val="00842D9A"/>
    <w:rsid w:val="00842DC7"/>
    <w:rsid w:val="00842DE1"/>
    <w:rsid w:val="00842E21"/>
    <w:rsid w:val="00842E94"/>
    <w:rsid w:val="00842ED3"/>
    <w:rsid w:val="00842F22"/>
    <w:rsid w:val="00842FCD"/>
    <w:rsid w:val="00842FEF"/>
    <w:rsid w:val="00842FF1"/>
    <w:rsid w:val="00843021"/>
    <w:rsid w:val="0084302F"/>
    <w:rsid w:val="0084304D"/>
    <w:rsid w:val="008430FD"/>
    <w:rsid w:val="00843139"/>
    <w:rsid w:val="00843159"/>
    <w:rsid w:val="00843176"/>
    <w:rsid w:val="008431B8"/>
    <w:rsid w:val="0084323B"/>
    <w:rsid w:val="0084329B"/>
    <w:rsid w:val="00843379"/>
    <w:rsid w:val="008433B8"/>
    <w:rsid w:val="0084340D"/>
    <w:rsid w:val="0084342E"/>
    <w:rsid w:val="00843436"/>
    <w:rsid w:val="00843447"/>
    <w:rsid w:val="00843455"/>
    <w:rsid w:val="008434F1"/>
    <w:rsid w:val="00843539"/>
    <w:rsid w:val="008435CF"/>
    <w:rsid w:val="00843611"/>
    <w:rsid w:val="0084362B"/>
    <w:rsid w:val="0084364A"/>
    <w:rsid w:val="008436E6"/>
    <w:rsid w:val="008436EA"/>
    <w:rsid w:val="008436FD"/>
    <w:rsid w:val="00843736"/>
    <w:rsid w:val="00843797"/>
    <w:rsid w:val="008437B2"/>
    <w:rsid w:val="008437B8"/>
    <w:rsid w:val="0084387A"/>
    <w:rsid w:val="00843897"/>
    <w:rsid w:val="008438F1"/>
    <w:rsid w:val="008439D8"/>
    <w:rsid w:val="00843A98"/>
    <w:rsid w:val="00843ABE"/>
    <w:rsid w:val="00843AD0"/>
    <w:rsid w:val="00843AE1"/>
    <w:rsid w:val="00843AF7"/>
    <w:rsid w:val="00843AFD"/>
    <w:rsid w:val="00843B26"/>
    <w:rsid w:val="00843B2C"/>
    <w:rsid w:val="00843B5C"/>
    <w:rsid w:val="00843B6D"/>
    <w:rsid w:val="00843C04"/>
    <w:rsid w:val="00843C43"/>
    <w:rsid w:val="00843C5F"/>
    <w:rsid w:val="00843C78"/>
    <w:rsid w:val="00843CFB"/>
    <w:rsid w:val="00843D01"/>
    <w:rsid w:val="00843D3B"/>
    <w:rsid w:val="00843D4C"/>
    <w:rsid w:val="00843EC0"/>
    <w:rsid w:val="00843EDF"/>
    <w:rsid w:val="00843F1E"/>
    <w:rsid w:val="00843F2A"/>
    <w:rsid w:val="00843F41"/>
    <w:rsid w:val="00843F52"/>
    <w:rsid w:val="00843F73"/>
    <w:rsid w:val="00843FF2"/>
    <w:rsid w:val="00844004"/>
    <w:rsid w:val="00844006"/>
    <w:rsid w:val="0084405A"/>
    <w:rsid w:val="0084408F"/>
    <w:rsid w:val="0084412C"/>
    <w:rsid w:val="00844147"/>
    <w:rsid w:val="00844173"/>
    <w:rsid w:val="00844198"/>
    <w:rsid w:val="0084419B"/>
    <w:rsid w:val="0084419F"/>
    <w:rsid w:val="008441C6"/>
    <w:rsid w:val="00844202"/>
    <w:rsid w:val="00844210"/>
    <w:rsid w:val="0084423E"/>
    <w:rsid w:val="00844248"/>
    <w:rsid w:val="00844252"/>
    <w:rsid w:val="008442BF"/>
    <w:rsid w:val="0084437A"/>
    <w:rsid w:val="008443CF"/>
    <w:rsid w:val="008443E5"/>
    <w:rsid w:val="008443F4"/>
    <w:rsid w:val="008443F8"/>
    <w:rsid w:val="0084441A"/>
    <w:rsid w:val="00844424"/>
    <w:rsid w:val="00844465"/>
    <w:rsid w:val="0084446E"/>
    <w:rsid w:val="008444FC"/>
    <w:rsid w:val="00844502"/>
    <w:rsid w:val="0084453A"/>
    <w:rsid w:val="00844544"/>
    <w:rsid w:val="0084460D"/>
    <w:rsid w:val="00844625"/>
    <w:rsid w:val="00844626"/>
    <w:rsid w:val="00844627"/>
    <w:rsid w:val="00844654"/>
    <w:rsid w:val="008446B6"/>
    <w:rsid w:val="0084472C"/>
    <w:rsid w:val="0084475E"/>
    <w:rsid w:val="008447BB"/>
    <w:rsid w:val="008447D0"/>
    <w:rsid w:val="0084482C"/>
    <w:rsid w:val="00844873"/>
    <w:rsid w:val="00844883"/>
    <w:rsid w:val="008448D3"/>
    <w:rsid w:val="008448E5"/>
    <w:rsid w:val="008448FD"/>
    <w:rsid w:val="00844924"/>
    <w:rsid w:val="00844949"/>
    <w:rsid w:val="00844999"/>
    <w:rsid w:val="0084499F"/>
    <w:rsid w:val="00844A48"/>
    <w:rsid w:val="00844A73"/>
    <w:rsid w:val="00844A89"/>
    <w:rsid w:val="00844B3D"/>
    <w:rsid w:val="00844B7E"/>
    <w:rsid w:val="00844B85"/>
    <w:rsid w:val="00844B8F"/>
    <w:rsid w:val="00844BA2"/>
    <w:rsid w:val="00844BCD"/>
    <w:rsid w:val="00844C01"/>
    <w:rsid w:val="00844C0E"/>
    <w:rsid w:val="00844C28"/>
    <w:rsid w:val="00844C46"/>
    <w:rsid w:val="00844C81"/>
    <w:rsid w:val="00844CF6"/>
    <w:rsid w:val="00844D0F"/>
    <w:rsid w:val="00844D7E"/>
    <w:rsid w:val="00844DB8"/>
    <w:rsid w:val="00844DD0"/>
    <w:rsid w:val="00844DEB"/>
    <w:rsid w:val="00844DEF"/>
    <w:rsid w:val="00844E50"/>
    <w:rsid w:val="00844E52"/>
    <w:rsid w:val="00844E5E"/>
    <w:rsid w:val="00844E86"/>
    <w:rsid w:val="00844E99"/>
    <w:rsid w:val="00844F0C"/>
    <w:rsid w:val="00844F3E"/>
    <w:rsid w:val="00844F5E"/>
    <w:rsid w:val="00844FF2"/>
    <w:rsid w:val="00845039"/>
    <w:rsid w:val="00845042"/>
    <w:rsid w:val="00845080"/>
    <w:rsid w:val="00845172"/>
    <w:rsid w:val="0084519E"/>
    <w:rsid w:val="008451EE"/>
    <w:rsid w:val="0084520B"/>
    <w:rsid w:val="008452A8"/>
    <w:rsid w:val="008452B1"/>
    <w:rsid w:val="0084532C"/>
    <w:rsid w:val="00845372"/>
    <w:rsid w:val="0084538B"/>
    <w:rsid w:val="00845397"/>
    <w:rsid w:val="008453F1"/>
    <w:rsid w:val="008453FD"/>
    <w:rsid w:val="0084542D"/>
    <w:rsid w:val="00845432"/>
    <w:rsid w:val="00845491"/>
    <w:rsid w:val="00845508"/>
    <w:rsid w:val="00845530"/>
    <w:rsid w:val="00845578"/>
    <w:rsid w:val="00845598"/>
    <w:rsid w:val="008455AB"/>
    <w:rsid w:val="008455B1"/>
    <w:rsid w:val="008455F5"/>
    <w:rsid w:val="00845640"/>
    <w:rsid w:val="0084564A"/>
    <w:rsid w:val="00845665"/>
    <w:rsid w:val="0084566D"/>
    <w:rsid w:val="0084567B"/>
    <w:rsid w:val="008456A1"/>
    <w:rsid w:val="008456CE"/>
    <w:rsid w:val="008457E2"/>
    <w:rsid w:val="0084582D"/>
    <w:rsid w:val="0084587F"/>
    <w:rsid w:val="0084588C"/>
    <w:rsid w:val="008458A0"/>
    <w:rsid w:val="008458D5"/>
    <w:rsid w:val="008458E5"/>
    <w:rsid w:val="00845969"/>
    <w:rsid w:val="00845974"/>
    <w:rsid w:val="00845986"/>
    <w:rsid w:val="008459CB"/>
    <w:rsid w:val="008459ED"/>
    <w:rsid w:val="008459F6"/>
    <w:rsid w:val="00845A0A"/>
    <w:rsid w:val="00845A28"/>
    <w:rsid w:val="00845A4C"/>
    <w:rsid w:val="00845A76"/>
    <w:rsid w:val="00845A79"/>
    <w:rsid w:val="00845A84"/>
    <w:rsid w:val="00845AA0"/>
    <w:rsid w:val="00845B0A"/>
    <w:rsid w:val="00845B18"/>
    <w:rsid w:val="00845C0D"/>
    <w:rsid w:val="00845C66"/>
    <w:rsid w:val="00845CCF"/>
    <w:rsid w:val="00845D43"/>
    <w:rsid w:val="00845D9A"/>
    <w:rsid w:val="00845DD2"/>
    <w:rsid w:val="00845DE8"/>
    <w:rsid w:val="00845DEC"/>
    <w:rsid w:val="00845E05"/>
    <w:rsid w:val="00845E1A"/>
    <w:rsid w:val="00845E2D"/>
    <w:rsid w:val="00845E44"/>
    <w:rsid w:val="00845E46"/>
    <w:rsid w:val="00845E6C"/>
    <w:rsid w:val="00845EA4"/>
    <w:rsid w:val="00845EB7"/>
    <w:rsid w:val="00845EC9"/>
    <w:rsid w:val="00845F19"/>
    <w:rsid w:val="00845F7C"/>
    <w:rsid w:val="00845F91"/>
    <w:rsid w:val="00845FB7"/>
    <w:rsid w:val="00845FDD"/>
    <w:rsid w:val="00846051"/>
    <w:rsid w:val="008460AD"/>
    <w:rsid w:val="008460B3"/>
    <w:rsid w:val="008460EB"/>
    <w:rsid w:val="0084611B"/>
    <w:rsid w:val="00846170"/>
    <w:rsid w:val="00846198"/>
    <w:rsid w:val="008461AE"/>
    <w:rsid w:val="008461B8"/>
    <w:rsid w:val="0084626A"/>
    <w:rsid w:val="0084629F"/>
    <w:rsid w:val="008462C9"/>
    <w:rsid w:val="00846307"/>
    <w:rsid w:val="0084630F"/>
    <w:rsid w:val="00846319"/>
    <w:rsid w:val="00846358"/>
    <w:rsid w:val="00846388"/>
    <w:rsid w:val="0084640D"/>
    <w:rsid w:val="0084641E"/>
    <w:rsid w:val="00846444"/>
    <w:rsid w:val="00846459"/>
    <w:rsid w:val="008464E1"/>
    <w:rsid w:val="0084655E"/>
    <w:rsid w:val="00846575"/>
    <w:rsid w:val="00846582"/>
    <w:rsid w:val="008465CF"/>
    <w:rsid w:val="0084661E"/>
    <w:rsid w:val="0084665B"/>
    <w:rsid w:val="008466D0"/>
    <w:rsid w:val="008466F1"/>
    <w:rsid w:val="008466FB"/>
    <w:rsid w:val="008467EF"/>
    <w:rsid w:val="008467F4"/>
    <w:rsid w:val="00846807"/>
    <w:rsid w:val="0084682B"/>
    <w:rsid w:val="00846843"/>
    <w:rsid w:val="00846850"/>
    <w:rsid w:val="0084685D"/>
    <w:rsid w:val="00846888"/>
    <w:rsid w:val="0084689F"/>
    <w:rsid w:val="008468AC"/>
    <w:rsid w:val="008468FC"/>
    <w:rsid w:val="00846909"/>
    <w:rsid w:val="0084690D"/>
    <w:rsid w:val="0084692A"/>
    <w:rsid w:val="0084698E"/>
    <w:rsid w:val="0084699A"/>
    <w:rsid w:val="008469B1"/>
    <w:rsid w:val="008469D3"/>
    <w:rsid w:val="008469F1"/>
    <w:rsid w:val="00846A0B"/>
    <w:rsid w:val="00846A6A"/>
    <w:rsid w:val="00846B89"/>
    <w:rsid w:val="00846B9D"/>
    <w:rsid w:val="00846C27"/>
    <w:rsid w:val="00846C79"/>
    <w:rsid w:val="00846C8E"/>
    <w:rsid w:val="00846CB3"/>
    <w:rsid w:val="00846CF6"/>
    <w:rsid w:val="00846D27"/>
    <w:rsid w:val="00846D91"/>
    <w:rsid w:val="00846DCD"/>
    <w:rsid w:val="00846E2C"/>
    <w:rsid w:val="00846E33"/>
    <w:rsid w:val="00846E5F"/>
    <w:rsid w:val="00846E83"/>
    <w:rsid w:val="00846E8C"/>
    <w:rsid w:val="00846EAA"/>
    <w:rsid w:val="00846F22"/>
    <w:rsid w:val="00846F57"/>
    <w:rsid w:val="00846F82"/>
    <w:rsid w:val="00846F90"/>
    <w:rsid w:val="00846F93"/>
    <w:rsid w:val="00846FB7"/>
    <w:rsid w:val="0084702E"/>
    <w:rsid w:val="0084706A"/>
    <w:rsid w:val="00847130"/>
    <w:rsid w:val="0084719D"/>
    <w:rsid w:val="008471AC"/>
    <w:rsid w:val="00847204"/>
    <w:rsid w:val="0084721E"/>
    <w:rsid w:val="0084723D"/>
    <w:rsid w:val="008472C6"/>
    <w:rsid w:val="008472D8"/>
    <w:rsid w:val="0084730E"/>
    <w:rsid w:val="00847317"/>
    <w:rsid w:val="00847377"/>
    <w:rsid w:val="0084738A"/>
    <w:rsid w:val="0084739A"/>
    <w:rsid w:val="008473B3"/>
    <w:rsid w:val="008473FC"/>
    <w:rsid w:val="00847453"/>
    <w:rsid w:val="00847483"/>
    <w:rsid w:val="00847487"/>
    <w:rsid w:val="008474B2"/>
    <w:rsid w:val="00847523"/>
    <w:rsid w:val="00847578"/>
    <w:rsid w:val="00847583"/>
    <w:rsid w:val="00847593"/>
    <w:rsid w:val="008475A7"/>
    <w:rsid w:val="008475D2"/>
    <w:rsid w:val="0084765D"/>
    <w:rsid w:val="00847691"/>
    <w:rsid w:val="008476C1"/>
    <w:rsid w:val="008476CD"/>
    <w:rsid w:val="008476D1"/>
    <w:rsid w:val="008476D8"/>
    <w:rsid w:val="00847749"/>
    <w:rsid w:val="00847775"/>
    <w:rsid w:val="0084777B"/>
    <w:rsid w:val="008477AD"/>
    <w:rsid w:val="008477F0"/>
    <w:rsid w:val="008477FB"/>
    <w:rsid w:val="0084786D"/>
    <w:rsid w:val="0084787A"/>
    <w:rsid w:val="008479C5"/>
    <w:rsid w:val="008479E3"/>
    <w:rsid w:val="00847A0D"/>
    <w:rsid w:val="00847A62"/>
    <w:rsid w:val="00847B17"/>
    <w:rsid w:val="00847BE1"/>
    <w:rsid w:val="00847C76"/>
    <w:rsid w:val="00847C87"/>
    <w:rsid w:val="00847CC3"/>
    <w:rsid w:val="00847CE4"/>
    <w:rsid w:val="00847D93"/>
    <w:rsid w:val="00847DE9"/>
    <w:rsid w:val="00847DEE"/>
    <w:rsid w:val="00847E12"/>
    <w:rsid w:val="00847E16"/>
    <w:rsid w:val="00847E2B"/>
    <w:rsid w:val="00847E31"/>
    <w:rsid w:val="00847E66"/>
    <w:rsid w:val="00847EB0"/>
    <w:rsid w:val="00847ECA"/>
    <w:rsid w:val="00847EF8"/>
    <w:rsid w:val="00847F3A"/>
    <w:rsid w:val="00847F7E"/>
    <w:rsid w:val="00847FD1"/>
    <w:rsid w:val="00850002"/>
    <w:rsid w:val="00850028"/>
    <w:rsid w:val="00850040"/>
    <w:rsid w:val="00850079"/>
    <w:rsid w:val="008500AE"/>
    <w:rsid w:val="00850115"/>
    <w:rsid w:val="008501B0"/>
    <w:rsid w:val="008501F1"/>
    <w:rsid w:val="0085025C"/>
    <w:rsid w:val="0085026B"/>
    <w:rsid w:val="00850287"/>
    <w:rsid w:val="008502CD"/>
    <w:rsid w:val="0085031A"/>
    <w:rsid w:val="00850325"/>
    <w:rsid w:val="00850336"/>
    <w:rsid w:val="00850348"/>
    <w:rsid w:val="00850381"/>
    <w:rsid w:val="00850389"/>
    <w:rsid w:val="008503CD"/>
    <w:rsid w:val="008504D5"/>
    <w:rsid w:val="008505BD"/>
    <w:rsid w:val="008505DB"/>
    <w:rsid w:val="008505E3"/>
    <w:rsid w:val="00850625"/>
    <w:rsid w:val="00850643"/>
    <w:rsid w:val="00850678"/>
    <w:rsid w:val="008506C8"/>
    <w:rsid w:val="008506D5"/>
    <w:rsid w:val="00850711"/>
    <w:rsid w:val="0085074D"/>
    <w:rsid w:val="0085075C"/>
    <w:rsid w:val="00850764"/>
    <w:rsid w:val="0085078F"/>
    <w:rsid w:val="008507F5"/>
    <w:rsid w:val="00850833"/>
    <w:rsid w:val="00850850"/>
    <w:rsid w:val="0085088A"/>
    <w:rsid w:val="00850908"/>
    <w:rsid w:val="0085092B"/>
    <w:rsid w:val="00850967"/>
    <w:rsid w:val="0085097C"/>
    <w:rsid w:val="00850981"/>
    <w:rsid w:val="0085099E"/>
    <w:rsid w:val="008509B6"/>
    <w:rsid w:val="00850A0C"/>
    <w:rsid w:val="00850A10"/>
    <w:rsid w:val="00850A22"/>
    <w:rsid w:val="00850A30"/>
    <w:rsid w:val="00850A3E"/>
    <w:rsid w:val="00850A4C"/>
    <w:rsid w:val="00850A7B"/>
    <w:rsid w:val="00850A8C"/>
    <w:rsid w:val="00850A97"/>
    <w:rsid w:val="00850B3E"/>
    <w:rsid w:val="00850B76"/>
    <w:rsid w:val="00850B7A"/>
    <w:rsid w:val="00850BF3"/>
    <w:rsid w:val="00850C23"/>
    <w:rsid w:val="00850C34"/>
    <w:rsid w:val="00850C67"/>
    <w:rsid w:val="00850CB6"/>
    <w:rsid w:val="00850D92"/>
    <w:rsid w:val="00850E2F"/>
    <w:rsid w:val="00850E50"/>
    <w:rsid w:val="00850E9B"/>
    <w:rsid w:val="00850FB5"/>
    <w:rsid w:val="008510B6"/>
    <w:rsid w:val="008510C8"/>
    <w:rsid w:val="008510F9"/>
    <w:rsid w:val="008510FD"/>
    <w:rsid w:val="00851105"/>
    <w:rsid w:val="00851173"/>
    <w:rsid w:val="00851184"/>
    <w:rsid w:val="008511B5"/>
    <w:rsid w:val="00851210"/>
    <w:rsid w:val="00851291"/>
    <w:rsid w:val="0085129F"/>
    <w:rsid w:val="008512A7"/>
    <w:rsid w:val="00851325"/>
    <w:rsid w:val="00851337"/>
    <w:rsid w:val="0085134A"/>
    <w:rsid w:val="00851359"/>
    <w:rsid w:val="0085138B"/>
    <w:rsid w:val="00851394"/>
    <w:rsid w:val="008513C6"/>
    <w:rsid w:val="00851401"/>
    <w:rsid w:val="00851415"/>
    <w:rsid w:val="00851460"/>
    <w:rsid w:val="008514A3"/>
    <w:rsid w:val="0085152F"/>
    <w:rsid w:val="008515B0"/>
    <w:rsid w:val="008515B2"/>
    <w:rsid w:val="00851673"/>
    <w:rsid w:val="00851692"/>
    <w:rsid w:val="0085172E"/>
    <w:rsid w:val="0085174D"/>
    <w:rsid w:val="00851785"/>
    <w:rsid w:val="008518C3"/>
    <w:rsid w:val="00851919"/>
    <w:rsid w:val="0085191B"/>
    <w:rsid w:val="00851970"/>
    <w:rsid w:val="008519A2"/>
    <w:rsid w:val="008519A6"/>
    <w:rsid w:val="00851A1C"/>
    <w:rsid w:val="00851A2B"/>
    <w:rsid w:val="00851A85"/>
    <w:rsid w:val="00851AD3"/>
    <w:rsid w:val="00851B10"/>
    <w:rsid w:val="00851B1B"/>
    <w:rsid w:val="00851B1C"/>
    <w:rsid w:val="00851B49"/>
    <w:rsid w:val="00851B9F"/>
    <w:rsid w:val="00851BB0"/>
    <w:rsid w:val="00851BCF"/>
    <w:rsid w:val="00851C0E"/>
    <w:rsid w:val="00851C3B"/>
    <w:rsid w:val="00851C50"/>
    <w:rsid w:val="00851C53"/>
    <w:rsid w:val="00851C61"/>
    <w:rsid w:val="00851C98"/>
    <w:rsid w:val="00851D00"/>
    <w:rsid w:val="00851D3C"/>
    <w:rsid w:val="00851D7A"/>
    <w:rsid w:val="00851DA8"/>
    <w:rsid w:val="00851DB6"/>
    <w:rsid w:val="00851DCB"/>
    <w:rsid w:val="00851E27"/>
    <w:rsid w:val="00851E77"/>
    <w:rsid w:val="00851E79"/>
    <w:rsid w:val="00851F1D"/>
    <w:rsid w:val="00851F23"/>
    <w:rsid w:val="00851F24"/>
    <w:rsid w:val="00852038"/>
    <w:rsid w:val="00852044"/>
    <w:rsid w:val="00852048"/>
    <w:rsid w:val="00852079"/>
    <w:rsid w:val="00852083"/>
    <w:rsid w:val="00852119"/>
    <w:rsid w:val="00852120"/>
    <w:rsid w:val="00852143"/>
    <w:rsid w:val="00852210"/>
    <w:rsid w:val="00852242"/>
    <w:rsid w:val="008523EE"/>
    <w:rsid w:val="008523F5"/>
    <w:rsid w:val="00852414"/>
    <w:rsid w:val="00852425"/>
    <w:rsid w:val="0085248D"/>
    <w:rsid w:val="00852496"/>
    <w:rsid w:val="008524B2"/>
    <w:rsid w:val="008525A2"/>
    <w:rsid w:val="008525EC"/>
    <w:rsid w:val="008525EE"/>
    <w:rsid w:val="008525F3"/>
    <w:rsid w:val="008526F4"/>
    <w:rsid w:val="008526F9"/>
    <w:rsid w:val="0085271D"/>
    <w:rsid w:val="0085272B"/>
    <w:rsid w:val="0085279B"/>
    <w:rsid w:val="0085280A"/>
    <w:rsid w:val="008528D1"/>
    <w:rsid w:val="008528F2"/>
    <w:rsid w:val="00852913"/>
    <w:rsid w:val="0085292E"/>
    <w:rsid w:val="00852976"/>
    <w:rsid w:val="00852982"/>
    <w:rsid w:val="0085298E"/>
    <w:rsid w:val="0085299B"/>
    <w:rsid w:val="008529A5"/>
    <w:rsid w:val="008529AB"/>
    <w:rsid w:val="008529BE"/>
    <w:rsid w:val="008529CF"/>
    <w:rsid w:val="00852A49"/>
    <w:rsid w:val="00852A52"/>
    <w:rsid w:val="00852A5A"/>
    <w:rsid w:val="00852AD7"/>
    <w:rsid w:val="00852AE9"/>
    <w:rsid w:val="00852B1A"/>
    <w:rsid w:val="00852B3D"/>
    <w:rsid w:val="00852B3E"/>
    <w:rsid w:val="00852B98"/>
    <w:rsid w:val="00852BA2"/>
    <w:rsid w:val="00852BB4"/>
    <w:rsid w:val="00852BC3"/>
    <w:rsid w:val="00852CE4"/>
    <w:rsid w:val="00852CF8"/>
    <w:rsid w:val="00852D3A"/>
    <w:rsid w:val="00852D3E"/>
    <w:rsid w:val="00852D57"/>
    <w:rsid w:val="00852DB1"/>
    <w:rsid w:val="00852DFD"/>
    <w:rsid w:val="00852E01"/>
    <w:rsid w:val="00852E0C"/>
    <w:rsid w:val="00852E15"/>
    <w:rsid w:val="00852E1F"/>
    <w:rsid w:val="00852E39"/>
    <w:rsid w:val="00852E88"/>
    <w:rsid w:val="00852ED3"/>
    <w:rsid w:val="00852F1F"/>
    <w:rsid w:val="00852F5E"/>
    <w:rsid w:val="00852F64"/>
    <w:rsid w:val="00852F9E"/>
    <w:rsid w:val="00852FC2"/>
    <w:rsid w:val="00852FC8"/>
    <w:rsid w:val="00852FD8"/>
    <w:rsid w:val="00853094"/>
    <w:rsid w:val="008530DB"/>
    <w:rsid w:val="00853105"/>
    <w:rsid w:val="0085312A"/>
    <w:rsid w:val="00853132"/>
    <w:rsid w:val="008531E6"/>
    <w:rsid w:val="008531EC"/>
    <w:rsid w:val="00853222"/>
    <w:rsid w:val="00853234"/>
    <w:rsid w:val="00853306"/>
    <w:rsid w:val="008533C5"/>
    <w:rsid w:val="008533CE"/>
    <w:rsid w:val="008533D9"/>
    <w:rsid w:val="008533EB"/>
    <w:rsid w:val="00853430"/>
    <w:rsid w:val="0085344D"/>
    <w:rsid w:val="00853481"/>
    <w:rsid w:val="008534DA"/>
    <w:rsid w:val="008534EB"/>
    <w:rsid w:val="0085353A"/>
    <w:rsid w:val="0085357E"/>
    <w:rsid w:val="008535C2"/>
    <w:rsid w:val="008535E6"/>
    <w:rsid w:val="00853604"/>
    <w:rsid w:val="0085379A"/>
    <w:rsid w:val="008537C8"/>
    <w:rsid w:val="00853818"/>
    <w:rsid w:val="00853835"/>
    <w:rsid w:val="0085389A"/>
    <w:rsid w:val="00853933"/>
    <w:rsid w:val="00853A3A"/>
    <w:rsid w:val="00853A4B"/>
    <w:rsid w:val="00853A7C"/>
    <w:rsid w:val="00853AC6"/>
    <w:rsid w:val="00853AD5"/>
    <w:rsid w:val="00853B0C"/>
    <w:rsid w:val="00853B30"/>
    <w:rsid w:val="00853B81"/>
    <w:rsid w:val="00853B87"/>
    <w:rsid w:val="00853C1F"/>
    <w:rsid w:val="00853C70"/>
    <w:rsid w:val="00853C89"/>
    <w:rsid w:val="00853CBB"/>
    <w:rsid w:val="00853CED"/>
    <w:rsid w:val="00853D4D"/>
    <w:rsid w:val="00853D57"/>
    <w:rsid w:val="00853D6D"/>
    <w:rsid w:val="00853D9F"/>
    <w:rsid w:val="00853ECE"/>
    <w:rsid w:val="00853ECF"/>
    <w:rsid w:val="00853EFA"/>
    <w:rsid w:val="00853F29"/>
    <w:rsid w:val="00853F69"/>
    <w:rsid w:val="00853FCF"/>
    <w:rsid w:val="0085403F"/>
    <w:rsid w:val="0085409D"/>
    <w:rsid w:val="008540D7"/>
    <w:rsid w:val="008540E3"/>
    <w:rsid w:val="008540EE"/>
    <w:rsid w:val="00854122"/>
    <w:rsid w:val="00854162"/>
    <w:rsid w:val="00854183"/>
    <w:rsid w:val="00854297"/>
    <w:rsid w:val="0085429F"/>
    <w:rsid w:val="00854304"/>
    <w:rsid w:val="0085430C"/>
    <w:rsid w:val="00854316"/>
    <w:rsid w:val="00854339"/>
    <w:rsid w:val="0085433C"/>
    <w:rsid w:val="0085434D"/>
    <w:rsid w:val="008543AF"/>
    <w:rsid w:val="00854428"/>
    <w:rsid w:val="0085443F"/>
    <w:rsid w:val="00854496"/>
    <w:rsid w:val="008544FF"/>
    <w:rsid w:val="00854516"/>
    <w:rsid w:val="0085451E"/>
    <w:rsid w:val="00854583"/>
    <w:rsid w:val="008545EF"/>
    <w:rsid w:val="008545F6"/>
    <w:rsid w:val="008546AB"/>
    <w:rsid w:val="0085476E"/>
    <w:rsid w:val="008547DD"/>
    <w:rsid w:val="00854823"/>
    <w:rsid w:val="00854832"/>
    <w:rsid w:val="00854871"/>
    <w:rsid w:val="008548BB"/>
    <w:rsid w:val="0085497A"/>
    <w:rsid w:val="0085499B"/>
    <w:rsid w:val="008549FF"/>
    <w:rsid w:val="00854A4D"/>
    <w:rsid w:val="00854AB4"/>
    <w:rsid w:val="00854AC2"/>
    <w:rsid w:val="00854ADB"/>
    <w:rsid w:val="00854B8C"/>
    <w:rsid w:val="00854C49"/>
    <w:rsid w:val="00854C94"/>
    <w:rsid w:val="00854CA3"/>
    <w:rsid w:val="00854CA7"/>
    <w:rsid w:val="00854D9D"/>
    <w:rsid w:val="00854E03"/>
    <w:rsid w:val="00854E1C"/>
    <w:rsid w:val="00854E70"/>
    <w:rsid w:val="00854F28"/>
    <w:rsid w:val="00854F46"/>
    <w:rsid w:val="00854FAC"/>
    <w:rsid w:val="00854FED"/>
    <w:rsid w:val="00855006"/>
    <w:rsid w:val="0085504B"/>
    <w:rsid w:val="008550B5"/>
    <w:rsid w:val="008550E7"/>
    <w:rsid w:val="008550FB"/>
    <w:rsid w:val="0085511C"/>
    <w:rsid w:val="00855134"/>
    <w:rsid w:val="00855163"/>
    <w:rsid w:val="00855193"/>
    <w:rsid w:val="008551F3"/>
    <w:rsid w:val="008551FD"/>
    <w:rsid w:val="0085521C"/>
    <w:rsid w:val="00855230"/>
    <w:rsid w:val="00855247"/>
    <w:rsid w:val="008552B8"/>
    <w:rsid w:val="008552BB"/>
    <w:rsid w:val="008552D2"/>
    <w:rsid w:val="008552F8"/>
    <w:rsid w:val="008553A6"/>
    <w:rsid w:val="008553F7"/>
    <w:rsid w:val="00855434"/>
    <w:rsid w:val="008554B4"/>
    <w:rsid w:val="008554EA"/>
    <w:rsid w:val="008554FC"/>
    <w:rsid w:val="00855505"/>
    <w:rsid w:val="00855579"/>
    <w:rsid w:val="00855596"/>
    <w:rsid w:val="008555ED"/>
    <w:rsid w:val="008555F4"/>
    <w:rsid w:val="008555F6"/>
    <w:rsid w:val="0085564C"/>
    <w:rsid w:val="00855673"/>
    <w:rsid w:val="008556B0"/>
    <w:rsid w:val="008556C8"/>
    <w:rsid w:val="00855724"/>
    <w:rsid w:val="0085574D"/>
    <w:rsid w:val="00855763"/>
    <w:rsid w:val="00855783"/>
    <w:rsid w:val="008557A2"/>
    <w:rsid w:val="00855819"/>
    <w:rsid w:val="00855857"/>
    <w:rsid w:val="00855878"/>
    <w:rsid w:val="00855892"/>
    <w:rsid w:val="008558C0"/>
    <w:rsid w:val="008558C9"/>
    <w:rsid w:val="008558D2"/>
    <w:rsid w:val="008558D8"/>
    <w:rsid w:val="008558F1"/>
    <w:rsid w:val="008558FD"/>
    <w:rsid w:val="0085594E"/>
    <w:rsid w:val="00855963"/>
    <w:rsid w:val="008559CF"/>
    <w:rsid w:val="008559DE"/>
    <w:rsid w:val="00855A43"/>
    <w:rsid w:val="00855ACA"/>
    <w:rsid w:val="00855B22"/>
    <w:rsid w:val="00855B3A"/>
    <w:rsid w:val="00855B8C"/>
    <w:rsid w:val="00855BC9"/>
    <w:rsid w:val="00855BCA"/>
    <w:rsid w:val="00855C86"/>
    <w:rsid w:val="00855C9B"/>
    <w:rsid w:val="00855CF8"/>
    <w:rsid w:val="00855D00"/>
    <w:rsid w:val="00855D66"/>
    <w:rsid w:val="00855D76"/>
    <w:rsid w:val="00855DAB"/>
    <w:rsid w:val="00855DEA"/>
    <w:rsid w:val="00855DFC"/>
    <w:rsid w:val="00855DFE"/>
    <w:rsid w:val="00855E4C"/>
    <w:rsid w:val="00855E63"/>
    <w:rsid w:val="00855E68"/>
    <w:rsid w:val="00855E8F"/>
    <w:rsid w:val="00855EDC"/>
    <w:rsid w:val="00855F99"/>
    <w:rsid w:val="00855FAA"/>
    <w:rsid w:val="00855FD0"/>
    <w:rsid w:val="0085609B"/>
    <w:rsid w:val="008560DC"/>
    <w:rsid w:val="00856124"/>
    <w:rsid w:val="0085614C"/>
    <w:rsid w:val="00856154"/>
    <w:rsid w:val="0085615F"/>
    <w:rsid w:val="00856164"/>
    <w:rsid w:val="008561A2"/>
    <w:rsid w:val="00856247"/>
    <w:rsid w:val="00856283"/>
    <w:rsid w:val="00856296"/>
    <w:rsid w:val="008562BB"/>
    <w:rsid w:val="008562DA"/>
    <w:rsid w:val="008562E4"/>
    <w:rsid w:val="00856305"/>
    <w:rsid w:val="0085634F"/>
    <w:rsid w:val="00856366"/>
    <w:rsid w:val="00856378"/>
    <w:rsid w:val="008563BD"/>
    <w:rsid w:val="008563DD"/>
    <w:rsid w:val="008563E1"/>
    <w:rsid w:val="00856402"/>
    <w:rsid w:val="00856459"/>
    <w:rsid w:val="00856464"/>
    <w:rsid w:val="00856486"/>
    <w:rsid w:val="0085648A"/>
    <w:rsid w:val="00856491"/>
    <w:rsid w:val="00856538"/>
    <w:rsid w:val="00856561"/>
    <w:rsid w:val="008565A1"/>
    <w:rsid w:val="008565A5"/>
    <w:rsid w:val="00856619"/>
    <w:rsid w:val="00856637"/>
    <w:rsid w:val="00856668"/>
    <w:rsid w:val="008566B5"/>
    <w:rsid w:val="008566E5"/>
    <w:rsid w:val="0085670B"/>
    <w:rsid w:val="00856754"/>
    <w:rsid w:val="00856759"/>
    <w:rsid w:val="0085677F"/>
    <w:rsid w:val="00856791"/>
    <w:rsid w:val="008567A1"/>
    <w:rsid w:val="008567F5"/>
    <w:rsid w:val="00856849"/>
    <w:rsid w:val="008568E7"/>
    <w:rsid w:val="0085690B"/>
    <w:rsid w:val="00856924"/>
    <w:rsid w:val="00856949"/>
    <w:rsid w:val="00856978"/>
    <w:rsid w:val="0085697E"/>
    <w:rsid w:val="00856A1E"/>
    <w:rsid w:val="00856A4E"/>
    <w:rsid w:val="00856ABF"/>
    <w:rsid w:val="00856B33"/>
    <w:rsid w:val="00856B3E"/>
    <w:rsid w:val="00856B85"/>
    <w:rsid w:val="00856B92"/>
    <w:rsid w:val="00856BD0"/>
    <w:rsid w:val="00856BDD"/>
    <w:rsid w:val="00856C29"/>
    <w:rsid w:val="00856C45"/>
    <w:rsid w:val="00856D24"/>
    <w:rsid w:val="00856D94"/>
    <w:rsid w:val="00856E01"/>
    <w:rsid w:val="00856E2E"/>
    <w:rsid w:val="00856E81"/>
    <w:rsid w:val="00856EB0"/>
    <w:rsid w:val="00856EB2"/>
    <w:rsid w:val="00856F0A"/>
    <w:rsid w:val="00856F16"/>
    <w:rsid w:val="00856F8E"/>
    <w:rsid w:val="00856FFD"/>
    <w:rsid w:val="008570D2"/>
    <w:rsid w:val="00857125"/>
    <w:rsid w:val="00857151"/>
    <w:rsid w:val="008571C6"/>
    <w:rsid w:val="008571F3"/>
    <w:rsid w:val="0085723F"/>
    <w:rsid w:val="00857241"/>
    <w:rsid w:val="00857269"/>
    <w:rsid w:val="008572AA"/>
    <w:rsid w:val="008572D5"/>
    <w:rsid w:val="008572D7"/>
    <w:rsid w:val="00857348"/>
    <w:rsid w:val="008573A3"/>
    <w:rsid w:val="008573AF"/>
    <w:rsid w:val="00857497"/>
    <w:rsid w:val="0085749C"/>
    <w:rsid w:val="008574B1"/>
    <w:rsid w:val="00857506"/>
    <w:rsid w:val="00857558"/>
    <w:rsid w:val="008575CA"/>
    <w:rsid w:val="00857649"/>
    <w:rsid w:val="0085769C"/>
    <w:rsid w:val="008576B7"/>
    <w:rsid w:val="008577DC"/>
    <w:rsid w:val="008577E5"/>
    <w:rsid w:val="008577F6"/>
    <w:rsid w:val="008578D4"/>
    <w:rsid w:val="0085791A"/>
    <w:rsid w:val="00857938"/>
    <w:rsid w:val="0085793C"/>
    <w:rsid w:val="00857943"/>
    <w:rsid w:val="0085795E"/>
    <w:rsid w:val="00857A34"/>
    <w:rsid w:val="00857AA2"/>
    <w:rsid w:val="00857AF1"/>
    <w:rsid w:val="00857B0E"/>
    <w:rsid w:val="00857B4D"/>
    <w:rsid w:val="00857B53"/>
    <w:rsid w:val="00857B96"/>
    <w:rsid w:val="00857BA3"/>
    <w:rsid w:val="00857BE9"/>
    <w:rsid w:val="00857BF5"/>
    <w:rsid w:val="00857BF9"/>
    <w:rsid w:val="00857C06"/>
    <w:rsid w:val="00857C87"/>
    <w:rsid w:val="00857C8D"/>
    <w:rsid w:val="00857CE0"/>
    <w:rsid w:val="00857D48"/>
    <w:rsid w:val="00857DB0"/>
    <w:rsid w:val="00857DE9"/>
    <w:rsid w:val="00857E08"/>
    <w:rsid w:val="00857E1E"/>
    <w:rsid w:val="00857E24"/>
    <w:rsid w:val="00857E52"/>
    <w:rsid w:val="00857E7A"/>
    <w:rsid w:val="00857ECB"/>
    <w:rsid w:val="00857EED"/>
    <w:rsid w:val="00857F00"/>
    <w:rsid w:val="00857F18"/>
    <w:rsid w:val="00857F24"/>
    <w:rsid w:val="00857F61"/>
    <w:rsid w:val="00857F7B"/>
    <w:rsid w:val="00857F89"/>
    <w:rsid w:val="00857FBB"/>
    <w:rsid w:val="0086003C"/>
    <w:rsid w:val="008600A4"/>
    <w:rsid w:val="00860123"/>
    <w:rsid w:val="0086016E"/>
    <w:rsid w:val="008601B2"/>
    <w:rsid w:val="008601E9"/>
    <w:rsid w:val="008601EA"/>
    <w:rsid w:val="008601F1"/>
    <w:rsid w:val="00860298"/>
    <w:rsid w:val="008602DC"/>
    <w:rsid w:val="00860324"/>
    <w:rsid w:val="0086033D"/>
    <w:rsid w:val="0086035C"/>
    <w:rsid w:val="008603DD"/>
    <w:rsid w:val="008603E0"/>
    <w:rsid w:val="008603F6"/>
    <w:rsid w:val="00860412"/>
    <w:rsid w:val="00860414"/>
    <w:rsid w:val="0086047C"/>
    <w:rsid w:val="008604DC"/>
    <w:rsid w:val="00860549"/>
    <w:rsid w:val="0086054B"/>
    <w:rsid w:val="008605CF"/>
    <w:rsid w:val="008605D1"/>
    <w:rsid w:val="00860640"/>
    <w:rsid w:val="0086064D"/>
    <w:rsid w:val="00860689"/>
    <w:rsid w:val="008606BF"/>
    <w:rsid w:val="008606DC"/>
    <w:rsid w:val="008606FD"/>
    <w:rsid w:val="0086071C"/>
    <w:rsid w:val="00860727"/>
    <w:rsid w:val="0086073D"/>
    <w:rsid w:val="008607D5"/>
    <w:rsid w:val="008607D8"/>
    <w:rsid w:val="00860886"/>
    <w:rsid w:val="008608C0"/>
    <w:rsid w:val="008608C2"/>
    <w:rsid w:val="008608F2"/>
    <w:rsid w:val="00860954"/>
    <w:rsid w:val="00860976"/>
    <w:rsid w:val="008609C3"/>
    <w:rsid w:val="008609E4"/>
    <w:rsid w:val="008609E8"/>
    <w:rsid w:val="00860A36"/>
    <w:rsid w:val="00860AEE"/>
    <w:rsid w:val="00860AF9"/>
    <w:rsid w:val="00860B46"/>
    <w:rsid w:val="00860B7B"/>
    <w:rsid w:val="00860BAD"/>
    <w:rsid w:val="00860BBA"/>
    <w:rsid w:val="00860BCC"/>
    <w:rsid w:val="00860C11"/>
    <w:rsid w:val="00860C86"/>
    <w:rsid w:val="00860CB5"/>
    <w:rsid w:val="00860CBB"/>
    <w:rsid w:val="00860D25"/>
    <w:rsid w:val="00860D81"/>
    <w:rsid w:val="00860D86"/>
    <w:rsid w:val="00860DB7"/>
    <w:rsid w:val="00860DFD"/>
    <w:rsid w:val="00860E75"/>
    <w:rsid w:val="00860F2E"/>
    <w:rsid w:val="00860F3D"/>
    <w:rsid w:val="00860F6B"/>
    <w:rsid w:val="00860F85"/>
    <w:rsid w:val="00860FEF"/>
    <w:rsid w:val="00860FFD"/>
    <w:rsid w:val="0086108A"/>
    <w:rsid w:val="008610C3"/>
    <w:rsid w:val="008610C9"/>
    <w:rsid w:val="00861164"/>
    <w:rsid w:val="008611AE"/>
    <w:rsid w:val="00861283"/>
    <w:rsid w:val="0086128A"/>
    <w:rsid w:val="008612C6"/>
    <w:rsid w:val="00861307"/>
    <w:rsid w:val="0086133F"/>
    <w:rsid w:val="00861399"/>
    <w:rsid w:val="008613BF"/>
    <w:rsid w:val="008613CD"/>
    <w:rsid w:val="008613E2"/>
    <w:rsid w:val="00861402"/>
    <w:rsid w:val="00861425"/>
    <w:rsid w:val="00861456"/>
    <w:rsid w:val="00861476"/>
    <w:rsid w:val="00861494"/>
    <w:rsid w:val="00861563"/>
    <w:rsid w:val="0086158B"/>
    <w:rsid w:val="008615B1"/>
    <w:rsid w:val="0086161C"/>
    <w:rsid w:val="00861643"/>
    <w:rsid w:val="008616DA"/>
    <w:rsid w:val="00861754"/>
    <w:rsid w:val="008617BA"/>
    <w:rsid w:val="0086182F"/>
    <w:rsid w:val="00861859"/>
    <w:rsid w:val="0086189E"/>
    <w:rsid w:val="008618B1"/>
    <w:rsid w:val="0086193A"/>
    <w:rsid w:val="00861999"/>
    <w:rsid w:val="008619F6"/>
    <w:rsid w:val="00861AC4"/>
    <w:rsid w:val="00861ADF"/>
    <w:rsid w:val="00861AF8"/>
    <w:rsid w:val="00861B04"/>
    <w:rsid w:val="00861B0A"/>
    <w:rsid w:val="00861B0F"/>
    <w:rsid w:val="00861BE0"/>
    <w:rsid w:val="00861C09"/>
    <w:rsid w:val="00861CAE"/>
    <w:rsid w:val="00861CCF"/>
    <w:rsid w:val="00861D0F"/>
    <w:rsid w:val="00861D2F"/>
    <w:rsid w:val="00861D47"/>
    <w:rsid w:val="00861DAD"/>
    <w:rsid w:val="00861E41"/>
    <w:rsid w:val="00861E56"/>
    <w:rsid w:val="00861E74"/>
    <w:rsid w:val="00861F72"/>
    <w:rsid w:val="00861F7C"/>
    <w:rsid w:val="00861F81"/>
    <w:rsid w:val="00861FA9"/>
    <w:rsid w:val="00861FC0"/>
    <w:rsid w:val="00861FCF"/>
    <w:rsid w:val="00862087"/>
    <w:rsid w:val="008620A2"/>
    <w:rsid w:val="008620C8"/>
    <w:rsid w:val="008620F5"/>
    <w:rsid w:val="008620FF"/>
    <w:rsid w:val="0086210E"/>
    <w:rsid w:val="00862111"/>
    <w:rsid w:val="0086213C"/>
    <w:rsid w:val="00862147"/>
    <w:rsid w:val="0086219D"/>
    <w:rsid w:val="008621C9"/>
    <w:rsid w:val="008621D7"/>
    <w:rsid w:val="00862231"/>
    <w:rsid w:val="00862243"/>
    <w:rsid w:val="00862283"/>
    <w:rsid w:val="008622C4"/>
    <w:rsid w:val="00862329"/>
    <w:rsid w:val="00862338"/>
    <w:rsid w:val="00862343"/>
    <w:rsid w:val="0086235E"/>
    <w:rsid w:val="008623E8"/>
    <w:rsid w:val="0086242F"/>
    <w:rsid w:val="00862444"/>
    <w:rsid w:val="008624BA"/>
    <w:rsid w:val="008624BD"/>
    <w:rsid w:val="008625B6"/>
    <w:rsid w:val="008625EB"/>
    <w:rsid w:val="00862638"/>
    <w:rsid w:val="00862671"/>
    <w:rsid w:val="008626BB"/>
    <w:rsid w:val="008626C2"/>
    <w:rsid w:val="008626CD"/>
    <w:rsid w:val="008626DE"/>
    <w:rsid w:val="0086270C"/>
    <w:rsid w:val="00862734"/>
    <w:rsid w:val="00862779"/>
    <w:rsid w:val="0086278E"/>
    <w:rsid w:val="00862799"/>
    <w:rsid w:val="008628D6"/>
    <w:rsid w:val="0086290D"/>
    <w:rsid w:val="0086291B"/>
    <w:rsid w:val="00862963"/>
    <w:rsid w:val="00862964"/>
    <w:rsid w:val="00862A18"/>
    <w:rsid w:val="00862A20"/>
    <w:rsid w:val="00862A45"/>
    <w:rsid w:val="00862A5B"/>
    <w:rsid w:val="00862A90"/>
    <w:rsid w:val="00862AC1"/>
    <w:rsid w:val="00862AD0"/>
    <w:rsid w:val="00862ADE"/>
    <w:rsid w:val="00862B3E"/>
    <w:rsid w:val="00862BE5"/>
    <w:rsid w:val="00862BF1"/>
    <w:rsid w:val="00862BF6"/>
    <w:rsid w:val="00862C4D"/>
    <w:rsid w:val="00862C62"/>
    <w:rsid w:val="00862C68"/>
    <w:rsid w:val="00862C6E"/>
    <w:rsid w:val="00862C90"/>
    <w:rsid w:val="00862C94"/>
    <w:rsid w:val="00862CA4"/>
    <w:rsid w:val="00862D11"/>
    <w:rsid w:val="00862D4B"/>
    <w:rsid w:val="00862D92"/>
    <w:rsid w:val="00862DBC"/>
    <w:rsid w:val="00862E20"/>
    <w:rsid w:val="00862E37"/>
    <w:rsid w:val="00862E47"/>
    <w:rsid w:val="00862EC1"/>
    <w:rsid w:val="00862EC9"/>
    <w:rsid w:val="00862EFA"/>
    <w:rsid w:val="00862F35"/>
    <w:rsid w:val="00862F3E"/>
    <w:rsid w:val="00862F88"/>
    <w:rsid w:val="00862FAB"/>
    <w:rsid w:val="00862FAC"/>
    <w:rsid w:val="00862FDA"/>
    <w:rsid w:val="0086304C"/>
    <w:rsid w:val="0086308E"/>
    <w:rsid w:val="008630A8"/>
    <w:rsid w:val="00863105"/>
    <w:rsid w:val="0086314A"/>
    <w:rsid w:val="0086314F"/>
    <w:rsid w:val="0086317E"/>
    <w:rsid w:val="008631A7"/>
    <w:rsid w:val="0086321C"/>
    <w:rsid w:val="008632D5"/>
    <w:rsid w:val="00863376"/>
    <w:rsid w:val="00863377"/>
    <w:rsid w:val="0086338E"/>
    <w:rsid w:val="00863391"/>
    <w:rsid w:val="008633BA"/>
    <w:rsid w:val="00863449"/>
    <w:rsid w:val="00863454"/>
    <w:rsid w:val="0086349A"/>
    <w:rsid w:val="00863528"/>
    <w:rsid w:val="00863567"/>
    <w:rsid w:val="00863578"/>
    <w:rsid w:val="00863580"/>
    <w:rsid w:val="0086361D"/>
    <w:rsid w:val="00863620"/>
    <w:rsid w:val="0086366A"/>
    <w:rsid w:val="0086369D"/>
    <w:rsid w:val="008636A9"/>
    <w:rsid w:val="008636B4"/>
    <w:rsid w:val="008636BD"/>
    <w:rsid w:val="008636C8"/>
    <w:rsid w:val="008636F4"/>
    <w:rsid w:val="0086371E"/>
    <w:rsid w:val="00863728"/>
    <w:rsid w:val="0086373D"/>
    <w:rsid w:val="0086375D"/>
    <w:rsid w:val="00863760"/>
    <w:rsid w:val="0086384A"/>
    <w:rsid w:val="00863866"/>
    <w:rsid w:val="00863881"/>
    <w:rsid w:val="0086389C"/>
    <w:rsid w:val="008638DF"/>
    <w:rsid w:val="00863989"/>
    <w:rsid w:val="008639C0"/>
    <w:rsid w:val="008639C3"/>
    <w:rsid w:val="00863A23"/>
    <w:rsid w:val="00863A90"/>
    <w:rsid w:val="00863AD9"/>
    <w:rsid w:val="00863ADD"/>
    <w:rsid w:val="00863ADE"/>
    <w:rsid w:val="00863BA9"/>
    <w:rsid w:val="00863BB1"/>
    <w:rsid w:val="00863BC7"/>
    <w:rsid w:val="00863BDB"/>
    <w:rsid w:val="00863CD5"/>
    <w:rsid w:val="00863CE7"/>
    <w:rsid w:val="00863CEE"/>
    <w:rsid w:val="00863D36"/>
    <w:rsid w:val="00863D76"/>
    <w:rsid w:val="00863D98"/>
    <w:rsid w:val="00863DF2"/>
    <w:rsid w:val="00863F28"/>
    <w:rsid w:val="00863F2F"/>
    <w:rsid w:val="00863F4A"/>
    <w:rsid w:val="00863F56"/>
    <w:rsid w:val="00863F63"/>
    <w:rsid w:val="00863FD3"/>
    <w:rsid w:val="00863FFA"/>
    <w:rsid w:val="00863FFB"/>
    <w:rsid w:val="0086401C"/>
    <w:rsid w:val="00864030"/>
    <w:rsid w:val="00864057"/>
    <w:rsid w:val="0086407E"/>
    <w:rsid w:val="00864099"/>
    <w:rsid w:val="008640F9"/>
    <w:rsid w:val="00864119"/>
    <w:rsid w:val="00864172"/>
    <w:rsid w:val="00864195"/>
    <w:rsid w:val="008641D5"/>
    <w:rsid w:val="0086426F"/>
    <w:rsid w:val="00864292"/>
    <w:rsid w:val="008642BE"/>
    <w:rsid w:val="008642F7"/>
    <w:rsid w:val="008642F8"/>
    <w:rsid w:val="0086432B"/>
    <w:rsid w:val="008644E8"/>
    <w:rsid w:val="00864572"/>
    <w:rsid w:val="0086458C"/>
    <w:rsid w:val="008645E8"/>
    <w:rsid w:val="008645FD"/>
    <w:rsid w:val="0086463E"/>
    <w:rsid w:val="00864661"/>
    <w:rsid w:val="00864664"/>
    <w:rsid w:val="008646CB"/>
    <w:rsid w:val="00864706"/>
    <w:rsid w:val="0086470B"/>
    <w:rsid w:val="008647A8"/>
    <w:rsid w:val="008647B9"/>
    <w:rsid w:val="00864829"/>
    <w:rsid w:val="0086484C"/>
    <w:rsid w:val="0086486B"/>
    <w:rsid w:val="008648D8"/>
    <w:rsid w:val="0086494B"/>
    <w:rsid w:val="0086497E"/>
    <w:rsid w:val="00864982"/>
    <w:rsid w:val="008649D6"/>
    <w:rsid w:val="00864A99"/>
    <w:rsid w:val="00864B20"/>
    <w:rsid w:val="00864B25"/>
    <w:rsid w:val="00864B30"/>
    <w:rsid w:val="00864B54"/>
    <w:rsid w:val="00864BA5"/>
    <w:rsid w:val="00864BA8"/>
    <w:rsid w:val="00864BEC"/>
    <w:rsid w:val="00864BED"/>
    <w:rsid w:val="00864C80"/>
    <w:rsid w:val="00864CBA"/>
    <w:rsid w:val="00864CCA"/>
    <w:rsid w:val="00864CDC"/>
    <w:rsid w:val="00864D15"/>
    <w:rsid w:val="00864D1D"/>
    <w:rsid w:val="00864DA2"/>
    <w:rsid w:val="00864DCC"/>
    <w:rsid w:val="00864DE3"/>
    <w:rsid w:val="00864E0C"/>
    <w:rsid w:val="00864E0D"/>
    <w:rsid w:val="00864E2F"/>
    <w:rsid w:val="00864E41"/>
    <w:rsid w:val="00864E51"/>
    <w:rsid w:val="00864E69"/>
    <w:rsid w:val="00864F2F"/>
    <w:rsid w:val="00864F74"/>
    <w:rsid w:val="00864FAD"/>
    <w:rsid w:val="00864FDF"/>
    <w:rsid w:val="00865006"/>
    <w:rsid w:val="008650E3"/>
    <w:rsid w:val="008650EE"/>
    <w:rsid w:val="008651F8"/>
    <w:rsid w:val="00865229"/>
    <w:rsid w:val="0086525E"/>
    <w:rsid w:val="00865275"/>
    <w:rsid w:val="008652A9"/>
    <w:rsid w:val="008652B7"/>
    <w:rsid w:val="008652C3"/>
    <w:rsid w:val="00865305"/>
    <w:rsid w:val="00865320"/>
    <w:rsid w:val="00865392"/>
    <w:rsid w:val="008653DE"/>
    <w:rsid w:val="00865429"/>
    <w:rsid w:val="00865474"/>
    <w:rsid w:val="00865496"/>
    <w:rsid w:val="008654A8"/>
    <w:rsid w:val="008654E9"/>
    <w:rsid w:val="008654F4"/>
    <w:rsid w:val="008654F9"/>
    <w:rsid w:val="0086553C"/>
    <w:rsid w:val="0086554D"/>
    <w:rsid w:val="00865580"/>
    <w:rsid w:val="008655A2"/>
    <w:rsid w:val="008655E9"/>
    <w:rsid w:val="0086568B"/>
    <w:rsid w:val="00865725"/>
    <w:rsid w:val="00865745"/>
    <w:rsid w:val="0086577D"/>
    <w:rsid w:val="00865793"/>
    <w:rsid w:val="008657B0"/>
    <w:rsid w:val="00865818"/>
    <w:rsid w:val="008658B9"/>
    <w:rsid w:val="008658E8"/>
    <w:rsid w:val="00865952"/>
    <w:rsid w:val="00865971"/>
    <w:rsid w:val="0086599D"/>
    <w:rsid w:val="008659A2"/>
    <w:rsid w:val="00865A38"/>
    <w:rsid w:val="00865A47"/>
    <w:rsid w:val="00865A56"/>
    <w:rsid w:val="00865AE4"/>
    <w:rsid w:val="00865AF4"/>
    <w:rsid w:val="00865B0B"/>
    <w:rsid w:val="00865B12"/>
    <w:rsid w:val="00865B5C"/>
    <w:rsid w:val="00865B9A"/>
    <w:rsid w:val="00865C0F"/>
    <w:rsid w:val="00865C15"/>
    <w:rsid w:val="00865C70"/>
    <w:rsid w:val="00865C75"/>
    <w:rsid w:val="00865C9B"/>
    <w:rsid w:val="00865CAD"/>
    <w:rsid w:val="00865CB1"/>
    <w:rsid w:val="00865CE5"/>
    <w:rsid w:val="00865CE6"/>
    <w:rsid w:val="00865D3C"/>
    <w:rsid w:val="00865D9F"/>
    <w:rsid w:val="00865DA3"/>
    <w:rsid w:val="00865DA9"/>
    <w:rsid w:val="00865E68"/>
    <w:rsid w:val="00865EFA"/>
    <w:rsid w:val="00865F0F"/>
    <w:rsid w:val="00865F10"/>
    <w:rsid w:val="00865F5C"/>
    <w:rsid w:val="00865F68"/>
    <w:rsid w:val="00865FA9"/>
    <w:rsid w:val="00865FC8"/>
    <w:rsid w:val="00865FFD"/>
    <w:rsid w:val="00866024"/>
    <w:rsid w:val="00866058"/>
    <w:rsid w:val="00866078"/>
    <w:rsid w:val="0086608E"/>
    <w:rsid w:val="00866095"/>
    <w:rsid w:val="008660D0"/>
    <w:rsid w:val="008660D3"/>
    <w:rsid w:val="0086613C"/>
    <w:rsid w:val="00866150"/>
    <w:rsid w:val="00866181"/>
    <w:rsid w:val="00866187"/>
    <w:rsid w:val="00866189"/>
    <w:rsid w:val="008661AD"/>
    <w:rsid w:val="008661DA"/>
    <w:rsid w:val="00866228"/>
    <w:rsid w:val="00866258"/>
    <w:rsid w:val="00866295"/>
    <w:rsid w:val="008662A1"/>
    <w:rsid w:val="008662B4"/>
    <w:rsid w:val="00866375"/>
    <w:rsid w:val="008663B1"/>
    <w:rsid w:val="008663D9"/>
    <w:rsid w:val="008663EA"/>
    <w:rsid w:val="00866434"/>
    <w:rsid w:val="00866463"/>
    <w:rsid w:val="008664C1"/>
    <w:rsid w:val="008664EE"/>
    <w:rsid w:val="0086650E"/>
    <w:rsid w:val="0086658D"/>
    <w:rsid w:val="00866594"/>
    <w:rsid w:val="008665BC"/>
    <w:rsid w:val="00866611"/>
    <w:rsid w:val="0086672F"/>
    <w:rsid w:val="0086679D"/>
    <w:rsid w:val="008667EF"/>
    <w:rsid w:val="008667F1"/>
    <w:rsid w:val="0086688F"/>
    <w:rsid w:val="00866899"/>
    <w:rsid w:val="00866928"/>
    <w:rsid w:val="0086694B"/>
    <w:rsid w:val="008669ED"/>
    <w:rsid w:val="008669FA"/>
    <w:rsid w:val="00866A13"/>
    <w:rsid w:val="00866A32"/>
    <w:rsid w:val="00866A45"/>
    <w:rsid w:val="00866A76"/>
    <w:rsid w:val="00866A78"/>
    <w:rsid w:val="00866A9A"/>
    <w:rsid w:val="00866ABF"/>
    <w:rsid w:val="00866ACE"/>
    <w:rsid w:val="00866ADE"/>
    <w:rsid w:val="00866AE7"/>
    <w:rsid w:val="00866AEA"/>
    <w:rsid w:val="00866AF6"/>
    <w:rsid w:val="00866BAA"/>
    <w:rsid w:val="00866BDF"/>
    <w:rsid w:val="00866C0F"/>
    <w:rsid w:val="00866C4E"/>
    <w:rsid w:val="00866C6D"/>
    <w:rsid w:val="00866CF2"/>
    <w:rsid w:val="00866D94"/>
    <w:rsid w:val="00866F4B"/>
    <w:rsid w:val="00866F8B"/>
    <w:rsid w:val="00866FAB"/>
    <w:rsid w:val="00866FDC"/>
    <w:rsid w:val="00866FE6"/>
    <w:rsid w:val="0086702C"/>
    <w:rsid w:val="00867041"/>
    <w:rsid w:val="0086707B"/>
    <w:rsid w:val="00867105"/>
    <w:rsid w:val="0086712E"/>
    <w:rsid w:val="008671A5"/>
    <w:rsid w:val="008671AE"/>
    <w:rsid w:val="008671BD"/>
    <w:rsid w:val="008671E4"/>
    <w:rsid w:val="008672BD"/>
    <w:rsid w:val="008672F5"/>
    <w:rsid w:val="00867316"/>
    <w:rsid w:val="0086732C"/>
    <w:rsid w:val="00867332"/>
    <w:rsid w:val="0086734C"/>
    <w:rsid w:val="0086735C"/>
    <w:rsid w:val="0086736C"/>
    <w:rsid w:val="008673C4"/>
    <w:rsid w:val="008673F9"/>
    <w:rsid w:val="00867423"/>
    <w:rsid w:val="00867424"/>
    <w:rsid w:val="00867441"/>
    <w:rsid w:val="00867489"/>
    <w:rsid w:val="008674C0"/>
    <w:rsid w:val="0086750F"/>
    <w:rsid w:val="008675AD"/>
    <w:rsid w:val="008675ED"/>
    <w:rsid w:val="008675FE"/>
    <w:rsid w:val="0086760E"/>
    <w:rsid w:val="0086766E"/>
    <w:rsid w:val="008676A3"/>
    <w:rsid w:val="008676B3"/>
    <w:rsid w:val="008676EE"/>
    <w:rsid w:val="0086774B"/>
    <w:rsid w:val="00867753"/>
    <w:rsid w:val="0086777B"/>
    <w:rsid w:val="008677F3"/>
    <w:rsid w:val="008677F6"/>
    <w:rsid w:val="008677FC"/>
    <w:rsid w:val="0086780C"/>
    <w:rsid w:val="0086781C"/>
    <w:rsid w:val="00867836"/>
    <w:rsid w:val="0086783D"/>
    <w:rsid w:val="00867845"/>
    <w:rsid w:val="0086786A"/>
    <w:rsid w:val="0086786F"/>
    <w:rsid w:val="0086788D"/>
    <w:rsid w:val="008678B9"/>
    <w:rsid w:val="008678D0"/>
    <w:rsid w:val="008678D3"/>
    <w:rsid w:val="008678EC"/>
    <w:rsid w:val="00867920"/>
    <w:rsid w:val="008679A2"/>
    <w:rsid w:val="008679BF"/>
    <w:rsid w:val="008679DC"/>
    <w:rsid w:val="00867A81"/>
    <w:rsid w:val="00867AED"/>
    <w:rsid w:val="00867B10"/>
    <w:rsid w:val="00867B33"/>
    <w:rsid w:val="00867B40"/>
    <w:rsid w:val="00867B86"/>
    <w:rsid w:val="00867BFE"/>
    <w:rsid w:val="00867C01"/>
    <w:rsid w:val="00867C15"/>
    <w:rsid w:val="00867C65"/>
    <w:rsid w:val="00867CB1"/>
    <w:rsid w:val="00867CF6"/>
    <w:rsid w:val="00867CFB"/>
    <w:rsid w:val="00867D1D"/>
    <w:rsid w:val="00867D3B"/>
    <w:rsid w:val="00867D3D"/>
    <w:rsid w:val="00867D5C"/>
    <w:rsid w:val="00867D85"/>
    <w:rsid w:val="00867E83"/>
    <w:rsid w:val="00867F40"/>
    <w:rsid w:val="00867F52"/>
    <w:rsid w:val="00867FEB"/>
    <w:rsid w:val="00870062"/>
    <w:rsid w:val="008700AF"/>
    <w:rsid w:val="008700E2"/>
    <w:rsid w:val="008700E7"/>
    <w:rsid w:val="00870103"/>
    <w:rsid w:val="0087015C"/>
    <w:rsid w:val="008701E1"/>
    <w:rsid w:val="0087024F"/>
    <w:rsid w:val="00870291"/>
    <w:rsid w:val="008702D6"/>
    <w:rsid w:val="00870311"/>
    <w:rsid w:val="00870318"/>
    <w:rsid w:val="00870357"/>
    <w:rsid w:val="00870358"/>
    <w:rsid w:val="008703AF"/>
    <w:rsid w:val="008703BB"/>
    <w:rsid w:val="008703E1"/>
    <w:rsid w:val="008703E2"/>
    <w:rsid w:val="008703E5"/>
    <w:rsid w:val="00870412"/>
    <w:rsid w:val="00870421"/>
    <w:rsid w:val="0087046C"/>
    <w:rsid w:val="008704C6"/>
    <w:rsid w:val="00870508"/>
    <w:rsid w:val="00870565"/>
    <w:rsid w:val="0087058F"/>
    <w:rsid w:val="0087059A"/>
    <w:rsid w:val="008705AE"/>
    <w:rsid w:val="008705C8"/>
    <w:rsid w:val="0087060A"/>
    <w:rsid w:val="00870650"/>
    <w:rsid w:val="00870673"/>
    <w:rsid w:val="00870682"/>
    <w:rsid w:val="0087068A"/>
    <w:rsid w:val="00870763"/>
    <w:rsid w:val="0087077D"/>
    <w:rsid w:val="008707D8"/>
    <w:rsid w:val="00870880"/>
    <w:rsid w:val="00870949"/>
    <w:rsid w:val="0087097A"/>
    <w:rsid w:val="0087097F"/>
    <w:rsid w:val="00870A11"/>
    <w:rsid w:val="00870A63"/>
    <w:rsid w:val="00870A8C"/>
    <w:rsid w:val="00870AE3"/>
    <w:rsid w:val="00870B61"/>
    <w:rsid w:val="00870C35"/>
    <w:rsid w:val="00870CA7"/>
    <w:rsid w:val="00870CB0"/>
    <w:rsid w:val="00870CCA"/>
    <w:rsid w:val="00870D2D"/>
    <w:rsid w:val="00870DAC"/>
    <w:rsid w:val="00870DBE"/>
    <w:rsid w:val="00870DE4"/>
    <w:rsid w:val="00870DFA"/>
    <w:rsid w:val="00870E59"/>
    <w:rsid w:val="00870E78"/>
    <w:rsid w:val="00870E8B"/>
    <w:rsid w:val="00870EA6"/>
    <w:rsid w:val="00870ED5"/>
    <w:rsid w:val="00870EEA"/>
    <w:rsid w:val="00870F52"/>
    <w:rsid w:val="00870F59"/>
    <w:rsid w:val="00870F6E"/>
    <w:rsid w:val="00870FA0"/>
    <w:rsid w:val="00870FD1"/>
    <w:rsid w:val="00870FD9"/>
    <w:rsid w:val="00871043"/>
    <w:rsid w:val="008710B5"/>
    <w:rsid w:val="008710ED"/>
    <w:rsid w:val="008710FC"/>
    <w:rsid w:val="0087111A"/>
    <w:rsid w:val="0087112E"/>
    <w:rsid w:val="00871184"/>
    <w:rsid w:val="008711F5"/>
    <w:rsid w:val="00871260"/>
    <w:rsid w:val="0087127E"/>
    <w:rsid w:val="00871284"/>
    <w:rsid w:val="0087128C"/>
    <w:rsid w:val="00871290"/>
    <w:rsid w:val="00871295"/>
    <w:rsid w:val="008712ED"/>
    <w:rsid w:val="008713BA"/>
    <w:rsid w:val="008713D5"/>
    <w:rsid w:val="008713D8"/>
    <w:rsid w:val="0087142A"/>
    <w:rsid w:val="0087142F"/>
    <w:rsid w:val="00871432"/>
    <w:rsid w:val="0087144A"/>
    <w:rsid w:val="008714DC"/>
    <w:rsid w:val="008714FE"/>
    <w:rsid w:val="008715C0"/>
    <w:rsid w:val="008715DC"/>
    <w:rsid w:val="008715F9"/>
    <w:rsid w:val="008716EA"/>
    <w:rsid w:val="00871719"/>
    <w:rsid w:val="00871726"/>
    <w:rsid w:val="00871769"/>
    <w:rsid w:val="008718B4"/>
    <w:rsid w:val="008718CA"/>
    <w:rsid w:val="008718FB"/>
    <w:rsid w:val="0087190F"/>
    <w:rsid w:val="00871928"/>
    <w:rsid w:val="0087195B"/>
    <w:rsid w:val="008719CD"/>
    <w:rsid w:val="00871A0E"/>
    <w:rsid w:val="00871A13"/>
    <w:rsid w:val="00871A3F"/>
    <w:rsid w:val="00871A5C"/>
    <w:rsid w:val="00871A98"/>
    <w:rsid w:val="00871AA3"/>
    <w:rsid w:val="00871AA4"/>
    <w:rsid w:val="00871B22"/>
    <w:rsid w:val="00871B3C"/>
    <w:rsid w:val="00871B53"/>
    <w:rsid w:val="00871B75"/>
    <w:rsid w:val="00871B9C"/>
    <w:rsid w:val="00871BC9"/>
    <w:rsid w:val="00871BCA"/>
    <w:rsid w:val="00871C7B"/>
    <w:rsid w:val="00871C9F"/>
    <w:rsid w:val="00871CB0"/>
    <w:rsid w:val="00871CBE"/>
    <w:rsid w:val="00871CE5"/>
    <w:rsid w:val="00871D7E"/>
    <w:rsid w:val="00871E13"/>
    <w:rsid w:val="00871E71"/>
    <w:rsid w:val="00871E98"/>
    <w:rsid w:val="00871EAD"/>
    <w:rsid w:val="00871F80"/>
    <w:rsid w:val="00871F91"/>
    <w:rsid w:val="00872073"/>
    <w:rsid w:val="00872096"/>
    <w:rsid w:val="008720A8"/>
    <w:rsid w:val="008720B9"/>
    <w:rsid w:val="008720DB"/>
    <w:rsid w:val="00872121"/>
    <w:rsid w:val="00872145"/>
    <w:rsid w:val="00872152"/>
    <w:rsid w:val="00872172"/>
    <w:rsid w:val="00872270"/>
    <w:rsid w:val="008722FF"/>
    <w:rsid w:val="00872396"/>
    <w:rsid w:val="008723C5"/>
    <w:rsid w:val="00872403"/>
    <w:rsid w:val="00872485"/>
    <w:rsid w:val="008724B5"/>
    <w:rsid w:val="008724BA"/>
    <w:rsid w:val="008724CD"/>
    <w:rsid w:val="008724E8"/>
    <w:rsid w:val="00872504"/>
    <w:rsid w:val="00872512"/>
    <w:rsid w:val="00872529"/>
    <w:rsid w:val="00872579"/>
    <w:rsid w:val="008725AD"/>
    <w:rsid w:val="008725FC"/>
    <w:rsid w:val="008726AA"/>
    <w:rsid w:val="008726B5"/>
    <w:rsid w:val="0087275F"/>
    <w:rsid w:val="0087276A"/>
    <w:rsid w:val="00872800"/>
    <w:rsid w:val="00872814"/>
    <w:rsid w:val="00872856"/>
    <w:rsid w:val="00872935"/>
    <w:rsid w:val="00872967"/>
    <w:rsid w:val="00872970"/>
    <w:rsid w:val="0087299B"/>
    <w:rsid w:val="008729B0"/>
    <w:rsid w:val="008729BD"/>
    <w:rsid w:val="008729FF"/>
    <w:rsid w:val="00872A09"/>
    <w:rsid w:val="00872A55"/>
    <w:rsid w:val="00872A65"/>
    <w:rsid w:val="00872AC7"/>
    <w:rsid w:val="00872C1F"/>
    <w:rsid w:val="00872D34"/>
    <w:rsid w:val="00872D58"/>
    <w:rsid w:val="00872D63"/>
    <w:rsid w:val="00872D6D"/>
    <w:rsid w:val="00872E90"/>
    <w:rsid w:val="00872EBF"/>
    <w:rsid w:val="00872F28"/>
    <w:rsid w:val="00872F2E"/>
    <w:rsid w:val="00872FC7"/>
    <w:rsid w:val="00872FC8"/>
    <w:rsid w:val="00872FF8"/>
    <w:rsid w:val="00873007"/>
    <w:rsid w:val="00873012"/>
    <w:rsid w:val="0087301B"/>
    <w:rsid w:val="0087303E"/>
    <w:rsid w:val="00873044"/>
    <w:rsid w:val="00873063"/>
    <w:rsid w:val="00873093"/>
    <w:rsid w:val="0087313A"/>
    <w:rsid w:val="00873179"/>
    <w:rsid w:val="0087317D"/>
    <w:rsid w:val="008731B8"/>
    <w:rsid w:val="008731E3"/>
    <w:rsid w:val="008731F1"/>
    <w:rsid w:val="00873210"/>
    <w:rsid w:val="00873218"/>
    <w:rsid w:val="0087321F"/>
    <w:rsid w:val="00873267"/>
    <w:rsid w:val="008733C2"/>
    <w:rsid w:val="0087341F"/>
    <w:rsid w:val="00873435"/>
    <w:rsid w:val="00873450"/>
    <w:rsid w:val="0087348E"/>
    <w:rsid w:val="008734FA"/>
    <w:rsid w:val="00873516"/>
    <w:rsid w:val="0087355D"/>
    <w:rsid w:val="00873572"/>
    <w:rsid w:val="00873598"/>
    <w:rsid w:val="0087359B"/>
    <w:rsid w:val="008735A1"/>
    <w:rsid w:val="008735E7"/>
    <w:rsid w:val="00873605"/>
    <w:rsid w:val="0087363A"/>
    <w:rsid w:val="0087365A"/>
    <w:rsid w:val="0087365B"/>
    <w:rsid w:val="008736BC"/>
    <w:rsid w:val="008736D2"/>
    <w:rsid w:val="008736DE"/>
    <w:rsid w:val="00873770"/>
    <w:rsid w:val="00873775"/>
    <w:rsid w:val="00873784"/>
    <w:rsid w:val="00873797"/>
    <w:rsid w:val="008737D0"/>
    <w:rsid w:val="008737E3"/>
    <w:rsid w:val="0087381F"/>
    <w:rsid w:val="00873842"/>
    <w:rsid w:val="0087388D"/>
    <w:rsid w:val="008738AC"/>
    <w:rsid w:val="008738D5"/>
    <w:rsid w:val="008738DB"/>
    <w:rsid w:val="008738E2"/>
    <w:rsid w:val="00873902"/>
    <w:rsid w:val="00873957"/>
    <w:rsid w:val="00873985"/>
    <w:rsid w:val="008739AB"/>
    <w:rsid w:val="008739AD"/>
    <w:rsid w:val="00873A09"/>
    <w:rsid w:val="00873A2F"/>
    <w:rsid w:val="00873A59"/>
    <w:rsid w:val="00873B18"/>
    <w:rsid w:val="00873B56"/>
    <w:rsid w:val="00873B9B"/>
    <w:rsid w:val="00873BE5"/>
    <w:rsid w:val="00873BEE"/>
    <w:rsid w:val="00873C40"/>
    <w:rsid w:val="00873C6E"/>
    <w:rsid w:val="00873C8C"/>
    <w:rsid w:val="00873CC0"/>
    <w:rsid w:val="00873CCE"/>
    <w:rsid w:val="00873CD0"/>
    <w:rsid w:val="00873CEC"/>
    <w:rsid w:val="00873D0A"/>
    <w:rsid w:val="00873D48"/>
    <w:rsid w:val="00873DDB"/>
    <w:rsid w:val="00873E1D"/>
    <w:rsid w:val="00873E5F"/>
    <w:rsid w:val="00873EB0"/>
    <w:rsid w:val="00873EFE"/>
    <w:rsid w:val="00873F04"/>
    <w:rsid w:val="00873F68"/>
    <w:rsid w:val="00873FC6"/>
    <w:rsid w:val="00873FDF"/>
    <w:rsid w:val="0087403D"/>
    <w:rsid w:val="0087406D"/>
    <w:rsid w:val="00874072"/>
    <w:rsid w:val="008740AF"/>
    <w:rsid w:val="008740C2"/>
    <w:rsid w:val="008740DB"/>
    <w:rsid w:val="008740DC"/>
    <w:rsid w:val="00874151"/>
    <w:rsid w:val="00874193"/>
    <w:rsid w:val="008741A7"/>
    <w:rsid w:val="00874254"/>
    <w:rsid w:val="00874280"/>
    <w:rsid w:val="00874293"/>
    <w:rsid w:val="008742BB"/>
    <w:rsid w:val="008742C4"/>
    <w:rsid w:val="008742EF"/>
    <w:rsid w:val="008742F1"/>
    <w:rsid w:val="0087430E"/>
    <w:rsid w:val="008743C2"/>
    <w:rsid w:val="008743CE"/>
    <w:rsid w:val="00874426"/>
    <w:rsid w:val="00874445"/>
    <w:rsid w:val="008744EA"/>
    <w:rsid w:val="0087450F"/>
    <w:rsid w:val="0087451F"/>
    <w:rsid w:val="00874544"/>
    <w:rsid w:val="0087456B"/>
    <w:rsid w:val="00874602"/>
    <w:rsid w:val="00874656"/>
    <w:rsid w:val="0087465F"/>
    <w:rsid w:val="0087466A"/>
    <w:rsid w:val="00874676"/>
    <w:rsid w:val="00874679"/>
    <w:rsid w:val="008746E4"/>
    <w:rsid w:val="00874712"/>
    <w:rsid w:val="008747B3"/>
    <w:rsid w:val="008747D2"/>
    <w:rsid w:val="008747F7"/>
    <w:rsid w:val="00874814"/>
    <w:rsid w:val="008748F1"/>
    <w:rsid w:val="008748F9"/>
    <w:rsid w:val="00874932"/>
    <w:rsid w:val="0087497E"/>
    <w:rsid w:val="00874987"/>
    <w:rsid w:val="00874A3D"/>
    <w:rsid w:val="00874A4E"/>
    <w:rsid w:val="00874AA6"/>
    <w:rsid w:val="00874AF3"/>
    <w:rsid w:val="00874B28"/>
    <w:rsid w:val="00874B44"/>
    <w:rsid w:val="00874B8E"/>
    <w:rsid w:val="00874BBE"/>
    <w:rsid w:val="00874C04"/>
    <w:rsid w:val="00874C84"/>
    <w:rsid w:val="00874C8C"/>
    <w:rsid w:val="00874CA1"/>
    <w:rsid w:val="00874CBB"/>
    <w:rsid w:val="00874D0E"/>
    <w:rsid w:val="00874D14"/>
    <w:rsid w:val="00874D28"/>
    <w:rsid w:val="00874D75"/>
    <w:rsid w:val="00874DA3"/>
    <w:rsid w:val="00874E77"/>
    <w:rsid w:val="00874E81"/>
    <w:rsid w:val="00874EE2"/>
    <w:rsid w:val="00874F26"/>
    <w:rsid w:val="00874FDF"/>
    <w:rsid w:val="0087504C"/>
    <w:rsid w:val="00875057"/>
    <w:rsid w:val="00875075"/>
    <w:rsid w:val="008750AE"/>
    <w:rsid w:val="008750BB"/>
    <w:rsid w:val="008750EE"/>
    <w:rsid w:val="0087515C"/>
    <w:rsid w:val="008751B5"/>
    <w:rsid w:val="008751B6"/>
    <w:rsid w:val="008751C4"/>
    <w:rsid w:val="0087520A"/>
    <w:rsid w:val="0087522E"/>
    <w:rsid w:val="0087526E"/>
    <w:rsid w:val="0087527E"/>
    <w:rsid w:val="008752C8"/>
    <w:rsid w:val="008752EC"/>
    <w:rsid w:val="008752F8"/>
    <w:rsid w:val="0087531C"/>
    <w:rsid w:val="00875361"/>
    <w:rsid w:val="0087537A"/>
    <w:rsid w:val="008753A8"/>
    <w:rsid w:val="008753B2"/>
    <w:rsid w:val="008753D5"/>
    <w:rsid w:val="008753D9"/>
    <w:rsid w:val="008753EA"/>
    <w:rsid w:val="00875401"/>
    <w:rsid w:val="0087542F"/>
    <w:rsid w:val="00875507"/>
    <w:rsid w:val="00875586"/>
    <w:rsid w:val="008755AE"/>
    <w:rsid w:val="008755DE"/>
    <w:rsid w:val="008755FE"/>
    <w:rsid w:val="00875644"/>
    <w:rsid w:val="00875679"/>
    <w:rsid w:val="008756BC"/>
    <w:rsid w:val="008756C8"/>
    <w:rsid w:val="008756C9"/>
    <w:rsid w:val="008756F0"/>
    <w:rsid w:val="008756FE"/>
    <w:rsid w:val="00875716"/>
    <w:rsid w:val="0087572B"/>
    <w:rsid w:val="00875737"/>
    <w:rsid w:val="008757D2"/>
    <w:rsid w:val="00875804"/>
    <w:rsid w:val="00875864"/>
    <w:rsid w:val="00875889"/>
    <w:rsid w:val="008758E5"/>
    <w:rsid w:val="00875912"/>
    <w:rsid w:val="00875946"/>
    <w:rsid w:val="0087596B"/>
    <w:rsid w:val="00875970"/>
    <w:rsid w:val="00875992"/>
    <w:rsid w:val="008759BC"/>
    <w:rsid w:val="008759F7"/>
    <w:rsid w:val="00875AC1"/>
    <w:rsid w:val="00875B16"/>
    <w:rsid w:val="00875B8D"/>
    <w:rsid w:val="00875BEE"/>
    <w:rsid w:val="00875C3E"/>
    <w:rsid w:val="00875C7F"/>
    <w:rsid w:val="00875CCD"/>
    <w:rsid w:val="00875CCE"/>
    <w:rsid w:val="00875CE0"/>
    <w:rsid w:val="00875D62"/>
    <w:rsid w:val="00875E99"/>
    <w:rsid w:val="00875ECD"/>
    <w:rsid w:val="00875F59"/>
    <w:rsid w:val="00875FF4"/>
    <w:rsid w:val="00876000"/>
    <w:rsid w:val="0087600C"/>
    <w:rsid w:val="00876022"/>
    <w:rsid w:val="00876024"/>
    <w:rsid w:val="0087605F"/>
    <w:rsid w:val="00876070"/>
    <w:rsid w:val="0087607A"/>
    <w:rsid w:val="008760BF"/>
    <w:rsid w:val="00876115"/>
    <w:rsid w:val="0087611E"/>
    <w:rsid w:val="00876133"/>
    <w:rsid w:val="008761AE"/>
    <w:rsid w:val="008761BA"/>
    <w:rsid w:val="008761ED"/>
    <w:rsid w:val="00876285"/>
    <w:rsid w:val="0087628A"/>
    <w:rsid w:val="00876297"/>
    <w:rsid w:val="00876299"/>
    <w:rsid w:val="00876328"/>
    <w:rsid w:val="0087634B"/>
    <w:rsid w:val="00876357"/>
    <w:rsid w:val="00876393"/>
    <w:rsid w:val="008763DA"/>
    <w:rsid w:val="008763E4"/>
    <w:rsid w:val="008763FB"/>
    <w:rsid w:val="00876473"/>
    <w:rsid w:val="00876485"/>
    <w:rsid w:val="008764AD"/>
    <w:rsid w:val="008764BB"/>
    <w:rsid w:val="00876517"/>
    <w:rsid w:val="008765F8"/>
    <w:rsid w:val="00876685"/>
    <w:rsid w:val="0087669B"/>
    <w:rsid w:val="008766BB"/>
    <w:rsid w:val="00876799"/>
    <w:rsid w:val="00876843"/>
    <w:rsid w:val="008768CE"/>
    <w:rsid w:val="008768F4"/>
    <w:rsid w:val="00876904"/>
    <w:rsid w:val="00876923"/>
    <w:rsid w:val="00876972"/>
    <w:rsid w:val="00876997"/>
    <w:rsid w:val="008769C1"/>
    <w:rsid w:val="008769C4"/>
    <w:rsid w:val="008769D3"/>
    <w:rsid w:val="008769EA"/>
    <w:rsid w:val="008769F4"/>
    <w:rsid w:val="00876A0F"/>
    <w:rsid w:val="00876A35"/>
    <w:rsid w:val="00876A55"/>
    <w:rsid w:val="00876A91"/>
    <w:rsid w:val="00876AA1"/>
    <w:rsid w:val="00876AB6"/>
    <w:rsid w:val="00876AEE"/>
    <w:rsid w:val="00876B0D"/>
    <w:rsid w:val="00876B11"/>
    <w:rsid w:val="00876B39"/>
    <w:rsid w:val="00876B40"/>
    <w:rsid w:val="00876B6C"/>
    <w:rsid w:val="00876B99"/>
    <w:rsid w:val="00876C5A"/>
    <w:rsid w:val="00876C6A"/>
    <w:rsid w:val="00876C72"/>
    <w:rsid w:val="00876C8D"/>
    <w:rsid w:val="00876CB0"/>
    <w:rsid w:val="00876CCD"/>
    <w:rsid w:val="00876CF9"/>
    <w:rsid w:val="00876D1C"/>
    <w:rsid w:val="00876D9B"/>
    <w:rsid w:val="00876DF8"/>
    <w:rsid w:val="00876E14"/>
    <w:rsid w:val="00876E4B"/>
    <w:rsid w:val="00876F66"/>
    <w:rsid w:val="00876FA9"/>
    <w:rsid w:val="00876FE6"/>
    <w:rsid w:val="00876FF9"/>
    <w:rsid w:val="00877084"/>
    <w:rsid w:val="0087708D"/>
    <w:rsid w:val="00877091"/>
    <w:rsid w:val="008770A6"/>
    <w:rsid w:val="008770D1"/>
    <w:rsid w:val="008770FB"/>
    <w:rsid w:val="0087710C"/>
    <w:rsid w:val="00877173"/>
    <w:rsid w:val="00877175"/>
    <w:rsid w:val="0087717F"/>
    <w:rsid w:val="0087720D"/>
    <w:rsid w:val="0087722F"/>
    <w:rsid w:val="00877294"/>
    <w:rsid w:val="00877349"/>
    <w:rsid w:val="0087737C"/>
    <w:rsid w:val="00877387"/>
    <w:rsid w:val="00877391"/>
    <w:rsid w:val="00877395"/>
    <w:rsid w:val="008773CA"/>
    <w:rsid w:val="00877462"/>
    <w:rsid w:val="008774AC"/>
    <w:rsid w:val="00877543"/>
    <w:rsid w:val="00877547"/>
    <w:rsid w:val="0087755C"/>
    <w:rsid w:val="00877584"/>
    <w:rsid w:val="0087759E"/>
    <w:rsid w:val="00877617"/>
    <w:rsid w:val="0087769C"/>
    <w:rsid w:val="008776A0"/>
    <w:rsid w:val="008776E4"/>
    <w:rsid w:val="00877727"/>
    <w:rsid w:val="0087772D"/>
    <w:rsid w:val="0087775E"/>
    <w:rsid w:val="0087780F"/>
    <w:rsid w:val="0087781C"/>
    <w:rsid w:val="0087789D"/>
    <w:rsid w:val="008778A8"/>
    <w:rsid w:val="00877913"/>
    <w:rsid w:val="00877915"/>
    <w:rsid w:val="0087794E"/>
    <w:rsid w:val="008779B6"/>
    <w:rsid w:val="008779D0"/>
    <w:rsid w:val="008779D6"/>
    <w:rsid w:val="00877A05"/>
    <w:rsid w:val="00877ACA"/>
    <w:rsid w:val="00877BA6"/>
    <w:rsid w:val="00877BB0"/>
    <w:rsid w:val="00877C0A"/>
    <w:rsid w:val="00877C34"/>
    <w:rsid w:val="00877C6E"/>
    <w:rsid w:val="00877C97"/>
    <w:rsid w:val="00877CE4"/>
    <w:rsid w:val="00877D80"/>
    <w:rsid w:val="00877D88"/>
    <w:rsid w:val="00877D8C"/>
    <w:rsid w:val="00877DC2"/>
    <w:rsid w:val="00877DF3"/>
    <w:rsid w:val="00877E26"/>
    <w:rsid w:val="00877E42"/>
    <w:rsid w:val="00877E62"/>
    <w:rsid w:val="00877EB2"/>
    <w:rsid w:val="00877EB5"/>
    <w:rsid w:val="00877F49"/>
    <w:rsid w:val="00877F76"/>
    <w:rsid w:val="00877FA2"/>
    <w:rsid w:val="00877FE0"/>
    <w:rsid w:val="00880097"/>
    <w:rsid w:val="008800C6"/>
    <w:rsid w:val="008800D3"/>
    <w:rsid w:val="00880165"/>
    <w:rsid w:val="008801B1"/>
    <w:rsid w:val="008801B8"/>
    <w:rsid w:val="008801F2"/>
    <w:rsid w:val="008801F9"/>
    <w:rsid w:val="00880222"/>
    <w:rsid w:val="0088022F"/>
    <w:rsid w:val="00880270"/>
    <w:rsid w:val="008802E6"/>
    <w:rsid w:val="00880338"/>
    <w:rsid w:val="008803E4"/>
    <w:rsid w:val="00880407"/>
    <w:rsid w:val="00880493"/>
    <w:rsid w:val="008804D0"/>
    <w:rsid w:val="0088051A"/>
    <w:rsid w:val="008805B4"/>
    <w:rsid w:val="008805B5"/>
    <w:rsid w:val="008805B7"/>
    <w:rsid w:val="008805CE"/>
    <w:rsid w:val="008805E6"/>
    <w:rsid w:val="00880623"/>
    <w:rsid w:val="0088062B"/>
    <w:rsid w:val="008806C9"/>
    <w:rsid w:val="0088070D"/>
    <w:rsid w:val="0088071A"/>
    <w:rsid w:val="0088073A"/>
    <w:rsid w:val="00880762"/>
    <w:rsid w:val="0088077A"/>
    <w:rsid w:val="008807A1"/>
    <w:rsid w:val="008807E4"/>
    <w:rsid w:val="00880812"/>
    <w:rsid w:val="00880879"/>
    <w:rsid w:val="008808CE"/>
    <w:rsid w:val="008808F0"/>
    <w:rsid w:val="00880929"/>
    <w:rsid w:val="00880934"/>
    <w:rsid w:val="0088098A"/>
    <w:rsid w:val="0088098E"/>
    <w:rsid w:val="008809A8"/>
    <w:rsid w:val="008809CC"/>
    <w:rsid w:val="008809EF"/>
    <w:rsid w:val="008809FF"/>
    <w:rsid w:val="00880A1A"/>
    <w:rsid w:val="00880A69"/>
    <w:rsid w:val="00880ADB"/>
    <w:rsid w:val="00880B18"/>
    <w:rsid w:val="00880B60"/>
    <w:rsid w:val="00880B6F"/>
    <w:rsid w:val="00880B7C"/>
    <w:rsid w:val="00880B8A"/>
    <w:rsid w:val="00880BA4"/>
    <w:rsid w:val="00880BE1"/>
    <w:rsid w:val="00880C1B"/>
    <w:rsid w:val="00880C4F"/>
    <w:rsid w:val="00880C66"/>
    <w:rsid w:val="00880C96"/>
    <w:rsid w:val="00880D08"/>
    <w:rsid w:val="00880D0A"/>
    <w:rsid w:val="00880D1F"/>
    <w:rsid w:val="00880D55"/>
    <w:rsid w:val="00880D77"/>
    <w:rsid w:val="00880DE5"/>
    <w:rsid w:val="00880DF0"/>
    <w:rsid w:val="00880E00"/>
    <w:rsid w:val="00880E13"/>
    <w:rsid w:val="00880E1C"/>
    <w:rsid w:val="00880E21"/>
    <w:rsid w:val="00880E6A"/>
    <w:rsid w:val="00880EA1"/>
    <w:rsid w:val="00880EC7"/>
    <w:rsid w:val="00880EF5"/>
    <w:rsid w:val="00880F99"/>
    <w:rsid w:val="00880FBE"/>
    <w:rsid w:val="00880FED"/>
    <w:rsid w:val="0088106B"/>
    <w:rsid w:val="008810A2"/>
    <w:rsid w:val="008810D0"/>
    <w:rsid w:val="008810D6"/>
    <w:rsid w:val="008810D7"/>
    <w:rsid w:val="008810DE"/>
    <w:rsid w:val="0088114D"/>
    <w:rsid w:val="0088114E"/>
    <w:rsid w:val="00881160"/>
    <w:rsid w:val="008811AA"/>
    <w:rsid w:val="008811E9"/>
    <w:rsid w:val="008811EE"/>
    <w:rsid w:val="008811F5"/>
    <w:rsid w:val="00881237"/>
    <w:rsid w:val="0088128F"/>
    <w:rsid w:val="008812F3"/>
    <w:rsid w:val="00881316"/>
    <w:rsid w:val="00881338"/>
    <w:rsid w:val="0088133B"/>
    <w:rsid w:val="008813A5"/>
    <w:rsid w:val="008813AD"/>
    <w:rsid w:val="008813E1"/>
    <w:rsid w:val="00881419"/>
    <w:rsid w:val="00881445"/>
    <w:rsid w:val="0088144F"/>
    <w:rsid w:val="00881462"/>
    <w:rsid w:val="008814F0"/>
    <w:rsid w:val="0088150F"/>
    <w:rsid w:val="0088155C"/>
    <w:rsid w:val="0088159C"/>
    <w:rsid w:val="008815AF"/>
    <w:rsid w:val="008815B6"/>
    <w:rsid w:val="008816F0"/>
    <w:rsid w:val="008816FB"/>
    <w:rsid w:val="008816FC"/>
    <w:rsid w:val="00881712"/>
    <w:rsid w:val="0088173F"/>
    <w:rsid w:val="00881747"/>
    <w:rsid w:val="00881757"/>
    <w:rsid w:val="00881772"/>
    <w:rsid w:val="008817AF"/>
    <w:rsid w:val="008817B9"/>
    <w:rsid w:val="00881829"/>
    <w:rsid w:val="00881836"/>
    <w:rsid w:val="00881857"/>
    <w:rsid w:val="00881872"/>
    <w:rsid w:val="0088189D"/>
    <w:rsid w:val="008818A1"/>
    <w:rsid w:val="008818CE"/>
    <w:rsid w:val="0088198B"/>
    <w:rsid w:val="008819C7"/>
    <w:rsid w:val="008819CD"/>
    <w:rsid w:val="00881A62"/>
    <w:rsid w:val="00881A87"/>
    <w:rsid w:val="00881AD7"/>
    <w:rsid w:val="00881ADF"/>
    <w:rsid w:val="00881AE3"/>
    <w:rsid w:val="00881B24"/>
    <w:rsid w:val="00881B65"/>
    <w:rsid w:val="00881C14"/>
    <w:rsid w:val="00881C26"/>
    <w:rsid w:val="00881CC6"/>
    <w:rsid w:val="00881CC7"/>
    <w:rsid w:val="00881CF1"/>
    <w:rsid w:val="00881D2D"/>
    <w:rsid w:val="00881D33"/>
    <w:rsid w:val="00881D76"/>
    <w:rsid w:val="00881D8B"/>
    <w:rsid w:val="00881DC8"/>
    <w:rsid w:val="00881E0B"/>
    <w:rsid w:val="00881E11"/>
    <w:rsid w:val="00881E26"/>
    <w:rsid w:val="00881E2C"/>
    <w:rsid w:val="00881E3E"/>
    <w:rsid w:val="00881E80"/>
    <w:rsid w:val="00881E9F"/>
    <w:rsid w:val="00881EAB"/>
    <w:rsid w:val="00881EFD"/>
    <w:rsid w:val="00881F15"/>
    <w:rsid w:val="00881F18"/>
    <w:rsid w:val="00881F45"/>
    <w:rsid w:val="00881FB0"/>
    <w:rsid w:val="00881FBA"/>
    <w:rsid w:val="00881FFA"/>
    <w:rsid w:val="0088203E"/>
    <w:rsid w:val="008820F7"/>
    <w:rsid w:val="00882178"/>
    <w:rsid w:val="008821B9"/>
    <w:rsid w:val="008821BC"/>
    <w:rsid w:val="008821D3"/>
    <w:rsid w:val="0088221E"/>
    <w:rsid w:val="00882226"/>
    <w:rsid w:val="0088223D"/>
    <w:rsid w:val="0088227B"/>
    <w:rsid w:val="008822B4"/>
    <w:rsid w:val="008822E5"/>
    <w:rsid w:val="00882308"/>
    <w:rsid w:val="00882317"/>
    <w:rsid w:val="00882395"/>
    <w:rsid w:val="008823FC"/>
    <w:rsid w:val="00882437"/>
    <w:rsid w:val="00882445"/>
    <w:rsid w:val="00882461"/>
    <w:rsid w:val="00882463"/>
    <w:rsid w:val="0088249B"/>
    <w:rsid w:val="00882535"/>
    <w:rsid w:val="0088253D"/>
    <w:rsid w:val="0088255F"/>
    <w:rsid w:val="008825A7"/>
    <w:rsid w:val="008825B9"/>
    <w:rsid w:val="008825BC"/>
    <w:rsid w:val="008825F9"/>
    <w:rsid w:val="0088260F"/>
    <w:rsid w:val="00882615"/>
    <w:rsid w:val="0088261C"/>
    <w:rsid w:val="0088262D"/>
    <w:rsid w:val="00882630"/>
    <w:rsid w:val="00882648"/>
    <w:rsid w:val="00882696"/>
    <w:rsid w:val="00882709"/>
    <w:rsid w:val="0088270F"/>
    <w:rsid w:val="00882742"/>
    <w:rsid w:val="00882768"/>
    <w:rsid w:val="00882776"/>
    <w:rsid w:val="008827AF"/>
    <w:rsid w:val="008827BE"/>
    <w:rsid w:val="008827BF"/>
    <w:rsid w:val="008827CE"/>
    <w:rsid w:val="00882872"/>
    <w:rsid w:val="0088287A"/>
    <w:rsid w:val="0088287E"/>
    <w:rsid w:val="0088288A"/>
    <w:rsid w:val="008828A6"/>
    <w:rsid w:val="0088295D"/>
    <w:rsid w:val="00882968"/>
    <w:rsid w:val="00882988"/>
    <w:rsid w:val="00882998"/>
    <w:rsid w:val="0088299E"/>
    <w:rsid w:val="008829DA"/>
    <w:rsid w:val="00882A04"/>
    <w:rsid w:val="00882A1D"/>
    <w:rsid w:val="00882A4E"/>
    <w:rsid w:val="00882A62"/>
    <w:rsid w:val="00882AC5"/>
    <w:rsid w:val="00882B02"/>
    <w:rsid w:val="00882B38"/>
    <w:rsid w:val="00882B7D"/>
    <w:rsid w:val="00882BE3"/>
    <w:rsid w:val="00882C78"/>
    <w:rsid w:val="00882C85"/>
    <w:rsid w:val="00882CE2"/>
    <w:rsid w:val="00882D3A"/>
    <w:rsid w:val="00882D51"/>
    <w:rsid w:val="00882D8D"/>
    <w:rsid w:val="00882DBF"/>
    <w:rsid w:val="00882DC3"/>
    <w:rsid w:val="00882E27"/>
    <w:rsid w:val="00882E7F"/>
    <w:rsid w:val="00882E9A"/>
    <w:rsid w:val="00882F1C"/>
    <w:rsid w:val="00882F4E"/>
    <w:rsid w:val="00882F7A"/>
    <w:rsid w:val="00882F95"/>
    <w:rsid w:val="00882FD1"/>
    <w:rsid w:val="00883016"/>
    <w:rsid w:val="008830BF"/>
    <w:rsid w:val="0088313F"/>
    <w:rsid w:val="0088318D"/>
    <w:rsid w:val="008831F2"/>
    <w:rsid w:val="00883259"/>
    <w:rsid w:val="00883265"/>
    <w:rsid w:val="008832B1"/>
    <w:rsid w:val="00883305"/>
    <w:rsid w:val="00883322"/>
    <w:rsid w:val="00883396"/>
    <w:rsid w:val="00883436"/>
    <w:rsid w:val="00883453"/>
    <w:rsid w:val="0088346F"/>
    <w:rsid w:val="008834B6"/>
    <w:rsid w:val="008834DE"/>
    <w:rsid w:val="008834EC"/>
    <w:rsid w:val="008834EF"/>
    <w:rsid w:val="0088353E"/>
    <w:rsid w:val="0088358D"/>
    <w:rsid w:val="008835AE"/>
    <w:rsid w:val="00883621"/>
    <w:rsid w:val="0088364D"/>
    <w:rsid w:val="00883652"/>
    <w:rsid w:val="008836C0"/>
    <w:rsid w:val="00883733"/>
    <w:rsid w:val="008837B2"/>
    <w:rsid w:val="008837B3"/>
    <w:rsid w:val="008837DD"/>
    <w:rsid w:val="008837E5"/>
    <w:rsid w:val="008837F7"/>
    <w:rsid w:val="00883922"/>
    <w:rsid w:val="00883954"/>
    <w:rsid w:val="008839A0"/>
    <w:rsid w:val="008839D8"/>
    <w:rsid w:val="008839EF"/>
    <w:rsid w:val="00883ABC"/>
    <w:rsid w:val="00883AD8"/>
    <w:rsid w:val="00883B08"/>
    <w:rsid w:val="00883B43"/>
    <w:rsid w:val="00883B54"/>
    <w:rsid w:val="00883BA5"/>
    <w:rsid w:val="00883BD2"/>
    <w:rsid w:val="00883BEB"/>
    <w:rsid w:val="00883BED"/>
    <w:rsid w:val="00883BF6"/>
    <w:rsid w:val="00883C3A"/>
    <w:rsid w:val="00883C3C"/>
    <w:rsid w:val="00883CA4"/>
    <w:rsid w:val="00883CA8"/>
    <w:rsid w:val="00883D45"/>
    <w:rsid w:val="00883DD1"/>
    <w:rsid w:val="00883E1D"/>
    <w:rsid w:val="00883E9C"/>
    <w:rsid w:val="00883EC3"/>
    <w:rsid w:val="00883F30"/>
    <w:rsid w:val="00883F42"/>
    <w:rsid w:val="00883F95"/>
    <w:rsid w:val="00883FB9"/>
    <w:rsid w:val="0088405A"/>
    <w:rsid w:val="00884075"/>
    <w:rsid w:val="0088407A"/>
    <w:rsid w:val="00884089"/>
    <w:rsid w:val="008840A4"/>
    <w:rsid w:val="008840EC"/>
    <w:rsid w:val="00884111"/>
    <w:rsid w:val="008841B7"/>
    <w:rsid w:val="008841CB"/>
    <w:rsid w:val="008841E7"/>
    <w:rsid w:val="0088428D"/>
    <w:rsid w:val="00884490"/>
    <w:rsid w:val="008844EE"/>
    <w:rsid w:val="0088453B"/>
    <w:rsid w:val="008845CE"/>
    <w:rsid w:val="00884640"/>
    <w:rsid w:val="00884656"/>
    <w:rsid w:val="00884706"/>
    <w:rsid w:val="00884748"/>
    <w:rsid w:val="00884759"/>
    <w:rsid w:val="0088475D"/>
    <w:rsid w:val="0088475F"/>
    <w:rsid w:val="00884785"/>
    <w:rsid w:val="00884788"/>
    <w:rsid w:val="008847E6"/>
    <w:rsid w:val="00884857"/>
    <w:rsid w:val="00884870"/>
    <w:rsid w:val="008848A3"/>
    <w:rsid w:val="008848AB"/>
    <w:rsid w:val="008848F4"/>
    <w:rsid w:val="00884907"/>
    <w:rsid w:val="0088492A"/>
    <w:rsid w:val="0088492B"/>
    <w:rsid w:val="00884938"/>
    <w:rsid w:val="00884948"/>
    <w:rsid w:val="0088495D"/>
    <w:rsid w:val="0088499C"/>
    <w:rsid w:val="008849CB"/>
    <w:rsid w:val="008849CD"/>
    <w:rsid w:val="008849E6"/>
    <w:rsid w:val="00884A00"/>
    <w:rsid w:val="00884A02"/>
    <w:rsid w:val="00884B02"/>
    <w:rsid w:val="00884B0F"/>
    <w:rsid w:val="00884B29"/>
    <w:rsid w:val="00884B70"/>
    <w:rsid w:val="00884BAB"/>
    <w:rsid w:val="00884C27"/>
    <w:rsid w:val="00884C76"/>
    <w:rsid w:val="00884CCD"/>
    <w:rsid w:val="00884CD6"/>
    <w:rsid w:val="00884CDB"/>
    <w:rsid w:val="00884D9F"/>
    <w:rsid w:val="00884DFE"/>
    <w:rsid w:val="00884E1A"/>
    <w:rsid w:val="00884E34"/>
    <w:rsid w:val="00884E84"/>
    <w:rsid w:val="00884EE0"/>
    <w:rsid w:val="00884EE5"/>
    <w:rsid w:val="00884F00"/>
    <w:rsid w:val="00884F70"/>
    <w:rsid w:val="00884F77"/>
    <w:rsid w:val="00884F8F"/>
    <w:rsid w:val="00884FB7"/>
    <w:rsid w:val="00885071"/>
    <w:rsid w:val="0088508E"/>
    <w:rsid w:val="008850B6"/>
    <w:rsid w:val="008850C9"/>
    <w:rsid w:val="00885139"/>
    <w:rsid w:val="0088517E"/>
    <w:rsid w:val="00885185"/>
    <w:rsid w:val="00885196"/>
    <w:rsid w:val="008851AD"/>
    <w:rsid w:val="008851BE"/>
    <w:rsid w:val="008851CA"/>
    <w:rsid w:val="008851D2"/>
    <w:rsid w:val="008851DC"/>
    <w:rsid w:val="008851E7"/>
    <w:rsid w:val="008851F9"/>
    <w:rsid w:val="00885252"/>
    <w:rsid w:val="00885256"/>
    <w:rsid w:val="008852B9"/>
    <w:rsid w:val="0088531D"/>
    <w:rsid w:val="00885334"/>
    <w:rsid w:val="0088535D"/>
    <w:rsid w:val="0088538D"/>
    <w:rsid w:val="008853FE"/>
    <w:rsid w:val="00885441"/>
    <w:rsid w:val="0088545D"/>
    <w:rsid w:val="0088547F"/>
    <w:rsid w:val="00885493"/>
    <w:rsid w:val="008854D0"/>
    <w:rsid w:val="008854D6"/>
    <w:rsid w:val="008854F9"/>
    <w:rsid w:val="00885529"/>
    <w:rsid w:val="0088555E"/>
    <w:rsid w:val="008855E2"/>
    <w:rsid w:val="0088560E"/>
    <w:rsid w:val="00885682"/>
    <w:rsid w:val="008856D7"/>
    <w:rsid w:val="008856DB"/>
    <w:rsid w:val="008856FA"/>
    <w:rsid w:val="00885767"/>
    <w:rsid w:val="0088578F"/>
    <w:rsid w:val="00885793"/>
    <w:rsid w:val="008857D0"/>
    <w:rsid w:val="0088581B"/>
    <w:rsid w:val="00885863"/>
    <w:rsid w:val="008858EE"/>
    <w:rsid w:val="008859EB"/>
    <w:rsid w:val="00885A2E"/>
    <w:rsid w:val="00885BE1"/>
    <w:rsid w:val="00885C09"/>
    <w:rsid w:val="00885C47"/>
    <w:rsid w:val="00885C78"/>
    <w:rsid w:val="00885C9B"/>
    <w:rsid w:val="00885CBD"/>
    <w:rsid w:val="00885D29"/>
    <w:rsid w:val="00885D44"/>
    <w:rsid w:val="00885DAB"/>
    <w:rsid w:val="00885E30"/>
    <w:rsid w:val="00885ECD"/>
    <w:rsid w:val="00885F66"/>
    <w:rsid w:val="00885FAE"/>
    <w:rsid w:val="00885FC4"/>
    <w:rsid w:val="00885FC7"/>
    <w:rsid w:val="0088603E"/>
    <w:rsid w:val="00886047"/>
    <w:rsid w:val="008860B7"/>
    <w:rsid w:val="008860D4"/>
    <w:rsid w:val="0088615D"/>
    <w:rsid w:val="0088618B"/>
    <w:rsid w:val="0088622C"/>
    <w:rsid w:val="0088622E"/>
    <w:rsid w:val="00886247"/>
    <w:rsid w:val="00886295"/>
    <w:rsid w:val="0088630E"/>
    <w:rsid w:val="0088632F"/>
    <w:rsid w:val="00886368"/>
    <w:rsid w:val="008863AB"/>
    <w:rsid w:val="008863C6"/>
    <w:rsid w:val="00886415"/>
    <w:rsid w:val="00886464"/>
    <w:rsid w:val="0088649E"/>
    <w:rsid w:val="008864A9"/>
    <w:rsid w:val="008864AA"/>
    <w:rsid w:val="00886516"/>
    <w:rsid w:val="00886538"/>
    <w:rsid w:val="0088653D"/>
    <w:rsid w:val="00886544"/>
    <w:rsid w:val="00886577"/>
    <w:rsid w:val="008865EE"/>
    <w:rsid w:val="0088663F"/>
    <w:rsid w:val="00886641"/>
    <w:rsid w:val="00886645"/>
    <w:rsid w:val="00886649"/>
    <w:rsid w:val="00886702"/>
    <w:rsid w:val="0088672F"/>
    <w:rsid w:val="00886742"/>
    <w:rsid w:val="0088676F"/>
    <w:rsid w:val="00886782"/>
    <w:rsid w:val="008867CB"/>
    <w:rsid w:val="008867F4"/>
    <w:rsid w:val="00886895"/>
    <w:rsid w:val="008868EB"/>
    <w:rsid w:val="00886931"/>
    <w:rsid w:val="008869B6"/>
    <w:rsid w:val="008869FD"/>
    <w:rsid w:val="00886A05"/>
    <w:rsid w:val="00886A57"/>
    <w:rsid w:val="00886A80"/>
    <w:rsid w:val="00886A9E"/>
    <w:rsid w:val="00886ABE"/>
    <w:rsid w:val="00886AF3"/>
    <w:rsid w:val="00886AFB"/>
    <w:rsid w:val="00886B0F"/>
    <w:rsid w:val="00886B20"/>
    <w:rsid w:val="00886B30"/>
    <w:rsid w:val="00886B89"/>
    <w:rsid w:val="00886C19"/>
    <w:rsid w:val="00886C97"/>
    <w:rsid w:val="00886C9E"/>
    <w:rsid w:val="00886DA3"/>
    <w:rsid w:val="00886DC2"/>
    <w:rsid w:val="00886EDD"/>
    <w:rsid w:val="00886EFA"/>
    <w:rsid w:val="00886F17"/>
    <w:rsid w:val="00886F42"/>
    <w:rsid w:val="00886F50"/>
    <w:rsid w:val="00886F6F"/>
    <w:rsid w:val="00887007"/>
    <w:rsid w:val="00887051"/>
    <w:rsid w:val="00887054"/>
    <w:rsid w:val="0088718F"/>
    <w:rsid w:val="008871BD"/>
    <w:rsid w:val="0088721F"/>
    <w:rsid w:val="00887277"/>
    <w:rsid w:val="00887282"/>
    <w:rsid w:val="00887291"/>
    <w:rsid w:val="008872E4"/>
    <w:rsid w:val="008872FE"/>
    <w:rsid w:val="00887314"/>
    <w:rsid w:val="00887347"/>
    <w:rsid w:val="0088734F"/>
    <w:rsid w:val="0088736E"/>
    <w:rsid w:val="0088737F"/>
    <w:rsid w:val="00887393"/>
    <w:rsid w:val="008873A5"/>
    <w:rsid w:val="00887472"/>
    <w:rsid w:val="008874E3"/>
    <w:rsid w:val="00887532"/>
    <w:rsid w:val="00887551"/>
    <w:rsid w:val="008875C6"/>
    <w:rsid w:val="008875CB"/>
    <w:rsid w:val="008875D5"/>
    <w:rsid w:val="008875E1"/>
    <w:rsid w:val="008875E4"/>
    <w:rsid w:val="00887633"/>
    <w:rsid w:val="00887646"/>
    <w:rsid w:val="0088764B"/>
    <w:rsid w:val="0088765B"/>
    <w:rsid w:val="00887687"/>
    <w:rsid w:val="008876A8"/>
    <w:rsid w:val="008876D5"/>
    <w:rsid w:val="0088772D"/>
    <w:rsid w:val="0088773F"/>
    <w:rsid w:val="0088775B"/>
    <w:rsid w:val="00887781"/>
    <w:rsid w:val="008877CB"/>
    <w:rsid w:val="00887829"/>
    <w:rsid w:val="0088782C"/>
    <w:rsid w:val="00887964"/>
    <w:rsid w:val="00887976"/>
    <w:rsid w:val="00887978"/>
    <w:rsid w:val="008879E4"/>
    <w:rsid w:val="00887A4E"/>
    <w:rsid w:val="00887A5E"/>
    <w:rsid w:val="00887B07"/>
    <w:rsid w:val="00887B0B"/>
    <w:rsid w:val="00887B0F"/>
    <w:rsid w:val="00887B19"/>
    <w:rsid w:val="00887B1D"/>
    <w:rsid w:val="00887B4B"/>
    <w:rsid w:val="00887BB2"/>
    <w:rsid w:val="00887BC0"/>
    <w:rsid w:val="00887C31"/>
    <w:rsid w:val="00887C59"/>
    <w:rsid w:val="00887C5B"/>
    <w:rsid w:val="00887C9B"/>
    <w:rsid w:val="00887C9C"/>
    <w:rsid w:val="00887CBD"/>
    <w:rsid w:val="00887CF5"/>
    <w:rsid w:val="00887D0E"/>
    <w:rsid w:val="00887D39"/>
    <w:rsid w:val="00887D3B"/>
    <w:rsid w:val="00887D57"/>
    <w:rsid w:val="00887D75"/>
    <w:rsid w:val="00887DCB"/>
    <w:rsid w:val="00887E0E"/>
    <w:rsid w:val="00887E47"/>
    <w:rsid w:val="00887E88"/>
    <w:rsid w:val="00887E9E"/>
    <w:rsid w:val="00887EDE"/>
    <w:rsid w:val="00887F11"/>
    <w:rsid w:val="00887F37"/>
    <w:rsid w:val="00887F47"/>
    <w:rsid w:val="00887F48"/>
    <w:rsid w:val="00887F72"/>
    <w:rsid w:val="00887F91"/>
    <w:rsid w:val="00887FE4"/>
    <w:rsid w:val="00890069"/>
    <w:rsid w:val="0089012A"/>
    <w:rsid w:val="008901A9"/>
    <w:rsid w:val="008901C3"/>
    <w:rsid w:val="008902E8"/>
    <w:rsid w:val="0089031B"/>
    <w:rsid w:val="008903AE"/>
    <w:rsid w:val="008903C3"/>
    <w:rsid w:val="008903C5"/>
    <w:rsid w:val="008904C9"/>
    <w:rsid w:val="008904D6"/>
    <w:rsid w:val="00890535"/>
    <w:rsid w:val="00890539"/>
    <w:rsid w:val="00890556"/>
    <w:rsid w:val="00890559"/>
    <w:rsid w:val="008905C8"/>
    <w:rsid w:val="00890608"/>
    <w:rsid w:val="0089063A"/>
    <w:rsid w:val="0089066B"/>
    <w:rsid w:val="00890683"/>
    <w:rsid w:val="00890684"/>
    <w:rsid w:val="00890690"/>
    <w:rsid w:val="008906E1"/>
    <w:rsid w:val="00890733"/>
    <w:rsid w:val="0089074B"/>
    <w:rsid w:val="00890756"/>
    <w:rsid w:val="0089075D"/>
    <w:rsid w:val="0089077E"/>
    <w:rsid w:val="0089078D"/>
    <w:rsid w:val="0089078E"/>
    <w:rsid w:val="0089079A"/>
    <w:rsid w:val="00890855"/>
    <w:rsid w:val="008908B7"/>
    <w:rsid w:val="008908E8"/>
    <w:rsid w:val="00890953"/>
    <w:rsid w:val="008909BB"/>
    <w:rsid w:val="00890A3F"/>
    <w:rsid w:val="00890A5F"/>
    <w:rsid w:val="00890A7B"/>
    <w:rsid w:val="00890A98"/>
    <w:rsid w:val="00890B62"/>
    <w:rsid w:val="00890BB2"/>
    <w:rsid w:val="00890D2A"/>
    <w:rsid w:val="00890D2F"/>
    <w:rsid w:val="00890D71"/>
    <w:rsid w:val="00890DC9"/>
    <w:rsid w:val="00890E5D"/>
    <w:rsid w:val="00890E8C"/>
    <w:rsid w:val="00890EF5"/>
    <w:rsid w:val="00890EF6"/>
    <w:rsid w:val="00890F2F"/>
    <w:rsid w:val="00890F77"/>
    <w:rsid w:val="00890F85"/>
    <w:rsid w:val="00890F94"/>
    <w:rsid w:val="00891082"/>
    <w:rsid w:val="0089109A"/>
    <w:rsid w:val="00891169"/>
    <w:rsid w:val="008911B8"/>
    <w:rsid w:val="0089124A"/>
    <w:rsid w:val="00891250"/>
    <w:rsid w:val="00891279"/>
    <w:rsid w:val="00891281"/>
    <w:rsid w:val="00891354"/>
    <w:rsid w:val="008913C2"/>
    <w:rsid w:val="008913FC"/>
    <w:rsid w:val="0089143D"/>
    <w:rsid w:val="00891482"/>
    <w:rsid w:val="0089148C"/>
    <w:rsid w:val="00891498"/>
    <w:rsid w:val="008914B3"/>
    <w:rsid w:val="008914EE"/>
    <w:rsid w:val="0089154E"/>
    <w:rsid w:val="008915B6"/>
    <w:rsid w:val="008915F5"/>
    <w:rsid w:val="0089161A"/>
    <w:rsid w:val="0089161D"/>
    <w:rsid w:val="00891629"/>
    <w:rsid w:val="0089163C"/>
    <w:rsid w:val="00891665"/>
    <w:rsid w:val="0089167D"/>
    <w:rsid w:val="0089169D"/>
    <w:rsid w:val="008916C6"/>
    <w:rsid w:val="0089171B"/>
    <w:rsid w:val="0089175C"/>
    <w:rsid w:val="00891882"/>
    <w:rsid w:val="008918FB"/>
    <w:rsid w:val="00891962"/>
    <w:rsid w:val="0089196B"/>
    <w:rsid w:val="008919F6"/>
    <w:rsid w:val="00891A93"/>
    <w:rsid w:val="00891A96"/>
    <w:rsid w:val="00891AEE"/>
    <w:rsid w:val="00891B05"/>
    <w:rsid w:val="00891B25"/>
    <w:rsid w:val="00891BB7"/>
    <w:rsid w:val="00891C13"/>
    <w:rsid w:val="00891C31"/>
    <w:rsid w:val="00891C3D"/>
    <w:rsid w:val="00891C5D"/>
    <w:rsid w:val="00891CC9"/>
    <w:rsid w:val="00891D1E"/>
    <w:rsid w:val="00891D57"/>
    <w:rsid w:val="00891D84"/>
    <w:rsid w:val="00891D92"/>
    <w:rsid w:val="00891D94"/>
    <w:rsid w:val="00891DA1"/>
    <w:rsid w:val="00891DB0"/>
    <w:rsid w:val="00891DCF"/>
    <w:rsid w:val="00891DF6"/>
    <w:rsid w:val="00891E0A"/>
    <w:rsid w:val="00891E7A"/>
    <w:rsid w:val="00891E97"/>
    <w:rsid w:val="00891EE3"/>
    <w:rsid w:val="00891EE4"/>
    <w:rsid w:val="00891EFB"/>
    <w:rsid w:val="00891F1B"/>
    <w:rsid w:val="00891F2E"/>
    <w:rsid w:val="00891F4B"/>
    <w:rsid w:val="00891F57"/>
    <w:rsid w:val="00891F85"/>
    <w:rsid w:val="00891F88"/>
    <w:rsid w:val="00891F90"/>
    <w:rsid w:val="00892068"/>
    <w:rsid w:val="008920A0"/>
    <w:rsid w:val="008920D1"/>
    <w:rsid w:val="008920FD"/>
    <w:rsid w:val="00892228"/>
    <w:rsid w:val="0089222B"/>
    <w:rsid w:val="0089225F"/>
    <w:rsid w:val="00892283"/>
    <w:rsid w:val="0089228D"/>
    <w:rsid w:val="008922AD"/>
    <w:rsid w:val="008922B5"/>
    <w:rsid w:val="008922CB"/>
    <w:rsid w:val="00892308"/>
    <w:rsid w:val="0089231B"/>
    <w:rsid w:val="0089236D"/>
    <w:rsid w:val="00892393"/>
    <w:rsid w:val="008923C2"/>
    <w:rsid w:val="008923C6"/>
    <w:rsid w:val="00892466"/>
    <w:rsid w:val="008924B2"/>
    <w:rsid w:val="008924B3"/>
    <w:rsid w:val="0089254E"/>
    <w:rsid w:val="00892553"/>
    <w:rsid w:val="00892564"/>
    <w:rsid w:val="008925D9"/>
    <w:rsid w:val="00892601"/>
    <w:rsid w:val="00892604"/>
    <w:rsid w:val="00892645"/>
    <w:rsid w:val="0089264E"/>
    <w:rsid w:val="0089267D"/>
    <w:rsid w:val="008926FB"/>
    <w:rsid w:val="0089279C"/>
    <w:rsid w:val="008927D2"/>
    <w:rsid w:val="008927FA"/>
    <w:rsid w:val="008928F7"/>
    <w:rsid w:val="00892910"/>
    <w:rsid w:val="00892951"/>
    <w:rsid w:val="00892995"/>
    <w:rsid w:val="008929AE"/>
    <w:rsid w:val="008929DA"/>
    <w:rsid w:val="00892A85"/>
    <w:rsid w:val="00892ABA"/>
    <w:rsid w:val="00892B0A"/>
    <w:rsid w:val="00892B2B"/>
    <w:rsid w:val="00892BCB"/>
    <w:rsid w:val="00892BFA"/>
    <w:rsid w:val="00892C13"/>
    <w:rsid w:val="00892C3F"/>
    <w:rsid w:val="00892C88"/>
    <w:rsid w:val="00892D4D"/>
    <w:rsid w:val="00892DF1"/>
    <w:rsid w:val="00892E65"/>
    <w:rsid w:val="00892ECB"/>
    <w:rsid w:val="00892EF5"/>
    <w:rsid w:val="00892EF6"/>
    <w:rsid w:val="00892EF8"/>
    <w:rsid w:val="00892F00"/>
    <w:rsid w:val="00892F18"/>
    <w:rsid w:val="00892F22"/>
    <w:rsid w:val="00892F3A"/>
    <w:rsid w:val="00892F7C"/>
    <w:rsid w:val="00892F97"/>
    <w:rsid w:val="00892FC7"/>
    <w:rsid w:val="0089301C"/>
    <w:rsid w:val="00893106"/>
    <w:rsid w:val="00893117"/>
    <w:rsid w:val="00893184"/>
    <w:rsid w:val="008931EF"/>
    <w:rsid w:val="0089324F"/>
    <w:rsid w:val="00893263"/>
    <w:rsid w:val="008932B1"/>
    <w:rsid w:val="00893334"/>
    <w:rsid w:val="00893382"/>
    <w:rsid w:val="00893407"/>
    <w:rsid w:val="00893430"/>
    <w:rsid w:val="00893484"/>
    <w:rsid w:val="008934BD"/>
    <w:rsid w:val="00893546"/>
    <w:rsid w:val="00893594"/>
    <w:rsid w:val="008935D2"/>
    <w:rsid w:val="008935D4"/>
    <w:rsid w:val="008935E4"/>
    <w:rsid w:val="008936D4"/>
    <w:rsid w:val="008936E4"/>
    <w:rsid w:val="008936F2"/>
    <w:rsid w:val="008936F5"/>
    <w:rsid w:val="00893701"/>
    <w:rsid w:val="00893734"/>
    <w:rsid w:val="00893794"/>
    <w:rsid w:val="008937A7"/>
    <w:rsid w:val="00893817"/>
    <w:rsid w:val="00893874"/>
    <w:rsid w:val="00893883"/>
    <w:rsid w:val="008938AC"/>
    <w:rsid w:val="008938D5"/>
    <w:rsid w:val="00893923"/>
    <w:rsid w:val="00893983"/>
    <w:rsid w:val="008939F4"/>
    <w:rsid w:val="00893A2F"/>
    <w:rsid w:val="00893AA1"/>
    <w:rsid w:val="00893AD9"/>
    <w:rsid w:val="00893B15"/>
    <w:rsid w:val="00893B1B"/>
    <w:rsid w:val="00893B38"/>
    <w:rsid w:val="00893BD7"/>
    <w:rsid w:val="00893BEF"/>
    <w:rsid w:val="00893CC9"/>
    <w:rsid w:val="00893CE4"/>
    <w:rsid w:val="00893CEC"/>
    <w:rsid w:val="00893CF2"/>
    <w:rsid w:val="00893CFA"/>
    <w:rsid w:val="00893D08"/>
    <w:rsid w:val="00893D8D"/>
    <w:rsid w:val="00893DDC"/>
    <w:rsid w:val="00893E2E"/>
    <w:rsid w:val="00893E99"/>
    <w:rsid w:val="00893EC1"/>
    <w:rsid w:val="00893ED9"/>
    <w:rsid w:val="00893EDF"/>
    <w:rsid w:val="00893EFD"/>
    <w:rsid w:val="00893F0A"/>
    <w:rsid w:val="00893F60"/>
    <w:rsid w:val="00893F9E"/>
    <w:rsid w:val="0089401B"/>
    <w:rsid w:val="00894093"/>
    <w:rsid w:val="00894135"/>
    <w:rsid w:val="00894157"/>
    <w:rsid w:val="0089417C"/>
    <w:rsid w:val="008941A4"/>
    <w:rsid w:val="008941A7"/>
    <w:rsid w:val="008941B1"/>
    <w:rsid w:val="008941C4"/>
    <w:rsid w:val="00894235"/>
    <w:rsid w:val="0089424D"/>
    <w:rsid w:val="00894264"/>
    <w:rsid w:val="00894321"/>
    <w:rsid w:val="00894394"/>
    <w:rsid w:val="008943D2"/>
    <w:rsid w:val="00894441"/>
    <w:rsid w:val="008944F5"/>
    <w:rsid w:val="00894573"/>
    <w:rsid w:val="00894576"/>
    <w:rsid w:val="00894587"/>
    <w:rsid w:val="008945AA"/>
    <w:rsid w:val="00894616"/>
    <w:rsid w:val="0089464D"/>
    <w:rsid w:val="008946CE"/>
    <w:rsid w:val="0089470A"/>
    <w:rsid w:val="0089475F"/>
    <w:rsid w:val="008947C3"/>
    <w:rsid w:val="008947EE"/>
    <w:rsid w:val="0089480D"/>
    <w:rsid w:val="008948F0"/>
    <w:rsid w:val="00894901"/>
    <w:rsid w:val="00894957"/>
    <w:rsid w:val="008949B4"/>
    <w:rsid w:val="00894A06"/>
    <w:rsid w:val="00894ADE"/>
    <w:rsid w:val="00894AE7"/>
    <w:rsid w:val="00894B12"/>
    <w:rsid w:val="00894B3C"/>
    <w:rsid w:val="00894B83"/>
    <w:rsid w:val="00894BBB"/>
    <w:rsid w:val="00894C00"/>
    <w:rsid w:val="00894C03"/>
    <w:rsid w:val="00894C2A"/>
    <w:rsid w:val="00894C39"/>
    <w:rsid w:val="00894C53"/>
    <w:rsid w:val="00894D03"/>
    <w:rsid w:val="00894D74"/>
    <w:rsid w:val="00894D76"/>
    <w:rsid w:val="00894D85"/>
    <w:rsid w:val="00894D94"/>
    <w:rsid w:val="00894DB8"/>
    <w:rsid w:val="00894F5D"/>
    <w:rsid w:val="00894F75"/>
    <w:rsid w:val="00894F81"/>
    <w:rsid w:val="00894FF5"/>
    <w:rsid w:val="00895085"/>
    <w:rsid w:val="00895140"/>
    <w:rsid w:val="008951CF"/>
    <w:rsid w:val="0089520B"/>
    <w:rsid w:val="00895234"/>
    <w:rsid w:val="00895244"/>
    <w:rsid w:val="00895289"/>
    <w:rsid w:val="00895294"/>
    <w:rsid w:val="008952BA"/>
    <w:rsid w:val="00895308"/>
    <w:rsid w:val="00895348"/>
    <w:rsid w:val="0089539B"/>
    <w:rsid w:val="008953B0"/>
    <w:rsid w:val="008953B4"/>
    <w:rsid w:val="008953E3"/>
    <w:rsid w:val="008954AB"/>
    <w:rsid w:val="008954B8"/>
    <w:rsid w:val="008954D4"/>
    <w:rsid w:val="0089551D"/>
    <w:rsid w:val="00895566"/>
    <w:rsid w:val="00895582"/>
    <w:rsid w:val="008955A1"/>
    <w:rsid w:val="008955A5"/>
    <w:rsid w:val="0089563B"/>
    <w:rsid w:val="008956D3"/>
    <w:rsid w:val="00895701"/>
    <w:rsid w:val="00895727"/>
    <w:rsid w:val="00895799"/>
    <w:rsid w:val="008957D3"/>
    <w:rsid w:val="008957F0"/>
    <w:rsid w:val="008957FB"/>
    <w:rsid w:val="00895810"/>
    <w:rsid w:val="00895813"/>
    <w:rsid w:val="0089582E"/>
    <w:rsid w:val="00895833"/>
    <w:rsid w:val="00895834"/>
    <w:rsid w:val="00895885"/>
    <w:rsid w:val="008958AA"/>
    <w:rsid w:val="008958B8"/>
    <w:rsid w:val="008958DE"/>
    <w:rsid w:val="008958EB"/>
    <w:rsid w:val="00895924"/>
    <w:rsid w:val="008959A4"/>
    <w:rsid w:val="00895A24"/>
    <w:rsid w:val="00895A32"/>
    <w:rsid w:val="00895A66"/>
    <w:rsid w:val="00895AF7"/>
    <w:rsid w:val="00895B30"/>
    <w:rsid w:val="00895BE7"/>
    <w:rsid w:val="00895C25"/>
    <w:rsid w:val="00895CE8"/>
    <w:rsid w:val="00895CEC"/>
    <w:rsid w:val="00895CFC"/>
    <w:rsid w:val="00895D5E"/>
    <w:rsid w:val="00895D6C"/>
    <w:rsid w:val="00895DBB"/>
    <w:rsid w:val="00895DCB"/>
    <w:rsid w:val="00895DE8"/>
    <w:rsid w:val="00895E06"/>
    <w:rsid w:val="00895E7A"/>
    <w:rsid w:val="00895E84"/>
    <w:rsid w:val="00895E97"/>
    <w:rsid w:val="00895EB1"/>
    <w:rsid w:val="00895F33"/>
    <w:rsid w:val="00895F5B"/>
    <w:rsid w:val="00895F9F"/>
    <w:rsid w:val="00895FA4"/>
    <w:rsid w:val="00895FC8"/>
    <w:rsid w:val="00895FE3"/>
    <w:rsid w:val="00896000"/>
    <w:rsid w:val="00896020"/>
    <w:rsid w:val="0089602D"/>
    <w:rsid w:val="0089602F"/>
    <w:rsid w:val="008960AC"/>
    <w:rsid w:val="008960B6"/>
    <w:rsid w:val="008960EB"/>
    <w:rsid w:val="0089612D"/>
    <w:rsid w:val="0089613D"/>
    <w:rsid w:val="00896158"/>
    <w:rsid w:val="0089615D"/>
    <w:rsid w:val="008961EA"/>
    <w:rsid w:val="008961EE"/>
    <w:rsid w:val="00896243"/>
    <w:rsid w:val="00896292"/>
    <w:rsid w:val="008962F7"/>
    <w:rsid w:val="0089630B"/>
    <w:rsid w:val="00896311"/>
    <w:rsid w:val="00896313"/>
    <w:rsid w:val="00896478"/>
    <w:rsid w:val="00896479"/>
    <w:rsid w:val="00896497"/>
    <w:rsid w:val="008964FC"/>
    <w:rsid w:val="00896590"/>
    <w:rsid w:val="008965A0"/>
    <w:rsid w:val="008965B0"/>
    <w:rsid w:val="008965F6"/>
    <w:rsid w:val="008965F8"/>
    <w:rsid w:val="00896638"/>
    <w:rsid w:val="0089665F"/>
    <w:rsid w:val="008966A9"/>
    <w:rsid w:val="008966E0"/>
    <w:rsid w:val="00896703"/>
    <w:rsid w:val="00896750"/>
    <w:rsid w:val="0089676A"/>
    <w:rsid w:val="008967EF"/>
    <w:rsid w:val="008967F5"/>
    <w:rsid w:val="0089682C"/>
    <w:rsid w:val="00896846"/>
    <w:rsid w:val="00896854"/>
    <w:rsid w:val="00896881"/>
    <w:rsid w:val="008968EB"/>
    <w:rsid w:val="008968F4"/>
    <w:rsid w:val="00896955"/>
    <w:rsid w:val="00896963"/>
    <w:rsid w:val="00896A39"/>
    <w:rsid w:val="00896A41"/>
    <w:rsid w:val="00896AA9"/>
    <w:rsid w:val="00896AC8"/>
    <w:rsid w:val="00896AEF"/>
    <w:rsid w:val="00896B4B"/>
    <w:rsid w:val="00896B9D"/>
    <w:rsid w:val="00896BD0"/>
    <w:rsid w:val="00896CE5"/>
    <w:rsid w:val="00896D4F"/>
    <w:rsid w:val="00896E4D"/>
    <w:rsid w:val="00896E6E"/>
    <w:rsid w:val="00896F5D"/>
    <w:rsid w:val="00896F5E"/>
    <w:rsid w:val="00896F60"/>
    <w:rsid w:val="00896F86"/>
    <w:rsid w:val="00896FC9"/>
    <w:rsid w:val="00896FF3"/>
    <w:rsid w:val="00897067"/>
    <w:rsid w:val="0089707C"/>
    <w:rsid w:val="008970A5"/>
    <w:rsid w:val="008970DE"/>
    <w:rsid w:val="0089710C"/>
    <w:rsid w:val="00897197"/>
    <w:rsid w:val="008971AD"/>
    <w:rsid w:val="008971B2"/>
    <w:rsid w:val="008971D9"/>
    <w:rsid w:val="0089723E"/>
    <w:rsid w:val="00897265"/>
    <w:rsid w:val="00897282"/>
    <w:rsid w:val="0089728F"/>
    <w:rsid w:val="008972B4"/>
    <w:rsid w:val="008972CE"/>
    <w:rsid w:val="0089734A"/>
    <w:rsid w:val="00897351"/>
    <w:rsid w:val="008973AB"/>
    <w:rsid w:val="008973EA"/>
    <w:rsid w:val="008973F3"/>
    <w:rsid w:val="00897429"/>
    <w:rsid w:val="008974B6"/>
    <w:rsid w:val="008974F5"/>
    <w:rsid w:val="0089751F"/>
    <w:rsid w:val="00897566"/>
    <w:rsid w:val="00897594"/>
    <w:rsid w:val="008975BA"/>
    <w:rsid w:val="008975D3"/>
    <w:rsid w:val="00897645"/>
    <w:rsid w:val="00897667"/>
    <w:rsid w:val="0089766C"/>
    <w:rsid w:val="00897688"/>
    <w:rsid w:val="0089768B"/>
    <w:rsid w:val="008976AA"/>
    <w:rsid w:val="008976CC"/>
    <w:rsid w:val="008976D8"/>
    <w:rsid w:val="00897718"/>
    <w:rsid w:val="008977C4"/>
    <w:rsid w:val="008977CE"/>
    <w:rsid w:val="0089782B"/>
    <w:rsid w:val="0089782D"/>
    <w:rsid w:val="00897844"/>
    <w:rsid w:val="00897870"/>
    <w:rsid w:val="008978B1"/>
    <w:rsid w:val="008978EE"/>
    <w:rsid w:val="008978FE"/>
    <w:rsid w:val="00897956"/>
    <w:rsid w:val="00897986"/>
    <w:rsid w:val="00897A0E"/>
    <w:rsid w:val="00897A40"/>
    <w:rsid w:val="00897A4B"/>
    <w:rsid w:val="00897A69"/>
    <w:rsid w:val="00897A91"/>
    <w:rsid w:val="00897AB2"/>
    <w:rsid w:val="00897AED"/>
    <w:rsid w:val="00897AEF"/>
    <w:rsid w:val="00897B31"/>
    <w:rsid w:val="00897B35"/>
    <w:rsid w:val="00897B5E"/>
    <w:rsid w:val="00897BC3"/>
    <w:rsid w:val="00897C03"/>
    <w:rsid w:val="00897C54"/>
    <w:rsid w:val="00897CAC"/>
    <w:rsid w:val="00897CF4"/>
    <w:rsid w:val="00897D01"/>
    <w:rsid w:val="00897D07"/>
    <w:rsid w:val="00897D21"/>
    <w:rsid w:val="00897DA6"/>
    <w:rsid w:val="00897DE7"/>
    <w:rsid w:val="00897E1E"/>
    <w:rsid w:val="00897E39"/>
    <w:rsid w:val="00897E65"/>
    <w:rsid w:val="00897ED5"/>
    <w:rsid w:val="00897F07"/>
    <w:rsid w:val="00897F8C"/>
    <w:rsid w:val="00897FD5"/>
    <w:rsid w:val="00897FDA"/>
    <w:rsid w:val="008A0058"/>
    <w:rsid w:val="008A00A6"/>
    <w:rsid w:val="008A00B2"/>
    <w:rsid w:val="008A00D0"/>
    <w:rsid w:val="008A00F0"/>
    <w:rsid w:val="008A0174"/>
    <w:rsid w:val="008A0179"/>
    <w:rsid w:val="008A027A"/>
    <w:rsid w:val="008A02E5"/>
    <w:rsid w:val="008A0314"/>
    <w:rsid w:val="008A03B2"/>
    <w:rsid w:val="008A03D7"/>
    <w:rsid w:val="008A043A"/>
    <w:rsid w:val="008A046B"/>
    <w:rsid w:val="008A04B9"/>
    <w:rsid w:val="008A04BF"/>
    <w:rsid w:val="008A04D6"/>
    <w:rsid w:val="008A04E8"/>
    <w:rsid w:val="008A050C"/>
    <w:rsid w:val="008A0526"/>
    <w:rsid w:val="008A0566"/>
    <w:rsid w:val="008A05A3"/>
    <w:rsid w:val="008A05B2"/>
    <w:rsid w:val="008A05BD"/>
    <w:rsid w:val="008A062D"/>
    <w:rsid w:val="008A062F"/>
    <w:rsid w:val="008A066E"/>
    <w:rsid w:val="008A06DA"/>
    <w:rsid w:val="008A0720"/>
    <w:rsid w:val="008A0773"/>
    <w:rsid w:val="008A07AE"/>
    <w:rsid w:val="008A07B9"/>
    <w:rsid w:val="008A07EB"/>
    <w:rsid w:val="008A07F8"/>
    <w:rsid w:val="008A0807"/>
    <w:rsid w:val="008A08D7"/>
    <w:rsid w:val="008A090F"/>
    <w:rsid w:val="008A0929"/>
    <w:rsid w:val="008A0941"/>
    <w:rsid w:val="008A094C"/>
    <w:rsid w:val="008A09A8"/>
    <w:rsid w:val="008A0A22"/>
    <w:rsid w:val="008A0A7B"/>
    <w:rsid w:val="008A0ACB"/>
    <w:rsid w:val="008A0ACC"/>
    <w:rsid w:val="008A0AEF"/>
    <w:rsid w:val="008A0AF7"/>
    <w:rsid w:val="008A0B09"/>
    <w:rsid w:val="008A0B48"/>
    <w:rsid w:val="008A0B63"/>
    <w:rsid w:val="008A0C31"/>
    <w:rsid w:val="008A0C45"/>
    <w:rsid w:val="008A0C65"/>
    <w:rsid w:val="008A0C8E"/>
    <w:rsid w:val="008A0D45"/>
    <w:rsid w:val="008A0D88"/>
    <w:rsid w:val="008A0DD3"/>
    <w:rsid w:val="008A0E6F"/>
    <w:rsid w:val="008A0E7F"/>
    <w:rsid w:val="008A101D"/>
    <w:rsid w:val="008A104E"/>
    <w:rsid w:val="008A105D"/>
    <w:rsid w:val="008A1076"/>
    <w:rsid w:val="008A1101"/>
    <w:rsid w:val="008A112F"/>
    <w:rsid w:val="008A1134"/>
    <w:rsid w:val="008A117C"/>
    <w:rsid w:val="008A11D5"/>
    <w:rsid w:val="008A1213"/>
    <w:rsid w:val="008A122D"/>
    <w:rsid w:val="008A1232"/>
    <w:rsid w:val="008A125E"/>
    <w:rsid w:val="008A1290"/>
    <w:rsid w:val="008A1298"/>
    <w:rsid w:val="008A1318"/>
    <w:rsid w:val="008A136B"/>
    <w:rsid w:val="008A1389"/>
    <w:rsid w:val="008A1400"/>
    <w:rsid w:val="008A1490"/>
    <w:rsid w:val="008A149D"/>
    <w:rsid w:val="008A14CE"/>
    <w:rsid w:val="008A14E7"/>
    <w:rsid w:val="008A1514"/>
    <w:rsid w:val="008A1518"/>
    <w:rsid w:val="008A152F"/>
    <w:rsid w:val="008A1564"/>
    <w:rsid w:val="008A1596"/>
    <w:rsid w:val="008A15A6"/>
    <w:rsid w:val="008A15E4"/>
    <w:rsid w:val="008A161B"/>
    <w:rsid w:val="008A1690"/>
    <w:rsid w:val="008A16BC"/>
    <w:rsid w:val="008A16E8"/>
    <w:rsid w:val="008A16FD"/>
    <w:rsid w:val="008A1727"/>
    <w:rsid w:val="008A1737"/>
    <w:rsid w:val="008A175D"/>
    <w:rsid w:val="008A17C0"/>
    <w:rsid w:val="008A183A"/>
    <w:rsid w:val="008A184C"/>
    <w:rsid w:val="008A1859"/>
    <w:rsid w:val="008A1954"/>
    <w:rsid w:val="008A1967"/>
    <w:rsid w:val="008A19E5"/>
    <w:rsid w:val="008A1A07"/>
    <w:rsid w:val="008A1A0F"/>
    <w:rsid w:val="008A1A20"/>
    <w:rsid w:val="008A1AA4"/>
    <w:rsid w:val="008A1AB4"/>
    <w:rsid w:val="008A1AE0"/>
    <w:rsid w:val="008A1B21"/>
    <w:rsid w:val="008A1B52"/>
    <w:rsid w:val="008A1BB3"/>
    <w:rsid w:val="008A1BE2"/>
    <w:rsid w:val="008A1CA3"/>
    <w:rsid w:val="008A1CAF"/>
    <w:rsid w:val="008A1CC2"/>
    <w:rsid w:val="008A1CEA"/>
    <w:rsid w:val="008A1D07"/>
    <w:rsid w:val="008A1D39"/>
    <w:rsid w:val="008A1D9B"/>
    <w:rsid w:val="008A1DEF"/>
    <w:rsid w:val="008A1DF7"/>
    <w:rsid w:val="008A1E37"/>
    <w:rsid w:val="008A1E3B"/>
    <w:rsid w:val="008A1E42"/>
    <w:rsid w:val="008A1E8C"/>
    <w:rsid w:val="008A1EBE"/>
    <w:rsid w:val="008A1F18"/>
    <w:rsid w:val="008A1F4B"/>
    <w:rsid w:val="008A1F7F"/>
    <w:rsid w:val="008A2005"/>
    <w:rsid w:val="008A202C"/>
    <w:rsid w:val="008A2084"/>
    <w:rsid w:val="008A208B"/>
    <w:rsid w:val="008A2098"/>
    <w:rsid w:val="008A2112"/>
    <w:rsid w:val="008A2149"/>
    <w:rsid w:val="008A214E"/>
    <w:rsid w:val="008A217B"/>
    <w:rsid w:val="008A21F9"/>
    <w:rsid w:val="008A2205"/>
    <w:rsid w:val="008A2213"/>
    <w:rsid w:val="008A2233"/>
    <w:rsid w:val="008A226D"/>
    <w:rsid w:val="008A228C"/>
    <w:rsid w:val="008A2298"/>
    <w:rsid w:val="008A22F0"/>
    <w:rsid w:val="008A22F8"/>
    <w:rsid w:val="008A2310"/>
    <w:rsid w:val="008A2312"/>
    <w:rsid w:val="008A2337"/>
    <w:rsid w:val="008A235B"/>
    <w:rsid w:val="008A23B5"/>
    <w:rsid w:val="008A23B7"/>
    <w:rsid w:val="008A23BE"/>
    <w:rsid w:val="008A23C5"/>
    <w:rsid w:val="008A2416"/>
    <w:rsid w:val="008A2423"/>
    <w:rsid w:val="008A24AD"/>
    <w:rsid w:val="008A24CC"/>
    <w:rsid w:val="008A24D7"/>
    <w:rsid w:val="008A24DF"/>
    <w:rsid w:val="008A2501"/>
    <w:rsid w:val="008A257A"/>
    <w:rsid w:val="008A258A"/>
    <w:rsid w:val="008A25BB"/>
    <w:rsid w:val="008A26BB"/>
    <w:rsid w:val="008A2727"/>
    <w:rsid w:val="008A2740"/>
    <w:rsid w:val="008A2796"/>
    <w:rsid w:val="008A27E3"/>
    <w:rsid w:val="008A27E8"/>
    <w:rsid w:val="008A286E"/>
    <w:rsid w:val="008A28A2"/>
    <w:rsid w:val="008A29B8"/>
    <w:rsid w:val="008A29C8"/>
    <w:rsid w:val="008A29FC"/>
    <w:rsid w:val="008A2A07"/>
    <w:rsid w:val="008A2A40"/>
    <w:rsid w:val="008A2A44"/>
    <w:rsid w:val="008A2A4F"/>
    <w:rsid w:val="008A2A88"/>
    <w:rsid w:val="008A2AF9"/>
    <w:rsid w:val="008A2B25"/>
    <w:rsid w:val="008A2B41"/>
    <w:rsid w:val="008A2C0C"/>
    <w:rsid w:val="008A2C1C"/>
    <w:rsid w:val="008A2C3F"/>
    <w:rsid w:val="008A2C94"/>
    <w:rsid w:val="008A2CD7"/>
    <w:rsid w:val="008A2D0E"/>
    <w:rsid w:val="008A2D6B"/>
    <w:rsid w:val="008A2D90"/>
    <w:rsid w:val="008A2DB6"/>
    <w:rsid w:val="008A2E26"/>
    <w:rsid w:val="008A2E8B"/>
    <w:rsid w:val="008A2EBB"/>
    <w:rsid w:val="008A2F66"/>
    <w:rsid w:val="008A2F9E"/>
    <w:rsid w:val="008A3013"/>
    <w:rsid w:val="008A3014"/>
    <w:rsid w:val="008A30B9"/>
    <w:rsid w:val="008A30CB"/>
    <w:rsid w:val="008A30CC"/>
    <w:rsid w:val="008A30F9"/>
    <w:rsid w:val="008A310B"/>
    <w:rsid w:val="008A3114"/>
    <w:rsid w:val="008A3151"/>
    <w:rsid w:val="008A3226"/>
    <w:rsid w:val="008A325D"/>
    <w:rsid w:val="008A32C9"/>
    <w:rsid w:val="008A32D6"/>
    <w:rsid w:val="008A3333"/>
    <w:rsid w:val="008A33B8"/>
    <w:rsid w:val="008A33C6"/>
    <w:rsid w:val="008A33F3"/>
    <w:rsid w:val="008A3406"/>
    <w:rsid w:val="008A3416"/>
    <w:rsid w:val="008A3449"/>
    <w:rsid w:val="008A34A4"/>
    <w:rsid w:val="008A34F8"/>
    <w:rsid w:val="008A34FC"/>
    <w:rsid w:val="008A3513"/>
    <w:rsid w:val="008A3537"/>
    <w:rsid w:val="008A355D"/>
    <w:rsid w:val="008A3562"/>
    <w:rsid w:val="008A3575"/>
    <w:rsid w:val="008A35FF"/>
    <w:rsid w:val="008A3643"/>
    <w:rsid w:val="008A3672"/>
    <w:rsid w:val="008A36BF"/>
    <w:rsid w:val="008A36E1"/>
    <w:rsid w:val="008A373C"/>
    <w:rsid w:val="008A3756"/>
    <w:rsid w:val="008A3797"/>
    <w:rsid w:val="008A384F"/>
    <w:rsid w:val="008A3877"/>
    <w:rsid w:val="008A3878"/>
    <w:rsid w:val="008A38D5"/>
    <w:rsid w:val="008A38E2"/>
    <w:rsid w:val="008A3911"/>
    <w:rsid w:val="008A3931"/>
    <w:rsid w:val="008A3981"/>
    <w:rsid w:val="008A3A65"/>
    <w:rsid w:val="008A3A6A"/>
    <w:rsid w:val="008A3A6B"/>
    <w:rsid w:val="008A3AAB"/>
    <w:rsid w:val="008A3AAE"/>
    <w:rsid w:val="008A3B5D"/>
    <w:rsid w:val="008A3B80"/>
    <w:rsid w:val="008A3BC3"/>
    <w:rsid w:val="008A3C53"/>
    <w:rsid w:val="008A3C59"/>
    <w:rsid w:val="008A3C8E"/>
    <w:rsid w:val="008A3CB6"/>
    <w:rsid w:val="008A3D1C"/>
    <w:rsid w:val="008A3D1F"/>
    <w:rsid w:val="008A3D46"/>
    <w:rsid w:val="008A3DBB"/>
    <w:rsid w:val="008A3DCC"/>
    <w:rsid w:val="008A3DE9"/>
    <w:rsid w:val="008A3E48"/>
    <w:rsid w:val="008A3E5B"/>
    <w:rsid w:val="008A3F19"/>
    <w:rsid w:val="008A3F23"/>
    <w:rsid w:val="008A3F70"/>
    <w:rsid w:val="008A3F9C"/>
    <w:rsid w:val="008A3FC4"/>
    <w:rsid w:val="008A3FE0"/>
    <w:rsid w:val="008A3FFC"/>
    <w:rsid w:val="008A4007"/>
    <w:rsid w:val="008A4027"/>
    <w:rsid w:val="008A402C"/>
    <w:rsid w:val="008A4036"/>
    <w:rsid w:val="008A4042"/>
    <w:rsid w:val="008A404F"/>
    <w:rsid w:val="008A4055"/>
    <w:rsid w:val="008A405C"/>
    <w:rsid w:val="008A4072"/>
    <w:rsid w:val="008A40A5"/>
    <w:rsid w:val="008A40E6"/>
    <w:rsid w:val="008A4108"/>
    <w:rsid w:val="008A4143"/>
    <w:rsid w:val="008A4160"/>
    <w:rsid w:val="008A4194"/>
    <w:rsid w:val="008A41CD"/>
    <w:rsid w:val="008A41CE"/>
    <w:rsid w:val="008A420D"/>
    <w:rsid w:val="008A4247"/>
    <w:rsid w:val="008A42E9"/>
    <w:rsid w:val="008A42F2"/>
    <w:rsid w:val="008A42F3"/>
    <w:rsid w:val="008A4304"/>
    <w:rsid w:val="008A4380"/>
    <w:rsid w:val="008A4395"/>
    <w:rsid w:val="008A441F"/>
    <w:rsid w:val="008A442C"/>
    <w:rsid w:val="008A446B"/>
    <w:rsid w:val="008A448C"/>
    <w:rsid w:val="008A44DB"/>
    <w:rsid w:val="008A44E2"/>
    <w:rsid w:val="008A454A"/>
    <w:rsid w:val="008A4564"/>
    <w:rsid w:val="008A4596"/>
    <w:rsid w:val="008A45B6"/>
    <w:rsid w:val="008A45FC"/>
    <w:rsid w:val="008A461B"/>
    <w:rsid w:val="008A4624"/>
    <w:rsid w:val="008A46D6"/>
    <w:rsid w:val="008A475F"/>
    <w:rsid w:val="008A47AB"/>
    <w:rsid w:val="008A484F"/>
    <w:rsid w:val="008A48A9"/>
    <w:rsid w:val="008A48B7"/>
    <w:rsid w:val="008A48CC"/>
    <w:rsid w:val="008A4901"/>
    <w:rsid w:val="008A49C6"/>
    <w:rsid w:val="008A49D3"/>
    <w:rsid w:val="008A4A5C"/>
    <w:rsid w:val="008A4A71"/>
    <w:rsid w:val="008A4A85"/>
    <w:rsid w:val="008A4AF2"/>
    <w:rsid w:val="008A4B1A"/>
    <w:rsid w:val="008A4B9B"/>
    <w:rsid w:val="008A4BBA"/>
    <w:rsid w:val="008A4BDF"/>
    <w:rsid w:val="008A4BF2"/>
    <w:rsid w:val="008A4C30"/>
    <w:rsid w:val="008A4C90"/>
    <w:rsid w:val="008A4CD3"/>
    <w:rsid w:val="008A4CD9"/>
    <w:rsid w:val="008A4D1E"/>
    <w:rsid w:val="008A4D8F"/>
    <w:rsid w:val="008A4DF3"/>
    <w:rsid w:val="008A4E45"/>
    <w:rsid w:val="008A4E70"/>
    <w:rsid w:val="008A4F38"/>
    <w:rsid w:val="008A4F64"/>
    <w:rsid w:val="008A4FA3"/>
    <w:rsid w:val="008A508E"/>
    <w:rsid w:val="008A50AF"/>
    <w:rsid w:val="008A50E5"/>
    <w:rsid w:val="008A50FD"/>
    <w:rsid w:val="008A510C"/>
    <w:rsid w:val="008A5188"/>
    <w:rsid w:val="008A518F"/>
    <w:rsid w:val="008A51C3"/>
    <w:rsid w:val="008A51D0"/>
    <w:rsid w:val="008A5205"/>
    <w:rsid w:val="008A5236"/>
    <w:rsid w:val="008A52DE"/>
    <w:rsid w:val="008A52DF"/>
    <w:rsid w:val="008A5311"/>
    <w:rsid w:val="008A5393"/>
    <w:rsid w:val="008A53A9"/>
    <w:rsid w:val="008A5436"/>
    <w:rsid w:val="008A5438"/>
    <w:rsid w:val="008A5460"/>
    <w:rsid w:val="008A546B"/>
    <w:rsid w:val="008A553B"/>
    <w:rsid w:val="008A5573"/>
    <w:rsid w:val="008A5581"/>
    <w:rsid w:val="008A558E"/>
    <w:rsid w:val="008A5597"/>
    <w:rsid w:val="008A55B9"/>
    <w:rsid w:val="008A55CE"/>
    <w:rsid w:val="008A55D7"/>
    <w:rsid w:val="008A5627"/>
    <w:rsid w:val="008A563E"/>
    <w:rsid w:val="008A567D"/>
    <w:rsid w:val="008A5767"/>
    <w:rsid w:val="008A57F9"/>
    <w:rsid w:val="008A5826"/>
    <w:rsid w:val="008A585A"/>
    <w:rsid w:val="008A589F"/>
    <w:rsid w:val="008A58A4"/>
    <w:rsid w:val="008A58EB"/>
    <w:rsid w:val="008A5941"/>
    <w:rsid w:val="008A5975"/>
    <w:rsid w:val="008A597C"/>
    <w:rsid w:val="008A5989"/>
    <w:rsid w:val="008A5A23"/>
    <w:rsid w:val="008A5A65"/>
    <w:rsid w:val="008A5AB0"/>
    <w:rsid w:val="008A5ACF"/>
    <w:rsid w:val="008A5AE7"/>
    <w:rsid w:val="008A5B45"/>
    <w:rsid w:val="008A5B55"/>
    <w:rsid w:val="008A5B6B"/>
    <w:rsid w:val="008A5C8F"/>
    <w:rsid w:val="008A5D0A"/>
    <w:rsid w:val="008A5D81"/>
    <w:rsid w:val="008A5D9F"/>
    <w:rsid w:val="008A5DBA"/>
    <w:rsid w:val="008A5DF0"/>
    <w:rsid w:val="008A5DFF"/>
    <w:rsid w:val="008A5E1C"/>
    <w:rsid w:val="008A5EB8"/>
    <w:rsid w:val="008A5F99"/>
    <w:rsid w:val="008A5FAF"/>
    <w:rsid w:val="008A5FDB"/>
    <w:rsid w:val="008A5FF9"/>
    <w:rsid w:val="008A5FFF"/>
    <w:rsid w:val="008A6024"/>
    <w:rsid w:val="008A604C"/>
    <w:rsid w:val="008A60B4"/>
    <w:rsid w:val="008A60DB"/>
    <w:rsid w:val="008A6114"/>
    <w:rsid w:val="008A6150"/>
    <w:rsid w:val="008A6188"/>
    <w:rsid w:val="008A618D"/>
    <w:rsid w:val="008A61DD"/>
    <w:rsid w:val="008A61FF"/>
    <w:rsid w:val="008A624F"/>
    <w:rsid w:val="008A62B3"/>
    <w:rsid w:val="008A632A"/>
    <w:rsid w:val="008A634E"/>
    <w:rsid w:val="008A6357"/>
    <w:rsid w:val="008A6397"/>
    <w:rsid w:val="008A639C"/>
    <w:rsid w:val="008A63AE"/>
    <w:rsid w:val="008A63E8"/>
    <w:rsid w:val="008A63F6"/>
    <w:rsid w:val="008A6410"/>
    <w:rsid w:val="008A6413"/>
    <w:rsid w:val="008A6417"/>
    <w:rsid w:val="008A6420"/>
    <w:rsid w:val="008A6487"/>
    <w:rsid w:val="008A64B1"/>
    <w:rsid w:val="008A64B6"/>
    <w:rsid w:val="008A64F9"/>
    <w:rsid w:val="008A652E"/>
    <w:rsid w:val="008A6535"/>
    <w:rsid w:val="008A6580"/>
    <w:rsid w:val="008A65A5"/>
    <w:rsid w:val="008A65BB"/>
    <w:rsid w:val="008A65C9"/>
    <w:rsid w:val="008A65EC"/>
    <w:rsid w:val="008A6605"/>
    <w:rsid w:val="008A661F"/>
    <w:rsid w:val="008A664E"/>
    <w:rsid w:val="008A6650"/>
    <w:rsid w:val="008A66A4"/>
    <w:rsid w:val="008A66A5"/>
    <w:rsid w:val="008A6752"/>
    <w:rsid w:val="008A6787"/>
    <w:rsid w:val="008A67D4"/>
    <w:rsid w:val="008A6827"/>
    <w:rsid w:val="008A688F"/>
    <w:rsid w:val="008A68FB"/>
    <w:rsid w:val="008A6973"/>
    <w:rsid w:val="008A69AC"/>
    <w:rsid w:val="008A6A5B"/>
    <w:rsid w:val="008A6AB3"/>
    <w:rsid w:val="008A6AFC"/>
    <w:rsid w:val="008A6B24"/>
    <w:rsid w:val="008A6B98"/>
    <w:rsid w:val="008A6B99"/>
    <w:rsid w:val="008A6B9D"/>
    <w:rsid w:val="008A6BBD"/>
    <w:rsid w:val="008A6BD5"/>
    <w:rsid w:val="008A6BE8"/>
    <w:rsid w:val="008A6C21"/>
    <w:rsid w:val="008A6C98"/>
    <w:rsid w:val="008A6CB1"/>
    <w:rsid w:val="008A6CBE"/>
    <w:rsid w:val="008A6CCA"/>
    <w:rsid w:val="008A6D28"/>
    <w:rsid w:val="008A6DA8"/>
    <w:rsid w:val="008A6DBB"/>
    <w:rsid w:val="008A6E69"/>
    <w:rsid w:val="008A6ECE"/>
    <w:rsid w:val="008A6F47"/>
    <w:rsid w:val="008A6F5A"/>
    <w:rsid w:val="008A6FCD"/>
    <w:rsid w:val="008A6FCF"/>
    <w:rsid w:val="008A704D"/>
    <w:rsid w:val="008A7062"/>
    <w:rsid w:val="008A70F5"/>
    <w:rsid w:val="008A718F"/>
    <w:rsid w:val="008A71B8"/>
    <w:rsid w:val="008A71C8"/>
    <w:rsid w:val="008A71D4"/>
    <w:rsid w:val="008A7245"/>
    <w:rsid w:val="008A724F"/>
    <w:rsid w:val="008A725A"/>
    <w:rsid w:val="008A726C"/>
    <w:rsid w:val="008A7281"/>
    <w:rsid w:val="008A72C0"/>
    <w:rsid w:val="008A7321"/>
    <w:rsid w:val="008A733F"/>
    <w:rsid w:val="008A7358"/>
    <w:rsid w:val="008A73C3"/>
    <w:rsid w:val="008A73E3"/>
    <w:rsid w:val="008A73E7"/>
    <w:rsid w:val="008A73F7"/>
    <w:rsid w:val="008A7480"/>
    <w:rsid w:val="008A74CB"/>
    <w:rsid w:val="008A74F8"/>
    <w:rsid w:val="008A75A1"/>
    <w:rsid w:val="008A75A6"/>
    <w:rsid w:val="008A75E4"/>
    <w:rsid w:val="008A76EC"/>
    <w:rsid w:val="008A771F"/>
    <w:rsid w:val="008A774B"/>
    <w:rsid w:val="008A77D8"/>
    <w:rsid w:val="008A77FC"/>
    <w:rsid w:val="008A7814"/>
    <w:rsid w:val="008A786F"/>
    <w:rsid w:val="008A78E4"/>
    <w:rsid w:val="008A7912"/>
    <w:rsid w:val="008A79A8"/>
    <w:rsid w:val="008A79C3"/>
    <w:rsid w:val="008A7A3D"/>
    <w:rsid w:val="008A7A55"/>
    <w:rsid w:val="008A7A74"/>
    <w:rsid w:val="008A7A9C"/>
    <w:rsid w:val="008A7AD0"/>
    <w:rsid w:val="008A7ADB"/>
    <w:rsid w:val="008A7AE9"/>
    <w:rsid w:val="008A7B40"/>
    <w:rsid w:val="008A7B9A"/>
    <w:rsid w:val="008A7BB3"/>
    <w:rsid w:val="008A7BB5"/>
    <w:rsid w:val="008A7BD5"/>
    <w:rsid w:val="008A7C4B"/>
    <w:rsid w:val="008A7C4F"/>
    <w:rsid w:val="008A7CB4"/>
    <w:rsid w:val="008A7CB8"/>
    <w:rsid w:val="008A7CEC"/>
    <w:rsid w:val="008A7CFA"/>
    <w:rsid w:val="008A7D21"/>
    <w:rsid w:val="008A7DB0"/>
    <w:rsid w:val="008A7E62"/>
    <w:rsid w:val="008A7EC8"/>
    <w:rsid w:val="008A7EDB"/>
    <w:rsid w:val="008A7EEA"/>
    <w:rsid w:val="008A7F4C"/>
    <w:rsid w:val="008A7F5A"/>
    <w:rsid w:val="008A7FD0"/>
    <w:rsid w:val="008A7FE4"/>
    <w:rsid w:val="008A7FF5"/>
    <w:rsid w:val="008B0095"/>
    <w:rsid w:val="008B00AD"/>
    <w:rsid w:val="008B00CA"/>
    <w:rsid w:val="008B0104"/>
    <w:rsid w:val="008B0127"/>
    <w:rsid w:val="008B0165"/>
    <w:rsid w:val="008B0183"/>
    <w:rsid w:val="008B01BC"/>
    <w:rsid w:val="008B01CF"/>
    <w:rsid w:val="008B01F6"/>
    <w:rsid w:val="008B01F7"/>
    <w:rsid w:val="008B021C"/>
    <w:rsid w:val="008B028C"/>
    <w:rsid w:val="008B0290"/>
    <w:rsid w:val="008B029D"/>
    <w:rsid w:val="008B0336"/>
    <w:rsid w:val="008B0393"/>
    <w:rsid w:val="008B0398"/>
    <w:rsid w:val="008B0406"/>
    <w:rsid w:val="008B0412"/>
    <w:rsid w:val="008B041D"/>
    <w:rsid w:val="008B0469"/>
    <w:rsid w:val="008B0476"/>
    <w:rsid w:val="008B048B"/>
    <w:rsid w:val="008B04C5"/>
    <w:rsid w:val="008B059F"/>
    <w:rsid w:val="008B0602"/>
    <w:rsid w:val="008B0669"/>
    <w:rsid w:val="008B0691"/>
    <w:rsid w:val="008B06AE"/>
    <w:rsid w:val="008B06F4"/>
    <w:rsid w:val="008B0713"/>
    <w:rsid w:val="008B0737"/>
    <w:rsid w:val="008B0822"/>
    <w:rsid w:val="008B083A"/>
    <w:rsid w:val="008B0856"/>
    <w:rsid w:val="008B087A"/>
    <w:rsid w:val="008B0888"/>
    <w:rsid w:val="008B08A2"/>
    <w:rsid w:val="008B08D3"/>
    <w:rsid w:val="008B08EC"/>
    <w:rsid w:val="008B09DD"/>
    <w:rsid w:val="008B0A01"/>
    <w:rsid w:val="008B0A04"/>
    <w:rsid w:val="008B0A4B"/>
    <w:rsid w:val="008B0AE5"/>
    <w:rsid w:val="008B0B29"/>
    <w:rsid w:val="008B0BB1"/>
    <w:rsid w:val="008B0BD6"/>
    <w:rsid w:val="008B0BF6"/>
    <w:rsid w:val="008B0C29"/>
    <w:rsid w:val="008B0C2B"/>
    <w:rsid w:val="008B0C41"/>
    <w:rsid w:val="008B0C48"/>
    <w:rsid w:val="008B0C67"/>
    <w:rsid w:val="008B0C84"/>
    <w:rsid w:val="008B0C99"/>
    <w:rsid w:val="008B0CFB"/>
    <w:rsid w:val="008B0D29"/>
    <w:rsid w:val="008B0D53"/>
    <w:rsid w:val="008B0D74"/>
    <w:rsid w:val="008B0D86"/>
    <w:rsid w:val="008B0D88"/>
    <w:rsid w:val="008B0DBF"/>
    <w:rsid w:val="008B0E0F"/>
    <w:rsid w:val="008B0E6E"/>
    <w:rsid w:val="008B0EAF"/>
    <w:rsid w:val="008B0EB5"/>
    <w:rsid w:val="008B0EEA"/>
    <w:rsid w:val="008B0EEC"/>
    <w:rsid w:val="008B0F32"/>
    <w:rsid w:val="008B0F72"/>
    <w:rsid w:val="008B0F73"/>
    <w:rsid w:val="008B0F9D"/>
    <w:rsid w:val="008B0FB7"/>
    <w:rsid w:val="008B0FC8"/>
    <w:rsid w:val="008B0FE9"/>
    <w:rsid w:val="008B0FFD"/>
    <w:rsid w:val="008B1011"/>
    <w:rsid w:val="008B1015"/>
    <w:rsid w:val="008B10D3"/>
    <w:rsid w:val="008B1114"/>
    <w:rsid w:val="008B1157"/>
    <w:rsid w:val="008B11FA"/>
    <w:rsid w:val="008B1206"/>
    <w:rsid w:val="008B124F"/>
    <w:rsid w:val="008B127B"/>
    <w:rsid w:val="008B12C2"/>
    <w:rsid w:val="008B12C5"/>
    <w:rsid w:val="008B132E"/>
    <w:rsid w:val="008B1390"/>
    <w:rsid w:val="008B13C7"/>
    <w:rsid w:val="008B13CB"/>
    <w:rsid w:val="008B1406"/>
    <w:rsid w:val="008B14B5"/>
    <w:rsid w:val="008B1530"/>
    <w:rsid w:val="008B1571"/>
    <w:rsid w:val="008B15CA"/>
    <w:rsid w:val="008B15CD"/>
    <w:rsid w:val="008B1606"/>
    <w:rsid w:val="008B1657"/>
    <w:rsid w:val="008B1686"/>
    <w:rsid w:val="008B16E6"/>
    <w:rsid w:val="008B1706"/>
    <w:rsid w:val="008B17A8"/>
    <w:rsid w:val="008B17BA"/>
    <w:rsid w:val="008B1839"/>
    <w:rsid w:val="008B1841"/>
    <w:rsid w:val="008B1864"/>
    <w:rsid w:val="008B1893"/>
    <w:rsid w:val="008B1895"/>
    <w:rsid w:val="008B18D4"/>
    <w:rsid w:val="008B18E3"/>
    <w:rsid w:val="008B1915"/>
    <w:rsid w:val="008B192F"/>
    <w:rsid w:val="008B193A"/>
    <w:rsid w:val="008B1954"/>
    <w:rsid w:val="008B196A"/>
    <w:rsid w:val="008B1982"/>
    <w:rsid w:val="008B1A2F"/>
    <w:rsid w:val="008B1A73"/>
    <w:rsid w:val="008B1A7A"/>
    <w:rsid w:val="008B1B69"/>
    <w:rsid w:val="008B1B9B"/>
    <w:rsid w:val="008B1BB6"/>
    <w:rsid w:val="008B1BD5"/>
    <w:rsid w:val="008B1BE9"/>
    <w:rsid w:val="008B1BF2"/>
    <w:rsid w:val="008B1BF8"/>
    <w:rsid w:val="008B1C62"/>
    <w:rsid w:val="008B1C63"/>
    <w:rsid w:val="008B1C6A"/>
    <w:rsid w:val="008B1C89"/>
    <w:rsid w:val="008B1CE2"/>
    <w:rsid w:val="008B1CEA"/>
    <w:rsid w:val="008B1D4B"/>
    <w:rsid w:val="008B1E26"/>
    <w:rsid w:val="008B1E62"/>
    <w:rsid w:val="008B1E75"/>
    <w:rsid w:val="008B1E99"/>
    <w:rsid w:val="008B1ECE"/>
    <w:rsid w:val="008B1F20"/>
    <w:rsid w:val="008B1F43"/>
    <w:rsid w:val="008B1FAA"/>
    <w:rsid w:val="008B1FD3"/>
    <w:rsid w:val="008B1FE7"/>
    <w:rsid w:val="008B1FF7"/>
    <w:rsid w:val="008B2007"/>
    <w:rsid w:val="008B2028"/>
    <w:rsid w:val="008B20D5"/>
    <w:rsid w:val="008B216F"/>
    <w:rsid w:val="008B21C9"/>
    <w:rsid w:val="008B224F"/>
    <w:rsid w:val="008B2252"/>
    <w:rsid w:val="008B2270"/>
    <w:rsid w:val="008B22CC"/>
    <w:rsid w:val="008B22DE"/>
    <w:rsid w:val="008B234A"/>
    <w:rsid w:val="008B239B"/>
    <w:rsid w:val="008B2433"/>
    <w:rsid w:val="008B2470"/>
    <w:rsid w:val="008B24D1"/>
    <w:rsid w:val="008B2528"/>
    <w:rsid w:val="008B255D"/>
    <w:rsid w:val="008B25C7"/>
    <w:rsid w:val="008B266F"/>
    <w:rsid w:val="008B2711"/>
    <w:rsid w:val="008B274C"/>
    <w:rsid w:val="008B2762"/>
    <w:rsid w:val="008B2771"/>
    <w:rsid w:val="008B2794"/>
    <w:rsid w:val="008B27C4"/>
    <w:rsid w:val="008B27CC"/>
    <w:rsid w:val="008B283C"/>
    <w:rsid w:val="008B285A"/>
    <w:rsid w:val="008B286B"/>
    <w:rsid w:val="008B2885"/>
    <w:rsid w:val="008B2893"/>
    <w:rsid w:val="008B28A1"/>
    <w:rsid w:val="008B28AE"/>
    <w:rsid w:val="008B28E5"/>
    <w:rsid w:val="008B29C9"/>
    <w:rsid w:val="008B29D2"/>
    <w:rsid w:val="008B2A27"/>
    <w:rsid w:val="008B2A2A"/>
    <w:rsid w:val="008B2A98"/>
    <w:rsid w:val="008B2AAA"/>
    <w:rsid w:val="008B2AC4"/>
    <w:rsid w:val="008B2BF0"/>
    <w:rsid w:val="008B2C45"/>
    <w:rsid w:val="008B2C49"/>
    <w:rsid w:val="008B2C88"/>
    <w:rsid w:val="008B2CB1"/>
    <w:rsid w:val="008B2CD8"/>
    <w:rsid w:val="008B2D57"/>
    <w:rsid w:val="008B2D61"/>
    <w:rsid w:val="008B2D9D"/>
    <w:rsid w:val="008B2E2B"/>
    <w:rsid w:val="008B2E36"/>
    <w:rsid w:val="008B2E42"/>
    <w:rsid w:val="008B2E54"/>
    <w:rsid w:val="008B2E8E"/>
    <w:rsid w:val="008B2E9F"/>
    <w:rsid w:val="008B2EA7"/>
    <w:rsid w:val="008B2F2B"/>
    <w:rsid w:val="008B2F5A"/>
    <w:rsid w:val="008B2FBB"/>
    <w:rsid w:val="008B2FC1"/>
    <w:rsid w:val="008B300E"/>
    <w:rsid w:val="008B3098"/>
    <w:rsid w:val="008B30B9"/>
    <w:rsid w:val="008B3152"/>
    <w:rsid w:val="008B3154"/>
    <w:rsid w:val="008B3160"/>
    <w:rsid w:val="008B3171"/>
    <w:rsid w:val="008B31FE"/>
    <w:rsid w:val="008B3209"/>
    <w:rsid w:val="008B325C"/>
    <w:rsid w:val="008B329A"/>
    <w:rsid w:val="008B329D"/>
    <w:rsid w:val="008B329E"/>
    <w:rsid w:val="008B32C6"/>
    <w:rsid w:val="008B336C"/>
    <w:rsid w:val="008B3399"/>
    <w:rsid w:val="008B33FC"/>
    <w:rsid w:val="008B3416"/>
    <w:rsid w:val="008B347B"/>
    <w:rsid w:val="008B34A1"/>
    <w:rsid w:val="008B34F8"/>
    <w:rsid w:val="008B3559"/>
    <w:rsid w:val="008B3590"/>
    <w:rsid w:val="008B3650"/>
    <w:rsid w:val="008B3674"/>
    <w:rsid w:val="008B36B4"/>
    <w:rsid w:val="008B36D8"/>
    <w:rsid w:val="008B36ED"/>
    <w:rsid w:val="008B379F"/>
    <w:rsid w:val="008B37B2"/>
    <w:rsid w:val="008B37BA"/>
    <w:rsid w:val="008B37DD"/>
    <w:rsid w:val="008B3807"/>
    <w:rsid w:val="008B382F"/>
    <w:rsid w:val="008B3845"/>
    <w:rsid w:val="008B3893"/>
    <w:rsid w:val="008B38A3"/>
    <w:rsid w:val="008B392E"/>
    <w:rsid w:val="008B3946"/>
    <w:rsid w:val="008B39B0"/>
    <w:rsid w:val="008B39B6"/>
    <w:rsid w:val="008B3A13"/>
    <w:rsid w:val="008B3A1E"/>
    <w:rsid w:val="008B3A2C"/>
    <w:rsid w:val="008B3A66"/>
    <w:rsid w:val="008B3B3C"/>
    <w:rsid w:val="008B3B53"/>
    <w:rsid w:val="008B3BE1"/>
    <w:rsid w:val="008B3C08"/>
    <w:rsid w:val="008B3C1A"/>
    <w:rsid w:val="008B3C52"/>
    <w:rsid w:val="008B3C6A"/>
    <w:rsid w:val="008B3CA2"/>
    <w:rsid w:val="008B3CBA"/>
    <w:rsid w:val="008B3CD7"/>
    <w:rsid w:val="008B3CE6"/>
    <w:rsid w:val="008B3D32"/>
    <w:rsid w:val="008B3DE0"/>
    <w:rsid w:val="008B3E30"/>
    <w:rsid w:val="008B3E7A"/>
    <w:rsid w:val="008B3EA7"/>
    <w:rsid w:val="008B3EB3"/>
    <w:rsid w:val="008B3EC0"/>
    <w:rsid w:val="008B3ED7"/>
    <w:rsid w:val="008B3EE8"/>
    <w:rsid w:val="008B3F07"/>
    <w:rsid w:val="008B3F61"/>
    <w:rsid w:val="008B3FC0"/>
    <w:rsid w:val="008B4020"/>
    <w:rsid w:val="008B402A"/>
    <w:rsid w:val="008B406A"/>
    <w:rsid w:val="008B4084"/>
    <w:rsid w:val="008B4154"/>
    <w:rsid w:val="008B4167"/>
    <w:rsid w:val="008B42A3"/>
    <w:rsid w:val="008B42B2"/>
    <w:rsid w:val="008B42EB"/>
    <w:rsid w:val="008B4316"/>
    <w:rsid w:val="008B43B8"/>
    <w:rsid w:val="008B43D3"/>
    <w:rsid w:val="008B4419"/>
    <w:rsid w:val="008B445F"/>
    <w:rsid w:val="008B4478"/>
    <w:rsid w:val="008B44C0"/>
    <w:rsid w:val="008B44CF"/>
    <w:rsid w:val="008B44E0"/>
    <w:rsid w:val="008B453D"/>
    <w:rsid w:val="008B45E3"/>
    <w:rsid w:val="008B4638"/>
    <w:rsid w:val="008B4699"/>
    <w:rsid w:val="008B46BA"/>
    <w:rsid w:val="008B4712"/>
    <w:rsid w:val="008B4726"/>
    <w:rsid w:val="008B472C"/>
    <w:rsid w:val="008B4775"/>
    <w:rsid w:val="008B477D"/>
    <w:rsid w:val="008B47F4"/>
    <w:rsid w:val="008B4817"/>
    <w:rsid w:val="008B4821"/>
    <w:rsid w:val="008B48C8"/>
    <w:rsid w:val="008B48D5"/>
    <w:rsid w:val="008B48DE"/>
    <w:rsid w:val="008B48FD"/>
    <w:rsid w:val="008B490E"/>
    <w:rsid w:val="008B491D"/>
    <w:rsid w:val="008B4939"/>
    <w:rsid w:val="008B493D"/>
    <w:rsid w:val="008B4956"/>
    <w:rsid w:val="008B4985"/>
    <w:rsid w:val="008B49B7"/>
    <w:rsid w:val="008B4A10"/>
    <w:rsid w:val="008B4A37"/>
    <w:rsid w:val="008B4A3A"/>
    <w:rsid w:val="008B4A91"/>
    <w:rsid w:val="008B4AEA"/>
    <w:rsid w:val="008B4B04"/>
    <w:rsid w:val="008B4B2E"/>
    <w:rsid w:val="008B4B51"/>
    <w:rsid w:val="008B4B58"/>
    <w:rsid w:val="008B4B93"/>
    <w:rsid w:val="008B4BB4"/>
    <w:rsid w:val="008B4BBF"/>
    <w:rsid w:val="008B4BE1"/>
    <w:rsid w:val="008B4BED"/>
    <w:rsid w:val="008B4C25"/>
    <w:rsid w:val="008B4CBA"/>
    <w:rsid w:val="008B4D2D"/>
    <w:rsid w:val="008B4D3F"/>
    <w:rsid w:val="008B4D5B"/>
    <w:rsid w:val="008B4E09"/>
    <w:rsid w:val="008B4E0C"/>
    <w:rsid w:val="008B4E2D"/>
    <w:rsid w:val="008B4E3C"/>
    <w:rsid w:val="008B4E81"/>
    <w:rsid w:val="008B4E85"/>
    <w:rsid w:val="008B4EBE"/>
    <w:rsid w:val="008B4F07"/>
    <w:rsid w:val="008B503C"/>
    <w:rsid w:val="008B5082"/>
    <w:rsid w:val="008B50AE"/>
    <w:rsid w:val="008B50ED"/>
    <w:rsid w:val="008B516A"/>
    <w:rsid w:val="008B51B1"/>
    <w:rsid w:val="008B51EE"/>
    <w:rsid w:val="008B5203"/>
    <w:rsid w:val="008B522C"/>
    <w:rsid w:val="008B5231"/>
    <w:rsid w:val="008B5252"/>
    <w:rsid w:val="008B527D"/>
    <w:rsid w:val="008B5285"/>
    <w:rsid w:val="008B529B"/>
    <w:rsid w:val="008B52BD"/>
    <w:rsid w:val="008B52CE"/>
    <w:rsid w:val="008B5338"/>
    <w:rsid w:val="008B53B8"/>
    <w:rsid w:val="008B540B"/>
    <w:rsid w:val="008B5422"/>
    <w:rsid w:val="008B5435"/>
    <w:rsid w:val="008B543F"/>
    <w:rsid w:val="008B5494"/>
    <w:rsid w:val="008B54B6"/>
    <w:rsid w:val="008B54E3"/>
    <w:rsid w:val="008B5509"/>
    <w:rsid w:val="008B5550"/>
    <w:rsid w:val="008B5571"/>
    <w:rsid w:val="008B55CE"/>
    <w:rsid w:val="008B55D4"/>
    <w:rsid w:val="008B55D9"/>
    <w:rsid w:val="008B55DB"/>
    <w:rsid w:val="008B55DE"/>
    <w:rsid w:val="008B55E6"/>
    <w:rsid w:val="008B55F6"/>
    <w:rsid w:val="008B5610"/>
    <w:rsid w:val="008B562B"/>
    <w:rsid w:val="008B569C"/>
    <w:rsid w:val="008B5749"/>
    <w:rsid w:val="008B57B2"/>
    <w:rsid w:val="008B57C0"/>
    <w:rsid w:val="008B57E8"/>
    <w:rsid w:val="008B57ED"/>
    <w:rsid w:val="008B5875"/>
    <w:rsid w:val="008B588A"/>
    <w:rsid w:val="008B58CB"/>
    <w:rsid w:val="008B58DD"/>
    <w:rsid w:val="008B58FA"/>
    <w:rsid w:val="008B590F"/>
    <w:rsid w:val="008B5913"/>
    <w:rsid w:val="008B594D"/>
    <w:rsid w:val="008B5951"/>
    <w:rsid w:val="008B5952"/>
    <w:rsid w:val="008B598E"/>
    <w:rsid w:val="008B59AE"/>
    <w:rsid w:val="008B59FC"/>
    <w:rsid w:val="008B5A10"/>
    <w:rsid w:val="008B5A27"/>
    <w:rsid w:val="008B5A34"/>
    <w:rsid w:val="008B5A54"/>
    <w:rsid w:val="008B5ABF"/>
    <w:rsid w:val="008B5B0D"/>
    <w:rsid w:val="008B5B20"/>
    <w:rsid w:val="008B5B2A"/>
    <w:rsid w:val="008B5B60"/>
    <w:rsid w:val="008B5B87"/>
    <w:rsid w:val="008B5B95"/>
    <w:rsid w:val="008B5C6A"/>
    <w:rsid w:val="008B5C89"/>
    <w:rsid w:val="008B5CAA"/>
    <w:rsid w:val="008B5CDD"/>
    <w:rsid w:val="008B5CFE"/>
    <w:rsid w:val="008B5D46"/>
    <w:rsid w:val="008B5D56"/>
    <w:rsid w:val="008B5D88"/>
    <w:rsid w:val="008B5DB0"/>
    <w:rsid w:val="008B5DFF"/>
    <w:rsid w:val="008B5E81"/>
    <w:rsid w:val="008B5E8F"/>
    <w:rsid w:val="008B5EA2"/>
    <w:rsid w:val="008B5EC5"/>
    <w:rsid w:val="008B5ED1"/>
    <w:rsid w:val="008B5ED7"/>
    <w:rsid w:val="008B5F60"/>
    <w:rsid w:val="008B6039"/>
    <w:rsid w:val="008B6058"/>
    <w:rsid w:val="008B609C"/>
    <w:rsid w:val="008B60E4"/>
    <w:rsid w:val="008B60F5"/>
    <w:rsid w:val="008B6121"/>
    <w:rsid w:val="008B61C2"/>
    <w:rsid w:val="008B62F4"/>
    <w:rsid w:val="008B6325"/>
    <w:rsid w:val="008B636F"/>
    <w:rsid w:val="008B6384"/>
    <w:rsid w:val="008B639A"/>
    <w:rsid w:val="008B6413"/>
    <w:rsid w:val="008B6449"/>
    <w:rsid w:val="008B645C"/>
    <w:rsid w:val="008B64C6"/>
    <w:rsid w:val="008B64DA"/>
    <w:rsid w:val="008B64FA"/>
    <w:rsid w:val="008B64FE"/>
    <w:rsid w:val="008B6516"/>
    <w:rsid w:val="008B654E"/>
    <w:rsid w:val="008B6553"/>
    <w:rsid w:val="008B6557"/>
    <w:rsid w:val="008B6594"/>
    <w:rsid w:val="008B6596"/>
    <w:rsid w:val="008B659C"/>
    <w:rsid w:val="008B65A0"/>
    <w:rsid w:val="008B65F3"/>
    <w:rsid w:val="008B65FA"/>
    <w:rsid w:val="008B6662"/>
    <w:rsid w:val="008B66A6"/>
    <w:rsid w:val="008B67E7"/>
    <w:rsid w:val="008B67F7"/>
    <w:rsid w:val="008B67FB"/>
    <w:rsid w:val="008B680C"/>
    <w:rsid w:val="008B6863"/>
    <w:rsid w:val="008B68A3"/>
    <w:rsid w:val="008B6962"/>
    <w:rsid w:val="008B6976"/>
    <w:rsid w:val="008B6984"/>
    <w:rsid w:val="008B6992"/>
    <w:rsid w:val="008B69A2"/>
    <w:rsid w:val="008B69AE"/>
    <w:rsid w:val="008B6A2A"/>
    <w:rsid w:val="008B6A8E"/>
    <w:rsid w:val="008B6ABB"/>
    <w:rsid w:val="008B6ACD"/>
    <w:rsid w:val="008B6B0D"/>
    <w:rsid w:val="008B6B19"/>
    <w:rsid w:val="008B6BA9"/>
    <w:rsid w:val="008B6BDE"/>
    <w:rsid w:val="008B6C4A"/>
    <w:rsid w:val="008B6C58"/>
    <w:rsid w:val="008B6C6F"/>
    <w:rsid w:val="008B6C77"/>
    <w:rsid w:val="008B6C88"/>
    <w:rsid w:val="008B6D3F"/>
    <w:rsid w:val="008B6D66"/>
    <w:rsid w:val="008B6D7D"/>
    <w:rsid w:val="008B6D9F"/>
    <w:rsid w:val="008B6DC5"/>
    <w:rsid w:val="008B6DCE"/>
    <w:rsid w:val="008B6DE0"/>
    <w:rsid w:val="008B6E1F"/>
    <w:rsid w:val="008B6E99"/>
    <w:rsid w:val="008B6EFD"/>
    <w:rsid w:val="008B6F0C"/>
    <w:rsid w:val="008B7038"/>
    <w:rsid w:val="008B708D"/>
    <w:rsid w:val="008B70A2"/>
    <w:rsid w:val="008B70F8"/>
    <w:rsid w:val="008B710E"/>
    <w:rsid w:val="008B7120"/>
    <w:rsid w:val="008B714E"/>
    <w:rsid w:val="008B715F"/>
    <w:rsid w:val="008B7184"/>
    <w:rsid w:val="008B71C1"/>
    <w:rsid w:val="008B71D9"/>
    <w:rsid w:val="008B71F0"/>
    <w:rsid w:val="008B7214"/>
    <w:rsid w:val="008B7229"/>
    <w:rsid w:val="008B7239"/>
    <w:rsid w:val="008B7258"/>
    <w:rsid w:val="008B726B"/>
    <w:rsid w:val="008B72B5"/>
    <w:rsid w:val="008B72D0"/>
    <w:rsid w:val="008B732A"/>
    <w:rsid w:val="008B739C"/>
    <w:rsid w:val="008B7446"/>
    <w:rsid w:val="008B7474"/>
    <w:rsid w:val="008B7510"/>
    <w:rsid w:val="008B7528"/>
    <w:rsid w:val="008B7533"/>
    <w:rsid w:val="008B7572"/>
    <w:rsid w:val="008B75C7"/>
    <w:rsid w:val="008B7603"/>
    <w:rsid w:val="008B7627"/>
    <w:rsid w:val="008B7697"/>
    <w:rsid w:val="008B7708"/>
    <w:rsid w:val="008B7742"/>
    <w:rsid w:val="008B779C"/>
    <w:rsid w:val="008B77A1"/>
    <w:rsid w:val="008B77A3"/>
    <w:rsid w:val="008B77CF"/>
    <w:rsid w:val="008B77D0"/>
    <w:rsid w:val="008B77E9"/>
    <w:rsid w:val="008B786B"/>
    <w:rsid w:val="008B7886"/>
    <w:rsid w:val="008B78D0"/>
    <w:rsid w:val="008B7911"/>
    <w:rsid w:val="008B7929"/>
    <w:rsid w:val="008B796E"/>
    <w:rsid w:val="008B796F"/>
    <w:rsid w:val="008B79A0"/>
    <w:rsid w:val="008B79BC"/>
    <w:rsid w:val="008B79D8"/>
    <w:rsid w:val="008B79F3"/>
    <w:rsid w:val="008B7A2A"/>
    <w:rsid w:val="008B7AE6"/>
    <w:rsid w:val="008B7B25"/>
    <w:rsid w:val="008B7B8C"/>
    <w:rsid w:val="008B7BA8"/>
    <w:rsid w:val="008B7C1A"/>
    <w:rsid w:val="008B7C53"/>
    <w:rsid w:val="008B7D3E"/>
    <w:rsid w:val="008B7DAE"/>
    <w:rsid w:val="008B7E11"/>
    <w:rsid w:val="008B7E1B"/>
    <w:rsid w:val="008B7E5B"/>
    <w:rsid w:val="008B7E66"/>
    <w:rsid w:val="008B7E95"/>
    <w:rsid w:val="008B7EAE"/>
    <w:rsid w:val="008B7F4F"/>
    <w:rsid w:val="008B7FED"/>
    <w:rsid w:val="008B7FF9"/>
    <w:rsid w:val="008C0045"/>
    <w:rsid w:val="008C0048"/>
    <w:rsid w:val="008C0062"/>
    <w:rsid w:val="008C00A1"/>
    <w:rsid w:val="008C00B6"/>
    <w:rsid w:val="008C00C5"/>
    <w:rsid w:val="008C00CE"/>
    <w:rsid w:val="008C012D"/>
    <w:rsid w:val="008C018C"/>
    <w:rsid w:val="008C01D2"/>
    <w:rsid w:val="008C0218"/>
    <w:rsid w:val="008C028B"/>
    <w:rsid w:val="008C028D"/>
    <w:rsid w:val="008C02A7"/>
    <w:rsid w:val="008C02B6"/>
    <w:rsid w:val="008C02F2"/>
    <w:rsid w:val="008C03C7"/>
    <w:rsid w:val="008C03CB"/>
    <w:rsid w:val="008C0462"/>
    <w:rsid w:val="008C0465"/>
    <w:rsid w:val="008C0466"/>
    <w:rsid w:val="008C046E"/>
    <w:rsid w:val="008C0476"/>
    <w:rsid w:val="008C04B9"/>
    <w:rsid w:val="008C04CE"/>
    <w:rsid w:val="008C04F8"/>
    <w:rsid w:val="008C0510"/>
    <w:rsid w:val="008C051E"/>
    <w:rsid w:val="008C055B"/>
    <w:rsid w:val="008C058F"/>
    <w:rsid w:val="008C05B1"/>
    <w:rsid w:val="008C05D3"/>
    <w:rsid w:val="008C05FA"/>
    <w:rsid w:val="008C0675"/>
    <w:rsid w:val="008C07A9"/>
    <w:rsid w:val="008C07CE"/>
    <w:rsid w:val="008C0820"/>
    <w:rsid w:val="008C082E"/>
    <w:rsid w:val="008C0847"/>
    <w:rsid w:val="008C0851"/>
    <w:rsid w:val="008C0860"/>
    <w:rsid w:val="008C0863"/>
    <w:rsid w:val="008C089D"/>
    <w:rsid w:val="008C08EE"/>
    <w:rsid w:val="008C0924"/>
    <w:rsid w:val="008C0938"/>
    <w:rsid w:val="008C09B2"/>
    <w:rsid w:val="008C0A25"/>
    <w:rsid w:val="008C0A33"/>
    <w:rsid w:val="008C0A3A"/>
    <w:rsid w:val="008C0A45"/>
    <w:rsid w:val="008C0AB9"/>
    <w:rsid w:val="008C0ADC"/>
    <w:rsid w:val="008C0B32"/>
    <w:rsid w:val="008C0B55"/>
    <w:rsid w:val="008C0C5E"/>
    <w:rsid w:val="008C0CAC"/>
    <w:rsid w:val="008C0CD8"/>
    <w:rsid w:val="008C0D00"/>
    <w:rsid w:val="008C0D37"/>
    <w:rsid w:val="008C0D51"/>
    <w:rsid w:val="008C0D8C"/>
    <w:rsid w:val="008C0DFC"/>
    <w:rsid w:val="008C0E3E"/>
    <w:rsid w:val="008C0F5D"/>
    <w:rsid w:val="008C0F66"/>
    <w:rsid w:val="008C0F6D"/>
    <w:rsid w:val="008C0FC2"/>
    <w:rsid w:val="008C106D"/>
    <w:rsid w:val="008C10CF"/>
    <w:rsid w:val="008C10D0"/>
    <w:rsid w:val="008C1115"/>
    <w:rsid w:val="008C1118"/>
    <w:rsid w:val="008C1151"/>
    <w:rsid w:val="008C1178"/>
    <w:rsid w:val="008C1197"/>
    <w:rsid w:val="008C1238"/>
    <w:rsid w:val="008C1254"/>
    <w:rsid w:val="008C125F"/>
    <w:rsid w:val="008C12EF"/>
    <w:rsid w:val="008C1315"/>
    <w:rsid w:val="008C1320"/>
    <w:rsid w:val="008C1329"/>
    <w:rsid w:val="008C1347"/>
    <w:rsid w:val="008C13A3"/>
    <w:rsid w:val="008C1436"/>
    <w:rsid w:val="008C1452"/>
    <w:rsid w:val="008C1484"/>
    <w:rsid w:val="008C14A8"/>
    <w:rsid w:val="008C14B5"/>
    <w:rsid w:val="008C1556"/>
    <w:rsid w:val="008C1594"/>
    <w:rsid w:val="008C15AA"/>
    <w:rsid w:val="008C161B"/>
    <w:rsid w:val="008C1628"/>
    <w:rsid w:val="008C1651"/>
    <w:rsid w:val="008C16A1"/>
    <w:rsid w:val="008C16A4"/>
    <w:rsid w:val="008C16D3"/>
    <w:rsid w:val="008C16E4"/>
    <w:rsid w:val="008C173C"/>
    <w:rsid w:val="008C1800"/>
    <w:rsid w:val="008C181B"/>
    <w:rsid w:val="008C188D"/>
    <w:rsid w:val="008C1895"/>
    <w:rsid w:val="008C18C0"/>
    <w:rsid w:val="008C1907"/>
    <w:rsid w:val="008C1911"/>
    <w:rsid w:val="008C192D"/>
    <w:rsid w:val="008C1935"/>
    <w:rsid w:val="008C1936"/>
    <w:rsid w:val="008C1A0F"/>
    <w:rsid w:val="008C1A12"/>
    <w:rsid w:val="008C1A16"/>
    <w:rsid w:val="008C1A76"/>
    <w:rsid w:val="008C1AA8"/>
    <w:rsid w:val="008C1AB1"/>
    <w:rsid w:val="008C1ABD"/>
    <w:rsid w:val="008C1ADD"/>
    <w:rsid w:val="008C1AE9"/>
    <w:rsid w:val="008C1B0A"/>
    <w:rsid w:val="008C1B32"/>
    <w:rsid w:val="008C1B56"/>
    <w:rsid w:val="008C1B71"/>
    <w:rsid w:val="008C1B7A"/>
    <w:rsid w:val="008C1BAA"/>
    <w:rsid w:val="008C1BD9"/>
    <w:rsid w:val="008C1BDD"/>
    <w:rsid w:val="008C1C53"/>
    <w:rsid w:val="008C1C6A"/>
    <w:rsid w:val="008C1C76"/>
    <w:rsid w:val="008C1C89"/>
    <w:rsid w:val="008C1C90"/>
    <w:rsid w:val="008C1C99"/>
    <w:rsid w:val="008C1CCA"/>
    <w:rsid w:val="008C1D21"/>
    <w:rsid w:val="008C1D39"/>
    <w:rsid w:val="008C1D3E"/>
    <w:rsid w:val="008C1D96"/>
    <w:rsid w:val="008C1DCE"/>
    <w:rsid w:val="008C1DD4"/>
    <w:rsid w:val="008C1E41"/>
    <w:rsid w:val="008C1E8F"/>
    <w:rsid w:val="008C1EF9"/>
    <w:rsid w:val="008C1F26"/>
    <w:rsid w:val="008C1F32"/>
    <w:rsid w:val="008C1F70"/>
    <w:rsid w:val="008C1F7F"/>
    <w:rsid w:val="008C1F89"/>
    <w:rsid w:val="008C1F8F"/>
    <w:rsid w:val="008C1FA9"/>
    <w:rsid w:val="008C1FF5"/>
    <w:rsid w:val="008C200F"/>
    <w:rsid w:val="008C201B"/>
    <w:rsid w:val="008C2021"/>
    <w:rsid w:val="008C20BE"/>
    <w:rsid w:val="008C2105"/>
    <w:rsid w:val="008C213A"/>
    <w:rsid w:val="008C2144"/>
    <w:rsid w:val="008C216D"/>
    <w:rsid w:val="008C2172"/>
    <w:rsid w:val="008C218D"/>
    <w:rsid w:val="008C21BF"/>
    <w:rsid w:val="008C21C6"/>
    <w:rsid w:val="008C2243"/>
    <w:rsid w:val="008C2280"/>
    <w:rsid w:val="008C2297"/>
    <w:rsid w:val="008C22AA"/>
    <w:rsid w:val="008C22C8"/>
    <w:rsid w:val="008C22E4"/>
    <w:rsid w:val="008C2322"/>
    <w:rsid w:val="008C239B"/>
    <w:rsid w:val="008C23A9"/>
    <w:rsid w:val="008C23C2"/>
    <w:rsid w:val="008C243D"/>
    <w:rsid w:val="008C2465"/>
    <w:rsid w:val="008C24A4"/>
    <w:rsid w:val="008C258F"/>
    <w:rsid w:val="008C2590"/>
    <w:rsid w:val="008C25E2"/>
    <w:rsid w:val="008C25FE"/>
    <w:rsid w:val="008C260D"/>
    <w:rsid w:val="008C2723"/>
    <w:rsid w:val="008C2753"/>
    <w:rsid w:val="008C275C"/>
    <w:rsid w:val="008C276E"/>
    <w:rsid w:val="008C277B"/>
    <w:rsid w:val="008C279A"/>
    <w:rsid w:val="008C27B8"/>
    <w:rsid w:val="008C27CD"/>
    <w:rsid w:val="008C280B"/>
    <w:rsid w:val="008C2821"/>
    <w:rsid w:val="008C286D"/>
    <w:rsid w:val="008C2891"/>
    <w:rsid w:val="008C28B1"/>
    <w:rsid w:val="008C28BE"/>
    <w:rsid w:val="008C28D5"/>
    <w:rsid w:val="008C28F9"/>
    <w:rsid w:val="008C291E"/>
    <w:rsid w:val="008C2975"/>
    <w:rsid w:val="008C29BF"/>
    <w:rsid w:val="008C29C2"/>
    <w:rsid w:val="008C2A20"/>
    <w:rsid w:val="008C2A37"/>
    <w:rsid w:val="008C2A38"/>
    <w:rsid w:val="008C2A6A"/>
    <w:rsid w:val="008C2AB6"/>
    <w:rsid w:val="008C2AD7"/>
    <w:rsid w:val="008C2AF5"/>
    <w:rsid w:val="008C2AFE"/>
    <w:rsid w:val="008C2B2C"/>
    <w:rsid w:val="008C2B3F"/>
    <w:rsid w:val="008C2B8E"/>
    <w:rsid w:val="008C2B97"/>
    <w:rsid w:val="008C2BA9"/>
    <w:rsid w:val="008C2BD3"/>
    <w:rsid w:val="008C2BE0"/>
    <w:rsid w:val="008C2C24"/>
    <w:rsid w:val="008C2C38"/>
    <w:rsid w:val="008C2CAD"/>
    <w:rsid w:val="008C2CB4"/>
    <w:rsid w:val="008C2CDA"/>
    <w:rsid w:val="008C2CFB"/>
    <w:rsid w:val="008C2D03"/>
    <w:rsid w:val="008C2D3C"/>
    <w:rsid w:val="008C2D8D"/>
    <w:rsid w:val="008C2DCE"/>
    <w:rsid w:val="008C2DEC"/>
    <w:rsid w:val="008C2E4A"/>
    <w:rsid w:val="008C2E93"/>
    <w:rsid w:val="008C2EC5"/>
    <w:rsid w:val="008C2EF1"/>
    <w:rsid w:val="008C2F75"/>
    <w:rsid w:val="008C2F80"/>
    <w:rsid w:val="008C2FBF"/>
    <w:rsid w:val="008C2FD9"/>
    <w:rsid w:val="008C2FFD"/>
    <w:rsid w:val="008C308C"/>
    <w:rsid w:val="008C30B5"/>
    <w:rsid w:val="008C30D1"/>
    <w:rsid w:val="008C3127"/>
    <w:rsid w:val="008C313C"/>
    <w:rsid w:val="008C3182"/>
    <w:rsid w:val="008C31B7"/>
    <w:rsid w:val="008C31EB"/>
    <w:rsid w:val="008C3261"/>
    <w:rsid w:val="008C327F"/>
    <w:rsid w:val="008C3319"/>
    <w:rsid w:val="008C33B8"/>
    <w:rsid w:val="008C340D"/>
    <w:rsid w:val="008C345F"/>
    <w:rsid w:val="008C34CA"/>
    <w:rsid w:val="008C34F1"/>
    <w:rsid w:val="008C357E"/>
    <w:rsid w:val="008C35A4"/>
    <w:rsid w:val="008C35F8"/>
    <w:rsid w:val="008C3655"/>
    <w:rsid w:val="008C3678"/>
    <w:rsid w:val="008C367A"/>
    <w:rsid w:val="008C36C5"/>
    <w:rsid w:val="008C3772"/>
    <w:rsid w:val="008C378A"/>
    <w:rsid w:val="008C3790"/>
    <w:rsid w:val="008C37D5"/>
    <w:rsid w:val="008C382A"/>
    <w:rsid w:val="008C3849"/>
    <w:rsid w:val="008C3853"/>
    <w:rsid w:val="008C385B"/>
    <w:rsid w:val="008C386B"/>
    <w:rsid w:val="008C389F"/>
    <w:rsid w:val="008C38F6"/>
    <w:rsid w:val="008C3947"/>
    <w:rsid w:val="008C394E"/>
    <w:rsid w:val="008C399E"/>
    <w:rsid w:val="008C39BA"/>
    <w:rsid w:val="008C3A4E"/>
    <w:rsid w:val="008C3B49"/>
    <w:rsid w:val="008C3B69"/>
    <w:rsid w:val="008C3B78"/>
    <w:rsid w:val="008C3B7F"/>
    <w:rsid w:val="008C3BB3"/>
    <w:rsid w:val="008C3BDA"/>
    <w:rsid w:val="008C3C0F"/>
    <w:rsid w:val="008C3CDC"/>
    <w:rsid w:val="008C3CDE"/>
    <w:rsid w:val="008C3CE9"/>
    <w:rsid w:val="008C3CFF"/>
    <w:rsid w:val="008C3D21"/>
    <w:rsid w:val="008C3D2A"/>
    <w:rsid w:val="008C3D30"/>
    <w:rsid w:val="008C3D88"/>
    <w:rsid w:val="008C3DBC"/>
    <w:rsid w:val="008C3DCF"/>
    <w:rsid w:val="008C3DF0"/>
    <w:rsid w:val="008C3E10"/>
    <w:rsid w:val="008C3E2E"/>
    <w:rsid w:val="008C3E88"/>
    <w:rsid w:val="008C3F75"/>
    <w:rsid w:val="008C3FA9"/>
    <w:rsid w:val="008C3FDD"/>
    <w:rsid w:val="008C400C"/>
    <w:rsid w:val="008C402F"/>
    <w:rsid w:val="008C4080"/>
    <w:rsid w:val="008C409C"/>
    <w:rsid w:val="008C40A6"/>
    <w:rsid w:val="008C4138"/>
    <w:rsid w:val="008C41C1"/>
    <w:rsid w:val="008C41E2"/>
    <w:rsid w:val="008C41F8"/>
    <w:rsid w:val="008C4284"/>
    <w:rsid w:val="008C429A"/>
    <w:rsid w:val="008C42A6"/>
    <w:rsid w:val="008C42BB"/>
    <w:rsid w:val="008C432F"/>
    <w:rsid w:val="008C4390"/>
    <w:rsid w:val="008C43C8"/>
    <w:rsid w:val="008C4426"/>
    <w:rsid w:val="008C443B"/>
    <w:rsid w:val="008C444C"/>
    <w:rsid w:val="008C4450"/>
    <w:rsid w:val="008C448F"/>
    <w:rsid w:val="008C44BB"/>
    <w:rsid w:val="008C4512"/>
    <w:rsid w:val="008C4521"/>
    <w:rsid w:val="008C453F"/>
    <w:rsid w:val="008C458A"/>
    <w:rsid w:val="008C458E"/>
    <w:rsid w:val="008C45AF"/>
    <w:rsid w:val="008C45C9"/>
    <w:rsid w:val="008C4635"/>
    <w:rsid w:val="008C46A5"/>
    <w:rsid w:val="008C4710"/>
    <w:rsid w:val="008C4729"/>
    <w:rsid w:val="008C4761"/>
    <w:rsid w:val="008C4779"/>
    <w:rsid w:val="008C4796"/>
    <w:rsid w:val="008C47D6"/>
    <w:rsid w:val="008C47E0"/>
    <w:rsid w:val="008C47ED"/>
    <w:rsid w:val="008C480A"/>
    <w:rsid w:val="008C484B"/>
    <w:rsid w:val="008C484E"/>
    <w:rsid w:val="008C48AB"/>
    <w:rsid w:val="008C490E"/>
    <w:rsid w:val="008C4946"/>
    <w:rsid w:val="008C495A"/>
    <w:rsid w:val="008C49B4"/>
    <w:rsid w:val="008C49E9"/>
    <w:rsid w:val="008C4A64"/>
    <w:rsid w:val="008C4AB1"/>
    <w:rsid w:val="008C4AC1"/>
    <w:rsid w:val="008C4B6D"/>
    <w:rsid w:val="008C4C05"/>
    <w:rsid w:val="008C4C0A"/>
    <w:rsid w:val="008C4C1E"/>
    <w:rsid w:val="008C4C24"/>
    <w:rsid w:val="008C4C47"/>
    <w:rsid w:val="008C4C6D"/>
    <w:rsid w:val="008C4C9D"/>
    <w:rsid w:val="008C4D10"/>
    <w:rsid w:val="008C4D20"/>
    <w:rsid w:val="008C4D6A"/>
    <w:rsid w:val="008C4EC3"/>
    <w:rsid w:val="008C4F0F"/>
    <w:rsid w:val="008C4F19"/>
    <w:rsid w:val="008C4F3C"/>
    <w:rsid w:val="008C4F78"/>
    <w:rsid w:val="008C4F7E"/>
    <w:rsid w:val="008C4FA9"/>
    <w:rsid w:val="008C4FC1"/>
    <w:rsid w:val="008C4FCD"/>
    <w:rsid w:val="008C4FD3"/>
    <w:rsid w:val="008C5022"/>
    <w:rsid w:val="008C50B3"/>
    <w:rsid w:val="008C50CC"/>
    <w:rsid w:val="008C513E"/>
    <w:rsid w:val="008C5183"/>
    <w:rsid w:val="008C5191"/>
    <w:rsid w:val="008C519C"/>
    <w:rsid w:val="008C51BD"/>
    <w:rsid w:val="008C51C1"/>
    <w:rsid w:val="008C51E2"/>
    <w:rsid w:val="008C522E"/>
    <w:rsid w:val="008C5253"/>
    <w:rsid w:val="008C5259"/>
    <w:rsid w:val="008C5265"/>
    <w:rsid w:val="008C530E"/>
    <w:rsid w:val="008C5317"/>
    <w:rsid w:val="008C533A"/>
    <w:rsid w:val="008C5352"/>
    <w:rsid w:val="008C539C"/>
    <w:rsid w:val="008C53B0"/>
    <w:rsid w:val="008C53F9"/>
    <w:rsid w:val="008C5464"/>
    <w:rsid w:val="008C54FA"/>
    <w:rsid w:val="008C559B"/>
    <w:rsid w:val="008C559D"/>
    <w:rsid w:val="008C559E"/>
    <w:rsid w:val="008C55B0"/>
    <w:rsid w:val="008C55D9"/>
    <w:rsid w:val="008C5611"/>
    <w:rsid w:val="008C5621"/>
    <w:rsid w:val="008C5660"/>
    <w:rsid w:val="008C56C4"/>
    <w:rsid w:val="008C56E3"/>
    <w:rsid w:val="008C56F0"/>
    <w:rsid w:val="008C5707"/>
    <w:rsid w:val="008C5786"/>
    <w:rsid w:val="008C578E"/>
    <w:rsid w:val="008C57AF"/>
    <w:rsid w:val="008C5815"/>
    <w:rsid w:val="008C586D"/>
    <w:rsid w:val="008C58AA"/>
    <w:rsid w:val="008C5906"/>
    <w:rsid w:val="008C591B"/>
    <w:rsid w:val="008C5947"/>
    <w:rsid w:val="008C5959"/>
    <w:rsid w:val="008C5968"/>
    <w:rsid w:val="008C5990"/>
    <w:rsid w:val="008C59F1"/>
    <w:rsid w:val="008C5AB8"/>
    <w:rsid w:val="008C5AEC"/>
    <w:rsid w:val="008C5B09"/>
    <w:rsid w:val="008C5B59"/>
    <w:rsid w:val="008C5B9C"/>
    <w:rsid w:val="008C5BA7"/>
    <w:rsid w:val="008C5BE6"/>
    <w:rsid w:val="008C5C2E"/>
    <w:rsid w:val="008C5C3A"/>
    <w:rsid w:val="008C5C7A"/>
    <w:rsid w:val="008C5C90"/>
    <w:rsid w:val="008C5C9B"/>
    <w:rsid w:val="008C5C9E"/>
    <w:rsid w:val="008C5D1A"/>
    <w:rsid w:val="008C5D24"/>
    <w:rsid w:val="008C5D59"/>
    <w:rsid w:val="008C5D60"/>
    <w:rsid w:val="008C5D63"/>
    <w:rsid w:val="008C5E61"/>
    <w:rsid w:val="008C5E62"/>
    <w:rsid w:val="008C5ECE"/>
    <w:rsid w:val="008C5EE8"/>
    <w:rsid w:val="008C5F01"/>
    <w:rsid w:val="008C5F16"/>
    <w:rsid w:val="008C5F73"/>
    <w:rsid w:val="008C5F9A"/>
    <w:rsid w:val="008C5FAB"/>
    <w:rsid w:val="008C5FD4"/>
    <w:rsid w:val="008C6003"/>
    <w:rsid w:val="008C6051"/>
    <w:rsid w:val="008C608D"/>
    <w:rsid w:val="008C6090"/>
    <w:rsid w:val="008C609D"/>
    <w:rsid w:val="008C60A0"/>
    <w:rsid w:val="008C60D7"/>
    <w:rsid w:val="008C612B"/>
    <w:rsid w:val="008C613F"/>
    <w:rsid w:val="008C6141"/>
    <w:rsid w:val="008C6154"/>
    <w:rsid w:val="008C61D1"/>
    <w:rsid w:val="008C6211"/>
    <w:rsid w:val="008C6218"/>
    <w:rsid w:val="008C62AD"/>
    <w:rsid w:val="008C6399"/>
    <w:rsid w:val="008C63BC"/>
    <w:rsid w:val="008C63C5"/>
    <w:rsid w:val="008C63E4"/>
    <w:rsid w:val="008C63E6"/>
    <w:rsid w:val="008C640C"/>
    <w:rsid w:val="008C6424"/>
    <w:rsid w:val="008C6473"/>
    <w:rsid w:val="008C6530"/>
    <w:rsid w:val="008C6541"/>
    <w:rsid w:val="008C655D"/>
    <w:rsid w:val="008C65A5"/>
    <w:rsid w:val="008C6697"/>
    <w:rsid w:val="008C66B4"/>
    <w:rsid w:val="008C66B8"/>
    <w:rsid w:val="008C6704"/>
    <w:rsid w:val="008C671A"/>
    <w:rsid w:val="008C6761"/>
    <w:rsid w:val="008C6765"/>
    <w:rsid w:val="008C6778"/>
    <w:rsid w:val="008C678D"/>
    <w:rsid w:val="008C6799"/>
    <w:rsid w:val="008C67A0"/>
    <w:rsid w:val="008C67A6"/>
    <w:rsid w:val="008C67A9"/>
    <w:rsid w:val="008C67FD"/>
    <w:rsid w:val="008C67FE"/>
    <w:rsid w:val="008C68D3"/>
    <w:rsid w:val="008C68E6"/>
    <w:rsid w:val="008C6952"/>
    <w:rsid w:val="008C69D9"/>
    <w:rsid w:val="008C6A01"/>
    <w:rsid w:val="008C6A31"/>
    <w:rsid w:val="008C6A58"/>
    <w:rsid w:val="008C6A8D"/>
    <w:rsid w:val="008C6AA9"/>
    <w:rsid w:val="008C6AD1"/>
    <w:rsid w:val="008C6B1A"/>
    <w:rsid w:val="008C6B80"/>
    <w:rsid w:val="008C6B90"/>
    <w:rsid w:val="008C6BE7"/>
    <w:rsid w:val="008C6BFF"/>
    <w:rsid w:val="008C6C70"/>
    <w:rsid w:val="008C6C9D"/>
    <w:rsid w:val="008C6C9E"/>
    <w:rsid w:val="008C6CA6"/>
    <w:rsid w:val="008C6CC7"/>
    <w:rsid w:val="008C6CD0"/>
    <w:rsid w:val="008C6CF6"/>
    <w:rsid w:val="008C6D25"/>
    <w:rsid w:val="008C6D54"/>
    <w:rsid w:val="008C6E7D"/>
    <w:rsid w:val="008C6ECE"/>
    <w:rsid w:val="008C6F4B"/>
    <w:rsid w:val="008C6F52"/>
    <w:rsid w:val="008C6F61"/>
    <w:rsid w:val="008C6FBA"/>
    <w:rsid w:val="008C6FF8"/>
    <w:rsid w:val="008C7055"/>
    <w:rsid w:val="008C7082"/>
    <w:rsid w:val="008C7093"/>
    <w:rsid w:val="008C70A2"/>
    <w:rsid w:val="008C7143"/>
    <w:rsid w:val="008C7152"/>
    <w:rsid w:val="008C7173"/>
    <w:rsid w:val="008C71CB"/>
    <w:rsid w:val="008C7221"/>
    <w:rsid w:val="008C722E"/>
    <w:rsid w:val="008C7256"/>
    <w:rsid w:val="008C72C2"/>
    <w:rsid w:val="008C72D7"/>
    <w:rsid w:val="008C7333"/>
    <w:rsid w:val="008C734C"/>
    <w:rsid w:val="008C736B"/>
    <w:rsid w:val="008C73C3"/>
    <w:rsid w:val="008C73C7"/>
    <w:rsid w:val="008C7463"/>
    <w:rsid w:val="008C747A"/>
    <w:rsid w:val="008C747B"/>
    <w:rsid w:val="008C7528"/>
    <w:rsid w:val="008C7583"/>
    <w:rsid w:val="008C75E4"/>
    <w:rsid w:val="008C7669"/>
    <w:rsid w:val="008C76AD"/>
    <w:rsid w:val="008C772A"/>
    <w:rsid w:val="008C7738"/>
    <w:rsid w:val="008C776F"/>
    <w:rsid w:val="008C77A9"/>
    <w:rsid w:val="008C77BD"/>
    <w:rsid w:val="008C78AD"/>
    <w:rsid w:val="008C78E3"/>
    <w:rsid w:val="008C78F1"/>
    <w:rsid w:val="008C78F7"/>
    <w:rsid w:val="008C794B"/>
    <w:rsid w:val="008C7973"/>
    <w:rsid w:val="008C7A22"/>
    <w:rsid w:val="008C7A36"/>
    <w:rsid w:val="008C7A63"/>
    <w:rsid w:val="008C7A96"/>
    <w:rsid w:val="008C7AB4"/>
    <w:rsid w:val="008C7B08"/>
    <w:rsid w:val="008C7B0D"/>
    <w:rsid w:val="008C7B39"/>
    <w:rsid w:val="008C7B56"/>
    <w:rsid w:val="008C7B70"/>
    <w:rsid w:val="008C7BB4"/>
    <w:rsid w:val="008C7BDF"/>
    <w:rsid w:val="008C7C1D"/>
    <w:rsid w:val="008C7C40"/>
    <w:rsid w:val="008C7C89"/>
    <w:rsid w:val="008C7CEE"/>
    <w:rsid w:val="008C7D35"/>
    <w:rsid w:val="008C7D51"/>
    <w:rsid w:val="008C7D66"/>
    <w:rsid w:val="008C7DAC"/>
    <w:rsid w:val="008C7E63"/>
    <w:rsid w:val="008C7E6F"/>
    <w:rsid w:val="008C7E8D"/>
    <w:rsid w:val="008C7E9D"/>
    <w:rsid w:val="008C7EDD"/>
    <w:rsid w:val="008C7F6C"/>
    <w:rsid w:val="008C7F6E"/>
    <w:rsid w:val="008C7F78"/>
    <w:rsid w:val="008C7F94"/>
    <w:rsid w:val="008C7F98"/>
    <w:rsid w:val="008C7F9D"/>
    <w:rsid w:val="008C7FE9"/>
    <w:rsid w:val="008C7FED"/>
    <w:rsid w:val="008D002D"/>
    <w:rsid w:val="008D003D"/>
    <w:rsid w:val="008D0047"/>
    <w:rsid w:val="008D005E"/>
    <w:rsid w:val="008D006C"/>
    <w:rsid w:val="008D00B2"/>
    <w:rsid w:val="008D00D4"/>
    <w:rsid w:val="008D0119"/>
    <w:rsid w:val="008D0120"/>
    <w:rsid w:val="008D0166"/>
    <w:rsid w:val="008D0188"/>
    <w:rsid w:val="008D0286"/>
    <w:rsid w:val="008D0289"/>
    <w:rsid w:val="008D028D"/>
    <w:rsid w:val="008D02D7"/>
    <w:rsid w:val="008D0335"/>
    <w:rsid w:val="008D0337"/>
    <w:rsid w:val="008D03E1"/>
    <w:rsid w:val="008D043C"/>
    <w:rsid w:val="008D0588"/>
    <w:rsid w:val="008D0591"/>
    <w:rsid w:val="008D0594"/>
    <w:rsid w:val="008D05BF"/>
    <w:rsid w:val="008D067C"/>
    <w:rsid w:val="008D0764"/>
    <w:rsid w:val="008D07A5"/>
    <w:rsid w:val="008D07B2"/>
    <w:rsid w:val="008D07D7"/>
    <w:rsid w:val="008D082E"/>
    <w:rsid w:val="008D0852"/>
    <w:rsid w:val="008D0854"/>
    <w:rsid w:val="008D0856"/>
    <w:rsid w:val="008D08DB"/>
    <w:rsid w:val="008D0959"/>
    <w:rsid w:val="008D096A"/>
    <w:rsid w:val="008D0991"/>
    <w:rsid w:val="008D0997"/>
    <w:rsid w:val="008D09D4"/>
    <w:rsid w:val="008D0A5D"/>
    <w:rsid w:val="008D0ABF"/>
    <w:rsid w:val="008D0AE9"/>
    <w:rsid w:val="008D0AF4"/>
    <w:rsid w:val="008D0B05"/>
    <w:rsid w:val="008D0B89"/>
    <w:rsid w:val="008D0BA4"/>
    <w:rsid w:val="008D0C17"/>
    <w:rsid w:val="008D0CFE"/>
    <w:rsid w:val="008D0D21"/>
    <w:rsid w:val="008D0D28"/>
    <w:rsid w:val="008D0D55"/>
    <w:rsid w:val="008D0D58"/>
    <w:rsid w:val="008D0D8C"/>
    <w:rsid w:val="008D0DC8"/>
    <w:rsid w:val="008D0DF4"/>
    <w:rsid w:val="008D0E12"/>
    <w:rsid w:val="008D0E19"/>
    <w:rsid w:val="008D0E93"/>
    <w:rsid w:val="008D0E97"/>
    <w:rsid w:val="008D0ECE"/>
    <w:rsid w:val="008D0F11"/>
    <w:rsid w:val="008D0F38"/>
    <w:rsid w:val="008D0F4B"/>
    <w:rsid w:val="008D0F77"/>
    <w:rsid w:val="008D0FE5"/>
    <w:rsid w:val="008D1034"/>
    <w:rsid w:val="008D104C"/>
    <w:rsid w:val="008D1087"/>
    <w:rsid w:val="008D108A"/>
    <w:rsid w:val="008D10B7"/>
    <w:rsid w:val="008D10D7"/>
    <w:rsid w:val="008D110C"/>
    <w:rsid w:val="008D1133"/>
    <w:rsid w:val="008D1135"/>
    <w:rsid w:val="008D1147"/>
    <w:rsid w:val="008D11E4"/>
    <w:rsid w:val="008D1223"/>
    <w:rsid w:val="008D1226"/>
    <w:rsid w:val="008D1273"/>
    <w:rsid w:val="008D1280"/>
    <w:rsid w:val="008D12AA"/>
    <w:rsid w:val="008D131C"/>
    <w:rsid w:val="008D135D"/>
    <w:rsid w:val="008D1363"/>
    <w:rsid w:val="008D13A4"/>
    <w:rsid w:val="008D1443"/>
    <w:rsid w:val="008D14AE"/>
    <w:rsid w:val="008D14DD"/>
    <w:rsid w:val="008D14F5"/>
    <w:rsid w:val="008D1523"/>
    <w:rsid w:val="008D1570"/>
    <w:rsid w:val="008D1578"/>
    <w:rsid w:val="008D15B8"/>
    <w:rsid w:val="008D15D0"/>
    <w:rsid w:val="008D1659"/>
    <w:rsid w:val="008D165A"/>
    <w:rsid w:val="008D168D"/>
    <w:rsid w:val="008D16B6"/>
    <w:rsid w:val="008D1725"/>
    <w:rsid w:val="008D1760"/>
    <w:rsid w:val="008D188D"/>
    <w:rsid w:val="008D1892"/>
    <w:rsid w:val="008D18AB"/>
    <w:rsid w:val="008D18D1"/>
    <w:rsid w:val="008D18D7"/>
    <w:rsid w:val="008D18F0"/>
    <w:rsid w:val="008D1930"/>
    <w:rsid w:val="008D1936"/>
    <w:rsid w:val="008D1948"/>
    <w:rsid w:val="008D1957"/>
    <w:rsid w:val="008D197E"/>
    <w:rsid w:val="008D1A0F"/>
    <w:rsid w:val="008D1A60"/>
    <w:rsid w:val="008D1AB2"/>
    <w:rsid w:val="008D1AB6"/>
    <w:rsid w:val="008D1ACE"/>
    <w:rsid w:val="008D1B14"/>
    <w:rsid w:val="008D1B28"/>
    <w:rsid w:val="008D1B36"/>
    <w:rsid w:val="008D1B45"/>
    <w:rsid w:val="008D1B6C"/>
    <w:rsid w:val="008D1B86"/>
    <w:rsid w:val="008D1BD2"/>
    <w:rsid w:val="008D1BE5"/>
    <w:rsid w:val="008D1BEF"/>
    <w:rsid w:val="008D1C2D"/>
    <w:rsid w:val="008D1C8B"/>
    <w:rsid w:val="008D1C9D"/>
    <w:rsid w:val="008D1C9F"/>
    <w:rsid w:val="008D1CB2"/>
    <w:rsid w:val="008D1CBF"/>
    <w:rsid w:val="008D1CDD"/>
    <w:rsid w:val="008D1CDE"/>
    <w:rsid w:val="008D1D45"/>
    <w:rsid w:val="008D1D4E"/>
    <w:rsid w:val="008D1D66"/>
    <w:rsid w:val="008D1D7C"/>
    <w:rsid w:val="008D1DB5"/>
    <w:rsid w:val="008D1DEC"/>
    <w:rsid w:val="008D1E2D"/>
    <w:rsid w:val="008D1E33"/>
    <w:rsid w:val="008D1EA3"/>
    <w:rsid w:val="008D1ECF"/>
    <w:rsid w:val="008D1ED9"/>
    <w:rsid w:val="008D1F5F"/>
    <w:rsid w:val="008D1F81"/>
    <w:rsid w:val="008D1F9A"/>
    <w:rsid w:val="008D1FD9"/>
    <w:rsid w:val="008D203D"/>
    <w:rsid w:val="008D20B8"/>
    <w:rsid w:val="008D20E8"/>
    <w:rsid w:val="008D20FE"/>
    <w:rsid w:val="008D2102"/>
    <w:rsid w:val="008D21C3"/>
    <w:rsid w:val="008D2216"/>
    <w:rsid w:val="008D2221"/>
    <w:rsid w:val="008D2260"/>
    <w:rsid w:val="008D226D"/>
    <w:rsid w:val="008D227C"/>
    <w:rsid w:val="008D22EE"/>
    <w:rsid w:val="008D2319"/>
    <w:rsid w:val="008D234E"/>
    <w:rsid w:val="008D2354"/>
    <w:rsid w:val="008D236F"/>
    <w:rsid w:val="008D2372"/>
    <w:rsid w:val="008D237A"/>
    <w:rsid w:val="008D239D"/>
    <w:rsid w:val="008D23B2"/>
    <w:rsid w:val="008D23DE"/>
    <w:rsid w:val="008D243C"/>
    <w:rsid w:val="008D24B5"/>
    <w:rsid w:val="008D2501"/>
    <w:rsid w:val="008D250E"/>
    <w:rsid w:val="008D2536"/>
    <w:rsid w:val="008D256C"/>
    <w:rsid w:val="008D2698"/>
    <w:rsid w:val="008D2699"/>
    <w:rsid w:val="008D26D7"/>
    <w:rsid w:val="008D26F1"/>
    <w:rsid w:val="008D272C"/>
    <w:rsid w:val="008D272F"/>
    <w:rsid w:val="008D27A7"/>
    <w:rsid w:val="008D281B"/>
    <w:rsid w:val="008D2821"/>
    <w:rsid w:val="008D283A"/>
    <w:rsid w:val="008D2843"/>
    <w:rsid w:val="008D2844"/>
    <w:rsid w:val="008D2877"/>
    <w:rsid w:val="008D2884"/>
    <w:rsid w:val="008D2895"/>
    <w:rsid w:val="008D28B8"/>
    <w:rsid w:val="008D28E3"/>
    <w:rsid w:val="008D292E"/>
    <w:rsid w:val="008D2986"/>
    <w:rsid w:val="008D29BD"/>
    <w:rsid w:val="008D29F1"/>
    <w:rsid w:val="008D29F2"/>
    <w:rsid w:val="008D29F9"/>
    <w:rsid w:val="008D2A70"/>
    <w:rsid w:val="008D2B02"/>
    <w:rsid w:val="008D2B0C"/>
    <w:rsid w:val="008D2B35"/>
    <w:rsid w:val="008D2B3F"/>
    <w:rsid w:val="008D2B8F"/>
    <w:rsid w:val="008D2C5F"/>
    <w:rsid w:val="008D2C73"/>
    <w:rsid w:val="008D2C7B"/>
    <w:rsid w:val="008D2CAD"/>
    <w:rsid w:val="008D2CC3"/>
    <w:rsid w:val="008D2D16"/>
    <w:rsid w:val="008D2D1D"/>
    <w:rsid w:val="008D2D21"/>
    <w:rsid w:val="008D2D4C"/>
    <w:rsid w:val="008D2D66"/>
    <w:rsid w:val="008D2D67"/>
    <w:rsid w:val="008D2DB0"/>
    <w:rsid w:val="008D2E1B"/>
    <w:rsid w:val="008D2E2E"/>
    <w:rsid w:val="008D2E3B"/>
    <w:rsid w:val="008D2E92"/>
    <w:rsid w:val="008D2ED6"/>
    <w:rsid w:val="008D2EFD"/>
    <w:rsid w:val="008D2F04"/>
    <w:rsid w:val="008D2F0A"/>
    <w:rsid w:val="008D2F12"/>
    <w:rsid w:val="008D2F5B"/>
    <w:rsid w:val="008D2F6F"/>
    <w:rsid w:val="008D2F81"/>
    <w:rsid w:val="008D2F94"/>
    <w:rsid w:val="008D2F9D"/>
    <w:rsid w:val="008D2FA3"/>
    <w:rsid w:val="008D2FF5"/>
    <w:rsid w:val="008D3008"/>
    <w:rsid w:val="008D3054"/>
    <w:rsid w:val="008D30B1"/>
    <w:rsid w:val="008D30B8"/>
    <w:rsid w:val="008D3118"/>
    <w:rsid w:val="008D3125"/>
    <w:rsid w:val="008D3135"/>
    <w:rsid w:val="008D3183"/>
    <w:rsid w:val="008D31AD"/>
    <w:rsid w:val="008D31F7"/>
    <w:rsid w:val="008D31FA"/>
    <w:rsid w:val="008D3207"/>
    <w:rsid w:val="008D3238"/>
    <w:rsid w:val="008D3253"/>
    <w:rsid w:val="008D3257"/>
    <w:rsid w:val="008D32B0"/>
    <w:rsid w:val="008D32B3"/>
    <w:rsid w:val="008D32D7"/>
    <w:rsid w:val="008D330E"/>
    <w:rsid w:val="008D338A"/>
    <w:rsid w:val="008D339F"/>
    <w:rsid w:val="008D33FE"/>
    <w:rsid w:val="008D3423"/>
    <w:rsid w:val="008D3472"/>
    <w:rsid w:val="008D348A"/>
    <w:rsid w:val="008D34A3"/>
    <w:rsid w:val="008D34CC"/>
    <w:rsid w:val="008D3509"/>
    <w:rsid w:val="008D358E"/>
    <w:rsid w:val="008D35BD"/>
    <w:rsid w:val="008D35FA"/>
    <w:rsid w:val="008D3629"/>
    <w:rsid w:val="008D3662"/>
    <w:rsid w:val="008D36DF"/>
    <w:rsid w:val="008D36E2"/>
    <w:rsid w:val="008D36EF"/>
    <w:rsid w:val="008D3707"/>
    <w:rsid w:val="008D378D"/>
    <w:rsid w:val="008D3818"/>
    <w:rsid w:val="008D3822"/>
    <w:rsid w:val="008D386E"/>
    <w:rsid w:val="008D3871"/>
    <w:rsid w:val="008D3896"/>
    <w:rsid w:val="008D3897"/>
    <w:rsid w:val="008D38C4"/>
    <w:rsid w:val="008D38D8"/>
    <w:rsid w:val="008D3903"/>
    <w:rsid w:val="008D3948"/>
    <w:rsid w:val="008D39EA"/>
    <w:rsid w:val="008D3A2B"/>
    <w:rsid w:val="008D3A9D"/>
    <w:rsid w:val="008D3AE2"/>
    <w:rsid w:val="008D3B86"/>
    <w:rsid w:val="008D3BB8"/>
    <w:rsid w:val="008D3BBE"/>
    <w:rsid w:val="008D3C12"/>
    <w:rsid w:val="008D3C35"/>
    <w:rsid w:val="008D3C77"/>
    <w:rsid w:val="008D3C89"/>
    <w:rsid w:val="008D3CAC"/>
    <w:rsid w:val="008D3CF1"/>
    <w:rsid w:val="008D3D1A"/>
    <w:rsid w:val="008D3E1D"/>
    <w:rsid w:val="008D3E34"/>
    <w:rsid w:val="008D3E55"/>
    <w:rsid w:val="008D3E91"/>
    <w:rsid w:val="008D3EA0"/>
    <w:rsid w:val="008D3EE3"/>
    <w:rsid w:val="008D3EF2"/>
    <w:rsid w:val="008D3F14"/>
    <w:rsid w:val="008D3FC7"/>
    <w:rsid w:val="008D404B"/>
    <w:rsid w:val="008D40AD"/>
    <w:rsid w:val="008D4105"/>
    <w:rsid w:val="008D412A"/>
    <w:rsid w:val="008D414F"/>
    <w:rsid w:val="008D41DB"/>
    <w:rsid w:val="008D4234"/>
    <w:rsid w:val="008D4248"/>
    <w:rsid w:val="008D4269"/>
    <w:rsid w:val="008D42AC"/>
    <w:rsid w:val="008D42D2"/>
    <w:rsid w:val="008D42E2"/>
    <w:rsid w:val="008D4326"/>
    <w:rsid w:val="008D4366"/>
    <w:rsid w:val="008D43BF"/>
    <w:rsid w:val="008D43C1"/>
    <w:rsid w:val="008D443B"/>
    <w:rsid w:val="008D445A"/>
    <w:rsid w:val="008D446A"/>
    <w:rsid w:val="008D447F"/>
    <w:rsid w:val="008D448B"/>
    <w:rsid w:val="008D4498"/>
    <w:rsid w:val="008D44AF"/>
    <w:rsid w:val="008D44D1"/>
    <w:rsid w:val="008D4528"/>
    <w:rsid w:val="008D4552"/>
    <w:rsid w:val="008D4585"/>
    <w:rsid w:val="008D460A"/>
    <w:rsid w:val="008D4661"/>
    <w:rsid w:val="008D470A"/>
    <w:rsid w:val="008D475F"/>
    <w:rsid w:val="008D47BE"/>
    <w:rsid w:val="008D47D2"/>
    <w:rsid w:val="008D47F1"/>
    <w:rsid w:val="008D4820"/>
    <w:rsid w:val="008D4859"/>
    <w:rsid w:val="008D485B"/>
    <w:rsid w:val="008D486E"/>
    <w:rsid w:val="008D48F7"/>
    <w:rsid w:val="008D4934"/>
    <w:rsid w:val="008D4969"/>
    <w:rsid w:val="008D496C"/>
    <w:rsid w:val="008D4979"/>
    <w:rsid w:val="008D49B4"/>
    <w:rsid w:val="008D49D8"/>
    <w:rsid w:val="008D49F5"/>
    <w:rsid w:val="008D4A06"/>
    <w:rsid w:val="008D4A19"/>
    <w:rsid w:val="008D4A29"/>
    <w:rsid w:val="008D4A41"/>
    <w:rsid w:val="008D4A62"/>
    <w:rsid w:val="008D4A86"/>
    <w:rsid w:val="008D4AE4"/>
    <w:rsid w:val="008D4B38"/>
    <w:rsid w:val="008D4BAA"/>
    <w:rsid w:val="008D4C4B"/>
    <w:rsid w:val="008D4CE2"/>
    <w:rsid w:val="008D4D06"/>
    <w:rsid w:val="008D4D46"/>
    <w:rsid w:val="008D4D5D"/>
    <w:rsid w:val="008D4DCD"/>
    <w:rsid w:val="008D4DE7"/>
    <w:rsid w:val="008D4E5E"/>
    <w:rsid w:val="008D4EBA"/>
    <w:rsid w:val="008D4ECA"/>
    <w:rsid w:val="008D4EF0"/>
    <w:rsid w:val="008D4F04"/>
    <w:rsid w:val="008D4F2D"/>
    <w:rsid w:val="008D4FE9"/>
    <w:rsid w:val="008D502A"/>
    <w:rsid w:val="008D5091"/>
    <w:rsid w:val="008D5106"/>
    <w:rsid w:val="008D515F"/>
    <w:rsid w:val="008D516C"/>
    <w:rsid w:val="008D5265"/>
    <w:rsid w:val="008D5288"/>
    <w:rsid w:val="008D52C5"/>
    <w:rsid w:val="008D52EC"/>
    <w:rsid w:val="008D533A"/>
    <w:rsid w:val="008D5349"/>
    <w:rsid w:val="008D534A"/>
    <w:rsid w:val="008D534F"/>
    <w:rsid w:val="008D535A"/>
    <w:rsid w:val="008D53C3"/>
    <w:rsid w:val="008D53C5"/>
    <w:rsid w:val="008D540B"/>
    <w:rsid w:val="008D5422"/>
    <w:rsid w:val="008D544C"/>
    <w:rsid w:val="008D546F"/>
    <w:rsid w:val="008D5534"/>
    <w:rsid w:val="008D5557"/>
    <w:rsid w:val="008D5565"/>
    <w:rsid w:val="008D55D7"/>
    <w:rsid w:val="008D5601"/>
    <w:rsid w:val="008D56A5"/>
    <w:rsid w:val="008D56B6"/>
    <w:rsid w:val="008D56D7"/>
    <w:rsid w:val="008D56E7"/>
    <w:rsid w:val="008D571C"/>
    <w:rsid w:val="008D572E"/>
    <w:rsid w:val="008D5774"/>
    <w:rsid w:val="008D577A"/>
    <w:rsid w:val="008D57D4"/>
    <w:rsid w:val="008D58DF"/>
    <w:rsid w:val="008D5911"/>
    <w:rsid w:val="008D5918"/>
    <w:rsid w:val="008D593E"/>
    <w:rsid w:val="008D5944"/>
    <w:rsid w:val="008D598E"/>
    <w:rsid w:val="008D5A4C"/>
    <w:rsid w:val="008D5A67"/>
    <w:rsid w:val="008D5A84"/>
    <w:rsid w:val="008D5AFD"/>
    <w:rsid w:val="008D5B25"/>
    <w:rsid w:val="008D5B2C"/>
    <w:rsid w:val="008D5B59"/>
    <w:rsid w:val="008D5B70"/>
    <w:rsid w:val="008D5B7E"/>
    <w:rsid w:val="008D5C0E"/>
    <w:rsid w:val="008D5D19"/>
    <w:rsid w:val="008D5D4D"/>
    <w:rsid w:val="008D5DB5"/>
    <w:rsid w:val="008D5E19"/>
    <w:rsid w:val="008D5E3C"/>
    <w:rsid w:val="008D5E86"/>
    <w:rsid w:val="008D5EE7"/>
    <w:rsid w:val="008D5F01"/>
    <w:rsid w:val="008D5F0A"/>
    <w:rsid w:val="008D5F40"/>
    <w:rsid w:val="008D5FB9"/>
    <w:rsid w:val="008D6037"/>
    <w:rsid w:val="008D60C6"/>
    <w:rsid w:val="008D60D1"/>
    <w:rsid w:val="008D60D5"/>
    <w:rsid w:val="008D6108"/>
    <w:rsid w:val="008D612D"/>
    <w:rsid w:val="008D6143"/>
    <w:rsid w:val="008D6183"/>
    <w:rsid w:val="008D61CC"/>
    <w:rsid w:val="008D61E7"/>
    <w:rsid w:val="008D61EB"/>
    <w:rsid w:val="008D6213"/>
    <w:rsid w:val="008D6240"/>
    <w:rsid w:val="008D6263"/>
    <w:rsid w:val="008D6276"/>
    <w:rsid w:val="008D62DD"/>
    <w:rsid w:val="008D6353"/>
    <w:rsid w:val="008D6386"/>
    <w:rsid w:val="008D6397"/>
    <w:rsid w:val="008D63E7"/>
    <w:rsid w:val="008D63FD"/>
    <w:rsid w:val="008D648F"/>
    <w:rsid w:val="008D64C1"/>
    <w:rsid w:val="008D64D1"/>
    <w:rsid w:val="008D64DF"/>
    <w:rsid w:val="008D64ED"/>
    <w:rsid w:val="008D6513"/>
    <w:rsid w:val="008D651D"/>
    <w:rsid w:val="008D65A6"/>
    <w:rsid w:val="008D65A9"/>
    <w:rsid w:val="008D65AB"/>
    <w:rsid w:val="008D65E4"/>
    <w:rsid w:val="008D660C"/>
    <w:rsid w:val="008D661F"/>
    <w:rsid w:val="008D662B"/>
    <w:rsid w:val="008D6644"/>
    <w:rsid w:val="008D6739"/>
    <w:rsid w:val="008D677A"/>
    <w:rsid w:val="008D6785"/>
    <w:rsid w:val="008D67C2"/>
    <w:rsid w:val="008D67F6"/>
    <w:rsid w:val="008D6831"/>
    <w:rsid w:val="008D6844"/>
    <w:rsid w:val="008D684A"/>
    <w:rsid w:val="008D6875"/>
    <w:rsid w:val="008D68BB"/>
    <w:rsid w:val="008D68D6"/>
    <w:rsid w:val="008D6925"/>
    <w:rsid w:val="008D692A"/>
    <w:rsid w:val="008D693A"/>
    <w:rsid w:val="008D69C2"/>
    <w:rsid w:val="008D69F0"/>
    <w:rsid w:val="008D6A69"/>
    <w:rsid w:val="008D6A7D"/>
    <w:rsid w:val="008D6ABA"/>
    <w:rsid w:val="008D6AEE"/>
    <w:rsid w:val="008D6B43"/>
    <w:rsid w:val="008D6B58"/>
    <w:rsid w:val="008D6B77"/>
    <w:rsid w:val="008D6BDF"/>
    <w:rsid w:val="008D6C59"/>
    <w:rsid w:val="008D6D12"/>
    <w:rsid w:val="008D6D19"/>
    <w:rsid w:val="008D6DC8"/>
    <w:rsid w:val="008D6DD5"/>
    <w:rsid w:val="008D6E14"/>
    <w:rsid w:val="008D6E2D"/>
    <w:rsid w:val="008D6E68"/>
    <w:rsid w:val="008D6E9E"/>
    <w:rsid w:val="008D6ECA"/>
    <w:rsid w:val="008D6EE5"/>
    <w:rsid w:val="008D6EEA"/>
    <w:rsid w:val="008D6EFF"/>
    <w:rsid w:val="008D6F13"/>
    <w:rsid w:val="008D6FBA"/>
    <w:rsid w:val="008D7098"/>
    <w:rsid w:val="008D70D2"/>
    <w:rsid w:val="008D7111"/>
    <w:rsid w:val="008D7124"/>
    <w:rsid w:val="008D712D"/>
    <w:rsid w:val="008D7158"/>
    <w:rsid w:val="008D71A6"/>
    <w:rsid w:val="008D71D3"/>
    <w:rsid w:val="008D71DE"/>
    <w:rsid w:val="008D7234"/>
    <w:rsid w:val="008D7267"/>
    <w:rsid w:val="008D7268"/>
    <w:rsid w:val="008D72A1"/>
    <w:rsid w:val="008D72C7"/>
    <w:rsid w:val="008D7304"/>
    <w:rsid w:val="008D7306"/>
    <w:rsid w:val="008D7349"/>
    <w:rsid w:val="008D7362"/>
    <w:rsid w:val="008D7371"/>
    <w:rsid w:val="008D737A"/>
    <w:rsid w:val="008D73B0"/>
    <w:rsid w:val="008D73B5"/>
    <w:rsid w:val="008D743A"/>
    <w:rsid w:val="008D743C"/>
    <w:rsid w:val="008D744A"/>
    <w:rsid w:val="008D746D"/>
    <w:rsid w:val="008D7489"/>
    <w:rsid w:val="008D748A"/>
    <w:rsid w:val="008D74EC"/>
    <w:rsid w:val="008D75C0"/>
    <w:rsid w:val="008D75F3"/>
    <w:rsid w:val="008D7678"/>
    <w:rsid w:val="008D768F"/>
    <w:rsid w:val="008D76BD"/>
    <w:rsid w:val="008D772A"/>
    <w:rsid w:val="008D77A4"/>
    <w:rsid w:val="008D77A7"/>
    <w:rsid w:val="008D7868"/>
    <w:rsid w:val="008D78B3"/>
    <w:rsid w:val="008D78BD"/>
    <w:rsid w:val="008D791C"/>
    <w:rsid w:val="008D794C"/>
    <w:rsid w:val="008D795E"/>
    <w:rsid w:val="008D79D6"/>
    <w:rsid w:val="008D7A16"/>
    <w:rsid w:val="008D7A36"/>
    <w:rsid w:val="008D7A6A"/>
    <w:rsid w:val="008D7AAD"/>
    <w:rsid w:val="008D7ACE"/>
    <w:rsid w:val="008D7AEB"/>
    <w:rsid w:val="008D7B03"/>
    <w:rsid w:val="008D7BDA"/>
    <w:rsid w:val="008D7BE4"/>
    <w:rsid w:val="008D7C45"/>
    <w:rsid w:val="008D7C69"/>
    <w:rsid w:val="008D7C7A"/>
    <w:rsid w:val="008D7C7B"/>
    <w:rsid w:val="008D7CDA"/>
    <w:rsid w:val="008D7CF2"/>
    <w:rsid w:val="008D7D0D"/>
    <w:rsid w:val="008D7D4F"/>
    <w:rsid w:val="008D7D66"/>
    <w:rsid w:val="008D7D71"/>
    <w:rsid w:val="008D7E13"/>
    <w:rsid w:val="008D7E17"/>
    <w:rsid w:val="008D7E7F"/>
    <w:rsid w:val="008D7E8C"/>
    <w:rsid w:val="008D7EA2"/>
    <w:rsid w:val="008D7F37"/>
    <w:rsid w:val="008D7F50"/>
    <w:rsid w:val="008D7F67"/>
    <w:rsid w:val="008D7F8A"/>
    <w:rsid w:val="008D7FCF"/>
    <w:rsid w:val="008E000E"/>
    <w:rsid w:val="008E002C"/>
    <w:rsid w:val="008E005B"/>
    <w:rsid w:val="008E008D"/>
    <w:rsid w:val="008E010D"/>
    <w:rsid w:val="008E0155"/>
    <w:rsid w:val="008E0167"/>
    <w:rsid w:val="008E01CB"/>
    <w:rsid w:val="008E0221"/>
    <w:rsid w:val="008E0236"/>
    <w:rsid w:val="008E02A6"/>
    <w:rsid w:val="008E02B5"/>
    <w:rsid w:val="008E02E2"/>
    <w:rsid w:val="008E031D"/>
    <w:rsid w:val="008E0337"/>
    <w:rsid w:val="008E033A"/>
    <w:rsid w:val="008E0386"/>
    <w:rsid w:val="008E03E2"/>
    <w:rsid w:val="008E0419"/>
    <w:rsid w:val="008E042E"/>
    <w:rsid w:val="008E04C0"/>
    <w:rsid w:val="008E0535"/>
    <w:rsid w:val="008E0545"/>
    <w:rsid w:val="008E0584"/>
    <w:rsid w:val="008E066A"/>
    <w:rsid w:val="008E0706"/>
    <w:rsid w:val="008E0723"/>
    <w:rsid w:val="008E075C"/>
    <w:rsid w:val="008E078B"/>
    <w:rsid w:val="008E0798"/>
    <w:rsid w:val="008E0831"/>
    <w:rsid w:val="008E0884"/>
    <w:rsid w:val="008E0898"/>
    <w:rsid w:val="008E0A0C"/>
    <w:rsid w:val="008E0A1E"/>
    <w:rsid w:val="008E0A5E"/>
    <w:rsid w:val="008E0A6F"/>
    <w:rsid w:val="008E0AB6"/>
    <w:rsid w:val="008E0AF6"/>
    <w:rsid w:val="008E0B40"/>
    <w:rsid w:val="008E0B64"/>
    <w:rsid w:val="008E0BA1"/>
    <w:rsid w:val="008E0BAB"/>
    <w:rsid w:val="008E0C3A"/>
    <w:rsid w:val="008E0C5A"/>
    <w:rsid w:val="008E0C6B"/>
    <w:rsid w:val="008E0CA8"/>
    <w:rsid w:val="008E0D36"/>
    <w:rsid w:val="008E0D38"/>
    <w:rsid w:val="008E0D43"/>
    <w:rsid w:val="008E0D56"/>
    <w:rsid w:val="008E0DC2"/>
    <w:rsid w:val="008E0DC6"/>
    <w:rsid w:val="008E0DEA"/>
    <w:rsid w:val="008E0E0B"/>
    <w:rsid w:val="008E0E5D"/>
    <w:rsid w:val="008E0EFF"/>
    <w:rsid w:val="008E0F07"/>
    <w:rsid w:val="008E0F2A"/>
    <w:rsid w:val="008E0FB9"/>
    <w:rsid w:val="008E0FDC"/>
    <w:rsid w:val="008E1034"/>
    <w:rsid w:val="008E10C5"/>
    <w:rsid w:val="008E10D8"/>
    <w:rsid w:val="008E10E9"/>
    <w:rsid w:val="008E110E"/>
    <w:rsid w:val="008E1132"/>
    <w:rsid w:val="008E1138"/>
    <w:rsid w:val="008E1148"/>
    <w:rsid w:val="008E1150"/>
    <w:rsid w:val="008E1156"/>
    <w:rsid w:val="008E11BC"/>
    <w:rsid w:val="008E11C0"/>
    <w:rsid w:val="008E1284"/>
    <w:rsid w:val="008E1285"/>
    <w:rsid w:val="008E12D0"/>
    <w:rsid w:val="008E1303"/>
    <w:rsid w:val="008E1336"/>
    <w:rsid w:val="008E1351"/>
    <w:rsid w:val="008E1361"/>
    <w:rsid w:val="008E13CC"/>
    <w:rsid w:val="008E13F1"/>
    <w:rsid w:val="008E1443"/>
    <w:rsid w:val="008E1448"/>
    <w:rsid w:val="008E144E"/>
    <w:rsid w:val="008E14D7"/>
    <w:rsid w:val="008E1509"/>
    <w:rsid w:val="008E1514"/>
    <w:rsid w:val="008E1517"/>
    <w:rsid w:val="008E161E"/>
    <w:rsid w:val="008E164E"/>
    <w:rsid w:val="008E166D"/>
    <w:rsid w:val="008E16A0"/>
    <w:rsid w:val="008E16FA"/>
    <w:rsid w:val="008E176F"/>
    <w:rsid w:val="008E17F1"/>
    <w:rsid w:val="008E1807"/>
    <w:rsid w:val="008E18C9"/>
    <w:rsid w:val="008E1919"/>
    <w:rsid w:val="008E1934"/>
    <w:rsid w:val="008E1986"/>
    <w:rsid w:val="008E198A"/>
    <w:rsid w:val="008E19EB"/>
    <w:rsid w:val="008E19EC"/>
    <w:rsid w:val="008E1A28"/>
    <w:rsid w:val="008E1A4F"/>
    <w:rsid w:val="008E1AA5"/>
    <w:rsid w:val="008E1AAF"/>
    <w:rsid w:val="008E1B55"/>
    <w:rsid w:val="008E1B60"/>
    <w:rsid w:val="008E1B94"/>
    <w:rsid w:val="008E1BBC"/>
    <w:rsid w:val="008E1BC0"/>
    <w:rsid w:val="008E1BC6"/>
    <w:rsid w:val="008E1BCA"/>
    <w:rsid w:val="008E1BD7"/>
    <w:rsid w:val="008E1BEF"/>
    <w:rsid w:val="008E1BF0"/>
    <w:rsid w:val="008E1C11"/>
    <w:rsid w:val="008E1C32"/>
    <w:rsid w:val="008E1C56"/>
    <w:rsid w:val="008E1C5A"/>
    <w:rsid w:val="008E1CAD"/>
    <w:rsid w:val="008E1CB2"/>
    <w:rsid w:val="008E1CC7"/>
    <w:rsid w:val="008E1D0B"/>
    <w:rsid w:val="008E1D31"/>
    <w:rsid w:val="008E1DDF"/>
    <w:rsid w:val="008E1E0F"/>
    <w:rsid w:val="008E1E13"/>
    <w:rsid w:val="008E1E17"/>
    <w:rsid w:val="008E1E22"/>
    <w:rsid w:val="008E1E42"/>
    <w:rsid w:val="008E1E53"/>
    <w:rsid w:val="008E1E57"/>
    <w:rsid w:val="008E1E61"/>
    <w:rsid w:val="008E1E87"/>
    <w:rsid w:val="008E1EA5"/>
    <w:rsid w:val="008E1EBB"/>
    <w:rsid w:val="008E1EF5"/>
    <w:rsid w:val="008E1F30"/>
    <w:rsid w:val="008E1F58"/>
    <w:rsid w:val="008E1F79"/>
    <w:rsid w:val="008E204B"/>
    <w:rsid w:val="008E2082"/>
    <w:rsid w:val="008E209B"/>
    <w:rsid w:val="008E20F6"/>
    <w:rsid w:val="008E2162"/>
    <w:rsid w:val="008E219B"/>
    <w:rsid w:val="008E2241"/>
    <w:rsid w:val="008E2298"/>
    <w:rsid w:val="008E22B8"/>
    <w:rsid w:val="008E22D5"/>
    <w:rsid w:val="008E2326"/>
    <w:rsid w:val="008E2348"/>
    <w:rsid w:val="008E2378"/>
    <w:rsid w:val="008E23BC"/>
    <w:rsid w:val="008E23D3"/>
    <w:rsid w:val="008E242A"/>
    <w:rsid w:val="008E248C"/>
    <w:rsid w:val="008E2493"/>
    <w:rsid w:val="008E24C0"/>
    <w:rsid w:val="008E24C4"/>
    <w:rsid w:val="008E255E"/>
    <w:rsid w:val="008E25D3"/>
    <w:rsid w:val="008E25EA"/>
    <w:rsid w:val="008E2614"/>
    <w:rsid w:val="008E2669"/>
    <w:rsid w:val="008E2679"/>
    <w:rsid w:val="008E26D4"/>
    <w:rsid w:val="008E26DD"/>
    <w:rsid w:val="008E274B"/>
    <w:rsid w:val="008E274C"/>
    <w:rsid w:val="008E2776"/>
    <w:rsid w:val="008E2873"/>
    <w:rsid w:val="008E28F1"/>
    <w:rsid w:val="008E2960"/>
    <w:rsid w:val="008E298F"/>
    <w:rsid w:val="008E29B0"/>
    <w:rsid w:val="008E2AAE"/>
    <w:rsid w:val="008E2ABE"/>
    <w:rsid w:val="008E2AD9"/>
    <w:rsid w:val="008E2AE1"/>
    <w:rsid w:val="008E2AEF"/>
    <w:rsid w:val="008E2B27"/>
    <w:rsid w:val="008E2B7A"/>
    <w:rsid w:val="008E2B90"/>
    <w:rsid w:val="008E2BC4"/>
    <w:rsid w:val="008E2BCC"/>
    <w:rsid w:val="008E2BD3"/>
    <w:rsid w:val="008E2BF9"/>
    <w:rsid w:val="008E2C04"/>
    <w:rsid w:val="008E2C57"/>
    <w:rsid w:val="008E2CD4"/>
    <w:rsid w:val="008E2CE4"/>
    <w:rsid w:val="008E2D23"/>
    <w:rsid w:val="008E2D3D"/>
    <w:rsid w:val="008E2D62"/>
    <w:rsid w:val="008E2DD2"/>
    <w:rsid w:val="008E2DDC"/>
    <w:rsid w:val="008E2DEB"/>
    <w:rsid w:val="008E2DF5"/>
    <w:rsid w:val="008E2E95"/>
    <w:rsid w:val="008E2EDF"/>
    <w:rsid w:val="008E2F01"/>
    <w:rsid w:val="008E2F04"/>
    <w:rsid w:val="008E2F22"/>
    <w:rsid w:val="008E2F3F"/>
    <w:rsid w:val="008E30A5"/>
    <w:rsid w:val="008E311D"/>
    <w:rsid w:val="008E3145"/>
    <w:rsid w:val="008E317B"/>
    <w:rsid w:val="008E31D2"/>
    <w:rsid w:val="008E322C"/>
    <w:rsid w:val="008E324A"/>
    <w:rsid w:val="008E3277"/>
    <w:rsid w:val="008E328F"/>
    <w:rsid w:val="008E330B"/>
    <w:rsid w:val="008E3314"/>
    <w:rsid w:val="008E3362"/>
    <w:rsid w:val="008E33AB"/>
    <w:rsid w:val="008E33CD"/>
    <w:rsid w:val="008E33D5"/>
    <w:rsid w:val="008E33FB"/>
    <w:rsid w:val="008E340A"/>
    <w:rsid w:val="008E342B"/>
    <w:rsid w:val="008E3447"/>
    <w:rsid w:val="008E34E9"/>
    <w:rsid w:val="008E3512"/>
    <w:rsid w:val="008E3544"/>
    <w:rsid w:val="008E35B0"/>
    <w:rsid w:val="008E35FA"/>
    <w:rsid w:val="008E35FC"/>
    <w:rsid w:val="008E3608"/>
    <w:rsid w:val="008E368B"/>
    <w:rsid w:val="008E36D7"/>
    <w:rsid w:val="008E36EC"/>
    <w:rsid w:val="008E3705"/>
    <w:rsid w:val="008E3793"/>
    <w:rsid w:val="008E379D"/>
    <w:rsid w:val="008E3820"/>
    <w:rsid w:val="008E383B"/>
    <w:rsid w:val="008E385F"/>
    <w:rsid w:val="008E3887"/>
    <w:rsid w:val="008E388F"/>
    <w:rsid w:val="008E3898"/>
    <w:rsid w:val="008E390A"/>
    <w:rsid w:val="008E39DE"/>
    <w:rsid w:val="008E3A2C"/>
    <w:rsid w:val="008E3A7E"/>
    <w:rsid w:val="008E3AED"/>
    <w:rsid w:val="008E3AFB"/>
    <w:rsid w:val="008E3B2D"/>
    <w:rsid w:val="008E3BE8"/>
    <w:rsid w:val="008E3C66"/>
    <w:rsid w:val="008E3C72"/>
    <w:rsid w:val="008E3CDC"/>
    <w:rsid w:val="008E3CF4"/>
    <w:rsid w:val="008E3D12"/>
    <w:rsid w:val="008E3D6E"/>
    <w:rsid w:val="008E3DBF"/>
    <w:rsid w:val="008E3DF0"/>
    <w:rsid w:val="008E3EB8"/>
    <w:rsid w:val="008E3EDB"/>
    <w:rsid w:val="008E3EEF"/>
    <w:rsid w:val="008E3EF9"/>
    <w:rsid w:val="008E3F02"/>
    <w:rsid w:val="008E3F1F"/>
    <w:rsid w:val="008E3F64"/>
    <w:rsid w:val="008E3F83"/>
    <w:rsid w:val="008E3FC5"/>
    <w:rsid w:val="008E3FF3"/>
    <w:rsid w:val="008E4045"/>
    <w:rsid w:val="008E4078"/>
    <w:rsid w:val="008E40E6"/>
    <w:rsid w:val="008E40EE"/>
    <w:rsid w:val="008E415D"/>
    <w:rsid w:val="008E415E"/>
    <w:rsid w:val="008E4162"/>
    <w:rsid w:val="008E417B"/>
    <w:rsid w:val="008E4195"/>
    <w:rsid w:val="008E41B2"/>
    <w:rsid w:val="008E41E9"/>
    <w:rsid w:val="008E420E"/>
    <w:rsid w:val="008E4226"/>
    <w:rsid w:val="008E422F"/>
    <w:rsid w:val="008E4258"/>
    <w:rsid w:val="008E425A"/>
    <w:rsid w:val="008E4283"/>
    <w:rsid w:val="008E42D2"/>
    <w:rsid w:val="008E439C"/>
    <w:rsid w:val="008E447B"/>
    <w:rsid w:val="008E449C"/>
    <w:rsid w:val="008E44A5"/>
    <w:rsid w:val="008E44B5"/>
    <w:rsid w:val="008E44C8"/>
    <w:rsid w:val="008E4508"/>
    <w:rsid w:val="008E4532"/>
    <w:rsid w:val="008E4540"/>
    <w:rsid w:val="008E4567"/>
    <w:rsid w:val="008E457D"/>
    <w:rsid w:val="008E4596"/>
    <w:rsid w:val="008E45B0"/>
    <w:rsid w:val="008E462C"/>
    <w:rsid w:val="008E4641"/>
    <w:rsid w:val="008E4652"/>
    <w:rsid w:val="008E4678"/>
    <w:rsid w:val="008E46AF"/>
    <w:rsid w:val="008E46B4"/>
    <w:rsid w:val="008E46DB"/>
    <w:rsid w:val="008E46DE"/>
    <w:rsid w:val="008E470C"/>
    <w:rsid w:val="008E4710"/>
    <w:rsid w:val="008E472E"/>
    <w:rsid w:val="008E47AF"/>
    <w:rsid w:val="008E4824"/>
    <w:rsid w:val="008E4838"/>
    <w:rsid w:val="008E483E"/>
    <w:rsid w:val="008E4844"/>
    <w:rsid w:val="008E4929"/>
    <w:rsid w:val="008E492A"/>
    <w:rsid w:val="008E4988"/>
    <w:rsid w:val="008E49E9"/>
    <w:rsid w:val="008E4A06"/>
    <w:rsid w:val="008E4A19"/>
    <w:rsid w:val="008E4A68"/>
    <w:rsid w:val="008E4A72"/>
    <w:rsid w:val="008E4AE0"/>
    <w:rsid w:val="008E4AFB"/>
    <w:rsid w:val="008E4B0A"/>
    <w:rsid w:val="008E4B56"/>
    <w:rsid w:val="008E4C31"/>
    <w:rsid w:val="008E4C44"/>
    <w:rsid w:val="008E4CB9"/>
    <w:rsid w:val="008E4CDB"/>
    <w:rsid w:val="008E4D01"/>
    <w:rsid w:val="008E4D63"/>
    <w:rsid w:val="008E4D66"/>
    <w:rsid w:val="008E4DA9"/>
    <w:rsid w:val="008E4DBB"/>
    <w:rsid w:val="008E4DBC"/>
    <w:rsid w:val="008E4DCB"/>
    <w:rsid w:val="008E4DF7"/>
    <w:rsid w:val="008E4E0D"/>
    <w:rsid w:val="008E4E29"/>
    <w:rsid w:val="008E4E59"/>
    <w:rsid w:val="008E4E6C"/>
    <w:rsid w:val="008E4EA7"/>
    <w:rsid w:val="008E4F5F"/>
    <w:rsid w:val="008E4F69"/>
    <w:rsid w:val="008E4F6B"/>
    <w:rsid w:val="008E4F79"/>
    <w:rsid w:val="008E4F7C"/>
    <w:rsid w:val="008E4FE8"/>
    <w:rsid w:val="008E5031"/>
    <w:rsid w:val="008E5066"/>
    <w:rsid w:val="008E5074"/>
    <w:rsid w:val="008E5093"/>
    <w:rsid w:val="008E5094"/>
    <w:rsid w:val="008E509E"/>
    <w:rsid w:val="008E50CF"/>
    <w:rsid w:val="008E5108"/>
    <w:rsid w:val="008E5111"/>
    <w:rsid w:val="008E5146"/>
    <w:rsid w:val="008E51B4"/>
    <w:rsid w:val="008E51C0"/>
    <w:rsid w:val="008E51E1"/>
    <w:rsid w:val="008E520D"/>
    <w:rsid w:val="008E5268"/>
    <w:rsid w:val="008E5342"/>
    <w:rsid w:val="008E534E"/>
    <w:rsid w:val="008E53B6"/>
    <w:rsid w:val="008E53E3"/>
    <w:rsid w:val="008E540F"/>
    <w:rsid w:val="008E54FD"/>
    <w:rsid w:val="008E5552"/>
    <w:rsid w:val="008E5558"/>
    <w:rsid w:val="008E5581"/>
    <w:rsid w:val="008E55DD"/>
    <w:rsid w:val="008E561B"/>
    <w:rsid w:val="008E561F"/>
    <w:rsid w:val="008E5671"/>
    <w:rsid w:val="008E569B"/>
    <w:rsid w:val="008E572C"/>
    <w:rsid w:val="008E5731"/>
    <w:rsid w:val="008E574B"/>
    <w:rsid w:val="008E5767"/>
    <w:rsid w:val="008E578D"/>
    <w:rsid w:val="008E57AD"/>
    <w:rsid w:val="008E582C"/>
    <w:rsid w:val="008E585B"/>
    <w:rsid w:val="008E5867"/>
    <w:rsid w:val="008E599E"/>
    <w:rsid w:val="008E59A4"/>
    <w:rsid w:val="008E59BA"/>
    <w:rsid w:val="008E59FB"/>
    <w:rsid w:val="008E59FE"/>
    <w:rsid w:val="008E5A50"/>
    <w:rsid w:val="008E5A9B"/>
    <w:rsid w:val="008E5AC3"/>
    <w:rsid w:val="008E5AFC"/>
    <w:rsid w:val="008E5AFE"/>
    <w:rsid w:val="008E5B2B"/>
    <w:rsid w:val="008E5B5E"/>
    <w:rsid w:val="008E5B87"/>
    <w:rsid w:val="008E5C22"/>
    <w:rsid w:val="008E5C98"/>
    <w:rsid w:val="008E5CCD"/>
    <w:rsid w:val="008E5CDF"/>
    <w:rsid w:val="008E5CEB"/>
    <w:rsid w:val="008E5D0F"/>
    <w:rsid w:val="008E5D39"/>
    <w:rsid w:val="008E5D3F"/>
    <w:rsid w:val="008E5D6A"/>
    <w:rsid w:val="008E5DB0"/>
    <w:rsid w:val="008E5E33"/>
    <w:rsid w:val="008E5E69"/>
    <w:rsid w:val="008E5E6F"/>
    <w:rsid w:val="008E5EE2"/>
    <w:rsid w:val="008E5F1E"/>
    <w:rsid w:val="008E5F31"/>
    <w:rsid w:val="008E5F5B"/>
    <w:rsid w:val="008E5F6C"/>
    <w:rsid w:val="008E5F89"/>
    <w:rsid w:val="008E5FD0"/>
    <w:rsid w:val="008E603A"/>
    <w:rsid w:val="008E603E"/>
    <w:rsid w:val="008E609C"/>
    <w:rsid w:val="008E60A3"/>
    <w:rsid w:val="008E60B9"/>
    <w:rsid w:val="008E60E1"/>
    <w:rsid w:val="008E619E"/>
    <w:rsid w:val="008E61A5"/>
    <w:rsid w:val="008E61C1"/>
    <w:rsid w:val="008E6219"/>
    <w:rsid w:val="008E621C"/>
    <w:rsid w:val="008E623C"/>
    <w:rsid w:val="008E6312"/>
    <w:rsid w:val="008E6358"/>
    <w:rsid w:val="008E6421"/>
    <w:rsid w:val="008E642A"/>
    <w:rsid w:val="008E6459"/>
    <w:rsid w:val="008E645E"/>
    <w:rsid w:val="008E651D"/>
    <w:rsid w:val="008E655D"/>
    <w:rsid w:val="008E65C5"/>
    <w:rsid w:val="008E65FE"/>
    <w:rsid w:val="008E6605"/>
    <w:rsid w:val="008E66A7"/>
    <w:rsid w:val="008E66F3"/>
    <w:rsid w:val="008E6710"/>
    <w:rsid w:val="008E6740"/>
    <w:rsid w:val="008E676B"/>
    <w:rsid w:val="008E677E"/>
    <w:rsid w:val="008E67B0"/>
    <w:rsid w:val="008E681A"/>
    <w:rsid w:val="008E685B"/>
    <w:rsid w:val="008E686B"/>
    <w:rsid w:val="008E6873"/>
    <w:rsid w:val="008E6885"/>
    <w:rsid w:val="008E68F6"/>
    <w:rsid w:val="008E69CC"/>
    <w:rsid w:val="008E69EE"/>
    <w:rsid w:val="008E6ABD"/>
    <w:rsid w:val="008E6AFC"/>
    <w:rsid w:val="008E6B3A"/>
    <w:rsid w:val="008E6B99"/>
    <w:rsid w:val="008E6BCE"/>
    <w:rsid w:val="008E6BE9"/>
    <w:rsid w:val="008E6BEB"/>
    <w:rsid w:val="008E6C6D"/>
    <w:rsid w:val="008E6C76"/>
    <w:rsid w:val="008E6CF7"/>
    <w:rsid w:val="008E6D11"/>
    <w:rsid w:val="008E6D26"/>
    <w:rsid w:val="008E6DDE"/>
    <w:rsid w:val="008E6E28"/>
    <w:rsid w:val="008E6E45"/>
    <w:rsid w:val="008E6E5F"/>
    <w:rsid w:val="008E6E6E"/>
    <w:rsid w:val="008E6EB8"/>
    <w:rsid w:val="008E6EC5"/>
    <w:rsid w:val="008E6F4F"/>
    <w:rsid w:val="008E6F67"/>
    <w:rsid w:val="008E6F6A"/>
    <w:rsid w:val="008E6F94"/>
    <w:rsid w:val="008E6F9B"/>
    <w:rsid w:val="008E6FA9"/>
    <w:rsid w:val="008E6FAC"/>
    <w:rsid w:val="008E7015"/>
    <w:rsid w:val="008E7058"/>
    <w:rsid w:val="008E70D1"/>
    <w:rsid w:val="008E7139"/>
    <w:rsid w:val="008E718F"/>
    <w:rsid w:val="008E7200"/>
    <w:rsid w:val="008E7278"/>
    <w:rsid w:val="008E7326"/>
    <w:rsid w:val="008E73B4"/>
    <w:rsid w:val="008E73F3"/>
    <w:rsid w:val="008E7453"/>
    <w:rsid w:val="008E745A"/>
    <w:rsid w:val="008E7488"/>
    <w:rsid w:val="008E750A"/>
    <w:rsid w:val="008E751A"/>
    <w:rsid w:val="008E7550"/>
    <w:rsid w:val="008E7557"/>
    <w:rsid w:val="008E75C1"/>
    <w:rsid w:val="008E7622"/>
    <w:rsid w:val="008E76AC"/>
    <w:rsid w:val="008E76BD"/>
    <w:rsid w:val="008E76D3"/>
    <w:rsid w:val="008E7733"/>
    <w:rsid w:val="008E77B6"/>
    <w:rsid w:val="008E77CF"/>
    <w:rsid w:val="008E77D5"/>
    <w:rsid w:val="008E77E0"/>
    <w:rsid w:val="008E77E3"/>
    <w:rsid w:val="008E77ED"/>
    <w:rsid w:val="008E77F3"/>
    <w:rsid w:val="008E7839"/>
    <w:rsid w:val="008E785B"/>
    <w:rsid w:val="008E786A"/>
    <w:rsid w:val="008E78D3"/>
    <w:rsid w:val="008E790C"/>
    <w:rsid w:val="008E7993"/>
    <w:rsid w:val="008E79B7"/>
    <w:rsid w:val="008E79E6"/>
    <w:rsid w:val="008E79ED"/>
    <w:rsid w:val="008E79F7"/>
    <w:rsid w:val="008E7A94"/>
    <w:rsid w:val="008E7AE5"/>
    <w:rsid w:val="008E7B10"/>
    <w:rsid w:val="008E7B13"/>
    <w:rsid w:val="008E7BAA"/>
    <w:rsid w:val="008E7BB1"/>
    <w:rsid w:val="008E7BD6"/>
    <w:rsid w:val="008E7BDC"/>
    <w:rsid w:val="008E7BE2"/>
    <w:rsid w:val="008E7BFE"/>
    <w:rsid w:val="008E7C69"/>
    <w:rsid w:val="008E7CCA"/>
    <w:rsid w:val="008E7CFC"/>
    <w:rsid w:val="008E7DAF"/>
    <w:rsid w:val="008E7DB1"/>
    <w:rsid w:val="008E7DBB"/>
    <w:rsid w:val="008E7DE3"/>
    <w:rsid w:val="008E7E08"/>
    <w:rsid w:val="008E7E14"/>
    <w:rsid w:val="008E7E72"/>
    <w:rsid w:val="008E7E86"/>
    <w:rsid w:val="008E7F2A"/>
    <w:rsid w:val="008E7F86"/>
    <w:rsid w:val="008E7FAA"/>
    <w:rsid w:val="008F003A"/>
    <w:rsid w:val="008F006B"/>
    <w:rsid w:val="008F00A1"/>
    <w:rsid w:val="008F00AA"/>
    <w:rsid w:val="008F00C8"/>
    <w:rsid w:val="008F0296"/>
    <w:rsid w:val="008F02C1"/>
    <w:rsid w:val="008F02C5"/>
    <w:rsid w:val="008F02D9"/>
    <w:rsid w:val="008F02DB"/>
    <w:rsid w:val="008F0301"/>
    <w:rsid w:val="008F030A"/>
    <w:rsid w:val="008F0382"/>
    <w:rsid w:val="008F039C"/>
    <w:rsid w:val="008F03B0"/>
    <w:rsid w:val="008F03CF"/>
    <w:rsid w:val="008F041D"/>
    <w:rsid w:val="008F0457"/>
    <w:rsid w:val="008F0539"/>
    <w:rsid w:val="008F0581"/>
    <w:rsid w:val="008F05F1"/>
    <w:rsid w:val="008F067B"/>
    <w:rsid w:val="008F06E7"/>
    <w:rsid w:val="008F0714"/>
    <w:rsid w:val="008F0762"/>
    <w:rsid w:val="008F0774"/>
    <w:rsid w:val="008F078A"/>
    <w:rsid w:val="008F079A"/>
    <w:rsid w:val="008F079C"/>
    <w:rsid w:val="008F079E"/>
    <w:rsid w:val="008F07A5"/>
    <w:rsid w:val="008F07CA"/>
    <w:rsid w:val="008F088D"/>
    <w:rsid w:val="008F08BA"/>
    <w:rsid w:val="008F08E4"/>
    <w:rsid w:val="008F08F7"/>
    <w:rsid w:val="008F0928"/>
    <w:rsid w:val="008F09DA"/>
    <w:rsid w:val="008F09F6"/>
    <w:rsid w:val="008F0A10"/>
    <w:rsid w:val="008F0AAD"/>
    <w:rsid w:val="008F0ADF"/>
    <w:rsid w:val="008F0B39"/>
    <w:rsid w:val="008F0B85"/>
    <w:rsid w:val="008F0B91"/>
    <w:rsid w:val="008F0BF3"/>
    <w:rsid w:val="008F0BFC"/>
    <w:rsid w:val="008F0C2F"/>
    <w:rsid w:val="008F0C3D"/>
    <w:rsid w:val="008F0D52"/>
    <w:rsid w:val="008F0D7B"/>
    <w:rsid w:val="008F0D87"/>
    <w:rsid w:val="008F0D92"/>
    <w:rsid w:val="008F0DD1"/>
    <w:rsid w:val="008F0EA8"/>
    <w:rsid w:val="008F0ECB"/>
    <w:rsid w:val="008F0F04"/>
    <w:rsid w:val="008F0F0F"/>
    <w:rsid w:val="008F0F20"/>
    <w:rsid w:val="008F0F49"/>
    <w:rsid w:val="008F0FB5"/>
    <w:rsid w:val="008F0FDB"/>
    <w:rsid w:val="008F0FDF"/>
    <w:rsid w:val="008F10AB"/>
    <w:rsid w:val="008F10D7"/>
    <w:rsid w:val="008F10EC"/>
    <w:rsid w:val="008F10EF"/>
    <w:rsid w:val="008F11F1"/>
    <w:rsid w:val="008F11FE"/>
    <w:rsid w:val="008F1208"/>
    <w:rsid w:val="008F122D"/>
    <w:rsid w:val="008F1276"/>
    <w:rsid w:val="008F1309"/>
    <w:rsid w:val="008F1355"/>
    <w:rsid w:val="008F135D"/>
    <w:rsid w:val="008F139A"/>
    <w:rsid w:val="008F1428"/>
    <w:rsid w:val="008F1451"/>
    <w:rsid w:val="008F14F0"/>
    <w:rsid w:val="008F150D"/>
    <w:rsid w:val="008F151B"/>
    <w:rsid w:val="008F1557"/>
    <w:rsid w:val="008F15C2"/>
    <w:rsid w:val="008F15D0"/>
    <w:rsid w:val="008F162E"/>
    <w:rsid w:val="008F164F"/>
    <w:rsid w:val="008F165E"/>
    <w:rsid w:val="008F16A5"/>
    <w:rsid w:val="008F16D6"/>
    <w:rsid w:val="008F1730"/>
    <w:rsid w:val="008F1738"/>
    <w:rsid w:val="008F1741"/>
    <w:rsid w:val="008F1751"/>
    <w:rsid w:val="008F1766"/>
    <w:rsid w:val="008F1780"/>
    <w:rsid w:val="008F17B9"/>
    <w:rsid w:val="008F180C"/>
    <w:rsid w:val="008F1823"/>
    <w:rsid w:val="008F1854"/>
    <w:rsid w:val="008F1869"/>
    <w:rsid w:val="008F1873"/>
    <w:rsid w:val="008F18BB"/>
    <w:rsid w:val="008F18CC"/>
    <w:rsid w:val="008F1907"/>
    <w:rsid w:val="008F1928"/>
    <w:rsid w:val="008F1954"/>
    <w:rsid w:val="008F195C"/>
    <w:rsid w:val="008F19CA"/>
    <w:rsid w:val="008F19F6"/>
    <w:rsid w:val="008F1A60"/>
    <w:rsid w:val="008F1A6A"/>
    <w:rsid w:val="008F1AE7"/>
    <w:rsid w:val="008F1AF4"/>
    <w:rsid w:val="008F1B15"/>
    <w:rsid w:val="008F1B50"/>
    <w:rsid w:val="008F1C1F"/>
    <w:rsid w:val="008F1C6B"/>
    <w:rsid w:val="008F1CD2"/>
    <w:rsid w:val="008F1CEF"/>
    <w:rsid w:val="008F1D2C"/>
    <w:rsid w:val="008F1D68"/>
    <w:rsid w:val="008F1D99"/>
    <w:rsid w:val="008F1DC1"/>
    <w:rsid w:val="008F1E3A"/>
    <w:rsid w:val="008F1E3E"/>
    <w:rsid w:val="008F1E5E"/>
    <w:rsid w:val="008F1E8A"/>
    <w:rsid w:val="008F1EBA"/>
    <w:rsid w:val="008F1EC1"/>
    <w:rsid w:val="008F1EE9"/>
    <w:rsid w:val="008F1F73"/>
    <w:rsid w:val="008F1FB5"/>
    <w:rsid w:val="008F1FD3"/>
    <w:rsid w:val="008F1FEA"/>
    <w:rsid w:val="008F1FF8"/>
    <w:rsid w:val="008F2018"/>
    <w:rsid w:val="008F2024"/>
    <w:rsid w:val="008F204D"/>
    <w:rsid w:val="008F2068"/>
    <w:rsid w:val="008F2082"/>
    <w:rsid w:val="008F20C3"/>
    <w:rsid w:val="008F20E5"/>
    <w:rsid w:val="008F20FE"/>
    <w:rsid w:val="008F2101"/>
    <w:rsid w:val="008F212F"/>
    <w:rsid w:val="008F2134"/>
    <w:rsid w:val="008F2144"/>
    <w:rsid w:val="008F215D"/>
    <w:rsid w:val="008F21AB"/>
    <w:rsid w:val="008F2243"/>
    <w:rsid w:val="008F224E"/>
    <w:rsid w:val="008F22AB"/>
    <w:rsid w:val="008F2340"/>
    <w:rsid w:val="008F2349"/>
    <w:rsid w:val="008F2370"/>
    <w:rsid w:val="008F237A"/>
    <w:rsid w:val="008F23CD"/>
    <w:rsid w:val="008F2431"/>
    <w:rsid w:val="008F2450"/>
    <w:rsid w:val="008F24CC"/>
    <w:rsid w:val="008F24FC"/>
    <w:rsid w:val="008F2520"/>
    <w:rsid w:val="008F2531"/>
    <w:rsid w:val="008F2550"/>
    <w:rsid w:val="008F2562"/>
    <w:rsid w:val="008F2593"/>
    <w:rsid w:val="008F2599"/>
    <w:rsid w:val="008F25B1"/>
    <w:rsid w:val="008F261A"/>
    <w:rsid w:val="008F2623"/>
    <w:rsid w:val="008F2628"/>
    <w:rsid w:val="008F26A7"/>
    <w:rsid w:val="008F26BB"/>
    <w:rsid w:val="008F26D7"/>
    <w:rsid w:val="008F26DC"/>
    <w:rsid w:val="008F26F9"/>
    <w:rsid w:val="008F2746"/>
    <w:rsid w:val="008F2768"/>
    <w:rsid w:val="008F2783"/>
    <w:rsid w:val="008F2790"/>
    <w:rsid w:val="008F27E5"/>
    <w:rsid w:val="008F2999"/>
    <w:rsid w:val="008F29E6"/>
    <w:rsid w:val="008F2AA8"/>
    <w:rsid w:val="008F2B06"/>
    <w:rsid w:val="008F2B09"/>
    <w:rsid w:val="008F2BA5"/>
    <w:rsid w:val="008F2C13"/>
    <w:rsid w:val="008F2C66"/>
    <w:rsid w:val="008F2C8A"/>
    <w:rsid w:val="008F2D7C"/>
    <w:rsid w:val="008F2D9A"/>
    <w:rsid w:val="008F2DAB"/>
    <w:rsid w:val="008F2E45"/>
    <w:rsid w:val="008F2E8D"/>
    <w:rsid w:val="008F2EC2"/>
    <w:rsid w:val="008F2F0B"/>
    <w:rsid w:val="008F2F13"/>
    <w:rsid w:val="008F2F8E"/>
    <w:rsid w:val="008F2FB2"/>
    <w:rsid w:val="008F2FE8"/>
    <w:rsid w:val="008F3050"/>
    <w:rsid w:val="008F30FC"/>
    <w:rsid w:val="008F311E"/>
    <w:rsid w:val="008F3129"/>
    <w:rsid w:val="008F3140"/>
    <w:rsid w:val="008F3142"/>
    <w:rsid w:val="008F3150"/>
    <w:rsid w:val="008F3151"/>
    <w:rsid w:val="008F3159"/>
    <w:rsid w:val="008F3173"/>
    <w:rsid w:val="008F31AC"/>
    <w:rsid w:val="008F31C0"/>
    <w:rsid w:val="008F3246"/>
    <w:rsid w:val="008F328C"/>
    <w:rsid w:val="008F328F"/>
    <w:rsid w:val="008F331A"/>
    <w:rsid w:val="008F336E"/>
    <w:rsid w:val="008F338F"/>
    <w:rsid w:val="008F339D"/>
    <w:rsid w:val="008F34C2"/>
    <w:rsid w:val="008F34E0"/>
    <w:rsid w:val="008F351A"/>
    <w:rsid w:val="008F352F"/>
    <w:rsid w:val="008F354E"/>
    <w:rsid w:val="008F35A4"/>
    <w:rsid w:val="008F35F0"/>
    <w:rsid w:val="008F3600"/>
    <w:rsid w:val="008F3644"/>
    <w:rsid w:val="008F370A"/>
    <w:rsid w:val="008F3722"/>
    <w:rsid w:val="008F3731"/>
    <w:rsid w:val="008F373C"/>
    <w:rsid w:val="008F3741"/>
    <w:rsid w:val="008F374D"/>
    <w:rsid w:val="008F37CE"/>
    <w:rsid w:val="008F3806"/>
    <w:rsid w:val="008F385B"/>
    <w:rsid w:val="008F38B3"/>
    <w:rsid w:val="008F38E2"/>
    <w:rsid w:val="008F3923"/>
    <w:rsid w:val="008F3941"/>
    <w:rsid w:val="008F3946"/>
    <w:rsid w:val="008F3A38"/>
    <w:rsid w:val="008F3A3E"/>
    <w:rsid w:val="008F3A72"/>
    <w:rsid w:val="008F3AA1"/>
    <w:rsid w:val="008F3AA9"/>
    <w:rsid w:val="008F3B34"/>
    <w:rsid w:val="008F3B42"/>
    <w:rsid w:val="008F3B7E"/>
    <w:rsid w:val="008F3B82"/>
    <w:rsid w:val="008F3C68"/>
    <w:rsid w:val="008F3C8A"/>
    <w:rsid w:val="008F3C96"/>
    <w:rsid w:val="008F3D2F"/>
    <w:rsid w:val="008F3D75"/>
    <w:rsid w:val="008F3DF3"/>
    <w:rsid w:val="008F3E09"/>
    <w:rsid w:val="008F3E47"/>
    <w:rsid w:val="008F3E4A"/>
    <w:rsid w:val="008F3E4D"/>
    <w:rsid w:val="008F3E50"/>
    <w:rsid w:val="008F3E76"/>
    <w:rsid w:val="008F3E7D"/>
    <w:rsid w:val="008F3EA4"/>
    <w:rsid w:val="008F3EF5"/>
    <w:rsid w:val="008F3F14"/>
    <w:rsid w:val="008F3F73"/>
    <w:rsid w:val="008F3FD2"/>
    <w:rsid w:val="008F4016"/>
    <w:rsid w:val="008F4017"/>
    <w:rsid w:val="008F401B"/>
    <w:rsid w:val="008F401C"/>
    <w:rsid w:val="008F403D"/>
    <w:rsid w:val="008F4056"/>
    <w:rsid w:val="008F405D"/>
    <w:rsid w:val="008F413C"/>
    <w:rsid w:val="008F414A"/>
    <w:rsid w:val="008F4168"/>
    <w:rsid w:val="008F4173"/>
    <w:rsid w:val="008F4190"/>
    <w:rsid w:val="008F4193"/>
    <w:rsid w:val="008F4213"/>
    <w:rsid w:val="008F4225"/>
    <w:rsid w:val="008F42B3"/>
    <w:rsid w:val="008F42BC"/>
    <w:rsid w:val="008F42F4"/>
    <w:rsid w:val="008F4307"/>
    <w:rsid w:val="008F4310"/>
    <w:rsid w:val="008F4348"/>
    <w:rsid w:val="008F43AB"/>
    <w:rsid w:val="008F43D1"/>
    <w:rsid w:val="008F43EC"/>
    <w:rsid w:val="008F4474"/>
    <w:rsid w:val="008F447C"/>
    <w:rsid w:val="008F448F"/>
    <w:rsid w:val="008F44E3"/>
    <w:rsid w:val="008F44ED"/>
    <w:rsid w:val="008F4532"/>
    <w:rsid w:val="008F4568"/>
    <w:rsid w:val="008F4587"/>
    <w:rsid w:val="008F45B3"/>
    <w:rsid w:val="008F45DB"/>
    <w:rsid w:val="008F460A"/>
    <w:rsid w:val="008F460F"/>
    <w:rsid w:val="008F46B5"/>
    <w:rsid w:val="008F4713"/>
    <w:rsid w:val="008F474A"/>
    <w:rsid w:val="008F4792"/>
    <w:rsid w:val="008F47BF"/>
    <w:rsid w:val="008F4850"/>
    <w:rsid w:val="008F4855"/>
    <w:rsid w:val="008F486A"/>
    <w:rsid w:val="008F48BD"/>
    <w:rsid w:val="008F48DF"/>
    <w:rsid w:val="008F4964"/>
    <w:rsid w:val="008F496B"/>
    <w:rsid w:val="008F499B"/>
    <w:rsid w:val="008F499E"/>
    <w:rsid w:val="008F49D0"/>
    <w:rsid w:val="008F49E1"/>
    <w:rsid w:val="008F4A09"/>
    <w:rsid w:val="008F4A32"/>
    <w:rsid w:val="008F4AB3"/>
    <w:rsid w:val="008F4B11"/>
    <w:rsid w:val="008F4B33"/>
    <w:rsid w:val="008F4B64"/>
    <w:rsid w:val="008F4B86"/>
    <w:rsid w:val="008F4B9A"/>
    <w:rsid w:val="008F4BF6"/>
    <w:rsid w:val="008F4C02"/>
    <w:rsid w:val="008F4C0A"/>
    <w:rsid w:val="008F4C5D"/>
    <w:rsid w:val="008F4C9E"/>
    <w:rsid w:val="008F4CD9"/>
    <w:rsid w:val="008F4CDE"/>
    <w:rsid w:val="008F4D2B"/>
    <w:rsid w:val="008F4D6B"/>
    <w:rsid w:val="008F4D7A"/>
    <w:rsid w:val="008F4DA4"/>
    <w:rsid w:val="008F4DAC"/>
    <w:rsid w:val="008F4E02"/>
    <w:rsid w:val="008F4E08"/>
    <w:rsid w:val="008F4E1C"/>
    <w:rsid w:val="008F4E2D"/>
    <w:rsid w:val="008F4E58"/>
    <w:rsid w:val="008F4E61"/>
    <w:rsid w:val="008F4F01"/>
    <w:rsid w:val="008F4F10"/>
    <w:rsid w:val="008F4F6B"/>
    <w:rsid w:val="008F4F9C"/>
    <w:rsid w:val="008F4FFA"/>
    <w:rsid w:val="008F5049"/>
    <w:rsid w:val="008F50B8"/>
    <w:rsid w:val="008F50DB"/>
    <w:rsid w:val="008F5107"/>
    <w:rsid w:val="008F51B2"/>
    <w:rsid w:val="008F51F8"/>
    <w:rsid w:val="008F5291"/>
    <w:rsid w:val="008F52DC"/>
    <w:rsid w:val="008F5323"/>
    <w:rsid w:val="008F5403"/>
    <w:rsid w:val="008F5419"/>
    <w:rsid w:val="008F5432"/>
    <w:rsid w:val="008F5438"/>
    <w:rsid w:val="008F54E8"/>
    <w:rsid w:val="008F5506"/>
    <w:rsid w:val="008F552D"/>
    <w:rsid w:val="008F552E"/>
    <w:rsid w:val="008F5591"/>
    <w:rsid w:val="008F55FB"/>
    <w:rsid w:val="008F55FD"/>
    <w:rsid w:val="008F56BA"/>
    <w:rsid w:val="008F5741"/>
    <w:rsid w:val="008F575D"/>
    <w:rsid w:val="008F5762"/>
    <w:rsid w:val="008F57F5"/>
    <w:rsid w:val="008F586B"/>
    <w:rsid w:val="008F588A"/>
    <w:rsid w:val="008F58DD"/>
    <w:rsid w:val="008F58DF"/>
    <w:rsid w:val="008F59C0"/>
    <w:rsid w:val="008F59CE"/>
    <w:rsid w:val="008F59ED"/>
    <w:rsid w:val="008F59F5"/>
    <w:rsid w:val="008F59F9"/>
    <w:rsid w:val="008F5A26"/>
    <w:rsid w:val="008F5A72"/>
    <w:rsid w:val="008F5ADE"/>
    <w:rsid w:val="008F5AEA"/>
    <w:rsid w:val="008F5B30"/>
    <w:rsid w:val="008F5B67"/>
    <w:rsid w:val="008F5B84"/>
    <w:rsid w:val="008F5BC4"/>
    <w:rsid w:val="008F5C60"/>
    <w:rsid w:val="008F5C68"/>
    <w:rsid w:val="008F5C84"/>
    <w:rsid w:val="008F5C95"/>
    <w:rsid w:val="008F5C98"/>
    <w:rsid w:val="008F5CBB"/>
    <w:rsid w:val="008F5D40"/>
    <w:rsid w:val="008F5DA5"/>
    <w:rsid w:val="008F5DAE"/>
    <w:rsid w:val="008F5DB6"/>
    <w:rsid w:val="008F5E27"/>
    <w:rsid w:val="008F5E29"/>
    <w:rsid w:val="008F5E33"/>
    <w:rsid w:val="008F5E70"/>
    <w:rsid w:val="008F5EDA"/>
    <w:rsid w:val="008F5EE8"/>
    <w:rsid w:val="008F5F53"/>
    <w:rsid w:val="008F5F79"/>
    <w:rsid w:val="008F5F9E"/>
    <w:rsid w:val="008F6021"/>
    <w:rsid w:val="008F60F8"/>
    <w:rsid w:val="008F60FD"/>
    <w:rsid w:val="008F615F"/>
    <w:rsid w:val="008F618B"/>
    <w:rsid w:val="008F61B1"/>
    <w:rsid w:val="008F621D"/>
    <w:rsid w:val="008F6237"/>
    <w:rsid w:val="008F62A5"/>
    <w:rsid w:val="008F62C2"/>
    <w:rsid w:val="008F62CB"/>
    <w:rsid w:val="008F630F"/>
    <w:rsid w:val="008F632B"/>
    <w:rsid w:val="008F6341"/>
    <w:rsid w:val="008F6348"/>
    <w:rsid w:val="008F6373"/>
    <w:rsid w:val="008F63B1"/>
    <w:rsid w:val="008F63D2"/>
    <w:rsid w:val="008F6485"/>
    <w:rsid w:val="008F6487"/>
    <w:rsid w:val="008F6493"/>
    <w:rsid w:val="008F653D"/>
    <w:rsid w:val="008F653F"/>
    <w:rsid w:val="008F65A8"/>
    <w:rsid w:val="008F65B1"/>
    <w:rsid w:val="008F65B7"/>
    <w:rsid w:val="008F65C9"/>
    <w:rsid w:val="008F667B"/>
    <w:rsid w:val="008F6689"/>
    <w:rsid w:val="008F66E2"/>
    <w:rsid w:val="008F6704"/>
    <w:rsid w:val="008F6744"/>
    <w:rsid w:val="008F6782"/>
    <w:rsid w:val="008F67C1"/>
    <w:rsid w:val="008F6800"/>
    <w:rsid w:val="008F6824"/>
    <w:rsid w:val="008F68D2"/>
    <w:rsid w:val="008F68DE"/>
    <w:rsid w:val="008F68F1"/>
    <w:rsid w:val="008F6900"/>
    <w:rsid w:val="008F6905"/>
    <w:rsid w:val="008F692A"/>
    <w:rsid w:val="008F6959"/>
    <w:rsid w:val="008F69B5"/>
    <w:rsid w:val="008F69FB"/>
    <w:rsid w:val="008F6A21"/>
    <w:rsid w:val="008F6A25"/>
    <w:rsid w:val="008F6A7B"/>
    <w:rsid w:val="008F6AA6"/>
    <w:rsid w:val="008F6AC0"/>
    <w:rsid w:val="008F6B02"/>
    <w:rsid w:val="008F6B5C"/>
    <w:rsid w:val="008F6B5D"/>
    <w:rsid w:val="008F6BA7"/>
    <w:rsid w:val="008F6BF5"/>
    <w:rsid w:val="008F6C1E"/>
    <w:rsid w:val="008F6C2F"/>
    <w:rsid w:val="008F6C6E"/>
    <w:rsid w:val="008F6C73"/>
    <w:rsid w:val="008F6CA2"/>
    <w:rsid w:val="008F6CB5"/>
    <w:rsid w:val="008F6D1C"/>
    <w:rsid w:val="008F6D69"/>
    <w:rsid w:val="008F6E07"/>
    <w:rsid w:val="008F6E69"/>
    <w:rsid w:val="008F6E6D"/>
    <w:rsid w:val="008F6EEF"/>
    <w:rsid w:val="008F6EF0"/>
    <w:rsid w:val="008F6F6B"/>
    <w:rsid w:val="008F6F98"/>
    <w:rsid w:val="008F6FCB"/>
    <w:rsid w:val="008F6FE9"/>
    <w:rsid w:val="008F701F"/>
    <w:rsid w:val="008F7025"/>
    <w:rsid w:val="008F70A9"/>
    <w:rsid w:val="008F70FC"/>
    <w:rsid w:val="008F7134"/>
    <w:rsid w:val="008F7180"/>
    <w:rsid w:val="008F718E"/>
    <w:rsid w:val="008F71D8"/>
    <w:rsid w:val="008F7233"/>
    <w:rsid w:val="008F723B"/>
    <w:rsid w:val="008F7269"/>
    <w:rsid w:val="008F728E"/>
    <w:rsid w:val="008F72A4"/>
    <w:rsid w:val="008F72E4"/>
    <w:rsid w:val="008F7330"/>
    <w:rsid w:val="008F73E4"/>
    <w:rsid w:val="008F73F7"/>
    <w:rsid w:val="008F73FF"/>
    <w:rsid w:val="008F74CF"/>
    <w:rsid w:val="008F74D2"/>
    <w:rsid w:val="008F74D7"/>
    <w:rsid w:val="008F74EB"/>
    <w:rsid w:val="008F7527"/>
    <w:rsid w:val="008F7582"/>
    <w:rsid w:val="008F75AB"/>
    <w:rsid w:val="008F75CB"/>
    <w:rsid w:val="008F7610"/>
    <w:rsid w:val="008F7620"/>
    <w:rsid w:val="008F762C"/>
    <w:rsid w:val="008F7643"/>
    <w:rsid w:val="008F7649"/>
    <w:rsid w:val="008F76C8"/>
    <w:rsid w:val="008F7775"/>
    <w:rsid w:val="008F7782"/>
    <w:rsid w:val="008F77C2"/>
    <w:rsid w:val="008F780F"/>
    <w:rsid w:val="008F7828"/>
    <w:rsid w:val="008F7870"/>
    <w:rsid w:val="008F789D"/>
    <w:rsid w:val="008F78C3"/>
    <w:rsid w:val="008F78EB"/>
    <w:rsid w:val="008F7920"/>
    <w:rsid w:val="008F7950"/>
    <w:rsid w:val="008F799B"/>
    <w:rsid w:val="008F7A29"/>
    <w:rsid w:val="008F7A57"/>
    <w:rsid w:val="008F7A5E"/>
    <w:rsid w:val="008F7A78"/>
    <w:rsid w:val="008F7ABC"/>
    <w:rsid w:val="008F7AE0"/>
    <w:rsid w:val="008F7B05"/>
    <w:rsid w:val="008F7B56"/>
    <w:rsid w:val="008F7B88"/>
    <w:rsid w:val="008F7BA9"/>
    <w:rsid w:val="008F7C87"/>
    <w:rsid w:val="008F7CB3"/>
    <w:rsid w:val="008F7D42"/>
    <w:rsid w:val="008F7D45"/>
    <w:rsid w:val="008F7D95"/>
    <w:rsid w:val="008F7DD0"/>
    <w:rsid w:val="008F7E09"/>
    <w:rsid w:val="008F7E11"/>
    <w:rsid w:val="008F7E1F"/>
    <w:rsid w:val="008F7E30"/>
    <w:rsid w:val="008F7E68"/>
    <w:rsid w:val="008F7F42"/>
    <w:rsid w:val="008F7F53"/>
    <w:rsid w:val="008F7F58"/>
    <w:rsid w:val="008F7F8F"/>
    <w:rsid w:val="008F7FB1"/>
    <w:rsid w:val="008F7FC5"/>
    <w:rsid w:val="008F7FD3"/>
    <w:rsid w:val="00900025"/>
    <w:rsid w:val="0090003A"/>
    <w:rsid w:val="00900040"/>
    <w:rsid w:val="0090007A"/>
    <w:rsid w:val="00900088"/>
    <w:rsid w:val="009000F0"/>
    <w:rsid w:val="009000F3"/>
    <w:rsid w:val="009000FC"/>
    <w:rsid w:val="0090012F"/>
    <w:rsid w:val="00900150"/>
    <w:rsid w:val="00900157"/>
    <w:rsid w:val="00900170"/>
    <w:rsid w:val="009001BB"/>
    <w:rsid w:val="009001E7"/>
    <w:rsid w:val="009001EA"/>
    <w:rsid w:val="0090022D"/>
    <w:rsid w:val="009002DA"/>
    <w:rsid w:val="00900339"/>
    <w:rsid w:val="009003AC"/>
    <w:rsid w:val="009003D2"/>
    <w:rsid w:val="00900403"/>
    <w:rsid w:val="0090040E"/>
    <w:rsid w:val="0090043B"/>
    <w:rsid w:val="00900442"/>
    <w:rsid w:val="00900478"/>
    <w:rsid w:val="0090048C"/>
    <w:rsid w:val="009004D5"/>
    <w:rsid w:val="00900519"/>
    <w:rsid w:val="009005E7"/>
    <w:rsid w:val="00900625"/>
    <w:rsid w:val="00900667"/>
    <w:rsid w:val="00900685"/>
    <w:rsid w:val="0090069D"/>
    <w:rsid w:val="00900705"/>
    <w:rsid w:val="009007AE"/>
    <w:rsid w:val="009007DC"/>
    <w:rsid w:val="00900837"/>
    <w:rsid w:val="0090083B"/>
    <w:rsid w:val="0090086C"/>
    <w:rsid w:val="009008AD"/>
    <w:rsid w:val="00900934"/>
    <w:rsid w:val="00900965"/>
    <w:rsid w:val="0090098A"/>
    <w:rsid w:val="00900994"/>
    <w:rsid w:val="009009B3"/>
    <w:rsid w:val="009009B7"/>
    <w:rsid w:val="00900A23"/>
    <w:rsid w:val="00900A2B"/>
    <w:rsid w:val="00900A99"/>
    <w:rsid w:val="00900A9F"/>
    <w:rsid w:val="00900ACB"/>
    <w:rsid w:val="00900AD0"/>
    <w:rsid w:val="00900B2A"/>
    <w:rsid w:val="00900B62"/>
    <w:rsid w:val="00900B71"/>
    <w:rsid w:val="00900BC3"/>
    <w:rsid w:val="00900BD4"/>
    <w:rsid w:val="00900C30"/>
    <w:rsid w:val="00900C6E"/>
    <w:rsid w:val="00900C77"/>
    <w:rsid w:val="00900C80"/>
    <w:rsid w:val="00900CC7"/>
    <w:rsid w:val="00900D2A"/>
    <w:rsid w:val="00900D6E"/>
    <w:rsid w:val="00900D94"/>
    <w:rsid w:val="00900E46"/>
    <w:rsid w:val="00900E4A"/>
    <w:rsid w:val="00900E8A"/>
    <w:rsid w:val="00900ECB"/>
    <w:rsid w:val="00900EDD"/>
    <w:rsid w:val="00900F5A"/>
    <w:rsid w:val="00900F9D"/>
    <w:rsid w:val="00900FD4"/>
    <w:rsid w:val="00900FEE"/>
    <w:rsid w:val="00901027"/>
    <w:rsid w:val="00901037"/>
    <w:rsid w:val="00901053"/>
    <w:rsid w:val="0090108D"/>
    <w:rsid w:val="009010BF"/>
    <w:rsid w:val="009010D0"/>
    <w:rsid w:val="009010E0"/>
    <w:rsid w:val="009010E8"/>
    <w:rsid w:val="0090116D"/>
    <w:rsid w:val="009011A8"/>
    <w:rsid w:val="009011AB"/>
    <w:rsid w:val="00901261"/>
    <w:rsid w:val="00901275"/>
    <w:rsid w:val="0090131E"/>
    <w:rsid w:val="00901326"/>
    <w:rsid w:val="00901387"/>
    <w:rsid w:val="009013C7"/>
    <w:rsid w:val="00901421"/>
    <w:rsid w:val="00901495"/>
    <w:rsid w:val="009014DE"/>
    <w:rsid w:val="009014F2"/>
    <w:rsid w:val="0090151C"/>
    <w:rsid w:val="00901567"/>
    <w:rsid w:val="00901589"/>
    <w:rsid w:val="00901593"/>
    <w:rsid w:val="00901632"/>
    <w:rsid w:val="0090164A"/>
    <w:rsid w:val="009016E8"/>
    <w:rsid w:val="009016ED"/>
    <w:rsid w:val="00901701"/>
    <w:rsid w:val="00901764"/>
    <w:rsid w:val="0090178A"/>
    <w:rsid w:val="009017A5"/>
    <w:rsid w:val="009017BF"/>
    <w:rsid w:val="00901811"/>
    <w:rsid w:val="00901848"/>
    <w:rsid w:val="00901883"/>
    <w:rsid w:val="009018D2"/>
    <w:rsid w:val="0090191D"/>
    <w:rsid w:val="0090193E"/>
    <w:rsid w:val="00901A12"/>
    <w:rsid w:val="00901A6A"/>
    <w:rsid w:val="00901A88"/>
    <w:rsid w:val="00901A8D"/>
    <w:rsid w:val="00901A93"/>
    <w:rsid w:val="00901AB6"/>
    <w:rsid w:val="00901B11"/>
    <w:rsid w:val="00901B16"/>
    <w:rsid w:val="00901B1C"/>
    <w:rsid w:val="00901B29"/>
    <w:rsid w:val="00901B56"/>
    <w:rsid w:val="00901BA9"/>
    <w:rsid w:val="00901BBE"/>
    <w:rsid w:val="00901CCF"/>
    <w:rsid w:val="00901CFF"/>
    <w:rsid w:val="00901D44"/>
    <w:rsid w:val="00901D56"/>
    <w:rsid w:val="00901D66"/>
    <w:rsid w:val="00901D88"/>
    <w:rsid w:val="00901D94"/>
    <w:rsid w:val="00901DA2"/>
    <w:rsid w:val="00901E33"/>
    <w:rsid w:val="00901E3F"/>
    <w:rsid w:val="00901EB9"/>
    <w:rsid w:val="00901FC0"/>
    <w:rsid w:val="00901FD5"/>
    <w:rsid w:val="00901FE5"/>
    <w:rsid w:val="0090200B"/>
    <w:rsid w:val="00902019"/>
    <w:rsid w:val="0090206C"/>
    <w:rsid w:val="00902094"/>
    <w:rsid w:val="009020DE"/>
    <w:rsid w:val="00902118"/>
    <w:rsid w:val="00902146"/>
    <w:rsid w:val="009021B4"/>
    <w:rsid w:val="009021BF"/>
    <w:rsid w:val="009021E6"/>
    <w:rsid w:val="00902207"/>
    <w:rsid w:val="0090220A"/>
    <w:rsid w:val="00902216"/>
    <w:rsid w:val="0090228B"/>
    <w:rsid w:val="0090229C"/>
    <w:rsid w:val="009022C7"/>
    <w:rsid w:val="009022EC"/>
    <w:rsid w:val="00902326"/>
    <w:rsid w:val="0090235C"/>
    <w:rsid w:val="00902382"/>
    <w:rsid w:val="00902418"/>
    <w:rsid w:val="0090243C"/>
    <w:rsid w:val="009024B3"/>
    <w:rsid w:val="009024FA"/>
    <w:rsid w:val="00902520"/>
    <w:rsid w:val="00902609"/>
    <w:rsid w:val="00902651"/>
    <w:rsid w:val="009026C5"/>
    <w:rsid w:val="009026EC"/>
    <w:rsid w:val="0090279F"/>
    <w:rsid w:val="009027AE"/>
    <w:rsid w:val="009027DB"/>
    <w:rsid w:val="00902823"/>
    <w:rsid w:val="00902844"/>
    <w:rsid w:val="00902855"/>
    <w:rsid w:val="00902864"/>
    <w:rsid w:val="0090287D"/>
    <w:rsid w:val="009028FB"/>
    <w:rsid w:val="0090290E"/>
    <w:rsid w:val="00902973"/>
    <w:rsid w:val="009029B4"/>
    <w:rsid w:val="009029C2"/>
    <w:rsid w:val="009029CE"/>
    <w:rsid w:val="009029FF"/>
    <w:rsid w:val="00902A5F"/>
    <w:rsid w:val="00902B6A"/>
    <w:rsid w:val="00902B70"/>
    <w:rsid w:val="00902BD2"/>
    <w:rsid w:val="00902BD8"/>
    <w:rsid w:val="00902C1F"/>
    <w:rsid w:val="00902C6C"/>
    <w:rsid w:val="00902CC1"/>
    <w:rsid w:val="00902CD4"/>
    <w:rsid w:val="00902D25"/>
    <w:rsid w:val="00902D41"/>
    <w:rsid w:val="00902D49"/>
    <w:rsid w:val="00902D6D"/>
    <w:rsid w:val="00902DA6"/>
    <w:rsid w:val="00902DD3"/>
    <w:rsid w:val="00902EFB"/>
    <w:rsid w:val="00902F52"/>
    <w:rsid w:val="00902F8C"/>
    <w:rsid w:val="00902FE2"/>
    <w:rsid w:val="0090309A"/>
    <w:rsid w:val="009030BB"/>
    <w:rsid w:val="009030BD"/>
    <w:rsid w:val="009030C9"/>
    <w:rsid w:val="009030F4"/>
    <w:rsid w:val="0090310C"/>
    <w:rsid w:val="00903129"/>
    <w:rsid w:val="009031B4"/>
    <w:rsid w:val="009031C8"/>
    <w:rsid w:val="009031EA"/>
    <w:rsid w:val="00903256"/>
    <w:rsid w:val="00903270"/>
    <w:rsid w:val="0090328B"/>
    <w:rsid w:val="0090330C"/>
    <w:rsid w:val="00903312"/>
    <w:rsid w:val="00903438"/>
    <w:rsid w:val="00903459"/>
    <w:rsid w:val="0090345A"/>
    <w:rsid w:val="00903472"/>
    <w:rsid w:val="0090348C"/>
    <w:rsid w:val="009034C9"/>
    <w:rsid w:val="009034E5"/>
    <w:rsid w:val="00903506"/>
    <w:rsid w:val="00903507"/>
    <w:rsid w:val="00903518"/>
    <w:rsid w:val="009035C7"/>
    <w:rsid w:val="009035CE"/>
    <w:rsid w:val="009035FC"/>
    <w:rsid w:val="00903628"/>
    <w:rsid w:val="00903688"/>
    <w:rsid w:val="009036BA"/>
    <w:rsid w:val="009036FF"/>
    <w:rsid w:val="00903726"/>
    <w:rsid w:val="00903739"/>
    <w:rsid w:val="00903863"/>
    <w:rsid w:val="00903879"/>
    <w:rsid w:val="00903885"/>
    <w:rsid w:val="00903902"/>
    <w:rsid w:val="0090397C"/>
    <w:rsid w:val="0090398C"/>
    <w:rsid w:val="00903A02"/>
    <w:rsid w:val="00903A3A"/>
    <w:rsid w:val="00903A5D"/>
    <w:rsid w:val="00903A86"/>
    <w:rsid w:val="00903ADA"/>
    <w:rsid w:val="00903B10"/>
    <w:rsid w:val="00903B20"/>
    <w:rsid w:val="00903B2C"/>
    <w:rsid w:val="00903B2E"/>
    <w:rsid w:val="00903B5A"/>
    <w:rsid w:val="00903C1C"/>
    <w:rsid w:val="00903C56"/>
    <w:rsid w:val="00903C7F"/>
    <w:rsid w:val="00903CD9"/>
    <w:rsid w:val="00903D03"/>
    <w:rsid w:val="00903D35"/>
    <w:rsid w:val="00903D4C"/>
    <w:rsid w:val="00903D65"/>
    <w:rsid w:val="00903D72"/>
    <w:rsid w:val="00903DA2"/>
    <w:rsid w:val="00903E10"/>
    <w:rsid w:val="00903E1D"/>
    <w:rsid w:val="00903E57"/>
    <w:rsid w:val="00903E72"/>
    <w:rsid w:val="00903EF8"/>
    <w:rsid w:val="00903F2D"/>
    <w:rsid w:val="00903F7D"/>
    <w:rsid w:val="00903F8A"/>
    <w:rsid w:val="00903FCD"/>
    <w:rsid w:val="00903FD0"/>
    <w:rsid w:val="00903FD9"/>
    <w:rsid w:val="00903FDF"/>
    <w:rsid w:val="00904056"/>
    <w:rsid w:val="00904103"/>
    <w:rsid w:val="0090418C"/>
    <w:rsid w:val="009041D9"/>
    <w:rsid w:val="009041F9"/>
    <w:rsid w:val="00904203"/>
    <w:rsid w:val="00904204"/>
    <w:rsid w:val="00904244"/>
    <w:rsid w:val="0090426B"/>
    <w:rsid w:val="00904271"/>
    <w:rsid w:val="009042A8"/>
    <w:rsid w:val="009042E5"/>
    <w:rsid w:val="00904315"/>
    <w:rsid w:val="00904359"/>
    <w:rsid w:val="0090435E"/>
    <w:rsid w:val="00904381"/>
    <w:rsid w:val="009043A0"/>
    <w:rsid w:val="009043A9"/>
    <w:rsid w:val="009043B2"/>
    <w:rsid w:val="009043C4"/>
    <w:rsid w:val="009043F3"/>
    <w:rsid w:val="009043FB"/>
    <w:rsid w:val="00904433"/>
    <w:rsid w:val="0090443F"/>
    <w:rsid w:val="00904454"/>
    <w:rsid w:val="00904456"/>
    <w:rsid w:val="00904491"/>
    <w:rsid w:val="009044C9"/>
    <w:rsid w:val="009044DE"/>
    <w:rsid w:val="009044ED"/>
    <w:rsid w:val="00904527"/>
    <w:rsid w:val="0090454E"/>
    <w:rsid w:val="009045BE"/>
    <w:rsid w:val="00904617"/>
    <w:rsid w:val="00904647"/>
    <w:rsid w:val="0090464B"/>
    <w:rsid w:val="009046A6"/>
    <w:rsid w:val="009046F4"/>
    <w:rsid w:val="0090478D"/>
    <w:rsid w:val="0090478E"/>
    <w:rsid w:val="009047CD"/>
    <w:rsid w:val="009047D2"/>
    <w:rsid w:val="00904821"/>
    <w:rsid w:val="0090484E"/>
    <w:rsid w:val="0090485E"/>
    <w:rsid w:val="0090486C"/>
    <w:rsid w:val="009048A7"/>
    <w:rsid w:val="00904913"/>
    <w:rsid w:val="00904957"/>
    <w:rsid w:val="0090496D"/>
    <w:rsid w:val="0090499B"/>
    <w:rsid w:val="00904A1D"/>
    <w:rsid w:val="00904A5B"/>
    <w:rsid w:val="00904A5D"/>
    <w:rsid w:val="00904A74"/>
    <w:rsid w:val="00904AAC"/>
    <w:rsid w:val="00904AB3"/>
    <w:rsid w:val="00904B29"/>
    <w:rsid w:val="00904BA5"/>
    <w:rsid w:val="00904C0F"/>
    <w:rsid w:val="00904C18"/>
    <w:rsid w:val="00904C34"/>
    <w:rsid w:val="00904CA3"/>
    <w:rsid w:val="00904CE0"/>
    <w:rsid w:val="00904CE2"/>
    <w:rsid w:val="00904D0E"/>
    <w:rsid w:val="00904D5C"/>
    <w:rsid w:val="00904E0F"/>
    <w:rsid w:val="00904E81"/>
    <w:rsid w:val="00904EC0"/>
    <w:rsid w:val="00904EC1"/>
    <w:rsid w:val="00904EF3"/>
    <w:rsid w:val="00904FE4"/>
    <w:rsid w:val="0090505B"/>
    <w:rsid w:val="0090507E"/>
    <w:rsid w:val="0090508F"/>
    <w:rsid w:val="009050C6"/>
    <w:rsid w:val="009050F3"/>
    <w:rsid w:val="00905118"/>
    <w:rsid w:val="00905145"/>
    <w:rsid w:val="009051A9"/>
    <w:rsid w:val="0090524C"/>
    <w:rsid w:val="00905338"/>
    <w:rsid w:val="0090534A"/>
    <w:rsid w:val="00905358"/>
    <w:rsid w:val="00905389"/>
    <w:rsid w:val="009053CD"/>
    <w:rsid w:val="009053FB"/>
    <w:rsid w:val="00905443"/>
    <w:rsid w:val="009054C6"/>
    <w:rsid w:val="009054D1"/>
    <w:rsid w:val="009054E1"/>
    <w:rsid w:val="00905508"/>
    <w:rsid w:val="00905540"/>
    <w:rsid w:val="00905624"/>
    <w:rsid w:val="0090563A"/>
    <w:rsid w:val="009056A3"/>
    <w:rsid w:val="009056F6"/>
    <w:rsid w:val="00905716"/>
    <w:rsid w:val="00905718"/>
    <w:rsid w:val="00905749"/>
    <w:rsid w:val="0090575D"/>
    <w:rsid w:val="0090577F"/>
    <w:rsid w:val="0090578D"/>
    <w:rsid w:val="00905793"/>
    <w:rsid w:val="009057CC"/>
    <w:rsid w:val="009057DE"/>
    <w:rsid w:val="009057E4"/>
    <w:rsid w:val="00905812"/>
    <w:rsid w:val="00905836"/>
    <w:rsid w:val="00905845"/>
    <w:rsid w:val="0090589D"/>
    <w:rsid w:val="009058D1"/>
    <w:rsid w:val="00905927"/>
    <w:rsid w:val="009059EF"/>
    <w:rsid w:val="009059F2"/>
    <w:rsid w:val="00905A07"/>
    <w:rsid w:val="00905A2B"/>
    <w:rsid w:val="00905A6B"/>
    <w:rsid w:val="00905AD3"/>
    <w:rsid w:val="00905ADB"/>
    <w:rsid w:val="00905AE5"/>
    <w:rsid w:val="00905B3D"/>
    <w:rsid w:val="00905B49"/>
    <w:rsid w:val="00905B96"/>
    <w:rsid w:val="00905BBB"/>
    <w:rsid w:val="00905BBE"/>
    <w:rsid w:val="00905C48"/>
    <w:rsid w:val="00905C5D"/>
    <w:rsid w:val="00905C9D"/>
    <w:rsid w:val="00905CB7"/>
    <w:rsid w:val="00905CC9"/>
    <w:rsid w:val="00905CEA"/>
    <w:rsid w:val="00905CF2"/>
    <w:rsid w:val="00905D14"/>
    <w:rsid w:val="00905D7D"/>
    <w:rsid w:val="00905E28"/>
    <w:rsid w:val="00905E2A"/>
    <w:rsid w:val="00905E32"/>
    <w:rsid w:val="00905E44"/>
    <w:rsid w:val="00905F96"/>
    <w:rsid w:val="0090601C"/>
    <w:rsid w:val="00906031"/>
    <w:rsid w:val="0090606D"/>
    <w:rsid w:val="0090606E"/>
    <w:rsid w:val="0090607B"/>
    <w:rsid w:val="009060D7"/>
    <w:rsid w:val="0090612E"/>
    <w:rsid w:val="0090613F"/>
    <w:rsid w:val="00906161"/>
    <w:rsid w:val="009061AD"/>
    <w:rsid w:val="009061ED"/>
    <w:rsid w:val="0090620C"/>
    <w:rsid w:val="00906222"/>
    <w:rsid w:val="00906297"/>
    <w:rsid w:val="00906299"/>
    <w:rsid w:val="009062CA"/>
    <w:rsid w:val="00906325"/>
    <w:rsid w:val="00906357"/>
    <w:rsid w:val="009063A2"/>
    <w:rsid w:val="009063EF"/>
    <w:rsid w:val="00906418"/>
    <w:rsid w:val="00906446"/>
    <w:rsid w:val="0090646C"/>
    <w:rsid w:val="009064B4"/>
    <w:rsid w:val="00906540"/>
    <w:rsid w:val="00906567"/>
    <w:rsid w:val="009065AF"/>
    <w:rsid w:val="009065BE"/>
    <w:rsid w:val="009065CB"/>
    <w:rsid w:val="009065CE"/>
    <w:rsid w:val="00906606"/>
    <w:rsid w:val="00906619"/>
    <w:rsid w:val="009066C3"/>
    <w:rsid w:val="009066E4"/>
    <w:rsid w:val="009066F7"/>
    <w:rsid w:val="009066F8"/>
    <w:rsid w:val="00906747"/>
    <w:rsid w:val="0090677F"/>
    <w:rsid w:val="00906789"/>
    <w:rsid w:val="009067D8"/>
    <w:rsid w:val="009067E7"/>
    <w:rsid w:val="00906837"/>
    <w:rsid w:val="0090683F"/>
    <w:rsid w:val="0090684D"/>
    <w:rsid w:val="0090688F"/>
    <w:rsid w:val="009068AF"/>
    <w:rsid w:val="009068CF"/>
    <w:rsid w:val="00906A16"/>
    <w:rsid w:val="00906A58"/>
    <w:rsid w:val="00906A63"/>
    <w:rsid w:val="00906A6F"/>
    <w:rsid w:val="00906A7E"/>
    <w:rsid w:val="00906AA7"/>
    <w:rsid w:val="00906AF3"/>
    <w:rsid w:val="00906B79"/>
    <w:rsid w:val="00906B7C"/>
    <w:rsid w:val="00906B84"/>
    <w:rsid w:val="00906B92"/>
    <w:rsid w:val="00906BC6"/>
    <w:rsid w:val="00906C03"/>
    <w:rsid w:val="00906C08"/>
    <w:rsid w:val="00906C36"/>
    <w:rsid w:val="00906C79"/>
    <w:rsid w:val="00906CA0"/>
    <w:rsid w:val="00906CA8"/>
    <w:rsid w:val="00906CB8"/>
    <w:rsid w:val="00906CE1"/>
    <w:rsid w:val="00906D0E"/>
    <w:rsid w:val="00906D4F"/>
    <w:rsid w:val="00906D76"/>
    <w:rsid w:val="00906D95"/>
    <w:rsid w:val="00906DA2"/>
    <w:rsid w:val="00906DBC"/>
    <w:rsid w:val="00906DC0"/>
    <w:rsid w:val="00906DF4"/>
    <w:rsid w:val="00906DF9"/>
    <w:rsid w:val="00906E08"/>
    <w:rsid w:val="00906E3F"/>
    <w:rsid w:val="00906E6E"/>
    <w:rsid w:val="00906E7C"/>
    <w:rsid w:val="00906EB8"/>
    <w:rsid w:val="00906EF2"/>
    <w:rsid w:val="00906EF3"/>
    <w:rsid w:val="00906F0D"/>
    <w:rsid w:val="00906F71"/>
    <w:rsid w:val="00906FCC"/>
    <w:rsid w:val="00906FFB"/>
    <w:rsid w:val="00907010"/>
    <w:rsid w:val="009070A6"/>
    <w:rsid w:val="009070E4"/>
    <w:rsid w:val="00907191"/>
    <w:rsid w:val="009071AB"/>
    <w:rsid w:val="009071D5"/>
    <w:rsid w:val="009071E2"/>
    <w:rsid w:val="009071F5"/>
    <w:rsid w:val="00907236"/>
    <w:rsid w:val="009072A6"/>
    <w:rsid w:val="009072CD"/>
    <w:rsid w:val="0090743F"/>
    <w:rsid w:val="0090744D"/>
    <w:rsid w:val="00907466"/>
    <w:rsid w:val="00907485"/>
    <w:rsid w:val="0090748B"/>
    <w:rsid w:val="0090749C"/>
    <w:rsid w:val="009074AF"/>
    <w:rsid w:val="009074E9"/>
    <w:rsid w:val="00907538"/>
    <w:rsid w:val="00907583"/>
    <w:rsid w:val="009075A4"/>
    <w:rsid w:val="009075B8"/>
    <w:rsid w:val="009075E3"/>
    <w:rsid w:val="009075F0"/>
    <w:rsid w:val="0090761F"/>
    <w:rsid w:val="0090765E"/>
    <w:rsid w:val="0090765F"/>
    <w:rsid w:val="00907669"/>
    <w:rsid w:val="00907677"/>
    <w:rsid w:val="009076ED"/>
    <w:rsid w:val="00907717"/>
    <w:rsid w:val="00907757"/>
    <w:rsid w:val="00907777"/>
    <w:rsid w:val="00907778"/>
    <w:rsid w:val="009077B9"/>
    <w:rsid w:val="009077BD"/>
    <w:rsid w:val="009077EE"/>
    <w:rsid w:val="0090785B"/>
    <w:rsid w:val="00907865"/>
    <w:rsid w:val="009078C3"/>
    <w:rsid w:val="009079C3"/>
    <w:rsid w:val="009079C9"/>
    <w:rsid w:val="009079F6"/>
    <w:rsid w:val="00907A81"/>
    <w:rsid w:val="00907AB9"/>
    <w:rsid w:val="00907ADB"/>
    <w:rsid w:val="00907B21"/>
    <w:rsid w:val="00907B4A"/>
    <w:rsid w:val="00907BAE"/>
    <w:rsid w:val="00907BC0"/>
    <w:rsid w:val="00907BE2"/>
    <w:rsid w:val="00907BE5"/>
    <w:rsid w:val="00907C1F"/>
    <w:rsid w:val="00907C7A"/>
    <w:rsid w:val="00907CD8"/>
    <w:rsid w:val="00907D0F"/>
    <w:rsid w:val="00907D11"/>
    <w:rsid w:val="00907D28"/>
    <w:rsid w:val="00907D54"/>
    <w:rsid w:val="00907D60"/>
    <w:rsid w:val="00907D9C"/>
    <w:rsid w:val="00907E27"/>
    <w:rsid w:val="00907E68"/>
    <w:rsid w:val="00907E9C"/>
    <w:rsid w:val="00907EB6"/>
    <w:rsid w:val="00907EF3"/>
    <w:rsid w:val="00907F39"/>
    <w:rsid w:val="00907F46"/>
    <w:rsid w:val="00907F8E"/>
    <w:rsid w:val="00907FB5"/>
    <w:rsid w:val="00907FCC"/>
    <w:rsid w:val="00910011"/>
    <w:rsid w:val="00910023"/>
    <w:rsid w:val="00910042"/>
    <w:rsid w:val="0091007C"/>
    <w:rsid w:val="0091008D"/>
    <w:rsid w:val="0091009D"/>
    <w:rsid w:val="009100C9"/>
    <w:rsid w:val="009100D7"/>
    <w:rsid w:val="00910169"/>
    <w:rsid w:val="0091017C"/>
    <w:rsid w:val="00910190"/>
    <w:rsid w:val="009101A4"/>
    <w:rsid w:val="009101C8"/>
    <w:rsid w:val="00910207"/>
    <w:rsid w:val="009102A3"/>
    <w:rsid w:val="009102A8"/>
    <w:rsid w:val="0091030C"/>
    <w:rsid w:val="00910329"/>
    <w:rsid w:val="00910338"/>
    <w:rsid w:val="00910439"/>
    <w:rsid w:val="00910499"/>
    <w:rsid w:val="009104A2"/>
    <w:rsid w:val="009104E6"/>
    <w:rsid w:val="009104ED"/>
    <w:rsid w:val="00910551"/>
    <w:rsid w:val="009106B7"/>
    <w:rsid w:val="009106ED"/>
    <w:rsid w:val="009106FD"/>
    <w:rsid w:val="00910754"/>
    <w:rsid w:val="0091075E"/>
    <w:rsid w:val="009107A7"/>
    <w:rsid w:val="009107BC"/>
    <w:rsid w:val="009107C4"/>
    <w:rsid w:val="009108E2"/>
    <w:rsid w:val="00910989"/>
    <w:rsid w:val="0091098C"/>
    <w:rsid w:val="009109A5"/>
    <w:rsid w:val="00910A12"/>
    <w:rsid w:val="00910A53"/>
    <w:rsid w:val="00910A96"/>
    <w:rsid w:val="00910AE4"/>
    <w:rsid w:val="00910AE8"/>
    <w:rsid w:val="00910AEB"/>
    <w:rsid w:val="00910AF2"/>
    <w:rsid w:val="00910AF3"/>
    <w:rsid w:val="00910B04"/>
    <w:rsid w:val="00910B6A"/>
    <w:rsid w:val="00910B8C"/>
    <w:rsid w:val="00910B98"/>
    <w:rsid w:val="00910CA3"/>
    <w:rsid w:val="00910CC3"/>
    <w:rsid w:val="00910CCA"/>
    <w:rsid w:val="00910CF4"/>
    <w:rsid w:val="00910D04"/>
    <w:rsid w:val="00910D71"/>
    <w:rsid w:val="00910DC0"/>
    <w:rsid w:val="00910DC1"/>
    <w:rsid w:val="00910E41"/>
    <w:rsid w:val="00910E4E"/>
    <w:rsid w:val="00910EA9"/>
    <w:rsid w:val="00910EFC"/>
    <w:rsid w:val="00910FC0"/>
    <w:rsid w:val="00910FD6"/>
    <w:rsid w:val="00910FE5"/>
    <w:rsid w:val="0091101D"/>
    <w:rsid w:val="009110C4"/>
    <w:rsid w:val="009110E1"/>
    <w:rsid w:val="009110E8"/>
    <w:rsid w:val="00911101"/>
    <w:rsid w:val="00911133"/>
    <w:rsid w:val="00911159"/>
    <w:rsid w:val="00911179"/>
    <w:rsid w:val="009111B3"/>
    <w:rsid w:val="009111B6"/>
    <w:rsid w:val="0091122A"/>
    <w:rsid w:val="00911273"/>
    <w:rsid w:val="009112BD"/>
    <w:rsid w:val="009112E8"/>
    <w:rsid w:val="00911332"/>
    <w:rsid w:val="0091137E"/>
    <w:rsid w:val="00911380"/>
    <w:rsid w:val="009113D6"/>
    <w:rsid w:val="009113E3"/>
    <w:rsid w:val="0091143B"/>
    <w:rsid w:val="0091144A"/>
    <w:rsid w:val="0091145B"/>
    <w:rsid w:val="009114A1"/>
    <w:rsid w:val="0091157C"/>
    <w:rsid w:val="009115EC"/>
    <w:rsid w:val="00911670"/>
    <w:rsid w:val="00911774"/>
    <w:rsid w:val="00911799"/>
    <w:rsid w:val="0091183E"/>
    <w:rsid w:val="0091185E"/>
    <w:rsid w:val="00911868"/>
    <w:rsid w:val="0091187B"/>
    <w:rsid w:val="00911898"/>
    <w:rsid w:val="009118A7"/>
    <w:rsid w:val="009118E1"/>
    <w:rsid w:val="009118F9"/>
    <w:rsid w:val="00911905"/>
    <w:rsid w:val="009119D0"/>
    <w:rsid w:val="009119D8"/>
    <w:rsid w:val="009119F8"/>
    <w:rsid w:val="009119FE"/>
    <w:rsid w:val="00911A2D"/>
    <w:rsid w:val="00911A49"/>
    <w:rsid w:val="00911A54"/>
    <w:rsid w:val="00911A7E"/>
    <w:rsid w:val="00911A96"/>
    <w:rsid w:val="00911AB6"/>
    <w:rsid w:val="00911B5C"/>
    <w:rsid w:val="00911B5D"/>
    <w:rsid w:val="00911BA7"/>
    <w:rsid w:val="00911BE1"/>
    <w:rsid w:val="00911C31"/>
    <w:rsid w:val="00911C50"/>
    <w:rsid w:val="00911CCF"/>
    <w:rsid w:val="00911D06"/>
    <w:rsid w:val="00911D4F"/>
    <w:rsid w:val="00911DCA"/>
    <w:rsid w:val="00911DCD"/>
    <w:rsid w:val="00911E03"/>
    <w:rsid w:val="00911E08"/>
    <w:rsid w:val="00911E6F"/>
    <w:rsid w:val="00911E72"/>
    <w:rsid w:val="00911E92"/>
    <w:rsid w:val="00911EC5"/>
    <w:rsid w:val="00911ED3"/>
    <w:rsid w:val="00911EED"/>
    <w:rsid w:val="00911F5C"/>
    <w:rsid w:val="00911FB4"/>
    <w:rsid w:val="00911FBB"/>
    <w:rsid w:val="0091204F"/>
    <w:rsid w:val="00912050"/>
    <w:rsid w:val="00912054"/>
    <w:rsid w:val="00912072"/>
    <w:rsid w:val="009120B6"/>
    <w:rsid w:val="009120DF"/>
    <w:rsid w:val="009120EB"/>
    <w:rsid w:val="0091220A"/>
    <w:rsid w:val="00912293"/>
    <w:rsid w:val="009122A7"/>
    <w:rsid w:val="009122DA"/>
    <w:rsid w:val="009122F3"/>
    <w:rsid w:val="0091231A"/>
    <w:rsid w:val="0091233A"/>
    <w:rsid w:val="0091235E"/>
    <w:rsid w:val="0091238C"/>
    <w:rsid w:val="009123C9"/>
    <w:rsid w:val="0091240F"/>
    <w:rsid w:val="00912444"/>
    <w:rsid w:val="009124A3"/>
    <w:rsid w:val="009124A6"/>
    <w:rsid w:val="009124F3"/>
    <w:rsid w:val="00912508"/>
    <w:rsid w:val="00912571"/>
    <w:rsid w:val="009125A0"/>
    <w:rsid w:val="00912639"/>
    <w:rsid w:val="00912741"/>
    <w:rsid w:val="00912742"/>
    <w:rsid w:val="0091276B"/>
    <w:rsid w:val="009127C5"/>
    <w:rsid w:val="00912860"/>
    <w:rsid w:val="00912879"/>
    <w:rsid w:val="009128AD"/>
    <w:rsid w:val="009128F7"/>
    <w:rsid w:val="00912945"/>
    <w:rsid w:val="00912951"/>
    <w:rsid w:val="0091297A"/>
    <w:rsid w:val="0091297C"/>
    <w:rsid w:val="009129BB"/>
    <w:rsid w:val="009129E3"/>
    <w:rsid w:val="00912A28"/>
    <w:rsid w:val="00912A39"/>
    <w:rsid w:val="00912A55"/>
    <w:rsid w:val="00912AC3"/>
    <w:rsid w:val="00912B6C"/>
    <w:rsid w:val="00912C89"/>
    <w:rsid w:val="00912CA7"/>
    <w:rsid w:val="00912CC3"/>
    <w:rsid w:val="00912CE3"/>
    <w:rsid w:val="00912CE7"/>
    <w:rsid w:val="00912CE8"/>
    <w:rsid w:val="00912D1E"/>
    <w:rsid w:val="00912D8A"/>
    <w:rsid w:val="00912DA5"/>
    <w:rsid w:val="00912DEF"/>
    <w:rsid w:val="00912E70"/>
    <w:rsid w:val="00912ED3"/>
    <w:rsid w:val="00912F06"/>
    <w:rsid w:val="00912F55"/>
    <w:rsid w:val="00912F59"/>
    <w:rsid w:val="00912FD8"/>
    <w:rsid w:val="00912FE1"/>
    <w:rsid w:val="00913045"/>
    <w:rsid w:val="00913049"/>
    <w:rsid w:val="0091304F"/>
    <w:rsid w:val="0091305D"/>
    <w:rsid w:val="00913061"/>
    <w:rsid w:val="00913063"/>
    <w:rsid w:val="00913087"/>
    <w:rsid w:val="009130AF"/>
    <w:rsid w:val="009130B4"/>
    <w:rsid w:val="009130D5"/>
    <w:rsid w:val="0091311E"/>
    <w:rsid w:val="00913186"/>
    <w:rsid w:val="009131CE"/>
    <w:rsid w:val="009131EA"/>
    <w:rsid w:val="009131FF"/>
    <w:rsid w:val="00913225"/>
    <w:rsid w:val="0091327A"/>
    <w:rsid w:val="009132D8"/>
    <w:rsid w:val="009132D9"/>
    <w:rsid w:val="00913349"/>
    <w:rsid w:val="00913392"/>
    <w:rsid w:val="009133C7"/>
    <w:rsid w:val="00913449"/>
    <w:rsid w:val="0091344B"/>
    <w:rsid w:val="00913474"/>
    <w:rsid w:val="00913494"/>
    <w:rsid w:val="009134E2"/>
    <w:rsid w:val="009134F3"/>
    <w:rsid w:val="0091352E"/>
    <w:rsid w:val="00913550"/>
    <w:rsid w:val="009135BD"/>
    <w:rsid w:val="009135CB"/>
    <w:rsid w:val="00913624"/>
    <w:rsid w:val="00913633"/>
    <w:rsid w:val="00913654"/>
    <w:rsid w:val="0091365F"/>
    <w:rsid w:val="0091366A"/>
    <w:rsid w:val="00913679"/>
    <w:rsid w:val="00913680"/>
    <w:rsid w:val="00913689"/>
    <w:rsid w:val="009136BE"/>
    <w:rsid w:val="009136C6"/>
    <w:rsid w:val="0091373B"/>
    <w:rsid w:val="0091374A"/>
    <w:rsid w:val="00913768"/>
    <w:rsid w:val="00913795"/>
    <w:rsid w:val="009137A6"/>
    <w:rsid w:val="009137C9"/>
    <w:rsid w:val="009137D9"/>
    <w:rsid w:val="009137E2"/>
    <w:rsid w:val="00913813"/>
    <w:rsid w:val="0091389E"/>
    <w:rsid w:val="009138CD"/>
    <w:rsid w:val="009138F5"/>
    <w:rsid w:val="00913931"/>
    <w:rsid w:val="00913939"/>
    <w:rsid w:val="00913940"/>
    <w:rsid w:val="009139CF"/>
    <w:rsid w:val="009139EF"/>
    <w:rsid w:val="009139FC"/>
    <w:rsid w:val="00913A4F"/>
    <w:rsid w:val="00913A78"/>
    <w:rsid w:val="00913A9F"/>
    <w:rsid w:val="00913BD4"/>
    <w:rsid w:val="00913C31"/>
    <w:rsid w:val="00913C7D"/>
    <w:rsid w:val="00913CBD"/>
    <w:rsid w:val="00913CEA"/>
    <w:rsid w:val="00913D02"/>
    <w:rsid w:val="00913D4F"/>
    <w:rsid w:val="00913DD0"/>
    <w:rsid w:val="00913DD2"/>
    <w:rsid w:val="00913DEA"/>
    <w:rsid w:val="00913E01"/>
    <w:rsid w:val="00913E08"/>
    <w:rsid w:val="00913E29"/>
    <w:rsid w:val="00913E2B"/>
    <w:rsid w:val="00913E39"/>
    <w:rsid w:val="00913E49"/>
    <w:rsid w:val="00913E6A"/>
    <w:rsid w:val="00913E6C"/>
    <w:rsid w:val="00913EC3"/>
    <w:rsid w:val="00913ED2"/>
    <w:rsid w:val="00913EE7"/>
    <w:rsid w:val="00913F10"/>
    <w:rsid w:val="00913F1F"/>
    <w:rsid w:val="00913F46"/>
    <w:rsid w:val="00913F8C"/>
    <w:rsid w:val="00913FC3"/>
    <w:rsid w:val="00913FE8"/>
    <w:rsid w:val="00913FEB"/>
    <w:rsid w:val="00913FF9"/>
    <w:rsid w:val="0091402C"/>
    <w:rsid w:val="0091405B"/>
    <w:rsid w:val="00914067"/>
    <w:rsid w:val="00914093"/>
    <w:rsid w:val="009140A9"/>
    <w:rsid w:val="00914106"/>
    <w:rsid w:val="0091412A"/>
    <w:rsid w:val="0091419F"/>
    <w:rsid w:val="0091426D"/>
    <w:rsid w:val="009142A5"/>
    <w:rsid w:val="009142ED"/>
    <w:rsid w:val="00914300"/>
    <w:rsid w:val="00914302"/>
    <w:rsid w:val="0091430D"/>
    <w:rsid w:val="00914319"/>
    <w:rsid w:val="00914356"/>
    <w:rsid w:val="009143A4"/>
    <w:rsid w:val="009143A8"/>
    <w:rsid w:val="009143CC"/>
    <w:rsid w:val="0091442D"/>
    <w:rsid w:val="00914431"/>
    <w:rsid w:val="0091444F"/>
    <w:rsid w:val="009144C1"/>
    <w:rsid w:val="009144CB"/>
    <w:rsid w:val="00914544"/>
    <w:rsid w:val="0091458E"/>
    <w:rsid w:val="009145AF"/>
    <w:rsid w:val="0091464F"/>
    <w:rsid w:val="00914659"/>
    <w:rsid w:val="0091465A"/>
    <w:rsid w:val="00914687"/>
    <w:rsid w:val="009146B8"/>
    <w:rsid w:val="009146F9"/>
    <w:rsid w:val="00914751"/>
    <w:rsid w:val="0091478A"/>
    <w:rsid w:val="009147FE"/>
    <w:rsid w:val="0091480D"/>
    <w:rsid w:val="0091482F"/>
    <w:rsid w:val="0091484D"/>
    <w:rsid w:val="00914853"/>
    <w:rsid w:val="00914878"/>
    <w:rsid w:val="00914890"/>
    <w:rsid w:val="0091495B"/>
    <w:rsid w:val="0091496E"/>
    <w:rsid w:val="00914990"/>
    <w:rsid w:val="009149AE"/>
    <w:rsid w:val="009149C4"/>
    <w:rsid w:val="00914A44"/>
    <w:rsid w:val="00914A57"/>
    <w:rsid w:val="00914A91"/>
    <w:rsid w:val="00914ABA"/>
    <w:rsid w:val="00914AED"/>
    <w:rsid w:val="00914AF9"/>
    <w:rsid w:val="00914B99"/>
    <w:rsid w:val="00914C21"/>
    <w:rsid w:val="00914C2D"/>
    <w:rsid w:val="00914CF3"/>
    <w:rsid w:val="00914D03"/>
    <w:rsid w:val="00914D0B"/>
    <w:rsid w:val="00914D7C"/>
    <w:rsid w:val="00914E55"/>
    <w:rsid w:val="00914E97"/>
    <w:rsid w:val="00914EA3"/>
    <w:rsid w:val="00914ED8"/>
    <w:rsid w:val="00914EDD"/>
    <w:rsid w:val="00914F54"/>
    <w:rsid w:val="00915025"/>
    <w:rsid w:val="0091506E"/>
    <w:rsid w:val="0091507C"/>
    <w:rsid w:val="00915089"/>
    <w:rsid w:val="009150B1"/>
    <w:rsid w:val="009150B5"/>
    <w:rsid w:val="00915103"/>
    <w:rsid w:val="0091510D"/>
    <w:rsid w:val="009151B3"/>
    <w:rsid w:val="009151E3"/>
    <w:rsid w:val="00915218"/>
    <w:rsid w:val="00915225"/>
    <w:rsid w:val="0091522E"/>
    <w:rsid w:val="009152B7"/>
    <w:rsid w:val="009152BD"/>
    <w:rsid w:val="009152CE"/>
    <w:rsid w:val="0091534F"/>
    <w:rsid w:val="009153B3"/>
    <w:rsid w:val="009153EB"/>
    <w:rsid w:val="0091541F"/>
    <w:rsid w:val="0091544D"/>
    <w:rsid w:val="0091545E"/>
    <w:rsid w:val="0091546B"/>
    <w:rsid w:val="0091546C"/>
    <w:rsid w:val="0091548E"/>
    <w:rsid w:val="009154DA"/>
    <w:rsid w:val="00915511"/>
    <w:rsid w:val="0091552E"/>
    <w:rsid w:val="00915542"/>
    <w:rsid w:val="00915554"/>
    <w:rsid w:val="0091559A"/>
    <w:rsid w:val="009155A4"/>
    <w:rsid w:val="00915607"/>
    <w:rsid w:val="00915610"/>
    <w:rsid w:val="0091562D"/>
    <w:rsid w:val="009156BE"/>
    <w:rsid w:val="0091570A"/>
    <w:rsid w:val="0091575A"/>
    <w:rsid w:val="009157BA"/>
    <w:rsid w:val="009157BF"/>
    <w:rsid w:val="00915818"/>
    <w:rsid w:val="0091584F"/>
    <w:rsid w:val="00915859"/>
    <w:rsid w:val="00915877"/>
    <w:rsid w:val="009158CE"/>
    <w:rsid w:val="009158F5"/>
    <w:rsid w:val="00915957"/>
    <w:rsid w:val="00915986"/>
    <w:rsid w:val="009159B8"/>
    <w:rsid w:val="00915A6C"/>
    <w:rsid w:val="00915A7D"/>
    <w:rsid w:val="00915A87"/>
    <w:rsid w:val="00915A9B"/>
    <w:rsid w:val="00915AD6"/>
    <w:rsid w:val="00915AE8"/>
    <w:rsid w:val="00915B14"/>
    <w:rsid w:val="00915B62"/>
    <w:rsid w:val="00915B90"/>
    <w:rsid w:val="00915BA2"/>
    <w:rsid w:val="00915BAC"/>
    <w:rsid w:val="00915BBD"/>
    <w:rsid w:val="00915BDF"/>
    <w:rsid w:val="00915C7C"/>
    <w:rsid w:val="00915D09"/>
    <w:rsid w:val="00915D29"/>
    <w:rsid w:val="00915D67"/>
    <w:rsid w:val="00915D6D"/>
    <w:rsid w:val="00915D74"/>
    <w:rsid w:val="00915DBB"/>
    <w:rsid w:val="00915DC0"/>
    <w:rsid w:val="00915ED4"/>
    <w:rsid w:val="00915F3D"/>
    <w:rsid w:val="00915FC1"/>
    <w:rsid w:val="00915FC6"/>
    <w:rsid w:val="009160D1"/>
    <w:rsid w:val="009160D9"/>
    <w:rsid w:val="00916128"/>
    <w:rsid w:val="00916136"/>
    <w:rsid w:val="0091615B"/>
    <w:rsid w:val="00916161"/>
    <w:rsid w:val="00916221"/>
    <w:rsid w:val="0091622C"/>
    <w:rsid w:val="00916259"/>
    <w:rsid w:val="00916351"/>
    <w:rsid w:val="00916396"/>
    <w:rsid w:val="0091640A"/>
    <w:rsid w:val="0091646D"/>
    <w:rsid w:val="009164C2"/>
    <w:rsid w:val="00916508"/>
    <w:rsid w:val="0091651E"/>
    <w:rsid w:val="00916542"/>
    <w:rsid w:val="009165A4"/>
    <w:rsid w:val="009165A7"/>
    <w:rsid w:val="00916691"/>
    <w:rsid w:val="00916696"/>
    <w:rsid w:val="009166D1"/>
    <w:rsid w:val="009166D3"/>
    <w:rsid w:val="009166E0"/>
    <w:rsid w:val="009166EA"/>
    <w:rsid w:val="00916714"/>
    <w:rsid w:val="00916741"/>
    <w:rsid w:val="00916771"/>
    <w:rsid w:val="00916797"/>
    <w:rsid w:val="009167A4"/>
    <w:rsid w:val="009167D2"/>
    <w:rsid w:val="009167FD"/>
    <w:rsid w:val="009167FF"/>
    <w:rsid w:val="0091689D"/>
    <w:rsid w:val="009168B2"/>
    <w:rsid w:val="009168C1"/>
    <w:rsid w:val="009168D7"/>
    <w:rsid w:val="00916932"/>
    <w:rsid w:val="00916961"/>
    <w:rsid w:val="00916A13"/>
    <w:rsid w:val="00916A4F"/>
    <w:rsid w:val="00916A85"/>
    <w:rsid w:val="00916ADA"/>
    <w:rsid w:val="00916B21"/>
    <w:rsid w:val="00916B29"/>
    <w:rsid w:val="00916B84"/>
    <w:rsid w:val="00916BA5"/>
    <w:rsid w:val="00916BAA"/>
    <w:rsid w:val="00916BC0"/>
    <w:rsid w:val="00916C84"/>
    <w:rsid w:val="00916CA0"/>
    <w:rsid w:val="00916CD1"/>
    <w:rsid w:val="00916CD8"/>
    <w:rsid w:val="00916D15"/>
    <w:rsid w:val="00916D61"/>
    <w:rsid w:val="00916DB1"/>
    <w:rsid w:val="00916DB5"/>
    <w:rsid w:val="00916DD9"/>
    <w:rsid w:val="00916E22"/>
    <w:rsid w:val="00916E38"/>
    <w:rsid w:val="00916E4C"/>
    <w:rsid w:val="00916E71"/>
    <w:rsid w:val="00916ED2"/>
    <w:rsid w:val="00916EEC"/>
    <w:rsid w:val="00916F3A"/>
    <w:rsid w:val="00916F3E"/>
    <w:rsid w:val="00916F42"/>
    <w:rsid w:val="00916F44"/>
    <w:rsid w:val="00916F60"/>
    <w:rsid w:val="00916FAA"/>
    <w:rsid w:val="009170A1"/>
    <w:rsid w:val="00917146"/>
    <w:rsid w:val="009171BE"/>
    <w:rsid w:val="00917207"/>
    <w:rsid w:val="00917255"/>
    <w:rsid w:val="0091728D"/>
    <w:rsid w:val="009172A4"/>
    <w:rsid w:val="00917318"/>
    <w:rsid w:val="00917361"/>
    <w:rsid w:val="00917368"/>
    <w:rsid w:val="009173B8"/>
    <w:rsid w:val="009173B9"/>
    <w:rsid w:val="009173C7"/>
    <w:rsid w:val="009173CF"/>
    <w:rsid w:val="009173D3"/>
    <w:rsid w:val="009173EE"/>
    <w:rsid w:val="009173F7"/>
    <w:rsid w:val="00917491"/>
    <w:rsid w:val="009174A6"/>
    <w:rsid w:val="009174C7"/>
    <w:rsid w:val="00917500"/>
    <w:rsid w:val="00917594"/>
    <w:rsid w:val="00917596"/>
    <w:rsid w:val="0091761F"/>
    <w:rsid w:val="00917657"/>
    <w:rsid w:val="0091768F"/>
    <w:rsid w:val="009176C2"/>
    <w:rsid w:val="00917775"/>
    <w:rsid w:val="009177FC"/>
    <w:rsid w:val="00917832"/>
    <w:rsid w:val="00917867"/>
    <w:rsid w:val="009178B5"/>
    <w:rsid w:val="009178C0"/>
    <w:rsid w:val="0091792B"/>
    <w:rsid w:val="00917959"/>
    <w:rsid w:val="009179E0"/>
    <w:rsid w:val="00917AA3"/>
    <w:rsid w:val="00917AFE"/>
    <w:rsid w:val="00917B31"/>
    <w:rsid w:val="00917B40"/>
    <w:rsid w:val="00917B66"/>
    <w:rsid w:val="00917BB5"/>
    <w:rsid w:val="00917BBF"/>
    <w:rsid w:val="00917C5A"/>
    <w:rsid w:val="00917D08"/>
    <w:rsid w:val="00917D09"/>
    <w:rsid w:val="00917D15"/>
    <w:rsid w:val="00917D25"/>
    <w:rsid w:val="00917DA2"/>
    <w:rsid w:val="00917DCE"/>
    <w:rsid w:val="00917DCF"/>
    <w:rsid w:val="00917DEA"/>
    <w:rsid w:val="00917E10"/>
    <w:rsid w:val="00917E19"/>
    <w:rsid w:val="00917E23"/>
    <w:rsid w:val="00917E2E"/>
    <w:rsid w:val="00917E30"/>
    <w:rsid w:val="00917E40"/>
    <w:rsid w:val="00917E49"/>
    <w:rsid w:val="00917E84"/>
    <w:rsid w:val="00917E9B"/>
    <w:rsid w:val="00917F27"/>
    <w:rsid w:val="00917F2A"/>
    <w:rsid w:val="00917F2F"/>
    <w:rsid w:val="00917F7D"/>
    <w:rsid w:val="00917FC8"/>
    <w:rsid w:val="00917FF9"/>
    <w:rsid w:val="00920091"/>
    <w:rsid w:val="0092009E"/>
    <w:rsid w:val="009200BC"/>
    <w:rsid w:val="0092014C"/>
    <w:rsid w:val="00920165"/>
    <w:rsid w:val="00920199"/>
    <w:rsid w:val="009201F9"/>
    <w:rsid w:val="00920271"/>
    <w:rsid w:val="009202EB"/>
    <w:rsid w:val="009202F1"/>
    <w:rsid w:val="00920333"/>
    <w:rsid w:val="00920366"/>
    <w:rsid w:val="00920388"/>
    <w:rsid w:val="009203B7"/>
    <w:rsid w:val="00920484"/>
    <w:rsid w:val="0092049B"/>
    <w:rsid w:val="009204A6"/>
    <w:rsid w:val="009204E4"/>
    <w:rsid w:val="009204F7"/>
    <w:rsid w:val="00920517"/>
    <w:rsid w:val="0092058A"/>
    <w:rsid w:val="009205A3"/>
    <w:rsid w:val="00920625"/>
    <w:rsid w:val="009206AC"/>
    <w:rsid w:val="00920750"/>
    <w:rsid w:val="009207C0"/>
    <w:rsid w:val="009207FE"/>
    <w:rsid w:val="00920843"/>
    <w:rsid w:val="0092087A"/>
    <w:rsid w:val="00920896"/>
    <w:rsid w:val="0092089E"/>
    <w:rsid w:val="009208CD"/>
    <w:rsid w:val="00920931"/>
    <w:rsid w:val="00920997"/>
    <w:rsid w:val="009209BB"/>
    <w:rsid w:val="009209BF"/>
    <w:rsid w:val="009209C1"/>
    <w:rsid w:val="009209C6"/>
    <w:rsid w:val="009209C8"/>
    <w:rsid w:val="009209F0"/>
    <w:rsid w:val="009209F7"/>
    <w:rsid w:val="00920A01"/>
    <w:rsid w:val="00920A05"/>
    <w:rsid w:val="00920A18"/>
    <w:rsid w:val="00920A29"/>
    <w:rsid w:val="00920A35"/>
    <w:rsid w:val="00920A59"/>
    <w:rsid w:val="00920AC5"/>
    <w:rsid w:val="00920AE0"/>
    <w:rsid w:val="00920B4F"/>
    <w:rsid w:val="00920B5C"/>
    <w:rsid w:val="00920B72"/>
    <w:rsid w:val="00920B79"/>
    <w:rsid w:val="00920B95"/>
    <w:rsid w:val="00920BA8"/>
    <w:rsid w:val="00920BA9"/>
    <w:rsid w:val="00920BCB"/>
    <w:rsid w:val="00920C10"/>
    <w:rsid w:val="00920C28"/>
    <w:rsid w:val="00920C71"/>
    <w:rsid w:val="00920C85"/>
    <w:rsid w:val="00920CCB"/>
    <w:rsid w:val="00920CDD"/>
    <w:rsid w:val="00920D20"/>
    <w:rsid w:val="00920D2B"/>
    <w:rsid w:val="00920D37"/>
    <w:rsid w:val="00920D5C"/>
    <w:rsid w:val="00920DAA"/>
    <w:rsid w:val="00920DAE"/>
    <w:rsid w:val="00920DDA"/>
    <w:rsid w:val="00920DFD"/>
    <w:rsid w:val="00920E2C"/>
    <w:rsid w:val="00920E81"/>
    <w:rsid w:val="00920EBD"/>
    <w:rsid w:val="00920ECF"/>
    <w:rsid w:val="00920F23"/>
    <w:rsid w:val="00920F2E"/>
    <w:rsid w:val="00920F55"/>
    <w:rsid w:val="00920F71"/>
    <w:rsid w:val="00920FF7"/>
    <w:rsid w:val="00921018"/>
    <w:rsid w:val="0092102B"/>
    <w:rsid w:val="0092105C"/>
    <w:rsid w:val="00921069"/>
    <w:rsid w:val="009210F1"/>
    <w:rsid w:val="00921113"/>
    <w:rsid w:val="00921121"/>
    <w:rsid w:val="00921158"/>
    <w:rsid w:val="009211A2"/>
    <w:rsid w:val="009211C5"/>
    <w:rsid w:val="009211D0"/>
    <w:rsid w:val="009211FA"/>
    <w:rsid w:val="00921221"/>
    <w:rsid w:val="00921253"/>
    <w:rsid w:val="0092126A"/>
    <w:rsid w:val="0092127E"/>
    <w:rsid w:val="0092129B"/>
    <w:rsid w:val="009212A2"/>
    <w:rsid w:val="00921317"/>
    <w:rsid w:val="0092131C"/>
    <w:rsid w:val="009213C7"/>
    <w:rsid w:val="00921412"/>
    <w:rsid w:val="00921440"/>
    <w:rsid w:val="00921467"/>
    <w:rsid w:val="009214BE"/>
    <w:rsid w:val="009214D2"/>
    <w:rsid w:val="009214D7"/>
    <w:rsid w:val="009214FB"/>
    <w:rsid w:val="00921507"/>
    <w:rsid w:val="00921513"/>
    <w:rsid w:val="00921528"/>
    <w:rsid w:val="00921565"/>
    <w:rsid w:val="009215A5"/>
    <w:rsid w:val="009215F4"/>
    <w:rsid w:val="00921629"/>
    <w:rsid w:val="00921720"/>
    <w:rsid w:val="0092176F"/>
    <w:rsid w:val="009217AA"/>
    <w:rsid w:val="009217DB"/>
    <w:rsid w:val="0092185D"/>
    <w:rsid w:val="009218BF"/>
    <w:rsid w:val="009218CB"/>
    <w:rsid w:val="009218E9"/>
    <w:rsid w:val="009218FC"/>
    <w:rsid w:val="00921908"/>
    <w:rsid w:val="00921925"/>
    <w:rsid w:val="00921948"/>
    <w:rsid w:val="00921964"/>
    <w:rsid w:val="009219BB"/>
    <w:rsid w:val="00921A2D"/>
    <w:rsid w:val="00921A3E"/>
    <w:rsid w:val="00921AA0"/>
    <w:rsid w:val="00921B61"/>
    <w:rsid w:val="00921B70"/>
    <w:rsid w:val="00921B94"/>
    <w:rsid w:val="00921BBE"/>
    <w:rsid w:val="00921C5F"/>
    <w:rsid w:val="00921CA4"/>
    <w:rsid w:val="00921CAC"/>
    <w:rsid w:val="00921DE1"/>
    <w:rsid w:val="00921DE5"/>
    <w:rsid w:val="00921DEC"/>
    <w:rsid w:val="00921E03"/>
    <w:rsid w:val="00921EA6"/>
    <w:rsid w:val="00921EAD"/>
    <w:rsid w:val="00921F03"/>
    <w:rsid w:val="00921F12"/>
    <w:rsid w:val="00921F2E"/>
    <w:rsid w:val="00921F6A"/>
    <w:rsid w:val="00921FD8"/>
    <w:rsid w:val="00921FE6"/>
    <w:rsid w:val="00921FF3"/>
    <w:rsid w:val="00922015"/>
    <w:rsid w:val="00922030"/>
    <w:rsid w:val="0092203A"/>
    <w:rsid w:val="00922040"/>
    <w:rsid w:val="009220D7"/>
    <w:rsid w:val="0092213C"/>
    <w:rsid w:val="0092215C"/>
    <w:rsid w:val="0092216C"/>
    <w:rsid w:val="0092224F"/>
    <w:rsid w:val="0092228A"/>
    <w:rsid w:val="009222D8"/>
    <w:rsid w:val="009222DF"/>
    <w:rsid w:val="0092231C"/>
    <w:rsid w:val="0092232F"/>
    <w:rsid w:val="0092234B"/>
    <w:rsid w:val="009223FA"/>
    <w:rsid w:val="0092249C"/>
    <w:rsid w:val="0092254B"/>
    <w:rsid w:val="00922553"/>
    <w:rsid w:val="0092255E"/>
    <w:rsid w:val="00922566"/>
    <w:rsid w:val="009225AA"/>
    <w:rsid w:val="009225B7"/>
    <w:rsid w:val="009225E1"/>
    <w:rsid w:val="009225EE"/>
    <w:rsid w:val="009226E5"/>
    <w:rsid w:val="009226F9"/>
    <w:rsid w:val="00922711"/>
    <w:rsid w:val="009227EA"/>
    <w:rsid w:val="00922877"/>
    <w:rsid w:val="0092287B"/>
    <w:rsid w:val="00922888"/>
    <w:rsid w:val="009228FC"/>
    <w:rsid w:val="00922906"/>
    <w:rsid w:val="00922919"/>
    <w:rsid w:val="00922960"/>
    <w:rsid w:val="009229BA"/>
    <w:rsid w:val="00922A63"/>
    <w:rsid w:val="00922A92"/>
    <w:rsid w:val="00922ABC"/>
    <w:rsid w:val="00922B23"/>
    <w:rsid w:val="00922B39"/>
    <w:rsid w:val="00922B98"/>
    <w:rsid w:val="00922C67"/>
    <w:rsid w:val="00922CBE"/>
    <w:rsid w:val="00922D67"/>
    <w:rsid w:val="00922D74"/>
    <w:rsid w:val="00922D94"/>
    <w:rsid w:val="00922D98"/>
    <w:rsid w:val="00922DB9"/>
    <w:rsid w:val="00922DD2"/>
    <w:rsid w:val="00922E56"/>
    <w:rsid w:val="00922EC4"/>
    <w:rsid w:val="00922F42"/>
    <w:rsid w:val="00922FA4"/>
    <w:rsid w:val="00923066"/>
    <w:rsid w:val="00923071"/>
    <w:rsid w:val="00923074"/>
    <w:rsid w:val="0092309B"/>
    <w:rsid w:val="009230B9"/>
    <w:rsid w:val="009230EC"/>
    <w:rsid w:val="00923109"/>
    <w:rsid w:val="0092315F"/>
    <w:rsid w:val="0092316C"/>
    <w:rsid w:val="00923195"/>
    <w:rsid w:val="0092327E"/>
    <w:rsid w:val="00923280"/>
    <w:rsid w:val="009232E3"/>
    <w:rsid w:val="00923391"/>
    <w:rsid w:val="009233D4"/>
    <w:rsid w:val="009233E6"/>
    <w:rsid w:val="0092343D"/>
    <w:rsid w:val="0092343E"/>
    <w:rsid w:val="00923455"/>
    <w:rsid w:val="00923479"/>
    <w:rsid w:val="009234B8"/>
    <w:rsid w:val="009234BE"/>
    <w:rsid w:val="009234CA"/>
    <w:rsid w:val="009234E3"/>
    <w:rsid w:val="009234E9"/>
    <w:rsid w:val="009234F4"/>
    <w:rsid w:val="00923535"/>
    <w:rsid w:val="0092353B"/>
    <w:rsid w:val="00923626"/>
    <w:rsid w:val="00923662"/>
    <w:rsid w:val="009236FA"/>
    <w:rsid w:val="009236FC"/>
    <w:rsid w:val="00923717"/>
    <w:rsid w:val="0092372F"/>
    <w:rsid w:val="0092375B"/>
    <w:rsid w:val="009237AD"/>
    <w:rsid w:val="009237BB"/>
    <w:rsid w:val="009237C6"/>
    <w:rsid w:val="00923809"/>
    <w:rsid w:val="00923830"/>
    <w:rsid w:val="00923860"/>
    <w:rsid w:val="009238E4"/>
    <w:rsid w:val="0092393D"/>
    <w:rsid w:val="00923968"/>
    <w:rsid w:val="00923972"/>
    <w:rsid w:val="00923974"/>
    <w:rsid w:val="0092397F"/>
    <w:rsid w:val="00923986"/>
    <w:rsid w:val="009239CA"/>
    <w:rsid w:val="009239E0"/>
    <w:rsid w:val="00923A84"/>
    <w:rsid w:val="00923B64"/>
    <w:rsid w:val="00923C0F"/>
    <w:rsid w:val="00923C6A"/>
    <w:rsid w:val="00923C8F"/>
    <w:rsid w:val="00923CB4"/>
    <w:rsid w:val="00923CBC"/>
    <w:rsid w:val="00923CDB"/>
    <w:rsid w:val="00923D05"/>
    <w:rsid w:val="00923D15"/>
    <w:rsid w:val="00923D25"/>
    <w:rsid w:val="00923D28"/>
    <w:rsid w:val="00923D81"/>
    <w:rsid w:val="00923D95"/>
    <w:rsid w:val="00923D9E"/>
    <w:rsid w:val="00923DD2"/>
    <w:rsid w:val="00923DFF"/>
    <w:rsid w:val="00923E39"/>
    <w:rsid w:val="00923E44"/>
    <w:rsid w:val="00923E6F"/>
    <w:rsid w:val="00923E70"/>
    <w:rsid w:val="00923EA7"/>
    <w:rsid w:val="00923EFA"/>
    <w:rsid w:val="00923EFD"/>
    <w:rsid w:val="00923F18"/>
    <w:rsid w:val="00923F31"/>
    <w:rsid w:val="00923F39"/>
    <w:rsid w:val="00923F95"/>
    <w:rsid w:val="00923FBC"/>
    <w:rsid w:val="00924064"/>
    <w:rsid w:val="00924086"/>
    <w:rsid w:val="009240B1"/>
    <w:rsid w:val="009240D8"/>
    <w:rsid w:val="00924174"/>
    <w:rsid w:val="009241F8"/>
    <w:rsid w:val="009241FF"/>
    <w:rsid w:val="00924209"/>
    <w:rsid w:val="00924218"/>
    <w:rsid w:val="00924284"/>
    <w:rsid w:val="009242FF"/>
    <w:rsid w:val="00924300"/>
    <w:rsid w:val="00924322"/>
    <w:rsid w:val="00924328"/>
    <w:rsid w:val="00924338"/>
    <w:rsid w:val="00924347"/>
    <w:rsid w:val="009243A1"/>
    <w:rsid w:val="00924482"/>
    <w:rsid w:val="009244FC"/>
    <w:rsid w:val="00924523"/>
    <w:rsid w:val="0092454D"/>
    <w:rsid w:val="00924595"/>
    <w:rsid w:val="00924630"/>
    <w:rsid w:val="00924632"/>
    <w:rsid w:val="00924667"/>
    <w:rsid w:val="00924694"/>
    <w:rsid w:val="009246A7"/>
    <w:rsid w:val="00924746"/>
    <w:rsid w:val="00924792"/>
    <w:rsid w:val="00924794"/>
    <w:rsid w:val="009247C3"/>
    <w:rsid w:val="009247E8"/>
    <w:rsid w:val="009247ED"/>
    <w:rsid w:val="009247F0"/>
    <w:rsid w:val="009247FE"/>
    <w:rsid w:val="00924809"/>
    <w:rsid w:val="00924826"/>
    <w:rsid w:val="00924840"/>
    <w:rsid w:val="00924864"/>
    <w:rsid w:val="00924874"/>
    <w:rsid w:val="00924880"/>
    <w:rsid w:val="00924898"/>
    <w:rsid w:val="00924921"/>
    <w:rsid w:val="00924934"/>
    <w:rsid w:val="0092493B"/>
    <w:rsid w:val="009249B2"/>
    <w:rsid w:val="009249C1"/>
    <w:rsid w:val="009249CB"/>
    <w:rsid w:val="00924A3E"/>
    <w:rsid w:val="00924AB0"/>
    <w:rsid w:val="00924B3A"/>
    <w:rsid w:val="00924B44"/>
    <w:rsid w:val="00924BBD"/>
    <w:rsid w:val="00924BEB"/>
    <w:rsid w:val="00924C0E"/>
    <w:rsid w:val="00924C1A"/>
    <w:rsid w:val="00924C5C"/>
    <w:rsid w:val="00924C80"/>
    <w:rsid w:val="00924C82"/>
    <w:rsid w:val="00924D3A"/>
    <w:rsid w:val="00924D57"/>
    <w:rsid w:val="00924DA8"/>
    <w:rsid w:val="00924DC9"/>
    <w:rsid w:val="00924DD8"/>
    <w:rsid w:val="00924DE6"/>
    <w:rsid w:val="00924E95"/>
    <w:rsid w:val="00924EA2"/>
    <w:rsid w:val="00924EC6"/>
    <w:rsid w:val="00924ED8"/>
    <w:rsid w:val="00924EE5"/>
    <w:rsid w:val="00924F58"/>
    <w:rsid w:val="00924FBD"/>
    <w:rsid w:val="00924FC5"/>
    <w:rsid w:val="00924FD9"/>
    <w:rsid w:val="00925012"/>
    <w:rsid w:val="00925022"/>
    <w:rsid w:val="0092505E"/>
    <w:rsid w:val="0092506B"/>
    <w:rsid w:val="009250EA"/>
    <w:rsid w:val="009251EB"/>
    <w:rsid w:val="0092522E"/>
    <w:rsid w:val="00925235"/>
    <w:rsid w:val="009252A5"/>
    <w:rsid w:val="009252B3"/>
    <w:rsid w:val="009252B5"/>
    <w:rsid w:val="00925316"/>
    <w:rsid w:val="00925349"/>
    <w:rsid w:val="0092536C"/>
    <w:rsid w:val="009253CF"/>
    <w:rsid w:val="009253EF"/>
    <w:rsid w:val="0092545C"/>
    <w:rsid w:val="009254E1"/>
    <w:rsid w:val="00925521"/>
    <w:rsid w:val="00925536"/>
    <w:rsid w:val="0092557D"/>
    <w:rsid w:val="009255F9"/>
    <w:rsid w:val="009255FC"/>
    <w:rsid w:val="00925631"/>
    <w:rsid w:val="00925656"/>
    <w:rsid w:val="00925690"/>
    <w:rsid w:val="009256B3"/>
    <w:rsid w:val="009256C2"/>
    <w:rsid w:val="009256C7"/>
    <w:rsid w:val="009256E8"/>
    <w:rsid w:val="009257AD"/>
    <w:rsid w:val="00925833"/>
    <w:rsid w:val="00925835"/>
    <w:rsid w:val="00925840"/>
    <w:rsid w:val="0092584A"/>
    <w:rsid w:val="00925850"/>
    <w:rsid w:val="00925877"/>
    <w:rsid w:val="0092588A"/>
    <w:rsid w:val="009258BB"/>
    <w:rsid w:val="009258DC"/>
    <w:rsid w:val="0092591D"/>
    <w:rsid w:val="0092593E"/>
    <w:rsid w:val="00925944"/>
    <w:rsid w:val="009259D7"/>
    <w:rsid w:val="009259FD"/>
    <w:rsid w:val="00925A06"/>
    <w:rsid w:val="00925A0C"/>
    <w:rsid w:val="00925A78"/>
    <w:rsid w:val="00925A97"/>
    <w:rsid w:val="00925AA7"/>
    <w:rsid w:val="00925AFC"/>
    <w:rsid w:val="00925AFD"/>
    <w:rsid w:val="00925B31"/>
    <w:rsid w:val="00925B85"/>
    <w:rsid w:val="00925C4A"/>
    <w:rsid w:val="00925CA6"/>
    <w:rsid w:val="00925CC8"/>
    <w:rsid w:val="00925E27"/>
    <w:rsid w:val="00925E43"/>
    <w:rsid w:val="00925E47"/>
    <w:rsid w:val="00925E7B"/>
    <w:rsid w:val="00925EA8"/>
    <w:rsid w:val="00925EDA"/>
    <w:rsid w:val="00925F4B"/>
    <w:rsid w:val="00925F8D"/>
    <w:rsid w:val="00925FCE"/>
    <w:rsid w:val="00926055"/>
    <w:rsid w:val="00926082"/>
    <w:rsid w:val="009260CE"/>
    <w:rsid w:val="009260D0"/>
    <w:rsid w:val="009260FA"/>
    <w:rsid w:val="00926102"/>
    <w:rsid w:val="0092614A"/>
    <w:rsid w:val="0092616D"/>
    <w:rsid w:val="0092617E"/>
    <w:rsid w:val="00926276"/>
    <w:rsid w:val="009262C0"/>
    <w:rsid w:val="009262E7"/>
    <w:rsid w:val="00926337"/>
    <w:rsid w:val="00926348"/>
    <w:rsid w:val="0092636C"/>
    <w:rsid w:val="00926380"/>
    <w:rsid w:val="00926381"/>
    <w:rsid w:val="00926387"/>
    <w:rsid w:val="00926399"/>
    <w:rsid w:val="009263DA"/>
    <w:rsid w:val="009263DD"/>
    <w:rsid w:val="009263E0"/>
    <w:rsid w:val="009263EC"/>
    <w:rsid w:val="009263ED"/>
    <w:rsid w:val="009263F0"/>
    <w:rsid w:val="00926407"/>
    <w:rsid w:val="00926424"/>
    <w:rsid w:val="009264D4"/>
    <w:rsid w:val="009264DC"/>
    <w:rsid w:val="009264DF"/>
    <w:rsid w:val="009264E0"/>
    <w:rsid w:val="00926529"/>
    <w:rsid w:val="0092654C"/>
    <w:rsid w:val="0092655C"/>
    <w:rsid w:val="00926570"/>
    <w:rsid w:val="00926594"/>
    <w:rsid w:val="009265D4"/>
    <w:rsid w:val="00926641"/>
    <w:rsid w:val="009266A2"/>
    <w:rsid w:val="009266B4"/>
    <w:rsid w:val="009266B9"/>
    <w:rsid w:val="009266FA"/>
    <w:rsid w:val="009267A1"/>
    <w:rsid w:val="009267C8"/>
    <w:rsid w:val="009267CB"/>
    <w:rsid w:val="0092680C"/>
    <w:rsid w:val="009268EF"/>
    <w:rsid w:val="00926927"/>
    <w:rsid w:val="00926976"/>
    <w:rsid w:val="009269BF"/>
    <w:rsid w:val="00926A57"/>
    <w:rsid w:val="00926A6A"/>
    <w:rsid w:val="00926ACB"/>
    <w:rsid w:val="00926AE3"/>
    <w:rsid w:val="00926B1C"/>
    <w:rsid w:val="00926B33"/>
    <w:rsid w:val="00926B38"/>
    <w:rsid w:val="00926BC3"/>
    <w:rsid w:val="00926BDC"/>
    <w:rsid w:val="00926C6F"/>
    <w:rsid w:val="00926C71"/>
    <w:rsid w:val="00926CDC"/>
    <w:rsid w:val="00926CEE"/>
    <w:rsid w:val="00926CFA"/>
    <w:rsid w:val="00926CFD"/>
    <w:rsid w:val="00926CFF"/>
    <w:rsid w:val="00926DAA"/>
    <w:rsid w:val="00926DDD"/>
    <w:rsid w:val="00926E44"/>
    <w:rsid w:val="00926E4F"/>
    <w:rsid w:val="00926E7E"/>
    <w:rsid w:val="00926EF4"/>
    <w:rsid w:val="00926F36"/>
    <w:rsid w:val="0092700F"/>
    <w:rsid w:val="00927044"/>
    <w:rsid w:val="009270A5"/>
    <w:rsid w:val="009270BB"/>
    <w:rsid w:val="00927107"/>
    <w:rsid w:val="00927115"/>
    <w:rsid w:val="00927227"/>
    <w:rsid w:val="00927248"/>
    <w:rsid w:val="009272D7"/>
    <w:rsid w:val="009272DF"/>
    <w:rsid w:val="009272EB"/>
    <w:rsid w:val="0092735D"/>
    <w:rsid w:val="0092735F"/>
    <w:rsid w:val="00927368"/>
    <w:rsid w:val="0092736A"/>
    <w:rsid w:val="0092736B"/>
    <w:rsid w:val="009273F8"/>
    <w:rsid w:val="00927449"/>
    <w:rsid w:val="0092744D"/>
    <w:rsid w:val="009274B7"/>
    <w:rsid w:val="009274D0"/>
    <w:rsid w:val="00927520"/>
    <w:rsid w:val="0092760A"/>
    <w:rsid w:val="009276AF"/>
    <w:rsid w:val="009276EA"/>
    <w:rsid w:val="0092770B"/>
    <w:rsid w:val="00927727"/>
    <w:rsid w:val="009277E2"/>
    <w:rsid w:val="009277E4"/>
    <w:rsid w:val="00927826"/>
    <w:rsid w:val="00927852"/>
    <w:rsid w:val="00927865"/>
    <w:rsid w:val="00927876"/>
    <w:rsid w:val="009278FE"/>
    <w:rsid w:val="0092790E"/>
    <w:rsid w:val="00927918"/>
    <w:rsid w:val="00927926"/>
    <w:rsid w:val="009279AB"/>
    <w:rsid w:val="009279D4"/>
    <w:rsid w:val="00927A03"/>
    <w:rsid w:val="00927A16"/>
    <w:rsid w:val="00927A36"/>
    <w:rsid w:val="00927A88"/>
    <w:rsid w:val="00927ABE"/>
    <w:rsid w:val="00927ADF"/>
    <w:rsid w:val="00927B04"/>
    <w:rsid w:val="00927B52"/>
    <w:rsid w:val="00927B86"/>
    <w:rsid w:val="00927BEE"/>
    <w:rsid w:val="00927C20"/>
    <w:rsid w:val="00927C38"/>
    <w:rsid w:val="00927CA6"/>
    <w:rsid w:val="00927CDB"/>
    <w:rsid w:val="00927D4C"/>
    <w:rsid w:val="00927D63"/>
    <w:rsid w:val="00927D66"/>
    <w:rsid w:val="00927DE3"/>
    <w:rsid w:val="00927E62"/>
    <w:rsid w:val="00927E80"/>
    <w:rsid w:val="00927E85"/>
    <w:rsid w:val="00927EDE"/>
    <w:rsid w:val="00927F8C"/>
    <w:rsid w:val="00927FBE"/>
    <w:rsid w:val="00927FC7"/>
    <w:rsid w:val="00927FE9"/>
    <w:rsid w:val="00930012"/>
    <w:rsid w:val="0093008E"/>
    <w:rsid w:val="009300B5"/>
    <w:rsid w:val="009300CC"/>
    <w:rsid w:val="009300CE"/>
    <w:rsid w:val="00930111"/>
    <w:rsid w:val="00930147"/>
    <w:rsid w:val="0093018D"/>
    <w:rsid w:val="009302C8"/>
    <w:rsid w:val="00930334"/>
    <w:rsid w:val="0093034A"/>
    <w:rsid w:val="00930385"/>
    <w:rsid w:val="009303C4"/>
    <w:rsid w:val="009303DC"/>
    <w:rsid w:val="009303E7"/>
    <w:rsid w:val="009303EB"/>
    <w:rsid w:val="009303FC"/>
    <w:rsid w:val="00930414"/>
    <w:rsid w:val="00930417"/>
    <w:rsid w:val="00930471"/>
    <w:rsid w:val="00930472"/>
    <w:rsid w:val="00930476"/>
    <w:rsid w:val="00930487"/>
    <w:rsid w:val="009304AE"/>
    <w:rsid w:val="009304F7"/>
    <w:rsid w:val="009305DE"/>
    <w:rsid w:val="009305DF"/>
    <w:rsid w:val="00930613"/>
    <w:rsid w:val="0093062D"/>
    <w:rsid w:val="00930635"/>
    <w:rsid w:val="00930661"/>
    <w:rsid w:val="00930696"/>
    <w:rsid w:val="0093069C"/>
    <w:rsid w:val="009306B0"/>
    <w:rsid w:val="009306BE"/>
    <w:rsid w:val="009306E0"/>
    <w:rsid w:val="009306FB"/>
    <w:rsid w:val="00930793"/>
    <w:rsid w:val="0093079C"/>
    <w:rsid w:val="0093079D"/>
    <w:rsid w:val="009307A7"/>
    <w:rsid w:val="009307B4"/>
    <w:rsid w:val="00930801"/>
    <w:rsid w:val="00930802"/>
    <w:rsid w:val="00930834"/>
    <w:rsid w:val="00930906"/>
    <w:rsid w:val="00930919"/>
    <w:rsid w:val="00930941"/>
    <w:rsid w:val="0093095F"/>
    <w:rsid w:val="009309A8"/>
    <w:rsid w:val="009309D3"/>
    <w:rsid w:val="00930A0B"/>
    <w:rsid w:val="00930A98"/>
    <w:rsid w:val="00930AB3"/>
    <w:rsid w:val="00930AEA"/>
    <w:rsid w:val="00930B07"/>
    <w:rsid w:val="00930B08"/>
    <w:rsid w:val="00930B46"/>
    <w:rsid w:val="00930B57"/>
    <w:rsid w:val="00930B7C"/>
    <w:rsid w:val="00930B7F"/>
    <w:rsid w:val="00930B86"/>
    <w:rsid w:val="00930B92"/>
    <w:rsid w:val="00930BFE"/>
    <w:rsid w:val="00930C5A"/>
    <w:rsid w:val="00930C9B"/>
    <w:rsid w:val="00930CA6"/>
    <w:rsid w:val="00930D01"/>
    <w:rsid w:val="00930DC2"/>
    <w:rsid w:val="00930E0F"/>
    <w:rsid w:val="00930E7D"/>
    <w:rsid w:val="00930EB3"/>
    <w:rsid w:val="00930F04"/>
    <w:rsid w:val="00930F23"/>
    <w:rsid w:val="00931025"/>
    <w:rsid w:val="00931046"/>
    <w:rsid w:val="00931048"/>
    <w:rsid w:val="0093104B"/>
    <w:rsid w:val="00931062"/>
    <w:rsid w:val="00931090"/>
    <w:rsid w:val="009310EB"/>
    <w:rsid w:val="00931174"/>
    <w:rsid w:val="009311A8"/>
    <w:rsid w:val="009311AA"/>
    <w:rsid w:val="0093121E"/>
    <w:rsid w:val="00931233"/>
    <w:rsid w:val="00931238"/>
    <w:rsid w:val="00931246"/>
    <w:rsid w:val="009312C7"/>
    <w:rsid w:val="0093143D"/>
    <w:rsid w:val="00931475"/>
    <w:rsid w:val="0093151B"/>
    <w:rsid w:val="0093155C"/>
    <w:rsid w:val="009315C6"/>
    <w:rsid w:val="0093161E"/>
    <w:rsid w:val="0093165A"/>
    <w:rsid w:val="009316A2"/>
    <w:rsid w:val="009316AB"/>
    <w:rsid w:val="009316C2"/>
    <w:rsid w:val="0093176E"/>
    <w:rsid w:val="00931775"/>
    <w:rsid w:val="00931785"/>
    <w:rsid w:val="009317AA"/>
    <w:rsid w:val="009317E9"/>
    <w:rsid w:val="009317F9"/>
    <w:rsid w:val="00931823"/>
    <w:rsid w:val="00931843"/>
    <w:rsid w:val="00931859"/>
    <w:rsid w:val="00931871"/>
    <w:rsid w:val="00931896"/>
    <w:rsid w:val="0093191E"/>
    <w:rsid w:val="00931994"/>
    <w:rsid w:val="009319B8"/>
    <w:rsid w:val="009319F4"/>
    <w:rsid w:val="00931A33"/>
    <w:rsid w:val="00931A3A"/>
    <w:rsid w:val="00931A44"/>
    <w:rsid w:val="00931A8C"/>
    <w:rsid w:val="00931AAD"/>
    <w:rsid w:val="00931AD1"/>
    <w:rsid w:val="00931AD5"/>
    <w:rsid w:val="00931B13"/>
    <w:rsid w:val="00931B28"/>
    <w:rsid w:val="00931B51"/>
    <w:rsid w:val="00931BCF"/>
    <w:rsid w:val="00931BD6"/>
    <w:rsid w:val="00931BEC"/>
    <w:rsid w:val="00931BEE"/>
    <w:rsid w:val="00931C01"/>
    <w:rsid w:val="00931C76"/>
    <w:rsid w:val="00931CA1"/>
    <w:rsid w:val="00931CB3"/>
    <w:rsid w:val="00931CBA"/>
    <w:rsid w:val="00931CD9"/>
    <w:rsid w:val="00931D1E"/>
    <w:rsid w:val="00931D8E"/>
    <w:rsid w:val="00931DD8"/>
    <w:rsid w:val="00931E0A"/>
    <w:rsid w:val="00931E30"/>
    <w:rsid w:val="00931E3B"/>
    <w:rsid w:val="00931E63"/>
    <w:rsid w:val="00931E7B"/>
    <w:rsid w:val="00931E9A"/>
    <w:rsid w:val="00931F09"/>
    <w:rsid w:val="00931F1A"/>
    <w:rsid w:val="00931F5B"/>
    <w:rsid w:val="00931F8D"/>
    <w:rsid w:val="00931FAF"/>
    <w:rsid w:val="00932013"/>
    <w:rsid w:val="00932077"/>
    <w:rsid w:val="0093213C"/>
    <w:rsid w:val="00932140"/>
    <w:rsid w:val="0093218E"/>
    <w:rsid w:val="009322FB"/>
    <w:rsid w:val="00932300"/>
    <w:rsid w:val="00932382"/>
    <w:rsid w:val="00932384"/>
    <w:rsid w:val="009323C3"/>
    <w:rsid w:val="009323F8"/>
    <w:rsid w:val="009323FC"/>
    <w:rsid w:val="00932429"/>
    <w:rsid w:val="00932436"/>
    <w:rsid w:val="00932490"/>
    <w:rsid w:val="0093251C"/>
    <w:rsid w:val="00932520"/>
    <w:rsid w:val="009325C7"/>
    <w:rsid w:val="00932622"/>
    <w:rsid w:val="00932625"/>
    <w:rsid w:val="009326A9"/>
    <w:rsid w:val="009326C1"/>
    <w:rsid w:val="009327F4"/>
    <w:rsid w:val="00932852"/>
    <w:rsid w:val="00932853"/>
    <w:rsid w:val="00932889"/>
    <w:rsid w:val="0093289E"/>
    <w:rsid w:val="009328A2"/>
    <w:rsid w:val="009328F2"/>
    <w:rsid w:val="0093296D"/>
    <w:rsid w:val="0093297D"/>
    <w:rsid w:val="0093297F"/>
    <w:rsid w:val="00932990"/>
    <w:rsid w:val="00932A60"/>
    <w:rsid w:val="00932A76"/>
    <w:rsid w:val="00932A81"/>
    <w:rsid w:val="00932AA0"/>
    <w:rsid w:val="00932AC0"/>
    <w:rsid w:val="00932AED"/>
    <w:rsid w:val="00932B21"/>
    <w:rsid w:val="00932B52"/>
    <w:rsid w:val="00932BE3"/>
    <w:rsid w:val="00932C20"/>
    <w:rsid w:val="00932D35"/>
    <w:rsid w:val="00932D44"/>
    <w:rsid w:val="00932D4B"/>
    <w:rsid w:val="00932E05"/>
    <w:rsid w:val="00932E36"/>
    <w:rsid w:val="00932E6C"/>
    <w:rsid w:val="00932E81"/>
    <w:rsid w:val="00932EA6"/>
    <w:rsid w:val="00932EF2"/>
    <w:rsid w:val="00932F66"/>
    <w:rsid w:val="00932FB9"/>
    <w:rsid w:val="00932FD1"/>
    <w:rsid w:val="009330A9"/>
    <w:rsid w:val="009330B2"/>
    <w:rsid w:val="00933103"/>
    <w:rsid w:val="00933129"/>
    <w:rsid w:val="00933201"/>
    <w:rsid w:val="0093323D"/>
    <w:rsid w:val="009332A1"/>
    <w:rsid w:val="009332C2"/>
    <w:rsid w:val="009332D4"/>
    <w:rsid w:val="009332DB"/>
    <w:rsid w:val="00933302"/>
    <w:rsid w:val="00933318"/>
    <w:rsid w:val="0093332B"/>
    <w:rsid w:val="00933380"/>
    <w:rsid w:val="0093338D"/>
    <w:rsid w:val="00933399"/>
    <w:rsid w:val="009333CC"/>
    <w:rsid w:val="0093340B"/>
    <w:rsid w:val="00933481"/>
    <w:rsid w:val="009334D8"/>
    <w:rsid w:val="009334DD"/>
    <w:rsid w:val="0093351A"/>
    <w:rsid w:val="00933532"/>
    <w:rsid w:val="009335C6"/>
    <w:rsid w:val="009335CA"/>
    <w:rsid w:val="009335D9"/>
    <w:rsid w:val="009335E9"/>
    <w:rsid w:val="00933648"/>
    <w:rsid w:val="0093365F"/>
    <w:rsid w:val="009336BA"/>
    <w:rsid w:val="00933739"/>
    <w:rsid w:val="00933759"/>
    <w:rsid w:val="009337A6"/>
    <w:rsid w:val="009337B3"/>
    <w:rsid w:val="009337C8"/>
    <w:rsid w:val="009337E7"/>
    <w:rsid w:val="00933818"/>
    <w:rsid w:val="009338BE"/>
    <w:rsid w:val="009338D2"/>
    <w:rsid w:val="009338D8"/>
    <w:rsid w:val="0093390A"/>
    <w:rsid w:val="009339B8"/>
    <w:rsid w:val="009339D5"/>
    <w:rsid w:val="00933A10"/>
    <w:rsid w:val="00933A4F"/>
    <w:rsid w:val="00933A7D"/>
    <w:rsid w:val="00933A8C"/>
    <w:rsid w:val="00933AE1"/>
    <w:rsid w:val="00933AED"/>
    <w:rsid w:val="00933B03"/>
    <w:rsid w:val="00933B48"/>
    <w:rsid w:val="00933B4D"/>
    <w:rsid w:val="00933B6B"/>
    <w:rsid w:val="00933B89"/>
    <w:rsid w:val="00933B99"/>
    <w:rsid w:val="00933BA9"/>
    <w:rsid w:val="00933BB5"/>
    <w:rsid w:val="00933BBE"/>
    <w:rsid w:val="00933BE2"/>
    <w:rsid w:val="00933C2A"/>
    <w:rsid w:val="00933CBB"/>
    <w:rsid w:val="00933D50"/>
    <w:rsid w:val="00933D56"/>
    <w:rsid w:val="00933D94"/>
    <w:rsid w:val="00933D9C"/>
    <w:rsid w:val="00933DCB"/>
    <w:rsid w:val="00933E01"/>
    <w:rsid w:val="00933E19"/>
    <w:rsid w:val="00933E86"/>
    <w:rsid w:val="00933E9E"/>
    <w:rsid w:val="00933EDC"/>
    <w:rsid w:val="00933F23"/>
    <w:rsid w:val="00933F60"/>
    <w:rsid w:val="00933F9B"/>
    <w:rsid w:val="00933FA9"/>
    <w:rsid w:val="00934086"/>
    <w:rsid w:val="00934092"/>
    <w:rsid w:val="0093409D"/>
    <w:rsid w:val="00934137"/>
    <w:rsid w:val="00934146"/>
    <w:rsid w:val="00934172"/>
    <w:rsid w:val="009341F2"/>
    <w:rsid w:val="009341F5"/>
    <w:rsid w:val="009341F7"/>
    <w:rsid w:val="00934281"/>
    <w:rsid w:val="00934291"/>
    <w:rsid w:val="0093433F"/>
    <w:rsid w:val="00934363"/>
    <w:rsid w:val="00934367"/>
    <w:rsid w:val="00934369"/>
    <w:rsid w:val="009343FD"/>
    <w:rsid w:val="009344B8"/>
    <w:rsid w:val="009344BE"/>
    <w:rsid w:val="009344F6"/>
    <w:rsid w:val="00934542"/>
    <w:rsid w:val="00934546"/>
    <w:rsid w:val="00934562"/>
    <w:rsid w:val="00934568"/>
    <w:rsid w:val="009345CE"/>
    <w:rsid w:val="009345EF"/>
    <w:rsid w:val="00934630"/>
    <w:rsid w:val="00934632"/>
    <w:rsid w:val="00934650"/>
    <w:rsid w:val="0093467E"/>
    <w:rsid w:val="009346A7"/>
    <w:rsid w:val="00934721"/>
    <w:rsid w:val="00934733"/>
    <w:rsid w:val="0093477D"/>
    <w:rsid w:val="00934784"/>
    <w:rsid w:val="00934835"/>
    <w:rsid w:val="00934842"/>
    <w:rsid w:val="00934845"/>
    <w:rsid w:val="00934875"/>
    <w:rsid w:val="009348A9"/>
    <w:rsid w:val="009348C1"/>
    <w:rsid w:val="009348FE"/>
    <w:rsid w:val="00934A05"/>
    <w:rsid w:val="00934A38"/>
    <w:rsid w:val="00934A4B"/>
    <w:rsid w:val="00934A89"/>
    <w:rsid w:val="00934B08"/>
    <w:rsid w:val="00934B3C"/>
    <w:rsid w:val="00934B8A"/>
    <w:rsid w:val="00934BB7"/>
    <w:rsid w:val="00934BB8"/>
    <w:rsid w:val="00934BBC"/>
    <w:rsid w:val="00934BF9"/>
    <w:rsid w:val="00934C1A"/>
    <w:rsid w:val="00934C3C"/>
    <w:rsid w:val="00934C5E"/>
    <w:rsid w:val="00934C64"/>
    <w:rsid w:val="00934D27"/>
    <w:rsid w:val="00934D72"/>
    <w:rsid w:val="00934D9D"/>
    <w:rsid w:val="00934D9F"/>
    <w:rsid w:val="00934DE8"/>
    <w:rsid w:val="00934E8C"/>
    <w:rsid w:val="00934F00"/>
    <w:rsid w:val="00934F24"/>
    <w:rsid w:val="00934F54"/>
    <w:rsid w:val="00934F80"/>
    <w:rsid w:val="00934FEB"/>
    <w:rsid w:val="00934FFA"/>
    <w:rsid w:val="0093501F"/>
    <w:rsid w:val="0093513C"/>
    <w:rsid w:val="009351FF"/>
    <w:rsid w:val="0093523F"/>
    <w:rsid w:val="0093525C"/>
    <w:rsid w:val="009352B1"/>
    <w:rsid w:val="009352DA"/>
    <w:rsid w:val="0093542E"/>
    <w:rsid w:val="009354F3"/>
    <w:rsid w:val="0093551E"/>
    <w:rsid w:val="00935584"/>
    <w:rsid w:val="0093558A"/>
    <w:rsid w:val="009355ED"/>
    <w:rsid w:val="00935616"/>
    <w:rsid w:val="00935619"/>
    <w:rsid w:val="00935668"/>
    <w:rsid w:val="00935673"/>
    <w:rsid w:val="009356DF"/>
    <w:rsid w:val="00935722"/>
    <w:rsid w:val="00935734"/>
    <w:rsid w:val="00935736"/>
    <w:rsid w:val="00935757"/>
    <w:rsid w:val="0093575C"/>
    <w:rsid w:val="009357FC"/>
    <w:rsid w:val="0093592A"/>
    <w:rsid w:val="0093594A"/>
    <w:rsid w:val="00935973"/>
    <w:rsid w:val="00935A24"/>
    <w:rsid w:val="00935A39"/>
    <w:rsid w:val="00935A3A"/>
    <w:rsid w:val="00935A8D"/>
    <w:rsid w:val="00935AD9"/>
    <w:rsid w:val="00935AE9"/>
    <w:rsid w:val="00935B92"/>
    <w:rsid w:val="00935BAF"/>
    <w:rsid w:val="00935BED"/>
    <w:rsid w:val="00935BF3"/>
    <w:rsid w:val="00935C27"/>
    <w:rsid w:val="00935C33"/>
    <w:rsid w:val="00935CB3"/>
    <w:rsid w:val="00935CCD"/>
    <w:rsid w:val="00935D19"/>
    <w:rsid w:val="00935DAE"/>
    <w:rsid w:val="00935DE7"/>
    <w:rsid w:val="00935DF6"/>
    <w:rsid w:val="00935E3F"/>
    <w:rsid w:val="00935E6B"/>
    <w:rsid w:val="00935EE8"/>
    <w:rsid w:val="00935EED"/>
    <w:rsid w:val="00935EFC"/>
    <w:rsid w:val="00935F21"/>
    <w:rsid w:val="00935F61"/>
    <w:rsid w:val="00935FCB"/>
    <w:rsid w:val="00935FDC"/>
    <w:rsid w:val="0093600E"/>
    <w:rsid w:val="00936024"/>
    <w:rsid w:val="0093604A"/>
    <w:rsid w:val="00936061"/>
    <w:rsid w:val="00936072"/>
    <w:rsid w:val="009360BF"/>
    <w:rsid w:val="00936137"/>
    <w:rsid w:val="0093616F"/>
    <w:rsid w:val="00936186"/>
    <w:rsid w:val="00936195"/>
    <w:rsid w:val="009361EC"/>
    <w:rsid w:val="009362DA"/>
    <w:rsid w:val="009362EC"/>
    <w:rsid w:val="00936329"/>
    <w:rsid w:val="0093634C"/>
    <w:rsid w:val="009363CC"/>
    <w:rsid w:val="009363EF"/>
    <w:rsid w:val="00936402"/>
    <w:rsid w:val="0093640E"/>
    <w:rsid w:val="0093649B"/>
    <w:rsid w:val="009364A8"/>
    <w:rsid w:val="009364CE"/>
    <w:rsid w:val="009364D3"/>
    <w:rsid w:val="009364D4"/>
    <w:rsid w:val="009364D5"/>
    <w:rsid w:val="00936571"/>
    <w:rsid w:val="00936612"/>
    <w:rsid w:val="0093661A"/>
    <w:rsid w:val="0093665E"/>
    <w:rsid w:val="0093667B"/>
    <w:rsid w:val="0093667D"/>
    <w:rsid w:val="00936688"/>
    <w:rsid w:val="009366C0"/>
    <w:rsid w:val="0093674B"/>
    <w:rsid w:val="00936752"/>
    <w:rsid w:val="0093675A"/>
    <w:rsid w:val="0093680A"/>
    <w:rsid w:val="00936856"/>
    <w:rsid w:val="0093686C"/>
    <w:rsid w:val="00936885"/>
    <w:rsid w:val="00936898"/>
    <w:rsid w:val="009368FC"/>
    <w:rsid w:val="009369B2"/>
    <w:rsid w:val="009369BE"/>
    <w:rsid w:val="00936A32"/>
    <w:rsid w:val="00936A3C"/>
    <w:rsid w:val="00936A3F"/>
    <w:rsid w:val="00936A4D"/>
    <w:rsid w:val="00936A4F"/>
    <w:rsid w:val="00936A54"/>
    <w:rsid w:val="00936A58"/>
    <w:rsid w:val="00936A6F"/>
    <w:rsid w:val="00936A90"/>
    <w:rsid w:val="00936B6E"/>
    <w:rsid w:val="00936B85"/>
    <w:rsid w:val="00936B96"/>
    <w:rsid w:val="00936BB0"/>
    <w:rsid w:val="00936BEE"/>
    <w:rsid w:val="00936BF5"/>
    <w:rsid w:val="00936C28"/>
    <w:rsid w:val="00936C76"/>
    <w:rsid w:val="00936C84"/>
    <w:rsid w:val="00936D2B"/>
    <w:rsid w:val="00936D3E"/>
    <w:rsid w:val="00936DB0"/>
    <w:rsid w:val="00936E36"/>
    <w:rsid w:val="00936E3D"/>
    <w:rsid w:val="00936E6E"/>
    <w:rsid w:val="00936E87"/>
    <w:rsid w:val="00936EA8"/>
    <w:rsid w:val="00936EC3"/>
    <w:rsid w:val="00936ED8"/>
    <w:rsid w:val="00936F34"/>
    <w:rsid w:val="00936F35"/>
    <w:rsid w:val="00936F6F"/>
    <w:rsid w:val="00936FED"/>
    <w:rsid w:val="009370BB"/>
    <w:rsid w:val="009370C0"/>
    <w:rsid w:val="00937109"/>
    <w:rsid w:val="00937172"/>
    <w:rsid w:val="009371A4"/>
    <w:rsid w:val="009371CE"/>
    <w:rsid w:val="009371D6"/>
    <w:rsid w:val="009371F1"/>
    <w:rsid w:val="0093724F"/>
    <w:rsid w:val="00937276"/>
    <w:rsid w:val="00937287"/>
    <w:rsid w:val="009372B6"/>
    <w:rsid w:val="00937311"/>
    <w:rsid w:val="0093733A"/>
    <w:rsid w:val="0093739D"/>
    <w:rsid w:val="009373AF"/>
    <w:rsid w:val="0093742F"/>
    <w:rsid w:val="00937439"/>
    <w:rsid w:val="009374CD"/>
    <w:rsid w:val="00937501"/>
    <w:rsid w:val="00937512"/>
    <w:rsid w:val="00937548"/>
    <w:rsid w:val="0093759A"/>
    <w:rsid w:val="009375C4"/>
    <w:rsid w:val="009375D8"/>
    <w:rsid w:val="00937672"/>
    <w:rsid w:val="009376E3"/>
    <w:rsid w:val="00937706"/>
    <w:rsid w:val="00937708"/>
    <w:rsid w:val="0093772D"/>
    <w:rsid w:val="0093776D"/>
    <w:rsid w:val="009377D2"/>
    <w:rsid w:val="009377E4"/>
    <w:rsid w:val="009377E8"/>
    <w:rsid w:val="00937804"/>
    <w:rsid w:val="00937814"/>
    <w:rsid w:val="0093785F"/>
    <w:rsid w:val="0093787F"/>
    <w:rsid w:val="009378AC"/>
    <w:rsid w:val="009378B9"/>
    <w:rsid w:val="009378EF"/>
    <w:rsid w:val="00937928"/>
    <w:rsid w:val="00937935"/>
    <w:rsid w:val="0093793D"/>
    <w:rsid w:val="0093795C"/>
    <w:rsid w:val="0093795D"/>
    <w:rsid w:val="00937990"/>
    <w:rsid w:val="009379B2"/>
    <w:rsid w:val="009379BB"/>
    <w:rsid w:val="00937A03"/>
    <w:rsid w:val="00937A0C"/>
    <w:rsid w:val="00937A0D"/>
    <w:rsid w:val="00937A27"/>
    <w:rsid w:val="00937AAB"/>
    <w:rsid w:val="00937ADF"/>
    <w:rsid w:val="00937AF1"/>
    <w:rsid w:val="00937B43"/>
    <w:rsid w:val="00937B84"/>
    <w:rsid w:val="00937BC0"/>
    <w:rsid w:val="00937C0D"/>
    <w:rsid w:val="00937C19"/>
    <w:rsid w:val="00937C39"/>
    <w:rsid w:val="00937C6E"/>
    <w:rsid w:val="00937C97"/>
    <w:rsid w:val="00937CC1"/>
    <w:rsid w:val="00937CD8"/>
    <w:rsid w:val="00937CE4"/>
    <w:rsid w:val="00937D34"/>
    <w:rsid w:val="00937D7D"/>
    <w:rsid w:val="00937D86"/>
    <w:rsid w:val="00937DBA"/>
    <w:rsid w:val="00937DDC"/>
    <w:rsid w:val="00937E02"/>
    <w:rsid w:val="00937E0D"/>
    <w:rsid w:val="00937E2D"/>
    <w:rsid w:val="00937EA4"/>
    <w:rsid w:val="00937EBD"/>
    <w:rsid w:val="00937F46"/>
    <w:rsid w:val="00937F7E"/>
    <w:rsid w:val="00937F9E"/>
    <w:rsid w:val="00937FCD"/>
    <w:rsid w:val="00937FE4"/>
    <w:rsid w:val="0094001F"/>
    <w:rsid w:val="00940031"/>
    <w:rsid w:val="009400AD"/>
    <w:rsid w:val="009400EB"/>
    <w:rsid w:val="00940104"/>
    <w:rsid w:val="00940106"/>
    <w:rsid w:val="0094012A"/>
    <w:rsid w:val="0094012B"/>
    <w:rsid w:val="009401D3"/>
    <w:rsid w:val="00940226"/>
    <w:rsid w:val="009402B7"/>
    <w:rsid w:val="0094039B"/>
    <w:rsid w:val="009403A8"/>
    <w:rsid w:val="0094042C"/>
    <w:rsid w:val="00940462"/>
    <w:rsid w:val="009404A4"/>
    <w:rsid w:val="009404BC"/>
    <w:rsid w:val="009404C6"/>
    <w:rsid w:val="009404CA"/>
    <w:rsid w:val="009404DB"/>
    <w:rsid w:val="009404DF"/>
    <w:rsid w:val="00940523"/>
    <w:rsid w:val="0094055C"/>
    <w:rsid w:val="0094057D"/>
    <w:rsid w:val="00940598"/>
    <w:rsid w:val="009405A8"/>
    <w:rsid w:val="009405C1"/>
    <w:rsid w:val="009405CE"/>
    <w:rsid w:val="009405D8"/>
    <w:rsid w:val="00940639"/>
    <w:rsid w:val="0094063E"/>
    <w:rsid w:val="00940643"/>
    <w:rsid w:val="009406D5"/>
    <w:rsid w:val="009406EB"/>
    <w:rsid w:val="009406F0"/>
    <w:rsid w:val="00940762"/>
    <w:rsid w:val="009407DC"/>
    <w:rsid w:val="0094080E"/>
    <w:rsid w:val="00940817"/>
    <w:rsid w:val="0094082E"/>
    <w:rsid w:val="009408F1"/>
    <w:rsid w:val="009408F5"/>
    <w:rsid w:val="00940950"/>
    <w:rsid w:val="009409C4"/>
    <w:rsid w:val="009409F1"/>
    <w:rsid w:val="00940A08"/>
    <w:rsid w:val="00940A22"/>
    <w:rsid w:val="00940A5F"/>
    <w:rsid w:val="00940A6A"/>
    <w:rsid w:val="00940AEA"/>
    <w:rsid w:val="00940B11"/>
    <w:rsid w:val="00940B72"/>
    <w:rsid w:val="00940BD8"/>
    <w:rsid w:val="00940BDC"/>
    <w:rsid w:val="00940C1D"/>
    <w:rsid w:val="00940C35"/>
    <w:rsid w:val="00940C4D"/>
    <w:rsid w:val="00940C6C"/>
    <w:rsid w:val="00940CCD"/>
    <w:rsid w:val="00940D06"/>
    <w:rsid w:val="00940D12"/>
    <w:rsid w:val="00940D23"/>
    <w:rsid w:val="00940D2C"/>
    <w:rsid w:val="00940DA4"/>
    <w:rsid w:val="00940E63"/>
    <w:rsid w:val="00940F5D"/>
    <w:rsid w:val="00940F87"/>
    <w:rsid w:val="00940FA3"/>
    <w:rsid w:val="00940FFB"/>
    <w:rsid w:val="00941046"/>
    <w:rsid w:val="009410AC"/>
    <w:rsid w:val="009410F2"/>
    <w:rsid w:val="009410FB"/>
    <w:rsid w:val="00941127"/>
    <w:rsid w:val="00941135"/>
    <w:rsid w:val="009411F0"/>
    <w:rsid w:val="009411FC"/>
    <w:rsid w:val="0094122E"/>
    <w:rsid w:val="0094123D"/>
    <w:rsid w:val="00941346"/>
    <w:rsid w:val="00941347"/>
    <w:rsid w:val="0094134E"/>
    <w:rsid w:val="00941351"/>
    <w:rsid w:val="00941390"/>
    <w:rsid w:val="0094139F"/>
    <w:rsid w:val="00941447"/>
    <w:rsid w:val="00941455"/>
    <w:rsid w:val="0094148F"/>
    <w:rsid w:val="0094149D"/>
    <w:rsid w:val="009414B4"/>
    <w:rsid w:val="009414EC"/>
    <w:rsid w:val="0094152D"/>
    <w:rsid w:val="009415E6"/>
    <w:rsid w:val="00941642"/>
    <w:rsid w:val="0094165A"/>
    <w:rsid w:val="00941661"/>
    <w:rsid w:val="00941689"/>
    <w:rsid w:val="0094169C"/>
    <w:rsid w:val="009416A9"/>
    <w:rsid w:val="009416B2"/>
    <w:rsid w:val="009416CD"/>
    <w:rsid w:val="009417AD"/>
    <w:rsid w:val="009417C4"/>
    <w:rsid w:val="00941811"/>
    <w:rsid w:val="00941865"/>
    <w:rsid w:val="009418A6"/>
    <w:rsid w:val="009418EE"/>
    <w:rsid w:val="00941912"/>
    <w:rsid w:val="0094198B"/>
    <w:rsid w:val="00941993"/>
    <w:rsid w:val="009419BD"/>
    <w:rsid w:val="00941A7D"/>
    <w:rsid w:val="00941A8C"/>
    <w:rsid w:val="00941AD4"/>
    <w:rsid w:val="00941B32"/>
    <w:rsid w:val="00941B5E"/>
    <w:rsid w:val="00941BC0"/>
    <w:rsid w:val="00941C77"/>
    <w:rsid w:val="00941C91"/>
    <w:rsid w:val="00941CB2"/>
    <w:rsid w:val="00941CBB"/>
    <w:rsid w:val="00941CBD"/>
    <w:rsid w:val="00941D44"/>
    <w:rsid w:val="00941D60"/>
    <w:rsid w:val="00941D83"/>
    <w:rsid w:val="00941DB7"/>
    <w:rsid w:val="00941DBB"/>
    <w:rsid w:val="00941DE1"/>
    <w:rsid w:val="00941E2E"/>
    <w:rsid w:val="00941E5B"/>
    <w:rsid w:val="00941EEC"/>
    <w:rsid w:val="00941FB9"/>
    <w:rsid w:val="00941FCC"/>
    <w:rsid w:val="00941FED"/>
    <w:rsid w:val="00942031"/>
    <w:rsid w:val="00942052"/>
    <w:rsid w:val="0094208C"/>
    <w:rsid w:val="009420D6"/>
    <w:rsid w:val="009420FE"/>
    <w:rsid w:val="00942123"/>
    <w:rsid w:val="009421DE"/>
    <w:rsid w:val="009421F8"/>
    <w:rsid w:val="00942207"/>
    <w:rsid w:val="0094225C"/>
    <w:rsid w:val="009422A9"/>
    <w:rsid w:val="009422D0"/>
    <w:rsid w:val="009422D9"/>
    <w:rsid w:val="009422E1"/>
    <w:rsid w:val="00942319"/>
    <w:rsid w:val="0094232F"/>
    <w:rsid w:val="00942333"/>
    <w:rsid w:val="009423AA"/>
    <w:rsid w:val="00942423"/>
    <w:rsid w:val="0094244C"/>
    <w:rsid w:val="00942457"/>
    <w:rsid w:val="0094245B"/>
    <w:rsid w:val="00942468"/>
    <w:rsid w:val="00942496"/>
    <w:rsid w:val="009424D1"/>
    <w:rsid w:val="009424E0"/>
    <w:rsid w:val="0094262B"/>
    <w:rsid w:val="0094262C"/>
    <w:rsid w:val="0094263C"/>
    <w:rsid w:val="009426C4"/>
    <w:rsid w:val="009426C6"/>
    <w:rsid w:val="009426F3"/>
    <w:rsid w:val="009426F9"/>
    <w:rsid w:val="0094281D"/>
    <w:rsid w:val="00942846"/>
    <w:rsid w:val="00942925"/>
    <w:rsid w:val="00942995"/>
    <w:rsid w:val="009429D8"/>
    <w:rsid w:val="00942A0B"/>
    <w:rsid w:val="00942A23"/>
    <w:rsid w:val="00942A63"/>
    <w:rsid w:val="00942A8D"/>
    <w:rsid w:val="00942AB3"/>
    <w:rsid w:val="00942ADF"/>
    <w:rsid w:val="00942B2F"/>
    <w:rsid w:val="00942B30"/>
    <w:rsid w:val="00942B48"/>
    <w:rsid w:val="00942BD6"/>
    <w:rsid w:val="00942C4D"/>
    <w:rsid w:val="00942CB4"/>
    <w:rsid w:val="00942D7D"/>
    <w:rsid w:val="00942E51"/>
    <w:rsid w:val="00942E71"/>
    <w:rsid w:val="00942E76"/>
    <w:rsid w:val="00942E98"/>
    <w:rsid w:val="00942EC6"/>
    <w:rsid w:val="00942EDD"/>
    <w:rsid w:val="00942FFD"/>
    <w:rsid w:val="00943031"/>
    <w:rsid w:val="009430C5"/>
    <w:rsid w:val="0094314B"/>
    <w:rsid w:val="00943157"/>
    <w:rsid w:val="00943169"/>
    <w:rsid w:val="00943193"/>
    <w:rsid w:val="009431FB"/>
    <w:rsid w:val="0094329D"/>
    <w:rsid w:val="009432C2"/>
    <w:rsid w:val="009432C5"/>
    <w:rsid w:val="0094331B"/>
    <w:rsid w:val="00943369"/>
    <w:rsid w:val="0094337D"/>
    <w:rsid w:val="009433AA"/>
    <w:rsid w:val="009433D6"/>
    <w:rsid w:val="00943416"/>
    <w:rsid w:val="009434C6"/>
    <w:rsid w:val="009434DF"/>
    <w:rsid w:val="009434EF"/>
    <w:rsid w:val="009434FB"/>
    <w:rsid w:val="00943529"/>
    <w:rsid w:val="00943530"/>
    <w:rsid w:val="00943616"/>
    <w:rsid w:val="0094364D"/>
    <w:rsid w:val="0094366C"/>
    <w:rsid w:val="00943677"/>
    <w:rsid w:val="00943721"/>
    <w:rsid w:val="00943736"/>
    <w:rsid w:val="00943741"/>
    <w:rsid w:val="009437BF"/>
    <w:rsid w:val="009437E1"/>
    <w:rsid w:val="009437E6"/>
    <w:rsid w:val="0094387F"/>
    <w:rsid w:val="009438DB"/>
    <w:rsid w:val="00943935"/>
    <w:rsid w:val="0094393E"/>
    <w:rsid w:val="0094394D"/>
    <w:rsid w:val="0094398F"/>
    <w:rsid w:val="00943A25"/>
    <w:rsid w:val="00943A35"/>
    <w:rsid w:val="00943A9E"/>
    <w:rsid w:val="00943ACF"/>
    <w:rsid w:val="00943AF9"/>
    <w:rsid w:val="00943B01"/>
    <w:rsid w:val="00943B6E"/>
    <w:rsid w:val="00943B78"/>
    <w:rsid w:val="00943C0C"/>
    <w:rsid w:val="00943C21"/>
    <w:rsid w:val="00943C3A"/>
    <w:rsid w:val="00943CD4"/>
    <w:rsid w:val="00943CDE"/>
    <w:rsid w:val="00943D13"/>
    <w:rsid w:val="00943D3E"/>
    <w:rsid w:val="00943E04"/>
    <w:rsid w:val="00943E13"/>
    <w:rsid w:val="00943E61"/>
    <w:rsid w:val="00943E71"/>
    <w:rsid w:val="00943F07"/>
    <w:rsid w:val="00943FCA"/>
    <w:rsid w:val="00943FD7"/>
    <w:rsid w:val="00944007"/>
    <w:rsid w:val="00944047"/>
    <w:rsid w:val="00944051"/>
    <w:rsid w:val="0094405C"/>
    <w:rsid w:val="0094409D"/>
    <w:rsid w:val="00944174"/>
    <w:rsid w:val="00944193"/>
    <w:rsid w:val="009441AB"/>
    <w:rsid w:val="009441EE"/>
    <w:rsid w:val="00944269"/>
    <w:rsid w:val="00944284"/>
    <w:rsid w:val="00944298"/>
    <w:rsid w:val="0094429E"/>
    <w:rsid w:val="009442B9"/>
    <w:rsid w:val="009442C6"/>
    <w:rsid w:val="009442C7"/>
    <w:rsid w:val="009442CD"/>
    <w:rsid w:val="009442E9"/>
    <w:rsid w:val="009442F9"/>
    <w:rsid w:val="00944319"/>
    <w:rsid w:val="0094432F"/>
    <w:rsid w:val="009443A3"/>
    <w:rsid w:val="00944478"/>
    <w:rsid w:val="00944490"/>
    <w:rsid w:val="009445C5"/>
    <w:rsid w:val="0094460A"/>
    <w:rsid w:val="00944683"/>
    <w:rsid w:val="009446D5"/>
    <w:rsid w:val="009446F7"/>
    <w:rsid w:val="00944772"/>
    <w:rsid w:val="009447DC"/>
    <w:rsid w:val="009447F2"/>
    <w:rsid w:val="0094481A"/>
    <w:rsid w:val="00944894"/>
    <w:rsid w:val="009448B1"/>
    <w:rsid w:val="009448BA"/>
    <w:rsid w:val="00944933"/>
    <w:rsid w:val="009449FC"/>
    <w:rsid w:val="00944A3A"/>
    <w:rsid w:val="00944A4E"/>
    <w:rsid w:val="00944A98"/>
    <w:rsid w:val="00944ABD"/>
    <w:rsid w:val="00944B88"/>
    <w:rsid w:val="00944BA1"/>
    <w:rsid w:val="00944C0C"/>
    <w:rsid w:val="00944C47"/>
    <w:rsid w:val="00944C61"/>
    <w:rsid w:val="00944C6B"/>
    <w:rsid w:val="00944C97"/>
    <w:rsid w:val="00944CA6"/>
    <w:rsid w:val="00944CDC"/>
    <w:rsid w:val="00944CF5"/>
    <w:rsid w:val="00944D0D"/>
    <w:rsid w:val="00944D1F"/>
    <w:rsid w:val="00944D85"/>
    <w:rsid w:val="00944F84"/>
    <w:rsid w:val="00944F9B"/>
    <w:rsid w:val="00945007"/>
    <w:rsid w:val="00945028"/>
    <w:rsid w:val="0094503F"/>
    <w:rsid w:val="00945077"/>
    <w:rsid w:val="0094507F"/>
    <w:rsid w:val="0094509B"/>
    <w:rsid w:val="009450F3"/>
    <w:rsid w:val="0094514F"/>
    <w:rsid w:val="00945215"/>
    <w:rsid w:val="00945220"/>
    <w:rsid w:val="00945228"/>
    <w:rsid w:val="00945248"/>
    <w:rsid w:val="0094524E"/>
    <w:rsid w:val="0094525E"/>
    <w:rsid w:val="00945272"/>
    <w:rsid w:val="0094527B"/>
    <w:rsid w:val="00945287"/>
    <w:rsid w:val="009452AB"/>
    <w:rsid w:val="009453A8"/>
    <w:rsid w:val="009453AD"/>
    <w:rsid w:val="009454A2"/>
    <w:rsid w:val="009454AA"/>
    <w:rsid w:val="009454C1"/>
    <w:rsid w:val="00945628"/>
    <w:rsid w:val="0094562F"/>
    <w:rsid w:val="009456C5"/>
    <w:rsid w:val="00945713"/>
    <w:rsid w:val="0094574A"/>
    <w:rsid w:val="00945752"/>
    <w:rsid w:val="0094575F"/>
    <w:rsid w:val="0094577C"/>
    <w:rsid w:val="009457AF"/>
    <w:rsid w:val="009457EE"/>
    <w:rsid w:val="0094582D"/>
    <w:rsid w:val="009458EA"/>
    <w:rsid w:val="009458F7"/>
    <w:rsid w:val="0094593B"/>
    <w:rsid w:val="0094596C"/>
    <w:rsid w:val="009459B9"/>
    <w:rsid w:val="009459E4"/>
    <w:rsid w:val="00945A14"/>
    <w:rsid w:val="00945A43"/>
    <w:rsid w:val="00945A5E"/>
    <w:rsid w:val="00945AC4"/>
    <w:rsid w:val="00945AE7"/>
    <w:rsid w:val="00945B27"/>
    <w:rsid w:val="00945B3A"/>
    <w:rsid w:val="00945B62"/>
    <w:rsid w:val="00945B81"/>
    <w:rsid w:val="00945C24"/>
    <w:rsid w:val="00945C42"/>
    <w:rsid w:val="00945CC8"/>
    <w:rsid w:val="00945CDA"/>
    <w:rsid w:val="00945CDE"/>
    <w:rsid w:val="00945D11"/>
    <w:rsid w:val="00945D5C"/>
    <w:rsid w:val="00945D79"/>
    <w:rsid w:val="00945DA9"/>
    <w:rsid w:val="00945DC8"/>
    <w:rsid w:val="00945DF4"/>
    <w:rsid w:val="00945E35"/>
    <w:rsid w:val="00945E5C"/>
    <w:rsid w:val="00945E96"/>
    <w:rsid w:val="00945EB0"/>
    <w:rsid w:val="00945ECB"/>
    <w:rsid w:val="00945F5E"/>
    <w:rsid w:val="00946004"/>
    <w:rsid w:val="0094607B"/>
    <w:rsid w:val="00946086"/>
    <w:rsid w:val="00946093"/>
    <w:rsid w:val="009460D3"/>
    <w:rsid w:val="00946186"/>
    <w:rsid w:val="009461C6"/>
    <w:rsid w:val="009461E7"/>
    <w:rsid w:val="009461F5"/>
    <w:rsid w:val="00946238"/>
    <w:rsid w:val="0094623F"/>
    <w:rsid w:val="0094624C"/>
    <w:rsid w:val="0094625A"/>
    <w:rsid w:val="00946292"/>
    <w:rsid w:val="009462CC"/>
    <w:rsid w:val="009462DD"/>
    <w:rsid w:val="009462E6"/>
    <w:rsid w:val="009462FA"/>
    <w:rsid w:val="0094632C"/>
    <w:rsid w:val="00946332"/>
    <w:rsid w:val="00946382"/>
    <w:rsid w:val="0094638C"/>
    <w:rsid w:val="009463A0"/>
    <w:rsid w:val="00946463"/>
    <w:rsid w:val="009464BC"/>
    <w:rsid w:val="009464BD"/>
    <w:rsid w:val="009464D1"/>
    <w:rsid w:val="009464EC"/>
    <w:rsid w:val="00946522"/>
    <w:rsid w:val="0094659B"/>
    <w:rsid w:val="009465B4"/>
    <w:rsid w:val="009465CB"/>
    <w:rsid w:val="009465E8"/>
    <w:rsid w:val="0094660A"/>
    <w:rsid w:val="0094663D"/>
    <w:rsid w:val="00946642"/>
    <w:rsid w:val="0094664C"/>
    <w:rsid w:val="009466D3"/>
    <w:rsid w:val="009467B3"/>
    <w:rsid w:val="00946843"/>
    <w:rsid w:val="0094684E"/>
    <w:rsid w:val="00946859"/>
    <w:rsid w:val="0094686A"/>
    <w:rsid w:val="0094686D"/>
    <w:rsid w:val="009468D3"/>
    <w:rsid w:val="009468E2"/>
    <w:rsid w:val="0094690B"/>
    <w:rsid w:val="0094694F"/>
    <w:rsid w:val="009469C8"/>
    <w:rsid w:val="009469E5"/>
    <w:rsid w:val="009469F4"/>
    <w:rsid w:val="00946A00"/>
    <w:rsid w:val="00946A19"/>
    <w:rsid w:val="00946A3A"/>
    <w:rsid w:val="00946A7B"/>
    <w:rsid w:val="00946AD7"/>
    <w:rsid w:val="00946B2D"/>
    <w:rsid w:val="00946B2F"/>
    <w:rsid w:val="00946BAA"/>
    <w:rsid w:val="00946C26"/>
    <w:rsid w:val="00946C70"/>
    <w:rsid w:val="00946C7D"/>
    <w:rsid w:val="00946CB0"/>
    <w:rsid w:val="00946D14"/>
    <w:rsid w:val="00946D49"/>
    <w:rsid w:val="00946D66"/>
    <w:rsid w:val="00946D7C"/>
    <w:rsid w:val="00946DDD"/>
    <w:rsid w:val="00946DE0"/>
    <w:rsid w:val="00946DF3"/>
    <w:rsid w:val="00946E07"/>
    <w:rsid w:val="00946E33"/>
    <w:rsid w:val="00946E88"/>
    <w:rsid w:val="00946EB8"/>
    <w:rsid w:val="00946EDA"/>
    <w:rsid w:val="00946EEC"/>
    <w:rsid w:val="00946F74"/>
    <w:rsid w:val="00946F94"/>
    <w:rsid w:val="00946FAD"/>
    <w:rsid w:val="00947023"/>
    <w:rsid w:val="00947028"/>
    <w:rsid w:val="00947063"/>
    <w:rsid w:val="009470BC"/>
    <w:rsid w:val="0094710E"/>
    <w:rsid w:val="0094712A"/>
    <w:rsid w:val="009471D5"/>
    <w:rsid w:val="0094720A"/>
    <w:rsid w:val="0094720D"/>
    <w:rsid w:val="009472B4"/>
    <w:rsid w:val="009472B7"/>
    <w:rsid w:val="00947302"/>
    <w:rsid w:val="00947307"/>
    <w:rsid w:val="00947335"/>
    <w:rsid w:val="00947356"/>
    <w:rsid w:val="0094735A"/>
    <w:rsid w:val="0094744B"/>
    <w:rsid w:val="009474A1"/>
    <w:rsid w:val="009474E8"/>
    <w:rsid w:val="00947571"/>
    <w:rsid w:val="0094761F"/>
    <w:rsid w:val="009476A3"/>
    <w:rsid w:val="009476C5"/>
    <w:rsid w:val="009476C8"/>
    <w:rsid w:val="009476F6"/>
    <w:rsid w:val="00947720"/>
    <w:rsid w:val="0094779F"/>
    <w:rsid w:val="009477BB"/>
    <w:rsid w:val="009477D6"/>
    <w:rsid w:val="00947806"/>
    <w:rsid w:val="00947815"/>
    <w:rsid w:val="009478FE"/>
    <w:rsid w:val="00947949"/>
    <w:rsid w:val="009479A7"/>
    <w:rsid w:val="009479D7"/>
    <w:rsid w:val="009479F4"/>
    <w:rsid w:val="00947A26"/>
    <w:rsid w:val="00947A4B"/>
    <w:rsid w:val="00947A51"/>
    <w:rsid w:val="00947A7D"/>
    <w:rsid w:val="00947A92"/>
    <w:rsid w:val="00947A99"/>
    <w:rsid w:val="00947ACE"/>
    <w:rsid w:val="00947AD1"/>
    <w:rsid w:val="00947AF5"/>
    <w:rsid w:val="00947B6A"/>
    <w:rsid w:val="00947BAF"/>
    <w:rsid w:val="00947BD6"/>
    <w:rsid w:val="00947BD8"/>
    <w:rsid w:val="00947C3D"/>
    <w:rsid w:val="00947C5B"/>
    <w:rsid w:val="00947D47"/>
    <w:rsid w:val="00947D99"/>
    <w:rsid w:val="00947DDD"/>
    <w:rsid w:val="00947E16"/>
    <w:rsid w:val="00947E26"/>
    <w:rsid w:val="00947E2E"/>
    <w:rsid w:val="00947E62"/>
    <w:rsid w:val="00947E87"/>
    <w:rsid w:val="00947EEF"/>
    <w:rsid w:val="00947F00"/>
    <w:rsid w:val="00947F3F"/>
    <w:rsid w:val="00947FA7"/>
    <w:rsid w:val="00950000"/>
    <w:rsid w:val="00950085"/>
    <w:rsid w:val="009500C4"/>
    <w:rsid w:val="009500F5"/>
    <w:rsid w:val="0095011B"/>
    <w:rsid w:val="0095011F"/>
    <w:rsid w:val="0095014B"/>
    <w:rsid w:val="0095015C"/>
    <w:rsid w:val="009501B9"/>
    <w:rsid w:val="009501E3"/>
    <w:rsid w:val="009501E7"/>
    <w:rsid w:val="009501FF"/>
    <w:rsid w:val="009502CD"/>
    <w:rsid w:val="009502DD"/>
    <w:rsid w:val="00950395"/>
    <w:rsid w:val="009503CA"/>
    <w:rsid w:val="009503D2"/>
    <w:rsid w:val="00950471"/>
    <w:rsid w:val="009504D3"/>
    <w:rsid w:val="00950526"/>
    <w:rsid w:val="009506A5"/>
    <w:rsid w:val="009506A9"/>
    <w:rsid w:val="009506BD"/>
    <w:rsid w:val="009506D6"/>
    <w:rsid w:val="009506F0"/>
    <w:rsid w:val="0095070F"/>
    <w:rsid w:val="0095073D"/>
    <w:rsid w:val="0095074A"/>
    <w:rsid w:val="0095074F"/>
    <w:rsid w:val="00950766"/>
    <w:rsid w:val="009507BE"/>
    <w:rsid w:val="009507C6"/>
    <w:rsid w:val="0095085F"/>
    <w:rsid w:val="00950895"/>
    <w:rsid w:val="00950975"/>
    <w:rsid w:val="00950A18"/>
    <w:rsid w:val="00950A27"/>
    <w:rsid w:val="00950A4B"/>
    <w:rsid w:val="00950B24"/>
    <w:rsid w:val="00950B4D"/>
    <w:rsid w:val="00950BA6"/>
    <w:rsid w:val="00950BB1"/>
    <w:rsid w:val="00950BD2"/>
    <w:rsid w:val="00950C4D"/>
    <w:rsid w:val="00950C80"/>
    <w:rsid w:val="00950C8A"/>
    <w:rsid w:val="00950D40"/>
    <w:rsid w:val="00950D52"/>
    <w:rsid w:val="00950E0A"/>
    <w:rsid w:val="00950E33"/>
    <w:rsid w:val="00950E56"/>
    <w:rsid w:val="00950E76"/>
    <w:rsid w:val="00950E99"/>
    <w:rsid w:val="00950EB1"/>
    <w:rsid w:val="00950ED1"/>
    <w:rsid w:val="00950EE5"/>
    <w:rsid w:val="00950F16"/>
    <w:rsid w:val="00950F1D"/>
    <w:rsid w:val="00950F33"/>
    <w:rsid w:val="00950FDC"/>
    <w:rsid w:val="00950FF9"/>
    <w:rsid w:val="00951044"/>
    <w:rsid w:val="009510AF"/>
    <w:rsid w:val="009510DE"/>
    <w:rsid w:val="009510DF"/>
    <w:rsid w:val="009510FB"/>
    <w:rsid w:val="0095111E"/>
    <w:rsid w:val="00951137"/>
    <w:rsid w:val="009511CE"/>
    <w:rsid w:val="0095120F"/>
    <w:rsid w:val="00951210"/>
    <w:rsid w:val="00951212"/>
    <w:rsid w:val="00951264"/>
    <w:rsid w:val="009512E6"/>
    <w:rsid w:val="00951357"/>
    <w:rsid w:val="00951358"/>
    <w:rsid w:val="00951371"/>
    <w:rsid w:val="00951380"/>
    <w:rsid w:val="0095139B"/>
    <w:rsid w:val="009513E7"/>
    <w:rsid w:val="009513ED"/>
    <w:rsid w:val="00951411"/>
    <w:rsid w:val="0095141C"/>
    <w:rsid w:val="00951473"/>
    <w:rsid w:val="00951491"/>
    <w:rsid w:val="009514B0"/>
    <w:rsid w:val="009514F7"/>
    <w:rsid w:val="00951515"/>
    <w:rsid w:val="0095153E"/>
    <w:rsid w:val="0095155E"/>
    <w:rsid w:val="00951574"/>
    <w:rsid w:val="00951592"/>
    <w:rsid w:val="00951619"/>
    <w:rsid w:val="0095162C"/>
    <w:rsid w:val="00951670"/>
    <w:rsid w:val="009516B2"/>
    <w:rsid w:val="009516B8"/>
    <w:rsid w:val="009516C6"/>
    <w:rsid w:val="009516DB"/>
    <w:rsid w:val="009516DD"/>
    <w:rsid w:val="00951743"/>
    <w:rsid w:val="0095177A"/>
    <w:rsid w:val="00951850"/>
    <w:rsid w:val="0095189C"/>
    <w:rsid w:val="009518BF"/>
    <w:rsid w:val="009518D2"/>
    <w:rsid w:val="009518D3"/>
    <w:rsid w:val="009518FC"/>
    <w:rsid w:val="00951968"/>
    <w:rsid w:val="009519A3"/>
    <w:rsid w:val="009519C1"/>
    <w:rsid w:val="009519FD"/>
    <w:rsid w:val="00951A38"/>
    <w:rsid w:val="00951A73"/>
    <w:rsid w:val="00951A85"/>
    <w:rsid w:val="00951AC6"/>
    <w:rsid w:val="00951AF0"/>
    <w:rsid w:val="00951B53"/>
    <w:rsid w:val="00951B78"/>
    <w:rsid w:val="00951BBC"/>
    <w:rsid w:val="00951BCD"/>
    <w:rsid w:val="00951BE5"/>
    <w:rsid w:val="00951BE6"/>
    <w:rsid w:val="00951BF6"/>
    <w:rsid w:val="00951BFF"/>
    <w:rsid w:val="00951CA3"/>
    <w:rsid w:val="00951CB6"/>
    <w:rsid w:val="00951CBF"/>
    <w:rsid w:val="00951CC6"/>
    <w:rsid w:val="00951D1A"/>
    <w:rsid w:val="00951D3A"/>
    <w:rsid w:val="00951D88"/>
    <w:rsid w:val="00951DC5"/>
    <w:rsid w:val="00951E05"/>
    <w:rsid w:val="00951E2D"/>
    <w:rsid w:val="00951E90"/>
    <w:rsid w:val="00951ED5"/>
    <w:rsid w:val="00951EDD"/>
    <w:rsid w:val="00951EFB"/>
    <w:rsid w:val="00951F27"/>
    <w:rsid w:val="00951F62"/>
    <w:rsid w:val="00951F95"/>
    <w:rsid w:val="00951F99"/>
    <w:rsid w:val="00951FA9"/>
    <w:rsid w:val="00952036"/>
    <w:rsid w:val="0095204F"/>
    <w:rsid w:val="00952079"/>
    <w:rsid w:val="009520A3"/>
    <w:rsid w:val="009520A4"/>
    <w:rsid w:val="009520C8"/>
    <w:rsid w:val="0095211C"/>
    <w:rsid w:val="0095213F"/>
    <w:rsid w:val="0095215C"/>
    <w:rsid w:val="0095225F"/>
    <w:rsid w:val="00952278"/>
    <w:rsid w:val="00952283"/>
    <w:rsid w:val="00952347"/>
    <w:rsid w:val="00952362"/>
    <w:rsid w:val="009523C8"/>
    <w:rsid w:val="009523E3"/>
    <w:rsid w:val="009523FB"/>
    <w:rsid w:val="00952421"/>
    <w:rsid w:val="0095245D"/>
    <w:rsid w:val="0095250D"/>
    <w:rsid w:val="00952540"/>
    <w:rsid w:val="00952574"/>
    <w:rsid w:val="00952587"/>
    <w:rsid w:val="009525FB"/>
    <w:rsid w:val="00952610"/>
    <w:rsid w:val="00952653"/>
    <w:rsid w:val="0095265C"/>
    <w:rsid w:val="0095269D"/>
    <w:rsid w:val="009526B8"/>
    <w:rsid w:val="009526D0"/>
    <w:rsid w:val="00952761"/>
    <w:rsid w:val="00952778"/>
    <w:rsid w:val="0095279C"/>
    <w:rsid w:val="009527AC"/>
    <w:rsid w:val="00952842"/>
    <w:rsid w:val="0095285E"/>
    <w:rsid w:val="00952863"/>
    <w:rsid w:val="00952878"/>
    <w:rsid w:val="00952899"/>
    <w:rsid w:val="009528C8"/>
    <w:rsid w:val="00952931"/>
    <w:rsid w:val="0095295F"/>
    <w:rsid w:val="00952961"/>
    <w:rsid w:val="009529A2"/>
    <w:rsid w:val="009529D9"/>
    <w:rsid w:val="00952A2A"/>
    <w:rsid w:val="00952A64"/>
    <w:rsid w:val="00952A8A"/>
    <w:rsid w:val="00952A93"/>
    <w:rsid w:val="00952AB3"/>
    <w:rsid w:val="00952AB4"/>
    <w:rsid w:val="00952AE1"/>
    <w:rsid w:val="00952B70"/>
    <w:rsid w:val="00952B92"/>
    <w:rsid w:val="00952B99"/>
    <w:rsid w:val="00952B9B"/>
    <w:rsid w:val="00952C62"/>
    <w:rsid w:val="00952CA2"/>
    <w:rsid w:val="00952CD1"/>
    <w:rsid w:val="00952D1A"/>
    <w:rsid w:val="00952D77"/>
    <w:rsid w:val="00952DE7"/>
    <w:rsid w:val="00952E35"/>
    <w:rsid w:val="00952E59"/>
    <w:rsid w:val="00952E91"/>
    <w:rsid w:val="00952F16"/>
    <w:rsid w:val="00952F4D"/>
    <w:rsid w:val="00952F7C"/>
    <w:rsid w:val="00952FB9"/>
    <w:rsid w:val="00952FF7"/>
    <w:rsid w:val="00953009"/>
    <w:rsid w:val="0095302E"/>
    <w:rsid w:val="0095308E"/>
    <w:rsid w:val="009530D1"/>
    <w:rsid w:val="00953112"/>
    <w:rsid w:val="00953164"/>
    <w:rsid w:val="0095321D"/>
    <w:rsid w:val="00953289"/>
    <w:rsid w:val="0095328B"/>
    <w:rsid w:val="009532A4"/>
    <w:rsid w:val="00953307"/>
    <w:rsid w:val="00953327"/>
    <w:rsid w:val="0095332E"/>
    <w:rsid w:val="0095333C"/>
    <w:rsid w:val="009533E4"/>
    <w:rsid w:val="009533F0"/>
    <w:rsid w:val="009533FF"/>
    <w:rsid w:val="00953460"/>
    <w:rsid w:val="009534D8"/>
    <w:rsid w:val="0095350A"/>
    <w:rsid w:val="00953597"/>
    <w:rsid w:val="009535C7"/>
    <w:rsid w:val="0095360F"/>
    <w:rsid w:val="0095363F"/>
    <w:rsid w:val="00953650"/>
    <w:rsid w:val="00953665"/>
    <w:rsid w:val="00953691"/>
    <w:rsid w:val="009536C9"/>
    <w:rsid w:val="009536CA"/>
    <w:rsid w:val="009536D9"/>
    <w:rsid w:val="009536E2"/>
    <w:rsid w:val="0095379D"/>
    <w:rsid w:val="00953855"/>
    <w:rsid w:val="00953899"/>
    <w:rsid w:val="009538C8"/>
    <w:rsid w:val="00953982"/>
    <w:rsid w:val="00953991"/>
    <w:rsid w:val="00953994"/>
    <w:rsid w:val="00953999"/>
    <w:rsid w:val="00953A17"/>
    <w:rsid w:val="00953A91"/>
    <w:rsid w:val="00953AAB"/>
    <w:rsid w:val="00953AEB"/>
    <w:rsid w:val="00953AEE"/>
    <w:rsid w:val="00953B7F"/>
    <w:rsid w:val="00953B92"/>
    <w:rsid w:val="00953BFD"/>
    <w:rsid w:val="00953C20"/>
    <w:rsid w:val="00953C24"/>
    <w:rsid w:val="00953C41"/>
    <w:rsid w:val="00953C6E"/>
    <w:rsid w:val="00953D43"/>
    <w:rsid w:val="00953D6A"/>
    <w:rsid w:val="00953D6E"/>
    <w:rsid w:val="00953DA3"/>
    <w:rsid w:val="00953DC5"/>
    <w:rsid w:val="00953DE5"/>
    <w:rsid w:val="00953DFB"/>
    <w:rsid w:val="00953DFF"/>
    <w:rsid w:val="00953E1F"/>
    <w:rsid w:val="00953E3D"/>
    <w:rsid w:val="00953E6E"/>
    <w:rsid w:val="00953EAD"/>
    <w:rsid w:val="00953EB8"/>
    <w:rsid w:val="00953EE3"/>
    <w:rsid w:val="00953F6E"/>
    <w:rsid w:val="00953FD2"/>
    <w:rsid w:val="00954000"/>
    <w:rsid w:val="00954018"/>
    <w:rsid w:val="0095402C"/>
    <w:rsid w:val="00954043"/>
    <w:rsid w:val="00954047"/>
    <w:rsid w:val="00954107"/>
    <w:rsid w:val="00954156"/>
    <w:rsid w:val="009541BA"/>
    <w:rsid w:val="009541C8"/>
    <w:rsid w:val="009541EA"/>
    <w:rsid w:val="009542F1"/>
    <w:rsid w:val="00954383"/>
    <w:rsid w:val="00954406"/>
    <w:rsid w:val="0095441A"/>
    <w:rsid w:val="00954428"/>
    <w:rsid w:val="0095447F"/>
    <w:rsid w:val="009544AB"/>
    <w:rsid w:val="009544F0"/>
    <w:rsid w:val="00954543"/>
    <w:rsid w:val="00954568"/>
    <w:rsid w:val="00954577"/>
    <w:rsid w:val="009545BD"/>
    <w:rsid w:val="009545C4"/>
    <w:rsid w:val="0095465F"/>
    <w:rsid w:val="009546EC"/>
    <w:rsid w:val="0095475F"/>
    <w:rsid w:val="00954766"/>
    <w:rsid w:val="009547FA"/>
    <w:rsid w:val="00954819"/>
    <w:rsid w:val="00954845"/>
    <w:rsid w:val="00954850"/>
    <w:rsid w:val="00954867"/>
    <w:rsid w:val="00954893"/>
    <w:rsid w:val="009548DD"/>
    <w:rsid w:val="009548E1"/>
    <w:rsid w:val="0095490E"/>
    <w:rsid w:val="00954916"/>
    <w:rsid w:val="00954942"/>
    <w:rsid w:val="0095494A"/>
    <w:rsid w:val="00954966"/>
    <w:rsid w:val="009549A7"/>
    <w:rsid w:val="00954A06"/>
    <w:rsid w:val="00954A31"/>
    <w:rsid w:val="00954AB9"/>
    <w:rsid w:val="00954ABC"/>
    <w:rsid w:val="00954B29"/>
    <w:rsid w:val="00954B67"/>
    <w:rsid w:val="00954BC0"/>
    <w:rsid w:val="00954BD3"/>
    <w:rsid w:val="00954BE3"/>
    <w:rsid w:val="00954C47"/>
    <w:rsid w:val="00954C60"/>
    <w:rsid w:val="00954C8E"/>
    <w:rsid w:val="00954CE8"/>
    <w:rsid w:val="00954D9E"/>
    <w:rsid w:val="00954DB1"/>
    <w:rsid w:val="00954DB4"/>
    <w:rsid w:val="00954DE6"/>
    <w:rsid w:val="00954E4F"/>
    <w:rsid w:val="00954EB6"/>
    <w:rsid w:val="00954EBB"/>
    <w:rsid w:val="00954EC7"/>
    <w:rsid w:val="00954FE3"/>
    <w:rsid w:val="00955033"/>
    <w:rsid w:val="00955056"/>
    <w:rsid w:val="0095506A"/>
    <w:rsid w:val="009550CA"/>
    <w:rsid w:val="009550D9"/>
    <w:rsid w:val="009550DD"/>
    <w:rsid w:val="00955104"/>
    <w:rsid w:val="00955281"/>
    <w:rsid w:val="00955290"/>
    <w:rsid w:val="00955292"/>
    <w:rsid w:val="00955295"/>
    <w:rsid w:val="0095529E"/>
    <w:rsid w:val="009552AD"/>
    <w:rsid w:val="009552C7"/>
    <w:rsid w:val="00955309"/>
    <w:rsid w:val="00955340"/>
    <w:rsid w:val="00955342"/>
    <w:rsid w:val="00955384"/>
    <w:rsid w:val="009553B6"/>
    <w:rsid w:val="00955400"/>
    <w:rsid w:val="00955407"/>
    <w:rsid w:val="00955411"/>
    <w:rsid w:val="0095542D"/>
    <w:rsid w:val="00955467"/>
    <w:rsid w:val="0095548D"/>
    <w:rsid w:val="00955495"/>
    <w:rsid w:val="0095549D"/>
    <w:rsid w:val="009554A0"/>
    <w:rsid w:val="009554E8"/>
    <w:rsid w:val="009554F2"/>
    <w:rsid w:val="00955547"/>
    <w:rsid w:val="0095554A"/>
    <w:rsid w:val="0095555F"/>
    <w:rsid w:val="00955560"/>
    <w:rsid w:val="009555A0"/>
    <w:rsid w:val="009555A7"/>
    <w:rsid w:val="009556A5"/>
    <w:rsid w:val="009556CB"/>
    <w:rsid w:val="009556DC"/>
    <w:rsid w:val="00955704"/>
    <w:rsid w:val="00955718"/>
    <w:rsid w:val="00955760"/>
    <w:rsid w:val="00955795"/>
    <w:rsid w:val="009557D8"/>
    <w:rsid w:val="0095581F"/>
    <w:rsid w:val="00955827"/>
    <w:rsid w:val="0095587E"/>
    <w:rsid w:val="009558BE"/>
    <w:rsid w:val="009558CC"/>
    <w:rsid w:val="009558D3"/>
    <w:rsid w:val="00955916"/>
    <w:rsid w:val="009559B0"/>
    <w:rsid w:val="009559D8"/>
    <w:rsid w:val="009559E6"/>
    <w:rsid w:val="00955A0D"/>
    <w:rsid w:val="00955A25"/>
    <w:rsid w:val="00955A42"/>
    <w:rsid w:val="00955A68"/>
    <w:rsid w:val="00955A6C"/>
    <w:rsid w:val="00955A87"/>
    <w:rsid w:val="00955A98"/>
    <w:rsid w:val="00955AE8"/>
    <w:rsid w:val="00955B5A"/>
    <w:rsid w:val="00955BFC"/>
    <w:rsid w:val="00955C04"/>
    <w:rsid w:val="00955C0C"/>
    <w:rsid w:val="00955C26"/>
    <w:rsid w:val="00955C28"/>
    <w:rsid w:val="00955C46"/>
    <w:rsid w:val="00955C4A"/>
    <w:rsid w:val="00955CDA"/>
    <w:rsid w:val="00955CDC"/>
    <w:rsid w:val="00955D00"/>
    <w:rsid w:val="00955D07"/>
    <w:rsid w:val="00955D64"/>
    <w:rsid w:val="00955DB3"/>
    <w:rsid w:val="00955DCD"/>
    <w:rsid w:val="00955DEE"/>
    <w:rsid w:val="00955E56"/>
    <w:rsid w:val="00955E85"/>
    <w:rsid w:val="00955ED2"/>
    <w:rsid w:val="00955F0D"/>
    <w:rsid w:val="00955F24"/>
    <w:rsid w:val="00955F28"/>
    <w:rsid w:val="00955F48"/>
    <w:rsid w:val="00955F63"/>
    <w:rsid w:val="00955F77"/>
    <w:rsid w:val="00955F98"/>
    <w:rsid w:val="00955FAE"/>
    <w:rsid w:val="00955FDE"/>
    <w:rsid w:val="00956061"/>
    <w:rsid w:val="0095608C"/>
    <w:rsid w:val="0095611D"/>
    <w:rsid w:val="00956190"/>
    <w:rsid w:val="009561C7"/>
    <w:rsid w:val="00956221"/>
    <w:rsid w:val="0095622A"/>
    <w:rsid w:val="00956244"/>
    <w:rsid w:val="0095627B"/>
    <w:rsid w:val="0095629F"/>
    <w:rsid w:val="00956305"/>
    <w:rsid w:val="00956388"/>
    <w:rsid w:val="009563CE"/>
    <w:rsid w:val="00956406"/>
    <w:rsid w:val="00956440"/>
    <w:rsid w:val="00956456"/>
    <w:rsid w:val="0095645E"/>
    <w:rsid w:val="009564EC"/>
    <w:rsid w:val="0095652A"/>
    <w:rsid w:val="0095659C"/>
    <w:rsid w:val="0095660D"/>
    <w:rsid w:val="009566F1"/>
    <w:rsid w:val="00956728"/>
    <w:rsid w:val="00956744"/>
    <w:rsid w:val="009567D3"/>
    <w:rsid w:val="009567DA"/>
    <w:rsid w:val="00956809"/>
    <w:rsid w:val="0095681E"/>
    <w:rsid w:val="0095682E"/>
    <w:rsid w:val="00956879"/>
    <w:rsid w:val="009568DC"/>
    <w:rsid w:val="00956902"/>
    <w:rsid w:val="00956931"/>
    <w:rsid w:val="00956950"/>
    <w:rsid w:val="00956A1E"/>
    <w:rsid w:val="00956A34"/>
    <w:rsid w:val="00956A4C"/>
    <w:rsid w:val="00956A59"/>
    <w:rsid w:val="00956A8A"/>
    <w:rsid w:val="00956AA8"/>
    <w:rsid w:val="00956ACB"/>
    <w:rsid w:val="00956AD3"/>
    <w:rsid w:val="00956BCA"/>
    <w:rsid w:val="00956C41"/>
    <w:rsid w:val="00956C5D"/>
    <w:rsid w:val="00956CAE"/>
    <w:rsid w:val="00956CBD"/>
    <w:rsid w:val="00956D01"/>
    <w:rsid w:val="00956DEF"/>
    <w:rsid w:val="00956E40"/>
    <w:rsid w:val="00956E6B"/>
    <w:rsid w:val="00956EAD"/>
    <w:rsid w:val="00956EC4"/>
    <w:rsid w:val="00956EC6"/>
    <w:rsid w:val="00956F1E"/>
    <w:rsid w:val="00956F2E"/>
    <w:rsid w:val="00956F45"/>
    <w:rsid w:val="00956F56"/>
    <w:rsid w:val="00956F78"/>
    <w:rsid w:val="00956F90"/>
    <w:rsid w:val="00956FAE"/>
    <w:rsid w:val="00956FD1"/>
    <w:rsid w:val="0095703F"/>
    <w:rsid w:val="00957047"/>
    <w:rsid w:val="0095715B"/>
    <w:rsid w:val="009571F8"/>
    <w:rsid w:val="009571FC"/>
    <w:rsid w:val="00957218"/>
    <w:rsid w:val="00957241"/>
    <w:rsid w:val="00957348"/>
    <w:rsid w:val="00957354"/>
    <w:rsid w:val="009573A1"/>
    <w:rsid w:val="009573AB"/>
    <w:rsid w:val="00957458"/>
    <w:rsid w:val="00957488"/>
    <w:rsid w:val="009574C8"/>
    <w:rsid w:val="009574ED"/>
    <w:rsid w:val="009574FE"/>
    <w:rsid w:val="00957599"/>
    <w:rsid w:val="009575B9"/>
    <w:rsid w:val="009575DE"/>
    <w:rsid w:val="009575E3"/>
    <w:rsid w:val="0095762E"/>
    <w:rsid w:val="00957635"/>
    <w:rsid w:val="0095768E"/>
    <w:rsid w:val="009576AA"/>
    <w:rsid w:val="009576E0"/>
    <w:rsid w:val="009576FB"/>
    <w:rsid w:val="009576FC"/>
    <w:rsid w:val="00957703"/>
    <w:rsid w:val="00957707"/>
    <w:rsid w:val="00957709"/>
    <w:rsid w:val="00957726"/>
    <w:rsid w:val="00957744"/>
    <w:rsid w:val="00957749"/>
    <w:rsid w:val="00957779"/>
    <w:rsid w:val="0095777C"/>
    <w:rsid w:val="00957781"/>
    <w:rsid w:val="00957792"/>
    <w:rsid w:val="009577F5"/>
    <w:rsid w:val="00957800"/>
    <w:rsid w:val="0095780B"/>
    <w:rsid w:val="00957831"/>
    <w:rsid w:val="00957832"/>
    <w:rsid w:val="009579E3"/>
    <w:rsid w:val="00957A95"/>
    <w:rsid w:val="00957AB4"/>
    <w:rsid w:val="00957AE4"/>
    <w:rsid w:val="00957B3B"/>
    <w:rsid w:val="00957B42"/>
    <w:rsid w:val="00957B4B"/>
    <w:rsid w:val="00957B4F"/>
    <w:rsid w:val="00957B81"/>
    <w:rsid w:val="00957BCF"/>
    <w:rsid w:val="00957BEB"/>
    <w:rsid w:val="00957BF0"/>
    <w:rsid w:val="00957C16"/>
    <w:rsid w:val="00957C76"/>
    <w:rsid w:val="00957CF8"/>
    <w:rsid w:val="00957D1E"/>
    <w:rsid w:val="00957D20"/>
    <w:rsid w:val="00957D2D"/>
    <w:rsid w:val="00957DB0"/>
    <w:rsid w:val="00957DBC"/>
    <w:rsid w:val="00957DE2"/>
    <w:rsid w:val="00957DFC"/>
    <w:rsid w:val="00957E04"/>
    <w:rsid w:val="00957E23"/>
    <w:rsid w:val="00957E2B"/>
    <w:rsid w:val="00957E68"/>
    <w:rsid w:val="00957E88"/>
    <w:rsid w:val="00957F6E"/>
    <w:rsid w:val="0096000F"/>
    <w:rsid w:val="00960027"/>
    <w:rsid w:val="0096002B"/>
    <w:rsid w:val="00960054"/>
    <w:rsid w:val="00960074"/>
    <w:rsid w:val="00960093"/>
    <w:rsid w:val="009600D4"/>
    <w:rsid w:val="0096012C"/>
    <w:rsid w:val="00960276"/>
    <w:rsid w:val="0096027A"/>
    <w:rsid w:val="00960290"/>
    <w:rsid w:val="009602D0"/>
    <w:rsid w:val="00960301"/>
    <w:rsid w:val="0096031C"/>
    <w:rsid w:val="0096031D"/>
    <w:rsid w:val="00960334"/>
    <w:rsid w:val="0096035F"/>
    <w:rsid w:val="00960449"/>
    <w:rsid w:val="00960498"/>
    <w:rsid w:val="009604C5"/>
    <w:rsid w:val="0096054E"/>
    <w:rsid w:val="00960573"/>
    <w:rsid w:val="0096057F"/>
    <w:rsid w:val="00960598"/>
    <w:rsid w:val="0096068C"/>
    <w:rsid w:val="009606DD"/>
    <w:rsid w:val="0096070F"/>
    <w:rsid w:val="00960735"/>
    <w:rsid w:val="009607BA"/>
    <w:rsid w:val="009607BF"/>
    <w:rsid w:val="009607E8"/>
    <w:rsid w:val="00960809"/>
    <w:rsid w:val="00960817"/>
    <w:rsid w:val="00960857"/>
    <w:rsid w:val="00960899"/>
    <w:rsid w:val="009608C5"/>
    <w:rsid w:val="009608D9"/>
    <w:rsid w:val="009608EA"/>
    <w:rsid w:val="0096090A"/>
    <w:rsid w:val="0096091B"/>
    <w:rsid w:val="00960940"/>
    <w:rsid w:val="00960943"/>
    <w:rsid w:val="00960944"/>
    <w:rsid w:val="009609D7"/>
    <w:rsid w:val="009609DC"/>
    <w:rsid w:val="009609ED"/>
    <w:rsid w:val="00960A45"/>
    <w:rsid w:val="00960A86"/>
    <w:rsid w:val="00960B31"/>
    <w:rsid w:val="00960B3E"/>
    <w:rsid w:val="00960B7E"/>
    <w:rsid w:val="00960C39"/>
    <w:rsid w:val="00960C6D"/>
    <w:rsid w:val="00960CBB"/>
    <w:rsid w:val="00960CBE"/>
    <w:rsid w:val="00960CE6"/>
    <w:rsid w:val="00960CFD"/>
    <w:rsid w:val="00960D48"/>
    <w:rsid w:val="00960D53"/>
    <w:rsid w:val="00960DC9"/>
    <w:rsid w:val="00960DF2"/>
    <w:rsid w:val="00960E0F"/>
    <w:rsid w:val="00960E95"/>
    <w:rsid w:val="00960ED0"/>
    <w:rsid w:val="00960F30"/>
    <w:rsid w:val="00960F63"/>
    <w:rsid w:val="00960FEB"/>
    <w:rsid w:val="00961020"/>
    <w:rsid w:val="0096104F"/>
    <w:rsid w:val="0096105B"/>
    <w:rsid w:val="009610AA"/>
    <w:rsid w:val="009610B1"/>
    <w:rsid w:val="009610E5"/>
    <w:rsid w:val="0096112B"/>
    <w:rsid w:val="0096113A"/>
    <w:rsid w:val="0096114F"/>
    <w:rsid w:val="00961158"/>
    <w:rsid w:val="0096118C"/>
    <w:rsid w:val="009611D2"/>
    <w:rsid w:val="009611D3"/>
    <w:rsid w:val="0096123D"/>
    <w:rsid w:val="00961269"/>
    <w:rsid w:val="00961292"/>
    <w:rsid w:val="009612A8"/>
    <w:rsid w:val="009612AD"/>
    <w:rsid w:val="009612B6"/>
    <w:rsid w:val="009612DA"/>
    <w:rsid w:val="0096132E"/>
    <w:rsid w:val="0096139E"/>
    <w:rsid w:val="009613B1"/>
    <w:rsid w:val="009613B5"/>
    <w:rsid w:val="009613EB"/>
    <w:rsid w:val="009613F8"/>
    <w:rsid w:val="00961412"/>
    <w:rsid w:val="00961423"/>
    <w:rsid w:val="0096145A"/>
    <w:rsid w:val="0096145B"/>
    <w:rsid w:val="00961467"/>
    <w:rsid w:val="00961487"/>
    <w:rsid w:val="009614C4"/>
    <w:rsid w:val="00961540"/>
    <w:rsid w:val="00961567"/>
    <w:rsid w:val="009615E6"/>
    <w:rsid w:val="0096164E"/>
    <w:rsid w:val="00961696"/>
    <w:rsid w:val="009616B4"/>
    <w:rsid w:val="009616E9"/>
    <w:rsid w:val="0096176B"/>
    <w:rsid w:val="009617A7"/>
    <w:rsid w:val="009617C2"/>
    <w:rsid w:val="00961813"/>
    <w:rsid w:val="00961890"/>
    <w:rsid w:val="009618A5"/>
    <w:rsid w:val="009618DF"/>
    <w:rsid w:val="00961939"/>
    <w:rsid w:val="0096193F"/>
    <w:rsid w:val="0096197C"/>
    <w:rsid w:val="0096197E"/>
    <w:rsid w:val="0096198F"/>
    <w:rsid w:val="0096199F"/>
    <w:rsid w:val="009619DF"/>
    <w:rsid w:val="00961A4C"/>
    <w:rsid w:val="00961AFA"/>
    <w:rsid w:val="00961B32"/>
    <w:rsid w:val="00961BFA"/>
    <w:rsid w:val="00961C44"/>
    <w:rsid w:val="00961CDA"/>
    <w:rsid w:val="00961CFF"/>
    <w:rsid w:val="00961D5C"/>
    <w:rsid w:val="00961D8E"/>
    <w:rsid w:val="00961DB3"/>
    <w:rsid w:val="00961DE6"/>
    <w:rsid w:val="00961E72"/>
    <w:rsid w:val="00961E9A"/>
    <w:rsid w:val="00961EBA"/>
    <w:rsid w:val="00961ECF"/>
    <w:rsid w:val="00961EDD"/>
    <w:rsid w:val="00961EE2"/>
    <w:rsid w:val="00961F26"/>
    <w:rsid w:val="00961F61"/>
    <w:rsid w:val="00961F71"/>
    <w:rsid w:val="00961FFF"/>
    <w:rsid w:val="0096212F"/>
    <w:rsid w:val="00962146"/>
    <w:rsid w:val="0096215F"/>
    <w:rsid w:val="009621A7"/>
    <w:rsid w:val="009621AA"/>
    <w:rsid w:val="009621F2"/>
    <w:rsid w:val="00962278"/>
    <w:rsid w:val="009622AC"/>
    <w:rsid w:val="009622B5"/>
    <w:rsid w:val="0096230D"/>
    <w:rsid w:val="00962334"/>
    <w:rsid w:val="00962350"/>
    <w:rsid w:val="0096237D"/>
    <w:rsid w:val="0096239E"/>
    <w:rsid w:val="009623DA"/>
    <w:rsid w:val="0096241D"/>
    <w:rsid w:val="00962438"/>
    <w:rsid w:val="0096245E"/>
    <w:rsid w:val="0096247E"/>
    <w:rsid w:val="00962497"/>
    <w:rsid w:val="00962534"/>
    <w:rsid w:val="00962544"/>
    <w:rsid w:val="0096259C"/>
    <w:rsid w:val="009625FD"/>
    <w:rsid w:val="00962637"/>
    <w:rsid w:val="0096263A"/>
    <w:rsid w:val="0096267B"/>
    <w:rsid w:val="009626C2"/>
    <w:rsid w:val="009626D4"/>
    <w:rsid w:val="0096274C"/>
    <w:rsid w:val="00962757"/>
    <w:rsid w:val="00962830"/>
    <w:rsid w:val="00962865"/>
    <w:rsid w:val="00962893"/>
    <w:rsid w:val="009628F5"/>
    <w:rsid w:val="00962975"/>
    <w:rsid w:val="009629E8"/>
    <w:rsid w:val="00962A0C"/>
    <w:rsid w:val="00962AD2"/>
    <w:rsid w:val="00962ADB"/>
    <w:rsid w:val="00962AE1"/>
    <w:rsid w:val="00962B08"/>
    <w:rsid w:val="00962B29"/>
    <w:rsid w:val="00962B73"/>
    <w:rsid w:val="00962B8B"/>
    <w:rsid w:val="00962B8E"/>
    <w:rsid w:val="00962BAC"/>
    <w:rsid w:val="00962BCA"/>
    <w:rsid w:val="00962C19"/>
    <w:rsid w:val="00962C26"/>
    <w:rsid w:val="00962C29"/>
    <w:rsid w:val="00962C3A"/>
    <w:rsid w:val="00962C87"/>
    <w:rsid w:val="00962CEA"/>
    <w:rsid w:val="00962D0C"/>
    <w:rsid w:val="00962D12"/>
    <w:rsid w:val="00962D21"/>
    <w:rsid w:val="00962D46"/>
    <w:rsid w:val="00962D5C"/>
    <w:rsid w:val="00962DA1"/>
    <w:rsid w:val="00962DC7"/>
    <w:rsid w:val="00962DED"/>
    <w:rsid w:val="00962E0F"/>
    <w:rsid w:val="00962E1F"/>
    <w:rsid w:val="00962E27"/>
    <w:rsid w:val="00962ED0"/>
    <w:rsid w:val="00962EE2"/>
    <w:rsid w:val="00962F23"/>
    <w:rsid w:val="00962F32"/>
    <w:rsid w:val="00962F59"/>
    <w:rsid w:val="00962FC0"/>
    <w:rsid w:val="00963019"/>
    <w:rsid w:val="00963029"/>
    <w:rsid w:val="0096302C"/>
    <w:rsid w:val="0096305E"/>
    <w:rsid w:val="00963062"/>
    <w:rsid w:val="009630A2"/>
    <w:rsid w:val="00963107"/>
    <w:rsid w:val="0096310F"/>
    <w:rsid w:val="00963112"/>
    <w:rsid w:val="00963157"/>
    <w:rsid w:val="00963165"/>
    <w:rsid w:val="0096316E"/>
    <w:rsid w:val="009631FA"/>
    <w:rsid w:val="009631FE"/>
    <w:rsid w:val="00963215"/>
    <w:rsid w:val="00963221"/>
    <w:rsid w:val="0096324E"/>
    <w:rsid w:val="009632AD"/>
    <w:rsid w:val="009632EB"/>
    <w:rsid w:val="0096333A"/>
    <w:rsid w:val="009633B8"/>
    <w:rsid w:val="009633BA"/>
    <w:rsid w:val="009633F0"/>
    <w:rsid w:val="00963430"/>
    <w:rsid w:val="0096343D"/>
    <w:rsid w:val="009634C6"/>
    <w:rsid w:val="00963501"/>
    <w:rsid w:val="00963584"/>
    <w:rsid w:val="009635AA"/>
    <w:rsid w:val="00963604"/>
    <w:rsid w:val="00963647"/>
    <w:rsid w:val="00963670"/>
    <w:rsid w:val="0096368C"/>
    <w:rsid w:val="009636DC"/>
    <w:rsid w:val="009636E0"/>
    <w:rsid w:val="009636EE"/>
    <w:rsid w:val="0096373A"/>
    <w:rsid w:val="00963795"/>
    <w:rsid w:val="009637A9"/>
    <w:rsid w:val="009637BC"/>
    <w:rsid w:val="009637E5"/>
    <w:rsid w:val="00963883"/>
    <w:rsid w:val="0096389B"/>
    <w:rsid w:val="009638C8"/>
    <w:rsid w:val="00963907"/>
    <w:rsid w:val="00963920"/>
    <w:rsid w:val="00963937"/>
    <w:rsid w:val="0096394B"/>
    <w:rsid w:val="0096398C"/>
    <w:rsid w:val="00963A06"/>
    <w:rsid w:val="00963A22"/>
    <w:rsid w:val="00963A36"/>
    <w:rsid w:val="00963A57"/>
    <w:rsid w:val="00963A7D"/>
    <w:rsid w:val="00963AA7"/>
    <w:rsid w:val="00963AA8"/>
    <w:rsid w:val="00963AE6"/>
    <w:rsid w:val="00963B2B"/>
    <w:rsid w:val="00963B4D"/>
    <w:rsid w:val="00963B82"/>
    <w:rsid w:val="00963BBD"/>
    <w:rsid w:val="00963BD8"/>
    <w:rsid w:val="00963BDE"/>
    <w:rsid w:val="00963C00"/>
    <w:rsid w:val="00963C69"/>
    <w:rsid w:val="00963D96"/>
    <w:rsid w:val="00963E3A"/>
    <w:rsid w:val="00963E95"/>
    <w:rsid w:val="00963E96"/>
    <w:rsid w:val="00963ECE"/>
    <w:rsid w:val="00963ED5"/>
    <w:rsid w:val="00963EE8"/>
    <w:rsid w:val="00963F06"/>
    <w:rsid w:val="00963F31"/>
    <w:rsid w:val="00963F68"/>
    <w:rsid w:val="00963FC5"/>
    <w:rsid w:val="00963FD9"/>
    <w:rsid w:val="00963FE5"/>
    <w:rsid w:val="0096403A"/>
    <w:rsid w:val="00964046"/>
    <w:rsid w:val="009640A2"/>
    <w:rsid w:val="009641CC"/>
    <w:rsid w:val="009641DD"/>
    <w:rsid w:val="009641E2"/>
    <w:rsid w:val="00964200"/>
    <w:rsid w:val="00964201"/>
    <w:rsid w:val="0096423A"/>
    <w:rsid w:val="0096424B"/>
    <w:rsid w:val="0096429C"/>
    <w:rsid w:val="009642AA"/>
    <w:rsid w:val="009642C3"/>
    <w:rsid w:val="009642FF"/>
    <w:rsid w:val="0096431F"/>
    <w:rsid w:val="0096435C"/>
    <w:rsid w:val="00964381"/>
    <w:rsid w:val="00964431"/>
    <w:rsid w:val="00964432"/>
    <w:rsid w:val="0096443E"/>
    <w:rsid w:val="00964463"/>
    <w:rsid w:val="0096449A"/>
    <w:rsid w:val="009644F2"/>
    <w:rsid w:val="00964634"/>
    <w:rsid w:val="00964640"/>
    <w:rsid w:val="009646AE"/>
    <w:rsid w:val="009646B2"/>
    <w:rsid w:val="009646BE"/>
    <w:rsid w:val="009646DB"/>
    <w:rsid w:val="0096470A"/>
    <w:rsid w:val="00964723"/>
    <w:rsid w:val="00964730"/>
    <w:rsid w:val="0096474E"/>
    <w:rsid w:val="0096475E"/>
    <w:rsid w:val="00964787"/>
    <w:rsid w:val="009647BA"/>
    <w:rsid w:val="009647EB"/>
    <w:rsid w:val="00964853"/>
    <w:rsid w:val="0096487D"/>
    <w:rsid w:val="00964890"/>
    <w:rsid w:val="009648A1"/>
    <w:rsid w:val="009648A9"/>
    <w:rsid w:val="009648C5"/>
    <w:rsid w:val="009648E5"/>
    <w:rsid w:val="009648EF"/>
    <w:rsid w:val="0096493B"/>
    <w:rsid w:val="00964941"/>
    <w:rsid w:val="0096494E"/>
    <w:rsid w:val="00964960"/>
    <w:rsid w:val="00964A84"/>
    <w:rsid w:val="00964AA0"/>
    <w:rsid w:val="00964AA9"/>
    <w:rsid w:val="00964AC5"/>
    <w:rsid w:val="00964AD0"/>
    <w:rsid w:val="00964AFD"/>
    <w:rsid w:val="00964B14"/>
    <w:rsid w:val="00964B20"/>
    <w:rsid w:val="00964B34"/>
    <w:rsid w:val="00964BFC"/>
    <w:rsid w:val="00964C06"/>
    <w:rsid w:val="00964C82"/>
    <w:rsid w:val="00964CA1"/>
    <w:rsid w:val="00964CF6"/>
    <w:rsid w:val="00964D02"/>
    <w:rsid w:val="00964D1C"/>
    <w:rsid w:val="00964D76"/>
    <w:rsid w:val="00964D9E"/>
    <w:rsid w:val="00964DAB"/>
    <w:rsid w:val="00964DE9"/>
    <w:rsid w:val="00964E3D"/>
    <w:rsid w:val="00964ED9"/>
    <w:rsid w:val="00964F32"/>
    <w:rsid w:val="00964F53"/>
    <w:rsid w:val="00964F56"/>
    <w:rsid w:val="00964FD6"/>
    <w:rsid w:val="00964FDA"/>
    <w:rsid w:val="0096501F"/>
    <w:rsid w:val="00965077"/>
    <w:rsid w:val="0096508E"/>
    <w:rsid w:val="00965095"/>
    <w:rsid w:val="009650D0"/>
    <w:rsid w:val="009650E2"/>
    <w:rsid w:val="0096516E"/>
    <w:rsid w:val="009651CB"/>
    <w:rsid w:val="009651D2"/>
    <w:rsid w:val="009651DA"/>
    <w:rsid w:val="00965212"/>
    <w:rsid w:val="00965220"/>
    <w:rsid w:val="0096527C"/>
    <w:rsid w:val="009652BE"/>
    <w:rsid w:val="009652E6"/>
    <w:rsid w:val="0096534C"/>
    <w:rsid w:val="009653B1"/>
    <w:rsid w:val="009653DF"/>
    <w:rsid w:val="009653F0"/>
    <w:rsid w:val="0096541E"/>
    <w:rsid w:val="0096545C"/>
    <w:rsid w:val="0096549D"/>
    <w:rsid w:val="009654BA"/>
    <w:rsid w:val="009654DE"/>
    <w:rsid w:val="0096550B"/>
    <w:rsid w:val="009655BE"/>
    <w:rsid w:val="009655EF"/>
    <w:rsid w:val="00965668"/>
    <w:rsid w:val="0096568C"/>
    <w:rsid w:val="009656F1"/>
    <w:rsid w:val="0096571F"/>
    <w:rsid w:val="00965731"/>
    <w:rsid w:val="0096575A"/>
    <w:rsid w:val="00965778"/>
    <w:rsid w:val="009657DB"/>
    <w:rsid w:val="00965853"/>
    <w:rsid w:val="0096587F"/>
    <w:rsid w:val="009658D7"/>
    <w:rsid w:val="00965949"/>
    <w:rsid w:val="009659A0"/>
    <w:rsid w:val="009659C9"/>
    <w:rsid w:val="009659CB"/>
    <w:rsid w:val="009659D0"/>
    <w:rsid w:val="009659F8"/>
    <w:rsid w:val="00965A16"/>
    <w:rsid w:val="00965A24"/>
    <w:rsid w:val="00965B24"/>
    <w:rsid w:val="00965B2E"/>
    <w:rsid w:val="00965B2F"/>
    <w:rsid w:val="00965B3D"/>
    <w:rsid w:val="00965B80"/>
    <w:rsid w:val="00965BBD"/>
    <w:rsid w:val="00965BE5"/>
    <w:rsid w:val="00965C89"/>
    <w:rsid w:val="00965CCE"/>
    <w:rsid w:val="00965D0C"/>
    <w:rsid w:val="00965D24"/>
    <w:rsid w:val="00965D7E"/>
    <w:rsid w:val="00965DF2"/>
    <w:rsid w:val="00965E9B"/>
    <w:rsid w:val="00965EC8"/>
    <w:rsid w:val="00965F2B"/>
    <w:rsid w:val="00965F44"/>
    <w:rsid w:val="00965F45"/>
    <w:rsid w:val="00965F53"/>
    <w:rsid w:val="00965FF3"/>
    <w:rsid w:val="00966003"/>
    <w:rsid w:val="00966040"/>
    <w:rsid w:val="00966057"/>
    <w:rsid w:val="00966080"/>
    <w:rsid w:val="009660DE"/>
    <w:rsid w:val="0096611D"/>
    <w:rsid w:val="00966138"/>
    <w:rsid w:val="00966143"/>
    <w:rsid w:val="0096614A"/>
    <w:rsid w:val="00966158"/>
    <w:rsid w:val="00966191"/>
    <w:rsid w:val="0096619E"/>
    <w:rsid w:val="00966265"/>
    <w:rsid w:val="00966267"/>
    <w:rsid w:val="0096627D"/>
    <w:rsid w:val="0096629D"/>
    <w:rsid w:val="009662E7"/>
    <w:rsid w:val="00966321"/>
    <w:rsid w:val="00966392"/>
    <w:rsid w:val="009663CB"/>
    <w:rsid w:val="00966441"/>
    <w:rsid w:val="00966451"/>
    <w:rsid w:val="00966476"/>
    <w:rsid w:val="00966498"/>
    <w:rsid w:val="0096649F"/>
    <w:rsid w:val="009664E4"/>
    <w:rsid w:val="00966542"/>
    <w:rsid w:val="00966546"/>
    <w:rsid w:val="00966557"/>
    <w:rsid w:val="00966580"/>
    <w:rsid w:val="009665A9"/>
    <w:rsid w:val="009665BC"/>
    <w:rsid w:val="009665BE"/>
    <w:rsid w:val="0096668A"/>
    <w:rsid w:val="00966697"/>
    <w:rsid w:val="009666F9"/>
    <w:rsid w:val="009666FB"/>
    <w:rsid w:val="009666FE"/>
    <w:rsid w:val="0096673B"/>
    <w:rsid w:val="00966843"/>
    <w:rsid w:val="0096684C"/>
    <w:rsid w:val="0096684D"/>
    <w:rsid w:val="009668B1"/>
    <w:rsid w:val="00966A3B"/>
    <w:rsid w:val="00966A5E"/>
    <w:rsid w:val="00966AB8"/>
    <w:rsid w:val="00966AD4"/>
    <w:rsid w:val="00966ADE"/>
    <w:rsid w:val="00966B11"/>
    <w:rsid w:val="00966B3A"/>
    <w:rsid w:val="00966BB8"/>
    <w:rsid w:val="00966C3A"/>
    <w:rsid w:val="00966C45"/>
    <w:rsid w:val="00966C99"/>
    <w:rsid w:val="00966CC4"/>
    <w:rsid w:val="00966D69"/>
    <w:rsid w:val="00966DA2"/>
    <w:rsid w:val="00966DAE"/>
    <w:rsid w:val="00966DB7"/>
    <w:rsid w:val="00966DDF"/>
    <w:rsid w:val="00966DF2"/>
    <w:rsid w:val="00966E04"/>
    <w:rsid w:val="00966E1C"/>
    <w:rsid w:val="00966E26"/>
    <w:rsid w:val="00966E27"/>
    <w:rsid w:val="00966E29"/>
    <w:rsid w:val="00966E9B"/>
    <w:rsid w:val="00966E9D"/>
    <w:rsid w:val="00966ED7"/>
    <w:rsid w:val="00966F23"/>
    <w:rsid w:val="00966F39"/>
    <w:rsid w:val="00966F85"/>
    <w:rsid w:val="00967032"/>
    <w:rsid w:val="0096705C"/>
    <w:rsid w:val="00967069"/>
    <w:rsid w:val="009670B5"/>
    <w:rsid w:val="009670CE"/>
    <w:rsid w:val="009670ED"/>
    <w:rsid w:val="00967112"/>
    <w:rsid w:val="00967148"/>
    <w:rsid w:val="0096724A"/>
    <w:rsid w:val="009672BA"/>
    <w:rsid w:val="009672F1"/>
    <w:rsid w:val="009672FF"/>
    <w:rsid w:val="00967333"/>
    <w:rsid w:val="0096734B"/>
    <w:rsid w:val="0096734F"/>
    <w:rsid w:val="00967352"/>
    <w:rsid w:val="00967391"/>
    <w:rsid w:val="009673BC"/>
    <w:rsid w:val="009673C3"/>
    <w:rsid w:val="009673D3"/>
    <w:rsid w:val="0096742F"/>
    <w:rsid w:val="0096744D"/>
    <w:rsid w:val="00967473"/>
    <w:rsid w:val="00967543"/>
    <w:rsid w:val="00967579"/>
    <w:rsid w:val="0096757B"/>
    <w:rsid w:val="009675AA"/>
    <w:rsid w:val="009675CD"/>
    <w:rsid w:val="009675D0"/>
    <w:rsid w:val="009675ED"/>
    <w:rsid w:val="0096764B"/>
    <w:rsid w:val="0096765B"/>
    <w:rsid w:val="0096771C"/>
    <w:rsid w:val="0096771E"/>
    <w:rsid w:val="00967750"/>
    <w:rsid w:val="00967833"/>
    <w:rsid w:val="009678EC"/>
    <w:rsid w:val="00967916"/>
    <w:rsid w:val="0096795E"/>
    <w:rsid w:val="0096797D"/>
    <w:rsid w:val="00967A21"/>
    <w:rsid w:val="00967A28"/>
    <w:rsid w:val="00967A4F"/>
    <w:rsid w:val="00967B0E"/>
    <w:rsid w:val="00967B10"/>
    <w:rsid w:val="00967B34"/>
    <w:rsid w:val="00967B58"/>
    <w:rsid w:val="00967B66"/>
    <w:rsid w:val="00967B72"/>
    <w:rsid w:val="00967BA9"/>
    <w:rsid w:val="00967BB3"/>
    <w:rsid w:val="00967BFC"/>
    <w:rsid w:val="00967C3B"/>
    <w:rsid w:val="00967C76"/>
    <w:rsid w:val="00967CFD"/>
    <w:rsid w:val="00967D02"/>
    <w:rsid w:val="00967E36"/>
    <w:rsid w:val="00967E74"/>
    <w:rsid w:val="00967E87"/>
    <w:rsid w:val="00967F30"/>
    <w:rsid w:val="00967F33"/>
    <w:rsid w:val="00967F5E"/>
    <w:rsid w:val="00967FDB"/>
    <w:rsid w:val="00970008"/>
    <w:rsid w:val="00970017"/>
    <w:rsid w:val="0097001B"/>
    <w:rsid w:val="0097005F"/>
    <w:rsid w:val="00970064"/>
    <w:rsid w:val="00970072"/>
    <w:rsid w:val="009700BC"/>
    <w:rsid w:val="009700CB"/>
    <w:rsid w:val="009700D4"/>
    <w:rsid w:val="00970120"/>
    <w:rsid w:val="0097012C"/>
    <w:rsid w:val="00970189"/>
    <w:rsid w:val="0097024D"/>
    <w:rsid w:val="00970251"/>
    <w:rsid w:val="009702FE"/>
    <w:rsid w:val="00970346"/>
    <w:rsid w:val="00970372"/>
    <w:rsid w:val="00970395"/>
    <w:rsid w:val="009703B4"/>
    <w:rsid w:val="009703E4"/>
    <w:rsid w:val="0097042A"/>
    <w:rsid w:val="0097042F"/>
    <w:rsid w:val="0097043C"/>
    <w:rsid w:val="0097044B"/>
    <w:rsid w:val="00970455"/>
    <w:rsid w:val="00970462"/>
    <w:rsid w:val="0097049B"/>
    <w:rsid w:val="009704AC"/>
    <w:rsid w:val="009704EF"/>
    <w:rsid w:val="00970505"/>
    <w:rsid w:val="0097054E"/>
    <w:rsid w:val="0097058B"/>
    <w:rsid w:val="009705DA"/>
    <w:rsid w:val="0097060C"/>
    <w:rsid w:val="00970611"/>
    <w:rsid w:val="0097061F"/>
    <w:rsid w:val="0097069D"/>
    <w:rsid w:val="009706DE"/>
    <w:rsid w:val="00970720"/>
    <w:rsid w:val="00970738"/>
    <w:rsid w:val="00970744"/>
    <w:rsid w:val="00970758"/>
    <w:rsid w:val="0097077C"/>
    <w:rsid w:val="0097077F"/>
    <w:rsid w:val="009707F2"/>
    <w:rsid w:val="0097087E"/>
    <w:rsid w:val="009708A3"/>
    <w:rsid w:val="009708A8"/>
    <w:rsid w:val="009708EB"/>
    <w:rsid w:val="009708F8"/>
    <w:rsid w:val="00970909"/>
    <w:rsid w:val="00970927"/>
    <w:rsid w:val="00970950"/>
    <w:rsid w:val="009709F0"/>
    <w:rsid w:val="00970A2E"/>
    <w:rsid w:val="00970AEE"/>
    <w:rsid w:val="00970B50"/>
    <w:rsid w:val="00970BA4"/>
    <w:rsid w:val="00970BB5"/>
    <w:rsid w:val="00970BC4"/>
    <w:rsid w:val="00970C40"/>
    <w:rsid w:val="00970C8A"/>
    <w:rsid w:val="00970CE2"/>
    <w:rsid w:val="00970D11"/>
    <w:rsid w:val="00970D17"/>
    <w:rsid w:val="00970D24"/>
    <w:rsid w:val="00970D71"/>
    <w:rsid w:val="00970D9E"/>
    <w:rsid w:val="00970DA4"/>
    <w:rsid w:val="00970DC2"/>
    <w:rsid w:val="00970E00"/>
    <w:rsid w:val="00970E0F"/>
    <w:rsid w:val="00970E2A"/>
    <w:rsid w:val="00970E4A"/>
    <w:rsid w:val="00970EF1"/>
    <w:rsid w:val="00970F04"/>
    <w:rsid w:val="00970F20"/>
    <w:rsid w:val="00970F65"/>
    <w:rsid w:val="00970F6A"/>
    <w:rsid w:val="00970F86"/>
    <w:rsid w:val="00970FA7"/>
    <w:rsid w:val="00971010"/>
    <w:rsid w:val="00971028"/>
    <w:rsid w:val="00971078"/>
    <w:rsid w:val="009710A2"/>
    <w:rsid w:val="009710AF"/>
    <w:rsid w:val="009710C6"/>
    <w:rsid w:val="009710DB"/>
    <w:rsid w:val="009710F2"/>
    <w:rsid w:val="0097110C"/>
    <w:rsid w:val="009711BB"/>
    <w:rsid w:val="009711E9"/>
    <w:rsid w:val="00971241"/>
    <w:rsid w:val="0097125E"/>
    <w:rsid w:val="0097127F"/>
    <w:rsid w:val="00971287"/>
    <w:rsid w:val="0097129B"/>
    <w:rsid w:val="009712BB"/>
    <w:rsid w:val="00971302"/>
    <w:rsid w:val="0097130D"/>
    <w:rsid w:val="0097132E"/>
    <w:rsid w:val="0097137B"/>
    <w:rsid w:val="0097137C"/>
    <w:rsid w:val="00971394"/>
    <w:rsid w:val="009713CB"/>
    <w:rsid w:val="009713F8"/>
    <w:rsid w:val="00971423"/>
    <w:rsid w:val="00971424"/>
    <w:rsid w:val="009714DD"/>
    <w:rsid w:val="00971501"/>
    <w:rsid w:val="00971504"/>
    <w:rsid w:val="0097156D"/>
    <w:rsid w:val="009715E2"/>
    <w:rsid w:val="00971645"/>
    <w:rsid w:val="0097167D"/>
    <w:rsid w:val="009716CC"/>
    <w:rsid w:val="009716D2"/>
    <w:rsid w:val="009716FC"/>
    <w:rsid w:val="0097181B"/>
    <w:rsid w:val="00971856"/>
    <w:rsid w:val="009718D1"/>
    <w:rsid w:val="0097196B"/>
    <w:rsid w:val="009719D7"/>
    <w:rsid w:val="009719E8"/>
    <w:rsid w:val="009719F1"/>
    <w:rsid w:val="009719FB"/>
    <w:rsid w:val="00971AF8"/>
    <w:rsid w:val="00971AFC"/>
    <w:rsid w:val="00971B28"/>
    <w:rsid w:val="00971BA9"/>
    <w:rsid w:val="00971BE3"/>
    <w:rsid w:val="00971BFF"/>
    <w:rsid w:val="00971C0B"/>
    <w:rsid w:val="00971C5E"/>
    <w:rsid w:val="00971C73"/>
    <w:rsid w:val="00971C93"/>
    <w:rsid w:val="00971CAF"/>
    <w:rsid w:val="00971CCD"/>
    <w:rsid w:val="00971DA9"/>
    <w:rsid w:val="00971E61"/>
    <w:rsid w:val="00971ECB"/>
    <w:rsid w:val="00971ED1"/>
    <w:rsid w:val="00971F1E"/>
    <w:rsid w:val="00971F5A"/>
    <w:rsid w:val="00971FEF"/>
    <w:rsid w:val="00971FF9"/>
    <w:rsid w:val="00972001"/>
    <w:rsid w:val="0097203E"/>
    <w:rsid w:val="009720F6"/>
    <w:rsid w:val="00972157"/>
    <w:rsid w:val="00972171"/>
    <w:rsid w:val="009721B2"/>
    <w:rsid w:val="009721D1"/>
    <w:rsid w:val="00972229"/>
    <w:rsid w:val="0097228C"/>
    <w:rsid w:val="009722BF"/>
    <w:rsid w:val="0097230B"/>
    <w:rsid w:val="00972354"/>
    <w:rsid w:val="00972367"/>
    <w:rsid w:val="0097247A"/>
    <w:rsid w:val="009724EE"/>
    <w:rsid w:val="0097250F"/>
    <w:rsid w:val="00972524"/>
    <w:rsid w:val="0097252E"/>
    <w:rsid w:val="0097254D"/>
    <w:rsid w:val="00972586"/>
    <w:rsid w:val="009725EA"/>
    <w:rsid w:val="00972602"/>
    <w:rsid w:val="00972620"/>
    <w:rsid w:val="0097262E"/>
    <w:rsid w:val="00972684"/>
    <w:rsid w:val="009726A2"/>
    <w:rsid w:val="009726AA"/>
    <w:rsid w:val="009726C2"/>
    <w:rsid w:val="009726CE"/>
    <w:rsid w:val="00972708"/>
    <w:rsid w:val="00972725"/>
    <w:rsid w:val="00972774"/>
    <w:rsid w:val="00972792"/>
    <w:rsid w:val="0097279A"/>
    <w:rsid w:val="009727A6"/>
    <w:rsid w:val="009727A7"/>
    <w:rsid w:val="009727C3"/>
    <w:rsid w:val="009727CB"/>
    <w:rsid w:val="009727D1"/>
    <w:rsid w:val="009727E7"/>
    <w:rsid w:val="0097281D"/>
    <w:rsid w:val="0097286E"/>
    <w:rsid w:val="00972916"/>
    <w:rsid w:val="00972934"/>
    <w:rsid w:val="00972970"/>
    <w:rsid w:val="00972998"/>
    <w:rsid w:val="009729A3"/>
    <w:rsid w:val="00972A16"/>
    <w:rsid w:val="00972A1F"/>
    <w:rsid w:val="00972A27"/>
    <w:rsid w:val="00972A40"/>
    <w:rsid w:val="00972A61"/>
    <w:rsid w:val="00972A94"/>
    <w:rsid w:val="00972AA1"/>
    <w:rsid w:val="00972AAE"/>
    <w:rsid w:val="00972AB0"/>
    <w:rsid w:val="00972AFC"/>
    <w:rsid w:val="00972BBD"/>
    <w:rsid w:val="00972BD8"/>
    <w:rsid w:val="00972BF4"/>
    <w:rsid w:val="00972BF5"/>
    <w:rsid w:val="00972BF9"/>
    <w:rsid w:val="00972BFA"/>
    <w:rsid w:val="00972C0A"/>
    <w:rsid w:val="00972C0E"/>
    <w:rsid w:val="00972C20"/>
    <w:rsid w:val="00972C24"/>
    <w:rsid w:val="00972C47"/>
    <w:rsid w:val="00972C8D"/>
    <w:rsid w:val="00972CC0"/>
    <w:rsid w:val="00972D28"/>
    <w:rsid w:val="00972D51"/>
    <w:rsid w:val="00972D7D"/>
    <w:rsid w:val="00972D83"/>
    <w:rsid w:val="00972D9B"/>
    <w:rsid w:val="00972D9C"/>
    <w:rsid w:val="00972DA7"/>
    <w:rsid w:val="00972DDC"/>
    <w:rsid w:val="00972E12"/>
    <w:rsid w:val="00972E1E"/>
    <w:rsid w:val="00972E98"/>
    <w:rsid w:val="00972ED2"/>
    <w:rsid w:val="00972ED5"/>
    <w:rsid w:val="00972EF9"/>
    <w:rsid w:val="00972F4B"/>
    <w:rsid w:val="00972F8A"/>
    <w:rsid w:val="00972FA6"/>
    <w:rsid w:val="00972FA7"/>
    <w:rsid w:val="00972FA8"/>
    <w:rsid w:val="0097300E"/>
    <w:rsid w:val="0097306A"/>
    <w:rsid w:val="00973078"/>
    <w:rsid w:val="0097309E"/>
    <w:rsid w:val="009730B4"/>
    <w:rsid w:val="009730DB"/>
    <w:rsid w:val="009731A0"/>
    <w:rsid w:val="009731AD"/>
    <w:rsid w:val="009731FE"/>
    <w:rsid w:val="00973227"/>
    <w:rsid w:val="0097325C"/>
    <w:rsid w:val="009732B6"/>
    <w:rsid w:val="009732EC"/>
    <w:rsid w:val="00973329"/>
    <w:rsid w:val="00973333"/>
    <w:rsid w:val="00973361"/>
    <w:rsid w:val="009733D5"/>
    <w:rsid w:val="009733D8"/>
    <w:rsid w:val="00973418"/>
    <w:rsid w:val="0097348B"/>
    <w:rsid w:val="009734B2"/>
    <w:rsid w:val="0097358D"/>
    <w:rsid w:val="009735D4"/>
    <w:rsid w:val="00973620"/>
    <w:rsid w:val="0097362D"/>
    <w:rsid w:val="009736AD"/>
    <w:rsid w:val="009736BB"/>
    <w:rsid w:val="0097371D"/>
    <w:rsid w:val="0097375A"/>
    <w:rsid w:val="009737B4"/>
    <w:rsid w:val="009737D7"/>
    <w:rsid w:val="00973848"/>
    <w:rsid w:val="00973853"/>
    <w:rsid w:val="009738DE"/>
    <w:rsid w:val="009738EF"/>
    <w:rsid w:val="0097391E"/>
    <w:rsid w:val="00973971"/>
    <w:rsid w:val="0097397B"/>
    <w:rsid w:val="009739ED"/>
    <w:rsid w:val="00973A62"/>
    <w:rsid w:val="00973BB1"/>
    <w:rsid w:val="00973BC3"/>
    <w:rsid w:val="00973BD0"/>
    <w:rsid w:val="00973BE5"/>
    <w:rsid w:val="00973BF0"/>
    <w:rsid w:val="00973C11"/>
    <w:rsid w:val="00973C3B"/>
    <w:rsid w:val="00973C45"/>
    <w:rsid w:val="00973C4E"/>
    <w:rsid w:val="00973C95"/>
    <w:rsid w:val="00973CDE"/>
    <w:rsid w:val="00973DEF"/>
    <w:rsid w:val="00973E1C"/>
    <w:rsid w:val="00973E85"/>
    <w:rsid w:val="00973E91"/>
    <w:rsid w:val="00973E96"/>
    <w:rsid w:val="00973EA8"/>
    <w:rsid w:val="00973EBD"/>
    <w:rsid w:val="00973EDE"/>
    <w:rsid w:val="00973EE2"/>
    <w:rsid w:val="00973F09"/>
    <w:rsid w:val="00973FE1"/>
    <w:rsid w:val="00973FFA"/>
    <w:rsid w:val="0097401B"/>
    <w:rsid w:val="0097404C"/>
    <w:rsid w:val="00974050"/>
    <w:rsid w:val="0097406B"/>
    <w:rsid w:val="009740BF"/>
    <w:rsid w:val="009740D1"/>
    <w:rsid w:val="009740D2"/>
    <w:rsid w:val="0097410E"/>
    <w:rsid w:val="0097414C"/>
    <w:rsid w:val="0097415E"/>
    <w:rsid w:val="00974169"/>
    <w:rsid w:val="009741B4"/>
    <w:rsid w:val="0097420C"/>
    <w:rsid w:val="00974244"/>
    <w:rsid w:val="0097432D"/>
    <w:rsid w:val="009743CC"/>
    <w:rsid w:val="009743F9"/>
    <w:rsid w:val="00974424"/>
    <w:rsid w:val="0097443F"/>
    <w:rsid w:val="00974453"/>
    <w:rsid w:val="00974482"/>
    <w:rsid w:val="0097451B"/>
    <w:rsid w:val="0097451C"/>
    <w:rsid w:val="009745BD"/>
    <w:rsid w:val="009745FA"/>
    <w:rsid w:val="0097467D"/>
    <w:rsid w:val="0097468A"/>
    <w:rsid w:val="009746D1"/>
    <w:rsid w:val="009746FF"/>
    <w:rsid w:val="0097470F"/>
    <w:rsid w:val="0097473A"/>
    <w:rsid w:val="009747BD"/>
    <w:rsid w:val="009747FD"/>
    <w:rsid w:val="00974843"/>
    <w:rsid w:val="00974854"/>
    <w:rsid w:val="00974928"/>
    <w:rsid w:val="00974959"/>
    <w:rsid w:val="009749A9"/>
    <w:rsid w:val="00974A79"/>
    <w:rsid w:val="00974ADE"/>
    <w:rsid w:val="00974B1D"/>
    <w:rsid w:val="00974B61"/>
    <w:rsid w:val="00974B96"/>
    <w:rsid w:val="00974B9C"/>
    <w:rsid w:val="00974BA7"/>
    <w:rsid w:val="00974BB0"/>
    <w:rsid w:val="00974C23"/>
    <w:rsid w:val="00974C6D"/>
    <w:rsid w:val="00974C9F"/>
    <w:rsid w:val="00974CFC"/>
    <w:rsid w:val="00974D08"/>
    <w:rsid w:val="00974D4A"/>
    <w:rsid w:val="00974E26"/>
    <w:rsid w:val="00974EF9"/>
    <w:rsid w:val="00974F12"/>
    <w:rsid w:val="00974F3E"/>
    <w:rsid w:val="00974F57"/>
    <w:rsid w:val="00974FA0"/>
    <w:rsid w:val="00974FFA"/>
    <w:rsid w:val="00975006"/>
    <w:rsid w:val="00975030"/>
    <w:rsid w:val="00975084"/>
    <w:rsid w:val="009750A9"/>
    <w:rsid w:val="009750B2"/>
    <w:rsid w:val="00975119"/>
    <w:rsid w:val="0097529E"/>
    <w:rsid w:val="009752A9"/>
    <w:rsid w:val="00975304"/>
    <w:rsid w:val="00975356"/>
    <w:rsid w:val="00975377"/>
    <w:rsid w:val="00975389"/>
    <w:rsid w:val="00975398"/>
    <w:rsid w:val="009753BE"/>
    <w:rsid w:val="009753C3"/>
    <w:rsid w:val="009754A8"/>
    <w:rsid w:val="009754BF"/>
    <w:rsid w:val="009754C6"/>
    <w:rsid w:val="009754FE"/>
    <w:rsid w:val="0097550C"/>
    <w:rsid w:val="00975540"/>
    <w:rsid w:val="00975560"/>
    <w:rsid w:val="009755C5"/>
    <w:rsid w:val="009755C7"/>
    <w:rsid w:val="009755CB"/>
    <w:rsid w:val="009755E8"/>
    <w:rsid w:val="009755FA"/>
    <w:rsid w:val="0097560C"/>
    <w:rsid w:val="00975624"/>
    <w:rsid w:val="0097567B"/>
    <w:rsid w:val="009756C6"/>
    <w:rsid w:val="009756EA"/>
    <w:rsid w:val="0097577A"/>
    <w:rsid w:val="009757C4"/>
    <w:rsid w:val="009757CE"/>
    <w:rsid w:val="009757D5"/>
    <w:rsid w:val="009757DC"/>
    <w:rsid w:val="0097588B"/>
    <w:rsid w:val="009758B3"/>
    <w:rsid w:val="009758D6"/>
    <w:rsid w:val="009758FC"/>
    <w:rsid w:val="00975952"/>
    <w:rsid w:val="00975959"/>
    <w:rsid w:val="00975977"/>
    <w:rsid w:val="00975979"/>
    <w:rsid w:val="009759E1"/>
    <w:rsid w:val="009759FD"/>
    <w:rsid w:val="00975A32"/>
    <w:rsid w:val="00975A5E"/>
    <w:rsid w:val="00975A84"/>
    <w:rsid w:val="00975A94"/>
    <w:rsid w:val="00975AC1"/>
    <w:rsid w:val="00975AD5"/>
    <w:rsid w:val="00975C1D"/>
    <w:rsid w:val="00975C26"/>
    <w:rsid w:val="00975C51"/>
    <w:rsid w:val="00975C76"/>
    <w:rsid w:val="00975CB1"/>
    <w:rsid w:val="00975CE8"/>
    <w:rsid w:val="00975CF4"/>
    <w:rsid w:val="00975D0D"/>
    <w:rsid w:val="00975D24"/>
    <w:rsid w:val="00975D61"/>
    <w:rsid w:val="00975D8A"/>
    <w:rsid w:val="00975D99"/>
    <w:rsid w:val="00975E1C"/>
    <w:rsid w:val="00975E9D"/>
    <w:rsid w:val="00975EA7"/>
    <w:rsid w:val="00975EBC"/>
    <w:rsid w:val="00975EE7"/>
    <w:rsid w:val="00975EEB"/>
    <w:rsid w:val="00975EF1"/>
    <w:rsid w:val="00975EF2"/>
    <w:rsid w:val="00975F50"/>
    <w:rsid w:val="00975F79"/>
    <w:rsid w:val="00975FA8"/>
    <w:rsid w:val="00975FAA"/>
    <w:rsid w:val="00976031"/>
    <w:rsid w:val="009760C0"/>
    <w:rsid w:val="009760CE"/>
    <w:rsid w:val="0097610D"/>
    <w:rsid w:val="00976186"/>
    <w:rsid w:val="009761CE"/>
    <w:rsid w:val="00976239"/>
    <w:rsid w:val="00976338"/>
    <w:rsid w:val="0097633D"/>
    <w:rsid w:val="0097635D"/>
    <w:rsid w:val="00976378"/>
    <w:rsid w:val="0097639D"/>
    <w:rsid w:val="009763AD"/>
    <w:rsid w:val="0097643A"/>
    <w:rsid w:val="00976476"/>
    <w:rsid w:val="009764D0"/>
    <w:rsid w:val="009764E8"/>
    <w:rsid w:val="0097652D"/>
    <w:rsid w:val="0097653D"/>
    <w:rsid w:val="0097656E"/>
    <w:rsid w:val="009765B9"/>
    <w:rsid w:val="0097666A"/>
    <w:rsid w:val="009766A4"/>
    <w:rsid w:val="00976716"/>
    <w:rsid w:val="0097673A"/>
    <w:rsid w:val="0097679C"/>
    <w:rsid w:val="009767CA"/>
    <w:rsid w:val="009767CF"/>
    <w:rsid w:val="00976830"/>
    <w:rsid w:val="0097683E"/>
    <w:rsid w:val="00976842"/>
    <w:rsid w:val="009768EE"/>
    <w:rsid w:val="009768F2"/>
    <w:rsid w:val="00976946"/>
    <w:rsid w:val="0097694B"/>
    <w:rsid w:val="00976964"/>
    <w:rsid w:val="0097696A"/>
    <w:rsid w:val="009769E7"/>
    <w:rsid w:val="00976A0B"/>
    <w:rsid w:val="00976A33"/>
    <w:rsid w:val="00976A5B"/>
    <w:rsid w:val="00976A7B"/>
    <w:rsid w:val="00976AEF"/>
    <w:rsid w:val="00976B09"/>
    <w:rsid w:val="00976B2D"/>
    <w:rsid w:val="00976B69"/>
    <w:rsid w:val="00976BBA"/>
    <w:rsid w:val="00976C2F"/>
    <w:rsid w:val="00976C9C"/>
    <w:rsid w:val="00976D8D"/>
    <w:rsid w:val="00976DB9"/>
    <w:rsid w:val="00976DF6"/>
    <w:rsid w:val="00976E11"/>
    <w:rsid w:val="00976E1C"/>
    <w:rsid w:val="00976F04"/>
    <w:rsid w:val="00976F94"/>
    <w:rsid w:val="00976FBC"/>
    <w:rsid w:val="00976FDF"/>
    <w:rsid w:val="009770B3"/>
    <w:rsid w:val="00977125"/>
    <w:rsid w:val="009771B9"/>
    <w:rsid w:val="009771FF"/>
    <w:rsid w:val="00977242"/>
    <w:rsid w:val="00977249"/>
    <w:rsid w:val="00977256"/>
    <w:rsid w:val="009772DC"/>
    <w:rsid w:val="009773A0"/>
    <w:rsid w:val="00977408"/>
    <w:rsid w:val="00977414"/>
    <w:rsid w:val="00977443"/>
    <w:rsid w:val="0097745C"/>
    <w:rsid w:val="009774C4"/>
    <w:rsid w:val="00977511"/>
    <w:rsid w:val="00977587"/>
    <w:rsid w:val="009775E8"/>
    <w:rsid w:val="009775FA"/>
    <w:rsid w:val="00977601"/>
    <w:rsid w:val="00977637"/>
    <w:rsid w:val="0097765D"/>
    <w:rsid w:val="0097767B"/>
    <w:rsid w:val="0097767C"/>
    <w:rsid w:val="00977685"/>
    <w:rsid w:val="009776B2"/>
    <w:rsid w:val="009776DE"/>
    <w:rsid w:val="0097771B"/>
    <w:rsid w:val="00977762"/>
    <w:rsid w:val="00977783"/>
    <w:rsid w:val="0097779C"/>
    <w:rsid w:val="009777A6"/>
    <w:rsid w:val="009777DC"/>
    <w:rsid w:val="0097782E"/>
    <w:rsid w:val="00977833"/>
    <w:rsid w:val="00977842"/>
    <w:rsid w:val="0097784D"/>
    <w:rsid w:val="00977886"/>
    <w:rsid w:val="009778B5"/>
    <w:rsid w:val="009778FA"/>
    <w:rsid w:val="00977942"/>
    <w:rsid w:val="00977944"/>
    <w:rsid w:val="009779A3"/>
    <w:rsid w:val="009779AE"/>
    <w:rsid w:val="009779B5"/>
    <w:rsid w:val="009779D6"/>
    <w:rsid w:val="009779EA"/>
    <w:rsid w:val="00977A0F"/>
    <w:rsid w:val="00977A35"/>
    <w:rsid w:val="00977A7B"/>
    <w:rsid w:val="00977A92"/>
    <w:rsid w:val="00977A9E"/>
    <w:rsid w:val="00977AB3"/>
    <w:rsid w:val="00977AB9"/>
    <w:rsid w:val="00977B25"/>
    <w:rsid w:val="00977B6D"/>
    <w:rsid w:val="00977C03"/>
    <w:rsid w:val="00977C4D"/>
    <w:rsid w:val="00977C8D"/>
    <w:rsid w:val="00977CA8"/>
    <w:rsid w:val="00977D6E"/>
    <w:rsid w:val="00977D9B"/>
    <w:rsid w:val="00977DEE"/>
    <w:rsid w:val="00977E41"/>
    <w:rsid w:val="00977E55"/>
    <w:rsid w:val="00977E78"/>
    <w:rsid w:val="00977EA3"/>
    <w:rsid w:val="00977ECE"/>
    <w:rsid w:val="00977F6E"/>
    <w:rsid w:val="00977FB0"/>
    <w:rsid w:val="00980056"/>
    <w:rsid w:val="009800E6"/>
    <w:rsid w:val="009800F8"/>
    <w:rsid w:val="0098010B"/>
    <w:rsid w:val="00980141"/>
    <w:rsid w:val="00980143"/>
    <w:rsid w:val="009801B3"/>
    <w:rsid w:val="009801C0"/>
    <w:rsid w:val="009801E1"/>
    <w:rsid w:val="00980262"/>
    <w:rsid w:val="00980278"/>
    <w:rsid w:val="009802D9"/>
    <w:rsid w:val="009802F2"/>
    <w:rsid w:val="00980308"/>
    <w:rsid w:val="0098030A"/>
    <w:rsid w:val="0098030E"/>
    <w:rsid w:val="00980352"/>
    <w:rsid w:val="0098036A"/>
    <w:rsid w:val="00980446"/>
    <w:rsid w:val="00980466"/>
    <w:rsid w:val="0098048B"/>
    <w:rsid w:val="009804DB"/>
    <w:rsid w:val="009804FA"/>
    <w:rsid w:val="00980523"/>
    <w:rsid w:val="0098054E"/>
    <w:rsid w:val="00980597"/>
    <w:rsid w:val="009805B1"/>
    <w:rsid w:val="009805DB"/>
    <w:rsid w:val="009805F2"/>
    <w:rsid w:val="00980631"/>
    <w:rsid w:val="00980671"/>
    <w:rsid w:val="00980678"/>
    <w:rsid w:val="0098069D"/>
    <w:rsid w:val="009806A0"/>
    <w:rsid w:val="00980700"/>
    <w:rsid w:val="0098076F"/>
    <w:rsid w:val="0098077C"/>
    <w:rsid w:val="009807DC"/>
    <w:rsid w:val="00980816"/>
    <w:rsid w:val="00980837"/>
    <w:rsid w:val="00980874"/>
    <w:rsid w:val="00980934"/>
    <w:rsid w:val="00980940"/>
    <w:rsid w:val="0098095B"/>
    <w:rsid w:val="0098099F"/>
    <w:rsid w:val="00980A12"/>
    <w:rsid w:val="00980A46"/>
    <w:rsid w:val="00980A61"/>
    <w:rsid w:val="00980AD7"/>
    <w:rsid w:val="00980B16"/>
    <w:rsid w:val="00980B2D"/>
    <w:rsid w:val="00980B33"/>
    <w:rsid w:val="00980B63"/>
    <w:rsid w:val="00980B69"/>
    <w:rsid w:val="00980BC1"/>
    <w:rsid w:val="00980BDA"/>
    <w:rsid w:val="00980C32"/>
    <w:rsid w:val="00980C92"/>
    <w:rsid w:val="00980C9D"/>
    <w:rsid w:val="00980CCD"/>
    <w:rsid w:val="00980D45"/>
    <w:rsid w:val="00980D89"/>
    <w:rsid w:val="00980DA1"/>
    <w:rsid w:val="00980DE8"/>
    <w:rsid w:val="00980E50"/>
    <w:rsid w:val="00980EAA"/>
    <w:rsid w:val="00980EC8"/>
    <w:rsid w:val="00980ED9"/>
    <w:rsid w:val="00980EEC"/>
    <w:rsid w:val="00980F00"/>
    <w:rsid w:val="00980F2A"/>
    <w:rsid w:val="00980F31"/>
    <w:rsid w:val="00980F5C"/>
    <w:rsid w:val="00980F8F"/>
    <w:rsid w:val="00980FAE"/>
    <w:rsid w:val="00981010"/>
    <w:rsid w:val="00981073"/>
    <w:rsid w:val="00981106"/>
    <w:rsid w:val="0098116E"/>
    <w:rsid w:val="0098119B"/>
    <w:rsid w:val="009811C1"/>
    <w:rsid w:val="009811CE"/>
    <w:rsid w:val="0098120C"/>
    <w:rsid w:val="00981220"/>
    <w:rsid w:val="00981223"/>
    <w:rsid w:val="00981260"/>
    <w:rsid w:val="009812BB"/>
    <w:rsid w:val="009812CD"/>
    <w:rsid w:val="00981359"/>
    <w:rsid w:val="0098139A"/>
    <w:rsid w:val="009813D2"/>
    <w:rsid w:val="009813E5"/>
    <w:rsid w:val="009814C7"/>
    <w:rsid w:val="009814E9"/>
    <w:rsid w:val="00981524"/>
    <w:rsid w:val="0098159A"/>
    <w:rsid w:val="00981616"/>
    <w:rsid w:val="009816B4"/>
    <w:rsid w:val="009816CB"/>
    <w:rsid w:val="0098170B"/>
    <w:rsid w:val="0098173D"/>
    <w:rsid w:val="009817A0"/>
    <w:rsid w:val="009817B8"/>
    <w:rsid w:val="00981806"/>
    <w:rsid w:val="0098182A"/>
    <w:rsid w:val="0098184F"/>
    <w:rsid w:val="009818A6"/>
    <w:rsid w:val="009818CF"/>
    <w:rsid w:val="0098194C"/>
    <w:rsid w:val="009819EF"/>
    <w:rsid w:val="00981A15"/>
    <w:rsid w:val="00981A50"/>
    <w:rsid w:val="00981A75"/>
    <w:rsid w:val="00981A8F"/>
    <w:rsid w:val="00981AC7"/>
    <w:rsid w:val="00981ADA"/>
    <w:rsid w:val="00981ADB"/>
    <w:rsid w:val="00981B01"/>
    <w:rsid w:val="00981B80"/>
    <w:rsid w:val="00981B9C"/>
    <w:rsid w:val="00981BED"/>
    <w:rsid w:val="00981BF5"/>
    <w:rsid w:val="00981C1B"/>
    <w:rsid w:val="00981C21"/>
    <w:rsid w:val="00981C3A"/>
    <w:rsid w:val="00981C5B"/>
    <w:rsid w:val="00981C9A"/>
    <w:rsid w:val="00981CA4"/>
    <w:rsid w:val="00981CD3"/>
    <w:rsid w:val="00981CDA"/>
    <w:rsid w:val="00981CEB"/>
    <w:rsid w:val="00981D0C"/>
    <w:rsid w:val="00981D2C"/>
    <w:rsid w:val="00981D72"/>
    <w:rsid w:val="00981DCE"/>
    <w:rsid w:val="00981E11"/>
    <w:rsid w:val="00981E74"/>
    <w:rsid w:val="00981E7B"/>
    <w:rsid w:val="00981E82"/>
    <w:rsid w:val="00981E8A"/>
    <w:rsid w:val="00981EB9"/>
    <w:rsid w:val="00981F32"/>
    <w:rsid w:val="00981F6D"/>
    <w:rsid w:val="00981F83"/>
    <w:rsid w:val="00981FB9"/>
    <w:rsid w:val="00981FFC"/>
    <w:rsid w:val="0098200E"/>
    <w:rsid w:val="00982023"/>
    <w:rsid w:val="0098202E"/>
    <w:rsid w:val="0098206F"/>
    <w:rsid w:val="009820CC"/>
    <w:rsid w:val="009820F8"/>
    <w:rsid w:val="00982144"/>
    <w:rsid w:val="00982162"/>
    <w:rsid w:val="0098218E"/>
    <w:rsid w:val="00982194"/>
    <w:rsid w:val="0098219A"/>
    <w:rsid w:val="009821B0"/>
    <w:rsid w:val="009821F1"/>
    <w:rsid w:val="00982229"/>
    <w:rsid w:val="0098222B"/>
    <w:rsid w:val="00982258"/>
    <w:rsid w:val="00982290"/>
    <w:rsid w:val="009822EC"/>
    <w:rsid w:val="00982309"/>
    <w:rsid w:val="0098234C"/>
    <w:rsid w:val="00982368"/>
    <w:rsid w:val="009823B5"/>
    <w:rsid w:val="00982408"/>
    <w:rsid w:val="009824BD"/>
    <w:rsid w:val="009824F9"/>
    <w:rsid w:val="009824FC"/>
    <w:rsid w:val="0098250C"/>
    <w:rsid w:val="00982514"/>
    <w:rsid w:val="00982537"/>
    <w:rsid w:val="00982555"/>
    <w:rsid w:val="00982561"/>
    <w:rsid w:val="00982588"/>
    <w:rsid w:val="0098258A"/>
    <w:rsid w:val="009825E8"/>
    <w:rsid w:val="009825F4"/>
    <w:rsid w:val="0098264D"/>
    <w:rsid w:val="00982672"/>
    <w:rsid w:val="009826A6"/>
    <w:rsid w:val="009826D8"/>
    <w:rsid w:val="00982767"/>
    <w:rsid w:val="0098276D"/>
    <w:rsid w:val="00982798"/>
    <w:rsid w:val="00982822"/>
    <w:rsid w:val="00982863"/>
    <w:rsid w:val="0098286A"/>
    <w:rsid w:val="0098288C"/>
    <w:rsid w:val="009828B4"/>
    <w:rsid w:val="009828BE"/>
    <w:rsid w:val="009828DB"/>
    <w:rsid w:val="009828E3"/>
    <w:rsid w:val="009828EE"/>
    <w:rsid w:val="009829AB"/>
    <w:rsid w:val="00982A38"/>
    <w:rsid w:val="00982A70"/>
    <w:rsid w:val="00982AF4"/>
    <w:rsid w:val="00982B54"/>
    <w:rsid w:val="00982BC6"/>
    <w:rsid w:val="00982C33"/>
    <w:rsid w:val="00982C6D"/>
    <w:rsid w:val="00982C7E"/>
    <w:rsid w:val="00982CA5"/>
    <w:rsid w:val="00982D19"/>
    <w:rsid w:val="00982D25"/>
    <w:rsid w:val="00982D68"/>
    <w:rsid w:val="00982D79"/>
    <w:rsid w:val="00982E36"/>
    <w:rsid w:val="00982EB3"/>
    <w:rsid w:val="00982F02"/>
    <w:rsid w:val="00982F27"/>
    <w:rsid w:val="00982F37"/>
    <w:rsid w:val="00982F88"/>
    <w:rsid w:val="00982FCC"/>
    <w:rsid w:val="00982FEC"/>
    <w:rsid w:val="00982FF5"/>
    <w:rsid w:val="00983007"/>
    <w:rsid w:val="00983018"/>
    <w:rsid w:val="0098303D"/>
    <w:rsid w:val="0098306B"/>
    <w:rsid w:val="00983072"/>
    <w:rsid w:val="00983091"/>
    <w:rsid w:val="009830C7"/>
    <w:rsid w:val="009830D7"/>
    <w:rsid w:val="00983137"/>
    <w:rsid w:val="00983147"/>
    <w:rsid w:val="0098314A"/>
    <w:rsid w:val="009831D5"/>
    <w:rsid w:val="009831E2"/>
    <w:rsid w:val="00983256"/>
    <w:rsid w:val="009832C1"/>
    <w:rsid w:val="0098330A"/>
    <w:rsid w:val="00983319"/>
    <w:rsid w:val="0098337A"/>
    <w:rsid w:val="00983419"/>
    <w:rsid w:val="00983486"/>
    <w:rsid w:val="009834B0"/>
    <w:rsid w:val="009834D3"/>
    <w:rsid w:val="009834DE"/>
    <w:rsid w:val="009834E0"/>
    <w:rsid w:val="009834EF"/>
    <w:rsid w:val="00983517"/>
    <w:rsid w:val="00983551"/>
    <w:rsid w:val="0098358C"/>
    <w:rsid w:val="009835EF"/>
    <w:rsid w:val="00983641"/>
    <w:rsid w:val="00983642"/>
    <w:rsid w:val="00983682"/>
    <w:rsid w:val="00983686"/>
    <w:rsid w:val="009836AA"/>
    <w:rsid w:val="009836C4"/>
    <w:rsid w:val="009836E1"/>
    <w:rsid w:val="0098372D"/>
    <w:rsid w:val="00983765"/>
    <w:rsid w:val="0098378C"/>
    <w:rsid w:val="00983790"/>
    <w:rsid w:val="009837B3"/>
    <w:rsid w:val="009837CF"/>
    <w:rsid w:val="009837EC"/>
    <w:rsid w:val="0098382C"/>
    <w:rsid w:val="0098383A"/>
    <w:rsid w:val="009838FB"/>
    <w:rsid w:val="00983944"/>
    <w:rsid w:val="00983966"/>
    <w:rsid w:val="00983975"/>
    <w:rsid w:val="00983990"/>
    <w:rsid w:val="009839D0"/>
    <w:rsid w:val="00983A3F"/>
    <w:rsid w:val="00983A4C"/>
    <w:rsid w:val="00983A8D"/>
    <w:rsid w:val="00983B26"/>
    <w:rsid w:val="00983BBE"/>
    <w:rsid w:val="00983BC4"/>
    <w:rsid w:val="00983BCC"/>
    <w:rsid w:val="00983C21"/>
    <w:rsid w:val="00983C5B"/>
    <w:rsid w:val="00983C86"/>
    <w:rsid w:val="00983CB7"/>
    <w:rsid w:val="00983D2B"/>
    <w:rsid w:val="00983DC0"/>
    <w:rsid w:val="00983DD8"/>
    <w:rsid w:val="00983EB2"/>
    <w:rsid w:val="00983EE0"/>
    <w:rsid w:val="00983F44"/>
    <w:rsid w:val="00983F58"/>
    <w:rsid w:val="00983FD1"/>
    <w:rsid w:val="00984011"/>
    <w:rsid w:val="00984084"/>
    <w:rsid w:val="009840A6"/>
    <w:rsid w:val="009840B8"/>
    <w:rsid w:val="00984149"/>
    <w:rsid w:val="0098414E"/>
    <w:rsid w:val="009841AA"/>
    <w:rsid w:val="009841B8"/>
    <w:rsid w:val="009841D1"/>
    <w:rsid w:val="00984208"/>
    <w:rsid w:val="00984247"/>
    <w:rsid w:val="00984278"/>
    <w:rsid w:val="009842D9"/>
    <w:rsid w:val="0098437F"/>
    <w:rsid w:val="009843D0"/>
    <w:rsid w:val="0098441E"/>
    <w:rsid w:val="009844CF"/>
    <w:rsid w:val="0098450A"/>
    <w:rsid w:val="0098450F"/>
    <w:rsid w:val="00984564"/>
    <w:rsid w:val="009845A7"/>
    <w:rsid w:val="009845B6"/>
    <w:rsid w:val="00984603"/>
    <w:rsid w:val="00984617"/>
    <w:rsid w:val="0098461B"/>
    <w:rsid w:val="00984643"/>
    <w:rsid w:val="0098465F"/>
    <w:rsid w:val="0098473A"/>
    <w:rsid w:val="0098474E"/>
    <w:rsid w:val="00984780"/>
    <w:rsid w:val="00984800"/>
    <w:rsid w:val="00984808"/>
    <w:rsid w:val="0098480D"/>
    <w:rsid w:val="0098482B"/>
    <w:rsid w:val="00984837"/>
    <w:rsid w:val="00984889"/>
    <w:rsid w:val="009848CC"/>
    <w:rsid w:val="0098491C"/>
    <w:rsid w:val="0098495A"/>
    <w:rsid w:val="00984965"/>
    <w:rsid w:val="00984999"/>
    <w:rsid w:val="009849D5"/>
    <w:rsid w:val="00984A1B"/>
    <w:rsid w:val="00984A2E"/>
    <w:rsid w:val="00984ADD"/>
    <w:rsid w:val="00984AFC"/>
    <w:rsid w:val="00984B02"/>
    <w:rsid w:val="00984B92"/>
    <w:rsid w:val="00984C3D"/>
    <w:rsid w:val="00984C89"/>
    <w:rsid w:val="00984DA0"/>
    <w:rsid w:val="00984DE7"/>
    <w:rsid w:val="00984E2E"/>
    <w:rsid w:val="00984E37"/>
    <w:rsid w:val="00984EE4"/>
    <w:rsid w:val="00984FAA"/>
    <w:rsid w:val="00985014"/>
    <w:rsid w:val="00985081"/>
    <w:rsid w:val="009850A1"/>
    <w:rsid w:val="009850AC"/>
    <w:rsid w:val="009850B6"/>
    <w:rsid w:val="009850C0"/>
    <w:rsid w:val="0098511B"/>
    <w:rsid w:val="0098512D"/>
    <w:rsid w:val="0098518D"/>
    <w:rsid w:val="009851A7"/>
    <w:rsid w:val="009851CB"/>
    <w:rsid w:val="00985272"/>
    <w:rsid w:val="009852A5"/>
    <w:rsid w:val="009852D1"/>
    <w:rsid w:val="0098535F"/>
    <w:rsid w:val="009853CE"/>
    <w:rsid w:val="009853E6"/>
    <w:rsid w:val="00985481"/>
    <w:rsid w:val="0098549E"/>
    <w:rsid w:val="009854EC"/>
    <w:rsid w:val="00985525"/>
    <w:rsid w:val="0098553B"/>
    <w:rsid w:val="0098556D"/>
    <w:rsid w:val="00985582"/>
    <w:rsid w:val="00985598"/>
    <w:rsid w:val="009855DE"/>
    <w:rsid w:val="009855F7"/>
    <w:rsid w:val="00985612"/>
    <w:rsid w:val="00985646"/>
    <w:rsid w:val="0098565B"/>
    <w:rsid w:val="0098567D"/>
    <w:rsid w:val="00985691"/>
    <w:rsid w:val="009856D1"/>
    <w:rsid w:val="009856F1"/>
    <w:rsid w:val="0098579C"/>
    <w:rsid w:val="009857EC"/>
    <w:rsid w:val="00985832"/>
    <w:rsid w:val="0098584E"/>
    <w:rsid w:val="0098585F"/>
    <w:rsid w:val="00985862"/>
    <w:rsid w:val="009858D4"/>
    <w:rsid w:val="009858D8"/>
    <w:rsid w:val="009858F3"/>
    <w:rsid w:val="00985909"/>
    <w:rsid w:val="0098591E"/>
    <w:rsid w:val="00985962"/>
    <w:rsid w:val="00985964"/>
    <w:rsid w:val="0098597D"/>
    <w:rsid w:val="00985984"/>
    <w:rsid w:val="0098598F"/>
    <w:rsid w:val="00985A06"/>
    <w:rsid w:val="00985A10"/>
    <w:rsid w:val="00985A3B"/>
    <w:rsid w:val="00985A40"/>
    <w:rsid w:val="00985A7B"/>
    <w:rsid w:val="00985ADD"/>
    <w:rsid w:val="00985B12"/>
    <w:rsid w:val="00985B5C"/>
    <w:rsid w:val="00985B77"/>
    <w:rsid w:val="00985B82"/>
    <w:rsid w:val="00985B99"/>
    <w:rsid w:val="00985BA1"/>
    <w:rsid w:val="00985BDD"/>
    <w:rsid w:val="00985C1F"/>
    <w:rsid w:val="00985C27"/>
    <w:rsid w:val="00985C67"/>
    <w:rsid w:val="00985CAF"/>
    <w:rsid w:val="00985D05"/>
    <w:rsid w:val="00985D2F"/>
    <w:rsid w:val="00985D4C"/>
    <w:rsid w:val="00985DB3"/>
    <w:rsid w:val="00985DDF"/>
    <w:rsid w:val="00985DE1"/>
    <w:rsid w:val="00985DEC"/>
    <w:rsid w:val="00985E0A"/>
    <w:rsid w:val="00985E22"/>
    <w:rsid w:val="00985E30"/>
    <w:rsid w:val="00985E39"/>
    <w:rsid w:val="00985E5C"/>
    <w:rsid w:val="00985E79"/>
    <w:rsid w:val="00985E9F"/>
    <w:rsid w:val="00985EA6"/>
    <w:rsid w:val="00985F0E"/>
    <w:rsid w:val="00985F10"/>
    <w:rsid w:val="00985F51"/>
    <w:rsid w:val="00985F58"/>
    <w:rsid w:val="00985FC1"/>
    <w:rsid w:val="00985FE7"/>
    <w:rsid w:val="00985FE9"/>
    <w:rsid w:val="0098600E"/>
    <w:rsid w:val="009860D2"/>
    <w:rsid w:val="009860D4"/>
    <w:rsid w:val="00986197"/>
    <w:rsid w:val="00986237"/>
    <w:rsid w:val="0098626E"/>
    <w:rsid w:val="0098627B"/>
    <w:rsid w:val="00986291"/>
    <w:rsid w:val="0098631A"/>
    <w:rsid w:val="0098635E"/>
    <w:rsid w:val="0098638C"/>
    <w:rsid w:val="009863E2"/>
    <w:rsid w:val="00986410"/>
    <w:rsid w:val="00986433"/>
    <w:rsid w:val="00986449"/>
    <w:rsid w:val="00986540"/>
    <w:rsid w:val="00986570"/>
    <w:rsid w:val="00986582"/>
    <w:rsid w:val="00986590"/>
    <w:rsid w:val="009865C2"/>
    <w:rsid w:val="009865DA"/>
    <w:rsid w:val="009865F3"/>
    <w:rsid w:val="00986686"/>
    <w:rsid w:val="009866BC"/>
    <w:rsid w:val="009866D4"/>
    <w:rsid w:val="009866E5"/>
    <w:rsid w:val="0098670E"/>
    <w:rsid w:val="00986711"/>
    <w:rsid w:val="00986720"/>
    <w:rsid w:val="00986750"/>
    <w:rsid w:val="00986794"/>
    <w:rsid w:val="009867DC"/>
    <w:rsid w:val="009867F9"/>
    <w:rsid w:val="00986805"/>
    <w:rsid w:val="00986816"/>
    <w:rsid w:val="00986834"/>
    <w:rsid w:val="009868A0"/>
    <w:rsid w:val="009868E7"/>
    <w:rsid w:val="009868F8"/>
    <w:rsid w:val="0098691F"/>
    <w:rsid w:val="00986921"/>
    <w:rsid w:val="0098695B"/>
    <w:rsid w:val="009869EB"/>
    <w:rsid w:val="00986A4B"/>
    <w:rsid w:val="00986A77"/>
    <w:rsid w:val="00986AAF"/>
    <w:rsid w:val="00986ABB"/>
    <w:rsid w:val="00986AF9"/>
    <w:rsid w:val="00986B45"/>
    <w:rsid w:val="00986B53"/>
    <w:rsid w:val="00986BAA"/>
    <w:rsid w:val="00986BE3"/>
    <w:rsid w:val="00986C02"/>
    <w:rsid w:val="00986C36"/>
    <w:rsid w:val="00986C3A"/>
    <w:rsid w:val="00986C48"/>
    <w:rsid w:val="00986C92"/>
    <w:rsid w:val="00986C97"/>
    <w:rsid w:val="00986CAD"/>
    <w:rsid w:val="00986CAE"/>
    <w:rsid w:val="00986D0E"/>
    <w:rsid w:val="00986D0F"/>
    <w:rsid w:val="00986D13"/>
    <w:rsid w:val="00986D75"/>
    <w:rsid w:val="00986D7C"/>
    <w:rsid w:val="00986D90"/>
    <w:rsid w:val="00986D98"/>
    <w:rsid w:val="00986DEB"/>
    <w:rsid w:val="00986E0D"/>
    <w:rsid w:val="00986E32"/>
    <w:rsid w:val="00986EB0"/>
    <w:rsid w:val="00986F82"/>
    <w:rsid w:val="00986FB5"/>
    <w:rsid w:val="00986FE6"/>
    <w:rsid w:val="009870A4"/>
    <w:rsid w:val="009870C3"/>
    <w:rsid w:val="0098711E"/>
    <w:rsid w:val="00987143"/>
    <w:rsid w:val="0098719F"/>
    <w:rsid w:val="009871B6"/>
    <w:rsid w:val="009871C8"/>
    <w:rsid w:val="009871CF"/>
    <w:rsid w:val="009871D0"/>
    <w:rsid w:val="009871EF"/>
    <w:rsid w:val="00987258"/>
    <w:rsid w:val="0098730E"/>
    <w:rsid w:val="00987320"/>
    <w:rsid w:val="00987356"/>
    <w:rsid w:val="009873D5"/>
    <w:rsid w:val="00987474"/>
    <w:rsid w:val="009874C1"/>
    <w:rsid w:val="0098759E"/>
    <w:rsid w:val="009875C6"/>
    <w:rsid w:val="00987645"/>
    <w:rsid w:val="00987655"/>
    <w:rsid w:val="009876B8"/>
    <w:rsid w:val="009876FA"/>
    <w:rsid w:val="0098774D"/>
    <w:rsid w:val="009877E3"/>
    <w:rsid w:val="0098780F"/>
    <w:rsid w:val="0098782D"/>
    <w:rsid w:val="0098791C"/>
    <w:rsid w:val="0098792B"/>
    <w:rsid w:val="0098793A"/>
    <w:rsid w:val="00987983"/>
    <w:rsid w:val="00987991"/>
    <w:rsid w:val="0098799A"/>
    <w:rsid w:val="009879BF"/>
    <w:rsid w:val="009879D1"/>
    <w:rsid w:val="00987A56"/>
    <w:rsid w:val="00987A75"/>
    <w:rsid w:val="00987AD3"/>
    <w:rsid w:val="00987B3B"/>
    <w:rsid w:val="00987B42"/>
    <w:rsid w:val="00987BD5"/>
    <w:rsid w:val="00987BF8"/>
    <w:rsid w:val="00987C1A"/>
    <w:rsid w:val="00987CF8"/>
    <w:rsid w:val="00987D16"/>
    <w:rsid w:val="00987D75"/>
    <w:rsid w:val="00987D97"/>
    <w:rsid w:val="00987DEC"/>
    <w:rsid w:val="00987DF7"/>
    <w:rsid w:val="00987E36"/>
    <w:rsid w:val="00987F0C"/>
    <w:rsid w:val="00987F0E"/>
    <w:rsid w:val="00987F1C"/>
    <w:rsid w:val="00987FB1"/>
    <w:rsid w:val="00987FCA"/>
    <w:rsid w:val="00987FEA"/>
    <w:rsid w:val="00987FEC"/>
    <w:rsid w:val="00990009"/>
    <w:rsid w:val="0099000E"/>
    <w:rsid w:val="0099006E"/>
    <w:rsid w:val="00990082"/>
    <w:rsid w:val="009900DA"/>
    <w:rsid w:val="0099011C"/>
    <w:rsid w:val="0099027A"/>
    <w:rsid w:val="00990286"/>
    <w:rsid w:val="0099029D"/>
    <w:rsid w:val="009902D7"/>
    <w:rsid w:val="00990382"/>
    <w:rsid w:val="009903B3"/>
    <w:rsid w:val="0099040D"/>
    <w:rsid w:val="00990494"/>
    <w:rsid w:val="009904BE"/>
    <w:rsid w:val="009904C8"/>
    <w:rsid w:val="00990589"/>
    <w:rsid w:val="009905A1"/>
    <w:rsid w:val="009905A2"/>
    <w:rsid w:val="009905BD"/>
    <w:rsid w:val="009906DB"/>
    <w:rsid w:val="00990743"/>
    <w:rsid w:val="00990773"/>
    <w:rsid w:val="00990774"/>
    <w:rsid w:val="00990785"/>
    <w:rsid w:val="009907F1"/>
    <w:rsid w:val="009907FF"/>
    <w:rsid w:val="0099084B"/>
    <w:rsid w:val="00990901"/>
    <w:rsid w:val="0099094A"/>
    <w:rsid w:val="0099095F"/>
    <w:rsid w:val="00990967"/>
    <w:rsid w:val="0099097D"/>
    <w:rsid w:val="00990A07"/>
    <w:rsid w:val="00990A11"/>
    <w:rsid w:val="00990A44"/>
    <w:rsid w:val="00990AEB"/>
    <w:rsid w:val="00990B2C"/>
    <w:rsid w:val="00990B3F"/>
    <w:rsid w:val="00990B56"/>
    <w:rsid w:val="00990B57"/>
    <w:rsid w:val="00990BBD"/>
    <w:rsid w:val="00990BD0"/>
    <w:rsid w:val="00990C27"/>
    <w:rsid w:val="00990C39"/>
    <w:rsid w:val="00990C81"/>
    <w:rsid w:val="00990D3D"/>
    <w:rsid w:val="00990DB0"/>
    <w:rsid w:val="00990DB7"/>
    <w:rsid w:val="00990DF4"/>
    <w:rsid w:val="00990E06"/>
    <w:rsid w:val="00990E0E"/>
    <w:rsid w:val="00990E73"/>
    <w:rsid w:val="00990EBC"/>
    <w:rsid w:val="00990EFC"/>
    <w:rsid w:val="00990F47"/>
    <w:rsid w:val="00990F6D"/>
    <w:rsid w:val="00990FB2"/>
    <w:rsid w:val="00990FE2"/>
    <w:rsid w:val="00990FEB"/>
    <w:rsid w:val="009910A8"/>
    <w:rsid w:val="009910FC"/>
    <w:rsid w:val="00991123"/>
    <w:rsid w:val="00991175"/>
    <w:rsid w:val="0099117D"/>
    <w:rsid w:val="00991183"/>
    <w:rsid w:val="00991199"/>
    <w:rsid w:val="009911DA"/>
    <w:rsid w:val="009911DE"/>
    <w:rsid w:val="00991222"/>
    <w:rsid w:val="00991233"/>
    <w:rsid w:val="00991237"/>
    <w:rsid w:val="00991240"/>
    <w:rsid w:val="00991285"/>
    <w:rsid w:val="009912C2"/>
    <w:rsid w:val="009912D6"/>
    <w:rsid w:val="00991314"/>
    <w:rsid w:val="0099131F"/>
    <w:rsid w:val="00991324"/>
    <w:rsid w:val="00991351"/>
    <w:rsid w:val="00991369"/>
    <w:rsid w:val="0099137A"/>
    <w:rsid w:val="009913B4"/>
    <w:rsid w:val="009913BF"/>
    <w:rsid w:val="009914AB"/>
    <w:rsid w:val="009914BE"/>
    <w:rsid w:val="009914F8"/>
    <w:rsid w:val="00991511"/>
    <w:rsid w:val="009915A3"/>
    <w:rsid w:val="009915C0"/>
    <w:rsid w:val="009915D0"/>
    <w:rsid w:val="00991607"/>
    <w:rsid w:val="00991612"/>
    <w:rsid w:val="0099163E"/>
    <w:rsid w:val="0099167E"/>
    <w:rsid w:val="00991697"/>
    <w:rsid w:val="009916A8"/>
    <w:rsid w:val="009916E2"/>
    <w:rsid w:val="009916E7"/>
    <w:rsid w:val="0099172B"/>
    <w:rsid w:val="0099173C"/>
    <w:rsid w:val="00991758"/>
    <w:rsid w:val="0099176D"/>
    <w:rsid w:val="0099178B"/>
    <w:rsid w:val="009917A1"/>
    <w:rsid w:val="009917F6"/>
    <w:rsid w:val="00991863"/>
    <w:rsid w:val="00991886"/>
    <w:rsid w:val="00991894"/>
    <w:rsid w:val="00991958"/>
    <w:rsid w:val="009919B0"/>
    <w:rsid w:val="009919D8"/>
    <w:rsid w:val="009919F7"/>
    <w:rsid w:val="00991A49"/>
    <w:rsid w:val="00991B45"/>
    <w:rsid w:val="00991B6E"/>
    <w:rsid w:val="00991B84"/>
    <w:rsid w:val="00991B9F"/>
    <w:rsid w:val="00991C1A"/>
    <w:rsid w:val="00991CCA"/>
    <w:rsid w:val="00991CF6"/>
    <w:rsid w:val="00991D5A"/>
    <w:rsid w:val="00991D78"/>
    <w:rsid w:val="00991D89"/>
    <w:rsid w:val="00991D9D"/>
    <w:rsid w:val="00991E21"/>
    <w:rsid w:val="00991E62"/>
    <w:rsid w:val="00991E80"/>
    <w:rsid w:val="00991ED7"/>
    <w:rsid w:val="00991EDD"/>
    <w:rsid w:val="00991F2A"/>
    <w:rsid w:val="00991F67"/>
    <w:rsid w:val="0099204F"/>
    <w:rsid w:val="00992062"/>
    <w:rsid w:val="00992068"/>
    <w:rsid w:val="009920B1"/>
    <w:rsid w:val="009920C0"/>
    <w:rsid w:val="009920E8"/>
    <w:rsid w:val="009920FC"/>
    <w:rsid w:val="00992185"/>
    <w:rsid w:val="00992199"/>
    <w:rsid w:val="009921C1"/>
    <w:rsid w:val="009921F7"/>
    <w:rsid w:val="009921FA"/>
    <w:rsid w:val="00992220"/>
    <w:rsid w:val="00992236"/>
    <w:rsid w:val="0099228F"/>
    <w:rsid w:val="009922D1"/>
    <w:rsid w:val="009922E3"/>
    <w:rsid w:val="00992378"/>
    <w:rsid w:val="00992440"/>
    <w:rsid w:val="009924A9"/>
    <w:rsid w:val="009924EC"/>
    <w:rsid w:val="00992507"/>
    <w:rsid w:val="0099252F"/>
    <w:rsid w:val="00992574"/>
    <w:rsid w:val="009925FD"/>
    <w:rsid w:val="00992610"/>
    <w:rsid w:val="0099265B"/>
    <w:rsid w:val="00992665"/>
    <w:rsid w:val="00992669"/>
    <w:rsid w:val="0099267A"/>
    <w:rsid w:val="0099267B"/>
    <w:rsid w:val="0099269F"/>
    <w:rsid w:val="009926DC"/>
    <w:rsid w:val="00992729"/>
    <w:rsid w:val="0099276E"/>
    <w:rsid w:val="0099277B"/>
    <w:rsid w:val="009927BD"/>
    <w:rsid w:val="0099280B"/>
    <w:rsid w:val="00992810"/>
    <w:rsid w:val="009928AD"/>
    <w:rsid w:val="009928B1"/>
    <w:rsid w:val="009928CD"/>
    <w:rsid w:val="009928D7"/>
    <w:rsid w:val="009928FD"/>
    <w:rsid w:val="00992922"/>
    <w:rsid w:val="009929CB"/>
    <w:rsid w:val="009929D7"/>
    <w:rsid w:val="00992A48"/>
    <w:rsid w:val="00992A85"/>
    <w:rsid w:val="00992B4A"/>
    <w:rsid w:val="00992B7A"/>
    <w:rsid w:val="00992B9D"/>
    <w:rsid w:val="00992BD1"/>
    <w:rsid w:val="00992BE1"/>
    <w:rsid w:val="00992C12"/>
    <w:rsid w:val="00992C62"/>
    <w:rsid w:val="00992C83"/>
    <w:rsid w:val="00992C89"/>
    <w:rsid w:val="00992CBE"/>
    <w:rsid w:val="00992CD2"/>
    <w:rsid w:val="00992CE7"/>
    <w:rsid w:val="00992DC9"/>
    <w:rsid w:val="00992DEF"/>
    <w:rsid w:val="00992E0C"/>
    <w:rsid w:val="00992E44"/>
    <w:rsid w:val="00992E8F"/>
    <w:rsid w:val="00992EB1"/>
    <w:rsid w:val="00992ED3"/>
    <w:rsid w:val="00992F23"/>
    <w:rsid w:val="00992F39"/>
    <w:rsid w:val="00992F76"/>
    <w:rsid w:val="00992F7C"/>
    <w:rsid w:val="00992FAD"/>
    <w:rsid w:val="00993001"/>
    <w:rsid w:val="00993014"/>
    <w:rsid w:val="00993021"/>
    <w:rsid w:val="0099302A"/>
    <w:rsid w:val="00993210"/>
    <w:rsid w:val="00993211"/>
    <w:rsid w:val="0099323C"/>
    <w:rsid w:val="00993292"/>
    <w:rsid w:val="009932F8"/>
    <w:rsid w:val="0099331E"/>
    <w:rsid w:val="00993324"/>
    <w:rsid w:val="00993336"/>
    <w:rsid w:val="00993349"/>
    <w:rsid w:val="0099334E"/>
    <w:rsid w:val="0099335C"/>
    <w:rsid w:val="00993374"/>
    <w:rsid w:val="00993399"/>
    <w:rsid w:val="009933E3"/>
    <w:rsid w:val="00993415"/>
    <w:rsid w:val="00993458"/>
    <w:rsid w:val="0099347D"/>
    <w:rsid w:val="00993484"/>
    <w:rsid w:val="009934B8"/>
    <w:rsid w:val="009934BB"/>
    <w:rsid w:val="00993585"/>
    <w:rsid w:val="009935CC"/>
    <w:rsid w:val="009935E9"/>
    <w:rsid w:val="0099363C"/>
    <w:rsid w:val="0099364A"/>
    <w:rsid w:val="009936B5"/>
    <w:rsid w:val="009936D2"/>
    <w:rsid w:val="009936D6"/>
    <w:rsid w:val="00993764"/>
    <w:rsid w:val="009937A2"/>
    <w:rsid w:val="009937A8"/>
    <w:rsid w:val="009937F9"/>
    <w:rsid w:val="00993811"/>
    <w:rsid w:val="00993914"/>
    <w:rsid w:val="0099393E"/>
    <w:rsid w:val="00993A05"/>
    <w:rsid w:val="00993A51"/>
    <w:rsid w:val="00993A66"/>
    <w:rsid w:val="00993A71"/>
    <w:rsid w:val="00993A77"/>
    <w:rsid w:val="00993A9D"/>
    <w:rsid w:val="00993ACE"/>
    <w:rsid w:val="00993B0E"/>
    <w:rsid w:val="00993B19"/>
    <w:rsid w:val="00993B4A"/>
    <w:rsid w:val="00993B87"/>
    <w:rsid w:val="00993C13"/>
    <w:rsid w:val="00993C1C"/>
    <w:rsid w:val="00993C21"/>
    <w:rsid w:val="00993C3D"/>
    <w:rsid w:val="00993C40"/>
    <w:rsid w:val="00993CDA"/>
    <w:rsid w:val="00993D07"/>
    <w:rsid w:val="00993D63"/>
    <w:rsid w:val="00993D9D"/>
    <w:rsid w:val="00993DB4"/>
    <w:rsid w:val="00993DCD"/>
    <w:rsid w:val="00993E66"/>
    <w:rsid w:val="00993E90"/>
    <w:rsid w:val="00993E98"/>
    <w:rsid w:val="00993F4D"/>
    <w:rsid w:val="00993FA6"/>
    <w:rsid w:val="00993FD6"/>
    <w:rsid w:val="0099410F"/>
    <w:rsid w:val="0099413F"/>
    <w:rsid w:val="0099416D"/>
    <w:rsid w:val="009941E9"/>
    <w:rsid w:val="0099428A"/>
    <w:rsid w:val="00994308"/>
    <w:rsid w:val="0099432F"/>
    <w:rsid w:val="0099433B"/>
    <w:rsid w:val="00994352"/>
    <w:rsid w:val="009943C6"/>
    <w:rsid w:val="009943DC"/>
    <w:rsid w:val="00994407"/>
    <w:rsid w:val="00994427"/>
    <w:rsid w:val="0099442C"/>
    <w:rsid w:val="00994430"/>
    <w:rsid w:val="0099443B"/>
    <w:rsid w:val="00994444"/>
    <w:rsid w:val="00994490"/>
    <w:rsid w:val="009944EF"/>
    <w:rsid w:val="0099455C"/>
    <w:rsid w:val="00994593"/>
    <w:rsid w:val="009945D7"/>
    <w:rsid w:val="009945FE"/>
    <w:rsid w:val="00994635"/>
    <w:rsid w:val="00994641"/>
    <w:rsid w:val="00994647"/>
    <w:rsid w:val="0099466C"/>
    <w:rsid w:val="0099469C"/>
    <w:rsid w:val="009946C4"/>
    <w:rsid w:val="009947A2"/>
    <w:rsid w:val="009947BD"/>
    <w:rsid w:val="009947F3"/>
    <w:rsid w:val="009948BD"/>
    <w:rsid w:val="00994968"/>
    <w:rsid w:val="009949DD"/>
    <w:rsid w:val="00994A32"/>
    <w:rsid w:val="00994A6C"/>
    <w:rsid w:val="00994A79"/>
    <w:rsid w:val="00994A86"/>
    <w:rsid w:val="00994AB4"/>
    <w:rsid w:val="00994B37"/>
    <w:rsid w:val="00994B58"/>
    <w:rsid w:val="00994B9B"/>
    <w:rsid w:val="00994BC3"/>
    <w:rsid w:val="00994BE0"/>
    <w:rsid w:val="00994C36"/>
    <w:rsid w:val="00994C3A"/>
    <w:rsid w:val="00994C86"/>
    <w:rsid w:val="00994CAB"/>
    <w:rsid w:val="00994CDC"/>
    <w:rsid w:val="00994DA0"/>
    <w:rsid w:val="00994DE5"/>
    <w:rsid w:val="00994DFC"/>
    <w:rsid w:val="00994E74"/>
    <w:rsid w:val="00994F8F"/>
    <w:rsid w:val="00994FF6"/>
    <w:rsid w:val="009950B6"/>
    <w:rsid w:val="009950FB"/>
    <w:rsid w:val="0099513A"/>
    <w:rsid w:val="0099513C"/>
    <w:rsid w:val="00995176"/>
    <w:rsid w:val="00995198"/>
    <w:rsid w:val="009951D4"/>
    <w:rsid w:val="00995245"/>
    <w:rsid w:val="0099526A"/>
    <w:rsid w:val="0099528B"/>
    <w:rsid w:val="009952F9"/>
    <w:rsid w:val="00995316"/>
    <w:rsid w:val="00995347"/>
    <w:rsid w:val="00995371"/>
    <w:rsid w:val="009953F0"/>
    <w:rsid w:val="0099545A"/>
    <w:rsid w:val="00995462"/>
    <w:rsid w:val="0099550F"/>
    <w:rsid w:val="00995512"/>
    <w:rsid w:val="00995517"/>
    <w:rsid w:val="0099551D"/>
    <w:rsid w:val="00995566"/>
    <w:rsid w:val="00995594"/>
    <w:rsid w:val="009955DB"/>
    <w:rsid w:val="009956A0"/>
    <w:rsid w:val="009956DD"/>
    <w:rsid w:val="009956E6"/>
    <w:rsid w:val="009956F2"/>
    <w:rsid w:val="00995717"/>
    <w:rsid w:val="00995765"/>
    <w:rsid w:val="00995767"/>
    <w:rsid w:val="009957B5"/>
    <w:rsid w:val="009957B9"/>
    <w:rsid w:val="009957D6"/>
    <w:rsid w:val="009957E7"/>
    <w:rsid w:val="009957FB"/>
    <w:rsid w:val="00995806"/>
    <w:rsid w:val="00995811"/>
    <w:rsid w:val="00995843"/>
    <w:rsid w:val="00995889"/>
    <w:rsid w:val="00995936"/>
    <w:rsid w:val="00995944"/>
    <w:rsid w:val="00995967"/>
    <w:rsid w:val="0099597F"/>
    <w:rsid w:val="009959C9"/>
    <w:rsid w:val="009959D0"/>
    <w:rsid w:val="009959E1"/>
    <w:rsid w:val="009959F3"/>
    <w:rsid w:val="00995A28"/>
    <w:rsid w:val="00995AB0"/>
    <w:rsid w:val="00995AE5"/>
    <w:rsid w:val="00995B25"/>
    <w:rsid w:val="00995B2A"/>
    <w:rsid w:val="00995B5E"/>
    <w:rsid w:val="00995B6C"/>
    <w:rsid w:val="00995BB2"/>
    <w:rsid w:val="00995C02"/>
    <w:rsid w:val="00995C10"/>
    <w:rsid w:val="00995C35"/>
    <w:rsid w:val="00995C3E"/>
    <w:rsid w:val="00995C4B"/>
    <w:rsid w:val="00995C67"/>
    <w:rsid w:val="00995CA6"/>
    <w:rsid w:val="00995CB1"/>
    <w:rsid w:val="00995D4B"/>
    <w:rsid w:val="00995D61"/>
    <w:rsid w:val="00995DC1"/>
    <w:rsid w:val="00995DED"/>
    <w:rsid w:val="00995E18"/>
    <w:rsid w:val="00995E2F"/>
    <w:rsid w:val="00995ECB"/>
    <w:rsid w:val="00995F32"/>
    <w:rsid w:val="00995F97"/>
    <w:rsid w:val="00995F9C"/>
    <w:rsid w:val="00995FCF"/>
    <w:rsid w:val="0099603C"/>
    <w:rsid w:val="00996116"/>
    <w:rsid w:val="00996121"/>
    <w:rsid w:val="009961C0"/>
    <w:rsid w:val="0099621F"/>
    <w:rsid w:val="009962D6"/>
    <w:rsid w:val="009962E6"/>
    <w:rsid w:val="00996321"/>
    <w:rsid w:val="00996326"/>
    <w:rsid w:val="00996341"/>
    <w:rsid w:val="00996344"/>
    <w:rsid w:val="0099636C"/>
    <w:rsid w:val="009963CA"/>
    <w:rsid w:val="009963E8"/>
    <w:rsid w:val="009963ED"/>
    <w:rsid w:val="00996407"/>
    <w:rsid w:val="0099644C"/>
    <w:rsid w:val="00996453"/>
    <w:rsid w:val="009964E6"/>
    <w:rsid w:val="009964FE"/>
    <w:rsid w:val="009965A5"/>
    <w:rsid w:val="00996616"/>
    <w:rsid w:val="00996618"/>
    <w:rsid w:val="00996661"/>
    <w:rsid w:val="00996688"/>
    <w:rsid w:val="009966B5"/>
    <w:rsid w:val="009966EC"/>
    <w:rsid w:val="0099670C"/>
    <w:rsid w:val="0099672E"/>
    <w:rsid w:val="0099673A"/>
    <w:rsid w:val="0099676E"/>
    <w:rsid w:val="009967BB"/>
    <w:rsid w:val="009967CF"/>
    <w:rsid w:val="009967DA"/>
    <w:rsid w:val="009967DF"/>
    <w:rsid w:val="009967F1"/>
    <w:rsid w:val="009968E7"/>
    <w:rsid w:val="00996921"/>
    <w:rsid w:val="00996979"/>
    <w:rsid w:val="00996A21"/>
    <w:rsid w:val="00996A2B"/>
    <w:rsid w:val="00996A30"/>
    <w:rsid w:val="00996A69"/>
    <w:rsid w:val="00996A7C"/>
    <w:rsid w:val="00996AC1"/>
    <w:rsid w:val="00996AD4"/>
    <w:rsid w:val="00996B08"/>
    <w:rsid w:val="00996B4A"/>
    <w:rsid w:val="00996B73"/>
    <w:rsid w:val="00996BB2"/>
    <w:rsid w:val="00996BB5"/>
    <w:rsid w:val="00996BDA"/>
    <w:rsid w:val="00996C65"/>
    <w:rsid w:val="00996C66"/>
    <w:rsid w:val="00996CAC"/>
    <w:rsid w:val="00996CD8"/>
    <w:rsid w:val="00996D0B"/>
    <w:rsid w:val="00996D7B"/>
    <w:rsid w:val="00996D84"/>
    <w:rsid w:val="00996DD6"/>
    <w:rsid w:val="00996E29"/>
    <w:rsid w:val="00996EBB"/>
    <w:rsid w:val="00996EC6"/>
    <w:rsid w:val="00996EC7"/>
    <w:rsid w:val="00996F30"/>
    <w:rsid w:val="00997011"/>
    <w:rsid w:val="0099702C"/>
    <w:rsid w:val="0099707E"/>
    <w:rsid w:val="00997099"/>
    <w:rsid w:val="0099709C"/>
    <w:rsid w:val="0099709F"/>
    <w:rsid w:val="009970EF"/>
    <w:rsid w:val="00997103"/>
    <w:rsid w:val="0099711D"/>
    <w:rsid w:val="00997141"/>
    <w:rsid w:val="0099714C"/>
    <w:rsid w:val="0099714E"/>
    <w:rsid w:val="0099715B"/>
    <w:rsid w:val="00997208"/>
    <w:rsid w:val="0099722C"/>
    <w:rsid w:val="00997259"/>
    <w:rsid w:val="00997264"/>
    <w:rsid w:val="0099726C"/>
    <w:rsid w:val="0099735F"/>
    <w:rsid w:val="00997384"/>
    <w:rsid w:val="00997390"/>
    <w:rsid w:val="00997457"/>
    <w:rsid w:val="00997469"/>
    <w:rsid w:val="0099746F"/>
    <w:rsid w:val="0099748E"/>
    <w:rsid w:val="009974B1"/>
    <w:rsid w:val="009974D2"/>
    <w:rsid w:val="0099753D"/>
    <w:rsid w:val="00997545"/>
    <w:rsid w:val="00997552"/>
    <w:rsid w:val="009975A9"/>
    <w:rsid w:val="009975B0"/>
    <w:rsid w:val="009975BF"/>
    <w:rsid w:val="009975C7"/>
    <w:rsid w:val="009975FC"/>
    <w:rsid w:val="00997646"/>
    <w:rsid w:val="0099764F"/>
    <w:rsid w:val="0099765A"/>
    <w:rsid w:val="009976B5"/>
    <w:rsid w:val="009976F5"/>
    <w:rsid w:val="0099771D"/>
    <w:rsid w:val="0099772E"/>
    <w:rsid w:val="00997748"/>
    <w:rsid w:val="00997749"/>
    <w:rsid w:val="0099774C"/>
    <w:rsid w:val="00997755"/>
    <w:rsid w:val="00997763"/>
    <w:rsid w:val="00997796"/>
    <w:rsid w:val="0099781F"/>
    <w:rsid w:val="00997842"/>
    <w:rsid w:val="00997844"/>
    <w:rsid w:val="0099789C"/>
    <w:rsid w:val="009978E8"/>
    <w:rsid w:val="0099790C"/>
    <w:rsid w:val="009979CF"/>
    <w:rsid w:val="00997A31"/>
    <w:rsid w:val="00997A32"/>
    <w:rsid w:val="00997A41"/>
    <w:rsid w:val="00997ABA"/>
    <w:rsid w:val="00997AF1"/>
    <w:rsid w:val="00997B2B"/>
    <w:rsid w:val="00997B5A"/>
    <w:rsid w:val="00997B60"/>
    <w:rsid w:val="00997B76"/>
    <w:rsid w:val="00997C67"/>
    <w:rsid w:val="00997C96"/>
    <w:rsid w:val="00997CBA"/>
    <w:rsid w:val="00997CF1"/>
    <w:rsid w:val="00997CF3"/>
    <w:rsid w:val="00997D18"/>
    <w:rsid w:val="00997D1B"/>
    <w:rsid w:val="00997D32"/>
    <w:rsid w:val="00997D33"/>
    <w:rsid w:val="00997D39"/>
    <w:rsid w:val="00997D61"/>
    <w:rsid w:val="00997D6F"/>
    <w:rsid w:val="00997DA9"/>
    <w:rsid w:val="00997DCE"/>
    <w:rsid w:val="00997E34"/>
    <w:rsid w:val="00997E80"/>
    <w:rsid w:val="00997ED8"/>
    <w:rsid w:val="00997EE7"/>
    <w:rsid w:val="00997F33"/>
    <w:rsid w:val="00997FA2"/>
    <w:rsid w:val="00997FAF"/>
    <w:rsid w:val="00997FBA"/>
    <w:rsid w:val="00997FBC"/>
    <w:rsid w:val="00997FBF"/>
    <w:rsid w:val="009A000D"/>
    <w:rsid w:val="009A0039"/>
    <w:rsid w:val="009A00B7"/>
    <w:rsid w:val="009A00C0"/>
    <w:rsid w:val="009A00CE"/>
    <w:rsid w:val="009A00DB"/>
    <w:rsid w:val="009A00EB"/>
    <w:rsid w:val="009A019F"/>
    <w:rsid w:val="009A022C"/>
    <w:rsid w:val="009A0232"/>
    <w:rsid w:val="009A02C8"/>
    <w:rsid w:val="009A0333"/>
    <w:rsid w:val="009A0345"/>
    <w:rsid w:val="009A034C"/>
    <w:rsid w:val="009A035B"/>
    <w:rsid w:val="009A0367"/>
    <w:rsid w:val="009A0385"/>
    <w:rsid w:val="009A04A6"/>
    <w:rsid w:val="009A04B5"/>
    <w:rsid w:val="009A04BC"/>
    <w:rsid w:val="009A05A5"/>
    <w:rsid w:val="009A05AD"/>
    <w:rsid w:val="009A05CC"/>
    <w:rsid w:val="009A05FF"/>
    <w:rsid w:val="009A061B"/>
    <w:rsid w:val="009A0634"/>
    <w:rsid w:val="009A06E2"/>
    <w:rsid w:val="009A0717"/>
    <w:rsid w:val="009A07DF"/>
    <w:rsid w:val="009A0801"/>
    <w:rsid w:val="009A086A"/>
    <w:rsid w:val="009A08AA"/>
    <w:rsid w:val="009A08B9"/>
    <w:rsid w:val="009A0908"/>
    <w:rsid w:val="009A0919"/>
    <w:rsid w:val="009A09C8"/>
    <w:rsid w:val="009A09CC"/>
    <w:rsid w:val="009A0A1A"/>
    <w:rsid w:val="009A0A5A"/>
    <w:rsid w:val="009A0A6A"/>
    <w:rsid w:val="009A0A99"/>
    <w:rsid w:val="009A0B2B"/>
    <w:rsid w:val="009A0B77"/>
    <w:rsid w:val="009A0BB9"/>
    <w:rsid w:val="009A0BD9"/>
    <w:rsid w:val="009A0BE9"/>
    <w:rsid w:val="009A0C21"/>
    <w:rsid w:val="009A0C26"/>
    <w:rsid w:val="009A0C28"/>
    <w:rsid w:val="009A0CAA"/>
    <w:rsid w:val="009A0CD1"/>
    <w:rsid w:val="009A0CDC"/>
    <w:rsid w:val="009A0CDE"/>
    <w:rsid w:val="009A0CE1"/>
    <w:rsid w:val="009A0D26"/>
    <w:rsid w:val="009A0D79"/>
    <w:rsid w:val="009A0D8C"/>
    <w:rsid w:val="009A0E28"/>
    <w:rsid w:val="009A0E2A"/>
    <w:rsid w:val="009A0EBD"/>
    <w:rsid w:val="009A0F72"/>
    <w:rsid w:val="009A0F9F"/>
    <w:rsid w:val="009A0FBD"/>
    <w:rsid w:val="009A0FE9"/>
    <w:rsid w:val="009A10ED"/>
    <w:rsid w:val="009A1148"/>
    <w:rsid w:val="009A114A"/>
    <w:rsid w:val="009A116B"/>
    <w:rsid w:val="009A117A"/>
    <w:rsid w:val="009A11A2"/>
    <w:rsid w:val="009A12C3"/>
    <w:rsid w:val="009A12CF"/>
    <w:rsid w:val="009A1335"/>
    <w:rsid w:val="009A133B"/>
    <w:rsid w:val="009A13A0"/>
    <w:rsid w:val="009A13AB"/>
    <w:rsid w:val="009A13AD"/>
    <w:rsid w:val="009A13DA"/>
    <w:rsid w:val="009A1440"/>
    <w:rsid w:val="009A144D"/>
    <w:rsid w:val="009A14A7"/>
    <w:rsid w:val="009A14A9"/>
    <w:rsid w:val="009A15A6"/>
    <w:rsid w:val="009A15BA"/>
    <w:rsid w:val="009A15FB"/>
    <w:rsid w:val="009A1604"/>
    <w:rsid w:val="009A1659"/>
    <w:rsid w:val="009A16C2"/>
    <w:rsid w:val="009A1713"/>
    <w:rsid w:val="009A1760"/>
    <w:rsid w:val="009A176D"/>
    <w:rsid w:val="009A17DC"/>
    <w:rsid w:val="009A17FB"/>
    <w:rsid w:val="009A1820"/>
    <w:rsid w:val="009A185E"/>
    <w:rsid w:val="009A18AC"/>
    <w:rsid w:val="009A1928"/>
    <w:rsid w:val="009A1930"/>
    <w:rsid w:val="009A199F"/>
    <w:rsid w:val="009A19B5"/>
    <w:rsid w:val="009A19D4"/>
    <w:rsid w:val="009A1A47"/>
    <w:rsid w:val="009A1A95"/>
    <w:rsid w:val="009A1ABC"/>
    <w:rsid w:val="009A1ACE"/>
    <w:rsid w:val="009A1B49"/>
    <w:rsid w:val="009A1B5A"/>
    <w:rsid w:val="009A1B65"/>
    <w:rsid w:val="009A1BD1"/>
    <w:rsid w:val="009A1CAB"/>
    <w:rsid w:val="009A1CB1"/>
    <w:rsid w:val="009A1CFD"/>
    <w:rsid w:val="009A1D0F"/>
    <w:rsid w:val="009A1D27"/>
    <w:rsid w:val="009A1D2E"/>
    <w:rsid w:val="009A1D32"/>
    <w:rsid w:val="009A1D46"/>
    <w:rsid w:val="009A1D50"/>
    <w:rsid w:val="009A1D55"/>
    <w:rsid w:val="009A1D88"/>
    <w:rsid w:val="009A1DB2"/>
    <w:rsid w:val="009A1DCA"/>
    <w:rsid w:val="009A1E00"/>
    <w:rsid w:val="009A1E6C"/>
    <w:rsid w:val="009A1E92"/>
    <w:rsid w:val="009A1EA5"/>
    <w:rsid w:val="009A1ED0"/>
    <w:rsid w:val="009A1F4A"/>
    <w:rsid w:val="009A1F9E"/>
    <w:rsid w:val="009A1FC3"/>
    <w:rsid w:val="009A1FD2"/>
    <w:rsid w:val="009A205F"/>
    <w:rsid w:val="009A2073"/>
    <w:rsid w:val="009A20C0"/>
    <w:rsid w:val="009A212A"/>
    <w:rsid w:val="009A21D8"/>
    <w:rsid w:val="009A2252"/>
    <w:rsid w:val="009A2265"/>
    <w:rsid w:val="009A22C2"/>
    <w:rsid w:val="009A22CB"/>
    <w:rsid w:val="009A22F4"/>
    <w:rsid w:val="009A232A"/>
    <w:rsid w:val="009A23D8"/>
    <w:rsid w:val="009A2440"/>
    <w:rsid w:val="009A2454"/>
    <w:rsid w:val="009A2479"/>
    <w:rsid w:val="009A2510"/>
    <w:rsid w:val="009A2550"/>
    <w:rsid w:val="009A2580"/>
    <w:rsid w:val="009A25DD"/>
    <w:rsid w:val="009A2602"/>
    <w:rsid w:val="009A2614"/>
    <w:rsid w:val="009A2658"/>
    <w:rsid w:val="009A265E"/>
    <w:rsid w:val="009A2660"/>
    <w:rsid w:val="009A26D2"/>
    <w:rsid w:val="009A26D8"/>
    <w:rsid w:val="009A2702"/>
    <w:rsid w:val="009A2739"/>
    <w:rsid w:val="009A2745"/>
    <w:rsid w:val="009A27B4"/>
    <w:rsid w:val="009A27D3"/>
    <w:rsid w:val="009A2873"/>
    <w:rsid w:val="009A2888"/>
    <w:rsid w:val="009A28FB"/>
    <w:rsid w:val="009A29C1"/>
    <w:rsid w:val="009A29E8"/>
    <w:rsid w:val="009A29F6"/>
    <w:rsid w:val="009A2A18"/>
    <w:rsid w:val="009A2A25"/>
    <w:rsid w:val="009A2A37"/>
    <w:rsid w:val="009A2AED"/>
    <w:rsid w:val="009A2B06"/>
    <w:rsid w:val="009A2B16"/>
    <w:rsid w:val="009A2B91"/>
    <w:rsid w:val="009A2CA8"/>
    <w:rsid w:val="009A2CD3"/>
    <w:rsid w:val="009A2CE6"/>
    <w:rsid w:val="009A2CF4"/>
    <w:rsid w:val="009A2D3B"/>
    <w:rsid w:val="009A2D5D"/>
    <w:rsid w:val="009A2DFD"/>
    <w:rsid w:val="009A2DFF"/>
    <w:rsid w:val="009A2E0A"/>
    <w:rsid w:val="009A2E83"/>
    <w:rsid w:val="009A2EA1"/>
    <w:rsid w:val="009A2EB7"/>
    <w:rsid w:val="009A2F28"/>
    <w:rsid w:val="009A2F3D"/>
    <w:rsid w:val="009A2FEA"/>
    <w:rsid w:val="009A3010"/>
    <w:rsid w:val="009A3044"/>
    <w:rsid w:val="009A308D"/>
    <w:rsid w:val="009A30A0"/>
    <w:rsid w:val="009A30DB"/>
    <w:rsid w:val="009A30E2"/>
    <w:rsid w:val="009A3130"/>
    <w:rsid w:val="009A3134"/>
    <w:rsid w:val="009A3135"/>
    <w:rsid w:val="009A313F"/>
    <w:rsid w:val="009A315E"/>
    <w:rsid w:val="009A3236"/>
    <w:rsid w:val="009A325E"/>
    <w:rsid w:val="009A32A3"/>
    <w:rsid w:val="009A3341"/>
    <w:rsid w:val="009A3380"/>
    <w:rsid w:val="009A3395"/>
    <w:rsid w:val="009A339A"/>
    <w:rsid w:val="009A3405"/>
    <w:rsid w:val="009A3409"/>
    <w:rsid w:val="009A3454"/>
    <w:rsid w:val="009A3493"/>
    <w:rsid w:val="009A34B7"/>
    <w:rsid w:val="009A34E9"/>
    <w:rsid w:val="009A353B"/>
    <w:rsid w:val="009A35A1"/>
    <w:rsid w:val="009A3673"/>
    <w:rsid w:val="009A36C3"/>
    <w:rsid w:val="009A36DD"/>
    <w:rsid w:val="009A36E3"/>
    <w:rsid w:val="009A36EA"/>
    <w:rsid w:val="009A36FC"/>
    <w:rsid w:val="009A3704"/>
    <w:rsid w:val="009A3707"/>
    <w:rsid w:val="009A3758"/>
    <w:rsid w:val="009A375D"/>
    <w:rsid w:val="009A37FF"/>
    <w:rsid w:val="009A3801"/>
    <w:rsid w:val="009A380C"/>
    <w:rsid w:val="009A3843"/>
    <w:rsid w:val="009A387B"/>
    <w:rsid w:val="009A3886"/>
    <w:rsid w:val="009A3898"/>
    <w:rsid w:val="009A38B0"/>
    <w:rsid w:val="009A38C8"/>
    <w:rsid w:val="009A38D7"/>
    <w:rsid w:val="009A39B1"/>
    <w:rsid w:val="009A3A46"/>
    <w:rsid w:val="009A3B49"/>
    <w:rsid w:val="009A3BEA"/>
    <w:rsid w:val="009A3C18"/>
    <w:rsid w:val="009A3C31"/>
    <w:rsid w:val="009A3C3F"/>
    <w:rsid w:val="009A3CB8"/>
    <w:rsid w:val="009A3D13"/>
    <w:rsid w:val="009A3D45"/>
    <w:rsid w:val="009A3D75"/>
    <w:rsid w:val="009A3DB6"/>
    <w:rsid w:val="009A3DB8"/>
    <w:rsid w:val="009A3DCD"/>
    <w:rsid w:val="009A3DD7"/>
    <w:rsid w:val="009A3DD8"/>
    <w:rsid w:val="009A3E02"/>
    <w:rsid w:val="009A3E4D"/>
    <w:rsid w:val="009A3E4E"/>
    <w:rsid w:val="009A3F43"/>
    <w:rsid w:val="009A3F44"/>
    <w:rsid w:val="009A3F5D"/>
    <w:rsid w:val="009A3F7B"/>
    <w:rsid w:val="009A3F9E"/>
    <w:rsid w:val="009A404E"/>
    <w:rsid w:val="009A4086"/>
    <w:rsid w:val="009A40C6"/>
    <w:rsid w:val="009A40D3"/>
    <w:rsid w:val="009A41D9"/>
    <w:rsid w:val="009A41DF"/>
    <w:rsid w:val="009A41E6"/>
    <w:rsid w:val="009A4235"/>
    <w:rsid w:val="009A426F"/>
    <w:rsid w:val="009A428E"/>
    <w:rsid w:val="009A439C"/>
    <w:rsid w:val="009A43A5"/>
    <w:rsid w:val="009A43AA"/>
    <w:rsid w:val="009A43EC"/>
    <w:rsid w:val="009A4457"/>
    <w:rsid w:val="009A44FD"/>
    <w:rsid w:val="009A4517"/>
    <w:rsid w:val="009A451D"/>
    <w:rsid w:val="009A452C"/>
    <w:rsid w:val="009A458F"/>
    <w:rsid w:val="009A459A"/>
    <w:rsid w:val="009A45EB"/>
    <w:rsid w:val="009A463B"/>
    <w:rsid w:val="009A4685"/>
    <w:rsid w:val="009A469B"/>
    <w:rsid w:val="009A4784"/>
    <w:rsid w:val="009A47AB"/>
    <w:rsid w:val="009A47AD"/>
    <w:rsid w:val="009A4813"/>
    <w:rsid w:val="009A4814"/>
    <w:rsid w:val="009A4848"/>
    <w:rsid w:val="009A488A"/>
    <w:rsid w:val="009A495E"/>
    <w:rsid w:val="009A4979"/>
    <w:rsid w:val="009A49B3"/>
    <w:rsid w:val="009A49E6"/>
    <w:rsid w:val="009A49F6"/>
    <w:rsid w:val="009A49FF"/>
    <w:rsid w:val="009A4A52"/>
    <w:rsid w:val="009A4A64"/>
    <w:rsid w:val="009A4A8C"/>
    <w:rsid w:val="009A4AC6"/>
    <w:rsid w:val="009A4AD3"/>
    <w:rsid w:val="009A4B44"/>
    <w:rsid w:val="009A4BC9"/>
    <w:rsid w:val="009A4BF2"/>
    <w:rsid w:val="009A4C5D"/>
    <w:rsid w:val="009A4CB4"/>
    <w:rsid w:val="009A4CB5"/>
    <w:rsid w:val="009A4CE3"/>
    <w:rsid w:val="009A4CE8"/>
    <w:rsid w:val="009A4CE9"/>
    <w:rsid w:val="009A4D13"/>
    <w:rsid w:val="009A4D35"/>
    <w:rsid w:val="009A4D48"/>
    <w:rsid w:val="009A4D5A"/>
    <w:rsid w:val="009A4D82"/>
    <w:rsid w:val="009A4E0A"/>
    <w:rsid w:val="009A4E42"/>
    <w:rsid w:val="009A4E5F"/>
    <w:rsid w:val="009A4E8A"/>
    <w:rsid w:val="009A4ECB"/>
    <w:rsid w:val="009A4F0E"/>
    <w:rsid w:val="009A4F16"/>
    <w:rsid w:val="009A4F7F"/>
    <w:rsid w:val="009A4F8A"/>
    <w:rsid w:val="009A4FD1"/>
    <w:rsid w:val="009A4FD2"/>
    <w:rsid w:val="009A4FFF"/>
    <w:rsid w:val="009A5051"/>
    <w:rsid w:val="009A5073"/>
    <w:rsid w:val="009A50D8"/>
    <w:rsid w:val="009A5111"/>
    <w:rsid w:val="009A51C8"/>
    <w:rsid w:val="009A51CB"/>
    <w:rsid w:val="009A5270"/>
    <w:rsid w:val="009A5283"/>
    <w:rsid w:val="009A52A6"/>
    <w:rsid w:val="009A52B0"/>
    <w:rsid w:val="009A52BE"/>
    <w:rsid w:val="009A5338"/>
    <w:rsid w:val="009A5363"/>
    <w:rsid w:val="009A538E"/>
    <w:rsid w:val="009A5394"/>
    <w:rsid w:val="009A53CC"/>
    <w:rsid w:val="009A5461"/>
    <w:rsid w:val="009A54DD"/>
    <w:rsid w:val="009A5506"/>
    <w:rsid w:val="009A5574"/>
    <w:rsid w:val="009A5599"/>
    <w:rsid w:val="009A5601"/>
    <w:rsid w:val="009A561C"/>
    <w:rsid w:val="009A562C"/>
    <w:rsid w:val="009A5630"/>
    <w:rsid w:val="009A5665"/>
    <w:rsid w:val="009A566D"/>
    <w:rsid w:val="009A5678"/>
    <w:rsid w:val="009A56A4"/>
    <w:rsid w:val="009A56E8"/>
    <w:rsid w:val="009A5701"/>
    <w:rsid w:val="009A5743"/>
    <w:rsid w:val="009A5785"/>
    <w:rsid w:val="009A5797"/>
    <w:rsid w:val="009A57E2"/>
    <w:rsid w:val="009A582C"/>
    <w:rsid w:val="009A583B"/>
    <w:rsid w:val="009A58CD"/>
    <w:rsid w:val="009A58D1"/>
    <w:rsid w:val="009A58FA"/>
    <w:rsid w:val="009A5940"/>
    <w:rsid w:val="009A595C"/>
    <w:rsid w:val="009A595D"/>
    <w:rsid w:val="009A5982"/>
    <w:rsid w:val="009A5997"/>
    <w:rsid w:val="009A59A3"/>
    <w:rsid w:val="009A59FF"/>
    <w:rsid w:val="009A5AA3"/>
    <w:rsid w:val="009A5BC6"/>
    <w:rsid w:val="009A5BDA"/>
    <w:rsid w:val="009A5C39"/>
    <w:rsid w:val="009A5C49"/>
    <w:rsid w:val="009A5C4E"/>
    <w:rsid w:val="009A5CD3"/>
    <w:rsid w:val="009A5CED"/>
    <w:rsid w:val="009A5D10"/>
    <w:rsid w:val="009A5D72"/>
    <w:rsid w:val="009A5D7E"/>
    <w:rsid w:val="009A5DA2"/>
    <w:rsid w:val="009A5E78"/>
    <w:rsid w:val="009A5F13"/>
    <w:rsid w:val="009A5F34"/>
    <w:rsid w:val="009A5F8C"/>
    <w:rsid w:val="009A5FF7"/>
    <w:rsid w:val="009A6020"/>
    <w:rsid w:val="009A6069"/>
    <w:rsid w:val="009A6076"/>
    <w:rsid w:val="009A6087"/>
    <w:rsid w:val="009A608E"/>
    <w:rsid w:val="009A60E5"/>
    <w:rsid w:val="009A61BF"/>
    <w:rsid w:val="009A6200"/>
    <w:rsid w:val="009A620F"/>
    <w:rsid w:val="009A62D8"/>
    <w:rsid w:val="009A62FF"/>
    <w:rsid w:val="009A6333"/>
    <w:rsid w:val="009A635B"/>
    <w:rsid w:val="009A6360"/>
    <w:rsid w:val="009A63AF"/>
    <w:rsid w:val="009A63B5"/>
    <w:rsid w:val="009A63D2"/>
    <w:rsid w:val="009A646A"/>
    <w:rsid w:val="009A649A"/>
    <w:rsid w:val="009A649D"/>
    <w:rsid w:val="009A64CB"/>
    <w:rsid w:val="009A64D0"/>
    <w:rsid w:val="009A6500"/>
    <w:rsid w:val="009A652D"/>
    <w:rsid w:val="009A658F"/>
    <w:rsid w:val="009A65A4"/>
    <w:rsid w:val="009A65DF"/>
    <w:rsid w:val="009A6607"/>
    <w:rsid w:val="009A6669"/>
    <w:rsid w:val="009A66C4"/>
    <w:rsid w:val="009A66F7"/>
    <w:rsid w:val="009A6703"/>
    <w:rsid w:val="009A6734"/>
    <w:rsid w:val="009A6745"/>
    <w:rsid w:val="009A6758"/>
    <w:rsid w:val="009A67DD"/>
    <w:rsid w:val="009A6805"/>
    <w:rsid w:val="009A6912"/>
    <w:rsid w:val="009A694B"/>
    <w:rsid w:val="009A6997"/>
    <w:rsid w:val="009A69B8"/>
    <w:rsid w:val="009A69C6"/>
    <w:rsid w:val="009A6A6B"/>
    <w:rsid w:val="009A6A8C"/>
    <w:rsid w:val="009A6B56"/>
    <w:rsid w:val="009A6BC8"/>
    <w:rsid w:val="009A6BF8"/>
    <w:rsid w:val="009A6C0D"/>
    <w:rsid w:val="009A6C5C"/>
    <w:rsid w:val="009A6C7E"/>
    <w:rsid w:val="009A6CA1"/>
    <w:rsid w:val="009A6CB0"/>
    <w:rsid w:val="009A6CB3"/>
    <w:rsid w:val="009A6CC3"/>
    <w:rsid w:val="009A6D34"/>
    <w:rsid w:val="009A6D5A"/>
    <w:rsid w:val="009A6D65"/>
    <w:rsid w:val="009A6DEF"/>
    <w:rsid w:val="009A6E17"/>
    <w:rsid w:val="009A6E1B"/>
    <w:rsid w:val="009A6E73"/>
    <w:rsid w:val="009A6ECA"/>
    <w:rsid w:val="009A6F6A"/>
    <w:rsid w:val="009A6FAC"/>
    <w:rsid w:val="009A7080"/>
    <w:rsid w:val="009A70BC"/>
    <w:rsid w:val="009A70C9"/>
    <w:rsid w:val="009A70CA"/>
    <w:rsid w:val="009A7147"/>
    <w:rsid w:val="009A717C"/>
    <w:rsid w:val="009A71DF"/>
    <w:rsid w:val="009A723C"/>
    <w:rsid w:val="009A72E3"/>
    <w:rsid w:val="009A7329"/>
    <w:rsid w:val="009A7352"/>
    <w:rsid w:val="009A7480"/>
    <w:rsid w:val="009A748A"/>
    <w:rsid w:val="009A748E"/>
    <w:rsid w:val="009A74D5"/>
    <w:rsid w:val="009A7530"/>
    <w:rsid w:val="009A7545"/>
    <w:rsid w:val="009A754B"/>
    <w:rsid w:val="009A75E1"/>
    <w:rsid w:val="009A7608"/>
    <w:rsid w:val="009A7639"/>
    <w:rsid w:val="009A76B0"/>
    <w:rsid w:val="009A7703"/>
    <w:rsid w:val="009A7729"/>
    <w:rsid w:val="009A7735"/>
    <w:rsid w:val="009A7757"/>
    <w:rsid w:val="009A776A"/>
    <w:rsid w:val="009A7770"/>
    <w:rsid w:val="009A77A4"/>
    <w:rsid w:val="009A7889"/>
    <w:rsid w:val="009A78A2"/>
    <w:rsid w:val="009A78B4"/>
    <w:rsid w:val="009A78D5"/>
    <w:rsid w:val="009A7921"/>
    <w:rsid w:val="009A7984"/>
    <w:rsid w:val="009A7A5A"/>
    <w:rsid w:val="009A7A8C"/>
    <w:rsid w:val="009A7A9B"/>
    <w:rsid w:val="009A7AB3"/>
    <w:rsid w:val="009A7AB8"/>
    <w:rsid w:val="009A7AD9"/>
    <w:rsid w:val="009A7B05"/>
    <w:rsid w:val="009A7B6C"/>
    <w:rsid w:val="009A7B80"/>
    <w:rsid w:val="009A7C1A"/>
    <w:rsid w:val="009A7C21"/>
    <w:rsid w:val="009A7C36"/>
    <w:rsid w:val="009A7C3C"/>
    <w:rsid w:val="009A7C8D"/>
    <w:rsid w:val="009A7CE8"/>
    <w:rsid w:val="009A7CED"/>
    <w:rsid w:val="009A7D29"/>
    <w:rsid w:val="009A7D7B"/>
    <w:rsid w:val="009A7DC3"/>
    <w:rsid w:val="009A7DCC"/>
    <w:rsid w:val="009A7E26"/>
    <w:rsid w:val="009A7E57"/>
    <w:rsid w:val="009A7EA2"/>
    <w:rsid w:val="009A7EC4"/>
    <w:rsid w:val="009A7EC5"/>
    <w:rsid w:val="009A7F5E"/>
    <w:rsid w:val="009A7F83"/>
    <w:rsid w:val="009A7F92"/>
    <w:rsid w:val="009B0003"/>
    <w:rsid w:val="009B0028"/>
    <w:rsid w:val="009B006E"/>
    <w:rsid w:val="009B0099"/>
    <w:rsid w:val="009B00B4"/>
    <w:rsid w:val="009B00EF"/>
    <w:rsid w:val="009B0199"/>
    <w:rsid w:val="009B01D9"/>
    <w:rsid w:val="009B0216"/>
    <w:rsid w:val="009B021A"/>
    <w:rsid w:val="009B0237"/>
    <w:rsid w:val="009B0259"/>
    <w:rsid w:val="009B0262"/>
    <w:rsid w:val="009B02A0"/>
    <w:rsid w:val="009B02C7"/>
    <w:rsid w:val="009B02C8"/>
    <w:rsid w:val="009B02FE"/>
    <w:rsid w:val="009B040B"/>
    <w:rsid w:val="009B040D"/>
    <w:rsid w:val="009B0434"/>
    <w:rsid w:val="009B04DC"/>
    <w:rsid w:val="009B04F5"/>
    <w:rsid w:val="009B0520"/>
    <w:rsid w:val="009B0556"/>
    <w:rsid w:val="009B0580"/>
    <w:rsid w:val="009B05AD"/>
    <w:rsid w:val="009B05B2"/>
    <w:rsid w:val="009B0681"/>
    <w:rsid w:val="009B077B"/>
    <w:rsid w:val="009B0807"/>
    <w:rsid w:val="009B0839"/>
    <w:rsid w:val="009B084F"/>
    <w:rsid w:val="009B089D"/>
    <w:rsid w:val="009B08BC"/>
    <w:rsid w:val="009B098E"/>
    <w:rsid w:val="009B0991"/>
    <w:rsid w:val="009B0A22"/>
    <w:rsid w:val="009B0A69"/>
    <w:rsid w:val="009B0A82"/>
    <w:rsid w:val="009B0A8C"/>
    <w:rsid w:val="009B0AB6"/>
    <w:rsid w:val="009B0AD7"/>
    <w:rsid w:val="009B0B70"/>
    <w:rsid w:val="009B0B7E"/>
    <w:rsid w:val="009B0B82"/>
    <w:rsid w:val="009B0B93"/>
    <w:rsid w:val="009B0BB5"/>
    <w:rsid w:val="009B0CCC"/>
    <w:rsid w:val="009B0CFB"/>
    <w:rsid w:val="009B0D20"/>
    <w:rsid w:val="009B0D62"/>
    <w:rsid w:val="009B0D68"/>
    <w:rsid w:val="009B0DCD"/>
    <w:rsid w:val="009B0DFD"/>
    <w:rsid w:val="009B0E05"/>
    <w:rsid w:val="009B0E7F"/>
    <w:rsid w:val="009B0EEA"/>
    <w:rsid w:val="009B0F21"/>
    <w:rsid w:val="009B0F40"/>
    <w:rsid w:val="009B0FA1"/>
    <w:rsid w:val="009B102F"/>
    <w:rsid w:val="009B103A"/>
    <w:rsid w:val="009B10EB"/>
    <w:rsid w:val="009B1178"/>
    <w:rsid w:val="009B1206"/>
    <w:rsid w:val="009B1219"/>
    <w:rsid w:val="009B1227"/>
    <w:rsid w:val="009B12C4"/>
    <w:rsid w:val="009B12DE"/>
    <w:rsid w:val="009B131A"/>
    <w:rsid w:val="009B1365"/>
    <w:rsid w:val="009B1390"/>
    <w:rsid w:val="009B13ED"/>
    <w:rsid w:val="009B1417"/>
    <w:rsid w:val="009B142D"/>
    <w:rsid w:val="009B14B1"/>
    <w:rsid w:val="009B14C7"/>
    <w:rsid w:val="009B1542"/>
    <w:rsid w:val="009B15CD"/>
    <w:rsid w:val="009B15E8"/>
    <w:rsid w:val="009B1629"/>
    <w:rsid w:val="009B1641"/>
    <w:rsid w:val="009B1651"/>
    <w:rsid w:val="009B1671"/>
    <w:rsid w:val="009B167B"/>
    <w:rsid w:val="009B169E"/>
    <w:rsid w:val="009B16AF"/>
    <w:rsid w:val="009B16B3"/>
    <w:rsid w:val="009B1747"/>
    <w:rsid w:val="009B178C"/>
    <w:rsid w:val="009B17B1"/>
    <w:rsid w:val="009B1812"/>
    <w:rsid w:val="009B1855"/>
    <w:rsid w:val="009B186C"/>
    <w:rsid w:val="009B189B"/>
    <w:rsid w:val="009B18A8"/>
    <w:rsid w:val="009B19D8"/>
    <w:rsid w:val="009B1A01"/>
    <w:rsid w:val="009B1A36"/>
    <w:rsid w:val="009B1A9B"/>
    <w:rsid w:val="009B1AA7"/>
    <w:rsid w:val="009B1B18"/>
    <w:rsid w:val="009B1B3F"/>
    <w:rsid w:val="009B1B51"/>
    <w:rsid w:val="009B1B5C"/>
    <w:rsid w:val="009B1C37"/>
    <w:rsid w:val="009B1C67"/>
    <w:rsid w:val="009B1C68"/>
    <w:rsid w:val="009B1C72"/>
    <w:rsid w:val="009B1C92"/>
    <w:rsid w:val="009B1CC8"/>
    <w:rsid w:val="009B1CEE"/>
    <w:rsid w:val="009B1CFA"/>
    <w:rsid w:val="009B1D8E"/>
    <w:rsid w:val="009B1D96"/>
    <w:rsid w:val="009B1D98"/>
    <w:rsid w:val="009B1DB5"/>
    <w:rsid w:val="009B1DB9"/>
    <w:rsid w:val="009B1DC4"/>
    <w:rsid w:val="009B1DE0"/>
    <w:rsid w:val="009B1E0E"/>
    <w:rsid w:val="009B1E42"/>
    <w:rsid w:val="009B1E70"/>
    <w:rsid w:val="009B1E75"/>
    <w:rsid w:val="009B1E91"/>
    <w:rsid w:val="009B1E94"/>
    <w:rsid w:val="009B1EAD"/>
    <w:rsid w:val="009B1F2B"/>
    <w:rsid w:val="009B1FB6"/>
    <w:rsid w:val="009B1FCE"/>
    <w:rsid w:val="009B1FDC"/>
    <w:rsid w:val="009B210E"/>
    <w:rsid w:val="009B2128"/>
    <w:rsid w:val="009B21B2"/>
    <w:rsid w:val="009B21F6"/>
    <w:rsid w:val="009B22B1"/>
    <w:rsid w:val="009B22F7"/>
    <w:rsid w:val="009B233E"/>
    <w:rsid w:val="009B2372"/>
    <w:rsid w:val="009B23CE"/>
    <w:rsid w:val="009B243C"/>
    <w:rsid w:val="009B244B"/>
    <w:rsid w:val="009B2477"/>
    <w:rsid w:val="009B249C"/>
    <w:rsid w:val="009B24CB"/>
    <w:rsid w:val="009B2511"/>
    <w:rsid w:val="009B2536"/>
    <w:rsid w:val="009B254C"/>
    <w:rsid w:val="009B25D7"/>
    <w:rsid w:val="009B2627"/>
    <w:rsid w:val="009B2637"/>
    <w:rsid w:val="009B2667"/>
    <w:rsid w:val="009B26C1"/>
    <w:rsid w:val="009B26CF"/>
    <w:rsid w:val="009B278E"/>
    <w:rsid w:val="009B27D3"/>
    <w:rsid w:val="009B28A1"/>
    <w:rsid w:val="009B28A4"/>
    <w:rsid w:val="009B28E6"/>
    <w:rsid w:val="009B293C"/>
    <w:rsid w:val="009B2981"/>
    <w:rsid w:val="009B29A4"/>
    <w:rsid w:val="009B29B5"/>
    <w:rsid w:val="009B29D3"/>
    <w:rsid w:val="009B2A3C"/>
    <w:rsid w:val="009B2A8E"/>
    <w:rsid w:val="009B2A91"/>
    <w:rsid w:val="009B2A95"/>
    <w:rsid w:val="009B2AA5"/>
    <w:rsid w:val="009B2AA8"/>
    <w:rsid w:val="009B2ACF"/>
    <w:rsid w:val="009B2B24"/>
    <w:rsid w:val="009B2B33"/>
    <w:rsid w:val="009B2B7A"/>
    <w:rsid w:val="009B2BA2"/>
    <w:rsid w:val="009B2BB6"/>
    <w:rsid w:val="009B2BFA"/>
    <w:rsid w:val="009B2C1D"/>
    <w:rsid w:val="009B2C80"/>
    <w:rsid w:val="009B2CBE"/>
    <w:rsid w:val="009B2CCB"/>
    <w:rsid w:val="009B2CDB"/>
    <w:rsid w:val="009B2D0E"/>
    <w:rsid w:val="009B2D10"/>
    <w:rsid w:val="009B2D7C"/>
    <w:rsid w:val="009B2DAD"/>
    <w:rsid w:val="009B2DF1"/>
    <w:rsid w:val="009B2E50"/>
    <w:rsid w:val="009B2E52"/>
    <w:rsid w:val="009B2E7D"/>
    <w:rsid w:val="009B2E95"/>
    <w:rsid w:val="009B2EA3"/>
    <w:rsid w:val="009B2F3D"/>
    <w:rsid w:val="009B2F6E"/>
    <w:rsid w:val="009B2F77"/>
    <w:rsid w:val="009B2FB6"/>
    <w:rsid w:val="009B3001"/>
    <w:rsid w:val="009B303F"/>
    <w:rsid w:val="009B30C0"/>
    <w:rsid w:val="009B3101"/>
    <w:rsid w:val="009B310C"/>
    <w:rsid w:val="009B3137"/>
    <w:rsid w:val="009B3162"/>
    <w:rsid w:val="009B318C"/>
    <w:rsid w:val="009B3194"/>
    <w:rsid w:val="009B31FC"/>
    <w:rsid w:val="009B3201"/>
    <w:rsid w:val="009B320E"/>
    <w:rsid w:val="009B324C"/>
    <w:rsid w:val="009B326E"/>
    <w:rsid w:val="009B32C8"/>
    <w:rsid w:val="009B32EA"/>
    <w:rsid w:val="009B32F2"/>
    <w:rsid w:val="009B3355"/>
    <w:rsid w:val="009B33DD"/>
    <w:rsid w:val="009B33DF"/>
    <w:rsid w:val="009B3449"/>
    <w:rsid w:val="009B3458"/>
    <w:rsid w:val="009B349A"/>
    <w:rsid w:val="009B34BE"/>
    <w:rsid w:val="009B34C3"/>
    <w:rsid w:val="009B34D9"/>
    <w:rsid w:val="009B34F0"/>
    <w:rsid w:val="009B353B"/>
    <w:rsid w:val="009B355F"/>
    <w:rsid w:val="009B356E"/>
    <w:rsid w:val="009B3575"/>
    <w:rsid w:val="009B3591"/>
    <w:rsid w:val="009B359C"/>
    <w:rsid w:val="009B35DC"/>
    <w:rsid w:val="009B35DE"/>
    <w:rsid w:val="009B35EA"/>
    <w:rsid w:val="009B3610"/>
    <w:rsid w:val="009B36BB"/>
    <w:rsid w:val="009B370E"/>
    <w:rsid w:val="009B372C"/>
    <w:rsid w:val="009B3779"/>
    <w:rsid w:val="009B37F0"/>
    <w:rsid w:val="009B382C"/>
    <w:rsid w:val="009B3883"/>
    <w:rsid w:val="009B38A3"/>
    <w:rsid w:val="009B38CC"/>
    <w:rsid w:val="009B3950"/>
    <w:rsid w:val="009B3954"/>
    <w:rsid w:val="009B3986"/>
    <w:rsid w:val="009B3997"/>
    <w:rsid w:val="009B39B5"/>
    <w:rsid w:val="009B39D8"/>
    <w:rsid w:val="009B3A37"/>
    <w:rsid w:val="009B3A88"/>
    <w:rsid w:val="009B3ABA"/>
    <w:rsid w:val="009B3B27"/>
    <w:rsid w:val="009B3B2B"/>
    <w:rsid w:val="009B3B47"/>
    <w:rsid w:val="009B3B8A"/>
    <w:rsid w:val="009B3BF5"/>
    <w:rsid w:val="009B3C13"/>
    <w:rsid w:val="009B3C14"/>
    <w:rsid w:val="009B3C39"/>
    <w:rsid w:val="009B3C48"/>
    <w:rsid w:val="009B3C94"/>
    <w:rsid w:val="009B3D23"/>
    <w:rsid w:val="009B3D43"/>
    <w:rsid w:val="009B3DDE"/>
    <w:rsid w:val="009B3E6D"/>
    <w:rsid w:val="009B3E93"/>
    <w:rsid w:val="009B3ED9"/>
    <w:rsid w:val="009B3F6D"/>
    <w:rsid w:val="009B3FA2"/>
    <w:rsid w:val="009B400A"/>
    <w:rsid w:val="009B4033"/>
    <w:rsid w:val="009B4050"/>
    <w:rsid w:val="009B405B"/>
    <w:rsid w:val="009B4070"/>
    <w:rsid w:val="009B40A0"/>
    <w:rsid w:val="009B40D5"/>
    <w:rsid w:val="009B40DA"/>
    <w:rsid w:val="009B4117"/>
    <w:rsid w:val="009B4161"/>
    <w:rsid w:val="009B4168"/>
    <w:rsid w:val="009B416B"/>
    <w:rsid w:val="009B418A"/>
    <w:rsid w:val="009B41CA"/>
    <w:rsid w:val="009B41CD"/>
    <w:rsid w:val="009B4291"/>
    <w:rsid w:val="009B42A6"/>
    <w:rsid w:val="009B42BC"/>
    <w:rsid w:val="009B42CE"/>
    <w:rsid w:val="009B4326"/>
    <w:rsid w:val="009B437A"/>
    <w:rsid w:val="009B438D"/>
    <w:rsid w:val="009B43F8"/>
    <w:rsid w:val="009B43FC"/>
    <w:rsid w:val="009B4419"/>
    <w:rsid w:val="009B4450"/>
    <w:rsid w:val="009B44C3"/>
    <w:rsid w:val="009B44EA"/>
    <w:rsid w:val="009B451E"/>
    <w:rsid w:val="009B452F"/>
    <w:rsid w:val="009B453C"/>
    <w:rsid w:val="009B4643"/>
    <w:rsid w:val="009B4663"/>
    <w:rsid w:val="009B466C"/>
    <w:rsid w:val="009B469F"/>
    <w:rsid w:val="009B46B2"/>
    <w:rsid w:val="009B46B7"/>
    <w:rsid w:val="009B46B8"/>
    <w:rsid w:val="009B46EE"/>
    <w:rsid w:val="009B470E"/>
    <w:rsid w:val="009B473C"/>
    <w:rsid w:val="009B4754"/>
    <w:rsid w:val="009B4759"/>
    <w:rsid w:val="009B4782"/>
    <w:rsid w:val="009B47C5"/>
    <w:rsid w:val="009B47CC"/>
    <w:rsid w:val="009B4871"/>
    <w:rsid w:val="009B4894"/>
    <w:rsid w:val="009B48BD"/>
    <w:rsid w:val="009B4949"/>
    <w:rsid w:val="009B496E"/>
    <w:rsid w:val="009B49AB"/>
    <w:rsid w:val="009B49C1"/>
    <w:rsid w:val="009B49D3"/>
    <w:rsid w:val="009B49E8"/>
    <w:rsid w:val="009B4A42"/>
    <w:rsid w:val="009B4A93"/>
    <w:rsid w:val="009B4AD7"/>
    <w:rsid w:val="009B4AEC"/>
    <w:rsid w:val="009B4BAA"/>
    <w:rsid w:val="009B4CA4"/>
    <w:rsid w:val="009B4CCD"/>
    <w:rsid w:val="009B4CE0"/>
    <w:rsid w:val="009B4D0A"/>
    <w:rsid w:val="009B4D1F"/>
    <w:rsid w:val="009B4D39"/>
    <w:rsid w:val="009B4D64"/>
    <w:rsid w:val="009B4D9F"/>
    <w:rsid w:val="009B4E64"/>
    <w:rsid w:val="009B4E81"/>
    <w:rsid w:val="009B4EE0"/>
    <w:rsid w:val="009B4EE5"/>
    <w:rsid w:val="009B5016"/>
    <w:rsid w:val="009B5021"/>
    <w:rsid w:val="009B5024"/>
    <w:rsid w:val="009B507D"/>
    <w:rsid w:val="009B508C"/>
    <w:rsid w:val="009B50A5"/>
    <w:rsid w:val="009B50CA"/>
    <w:rsid w:val="009B50F7"/>
    <w:rsid w:val="009B5104"/>
    <w:rsid w:val="009B5119"/>
    <w:rsid w:val="009B511F"/>
    <w:rsid w:val="009B515A"/>
    <w:rsid w:val="009B519E"/>
    <w:rsid w:val="009B51CE"/>
    <w:rsid w:val="009B51EF"/>
    <w:rsid w:val="009B523F"/>
    <w:rsid w:val="009B52A4"/>
    <w:rsid w:val="009B52D3"/>
    <w:rsid w:val="009B52E1"/>
    <w:rsid w:val="009B52FC"/>
    <w:rsid w:val="009B5334"/>
    <w:rsid w:val="009B5348"/>
    <w:rsid w:val="009B534A"/>
    <w:rsid w:val="009B53C2"/>
    <w:rsid w:val="009B53CE"/>
    <w:rsid w:val="009B53DC"/>
    <w:rsid w:val="009B5484"/>
    <w:rsid w:val="009B54A5"/>
    <w:rsid w:val="009B5547"/>
    <w:rsid w:val="009B5586"/>
    <w:rsid w:val="009B55A4"/>
    <w:rsid w:val="009B561A"/>
    <w:rsid w:val="009B5640"/>
    <w:rsid w:val="009B567F"/>
    <w:rsid w:val="009B569A"/>
    <w:rsid w:val="009B56A1"/>
    <w:rsid w:val="009B5768"/>
    <w:rsid w:val="009B581C"/>
    <w:rsid w:val="009B5821"/>
    <w:rsid w:val="009B5833"/>
    <w:rsid w:val="009B5837"/>
    <w:rsid w:val="009B5870"/>
    <w:rsid w:val="009B58CF"/>
    <w:rsid w:val="009B58D5"/>
    <w:rsid w:val="009B591D"/>
    <w:rsid w:val="009B5964"/>
    <w:rsid w:val="009B597D"/>
    <w:rsid w:val="009B5986"/>
    <w:rsid w:val="009B59E1"/>
    <w:rsid w:val="009B59E4"/>
    <w:rsid w:val="009B59FC"/>
    <w:rsid w:val="009B5A64"/>
    <w:rsid w:val="009B5A6B"/>
    <w:rsid w:val="009B5B21"/>
    <w:rsid w:val="009B5B2D"/>
    <w:rsid w:val="009B5B62"/>
    <w:rsid w:val="009B5BA6"/>
    <w:rsid w:val="009B5BD1"/>
    <w:rsid w:val="009B5C13"/>
    <w:rsid w:val="009B5C3E"/>
    <w:rsid w:val="009B5D1F"/>
    <w:rsid w:val="009B5D5C"/>
    <w:rsid w:val="009B5D74"/>
    <w:rsid w:val="009B5D89"/>
    <w:rsid w:val="009B5DAE"/>
    <w:rsid w:val="009B5DBE"/>
    <w:rsid w:val="009B5DC5"/>
    <w:rsid w:val="009B5DDA"/>
    <w:rsid w:val="009B5E0E"/>
    <w:rsid w:val="009B5E33"/>
    <w:rsid w:val="009B5E42"/>
    <w:rsid w:val="009B5E4A"/>
    <w:rsid w:val="009B5E84"/>
    <w:rsid w:val="009B5EC6"/>
    <w:rsid w:val="009B5EED"/>
    <w:rsid w:val="009B5F23"/>
    <w:rsid w:val="009B5F64"/>
    <w:rsid w:val="009B5F6C"/>
    <w:rsid w:val="009B5FCC"/>
    <w:rsid w:val="009B5FF1"/>
    <w:rsid w:val="009B6016"/>
    <w:rsid w:val="009B606C"/>
    <w:rsid w:val="009B606E"/>
    <w:rsid w:val="009B6091"/>
    <w:rsid w:val="009B60B6"/>
    <w:rsid w:val="009B614C"/>
    <w:rsid w:val="009B614D"/>
    <w:rsid w:val="009B615E"/>
    <w:rsid w:val="009B6186"/>
    <w:rsid w:val="009B61B6"/>
    <w:rsid w:val="009B6212"/>
    <w:rsid w:val="009B6298"/>
    <w:rsid w:val="009B62AE"/>
    <w:rsid w:val="009B62CD"/>
    <w:rsid w:val="009B634F"/>
    <w:rsid w:val="009B6376"/>
    <w:rsid w:val="009B6395"/>
    <w:rsid w:val="009B63E0"/>
    <w:rsid w:val="009B6413"/>
    <w:rsid w:val="009B6442"/>
    <w:rsid w:val="009B6454"/>
    <w:rsid w:val="009B648A"/>
    <w:rsid w:val="009B6496"/>
    <w:rsid w:val="009B64D4"/>
    <w:rsid w:val="009B64E0"/>
    <w:rsid w:val="009B64E9"/>
    <w:rsid w:val="009B64EF"/>
    <w:rsid w:val="009B6546"/>
    <w:rsid w:val="009B6550"/>
    <w:rsid w:val="009B657B"/>
    <w:rsid w:val="009B659B"/>
    <w:rsid w:val="009B6605"/>
    <w:rsid w:val="009B6618"/>
    <w:rsid w:val="009B665F"/>
    <w:rsid w:val="009B670D"/>
    <w:rsid w:val="009B6720"/>
    <w:rsid w:val="009B6795"/>
    <w:rsid w:val="009B67F2"/>
    <w:rsid w:val="009B682C"/>
    <w:rsid w:val="009B68A2"/>
    <w:rsid w:val="009B692C"/>
    <w:rsid w:val="009B6933"/>
    <w:rsid w:val="009B6952"/>
    <w:rsid w:val="009B6960"/>
    <w:rsid w:val="009B69B0"/>
    <w:rsid w:val="009B69FA"/>
    <w:rsid w:val="009B6A13"/>
    <w:rsid w:val="009B6A1F"/>
    <w:rsid w:val="009B6A20"/>
    <w:rsid w:val="009B6A7C"/>
    <w:rsid w:val="009B6A7F"/>
    <w:rsid w:val="009B6AE2"/>
    <w:rsid w:val="009B6B03"/>
    <w:rsid w:val="009B6B06"/>
    <w:rsid w:val="009B6BA6"/>
    <w:rsid w:val="009B6C1D"/>
    <w:rsid w:val="009B6C28"/>
    <w:rsid w:val="009B6CA4"/>
    <w:rsid w:val="009B6D25"/>
    <w:rsid w:val="009B6D51"/>
    <w:rsid w:val="009B6D7A"/>
    <w:rsid w:val="009B6DA3"/>
    <w:rsid w:val="009B6DB4"/>
    <w:rsid w:val="009B6DC0"/>
    <w:rsid w:val="009B6DC5"/>
    <w:rsid w:val="009B6E0D"/>
    <w:rsid w:val="009B6E0E"/>
    <w:rsid w:val="009B6E74"/>
    <w:rsid w:val="009B6E82"/>
    <w:rsid w:val="009B6E9A"/>
    <w:rsid w:val="009B6EFE"/>
    <w:rsid w:val="009B6F12"/>
    <w:rsid w:val="009B6F33"/>
    <w:rsid w:val="009B6F42"/>
    <w:rsid w:val="009B6F6C"/>
    <w:rsid w:val="009B7009"/>
    <w:rsid w:val="009B7045"/>
    <w:rsid w:val="009B705A"/>
    <w:rsid w:val="009B7069"/>
    <w:rsid w:val="009B7088"/>
    <w:rsid w:val="009B70A6"/>
    <w:rsid w:val="009B70B2"/>
    <w:rsid w:val="009B70B3"/>
    <w:rsid w:val="009B70D4"/>
    <w:rsid w:val="009B7103"/>
    <w:rsid w:val="009B7109"/>
    <w:rsid w:val="009B7112"/>
    <w:rsid w:val="009B7114"/>
    <w:rsid w:val="009B7143"/>
    <w:rsid w:val="009B71FE"/>
    <w:rsid w:val="009B725A"/>
    <w:rsid w:val="009B7318"/>
    <w:rsid w:val="009B7395"/>
    <w:rsid w:val="009B7396"/>
    <w:rsid w:val="009B73B5"/>
    <w:rsid w:val="009B73BC"/>
    <w:rsid w:val="009B7414"/>
    <w:rsid w:val="009B741D"/>
    <w:rsid w:val="009B74AA"/>
    <w:rsid w:val="009B74D7"/>
    <w:rsid w:val="009B74F8"/>
    <w:rsid w:val="009B7525"/>
    <w:rsid w:val="009B75A5"/>
    <w:rsid w:val="009B75BE"/>
    <w:rsid w:val="009B7615"/>
    <w:rsid w:val="009B765C"/>
    <w:rsid w:val="009B76C1"/>
    <w:rsid w:val="009B76E9"/>
    <w:rsid w:val="009B7716"/>
    <w:rsid w:val="009B7722"/>
    <w:rsid w:val="009B7733"/>
    <w:rsid w:val="009B773A"/>
    <w:rsid w:val="009B7783"/>
    <w:rsid w:val="009B7794"/>
    <w:rsid w:val="009B77FC"/>
    <w:rsid w:val="009B78AC"/>
    <w:rsid w:val="009B7916"/>
    <w:rsid w:val="009B7919"/>
    <w:rsid w:val="009B7975"/>
    <w:rsid w:val="009B7984"/>
    <w:rsid w:val="009B7995"/>
    <w:rsid w:val="009B799D"/>
    <w:rsid w:val="009B7A05"/>
    <w:rsid w:val="009B7A3D"/>
    <w:rsid w:val="009B7A8C"/>
    <w:rsid w:val="009B7AA0"/>
    <w:rsid w:val="009B7AD1"/>
    <w:rsid w:val="009B7AF7"/>
    <w:rsid w:val="009B7B18"/>
    <w:rsid w:val="009B7B27"/>
    <w:rsid w:val="009B7B37"/>
    <w:rsid w:val="009B7B3D"/>
    <w:rsid w:val="009B7B52"/>
    <w:rsid w:val="009B7B9B"/>
    <w:rsid w:val="009B7BB0"/>
    <w:rsid w:val="009B7BC1"/>
    <w:rsid w:val="009B7BD2"/>
    <w:rsid w:val="009B7C15"/>
    <w:rsid w:val="009B7C75"/>
    <w:rsid w:val="009B7C7C"/>
    <w:rsid w:val="009B7D05"/>
    <w:rsid w:val="009B7D2A"/>
    <w:rsid w:val="009B7D31"/>
    <w:rsid w:val="009B7D4F"/>
    <w:rsid w:val="009B7D5A"/>
    <w:rsid w:val="009B7D75"/>
    <w:rsid w:val="009B7DB1"/>
    <w:rsid w:val="009B7DCC"/>
    <w:rsid w:val="009B7E2F"/>
    <w:rsid w:val="009B7E82"/>
    <w:rsid w:val="009B7EB2"/>
    <w:rsid w:val="009B7EC5"/>
    <w:rsid w:val="009B7F38"/>
    <w:rsid w:val="009B7F4A"/>
    <w:rsid w:val="009B7F97"/>
    <w:rsid w:val="009B7F99"/>
    <w:rsid w:val="009C00B8"/>
    <w:rsid w:val="009C00C0"/>
    <w:rsid w:val="009C00CB"/>
    <w:rsid w:val="009C0105"/>
    <w:rsid w:val="009C0136"/>
    <w:rsid w:val="009C016E"/>
    <w:rsid w:val="009C0173"/>
    <w:rsid w:val="009C019B"/>
    <w:rsid w:val="009C01EB"/>
    <w:rsid w:val="009C0319"/>
    <w:rsid w:val="009C036C"/>
    <w:rsid w:val="009C038D"/>
    <w:rsid w:val="009C03C4"/>
    <w:rsid w:val="009C03DE"/>
    <w:rsid w:val="009C03DF"/>
    <w:rsid w:val="009C040A"/>
    <w:rsid w:val="009C0423"/>
    <w:rsid w:val="009C0441"/>
    <w:rsid w:val="009C04A3"/>
    <w:rsid w:val="009C04C6"/>
    <w:rsid w:val="009C04FC"/>
    <w:rsid w:val="009C0532"/>
    <w:rsid w:val="009C055D"/>
    <w:rsid w:val="009C058E"/>
    <w:rsid w:val="009C0617"/>
    <w:rsid w:val="009C0667"/>
    <w:rsid w:val="009C066C"/>
    <w:rsid w:val="009C067A"/>
    <w:rsid w:val="009C067F"/>
    <w:rsid w:val="009C0708"/>
    <w:rsid w:val="009C0722"/>
    <w:rsid w:val="009C0725"/>
    <w:rsid w:val="009C074E"/>
    <w:rsid w:val="009C0772"/>
    <w:rsid w:val="009C07BF"/>
    <w:rsid w:val="009C0801"/>
    <w:rsid w:val="009C0833"/>
    <w:rsid w:val="009C08AC"/>
    <w:rsid w:val="009C08D5"/>
    <w:rsid w:val="009C08ED"/>
    <w:rsid w:val="009C091E"/>
    <w:rsid w:val="009C0A65"/>
    <w:rsid w:val="009C0A94"/>
    <w:rsid w:val="009C0AF1"/>
    <w:rsid w:val="009C0B00"/>
    <w:rsid w:val="009C0B34"/>
    <w:rsid w:val="009C0B5E"/>
    <w:rsid w:val="009C0B88"/>
    <w:rsid w:val="009C0BBA"/>
    <w:rsid w:val="009C0BD1"/>
    <w:rsid w:val="009C0BE8"/>
    <w:rsid w:val="009C0C71"/>
    <w:rsid w:val="009C0C81"/>
    <w:rsid w:val="009C0C95"/>
    <w:rsid w:val="009C0CA7"/>
    <w:rsid w:val="009C0CDA"/>
    <w:rsid w:val="009C0D04"/>
    <w:rsid w:val="009C0D34"/>
    <w:rsid w:val="009C0DD8"/>
    <w:rsid w:val="009C0E6C"/>
    <w:rsid w:val="009C0E91"/>
    <w:rsid w:val="009C0ED2"/>
    <w:rsid w:val="009C0FA0"/>
    <w:rsid w:val="009C0FB8"/>
    <w:rsid w:val="009C1048"/>
    <w:rsid w:val="009C1054"/>
    <w:rsid w:val="009C1064"/>
    <w:rsid w:val="009C10DF"/>
    <w:rsid w:val="009C114D"/>
    <w:rsid w:val="009C1156"/>
    <w:rsid w:val="009C1162"/>
    <w:rsid w:val="009C118A"/>
    <w:rsid w:val="009C11EB"/>
    <w:rsid w:val="009C11EE"/>
    <w:rsid w:val="009C1220"/>
    <w:rsid w:val="009C123C"/>
    <w:rsid w:val="009C1242"/>
    <w:rsid w:val="009C12A8"/>
    <w:rsid w:val="009C12BB"/>
    <w:rsid w:val="009C12D4"/>
    <w:rsid w:val="009C132E"/>
    <w:rsid w:val="009C133C"/>
    <w:rsid w:val="009C134C"/>
    <w:rsid w:val="009C13A3"/>
    <w:rsid w:val="009C13FB"/>
    <w:rsid w:val="009C13FD"/>
    <w:rsid w:val="009C1410"/>
    <w:rsid w:val="009C149A"/>
    <w:rsid w:val="009C14A0"/>
    <w:rsid w:val="009C14D2"/>
    <w:rsid w:val="009C14D5"/>
    <w:rsid w:val="009C1619"/>
    <w:rsid w:val="009C1648"/>
    <w:rsid w:val="009C1692"/>
    <w:rsid w:val="009C1698"/>
    <w:rsid w:val="009C16AE"/>
    <w:rsid w:val="009C16B4"/>
    <w:rsid w:val="009C1760"/>
    <w:rsid w:val="009C1774"/>
    <w:rsid w:val="009C17FE"/>
    <w:rsid w:val="009C183B"/>
    <w:rsid w:val="009C1841"/>
    <w:rsid w:val="009C188B"/>
    <w:rsid w:val="009C18A6"/>
    <w:rsid w:val="009C197F"/>
    <w:rsid w:val="009C1999"/>
    <w:rsid w:val="009C19B5"/>
    <w:rsid w:val="009C19FE"/>
    <w:rsid w:val="009C1A07"/>
    <w:rsid w:val="009C1A15"/>
    <w:rsid w:val="009C1A55"/>
    <w:rsid w:val="009C1A96"/>
    <w:rsid w:val="009C1AF3"/>
    <w:rsid w:val="009C1AFC"/>
    <w:rsid w:val="009C1B74"/>
    <w:rsid w:val="009C1B8F"/>
    <w:rsid w:val="009C1BB2"/>
    <w:rsid w:val="009C1C0C"/>
    <w:rsid w:val="009C1CA8"/>
    <w:rsid w:val="009C1D4B"/>
    <w:rsid w:val="009C1D4D"/>
    <w:rsid w:val="009C1D61"/>
    <w:rsid w:val="009C1DA2"/>
    <w:rsid w:val="009C1DE6"/>
    <w:rsid w:val="009C1E63"/>
    <w:rsid w:val="009C1EA0"/>
    <w:rsid w:val="009C1EA4"/>
    <w:rsid w:val="009C1F08"/>
    <w:rsid w:val="009C1F1E"/>
    <w:rsid w:val="009C1F76"/>
    <w:rsid w:val="009C1F79"/>
    <w:rsid w:val="009C1F82"/>
    <w:rsid w:val="009C1FB4"/>
    <w:rsid w:val="009C1FCE"/>
    <w:rsid w:val="009C1FDE"/>
    <w:rsid w:val="009C2008"/>
    <w:rsid w:val="009C2047"/>
    <w:rsid w:val="009C2069"/>
    <w:rsid w:val="009C2090"/>
    <w:rsid w:val="009C20A3"/>
    <w:rsid w:val="009C20B1"/>
    <w:rsid w:val="009C2124"/>
    <w:rsid w:val="009C2139"/>
    <w:rsid w:val="009C2175"/>
    <w:rsid w:val="009C21D8"/>
    <w:rsid w:val="009C2282"/>
    <w:rsid w:val="009C22A0"/>
    <w:rsid w:val="009C22B5"/>
    <w:rsid w:val="009C22CA"/>
    <w:rsid w:val="009C22D1"/>
    <w:rsid w:val="009C239A"/>
    <w:rsid w:val="009C241E"/>
    <w:rsid w:val="009C2460"/>
    <w:rsid w:val="009C24EC"/>
    <w:rsid w:val="009C2550"/>
    <w:rsid w:val="009C2602"/>
    <w:rsid w:val="009C2611"/>
    <w:rsid w:val="009C261A"/>
    <w:rsid w:val="009C265C"/>
    <w:rsid w:val="009C26B8"/>
    <w:rsid w:val="009C26FB"/>
    <w:rsid w:val="009C270D"/>
    <w:rsid w:val="009C274D"/>
    <w:rsid w:val="009C2792"/>
    <w:rsid w:val="009C27E4"/>
    <w:rsid w:val="009C2868"/>
    <w:rsid w:val="009C2889"/>
    <w:rsid w:val="009C28E1"/>
    <w:rsid w:val="009C28E7"/>
    <w:rsid w:val="009C28F9"/>
    <w:rsid w:val="009C2920"/>
    <w:rsid w:val="009C2940"/>
    <w:rsid w:val="009C2978"/>
    <w:rsid w:val="009C29E8"/>
    <w:rsid w:val="009C2A0E"/>
    <w:rsid w:val="009C2A28"/>
    <w:rsid w:val="009C2BC8"/>
    <w:rsid w:val="009C2BCB"/>
    <w:rsid w:val="009C2C95"/>
    <w:rsid w:val="009C2CA4"/>
    <w:rsid w:val="009C2CB2"/>
    <w:rsid w:val="009C2CF1"/>
    <w:rsid w:val="009C2D29"/>
    <w:rsid w:val="009C2D2C"/>
    <w:rsid w:val="009C2D92"/>
    <w:rsid w:val="009C2DCE"/>
    <w:rsid w:val="009C2DE2"/>
    <w:rsid w:val="009C2DE5"/>
    <w:rsid w:val="009C2E13"/>
    <w:rsid w:val="009C2E5D"/>
    <w:rsid w:val="009C2E92"/>
    <w:rsid w:val="009C2EDE"/>
    <w:rsid w:val="009C2F15"/>
    <w:rsid w:val="009C2F17"/>
    <w:rsid w:val="009C2F31"/>
    <w:rsid w:val="009C2F80"/>
    <w:rsid w:val="009C2FC2"/>
    <w:rsid w:val="009C301A"/>
    <w:rsid w:val="009C3067"/>
    <w:rsid w:val="009C3080"/>
    <w:rsid w:val="009C30FB"/>
    <w:rsid w:val="009C313A"/>
    <w:rsid w:val="009C317C"/>
    <w:rsid w:val="009C31B8"/>
    <w:rsid w:val="009C3233"/>
    <w:rsid w:val="009C3265"/>
    <w:rsid w:val="009C329D"/>
    <w:rsid w:val="009C32BA"/>
    <w:rsid w:val="009C32E3"/>
    <w:rsid w:val="009C3345"/>
    <w:rsid w:val="009C334F"/>
    <w:rsid w:val="009C33C3"/>
    <w:rsid w:val="009C33CB"/>
    <w:rsid w:val="009C33F6"/>
    <w:rsid w:val="009C33FB"/>
    <w:rsid w:val="009C3482"/>
    <w:rsid w:val="009C349E"/>
    <w:rsid w:val="009C34B8"/>
    <w:rsid w:val="009C34C1"/>
    <w:rsid w:val="009C34C5"/>
    <w:rsid w:val="009C34F2"/>
    <w:rsid w:val="009C355D"/>
    <w:rsid w:val="009C3568"/>
    <w:rsid w:val="009C3575"/>
    <w:rsid w:val="009C35B4"/>
    <w:rsid w:val="009C35EA"/>
    <w:rsid w:val="009C3602"/>
    <w:rsid w:val="009C3614"/>
    <w:rsid w:val="009C3651"/>
    <w:rsid w:val="009C366B"/>
    <w:rsid w:val="009C36BC"/>
    <w:rsid w:val="009C3700"/>
    <w:rsid w:val="009C3709"/>
    <w:rsid w:val="009C3715"/>
    <w:rsid w:val="009C376A"/>
    <w:rsid w:val="009C3772"/>
    <w:rsid w:val="009C37C4"/>
    <w:rsid w:val="009C37C5"/>
    <w:rsid w:val="009C3840"/>
    <w:rsid w:val="009C38D0"/>
    <w:rsid w:val="009C3907"/>
    <w:rsid w:val="009C3933"/>
    <w:rsid w:val="009C3946"/>
    <w:rsid w:val="009C3949"/>
    <w:rsid w:val="009C3A00"/>
    <w:rsid w:val="009C3A35"/>
    <w:rsid w:val="009C3A90"/>
    <w:rsid w:val="009C3AC3"/>
    <w:rsid w:val="009C3B23"/>
    <w:rsid w:val="009C3B4F"/>
    <w:rsid w:val="009C3B51"/>
    <w:rsid w:val="009C3B56"/>
    <w:rsid w:val="009C3B80"/>
    <w:rsid w:val="009C3B8E"/>
    <w:rsid w:val="009C3B98"/>
    <w:rsid w:val="009C3BA2"/>
    <w:rsid w:val="009C3BD1"/>
    <w:rsid w:val="009C3BF9"/>
    <w:rsid w:val="009C3C24"/>
    <w:rsid w:val="009C3C91"/>
    <w:rsid w:val="009C3C97"/>
    <w:rsid w:val="009C3CF5"/>
    <w:rsid w:val="009C3D14"/>
    <w:rsid w:val="009C3D4A"/>
    <w:rsid w:val="009C3DAC"/>
    <w:rsid w:val="009C3E47"/>
    <w:rsid w:val="009C3E59"/>
    <w:rsid w:val="009C3EDB"/>
    <w:rsid w:val="009C3F02"/>
    <w:rsid w:val="009C3F35"/>
    <w:rsid w:val="009C3F38"/>
    <w:rsid w:val="009C3FC1"/>
    <w:rsid w:val="009C4061"/>
    <w:rsid w:val="009C407D"/>
    <w:rsid w:val="009C4084"/>
    <w:rsid w:val="009C408C"/>
    <w:rsid w:val="009C40D0"/>
    <w:rsid w:val="009C4137"/>
    <w:rsid w:val="009C4145"/>
    <w:rsid w:val="009C415D"/>
    <w:rsid w:val="009C416E"/>
    <w:rsid w:val="009C41D1"/>
    <w:rsid w:val="009C4234"/>
    <w:rsid w:val="009C425D"/>
    <w:rsid w:val="009C4298"/>
    <w:rsid w:val="009C4312"/>
    <w:rsid w:val="009C4319"/>
    <w:rsid w:val="009C4320"/>
    <w:rsid w:val="009C4325"/>
    <w:rsid w:val="009C435B"/>
    <w:rsid w:val="009C43A1"/>
    <w:rsid w:val="009C43A4"/>
    <w:rsid w:val="009C43A7"/>
    <w:rsid w:val="009C43E8"/>
    <w:rsid w:val="009C43F9"/>
    <w:rsid w:val="009C4428"/>
    <w:rsid w:val="009C4429"/>
    <w:rsid w:val="009C4458"/>
    <w:rsid w:val="009C44B6"/>
    <w:rsid w:val="009C44E7"/>
    <w:rsid w:val="009C4501"/>
    <w:rsid w:val="009C450B"/>
    <w:rsid w:val="009C4559"/>
    <w:rsid w:val="009C459E"/>
    <w:rsid w:val="009C45A7"/>
    <w:rsid w:val="009C45E1"/>
    <w:rsid w:val="009C464C"/>
    <w:rsid w:val="009C469D"/>
    <w:rsid w:val="009C46AD"/>
    <w:rsid w:val="009C4726"/>
    <w:rsid w:val="009C47CC"/>
    <w:rsid w:val="009C47D3"/>
    <w:rsid w:val="009C47F6"/>
    <w:rsid w:val="009C4804"/>
    <w:rsid w:val="009C4817"/>
    <w:rsid w:val="009C489D"/>
    <w:rsid w:val="009C48A0"/>
    <w:rsid w:val="009C48E7"/>
    <w:rsid w:val="009C491D"/>
    <w:rsid w:val="009C499B"/>
    <w:rsid w:val="009C49E1"/>
    <w:rsid w:val="009C4A10"/>
    <w:rsid w:val="009C4A29"/>
    <w:rsid w:val="009C4A9A"/>
    <w:rsid w:val="009C4ABE"/>
    <w:rsid w:val="009C4AEA"/>
    <w:rsid w:val="009C4AF8"/>
    <w:rsid w:val="009C4B44"/>
    <w:rsid w:val="009C4B69"/>
    <w:rsid w:val="009C4B89"/>
    <w:rsid w:val="009C4BB9"/>
    <w:rsid w:val="009C4BC4"/>
    <w:rsid w:val="009C4BCE"/>
    <w:rsid w:val="009C4BD1"/>
    <w:rsid w:val="009C4C3F"/>
    <w:rsid w:val="009C4CB5"/>
    <w:rsid w:val="009C4D08"/>
    <w:rsid w:val="009C4D1B"/>
    <w:rsid w:val="009C4D33"/>
    <w:rsid w:val="009C4D81"/>
    <w:rsid w:val="009C4DC9"/>
    <w:rsid w:val="009C4DD0"/>
    <w:rsid w:val="009C4DF3"/>
    <w:rsid w:val="009C4E13"/>
    <w:rsid w:val="009C4E70"/>
    <w:rsid w:val="009C4E75"/>
    <w:rsid w:val="009C4E82"/>
    <w:rsid w:val="009C4E9C"/>
    <w:rsid w:val="009C4EB2"/>
    <w:rsid w:val="009C4EB4"/>
    <w:rsid w:val="009C4EF2"/>
    <w:rsid w:val="009C4F08"/>
    <w:rsid w:val="009C4F0E"/>
    <w:rsid w:val="009C4F2D"/>
    <w:rsid w:val="009C4FDA"/>
    <w:rsid w:val="009C5020"/>
    <w:rsid w:val="009C502F"/>
    <w:rsid w:val="009C5054"/>
    <w:rsid w:val="009C5088"/>
    <w:rsid w:val="009C508F"/>
    <w:rsid w:val="009C50E0"/>
    <w:rsid w:val="009C5135"/>
    <w:rsid w:val="009C5158"/>
    <w:rsid w:val="009C5165"/>
    <w:rsid w:val="009C521D"/>
    <w:rsid w:val="009C5244"/>
    <w:rsid w:val="009C5246"/>
    <w:rsid w:val="009C5289"/>
    <w:rsid w:val="009C52C1"/>
    <w:rsid w:val="009C5310"/>
    <w:rsid w:val="009C5315"/>
    <w:rsid w:val="009C5327"/>
    <w:rsid w:val="009C5341"/>
    <w:rsid w:val="009C5353"/>
    <w:rsid w:val="009C5381"/>
    <w:rsid w:val="009C53CB"/>
    <w:rsid w:val="009C53CC"/>
    <w:rsid w:val="009C53E1"/>
    <w:rsid w:val="009C53E5"/>
    <w:rsid w:val="009C53FC"/>
    <w:rsid w:val="009C540A"/>
    <w:rsid w:val="009C5464"/>
    <w:rsid w:val="009C548C"/>
    <w:rsid w:val="009C54D4"/>
    <w:rsid w:val="009C5507"/>
    <w:rsid w:val="009C5524"/>
    <w:rsid w:val="009C557F"/>
    <w:rsid w:val="009C55B8"/>
    <w:rsid w:val="009C560C"/>
    <w:rsid w:val="009C5634"/>
    <w:rsid w:val="009C5669"/>
    <w:rsid w:val="009C5684"/>
    <w:rsid w:val="009C56CC"/>
    <w:rsid w:val="009C56E3"/>
    <w:rsid w:val="009C56EB"/>
    <w:rsid w:val="009C5703"/>
    <w:rsid w:val="009C5704"/>
    <w:rsid w:val="009C574C"/>
    <w:rsid w:val="009C57B0"/>
    <w:rsid w:val="009C57C1"/>
    <w:rsid w:val="009C57E8"/>
    <w:rsid w:val="009C58AD"/>
    <w:rsid w:val="009C592C"/>
    <w:rsid w:val="009C5943"/>
    <w:rsid w:val="009C5969"/>
    <w:rsid w:val="009C597A"/>
    <w:rsid w:val="009C5985"/>
    <w:rsid w:val="009C59E6"/>
    <w:rsid w:val="009C5A36"/>
    <w:rsid w:val="009C5A78"/>
    <w:rsid w:val="009C5AA1"/>
    <w:rsid w:val="009C5ABA"/>
    <w:rsid w:val="009C5AC7"/>
    <w:rsid w:val="009C5AE7"/>
    <w:rsid w:val="009C5AEC"/>
    <w:rsid w:val="009C5AFC"/>
    <w:rsid w:val="009C5C3F"/>
    <w:rsid w:val="009C5C4D"/>
    <w:rsid w:val="009C5C56"/>
    <w:rsid w:val="009C5C5B"/>
    <w:rsid w:val="009C5C7A"/>
    <w:rsid w:val="009C5D02"/>
    <w:rsid w:val="009C5D18"/>
    <w:rsid w:val="009C5E01"/>
    <w:rsid w:val="009C5E05"/>
    <w:rsid w:val="009C5E18"/>
    <w:rsid w:val="009C5E21"/>
    <w:rsid w:val="009C5E54"/>
    <w:rsid w:val="009C5E66"/>
    <w:rsid w:val="009C5F52"/>
    <w:rsid w:val="009C5F71"/>
    <w:rsid w:val="009C5FCB"/>
    <w:rsid w:val="009C60C3"/>
    <w:rsid w:val="009C6153"/>
    <w:rsid w:val="009C615D"/>
    <w:rsid w:val="009C61E6"/>
    <w:rsid w:val="009C61EA"/>
    <w:rsid w:val="009C620F"/>
    <w:rsid w:val="009C6240"/>
    <w:rsid w:val="009C625F"/>
    <w:rsid w:val="009C62B4"/>
    <w:rsid w:val="009C62C9"/>
    <w:rsid w:val="009C632D"/>
    <w:rsid w:val="009C633E"/>
    <w:rsid w:val="009C63D4"/>
    <w:rsid w:val="009C63E4"/>
    <w:rsid w:val="009C6449"/>
    <w:rsid w:val="009C648F"/>
    <w:rsid w:val="009C649A"/>
    <w:rsid w:val="009C6570"/>
    <w:rsid w:val="009C661E"/>
    <w:rsid w:val="009C6631"/>
    <w:rsid w:val="009C667B"/>
    <w:rsid w:val="009C66D9"/>
    <w:rsid w:val="009C6774"/>
    <w:rsid w:val="009C679B"/>
    <w:rsid w:val="009C67A7"/>
    <w:rsid w:val="009C67C3"/>
    <w:rsid w:val="009C6806"/>
    <w:rsid w:val="009C680D"/>
    <w:rsid w:val="009C6831"/>
    <w:rsid w:val="009C6861"/>
    <w:rsid w:val="009C6876"/>
    <w:rsid w:val="009C689D"/>
    <w:rsid w:val="009C68A7"/>
    <w:rsid w:val="009C68B9"/>
    <w:rsid w:val="009C68C2"/>
    <w:rsid w:val="009C6918"/>
    <w:rsid w:val="009C694B"/>
    <w:rsid w:val="009C6952"/>
    <w:rsid w:val="009C6968"/>
    <w:rsid w:val="009C697F"/>
    <w:rsid w:val="009C6982"/>
    <w:rsid w:val="009C69CD"/>
    <w:rsid w:val="009C69E5"/>
    <w:rsid w:val="009C6B1C"/>
    <w:rsid w:val="009C6B87"/>
    <w:rsid w:val="009C6B92"/>
    <w:rsid w:val="009C6BF3"/>
    <w:rsid w:val="009C6BFB"/>
    <w:rsid w:val="009C6C8B"/>
    <w:rsid w:val="009C6C9B"/>
    <w:rsid w:val="009C6CD7"/>
    <w:rsid w:val="009C6D34"/>
    <w:rsid w:val="009C6D38"/>
    <w:rsid w:val="009C6D80"/>
    <w:rsid w:val="009C6E0A"/>
    <w:rsid w:val="009C6E23"/>
    <w:rsid w:val="009C6E38"/>
    <w:rsid w:val="009C6E8E"/>
    <w:rsid w:val="009C6E95"/>
    <w:rsid w:val="009C6EBB"/>
    <w:rsid w:val="009C6F16"/>
    <w:rsid w:val="009C6F3E"/>
    <w:rsid w:val="009C6F44"/>
    <w:rsid w:val="009C6FB6"/>
    <w:rsid w:val="009C6FD5"/>
    <w:rsid w:val="009C6FED"/>
    <w:rsid w:val="009C6FF1"/>
    <w:rsid w:val="009C7011"/>
    <w:rsid w:val="009C7012"/>
    <w:rsid w:val="009C7037"/>
    <w:rsid w:val="009C703E"/>
    <w:rsid w:val="009C7060"/>
    <w:rsid w:val="009C7065"/>
    <w:rsid w:val="009C7138"/>
    <w:rsid w:val="009C7163"/>
    <w:rsid w:val="009C716B"/>
    <w:rsid w:val="009C717C"/>
    <w:rsid w:val="009C71CC"/>
    <w:rsid w:val="009C71EB"/>
    <w:rsid w:val="009C71F0"/>
    <w:rsid w:val="009C720C"/>
    <w:rsid w:val="009C721D"/>
    <w:rsid w:val="009C7248"/>
    <w:rsid w:val="009C7255"/>
    <w:rsid w:val="009C7256"/>
    <w:rsid w:val="009C7292"/>
    <w:rsid w:val="009C72C6"/>
    <w:rsid w:val="009C732A"/>
    <w:rsid w:val="009C732E"/>
    <w:rsid w:val="009C7341"/>
    <w:rsid w:val="009C7358"/>
    <w:rsid w:val="009C7384"/>
    <w:rsid w:val="009C739D"/>
    <w:rsid w:val="009C73C0"/>
    <w:rsid w:val="009C741D"/>
    <w:rsid w:val="009C7454"/>
    <w:rsid w:val="009C7461"/>
    <w:rsid w:val="009C7467"/>
    <w:rsid w:val="009C74E0"/>
    <w:rsid w:val="009C7509"/>
    <w:rsid w:val="009C7554"/>
    <w:rsid w:val="009C75B9"/>
    <w:rsid w:val="009C76A5"/>
    <w:rsid w:val="009C76D8"/>
    <w:rsid w:val="009C7745"/>
    <w:rsid w:val="009C779E"/>
    <w:rsid w:val="009C77E8"/>
    <w:rsid w:val="009C7838"/>
    <w:rsid w:val="009C796E"/>
    <w:rsid w:val="009C79B7"/>
    <w:rsid w:val="009C79FF"/>
    <w:rsid w:val="009C7A28"/>
    <w:rsid w:val="009C7AC2"/>
    <w:rsid w:val="009C7ACA"/>
    <w:rsid w:val="009C7AD7"/>
    <w:rsid w:val="009C7BDB"/>
    <w:rsid w:val="009C7BE3"/>
    <w:rsid w:val="009C7BE9"/>
    <w:rsid w:val="009C7C00"/>
    <w:rsid w:val="009C7C34"/>
    <w:rsid w:val="009C7CAA"/>
    <w:rsid w:val="009C7CBA"/>
    <w:rsid w:val="009C7D10"/>
    <w:rsid w:val="009C7D1A"/>
    <w:rsid w:val="009C7D65"/>
    <w:rsid w:val="009C7D84"/>
    <w:rsid w:val="009C7DA2"/>
    <w:rsid w:val="009C7EE9"/>
    <w:rsid w:val="009C7F00"/>
    <w:rsid w:val="009C7F5A"/>
    <w:rsid w:val="009C7F9E"/>
    <w:rsid w:val="009C7FD0"/>
    <w:rsid w:val="009D0043"/>
    <w:rsid w:val="009D0081"/>
    <w:rsid w:val="009D0084"/>
    <w:rsid w:val="009D00A2"/>
    <w:rsid w:val="009D00A3"/>
    <w:rsid w:val="009D00A5"/>
    <w:rsid w:val="009D00A8"/>
    <w:rsid w:val="009D0110"/>
    <w:rsid w:val="009D0208"/>
    <w:rsid w:val="009D0223"/>
    <w:rsid w:val="009D022B"/>
    <w:rsid w:val="009D023B"/>
    <w:rsid w:val="009D0263"/>
    <w:rsid w:val="009D028C"/>
    <w:rsid w:val="009D02EA"/>
    <w:rsid w:val="009D02F0"/>
    <w:rsid w:val="009D0372"/>
    <w:rsid w:val="009D038C"/>
    <w:rsid w:val="009D0390"/>
    <w:rsid w:val="009D03AE"/>
    <w:rsid w:val="009D03B2"/>
    <w:rsid w:val="009D0404"/>
    <w:rsid w:val="009D0458"/>
    <w:rsid w:val="009D047B"/>
    <w:rsid w:val="009D047D"/>
    <w:rsid w:val="009D04B5"/>
    <w:rsid w:val="009D04BF"/>
    <w:rsid w:val="009D0551"/>
    <w:rsid w:val="009D055B"/>
    <w:rsid w:val="009D058D"/>
    <w:rsid w:val="009D05AA"/>
    <w:rsid w:val="009D05ED"/>
    <w:rsid w:val="009D0609"/>
    <w:rsid w:val="009D06D0"/>
    <w:rsid w:val="009D06D1"/>
    <w:rsid w:val="009D06FC"/>
    <w:rsid w:val="009D0713"/>
    <w:rsid w:val="009D0790"/>
    <w:rsid w:val="009D07DF"/>
    <w:rsid w:val="009D07EA"/>
    <w:rsid w:val="009D08ED"/>
    <w:rsid w:val="009D0950"/>
    <w:rsid w:val="009D0981"/>
    <w:rsid w:val="009D0985"/>
    <w:rsid w:val="009D09E2"/>
    <w:rsid w:val="009D0A46"/>
    <w:rsid w:val="009D0A8D"/>
    <w:rsid w:val="009D0B0C"/>
    <w:rsid w:val="009D0B32"/>
    <w:rsid w:val="009D0B4E"/>
    <w:rsid w:val="009D0B5A"/>
    <w:rsid w:val="009D0B5F"/>
    <w:rsid w:val="009D0B68"/>
    <w:rsid w:val="009D0B8B"/>
    <w:rsid w:val="009D0BDB"/>
    <w:rsid w:val="009D0BF0"/>
    <w:rsid w:val="009D0C3F"/>
    <w:rsid w:val="009D0C6C"/>
    <w:rsid w:val="009D0C97"/>
    <w:rsid w:val="009D0CB7"/>
    <w:rsid w:val="009D0CDE"/>
    <w:rsid w:val="009D0D25"/>
    <w:rsid w:val="009D0D47"/>
    <w:rsid w:val="009D0D97"/>
    <w:rsid w:val="009D0DB6"/>
    <w:rsid w:val="009D0DCD"/>
    <w:rsid w:val="009D0DF7"/>
    <w:rsid w:val="009D0E12"/>
    <w:rsid w:val="009D0E4B"/>
    <w:rsid w:val="009D0E4E"/>
    <w:rsid w:val="009D0EA3"/>
    <w:rsid w:val="009D0EA7"/>
    <w:rsid w:val="009D0EF5"/>
    <w:rsid w:val="009D0F68"/>
    <w:rsid w:val="009D0F96"/>
    <w:rsid w:val="009D0FEB"/>
    <w:rsid w:val="009D100B"/>
    <w:rsid w:val="009D1025"/>
    <w:rsid w:val="009D1029"/>
    <w:rsid w:val="009D1048"/>
    <w:rsid w:val="009D1050"/>
    <w:rsid w:val="009D106A"/>
    <w:rsid w:val="009D1085"/>
    <w:rsid w:val="009D10CC"/>
    <w:rsid w:val="009D10E6"/>
    <w:rsid w:val="009D112C"/>
    <w:rsid w:val="009D119D"/>
    <w:rsid w:val="009D1208"/>
    <w:rsid w:val="009D1274"/>
    <w:rsid w:val="009D127A"/>
    <w:rsid w:val="009D128D"/>
    <w:rsid w:val="009D12A8"/>
    <w:rsid w:val="009D12B9"/>
    <w:rsid w:val="009D12DD"/>
    <w:rsid w:val="009D1345"/>
    <w:rsid w:val="009D13B1"/>
    <w:rsid w:val="009D13FB"/>
    <w:rsid w:val="009D1481"/>
    <w:rsid w:val="009D14C6"/>
    <w:rsid w:val="009D14F9"/>
    <w:rsid w:val="009D1522"/>
    <w:rsid w:val="009D1531"/>
    <w:rsid w:val="009D1647"/>
    <w:rsid w:val="009D1656"/>
    <w:rsid w:val="009D1692"/>
    <w:rsid w:val="009D1696"/>
    <w:rsid w:val="009D1734"/>
    <w:rsid w:val="009D174F"/>
    <w:rsid w:val="009D17A4"/>
    <w:rsid w:val="009D17D5"/>
    <w:rsid w:val="009D17E4"/>
    <w:rsid w:val="009D17E6"/>
    <w:rsid w:val="009D1845"/>
    <w:rsid w:val="009D1852"/>
    <w:rsid w:val="009D18CD"/>
    <w:rsid w:val="009D18F1"/>
    <w:rsid w:val="009D1901"/>
    <w:rsid w:val="009D190E"/>
    <w:rsid w:val="009D1916"/>
    <w:rsid w:val="009D1920"/>
    <w:rsid w:val="009D1921"/>
    <w:rsid w:val="009D19B4"/>
    <w:rsid w:val="009D1A3F"/>
    <w:rsid w:val="009D1A56"/>
    <w:rsid w:val="009D1A9D"/>
    <w:rsid w:val="009D1A9E"/>
    <w:rsid w:val="009D1AD0"/>
    <w:rsid w:val="009D1AD8"/>
    <w:rsid w:val="009D1B0B"/>
    <w:rsid w:val="009D1B9E"/>
    <w:rsid w:val="009D1C32"/>
    <w:rsid w:val="009D1C33"/>
    <w:rsid w:val="009D1C46"/>
    <w:rsid w:val="009D1C4B"/>
    <w:rsid w:val="009D1C6E"/>
    <w:rsid w:val="009D1C76"/>
    <w:rsid w:val="009D1C9E"/>
    <w:rsid w:val="009D1C9F"/>
    <w:rsid w:val="009D1CE3"/>
    <w:rsid w:val="009D1D0F"/>
    <w:rsid w:val="009D1D30"/>
    <w:rsid w:val="009D1D54"/>
    <w:rsid w:val="009D1D55"/>
    <w:rsid w:val="009D1D7D"/>
    <w:rsid w:val="009D1DBB"/>
    <w:rsid w:val="009D1E58"/>
    <w:rsid w:val="009D1EB2"/>
    <w:rsid w:val="009D1F0E"/>
    <w:rsid w:val="009D1F4E"/>
    <w:rsid w:val="009D1F83"/>
    <w:rsid w:val="009D1F9E"/>
    <w:rsid w:val="009D1FA3"/>
    <w:rsid w:val="009D1FD9"/>
    <w:rsid w:val="009D2016"/>
    <w:rsid w:val="009D203C"/>
    <w:rsid w:val="009D20B3"/>
    <w:rsid w:val="009D20D9"/>
    <w:rsid w:val="009D2102"/>
    <w:rsid w:val="009D2118"/>
    <w:rsid w:val="009D2147"/>
    <w:rsid w:val="009D2234"/>
    <w:rsid w:val="009D2239"/>
    <w:rsid w:val="009D2265"/>
    <w:rsid w:val="009D2299"/>
    <w:rsid w:val="009D22A8"/>
    <w:rsid w:val="009D22B2"/>
    <w:rsid w:val="009D22DB"/>
    <w:rsid w:val="009D2340"/>
    <w:rsid w:val="009D2360"/>
    <w:rsid w:val="009D2389"/>
    <w:rsid w:val="009D2399"/>
    <w:rsid w:val="009D23DC"/>
    <w:rsid w:val="009D2408"/>
    <w:rsid w:val="009D242D"/>
    <w:rsid w:val="009D2479"/>
    <w:rsid w:val="009D2489"/>
    <w:rsid w:val="009D24B1"/>
    <w:rsid w:val="009D24C0"/>
    <w:rsid w:val="009D253C"/>
    <w:rsid w:val="009D2554"/>
    <w:rsid w:val="009D256B"/>
    <w:rsid w:val="009D2648"/>
    <w:rsid w:val="009D2651"/>
    <w:rsid w:val="009D2665"/>
    <w:rsid w:val="009D2677"/>
    <w:rsid w:val="009D26F0"/>
    <w:rsid w:val="009D270E"/>
    <w:rsid w:val="009D271B"/>
    <w:rsid w:val="009D2784"/>
    <w:rsid w:val="009D279F"/>
    <w:rsid w:val="009D27A7"/>
    <w:rsid w:val="009D27C1"/>
    <w:rsid w:val="009D280B"/>
    <w:rsid w:val="009D280F"/>
    <w:rsid w:val="009D2840"/>
    <w:rsid w:val="009D2898"/>
    <w:rsid w:val="009D28C2"/>
    <w:rsid w:val="009D2953"/>
    <w:rsid w:val="009D299D"/>
    <w:rsid w:val="009D29B0"/>
    <w:rsid w:val="009D29B3"/>
    <w:rsid w:val="009D29D5"/>
    <w:rsid w:val="009D2A13"/>
    <w:rsid w:val="009D2A45"/>
    <w:rsid w:val="009D2A83"/>
    <w:rsid w:val="009D2AB7"/>
    <w:rsid w:val="009D2AC2"/>
    <w:rsid w:val="009D2AFD"/>
    <w:rsid w:val="009D2B02"/>
    <w:rsid w:val="009D2B14"/>
    <w:rsid w:val="009D2B19"/>
    <w:rsid w:val="009D2B1E"/>
    <w:rsid w:val="009D2B7E"/>
    <w:rsid w:val="009D2B9A"/>
    <w:rsid w:val="009D2BCE"/>
    <w:rsid w:val="009D2BFF"/>
    <w:rsid w:val="009D2C53"/>
    <w:rsid w:val="009D2C6F"/>
    <w:rsid w:val="009D2C83"/>
    <w:rsid w:val="009D2CE7"/>
    <w:rsid w:val="009D2CFC"/>
    <w:rsid w:val="009D2D19"/>
    <w:rsid w:val="009D2D2D"/>
    <w:rsid w:val="009D2DA2"/>
    <w:rsid w:val="009D2E08"/>
    <w:rsid w:val="009D2E19"/>
    <w:rsid w:val="009D2E71"/>
    <w:rsid w:val="009D2EA1"/>
    <w:rsid w:val="009D2EAA"/>
    <w:rsid w:val="009D2EAB"/>
    <w:rsid w:val="009D2EEF"/>
    <w:rsid w:val="009D2F22"/>
    <w:rsid w:val="009D2F97"/>
    <w:rsid w:val="009D2FB7"/>
    <w:rsid w:val="009D307E"/>
    <w:rsid w:val="009D313D"/>
    <w:rsid w:val="009D31E3"/>
    <w:rsid w:val="009D3265"/>
    <w:rsid w:val="009D3294"/>
    <w:rsid w:val="009D32F3"/>
    <w:rsid w:val="009D32FA"/>
    <w:rsid w:val="009D331E"/>
    <w:rsid w:val="009D3334"/>
    <w:rsid w:val="009D334C"/>
    <w:rsid w:val="009D33FA"/>
    <w:rsid w:val="009D343C"/>
    <w:rsid w:val="009D350A"/>
    <w:rsid w:val="009D3511"/>
    <w:rsid w:val="009D3517"/>
    <w:rsid w:val="009D352D"/>
    <w:rsid w:val="009D359F"/>
    <w:rsid w:val="009D35B9"/>
    <w:rsid w:val="009D35EC"/>
    <w:rsid w:val="009D3631"/>
    <w:rsid w:val="009D3699"/>
    <w:rsid w:val="009D36FC"/>
    <w:rsid w:val="009D370B"/>
    <w:rsid w:val="009D370D"/>
    <w:rsid w:val="009D3718"/>
    <w:rsid w:val="009D3761"/>
    <w:rsid w:val="009D3781"/>
    <w:rsid w:val="009D3788"/>
    <w:rsid w:val="009D382A"/>
    <w:rsid w:val="009D3855"/>
    <w:rsid w:val="009D38B9"/>
    <w:rsid w:val="009D394B"/>
    <w:rsid w:val="009D398E"/>
    <w:rsid w:val="009D3992"/>
    <w:rsid w:val="009D3A30"/>
    <w:rsid w:val="009D3A77"/>
    <w:rsid w:val="009D3AC1"/>
    <w:rsid w:val="009D3B24"/>
    <w:rsid w:val="009D3B58"/>
    <w:rsid w:val="009D3BB2"/>
    <w:rsid w:val="009D3C26"/>
    <w:rsid w:val="009D3C45"/>
    <w:rsid w:val="009D3C49"/>
    <w:rsid w:val="009D3CB1"/>
    <w:rsid w:val="009D3CB8"/>
    <w:rsid w:val="009D3CC2"/>
    <w:rsid w:val="009D3CD3"/>
    <w:rsid w:val="009D3CD7"/>
    <w:rsid w:val="009D3D0F"/>
    <w:rsid w:val="009D3D43"/>
    <w:rsid w:val="009D3D8A"/>
    <w:rsid w:val="009D3D92"/>
    <w:rsid w:val="009D3DBB"/>
    <w:rsid w:val="009D3DC4"/>
    <w:rsid w:val="009D3E0B"/>
    <w:rsid w:val="009D3E58"/>
    <w:rsid w:val="009D3E88"/>
    <w:rsid w:val="009D3F8A"/>
    <w:rsid w:val="009D3FE0"/>
    <w:rsid w:val="009D3FEE"/>
    <w:rsid w:val="009D4003"/>
    <w:rsid w:val="009D400E"/>
    <w:rsid w:val="009D401F"/>
    <w:rsid w:val="009D4069"/>
    <w:rsid w:val="009D40F4"/>
    <w:rsid w:val="009D412E"/>
    <w:rsid w:val="009D412F"/>
    <w:rsid w:val="009D419F"/>
    <w:rsid w:val="009D41C4"/>
    <w:rsid w:val="009D4272"/>
    <w:rsid w:val="009D42C0"/>
    <w:rsid w:val="009D42CB"/>
    <w:rsid w:val="009D435B"/>
    <w:rsid w:val="009D4392"/>
    <w:rsid w:val="009D43B3"/>
    <w:rsid w:val="009D43B5"/>
    <w:rsid w:val="009D4427"/>
    <w:rsid w:val="009D4468"/>
    <w:rsid w:val="009D4490"/>
    <w:rsid w:val="009D4497"/>
    <w:rsid w:val="009D4594"/>
    <w:rsid w:val="009D460D"/>
    <w:rsid w:val="009D464A"/>
    <w:rsid w:val="009D4764"/>
    <w:rsid w:val="009D4779"/>
    <w:rsid w:val="009D47B3"/>
    <w:rsid w:val="009D47B4"/>
    <w:rsid w:val="009D47F7"/>
    <w:rsid w:val="009D47F9"/>
    <w:rsid w:val="009D47FF"/>
    <w:rsid w:val="009D4906"/>
    <w:rsid w:val="009D494F"/>
    <w:rsid w:val="009D49A5"/>
    <w:rsid w:val="009D49E8"/>
    <w:rsid w:val="009D49FA"/>
    <w:rsid w:val="009D4A0F"/>
    <w:rsid w:val="009D4A3C"/>
    <w:rsid w:val="009D4A72"/>
    <w:rsid w:val="009D4A96"/>
    <w:rsid w:val="009D4B0F"/>
    <w:rsid w:val="009D4B22"/>
    <w:rsid w:val="009D4B2A"/>
    <w:rsid w:val="009D4B50"/>
    <w:rsid w:val="009D4B80"/>
    <w:rsid w:val="009D4B93"/>
    <w:rsid w:val="009D4BC2"/>
    <w:rsid w:val="009D4BEE"/>
    <w:rsid w:val="009D4BF0"/>
    <w:rsid w:val="009D4C15"/>
    <w:rsid w:val="009D4C1F"/>
    <w:rsid w:val="009D4DE6"/>
    <w:rsid w:val="009D4DEE"/>
    <w:rsid w:val="009D4E01"/>
    <w:rsid w:val="009D4E24"/>
    <w:rsid w:val="009D4E79"/>
    <w:rsid w:val="009D4EB9"/>
    <w:rsid w:val="009D4F41"/>
    <w:rsid w:val="009D4F4E"/>
    <w:rsid w:val="009D4F91"/>
    <w:rsid w:val="009D4FB8"/>
    <w:rsid w:val="009D4FBA"/>
    <w:rsid w:val="009D4FE9"/>
    <w:rsid w:val="009D4FFE"/>
    <w:rsid w:val="009D5011"/>
    <w:rsid w:val="009D5016"/>
    <w:rsid w:val="009D5084"/>
    <w:rsid w:val="009D50F2"/>
    <w:rsid w:val="009D50FA"/>
    <w:rsid w:val="009D511A"/>
    <w:rsid w:val="009D515B"/>
    <w:rsid w:val="009D516A"/>
    <w:rsid w:val="009D516E"/>
    <w:rsid w:val="009D5189"/>
    <w:rsid w:val="009D518D"/>
    <w:rsid w:val="009D5192"/>
    <w:rsid w:val="009D51CB"/>
    <w:rsid w:val="009D51CC"/>
    <w:rsid w:val="009D51E3"/>
    <w:rsid w:val="009D51EE"/>
    <w:rsid w:val="009D51F5"/>
    <w:rsid w:val="009D524A"/>
    <w:rsid w:val="009D525D"/>
    <w:rsid w:val="009D526A"/>
    <w:rsid w:val="009D527C"/>
    <w:rsid w:val="009D529A"/>
    <w:rsid w:val="009D52F5"/>
    <w:rsid w:val="009D52FF"/>
    <w:rsid w:val="009D53A4"/>
    <w:rsid w:val="009D542B"/>
    <w:rsid w:val="009D5438"/>
    <w:rsid w:val="009D543F"/>
    <w:rsid w:val="009D545F"/>
    <w:rsid w:val="009D5462"/>
    <w:rsid w:val="009D548F"/>
    <w:rsid w:val="009D5499"/>
    <w:rsid w:val="009D54E2"/>
    <w:rsid w:val="009D555B"/>
    <w:rsid w:val="009D5568"/>
    <w:rsid w:val="009D55AB"/>
    <w:rsid w:val="009D55B5"/>
    <w:rsid w:val="009D55C4"/>
    <w:rsid w:val="009D55EC"/>
    <w:rsid w:val="009D5615"/>
    <w:rsid w:val="009D5631"/>
    <w:rsid w:val="009D563D"/>
    <w:rsid w:val="009D56F4"/>
    <w:rsid w:val="009D56FE"/>
    <w:rsid w:val="009D5759"/>
    <w:rsid w:val="009D5785"/>
    <w:rsid w:val="009D57AA"/>
    <w:rsid w:val="009D57EA"/>
    <w:rsid w:val="009D5809"/>
    <w:rsid w:val="009D5840"/>
    <w:rsid w:val="009D5871"/>
    <w:rsid w:val="009D58AD"/>
    <w:rsid w:val="009D58FA"/>
    <w:rsid w:val="009D5915"/>
    <w:rsid w:val="009D5980"/>
    <w:rsid w:val="009D5985"/>
    <w:rsid w:val="009D5997"/>
    <w:rsid w:val="009D599E"/>
    <w:rsid w:val="009D59C4"/>
    <w:rsid w:val="009D5A24"/>
    <w:rsid w:val="009D5A8F"/>
    <w:rsid w:val="009D5B36"/>
    <w:rsid w:val="009D5B48"/>
    <w:rsid w:val="009D5B68"/>
    <w:rsid w:val="009D5B88"/>
    <w:rsid w:val="009D5C78"/>
    <w:rsid w:val="009D5CD8"/>
    <w:rsid w:val="009D5CE4"/>
    <w:rsid w:val="009D5CF7"/>
    <w:rsid w:val="009D5D19"/>
    <w:rsid w:val="009D5D95"/>
    <w:rsid w:val="009D5D9F"/>
    <w:rsid w:val="009D5DB5"/>
    <w:rsid w:val="009D5E03"/>
    <w:rsid w:val="009D5E2E"/>
    <w:rsid w:val="009D5E30"/>
    <w:rsid w:val="009D5E38"/>
    <w:rsid w:val="009D5E9A"/>
    <w:rsid w:val="009D5EC3"/>
    <w:rsid w:val="009D5EF0"/>
    <w:rsid w:val="009D5F05"/>
    <w:rsid w:val="009D5F7A"/>
    <w:rsid w:val="009D5FC9"/>
    <w:rsid w:val="009D6016"/>
    <w:rsid w:val="009D603B"/>
    <w:rsid w:val="009D606B"/>
    <w:rsid w:val="009D6085"/>
    <w:rsid w:val="009D609E"/>
    <w:rsid w:val="009D6158"/>
    <w:rsid w:val="009D6199"/>
    <w:rsid w:val="009D619C"/>
    <w:rsid w:val="009D61CD"/>
    <w:rsid w:val="009D61D4"/>
    <w:rsid w:val="009D61FA"/>
    <w:rsid w:val="009D641A"/>
    <w:rsid w:val="009D648A"/>
    <w:rsid w:val="009D653A"/>
    <w:rsid w:val="009D6560"/>
    <w:rsid w:val="009D656C"/>
    <w:rsid w:val="009D657A"/>
    <w:rsid w:val="009D65DA"/>
    <w:rsid w:val="009D65E4"/>
    <w:rsid w:val="009D65F2"/>
    <w:rsid w:val="009D6628"/>
    <w:rsid w:val="009D6651"/>
    <w:rsid w:val="009D669E"/>
    <w:rsid w:val="009D66E0"/>
    <w:rsid w:val="009D671C"/>
    <w:rsid w:val="009D6720"/>
    <w:rsid w:val="009D6787"/>
    <w:rsid w:val="009D6872"/>
    <w:rsid w:val="009D68D3"/>
    <w:rsid w:val="009D68E3"/>
    <w:rsid w:val="009D6930"/>
    <w:rsid w:val="009D696F"/>
    <w:rsid w:val="009D6978"/>
    <w:rsid w:val="009D69CB"/>
    <w:rsid w:val="009D69DE"/>
    <w:rsid w:val="009D69E3"/>
    <w:rsid w:val="009D6A80"/>
    <w:rsid w:val="009D6A8C"/>
    <w:rsid w:val="009D6A91"/>
    <w:rsid w:val="009D6AB5"/>
    <w:rsid w:val="009D6AF9"/>
    <w:rsid w:val="009D6B50"/>
    <w:rsid w:val="009D6B8B"/>
    <w:rsid w:val="009D6BA8"/>
    <w:rsid w:val="009D6BB1"/>
    <w:rsid w:val="009D6BFC"/>
    <w:rsid w:val="009D6C0E"/>
    <w:rsid w:val="009D6C1D"/>
    <w:rsid w:val="009D6C7B"/>
    <w:rsid w:val="009D6CE3"/>
    <w:rsid w:val="009D6D37"/>
    <w:rsid w:val="009D6D47"/>
    <w:rsid w:val="009D6E51"/>
    <w:rsid w:val="009D6E54"/>
    <w:rsid w:val="009D6E8C"/>
    <w:rsid w:val="009D6F0E"/>
    <w:rsid w:val="009D6F63"/>
    <w:rsid w:val="009D6F80"/>
    <w:rsid w:val="009D6FBD"/>
    <w:rsid w:val="009D6FE4"/>
    <w:rsid w:val="009D7009"/>
    <w:rsid w:val="009D706A"/>
    <w:rsid w:val="009D7084"/>
    <w:rsid w:val="009D70DE"/>
    <w:rsid w:val="009D70E1"/>
    <w:rsid w:val="009D70F2"/>
    <w:rsid w:val="009D7115"/>
    <w:rsid w:val="009D711B"/>
    <w:rsid w:val="009D7149"/>
    <w:rsid w:val="009D7181"/>
    <w:rsid w:val="009D71A0"/>
    <w:rsid w:val="009D71B0"/>
    <w:rsid w:val="009D71B4"/>
    <w:rsid w:val="009D7208"/>
    <w:rsid w:val="009D72A5"/>
    <w:rsid w:val="009D72AF"/>
    <w:rsid w:val="009D72D7"/>
    <w:rsid w:val="009D7308"/>
    <w:rsid w:val="009D731B"/>
    <w:rsid w:val="009D733E"/>
    <w:rsid w:val="009D737B"/>
    <w:rsid w:val="009D7393"/>
    <w:rsid w:val="009D739B"/>
    <w:rsid w:val="009D744B"/>
    <w:rsid w:val="009D745E"/>
    <w:rsid w:val="009D74B2"/>
    <w:rsid w:val="009D74B3"/>
    <w:rsid w:val="009D74D8"/>
    <w:rsid w:val="009D74F6"/>
    <w:rsid w:val="009D750D"/>
    <w:rsid w:val="009D7514"/>
    <w:rsid w:val="009D7550"/>
    <w:rsid w:val="009D7595"/>
    <w:rsid w:val="009D75CD"/>
    <w:rsid w:val="009D7603"/>
    <w:rsid w:val="009D760B"/>
    <w:rsid w:val="009D7628"/>
    <w:rsid w:val="009D7677"/>
    <w:rsid w:val="009D76F2"/>
    <w:rsid w:val="009D770E"/>
    <w:rsid w:val="009D7710"/>
    <w:rsid w:val="009D773F"/>
    <w:rsid w:val="009D775C"/>
    <w:rsid w:val="009D77CE"/>
    <w:rsid w:val="009D77F1"/>
    <w:rsid w:val="009D7819"/>
    <w:rsid w:val="009D782E"/>
    <w:rsid w:val="009D786C"/>
    <w:rsid w:val="009D78DC"/>
    <w:rsid w:val="009D7A56"/>
    <w:rsid w:val="009D7ABE"/>
    <w:rsid w:val="009D7ACE"/>
    <w:rsid w:val="009D7AEB"/>
    <w:rsid w:val="009D7B61"/>
    <w:rsid w:val="009D7BC4"/>
    <w:rsid w:val="009D7C1D"/>
    <w:rsid w:val="009D7C5B"/>
    <w:rsid w:val="009D7C8F"/>
    <w:rsid w:val="009D7CCB"/>
    <w:rsid w:val="009D7D0F"/>
    <w:rsid w:val="009D7D43"/>
    <w:rsid w:val="009D7D90"/>
    <w:rsid w:val="009D7DFD"/>
    <w:rsid w:val="009D7E5A"/>
    <w:rsid w:val="009D7E82"/>
    <w:rsid w:val="009D7F34"/>
    <w:rsid w:val="009D7F72"/>
    <w:rsid w:val="009D7F8B"/>
    <w:rsid w:val="009D7FAB"/>
    <w:rsid w:val="009D7FF6"/>
    <w:rsid w:val="009E0054"/>
    <w:rsid w:val="009E0098"/>
    <w:rsid w:val="009E00B6"/>
    <w:rsid w:val="009E0153"/>
    <w:rsid w:val="009E017B"/>
    <w:rsid w:val="009E019E"/>
    <w:rsid w:val="009E01A8"/>
    <w:rsid w:val="009E0230"/>
    <w:rsid w:val="009E0238"/>
    <w:rsid w:val="009E025D"/>
    <w:rsid w:val="009E02CE"/>
    <w:rsid w:val="009E0313"/>
    <w:rsid w:val="009E0320"/>
    <w:rsid w:val="009E0349"/>
    <w:rsid w:val="009E035D"/>
    <w:rsid w:val="009E041B"/>
    <w:rsid w:val="009E043E"/>
    <w:rsid w:val="009E044F"/>
    <w:rsid w:val="009E0456"/>
    <w:rsid w:val="009E0498"/>
    <w:rsid w:val="009E04CA"/>
    <w:rsid w:val="009E04F5"/>
    <w:rsid w:val="009E0510"/>
    <w:rsid w:val="009E051B"/>
    <w:rsid w:val="009E0552"/>
    <w:rsid w:val="009E0589"/>
    <w:rsid w:val="009E059F"/>
    <w:rsid w:val="009E05AA"/>
    <w:rsid w:val="009E0608"/>
    <w:rsid w:val="009E0621"/>
    <w:rsid w:val="009E0624"/>
    <w:rsid w:val="009E065D"/>
    <w:rsid w:val="009E073C"/>
    <w:rsid w:val="009E0791"/>
    <w:rsid w:val="009E07BC"/>
    <w:rsid w:val="009E07C0"/>
    <w:rsid w:val="009E07F8"/>
    <w:rsid w:val="009E07FE"/>
    <w:rsid w:val="009E088A"/>
    <w:rsid w:val="009E08BC"/>
    <w:rsid w:val="009E08E2"/>
    <w:rsid w:val="009E090A"/>
    <w:rsid w:val="009E094A"/>
    <w:rsid w:val="009E0956"/>
    <w:rsid w:val="009E095B"/>
    <w:rsid w:val="009E0964"/>
    <w:rsid w:val="009E096D"/>
    <w:rsid w:val="009E0985"/>
    <w:rsid w:val="009E09D6"/>
    <w:rsid w:val="009E0A3D"/>
    <w:rsid w:val="009E0A4D"/>
    <w:rsid w:val="009E0AC2"/>
    <w:rsid w:val="009E0B70"/>
    <w:rsid w:val="009E0B76"/>
    <w:rsid w:val="009E0B96"/>
    <w:rsid w:val="009E0BF8"/>
    <w:rsid w:val="009E0C21"/>
    <w:rsid w:val="009E0C28"/>
    <w:rsid w:val="009E0C4A"/>
    <w:rsid w:val="009E0C82"/>
    <w:rsid w:val="009E0C85"/>
    <w:rsid w:val="009E0C88"/>
    <w:rsid w:val="009E0CC5"/>
    <w:rsid w:val="009E0DC8"/>
    <w:rsid w:val="009E0E0F"/>
    <w:rsid w:val="009E0E82"/>
    <w:rsid w:val="009E0EFE"/>
    <w:rsid w:val="009E0F16"/>
    <w:rsid w:val="009E0F1D"/>
    <w:rsid w:val="009E0F1E"/>
    <w:rsid w:val="009E0F42"/>
    <w:rsid w:val="009E0FAF"/>
    <w:rsid w:val="009E0FD2"/>
    <w:rsid w:val="009E1005"/>
    <w:rsid w:val="009E103F"/>
    <w:rsid w:val="009E1043"/>
    <w:rsid w:val="009E106A"/>
    <w:rsid w:val="009E110C"/>
    <w:rsid w:val="009E1164"/>
    <w:rsid w:val="009E11E0"/>
    <w:rsid w:val="009E11E4"/>
    <w:rsid w:val="009E11F2"/>
    <w:rsid w:val="009E1213"/>
    <w:rsid w:val="009E12B5"/>
    <w:rsid w:val="009E12C2"/>
    <w:rsid w:val="009E12DA"/>
    <w:rsid w:val="009E1305"/>
    <w:rsid w:val="009E1306"/>
    <w:rsid w:val="009E139C"/>
    <w:rsid w:val="009E13CF"/>
    <w:rsid w:val="009E13FC"/>
    <w:rsid w:val="009E14A7"/>
    <w:rsid w:val="009E14C7"/>
    <w:rsid w:val="009E150E"/>
    <w:rsid w:val="009E1554"/>
    <w:rsid w:val="009E1589"/>
    <w:rsid w:val="009E158C"/>
    <w:rsid w:val="009E158F"/>
    <w:rsid w:val="009E164F"/>
    <w:rsid w:val="009E1680"/>
    <w:rsid w:val="009E16AE"/>
    <w:rsid w:val="009E171C"/>
    <w:rsid w:val="009E171F"/>
    <w:rsid w:val="009E1845"/>
    <w:rsid w:val="009E18DC"/>
    <w:rsid w:val="009E1906"/>
    <w:rsid w:val="009E195D"/>
    <w:rsid w:val="009E196B"/>
    <w:rsid w:val="009E19BB"/>
    <w:rsid w:val="009E19ED"/>
    <w:rsid w:val="009E1A24"/>
    <w:rsid w:val="009E1A35"/>
    <w:rsid w:val="009E1A44"/>
    <w:rsid w:val="009E1A4E"/>
    <w:rsid w:val="009E1A60"/>
    <w:rsid w:val="009E1A7B"/>
    <w:rsid w:val="009E1A82"/>
    <w:rsid w:val="009E1ACA"/>
    <w:rsid w:val="009E1ACF"/>
    <w:rsid w:val="009E1AE8"/>
    <w:rsid w:val="009E1AFA"/>
    <w:rsid w:val="009E1B00"/>
    <w:rsid w:val="009E1B24"/>
    <w:rsid w:val="009E1B99"/>
    <w:rsid w:val="009E1BA2"/>
    <w:rsid w:val="009E1BB5"/>
    <w:rsid w:val="009E1BCF"/>
    <w:rsid w:val="009E1C05"/>
    <w:rsid w:val="009E1C1C"/>
    <w:rsid w:val="009E1C29"/>
    <w:rsid w:val="009E1C2A"/>
    <w:rsid w:val="009E1C33"/>
    <w:rsid w:val="009E1C4D"/>
    <w:rsid w:val="009E1C89"/>
    <w:rsid w:val="009E1D03"/>
    <w:rsid w:val="009E1D23"/>
    <w:rsid w:val="009E1D62"/>
    <w:rsid w:val="009E1DDD"/>
    <w:rsid w:val="009E1E26"/>
    <w:rsid w:val="009E1EC2"/>
    <w:rsid w:val="009E1F07"/>
    <w:rsid w:val="009E1F6E"/>
    <w:rsid w:val="009E1F70"/>
    <w:rsid w:val="009E1FB3"/>
    <w:rsid w:val="009E1FBB"/>
    <w:rsid w:val="009E206D"/>
    <w:rsid w:val="009E207D"/>
    <w:rsid w:val="009E2084"/>
    <w:rsid w:val="009E209F"/>
    <w:rsid w:val="009E20DE"/>
    <w:rsid w:val="009E20E7"/>
    <w:rsid w:val="009E20F4"/>
    <w:rsid w:val="009E20FA"/>
    <w:rsid w:val="009E21F8"/>
    <w:rsid w:val="009E2286"/>
    <w:rsid w:val="009E228A"/>
    <w:rsid w:val="009E229C"/>
    <w:rsid w:val="009E2346"/>
    <w:rsid w:val="009E23A1"/>
    <w:rsid w:val="009E24BE"/>
    <w:rsid w:val="009E2518"/>
    <w:rsid w:val="009E2521"/>
    <w:rsid w:val="009E252F"/>
    <w:rsid w:val="009E254E"/>
    <w:rsid w:val="009E2550"/>
    <w:rsid w:val="009E2575"/>
    <w:rsid w:val="009E25B7"/>
    <w:rsid w:val="009E25C8"/>
    <w:rsid w:val="009E25D7"/>
    <w:rsid w:val="009E25DC"/>
    <w:rsid w:val="009E25FF"/>
    <w:rsid w:val="009E2607"/>
    <w:rsid w:val="009E2616"/>
    <w:rsid w:val="009E2621"/>
    <w:rsid w:val="009E2622"/>
    <w:rsid w:val="009E2669"/>
    <w:rsid w:val="009E26BB"/>
    <w:rsid w:val="009E26D0"/>
    <w:rsid w:val="009E26DF"/>
    <w:rsid w:val="009E273D"/>
    <w:rsid w:val="009E2740"/>
    <w:rsid w:val="009E279A"/>
    <w:rsid w:val="009E27A1"/>
    <w:rsid w:val="009E27D3"/>
    <w:rsid w:val="009E27FB"/>
    <w:rsid w:val="009E289F"/>
    <w:rsid w:val="009E28D1"/>
    <w:rsid w:val="009E2925"/>
    <w:rsid w:val="009E292C"/>
    <w:rsid w:val="009E2965"/>
    <w:rsid w:val="009E2971"/>
    <w:rsid w:val="009E29E2"/>
    <w:rsid w:val="009E2A06"/>
    <w:rsid w:val="009E2A2D"/>
    <w:rsid w:val="009E2A37"/>
    <w:rsid w:val="009E2A40"/>
    <w:rsid w:val="009E2A91"/>
    <w:rsid w:val="009E2A97"/>
    <w:rsid w:val="009E2B3D"/>
    <w:rsid w:val="009E2B57"/>
    <w:rsid w:val="009E2B68"/>
    <w:rsid w:val="009E2B81"/>
    <w:rsid w:val="009E2BB0"/>
    <w:rsid w:val="009E2BCC"/>
    <w:rsid w:val="009E2BE6"/>
    <w:rsid w:val="009E2C6E"/>
    <w:rsid w:val="009E2C71"/>
    <w:rsid w:val="009E2C77"/>
    <w:rsid w:val="009E2C84"/>
    <w:rsid w:val="009E2C91"/>
    <w:rsid w:val="009E2C9A"/>
    <w:rsid w:val="009E2CA7"/>
    <w:rsid w:val="009E2CAC"/>
    <w:rsid w:val="009E2CF1"/>
    <w:rsid w:val="009E2D17"/>
    <w:rsid w:val="009E2D4B"/>
    <w:rsid w:val="009E2D7B"/>
    <w:rsid w:val="009E2DF2"/>
    <w:rsid w:val="009E2E3F"/>
    <w:rsid w:val="009E2E50"/>
    <w:rsid w:val="009E2E56"/>
    <w:rsid w:val="009E2E6D"/>
    <w:rsid w:val="009E2EED"/>
    <w:rsid w:val="009E2F5C"/>
    <w:rsid w:val="009E2F5D"/>
    <w:rsid w:val="009E2F97"/>
    <w:rsid w:val="009E2FE5"/>
    <w:rsid w:val="009E3014"/>
    <w:rsid w:val="009E3092"/>
    <w:rsid w:val="009E30E1"/>
    <w:rsid w:val="009E30E7"/>
    <w:rsid w:val="009E3122"/>
    <w:rsid w:val="009E3137"/>
    <w:rsid w:val="009E314E"/>
    <w:rsid w:val="009E31F1"/>
    <w:rsid w:val="009E3379"/>
    <w:rsid w:val="009E33D8"/>
    <w:rsid w:val="009E33EE"/>
    <w:rsid w:val="009E3423"/>
    <w:rsid w:val="009E344E"/>
    <w:rsid w:val="009E348F"/>
    <w:rsid w:val="009E34A3"/>
    <w:rsid w:val="009E3573"/>
    <w:rsid w:val="009E3575"/>
    <w:rsid w:val="009E3576"/>
    <w:rsid w:val="009E3579"/>
    <w:rsid w:val="009E358D"/>
    <w:rsid w:val="009E35B3"/>
    <w:rsid w:val="009E35CB"/>
    <w:rsid w:val="009E369C"/>
    <w:rsid w:val="009E369E"/>
    <w:rsid w:val="009E36C0"/>
    <w:rsid w:val="009E378D"/>
    <w:rsid w:val="009E3804"/>
    <w:rsid w:val="009E3945"/>
    <w:rsid w:val="009E3969"/>
    <w:rsid w:val="009E397C"/>
    <w:rsid w:val="009E39BE"/>
    <w:rsid w:val="009E39D6"/>
    <w:rsid w:val="009E3A4E"/>
    <w:rsid w:val="009E3A66"/>
    <w:rsid w:val="009E3A80"/>
    <w:rsid w:val="009E3A8F"/>
    <w:rsid w:val="009E3A95"/>
    <w:rsid w:val="009E3AA7"/>
    <w:rsid w:val="009E3B0E"/>
    <w:rsid w:val="009E3B30"/>
    <w:rsid w:val="009E3B52"/>
    <w:rsid w:val="009E3BB6"/>
    <w:rsid w:val="009E3BBC"/>
    <w:rsid w:val="009E3BC5"/>
    <w:rsid w:val="009E3BFC"/>
    <w:rsid w:val="009E3C1A"/>
    <w:rsid w:val="009E3C37"/>
    <w:rsid w:val="009E3C3F"/>
    <w:rsid w:val="009E3C44"/>
    <w:rsid w:val="009E3C6B"/>
    <w:rsid w:val="009E3C7E"/>
    <w:rsid w:val="009E3C83"/>
    <w:rsid w:val="009E3C93"/>
    <w:rsid w:val="009E3CD4"/>
    <w:rsid w:val="009E3CFD"/>
    <w:rsid w:val="009E3D06"/>
    <w:rsid w:val="009E3D12"/>
    <w:rsid w:val="009E3D15"/>
    <w:rsid w:val="009E3DA0"/>
    <w:rsid w:val="009E3DD2"/>
    <w:rsid w:val="009E3E30"/>
    <w:rsid w:val="009E3E7C"/>
    <w:rsid w:val="009E3EE5"/>
    <w:rsid w:val="009E3F0B"/>
    <w:rsid w:val="009E3F28"/>
    <w:rsid w:val="009E3FC1"/>
    <w:rsid w:val="009E4002"/>
    <w:rsid w:val="009E4091"/>
    <w:rsid w:val="009E40C5"/>
    <w:rsid w:val="009E4161"/>
    <w:rsid w:val="009E41D2"/>
    <w:rsid w:val="009E4226"/>
    <w:rsid w:val="009E4238"/>
    <w:rsid w:val="009E4280"/>
    <w:rsid w:val="009E42B5"/>
    <w:rsid w:val="009E42D9"/>
    <w:rsid w:val="009E42EB"/>
    <w:rsid w:val="009E431E"/>
    <w:rsid w:val="009E4377"/>
    <w:rsid w:val="009E43E2"/>
    <w:rsid w:val="009E445C"/>
    <w:rsid w:val="009E4464"/>
    <w:rsid w:val="009E447F"/>
    <w:rsid w:val="009E4483"/>
    <w:rsid w:val="009E449C"/>
    <w:rsid w:val="009E44A1"/>
    <w:rsid w:val="009E44C9"/>
    <w:rsid w:val="009E456A"/>
    <w:rsid w:val="009E4579"/>
    <w:rsid w:val="009E4599"/>
    <w:rsid w:val="009E45A0"/>
    <w:rsid w:val="009E462A"/>
    <w:rsid w:val="009E4742"/>
    <w:rsid w:val="009E475B"/>
    <w:rsid w:val="009E479A"/>
    <w:rsid w:val="009E47D9"/>
    <w:rsid w:val="009E4813"/>
    <w:rsid w:val="009E4862"/>
    <w:rsid w:val="009E488E"/>
    <w:rsid w:val="009E48F7"/>
    <w:rsid w:val="009E4916"/>
    <w:rsid w:val="009E4952"/>
    <w:rsid w:val="009E4998"/>
    <w:rsid w:val="009E49AE"/>
    <w:rsid w:val="009E4A0F"/>
    <w:rsid w:val="009E4A47"/>
    <w:rsid w:val="009E4AC9"/>
    <w:rsid w:val="009E4B09"/>
    <w:rsid w:val="009E4B12"/>
    <w:rsid w:val="009E4B3A"/>
    <w:rsid w:val="009E4B4F"/>
    <w:rsid w:val="009E4B51"/>
    <w:rsid w:val="009E4C32"/>
    <w:rsid w:val="009E4C6A"/>
    <w:rsid w:val="009E4D3C"/>
    <w:rsid w:val="009E4D44"/>
    <w:rsid w:val="009E4D56"/>
    <w:rsid w:val="009E4D6C"/>
    <w:rsid w:val="009E4EE3"/>
    <w:rsid w:val="009E4EEC"/>
    <w:rsid w:val="009E4F3E"/>
    <w:rsid w:val="009E4FCB"/>
    <w:rsid w:val="009E5092"/>
    <w:rsid w:val="009E50B1"/>
    <w:rsid w:val="009E50BA"/>
    <w:rsid w:val="009E5120"/>
    <w:rsid w:val="009E51A8"/>
    <w:rsid w:val="009E51C0"/>
    <w:rsid w:val="009E51C1"/>
    <w:rsid w:val="009E51C8"/>
    <w:rsid w:val="009E51CA"/>
    <w:rsid w:val="009E51E0"/>
    <w:rsid w:val="009E51E1"/>
    <w:rsid w:val="009E5223"/>
    <w:rsid w:val="009E523B"/>
    <w:rsid w:val="009E52FD"/>
    <w:rsid w:val="009E52FE"/>
    <w:rsid w:val="009E5305"/>
    <w:rsid w:val="009E531A"/>
    <w:rsid w:val="009E5333"/>
    <w:rsid w:val="009E533D"/>
    <w:rsid w:val="009E53BF"/>
    <w:rsid w:val="009E53E2"/>
    <w:rsid w:val="009E53F7"/>
    <w:rsid w:val="009E5407"/>
    <w:rsid w:val="009E544C"/>
    <w:rsid w:val="009E546F"/>
    <w:rsid w:val="009E5514"/>
    <w:rsid w:val="009E5548"/>
    <w:rsid w:val="009E555F"/>
    <w:rsid w:val="009E5573"/>
    <w:rsid w:val="009E55FB"/>
    <w:rsid w:val="009E5603"/>
    <w:rsid w:val="009E560D"/>
    <w:rsid w:val="009E568C"/>
    <w:rsid w:val="009E56B2"/>
    <w:rsid w:val="009E577B"/>
    <w:rsid w:val="009E5787"/>
    <w:rsid w:val="009E57B1"/>
    <w:rsid w:val="009E581C"/>
    <w:rsid w:val="009E5869"/>
    <w:rsid w:val="009E588D"/>
    <w:rsid w:val="009E58E2"/>
    <w:rsid w:val="009E58F4"/>
    <w:rsid w:val="009E593C"/>
    <w:rsid w:val="009E597F"/>
    <w:rsid w:val="009E5A1A"/>
    <w:rsid w:val="009E5A1B"/>
    <w:rsid w:val="009E5A76"/>
    <w:rsid w:val="009E5A89"/>
    <w:rsid w:val="009E5AA0"/>
    <w:rsid w:val="009E5AB8"/>
    <w:rsid w:val="009E5B74"/>
    <w:rsid w:val="009E5BAC"/>
    <w:rsid w:val="009E5C48"/>
    <w:rsid w:val="009E5C74"/>
    <w:rsid w:val="009E5CB3"/>
    <w:rsid w:val="009E5CED"/>
    <w:rsid w:val="009E5D0B"/>
    <w:rsid w:val="009E5D22"/>
    <w:rsid w:val="009E5D71"/>
    <w:rsid w:val="009E5DAF"/>
    <w:rsid w:val="009E5DCD"/>
    <w:rsid w:val="009E5DFF"/>
    <w:rsid w:val="009E5E0F"/>
    <w:rsid w:val="009E5E1A"/>
    <w:rsid w:val="009E5E8C"/>
    <w:rsid w:val="009E5EBF"/>
    <w:rsid w:val="009E5EF9"/>
    <w:rsid w:val="009E5F06"/>
    <w:rsid w:val="009E5F19"/>
    <w:rsid w:val="009E5F1E"/>
    <w:rsid w:val="009E5F29"/>
    <w:rsid w:val="009E5F8B"/>
    <w:rsid w:val="009E5FBB"/>
    <w:rsid w:val="009E6014"/>
    <w:rsid w:val="009E6081"/>
    <w:rsid w:val="009E60BD"/>
    <w:rsid w:val="009E60CD"/>
    <w:rsid w:val="009E6107"/>
    <w:rsid w:val="009E614C"/>
    <w:rsid w:val="009E614F"/>
    <w:rsid w:val="009E615B"/>
    <w:rsid w:val="009E616D"/>
    <w:rsid w:val="009E6197"/>
    <w:rsid w:val="009E61B5"/>
    <w:rsid w:val="009E61D0"/>
    <w:rsid w:val="009E61F8"/>
    <w:rsid w:val="009E629A"/>
    <w:rsid w:val="009E6312"/>
    <w:rsid w:val="009E634C"/>
    <w:rsid w:val="009E6379"/>
    <w:rsid w:val="009E6388"/>
    <w:rsid w:val="009E63AE"/>
    <w:rsid w:val="009E63B3"/>
    <w:rsid w:val="009E63E2"/>
    <w:rsid w:val="009E63FE"/>
    <w:rsid w:val="009E6416"/>
    <w:rsid w:val="009E6514"/>
    <w:rsid w:val="009E6517"/>
    <w:rsid w:val="009E65FA"/>
    <w:rsid w:val="009E662E"/>
    <w:rsid w:val="009E6631"/>
    <w:rsid w:val="009E669D"/>
    <w:rsid w:val="009E67B8"/>
    <w:rsid w:val="009E67BF"/>
    <w:rsid w:val="009E67D4"/>
    <w:rsid w:val="009E680F"/>
    <w:rsid w:val="009E688D"/>
    <w:rsid w:val="009E691F"/>
    <w:rsid w:val="009E6A43"/>
    <w:rsid w:val="009E6A57"/>
    <w:rsid w:val="009E6A8E"/>
    <w:rsid w:val="009E6AAF"/>
    <w:rsid w:val="009E6ADF"/>
    <w:rsid w:val="009E6B7B"/>
    <w:rsid w:val="009E6B80"/>
    <w:rsid w:val="009E6BB9"/>
    <w:rsid w:val="009E6BD2"/>
    <w:rsid w:val="009E6C35"/>
    <w:rsid w:val="009E6C56"/>
    <w:rsid w:val="009E6C5F"/>
    <w:rsid w:val="009E6C79"/>
    <w:rsid w:val="009E6CEF"/>
    <w:rsid w:val="009E6D0B"/>
    <w:rsid w:val="009E6D62"/>
    <w:rsid w:val="009E6D83"/>
    <w:rsid w:val="009E6DCC"/>
    <w:rsid w:val="009E6E13"/>
    <w:rsid w:val="009E6E39"/>
    <w:rsid w:val="009E6E53"/>
    <w:rsid w:val="009E6E6B"/>
    <w:rsid w:val="009E6EC4"/>
    <w:rsid w:val="009E6F5F"/>
    <w:rsid w:val="009E6FF1"/>
    <w:rsid w:val="009E6FF8"/>
    <w:rsid w:val="009E7000"/>
    <w:rsid w:val="009E7047"/>
    <w:rsid w:val="009E7081"/>
    <w:rsid w:val="009E70AD"/>
    <w:rsid w:val="009E70B5"/>
    <w:rsid w:val="009E70E0"/>
    <w:rsid w:val="009E716E"/>
    <w:rsid w:val="009E71EC"/>
    <w:rsid w:val="009E720A"/>
    <w:rsid w:val="009E720B"/>
    <w:rsid w:val="009E7258"/>
    <w:rsid w:val="009E728A"/>
    <w:rsid w:val="009E72A0"/>
    <w:rsid w:val="009E72D8"/>
    <w:rsid w:val="009E7309"/>
    <w:rsid w:val="009E7334"/>
    <w:rsid w:val="009E7360"/>
    <w:rsid w:val="009E7388"/>
    <w:rsid w:val="009E73AE"/>
    <w:rsid w:val="009E7474"/>
    <w:rsid w:val="009E7495"/>
    <w:rsid w:val="009E74DE"/>
    <w:rsid w:val="009E7582"/>
    <w:rsid w:val="009E7588"/>
    <w:rsid w:val="009E7630"/>
    <w:rsid w:val="009E7636"/>
    <w:rsid w:val="009E763B"/>
    <w:rsid w:val="009E769D"/>
    <w:rsid w:val="009E76AA"/>
    <w:rsid w:val="009E76CE"/>
    <w:rsid w:val="009E76E6"/>
    <w:rsid w:val="009E7702"/>
    <w:rsid w:val="009E7735"/>
    <w:rsid w:val="009E776A"/>
    <w:rsid w:val="009E779C"/>
    <w:rsid w:val="009E77CE"/>
    <w:rsid w:val="009E77D2"/>
    <w:rsid w:val="009E78F4"/>
    <w:rsid w:val="009E7989"/>
    <w:rsid w:val="009E79BC"/>
    <w:rsid w:val="009E79E3"/>
    <w:rsid w:val="009E7A0C"/>
    <w:rsid w:val="009E7A35"/>
    <w:rsid w:val="009E7A3A"/>
    <w:rsid w:val="009E7AA1"/>
    <w:rsid w:val="009E7AC7"/>
    <w:rsid w:val="009E7B13"/>
    <w:rsid w:val="009E7B3F"/>
    <w:rsid w:val="009E7B8B"/>
    <w:rsid w:val="009E7C7A"/>
    <w:rsid w:val="009E7C7F"/>
    <w:rsid w:val="009E7C82"/>
    <w:rsid w:val="009E7CAB"/>
    <w:rsid w:val="009E7CCB"/>
    <w:rsid w:val="009E7D19"/>
    <w:rsid w:val="009E7D21"/>
    <w:rsid w:val="009E7EB3"/>
    <w:rsid w:val="009E7EBC"/>
    <w:rsid w:val="009E7EF9"/>
    <w:rsid w:val="009E7F47"/>
    <w:rsid w:val="009E7FD1"/>
    <w:rsid w:val="009EA30D"/>
    <w:rsid w:val="009F001B"/>
    <w:rsid w:val="009F0095"/>
    <w:rsid w:val="009F00C0"/>
    <w:rsid w:val="009F00D5"/>
    <w:rsid w:val="009F01B3"/>
    <w:rsid w:val="009F0294"/>
    <w:rsid w:val="009F02B6"/>
    <w:rsid w:val="009F030D"/>
    <w:rsid w:val="009F032C"/>
    <w:rsid w:val="009F032D"/>
    <w:rsid w:val="009F0348"/>
    <w:rsid w:val="009F039F"/>
    <w:rsid w:val="009F03CF"/>
    <w:rsid w:val="009F04B7"/>
    <w:rsid w:val="009F0556"/>
    <w:rsid w:val="009F0564"/>
    <w:rsid w:val="009F0573"/>
    <w:rsid w:val="009F0577"/>
    <w:rsid w:val="009F0599"/>
    <w:rsid w:val="009F05D0"/>
    <w:rsid w:val="009F05D1"/>
    <w:rsid w:val="009F05E8"/>
    <w:rsid w:val="009F05FF"/>
    <w:rsid w:val="009F063F"/>
    <w:rsid w:val="009F0650"/>
    <w:rsid w:val="009F0676"/>
    <w:rsid w:val="009F068B"/>
    <w:rsid w:val="009F06A4"/>
    <w:rsid w:val="009F06F1"/>
    <w:rsid w:val="009F06F6"/>
    <w:rsid w:val="009F077D"/>
    <w:rsid w:val="009F07BC"/>
    <w:rsid w:val="009F07D0"/>
    <w:rsid w:val="009F0840"/>
    <w:rsid w:val="009F08BC"/>
    <w:rsid w:val="009F08BF"/>
    <w:rsid w:val="009F08CE"/>
    <w:rsid w:val="009F092A"/>
    <w:rsid w:val="009F0931"/>
    <w:rsid w:val="009F0980"/>
    <w:rsid w:val="009F09D5"/>
    <w:rsid w:val="009F0A4F"/>
    <w:rsid w:val="009F0AAF"/>
    <w:rsid w:val="009F0AE2"/>
    <w:rsid w:val="009F0B07"/>
    <w:rsid w:val="009F0B10"/>
    <w:rsid w:val="009F0B25"/>
    <w:rsid w:val="009F0B5E"/>
    <w:rsid w:val="009F0B64"/>
    <w:rsid w:val="009F0BCD"/>
    <w:rsid w:val="009F0C12"/>
    <w:rsid w:val="009F0C1F"/>
    <w:rsid w:val="009F0C2D"/>
    <w:rsid w:val="009F0C6D"/>
    <w:rsid w:val="009F0C8E"/>
    <w:rsid w:val="009F0CD4"/>
    <w:rsid w:val="009F0D0D"/>
    <w:rsid w:val="009F0D2B"/>
    <w:rsid w:val="009F0DA0"/>
    <w:rsid w:val="009F0DC7"/>
    <w:rsid w:val="009F0DCC"/>
    <w:rsid w:val="009F0E95"/>
    <w:rsid w:val="009F0EAC"/>
    <w:rsid w:val="009F0F26"/>
    <w:rsid w:val="009F0F6E"/>
    <w:rsid w:val="009F0FDA"/>
    <w:rsid w:val="009F0FDE"/>
    <w:rsid w:val="009F1004"/>
    <w:rsid w:val="009F1070"/>
    <w:rsid w:val="009F107A"/>
    <w:rsid w:val="009F10A1"/>
    <w:rsid w:val="009F10FE"/>
    <w:rsid w:val="009F1159"/>
    <w:rsid w:val="009F1174"/>
    <w:rsid w:val="009F11A5"/>
    <w:rsid w:val="009F1293"/>
    <w:rsid w:val="009F12C3"/>
    <w:rsid w:val="009F12E5"/>
    <w:rsid w:val="009F131B"/>
    <w:rsid w:val="009F1326"/>
    <w:rsid w:val="009F1346"/>
    <w:rsid w:val="009F1365"/>
    <w:rsid w:val="009F1396"/>
    <w:rsid w:val="009F13D2"/>
    <w:rsid w:val="009F13DE"/>
    <w:rsid w:val="009F140F"/>
    <w:rsid w:val="009F143E"/>
    <w:rsid w:val="009F1475"/>
    <w:rsid w:val="009F14F5"/>
    <w:rsid w:val="009F150A"/>
    <w:rsid w:val="009F1514"/>
    <w:rsid w:val="009F1529"/>
    <w:rsid w:val="009F157E"/>
    <w:rsid w:val="009F15E8"/>
    <w:rsid w:val="009F1607"/>
    <w:rsid w:val="009F161B"/>
    <w:rsid w:val="009F161E"/>
    <w:rsid w:val="009F1645"/>
    <w:rsid w:val="009F1659"/>
    <w:rsid w:val="009F1699"/>
    <w:rsid w:val="009F169B"/>
    <w:rsid w:val="009F16EA"/>
    <w:rsid w:val="009F176B"/>
    <w:rsid w:val="009F17C3"/>
    <w:rsid w:val="009F1824"/>
    <w:rsid w:val="009F1876"/>
    <w:rsid w:val="009F1882"/>
    <w:rsid w:val="009F18C3"/>
    <w:rsid w:val="009F18CA"/>
    <w:rsid w:val="009F1910"/>
    <w:rsid w:val="009F1989"/>
    <w:rsid w:val="009F19B0"/>
    <w:rsid w:val="009F19CD"/>
    <w:rsid w:val="009F19EC"/>
    <w:rsid w:val="009F19FE"/>
    <w:rsid w:val="009F1A62"/>
    <w:rsid w:val="009F1A69"/>
    <w:rsid w:val="009F1B0F"/>
    <w:rsid w:val="009F1B33"/>
    <w:rsid w:val="009F1B47"/>
    <w:rsid w:val="009F1C2A"/>
    <w:rsid w:val="009F1C55"/>
    <w:rsid w:val="009F1C8E"/>
    <w:rsid w:val="009F1C92"/>
    <w:rsid w:val="009F1D0C"/>
    <w:rsid w:val="009F1D2C"/>
    <w:rsid w:val="009F1D3D"/>
    <w:rsid w:val="009F1D4E"/>
    <w:rsid w:val="009F1DFE"/>
    <w:rsid w:val="009F1E5B"/>
    <w:rsid w:val="009F1E5E"/>
    <w:rsid w:val="009F1EA5"/>
    <w:rsid w:val="009F1EB5"/>
    <w:rsid w:val="009F1EE2"/>
    <w:rsid w:val="009F1EEB"/>
    <w:rsid w:val="009F1F28"/>
    <w:rsid w:val="009F1F39"/>
    <w:rsid w:val="009F1F87"/>
    <w:rsid w:val="009F201F"/>
    <w:rsid w:val="009F2035"/>
    <w:rsid w:val="009F2056"/>
    <w:rsid w:val="009F207A"/>
    <w:rsid w:val="009F2086"/>
    <w:rsid w:val="009F20A7"/>
    <w:rsid w:val="009F20AD"/>
    <w:rsid w:val="009F2127"/>
    <w:rsid w:val="009F2137"/>
    <w:rsid w:val="009F21DC"/>
    <w:rsid w:val="009F220C"/>
    <w:rsid w:val="009F2238"/>
    <w:rsid w:val="009F228F"/>
    <w:rsid w:val="009F2292"/>
    <w:rsid w:val="009F22C5"/>
    <w:rsid w:val="009F22D0"/>
    <w:rsid w:val="009F22EE"/>
    <w:rsid w:val="009F2439"/>
    <w:rsid w:val="009F245B"/>
    <w:rsid w:val="009F2490"/>
    <w:rsid w:val="009F2497"/>
    <w:rsid w:val="009F24CD"/>
    <w:rsid w:val="009F24DF"/>
    <w:rsid w:val="009F2518"/>
    <w:rsid w:val="009F2542"/>
    <w:rsid w:val="009F2574"/>
    <w:rsid w:val="009F257F"/>
    <w:rsid w:val="009F25BF"/>
    <w:rsid w:val="009F25EB"/>
    <w:rsid w:val="009F25F1"/>
    <w:rsid w:val="009F2607"/>
    <w:rsid w:val="009F266B"/>
    <w:rsid w:val="009F2673"/>
    <w:rsid w:val="009F2688"/>
    <w:rsid w:val="009F2691"/>
    <w:rsid w:val="009F269B"/>
    <w:rsid w:val="009F2753"/>
    <w:rsid w:val="009F2799"/>
    <w:rsid w:val="009F27AC"/>
    <w:rsid w:val="009F27EE"/>
    <w:rsid w:val="009F27F7"/>
    <w:rsid w:val="009F27FA"/>
    <w:rsid w:val="009F280D"/>
    <w:rsid w:val="009F2856"/>
    <w:rsid w:val="009F2879"/>
    <w:rsid w:val="009F28BD"/>
    <w:rsid w:val="009F28D3"/>
    <w:rsid w:val="009F28F5"/>
    <w:rsid w:val="009F2A34"/>
    <w:rsid w:val="009F2A39"/>
    <w:rsid w:val="009F2ABC"/>
    <w:rsid w:val="009F2B33"/>
    <w:rsid w:val="009F2B43"/>
    <w:rsid w:val="009F2B51"/>
    <w:rsid w:val="009F2B67"/>
    <w:rsid w:val="009F2B92"/>
    <w:rsid w:val="009F2BD8"/>
    <w:rsid w:val="009F2C03"/>
    <w:rsid w:val="009F2C73"/>
    <w:rsid w:val="009F2C83"/>
    <w:rsid w:val="009F2C93"/>
    <w:rsid w:val="009F2CA5"/>
    <w:rsid w:val="009F2CC0"/>
    <w:rsid w:val="009F2CC3"/>
    <w:rsid w:val="009F2CE5"/>
    <w:rsid w:val="009F2D16"/>
    <w:rsid w:val="009F2D28"/>
    <w:rsid w:val="009F2D51"/>
    <w:rsid w:val="009F2D62"/>
    <w:rsid w:val="009F2D87"/>
    <w:rsid w:val="009F2D94"/>
    <w:rsid w:val="009F2E19"/>
    <w:rsid w:val="009F2E1D"/>
    <w:rsid w:val="009F2E51"/>
    <w:rsid w:val="009F2E53"/>
    <w:rsid w:val="009F2E9A"/>
    <w:rsid w:val="009F2ECF"/>
    <w:rsid w:val="009F2F20"/>
    <w:rsid w:val="009F2F26"/>
    <w:rsid w:val="009F2F30"/>
    <w:rsid w:val="009F2F89"/>
    <w:rsid w:val="009F2F8B"/>
    <w:rsid w:val="009F2F8E"/>
    <w:rsid w:val="009F2FD0"/>
    <w:rsid w:val="009F2FD8"/>
    <w:rsid w:val="009F3065"/>
    <w:rsid w:val="009F307C"/>
    <w:rsid w:val="009F30B0"/>
    <w:rsid w:val="009F30E9"/>
    <w:rsid w:val="009F30FE"/>
    <w:rsid w:val="009F310C"/>
    <w:rsid w:val="009F31BD"/>
    <w:rsid w:val="009F323A"/>
    <w:rsid w:val="009F3247"/>
    <w:rsid w:val="009F3287"/>
    <w:rsid w:val="009F32AF"/>
    <w:rsid w:val="009F3339"/>
    <w:rsid w:val="009F3356"/>
    <w:rsid w:val="009F336C"/>
    <w:rsid w:val="009F3390"/>
    <w:rsid w:val="009F33B3"/>
    <w:rsid w:val="009F33D9"/>
    <w:rsid w:val="009F3425"/>
    <w:rsid w:val="009F342B"/>
    <w:rsid w:val="009F3493"/>
    <w:rsid w:val="009F34FE"/>
    <w:rsid w:val="009F3508"/>
    <w:rsid w:val="009F350C"/>
    <w:rsid w:val="009F354C"/>
    <w:rsid w:val="009F3581"/>
    <w:rsid w:val="009F3588"/>
    <w:rsid w:val="009F3603"/>
    <w:rsid w:val="009F3608"/>
    <w:rsid w:val="009F3609"/>
    <w:rsid w:val="009F3616"/>
    <w:rsid w:val="009F361A"/>
    <w:rsid w:val="009F365C"/>
    <w:rsid w:val="009F365F"/>
    <w:rsid w:val="009F3695"/>
    <w:rsid w:val="009F36A0"/>
    <w:rsid w:val="009F3717"/>
    <w:rsid w:val="009F373D"/>
    <w:rsid w:val="009F3765"/>
    <w:rsid w:val="009F3776"/>
    <w:rsid w:val="009F37F3"/>
    <w:rsid w:val="009F3997"/>
    <w:rsid w:val="009F39F0"/>
    <w:rsid w:val="009F3A12"/>
    <w:rsid w:val="009F3A50"/>
    <w:rsid w:val="009F3A68"/>
    <w:rsid w:val="009F3A72"/>
    <w:rsid w:val="009F3AC2"/>
    <w:rsid w:val="009F3B02"/>
    <w:rsid w:val="009F3BDF"/>
    <w:rsid w:val="009F3C10"/>
    <w:rsid w:val="009F3C14"/>
    <w:rsid w:val="009F3C33"/>
    <w:rsid w:val="009F3C9C"/>
    <w:rsid w:val="009F3CBF"/>
    <w:rsid w:val="009F3CEA"/>
    <w:rsid w:val="009F3D6E"/>
    <w:rsid w:val="009F3D79"/>
    <w:rsid w:val="009F3D97"/>
    <w:rsid w:val="009F3DA0"/>
    <w:rsid w:val="009F3E81"/>
    <w:rsid w:val="009F3ED2"/>
    <w:rsid w:val="009F3F46"/>
    <w:rsid w:val="009F3F7E"/>
    <w:rsid w:val="009F3F7F"/>
    <w:rsid w:val="009F3F99"/>
    <w:rsid w:val="009F3FC9"/>
    <w:rsid w:val="009F4078"/>
    <w:rsid w:val="009F409D"/>
    <w:rsid w:val="009F40B2"/>
    <w:rsid w:val="009F414E"/>
    <w:rsid w:val="009F415F"/>
    <w:rsid w:val="009F4261"/>
    <w:rsid w:val="009F42DE"/>
    <w:rsid w:val="009F42F5"/>
    <w:rsid w:val="009F438C"/>
    <w:rsid w:val="009F43BA"/>
    <w:rsid w:val="009F4403"/>
    <w:rsid w:val="009F440F"/>
    <w:rsid w:val="009F4427"/>
    <w:rsid w:val="009F443E"/>
    <w:rsid w:val="009F44CB"/>
    <w:rsid w:val="009F44D7"/>
    <w:rsid w:val="009F44EF"/>
    <w:rsid w:val="009F4545"/>
    <w:rsid w:val="009F4590"/>
    <w:rsid w:val="009F45BE"/>
    <w:rsid w:val="009F4614"/>
    <w:rsid w:val="009F467B"/>
    <w:rsid w:val="009F467D"/>
    <w:rsid w:val="009F4683"/>
    <w:rsid w:val="009F46B6"/>
    <w:rsid w:val="009F46CA"/>
    <w:rsid w:val="009F46FD"/>
    <w:rsid w:val="009F473C"/>
    <w:rsid w:val="009F4764"/>
    <w:rsid w:val="009F479D"/>
    <w:rsid w:val="009F47B4"/>
    <w:rsid w:val="009F489D"/>
    <w:rsid w:val="009F48A4"/>
    <w:rsid w:val="009F48B3"/>
    <w:rsid w:val="009F48B8"/>
    <w:rsid w:val="009F48C9"/>
    <w:rsid w:val="009F4944"/>
    <w:rsid w:val="009F49D9"/>
    <w:rsid w:val="009F49E4"/>
    <w:rsid w:val="009F49FF"/>
    <w:rsid w:val="009F4A42"/>
    <w:rsid w:val="009F4B08"/>
    <w:rsid w:val="009F4B12"/>
    <w:rsid w:val="009F4B15"/>
    <w:rsid w:val="009F4B36"/>
    <w:rsid w:val="009F4B40"/>
    <w:rsid w:val="009F4B5B"/>
    <w:rsid w:val="009F4C27"/>
    <w:rsid w:val="009F4C28"/>
    <w:rsid w:val="009F4C71"/>
    <w:rsid w:val="009F4C8E"/>
    <w:rsid w:val="009F4CD5"/>
    <w:rsid w:val="009F4CDE"/>
    <w:rsid w:val="009F4D03"/>
    <w:rsid w:val="009F4D0A"/>
    <w:rsid w:val="009F4D0C"/>
    <w:rsid w:val="009F4D28"/>
    <w:rsid w:val="009F4DDB"/>
    <w:rsid w:val="009F4DE1"/>
    <w:rsid w:val="009F4DEE"/>
    <w:rsid w:val="009F4E87"/>
    <w:rsid w:val="009F4E90"/>
    <w:rsid w:val="009F4F4A"/>
    <w:rsid w:val="009F4F72"/>
    <w:rsid w:val="009F4F9C"/>
    <w:rsid w:val="009F4FAA"/>
    <w:rsid w:val="009F4FAF"/>
    <w:rsid w:val="009F500F"/>
    <w:rsid w:val="009F5017"/>
    <w:rsid w:val="009F502C"/>
    <w:rsid w:val="009F5071"/>
    <w:rsid w:val="009F507F"/>
    <w:rsid w:val="009F50CC"/>
    <w:rsid w:val="009F515B"/>
    <w:rsid w:val="009F5176"/>
    <w:rsid w:val="009F518D"/>
    <w:rsid w:val="009F51A5"/>
    <w:rsid w:val="009F51A8"/>
    <w:rsid w:val="009F5207"/>
    <w:rsid w:val="009F521B"/>
    <w:rsid w:val="009F5348"/>
    <w:rsid w:val="009F5358"/>
    <w:rsid w:val="009F535A"/>
    <w:rsid w:val="009F53A8"/>
    <w:rsid w:val="009F53E5"/>
    <w:rsid w:val="009F5411"/>
    <w:rsid w:val="009F547D"/>
    <w:rsid w:val="009F54CC"/>
    <w:rsid w:val="009F54D0"/>
    <w:rsid w:val="009F552D"/>
    <w:rsid w:val="009F5578"/>
    <w:rsid w:val="009F55E4"/>
    <w:rsid w:val="009F55FB"/>
    <w:rsid w:val="009F5617"/>
    <w:rsid w:val="009F56C0"/>
    <w:rsid w:val="009F5710"/>
    <w:rsid w:val="009F57B3"/>
    <w:rsid w:val="009F57D4"/>
    <w:rsid w:val="009F57FB"/>
    <w:rsid w:val="009F5802"/>
    <w:rsid w:val="009F585F"/>
    <w:rsid w:val="009F5863"/>
    <w:rsid w:val="009F588E"/>
    <w:rsid w:val="009F58B4"/>
    <w:rsid w:val="009F58F8"/>
    <w:rsid w:val="009F5943"/>
    <w:rsid w:val="009F5982"/>
    <w:rsid w:val="009F5992"/>
    <w:rsid w:val="009F59A0"/>
    <w:rsid w:val="009F59B8"/>
    <w:rsid w:val="009F59BC"/>
    <w:rsid w:val="009F5AF7"/>
    <w:rsid w:val="009F5B31"/>
    <w:rsid w:val="009F5B3D"/>
    <w:rsid w:val="009F5BEE"/>
    <w:rsid w:val="009F5BF1"/>
    <w:rsid w:val="009F5C62"/>
    <w:rsid w:val="009F5C93"/>
    <w:rsid w:val="009F5D2B"/>
    <w:rsid w:val="009F5D4F"/>
    <w:rsid w:val="009F5D88"/>
    <w:rsid w:val="009F5DA1"/>
    <w:rsid w:val="009F5E75"/>
    <w:rsid w:val="009F5F2F"/>
    <w:rsid w:val="009F5FBB"/>
    <w:rsid w:val="009F600C"/>
    <w:rsid w:val="009F60EB"/>
    <w:rsid w:val="009F614E"/>
    <w:rsid w:val="009F6192"/>
    <w:rsid w:val="009F6232"/>
    <w:rsid w:val="009F6235"/>
    <w:rsid w:val="009F625F"/>
    <w:rsid w:val="009F6262"/>
    <w:rsid w:val="009F6281"/>
    <w:rsid w:val="009F636D"/>
    <w:rsid w:val="009F6380"/>
    <w:rsid w:val="009F63B0"/>
    <w:rsid w:val="009F63CE"/>
    <w:rsid w:val="009F63EE"/>
    <w:rsid w:val="009F642A"/>
    <w:rsid w:val="009F6473"/>
    <w:rsid w:val="009F64A8"/>
    <w:rsid w:val="009F64E6"/>
    <w:rsid w:val="009F6507"/>
    <w:rsid w:val="009F652B"/>
    <w:rsid w:val="009F6573"/>
    <w:rsid w:val="009F65BE"/>
    <w:rsid w:val="009F668D"/>
    <w:rsid w:val="009F66D9"/>
    <w:rsid w:val="009F670C"/>
    <w:rsid w:val="009F6761"/>
    <w:rsid w:val="009F6779"/>
    <w:rsid w:val="009F6956"/>
    <w:rsid w:val="009F69DA"/>
    <w:rsid w:val="009F6A8B"/>
    <w:rsid w:val="009F6AED"/>
    <w:rsid w:val="009F6B03"/>
    <w:rsid w:val="009F6B25"/>
    <w:rsid w:val="009F6B4B"/>
    <w:rsid w:val="009F6B6C"/>
    <w:rsid w:val="009F6BAC"/>
    <w:rsid w:val="009F6BF6"/>
    <w:rsid w:val="009F6C74"/>
    <w:rsid w:val="009F6CD0"/>
    <w:rsid w:val="009F6CFE"/>
    <w:rsid w:val="009F6D87"/>
    <w:rsid w:val="009F6E06"/>
    <w:rsid w:val="009F6ECB"/>
    <w:rsid w:val="009F6ED8"/>
    <w:rsid w:val="009F6EF4"/>
    <w:rsid w:val="009F6F52"/>
    <w:rsid w:val="009F6F9A"/>
    <w:rsid w:val="009F6FD5"/>
    <w:rsid w:val="009F704D"/>
    <w:rsid w:val="009F70A2"/>
    <w:rsid w:val="009F712B"/>
    <w:rsid w:val="009F71A4"/>
    <w:rsid w:val="009F7232"/>
    <w:rsid w:val="009F725E"/>
    <w:rsid w:val="009F72E8"/>
    <w:rsid w:val="009F72EA"/>
    <w:rsid w:val="009F7326"/>
    <w:rsid w:val="009F7352"/>
    <w:rsid w:val="009F736C"/>
    <w:rsid w:val="009F7377"/>
    <w:rsid w:val="009F7460"/>
    <w:rsid w:val="009F74ED"/>
    <w:rsid w:val="009F7567"/>
    <w:rsid w:val="009F75D4"/>
    <w:rsid w:val="009F76BB"/>
    <w:rsid w:val="009F7726"/>
    <w:rsid w:val="009F7734"/>
    <w:rsid w:val="009F7766"/>
    <w:rsid w:val="009F778B"/>
    <w:rsid w:val="009F779C"/>
    <w:rsid w:val="009F7871"/>
    <w:rsid w:val="009F78AD"/>
    <w:rsid w:val="009F790C"/>
    <w:rsid w:val="009F7916"/>
    <w:rsid w:val="009F791F"/>
    <w:rsid w:val="009F793A"/>
    <w:rsid w:val="009F7976"/>
    <w:rsid w:val="009F7981"/>
    <w:rsid w:val="009F7987"/>
    <w:rsid w:val="009F79A1"/>
    <w:rsid w:val="009F79FC"/>
    <w:rsid w:val="009F7A29"/>
    <w:rsid w:val="009F7A2A"/>
    <w:rsid w:val="009F7A63"/>
    <w:rsid w:val="009F7A6C"/>
    <w:rsid w:val="009F7A8A"/>
    <w:rsid w:val="009F7A9E"/>
    <w:rsid w:val="009F7ACC"/>
    <w:rsid w:val="009F7AE5"/>
    <w:rsid w:val="009F7B3A"/>
    <w:rsid w:val="009F7B59"/>
    <w:rsid w:val="009F7B5C"/>
    <w:rsid w:val="009F7B75"/>
    <w:rsid w:val="009F7B86"/>
    <w:rsid w:val="009F7BC5"/>
    <w:rsid w:val="009F7BF4"/>
    <w:rsid w:val="009F7C1C"/>
    <w:rsid w:val="009F7CC1"/>
    <w:rsid w:val="009F7CD9"/>
    <w:rsid w:val="009F7D20"/>
    <w:rsid w:val="009F7D4F"/>
    <w:rsid w:val="009F7D51"/>
    <w:rsid w:val="009F7D62"/>
    <w:rsid w:val="009F7D9E"/>
    <w:rsid w:val="009F7DB0"/>
    <w:rsid w:val="009F7DCF"/>
    <w:rsid w:val="009F7EC2"/>
    <w:rsid w:val="009F7EDD"/>
    <w:rsid w:val="009F7EE8"/>
    <w:rsid w:val="009F7F00"/>
    <w:rsid w:val="009F7F0F"/>
    <w:rsid w:val="009F7F1F"/>
    <w:rsid w:val="009F7F58"/>
    <w:rsid w:val="009F7FD9"/>
    <w:rsid w:val="00A00016"/>
    <w:rsid w:val="00A00099"/>
    <w:rsid w:val="00A000B7"/>
    <w:rsid w:val="00A000D2"/>
    <w:rsid w:val="00A000DC"/>
    <w:rsid w:val="00A000DF"/>
    <w:rsid w:val="00A00127"/>
    <w:rsid w:val="00A0013F"/>
    <w:rsid w:val="00A00147"/>
    <w:rsid w:val="00A00160"/>
    <w:rsid w:val="00A0018A"/>
    <w:rsid w:val="00A001CE"/>
    <w:rsid w:val="00A00264"/>
    <w:rsid w:val="00A0027E"/>
    <w:rsid w:val="00A00281"/>
    <w:rsid w:val="00A002C2"/>
    <w:rsid w:val="00A002C7"/>
    <w:rsid w:val="00A002D6"/>
    <w:rsid w:val="00A002F4"/>
    <w:rsid w:val="00A00306"/>
    <w:rsid w:val="00A0033A"/>
    <w:rsid w:val="00A0038B"/>
    <w:rsid w:val="00A003A1"/>
    <w:rsid w:val="00A003D6"/>
    <w:rsid w:val="00A0040A"/>
    <w:rsid w:val="00A00452"/>
    <w:rsid w:val="00A0048C"/>
    <w:rsid w:val="00A004BA"/>
    <w:rsid w:val="00A004FA"/>
    <w:rsid w:val="00A004FC"/>
    <w:rsid w:val="00A0058A"/>
    <w:rsid w:val="00A005D0"/>
    <w:rsid w:val="00A005F9"/>
    <w:rsid w:val="00A0064A"/>
    <w:rsid w:val="00A0068E"/>
    <w:rsid w:val="00A006AD"/>
    <w:rsid w:val="00A006FA"/>
    <w:rsid w:val="00A00737"/>
    <w:rsid w:val="00A0075C"/>
    <w:rsid w:val="00A007AA"/>
    <w:rsid w:val="00A007F8"/>
    <w:rsid w:val="00A00833"/>
    <w:rsid w:val="00A00835"/>
    <w:rsid w:val="00A00897"/>
    <w:rsid w:val="00A0099C"/>
    <w:rsid w:val="00A009DF"/>
    <w:rsid w:val="00A009E3"/>
    <w:rsid w:val="00A00A4E"/>
    <w:rsid w:val="00A00A79"/>
    <w:rsid w:val="00A00A89"/>
    <w:rsid w:val="00A00A94"/>
    <w:rsid w:val="00A00AD3"/>
    <w:rsid w:val="00A00AE6"/>
    <w:rsid w:val="00A00AF9"/>
    <w:rsid w:val="00A00B0B"/>
    <w:rsid w:val="00A00B39"/>
    <w:rsid w:val="00A00B3C"/>
    <w:rsid w:val="00A00B68"/>
    <w:rsid w:val="00A00B85"/>
    <w:rsid w:val="00A00C17"/>
    <w:rsid w:val="00A00C51"/>
    <w:rsid w:val="00A00C68"/>
    <w:rsid w:val="00A00C6B"/>
    <w:rsid w:val="00A00CED"/>
    <w:rsid w:val="00A00D4F"/>
    <w:rsid w:val="00A00DB5"/>
    <w:rsid w:val="00A00DF3"/>
    <w:rsid w:val="00A00E5B"/>
    <w:rsid w:val="00A00E63"/>
    <w:rsid w:val="00A00E69"/>
    <w:rsid w:val="00A00E97"/>
    <w:rsid w:val="00A00E99"/>
    <w:rsid w:val="00A00EF1"/>
    <w:rsid w:val="00A00EFF"/>
    <w:rsid w:val="00A00F06"/>
    <w:rsid w:val="00A00F09"/>
    <w:rsid w:val="00A00F15"/>
    <w:rsid w:val="00A00F3C"/>
    <w:rsid w:val="00A00FA5"/>
    <w:rsid w:val="00A00FB1"/>
    <w:rsid w:val="00A00FBD"/>
    <w:rsid w:val="00A00FC9"/>
    <w:rsid w:val="00A00FF1"/>
    <w:rsid w:val="00A01022"/>
    <w:rsid w:val="00A0103A"/>
    <w:rsid w:val="00A0104F"/>
    <w:rsid w:val="00A01061"/>
    <w:rsid w:val="00A01065"/>
    <w:rsid w:val="00A010C2"/>
    <w:rsid w:val="00A010CC"/>
    <w:rsid w:val="00A0114D"/>
    <w:rsid w:val="00A01184"/>
    <w:rsid w:val="00A011E8"/>
    <w:rsid w:val="00A01250"/>
    <w:rsid w:val="00A01260"/>
    <w:rsid w:val="00A012B2"/>
    <w:rsid w:val="00A01315"/>
    <w:rsid w:val="00A0138E"/>
    <w:rsid w:val="00A01402"/>
    <w:rsid w:val="00A01414"/>
    <w:rsid w:val="00A01424"/>
    <w:rsid w:val="00A01445"/>
    <w:rsid w:val="00A01453"/>
    <w:rsid w:val="00A0146C"/>
    <w:rsid w:val="00A01505"/>
    <w:rsid w:val="00A0151A"/>
    <w:rsid w:val="00A015FB"/>
    <w:rsid w:val="00A01627"/>
    <w:rsid w:val="00A01658"/>
    <w:rsid w:val="00A01667"/>
    <w:rsid w:val="00A01713"/>
    <w:rsid w:val="00A01757"/>
    <w:rsid w:val="00A01792"/>
    <w:rsid w:val="00A017D6"/>
    <w:rsid w:val="00A017E7"/>
    <w:rsid w:val="00A01831"/>
    <w:rsid w:val="00A01840"/>
    <w:rsid w:val="00A018A2"/>
    <w:rsid w:val="00A018D8"/>
    <w:rsid w:val="00A018DE"/>
    <w:rsid w:val="00A018EE"/>
    <w:rsid w:val="00A01958"/>
    <w:rsid w:val="00A01965"/>
    <w:rsid w:val="00A019D1"/>
    <w:rsid w:val="00A019EC"/>
    <w:rsid w:val="00A01A64"/>
    <w:rsid w:val="00A01A7A"/>
    <w:rsid w:val="00A01A87"/>
    <w:rsid w:val="00A01A92"/>
    <w:rsid w:val="00A01A9F"/>
    <w:rsid w:val="00A01AF6"/>
    <w:rsid w:val="00A01B1B"/>
    <w:rsid w:val="00A01B2E"/>
    <w:rsid w:val="00A01B3D"/>
    <w:rsid w:val="00A01B70"/>
    <w:rsid w:val="00A01BDE"/>
    <w:rsid w:val="00A01C48"/>
    <w:rsid w:val="00A01CAA"/>
    <w:rsid w:val="00A01CFD"/>
    <w:rsid w:val="00A01D27"/>
    <w:rsid w:val="00A01D3A"/>
    <w:rsid w:val="00A01DF1"/>
    <w:rsid w:val="00A01E01"/>
    <w:rsid w:val="00A01E40"/>
    <w:rsid w:val="00A01E5B"/>
    <w:rsid w:val="00A01E70"/>
    <w:rsid w:val="00A01E8F"/>
    <w:rsid w:val="00A01EB2"/>
    <w:rsid w:val="00A01EDD"/>
    <w:rsid w:val="00A01F17"/>
    <w:rsid w:val="00A01F34"/>
    <w:rsid w:val="00A01F3E"/>
    <w:rsid w:val="00A01F44"/>
    <w:rsid w:val="00A01F72"/>
    <w:rsid w:val="00A01FB5"/>
    <w:rsid w:val="00A02010"/>
    <w:rsid w:val="00A02043"/>
    <w:rsid w:val="00A0206A"/>
    <w:rsid w:val="00A02098"/>
    <w:rsid w:val="00A020AE"/>
    <w:rsid w:val="00A020FE"/>
    <w:rsid w:val="00A0213A"/>
    <w:rsid w:val="00A0213E"/>
    <w:rsid w:val="00A0214C"/>
    <w:rsid w:val="00A0218B"/>
    <w:rsid w:val="00A02198"/>
    <w:rsid w:val="00A02206"/>
    <w:rsid w:val="00A02232"/>
    <w:rsid w:val="00A0224B"/>
    <w:rsid w:val="00A02259"/>
    <w:rsid w:val="00A02262"/>
    <w:rsid w:val="00A02290"/>
    <w:rsid w:val="00A022C8"/>
    <w:rsid w:val="00A02325"/>
    <w:rsid w:val="00A0235C"/>
    <w:rsid w:val="00A02396"/>
    <w:rsid w:val="00A02399"/>
    <w:rsid w:val="00A023C1"/>
    <w:rsid w:val="00A023C8"/>
    <w:rsid w:val="00A02427"/>
    <w:rsid w:val="00A02448"/>
    <w:rsid w:val="00A02462"/>
    <w:rsid w:val="00A02465"/>
    <w:rsid w:val="00A02480"/>
    <w:rsid w:val="00A024DB"/>
    <w:rsid w:val="00A02510"/>
    <w:rsid w:val="00A02529"/>
    <w:rsid w:val="00A025D7"/>
    <w:rsid w:val="00A025F1"/>
    <w:rsid w:val="00A025F5"/>
    <w:rsid w:val="00A02602"/>
    <w:rsid w:val="00A026AA"/>
    <w:rsid w:val="00A026B3"/>
    <w:rsid w:val="00A026D6"/>
    <w:rsid w:val="00A026DD"/>
    <w:rsid w:val="00A0272A"/>
    <w:rsid w:val="00A0274B"/>
    <w:rsid w:val="00A027C5"/>
    <w:rsid w:val="00A027DF"/>
    <w:rsid w:val="00A027F2"/>
    <w:rsid w:val="00A02826"/>
    <w:rsid w:val="00A02830"/>
    <w:rsid w:val="00A02856"/>
    <w:rsid w:val="00A0286F"/>
    <w:rsid w:val="00A02874"/>
    <w:rsid w:val="00A028A1"/>
    <w:rsid w:val="00A0290C"/>
    <w:rsid w:val="00A02930"/>
    <w:rsid w:val="00A02938"/>
    <w:rsid w:val="00A02966"/>
    <w:rsid w:val="00A029BD"/>
    <w:rsid w:val="00A029E2"/>
    <w:rsid w:val="00A029FE"/>
    <w:rsid w:val="00A02A5F"/>
    <w:rsid w:val="00A02A65"/>
    <w:rsid w:val="00A02AC5"/>
    <w:rsid w:val="00A02AD3"/>
    <w:rsid w:val="00A02AEE"/>
    <w:rsid w:val="00A02C02"/>
    <w:rsid w:val="00A02C55"/>
    <w:rsid w:val="00A02D24"/>
    <w:rsid w:val="00A02D76"/>
    <w:rsid w:val="00A02D77"/>
    <w:rsid w:val="00A02DA7"/>
    <w:rsid w:val="00A02DBF"/>
    <w:rsid w:val="00A02E01"/>
    <w:rsid w:val="00A02EB4"/>
    <w:rsid w:val="00A02EEF"/>
    <w:rsid w:val="00A02F11"/>
    <w:rsid w:val="00A02F53"/>
    <w:rsid w:val="00A02F5C"/>
    <w:rsid w:val="00A02F65"/>
    <w:rsid w:val="00A02F6D"/>
    <w:rsid w:val="00A02F80"/>
    <w:rsid w:val="00A02F91"/>
    <w:rsid w:val="00A02FE2"/>
    <w:rsid w:val="00A03046"/>
    <w:rsid w:val="00A0305D"/>
    <w:rsid w:val="00A03061"/>
    <w:rsid w:val="00A030AF"/>
    <w:rsid w:val="00A03166"/>
    <w:rsid w:val="00A03171"/>
    <w:rsid w:val="00A031A5"/>
    <w:rsid w:val="00A0321B"/>
    <w:rsid w:val="00A03241"/>
    <w:rsid w:val="00A0325B"/>
    <w:rsid w:val="00A03285"/>
    <w:rsid w:val="00A0335E"/>
    <w:rsid w:val="00A0339A"/>
    <w:rsid w:val="00A033E1"/>
    <w:rsid w:val="00A033E7"/>
    <w:rsid w:val="00A033F8"/>
    <w:rsid w:val="00A0340B"/>
    <w:rsid w:val="00A0342A"/>
    <w:rsid w:val="00A0343F"/>
    <w:rsid w:val="00A03474"/>
    <w:rsid w:val="00A03484"/>
    <w:rsid w:val="00A03486"/>
    <w:rsid w:val="00A03515"/>
    <w:rsid w:val="00A0352C"/>
    <w:rsid w:val="00A0357C"/>
    <w:rsid w:val="00A035DF"/>
    <w:rsid w:val="00A035E3"/>
    <w:rsid w:val="00A035F8"/>
    <w:rsid w:val="00A03631"/>
    <w:rsid w:val="00A0363B"/>
    <w:rsid w:val="00A03648"/>
    <w:rsid w:val="00A03651"/>
    <w:rsid w:val="00A0365B"/>
    <w:rsid w:val="00A036CB"/>
    <w:rsid w:val="00A036D6"/>
    <w:rsid w:val="00A03777"/>
    <w:rsid w:val="00A03783"/>
    <w:rsid w:val="00A037C3"/>
    <w:rsid w:val="00A037FC"/>
    <w:rsid w:val="00A03838"/>
    <w:rsid w:val="00A03868"/>
    <w:rsid w:val="00A038C7"/>
    <w:rsid w:val="00A038D0"/>
    <w:rsid w:val="00A038E2"/>
    <w:rsid w:val="00A038E9"/>
    <w:rsid w:val="00A0390F"/>
    <w:rsid w:val="00A0398C"/>
    <w:rsid w:val="00A039A7"/>
    <w:rsid w:val="00A039B5"/>
    <w:rsid w:val="00A03A38"/>
    <w:rsid w:val="00A03A64"/>
    <w:rsid w:val="00A03AC0"/>
    <w:rsid w:val="00A03AD1"/>
    <w:rsid w:val="00A03AE4"/>
    <w:rsid w:val="00A03AF4"/>
    <w:rsid w:val="00A03B17"/>
    <w:rsid w:val="00A03B2F"/>
    <w:rsid w:val="00A03B42"/>
    <w:rsid w:val="00A03B8B"/>
    <w:rsid w:val="00A03CE7"/>
    <w:rsid w:val="00A03D25"/>
    <w:rsid w:val="00A03D2A"/>
    <w:rsid w:val="00A03D65"/>
    <w:rsid w:val="00A03D82"/>
    <w:rsid w:val="00A03D93"/>
    <w:rsid w:val="00A03DBA"/>
    <w:rsid w:val="00A03DC8"/>
    <w:rsid w:val="00A03DD6"/>
    <w:rsid w:val="00A03DFC"/>
    <w:rsid w:val="00A03DFE"/>
    <w:rsid w:val="00A03E4D"/>
    <w:rsid w:val="00A03E94"/>
    <w:rsid w:val="00A03EAC"/>
    <w:rsid w:val="00A03ED6"/>
    <w:rsid w:val="00A03EFB"/>
    <w:rsid w:val="00A03F05"/>
    <w:rsid w:val="00A03F5A"/>
    <w:rsid w:val="00A03F75"/>
    <w:rsid w:val="00A03F99"/>
    <w:rsid w:val="00A03FC1"/>
    <w:rsid w:val="00A0400E"/>
    <w:rsid w:val="00A04032"/>
    <w:rsid w:val="00A04046"/>
    <w:rsid w:val="00A040B2"/>
    <w:rsid w:val="00A040D3"/>
    <w:rsid w:val="00A040E9"/>
    <w:rsid w:val="00A0410D"/>
    <w:rsid w:val="00A04121"/>
    <w:rsid w:val="00A0412C"/>
    <w:rsid w:val="00A04166"/>
    <w:rsid w:val="00A04171"/>
    <w:rsid w:val="00A04175"/>
    <w:rsid w:val="00A041CA"/>
    <w:rsid w:val="00A0423C"/>
    <w:rsid w:val="00A0426A"/>
    <w:rsid w:val="00A04297"/>
    <w:rsid w:val="00A04301"/>
    <w:rsid w:val="00A04320"/>
    <w:rsid w:val="00A04330"/>
    <w:rsid w:val="00A04345"/>
    <w:rsid w:val="00A043DB"/>
    <w:rsid w:val="00A043FB"/>
    <w:rsid w:val="00A044CC"/>
    <w:rsid w:val="00A044DF"/>
    <w:rsid w:val="00A0450C"/>
    <w:rsid w:val="00A045C2"/>
    <w:rsid w:val="00A04635"/>
    <w:rsid w:val="00A04654"/>
    <w:rsid w:val="00A04685"/>
    <w:rsid w:val="00A0468E"/>
    <w:rsid w:val="00A04739"/>
    <w:rsid w:val="00A04748"/>
    <w:rsid w:val="00A0476E"/>
    <w:rsid w:val="00A0477C"/>
    <w:rsid w:val="00A047A9"/>
    <w:rsid w:val="00A04816"/>
    <w:rsid w:val="00A0482A"/>
    <w:rsid w:val="00A0482F"/>
    <w:rsid w:val="00A0486C"/>
    <w:rsid w:val="00A0486D"/>
    <w:rsid w:val="00A048B3"/>
    <w:rsid w:val="00A048C6"/>
    <w:rsid w:val="00A048CB"/>
    <w:rsid w:val="00A04912"/>
    <w:rsid w:val="00A04915"/>
    <w:rsid w:val="00A04922"/>
    <w:rsid w:val="00A04944"/>
    <w:rsid w:val="00A04981"/>
    <w:rsid w:val="00A04987"/>
    <w:rsid w:val="00A04995"/>
    <w:rsid w:val="00A0499A"/>
    <w:rsid w:val="00A04A73"/>
    <w:rsid w:val="00A04AC3"/>
    <w:rsid w:val="00A04AD2"/>
    <w:rsid w:val="00A04AD9"/>
    <w:rsid w:val="00A04AEB"/>
    <w:rsid w:val="00A04B2C"/>
    <w:rsid w:val="00A04B2E"/>
    <w:rsid w:val="00A04B42"/>
    <w:rsid w:val="00A04B61"/>
    <w:rsid w:val="00A04BAB"/>
    <w:rsid w:val="00A04BE9"/>
    <w:rsid w:val="00A04C53"/>
    <w:rsid w:val="00A04C5F"/>
    <w:rsid w:val="00A04CF2"/>
    <w:rsid w:val="00A04CFA"/>
    <w:rsid w:val="00A04D0F"/>
    <w:rsid w:val="00A04D38"/>
    <w:rsid w:val="00A04D60"/>
    <w:rsid w:val="00A04D78"/>
    <w:rsid w:val="00A04DEC"/>
    <w:rsid w:val="00A04E31"/>
    <w:rsid w:val="00A04E9A"/>
    <w:rsid w:val="00A04EFC"/>
    <w:rsid w:val="00A04FE3"/>
    <w:rsid w:val="00A04FF3"/>
    <w:rsid w:val="00A0503D"/>
    <w:rsid w:val="00A050D6"/>
    <w:rsid w:val="00A05132"/>
    <w:rsid w:val="00A05177"/>
    <w:rsid w:val="00A05199"/>
    <w:rsid w:val="00A0521A"/>
    <w:rsid w:val="00A05285"/>
    <w:rsid w:val="00A05291"/>
    <w:rsid w:val="00A05295"/>
    <w:rsid w:val="00A05297"/>
    <w:rsid w:val="00A05308"/>
    <w:rsid w:val="00A0533C"/>
    <w:rsid w:val="00A0535C"/>
    <w:rsid w:val="00A05364"/>
    <w:rsid w:val="00A053F7"/>
    <w:rsid w:val="00A05422"/>
    <w:rsid w:val="00A05434"/>
    <w:rsid w:val="00A05448"/>
    <w:rsid w:val="00A054AD"/>
    <w:rsid w:val="00A0550F"/>
    <w:rsid w:val="00A0552D"/>
    <w:rsid w:val="00A05544"/>
    <w:rsid w:val="00A05557"/>
    <w:rsid w:val="00A055EF"/>
    <w:rsid w:val="00A0568F"/>
    <w:rsid w:val="00A0569E"/>
    <w:rsid w:val="00A056B0"/>
    <w:rsid w:val="00A056BB"/>
    <w:rsid w:val="00A056D6"/>
    <w:rsid w:val="00A056DD"/>
    <w:rsid w:val="00A056E0"/>
    <w:rsid w:val="00A05750"/>
    <w:rsid w:val="00A05754"/>
    <w:rsid w:val="00A05756"/>
    <w:rsid w:val="00A05760"/>
    <w:rsid w:val="00A05793"/>
    <w:rsid w:val="00A05835"/>
    <w:rsid w:val="00A0583C"/>
    <w:rsid w:val="00A05874"/>
    <w:rsid w:val="00A058CC"/>
    <w:rsid w:val="00A05929"/>
    <w:rsid w:val="00A05980"/>
    <w:rsid w:val="00A059D7"/>
    <w:rsid w:val="00A05A11"/>
    <w:rsid w:val="00A05ACF"/>
    <w:rsid w:val="00A05AFF"/>
    <w:rsid w:val="00A05B34"/>
    <w:rsid w:val="00A05BAC"/>
    <w:rsid w:val="00A05C0B"/>
    <w:rsid w:val="00A05C23"/>
    <w:rsid w:val="00A05C32"/>
    <w:rsid w:val="00A05C3C"/>
    <w:rsid w:val="00A05C69"/>
    <w:rsid w:val="00A05D52"/>
    <w:rsid w:val="00A05D83"/>
    <w:rsid w:val="00A05DC0"/>
    <w:rsid w:val="00A05DD8"/>
    <w:rsid w:val="00A05E0C"/>
    <w:rsid w:val="00A05E42"/>
    <w:rsid w:val="00A05E59"/>
    <w:rsid w:val="00A05E6C"/>
    <w:rsid w:val="00A05E77"/>
    <w:rsid w:val="00A05E95"/>
    <w:rsid w:val="00A05ECD"/>
    <w:rsid w:val="00A05F2E"/>
    <w:rsid w:val="00A05F67"/>
    <w:rsid w:val="00A05FD3"/>
    <w:rsid w:val="00A060AE"/>
    <w:rsid w:val="00A06107"/>
    <w:rsid w:val="00A061BA"/>
    <w:rsid w:val="00A061F5"/>
    <w:rsid w:val="00A06228"/>
    <w:rsid w:val="00A06257"/>
    <w:rsid w:val="00A06284"/>
    <w:rsid w:val="00A062C3"/>
    <w:rsid w:val="00A0630C"/>
    <w:rsid w:val="00A0633C"/>
    <w:rsid w:val="00A06377"/>
    <w:rsid w:val="00A06394"/>
    <w:rsid w:val="00A06435"/>
    <w:rsid w:val="00A06460"/>
    <w:rsid w:val="00A064D4"/>
    <w:rsid w:val="00A065A0"/>
    <w:rsid w:val="00A065CA"/>
    <w:rsid w:val="00A06705"/>
    <w:rsid w:val="00A06763"/>
    <w:rsid w:val="00A0677F"/>
    <w:rsid w:val="00A067D6"/>
    <w:rsid w:val="00A06814"/>
    <w:rsid w:val="00A0681C"/>
    <w:rsid w:val="00A06842"/>
    <w:rsid w:val="00A06947"/>
    <w:rsid w:val="00A06965"/>
    <w:rsid w:val="00A069B5"/>
    <w:rsid w:val="00A069B6"/>
    <w:rsid w:val="00A06AAF"/>
    <w:rsid w:val="00A06B0E"/>
    <w:rsid w:val="00A06B15"/>
    <w:rsid w:val="00A06B3F"/>
    <w:rsid w:val="00A06B90"/>
    <w:rsid w:val="00A06BA3"/>
    <w:rsid w:val="00A06BE6"/>
    <w:rsid w:val="00A06C1D"/>
    <w:rsid w:val="00A06CB5"/>
    <w:rsid w:val="00A06D70"/>
    <w:rsid w:val="00A06DBC"/>
    <w:rsid w:val="00A06E06"/>
    <w:rsid w:val="00A06EBD"/>
    <w:rsid w:val="00A06EC6"/>
    <w:rsid w:val="00A06ED2"/>
    <w:rsid w:val="00A06ED8"/>
    <w:rsid w:val="00A06F85"/>
    <w:rsid w:val="00A06F9D"/>
    <w:rsid w:val="00A06FA1"/>
    <w:rsid w:val="00A0706C"/>
    <w:rsid w:val="00A07095"/>
    <w:rsid w:val="00A070EF"/>
    <w:rsid w:val="00A07143"/>
    <w:rsid w:val="00A07168"/>
    <w:rsid w:val="00A071A3"/>
    <w:rsid w:val="00A0721B"/>
    <w:rsid w:val="00A0724F"/>
    <w:rsid w:val="00A072C0"/>
    <w:rsid w:val="00A07313"/>
    <w:rsid w:val="00A0732F"/>
    <w:rsid w:val="00A0733C"/>
    <w:rsid w:val="00A07346"/>
    <w:rsid w:val="00A0735E"/>
    <w:rsid w:val="00A07367"/>
    <w:rsid w:val="00A074B1"/>
    <w:rsid w:val="00A074F8"/>
    <w:rsid w:val="00A0752E"/>
    <w:rsid w:val="00A07532"/>
    <w:rsid w:val="00A07598"/>
    <w:rsid w:val="00A07621"/>
    <w:rsid w:val="00A0764E"/>
    <w:rsid w:val="00A07651"/>
    <w:rsid w:val="00A07673"/>
    <w:rsid w:val="00A076D8"/>
    <w:rsid w:val="00A076EC"/>
    <w:rsid w:val="00A076FE"/>
    <w:rsid w:val="00A076FF"/>
    <w:rsid w:val="00A07716"/>
    <w:rsid w:val="00A07723"/>
    <w:rsid w:val="00A07757"/>
    <w:rsid w:val="00A07784"/>
    <w:rsid w:val="00A0778C"/>
    <w:rsid w:val="00A07823"/>
    <w:rsid w:val="00A07849"/>
    <w:rsid w:val="00A0786B"/>
    <w:rsid w:val="00A07876"/>
    <w:rsid w:val="00A07879"/>
    <w:rsid w:val="00A078C6"/>
    <w:rsid w:val="00A078C7"/>
    <w:rsid w:val="00A078D4"/>
    <w:rsid w:val="00A079A2"/>
    <w:rsid w:val="00A079A4"/>
    <w:rsid w:val="00A079C2"/>
    <w:rsid w:val="00A07A17"/>
    <w:rsid w:val="00A07A33"/>
    <w:rsid w:val="00A07A4D"/>
    <w:rsid w:val="00A07A5F"/>
    <w:rsid w:val="00A07AFC"/>
    <w:rsid w:val="00A07B17"/>
    <w:rsid w:val="00A07B41"/>
    <w:rsid w:val="00A07B4F"/>
    <w:rsid w:val="00A07C07"/>
    <w:rsid w:val="00A07C26"/>
    <w:rsid w:val="00A07C34"/>
    <w:rsid w:val="00A07C66"/>
    <w:rsid w:val="00A07C6F"/>
    <w:rsid w:val="00A07C8A"/>
    <w:rsid w:val="00A07CAB"/>
    <w:rsid w:val="00A07CCF"/>
    <w:rsid w:val="00A07CD5"/>
    <w:rsid w:val="00A07CFD"/>
    <w:rsid w:val="00A07D03"/>
    <w:rsid w:val="00A07D27"/>
    <w:rsid w:val="00A07D35"/>
    <w:rsid w:val="00A07D48"/>
    <w:rsid w:val="00A07D5A"/>
    <w:rsid w:val="00A07D72"/>
    <w:rsid w:val="00A07D83"/>
    <w:rsid w:val="00A07D93"/>
    <w:rsid w:val="00A07D9D"/>
    <w:rsid w:val="00A07D9E"/>
    <w:rsid w:val="00A07DAA"/>
    <w:rsid w:val="00A07DFE"/>
    <w:rsid w:val="00A07E6E"/>
    <w:rsid w:val="00A07E9C"/>
    <w:rsid w:val="00A07ED6"/>
    <w:rsid w:val="00A07F13"/>
    <w:rsid w:val="00A07F3B"/>
    <w:rsid w:val="00A07F45"/>
    <w:rsid w:val="00A07F5B"/>
    <w:rsid w:val="00A07FDF"/>
    <w:rsid w:val="00A07FE3"/>
    <w:rsid w:val="00A1001C"/>
    <w:rsid w:val="00A1002A"/>
    <w:rsid w:val="00A10044"/>
    <w:rsid w:val="00A100A1"/>
    <w:rsid w:val="00A100CF"/>
    <w:rsid w:val="00A10100"/>
    <w:rsid w:val="00A10125"/>
    <w:rsid w:val="00A10155"/>
    <w:rsid w:val="00A1016E"/>
    <w:rsid w:val="00A101DB"/>
    <w:rsid w:val="00A101FA"/>
    <w:rsid w:val="00A1024A"/>
    <w:rsid w:val="00A1024F"/>
    <w:rsid w:val="00A10271"/>
    <w:rsid w:val="00A102A4"/>
    <w:rsid w:val="00A102D0"/>
    <w:rsid w:val="00A1031A"/>
    <w:rsid w:val="00A10337"/>
    <w:rsid w:val="00A1034A"/>
    <w:rsid w:val="00A1039D"/>
    <w:rsid w:val="00A103EF"/>
    <w:rsid w:val="00A10493"/>
    <w:rsid w:val="00A104AE"/>
    <w:rsid w:val="00A104DE"/>
    <w:rsid w:val="00A104EA"/>
    <w:rsid w:val="00A1054B"/>
    <w:rsid w:val="00A1057B"/>
    <w:rsid w:val="00A105BC"/>
    <w:rsid w:val="00A105BF"/>
    <w:rsid w:val="00A10603"/>
    <w:rsid w:val="00A1064A"/>
    <w:rsid w:val="00A1069A"/>
    <w:rsid w:val="00A1069F"/>
    <w:rsid w:val="00A106C3"/>
    <w:rsid w:val="00A1070B"/>
    <w:rsid w:val="00A1070D"/>
    <w:rsid w:val="00A10712"/>
    <w:rsid w:val="00A10734"/>
    <w:rsid w:val="00A1073E"/>
    <w:rsid w:val="00A1078E"/>
    <w:rsid w:val="00A1079C"/>
    <w:rsid w:val="00A107B6"/>
    <w:rsid w:val="00A107B9"/>
    <w:rsid w:val="00A107CA"/>
    <w:rsid w:val="00A107DA"/>
    <w:rsid w:val="00A107EC"/>
    <w:rsid w:val="00A108B1"/>
    <w:rsid w:val="00A108DF"/>
    <w:rsid w:val="00A10A42"/>
    <w:rsid w:val="00A10A95"/>
    <w:rsid w:val="00A10AFB"/>
    <w:rsid w:val="00A10B18"/>
    <w:rsid w:val="00A10B83"/>
    <w:rsid w:val="00A10B85"/>
    <w:rsid w:val="00A10B92"/>
    <w:rsid w:val="00A10BFE"/>
    <w:rsid w:val="00A10C31"/>
    <w:rsid w:val="00A10C7D"/>
    <w:rsid w:val="00A10CAD"/>
    <w:rsid w:val="00A10CB9"/>
    <w:rsid w:val="00A10CE4"/>
    <w:rsid w:val="00A10D49"/>
    <w:rsid w:val="00A10D64"/>
    <w:rsid w:val="00A10D66"/>
    <w:rsid w:val="00A10D8E"/>
    <w:rsid w:val="00A10E44"/>
    <w:rsid w:val="00A10E5C"/>
    <w:rsid w:val="00A10EAB"/>
    <w:rsid w:val="00A10EFA"/>
    <w:rsid w:val="00A10F28"/>
    <w:rsid w:val="00A10F32"/>
    <w:rsid w:val="00A10F8D"/>
    <w:rsid w:val="00A10F90"/>
    <w:rsid w:val="00A10FA7"/>
    <w:rsid w:val="00A10FB1"/>
    <w:rsid w:val="00A10FDA"/>
    <w:rsid w:val="00A10FF6"/>
    <w:rsid w:val="00A11040"/>
    <w:rsid w:val="00A11059"/>
    <w:rsid w:val="00A11066"/>
    <w:rsid w:val="00A11094"/>
    <w:rsid w:val="00A11098"/>
    <w:rsid w:val="00A11114"/>
    <w:rsid w:val="00A11130"/>
    <w:rsid w:val="00A11133"/>
    <w:rsid w:val="00A1113B"/>
    <w:rsid w:val="00A1113D"/>
    <w:rsid w:val="00A1113F"/>
    <w:rsid w:val="00A11142"/>
    <w:rsid w:val="00A11156"/>
    <w:rsid w:val="00A111DF"/>
    <w:rsid w:val="00A11208"/>
    <w:rsid w:val="00A1120D"/>
    <w:rsid w:val="00A11249"/>
    <w:rsid w:val="00A1125F"/>
    <w:rsid w:val="00A1126B"/>
    <w:rsid w:val="00A1127A"/>
    <w:rsid w:val="00A11282"/>
    <w:rsid w:val="00A1128D"/>
    <w:rsid w:val="00A112C9"/>
    <w:rsid w:val="00A11315"/>
    <w:rsid w:val="00A1136A"/>
    <w:rsid w:val="00A1137F"/>
    <w:rsid w:val="00A113A3"/>
    <w:rsid w:val="00A113C8"/>
    <w:rsid w:val="00A113E1"/>
    <w:rsid w:val="00A113E5"/>
    <w:rsid w:val="00A113F0"/>
    <w:rsid w:val="00A11413"/>
    <w:rsid w:val="00A11424"/>
    <w:rsid w:val="00A1143C"/>
    <w:rsid w:val="00A1145C"/>
    <w:rsid w:val="00A11481"/>
    <w:rsid w:val="00A11492"/>
    <w:rsid w:val="00A1149A"/>
    <w:rsid w:val="00A114AF"/>
    <w:rsid w:val="00A114D4"/>
    <w:rsid w:val="00A11518"/>
    <w:rsid w:val="00A11578"/>
    <w:rsid w:val="00A1159E"/>
    <w:rsid w:val="00A11600"/>
    <w:rsid w:val="00A117C5"/>
    <w:rsid w:val="00A117C7"/>
    <w:rsid w:val="00A117E3"/>
    <w:rsid w:val="00A117F9"/>
    <w:rsid w:val="00A1184C"/>
    <w:rsid w:val="00A11888"/>
    <w:rsid w:val="00A118A4"/>
    <w:rsid w:val="00A11903"/>
    <w:rsid w:val="00A1193E"/>
    <w:rsid w:val="00A11941"/>
    <w:rsid w:val="00A11969"/>
    <w:rsid w:val="00A1198C"/>
    <w:rsid w:val="00A11993"/>
    <w:rsid w:val="00A11A10"/>
    <w:rsid w:val="00A11A1F"/>
    <w:rsid w:val="00A11A47"/>
    <w:rsid w:val="00A11A6E"/>
    <w:rsid w:val="00A11A7B"/>
    <w:rsid w:val="00A11A97"/>
    <w:rsid w:val="00A11AA3"/>
    <w:rsid w:val="00A11AA7"/>
    <w:rsid w:val="00A11AD1"/>
    <w:rsid w:val="00A11B02"/>
    <w:rsid w:val="00A11B12"/>
    <w:rsid w:val="00A11B6E"/>
    <w:rsid w:val="00A11BFD"/>
    <w:rsid w:val="00A11C24"/>
    <w:rsid w:val="00A11C7F"/>
    <w:rsid w:val="00A11CA8"/>
    <w:rsid w:val="00A11CB4"/>
    <w:rsid w:val="00A11CEA"/>
    <w:rsid w:val="00A11D36"/>
    <w:rsid w:val="00A11D43"/>
    <w:rsid w:val="00A11D51"/>
    <w:rsid w:val="00A11D73"/>
    <w:rsid w:val="00A11D78"/>
    <w:rsid w:val="00A11E25"/>
    <w:rsid w:val="00A11EB3"/>
    <w:rsid w:val="00A11EBB"/>
    <w:rsid w:val="00A11EBE"/>
    <w:rsid w:val="00A11EDE"/>
    <w:rsid w:val="00A11F31"/>
    <w:rsid w:val="00A11FC1"/>
    <w:rsid w:val="00A11FC4"/>
    <w:rsid w:val="00A11FE3"/>
    <w:rsid w:val="00A11FF6"/>
    <w:rsid w:val="00A1201A"/>
    <w:rsid w:val="00A12041"/>
    <w:rsid w:val="00A12056"/>
    <w:rsid w:val="00A1205B"/>
    <w:rsid w:val="00A1206B"/>
    <w:rsid w:val="00A120AD"/>
    <w:rsid w:val="00A120C5"/>
    <w:rsid w:val="00A120D9"/>
    <w:rsid w:val="00A120DB"/>
    <w:rsid w:val="00A1215B"/>
    <w:rsid w:val="00A12170"/>
    <w:rsid w:val="00A12190"/>
    <w:rsid w:val="00A121C3"/>
    <w:rsid w:val="00A1222F"/>
    <w:rsid w:val="00A1226B"/>
    <w:rsid w:val="00A122AC"/>
    <w:rsid w:val="00A122EC"/>
    <w:rsid w:val="00A1231B"/>
    <w:rsid w:val="00A12329"/>
    <w:rsid w:val="00A1235D"/>
    <w:rsid w:val="00A12376"/>
    <w:rsid w:val="00A123FC"/>
    <w:rsid w:val="00A1240B"/>
    <w:rsid w:val="00A1244E"/>
    <w:rsid w:val="00A12451"/>
    <w:rsid w:val="00A124F0"/>
    <w:rsid w:val="00A124F2"/>
    <w:rsid w:val="00A124FA"/>
    <w:rsid w:val="00A1254A"/>
    <w:rsid w:val="00A1255F"/>
    <w:rsid w:val="00A125E1"/>
    <w:rsid w:val="00A125F0"/>
    <w:rsid w:val="00A12674"/>
    <w:rsid w:val="00A1272C"/>
    <w:rsid w:val="00A12730"/>
    <w:rsid w:val="00A12740"/>
    <w:rsid w:val="00A12784"/>
    <w:rsid w:val="00A127B7"/>
    <w:rsid w:val="00A127D0"/>
    <w:rsid w:val="00A127F4"/>
    <w:rsid w:val="00A1280A"/>
    <w:rsid w:val="00A1281F"/>
    <w:rsid w:val="00A12856"/>
    <w:rsid w:val="00A1287C"/>
    <w:rsid w:val="00A1288C"/>
    <w:rsid w:val="00A12896"/>
    <w:rsid w:val="00A128B0"/>
    <w:rsid w:val="00A128B5"/>
    <w:rsid w:val="00A128C6"/>
    <w:rsid w:val="00A1293A"/>
    <w:rsid w:val="00A12949"/>
    <w:rsid w:val="00A12959"/>
    <w:rsid w:val="00A12963"/>
    <w:rsid w:val="00A12984"/>
    <w:rsid w:val="00A1299E"/>
    <w:rsid w:val="00A129A2"/>
    <w:rsid w:val="00A129C7"/>
    <w:rsid w:val="00A12A0A"/>
    <w:rsid w:val="00A12A1B"/>
    <w:rsid w:val="00A12A2E"/>
    <w:rsid w:val="00A12A3A"/>
    <w:rsid w:val="00A12A72"/>
    <w:rsid w:val="00A12A91"/>
    <w:rsid w:val="00A12AD6"/>
    <w:rsid w:val="00A12B2B"/>
    <w:rsid w:val="00A12B6F"/>
    <w:rsid w:val="00A12B9E"/>
    <w:rsid w:val="00A12BBD"/>
    <w:rsid w:val="00A12BE3"/>
    <w:rsid w:val="00A12BF6"/>
    <w:rsid w:val="00A12C2F"/>
    <w:rsid w:val="00A12CED"/>
    <w:rsid w:val="00A12CF3"/>
    <w:rsid w:val="00A12D19"/>
    <w:rsid w:val="00A12D63"/>
    <w:rsid w:val="00A12D9E"/>
    <w:rsid w:val="00A12DD8"/>
    <w:rsid w:val="00A12DE6"/>
    <w:rsid w:val="00A12DF5"/>
    <w:rsid w:val="00A12E0D"/>
    <w:rsid w:val="00A12E74"/>
    <w:rsid w:val="00A12EC3"/>
    <w:rsid w:val="00A12EC7"/>
    <w:rsid w:val="00A12EE0"/>
    <w:rsid w:val="00A12EEC"/>
    <w:rsid w:val="00A12F23"/>
    <w:rsid w:val="00A12F51"/>
    <w:rsid w:val="00A12F6E"/>
    <w:rsid w:val="00A12F71"/>
    <w:rsid w:val="00A130A6"/>
    <w:rsid w:val="00A1318E"/>
    <w:rsid w:val="00A1319E"/>
    <w:rsid w:val="00A1326A"/>
    <w:rsid w:val="00A13279"/>
    <w:rsid w:val="00A13287"/>
    <w:rsid w:val="00A132B0"/>
    <w:rsid w:val="00A132EF"/>
    <w:rsid w:val="00A132F6"/>
    <w:rsid w:val="00A132FF"/>
    <w:rsid w:val="00A13319"/>
    <w:rsid w:val="00A1339A"/>
    <w:rsid w:val="00A133A7"/>
    <w:rsid w:val="00A13426"/>
    <w:rsid w:val="00A13431"/>
    <w:rsid w:val="00A1344C"/>
    <w:rsid w:val="00A13468"/>
    <w:rsid w:val="00A13484"/>
    <w:rsid w:val="00A134F6"/>
    <w:rsid w:val="00A13528"/>
    <w:rsid w:val="00A1353D"/>
    <w:rsid w:val="00A1354B"/>
    <w:rsid w:val="00A13574"/>
    <w:rsid w:val="00A13579"/>
    <w:rsid w:val="00A1357F"/>
    <w:rsid w:val="00A135A1"/>
    <w:rsid w:val="00A13606"/>
    <w:rsid w:val="00A1360D"/>
    <w:rsid w:val="00A13634"/>
    <w:rsid w:val="00A13691"/>
    <w:rsid w:val="00A136C8"/>
    <w:rsid w:val="00A136CB"/>
    <w:rsid w:val="00A136E7"/>
    <w:rsid w:val="00A136FF"/>
    <w:rsid w:val="00A13702"/>
    <w:rsid w:val="00A1375B"/>
    <w:rsid w:val="00A1375C"/>
    <w:rsid w:val="00A1375E"/>
    <w:rsid w:val="00A137EF"/>
    <w:rsid w:val="00A1382F"/>
    <w:rsid w:val="00A13835"/>
    <w:rsid w:val="00A13844"/>
    <w:rsid w:val="00A13875"/>
    <w:rsid w:val="00A1391C"/>
    <w:rsid w:val="00A13932"/>
    <w:rsid w:val="00A13952"/>
    <w:rsid w:val="00A13963"/>
    <w:rsid w:val="00A13978"/>
    <w:rsid w:val="00A139A2"/>
    <w:rsid w:val="00A139CD"/>
    <w:rsid w:val="00A13A81"/>
    <w:rsid w:val="00A13A8D"/>
    <w:rsid w:val="00A13A9C"/>
    <w:rsid w:val="00A13AB1"/>
    <w:rsid w:val="00A13B68"/>
    <w:rsid w:val="00A13B69"/>
    <w:rsid w:val="00A13B99"/>
    <w:rsid w:val="00A13BD1"/>
    <w:rsid w:val="00A13C17"/>
    <w:rsid w:val="00A13C1E"/>
    <w:rsid w:val="00A13C4E"/>
    <w:rsid w:val="00A13C5A"/>
    <w:rsid w:val="00A13CDA"/>
    <w:rsid w:val="00A13CE0"/>
    <w:rsid w:val="00A13CEF"/>
    <w:rsid w:val="00A13CF2"/>
    <w:rsid w:val="00A13D3F"/>
    <w:rsid w:val="00A13D5E"/>
    <w:rsid w:val="00A13D77"/>
    <w:rsid w:val="00A13D8C"/>
    <w:rsid w:val="00A13DE9"/>
    <w:rsid w:val="00A13E01"/>
    <w:rsid w:val="00A13E28"/>
    <w:rsid w:val="00A13E31"/>
    <w:rsid w:val="00A13EC6"/>
    <w:rsid w:val="00A13F58"/>
    <w:rsid w:val="00A13F8F"/>
    <w:rsid w:val="00A13F9C"/>
    <w:rsid w:val="00A13FC7"/>
    <w:rsid w:val="00A13FE5"/>
    <w:rsid w:val="00A1401C"/>
    <w:rsid w:val="00A14066"/>
    <w:rsid w:val="00A14114"/>
    <w:rsid w:val="00A14138"/>
    <w:rsid w:val="00A1414A"/>
    <w:rsid w:val="00A141A9"/>
    <w:rsid w:val="00A141AF"/>
    <w:rsid w:val="00A141CF"/>
    <w:rsid w:val="00A141EE"/>
    <w:rsid w:val="00A14248"/>
    <w:rsid w:val="00A1427C"/>
    <w:rsid w:val="00A1428C"/>
    <w:rsid w:val="00A1429D"/>
    <w:rsid w:val="00A143BB"/>
    <w:rsid w:val="00A143CD"/>
    <w:rsid w:val="00A14402"/>
    <w:rsid w:val="00A14459"/>
    <w:rsid w:val="00A144AE"/>
    <w:rsid w:val="00A144C0"/>
    <w:rsid w:val="00A144E6"/>
    <w:rsid w:val="00A14525"/>
    <w:rsid w:val="00A1454E"/>
    <w:rsid w:val="00A14573"/>
    <w:rsid w:val="00A1457D"/>
    <w:rsid w:val="00A1459A"/>
    <w:rsid w:val="00A145A8"/>
    <w:rsid w:val="00A145D9"/>
    <w:rsid w:val="00A145EC"/>
    <w:rsid w:val="00A1467D"/>
    <w:rsid w:val="00A14704"/>
    <w:rsid w:val="00A14732"/>
    <w:rsid w:val="00A14839"/>
    <w:rsid w:val="00A148C8"/>
    <w:rsid w:val="00A1493C"/>
    <w:rsid w:val="00A1495B"/>
    <w:rsid w:val="00A1495E"/>
    <w:rsid w:val="00A14A39"/>
    <w:rsid w:val="00A14A3A"/>
    <w:rsid w:val="00A14ABD"/>
    <w:rsid w:val="00A14B76"/>
    <w:rsid w:val="00A14BFA"/>
    <w:rsid w:val="00A14C16"/>
    <w:rsid w:val="00A14C31"/>
    <w:rsid w:val="00A14C64"/>
    <w:rsid w:val="00A14CC1"/>
    <w:rsid w:val="00A14DBB"/>
    <w:rsid w:val="00A14DE1"/>
    <w:rsid w:val="00A14E30"/>
    <w:rsid w:val="00A14E3E"/>
    <w:rsid w:val="00A14E54"/>
    <w:rsid w:val="00A14EAF"/>
    <w:rsid w:val="00A14F1E"/>
    <w:rsid w:val="00A14F60"/>
    <w:rsid w:val="00A14F7D"/>
    <w:rsid w:val="00A15006"/>
    <w:rsid w:val="00A1502C"/>
    <w:rsid w:val="00A15031"/>
    <w:rsid w:val="00A15088"/>
    <w:rsid w:val="00A150D6"/>
    <w:rsid w:val="00A15118"/>
    <w:rsid w:val="00A15124"/>
    <w:rsid w:val="00A15137"/>
    <w:rsid w:val="00A15187"/>
    <w:rsid w:val="00A151DF"/>
    <w:rsid w:val="00A15229"/>
    <w:rsid w:val="00A15251"/>
    <w:rsid w:val="00A152A6"/>
    <w:rsid w:val="00A152D0"/>
    <w:rsid w:val="00A152D1"/>
    <w:rsid w:val="00A152FB"/>
    <w:rsid w:val="00A15303"/>
    <w:rsid w:val="00A1535E"/>
    <w:rsid w:val="00A15374"/>
    <w:rsid w:val="00A153AE"/>
    <w:rsid w:val="00A153C8"/>
    <w:rsid w:val="00A15451"/>
    <w:rsid w:val="00A154B9"/>
    <w:rsid w:val="00A154FF"/>
    <w:rsid w:val="00A15517"/>
    <w:rsid w:val="00A15543"/>
    <w:rsid w:val="00A15551"/>
    <w:rsid w:val="00A15559"/>
    <w:rsid w:val="00A15590"/>
    <w:rsid w:val="00A155C2"/>
    <w:rsid w:val="00A155F6"/>
    <w:rsid w:val="00A15616"/>
    <w:rsid w:val="00A15652"/>
    <w:rsid w:val="00A15659"/>
    <w:rsid w:val="00A15684"/>
    <w:rsid w:val="00A156BE"/>
    <w:rsid w:val="00A156CD"/>
    <w:rsid w:val="00A156D2"/>
    <w:rsid w:val="00A156D3"/>
    <w:rsid w:val="00A156F8"/>
    <w:rsid w:val="00A1580D"/>
    <w:rsid w:val="00A15840"/>
    <w:rsid w:val="00A15877"/>
    <w:rsid w:val="00A15896"/>
    <w:rsid w:val="00A158C3"/>
    <w:rsid w:val="00A158CD"/>
    <w:rsid w:val="00A158E7"/>
    <w:rsid w:val="00A1591A"/>
    <w:rsid w:val="00A15965"/>
    <w:rsid w:val="00A159F3"/>
    <w:rsid w:val="00A159F4"/>
    <w:rsid w:val="00A15A15"/>
    <w:rsid w:val="00A15ABA"/>
    <w:rsid w:val="00A15ABC"/>
    <w:rsid w:val="00A15AD5"/>
    <w:rsid w:val="00A15AD6"/>
    <w:rsid w:val="00A15AF5"/>
    <w:rsid w:val="00A15B2D"/>
    <w:rsid w:val="00A15B35"/>
    <w:rsid w:val="00A15BC5"/>
    <w:rsid w:val="00A15BFD"/>
    <w:rsid w:val="00A15C10"/>
    <w:rsid w:val="00A15C38"/>
    <w:rsid w:val="00A15C50"/>
    <w:rsid w:val="00A15CFE"/>
    <w:rsid w:val="00A15D0E"/>
    <w:rsid w:val="00A15D5B"/>
    <w:rsid w:val="00A15DA0"/>
    <w:rsid w:val="00A15DE0"/>
    <w:rsid w:val="00A15E29"/>
    <w:rsid w:val="00A15E62"/>
    <w:rsid w:val="00A15EB9"/>
    <w:rsid w:val="00A15F36"/>
    <w:rsid w:val="00A15F47"/>
    <w:rsid w:val="00A15F62"/>
    <w:rsid w:val="00A15FAA"/>
    <w:rsid w:val="00A1600C"/>
    <w:rsid w:val="00A16037"/>
    <w:rsid w:val="00A160E6"/>
    <w:rsid w:val="00A16100"/>
    <w:rsid w:val="00A1614F"/>
    <w:rsid w:val="00A16156"/>
    <w:rsid w:val="00A1619F"/>
    <w:rsid w:val="00A161F7"/>
    <w:rsid w:val="00A16287"/>
    <w:rsid w:val="00A16310"/>
    <w:rsid w:val="00A16349"/>
    <w:rsid w:val="00A16351"/>
    <w:rsid w:val="00A16377"/>
    <w:rsid w:val="00A1637D"/>
    <w:rsid w:val="00A16380"/>
    <w:rsid w:val="00A163CB"/>
    <w:rsid w:val="00A1641A"/>
    <w:rsid w:val="00A16466"/>
    <w:rsid w:val="00A164A1"/>
    <w:rsid w:val="00A16514"/>
    <w:rsid w:val="00A1657A"/>
    <w:rsid w:val="00A1658E"/>
    <w:rsid w:val="00A1659C"/>
    <w:rsid w:val="00A165B5"/>
    <w:rsid w:val="00A165E7"/>
    <w:rsid w:val="00A165F6"/>
    <w:rsid w:val="00A1662B"/>
    <w:rsid w:val="00A1663D"/>
    <w:rsid w:val="00A16668"/>
    <w:rsid w:val="00A1669A"/>
    <w:rsid w:val="00A166EF"/>
    <w:rsid w:val="00A16701"/>
    <w:rsid w:val="00A167AD"/>
    <w:rsid w:val="00A167E9"/>
    <w:rsid w:val="00A1684B"/>
    <w:rsid w:val="00A16865"/>
    <w:rsid w:val="00A1687C"/>
    <w:rsid w:val="00A168A3"/>
    <w:rsid w:val="00A168BD"/>
    <w:rsid w:val="00A168F5"/>
    <w:rsid w:val="00A1695B"/>
    <w:rsid w:val="00A16A05"/>
    <w:rsid w:val="00A16A2D"/>
    <w:rsid w:val="00A16A72"/>
    <w:rsid w:val="00A16A74"/>
    <w:rsid w:val="00A16AA4"/>
    <w:rsid w:val="00A16AD3"/>
    <w:rsid w:val="00A16B0E"/>
    <w:rsid w:val="00A16B1B"/>
    <w:rsid w:val="00A16B98"/>
    <w:rsid w:val="00A16BD5"/>
    <w:rsid w:val="00A16BFE"/>
    <w:rsid w:val="00A16C46"/>
    <w:rsid w:val="00A16CB3"/>
    <w:rsid w:val="00A16CD4"/>
    <w:rsid w:val="00A16D47"/>
    <w:rsid w:val="00A16D5C"/>
    <w:rsid w:val="00A16D63"/>
    <w:rsid w:val="00A16D6B"/>
    <w:rsid w:val="00A16DB8"/>
    <w:rsid w:val="00A16DC2"/>
    <w:rsid w:val="00A16DCF"/>
    <w:rsid w:val="00A16DDE"/>
    <w:rsid w:val="00A16E09"/>
    <w:rsid w:val="00A16E24"/>
    <w:rsid w:val="00A16E53"/>
    <w:rsid w:val="00A16E56"/>
    <w:rsid w:val="00A16E66"/>
    <w:rsid w:val="00A16E99"/>
    <w:rsid w:val="00A16EB1"/>
    <w:rsid w:val="00A16F2D"/>
    <w:rsid w:val="00A16F59"/>
    <w:rsid w:val="00A16FC0"/>
    <w:rsid w:val="00A17000"/>
    <w:rsid w:val="00A1701F"/>
    <w:rsid w:val="00A17020"/>
    <w:rsid w:val="00A17035"/>
    <w:rsid w:val="00A1707C"/>
    <w:rsid w:val="00A17082"/>
    <w:rsid w:val="00A170BE"/>
    <w:rsid w:val="00A17187"/>
    <w:rsid w:val="00A171BD"/>
    <w:rsid w:val="00A171DC"/>
    <w:rsid w:val="00A171EF"/>
    <w:rsid w:val="00A17243"/>
    <w:rsid w:val="00A17294"/>
    <w:rsid w:val="00A172AB"/>
    <w:rsid w:val="00A17312"/>
    <w:rsid w:val="00A17343"/>
    <w:rsid w:val="00A1734E"/>
    <w:rsid w:val="00A173F7"/>
    <w:rsid w:val="00A17494"/>
    <w:rsid w:val="00A1749A"/>
    <w:rsid w:val="00A174B3"/>
    <w:rsid w:val="00A17535"/>
    <w:rsid w:val="00A17548"/>
    <w:rsid w:val="00A17553"/>
    <w:rsid w:val="00A17578"/>
    <w:rsid w:val="00A175C2"/>
    <w:rsid w:val="00A175F4"/>
    <w:rsid w:val="00A17605"/>
    <w:rsid w:val="00A1761F"/>
    <w:rsid w:val="00A1764C"/>
    <w:rsid w:val="00A176C5"/>
    <w:rsid w:val="00A176CD"/>
    <w:rsid w:val="00A176DD"/>
    <w:rsid w:val="00A176E5"/>
    <w:rsid w:val="00A17717"/>
    <w:rsid w:val="00A17721"/>
    <w:rsid w:val="00A1773D"/>
    <w:rsid w:val="00A177B4"/>
    <w:rsid w:val="00A177E9"/>
    <w:rsid w:val="00A177F8"/>
    <w:rsid w:val="00A17810"/>
    <w:rsid w:val="00A17818"/>
    <w:rsid w:val="00A17835"/>
    <w:rsid w:val="00A17859"/>
    <w:rsid w:val="00A17876"/>
    <w:rsid w:val="00A1787A"/>
    <w:rsid w:val="00A178A0"/>
    <w:rsid w:val="00A1790C"/>
    <w:rsid w:val="00A1791F"/>
    <w:rsid w:val="00A17999"/>
    <w:rsid w:val="00A179A1"/>
    <w:rsid w:val="00A179AB"/>
    <w:rsid w:val="00A17A1D"/>
    <w:rsid w:val="00A17AD7"/>
    <w:rsid w:val="00A17AE1"/>
    <w:rsid w:val="00A17AEA"/>
    <w:rsid w:val="00A17B12"/>
    <w:rsid w:val="00A17B7A"/>
    <w:rsid w:val="00A17C56"/>
    <w:rsid w:val="00A17C76"/>
    <w:rsid w:val="00A17C7F"/>
    <w:rsid w:val="00A17CC9"/>
    <w:rsid w:val="00A17D3D"/>
    <w:rsid w:val="00A17D83"/>
    <w:rsid w:val="00A17DCA"/>
    <w:rsid w:val="00A17DF5"/>
    <w:rsid w:val="00A17E0A"/>
    <w:rsid w:val="00A17E14"/>
    <w:rsid w:val="00A17E23"/>
    <w:rsid w:val="00A17E2C"/>
    <w:rsid w:val="00A17E5C"/>
    <w:rsid w:val="00A17E75"/>
    <w:rsid w:val="00A17F21"/>
    <w:rsid w:val="00A17F32"/>
    <w:rsid w:val="00A17F56"/>
    <w:rsid w:val="00A17F80"/>
    <w:rsid w:val="00A17FB9"/>
    <w:rsid w:val="00A20010"/>
    <w:rsid w:val="00A20040"/>
    <w:rsid w:val="00A20045"/>
    <w:rsid w:val="00A200AC"/>
    <w:rsid w:val="00A200E0"/>
    <w:rsid w:val="00A200FA"/>
    <w:rsid w:val="00A20204"/>
    <w:rsid w:val="00A2020B"/>
    <w:rsid w:val="00A20280"/>
    <w:rsid w:val="00A202A0"/>
    <w:rsid w:val="00A2031B"/>
    <w:rsid w:val="00A2031E"/>
    <w:rsid w:val="00A20353"/>
    <w:rsid w:val="00A203CF"/>
    <w:rsid w:val="00A203EB"/>
    <w:rsid w:val="00A203FD"/>
    <w:rsid w:val="00A20457"/>
    <w:rsid w:val="00A20496"/>
    <w:rsid w:val="00A204B3"/>
    <w:rsid w:val="00A204D7"/>
    <w:rsid w:val="00A205BC"/>
    <w:rsid w:val="00A205E8"/>
    <w:rsid w:val="00A20621"/>
    <w:rsid w:val="00A2067D"/>
    <w:rsid w:val="00A206DE"/>
    <w:rsid w:val="00A20712"/>
    <w:rsid w:val="00A20713"/>
    <w:rsid w:val="00A2071B"/>
    <w:rsid w:val="00A20727"/>
    <w:rsid w:val="00A2073A"/>
    <w:rsid w:val="00A207A4"/>
    <w:rsid w:val="00A207BD"/>
    <w:rsid w:val="00A207C8"/>
    <w:rsid w:val="00A207E8"/>
    <w:rsid w:val="00A20865"/>
    <w:rsid w:val="00A2089D"/>
    <w:rsid w:val="00A2089E"/>
    <w:rsid w:val="00A208C9"/>
    <w:rsid w:val="00A20986"/>
    <w:rsid w:val="00A20990"/>
    <w:rsid w:val="00A20A2A"/>
    <w:rsid w:val="00A20A77"/>
    <w:rsid w:val="00A20A83"/>
    <w:rsid w:val="00A20ACC"/>
    <w:rsid w:val="00A20AD6"/>
    <w:rsid w:val="00A20B95"/>
    <w:rsid w:val="00A20BE0"/>
    <w:rsid w:val="00A20BEF"/>
    <w:rsid w:val="00A20BF5"/>
    <w:rsid w:val="00A20C4B"/>
    <w:rsid w:val="00A20C5B"/>
    <w:rsid w:val="00A20C91"/>
    <w:rsid w:val="00A20C94"/>
    <w:rsid w:val="00A20CAD"/>
    <w:rsid w:val="00A20CB2"/>
    <w:rsid w:val="00A20CCA"/>
    <w:rsid w:val="00A20CD7"/>
    <w:rsid w:val="00A20CF0"/>
    <w:rsid w:val="00A20D46"/>
    <w:rsid w:val="00A20D4E"/>
    <w:rsid w:val="00A20D51"/>
    <w:rsid w:val="00A20E36"/>
    <w:rsid w:val="00A20E40"/>
    <w:rsid w:val="00A20E4E"/>
    <w:rsid w:val="00A20E5F"/>
    <w:rsid w:val="00A20E66"/>
    <w:rsid w:val="00A20E89"/>
    <w:rsid w:val="00A20EC1"/>
    <w:rsid w:val="00A20ECC"/>
    <w:rsid w:val="00A20EF1"/>
    <w:rsid w:val="00A20F09"/>
    <w:rsid w:val="00A20F0E"/>
    <w:rsid w:val="00A20F28"/>
    <w:rsid w:val="00A20F4A"/>
    <w:rsid w:val="00A20F78"/>
    <w:rsid w:val="00A20F89"/>
    <w:rsid w:val="00A20FE7"/>
    <w:rsid w:val="00A20FF6"/>
    <w:rsid w:val="00A2106F"/>
    <w:rsid w:val="00A210D4"/>
    <w:rsid w:val="00A21116"/>
    <w:rsid w:val="00A2111D"/>
    <w:rsid w:val="00A21146"/>
    <w:rsid w:val="00A21149"/>
    <w:rsid w:val="00A2114A"/>
    <w:rsid w:val="00A2116B"/>
    <w:rsid w:val="00A2119F"/>
    <w:rsid w:val="00A211B8"/>
    <w:rsid w:val="00A21214"/>
    <w:rsid w:val="00A21215"/>
    <w:rsid w:val="00A21225"/>
    <w:rsid w:val="00A2132E"/>
    <w:rsid w:val="00A213D9"/>
    <w:rsid w:val="00A2147B"/>
    <w:rsid w:val="00A214B6"/>
    <w:rsid w:val="00A21596"/>
    <w:rsid w:val="00A215F4"/>
    <w:rsid w:val="00A215F9"/>
    <w:rsid w:val="00A215FB"/>
    <w:rsid w:val="00A2160A"/>
    <w:rsid w:val="00A2167F"/>
    <w:rsid w:val="00A2172D"/>
    <w:rsid w:val="00A21757"/>
    <w:rsid w:val="00A21776"/>
    <w:rsid w:val="00A21794"/>
    <w:rsid w:val="00A217A4"/>
    <w:rsid w:val="00A21877"/>
    <w:rsid w:val="00A218A2"/>
    <w:rsid w:val="00A218DD"/>
    <w:rsid w:val="00A2195D"/>
    <w:rsid w:val="00A219D4"/>
    <w:rsid w:val="00A219ED"/>
    <w:rsid w:val="00A21A6C"/>
    <w:rsid w:val="00A21AC9"/>
    <w:rsid w:val="00A21B15"/>
    <w:rsid w:val="00A21B18"/>
    <w:rsid w:val="00A21B30"/>
    <w:rsid w:val="00A21B58"/>
    <w:rsid w:val="00A21BB1"/>
    <w:rsid w:val="00A21C39"/>
    <w:rsid w:val="00A21CA9"/>
    <w:rsid w:val="00A21CD6"/>
    <w:rsid w:val="00A21D1D"/>
    <w:rsid w:val="00A21D2E"/>
    <w:rsid w:val="00A21D56"/>
    <w:rsid w:val="00A21D58"/>
    <w:rsid w:val="00A21D5C"/>
    <w:rsid w:val="00A21D76"/>
    <w:rsid w:val="00A21DC1"/>
    <w:rsid w:val="00A21DC6"/>
    <w:rsid w:val="00A21DD8"/>
    <w:rsid w:val="00A21E12"/>
    <w:rsid w:val="00A21E52"/>
    <w:rsid w:val="00A21EDD"/>
    <w:rsid w:val="00A21F01"/>
    <w:rsid w:val="00A21F02"/>
    <w:rsid w:val="00A21F05"/>
    <w:rsid w:val="00A21F23"/>
    <w:rsid w:val="00A2203C"/>
    <w:rsid w:val="00A22053"/>
    <w:rsid w:val="00A2207F"/>
    <w:rsid w:val="00A2209B"/>
    <w:rsid w:val="00A220BA"/>
    <w:rsid w:val="00A220C6"/>
    <w:rsid w:val="00A220CD"/>
    <w:rsid w:val="00A220CE"/>
    <w:rsid w:val="00A220ED"/>
    <w:rsid w:val="00A22132"/>
    <w:rsid w:val="00A2213B"/>
    <w:rsid w:val="00A22163"/>
    <w:rsid w:val="00A2216B"/>
    <w:rsid w:val="00A2219D"/>
    <w:rsid w:val="00A221B2"/>
    <w:rsid w:val="00A221D8"/>
    <w:rsid w:val="00A221E1"/>
    <w:rsid w:val="00A221E7"/>
    <w:rsid w:val="00A222AB"/>
    <w:rsid w:val="00A222C2"/>
    <w:rsid w:val="00A222DC"/>
    <w:rsid w:val="00A222F4"/>
    <w:rsid w:val="00A22303"/>
    <w:rsid w:val="00A2236B"/>
    <w:rsid w:val="00A223F0"/>
    <w:rsid w:val="00A223F7"/>
    <w:rsid w:val="00A22449"/>
    <w:rsid w:val="00A224AE"/>
    <w:rsid w:val="00A224DC"/>
    <w:rsid w:val="00A22500"/>
    <w:rsid w:val="00A22544"/>
    <w:rsid w:val="00A22555"/>
    <w:rsid w:val="00A225AC"/>
    <w:rsid w:val="00A225DB"/>
    <w:rsid w:val="00A22635"/>
    <w:rsid w:val="00A22649"/>
    <w:rsid w:val="00A2266C"/>
    <w:rsid w:val="00A2268C"/>
    <w:rsid w:val="00A226BD"/>
    <w:rsid w:val="00A226D1"/>
    <w:rsid w:val="00A226D9"/>
    <w:rsid w:val="00A22796"/>
    <w:rsid w:val="00A227AD"/>
    <w:rsid w:val="00A227C2"/>
    <w:rsid w:val="00A22822"/>
    <w:rsid w:val="00A22826"/>
    <w:rsid w:val="00A22832"/>
    <w:rsid w:val="00A22873"/>
    <w:rsid w:val="00A228A0"/>
    <w:rsid w:val="00A2290A"/>
    <w:rsid w:val="00A22910"/>
    <w:rsid w:val="00A2292B"/>
    <w:rsid w:val="00A2293E"/>
    <w:rsid w:val="00A2294C"/>
    <w:rsid w:val="00A22953"/>
    <w:rsid w:val="00A229DE"/>
    <w:rsid w:val="00A229FC"/>
    <w:rsid w:val="00A22A56"/>
    <w:rsid w:val="00A22ADD"/>
    <w:rsid w:val="00A22B48"/>
    <w:rsid w:val="00A22B4C"/>
    <w:rsid w:val="00A22B70"/>
    <w:rsid w:val="00A22BE1"/>
    <w:rsid w:val="00A22C01"/>
    <w:rsid w:val="00A22C23"/>
    <w:rsid w:val="00A22C2F"/>
    <w:rsid w:val="00A22C57"/>
    <w:rsid w:val="00A22C81"/>
    <w:rsid w:val="00A22CC5"/>
    <w:rsid w:val="00A22CC7"/>
    <w:rsid w:val="00A22D24"/>
    <w:rsid w:val="00A22D25"/>
    <w:rsid w:val="00A22D3D"/>
    <w:rsid w:val="00A22D59"/>
    <w:rsid w:val="00A22D90"/>
    <w:rsid w:val="00A22E03"/>
    <w:rsid w:val="00A22E7F"/>
    <w:rsid w:val="00A22EB2"/>
    <w:rsid w:val="00A22EE1"/>
    <w:rsid w:val="00A22EF8"/>
    <w:rsid w:val="00A22F2F"/>
    <w:rsid w:val="00A22F32"/>
    <w:rsid w:val="00A22F3E"/>
    <w:rsid w:val="00A22F53"/>
    <w:rsid w:val="00A22FB2"/>
    <w:rsid w:val="00A22FCF"/>
    <w:rsid w:val="00A22FED"/>
    <w:rsid w:val="00A23009"/>
    <w:rsid w:val="00A23052"/>
    <w:rsid w:val="00A23068"/>
    <w:rsid w:val="00A230A8"/>
    <w:rsid w:val="00A230B1"/>
    <w:rsid w:val="00A230EA"/>
    <w:rsid w:val="00A23113"/>
    <w:rsid w:val="00A2313A"/>
    <w:rsid w:val="00A2317C"/>
    <w:rsid w:val="00A2318B"/>
    <w:rsid w:val="00A231CB"/>
    <w:rsid w:val="00A23208"/>
    <w:rsid w:val="00A2320E"/>
    <w:rsid w:val="00A232E6"/>
    <w:rsid w:val="00A23318"/>
    <w:rsid w:val="00A2336F"/>
    <w:rsid w:val="00A233AE"/>
    <w:rsid w:val="00A233E1"/>
    <w:rsid w:val="00A2340E"/>
    <w:rsid w:val="00A23439"/>
    <w:rsid w:val="00A23456"/>
    <w:rsid w:val="00A2345E"/>
    <w:rsid w:val="00A23464"/>
    <w:rsid w:val="00A2346F"/>
    <w:rsid w:val="00A2347A"/>
    <w:rsid w:val="00A23481"/>
    <w:rsid w:val="00A23492"/>
    <w:rsid w:val="00A23536"/>
    <w:rsid w:val="00A235F6"/>
    <w:rsid w:val="00A23634"/>
    <w:rsid w:val="00A2363D"/>
    <w:rsid w:val="00A23657"/>
    <w:rsid w:val="00A23711"/>
    <w:rsid w:val="00A237A1"/>
    <w:rsid w:val="00A237A4"/>
    <w:rsid w:val="00A237B3"/>
    <w:rsid w:val="00A23888"/>
    <w:rsid w:val="00A2389C"/>
    <w:rsid w:val="00A238B0"/>
    <w:rsid w:val="00A238D5"/>
    <w:rsid w:val="00A238D7"/>
    <w:rsid w:val="00A238F9"/>
    <w:rsid w:val="00A2392D"/>
    <w:rsid w:val="00A23953"/>
    <w:rsid w:val="00A23963"/>
    <w:rsid w:val="00A239B9"/>
    <w:rsid w:val="00A239C5"/>
    <w:rsid w:val="00A23A0A"/>
    <w:rsid w:val="00A23A23"/>
    <w:rsid w:val="00A23A70"/>
    <w:rsid w:val="00A23A78"/>
    <w:rsid w:val="00A23A83"/>
    <w:rsid w:val="00A23AF3"/>
    <w:rsid w:val="00A23B64"/>
    <w:rsid w:val="00A23BB4"/>
    <w:rsid w:val="00A23C45"/>
    <w:rsid w:val="00A23C82"/>
    <w:rsid w:val="00A23CBA"/>
    <w:rsid w:val="00A23CC1"/>
    <w:rsid w:val="00A23CFC"/>
    <w:rsid w:val="00A23D25"/>
    <w:rsid w:val="00A23D27"/>
    <w:rsid w:val="00A23D8D"/>
    <w:rsid w:val="00A23DD6"/>
    <w:rsid w:val="00A23E0D"/>
    <w:rsid w:val="00A23E2E"/>
    <w:rsid w:val="00A23EC8"/>
    <w:rsid w:val="00A23ED3"/>
    <w:rsid w:val="00A23EE8"/>
    <w:rsid w:val="00A23F25"/>
    <w:rsid w:val="00A23F70"/>
    <w:rsid w:val="00A23F7D"/>
    <w:rsid w:val="00A23FF2"/>
    <w:rsid w:val="00A24048"/>
    <w:rsid w:val="00A240CF"/>
    <w:rsid w:val="00A240DE"/>
    <w:rsid w:val="00A240E9"/>
    <w:rsid w:val="00A24136"/>
    <w:rsid w:val="00A2419D"/>
    <w:rsid w:val="00A241BE"/>
    <w:rsid w:val="00A241BF"/>
    <w:rsid w:val="00A241D9"/>
    <w:rsid w:val="00A241E9"/>
    <w:rsid w:val="00A241F3"/>
    <w:rsid w:val="00A242AA"/>
    <w:rsid w:val="00A242C9"/>
    <w:rsid w:val="00A24317"/>
    <w:rsid w:val="00A243BA"/>
    <w:rsid w:val="00A243DF"/>
    <w:rsid w:val="00A243F1"/>
    <w:rsid w:val="00A2442F"/>
    <w:rsid w:val="00A244C2"/>
    <w:rsid w:val="00A24590"/>
    <w:rsid w:val="00A245D2"/>
    <w:rsid w:val="00A245D6"/>
    <w:rsid w:val="00A245F7"/>
    <w:rsid w:val="00A24607"/>
    <w:rsid w:val="00A246F9"/>
    <w:rsid w:val="00A2471B"/>
    <w:rsid w:val="00A24728"/>
    <w:rsid w:val="00A24733"/>
    <w:rsid w:val="00A247A7"/>
    <w:rsid w:val="00A247AB"/>
    <w:rsid w:val="00A247BB"/>
    <w:rsid w:val="00A24847"/>
    <w:rsid w:val="00A2486A"/>
    <w:rsid w:val="00A24877"/>
    <w:rsid w:val="00A24884"/>
    <w:rsid w:val="00A248B4"/>
    <w:rsid w:val="00A248E6"/>
    <w:rsid w:val="00A24960"/>
    <w:rsid w:val="00A249AE"/>
    <w:rsid w:val="00A249BA"/>
    <w:rsid w:val="00A249D6"/>
    <w:rsid w:val="00A24A25"/>
    <w:rsid w:val="00A24AA6"/>
    <w:rsid w:val="00A24AD1"/>
    <w:rsid w:val="00A24AF9"/>
    <w:rsid w:val="00A24B39"/>
    <w:rsid w:val="00A24B5B"/>
    <w:rsid w:val="00A24B72"/>
    <w:rsid w:val="00A24B9F"/>
    <w:rsid w:val="00A24BB1"/>
    <w:rsid w:val="00A24BE0"/>
    <w:rsid w:val="00A24C10"/>
    <w:rsid w:val="00A24C8C"/>
    <w:rsid w:val="00A24C96"/>
    <w:rsid w:val="00A24CF9"/>
    <w:rsid w:val="00A24D3B"/>
    <w:rsid w:val="00A24D9D"/>
    <w:rsid w:val="00A24DE3"/>
    <w:rsid w:val="00A24DF3"/>
    <w:rsid w:val="00A24E46"/>
    <w:rsid w:val="00A24E68"/>
    <w:rsid w:val="00A24E81"/>
    <w:rsid w:val="00A24EDF"/>
    <w:rsid w:val="00A24EE3"/>
    <w:rsid w:val="00A24EF3"/>
    <w:rsid w:val="00A24F3C"/>
    <w:rsid w:val="00A24F69"/>
    <w:rsid w:val="00A24F70"/>
    <w:rsid w:val="00A24FC6"/>
    <w:rsid w:val="00A24FE8"/>
    <w:rsid w:val="00A2501D"/>
    <w:rsid w:val="00A2509C"/>
    <w:rsid w:val="00A2510C"/>
    <w:rsid w:val="00A25171"/>
    <w:rsid w:val="00A2522E"/>
    <w:rsid w:val="00A25241"/>
    <w:rsid w:val="00A2525C"/>
    <w:rsid w:val="00A252AC"/>
    <w:rsid w:val="00A252FB"/>
    <w:rsid w:val="00A25383"/>
    <w:rsid w:val="00A253B0"/>
    <w:rsid w:val="00A253F6"/>
    <w:rsid w:val="00A25402"/>
    <w:rsid w:val="00A25436"/>
    <w:rsid w:val="00A25466"/>
    <w:rsid w:val="00A25494"/>
    <w:rsid w:val="00A2552A"/>
    <w:rsid w:val="00A255E8"/>
    <w:rsid w:val="00A255E9"/>
    <w:rsid w:val="00A255F1"/>
    <w:rsid w:val="00A2560D"/>
    <w:rsid w:val="00A2563D"/>
    <w:rsid w:val="00A2567B"/>
    <w:rsid w:val="00A256B0"/>
    <w:rsid w:val="00A2572E"/>
    <w:rsid w:val="00A25780"/>
    <w:rsid w:val="00A2578A"/>
    <w:rsid w:val="00A257ED"/>
    <w:rsid w:val="00A25860"/>
    <w:rsid w:val="00A25881"/>
    <w:rsid w:val="00A2593B"/>
    <w:rsid w:val="00A2598F"/>
    <w:rsid w:val="00A259C9"/>
    <w:rsid w:val="00A259D0"/>
    <w:rsid w:val="00A25A14"/>
    <w:rsid w:val="00A25A1D"/>
    <w:rsid w:val="00A25A2B"/>
    <w:rsid w:val="00A25A85"/>
    <w:rsid w:val="00A25A97"/>
    <w:rsid w:val="00A25A9E"/>
    <w:rsid w:val="00A25ABB"/>
    <w:rsid w:val="00A25ABE"/>
    <w:rsid w:val="00A25B27"/>
    <w:rsid w:val="00A25B6C"/>
    <w:rsid w:val="00A25B81"/>
    <w:rsid w:val="00A25B9F"/>
    <w:rsid w:val="00A25BF4"/>
    <w:rsid w:val="00A25C17"/>
    <w:rsid w:val="00A25C48"/>
    <w:rsid w:val="00A25C70"/>
    <w:rsid w:val="00A25C76"/>
    <w:rsid w:val="00A25CFC"/>
    <w:rsid w:val="00A25D38"/>
    <w:rsid w:val="00A25D6D"/>
    <w:rsid w:val="00A25D80"/>
    <w:rsid w:val="00A25DCB"/>
    <w:rsid w:val="00A25E40"/>
    <w:rsid w:val="00A25E85"/>
    <w:rsid w:val="00A25ED4"/>
    <w:rsid w:val="00A25FF0"/>
    <w:rsid w:val="00A26058"/>
    <w:rsid w:val="00A2605B"/>
    <w:rsid w:val="00A26073"/>
    <w:rsid w:val="00A2612D"/>
    <w:rsid w:val="00A26169"/>
    <w:rsid w:val="00A2617C"/>
    <w:rsid w:val="00A261E6"/>
    <w:rsid w:val="00A26269"/>
    <w:rsid w:val="00A2627E"/>
    <w:rsid w:val="00A262B0"/>
    <w:rsid w:val="00A262BC"/>
    <w:rsid w:val="00A262C5"/>
    <w:rsid w:val="00A262FF"/>
    <w:rsid w:val="00A2639F"/>
    <w:rsid w:val="00A263A9"/>
    <w:rsid w:val="00A263D1"/>
    <w:rsid w:val="00A26400"/>
    <w:rsid w:val="00A26414"/>
    <w:rsid w:val="00A26419"/>
    <w:rsid w:val="00A26420"/>
    <w:rsid w:val="00A26426"/>
    <w:rsid w:val="00A26479"/>
    <w:rsid w:val="00A264A9"/>
    <w:rsid w:val="00A264D4"/>
    <w:rsid w:val="00A2653A"/>
    <w:rsid w:val="00A2655D"/>
    <w:rsid w:val="00A26579"/>
    <w:rsid w:val="00A26645"/>
    <w:rsid w:val="00A26671"/>
    <w:rsid w:val="00A26674"/>
    <w:rsid w:val="00A266B4"/>
    <w:rsid w:val="00A2671D"/>
    <w:rsid w:val="00A26736"/>
    <w:rsid w:val="00A26767"/>
    <w:rsid w:val="00A267B3"/>
    <w:rsid w:val="00A26846"/>
    <w:rsid w:val="00A26889"/>
    <w:rsid w:val="00A268D5"/>
    <w:rsid w:val="00A26998"/>
    <w:rsid w:val="00A269EC"/>
    <w:rsid w:val="00A26A18"/>
    <w:rsid w:val="00A26A3A"/>
    <w:rsid w:val="00A26A94"/>
    <w:rsid w:val="00A26B1B"/>
    <w:rsid w:val="00A26B1D"/>
    <w:rsid w:val="00A26B4A"/>
    <w:rsid w:val="00A26B4B"/>
    <w:rsid w:val="00A26B78"/>
    <w:rsid w:val="00A26B95"/>
    <w:rsid w:val="00A26BE9"/>
    <w:rsid w:val="00A26BFB"/>
    <w:rsid w:val="00A26C8F"/>
    <w:rsid w:val="00A26CB6"/>
    <w:rsid w:val="00A26CB7"/>
    <w:rsid w:val="00A26CE4"/>
    <w:rsid w:val="00A26D24"/>
    <w:rsid w:val="00A26D86"/>
    <w:rsid w:val="00A26D88"/>
    <w:rsid w:val="00A26D95"/>
    <w:rsid w:val="00A26E3B"/>
    <w:rsid w:val="00A26E78"/>
    <w:rsid w:val="00A26ED2"/>
    <w:rsid w:val="00A26ED4"/>
    <w:rsid w:val="00A26EFC"/>
    <w:rsid w:val="00A26F04"/>
    <w:rsid w:val="00A26F09"/>
    <w:rsid w:val="00A26F56"/>
    <w:rsid w:val="00A26FC9"/>
    <w:rsid w:val="00A26FDA"/>
    <w:rsid w:val="00A27018"/>
    <w:rsid w:val="00A2703B"/>
    <w:rsid w:val="00A2707D"/>
    <w:rsid w:val="00A270AD"/>
    <w:rsid w:val="00A271CE"/>
    <w:rsid w:val="00A2726F"/>
    <w:rsid w:val="00A27280"/>
    <w:rsid w:val="00A27282"/>
    <w:rsid w:val="00A272AE"/>
    <w:rsid w:val="00A272FB"/>
    <w:rsid w:val="00A27310"/>
    <w:rsid w:val="00A2736A"/>
    <w:rsid w:val="00A273B3"/>
    <w:rsid w:val="00A2740D"/>
    <w:rsid w:val="00A2742E"/>
    <w:rsid w:val="00A27522"/>
    <w:rsid w:val="00A27618"/>
    <w:rsid w:val="00A2765D"/>
    <w:rsid w:val="00A27741"/>
    <w:rsid w:val="00A27790"/>
    <w:rsid w:val="00A277AB"/>
    <w:rsid w:val="00A277C9"/>
    <w:rsid w:val="00A277DF"/>
    <w:rsid w:val="00A277E4"/>
    <w:rsid w:val="00A277F9"/>
    <w:rsid w:val="00A27851"/>
    <w:rsid w:val="00A27893"/>
    <w:rsid w:val="00A278A1"/>
    <w:rsid w:val="00A278C2"/>
    <w:rsid w:val="00A278C7"/>
    <w:rsid w:val="00A278DB"/>
    <w:rsid w:val="00A2799D"/>
    <w:rsid w:val="00A279E1"/>
    <w:rsid w:val="00A27AD5"/>
    <w:rsid w:val="00A27AFA"/>
    <w:rsid w:val="00A27B39"/>
    <w:rsid w:val="00A27BC3"/>
    <w:rsid w:val="00A27C03"/>
    <w:rsid w:val="00A27C3D"/>
    <w:rsid w:val="00A27C4C"/>
    <w:rsid w:val="00A27C60"/>
    <w:rsid w:val="00A27C88"/>
    <w:rsid w:val="00A27D59"/>
    <w:rsid w:val="00A27D63"/>
    <w:rsid w:val="00A27D66"/>
    <w:rsid w:val="00A27D71"/>
    <w:rsid w:val="00A27D9A"/>
    <w:rsid w:val="00A27E2E"/>
    <w:rsid w:val="00A27E4F"/>
    <w:rsid w:val="00A27E65"/>
    <w:rsid w:val="00A27EAF"/>
    <w:rsid w:val="00A27EB6"/>
    <w:rsid w:val="00A27EEA"/>
    <w:rsid w:val="00A27F84"/>
    <w:rsid w:val="00A30039"/>
    <w:rsid w:val="00A30049"/>
    <w:rsid w:val="00A30087"/>
    <w:rsid w:val="00A300B5"/>
    <w:rsid w:val="00A30115"/>
    <w:rsid w:val="00A30179"/>
    <w:rsid w:val="00A301BE"/>
    <w:rsid w:val="00A301F2"/>
    <w:rsid w:val="00A301F5"/>
    <w:rsid w:val="00A30205"/>
    <w:rsid w:val="00A30269"/>
    <w:rsid w:val="00A30497"/>
    <w:rsid w:val="00A304A9"/>
    <w:rsid w:val="00A304D2"/>
    <w:rsid w:val="00A304DB"/>
    <w:rsid w:val="00A304F2"/>
    <w:rsid w:val="00A30507"/>
    <w:rsid w:val="00A30521"/>
    <w:rsid w:val="00A3065F"/>
    <w:rsid w:val="00A30692"/>
    <w:rsid w:val="00A306D4"/>
    <w:rsid w:val="00A30713"/>
    <w:rsid w:val="00A30781"/>
    <w:rsid w:val="00A3079C"/>
    <w:rsid w:val="00A3080E"/>
    <w:rsid w:val="00A30827"/>
    <w:rsid w:val="00A3084C"/>
    <w:rsid w:val="00A3088B"/>
    <w:rsid w:val="00A308FA"/>
    <w:rsid w:val="00A30903"/>
    <w:rsid w:val="00A30914"/>
    <w:rsid w:val="00A30933"/>
    <w:rsid w:val="00A3098F"/>
    <w:rsid w:val="00A309B4"/>
    <w:rsid w:val="00A30A21"/>
    <w:rsid w:val="00A30A44"/>
    <w:rsid w:val="00A30A4C"/>
    <w:rsid w:val="00A30A83"/>
    <w:rsid w:val="00A30A95"/>
    <w:rsid w:val="00A30AE5"/>
    <w:rsid w:val="00A30AFD"/>
    <w:rsid w:val="00A30B14"/>
    <w:rsid w:val="00A30B3B"/>
    <w:rsid w:val="00A30B81"/>
    <w:rsid w:val="00A30BBD"/>
    <w:rsid w:val="00A30BD2"/>
    <w:rsid w:val="00A30BD4"/>
    <w:rsid w:val="00A30C1A"/>
    <w:rsid w:val="00A30CB3"/>
    <w:rsid w:val="00A30CD3"/>
    <w:rsid w:val="00A30CF8"/>
    <w:rsid w:val="00A30D0C"/>
    <w:rsid w:val="00A30D42"/>
    <w:rsid w:val="00A30D4B"/>
    <w:rsid w:val="00A30D6B"/>
    <w:rsid w:val="00A30D72"/>
    <w:rsid w:val="00A30E82"/>
    <w:rsid w:val="00A30EA0"/>
    <w:rsid w:val="00A30ED6"/>
    <w:rsid w:val="00A30F0C"/>
    <w:rsid w:val="00A30F20"/>
    <w:rsid w:val="00A30F21"/>
    <w:rsid w:val="00A30F5B"/>
    <w:rsid w:val="00A30F5E"/>
    <w:rsid w:val="00A30F81"/>
    <w:rsid w:val="00A30FC2"/>
    <w:rsid w:val="00A30FDF"/>
    <w:rsid w:val="00A30FF5"/>
    <w:rsid w:val="00A3102D"/>
    <w:rsid w:val="00A3108C"/>
    <w:rsid w:val="00A310AE"/>
    <w:rsid w:val="00A310F7"/>
    <w:rsid w:val="00A31103"/>
    <w:rsid w:val="00A31104"/>
    <w:rsid w:val="00A3111E"/>
    <w:rsid w:val="00A31127"/>
    <w:rsid w:val="00A3114E"/>
    <w:rsid w:val="00A3122F"/>
    <w:rsid w:val="00A3123E"/>
    <w:rsid w:val="00A3125F"/>
    <w:rsid w:val="00A31275"/>
    <w:rsid w:val="00A312DD"/>
    <w:rsid w:val="00A312EC"/>
    <w:rsid w:val="00A312F3"/>
    <w:rsid w:val="00A31322"/>
    <w:rsid w:val="00A31337"/>
    <w:rsid w:val="00A313EB"/>
    <w:rsid w:val="00A31401"/>
    <w:rsid w:val="00A31406"/>
    <w:rsid w:val="00A31465"/>
    <w:rsid w:val="00A31484"/>
    <w:rsid w:val="00A314B5"/>
    <w:rsid w:val="00A314BD"/>
    <w:rsid w:val="00A3151D"/>
    <w:rsid w:val="00A31556"/>
    <w:rsid w:val="00A31578"/>
    <w:rsid w:val="00A315D7"/>
    <w:rsid w:val="00A31600"/>
    <w:rsid w:val="00A31620"/>
    <w:rsid w:val="00A31630"/>
    <w:rsid w:val="00A31637"/>
    <w:rsid w:val="00A31673"/>
    <w:rsid w:val="00A316B5"/>
    <w:rsid w:val="00A316CC"/>
    <w:rsid w:val="00A316F9"/>
    <w:rsid w:val="00A3173E"/>
    <w:rsid w:val="00A3176E"/>
    <w:rsid w:val="00A317E4"/>
    <w:rsid w:val="00A31800"/>
    <w:rsid w:val="00A3186B"/>
    <w:rsid w:val="00A31872"/>
    <w:rsid w:val="00A3187E"/>
    <w:rsid w:val="00A31883"/>
    <w:rsid w:val="00A318B8"/>
    <w:rsid w:val="00A318C1"/>
    <w:rsid w:val="00A318F7"/>
    <w:rsid w:val="00A318FD"/>
    <w:rsid w:val="00A3190D"/>
    <w:rsid w:val="00A31915"/>
    <w:rsid w:val="00A31922"/>
    <w:rsid w:val="00A31972"/>
    <w:rsid w:val="00A319BF"/>
    <w:rsid w:val="00A319C7"/>
    <w:rsid w:val="00A319EC"/>
    <w:rsid w:val="00A31A17"/>
    <w:rsid w:val="00A31A73"/>
    <w:rsid w:val="00A31A88"/>
    <w:rsid w:val="00A31AFB"/>
    <w:rsid w:val="00A31B6E"/>
    <w:rsid w:val="00A31C10"/>
    <w:rsid w:val="00A31C15"/>
    <w:rsid w:val="00A31C1A"/>
    <w:rsid w:val="00A31C26"/>
    <w:rsid w:val="00A31C8F"/>
    <w:rsid w:val="00A31CF5"/>
    <w:rsid w:val="00A31D38"/>
    <w:rsid w:val="00A31D6E"/>
    <w:rsid w:val="00A31D83"/>
    <w:rsid w:val="00A31DB8"/>
    <w:rsid w:val="00A31DDF"/>
    <w:rsid w:val="00A31E1A"/>
    <w:rsid w:val="00A31E44"/>
    <w:rsid w:val="00A31E4D"/>
    <w:rsid w:val="00A31E71"/>
    <w:rsid w:val="00A31E82"/>
    <w:rsid w:val="00A31E84"/>
    <w:rsid w:val="00A31EF2"/>
    <w:rsid w:val="00A31EFD"/>
    <w:rsid w:val="00A31F55"/>
    <w:rsid w:val="00A31F62"/>
    <w:rsid w:val="00A31F71"/>
    <w:rsid w:val="00A31FCF"/>
    <w:rsid w:val="00A32092"/>
    <w:rsid w:val="00A320A9"/>
    <w:rsid w:val="00A320B1"/>
    <w:rsid w:val="00A320B8"/>
    <w:rsid w:val="00A320CC"/>
    <w:rsid w:val="00A320ED"/>
    <w:rsid w:val="00A32134"/>
    <w:rsid w:val="00A32188"/>
    <w:rsid w:val="00A321F2"/>
    <w:rsid w:val="00A3227C"/>
    <w:rsid w:val="00A32314"/>
    <w:rsid w:val="00A3232C"/>
    <w:rsid w:val="00A32332"/>
    <w:rsid w:val="00A3233A"/>
    <w:rsid w:val="00A32386"/>
    <w:rsid w:val="00A323A4"/>
    <w:rsid w:val="00A323C6"/>
    <w:rsid w:val="00A323E1"/>
    <w:rsid w:val="00A323F3"/>
    <w:rsid w:val="00A32428"/>
    <w:rsid w:val="00A32479"/>
    <w:rsid w:val="00A324B7"/>
    <w:rsid w:val="00A324CC"/>
    <w:rsid w:val="00A3256D"/>
    <w:rsid w:val="00A32579"/>
    <w:rsid w:val="00A32581"/>
    <w:rsid w:val="00A325B4"/>
    <w:rsid w:val="00A325BB"/>
    <w:rsid w:val="00A325EA"/>
    <w:rsid w:val="00A3268C"/>
    <w:rsid w:val="00A326A5"/>
    <w:rsid w:val="00A326BA"/>
    <w:rsid w:val="00A326D1"/>
    <w:rsid w:val="00A326E9"/>
    <w:rsid w:val="00A32702"/>
    <w:rsid w:val="00A327F4"/>
    <w:rsid w:val="00A3282A"/>
    <w:rsid w:val="00A3289B"/>
    <w:rsid w:val="00A328EB"/>
    <w:rsid w:val="00A32911"/>
    <w:rsid w:val="00A32917"/>
    <w:rsid w:val="00A3294F"/>
    <w:rsid w:val="00A32950"/>
    <w:rsid w:val="00A329A6"/>
    <w:rsid w:val="00A329CF"/>
    <w:rsid w:val="00A32A4E"/>
    <w:rsid w:val="00A32AA9"/>
    <w:rsid w:val="00A32AB1"/>
    <w:rsid w:val="00A32AD8"/>
    <w:rsid w:val="00A32B0F"/>
    <w:rsid w:val="00A32B20"/>
    <w:rsid w:val="00A32B5F"/>
    <w:rsid w:val="00A32B67"/>
    <w:rsid w:val="00A32B79"/>
    <w:rsid w:val="00A32B8D"/>
    <w:rsid w:val="00A32BF3"/>
    <w:rsid w:val="00A32C32"/>
    <w:rsid w:val="00A32C88"/>
    <w:rsid w:val="00A32C97"/>
    <w:rsid w:val="00A32CBC"/>
    <w:rsid w:val="00A32D2A"/>
    <w:rsid w:val="00A32D3E"/>
    <w:rsid w:val="00A32DB8"/>
    <w:rsid w:val="00A32DC0"/>
    <w:rsid w:val="00A32DDA"/>
    <w:rsid w:val="00A32DE4"/>
    <w:rsid w:val="00A32DE5"/>
    <w:rsid w:val="00A32E06"/>
    <w:rsid w:val="00A32E73"/>
    <w:rsid w:val="00A32E96"/>
    <w:rsid w:val="00A32F5A"/>
    <w:rsid w:val="00A32F6E"/>
    <w:rsid w:val="00A32F83"/>
    <w:rsid w:val="00A32FA0"/>
    <w:rsid w:val="00A32FAD"/>
    <w:rsid w:val="00A32FD4"/>
    <w:rsid w:val="00A32FDB"/>
    <w:rsid w:val="00A32FEA"/>
    <w:rsid w:val="00A33002"/>
    <w:rsid w:val="00A3301F"/>
    <w:rsid w:val="00A33060"/>
    <w:rsid w:val="00A33070"/>
    <w:rsid w:val="00A3307C"/>
    <w:rsid w:val="00A330F3"/>
    <w:rsid w:val="00A33119"/>
    <w:rsid w:val="00A33168"/>
    <w:rsid w:val="00A3318F"/>
    <w:rsid w:val="00A331A0"/>
    <w:rsid w:val="00A331DE"/>
    <w:rsid w:val="00A33289"/>
    <w:rsid w:val="00A3329C"/>
    <w:rsid w:val="00A332AA"/>
    <w:rsid w:val="00A332E7"/>
    <w:rsid w:val="00A33361"/>
    <w:rsid w:val="00A3338A"/>
    <w:rsid w:val="00A333CC"/>
    <w:rsid w:val="00A333EF"/>
    <w:rsid w:val="00A3342D"/>
    <w:rsid w:val="00A33470"/>
    <w:rsid w:val="00A33504"/>
    <w:rsid w:val="00A3354B"/>
    <w:rsid w:val="00A335B6"/>
    <w:rsid w:val="00A33627"/>
    <w:rsid w:val="00A33631"/>
    <w:rsid w:val="00A336B3"/>
    <w:rsid w:val="00A336CC"/>
    <w:rsid w:val="00A336FD"/>
    <w:rsid w:val="00A336FE"/>
    <w:rsid w:val="00A33709"/>
    <w:rsid w:val="00A3375E"/>
    <w:rsid w:val="00A33779"/>
    <w:rsid w:val="00A3383D"/>
    <w:rsid w:val="00A3385C"/>
    <w:rsid w:val="00A3388A"/>
    <w:rsid w:val="00A338AB"/>
    <w:rsid w:val="00A338BD"/>
    <w:rsid w:val="00A33910"/>
    <w:rsid w:val="00A3391B"/>
    <w:rsid w:val="00A33952"/>
    <w:rsid w:val="00A3397D"/>
    <w:rsid w:val="00A339C5"/>
    <w:rsid w:val="00A339C8"/>
    <w:rsid w:val="00A339E1"/>
    <w:rsid w:val="00A339F5"/>
    <w:rsid w:val="00A33A23"/>
    <w:rsid w:val="00A33A69"/>
    <w:rsid w:val="00A33A88"/>
    <w:rsid w:val="00A33AA0"/>
    <w:rsid w:val="00A33AD8"/>
    <w:rsid w:val="00A33B5C"/>
    <w:rsid w:val="00A33B63"/>
    <w:rsid w:val="00A33BA8"/>
    <w:rsid w:val="00A33BD2"/>
    <w:rsid w:val="00A33BFB"/>
    <w:rsid w:val="00A33C10"/>
    <w:rsid w:val="00A33C24"/>
    <w:rsid w:val="00A33C34"/>
    <w:rsid w:val="00A33C40"/>
    <w:rsid w:val="00A33C72"/>
    <w:rsid w:val="00A33C76"/>
    <w:rsid w:val="00A33C9D"/>
    <w:rsid w:val="00A33CA8"/>
    <w:rsid w:val="00A33CBA"/>
    <w:rsid w:val="00A33CC6"/>
    <w:rsid w:val="00A33CDE"/>
    <w:rsid w:val="00A33D56"/>
    <w:rsid w:val="00A33DD5"/>
    <w:rsid w:val="00A33E0C"/>
    <w:rsid w:val="00A33E80"/>
    <w:rsid w:val="00A33EA3"/>
    <w:rsid w:val="00A33ED3"/>
    <w:rsid w:val="00A33EF3"/>
    <w:rsid w:val="00A33F04"/>
    <w:rsid w:val="00A33F4C"/>
    <w:rsid w:val="00A33F58"/>
    <w:rsid w:val="00A34047"/>
    <w:rsid w:val="00A340B7"/>
    <w:rsid w:val="00A34128"/>
    <w:rsid w:val="00A34192"/>
    <w:rsid w:val="00A341AB"/>
    <w:rsid w:val="00A341D3"/>
    <w:rsid w:val="00A342B3"/>
    <w:rsid w:val="00A342C5"/>
    <w:rsid w:val="00A342D0"/>
    <w:rsid w:val="00A342D5"/>
    <w:rsid w:val="00A342EE"/>
    <w:rsid w:val="00A342FF"/>
    <w:rsid w:val="00A3430C"/>
    <w:rsid w:val="00A3430E"/>
    <w:rsid w:val="00A34339"/>
    <w:rsid w:val="00A34341"/>
    <w:rsid w:val="00A343B8"/>
    <w:rsid w:val="00A34409"/>
    <w:rsid w:val="00A3441C"/>
    <w:rsid w:val="00A34455"/>
    <w:rsid w:val="00A344E4"/>
    <w:rsid w:val="00A34539"/>
    <w:rsid w:val="00A34569"/>
    <w:rsid w:val="00A345F6"/>
    <w:rsid w:val="00A345FB"/>
    <w:rsid w:val="00A34662"/>
    <w:rsid w:val="00A346F2"/>
    <w:rsid w:val="00A34702"/>
    <w:rsid w:val="00A34751"/>
    <w:rsid w:val="00A347AB"/>
    <w:rsid w:val="00A347D1"/>
    <w:rsid w:val="00A347FA"/>
    <w:rsid w:val="00A348B5"/>
    <w:rsid w:val="00A348C0"/>
    <w:rsid w:val="00A34937"/>
    <w:rsid w:val="00A34941"/>
    <w:rsid w:val="00A3494C"/>
    <w:rsid w:val="00A34975"/>
    <w:rsid w:val="00A3499C"/>
    <w:rsid w:val="00A34A25"/>
    <w:rsid w:val="00A34AC3"/>
    <w:rsid w:val="00A34AD2"/>
    <w:rsid w:val="00A34B18"/>
    <w:rsid w:val="00A34B41"/>
    <w:rsid w:val="00A34B6C"/>
    <w:rsid w:val="00A34BAC"/>
    <w:rsid w:val="00A34BD9"/>
    <w:rsid w:val="00A34C97"/>
    <w:rsid w:val="00A34CEB"/>
    <w:rsid w:val="00A34CF2"/>
    <w:rsid w:val="00A34D28"/>
    <w:rsid w:val="00A34D31"/>
    <w:rsid w:val="00A34D4B"/>
    <w:rsid w:val="00A34DA1"/>
    <w:rsid w:val="00A34DBD"/>
    <w:rsid w:val="00A34E29"/>
    <w:rsid w:val="00A34E4A"/>
    <w:rsid w:val="00A34E4C"/>
    <w:rsid w:val="00A34E8D"/>
    <w:rsid w:val="00A34E9A"/>
    <w:rsid w:val="00A34EC9"/>
    <w:rsid w:val="00A34EEA"/>
    <w:rsid w:val="00A34F57"/>
    <w:rsid w:val="00A34F7A"/>
    <w:rsid w:val="00A34F7F"/>
    <w:rsid w:val="00A34FEA"/>
    <w:rsid w:val="00A34FF5"/>
    <w:rsid w:val="00A34FFD"/>
    <w:rsid w:val="00A3506E"/>
    <w:rsid w:val="00A35074"/>
    <w:rsid w:val="00A35098"/>
    <w:rsid w:val="00A35137"/>
    <w:rsid w:val="00A3514D"/>
    <w:rsid w:val="00A3518B"/>
    <w:rsid w:val="00A351A5"/>
    <w:rsid w:val="00A351D3"/>
    <w:rsid w:val="00A3521D"/>
    <w:rsid w:val="00A3529B"/>
    <w:rsid w:val="00A352C5"/>
    <w:rsid w:val="00A35328"/>
    <w:rsid w:val="00A35378"/>
    <w:rsid w:val="00A35382"/>
    <w:rsid w:val="00A353D0"/>
    <w:rsid w:val="00A353F6"/>
    <w:rsid w:val="00A3541C"/>
    <w:rsid w:val="00A35469"/>
    <w:rsid w:val="00A35533"/>
    <w:rsid w:val="00A3553A"/>
    <w:rsid w:val="00A355A5"/>
    <w:rsid w:val="00A355BD"/>
    <w:rsid w:val="00A355E5"/>
    <w:rsid w:val="00A3562E"/>
    <w:rsid w:val="00A35631"/>
    <w:rsid w:val="00A35667"/>
    <w:rsid w:val="00A35680"/>
    <w:rsid w:val="00A357BB"/>
    <w:rsid w:val="00A357F9"/>
    <w:rsid w:val="00A357FD"/>
    <w:rsid w:val="00A35858"/>
    <w:rsid w:val="00A35897"/>
    <w:rsid w:val="00A358E9"/>
    <w:rsid w:val="00A35937"/>
    <w:rsid w:val="00A3596B"/>
    <w:rsid w:val="00A35982"/>
    <w:rsid w:val="00A359B2"/>
    <w:rsid w:val="00A35A77"/>
    <w:rsid w:val="00A35A7B"/>
    <w:rsid w:val="00A35A92"/>
    <w:rsid w:val="00A35AC5"/>
    <w:rsid w:val="00A35B79"/>
    <w:rsid w:val="00A35BF6"/>
    <w:rsid w:val="00A35C4E"/>
    <w:rsid w:val="00A35C5C"/>
    <w:rsid w:val="00A35C9D"/>
    <w:rsid w:val="00A35CE3"/>
    <w:rsid w:val="00A35D7E"/>
    <w:rsid w:val="00A35D8E"/>
    <w:rsid w:val="00A35D9D"/>
    <w:rsid w:val="00A35D9E"/>
    <w:rsid w:val="00A35E21"/>
    <w:rsid w:val="00A35E24"/>
    <w:rsid w:val="00A35E39"/>
    <w:rsid w:val="00A35EFC"/>
    <w:rsid w:val="00A35EFD"/>
    <w:rsid w:val="00A35F39"/>
    <w:rsid w:val="00A35F8C"/>
    <w:rsid w:val="00A35F9E"/>
    <w:rsid w:val="00A35FE2"/>
    <w:rsid w:val="00A36013"/>
    <w:rsid w:val="00A36018"/>
    <w:rsid w:val="00A3602B"/>
    <w:rsid w:val="00A36031"/>
    <w:rsid w:val="00A36053"/>
    <w:rsid w:val="00A3607A"/>
    <w:rsid w:val="00A360B2"/>
    <w:rsid w:val="00A3613C"/>
    <w:rsid w:val="00A36170"/>
    <w:rsid w:val="00A361B1"/>
    <w:rsid w:val="00A361D9"/>
    <w:rsid w:val="00A3620C"/>
    <w:rsid w:val="00A3629D"/>
    <w:rsid w:val="00A363EF"/>
    <w:rsid w:val="00A363F5"/>
    <w:rsid w:val="00A36440"/>
    <w:rsid w:val="00A3646C"/>
    <w:rsid w:val="00A3648F"/>
    <w:rsid w:val="00A36490"/>
    <w:rsid w:val="00A364C0"/>
    <w:rsid w:val="00A364C8"/>
    <w:rsid w:val="00A365BA"/>
    <w:rsid w:val="00A365F0"/>
    <w:rsid w:val="00A36606"/>
    <w:rsid w:val="00A3681F"/>
    <w:rsid w:val="00A36820"/>
    <w:rsid w:val="00A36821"/>
    <w:rsid w:val="00A36844"/>
    <w:rsid w:val="00A3684A"/>
    <w:rsid w:val="00A36866"/>
    <w:rsid w:val="00A36895"/>
    <w:rsid w:val="00A368A5"/>
    <w:rsid w:val="00A368D7"/>
    <w:rsid w:val="00A368F5"/>
    <w:rsid w:val="00A368F8"/>
    <w:rsid w:val="00A36959"/>
    <w:rsid w:val="00A36964"/>
    <w:rsid w:val="00A369D2"/>
    <w:rsid w:val="00A369F8"/>
    <w:rsid w:val="00A36A27"/>
    <w:rsid w:val="00A36A6B"/>
    <w:rsid w:val="00A36A9D"/>
    <w:rsid w:val="00A36AA7"/>
    <w:rsid w:val="00A36AB2"/>
    <w:rsid w:val="00A36AE1"/>
    <w:rsid w:val="00A36B17"/>
    <w:rsid w:val="00A36B47"/>
    <w:rsid w:val="00A36B8A"/>
    <w:rsid w:val="00A36BC1"/>
    <w:rsid w:val="00A36BED"/>
    <w:rsid w:val="00A36C61"/>
    <w:rsid w:val="00A36C6F"/>
    <w:rsid w:val="00A36C7F"/>
    <w:rsid w:val="00A36CDD"/>
    <w:rsid w:val="00A36DA8"/>
    <w:rsid w:val="00A36DCF"/>
    <w:rsid w:val="00A36E86"/>
    <w:rsid w:val="00A36E91"/>
    <w:rsid w:val="00A36ED2"/>
    <w:rsid w:val="00A36EDE"/>
    <w:rsid w:val="00A36EF9"/>
    <w:rsid w:val="00A36F35"/>
    <w:rsid w:val="00A36FB8"/>
    <w:rsid w:val="00A3700A"/>
    <w:rsid w:val="00A370BE"/>
    <w:rsid w:val="00A37107"/>
    <w:rsid w:val="00A3713B"/>
    <w:rsid w:val="00A3714F"/>
    <w:rsid w:val="00A37160"/>
    <w:rsid w:val="00A3719D"/>
    <w:rsid w:val="00A37214"/>
    <w:rsid w:val="00A3724E"/>
    <w:rsid w:val="00A37269"/>
    <w:rsid w:val="00A372D6"/>
    <w:rsid w:val="00A372DB"/>
    <w:rsid w:val="00A372F0"/>
    <w:rsid w:val="00A37324"/>
    <w:rsid w:val="00A37347"/>
    <w:rsid w:val="00A37394"/>
    <w:rsid w:val="00A3739B"/>
    <w:rsid w:val="00A373A2"/>
    <w:rsid w:val="00A373F9"/>
    <w:rsid w:val="00A37431"/>
    <w:rsid w:val="00A37476"/>
    <w:rsid w:val="00A37485"/>
    <w:rsid w:val="00A37487"/>
    <w:rsid w:val="00A374B0"/>
    <w:rsid w:val="00A374E7"/>
    <w:rsid w:val="00A37510"/>
    <w:rsid w:val="00A3751F"/>
    <w:rsid w:val="00A37558"/>
    <w:rsid w:val="00A375D9"/>
    <w:rsid w:val="00A375FB"/>
    <w:rsid w:val="00A3764D"/>
    <w:rsid w:val="00A376AD"/>
    <w:rsid w:val="00A376B3"/>
    <w:rsid w:val="00A376C0"/>
    <w:rsid w:val="00A37704"/>
    <w:rsid w:val="00A37745"/>
    <w:rsid w:val="00A37799"/>
    <w:rsid w:val="00A377A0"/>
    <w:rsid w:val="00A37810"/>
    <w:rsid w:val="00A37819"/>
    <w:rsid w:val="00A3789C"/>
    <w:rsid w:val="00A378AE"/>
    <w:rsid w:val="00A37983"/>
    <w:rsid w:val="00A379B0"/>
    <w:rsid w:val="00A37A1C"/>
    <w:rsid w:val="00A37A36"/>
    <w:rsid w:val="00A37A4D"/>
    <w:rsid w:val="00A37A83"/>
    <w:rsid w:val="00A37A92"/>
    <w:rsid w:val="00A37AD8"/>
    <w:rsid w:val="00A37AD9"/>
    <w:rsid w:val="00A37AE3"/>
    <w:rsid w:val="00A37B24"/>
    <w:rsid w:val="00A37B2F"/>
    <w:rsid w:val="00A37B54"/>
    <w:rsid w:val="00A37BDA"/>
    <w:rsid w:val="00A37BF5"/>
    <w:rsid w:val="00A37C8B"/>
    <w:rsid w:val="00A37C9D"/>
    <w:rsid w:val="00A37D2C"/>
    <w:rsid w:val="00A37D35"/>
    <w:rsid w:val="00A37E08"/>
    <w:rsid w:val="00A37E0F"/>
    <w:rsid w:val="00A37E10"/>
    <w:rsid w:val="00A37E2E"/>
    <w:rsid w:val="00A37E36"/>
    <w:rsid w:val="00A37E6D"/>
    <w:rsid w:val="00A37E86"/>
    <w:rsid w:val="00A37FE1"/>
    <w:rsid w:val="00A40088"/>
    <w:rsid w:val="00A40093"/>
    <w:rsid w:val="00A40094"/>
    <w:rsid w:val="00A400A0"/>
    <w:rsid w:val="00A40127"/>
    <w:rsid w:val="00A40128"/>
    <w:rsid w:val="00A40147"/>
    <w:rsid w:val="00A4015A"/>
    <w:rsid w:val="00A40165"/>
    <w:rsid w:val="00A40194"/>
    <w:rsid w:val="00A401BC"/>
    <w:rsid w:val="00A4022D"/>
    <w:rsid w:val="00A40289"/>
    <w:rsid w:val="00A402B9"/>
    <w:rsid w:val="00A40333"/>
    <w:rsid w:val="00A40369"/>
    <w:rsid w:val="00A4036A"/>
    <w:rsid w:val="00A40389"/>
    <w:rsid w:val="00A403B9"/>
    <w:rsid w:val="00A403FC"/>
    <w:rsid w:val="00A403FD"/>
    <w:rsid w:val="00A4040D"/>
    <w:rsid w:val="00A404BA"/>
    <w:rsid w:val="00A404E4"/>
    <w:rsid w:val="00A404ED"/>
    <w:rsid w:val="00A404FB"/>
    <w:rsid w:val="00A4053A"/>
    <w:rsid w:val="00A40546"/>
    <w:rsid w:val="00A40587"/>
    <w:rsid w:val="00A405B7"/>
    <w:rsid w:val="00A4060D"/>
    <w:rsid w:val="00A40613"/>
    <w:rsid w:val="00A40618"/>
    <w:rsid w:val="00A4063E"/>
    <w:rsid w:val="00A40673"/>
    <w:rsid w:val="00A40734"/>
    <w:rsid w:val="00A40802"/>
    <w:rsid w:val="00A40879"/>
    <w:rsid w:val="00A40915"/>
    <w:rsid w:val="00A4094F"/>
    <w:rsid w:val="00A40982"/>
    <w:rsid w:val="00A40A03"/>
    <w:rsid w:val="00A40A9F"/>
    <w:rsid w:val="00A40AD9"/>
    <w:rsid w:val="00A40B7B"/>
    <w:rsid w:val="00A40C67"/>
    <w:rsid w:val="00A40CDA"/>
    <w:rsid w:val="00A40CEC"/>
    <w:rsid w:val="00A40CEE"/>
    <w:rsid w:val="00A40D1A"/>
    <w:rsid w:val="00A40D89"/>
    <w:rsid w:val="00A40DAA"/>
    <w:rsid w:val="00A40F2F"/>
    <w:rsid w:val="00A40F3E"/>
    <w:rsid w:val="00A40F67"/>
    <w:rsid w:val="00A40F84"/>
    <w:rsid w:val="00A40FC4"/>
    <w:rsid w:val="00A41025"/>
    <w:rsid w:val="00A41028"/>
    <w:rsid w:val="00A41035"/>
    <w:rsid w:val="00A41036"/>
    <w:rsid w:val="00A41038"/>
    <w:rsid w:val="00A41057"/>
    <w:rsid w:val="00A410AD"/>
    <w:rsid w:val="00A410C3"/>
    <w:rsid w:val="00A41103"/>
    <w:rsid w:val="00A41111"/>
    <w:rsid w:val="00A4114A"/>
    <w:rsid w:val="00A41159"/>
    <w:rsid w:val="00A4115A"/>
    <w:rsid w:val="00A411A2"/>
    <w:rsid w:val="00A411B7"/>
    <w:rsid w:val="00A4120D"/>
    <w:rsid w:val="00A41245"/>
    <w:rsid w:val="00A41282"/>
    <w:rsid w:val="00A41292"/>
    <w:rsid w:val="00A412B6"/>
    <w:rsid w:val="00A41301"/>
    <w:rsid w:val="00A41314"/>
    <w:rsid w:val="00A4131D"/>
    <w:rsid w:val="00A4132F"/>
    <w:rsid w:val="00A41358"/>
    <w:rsid w:val="00A4138D"/>
    <w:rsid w:val="00A41395"/>
    <w:rsid w:val="00A4150A"/>
    <w:rsid w:val="00A41516"/>
    <w:rsid w:val="00A4151B"/>
    <w:rsid w:val="00A41545"/>
    <w:rsid w:val="00A41546"/>
    <w:rsid w:val="00A41556"/>
    <w:rsid w:val="00A41573"/>
    <w:rsid w:val="00A415AB"/>
    <w:rsid w:val="00A415C3"/>
    <w:rsid w:val="00A415DC"/>
    <w:rsid w:val="00A415F8"/>
    <w:rsid w:val="00A4160F"/>
    <w:rsid w:val="00A4161D"/>
    <w:rsid w:val="00A41620"/>
    <w:rsid w:val="00A4164B"/>
    <w:rsid w:val="00A416B9"/>
    <w:rsid w:val="00A41737"/>
    <w:rsid w:val="00A4181D"/>
    <w:rsid w:val="00A4188B"/>
    <w:rsid w:val="00A418A2"/>
    <w:rsid w:val="00A418A4"/>
    <w:rsid w:val="00A418F8"/>
    <w:rsid w:val="00A41945"/>
    <w:rsid w:val="00A419B3"/>
    <w:rsid w:val="00A419BE"/>
    <w:rsid w:val="00A419C7"/>
    <w:rsid w:val="00A419E5"/>
    <w:rsid w:val="00A41A35"/>
    <w:rsid w:val="00A41A43"/>
    <w:rsid w:val="00A41A49"/>
    <w:rsid w:val="00A41A4A"/>
    <w:rsid w:val="00A41A4E"/>
    <w:rsid w:val="00A41A6E"/>
    <w:rsid w:val="00A41A7F"/>
    <w:rsid w:val="00A41B23"/>
    <w:rsid w:val="00A41BD1"/>
    <w:rsid w:val="00A41C0E"/>
    <w:rsid w:val="00A41C64"/>
    <w:rsid w:val="00A41CA2"/>
    <w:rsid w:val="00A41CE1"/>
    <w:rsid w:val="00A41CE6"/>
    <w:rsid w:val="00A41D0A"/>
    <w:rsid w:val="00A41D60"/>
    <w:rsid w:val="00A41D6D"/>
    <w:rsid w:val="00A41D77"/>
    <w:rsid w:val="00A41DD5"/>
    <w:rsid w:val="00A41E08"/>
    <w:rsid w:val="00A41E2C"/>
    <w:rsid w:val="00A41F2C"/>
    <w:rsid w:val="00A41F37"/>
    <w:rsid w:val="00A41FBE"/>
    <w:rsid w:val="00A41FC8"/>
    <w:rsid w:val="00A41FCD"/>
    <w:rsid w:val="00A420AB"/>
    <w:rsid w:val="00A420F9"/>
    <w:rsid w:val="00A42128"/>
    <w:rsid w:val="00A42161"/>
    <w:rsid w:val="00A42261"/>
    <w:rsid w:val="00A4228B"/>
    <w:rsid w:val="00A42307"/>
    <w:rsid w:val="00A4233D"/>
    <w:rsid w:val="00A4234D"/>
    <w:rsid w:val="00A4237A"/>
    <w:rsid w:val="00A42390"/>
    <w:rsid w:val="00A42467"/>
    <w:rsid w:val="00A424FB"/>
    <w:rsid w:val="00A42570"/>
    <w:rsid w:val="00A42577"/>
    <w:rsid w:val="00A425C7"/>
    <w:rsid w:val="00A425D8"/>
    <w:rsid w:val="00A42606"/>
    <w:rsid w:val="00A4260A"/>
    <w:rsid w:val="00A4263A"/>
    <w:rsid w:val="00A42654"/>
    <w:rsid w:val="00A42662"/>
    <w:rsid w:val="00A4267C"/>
    <w:rsid w:val="00A426AB"/>
    <w:rsid w:val="00A426D9"/>
    <w:rsid w:val="00A4273C"/>
    <w:rsid w:val="00A4274A"/>
    <w:rsid w:val="00A4275F"/>
    <w:rsid w:val="00A42761"/>
    <w:rsid w:val="00A427A0"/>
    <w:rsid w:val="00A427C4"/>
    <w:rsid w:val="00A427CA"/>
    <w:rsid w:val="00A42842"/>
    <w:rsid w:val="00A42846"/>
    <w:rsid w:val="00A4284E"/>
    <w:rsid w:val="00A4285E"/>
    <w:rsid w:val="00A42863"/>
    <w:rsid w:val="00A42899"/>
    <w:rsid w:val="00A428AC"/>
    <w:rsid w:val="00A428D0"/>
    <w:rsid w:val="00A428FC"/>
    <w:rsid w:val="00A428FE"/>
    <w:rsid w:val="00A42924"/>
    <w:rsid w:val="00A4297B"/>
    <w:rsid w:val="00A429A8"/>
    <w:rsid w:val="00A42A5F"/>
    <w:rsid w:val="00A42A90"/>
    <w:rsid w:val="00A42AA8"/>
    <w:rsid w:val="00A42AD8"/>
    <w:rsid w:val="00A42B1A"/>
    <w:rsid w:val="00A42B9D"/>
    <w:rsid w:val="00A42BC4"/>
    <w:rsid w:val="00A42BFC"/>
    <w:rsid w:val="00A42C0D"/>
    <w:rsid w:val="00A42C3A"/>
    <w:rsid w:val="00A42C42"/>
    <w:rsid w:val="00A42C60"/>
    <w:rsid w:val="00A42C68"/>
    <w:rsid w:val="00A42CA3"/>
    <w:rsid w:val="00A42CF9"/>
    <w:rsid w:val="00A42D51"/>
    <w:rsid w:val="00A42D6A"/>
    <w:rsid w:val="00A42DFB"/>
    <w:rsid w:val="00A42E7C"/>
    <w:rsid w:val="00A42ED5"/>
    <w:rsid w:val="00A42EEB"/>
    <w:rsid w:val="00A42F4B"/>
    <w:rsid w:val="00A42F56"/>
    <w:rsid w:val="00A42F61"/>
    <w:rsid w:val="00A42FA4"/>
    <w:rsid w:val="00A42FB1"/>
    <w:rsid w:val="00A42FD4"/>
    <w:rsid w:val="00A42FE8"/>
    <w:rsid w:val="00A43003"/>
    <w:rsid w:val="00A4304A"/>
    <w:rsid w:val="00A43071"/>
    <w:rsid w:val="00A43086"/>
    <w:rsid w:val="00A43102"/>
    <w:rsid w:val="00A43150"/>
    <w:rsid w:val="00A43178"/>
    <w:rsid w:val="00A43189"/>
    <w:rsid w:val="00A43196"/>
    <w:rsid w:val="00A431F0"/>
    <w:rsid w:val="00A43229"/>
    <w:rsid w:val="00A432B1"/>
    <w:rsid w:val="00A432B7"/>
    <w:rsid w:val="00A432BD"/>
    <w:rsid w:val="00A432E7"/>
    <w:rsid w:val="00A432EC"/>
    <w:rsid w:val="00A432F4"/>
    <w:rsid w:val="00A43318"/>
    <w:rsid w:val="00A4331D"/>
    <w:rsid w:val="00A43322"/>
    <w:rsid w:val="00A4332C"/>
    <w:rsid w:val="00A4332D"/>
    <w:rsid w:val="00A4333B"/>
    <w:rsid w:val="00A433A4"/>
    <w:rsid w:val="00A433FF"/>
    <w:rsid w:val="00A4343F"/>
    <w:rsid w:val="00A434A2"/>
    <w:rsid w:val="00A434EE"/>
    <w:rsid w:val="00A4353A"/>
    <w:rsid w:val="00A4357B"/>
    <w:rsid w:val="00A435A6"/>
    <w:rsid w:val="00A435AE"/>
    <w:rsid w:val="00A435C3"/>
    <w:rsid w:val="00A435D3"/>
    <w:rsid w:val="00A435D5"/>
    <w:rsid w:val="00A43603"/>
    <w:rsid w:val="00A43624"/>
    <w:rsid w:val="00A43678"/>
    <w:rsid w:val="00A43680"/>
    <w:rsid w:val="00A436A7"/>
    <w:rsid w:val="00A436B6"/>
    <w:rsid w:val="00A43776"/>
    <w:rsid w:val="00A4377F"/>
    <w:rsid w:val="00A437E2"/>
    <w:rsid w:val="00A43805"/>
    <w:rsid w:val="00A4381A"/>
    <w:rsid w:val="00A43830"/>
    <w:rsid w:val="00A43832"/>
    <w:rsid w:val="00A438D3"/>
    <w:rsid w:val="00A4396A"/>
    <w:rsid w:val="00A4397F"/>
    <w:rsid w:val="00A439E1"/>
    <w:rsid w:val="00A43A68"/>
    <w:rsid w:val="00A43AC5"/>
    <w:rsid w:val="00A43B0A"/>
    <w:rsid w:val="00A43B3B"/>
    <w:rsid w:val="00A43B7A"/>
    <w:rsid w:val="00A43BD7"/>
    <w:rsid w:val="00A43BF9"/>
    <w:rsid w:val="00A43BFB"/>
    <w:rsid w:val="00A43C30"/>
    <w:rsid w:val="00A43CBF"/>
    <w:rsid w:val="00A43CCC"/>
    <w:rsid w:val="00A43CF3"/>
    <w:rsid w:val="00A43D19"/>
    <w:rsid w:val="00A43D28"/>
    <w:rsid w:val="00A43D4F"/>
    <w:rsid w:val="00A43D92"/>
    <w:rsid w:val="00A43DA5"/>
    <w:rsid w:val="00A43DAB"/>
    <w:rsid w:val="00A43DF6"/>
    <w:rsid w:val="00A43DFB"/>
    <w:rsid w:val="00A43E04"/>
    <w:rsid w:val="00A43E44"/>
    <w:rsid w:val="00A43EB7"/>
    <w:rsid w:val="00A43EB9"/>
    <w:rsid w:val="00A43EC0"/>
    <w:rsid w:val="00A43ED1"/>
    <w:rsid w:val="00A43F1A"/>
    <w:rsid w:val="00A43F37"/>
    <w:rsid w:val="00A43F89"/>
    <w:rsid w:val="00A44072"/>
    <w:rsid w:val="00A4407C"/>
    <w:rsid w:val="00A44089"/>
    <w:rsid w:val="00A440A7"/>
    <w:rsid w:val="00A440FD"/>
    <w:rsid w:val="00A4420E"/>
    <w:rsid w:val="00A4421B"/>
    <w:rsid w:val="00A4423A"/>
    <w:rsid w:val="00A4425A"/>
    <w:rsid w:val="00A44298"/>
    <w:rsid w:val="00A442C1"/>
    <w:rsid w:val="00A4432D"/>
    <w:rsid w:val="00A4432E"/>
    <w:rsid w:val="00A44352"/>
    <w:rsid w:val="00A44373"/>
    <w:rsid w:val="00A4437C"/>
    <w:rsid w:val="00A443EC"/>
    <w:rsid w:val="00A443F7"/>
    <w:rsid w:val="00A44417"/>
    <w:rsid w:val="00A4441E"/>
    <w:rsid w:val="00A44455"/>
    <w:rsid w:val="00A444FC"/>
    <w:rsid w:val="00A4451A"/>
    <w:rsid w:val="00A4452D"/>
    <w:rsid w:val="00A44561"/>
    <w:rsid w:val="00A44581"/>
    <w:rsid w:val="00A445BA"/>
    <w:rsid w:val="00A445D3"/>
    <w:rsid w:val="00A445ED"/>
    <w:rsid w:val="00A44659"/>
    <w:rsid w:val="00A4465F"/>
    <w:rsid w:val="00A4468B"/>
    <w:rsid w:val="00A446AF"/>
    <w:rsid w:val="00A446C4"/>
    <w:rsid w:val="00A446E3"/>
    <w:rsid w:val="00A44701"/>
    <w:rsid w:val="00A44708"/>
    <w:rsid w:val="00A44731"/>
    <w:rsid w:val="00A4476B"/>
    <w:rsid w:val="00A44785"/>
    <w:rsid w:val="00A447AA"/>
    <w:rsid w:val="00A44815"/>
    <w:rsid w:val="00A44864"/>
    <w:rsid w:val="00A44876"/>
    <w:rsid w:val="00A448D6"/>
    <w:rsid w:val="00A44920"/>
    <w:rsid w:val="00A44940"/>
    <w:rsid w:val="00A44976"/>
    <w:rsid w:val="00A4497F"/>
    <w:rsid w:val="00A449AE"/>
    <w:rsid w:val="00A449F0"/>
    <w:rsid w:val="00A44A04"/>
    <w:rsid w:val="00A44A30"/>
    <w:rsid w:val="00A44A31"/>
    <w:rsid w:val="00A44A62"/>
    <w:rsid w:val="00A44A89"/>
    <w:rsid w:val="00A44A93"/>
    <w:rsid w:val="00A44ABF"/>
    <w:rsid w:val="00A44AD3"/>
    <w:rsid w:val="00A44AD8"/>
    <w:rsid w:val="00A44B7F"/>
    <w:rsid w:val="00A44B9D"/>
    <w:rsid w:val="00A44BD5"/>
    <w:rsid w:val="00A44BEC"/>
    <w:rsid w:val="00A44C00"/>
    <w:rsid w:val="00A44C06"/>
    <w:rsid w:val="00A44C1F"/>
    <w:rsid w:val="00A44C37"/>
    <w:rsid w:val="00A44C41"/>
    <w:rsid w:val="00A44C4F"/>
    <w:rsid w:val="00A44C59"/>
    <w:rsid w:val="00A44C84"/>
    <w:rsid w:val="00A44CF1"/>
    <w:rsid w:val="00A44D31"/>
    <w:rsid w:val="00A44D33"/>
    <w:rsid w:val="00A44D8C"/>
    <w:rsid w:val="00A44D8F"/>
    <w:rsid w:val="00A44DAA"/>
    <w:rsid w:val="00A44E12"/>
    <w:rsid w:val="00A44E54"/>
    <w:rsid w:val="00A44F3D"/>
    <w:rsid w:val="00A44F4E"/>
    <w:rsid w:val="00A44FF5"/>
    <w:rsid w:val="00A45038"/>
    <w:rsid w:val="00A45074"/>
    <w:rsid w:val="00A4509C"/>
    <w:rsid w:val="00A450E2"/>
    <w:rsid w:val="00A450FD"/>
    <w:rsid w:val="00A4510E"/>
    <w:rsid w:val="00A4512F"/>
    <w:rsid w:val="00A4514C"/>
    <w:rsid w:val="00A45165"/>
    <w:rsid w:val="00A45196"/>
    <w:rsid w:val="00A451B2"/>
    <w:rsid w:val="00A451BB"/>
    <w:rsid w:val="00A4522D"/>
    <w:rsid w:val="00A45268"/>
    <w:rsid w:val="00A4528E"/>
    <w:rsid w:val="00A452FD"/>
    <w:rsid w:val="00A452FF"/>
    <w:rsid w:val="00A4530A"/>
    <w:rsid w:val="00A4530C"/>
    <w:rsid w:val="00A45327"/>
    <w:rsid w:val="00A45373"/>
    <w:rsid w:val="00A4537F"/>
    <w:rsid w:val="00A45418"/>
    <w:rsid w:val="00A4545B"/>
    <w:rsid w:val="00A4550C"/>
    <w:rsid w:val="00A45561"/>
    <w:rsid w:val="00A45574"/>
    <w:rsid w:val="00A45579"/>
    <w:rsid w:val="00A45604"/>
    <w:rsid w:val="00A45607"/>
    <w:rsid w:val="00A45635"/>
    <w:rsid w:val="00A45679"/>
    <w:rsid w:val="00A45680"/>
    <w:rsid w:val="00A456B5"/>
    <w:rsid w:val="00A456C4"/>
    <w:rsid w:val="00A456C9"/>
    <w:rsid w:val="00A456DE"/>
    <w:rsid w:val="00A456EA"/>
    <w:rsid w:val="00A45719"/>
    <w:rsid w:val="00A45740"/>
    <w:rsid w:val="00A458BF"/>
    <w:rsid w:val="00A458E0"/>
    <w:rsid w:val="00A45913"/>
    <w:rsid w:val="00A4593E"/>
    <w:rsid w:val="00A4594F"/>
    <w:rsid w:val="00A45968"/>
    <w:rsid w:val="00A459B5"/>
    <w:rsid w:val="00A459D0"/>
    <w:rsid w:val="00A459EB"/>
    <w:rsid w:val="00A45A17"/>
    <w:rsid w:val="00A45A7C"/>
    <w:rsid w:val="00A45AF5"/>
    <w:rsid w:val="00A45B6B"/>
    <w:rsid w:val="00A45B70"/>
    <w:rsid w:val="00A45BA4"/>
    <w:rsid w:val="00A45BCE"/>
    <w:rsid w:val="00A45C3E"/>
    <w:rsid w:val="00A45CCB"/>
    <w:rsid w:val="00A45D85"/>
    <w:rsid w:val="00A45D97"/>
    <w:rsid w:val="00A45DB0"/>
    <w:rsid w:val="00A45DCE"/>
    <w:rsid w:val="00A45E59"/>
    <w:rsid w:val="00A45E66"/>
    <w:rsid w:val="00A45E78"/>
    <w:rsid w:val="00A45F28"/>
    <w:rsid w:val="00A45FB9"/>
    <w:rsid w:val="00A45FFE"/>
    <w:rsid w:val="00A4601C"/>
    <w:rsid w:val="00A46075"/>
    <w:rsid w:val="00A460AE"/>
    <w:rsid w:val="00A460D1"/>
    <w:rsid w:val="00A46176"/>
    <w:rsid w:val="00A461D0"/>
    <w:rsid w:val="00A461DA"/>
    <w:rsid w:val="00A4620C"/>
    <w:rsid w:val="00A46232"/>
    <w:rsid w:val="00A4627C"/>
    <w:rsid w:val="00A46299"/>
    <w:rsid w:val="00A462FC"/>
    <w:rsid w:val="00A4634B"/>
    <w:rsid w:val="00A463D8"/>
    <w:rsid w:val="00A463F5"/>
    <w:rsid w:val="00A46413"/>
    <w:rsid w:val="00A4643D"/>
    <w:rsid w:val="00A46474"/>
    <w:rsid w:val="00A464AE"/>
    <w:rsid w:val="00A464BF"/>
    <w:rsid w:val="00A464EA"/>
    <w:rsid w:val="00A4653B"/>
    <w:rsid w:val="00A46561"/>
    <w:rsid w:val="00A4656E"/>
    <w:rsid w:val="00A46578"/>
    <w:rsid w:val="00A4657F"/>
    <w:rsid w:val="00A465F2"/>
    <w:rsid w:val="00A46602"/>
    <w:rsid w:val="00A46610"/>
    <w:rsid w:val="00A4662A"/>
    <w:rsid w:val="00A46682"/>
    <w:rsid w:val="00A46690"/>
    <w:rsid w:val="00A4677B"/>
    <w:rsid w:val="00A46789"/>
    <w:rsid w:val="00A4678A"/>
    <w:rsid w:val="00A467C9"/>
    <w:rsid w:val="00A46805"/>
    <w:rsid w:val="00A4684E"/>
    <w:rsid w:val="00A46856"/>
    <w:rsid w:val="00A468C5"/>
    <w:rsid w:val="00A468D5"/>
    <w:rsid w:val="00A468FD"/>
    <w:rsid w:val="00A46927"/>
    <w:rsid w:val="00A469B7"/>
    <w:rsid w:val="00A46A08"/>
    <w:rsid w:val="00A46A0A"/>
    <w:rsid w:val="00A46A21"/>
    <w:rsid w:val="00A46A28"/>
    <w:rsid w:val="00A46ADD"/>
    <w:rsid w:val="00A46B0A"/>
    <w:rsid w:val="00A46B70"/>
    <w:rsid w:val="00A46C27"/>
    <w:rsid w:val="00A46CE9"/>
    <w:rsid w:val="00A46D1E"/>
    <w:rsid w:val="00A46D22"/>
    <w:rsid w:val="00A46D3F"/>
    <w:rsid w:val="00A46E09"/>
    <w:rsid w:val="00A46E1E"/>
    <w:rsid w:val="00A46E3B"/>
    <w:rsid w:val="00A46E45"/>
    <w:rsid w:val="00A46ECE"/>
    <w:rsid w:val="00A46ED3"/>
    <w:rsid w:val="00A46F27"/>
    <w:rsid w:val="00A46F60"/>
    <w:rsid w:val="00A46FB1"/>
    <w:rsid w:val="00A46FD7"/>
    <w:rsid w:val="00A46FF8"/>
    <w:rsid w:val="00A47042"/>
    <w:rsid w:val="00A47045"/>
    <w:rsid w:val="00A470B7"/>
    <w:rsid w:val="00A4716D"/>
    <w:rsid w:val="00A47193"/>
    <w:rsid w:val="00A471D2"/>
    <w:rsid w:val="00A472D5"/>
    <w:rsid w:val="00A47310"/>
    <w:rsid w:val="00A4732E"/>
    <w:rsid w:val="00A4737D"/>
    <w:rsid w:val="00A4739F"/>
    <w:rsid w:val="00A473F3"/>
    <w:rsid w:val="00A47442"/>
    <w:rsid w:val="00A47459"/>
    <w:rsid w:val="00A47461"/>
    <w:rsid w:val="00A47488"/>
    <w:rsid w:val="00A4752A"/>
    <w:rsid w:val="00A475BD"/>
    <w:rsid w:val="00A475D8"/>
    <w:rsid w:val="00A47627"/>
    <w:rsid w:val="00A47628"/>
    <w:rsid w:val="00A4766B"/>
    <w:rsid w:val="00A476C8"/>
    <w:rsid w:val="00A476F2"/>
    <w:rsid w:val="00A47738"/>
    <w:rsid w:val="00A47751"/>
    <w:rsid w:val="00A478A5"/>
    <w:rsid w:val="00A47912"/>
    <w:rsid w:val="00A47969"/>
    <w:rsid w:val="00A479D5"/>
    <w:rsid w:val="00A47A03"/>
    <w:rsid w:val="00A47A27"/>
    <w:rsid w:val="00A47A2C"/>
    <w:rsid w:val="00A47A44"/>
    <w:rsid w:val="00A47A64"/>
    <w:rsid w:val="00A47AAE"/>
    <w:rsid w:val="00A47AB6"/>
    <w:rsid w:val="00A47AC2"/>
    <w:rsid w:val="00A47B15"/>
    <w:rsid w:val="00A47B23"/>
    <w:rsid w:val="00A47B38"/>
    <w:rsid w:val="00A47C0E"/>
    <w:rsid w:val="00A47C5C"/>
    <w:rsid w:val="00A47CE2"/>
    <w:rsid w:val="00A47D0C"/>
    <w:rsid w:val="00A47DE6"/>
    <w:rsid w:val="00A47E59"/>
    <w:rsid w:val="00A47EAE"/>
    <w:rsid w:val="00A47EE3"/>
    <w:rsid w:val="00A47EE9"/>
    <w:rsid w:val="00A47F25"/>
    <w:rsid w:val="00A47F56"/>
    <w:rsid w:val="00A47FDB"/>
    <w:rsid w:val="00A47FDE"/>
    <w:rsid w:val="00A5000D"/>
    <w:rsid w:val="00A50028"/>
    <w:rsid w:val="00A50037"/>
    <w:rsid w:val="00A50063"/>
    <w:rsid w:val="00A5008E"/>
    <w:rsid w:val="00A50095"/>
    <w:rsid w:val="00A500B0"/>
    <w:rsid w:val="00A500B8"/>
    <w:rsid w:val="00A500D9"/>
    <w:rsid w:val="00A500DC"/>
    <w:rsid w:val="00A5012A"/>
    <w:rsid w:val="00A50130"/>
    <w:rsid w:val="00A5018E"/>
    <w:rsid w:val="00A501A6"/>
    <w:rsid w:val="00A501E0"/>
    <w:rsid w:val="00A5026D"/>
    <w:rsid w:val="00A50287"/>
    <w:rsid w:val="00A502D9"/>
    <w:rsid w:val="00A50303"/>
    <w:rsid w:val="00A50304"/>
    <w:rsid w:val="00A50385"/>
    <w:rsid w:val="00A503A4"/>
    <w:rsid w:val="00A503C7"/>
    <w:rsid w:val="00A50426"/>
    <w:rsid w:val="00A5042D"/>
    <w:rsid w:val="00A504B8"/>
    <w:rsid w:val="00A504FC"/>
    <w:rsid w:val="00A50536"/>
    <w:rsid w:val="00A5054B"/>
    <w:rsid w:val="00A505A6"/>
    <w:rsid w:val="00A50607"/>
    <w:rsid w:val="00A5069F"/>
    <w:rsid w:val="00A50760"/>
    <w:rsid w:val="00A507D1"/>
    <w:rsid w:val="00A50830"/>
    <w:rsid w:val="00A5083D"/>
    <w:rsid w:val="00A50867"/>
    <w:rsid w:val="00A5086D"/>
    <w:rsid w:val="00A508D2"/>
    <w:rsid w:val="00A508EB"/>
    <w:rsid w:val="00A50988"/>
    <w:rsid w:val="00A5098E"/>
    <w:rsid w:val="00A50A21"/>
    <w:rsid w:val="00A50A29"/>
    <w:rsid w:val="00A50A50"/>
    <w:rsid w:val="00A50A75"/>
    <w:rsid w:val="00A50A80"/>
    <w:rsid w:val="00A50A92"/>
    <w:rsid w:val="00A50AAF"/>
    <w:rsid w:val="00A50ACD"/>
    <w:rsid w:val="00A50B56"/>
    <w:rsid w:val="00A50B9E"/>
    <w:rsid w:val="00A50BF2"/>
    <w:rsid w:val="00A50C68"/>
    <w:rsid w:val="00A50CB9"/>
    <w:rsid w:val="00A50CF6"/>
    <w:rsid w:val="00A50D28"/>
    <w:rsid w:val="00A50DAD"/>
    <w:rsid w:val="00A50DBB"/>
    <w:rsid w:val="00A50E61"/>
    <w:rsid w:val="00A50E91"/>
    <w:rsid w:val="00A50EBB"/>
    <w:rsid w:val="00A50EDB"/>
    <w:rsid w:val="00A50EEE"/>
    <w:rsid w:val="00A50F0A"/>
    <w:rsid w:val="00A50F2D"/>
    <w:rsid w:val="00A50F95"/>
    <w:rsid w:val="00A50FD6"/>
    <w:rsid w:val="00A51014"/>
    <w:rsid w:val="00A5103F"/>
    <w:rsid w:val="00A5104C"/>
    <w:rsid w:val="00A51072"/>
    <w:rsid w:val="00A5109B"/>
    <w:rsid w:val="00A510D0"/>
    <w:rsid w:val="00A510E1"/>
    <w:rsid w:val="00A5110D"/>
    <w:rsid w:val="00A51121"/>
    <w:rsid w:val="00A5115D"/>
    <w:rsid w:val="00A5119F"/>
    <w:rsid w:val="00A511DB"/>
    <w:rsid w:val="00A511F1"/>
    <w:rsid w:val="00A511F4"/>
    <w:rsid w:val="00A51246"/>
    <w:rsid w:val="00A51257"/>
    <w:rsid w:val="00A5125E"/>
    <w:rsid w:val="00A51272"/>
    <w:rsid w:val="00A512E2"/>
    <w:rsid w:val="00A51335"/>
    <w:rsid w:val="00A513B0"/>
    <w:rsid w:val="00A51496"/>
    <w:rsid w:val="00A514CE"/>
    <w:rsid w:val="00A514FF"/>
    <w:rsid w:val="00A51552"/>
    <w:rsid w:val="00A515AB"/>
    <w:rsid w:val="00A515BD"/>
    <w:rsid w:val="00A515D4"/>
    <w:rsid w:val="00A515F0"/>
    <w:rsid w:val="00A5160E"/>
    <w:rsid w:val="00A5161F"/>
    <w:rsid w:val="00A51629"/>
    <w:rsid w:val="00A5164E"/>
    <w:rsid w:val="00A51684"/>
    <w:rsid w:val="00A516B9"/>
    <w:rsid w:val="00A516C5"/>
    <w:rsid w:val="00A516C6"/>
    <w:rsid w:val="00A51738"/>
    <w:rsid w:val="00A517C7"/>
    <w:rsid w:val="00A517D2"/>
    <w:rsid w:val="00A517E8"/>
    <w:rsid w:val="00A517ED"/>
    <w:rsid w:val="00A5180C"/>
    <w:rsid w:val="00A5183A"/>
    <w:rsid w:val="00A51860"/>
    <w:rsid w:val="00A518B6"/>
    <w:rsid w:val="00A51944"/>
    <w:rsid w:val="00A51946"/>
    <w:rsid w:val="00A5194B"/>
    <w:rsid w:val="00A51950"/>
    <w:rsid w:val="00A51964"/>
    <w:rsid w:val="00A5198F"/>
    <w:rsid w:val="00A51996"/>
    <w:rsid w:val="00A519C2"/>
    <w:rsid w:val="00A51A42"/>
    <w:rsid w:val="00A51A61"/>
    <w:rsid w:val="00A51A6E"/>
    <w:rsid w:val="00A51A92"/>
    <w:rsid w:val="00A51A96"/>
    <w:rsid w:val="00A51AA6"/>
    <w:rsid w:val="00A51ABE"/>
    <w:rsid w:val="00A51AC1"/>
    <w:rsid w:val="00A51B0C"/>
    <w:rsid w:val="00A51B48"/>
    <w:rsid w:val="00A51B67"/>
    <w:rsid w:val="00A51B9E"/>
    <w:rsid w:val="00A51BCF"/>
    <w:rsid w:val="00A51C03"/>
    <w:rsid w:val="00A51C0A"/>
    <w:rsid w:val="00A51C9B"/>
    <w:rsid w:val="00A51CC9"/>
    <w:rsid w:val="00A51D68"/>
    <w:rsid w:val="00A51DA5"/>
    <w:rsid w:val="00A51DE7"/>
    <w:rsid w:val="00A51E25"/>
    <w:rsid w:val="00A51F4A"/>
    <w:rsid w:val="00A51F5D"/>
    <w:rsid w:val="00A51F8B"/>
    <w:rsid w:val="00A51FBF"/>
    <w:rsid w:val="00A51FF3"/>
    <w:rsid w:val="00A5200D"/>
    <w:rsid w:val="00A52031"/>
    <w:rsid w:val="00A5204B"/>
    <w:rsid w:val="00A52089"/>
    <w:rsid w:val="00A520AC"/>
    <w:rsid w:val="00A520B5"/>
    <w:rsid w:val="00A52172"/>
    <w:rsid w:val="00A5218F"/>
    <w:rsid w:val="00A521F9"/>
    <w:rsid w:val="00A521FD"/>
    <w:rsid w:val="00A52261"/>
    <w:rsid w:val="00A52268"/>
    <w:rsid w:val="00A5227B"/>
    <w:rsid w:val="00A52296"/>
    <w:rsid w:val="00A522AC"/>
    <w:rsid w:val="00A522DC"/>
    <w:rsid w:val="00A522E3"/>
    <w:rsid w:val="00A52307"/>
    <w:rsid w:val="00A52372"/>
    <w:rsid w:val="00A523CC"/>
    <w:rsid w:val="00A523F3"/>
    <w:rsid w:val="00A5245C"/>
    <w:rsid w:val="00A52483"/>
    <w:rsid w:val="00A524EE"/>
    <w:rsid w:val="00A524F5"/>
    <w:rsid w:val="00A5251E"/>
    <w:rsid w:val="00A52520"/>
    <w:rsid w:val="00A52539"/>
    <w:rsid w:val="00A52542"/>
    <w:rsid w:val="00A5254A"/>
    <w:rsid w:val="00A52584"/>
    <w:rsid w:val="00A525A1"/>
    <w:rsid w:val="00A52674"/>
    <w:rsid w:val="00A5269F"/>
    <w:rsid w:val="00A526AC"/>
    <w:rsid w:val="00A526EB"/>
    <w:rsid w:val="00A526F5"/>
    <w:rsid w:val="00A5270F"/>
    <w:rsid w:val="00A52794"/>
    <w:rsid w:val="00A527B3"/>
    <w:rsid w:val="00A52855"/>
    <w:rsid w:val="00A528BD"/>
    <w:rsid w:val="00A528CC"/>
    <w:rsid w:val="00A528E1"/>
    <w:rsid w:val="00A528F5"/>
    <w:rsid w:val="00A52927"/>
    <w:rsid w:val="00A5294F"/>
    <w:rsid w:val="00A529B1"/>
    <w:rsid w:val="00A52A0D"/>
    <w:rsid w:val="00A52A47"/>
    <w:rsid w:val="00A52A54"/>
    <w:rsid w:val="00A52AEC"/>
    <w:rsid w:val="00A52B01"/>
    <w:rsid w:val="00A52B3B"/>
    <w:rsid w:val="00A52B46"/>
    <w:rsid w:val="00A52B5D"/>
    <w:rsid w:val="00A52B76"/>
    <w:rsid w:val="00A52BD9"/>
    <w:rsid w:val="00A52BF3"/>
    <w:rsid w:val="00A52C24"/>
    <w:rsid w:val="00A52C2A"/>
    <w:rsid w:val="00A52C2D"/>
    <w:rsid w:val="00A52C54"/>
    <w:rsid w:val="00A52C6C"/>
    <w:rsid w:val="00A52CB7"/>
    <w:rsid w:val="00A52CE7"/>
    <w:rsid w:val="00A52D8B"/>
    <w:rsid w:val="00A52E1C"/>
    <w:rsid w:val="00A52E3F"/>
    <w:rsid w:val="00A52E46"/>
    <w:rsid w:val="00A52E5E"/>
    <w:rsid w:val="00A52E61"/>
    <w:rsid w:val="00A52E65"/>
    <w:rsid w:val="00A52F04"/>
    <w:rsid w:val="00A52F49"/>
    <w:rsid w:val="00A52F69"/>
    <w:rsid w:val="00A53021"/>
    <w:rsid w:val="00A5305A"/>
    <w:rsid w:val="00A5307F"/>
    <w:rsid w:val="00A5315E"/>
    <w:rsid w:val="00A53190"/>
    <w:rsid w:val="00A531DA"/>
    <w:rsid w:val="00A532EA"/>
    <w:rsid w:val="00A532FC"/>
    <w:rsid w:val="00A532FF"/>
    <w:rsid w:val="00A533C3"/>
    <w:rsid w:val="00A5344E"/>
    <w:rsid w:val="00A5347F"/>
    <w:rsid w:val="00A534F9"/>
    <w:rsid w:val="00A5351E"/>
    <w:rsid w:val="00A5359E"/>
    <w:rsid w:val="00A53620"/>
    <w:rsid w:val="00A53628"/>
    <w:rsid w:val="00A53672"/>
    <w:rsid w:val="00A536B3"/>
    <w:rsid w:val="00A53703"/>
    <w:rsid w:val="00A53705"/>
    <w:rsid w:val="00A53732"/>
    <w:rsid w:val="00A5376F"/>
    <w:rsid w:val="00A537D1"/>
    <w:rsid w:val="00A537E9"/>
    <w:rsid w:val="00A537F0"/>
    <w:rsid w:val="00A53818"/>
    <w:rsid w:val="00A53832"/>
    <w:rsid w:val="00A5385F"/>
    <w:rsid w:val="00A538CD"/>
    <w:rsid w:val="00A5391A"/>
    <w:rsid w:val="00A5393A"/>
    <w:rsid w:val="00A53980"/>
    <w:rsid w:val="00A539A8"/>
    <w:rsid w:val="00A539D5"/>
    <w:rsid w:val="00A53A1C"/>
    <w:rsid w:val="00A53A71"/>
    <w:rsid w:val="00A53B11"/>
    <w:rsid w:val="00A53B3E"/>
    <w:rsid w:val="00A53B69"/>
    <w:rsid w:val="00A53BB5"/>
    <w:rsid w:val="00A53BBB"/>
    <w:rsid w:val="00A53BD8"/>
    <w:rsid w:val="00A53C36"/>
    <w:rsid w:val="00A53C86"/>
    <w:rsid w:val="00A53CF6"/>
    <w:rsid w:val="00A53D24"/>
    <w:rsid w:val="00A53D98"/>
    <w:rsid w:val="00A53DFB"/>
    <w:rsid w:val="00A53E0D"/>
    <w:rsid w:val="00A53E1F"/>
    <w:rsid w:val="00A53E24"/>
    <w:rsid w:val="00A53EC8"/>
    <w:rsid w:val="00A53ED3"/>
    <w:rsid w:val="00A53F6D"/>
    <w:rsid w:val="00A53FE9"/>
    <w:rsid w:val="00A54022"/>
    <w:rsid w:val="00A54060"/>
    <w:rsid w:val="00A54156"/>
    <w:rsid w:val="00A54191"/>
    <w:rsid w:val="00A5424B"/>
    <w:rsid w:val="00A5426E"/>
    <w:rsid w:val="00A542B7"/>
    <w:rsid w:val="00A542E0"/>
    <w:rsid w:val="00A542EC"/>
    <w:rsid w:val="00A54300"/>
    <w:rsid w:val="00A54303"/>
    <w:rsid w:val="00A5431C"/>
    <w:rsid w:val="00A54348"/>
    <w:rsid w:val="00A5437F"/>
    <w:rsid w:val="00A543A8"/>
    <w:rsid w:val="00A543C6"/>
    <w:rsid w:val="00A54419"/>
    <w:rsid w:val="00A54421"/>
    <w:rsid w:val="00A54423"/>
    <w:rsid w:val="00A54434"/>
    <w:rsid w:val="00A54448"/>
    <w:rsid w:val="00A54462"/>
    <w:rsid w:val="00A5448F"/>
    <w:rsid w:val="00A544BC"/>
    <w:rsid w:val="00A54583"/>
    <w:rsid w:val="00A545E3"/>
    <w:rsid w:val="00A5460D"/>
    <w:rsid w:val="00A54621"/>
    <w:rsid w:val="00A5469B"/>
    <w:rsid w:val="00A546B3"/>
    <w:rsid w:val="00A54751"/>
    <w:rsid w:val="00A5478E"/>
    <w:rsid w:val="00A547CB"/>
    <w:rsid w:val="00A54847"/>
    <w:rsid w:val="00A548FE"/>
    <w:rsid w:val="00A54938"/>
    <w:rsid w:val="00A5496D"/>
    <w:rsid w:val="00A54992"/>
    <w:rsid w:val="00A549A7"/>
    <w:rsid w:val="00A549B1"/>
    <w:rsid w:val="00A549C8"/>
    <w:rsid w:val="00A549D1"/>
    <w:rsid w:val="00A549E2"/>
    <w:rsid w:val="00A549E5"/>
    <w:rsid w:val="00A54AFA"/>
    <w:rsid w:val="00A54B00"/>
    <w:rsid w:val="00A54B75"/>
    <w:rsid w:val="00A54B82"/>
    <w:rsid w:val="00A54BB7"/>
    <w:rsid w:val="00A54DBE"/>
    <w:rsid w:val="00A54DF6"/>
    <w:rsid w:val="00A54E6D"/>
    <w:rsid w:val="00A54E85"/>
    <w:rsid w:val="00A54E90"/>
    <w:rsid w:val="00A54EC8"/>
    <w:rsid w:val="00A54EF9"/>
    <w:rsid w:val="00A54F12"/>
    <w:rsid w:val="00A54F5A"/>
    <w:rsid w:val="00A54FBA"/>
    <w:rsid w:val="00A54FBE"/>
    <w:rsid w:val="00A54FC6"/>
    <w:rsid w:val="00A54FFE"/>
    <w:rsid w:val="00A55016"/>
    <w:rsid w:val="00A5505C"/>
    <w:rsid w:val="00A5505E"/>
    <w:rsid w:val="00A550CA"/>
    <w:rsid w:val="00A55126"/>
    <w:rsid w:val="00A551CA"/>
    <w:rsid w:val="00A552AF"/>
    <w:rsid w:val="00A552D0"/>
    <w:rsid w:val="00A55375"/>
    <w:rsid w:val="00A5538A"/>
    <w:rsid w:val="00A553CF"/>
    <w:rsid w:val="00A5540E"/>
    <w:rsid w:val="00A55485"/>
    <w:rsid w:val="00A55488"/>
    <w:rsid w:val="00A55567"/>
    <w:rsid w:val="00A555E3"/>
    <w:rsid w:val="00A555EF"/>
    <w:rsid w:val="00A5564A"/>
    <w:rsid w:val="00A5564F"/>
    <w:rsid w:val="00A55657"/>
    <w:rsid w:val="00A55671"/>
    <w:rsid w:val="00A556A1"/>
    <w:rsid w:val="00A556C1"/>
    <w:rsid w:val="00A5571A"/>
    <w:rsid w:val="00A55757"/>
    <w:rsid w:val="00A55794"/>
    <w:rsid w:val="00A557B1"/>
    <w:rsid w:val="00A557E6"/>
    <w:rsid w:val="00A55812"/>
    <w:rsid w:val="00A5581F"/>
    <w:rsid w:val="00A55843"/>
    <w:rsid w:val="00A55876"/>
    <w:rsid w:val="00A558A5"/>
    <w:rsid w:val="00A558BE"/>
    <w:rsid w:val="00A5590D"/>
    <w:rsid w:val="00A55919"/>
    <w:rsid w:val="00A55939"/>
    <w:rsid w:val="00A55A33"/>
    <w:rsid w:val="00A55A4C"/>
    <w:rsid w:val="00A55A6C"/>
    <w:rsid w:val="00A55AA7"/>
    <w:rsid w:val="00A55ACC"/>
    <w:rsid w:val="00A55AD0"/>
    <w:rsid w:val="00A55AE2"/>
    <w:rsid w:val="00A55B54"/>
    <w:rsid w:val="00A55B97"/>
    <w:rsid w:val="00A55BA1"/>
    <w:rsid w:val="00A55BE4"/>
    <w:rsid w:val="00A55C09"/>
    <w:rsid w:val="00A55C17"/>
    <w:rsid w:val="00A55C42"/>
    <w:rsid w:val="00A55C58"/>
    <w:rsid w:val="00A55C92"/>
    <w:rsid w:val="00A55D0D"/>
    <w:rsid w:val="00A55D1F"/>
    <w:rsid w:val="00A55D48"/>
    <w:rsid w:val="00A55D8C"/>
    <w:rsid w:val="00A55D9A"/>
    <w:rsid w:val="00A55DBB"/>
    <w:rsid w:val="00A55E6D"/>
    <w:rsid w:val="00A55E75"/>
    <w:rsid w:val="00A55EB2"/>
    <w:rsid w:val="00A55F9B"/>
    <w:rsid w:val="00A55FA5"/>
    <w:rsid w:val="00A56028"/>
    <w:rsid w:val="00A56095"/>
    <w:rsid w:val="00A560DD"/>
    <w:rsid w:val="00A560E9"/>
    <w:rsid w:val="00A560EC"/>
    <w:rsid w:val="00A5610D"/>
    <w:rsid w:val="00A56180"/>
    <w:rsid w:val="00A5619A"/>
    <w:rsid w:val="00A5619D"/>
    <w:rsid w:val="00A56246"/>
    <w:rsid w:val="00A5625A"/>
    <w:rsid w:val="00A56276"/>
    <w:rsid w:val="00A5632A"/>
    <w:rsid w:val="00A5632D"/>
    <w:rsid w:val="00A56348"/>
    <w:rsid w:val="00A56355"/>
    <w:rsid w:val="00A56357"/>
    <w:rsid w:val="00A56369"/>
    <w:rsid w:val="00A56387"/>
    <w:rsid w:val="00A5639F"/>
    <w:rsid w:val="00A563D4"/>
    <w:rsid w:val="00A5640C"/>
    <w:rsid w:val="00A56449"/>
    <w:rsid w:val="00A56458"/>
    <w:rsid w:val="00A5645B"/>
    <w:rsid w:val="00A56480"/>
    <w:rsid w:val="00A564DD"/>
    <w:rsid w:val="00A564FA"/>
    <w:rsid w:val="00A565BD"/>
    <w:rsid w:val="00A5660B"/>
    <w:rsid w:val="00A56618"/>
    <w:rsid w:val="00A56632"/>
    <w:rsid w:val="00A56636"/>
    <w:rsid w:val="00A566A7"/>
    <w:rsid w:val="00A566F2"/>
    <w:rsid w:val="00A56734"/>
    <w:rsid w:val="00A56794"/>
    <w:rsid w:val="00A56798"/>
    <w:rsid w:val="00A5679F"/>
    <w:rsid w:val="00A567A1"/>
    <w:rsid w:val="00A567D7"/>
    <w:rsid w:val="00A567F9"/>
    <w:rsid w:val="00A5687B"/>
    <w:rsid w:val="00A568B5"/>
    <w:rsid w:val="00A568B8"/>
    <w:rsid w:val="00A568BE"/>
    <w:rsid w:val="00A568E0"/>
    <w:rsid w:val="00A5692D"/>
    <w:rsid w:val="00A56963"/>
    <w:rsid w:val="00A56977"/>
    <w:rsid w:val="00A56980"/>
    <w:rsid w:val="00A569A4"/>
    <w:rsid w:val="00A569E3"/>
    <w:rsid w:val="00A569E6"/>
    <w:rsid w:val="00A569FF"/>
    <w:rsid w:val="00A56A89"/>
    <w:rsid w:val="00A56A9F"/>
    <w:rsid w:val="00A56ABF"/>
    <w:rsid w:val="00A56ADF"/>
    <w:rsid w:val="00A56B0E"/>
    <w:rsid w:val="00A56B11"/>
    <w:rsid w:val="00A56B1A"/>
    <w:rsid w:val="00A56B33"/>
    <w:rsid w:val="00A56B3C"/>
    <w:rsid w:val="00A56B53"/>
    <w:rsid w:val="00A56BB5"/>
    <w:rsid w:val="00A56BFB"/>
    <w:rsid w:val="00A56C21"/>
    <w:rsid w:val="00A56C57"/>
    <w:rsid w:val="00A56C9A"/>
    <w:rsid w:val="00A56CC4"/>
    <w:rsid w:val="00A56D16"/>
    <w:rsid w:val="00A56DA4"/>
    <w:rsid w:val="00A56DC9"/>
    <w:rsid w:val="00A56E45"/>
    <w:rsid w:val="00A56E64"/>
    <w:rsid w:val="00A56E7A"/>
    <w:rsid w:val="00A56EE2"/>
    <w:rsid w:val="00A56EE4"/>
    <w:rsid w:val="00A56F69"/>
    <w:rsid w:val="00A56F99"/>
    <w:rsid w:val="00A56F9D"/>
    <w:rsid w:val="00A56FB7"/>
    <w:rsid w:val="00A56FB8"/>
    <w:rsid w:val="00A57026"/>
    <w:rsid w:val="00A5704A"/>
    <w:rsid w:val="00A57076"/>
    <w:rsid w:val="00A57089"/>
    <w:rsid w:val="00A571C7"/>
    <w:rsid w:val="00A571E4"/>
    <w:rsid w:val="00A57253"/>
    <w:rsid w:val="00A57286"/>
    <w:rsid w:val="00A5730A"/>
    <w:rsid w:val="00A57344"/>
    <w:rsid w:val="00A5734B"/>
    <w:rsid w:val="00A57370"/>
    <w:rsid w:val="00A57378"/>
    <w:rsid w:val="00A5739F"/>
    <w:rsid w:val="00A57403"/>
    <w:rsid w:val="00A5740C"/>
    <w:rsid w:val="00A574E6"/>
    <w:rsid w:val="00A57500"/>
    <w:rsid w:val="00A57507"/>
    <w:rsid w:val="00A57529"/>
    <w:rsid w:val="00A5759D"/>
    <w:rsid w:val="00A575CB"/>
    <w:rsid w:val="00A575CF"/>
    <w:rsid w:val="00A575FD"/>
    <w:rsid w:val="00A5760D"/>
    <w:rsid w:val="00A5763D"/>
    <w:rsid w:val="00A57666"/>
    <w:rsid w:val="00A5766D"/>
    <w:rsid w:val="00A57696"/>
    <w:rsid w:val="00A576BA"/>
    <w:rsid w:val="00A576C8"/>
    <w:rsid w:val="00A577A8"/>
    <w:rsid w:val="00A578C9"/>
    <w:rsid w:val="00A5792E"/>
    <w:rsid w:val="00A5797C"/>
    <w:rsid w:val="00A57A83"/>
    <w:rsid w:val="00A57AAA"/>
    <w:rsid w:val="00A57AAE"/>
    <w:rsid w:val="00A57B16"/>
    <w:rsid w:val="00A57B3D"/>
    <w:rsid w:val="00A57B69"/>
    <w:rsid w:val="00A57B98"/>
    <w:rsid w:val="00A57B9E"/>
    <w:rsid w:val="00A57BAD"/>
    <w:rsid w:val="00A57BBD"/>
    <w:rsid w:val="00A57C0F"/>
    <w:rsid w:val="00A57C30"/>
    <w:rsid w:val="00A57CBE"/>
    <w:rsid w:val="00A57CFE"/>
    <w:rsid w:val="00A57D0A"/>
    <w:rsid w:val="00A57D7E"/>
    <w:rsid w:val="00A57DB1"/>
    <w:rsid w:val="00A57DDC"/>
    <w:rsid w:val="00A57E51"/>
    <w:rsid w:val="00A57E52"/>
    <w:rsid w:val="00A57E8E"/>
    <w:rsid w:val="00A57E99"/>
    <w:rsid w:val="00A57ED3"/>
    <w:rsid w:val="00A57EE8"/>
    <w:rsid w:val="00A57F28"/>
    <w:rsid w:val="00A57F62"/>
    <w:rsid w:val="00A57F6F"/>
    <w:rsid w:val="00A57F8A"/>
    <w:rsid w:val="00A60043"/>
    <w:rsid w:val="00A60072"/>
    <w:rsid w:val="00A60077"/>
    <w:rsid w:val="00A600BB"/>
    <w:rsid w:val="00A60108"/>
    <w:rsid w:val="00A60160"/>
    <w:rsid w:val="00A6018A"/>
    <w:rsid w:val="00A60243"/>
    <w:rsid w:val="00A602ED"/>
    <w:rsid w:val="00A60334"/>
    <w:rsid w:val="00A6037C"/>
    <w:rsid w:val="00A603CB"/>
    <w:rsid w:val="00A6041D"/>
    <w:rsid w:val="00A60436"/>
    <w:rsid w:val="00A60488"/>
    <w:rsid w:val="00A60535"/>
    <w:rsid w:val="00A6056A"/>
    <w:rsid w:val="00A60619"/>
    <w:rsid w:val="00A6061F"/>
    <w:rsid w:val="00A6062F"/>
    <w:rsid w:val="00A606D6"/>
    <w:rsid w:val="00A606E1"/>
    <w:rsid w:val="00A60717"/>
    <w:rsid w:val="00A60724"/>
    <w:rsid w:val="00A60771"/>
    <w:rsid w:val="00A60823"/>
    <w:rsid w:val="00A60841"/>
    <w:rsid w:val="00A608A4"/>
    <w:rsid w:val="00A608E2"/>
    <w:rsid w:val="00A6090D"/>
    <w:rsid w:val="00A6092A"/>
    <w:rsid w:val="00A60970"/>
    <w:rsid w:val="00A60983"/>
    <w:rsid w:val="00A60999"/>
    <w:rsid w:val="00A60A27"/>
    <w:rsid w:val="00A60A52"/>
    <w:rsid w:val="00A60A68"/>
    <w:rsid w:val="00A60A98"/>
    <w:rsid w:val="00A60B09"/>
    <w:rsid w:val="00A60B3C"/>
    <w:rsid w:val="00A60B4D"/>
    <w:rsid w:val="00A60B54"/>
    <w:rsid w:val="00A60B8E"/>
    <w:rsid w:val="00A60BF6"/>
    <w:rsid w:val="00A60CD6"/>
    <w:rsid w:val="00A60D01"/>
    <w:rsid w:val="00A60D4A"/>
    <w:rsid w:val="00A60D92"/>
    <w:rsid w:val="00A60DC6"/>
    <w:rsid w:val="00A60E18"/>
    <w:rsid w:val="00A60E30"/>
    <w:rsid w:val="00A60E3A"/>
    <w:rsid w:val="00A60E8E"/>
    <w:rsid w:val="00A60E94"/>
    <w:rsid w:val="00A60ED6"/>
    <w:rsid w:val="00A61097"/>
    <w:rsid w:val="00A61099"/>
    <w:rsid w:val="00A610B2"/>
    <w:rsid w:val="00A610DF"/>
    <w:rsid w:val="00A610E3"/>
    <w:rsid w:val="00A61168"/>
    <w:rsid w:val="00A61199"/>
    <w:rsid w:val="00A611BB"/>
    <w:rsid w:val="00A611D3"/>
    <w:rsid w:val="00A611FB"/>
    <w:rsid w:val="00A6121A"/>
    <w:rsid w:val="00A6122B"/>
    <w:rsid w:val="00A6122F"/>
    <w:rsid w:val="00A61230"/>
    <w:rsid w:val="00A61232"/>
    <w:rsid w:val="00A61234"/>
    <w:rsid w:val="00A6125F"/>
    <w:rsid w:val="00A61287"/>
    <w:rsid w:val="00A612EA"/>
    <w:rsid w:val="00A61354"/>
    <w:rsid w:val="00A6139D"/>
    <w:rsid w:val="00A6140C"/>
    <w:rsid w:val="00A61447"/>
    <w:rsid w:val="00A6144F"/>
    <w:rsid w:val="00A61454"/>
    <w:rsid w:val="00A614AD"/>
    <w:rsid w:val="00A614F0"/>
    <w:rsid w:val="00A614F9"/>
    <w:rsid w:val="00A61500"/>
    <w:rsid w:val="00A61544"/>
    <w:rsid w:val="00A6156F"/>
    <w:rsid w:val="00A615D0"/>
    <w:rsid w:val="00A615FF"/>
    <w:rsid w:val="00A61609"/>
    <w:rsid w:val="00A61698"/>
    <w:rsid w:val="00A61719"/>
    <w:rsid w:val="00A61767"/>
    <w:rsid w:val="00A61779"/>
    <w:rsid w:val="00A617B9"/>
    <w:rsid w:val="00A617BA"/>
    <w:rsid w:val="00A617EE"/>
    <w:rsid w:val="00A617F7"/>
    <w:rsid w:val="00A61806"/>
    <w:rsid w:val="00A6183B"/>
    <w:rsid w:val="00A61865"/>
    <w:rsid w:val="00A618A8"/>
    <w:rsid w:val="00A618D9"/>
    <w:rsid w:val="00A61924"/>
    <w:rsid w:val="00A6196C"/>
    <w:rsid w:val="00A61978"/>
    <w:rsid w:val="00A619A0"/>
    <w:rsid w:val="00A619C8"/>
    <w:rsid w:val="00A619D2"/>
    <w:rsid w:val="00A61AA6"/>
    <w:rsid w:val="00A61B04"/>
    <w:rsid w:val="00A61B18"/>
    <w:rsid w:val="00A61B3D"/>
    <w:rsid w:val="00A61BF9"/>
    <w:rsid w:val="00A61C1E"/>
    <w:rsid w:val="00A61C2F"/>
    <w:rsid w:val="00A61C3E"/>
    <w:rsid w:val="00A61C46"/>
    <w:rsid w:val="00A61C5F"/>
    <w:rsid w:val="00A61C78"/>
    <w:rsid w:val="00A61CC9"/>
    <w:rsid w:val="00A61DA3"/>
    <w:rsid w:val="00A61DB7"/>
    <w:rsid w:val="00A61DDB"/>
    <w:rsid w:val="00A61E5B"/>
    <w:rsid w:val="00A61EA2"/>
    <w:rsid w:val="00A61EA6"/>
    <w:rsid w:val="00A61EA8"/>
    <w:rsid w:val="00A61EB0"/>
    <w:rsid w:val="00A61F04"/>
    <w:rsid w:val="00A61F46"/>
    <w:rsid w:val="00A61F6E"/>
    <w:rsid w:val="00A61F83"/>
    <w:rsid w:val="00A61F98"/>
    <w:rsid w:val="00A62018"/>
    <w:rsid w:val="00A62045"/>
    <w:rsid w:val="00A6204D"/>
    <w:rsid w:val="00A6206D"/>
    <w:rsid w:val="00A62080"/>
    <w:rsid w:val="00A620A5"/>
    <w:rsid w:val="00A620B0"/>
    <w:rsid w:val="00A620CC"/>
    <w:rsid w:val="00A62151"/>
    <w:rsid w:val="00A621CC"/>
    <w:rsid w:val="00A621EA"/>
    <w:rsid w:val="00A62208"/>
    <w:rsid w:val="00A6222A"/>
    <w:rsid w:val="00A62252"/>
    <w:rsid w:val="00A6226A"/>
    <w:rsid w:val="00A622B8"/>
    <w:rsid w:val="00A62315"/>
    <w:rsid w:val="00A6232D"/>
    <w:rsid w:val="00A62331"/>
    <w:rsid w:val="00A6233D"/>
    <w:rsid w:val="00A62357"/>
    <w:rsid w:val="00A6235E"/>
    <w:rsid w:val="00A623B4"/>
    <w:rsid w:val="00A623C8"/>
    <w:rsid w:val="00A623D2"/>
    <w:rsid w:val="00A623F2"/>
    <w:rsid w:val="00A62446"/>
    <w:rsid w:val="00A62453"/>
    <w:rsid w:val="00A624C8"/>
    <w:rsid w:val="00A624CC"/>
    <w:rsid w:val="00A62535"/>
    <w:rsid w:val="00A625AE"/>
    <w:rsid w:val="00A625B3"/>
    <w:rsid w:val="00A625B7"/>
    <w:rsid w:val="00A625E6"/>
    <w:rsid w:val="00A62611"/>
    <w:rsid w:val="00A6264D"/>
    <w:rsid w:val="00A6269B"/>
    <w:rsid w:val="00A626C5"/>
    <w:rsid w:val="00A626CC"/>
    <w:rsid w:val="00A6274E"/>
    <w:rsid w:val="00A627C5"/>
    <w:rsid w:val="00A627D2"/>
    <w:rsid w:val="00A62804"/>
    <w:rsid w:val="00A6281B"/>
    <w:rsid w:val="00A6281E"/>
    <w:rsid w:val="00A62991"/>
    <w:rsid w:val="00A62A18"/>
    <w:rsid w:val="00A62A3B"/>
    <w:rsid w:val="00A62A62"/>
    <w:rsid w:val="00A62AAE"/>
    <w:rsid w:val="00A62ABC"/>
    <w:rsid w:val="00A62B0F"/>
    <w:rsid w:val="00A62B28"/>
    <w:rsid w:val="00A62B91"/>
    <w:rsid w:val="00A62C37"/>
    <w:rsid w:val="00A62C4B"/>
    <w:rsid w:val="00A62C50"/>
    <w:rsid w:val="00A62D03"/>
    <w:rsid w:val="00A62D80"/>
    <w:rsid w:val="00A62D86"/>
    <w:rsid w:val="00A62D94"/>
    <w:rsid w:val="00A62DA6"/>
    <w:rsid w:val="00A62DD6"/>
    <w:rsid w:val="00A62DDD"/>
    <w:rsid w:val="00A62E02"/>
    <w:rsid w:val="00A62E15"/>
    <w:rsid w:val="00A62E7E"/>
    <w:rsid w:val="00A62EA9"/>
    <w:rsid w:val="00A62EB9"/>
    <w:rsid w:val="00A62EE2"/>
    <w:rsid w:val="00A62F5C"/>
    <w:rsid w:val="00A6301E"/>
    <w:rsid w:val="00A63037"/>
    <w:rsid w:val="00A630F9"/>
    <w:rsid w:val="00A6312A"/>
    <w:rsid w:val="00A631C7"/>
    <w:rsid w:val="00A6322A"/>
    <w:rsid w:val="00A63258"/>
    <w:rsid w:val="00A632F1"/>
    <w:rsid w:val="00A632F3"/>
    <w:rsid w:val="00A63376"/>
    <w:rsid w:val="00A63391"/>
    <w:rsid w:val="00A633D9"/>
    <w:rsid w:val="00A6348A"/>
    <w:rsid w:val="00A63567"/>
    <w:rsid w:val="00A63568"/>
    <w:rsid w:val="00A63587"/>
    <w:rsid w:val="00A635A9"/>
    <w:rsid w:val="00A635B8"/>
    <w:rsid w:val="00A6360D"/>
    <w:rsid w:val="00A636E7"/>
    <w:rsid w:val="00A63733"/>
    <w:rsid w:val="00A6374A"/>
    <w:rsid w:val="00A63771"/>
    <w:rsid w:val="00A63773"/>
    <w:rsid w:val="00A637D7"/>
    <w:rsid w:val="00A63800"/>
    <w:rsid w:val="00A6380F"/>
    <w:rsid w:val="00A6386B"/>
    <w:rsid w:val="00A63878"/>
    <w:rsid w:val="00A638BE"/>
    <w:rsid w:val="00A638BF"/>
    <w:rsid w:val="00A638DB"/>
    <w:rsid w:val="00A63926"/>
    <w:rsid w:val="00A63939"/>
    <w:rsid w:val="00A63A1B"/>
    <w:rsid w:val="00A63A5C"/>
    <w:rsid w:val="00A63A72"/>
    <w:rsid w:val="00A63A91"/>
    <w:rsid w:val="00A63B58"/>
    <w:rsid w:val="00A63B76"/>
    <w:rsid w:val="00A63C50"/>
    <w:rsid w:val="00A63C9F"/>
    <w:rsid w:val="00A63CD0"/>
    <w:rsid w:val="00A63D97"/>
    <w:rsid w:val="00A63DA4"/>
    <w:rsid w:val="00A63DD9"/>
    <w:rsid w:val="00A63DE6"/>
    <w:rsid w:val="00A63DEE"/>
    <w:rsid w:val="00A63E47"/>
    <w:rsid w:val="00A63EFF"/>
    <w:rsid w:val="00A63F60"/>
    <w:rsid w:val="00A63F7D"/>
    <w:rsid w:val="00A63FAF"/>
    <w:rsid w:val="00A63FD8"/>
    <w:rsid w:val="00A63FD9"/>
    <w:rsid w:val="00A6403A"/>
    <w:rsid w:val="00A64055"/>
    <w:rsid w:val="00A6407E"/>
    <w:rsid w:val="00A640A4"/>
    <w:rsid w:val="00A640AA"/>
    <w:rsid w:val="00A640DF"/>
    <w:rsid w:val="00A640E7"/>
    <w:rsid w:val="00A64100"/>
    <w:rsid w:val="00A64111"/>
    <w:rsid w:val="00A64127"/>
    <w:rsid w:val="00A6413E"/>
    <w:rsid w:val="00A64166"/>
    <w:rsid w:val="00A6417C"/>
    <w:rsid w:val="00A64193"/>
    <w:rsid w:val="00A641DC"/>
    <w:rsid w:val="00A64207"/>
    <w:rsid w:val="00A64258"/>
    <w:rsid w:val="00A6429B"/>
    <w:rsid w:val="00A642D2"/>
    <w:rsid w:val="00A642EF"/>
    <w:rsid w:val="00A64316"/>
    <w:rsid w:val="00A64335"/>
    <w:rsid w:val="00A6433F"/>
    <w:rsid w:val="00A64346"/>
    <w:rsid w:val="00A64394"/>
    <w:rsid w:val="00A643A6"/>
    <w:rsid w:val="00A643BC"/>
    <w:rsid w:val="00A6446D"/>
    <w:rsid w:val="00A64488"/>
    <w:rsid w:val="00A64513"/>
    <w:rsid w:val="00A6453E"/>
    <w:rsid w:val="00A645AA"/>
    <w:rsid w:val="00A645CB"/>
    <w:rsid w:val="00A64687"/>
    <w:rsid w:val="00A646BE"/>
    <w:rsid w:val="00A646ED"/>
    <w:rsid w:val="00A64729"/>
    <w:rsid w:val="00A6475F"/>
    <w:rsid w:val="00A64760"/>
    <w:rsid w:val="00A647EA"/>
    <w:rsid w:val="00A64800"/>
    <w:rsid w:val="00A64827"/>
    <w:rsid w:val="00A6483B"/>
    <w:rsid w:val="00A6487F"/>
    <w:rsid w:val="00A64896"/>
    <w:rsid w:val="00A648C2"/>
    <w:rsid w:val="00A648EF"/>
    <w:rsid w:val="00A64907"/>
    <w:rsid w:val="00A6495A"/>
    <w:rsid w:val="00A6495E"/>
    <w:rsid w:val="00A649AD"/>
    <w:rsid w:val="00A649C8"/>
    <w:rsid w:val="00A64A85"/>
    <w:rsid w:val="00A64AAF"/>
    <w:rsid w:val="00A64AD6"/>
    <w:rsid w:val="00A64B14"/>
    <w:rsid w:val="00A64B46"/>
    <w:rsid w:val="00A64BB5"/>
    <w:rsid w:val="00A64BD6"/>
    <w:rsid w:val="00A64BF4"/>
    <w:rsid w:val="00A64C5D"/>
    <w:rsid w:val="00A64C73"/>
    <w:rsid w:val="00A64CB9"/>
    <w:rsid w:val="00A64CCC"/>
    <w:rsid w:val="00A64D0D"/>
    <w:rsid w:val="00A64D42"/>
    <w:rsid w:val="00A64D90"/>
    <w:rsid w:val="00A64D99"/>
    <w:rsid w:val="00A64DCF"/>
    <w:rsid w:val="00A64DEC"/>
    <w:rsid w:val="00A64F02"/>
    <w:rsid w:val="00A64F03"/>
    <w:rsid w:val="00A64F0F"/>
    <w:rsid w:val="00A64F2E"/>
    <w:rsid w:val="00A64FB1"/>
    <w:rsid w:val="00A64FB4"/>
    <w:rsid w:val="00A64FE3"/>
    <w:rsid w:val="00A65099"/>
    <w:rsid w:val="00A650C8"/>
    <w:rsid w:val="00A65142"/>
    <w:rsid w:val="00A65181"/>
    <w:rsid w:val="00A651C3"/>
    <w:rsid w:val="00A6522A"/>
    <w:rsid w:val="00A65230"/>
    <w:rsid w:val="00A6525D"/>
    <w:rsid w:val="00A6528F"/>
    <w:rsid w:val="00A652B5"/>
    <w:rsid w:val="00A652CC"/>
    <w:rsid w:val="00A6531D"/>
    <w:rsid w:val="00A65356"/>
    <w:rsid w:val="00A6539B"/>
    <w:rsid w:val="00A653BD"/>
    <w:rsid w:val="00A653CA"/>
    <w:rsid w:val="00A653DE"/>
    <w:rsid w:val="00A653E5"/>
    <w:rsid w:val="00A65454"/>
    <w:rsid w:val="00A654A3"/>
    <w:rsid w:val="00A65537"/>
    <w:rsid w:val="00A65541"/>
    <w:rsid w:val="00A6555C"/>
    <w:rsid w:val="00A6556F"/>
    <w:rsid w:val="00A65590"/>
    <w:rsid w:val="00A6559C"/>
    <w:rsid w:val="00A655D5"/>
    <w:rsid w:val="00A65613"/>
    <w:rsid w:val="00A6563F"/>
    <w:rsid w:val="00A6573E"/>
    <w:rsid w:val="00A65782"/>
    <w:rsid w:val="00A65800"/>
    <w:rsid w:val="00A65806"/>
    <w:rsid w:val="00A65808"/>
    <w:rsid w:val="00A65821"/>
    <w:rsid w:val="00A65826"/>
    <w:rsid w:val="00A6587E"/>
    <w:rsid w:val="00A65881"/>
    <w:rsid w:val="00A6590D"/>
    <w:rsid w:val="00A65954"/>
    <w:rsid w:val="00A659A3"/>
    <w:rsid w:val="00A659AC"/>
    <w:rsid w:val="00A659B3"/>
    <w:rsid w:val="00A659DE"/>
    <w:rsid w:val="00A659F8"/>
    <w:rsid w:val="00A65A21"/>
    <w:rsid w:val="00A65A72"/>
    <w:rsid w:val="00A65A85"/>
    <w:rsid w:val="00A65A94"/>
    <w:rsid w:val="00A65ACE"/>
    <w:rsid w:val="00A65AFB"/>
    <w:rsid w:val="00A65C05"/>
    <w:rsid w:val="00A65C27"/>
    <w:rsid w:val="00A65C8A"/>
    <w:rsid w:val="00A65CBF"/>
    <w:rsid w:val="00A65D22"/>
    <w:rsid w:val="00A65D45"/>
    <w:rsid w:val="00A65D7D"/>
    <w:rsid w:val="00A65D81"/>
    <w:rsid w:val="00A65D8D"/>
    <w:rsid w:val="00A65E21"/>
    <w:rsid w:val="00A65F2B"/>
    <w:rsid w:val="00A65F57"/>
    <w:rsid w:val="00A65F58"/>
    <w:rsid w:val="00A65F67"/>
    <w:rsid w:val="00A66005"/>
    <w:rsid w:val="00A6604C"/>
    <w:rsid w:val="00A66123"/>
    <w:rsid w:val="00A6612F"/>
    <w:rsid w:val="00A6613E"/>
    <w:rsid w:val="00A66150"/>
    <w:rsid w:val="00A6615B"/>
    <w:rsid w:val="00A6618C"/>
    <w:rsid w:val="00A66190"/>
    <w:rsid w:val="00A6619B"/>
    <w:rsid w:val="00A661DF"/>
    <w:rsid w:val="00A661EC"/>
    <w:rsid w:val="00A661F1"/>
    <w:rsid w:val="00A6623E"/>
    <w:rsid w:val="00A6628C"/>
    <w:rsid w:val="00A662A3"/>
    <w:rsid w:val="00A662FE"/>
    <w:rsid w:val="00A66301"/>
    <w:rsid w:val="00A66352"/>
    <w:rsid w:val="00A663F4"/>
    <w:rsid w:val="00A66426"/>
    <w:rsid w:val="00A66451"/>
    <w:rsid w:val="00A66498"/>
    <w:rsid w:val="00A664B4"/>
    <w:rsid w:val="00A664DF"/>
    <w:rsid w:val="00A66582"/>
    <w:rsid w:val="00A66593"/>
    <w:rsid w:val="00A66603"/>
    <w:rsid w:val="00A66616"/>
    <w:rsid w:val="00A66642"/>
    <w:rsid w:val="00A6667E"/>
    <w:rsid w:val="00A66682"/>
    <w:rsid w:val="00A666FC"/>
    <w:rsid w:val="00A66793"/>
    <w:rsid w:val="00A6679A"/>
    <w:rsid w:val="00A667AF"/>
    <w:rsid w:val="00A667E9"/>
    <w:rsid w:val="00A667F4"/>
    <w:rsid w:val="00A66804"/>
    <w:rsid w:val="00A66843"/>
    <w:rsid w:val="00A668AC"/>
    <w:rsid w:val="00A6696A"/>
    <w:rsid w:val="00A66A21"/>
    <w:rsid w:val="00A66A4E"/>
    <w:rsid w:val="00A66AD6"/>
    <w:rsid w:val="00A66B21"/>
    <w:rsid w:val="00A66B7F"/>
    <w:rsid w:val="00A66B8E"/>
    <w:rsid w:val="00A66BA6"/>
    <w:rsid w:val="00A66BAF"/>
    <w:rsid w:val="00A66C04"/>
    <w:rsid w:val="00A66C2B"/>
    <w:rsid w:val="00A66C86"/>
    <w:rsid w:val="00A66CC1"/>
    <w:rsid w:val="00A66CE0"/>
    <w:rsid w:val="00A66CEC"/>
    <w:rsid w:val="00A66D03"/>
    <w:rsid w:val="00A66D05"/>
    <w:rsid w:val="00A66D18"/>
    <w:rsid w:val="00A66D28"/>
    <w:rsid w:val="00A66D44"/>
    <w:rsid w:val="00A66DB1"/>
    <w:rsid w:val="00A66E07"/>
    <w:rsid w:val="00A66E08"/>
    <w:rsid w:val="00A66E59"/>
    <w:rsid w:val="00A66EFE"/>
    <w:rsid w:val="00A66F21"/>
    <w:rsid w:val="00A66F3B"/>
    <w:rsid w:val="00A66F93"/>
    <w:rsid w:val="00A66FBE"/>
    <w:rsid w:val="00A66FC3"/>
    <w:rsid w:val="00A66FDB"/>
    <w:rsid w:val="00A66FF7"/>
    <w:rsid w:val="00A67004"/>
    <w:rsid w:val="00A67017"/>
    <w:rsid w:val="00A6702C"/>
    <w:rsid w:val="00A67036"/>
    <w:rsid w:val="00A6703A"/>
    <w:rsid w:val="00A67062"/>
    <w:rsid w:val="00A67073"/>
    <w:rsid w:val="00A6708C"/>
    <w:rsid w:val="00A670A6"/>
    <w:rsid w:val="00A670F2"/>
    <w:rsid w:val="00A670F7"/>
    <w:rsid w:val="00A67103"/>
    <w:rsid w:val="00A6714C"/>
    <w:rsid w:val="00A671B2"/>
    <w:rsid w:val="00A6720D"/>
    <w:rsid w:val="00A672D6"/>
    <w:rsid w:val="00A672FA"/>
    <w:rsid w:val="00A67332"/>
    <w:rsid w:val="00A673A4"/>
    <w:rsid w:val="00A673B4"/>
    <w:rsid w:val="00A674C9"/>
    <w:rsid w:val="00A674F5"/>
    <w:rsid w:val="00A674FA"/>
    <w:rsid w:val="00A6757F"/>
    <w:rsid w:val="00A6758F"/>
    <w:rsid w:val="00A675AA"/>
    <w:rsid w:val="00A675F7"/>
    <w:rsid w:val="00A6763B"/>
    <w:rsid w:val="00A67658"/>
    <w:rsid w:val="00A676B7"/>
    <w:rsid w:val="00A67732"/>
    <w:rsid w:val="00A67763"/>
    <w:rsid w:val="00A6778A"/>
    <w:rsid w:val="00A677E7"/>
    <w:rsid w:val="00A6785E"/>
    <w:rsid w:val="00A67863"/>
    <w:rsid w:val="00A67891"/>
    <w:rsid w:val="00A6789D"/>
    <w:rsid w:val="00A678E8"/>
    <w:rsid w:val="00A67933"/>
    <w:rsid w:val="00A67971"/>
    <w:rsid w:val="00A67981"/>
    <w:rsid w:val="00A6798E"/>
    <w:rsid w:val="00A679FD"/>
    <w:rsid w:val="00A67A45"/>
    <w:rsid w:val="00A67A6C"/>
    <w:rsid w:val="00A67A98"/>
    <w:rsid w:val="00A67ADD"/>
    <w:rsid w:val="00A67B94"/>
    <w:rsid w:val="00A67BC2"/>
    <w:rsid w:val="00A67BD9"/>
    <w:rsid w:val="00A67C0F"/>
    <w:rsid w:val="00A67C49"/>
    <w:rsid w:val="00A67C4F"/>
    <w:rsid w:val="00A67C99"/>
    <w:rsid w:val="00A67CAE"/>
    <w:rsid w:val="00A67D1B"/>
    <w:rsid w:val="00A67D26"/>
    <w:rsid w:val="00A67D4A"/>
    <w:rsid w:val="00A67D6F"/>
    <w:rsid w:val="00A67D8D"/>
    <w:rsid w:val="00A67DC7"/>
    <w:rsid w:val="00A67E35"/>
    <w:rsid w:val="00A67ED4"/>
    <w:rsid w:val="00A67F36"/>
    <w:rsid w:val="00A67F48"/>
    <w:rsid w:val="00A67F6B"/>
    <w:rsid w:val="00A67F71"/>
    <w:rsid w:val="00A67F9F"/>
    <w:rsid w:val="00A7003E"/>
    <w:rsid w:val="00A70079"/>
    <w:rsid w:val="00A700CB"/>
    <w:rsid w:val="00A70114"/>
    <w:rsid w:val="00A70115"/>
    <w:rsid w:val="00A70118"/>
    <w:rsid w:val="00A70123"/>
    <w:rsid w:val="00A7013E"/>
    <w:rsid w:val="00A7016B"/>
    <w:rsid w:val="00A7017C"/>
    <w:rsid w:val="00A7017E"/>
    <w:rsid w:val="00A70185"/>
    <w:rsid w:val="00A701A7"/>
    <w:rsid w:val="00A701CB"/>
    <w:rsid w:val="00A701DB"/>
    <w:rsid w:val="00A701FC"/>
    <w:rsid w:val="00A70262"/>
    <w:rsid w:val="00A702F0"/>
    <w:rsid w:val="00A70354"/>
    <w:rsid w:val="00A70355"/>
    <w:rsid w:val="00A7038C"/>
    <w:rsid w:val="00A703AA"/>
    <w:rsid w:val="00A703BD"/>
    <w:rsid w:val="00A7049B"/>
    <w:rsid w:val="00A7049F"/>
    <w:rsid w:val="00A704A6"/>
    <w:rsid w:val="00A704CC"/>
    <w:rsid w:val="00A70504"/>
    <w:rsid w:val="00A7053E"/>
    <w:rsid w:val="00A70542"/>
    <w:rsid w:val="00A705A9"/>
    <w:rsid w:val="00A70607"/>
    <w:rsid w:val="00A7062D"/>
    <w:rsid w:val="00A70648"/>
    <w:rsid w:val="00A7066D"/>
    <w:rsid w:val="00A706A1"/>
    <w:rsid w:val="00A706D0"/>
    <w:rsid w:val="00A70813"/>
    <w:rsid w:val="00A708F1"/>
    <w:rsid w:val="00A7092A"/>
    <w:rsid w:val="00A70998"/>
    <w:rsid w:val="00A70A00"/>
    <w:rsid w:val="00A70A0E"/>
    <w:rsid w:val="00A70A56"/>
    <w:rsid w:val="00A70AD4"/>
    <w:rsid w:val="00A70ADD"/>
    <w:rsid w:val="00A70B4D"/>
    <w:rsid w:val="00A70B73"/>
    <w:rsid w:val="00A70B77"/>
    <w:rsid w:val="00A70B9C"/>
    <w:rsid w:val="00A70BB2"/>
    <w:rsid w:val="00A70C41"/>
    <w:rsid w:val="00A70C46"/>
    <w:rsid w:val="00A70C51"/>
    <w:rsid w:val="00A70C86"/>
    <w:rsid w:val="00A70CE8"/>
    <w:rsid w:val="00A70CF7"/>
    <w:rsid w:val="00A70D0A"/>
    <w:rsid w:val="00A70D10"/>
    <w:rsid w:val="00A70D8A"/>
    <w:rsid w:val="00A70DA0"/>
    <w:rsid w:val="00A70E1C"/>
    <w:rsid w:val="00A70E36"/>
    <w:rsid w:val="00A70E49"/>
    <w:rsid w:val="00A70E63"/>
    <w:rsid w:val="00A70E8E"/>
    <w:rsid w:val="00A70ED8"/>
    <w:rsid w:val="00A70EFC"/>
    <w:rsid w:val="00A70F06"/>
    <w:rsid w:val="00A70F98"/>
    <w:rsid w:val="00A70FB5"/>
    <w:rsid w:val="00A70FFA"/>
    <w:rsid w:val="00A71108"/>
    <w:rsid w:val="00A71109"/>
    <w:rsid w:val="00A71161"/>
    <w:rsid w:val="00A71185"/>
    <w:rsid w:val="00A711CF"/>
    <w:rsid w:val="00A71215"/>
    <w:rsid w:val="00A7126E"/>
    <w:rsid w:val="00A7128D"/>
    <w:rsid w:val="00A712AF"/>
    <w:rsid w:val="00A712BE"/>
    <w:rsid w:val="00A712E1"/>
    <w:rsid w:val="00A71304"/>
    <w:rsid w:val="00A71310"/>
    <w:rsid w:val="00A71327"/>
    <w:rsid w:val="00A71357"/>
    <w:rsid w:val="00A71363"/>
    <w:rsid w:val="00A7137A"/>
    <w:rsid w:val="00A713AD"/>
    <w:rsid w:val="00A713E4"/>
    <w:rsid w:val="00A71430"/>
    <w:rsid w:val="00A71471"/>
    <w:rsid w:val="00A71478"/>
    <w:rsid w:val="00A714BE"/>
    <w:rsid w:val="00A714DC"/>
    <w:rsid w:val="00A715F9"/>
    <w:rsid w:val="00A7166C"/>
    <w:rsid w:val="00A716DB"/>
    <w:rsid w:val="00A716EE"/>
    <w:rsid w:val="00A71700"/>
    <w:rsid w:val="00A7173C"/>
    <w:rsid w:val="00A71796"/>
    <w:rsid w:val="00A71805"/>
    <w:rsid w:val="00A7181B"/>
    <w:rsid w:val="00A71862"/>
    <w:rsid w:val="00A7187B"/>
    <w:rsid w:val="00A718CF"/>
    <w:rsid w:val="00A718D5"/>
    <w:rsid w:val="00A71902"/>
    <w:rsid w:val="00A71909"/>
    <w:rsid w:val="00A7191D"/>
    <w:rsid w:val="00A719BE"/>
    <w:rsid w:val="00A719EE"/>
    <w:rsid w:val="00A71A0E"/>
    <w:rsid w:val="00A71A2B"/>
    <w:rsid w:val="00A71A2E"/>
    <w:rsid w:val="00A71A73"/>
    <w:rsid w:val="00A71A96"/>
    <w:rsid w:val="00A71ABA"/>
    <w:rsid w:val="00A71B7D"/>
    <w:rsid w:val="00A71B9C"/>
    <w:rsid w:val="00A71BBD"/>
    <w:rsid w:val="00A71BFC"/>
    <w:rsid w:val="00A71C3C"/>
    <w:rsid w:val="00A71C9D"/>
    <w:rsid w:val="00A71CA0"/>
    <w:rsid w:val="00A71CA3"/>
    <w:rsid w:val="00A71CEE"/>
    <w:rsid w:val="00A71D3C"/>
    <w:rsid w:val="00A71D44"/>
    <w:rsid w:val="00A71DC5"/>
    <w:rsid w:val="00A71DD3"/>
    <w:rsid w:val="00A71E67"/>
    <w:rsid w:val="00A71ED0"/>
    <w:rsid w:val="00A71EF6"/>
    <w:rsid w:val="00A71F02"/>
    <w:rsid w:val="00A71F8B"/>
    <w:rsid w:val="00A71F99"/>
    <w:rsid w:val="00A71FB2"/>
    <w:rsid w:val="00A71FBE"/>
    <w:rsid w:val="00A71FC4"/>
    <w:rsid w:val="00A71FC6"/>
    <w:rsid w:val="00A71FD0"/>
    <w:rsid w:val="00A71FEE"/>
    <w:rsid w:val="00A72006"/>
    <w:rsid w:val="00A72092"/>
    <w:rsid w:val="00A7213A"/>
    <w:rsid w:val="00A721AE"/>
    <w:rsid w:val="00A721CE"/>
    <w:rsid w:val="00A721DC"/>
    <w:rsid w:val="00A72204"/>
    <w:rsid w:val="00A72244"/>
    <w:rsid w:val="00A7224D"/>
    <w:rsid w:val="00A72266"/>
    <w:rsid w:val="00A7227E"/>
    <w:rsid w:val="00A72349"/>
    <w:rsid w:val="00A723B1"/>
    <w:rsid w:val="00A723B2"/>
    <w:rsid w:val="00A723E4"/>
    <w:rsid w:val="00A7240C"/>
    <w:rsid w:val="00A72446"/>
    <w:rsid w:val="00A72453"/>
    <w:rsid w:val="00A72476"/>
    <w:rsid w:val="00A724D0"/>
    <w:rsid w:val="00A72573"/>
    <w:rsid w:val="00A7257E"/>
    <w:rsid w:val="00A72588"/>
    <w:rsid w:val="00A7258B"/>
    <w:rsid w:val="00A72646"/>
    <w:rsid w:val="00A727EA"/>
    <w:rsid w:val="00A7288E"/>
    <w:rsid w:val="00A728EB"/>
    <w:rsid w:val="00A7292B"/>
    <w:rsid w:val="00A7292E"/>
    <w:rsid w:val="00A729C9"/>
    <w:rsid w:val="00A72A34"/>
    <w:rsid w:val="00A72A65"/>
    <w:rsid w:val="00A72AD7"/>
    <w:rsid w:val="00A72AD9"/>
    <w:rsid w:val="00A72ADB"/>
    <w:rsid w:val="00A72AFB"/>
    <w:rsid w:val="00A72B44"/>
    <w:rsid w:val="00A72BA6"/>
    <w:rsid w:val="00A72BDB"/>
    <w:rsid w:val="00A72C43"/>
    <w:rsid w:val="00A72C5F"/>
    <w:rsid w:val="00A72D32"/>
    <w:rsid w:val="00A72D3D"/>
    <w:rsid w:val="00A72D47"/>
    <w:rsid w:val="00A72D55"/>
    <w:rsid w:val="00A72D6B"/>
    <w:rsid w:val="00A72D89"/>
    <w:rsid w:val="00A72E4F"/>
    <w:rsid w:val="00A72F5C"/>
    <w:rsid w:val="00A72FCD"/>
    <w:rsid w:val="00A72FD6"/>
    <w:rsid w:val="00A72FEC"/>
    <w:rsid w:val="00A7303F"/>
    <w:rsid w:val="00A730BB"/>
    <w:rsid w:val="00A730ED"/>
    <w:rsid w:val="00A73165"/>
    <w:rsid w:val="00A731BB"/>
    <w:rsid w:val="00A73205"/>
    <w:rsid w:val="00A7322B"/>
    <w:rsid w:val="00A732E3"/>
    <w:rsid w:val="00A732EB"/>
    <w:rsid w:val="00A73308"/>
    <w:rsid w:val="00A73327"/>
    <w:rsid w:val="00A733B3"/>
    <w:rsid w:val="00A733BC"/>
    <w:rsid w:val="00A733C0"/>
    <w:rsid w:val="00A733DC"/>
    <w:rsid w:val="00A73428"/>
    <w:rsid w:val="00A7345C"/>
    <w:rsid w:val="00A734AD"/>
    <w:rsid w:val="00A734C2"/>
    <w:rsid w:val="00A73574"/>
    <w:rsid w:val="00A73641"/>
    <w:rsid w:val="00A736A7"/>
    <w:rsid w:val="00A736AB"/>
    <w:rsid w:val="00A736ED"/>
    <w:rsid w:val="00A73731"/>
    <w:rsid w:val="00A73757"/>
    <w:rsid w:val="00A7375F"/>
    <w:rsid w:val="00A73771"/>
    <w:rsid w:val="00A73773"/>
    <w:rsid w:val="00A737F7"/>
    <w:rsid w:val="00A73803"/>
    <w:rsid w:val="00A7384E"/>
    <w:rsid w:val="00A7388C"/>
    <w:rsid w:val="00A7389F"/>
    <w:rsid w:val="00A738BB"/>
    <w:rsid w:val="00A738BD"/>
    <w:rsid w:val="00A738F2"/>
    <w:rsid w:val="00A73946"/>
    <w:rsid w:val="00A739F0"/>
    <w:rsid w:val="00A73A17"/>
    <w:rsid w:val="00A73A1F"/>
    <w:rsid w:val="00A73A22"/>
    <w:rsid w:val="00A73A47"/>
    <w:rsid w:val="00A73A80"/>
    <w:rsid w:val="00A73A9D"/>
    <w:rsid w:val="00A73AA0"/>
    <w:rsid w:val="00A73AD7"/>
    <w:rsid w:val="00A73AF5"/>
    <w:rsid w:val="00A73B65"/>
    <w:rsid w:val="00A73B73"/>
    <w:rsid w:val="00A73B9B"/>
    <w:rsid w:val="00A73B9F"/>
    <w:rsid w:val="00A73BE8"/>
    <w:rsid w:val="00A73C31"/>
    <w:rsid w:val="00A73C7F"/>
    <w:rsid w:val="00A73C9B"/>
    <w:rsid w:val="00A73CB8"/>
    <w:rsid w:val="00A73CEF"/>
    <w:rsid w:val="00A73CF5"/>
    <w:rsid w:val="00A73D38"/>
    <w:rsid w:val="00A73D3E"/>
    <w:rsid w:val="00A73D5E"/>
    <w:rsid w:val="00A73D79"/>
    <w:rsid w:val="00A73D87"/>
    <w:rsid w:val="00A73D8D"/>
    <w:rsid w:val="00A73DA6"/>
    <w:rsid w:val="00A73E05"/>
    <w:rsid w:val="00A73E5B"/>
    <w:rsid w:val="00A73E8A"/>
    <w:rsid w:val="00A73E93"/>
    <w:rsid w:val="00A73EA5"/>
    <w:rsid w:val="00A73FB9"/>
    <w:rsid w:val="00A74007"/>
    <w:rsid w:val="00A7412C"/>
    <w:rsid w:val="00A7413A"/>
    <w:rsid w:val="00A7414D"/>
    <w:rsid w:val="00A7414E"/>
    <w:rsid w:val="00A7419F"/>
    <w:rsid w:val="00A741B9"/>
    <w:rsid w:val="00A741E5"/>
    <w:rsid w:val="00A7420D"/>
    <w:rsid w:val="00A742C0"/>
    <w:rsid w:val="00A74309"/>
    <w:rsid w:val="00A7434A"/>
    <w:rsid w:val="00A74359"/>
    <w:rsid w:val="00A743D2"/>
    <w:rsid w:val="00A7450F"/>
    <w:rsid w:val="00A7452F"/>
    <w:rsid w:val="00A7453A"/>
    <w:rsid w:val="00A74542"/>
    <w:rsid w:val="00A74560"/>
    <w:rsid w:val="00A74572"/>
    <w:rsid w:val="00A745CE"/>
    <w:rsid w:val="00A745F5"/>
    <w:rsid w:val="00A74635"/>
    <w:rsid w:val="00A74683"/>
    <w:rsid w:val="00A746F4"/>
    <w:rsid w:val="00A74780"/>
    <w:rsid w:val="00A74847"/>
    <w:rsid w:val="00A7486A"/>
    <w:rsid w:val="00A7494E"/>
    <w:rsid w:val="00A74980"/>
    <w:rsid w:val="00A749D6"/>
    <w:rsid w:val="00A749DF"/>
    <w:rsid w:val="00A749F3"/>
    <w:rsid w:val="00A74A08"/>
    <w:rsid w:val="00A74A18"/>
    <w:rsid w:val="00A74A3D"/>
    <w:rsid w:val="00A74A6C"/>
    <w:rsid w:val="00A74AA6"/>
    <w:rsid w:val="00A74AC0"/>
    <w:rsid w:val="00A74ACA"/>
    <w:rsid w:val="00A74AD1"/>
    <w:rsid w:val="00A74ADD"/>
    <w:rsid w:val="00A74AE0"/>
    <w:rsid w:val="00A74AEF"/>
    <w:rsid w:val="00A74B6A"/>
    <w:rsid w:val="00A74B8B"/>
    <w:rsid w:val="00A74BB6"/>
    <w:rsid w:val="00A74BB8"/>
    <w:rsid w:val="00A74BBF"/>
    <w:rsid w:val="00A74C02"/>
    <w:rsid w:val="00A74C78"/>
    <w:rsid w:val="00A74CA0"/>
    <w:rsid w:val="00A74CA4"/>
    <w:rsid w:val="00A74D00"/>
    <w:rsid w:val="00A74D29"/>
    <w:rsid w:val="00A74DAB"/>
    <w:rsid w:val="00A74DB1"/>
    <w:rsid w:val="00A74E2F"/>
    <w:rsid w:val="00A74EC6"/>
    <w:rsid w:val="00A74ED5"/>
    <w:rsid w:val="00A74F28"/>
    <w:rsid w:val="00A74F9B"/>
    <w:rsid w:val="00A74FED"/>
    <w:rsid w:val="00A75112"/>
    <w:rsid w:val="00A75118"/>
    <w:rsid w:val="00A75124"/>
    <w:rsid w:val="00A75198"/>
    <w:rsid w:val="00A7519F"/>
    <w:rsid w:val="00A7521F"/>
    <w:rsid w:val="00A75252"/>
    <w:rsid w:val="00A75259"/>
    <w:rsid w:val="00A75281"/>
    <w:rsid w:val="00A752AF"/>
    <w:rsid w:val="00A75305"/>
    <w:rsid w:val="00A7536C"/>
    <w:rsid w:val="00A75375"/>
    <w:rsid w:val="00A75386"/>
    <w:rsid w:val="00A753BC"/>
    <w:rsid w:val="00A753E7"/>
    <w:rsid w:val="00A7541A"/>
    <w:rsid w:val="00A75436"/>
    <w:rsid w:val="00A75448"/>
    <w:rsid w:val="00A75461"/>
    <w:rsid w:val="00A75490"/>
    <w:rsid w:val="00A7549E"/>
    <w:rsid w:val="00A754E3"/>
    <w:rsid w:val="00A75528"/>
    <w:rsid w:val="00A75580"/>
    <w:rsid w:val="00A75581"/>
    <w:rsid w:val="00A75585"/>
    <w:rsid w:val="00A756C7"/>
    <w:rsid w:val="00A756D0"/>
    <w:rsid w:val="00A75744"/>
    <w:rsid w:val="00A7577F"/>
    <w:rsid w:val="00A757B7"/>
    <w:rsid w:val="00A7580B"/>
    <w:rsid w:val="00A75836"/>
    <w:rsid w:val="00A75839"/>
    <w:rsid w:val="00A758AC"/>
    <w:rsid w:val="00A758BF"/>
    <w:rsid w:val="00A758E4"/>
    <w:rsid w:val="00A75969"/>
    <w:rsid w:val="00A75971"/>
    <w:rsid w:val="00A7597A"/>
    <w:rsid w:val="00A759B4"/>
    <w:rsid w:val="00A75A1E"/>
    <w:rsid w:val="00A75A3F"/>
    <w:rsid w:val="00A75A61"/>
    <w:rsid w:val="00A75A83"/>
    <w:rsid w:val="00A75AF4"/>
    <w:rsid w:val="00A75B2F"/>
    <w:rsid w:val="00A75B97"/>
    <w:rsid w:val="00A75BBF"/>
    <w:rsid w:val="00A75BCA"/>
    <w:rsid w:val="00A75CDE"/>
    <w:rsid w:val="00A75CF4"/>
    <w:rsid w:val="00A75D1F"/>
    <w:rsid w:val="00A75D32"/>
    <w:rsid w:val="00A75D5A"/>
    <w:rsid w:val="00A75D85"/>
    <w:rsid w:val="00A75DA6"/>
    <w:rsid w:val="00A75DF4"/>
    <w:rsid w:val="00A75E1B"/>
    <w:rsid w:val="00A75E42"/>
    <w:rsid w:val="00A75E6C"/>
    <w:rsid w:val="00A75E96"/>
    <w:rsid w:val="00A75ECA"/>
    <w:rsid w:val="00A75F04"/>
    <w:rsid w:val="00A75F6C"/>
    <w:rsid w:val="00A75F95"/>
    <w:rsid w:val="00A76011"/>
    <w:rsid w:val="00A7609B"/>
    <w:rsid w:val="00A76110"/>
    <w:rsid w:val="00A7614A"/>
    <w:rsid w:val="00A7615C"/>
    <w:rsid w:val="00A76165"/>
    <w:rsid w:val="00A7621B"/>
    <w:rsid w:val="00A76242"/>
    <w:rsid w:val="00A7629F"/>
    <w:rsid w:val="00A762BE"/>
    <w:rsid w:val="00A762E2"/>
    <w:rsid w:val="00A762E6"/>
    <w:rsid w:val="00A7630B"/>
    <w:rsid w:val="00A7631E"/>
    <w:rsid w:val="00A7633C"/>
    <w:rsid w:val="00A7635C"/>
    <w:rsid w:val="00A7636B"/>
    <w:rsid w:val="00A7638D"/>
    <w:rsid w:val="00A763AB"/>
    <w:rsid w:val="00A763AC"/>
    <w:rsid w:val="00A763B5"/>
    <w:rsid w:val="00A763C3"/>
    <w:rsid w:val="00A7643B"/>
    <w:rsid w:val="00A7644A"/>
    <w:rsid w:val="00A764E8"/>
    <w:rsid w:val="00A76513"/>
    <w:rsid w:val="00A76520"/>
    <w:rsid w:val="00A7655B"/>
    <w:rsid w:val="00A7658B"/>
    <w:rsid w:val="00A76596"/>
    <w:rsid w:val="00A7659A"/>
    <w:rsid w:val="00A765CB"/>
    <w:rsid w:val="00A765FB"/>
    <w:rsid w:val="00A76690"/>
    <w:rsid w:val="00A766D5"/>
    <w:rsid w:val="00A76701"/>
    <w:rsid w:val="00A76732"/>
    <w:rsid w:val="00A7673F"/>
    <w:rsid w:val="00A76772"/>
    <w:rsid w:val="00A7677C"/>
    <w:rsid w:val="00A7682F"/>
    <w:rsid w:val="00A76846"/>
    <w:rsid w:val="00A76888"/>
    <w:rsid w:val="00A76992"/>
    <w:rsid w:val="00A769B5"/>
    <w:rsid w:val="00A769C7"/>
    <w:rsid w:val="00A769C8"/>
    <w:rsid w:val="00A769F5"/>
    <w:rsid w:val="00A76AA8"/>
    <w:rsid w:val="00A76B49"/>
    <w:rsid w:val="00A76B54"/>
    <w:rsid w:val="00A76B7A"/>
    <w:rsid w:val="00A76BBB"/>
    <w:rsid w:val="00A76BBD"/>
    <w:rsid w:val="00A76BFE"/>
    <w:rsid w:val="00A76C20"/>
    <w:rsid w:val="00A76C24"/>
    <w:rsid w:val="00A76C2F"/>
    <w:rsid w:val="00A76C49"/>
    <w:rsid w:val="00A76C89"/>
    <w:rsid w:val="00A76D11"/>
    <w:rsid w:val="00A76D33"/>
    <w:rsid w:val="00A76D36"/>
    <w:rsid w:val="00A76D47"/>
    <w:rsid w:val="00A76D76"/>
    <w:rsid w:val="00A76D8E"/>
    <w:rsid w:val="00A76DB1"/>
    <w:rsid w:val="00A76DE7"/>
    <w:rsid w:val="00A76E6D"/>
    <w:rsid w:val="00A76EA9"/>
    <w:rsid w:val="00A76ECD"/>
    <w:rsid w:val="00A76F12"/>
    <w:rsid w:val="00A76F37"/>
    <w:rsid w:val="00A76F39"/>
    <w:rsid w:val="00A76F45"/>
    <w:rsid w:val="00A76F60"/>
    <w:rsid w:val="00A76FCA"/>
    <w:rsid w:val="00A770C4"/>
    <w:rsid w:val="00A770FE"/>
    <w:rsid w:val="00A7713A"/>
    <w:rsid w:val="00A77152"/>
    <w:rsid w:val="00A77179"/>
    <w:rsid w:val="00A7719E"/>
    <w:rsid w:val="00A771D1"/>
    <w:rsid w:val="00A77228"/>
    <w:rsid w:val="00A7722A"/>
    <w:rsid w:val="00A77248"/>
    <w:rsid w:val="00A772AF"/>
    <w:rsid w:val="00A772D9"/>
    <w:rsid w:val="00A77346"/>
    <w:rsid w:val="00A77400"/>
    <w:rsid w:val="00A77414"/>
    <w:rsid w:val="00A7742A"/>
    <w:rsid w:val="00A7743E"/>
    <w:rsid w:val="00A7747D"/>
    <w:rsid w:val="00A774AC"/>
    <w:rsid w:val="00A774BA"/>
    <w:rsid w:val="00A774F9"/>
    <w:rsid w:val="00A77532"/>
    <w:rsid w:val="00A77547"/>
    <w:rsid w:val="00A77568"/>
    <w:rsid w:val="00A7758C"/>
    <w:rsid w:val="00A775B6"/>
    <w:rsid w:val="00A775BB"/>
    <w:rsid w:val="00A775C7"/>
    <w:rsid w:val="00A775D4"/>
    <w:rsid w:val="00A775D8"/>
    <w:rsid w:val="00A7760F"/>
    <w:rsid w:val="00A7761A"/>
    <w:rsid w:val="00A7766F"/>
    <w:rsid w:val="00A77690"/>
    <w:rsid w:val="00A776C2"/>
    <w:rsid w:val="00A776E0"/>
    <w:rsid w:val="00A77796"/>
    <w:rsid w:val="00A777C9"/>
    <w:rsid w:val="00A777F6"/>
    <w:rsid w:val="00A777FE"/>
    <w:rsid w:val="00A77881"/>
    <w:rsid w:val="00A778CB"/>
    <w:rsid w:val="00A778CC"/>
    <w:rsid w:val="00A77924"/>
    <w:rsid w:val="00A7793C"/>
    <w:rsid w:val="00A779A1"/>
    <w:rsid w:val="00A779A6"/>
    <w:rsid w:val="00A779AD"/>
    <w:rsid w:val="00A779D8"/>
    <w:rsid w:val="00A77A07"/>
    <w:rsid w:val="00A77A09"/>
    <w:rsid w:val="00A77A17"/>
    <w:rsid w:val="00A77A25"/>
    <w:rsid w:val="00A77A37"/>
    <w:rsid w:val="00A77A42"/>
    <w:rsid w:val="00A77A60"/>
    <w:rsid w:val="00A77AEF"/>
    <w:rsid w:val="00A77B4E"/>
    <w:rsid w:val="00A77B8C"/>
    <w:rsid w:val="00A77BE4"/>
    <w:rsid w:val="00A77C11"/>
    <w:rsid w:val="00A77C80"/>
    <w:rsid w:val="00A77CD4"/>
    <w:rsid w:val="00A77CD6"/>
    <w:rsid w:val="00A77CD7"/>
    <w:rsid w:val="00A77CE4"/>
    <w:rsid w:val="00A77D12"/>
    <w:rsid w:val="00A77DB8"/>
    <w:rsid w:val="00A77DD2"/>
    <w:rsid w:val="00A77DD5"/>
    <w:rsid w:val="00A77E40"/>
    <w:rsid w:val="00A77EAD"/>
    <w:rsid w:val="00A77EC3"/>
    <w:rsid w:val="00A77ED5"/>
    <w:rsid w:val="00A77EE8"/>
    <w:rsid w:val="00A77EF0"/>
    <w:rsid w:val="00A77F0D"/>
    <w:rsid w:val="00A77FDF"/>
    <w:rsid w:val="00A77FF0"/>
    <w:rsid w:val="00A8009E"/>
    <w:rsid w:val="00A80104"/>
    <w:rsid w:val="00A80124"/>
    <w:rsid w:val="00A8015F"/>
    <w:rsid w:val="00A80173"/>
    <w:rsid w:val="00A80200"/>
    <w:rsid w:val="00A80236"/>
    <w:rsid w:val="00A8024E"/>
    <w:rsid w:val="00A8029A"/>
    <w:rsid w:val="00A802DA"/>
    <w:rsid w:val="00A802FC"/>
    <w:rsid w:val="00A80444"/>
    <w:rsid w:val="00A80474"/>
    <w:rsid w:val="00A80530"/>
    <w:rsid w:val="00A8053D"/>
    <w:rsid w:val="00A80553"/>
    <w:rsid w:val="00A805B1"/>
    <w:rsid w:val="00A805B6"/>
    <w:rsid w:val="00A8061D"/>
    <w:rsid w:val="00A80631"/>
    <w:rsid w:val="00A8065E"/>
    <w:rsid w:val="00A80714"/>
    <w:rsid w:val="00A8073C"/>
    <w:rsid w:val="00A80779"/>
    <w:rsid w:val="00A80780"/>
    <w:rsid w:val="00A80802"/>
    <w:rsid w:val="00A808AF"/>
    <w:rsid w:val="00A80972"/>
    <w:rsid w:val="00A809CC"/>
    <w:rsid w:val="00A80A27"/>
    <w:rsid w:val="00A80A31"/>
    <w:rsid w:val="00A80A89"/>
    <w:rsid w:val="00A80AF2"/>
    <w:rsid w:val="00A80AFE"/>
    <w:rsid w:val="00A80B86"/>
    <w:rsid w:val="00A80B90"/>
    <w:rsid w:val="00A80BA6"/>
    <w:rsid w:val="00A80BB5"/>
    <w:rsid w:val="00A80BD1"/>
    <w:rsid w:val="00A80C18"/>
    <w:rsid w:val="00A80C23"/>
    <w:rsid w:val="00A80C58"/>
    <w:rsid w:val="00A80CB8"/>
    <w:rsid w:val="00A80D0E"/>
    <w:rsid w:val="00A80D52"/>
    <w:rsid w:val="00A80DDC"/>
    <w:rsid w:val="00A80E10"/>
    <w:rsid w:val="00A80E3C"/>
    <w:rsid w:val="00A80E9E"/>
    <w:rsid w:val="00A80EAD"/>
    <w:rsid w:val="00A80EBC"/>
    <w:rsid w:val="00A80EBF"/>
    <w:rsid w:val="00A80ED0"/>
    <w:rsid w:val="00A80EE5"/>
    <w:rsid w:val="00A81019"/>
    <w:rsid w:val="00A8102A"/>
    <w:rsid w:val="00A81066"/>
    <w:rsid w:val="00A8108C"/>
    <w:rsid w:val="00A810DC"/>
    <w:rsid w:val="00A810DF"/>
    <w:rsid w:val="00A810F7"/>
    <w:rsid w:val="00A81130"/>
    <w:rsid w:val="00A8117C"/>
    <w:rsid w:val="00A81190"/>
    <w:rsid w:val="00A811F5"/>
    <w:rsid w:val="00A811FA"/>
    <w:rsid w:val="00A81274"/>
    <w:rsid w:val="00A81286"/>
    <w:rsid w:val="00A812CE"/>
    <w:rsid w:val="00A8132D"/>
    <w:rsid w:val="00A81343"/>
    <w:rsid w:val="00A81369"/>
    <w:rsid w:val="00A813A7"/>
    <w:rsid w:val="00A81406"/>
    <w:rsid w:val="00A81416"/>
    <w:rsid w:val="00A8143A"/>
    <w:rsid w:val="00A81462"/>
    <w:rsid w:val="00A81499"/>
    <w:rsid w:val="00A81534"/>
    <w:rsid w:val="00A81556"/>
    <w:rsid w:val="00A81583"/>
    <w:rsid w:val="00A815C6"/>
    <w:rsid w:val="00A815D8"/>
    <w:rsid w:val="00A815E6"/>
    <w:rsid w:val="00A8161F"/>
    <w:rsid w:val="00A81679"/>
    <w:rsid w:val="00A816C6"/>
    <w:rsid w:val="00A81713"/>
    <w:rsid w:val="00A81721"/>
    <w:rsid w:val="00A8174A"/>
    <w:rsid w:val="00A817E3"/>
    <w:rsid w:val="00A817F0"/>
    <w:rsid w:val="00A81820"/>
    <w:rsid w:val="00A81854"/>
    <w:rsid w:val="00A8185C"/>
    <w:rsid w:val="00A8186D"/>
    <w:rsid w:val="00A81905"/>
    <w:rsid w:val="00A8193B"/>
    <w:rsid w:val="00A81952"/>
    <w:rsid w:val="00A819D6"/>
    <w:rsid w:val="00A819F5"/>
    <w:rsid w:val="00A81A01"/>
    <w:rsid w:val="00A81A39"/>
    <w:rsid w:val="00A81A61"/>
    <w:rsid w:val="00A81A80"/>
    <w:rsid w:val="00A81A8A"/>
    <w:rsid w:val="00A81AFE"/>
    <w:rsid w:val="00A81B63"/>
    <w:rsid w:val="00A81B65"/>
    <w:rsid w:val="00A81BBA"/>
    <w:rsid w:val="00A81BF7"/>
    <w:rsid w:val="00A81C05"/>
    <w:rsid w:val="00A81C0A"/>
    <w:rsid w:val="00A81C49"/>
    <w:rsid w:val="00A81C5C"/>
    <w:rsid w:val="00A81C6E"/>
    <w:rsid w:val="00A81CAC"/>
    <w:rsid w:val="00A81CB8"/>
    <w:rsid w:val="00A81CDD"/>
    <w:rsid w:val="00A81D1F"/>
    <w:rsid w:val="00A81D54"/>
    <w:rsid w:val="00A81D71"/>
    <w:rsid w:val="00A81D79"/>
    <w:rsid w:val="00A81D80"/>
    <w:rsid w:val="00A81DAB"/>
    <w:rsid w:val="00A81DED"/>
    <w:rsid w:val="00A81E2A"/>
    <w:rsid w:val="00A81E44"/>
    <w:rsid w:val="00A81E47"/>
    <w:rsid w:val="00A81E50"/>
    <w:rsid w:val="00A81EAC"/>
    <w:rsid w:val="00A81EF6"/>
    <w:rsid w:val="00A81F13"/>
    <w:rsid w:val="00A81F1B"/>
    <w:rsid w:val="00A81F1E"/>
    <w:rsid w:val="00A81F37"/>
    <w:rsid w:val="00A81F42"/>
    <w:rsid w:val="00A81F5D"/>
    <w:rsid w:val="00A81F62"/>
    <w:rsid w:val="00A81F90"/>
    <w:rsid w:val="00A81F94"/>
    <w:rsid w:val="00A81FD4"/>
    <w:rsid w:val="00A81FEF"/>
    <w:rsid w:val="00A81FF2"/>
    <w:rsid w:val="00A81FF7"/>
    <w:rsid w:val="00A82043"/>
    <w:rsid w:val="00A820B6"/>
    <w:rsid w:val="00A82123"/>
    <w:rsid w:val="00A8214C"/>
    <w:rsid w:val="00A821C1"/>
    <w:rsid w:val="00A821E1"/>
    <w:rsid w:val="00A821FF"/>
    <w:rsid w:val="00A82217"/>
    <w:rsid w:val="00A8224C"/>
    <w:rsid w:val="00A8229B"/>
    <w:rsid w:val="00A822D1"/>
    <w:rsid w:val="00A822ED"/>
    <w:rsid w:val="00A822F4"/>
    <w:rsid w:val="00A82356"/>
    <w:rsid w:val="00A8236B"/>
    <w:rsid w:val="00A82379"/>
    <w:rsid w:val="00A8239A"/>
    <w:rsid w:val="00A823A3"/>
    <w:rsid w:val="00A823F1"/>
    <w:rsid w:val="00A82405"/>
    <w:rsid w:val="00A82424"/>
    <w:rsid w:val="00A8243B"/>
    <w:rsid w:val="00A82444"/>
    <w:rsid w:val="00A82474"/>
    <w:rsid w:val="00A82479"/>
    <w:rsid w:val="00A8248E"/>
    <w:rsid w:val="00A824AD"/>
    <w:rsid w:val="00A82506"/>
    <w:rsid w:val="00A82507"/>
    <w:rsid w:val="00A825CB"/>
    <w:rsid w:val="00A82603"/>
    <w:rsid w:val="00A82617"/>
    <w:rsid w:val="00A826B2"/>
    <w:rsid w:val="00A8274E"/>
    <w:rsid w:val="00A827DC"/>
    <w:rsid w:val="00A827E6"/>
    <w:rsid w:val="00A8282C"/>
    <w:rsid w:val="00A82868"/>
    <w:rsid w:val="00A8291D"/>
    <w:rsid w:val="00A82952"/>
    <w:rsid w:val="00A82984"/>
    <w:rsid w:val="00A82A1C"/>
    <w:rsid w:val="00A82A93"/>
    <w:rsid w:val="00A82ABB"/>
    <w:rsid w:val="00A82AEF"/>
    <w:rsid w:val="00A82B09"/>
    <w:rsid w:val="00A82B15"/>
    <w:rsid w:val="00A82B92"/>
    <w:rsid w:val="00A82BA8"/>
    <w:rsid w:val="00A82BD3"/>
    <w:rsid w:val="00A82C39"/>
    <w:rsid w:val="00A82C3A"/>
    <w:rsid w:val="00A82C53"/>
    <w:rsid w:val="00A82C7C"/>
    <w:rsid w:val="00A82D36"/>
    <w:rsid w:val="00A82D3B"/>
    <w:rsid w:val="00A82D52"/>
    <w:rsid w:val="00A82D8A"/>
    <w:rsid w:val="00A82DCD"/>
    <w:rsid w:val="00A82DCE"/>
    <w:rsid w:val="00A82DE2"/>
    <w:rsid w:val="00A82E08"/>
    <w:rsid w:val="00A82E8D"/>
    <w:rsid w:val="00A82F05"/>
    <w:rsid w:val="00A82F64"/>
    <w:rsid w:val="00A83077"/>
    <w:rsid w:val="00A8311A"/>
    <w:rsid w:val="00A8312C"/>
    <w:rsid w:val="00A831DE"/>
    <w:rsid w:val="00A831E8"/>
    <w:rsid w:val="00A83200"/>
    <w:rsid w:val="00A8320B"/>
    <w:rsid w:val="00A8321D"/>
    <w:rsid w:val="00A8325D"/>
    <w:rsid w:val="00A832A6"/>
    <w:rsid w:val="00A832AD"/>
    <w:rsid w:val="00A832B8"/>
    <w:rsid w:val="00A832F2"/>
    <w:rsid w:val="00A83321"/>
    <w:rsid w:val="00A83373"/>
    <w:rsid w:val="00A8338A"/>
    <w:rsid w:val="00A83413"/>
    <w:rsid w:val="00A83433"/>
    <w:rsid w:val="00A8346D"/>
    <w:rsid w:val="00A834CF"/>
    <w:rsid w:val="00A834DE"/>
    <w:rsid w:val="00A834F2"/>
    <w:rsid w:val="00A8354E"/>
    <w:rsid w:val="00A8358B"/>
    <w:rsid w:val="00A835ED"/>
    <w:rsid w:val="00A8365D"/>
    <w:rsid w:val="00A8366B"/>
    <w:rsid w:val="00A8366E"/>
    <w:rsid w:val="00A83694"/>
    <w:rsid w:val="00A83697"/>
    <w:rsid w:val="00A836B4"/>
    <w:rsid w:val="00A83728"/>
    <w:rsid w:val="00A83754"/>
    <w:rsid w:val="00A83756"/>
    <w:rsid w:val="00A83770"/>
    <w:rsid w:val="00A83789"/>
    <w:rsid w:val="00A83791"/>
    <w:rsid w:val="00A837A3"/>
    <w:rsid w:val="00A837DB"/>
    <w:rsid w:val="00A837E2"/>
    <w:rsid w:val="00A837F7"/>
    <w:rsid w:val="00A8383E"/>
    <w:rsid w:val="00A83928"/>
    <w:rsid w:val="00A83940"/>
    <w:rsid w:val="00A839C2"/>
    <w:rsid w:val="00A839F2"/>
    <w:rsid w:val="00A83A01"/>
    <w:rsid w:val="00A83A04"/>
    <w:rsid w:val="00A83A0F"/>
    <w:rsid w:val="00A83A3C"/>
    <w:rsid w:val="00A83A80"/>
    <w:rsid w:val="00A83B5B"/>
    <w:rsid w:val="00A83B6A"/>
    <w:rsid w:val="00A83BD5"/>
    <w:rsid w:val="00A83BD6"/>
    <w:rsid w:val="00A83BE1"/>
    <w:rsid w:val="00A83C6A"/>
    <w:rsid w:val="00A83C8B"/>
    <w:rsid w:val="00A83CE3"/>
    <w:rsid w:val="00A83DCD"/>
    <w:rsid w:val="00A83E3E"/>
    <w:rsid w:val="00A83E86"/>
    <w:rsid w:val="00A83E94"/>
    <w:rsid w:val="00A83F23"/>
    <w:rsid w:val="00A83F50"/>
    <w:rsid w:val="00A83F56"/>
    <w:rsid w:val="00A83FA6"/>
    <w:rsid w:val="00A83FC7"/>
    <w:rsid w:val="00A83FCE"/>
    <w:rsid w:val="00A84009"/>
    <w:rsid w:val="00A8401A"/>
    <w:rsid w:val="00A84050"/>
    <w:rsid w:val="00A84051"/>
    <w:rsid w:val="00A840C7"/>
    <w:rsid w:val="00A840D1"/>
    <w:rsid w:val="00A840D9"/>
    <w:rsid w:val="00A840E9"/>
    <w:rsid w:val="00A84120"/>
    <w:rsid w:val="00A84127"/>
    <w:rsid w:val="00A84135"/>
    <w:rsid w:val="00A84172"/>
    <w:rsid w:val="00A841D9"/>
    <w:rsid w:val="00A841E0"/>
    <w:rsid w:val="00A8420A"/>
    <w:rsid w:val="00A84288"/>
    <w:rsid w:val="00A8428D"/>
    <w:rsid w:val="00A842FC"/>
    <w:rsid w:val="00A84377"/>
    <w:rsid w:val="00A84378"/>
    <w:rsid w:val="00A8439D"/>
    <w:rsid w:val="00A84424"/>
    <w:rsid w:val="00A84438"/>
    <w:rsid w:val="00A8444B"/>
    <w:rsid w:val="00A84471"/>
    <w:rsid w:val="00A844C6"/>
    <w:rsid w:val="00A844EB"/>
    <w:rsid w:val="00A8454C"/>
    <w:rsid w:val="00A8457D"/>
    <w:rsid w:val="00A84602"/>
    <w:rsid w:val="00A8460D"/>
    <w:rsid w:val="00A84611"/>
    <w:rsid w:val="00A84637"/>
    <w:rsid w:val="00A8466D"/>
    <w:rsid w:val="00A84695"/>
    <w:rsid w:val="00A8479D"/>
    <w:rsid w:val="00A8481C"/>
    <w:rsid w:val="00A84881"/>
    <w:rsid w:val="00A84897"/>
    <w:rsid w:val="00A848DD"/>
    <w:rsid w:val="00A84918"/>
    <w:rsid w:val="00A849D9"/>
    <w:rsid w:val="00A849FE"/>
    <w:rsid w:val="00A84A61"/>
    <w:rsid w:val="00A84A73"/>
    <w:rsid w:val="00A84B33"/>
    <w:rsid w:val="00A84B41"/>
    <w:rsid w:val="00A84B6E"/>
    <w:rsid w:val="00A84B91"/>
    <w:rsid w:val="00A84BE3"/>
    <w:rsid w:val="00A84BF5"/>
    <w:rsid w:val="00A84C64"/>
    <w:rsid w:val="00A84C65"/>
    <w:rsid w:val="00A84C83"/>
    <w:rsid w:val="00A84D45"/>
    <w:rsid w:val="00A84DAB"/>
    <w:rsid w:val="00A84DB0"/>
    <w:rsid w:val="00A84DEC"/>
    <w:rsid w:val="00A84F15"/>
    <w:rsid w:val="00A84F7B"/>
    <w:rsid w:val="00A84FDD"/>
    <w:rsid w:val="00A85021"/>
    <w:rsid w:val="00A85036"/>
    <w:rsid w:val="00A850F1"/>
    <w:rsid w:val="00A8510D"/>
    <w:rsid w:val="00A8514E"/>
    <w:rsid w:val="00A85159"/>
    <w:rsid w:val="00A85162"/>
    <w:rsid w:val="00A851A2"/>
    <w:rsid w:val="00A851C0"/>
    <w:rsid w:val="00A851DF"/>
    <w:rsid w:val="00A8522D"/>
    <w:rsid w:val="00A85305"/>
    <w:rsid w:val="00A8540F"/>
    <w:rsid w:val="00A85430"/>
    <w:rsid w:val="00A85452"/>
    <w:rsid w:val="00A8548B"/>
    <w:rsid w:val="00A85565"/>
    <w:rsid w:val="00A855CE"/>
    <w:rsid w:val="00A85626"/>
    <w:rsid w:val="00A856EA"/>
    <w:rsid w:val="00A856FF"/>
    <w:rsid w:val="00A85764"/>
    <w:rsid w:val="00A8576A"/>
    <w:rsid w:val="00A8577E"/>
    <w:rsid w:val="00A857B6"/>
    <w:rsid w:val="00A857C3"/>
    <w:rsid w:val="00A857DC"/>
    <w:rsid w:val="00A857FA"/>
    <w:rsid w:val="00A85834"/>
    <w:rsid w:val="00A858C0"/>
    <w:rsid w:val="00A858D5"/>
    <w:rsid w:val="00A85916"/>
    <w:rsid w:val="00A8598D"/>
    <w:rsid w:val="00A859D4"/>
    <w:rsid w:val="00A85A3F"/>
    <w:rsid w:val="00A85A7E"/>
    <w:rsid w:val="00A85AC8"/>
    <w:rsid w:val="00A85AD7"/>
    <w:rsid w:val="00A85ADA"/>
    <w:rsid w:val="00A85B7F"/>
    <w:rsid w:val="00A85B88"/>
    <w:rsid w:val="00A85BB3"/>
    <w:rsid w:val="00A85BD6"/>
    <w:rsid w:val="00A85C7C"/>
    <w:rsid w:val="00A85CC1"/>
    <w:rsid w:val="00A85CEF"/>
    <w:rsid w:val="00A85D3A"/>
    <w:rsid w:val="00A85DE2"/>
    <w:rsid w:val="00A85E20"/>
    <w:rsid w:val="00A85E6C"/>
    <w:rsid w:val="00A85E8E"/>
    <w:rsid w:val="00A85EB3"/>
    <w:rsid w:val="00A85F14"/>
    <w:rsid w:val="00A85F49"/>
    <w:rsid w:val="00A85F67"/>
    <w:rsid w:val="00A85FAC"/>
    <w:rsid w:val="00A85FCB"/>
    <w:rsid w:val="00A86003"/>
    <w:rsid w:val="00A86015"/>
    <w:rsid w:val="00A86059"/>
    <w:rsid w:val="00A86093"/>
    <w:rsid w:val="00A860AA"/>
    <w:rsid w:val="00A860C4"/>
    <w:rsid w:val="00A86133"/>
    <w:rsid w:val="00A86177"/>
    <w:rsid w:val="00A86190"/>
    <w:rsid w:val="00A861D2"/>
    <w:rsid w:val="00A861DA"/>
    <w:rsid w:val="00A861E4"/>
    <w:rsid w:val="00A86226"/>
    <w:rsid w:val="00A86231"/>
    <w:rsid w:val="00A8623C"/>
    <w:rsid w:val="00A86243"/>
    <w:rsid w:val="00A86279"/>
    <w:rsid w:val="00A862A3"/>
    <w:rsid w:val="00A8638A"/>
    <w:rsid w:val="00A8639E"/>
    <w:rsid w:val="00A86415"/>
    <w:rsid w:val="00A86441"/>
    <w:rsid w:val="00A86469"/>
    <w:rsid w:val="00A864B2"/>
    <w:rsid w:val="00A864F3"/>
    <w:rsid w:val="00A86519"/>
    <w:rsid w:val="00A86579"/>
    <w:rsid w:val="00A86592"/>
    <w:rsid w:val="00A865A3"/>
    <w:rsid w:val="00A86652"/>
    <w:rsid w:val="00A8665E"/>
    <w:rsid w:val="00A866D5"/>
    <w:rsid w:val="00A8670A"/>
    <w:rsid w:val="00A86715"/>
    <w:rsid w:val="00A8674D"/>
    <w:rsid w:val="00A86756"/>
    <w:rsid w:val="00A86776"/>
    <w:rsid w:val="00A86798"/>
    <w:rsid w:val="00A867A5"/>
    <w:rsid w:val="00A867D6"/>
    <w:rsid w:val="00A867E1"/>
    <w:rsid w:val="00A86854"/>
    <w:rsid w:val="00A8685F"/>
    <w:rsid w:val="00A868FC"/>
    <w:rsid w:val="00A86916"/>
    <w:rsid w:val="00A86955"/>
    <w:rsid w:val="00A86961"/>
    <w:rsid w:val="00A869A3"/>
    <w:rsid w:val="00A869CB"/>
    <w:rsid w:val="00A86A32"/>
    <w:rsid w:val="00A86A6C"/>
    <w:rsid w:val="00A86B2C"/>
    <w:rsid w:val="00A86BA6"/>
    <w:rsid w:val="00A86C10"/>
    <w:rsid w:val="00A86C67"/>
    <w:rsid w:val="00A86CEC"/>
    <w:rsid w:val="00A86CF1"/>
    <w:rsid w:val="00A86CFF"/>
    <w:rsid w:val="00A86D4F"/>
    <w:rsid w:val="00A86D50"/>
    <w:rsid w:val="00A86DB2"/>
    <w:rsid w:val="00A86DCD"/>
    <w:rsid w:val="00A86E1A"/>
    <w:rsid w:val="00A86E5F"/>
    <w:rsid w:val="00A86E67"/>
    <w:rsid w:val="00A86EBD"/>
    <w:rsid w:val="00A86EDB"/>
    <w:rsid w:val="00A86F0B"/>
    <w:rsid w:val="00A86FAC"/>
    <w:rsid w:val="00A86FF4"/>
    <w:rsid w:val="00A87042"/>
    <w:rsid w:val="00A87084"/>
    <w:rsid w:val="00A870A9"/>
    <w:rsid w:val="00A870C7"/>
    <w:rsid w:val="00A870F6"/>
    <w:rsid w:val="00A87117"/>
    <w:rsid w:val="00A87135"/>
    <w:rsid w:val="00A8715C"/>
    <w:rsid w:val="00A871DC"/>
    <w:rsid w:val="00A87209"/>
    <w:rsid w:val="00A87290"/>
    <w:rsid w:val="00A872C0"/>
    <w:rsid w:val="00A872EA"/>
    <w:rsid w:val="00A8730C"/>
    <w:rsid w:val="00A87381"/>
    <w:rsid w:val="00A87388"/>
    <w:rsid w:val="00A8743F"/>
    <w:rsid w:val="00A87458"/>
    <w:rsid w:val="00A87471"/>
    <w:rsid w:val="00A87482"/>
    <w:rsid w:val="00A874EE"/>
    <w:rsid w:val="00A874FB"/>
    <w:rsid w:val="00A87513"/>
    <w:rsid w:val="00A8751D"/>
    <w:rsid w:val="00A87577"/>
    <w:rsid w:val="00A875D1"/>
    <w:rsid w:val="00A87607"/>
    <w:rsid w:val="00A8761A"/>
    <w:rsid w:val="00A87640"/>
    <w:rsid w:val="00A87697"/>
    <w:rsid w:val="00A876AA"/>
    <w:rsid w:val="00A876C7"/>
    <w:rsid w:val="00A876ED"/>
    <w:rsid w:val="00A87717"/>
    <w:rsid w:val="00A87720"/>
    <w:rsid w:val="00A877AF"/>
    <w:rsid w:val="00A877BA"/>
    <w:rsid w:val="00A877FC"/>
    <w:rsid w:val="00A87800"/>
    <w:rsid w:val="00A878D4"/>
    <w:rsid w:val="00A878F9"/>
    <w:rsid w:val="00A8793B"/>
    <w:rsid w:val="00A879B0"/>
    <w:rsid w:val="00A879B5"/>
    <w:rsid w:val="00A879DB"/>
    <w:rsid w:val="00A879DE"/>
    <w:rsid w:val="00A87A0B"/>
    <w:rsid w:val="00A87A32"/>
    <w:rsid w:val="00A87A37"/>
    <w:rsid w:val="00A87A3B"/>
    <w:rsid w:val="00A87A41"/>
    <w:rsid w:val="00A87A8D"/>
    <w:rsid w:val="00A87A90"/>
    <w:rsid w:val="00A87ACF"/>
    <w:rsid w:val="00A87AD5"/>
    <w:rsid w:val="00A87ADC"/>
    <w:rsid w:val="00A87B06"/>
    <w:rsid w:val="00A87BAC"/>
    <w:rsid w:val="00A87C04"/>
    <w:rsid w:val="00A87C60"/>
    <w:rsid w:val="00A87C6C"/>
    <w:rsid w:val="00A87CA8"/>
    <w:rsid w:val="00A87CAD"/>
    <w:rsid w:val="00A87D00"/>
    <w:rsid w:val="00A87D09"/>
    <w:rsid w:val="00A87D39"/>
    <w:rsid w:val="00A87D43"/>
    <w:rsid w:val="00A87D4D"/>
    <w:rsid w:val="00A87E30"/>
    <w:rsid w:val="00A87E45"/>
    <w:rsid w:val="00A87E60"/>
    <w:rsid w:val="00A87E9F"/>
    <w:rsid w:val="00A87F08"/>
    <w:rsid w:val="00A87F0B"/>
    <w:rsid w:val="00A87F23"/>
    <w:rsid w:val="00A87F35"/>
    <w:rsid w:val="00A87F59"/>
    <w:rsid w:val="00A87F78"/>
    <w:rsid w:val="00A87FB8"/>
    <w:rsid w:val="00A9001D"/>
    <w:rsid w:val="00A90052"/>
    <w:rsid w:val="00A9006C"/>
    <w:rsid w:val="00A900FC"/>
    <w:rsid w:val="00A90136"/>
    <w:rsid w:val="00A90144"/>
    <w:rsid w:val="00A90157"/>
    <w:rsid w:val="00A90179"/>
    <w:rsid w:val="00A90188"/>
    <w:rsid w:val="00A901A6"/>
    <w:rsid w:val="00A90273"/>
    <w:rsid w:val="00A9029C"/>
    <w:rsid w:val="00A902D2"/>
    <w:rsid w:val="00A9035A"/>
    <w:rsid w:val="00A903A9"/>
    <w:rsid w:val="00A903D0"/>
    <w:rsid w:val="00A903DD"/>
    <w:rsid w:val="00A903F4"/>
    <w:rsid w:val="00A90401"/>
    <w:rsid w:val="00A904D2"/>
    <w:rsid w:val="00A904EE"/>
    <w:rsid w:val="00A90509"/>
    <w:rsid w:val="00A90552"/>
    <w:rsid w:val="00A90597"/>
    <w:rsid w:val="00A905BF"/>
    <w:rsid w:val="00A90613"/>
    <w:rsid w:val="00A9062F"/>
    <w:rsid w:val="00A9064E"/>
    <w:rsid w:val="00A90676"/>
    <w:rsid w:val="00A906B4"/>
    <w:rsid w:val="00A906FB"/>
    <w:rsid w:val="00A90748"/>
    <w:rsid w:val="00A9074A"/>
    <w:rsid w:val="00A90752"/>
    <w:rsid w:val="00A9078F"/>
    <w:rsid w:val="00A907B2"/>
    <w:rsid w:val="00A90855"/>
    <w:rsid w:val="00A9085E"/>
    <w:rsid w:val="00A9086E"/>
    <w:rsid w:val="00A908D2"/>
    <w:rsid w:val="00A90905"/>
    <w:rsid w:val="00A90967"/>
    <w:rsid w:val="00A9099E"/>
    <w:rsid w:val="00A909D2"/>
    <w:rsid w:val="00A90A19"/>
    <w:rsid w:val="00A90A37"/>
    <w:rsid w:val="00A90A42"/>
    <w:rsid w:val="00A90AD7"/>
    <w:rsid w:val="00A90AEA"/>
    <w:rsid w:val="00A90B21"/>
    <w:rsid w:val="00A90B3E"/>
    <w:rsid w:val="00A90B7D"/>
    <w:rsid w:val="00A90BE8"/>
    <w:rsid w:val="00A90BEC"/>
    <w:rsid w:val="00A90BEF"/>
    <w:rsid w:val="00A90C19"/>
    <w:rsid w:val="00A90C5A"/>
    <w:rsid w:val="00A90C64"/>
    <w:rsid w:val="00A90CF1"/>
    <w:rsid w:val="00A90CF7"/>
    <w:rsid w:val="00A90D2E"/>
    <w:rsid w:val="00A90D6B"/>
    <w:rsid w:val="00A90D6D"/>
    <w:rsid w:val="00A90D6E"/>
    <w:rsid w:val="00A90D8F"/>
    <w:rsid w:val="00A90DD9"/>
    <w:rsid w:val="00A90E4D"/>
    <w:rsid w:val="00A90E62"/>
    <w:rsid w:val="00A90E78"/>
    <w:rsid w:val="00A90E8E"/>
    <w:rsid w:val="00A90EBA"/>
    <w:rsid w:val="00A90EBE"/>
    <w:rsid w:val="00A90ECD"/>
    <w:rsid w:val="00A90EE0"/>
    <w:rsid w:val="00A90F0D"/>
    <w:rsid w:val="00A90F77"/>
    <w:rsid w:val="00A90FC0"/>
    <w:rsid w:val="00A9105A"/>
    <w:rsid w:val="00A9106A"/>
    <w:rsid w:val="00A910B9"/>
    <w:rsid w:val="00A910FE"/>
    <w:rsid w:val="00A91143"/>
    <w:rsid w:val="00A91147"/>
    <w:rsid w:val="00A911A0"/>
    <w:rsid w:val="00A911A9"/>
    <w:rsid w:val="00A911AB"/>
    <w:rsid w:val="00A911AD"/>
    <w:rsid w:val="00A91216"/>
    <w:rsid w:val="00A9121E"/>
    <w:rsid w:val="00A9127D"/>
    <w:rsid w:val="00A91291"/>
    <w:rsid w:val="00A912D1"/>
    <w:rsid w:val="00A91313"/>
    <w:rsid w:val="00A9135B"/>
    <w:rsid w:val="00A91371"/>
    <w:rsid w:val="00A913AD"/>
    <w:rsid w:val="00A913B2"/>
    <w:rsid w:val="00A913DD"/>
    <w:rsid w:val="00A913E9"/>
    <w:rsid w:val="00A91530"/>
    <w:rsid w:val="00A91559"/>
    <w:rsid w:val="00A91577"/>
    <w:rsid w:val="00A915CF"/>
    <w:rsid w:val="00A9163B"/>
    <w:rsid w:val="00A916E6"/>
    <w:rsid w:val="00A91708"/>
    <w:rsid w:val="00A9174E"/>
    <w:rsid w:val="00A91788"/>
    <w:rsid w:val="00A91789"/>
    <w:rsid w:val="00A917CB"/>
    <w:rsid w:val="00A917DB"/>
    <w:rsid w:val="00A917ED"/>
    <w:rsid w:val="00A91809"/>
    <w:rsid w:val="00A918A3"/>
    <w:rsid w:val="00A9190C"/>
    <w:rsid w:val="00A91912"/>
    <w:rsid w:val="00A91920"/>
    <w:rsid w:val="00A91968"/>
    <w:rsid w:val="00A9199E"/>
    <w:rsid w:val="00A91ACD"/>
    <w:rsid w:val="00A91ADB"/>
    <w:rsid w:val="00A91ADD"/>
    <w:rsid w:val="00A91B27"/>
    <w:rsid w:val="00A91B4A"/>
    <w:rsid w:val="00A91BA2"/>
    <w:rsid w:val="00A91C1E"/>
    <w:rsid w:val="00A91C3F"/>
    <w:rsid w:val="00A91C58"/>
    <w:rsid w:val="00A91C6E"/>
    <w:rsid w:val="00A91C8D"/>
    <w:rsid w:val="00A91CFC"/>
    <w:rsid w:val="00A91D78"/>
    <w:rsid w:val="00A91DC5"/>
    <w:rsid w:val="00A91E3A"/>
    <w:rsid w:val="00A91F7A"/>
    <w:rsid w:val="00A91FDB"/>
    <w:rsid w:val="00A92004"/>
    <w:rsid w:val="00A92008"/>
    <w:rsid w:val="00A92019"/>
    <w:rsid w:val="00A9203C"/>
    <w:rsid w:val="00A92062"/>
    <w:rsid w:val="00A9207C"/>
    <w:rsid w:val="00A920EF"/>
    <w:rsid w:val="00A920F4"/>
    <w:rsid w:val="00A92118"/>
    <w:rsid w:val="00A92146"/>
    <w:rsid w:val="00A92162"/>
    <w:rsid w:val="00A92163"/>
    <w:rsid w:val="00A92166"/>
    <w:rsid w:val="00A921B4"/>
    <w:rsid w:val="00A92205"/>
    <w:rsid w:val="00A92230"/>
    <w:rsid w:val="00A92297"/>
    <w:rsid w:val="00A922B4"/>
    <w:rsid w:val="00A922D0"/>
    <w:rsid w:val="00A922D1"/>
    <w:rsid w:val="00A922FD"/>
    <w:rsid w:val="00A92306"/>
    <w:rsid w:val="00A9239C"/>
    <w:rsid w:val="00A92445"/>
    <w:rsid w:val="00A924A2"/>
    <w:rsid w:val="00A924BB"/>
    <w:rsid w:val="00A924C5"/>
    <w:rsid w:val="00A9257B"/>
    <w:rsid w:val="00A92583"/>
    <w:rsid w:val="00A92593"/>
    <w:rsid w:val="00A925B4"/>
    <w:rsid w:val="00A925FC"/>
    <w:rsid w:val="00A92605"/>
    <w:rsid w:val="00A9260A"/>
    <w:rsid w:val="00A92619"/>
    <w:rsid w:val="00A9274C"/>
    <w:rsid w:val="00A9276D"/>
    <w:rsid w:val="00A9277C"/>
    <w:rsid w:val="00A927AE"/>
    <w:rsid w:val="00A927B5"/>
    <w:rsid w:val="00A9281F"/>
    <w:rsid w:val="00A9287D"/>
    <w:rsid w:val="00A928B6"/>
    <w:rsid w:val="00A928BE"/>
    <w:rsid w:val="00A928C0"/>
    <w:rsid w:val="00A928C7"/>
    <w:rsid w:val="00A928D3"/>
    <w:rsid w:val="00A928FF"/>
    <w:rsid w:val="00A92910"/>
    <w:rsid w:val="00A92936"/>
    <w:rsid w:val="00A929AD"/>
    <w:rsid w:val="00A929C2"/>
    <w:rsid w:val="00A929F7"/>
    <w:rsid w:val="00A92A06"/>
    <w:rsid w:val="00A92A11"/>
    <w:rsid w:val="00A92A5F"/>
    <w:rsid w:val="00A92A68"/>
    <w:rsid w:val="00A92A7F"/>
    <w:rsid w:val="00A92AA2"/>
    <w:rsid w:val="00A92B8A"/>
    <w:rsid w:val="00A92BAA"/>
    <w:rsid w:val="00A92C11"/>
    <w:rsid w:val="00A92C4A"/>
    <w:rsid w:val="00A92C85"/>
    <w:rsid w:val="00A92C8E"/>
    <w:rsid w:val="00A92C99"/>
    <w:rsid w:val="00A92CC9"/>
    <w:rsid w:val="00A92E05"/>
    <w:rsid w:val="00A92E48"/>
    <w:rsid w:val="00A92E7F"/>
    <w:rsid w:val="00A92EB0"/>
    <w:rsid w:val="00A92EF8"/>
    <w:rsid w:val="00A92F33"/>
    <w:rsid w:val="00A92F48"/>
    <w:rsid w:val="00A92F49"/>
    <w:rsid w:val="00A92F4F"/>
    <w:rsid w:val="00A92FFF"/>
    <w:rsid w:val="00A9301C"/>
    <w:rsid w:val="00A93062"/>
    <w:rsid w:val="00A93091"/>
    <w:rsid w:val="00A930AA"/>
    <w:rsid w:val="00A930C8"/>
    <w:rsid w:val="00A930FF"/>
    <w:rsid w:val="00A93108"/>
    <w:rsid w:val="00A93199"/>
    <w:rsid w:val="00A931D1"/>
    <w:rsid w:val="00A931DE"/>
    <w:rsid w:val="00A93234"/>
    <w:rsid w:val="00A93267"/>
    <w:rsid w:val="00A932B6"/>
    <w:rsid w:val="00A932DC"/>
    <w:rsid w:val="00A932FA"/>
    <w:rsid w:val="00A93309"/>
    <w:rsid w:val="00A93319"/>
    <w:rsid w:val="00A93365"/>
    <w:rsid w:val="00A9337C"/>
    <w:rsid w:val="00A93392"/>
    <w:rsid w:val="00A93409"/>
    <w:rsid w:val="00A934CA"/>
    <w:rsid w:val="00A9350A"/>
    <w:rsid w:val="00A9353D"/>
    <w:rsid w:val="00A93575"/>
    <w:rsid w:val="00A935B7"/>
    <w:rsid w:val="00A935D7"/>
    <w:rsid w:val="00A935E3"/>
    <w:rsid w:val="00A935E9"/>
    <w:rsid w:val="00A93644"/>
    <w:rsid w:val="00A936A1"/>
    <w:rsid w:val="00A93707"/>
    <w:rsid w:val="00A93764"/>
    <w:rsid w:val="00A9377D"/>
    <w:rsid w:val="00A93792"/>
    <w:rsid w:val="00A937A0"/>
    <w:rsid w:val="00A937A7"/>
    <w:rsid w:val="00A937AB"/>
    <w:rsid w:val="00A937C4"/>
    <w:rsid w:val="00A93825"/>
    <w:rsid w:val="00A93860"/>
    <w:rsid w:val="00A93886"/>
    <w:rsid w:val="00A938B1"/>
    <w:rsid w:val="00A93997"/>
    <w:rsid w:val="00A939D9"/>
    <w:rsid w:val="00A93A65"/>
    <w:rsid w:val="00A93A78"/>
    <w:rsid w:val="00A93AAB"/>
    <w:rsid w:val="00A93B12"/>
    <w:rsid w:val="00A93B7A"/>
    <w:rsid w:val="00A93BA9"/>
    <w:rsid w:val="00A93BD6"/>
    <w:rsid w:val="00A93BF3"/>
    <w:rsid w:val="00A93C8B"/>
    <w:rsid w:val="00A93CAC"/>
    <w:rsid w:val="00A93CCB"/>
    <w:rsid w:val="00A93CE0"/>
    <w:rsid w:val="00A93D69"/>
    <w:rsid w:val="00A93DE2"/>
    <w:rsid w:val="00A93E2A"/>
    <w:rsid w:val="00A93EC5"/>
    <w:rsid w:val="00A93F4F"/>
    <w:rsid w:val="00A93FCE"/>
    <w:rsid w:val="00A93FD5"/>
    <w:rsid w:val="00A9400C"/>
    <w:rsid w:val="00A9400F"/>
    <w:rsid w:val="00A9401C"/>
    <w:rsid w:val="00A94032"/>
    <w:rsid w:val="00A9405A"/>
    <w:rsid w:val="00A9408B"/>
    <w:rsid w:val="00A94091"/>
    <w:rsid w:val="00A940C1"/>
    <w:rsid w:val="00A940EF"/>
    <w:rsid w:val="00A94144"/>
    <w:rsid w:val="00A941BE"/>
    <w:rsid w:val="00A941D9"/>
    <w:rsid w:val="00A9420A"/>
    <w:rsid w:val="00A9423D"/>
    <w:rsid w:val="00A94259"/>
    <w:rsid w:val="00A94265"/>
    <w:rsid w:val="00A9427B"/>
    <w:rsid w:val="00A942AD"/>
    <w:rsid w:val="00A942BF"/>
    <w:rsid w:val="00A942C2"/>
    <w:rsid w:val="00A942FF"/>
    <w:rsid w:val="00A9435A"/>
    <w:rsid w:val="00A943AE"/>
    <w:rsid w:val="00A943D6"/>
    <w:rsid w:val="00A9443D"/>
    <w:rsid w:val="00A9444C"/>
    <w:rsid w:val="00A944A5"/>
    <w:rsid w:val="00A9454A"/>
    <w:rsid w:val="00A9457E"/>
    <w:rsid w:val="00A945B8"/>
    <w:rsid w:val="00A9461B"/>
    <w:rsid w:val="00A94631"/>
    <w:rsid w:val="00A9467D"/>
    <w:rsid w:val="00A9468A"/>
    <w:rsid w:val="00A946D5"/>
    <w:rsid w:val="00A947EF"/>
    <w:rsid w:val="00A947FE"/>
    <w:rsid w:val="00A9485D"/>
    <w:rsid w:val="00A9486D"/>
    <w:rsid w:val="00A94899"/>
    <w:rsid w:val="00A94910"/>
    <w:rsid w:val="00A94935"/>
    <w:rsid w:val="00A9493E"/>
    <w:rsid w:val="00A949CD"/>
    <w:rsid w:val="00A94A2A"/>
    <w:rsid w:val="00A94A36"/>
    <w:rsid w:val="00A94A78"/>
    <w:rsid w:val="00A94A8D"/>
    <w:rsid w:val="00A94A99"/>
    <w:rsid w:val="00A94A9F"/>
    <w:rsid w:val="00A94AEE"/>
    <w:rsid w:val="00A94B11"/>
    <w:rsid w:val="00A94B21"/>
    <w:rsid w:val="00A94B61"/>
    <w:rsid w:val="00A94BA5"/>
    <w:rsid w:val="00A94BA9"/>
    <w:rsid w:val="00A94BAF"/>
    <w:rsid w:val="00A94BB0"/>
    <w:rsid w:val="00A94C26"/>
    <w:rsid w:val="00A94C4E"/>
    <w:rsid w:val="00A94C7C"/>
    <w:rsid w:val="00A94C91"/>
    <w:rsid w:val="00A94D10"/>
    <w:rsid w:val="00A94D15"/>
    <w:rsid w:val="00A94DF6"/>
    <w:rsid w:val="00A94DF9"/>
    <w:rsid w:val="00A94E07"/>
    <w:rsid w:val="00A94E4E"/>
    <w:rsid w:val="00A94E81"/>
    <w:rsid w:val="00A94EC2"/>
    <w:rsid w:val="00A94ED8"/>
    <w:rsid w:val="00A94F3D"/>
    <w:rsid w:val="00A94F41"/>
    <w:rsid w:val="00A94F61"/>
    <w:rsid w:val="00A94FF2"/>
    <w:rsid w:val="00A95099"/>
    <w:rsid w:val="00A950EE"/>
    <w:rsid w:val="00A950F0"/>
    <w:rsid w:val="00A95151"/>
    <w:rsid w:val="00A95181"/>
    <w:rsid w:val="00A95202"/>
    <w:rsid w:val="00A95264"/>
    <w:rsid w:val="00A9526D"/>
    <w:rsid w:val="00A95273"/>
    <w:rsid w:val="00A9527C"/>
    <w:rsid w:val="00A9528F"/>
    <w:rsid w:val="00A952CA"/>
    <w:rsid w:val="00A95310"/>
    <w:rsid w:val="00A9532F"/>
    <w:rsid w:val="00A9533B"/>
    <w:rsid w:val="00A953BB"/>
    <w:rsid w:val="00A95416"/>
    <w:rsid w:val="00A95422"/>
    <w:rsid w:val="00A95461"/>
    <w:rsid w:val="00A9546C"/>
    <w:rsid w:val="00A95491"/>
    <w:rsid w:val="00A954BD"/>
    <w:rsid w:val="00A954CF"/>
    <w:rsid w:val="00A95577"/>
    <w:rsid w:val="00A9558A"/>
    <w:rsid w:val="00A955C2"/>
    <w:rsid w:val="00A955EB"/>
    <w:rsid w:val="00A95608"/>
    <w:rsid w:val="00A956AE"/>
    <w:rsid w:val="00A956D5"/>
    <w:rsid w:val="00A956E2"/>
    <w:rsid w:val="00A95727"/>
    <w:rsid w:val="00A9579C"/>
    <w:rsid w:val="00A957F6"/>
    <w:rsid w:val="00A95836"/>
    <w:rsid w:val="00A95852"/>
    <w:rsid w:val="00A9587D"/>
    <w:rsid w:val="00A958C0"/>
    <w:rsid w:val="00A958F7"/>
    <w:rsid w:val="00A95907"/>
    <w:rsid w:val="00A9592E"/>
    <w:rsid w:val="00A959AF"/>
    <w:rsid w:val="00A959C4"/>
    <w:rsid w:val="00A959E8"/>
    <w:rsid w:val="00A95A16"/>
    <w:rsid w:val="00A95A20"/>
    <w:rsid w:val="00A95B01"/>
    <w:rsid w:val="00A95B6E"/>
    <w:rsid w:val="00A95B83"/>
    <w:rsid w:val="00A95B96"/>
    <w:rsid w:val="00A95BD8"/>
    <w:rsid w:val="00A95C08"/>
    <w:rsid w:val="00A95C0E"/>
    <w:rsid w:val="00A95C51"/>
    <w:rsid w:val="00A95D06"/>
    <w:rsid w:val="00A95D1B"/>
    <w:rsid w:val="00A95D62"/>
    <w:rsid w:val="00A95DC4"/>
    <w:rsid w:val="00A95EA9"/>
    <w:rsid w:val="00A95F36"/>
    <w:rsid w:val="00A95FB0"/>
    <w:rsid w:val="00A95FB3"/>
    <w:rsid w:val="00A9600E"/>
    <w:rsid w:val="00A96067"/>
    <w:rsid w:val="00A96076"/>
    <w:rsid w:val="00A9607A"/>
    <w:rsid w:val="00A96091"/>
    <w:rsid w:val="00A960C8"/>
    <w:rsid w:val="00A96130"/>
    <w:rsid w:val="00A9617A"/>
    <w:rsid w:val="00A96195"/>
    <w:rsid w:val="00A961B2"/>
    <w:rsid w:val="00A961BB"/>
    <w:rsid w:val="00A96252"/>
    <w:rsid w:val="00A96265"/>
    <w:rsid w:val="00A9627F"/>
    <w:rsid w:val="00A96297"/>
    <w:rsid w:val="00A962A5"/>
    <w:rsid w:val="00A962B8"/>
    <w:rsid w:val="00A962E9"/>
    <w:rsid w:val="00A9632F"/>
    <w:rsid w:val="00A96336"/>
    <w:rsid w:val="00A9634E"/>
    <w:rsid w:val="00A96380"/>
    <w:rsid w:val="00A9639E"/>
    <w:rsid w:val="00A963BA"/>
    <w:rsid w:val="00A963E4"/>
    <w:rsid w:val="00A9643F"/>
    <w:rsid w:val="00A96477"/>
    <w:rsid w:val="00A9649A"/>
    <w:rsid w:val="00A964B6"/>
    <w:rsid w:val="00A964BE"/>
    <w:rsid w:val="00A964DB"/>
    <w:rsid w:val="00A964FC"/>
    <w:rsid w:val="00A9650F"/>
    <w:rsid w:val="00A9657C"/>
    <w:rsid w:val="00A965BE"/>
    <w:rsid w:val="00A965D2"/>
    <w:rsid w:val="00A965D3"/>
    <w:rsid w:val="00A965EB"/>
    <w:rsid w:val="00A96683"/>
    <w:rsid w:val="00A966B1"/>
    <w:rsid w:val="00A966E6"/>
    <w:rsid w:val="00A96749"/>
    <w:rsid w:val="00A967C6"/>
    <w:rsid w:val="00A9681C"/>
    <w:rsid w:val="00A96857"/>
    <w:rsid w:val="00A9688D"/>
    <w:rsid w:val="00A968B7"/>
    <w:rsid w:val="00A968C7"/>
    <w:rsid w:val="00A96922"/>
    <w:rsid w:val="00A9694D"/>
    <w:rsid w:val="00A96971"/>
    <w:rsid w:val="00A96995"/>
    <w:rsid w:val="00A969D6"/>
    <w:rsid w:val="00A96A13"/>
    <w:rsid w:val="00A96A28"/>
    <w:rsid w:val="00A96A32"/>
    <w:rsid w:val="00A96A47"/>
    <w:rsid w:val="00A96A6E"/>
    <w:rsid w:val="00A96A89"/>
    <w:rsid w:val="00A96B11"/>
    <w:rsid w:val="00A96B1B"/>
    <w:rsid w:val="00A96B2D"/>
    <w:rsid w:val="00A96B3D"/>
    <w:rsid w:val="00A96B4E"/>
    <w:rsid w:val="00A96B58"/>
    <w:rsid w:val="00A96BB2"/>
    <w:rsid w:val="00A96BBE"/>
    <w:rsid w:val="00A96C30"/>
    <w:rsid w:val="00A96C4F"/>
    <w:rsid w:val="00A96C81"/>
    <w:rsid w:val="00A96D11"/>
    <w:rsid w:val="00A96D60"/>
    <w:rsid w:val="00A96D7C"/>
    <w:rsid w:val="00A96D89"/>
    <w:rsid w:val="00A96DB0"/>
    <w:rsid w:val="00A96DDA"/>
    <w:rsid w:val="00A96E08"/>
    <w:rsid w:val="00A96EAF"/>
    <w:rsid w:val="00A96EB0"/>
    <w:rsid w:val="00A96ED4"/>
    <w:rsid w:val="00A97011"/>
    <w:rsid w:val="00A97025"/>
    <w:rsid w:val="00A97029"/>
    <w:rsid w:val="00A9702B"/>
    <w:rsid w:val="00A9703B"/>
    <w:rsid w:val="00A97044"/>
    <w:rsid w:val="00A97054"/>
    <w:rsid w:val="00A97078"/>
    <w:rsid w:val="00A97090"/>
    <w:rsid w:val="00A970B3"/>
    <w:rsid w:val="00A970D6"/>
    <w:rsid w:val="00A9714F"/>
    <w:rsid w:val="00A97193"/>
    <w:rsid w:val="00A971AE"/>
    <w:rsid w:val="00A971F9"/>
    <w:rsid w:val="00A9723A"/>
    <w:rsid w:val="00A9728C"/>
    <w:rsid w:val="00A97297"/>
    <w:rsid w:val="00A972E3"/>
    <w:rsid w:val="00A97307"/>
    <w:rsid w:val="00A9734C"/>
    <w:rsid w:val="00A97381"/>
    <w:rsid w:val="00A97460"/>
    <w:rsid w:val="00A97485"/>
    <w:rsid w:val="00A974A3"/>
    <w:rsid w:val="00A974EE"/>
    <w:rsid w:val="00A9753E"/>
    <w:rsid w:val="00A9754C"/>
    <w:rsid w:val="00A9758B"/>
    <w:rsid w:val="00A975A7"/>
    <w:rsid w:val="00A975D0"/>
    <w:rsid w:val="00A97628"/>
    <w:rsid w:val="00A97637"/>
    <w:rsid w:val="00A9764F"/>
    <w:rsid w:val="00A97688"/>
    <w:rsid w:val="00A976C1"/>
    <w:rsid w:val="00A97704"/>
    <w:rsid w:val="00A9771D"/>
    <w:rsid w:val="00A97734"/>
    <w:rsid w:val="00A9774A"/>
    <w:rsid w:val="00A977C8"/>
    <w:rsid w:val="00A977F5"/>
    <w:rsid w:val="00A97813"/>
    <w:rsid w:val="00A9782C"/>
    <w:rsid w:val="00A978B1"/>
    <w:rsid w:val="00A978E6"/>
    <w:rsid w:val="00A978E9"/>
    <w:rsid w:val="00A97903"/>
    <w:rsid w:val="00A979A3"/>
    <w:rsid w:val="00A97A09"/>
    <w:rsid w:val="00A97A26"/>
    <w:rsid w:val="00A97A5C"/>
    <w:rsid w:val="00A97A6C"/>
    <w:rsid w:val="00A97AB4"/>
    <w:rsid w:val="00A97B34"/>
    <w:rsid w:val="00A97BFD"/>
    <w:rsid w:val="00A97C22"/>
    <w:rsid w:val="00A97C5F"/>
    <w:rsid w:val="00A97C6E"/>
    <w:rsid w:val="00A97C81"/>
    <w:rsid w:val="00A97D17"/>
    <w:rsid w:val="00A97D57"/>
    <w:rsid w:val="00A97D58"/>
    <w:rsid w:val="00A97DA4"/>
    <w:rsid w:val="00A97DBA"/>
    <w:rsid w:val="00A97DC6"/>
    <w:rsid w:val="00A97DE2"/>
    <w:rsid w:val="00A97DE6"/>
    <w:rsid w:val="00A97ECD"/>
    <w:rsid w:val="00A97EDF"/>
    <w:rsid w:val="00A97F0F"/>
    <w:rsid w:val="00A97F17"/>
    <w:rsid w:val="00A97F30"/>
    <w:rsid w:val="00A97F56"/>
    <w:rsid w:val="00A97F65"/>
    <w:rsid w:val="00A97FB2"/>
    <w:rsid w:val="00AA000B"/>
    <w:rsid w:val="00AA0050"/>
    <w:rsid w:val="00AA0071"/>
    <w:rsid w:val="00AA00D1"/>
    <w:rsid w:val="00AA00DF"/>
    <w:rsid w:val="00AA0146"/>
    <w:rsid w:val="00AA0162"/>
    <w:rsid w:val="00AA020B"/>
    <w:rsid w:val="00AA023A"/>
    <w:rsid w:val="00AA02E5"/>
    <w:rsid w:val="00AA0332"/>
    <w:rsid w:val="00AA0335"/>
    <w:rsid w:val="00AA038B"/>
    <w:rsid w:val="00AA038D"/>
    <w:rsid w:val="00AA0399"/>
    <w:rsid w:val="00AA03A4"/>
    <w:rsid w:val="00AA03A8"/>
    <w:rsid w:val="00AA03C7"/>
    <w:rsid w:val="00AA03E8"/>
    <w:rsid w:val="00AA03FD"/>
    <w:rsid w:val="00AA0416"/>
    <w:rsid w:val="00AA04E1"/>
    <w:rsid w:val="00AA052F"/>
    <w:rsid w:val="00AA055D"/>
    <w:rsid w:val="00AA063C"/>
    <w:rsid w:val="00AA065B"/>
    <w:rsid w:val="00AA06C6"/>
    <w:rsid w:val="00AA0707"/>
    <w:rsid w:val="00AA070F"/>
    <w:rsid w:val="00AA0749"/>
    <w:rsid w:val="00AA076C"/>
    <w:rsid w:val="00AA079A"/>
    <w:rsid w:val="00AA07B7"/>
    <w:rsid w:val="00AA0809"/>
    <w:rsid w:val="00AA0842"/>
    <w:rsid w:val="00AA088C"/>
    <w:rsid w:val="00AA0916"/>
    <w:rsid w:val="00AA0944"/>
    <w:rsid w:val="00AA0964"/>
    <w:rsid w:val="00AA09B0"/>
    <w:rsid w:val="00AA0A23"/>
    <w:rsid w:val="00AA0A40"/>
    <w:rsid w:val="00AA0A61"/>
    <w:rsid w:val="00AA0A7B"/>
    <w:rsid w:val="00AA0A87"/>
    <w:rsid w:val="00AA0B46"/>
    <w:rsid w:val="00AA0B55"/>
    <w:rsid w:val="00AA0C0B"/>
    <w:rsid w:val="00AA0C90"/>
    <w:rsid w:val="00AA0CD5"/>
    <w:rsid w:val="00AA0D4D"/>
    <w:rsid w:val="00AA0D75"/>
    <w:rsid w:val="00AA0D84"/>
    <w:rsid w:val="00AA0DAF"/>
    <w:rsid w:val="00AA0DB7"/>
    <w:rsid w:val="00AA0DC1"/>
    <w:rsid w:val="00AA0DDF"/>
    <w:rsid w:val="00AA0E98"/>
    <w:rsid w:val="00AA0EFB"/>
    <w:rsid w:val="00AA0F38"/>
    <w:rsid w:val="00AA0F46"/>
    <w:rsid w:val="00AA0FC5"/>
    <w:rsid w:val="00AA0FD1"/>
    <w:rsid w:val="00AA0FE5"/>
    <w:rsid w:val="00AA1017"/>
    <w:rsid w:val="00AA103C"/>
    <w:rsid w:val="00AA1086"/>
    <w:rsid w:val="00AA10DE"/>
    <w:rsid w:val="00AA10EB"/>
    <w:rsid w:val="00AA1105"/>
    <w:rsid w:val="00AA1124"/>
    <w:rsid w:val="00AA112C"/>
    <w:rsid w:val="00AA1141"/>
    <w:rsid w:val="00AA115B"/>
    <w:rsid w:val="00AA1163"/>
    <w:rsid w:val="00AA118F"/>
    <w:rsid w:val="00AA124D"/>
    <w:rsid w:val="00AA1259"/>
    <w:rsid w:val="00AA1312"/>
    <w:rsid w:val="00AA131D"/>
    <w:rsid w:val="00AA1336"/>
    <w:rsid w:val="00AA1347"/>
    <w:rsid w:val="00AA1395"/>
    <w:rsid w:val="00AA1396"/>
    <w:rsid w:val="00AA13B9"/>
    <w:rsid w:val="00AA13F0"/>
    <w:rsid w:val="00AA1411"/>
    <w:rsid w:val="00AA1454"/>
    <w:rsid w:val="00AA146B"/>
    <w:rsid w:val="00AA1470"/>
    <w:rsid w:val="00AA14A8"/>
    <w:rsid w:val="00AA14F5"/>
    <w:rsid w:val="00AA151C"/>
    <w:rsid w:val="00AA152F"/>
    <w:rsid w:val="00AA15B2"/>
    <w:rsid w:val="00AA1609"/>
    <w:rsid w:val="00AA1638"/>
    <w:rsid w:val="00AA165B"/>
    <w:rsid w:val="00AA165D"/>
    <w:rsid w:val="00AA1681"/>
    <w:rsid w:val="00AA1683"/>
    <w:rsid w:val="00AA168E"/>
    <w:rsid w:val="00AA16D8"/>
    <w:rsid w:val="00AA16F0"/>
    <w:rsid w:val="00AA17CC"/>
    <w:rsid w:val="00AA1810"/>
    <w:rsid w:val="00AA1836"/>
    <w:rsid w:val="00AA1839"/>
    <w:rsid w:val="00AA189B"/>
    <w:rsid w:val="00AA18B3"/>
    <w:rsid w:val="00AA1930"/>
    <w:rsid w:val="00AA1970"/>
    <w:rsid w:val="00AA19ED"/>
    <w:rsid w:val="00AA19FD"/>
    <w:rsid w:val="00AA19FE"/>
    <w:rsid w:val="00AA1A1C"/>
    <w:rsid w:val="00AA1A7D"/>
    <w:rsid w:val="00AA1AAB"/>
    <w:rsid w:val="00AA1B0A"/>
    <w:rsid w:val="00AA1B10"/>
    <w:rsid w:val="00AA1B86"/>
    <w:rsid w:val="00AA1BC7"/>
    <w:rsid w:val="00AA1BD0"/>
    <w:rsid w:val="00AA1BD6"/>
    <w:rsid w:val="00AA1C0F"/>
    <w:rsid w:val="00AA1C38"/>
    <w:rsid w:val="00AA1C9B"/>
    <w:rsid w:val="00AA1C9C"/>
    <w:rsid w:val="00AA1CEF"/>
    <w:rsid w:val="00AA1CFB"/>
    <w:rsid w:val="00AA1D1F"/>
    <w:rsid w:val="00AA1D26"/>
    <w:rsid w:val="00AA1D27"/>
    <w:rsid w:val="00AA1DBA"/>
    <w:rsid w:val="00AA1DC6"/>
    <w:rsid w:val="00AA1DE7"/>
    <w:rsid w:val="00AA1E3D"/>
    <w:rsid w:val="00AA1E43"/>
    <w:rsid w:val="00AA1EB5"/>
    <w:rsid w:val="00AA1F1D"/>
    <w:rsid w:val="00AA1F21"/>
    <w:rsid w:val="00AA1F3A"/>
    <w:rsid w:val="00AA1F41"/>
    <w:rsid w:val="00AA1F84"/>
    <w:rsid w:val="00AA1FC5"/>
    <w:rsid w:val="00AA1FDF"/>
    <w:rsid w:val="00AA1FFD"/>
    <w:rsid w:val="00AA20A6"/>
    <w:rsid w:val="00AA2173"/>
    <w:rsid w:val="00AA2181"/>
    <w:rsid w:val="00AA2197"/>
    <w:rsid w:val="00AA219A"/>
    <w:rsid w:val="00AA21AF"/>
    <w:rsid w:val="00AA21C0"/>
    <w:rsid w:val="00AA221A"/>
    <w:rsid w:val="00AA2274"/>
    <w:rsid w:val="00AA22AD"/>
    <w:rsid w:val="00AA22C3"/>
    <w:rsid w:val="00AA22E1"/>
    <w:rsid w:val="00AA22F3"/>
    <w:rsid w:val="00AA2306"/>
    <w:rsid w:val="00AA2309"/>
    <w:rsid w:val="00AA232B"/>
    <w:rsid w:val="00AA23B5"/>
    <w:rsid w:val="00AA23E8"/>
    <w:rsid w:val="00AA23EA"/>
    <w:rsid w:val="00AA23FD"/>
    <w:rsid w:val="00AA2452"/>
    <w:rsid w:val="00AA2497"/>
    <w:rsid w:val="00AA24B4"/>
    <w:rsid w:val="00AA24CE"/>
    <w:rsid w:val="00AA24DC"/>
    <w:rsid w:val="00AA2553"/>
    <w:rsid w:val="00AA2571"/>
    <w:rsid w:val="00AA258D"/>
    <w:rsid w:val="00AA25EE"/>
    <w:rsid w:val="00AA25F2"/>
    <w:rsid w:val="00AA260F"/>
    <w:rsid w:val="00AA2626"/>
    <w:rsid w:val="00AA2630"/>
    <w:rsid w:val="00AA2639"/>
    <w:rsid w:val="00AA2681"/>
    <w:rsid w:val="00AA26C5"/>
    <w:rsid w:val="00AA26C7"/>
    <w:rsid w:val="00AA26F5"/>
    <w:rsid w:val="00AA26FE"/>
    <w:rsid w:val="00AA2706"/>
    <w:rsid w:val="00AA277B"/>
    <w:rsid w:val="00AA281A"/>
    <w:rsid w:val="00AA28EA"/>
    <w:rsid w:val="00AA292A"/>
    <w:rsid w:val="00AA2941"/>
    <w:rsid w:val="00AA2A4E"/>
    <w:rsid w:val="00AA2AFA"/>
    <w:rsid w:val="00AA2BA5"/>
    <w:rsid w:val="00AA2BAA"/>
    <w:rsid w:val="00AA2BDA"/>
    <w:rsid w:val="00AA2BFD"/>
    <w:rsid w:val="00AA2C72"/>
    <w:rsid w:val="00AA2C74"/>
    <w:rsid w:val="00AA2C86"/>
    <w:rsid w:val="00AA2D24"/>
    <w:rsid w:val="00AA2D66"/>
    <w:rsid w:val="00AA2D75"/>
    <w:rsid w:val="00AA2DDB"/>
    <w:rsid w:val="00AA2E15"/>
    <w:rsid w:val="00AA2EAF"/>
    <w:rsid w:val="00AA2EB0"/>
    <w:rsid w:val="00AA2EC2"/>
    <w:rsid w:val="00AA2F52"/>
    <w:rsid w:val="00AA2F73"/>
    <w:rsid w:val="00AA2FFC"/>
    <w:rsid w:val="00AA3004"/>
    <w:rsid w:val="00AA3015"/>
    <w:rsid w:val="00AA3059"/>
    <w:rsid w:val="00AA3095"/>
    <w:rsid w:val="00AA30EA"/>
    <w:rsid w:val="00AA3141"/>
    <w:rsid w:val="00AA3289"/>
    <w:rsid w:val="00AA32CE"/>
    <w:rsid w:val="00AA32FA"/>
    <w:rsid w:val="00AA3356"/>
    <w:rsid w:val="00AA339E"/>
    <w:rsid w:val="00AA33CF"/>
    <w:rsid w:val="00AA33D0"/>
    <w:rsid w:val="00AA33E2"/>
    <w:rsid w:val="00AA3418"/>
    <w:rsid w:val="00AA341D"/>
    <w:rsid w:val="00AA343B"/>
    <w:rsid w:val="00AA3481"/>
    <w:rsid w:val="00AA34AE"/>
    <w:rsid w:val="00AA34B4"/>
    <w:rsid w:val="00AA354E"/>
    <w:rsid w:val="00AA354F"/>
    <w:rsid w:val="00AA3550"/>
    <w:rsid w:val="00AA360A"/>
    <w:rsid w:val="00AA3634"/>
    <w:rsid w:val="00AA3661"/>
    <w:rsid w:val="00AA366D"/>
    <w:rsid w:val="00AA3687"/>
    <w:rsid w:val="00AA36A1"/>
    <w:rsid w:val="00AA36D9"/>
    <w:rsid w:val="00AA375D"/>
    <w:rsid w:val="00AA378A"/>
    <w:rsid w:val="00AA3791"/>
    <w:rsid w:val="00AA37CF"/>
    <w:rsid w:val="00AA3813"/>
    <w:rsid w:val="00AA384B"/>
    <w:rsid w:val="00AA3861"/>
    <w:rsid w:val="00AA387F"/>
    <w:rsid w:val="00AA38B3"/>
    <w:rsid w:val="00AA38D3"/>
    <w:rsid w:val="00AA3920"/>
    <w:rsid w:val="00AA3977"/>
    <w:rsid w:val="00AA3990"/>
    <w:rsid w:val="00AA3994"/>
    <w:rsid w:val="00AA39A5"/>
    <w:rsid w:val="00AA39B4"/>
    <w:rsid w:val="00AA3A82"/>
    <w:rsid w:val="00AA3A9E"/>
    <w:rsid w:val="00AA3AB5"/>
    <w:rsid w:val="00AA3ACE"/>
    <w:rsid w:val="00AA3AEA"/>
    <w:rsid w:val="00AA3AF4"/>
    <w:rsid w:val="00AA3B33"/>
    <w:rsid w:val="00AA3B5A"/>
    <w:rsid w:val="00AA3B94"/>
    <w:rsid w:val="00AA3BE3"/>
    <w:rsid w:val="00AA3C02"/>
    <w:rsid w:val="00AA3C67"/>
    <w:rsid w:val="00AA3C6B"/>
    <w:rsid w:val="00AA3CDE"/>
    <w:rsid w:val="00AA3CF0"/>
    <w:rsid w:val="00AA3CF6"/>
    <w:rsid w:val="00AA3D23"/>
    <w:rsid w:val="00AA3D84"/>
    <w:rsid w:val="00AA3E1B"/>
    <w:rsid w:val="00AA3EC2"/>
    <w:rsid w:val="00AA3ED4"/>
    <w:rsid w:val="00AA3EFD"/>
    <w:rsid w:val="00AA3F67"/>
    <w:rsid w:val="00AA3FE2"/>
    <w:rsid w:val="00AA4023"/>
    <w:rsid w:val="00AA4083"/>
    <w:rsid w:val="00AA4146"/>
    <w:rsid w:val="00AA4152"/>
    <w:rsid w:val="00AA416C"/>
    <w:rsid w:val="00AA4173"/>
    <w:rsid w:val="00AA4174"/>
    <w:rsid w:val="00AA4182"/>
    <w:rsid w:val="00AA41AD"/>
    <w:rsid w:val="00AA41DC"/>
    <w:rsid w:val="00AA41F1"/>
    <w:rsid w:val="00AA41FC"/>
    <w:rsid w:val="00AA42D5"/>
    <w:rsid w:val="00AA4308"/>
    <w:rsid w:val="00AA430E"/>
    <w:rsid w:val="00AA4326"/>
    <w:rsid w:val="00AA433C"/>
    <w:rsid w:val="00AA436B"/>
    <w:rsid w:val="00AA437D"/>
    <w:rsid w:val="00AA437F"/>
    <w:rsid w:val="00AA43AD"/>
    <w:rsid w:val="00AA43E3"/>
    <w:rsid w:val="00AA43E4"/>
    <w:rsid w:val="00AA44B9"/>
    <w:rsid w:val="00AA44BA"/>
    <w:rsid w:val="00AA4585"/>
    <w:rsid w:val="00AA4651"/>
    <w:rsid w:val="00AA4654"/>
    <w:rsid w:val="00AA4695"/>
    <w:rsid w:val="00AA46D1"/>
    <w:rsid w:val="00AA4702"/>
    <w:rsid w:val="00AA471C"/>
    <w:rsid w:val="00AA4773"/>
    <w:rsid w:val="00AA47A5"/>
    <w:rsid w:val="00AA47C6"/>
    <w:rsid w:val="00AA47D0"/>
    <w:rsid w:val="00AA480B"/>
    <w:rsid w:val="00AA482D"/>
    <w:rsid w:val="00AA4886"/>
    <w:rsid w:val="00AA4890"/>
    <w:rsid w:val="00AA4891"/>
    <w:rsid w:val="00AA48B4"/>
    <w:rsid w:val="00AA48CB"/>
    <w:rsid w:val="00AA492E"/>
    <w:rsid w:val="00AA493A"/>
    <w:rsid w:val="00AA4944"/>
    <w:rsid w:val="00AA499D"/>
    <w:rsid w:val="00AA49C3"/>
    <w:rsid w:val="00AA49C5"/>
    <w:rsid w:val="00AA49CE"/>
    <w:rsid w:val="00AA4A05"/>
    <w:rsid w:val="00AA4A7D"/>
    <w:rsid w:val="00AA4A98"/>
    <w:rsid w:val="00AA4AFE"/>
    <w:rsid w:val="00AA4B2A"/>
    <w:rsid w:val="00AA4BBC"/>
    <w:rsid w:val="00AA4BCA"/>
    <w:rsid w:val="00AA4BCB"/>
    <w:rsid w:val="00AA4BD2"/>
    <w:rsid w:val="00AA4CC3"/>
    <w:rsid w:val="00AA4CED"/>
    <w:rsid w:val="00AA4D43"/>
    <w:rsid w:val="00AA4D46"/>
    <w:rsid w:val="00AA4D7D"/>
    <w:rsid w:val="00AA4D84"/>
    <w:rsid w:val="00AA4D97"/>
    <w:rsid w:val="00AA4DC8"/>
    <w:rsid w:val="00AA4DED"/>
    <w:rsid w:val="00AA4E01"/>
    <w:rsid w:val="00AA4E1B"/>
    <w:rsid w:val="00AA4E1E"/>
    <w:rsid w:val="00AA4E59"/>
    <w:rsid w:val="00AA4E7C"/>
    <w:rsid w:val="00AA4EDB"/>
    <w:rsid w:val="00AA4EDF"/>
    <w:rsid w:val="00AA4EEF"/>
    <w:rsid w:val="00AA4EF8"/>
    <w:rsid w:val="00AA4F45"/>
    <w:rsid w:val="00AA4F6E"/>
    <w:rsid w:val="00AA4F7F"/>
    <w:rsid w:val="00AA4FC6"/>
    <w:rsid w:val="00AA50CE"/>
    <w:rsid w:val="00AA50E9"/>
    <w:rsid w:val="00AA5148"/>
    <w:rsid w:val="00AA51BD"/>
    <w:rsid w:val="00AA51C8"/>
    <w:rsid w:val="00AA52AE"/>
    <w:rsid w:val="00AA5337"/>
    <w:rsid w:val="00AA53D7"/>
    <w:rsid w:val="00AA53E7"/>
    <w:rsid w:val="00AA53F5"/>
    <w:rsid w:val="00AA5416"/>
    <w:rsid w:val="00AA5426"/>
    <w:rsid w:val="00AA54EF"/>
    <w:rsid w:val="00AA5520"/>
    <w:rsid w:val="00AA5549"/>
    <w:rsid w:val="00AA558B"/>
    <w:rsid w:val="00AA5593"/>
    <w:rsid w:val="00AA55DC"/>
    <w:rsid w:val="00AA561E"/>
    <w:rsid w:val="00AA561F"/>
    <w:rsid w:val="00AA5677"/>
    <w:rsid w:val="00AA5687"/>
    <w:rsid w:val="00AA56A9"/>
    <w:rsid w:val="00AA56E8"/>
    <w:rsid w:val="00AA5740"/>
    <w:rsid w:val="00AA5758"/>
    <w:rsid w:val="00AA576E"/>
    <w:rsid w:val="00AA5790"/>
    <w:rsid w:val="00AA5791"/>
    <w:rsid w:val="00AA57D6"/>
    <w:rsid w:val="00AA57EF"/>
    <w:rsid w:val="00AA5833"/>
    <w:rsid w:val="00AA583C"/>
    <w:rsid w:val="00AA5877"/>
    <w:rsid w:val="00AA58D4"/>
    <w:rsid w:val="00AA58F7"/>
    <w:rsid w:val="00AA5946"/>
    <w:rsid w:val="00AA5989"/>
    <w:rsid w:val="00AA59E7"/>
    <w:rsid w:val="00AA5A28"/>
    <w:rsid w:val="00AA5A2C"/>
    <w:rsid w:val="00AA5A3D"/>
    <w:rsid w:val="00AA5A81"/>
    <w:rsid w:val="00AA5B00"/>
    <w:rsid w:val="00AA5B47"/>
    <w:rsid w:val="00AA5B51"/>
    <w:rsid w:val="00AA5B72"/>
    <w:rsid w:val="00AA5B8A"/>
    <w:rsid w:val="00AA5BCA"/>
    <w:rsid w:val="00AA5BE9"/>
    <w:rsid w:val="00AA5BF5"/>
    <w:rsid w:val="00AA5C74"/>
    <w:rsid w:val="00AA5CD7"/>
    <w:rsid w:val="00AA5CDA"/>
    <w:rsid w:val="00AA5CE0"/>
    <w:rsid w:val="00AA5CF5"/>
    <w:rsid w:val="00AA5D00"/>
    <w:rsid w:val="00AA5D36"/>
    <w:rsid w:val="00AA5D85"/>
    <w:rsid w:val="00AA5DA8"/>
    <w:rsid w:val="00AA5DDA"/>
    <w:rsid w:val="00AA5DE1"/>
    <w:rsid w:val="00AA5E49"/>
    <w:rsid w:val="00AA5E65"/>
    <w:rsid w:val="00AA5F27"/>
    <w:rsid w:val="00AA5F3D"/>
    <w:rsid w:val="00AA5F8D"/>
    <w:rsid w:val="00AA5F90"/>
    <w:rsid w:val="00AA5FB5"/>
    <w:rsid w:val="00AA5FC1"/>
    <w:rsid w:val="00AA6031"/>
    <w:rsid w:val="00AA605D"/>
    <w:rsid w:val="00AA607E"/>
    <w:rsid w:val="00AA60A3"/>
    <w:rsid w:val="00AA60D4"/>
    <w:rsid w:val="00AA60E7"/>
    <w:rsid w:val="00AA6109"/>
    <w:rsid w:val="00AA615A"/>
    <w:rsid w:val="00AA625D"/>
    <w:rsid w:val="00AA6269"/>
    <w:rsid w:val="00AA62C5"/>
    <w:rsid w:val="00AA62EB"/>
    <w:rsid w:val="00AA633B"/>
    <w:rsid w:val="00AA63A5"/>
    <w:rsid w:val="00AA63AA"/>
    <w:rsid w:val="00AA6417"/>
    <w:rsid w:val="00AA6424"/>
    <w:rsid w:val="00AA6461"/>
    <w:rsid w:val="00AA649D"/>
    <w:rsid w:val="00AA64AE"/>
    <w:rsid w:val="00AA64EE"/>
    <w:rsid w:val="00AA6551"/>
    <w:rsid w:val="00AA6565"/>
    <w:rsid w:val="00AA6589"/>
    <w:rsid w:val="00AA65AC"/>
    <w:rsid w:val="00AA65E1"/>
    <w:rsid w:val="00AA65F3"/>
    <w:rsid w:val="00AA6613"/>
    <w:rsid w:val="00AA6625"/>
    <w:rsid w:val="00AA6644"/>
    <w:rsid w:val="00AA669B"/>
    <w:rsid w:val="00AA66CB"/>
    <w:rsid w:val="00AA66D3"/>
    <w:rsid w:val="00AA6709"/>
    <w:rsid w:val="00AA676C"/>
    <w:rsid w:val="00AA6783"/>
    <w:rsid w:val="00AA67B0"/>
    <w:rsid w:val="00AA67C2"/>
    <w:rsid w:val="00AA67C6"/>
    <w:rsid w:val="00AA67D3"/>
    <w:rsid w:val="00AA6857"/>
    <w:rsid w:val="00AA686C"/>
    <w:rsid w:val="00AA6874"/>
    <w:rsid w:val="00AA68C4"/>
    <w:rsid w:val="00AA68D2"/>
    <w:rsid w:val="00AA68F3"/>
    <w:rsid w:val="00AA690D"/>
    <w:rsid w:val="00AA69A0"/>
    <w:rsid w:val="00AA69CD"/>
    <w:rsid w:val="00AA6A2A"/>
    <w:rsid w:val="00AA6A8A"/>
    <w:rsid w:val="00AA6AE9"/>
    <w:rsid w:val="00AA6B07"/>
    <w:rsid w:val="00AA6B25"/>
    <w:rsid w:val="00AA6B39"/>
    <w:rsid w:val="00AA6BC3"/>
    <w:rsid w:val="00AA6BF8"/>
    <w:rsid w:val="00AA6C17"/>
    <w:rsid w:val="00AA6C8C"/>
    <w:rsid w:val="00AA6C8D"/>
    <w:rsid w:val="00AA6CB1"/>
    <w:rsid w:val="00AA6CD0"/>
    <w:rsid w:val="00AA6D0E"/>
    <w:rsid w:val="00AA6D10"/>
    <w:rsid w:val="00AA6DCA"/>
    <w:rsid w:val="00AA6E01"/>
    <w:rsid w:val="00AA6E24"/>
    <w:rsid w:val="00AA6E5C"/>
    <w:rsid w:val="00AA6E70"/>
    <w:rsid w:val="00AA6EE6"/>
    <w:rsid w:val="00AA6EF2"/>
    <w:rsid w:val="00AA6F55"/>
    <w:rsid w:val="00AA6FB3"/>
    <w:rsid w:val="00AA70DF"/>
    <w:rsid w:val="00AA70E3"/>
    <w:rsid w:val="00AA717E"/>
    <w:rsid w:val="00AA718F"/>
    <w:rsid w:val="00AA7224"/>
    <w:rsid w:val="00AA727E"/>
    <w:rsid w:val="00AA7284"/>
    <w:rsid w:val="00AA72AA"/>
    <w:rsid w:val="00AA72D7"/>
    <w:rsid w:val="00AA7302"/>
    <w:rsid w:val="00AA7314"/>
    <w:rsid w:val="00AA735A"/>
    <w:rsid w:val="00AA738E"/>
    <w:rsid w:val="00AA73AE"/>
    <w:rsid w:val="00AA73FC"/>
    <w:rsid w:val="00AA7417"/>
    <w:rsid w:val="00AA7475"/>
    <w:rsid w:val="00AA7480"/>
    <w:rsid w:val="00AA7493"/>
    <w:rsid w:val="00AA74AA"/>
    <w:rsid w:val="00AA74BC"/>
    <w:rsid w:val="00AA7523"/>
    <w:rsid w:val="00AA7580"/>
    <w:rsid w:val="00AA75C4"/>
    <w:rsid w:val="00AA75D5"/>
    <w:rsid w:val="00AA75EB"/>
    <w:rsid w:val="00AA766F"/>
    <w:rsid w:val="00AA7747"/>
    <w:rsid w:val="00AA775A"/>
    <w:rsid w:val="00AA7761"/>
    <w:rsid w:val="00AA7785"/>
    <w:rsid w:val="00AA7792"/>
    <w:rsid w:val="00AA779A"/>
    <w:rsid w:val="00AA77CF"/>
    <w:rsid w:val="00AA77E2"/>
    <w:rsid w:val="00AA7831"/>
    <w:rsid w:val="00AA785C"/>
    <w:rsid w:val="00AA794A"/>
    <w:rsid w:val="00AA797D"/>
    <w:rsid w:val="00AA79D8"/>
    <w:rsid w:val="00AA79E1"/>
    <w:rsid w:val="00AA7A67"/>
    <w:rsid w:val="00AA7A97"/>
    <w:rsid w:val="00AA7A9B"/>
    <w:rsid w:val="00AA7B29"/>
    <w:rsid w:val="00AA7B30"/>
    <w:rsid w:val="00AA7B97"/>
    <w:rsid w:val="00AA7C03"/>
    <w:rsid w:val="00AA7C71"/>
    <w:rsid w:val="00AA7C80"/>
    <w:rsid w:val="00AA7C8A"/>
    <w:rsid w:val="00AA7CC0"/>
    <w:rsid w:val="00AA7CEC"/>
    <w:rsid w:val="00AA7D01"/>
    <w:rsid w:val="00AA7D2D"/>
    <w:rsid w:val="00AA7D3F"/>
    <w:rsid w:val="00AA7D6F"/>
    <w:rsid w:val="00AA7D8D"/>
    <w:rsid w:val="00AA7DB5"/>
    <w:rsid w:val="00AA7E40"/>
    <w:rsid w:val="00AA7E7A"/>
    <w:rsid w:val="00AA7F10"/>
    <w:rsid w:val="00AA7F3D"/>
    <w:rsid w:val="00AA7F4D"/>
    <w:rsid w:val="00AA7F73"/>
    <w:rsid w:val="00AA7FE2"/>
    <w:rsid w:val="00AB000D"/>
    <w:rsid w:val="00AB0033"/>
    <w:rsid w:val="00AB0076"/>
    <w:rsid w:val="00AB0095"/>
    <w:rsid w:val="00AB00B3"/>
    <w:rsid w:val="00AB00DD"/>
    <w:rsid w:val="00AB0135"/>
    <w:rsid w:val="00AB01AE"/>
    <w:rsid w:val="00AB0246"/>
    <w:rsid w:val="00AB0292"/>
    <w:rsid w:val="00AB02AF"/>
    <w:rsid w:val="00AB02C8"/>
    <w:rsid w:val="00AB0314"/>
    <w:rsid w:val="00AB03BE"/>
    <w:rsid w:val="00AB03CB"/>
    <w:rsid w:val="00AB03DA"/>
    <w:rsid w:val="00AB0454"/>
    <w:rsid w:val="00AB0462"/>
    <w:rsid w:val="00AB049C"/>
    <w:rsid w:val="00AB04A4"/>
    <w:rsid w:val="00AB0501"/>
    <w:rsid w:val="00AB051C"/>
    <w:rsid w:val="00AB0541"/>
    <w:rsid w:val="00AB055D"/>
    <w:rsid w:val="00AB0594"/>
    <w:rsid w:val="00AB05D2"/>
    <w:rsid w:val="00AB0603"/>
    <w:rsid w:val="00AB0609"/>
    <w:rsid w:val="00AB0680"/>
    <w:rsid w:val="00AB06CD"/>
    <w:rsid w:val="00AB06E3"/>
    <w:rsid w:val="00AB06FC"/>
    <w:rsid w:val="00AB0746"/>
    <w:rsid w:val="00AB0755"/>
    <w:rsid w:val="00AB07F3"/>
    <w:rsid w:val="00AB083B"/>
    <w:rsid w:val="00AB0850"/>
    <w:rsid w:val="00AB087A"/>
    <w:rsid w:val="00AB0892"/>
    <w:rsid w:val="00AB08A9"/>
    <w:rsid w:val="00AB08DC"/>
    <w:rsid w:val="00AB0928"/>
    <w:rsid w:val="00AB0959"/>
    <w:rsid w:val="00AB0972"/>
    <w:rsid w:val="00AB0987"/>
    <w:rsid w:val="00AB09F3"/>
    <w:rsid w:val="00AB0A01"/>
    <w:rsid w:val="00AB0A2B"/>
    <w:rsid w:val="00AB0AD5"/>
    <w:rsid w:val="00AB0AE9"/>
    <w:rsid w:val="00AB0B30"/>
    <w:rsid w:val="00AB0BD0"/>
    <w:rsid w:val="00AB0BD5"/>
    <w:rsid w:val="00AB0C1C"/>
    <w:rsid w:val="00AB0C87"/>
    <w:rsid w:val="00AB0C96"/>
    <w:rsid w:val="00AB0DA9"/>
    <w:rsid w:val="00AB0DCA"/>
    <w:rsid w:val="00AB0E10"/>
    <w:rsid w:val="00AB0E2F"/>
    <w:rsid w:val="00AB0E3E"/>
    <w:rsid w:val="00AB0EA5"/>
    <w:rsid w:val="00AB0ED3"/>
    <w:rsid w:val="00AB0EED"/>
    <w:rsid w:val="00AB0F02"/>
    <w:rsid w:val="00AB0F32"/>
    <w:rsid w:val="00AB10CD"/>
    <w:rsid w:val="00AB10F6"/>
    <w:rsid w:val="00AB1120"/>
    <w:rsid w:val="00AB1122"/>
    <w:rsid w:val="00AB1123"/>
    <w:rsid w:val="00AB1172"/>
    <w:rsid w:val="00AB1233"/>
    <w:rsid w:val="00AB12C7"/>
    <w:rsid w:val="00AB12D1"/>
    <w:rsid w:val="00AB1349"/>
    <w:rsid w:val="00AB136F"/>
    <w:rsid w:val="00AB13C5"/>
    <w:rsid w:val="00AB13FB"/>
    <w:rsid w:val="00AB13FE"/>
    <w:rsid w:val="00AB13FF"/>
    <w:rsid w:val="00AB1423"/>
    <w:rsid w:val="00AB1424"/>
    <w:rsid w:val="00AB1443"/>
    <w:rsid w:val="00AB148D"/>
    <w:rsid w:val="00AB154D"/>
    <w:rsid w:val="00AB1551"/>
    <w:rsid w:val="00AB156C"/>
    <w:rsid w:val="00AB15B1"/>
    <w:rsid w:val="00AB15BD"/>
    <w:rsid w:val="00AB15DD"/>
    <w:rsid w:val="00AB16E6"/>
    <w:rsid w:val="00AB172D"/>
    <w:rsid w:val="00AB1730"/>
    <w:rsid w:val="00AB174D"/>
    <w:rsid w:val="00AB1750"/>
    <w:rsid w:val="00AB1764"/>
    <w:rsid w:val="00AB17F8"/>
    <w:rsid w:val="00AB1806"/>
    <w:rsid w:val="00AB180D"/>
    <w:rsid w:val="00AB18DB"/>
    <w:rsid w:val="00AB1913"/>
    <w:rsid w:val="00AB1914"/>
    <w:rsid w:val="00AB1930"/>
    <w:rsid w:val="00AB193C"/>
    <w:rsid w:val="00AB1941"/>
    <w:rsid w:val="00AB196D"/>
    <w:rsid w:val="00AB199A"/>
    <w:rsid w:val="00AB199C"/>
    <w:rsid w:val="00AB1A17"/>
    <w:rsid w:val="00AB1A2B"/>
    <w:rsid w:val="00AB1A65"/>
    <w:rsid w:val="00AB1A81"/>
    <w:rsid w:val="00AB1A9B"/>
    <w:rsid w:val="00AB1AF9"/>
    <w:rsid w:val="00AB1B05"/>
    <w:rsid w:val="00AB1B42"/>
    <w:rsid w:val="00AB1B45"/>
    <w:rsid w:val="00AB1B62"/>
    <w:rsid w:val="00AB1B6C"/>
    <w:rsid w:val="00AB1B7D"/>
    <w:rsid w:val="00AB1B7E"/>
    <w:rsid w:val="00AB1B8D"/>
    <w:rsid w:val="00AB1C0D"/>
    <w:rsid w:val="00AB1C11"/>
    <w:rsid w:val="00AB1C15"/>
    <w:rsid w:val="00AB1C36"/>
    <w:rsid w:val="00AB1C3F"/>
    <w:rsid w:val="00AB1C5D"/>
    <w:rsid w:val="00AB1D94"/>
    <w:rsid w:val="00AB1DAA"/>
    <w:rsid w:val="00AB1DAF"/>
    <w:rsid w:val="00AB1E35"/>
    <w:rsid w:val="00AB1E40"/>
    <w:rsid w:val="00AB1E7E"/>
    <w:rsid w:val="00AB1E8B"/>
    <w:rsid w:val="00AB1E98"/>
    <w:rsid w:val="00AB1EE2"/>
    <w:rsid w:val="00AB1F0A"/>
    <w:rsid w:val="00AB1F24"/>
    <w:rsid w:val="00AB1F91"/>
    <w:rsid w:val="00AB1FC0"/>
    <w:rsid w:val="00AB1FF9"/>
    <w:rsid w:val="00AB2008"/>
    <w:rsid w:val="00AB2040"/>
    <w:rsid w:val="00AB204E"/>
    <w:rsid w:val="00AB20B5"/>
    <w:rsid w:val="00AB20C7"/>
    <w:rsid w:val="00AB2122"/>
    <w:rsid w:val="00AB2124"/>
    <w:rsid w:val="00AB212C"/>
    <w:rsid w:val="00AB2132"/>
    <w:rsid w:val="00AB2157"/>
    <w:rsid w:val="00AB2167"/>
    <w:rsid w:val="00AB218A"/>
    <w:rsid w:val="00AB21A3"/>
    <w:rsid w:val="00AB22BE"/>
    <w:rsid w:val="00AB2362"/>
    <w:rsid w:val="00AB23C6"/>
    <w:rsid w:val="00AB23F4"/>
    <w:rsid w:val="00AB2426"/>
    <w:rsid w:val="00AB245D"/>
    <w:rsid w:val="00AB2466"/>
    <w:rsid w:val="00AB246F"/>
    <w:rsid w:val="00AB2486"/>
    <w:rsid w:val="00AB24DA"/>
    <w:rsid w:val="00AB24FB"/>
    <w:rsid w:val="00AB2590"/>
    <w:rsid w:val="00AB25C1"/>
    <w:rsid w:val="00AB25DA"/>
    <w:rsid w:val="00AB262B"/>
    <w:rsid w:val="00AB262E"/>
    <w:rsid w:val="00AB265A"/>
    <w:rsid w:val="00AB2662"/>
    <w:rsid w:val="00AB26D2"/>
    <w:rsid w:val="00AB26DF"/>
    <w:rsid w:val="00AB270C"/>
    <w:rsid w:val="00AB276D"/>
    <w:rsid w:val="00AB285B"/>
    <w:rsid w:val="00AB287B"/>
    <w:rsid w:val="00AB28A1"/>
    <w:rsid w:val="00AB28FD"/>
    <w:rsid w:val="00AB2922"/>
    <w:rsid w:val="00AB2946"/>
    <w:rsid w:val="00AB2949"/>
    <w:rsid w:val="00AB29CD"/>
    <w:rsid w:val="00AB2AD9"/>
    <w:rsid w:val="00AB2B07"/>
    <w:rsid w:val="00AB2B3D"/>
    <w:rsid w:val="00AB2B4B"/>
    <w:rsid w:val="00AB2B8D"/>
    <w:rsid w:val="00AB2BA9"/>
    <w:rsid w:val="00AB2BFB"/>
    <w:rsid w:val="00AB2C0D"/>
    <w:rsid w:val="00AB2C64"/>
    <w:rsid w:val="00AB2C6A"/>
    <w:rsid w:val="00AB2CEE"/>
    <w:rsid w:val="00AB2CF9"/>
    <w:rsid w:val="00AB2CFE"/>
    <w:rsid w:val="00AB2D78"/>
    <w:rsid w:val="00AB2D83"/>
    <w:rsid w:val="00AB2D8B"/>
    <w:rsid w:val="00AB2DDA"/>
    <w:rsid w:val="00AB2E4D"/>
    <w:rsid w:val="00AB2E5E"/>
    <w:rsid w:val="00AB2E62"/>
    <w:rsid w:val="00AB2E68"/>
    <w:rsid w:val="00AB2EDF"/>
    <w:rsid w:val="00AB2EE3"/>
    <w:rsid w:val="00AB2F83"/>
    <w:rsid w:val="00AB2FDE"/>
    <w:rsid w:val="00AB2FFE"/>
    <w:rsid w:val="00AB3004"/>
    <w:rsid w:val="00AB300C"/>
    <w:rsid w:val="00AB304E"/>
    <w:rsid w:val="00AB308E"/>
    <w:rsid w:val="00AB30AA"/>
    <w:rsid w:val="00AB30AD"/>
    <w:rsid w:val="00AB30D5"/>
    <w:rsid w:val="00AB3112"/>
    <w:rsid w:val="00AB3133"/>
    <w:rsid w:val="00AB3187"/>
    <w:rsid w:val="00AB31AD"/>
    <w:rsid w:val="00AB31E8"/>
    <w:rsid w:val="00AB3277"/>
    <w:rsid w:val="00AB327F"/>
    <w:rsid w:val="00AB3285"/>
    <w:rsid w:val="00AB3305"/>
    <w:rsid w:val="00AB3318"/>
    <w:rsid w:val="00AB3347"/>
    <w:rsid w:val="00AB334D"/>
    <w:rsid w:val="00AB3352"/>
    <w:rsid w:val="00AB33A0"/>
    <w:rsid w:val="00AB342B"/>
    <w:rsid w:val="00AB3442"/>
    <w:rsid w:val="00AB3457"/>
    <w:rsid w:val="00AB34EE"/>
    <w:rsid w:val="00AB351B"/>
    <w:rsid w:val="00AB3551"/>
    <w:rsid w:val="00AB357D"/>
    <w:rsid w:val="00AB358D"/>
    <w:rsid w:val="00AB3635"/>
    <w:rsid w:val="00AB3669"/>
    <w:rsid w:val="00AB3699"/>
    <w:rsid w:val="00AB369C"/>
    <w:rsid w:val="00AB3792"/>
    <w:rsid w:val="00AB37A3"/>
    <w:rsid w:val="00AB37DF"/>
    <w:rsid w:val="00AB3817"/>
    <w:rsid w:val="00AB3844"/>
    <w:rsid w:val="00AB384A"/>
    <w:rsid w:val="00AB389F"/>
    <w:rsid w:val="00AB393C"/>
    <w:rsid w:val="00AB3971"/>
    <w:rsid w:val="00AB39B4"/>
    <w:rsid w:val="00AB39CC"/>
    <w:rsid w:val="00AB3A33"/>
    <w:rsid w:val="00AB3A39"/>
    <w:rsid w:val="00AB3A61"/>
    <w:rsid w:val="00AB3B26"/>
    <w:rsid w:val="00AB3B94"/>
    <w:rsid w:val="00AB3C25"/>
    <w:rsid w:val="00AB3C77"/>
    <w:rsid w:val="00AB3C99"/>
    <w:rsid w:val="00AB3CCC"/>
    <w:rsid w:val="00AB3CEF"/>
    <w:rsid w:val="00AB3D62"/>
    <w:rsid w:val="00AB3D67"/>
    <w:rsid w:val="00AB3D6C"/>
    <w:rsid w:val="00AB3D73"/>
    <w:rsid w:val="00AB3E48"/>
    <w:rsid w:val="00AB3E84"/>
    <w:rsid w:val="00AB3EC5"/>
    <w:rsid w:val="00AB3F54"/>
    <w:rsid w:val="00AB3F76"/>
    <w:rsid w:val="00AB3FE4"/>
    <w:rsid w:val="00AB3FE6"/>
    <w:rsid w:val="00AB3FFE"/>
    <w:rsid w:val="00AB4026"/>
    <w:rsid w:val="00AB409D"/>
    <w:rsid w:val="00AB4128"/>
    <w:rsid w:val="00AB4178"/>
    <w:rsid w:val="00AB420C"/>
    <w:rsid w:val="00AB4210"/>
    <w:rsid w:val="00AB422B"/>
    <w:rsid w:val="00AB42DB"/>
    <w:rsid w:val="00AB4307"/>
    <w:rsid w:val="00AB4313"/>
    <w:rsid w:val="00AB432E"/>
    <w:rsid w:val="00AB4381"/>
    <w:rsid w:val="00AB4451"/>
    <w:rsid w:val="00AB4467"/>
    <w:rsid w:val="00AB4481"/>
    <w:rsid w:val="00AB4498"/>
    <w:rsid w:val="00AB44F2"/>
    <w:rsid w:val="00AB4528"/>
    <w:rsid w:val="00AB453E"/>
    <w:rsid w:val="00AB4542"/>
    <w:rsid w:val="00AB459E"/>
    <w:rsid w:val="00AB45A1"/>
    <w:rsid w:val="00AB45F2"/>
    <w:rsid w:val="00AB462B"/>
    <w:rsid w:val="00AB466F"/>
    <w:rsid w:val="00AB4681"/>
    <w:rsid w:val="00AB4697"/>
    <w:rsid w:val="00AB469A"/>
    <w:rsid w:val="00AB46A9"/>
    <w:rsid w:val="00AB46C5"/>
    <w:rsid w:val="00AB46FB"/>
    <w:rsid w:val="00AB4716"/>
    <w:rsid w:val="00AB473C"/>
    <w:rsid w:val="00AB474B"/>
    <w:rsid w:val="00AB477D"/>
    <w:rsid w:val="00AB47A6"/>
    <w:rsid w:val="00AB47B7"/>
    <w:rsid w:val="00AB47CC"/>
    <w:rsid w:val="00AB47E2"/>
    <w:rsid w:val="00AB480E"/>
    <w:rsid w:val="00AB480F"/>
    <w:rsid w:val="00AB4829"/>
    <w:rsid w:val="00AB4844"/>
    <w:rsid w:val="00AB4891"/>
    <w:rsid w:val="00AB4898"/>
    <w:rsid w:val="00AB48DD"/>
    <w:rsid w:val="00AB48EA"/>
    <w:rsid w:val="00AB4919"/>
    <w:rsid w:val="00AB4922"/>
    <w:rsid w:val="00AB493D"/>
    <w:rsid w:val="00AB49DA"/>
    <w:rsid w:val="00AB4A33"/>
    <w:rsid w:val="00AB4A52"/>
    <w:rsid w:val="00AB4A8B"/>
    <w:rsid w:val="00AB4ADC"/>
    <w:rsid w:val="00AB4AEA"/>
    <w:rsid w:val="00AB4B0E"/>
    <w:rsid w:val="00AB4B1C"/>
    <w:rsid w:val="00AB4B44"/>
    <w:rsid w:val="00AB4B52"/>
    <w:rsid w:val="00AB4B6A"/>
    <w:rsid w:val="00AB4B9F"/>
    <w:rsid w:val="00AB4BA3"/>
    <w:rsid w:val="00AB4BF9"/>
    <w:rsid w:val="00AB4C59"/>
    <w:rsid w:val="00AB4CAE"/>
    <w:rsid w:val="00AB4CF1"/>
    <w:rsid w:val="00AB4D01"/>
    <w:rsid w:val="00AB4D04"/>
    <w:rsid w:val="00AB4D3A"/>
    <w:rsid w:val="00AB4D57"/>
    <w:rsid w:val="00AB4D9F"/>
    <w:rsid w:val="00AB4DA8"/>
    <w:rsid w:val="00AB4DFE"/>
    <w:rsid w:val="00AB4E04"/>
    <w:rsid w:val="00AB4E23"/>
    <w:rsid w:val="00AB4EDB"/>
    <w:rsid w:val="00AB4FBD"/>
    <w:rsid w:val="00AB504E"/>
    <w:rsid w:val="00AB5056"/>
    <w:rsid w:val="00AB510C"/>
    <w:rsid w:val="00AB515D"/>
    <w:rsid w:val="00AB5188"/>
    <w:rsid w:val="00AB5197"/>
    <w:rsid w:val="00AB51B9"/>
    <w:rsid w:val="00AB5233"/>
    <w:rsid w:val="00AB528F"/>
    <w:rsid w:val="00AB5314"/>
    <w:rsid w:val="00AB5317"/>
    <w:rsid w:val="00AB5319"/>
    <w:rsid w:val="00AB5362"/>
    <w:rsid w:val="00AB5380"/>
    <w:rsid w:val="00AB5386"/>
    <w:rsid w:val="00AB53B8"/>
    <w:rsid w:val="00AB53C6"/>
    <w:rsid w:val="00AB53C9"/>
    <w:rsid w:val="00AB542B"/>
    <w:rsid w:val="00AB5436"/>
    <w:rsid w:val="00AB549F"/>
    <w:rsid w:val="00AB54E8"/>
    <w:rsid w:val="00AB5520"/>
    <w:rsid w:val="00AB55DD"/>
    <w:rsid w:val="00AB55F3"/>
    <w:rsid w:val="00AB565E"/>
    <w:rsid w:val="00AB5669"/>
    <w:rsid w:val="00AB5692"/>
    <w:rsid w:val="00AB569D"/>
    <w:rsid w:val="00AB56DD"/>
    <w:rsid w:val="00AB578E"/>
    <w:rsid w:val="00AB57BB"/>
    <w:rsid w:val="00AB57D9"/>
    <w:rsid w:val="00AB57F3"/>
    <w:rsid w:val="00AB5827"/>
    <w:rsid w:val="00AB584C"/>
    <w:rsid w:val="00AB5862"/>
    <w:rsid w:val="00AB589A"/>
    <w:rsid w:val="00AB58BA"/>
    <w:rsid w:val="00AB58C6"/>
    <w:rsid w:val="00AB58C9"/>
    <w:rsid w:val="00AB58EB"/>
    <w:rsid w:val="00AB5928"/>
    <w:rsid w:val="00AB5942"/>
    <w:rsid w:val="00AB59A4"/>
    <w:rsid w:val="00AB59A5"/>
    <w:rsid w:val="00AB59F5"/>
    <w:rsid w:val="00AB5A25"/>
    <w:rsid w:val="00AB5A38"/>
    <w:rsid w:val="00AB5AEC"/>
    <w:rsid w:val="00AB5AFC"/>
    <w:rsid w:val="00AB5B03"/>
    <w:rsid w:val="00AB5B4B"/>
    <w:rsid w:val="00AB5B5E"/>
    <w:rsid w:val="00AB5C20"/>
    <w:rsid w:val="00AB5C68"/>
    <w:rsid w:val="00AB5DAA"/>
    <w:rsid w:val="00AB5E1A"/>
    <w:rsid w:val="00AB5E20"/>
    <w:rsid w:val="00AB5EC8"/>
    <w:rsid w:val="00AB5EF5"/>
    <w:rsid w:val="00AB5EFF"/>
    <w:rsid w:val="00AB5F3E"/>
    <w:rsid w:val="00AB5F42"/>
    <w:rsid w:val="00AB5F49"/>
    <w:rsid w:val="00AB5F67"/>
    <w:rsid w:val="00AB5F80"/>
    <w:rsid w:val="00AB5F86"/>
    <w:rsid w:val="00AB5FA5"/>
    <w:rsid w:val="00AB5FB2"/>
    <w:rsid w:val="00AB5FC1"/>
    <w:rsid w:val="00AB601C"/>
    <w:rsid w:val="00AB6043"/>
    <w:rsid w:val="00AB604F"/>
    <w:rsid w:val="00AB607F"/>
    <w:rsid w:val="00AB60C5"/>
    <w:rsid w:val="00AB613D"/>
    <w:rsid w:val="00AB6142"/>
    <w:rsid w:val="00AB6151"/>
    <w:rsid w:val="00AB6152"/>
    <w:rsid w:val="00AB6169"/>
    <w:rsid w:val="00AB6194"/>
    <w:rsid w:val="00AB61AB"/>
    <w:rsid w:val="00AB61AE"/>
    <w:rsid w:val="00AB61EC"/>
    <w:rsid w:val="00AB6232"/>
    <w:rsid w:val="00AB626D"/>
    <w:rsid w:val="00AB630B"/>
    <w:rsid w:val="00AB6362"/>
    <w:rsid w:val="00AB636C"/>
    <w:rsid w:val="00AB6370"/>
    <w:rsid w:val="00AB63BD"/>
    <w:rsid w:val="00AB63E8"/>
    <w:rsid w:val="00AB645E"/>
    <w:rsid w:val="00AB6485"/>
    <w:rsid w:val="00AB64BE"/>
    <w:rsid w:val="00AB654D"/>
    <w:rsid w:val="00AB65D6"/>
    <w:rsid w:val="00AB65DA"/>
    <w:rsid w:val="00AB65E1"/>
    <w:rsid w:val="00AB664C"/>
    <w:rsid w:val="00AB6694"/>
    <w:rsid w:val="00AB66B6"/>
    <w:rsid w:val="00AB66BD"/>
    <w:rsid w:val="00AB66BF"/>
    <w:rsid w:val="00AB6712"/>
    <w:rsid w:val="00AB6720"/>
    <w:rsid w:val="00AB6729"/>
    <w:rsid w:val="00AB6742"/>
    <w:rsid w:val="00AB6746"/>
    <w:rsid w:val="00AB676D"/>
    <w:rsid w:val="00AB67CE"/>
    <w:rsid w:val="00AB67DE"/>
    <w:rsid w:val="00AB67F8"/>
    <w:rsid w:val="00AB681A"/>
    <w:rsid w:val="00AB681D"/>
    <w:rsid w:val="00AB682A"/>
    <w:rsid w:val="00AB6848"/>
    <w:rsid w:val="00AB6850"/>
    <w:rsid w:val="00AB688D"/>
    <w:rsid w:val="00AB6897"/>
    <w:rsid w:val="00AB68D9"/>
    <w:rsid w:val="00AB68F0"/>
    <w:rsid w:val="00AB6A1B"/>
    <w:rsid w:val="00AB6A64"/>
    <w:rsid w:val="00AB6A70"/>
    <w:rsid w:val="00AB6A74"/>
    <w:rsid w:val="00AB6AAA"/>
    <w:rsid w:val="00AB6AAF"/>
    <w:rsid w:val="00AB6ABF"/>
    <w:rsid w:val="00AB6AE8"/>
    <w:rsid w:val="00AB6BAA"/>
    <w:rsid w:val="00AB6BDF"/>
    <w:rsid w:val="00AB6C27"/>
    <w:rsid w:val="00AB6C4D"/>
    <w:rsid w:val="00AB6C89"/>
    <w:rsid w:val="00AB6CBD"/>
    <w:rsid w:val="00AB6D01"/>
    <w:rsid w:val="00AB6D67"/>
    <w:rsid w:val="00AB6DD4"/>
    <w:rsid w:val="00AB6E20"/>
    <w:rsid w:val="00AB6E62"/>
    <w:rsid w:val="00AB6E71"/>
    <w:rsid w:val="00AB6E8A"/>
    <w:rsid w:val="00AB6EB2"/>
    <w:rsid w:val="00AB6F60"/>
    <w:rsid w:val="00AB6F83"/>
    <w:rsid w:val="00AB6F97"/>
    <w:rsid w:val="00AB6FD4"/>
    <w:rsid w:val="00AB7089"/>
    <w:rsid w:val="00AB710B"/>
    <w:rsid w:val="00AB7138"/>
    <w:rsid w:val="00AB7161"/>
    <w:rsid w:val="00AB7195"/>
    <w:rsid w:val="00AB71A2"/>
    <w:rsid w:val="00AB71C0"/>
    <w:rsid w:val="00AB720F"/>
    <w:rsid w:val="00AB7244"/>
    <w:rsid w:val="00AB726E"/>
    <w:rsid w:val="00AB72E7"/>
    <w:rsid w:val="00AB7323"/>
    <w:rsid w:val="00AB7339"/>
    <w:rsid w:val="00AB733B"/>
    <w:rsid w:val="00AB73B8"/>
    <w:rsid w:val="00AB73EF"/>
    <w:rsid w:val="00AB73F2"/>
    <w:rsid w:val="00AB74BE"/>
    <w:rsid w:val="00AB7523"/>
    <w:rsid w:val="00AB753A"/>
    <w:rsid w:val="00AB75EB"/>
    <w:rsid w:val="00AB7660"/>
    <w:rsid w:val="00AB769E"/>
    <w:rsid w:val="00AB76A6"/>
    <w:rsid w:val="00AB76DE"/>
    <w:rsid w:val="00AB76E9"/>
    <w:rsid w:val="00AB7729"/>
    <w:rsid w:val="00AB774A"/>
    <w:rsid w:val="00AB7777"/>
    <w:rsid w:val="00AB77A9"/>
    <w:rsid w:val="00AB77B1"/>
    <w:rsid w:val="00AB77CF"/>
    <w:rsid w:val="00AB77F8"/>
    <w:rsid w:val="00AB782A"/>
    <w:rsid w:val="00AB7896"/>
    <w:rsid w:val="00AB78C5"/>
    <w:rsid w:val="00AB78D4"/>
    <w:rsid w:val="00AB7974"/>
    <w:rsid w:val="00AB797C"/>
    <w:rsid w:val="00AB79A4"/>
    <w:rsid w:val="00AB79F6"/>
    <w:rsid w:val="00AB7A1D"/>
    <w:rsid w:val="00AB7A20"/>
    <w:rsid w:val="00AB7A35"/>
    <w:rsid w:val="00AB7A4D"/>
    <w:rsid w:val="00AB7AAD"/>
    <w:rsid w:val="00AB7B14"/>
    <w:rsid w:val="00AB7B48"/>
    <w:rsid w:val="00AB7B6B"/>
    <w:rsid w:val="00AB7BF1"/>
    <w:rsid w:val="00AB7C78"/>
    <w:rsid w:val="00AB7C99"/>
    <w:rsid w:val="00AB7CDB"/>
    <w:rsid w:val="00AB7CE9"/>
    <w:rsid w:val="00AB7D0F"/>
    <w:rsid w:val="00AB7DFF"/>
    <w:rsid w:val="00AB7E2C"/>
    <w:rsid w:val="00AB7E63"/>
    <w:rsid w:val="00AB7E7B"/>
    <w:rsid w:val="00AB7E93"/>
    <w:rsid w:val="00AB7ED5"/>
    <w:rsid w:val="00AB7F23"/>
    <w:rsid w:val="00AB7F28"/>
    <w:rsid w:val="00AB7F8F"/>
    <w:rsid w:val="00AC004A"/>
    <w:rsid w:val="00AC00D8"/>
    <w:rsid w:val="00AC0171"/>
    <w:rsid w:val="00AC0192"/>
    <w:rsid w:val="00AC019A"/>
    <w:rsid w:val="00AC01B6"/>
    <w:rsid w:val="00AC01F6"/>
    <w:rsid w:val="00AC0202"/>
    <w:rsid w:val="00AC0205"/>
    <w:rsid w:val="00AC0216"/>
    <w:rsid w:val="00AC0230"/>
    <w:rsid w:val="00AC0287"/>
    <w:rsid w:val="00AC02A1"/>
    <w:rsid w:val="00AC02F3"/>
    <w:rsid w:val="00AC02F9"/>
    <w:rsid w:val="00AC030A"/>
    <w:rsid w:val="00AC033C"/>
    <w:rsid w:val="00AC0347"/>
    <w:rsid w:val="00AC0353"/>
    <w:rsid w:val="00AC0396"/>
    <w:rsid w:val="00AC03D8"/>
    <w:rsid w:val="00AC0400"/>
    <w:rsid w:val="00AC0466"/>
    <w:rsid w:val="00AC048F"/>
    <w:rsid w:val="00AC04D8"/>
    <w:rsid w:val="00AC052D"/>
    <w:rsid w:val="00AC0548"/>
    <w:rsid w:val="00AC0594"/>
    <w:rsid w:val="00AC05A7"/>
    <w:rsid w:val="00AC05EC"/>
    <w:rsid w:val="00AC0625"/>
    <w:rsid w:val="00AC062C"/>
    <w:rsid w:val="00AC067F"/>
    <w:rsid w:val="00AC06A5"/>
    <w:rsid w:val="00AC06BE"/>
    <w:rsid w:val="00AC0780"/>
    <w:rsid w:val="00AC07D6"/>
    <w:rsid w:val="00AC082C"/>
    <w:rsid w:val="00AC087A"/>
    <w:rsid w:val="00AC08A3"/>
    <w:rsid w:val="00AC08D4"/>
    <w:rsid w:val="00AC08F4"/>
    <w:rsid w:val="00AC093A"/>
    <w:rsid w:val="00AC093B"/>
    <w:rsid w:val="00AC0953"/>
    <w:rsid w:val="00AC09A5"/>
    <w:rsid w:val="00AC09E8"/>
    <w:rsid w:val="00AC0A3E"/>
    <w:rsid w:val="00AC0A3F"/>
    <w:rsid w:val="00AC0A66"/>
    <w:rsid w:val="00AC0AA1"/>
    <w:rsid w:val="00AC0B7A"/>
    <w:rsid w:val="00AC0C37"/>
    <w:rsid w:val="00AC0C7A"/>
    <w:rsid w:val="00AC0CC1"/>
    <w:rsid w:val="00AC0D16"/>
    <w:rsid w:val="00AC0D59"/>
    <w:rsid w:val="00AC0D72"/>
    <w:rsid w:val="00AC0D8F"/>
    <w:rsid w:val="00AC0E6D"/>
    <w:rsid w:val="00AC0EA6"/>
    <w:rsid w:val="00AC0ECA"/>
    <w:rsid w:val="00AC0ED7"/>
    <w:rsid w:val="00AC0EF2"/>
    <w:rsid w:val="00AC0F0A"/>
    <w:rsid w:val="00AC0F5D"/>
    <w:rsid w:val="00AC0F74"/>
    <w:rsid w:val="00AC0F8B"/>
    <w:rsid w:val="00AC0FA5"/>
    <w:rsid w:val="00AC0FD0"/>
    <w:rsid w:val="00AC1071"/>
    <w:rsid w:val="00AC1095"/>
    <w:rsid w:val="00AC1096"/>
    <w:rsid w:val="00AC10F3"/>
    <w:rsid w:val="00AC1133"/>
    <w:rsid w:val="00AC116E"/>
    <w:rsid w:val="00AC11E2"/>
    <w:rsid w:val="00AC1298"/>
    <w:rsid w:val="00AC12C1"/>
    <w:rsid w:val="00AC12FB"/>
    <w:rsid w:val="00AC12FC"/>
    <w:rsid w:val="00AC135F"/>
    <w:rsid w:val="00AC1373"/>
    <w:rsid w:val="00AC145B"/>
    <w:rsid w:val="00AC1463"/>
    <w:rsid w:val="00AC146F"/>
    <w:rsid w:val="00AC14AD"/>
    <w:rsid w:val="00AC169F"/>
    <w:rsid w:val="00AC16A3"/>
    <w:rsid w:val="00AC1781"/>
    <w:rsid w:val="00AC178D"/>
    <w:rsid w:val="00AC17A4"/>
    <w:rsid w:val="00AC183A"/>
    <w:rsid w:val="00AC184A"/>
    <w:rsid w:val="00AC1879"/>
    <w:rsid w:val="00AC1895"/>
    <w:rsid w:val="00AC18A1"/>
    <w:rsid w:val="00AC18B0"/>
    <w:rsid w:val="00AC18C2"/>
    <w:rsid w:val="00AC18D8"/>
    <w:rsid w:val="00AC1947"/>
    <w:rsid w:val="00AC1959"/>
    <w:rsid w:val="00AC1962"/>
    <w:rsid w:val="00AC1976"/>
    <w:rsid w:val="00AC19A7"/>
    <w:rsid w:val="00AC19F8"/>
    <w:rsid w:val="00AC1A3B"/>
    <w:rsid w:val="00AC1AD0"/>
    <w:rsid w:val="00AC1AFD"/>
    <w:rsid w:val="00AC1B0E"/>
    <w:rsid w:val="00AC1B12"/>
    <w:rsid w:val="00AC1B82"/>
    <w:rsid w:val="00AC1B85"/>
    <w:rsid w:val="00AC1BEE"/>
    <w:rsid w:val="00AC1C2A"/>
    <w:rsid w:val="00AC1C2B"/>
    <w:rsid w:val="00AC1C52"/>
    <w:rsid w:val="00AC1C55"/>
    <w:rsid w:val="00AC1C5F"/>
    <w:rsid w:val="00AC1C69"/>
    <w:rsid w:val="00AC1C90"/>
    <w:rsid w:val="00AC1CB8"/>
    <w:rsid w:val="00AC1D81"/>
    <w:rsid w:val="00AC1D84"/>
    <w:rsid w:val="00AC1D92"/>
    <w:rsid w:val="00AC1DAF"/>
    <w:rsid w:val="00AC1DDC"/>
    <w:rsid w:val="00AC1DE1"/>
    <w:rsid w:val="00AC1E9C"/>
    <w:rsid w:val="00AC1EA9"/>
    <w:rsid w:val="00AC1EC7"/>
    <w:rsid w:val="00AC1F3E"/>
    <w:rsid w:val="00AC1F47"/>
    <w:rsid w:val="00AC1F84"/>
    <w:rsid w:val="00AC2022"/>
    <w:rsid w:val="00AC2098"/>
    <w:rsid w:val="00AC216D"/>
    <w:rsid w:val="00AC2197"/>
    <w:rsid w:val="00AC2213"/>
    <w:rsid w:val="00AC2276"/>
    <w:rsid w:val="00AC229F"/>
    <w:rsid w:val="00AC22A1"/>
    <w:rsid w:val="00AC22E7"/>
    <w:rsid w:val="00AC22F8"/>
    <w:rsid w:val="00AC2348"/>
    <w:rsid w:val="00AC2412"/>
    <w:rsid w:val="00AC246E"/>
    <w:rsid w:val="00AC249A"/>
    <w:rsid w:val="00AC24DA"/>
    <w:rsid w:val="00AC2571"/>
    <w:rsid w:val="00AC2588"/>
    <w:rsid w:val="00AC258A"/>
    <w:rsid w:val="00AC25C1"/>
    <w:rsid w:val="00AC25E4"/>
    <w:rsid w:val="00AC25E6"/>
    <w:rsid w:val="00AC25FC"/>
    <w:rsid w:val="00AC261E"/>
    <w:rsid w:val="00AC2641"/>
    <w:rsid w:val="00AC2645"/>
    <w:rsid w:val="00AC2674"/>
    <w:rsid w:val="00AC2705"/>
    <w:rsid w:val="00AC2759"/>
    <w:rsid w:val="00AC27E1"/>
    <w:rsid w:val="00AC2845"/>
    <w:rsid w:val="00AC2852"/>
    <w:rsid w:val="00AC287A"/>
    <w:rsid w:val="00AC28B4"/>
    <w:rsid w:val="00AC28EB"/>
    <w:rsid w:val="00AC2931"/>
    <w:rsid w:val="00AC2958"/>
    <w:rsid w:val="00AC29CC"/>
    <w:rsid w:val="00AC29D7"/>
    <w:rsid w:val="00AC29FD"/>
    <w:rsid w:val="00AC2A70"/>
    <w:rsid w:val="00AC2B40"/>
    <w:rsid w:val="00AC2B48"/>
    <w:rsid w:val="00AC2B8B"/>
    <w:rsid w:val="00AC2BEE"/>
    <w:rsid w:val="00AC2BF7"/>
    <w:rsid w:val="00AC2C41"/>
    <w:rsid w:val="00AC2C6B"/>
    <w:rsid w:val="00AC2D04"/>
    <w:rsid w:val="00AC2D8F"/>
    <w:rsid w:val="00AC2DD7"/>
    <w:rsid w:val="00AC2DF7"/>
    <w:rsid w:val="00AC2E5A"/>
    <w:rsid w:val="00AC2E86"/>
    <w:rsid w:val="00AC2EC6"/>
    <w:rsid w:val="00AC2ED6"/>
    <w:rsid w:val="00AC2F01"/>
    <w:rsid w:val="00AC2F16"/>
    <w:rsid w:val="00AC2F2D"/>
    <w:rsid w:val="00AC2F5C"/>
    <w:rsid w:val="00AC3022"/>
    <w:rsid w:val="00AC305E"/>
    <w:rsid w:val="00AC3084"/>
    <w:rsid w:val="00AC30A9"/>
    <w:rsid w:val="00AC3104"/>
    <w:rsid w:val="00AC3121"/>
    <w:rsid w:val="00AC31D0"/>
    <w:rsid w:val="00AC31E9"/>
    <w:rsid w:val="00AC3202"/>
    <w:rsid w:val="00AC328B"/>
    <w:rsid w:val="00AC3355"/>
    <w:rsid w:val="00AC33F6"/>
    <w:rsid w:val="00AC3441"/>
    <w:rsid w:val="00AC3461"/>
    <w:rsid w:val="00AC3486"/>
    <w:rsid w:val="00AC34A0"/>
    <w:rsid w:val="00AC34EF"/>
    <w:rsid w:val="00AC34FA"/>
    <w:rsid w:val="00AC3538"/>
    <w:rsid w:val="00AC35A2"/>
    <w:rsid w:val="00AC35EF"/>
    <w:rsid w:val="00AC3622"/>
    <w:rsid w:val="00AC362D"/>
    <w:rsid w:val="00AC366C"/>
    <w:rsid w:val="00AC36E5"/>
    <w:rsid w:val="00AC3709"/>
    <w:rsid w:val="00AC3729"/>
    <w:rsid w:val="00AC372A"/>
    <w:rsid w:val="00AC37B4"/>
    <w:rsid w:val="00AC3818"/>
    <w:rsid w:val="00AC3851"/>
    <w:rsid w:val="00AC3893"/>
    <w:rsid w:val="00AC38FF"/>
    <w:rsid w:val="00AC3938"/>
    <w:rsid w:val="00AC3948"/>
    <w:rsid w:val="00AC3962"/>
    <w:rsid w:val="00AC3963"/>
    <w:rsid w:val="00AC3975"/>
    <w:rsid w:val="00AC3992"/>
    <w:rsid w:val="00AC39B1"/>
    <w:rsid w:val="00AC39C6"/>
    <w:rsid w:val="00AC39EB"/>
    <w:rsid w:val="00AC3A07"/>
    <w:rsid w:val="00AC3A8B"/>
    <w:rsid w:val="00AC3A9A"/>
    <w:rsid w:val="00AC3B62"/>
    <w:rsid w:val="00AC3BC0"/>
    <w:rsid w:val="00AC3C1A"/>
    <w:rsid w:val="00AC3C2C"/>
    <w:rsid w:val="00AC3C9F"/>
    <w:rsid w:val="00AC3CDE"/>
    <w:rsid w:val="00AC3CDF"/>
    <w:rsid w:val="00AC3D15"/>
    <w:rsid w:val="00AC3D88"/>
    <w:rsid w:val="00AC3DBE"/>
    <w:rsid w:val="00AC3DCF"/>
    <w:rsid w:val="00AC3DF6"/>
    <w:rsid w:val="00AC3E95"/>
    <w:rsid w:val="00AC3F1A"/>
    <w:rsid w:val="00AC3FC5"/>
    <w:rsid w:val="00AC3FE4"/>
    <w:rsid w:val="00AC3FF9"/>
    <w:rsid w:val="00AC403C"/>
    <w:rsid w:val="00AC4059"/>
    <w:rsid w:val="00AC4072"/>
    <w:rsid w:val="00AC407E"/>
    <w:rsid w:val="00AC40E0"/>
    <w:rsid w:val="00AC40F6"/>
    <w:rsid w:val="00AC40FB"/>
    <w:rsid w:val="00AC4136"/>
    <w:rsid w:val="00AC4146"/>
    <w:rsid w:val="00AC41FA"/>
    <w:rsid w:val="00AC4241"/>
    <w:rsid w:val="00AC4246"/>
    <w:rsid w:val="00AC42CF"/>
    <w:rsid w:val="00AC4308"/>
    <w:rsid w:val="00AC4329"/>
    <w:rsid w:val="00AC435E"/>
    <w:rsid w:val="00AC4367"/>
    <w:rsid w:val="00AC4376"/>
    <w:rsid w:val="00AC4399"/>
    <w:rsid w:val="00AC43A3"/>
    <w:rsid w:val="00AC43C7"/>
    <w:rsid w:val="00AC4418"/>
    <w:rsid w:val="00AC441F"/>
    <w:rsid w:val="00AC4445"/>
    <w:rsid w:val="00AC44B5"/>
    <w:rsid w:val="00AC44EC"/>
    <w:rsid w:val="00AC44EE"/>
    <w:rsid w:val="00AC451D"/>
    <w:rsid w:val="00AC454F"/>
    <w:rsid w:val="00AC455D"/>
    <w:rsid w:val="00AC4582"/>
    <w:rsid w:val="00AC45E7"/>
    <w:rsid w:val="00AC4655"/>
    <w:rsid w:val="00AC4658"/>
    <w:rsid w:val="00AC465F"/>
    <w:rsid w:val="00AC466F"/>
    <w:rsid w:val="00AC4689"/>
    <w:rsid w:val="00AC46AC"/>
    <w:rsid w:val="00AC46D2"/>
    <w:rsid w:val="00AC46DD"/>
    <w:rsid w:val="00AC47A1"/>
    <w:rsid w:val="00AC47BF"/>
    <w:rsid w:val="00AC47CC"/>
    <w:rsid w:val="00AC47D5"/>
    <w:rsid w:val="00AC480B"/>
    <w:rsid w:val="00AC481E"/>
    <w:rsid w:val="00AC4823"/>
    <w:rsid w:val="00AC485F"/>
    <w:rsid w:val="00AC48EB"/>
    <w:rsid w:val="00AC4956"/>
    <w:rsid w:val="00AC496B"/>
    <w:rsid w:val="00AC49FA"/>
    <w:rsid w:val="00AC4A08"/>
    <w:rsid w:val="00AC4A3A"/>
    <w:rsid w:val="00AC4A3C"/>
    <w:rsid w:val="00AC4A56"/>
    <w:rsid w:val="00AC4A58"/>
    <w:rsid w:val="00AC4AB9"/>
    <w:rsid w:val="00AC4ABD"/>
    <w:rsid w:val="00AC4AE0"/>
    <w:rsid w:val="00AC4B21"/>
    <w:rsid w:val="00AC4B26"/>
    <w:rsid w:val="00AC4B28"/>
    <w:rsid w:val="00AC4B4E"/>
    <w:rsid w:val="00AC4B75"/>
    <w:rsid w:val="00AC4C0E"/>
    <w:rsid w:val="00AC4C10"/>
    <w:rsid w:val="00AC4C25"/>
    <w:rsid w:val="00AC4C50"/>
    <w:rsid w:val="00AC4C88"/>
    <w:rsid w:val="00AC4CDF"/>
    <w:rsid w:val="00AC4CE0"/>
    <w:rsid w:val="00AC4D2B"/>
    <w:rsid w:val="00AC4D49"/>
    <w:rsid w:val="00AC4DB4"/>
    <w:rsid w:val="00AC4DBE"/>
    <w:rsid w:val="00AC4DC0"/>
    <w:rsid w:val="00AC4DCB"/>
    <w:rsid w:val="00AC4E38"/>
    <w:rsid w:val="00AC4E67"/>
    <w:rsid w:val="00AC4E8F"/>
    <w:rsid w:val="00AC4EBC"/>
    <w:rsid w:val="00AC4ED0"/>
    <w:rsid w:val="00AC4ED4"/>
    <w:rsid w:val="00AC4F0D"/>
    <w:rsid w:val="00AC4F65"/>
    <w:rsid w:val="00AC4F6D"/>
    <w:rsid w:val="00AC4F8C"/>
    <w:rsid w:val="00AC4F94"/>
    <w:rsid w:val="00AC4FD5"/>
    <w:rsid w:val="00AC5005"/>
    <w:rsid w:val="00AC5036"/>
    <w:rsid w:val="00AC505E"/>
    <w:rsid w:val="00AC5069"/>
    <w:rsid w:val="00AC509F"/>
    <w:rsid w:val="00AC50AF"/>
    <w:rsid w:val="00AC50BE"/>
    <w:rsid w:val="00AC5146"/>
    <w:rsid w:val="00AC51A4"/>
    <w:rsid w:val="00AC51AC"/>
    <w:rsid w:val="00AC51B1"/>
    <w:rsid w:val="00AC5212"/>
    <w:rsid w:val="00AC527F"/>
    <w:rsid w:val="00AC528D"/>
    <w:rsid w:val="00AC52C6"/>
    <w:rsid w:val="00AC52D0"/>
    <w:rsid w:val="00AC52F2"/>
    <w:rsid w:val="00AC5309"/>
    <w:rsid w:val="00AC5346"/>
    <w:rsid w:val="00AC535A"/>
    <w:rsid w:val="00AC5383"/>
    <w:rsid w:val="00AC53A6"/>
    <w:rsid w:val="00AC53C6"/>
    <w:rsid w:val="00AC53DA"/>
    <w:rsid w:val="00AC53E3"/>
    <w:rsid w:val="00AC5417"/>
    <w:rsid w:val="00AC544C"/>
    <w:rsid w:val="00AC544D"/>
    <w:rsid w:val="00AC5474"/>
    <w:rsid w:val="00AC54B1"/>
    <w:rsid w:val="00AC5505"/>
    <w:rsid w:val="00AC5557"/>
    <w:rsid w:val="00AC5585"/>
    <w:rsid w:val="00AC558D"/>
    <w:rsid w:val="00AC55C1"/>
    <w:rsid w:val="00AC5602"/>
    <w:rsid w:val="00AC567F"/>
    <w:rsid w:val="00AC56E7"/>
    <w:rsid w:val="00AC5732"/>
    <w:rsid w:val="00AC573E"/>
    <w:rsid w:val="00AC57BA"/>
    <w:rsid w:val="00AC57C4"/>
    <w:rsid w:val="00AC5809"/>
    <w:rsid w:val="00AC5868"/>
    <w:rsid w:val="00AC58E7"/>
    <w:rsid w:val="00AC5942"/>
    <w:rsid w:val="00AC598B"/>
    <w:rsid w:val="00AC59E6"/>
    <w:rsid w:val="00AC5A3B"/>
    <w:rsid w:val="00AC5A79"/>
    <w:rsid w:val="00AC5A7B"/>
    <w:rsid w:val="00AC5AB0"/>
    <w:rsid w:val="00AC5AC3"/>
    <w:rsid w:val="00AC5AF5"/>
    <w:rsid w:val="00AC5B01"/>
    <w:rsid w:val="00AC5B64"/>
    <w:rsid w:val="00AC5BB4"/>
    <w:rsid w:val="00AC5BC3"/>
    <w:rsid w:val="00AC5C74"/>
    <w:rsid w:val="00AC5D38"/>
    <w:rsid w:val="00AC5D47"/>
    <w:rsid w:val="00AC5DA7"/>
    <w:rsid w:val="00AC5DCE"/>
    <w:rsid w:val="00AC5DFC"/>
    <w:rsid w:val="00AC5E80"/>
    <w:rsid w:val="00AC5EBB"/>
    <w:rsid w:val="00AC5EC4"/>
    <w:rsid w:val="00AC5EDE"/>
    <w:rsid w:val="00AC5F6D"/>
    <w:rsid w:val="00AC5FA3"/>
    <w:rsid w:val="00AC6014"/>
    <w:rsid w:val="00AC6050"/>
    <w:rsid w:val="00AC6098"/>
    <w:rsid w:val="00AC610A"/>
    <w:rsid w:val="00AC6117"/>
    <w:rsid w:val="00AC6129"/>
    <w:rsid w:val="00AC6164"/>
    <w:rsid w:val="00AC61CB"/>
    <w:rsid w:val="00AC623B"/>
    <w:rsid w:val="00AC6265"/>
    <w:rsid w:val="00AC628A"/>
    <w:rsid w:val="00AC62B4"/>
    <w:rsid w:val="00AC62BB"/>
    <w:rsid w:val="00AC638B"/>
    <w:rsid w:val="00AC63DE"/>
    <w:rsid w:val="00AC63E5"/>
    <w:rsid w:val="00AC6412"/>
    <w:rsid w:val="00AC6422"/>
    <w:rsid w:val="00AC6443"/>
    <w:rsid w:val="00AC64FD"/>
    <w:rsid w:val="00AC6533"/>
    <w:rsid w:val="00AC6534"/>
    <w:rsid w:val="00AC6541"/>
    <w:rsid w:val="00AC657D"/>
    <w:rsid w:val="00AC658D"/>
    <w:rsid w:val="00AC65B2"/>
    <w:rsid w:val="00AC665C"/>
    <w:rsid w:val="00AC667C"/>
    <w:rsid w:val="00AC66E2"/>
    <w:rsid w:val="00AC6831"/>
    <w:rsid w:val="00AC685D"/>
    <w:rsid w:val="00AC6875"/>
    <w:rsid w:val="00AC68E5"/>
    <w:rsid w:val="00AC6904"/>
    <w:rsid w:val="00AC691C"/>
    <w:rsid w:val="00AC69BB"/>
    <w:rsid w:val="00AC69E5"/>
    <w:rsid w:val="00AC6A0D"/>
    <w:rsid w:val="00AC6A60"/>
    <w:rsid w:val="00AC6AC3"/>
    <w:rsid w:val="00AC6B35"/>
    <w:rsid w:val="00AC6B57"/>
    <w:rsid w:val="00AC6BA2"/>
    <w:rsid w:val="00AC6BD8"/>
    <w:rsid w:val="00AC6BE4"/>
    <w:rsid w:val="00AC6C57"/>
    <w:rsid w:val="00AC6CD4"/>
    <w:rsid w:val="00AC6DAC"/>
    <w:rsid w:val="00AC6DC9"/>
    <w:rsid w:val="00AC6DDB"/>
    <w:rsid w:val="00AC6E33"/>
    <w:rsid w:val="00AC6ED1"/>
    <w:rsid w:val="00AC6F27"/>
    <w:rsid w:val="00AC700B"/>
    <w:rsid w:val="00AC701B"/>
    <w:rsid w:val="00AC701E"/>
    <w:rsid w:val="00AC7032"/>
    <w:rsid w:val="00AC7079"/>
    <w:rsid w:val="00AC709B"/>
    <w:rsid w:val="00AC709F"/>
    <w:rsid w:val="00AC70E8"/>
    <w:rsid w:val="00AC7125"/>
    <w:rsid w:val="00AC715F"/>
    <w:rsid w:val="00AC7183"/>
    <w:rsid w:val="00AC72A9"/>
    <w:rsid w:val="00AC72FD"/>
    <w:rsid w:val="00AC73E8"/>
    <w:rsid w:val="00AC7492"/>
    <w:rsid w:val="00AC74A4"/>
    <w:rsid w:val="00AC74CB"/>
    <w:rsid w:val="00AC7550"/>
    <w:rsid w:val="00AC7571"/>
    <w:rsid w:val="00AC7584"/>
    <w:rsid w:val="00AC7594"/>
    <w:rsid w:val="00AC759A"/>
    <w:rsid w:val="00AC75A7"/>
    <w:rsid w:val="00AC75B1"/>
    <w:rsid w:val="00AC75B6"/>
    <w:rsid w:val="00AC75D1"/>
    <w:rsid w:val="00AC75FB"/>
    <w:rsid w:val="00AC7621"/>
    <w:rsid w:val="00AC762B"/>
    <w:rsid w:val="00AC7676"/>
    <w:rsid w:val="00AC7689"/>
    <w:rsid w:val="00AC76CE"/>
    <w:rsid w:val="00AC76DA"/>
    <w:rsid w:val="00AC770F"/>
    <w:rsid w:val="00AC774A"/>
    <w:rsid w:val="00AC774D"/>
    <w:rsid w:val="00AC77DF"/>
    <w:rsid w:val="00AC77F3"/>
    <w:rsid w:val="00AC77F7"/>
    <w:rsid w:val="00AC784A"/>
    <w:rsid w:val="00AC78B2"/>
    <w:rsid w:val="00AC78DA"/>
    <w:rsid w:val="00AC7974"/>
    <w:rsid w:val="00AC7987"/>
    <w:rsid w:val="00AC79A6"/>
    <w:rsid w:val="00AC79FC"/>
    <w:rsid w:val="00AC7A4B"/>
    <w:rsid w:val="00AC7A83"/>
    <w:rsid w:val="00AC7AC1"/>
    <w:rsid w:val="00AC7B38"/>
    <w:rsid w:val="00AC7B3A"/>
    <w:rsid w:val="00AC7BEF"/>
    <w:rsid w:val="00AC7C37"/>
    <w:rsid w:val="00AC7C42"/>
    <w:rsid w:val="00AC7C9D"/>
    <w:rsid w:val="00AC7CCA"/>
    <w:rsid w:val="00AC7D7E"/>
    <w:rsid w:val="00AC7DBF"/>
    <w:rsid w:val="00AC7DEE"/>
    <w:rsid w:val="00AC7E25"/>
    <w:rsid w:val="00AC7E85"/>
    <w:rsid w:val="00AC7E89"/>
    <w:rsid w:val="00AC7E8D"/>
    <w:rsid w:val="00AC7EEC"/>
    <w:rsid w:val="00AC7F72"/>
    <w:rsid w:val="00AC7F79"/>
    <w:rsid w:val="00AC7F9F"/>
    <w:rsid w:val="00AC7FD9"/>
    <w:rsid w:val="00AD000E"/>
    <w:rsid w:val="00AD0061"/>
    <w:rsid w:val="00AD0063"/>
    <w:rsid w:val="00AD0068"/>
    <w:rsid w:val="00AD0069"/>
    <w:rsid w:val="00AD0097"/>
    <w:rsid w:val="00AD00AB"/>
    <w:rsid w:val="00AD00C5"/>
    <w:rsid w:val="00AD00C9"/>
    <w:rsid w:val="00AD00D5"/>
    <w:rsid w:val="00AD00F2"/>
    <w:rsid w:val="00AD0109"/>
    <w:rsid w:val="00AD0146"/>
    <w:rsid w:val="00AD01E3"/>
    <w:rsid w:val="00AD021E"/>
    <w:rsid w:val="00AD023B"/>
    <w:rsid w:val="00AD029D"/>
    <w:rsid w:val="00AD02D9"/>
    <w:rsid w:val="00AD02DC"/>
    <w:rsid w:val="00AD02E2"/>
    <w:rsid w:val="00AD030C"/>
    <w:rsid w:val="00AD0329"/>
    <w:rsid w:val="00AD0348"/>
    <w:rsid w:val="00AD038F"/>
    <w:rsid w:val="00AD03E2"/>
    <w:rsid w:val="00AD0401"/>
    <w:rsid w:val="00AD044A"/>
    <w:rsid w:val="00AD044F"/>
    <w:rsid w:val="00AD045D"/>
    <w:rsid w:val="00AD0482"/>
    <w:rsid w:val="00AD04A3"/>
    <w:rsid w:val="00AD04C0"/>
    <w:rsid w:val="00AD04E6"/>
    <w:rsid w:val="00AD04FD"/>
    <w:rsid w:val="00AD0510"/>
    <w:rsid w:val="00AD051F"/>
    <w:rsid w:val="00AD0521"/>
    <w:rsid w:val="00AD061E"/>
    <w:rsid w:val="00AD068A"/>
    <w:rsid w:val="00AD0696"/>
    <w:rsid w:val="00AD06B2"/>
    <w:rsid w:val="00AD06BB"/>
    <w:rsid w:val="00AD06C9"/>
    <w:rsid w:val="00AD06D5"/>
    <w:rsid w:val="00AD0727"/>
    <w:rsid w:val="00AD0779"/>
    <w:rsid w:val="00AD0813"/>
    <w:rsid w:val="00AD0826"/>
    <w:rsid w:val="00AD083A"/>
    <w:rsid w:val="00AD0848"/>
    <w:rsid w:val="00AD0860"/>
    <w:rsid w:val="00AD087F"/>
    <w:rsid w:val="00AD0889"/>
    <w:rsid w:val="00AD088A"/>
    <w:rsid w:val="00AD08C5"/>
    <w:rsid w:val="00AD08D3"/>
    <w:rsid w:val="00AD08EC"/>
    <w:rsid w:val="00AD0943"/>
    <w:rsid w:val="00AD0980"/>
    <w:rsid w:val="00AD099B"/>
    <w:rsid w:val="00AD09DA"/>
    <w:rsid w:val="00AD0A28"/>
    <w:rsid w:val="00AD0A5A"/>
    <w:rsid w:val="00AD0A6A"/>
    <w:rsid w:val="00AD0A6E"/>
    <w:rsid w:val="00AD0A74"/>
    <w:rsid w:val="00AD0AD1"/>
    <w:rsid w:val="00AD0B9E"/>
    <w:rsid w:val="00AD0BC9"/>
    <w:rsid w:val="00AD0BEE"/>
    <w:rsid w:val="00AD0C18"/>
    <w:rsid w:val="00AD0C6C"/>
    <w:rsid w:val="00AD0C6F"/>
    <w:rsid w:val="00AD0C75"/>
    <w:rsid w:val="00AD0C82"/>
    <w:rsid w:val="00AD0C9A"/>
    <w:rsid w:val="00AD0D2B"/>
    <w:rsid w:val="00AD0D45"/>
    <w:rsid w:val="00AD0DDB"/>
    <w:rsid w:val="00AD0DE8"/>
    <w:rsid w:val="00AD0DF4"/>
    <w:rsid w:val="00AD0DF6"/>
    <w:rsid w:val="00AD0E09"/>
    <w:rsid w:val="00AD0E1B"/>
    <w:rsid w:val="00AD0E2D"/>
    <w:rsid w:val="00AD0E4A"/>
    <w:rsid w:val="00AD0E66"/>
    <w:rsid w:val="00AD0E6E"/>
    <w:rsid w:val="00AD0E92"/>
    <w:rsid w:val="00AD0EAF"/>
    <w:rsid w:val="00AD0F36"/>
    <w:rsid w:val="00AD0F46"/>
    <w:rsid w:val="00AD0F79"/>
    <w:rsid w:val="00AD0F93"/>
    <w:rsid w:val="00AD0F94"/>
    <w:rsid w:val="00AD0FEA"/>
    <w:rsid w:val="00AD10C0"/>
    <w:rsid w:val="00AD10D1"/>
    <w:rsid w:val="00AD1111"/>
    <w:rsid w:val="00AD1124"/>
    <w:rsid w:val="00AD1138"/>
    <w:rsid w:val="00AD1144"/>
    <w:rsid w:val="00AD1148"/>
    <w:rsid w:val="00AD11E7"/>
    <w:rsid w:val="00AD1232"/>
    <w:rsid w:val="00AD12C8"/>
    <w:rsid w:val="00AD132C"/>
    <w:rsid w:val="00AD133A"/>
    <w:rsid w:val="00AD137E"/>
    <w:rsid w:val="00AD13EB"/>
    <w:rsid w:val="00AD1440"/>
    <w:rsid w:val="00AD145E"/>
    <w:rsid w:val="00AD14F0"/>
    <w:rsid w:val="00AD14F2"/>
    <w:rsid w:val="00AD151C"/>
    <w:rsid w:val="00AD151E"/>
    <w:rsid w:val="00AD15A0"/>
    <w:rsid w:val="00AD15E6"/>
    <w:rsid w:val="00AD15FF"/>
    <w:rsid w:val="00AD1603"/>
    <w:rsid w:val="00AD1615"/>
    <w:rsid w:val="00AD1637"/>
    <w:rsid w:val="00AD1661"/>
    <w:rsid w:val="00AD16D1"/>
    <w:rsid w:val="00AD16E2"/>
    <w:rsid w:val="00AD17F4"/>
    <w:rsid w:val="00AD181F"/>
    <w:rsid w:val="00AD1831"/>
    <w:rsid w:val="00AD184F"/>
    <w:rsid w:val="00AD18E6"/>
    <w:rsid w:val="00AD18EA"/>
    <w:rsid w:val="00AD1981"/>
    <w:rsid w:val="00AD1A0B"/>
    <w:rsid w:val="00AD1A79"/>
    <w:rsid w:val="00AD1A7A"/>
    <w:rsid w:val="00AD1AD3"/>
    <w:rsid w:val="00AD1ADE"/>
    <w:rsid w:val="00AD1BBA"/>
    <w:rsid w:val="00AD1BCD"/>
    <w:rsid w:val="00AD1BDA"/>
    <w:rsid w:val="00AD1C1C"/>
    <w:rsid w:val="00AD1C26"/>
    <w:rsid w:val="00AD1C2C"/>
    <w:rsid w:val="00AD1C6C"/>
    <w:rsid w:val="00AD1CBA"/>
    <w:rsid w:val="00AD1CD2"/>
    <w:rsid w:val="00AD1D7E"/>
    <w:rsid w:val="00AD1DE2"/>
    <w:rsid w:val="00AD1E0D"/>
    <w:rsid w:val="00AD1EC4"/>
    <w:rsid w:val="00AD1EF0"/>
    <w:rsid w:val="00AD1EF1"/>
    <w:rsid w:val="00AD1FED"/>
    <w:rsid w:val="00AD1FF1"/>
    <w:rsid w:val="00AD200A"/>
    <w:rsid w:val="00AD200C"/>
    <w:rsid w:val="00AD205B"/>
    <w:rsid w:val="00AD2135"/>
    <w:rsid w:val="00AD2182"/>
    <w:rsid w:val="00AD2191"/>
    <w:rsid w:val="00AD21A6"/>
    <w:rsid w:val="00AD21D4"/>
    <w:rsid w:val="00AD21EC"/>
    <w:rsid w:val="00AD2217"/>
    <w:rsid w:val="00AD225F"/>
    <w:rsid w:val="00AD22B4"/>
    <w:rsid w:val="00AD22F1"/>
    <w:rsid w:val="00AD22F3"/>
    <w:rsid w:val="00AD238D"/>
    <w:rsid w:val="00AD2392"/>
    <w:rsid w:val="00AD239F"/>
    <w:rsid w:val="00AD23A4"/>
    <w:rsid w:val="00AD2409"/>
    <w:rsid w:val="00AD2427"/>
    <w:rsid w:val="00AD2439"/>
    <w:rsid w:val="00AD2445"/>
    <w:rsid w:val="00AD2451"/>
    <w:rsid w:val="00AD2474"/>
    <w:rsid w:val="00AD2477"/>
    <w:rsid w:val="00AD248E"/>
    <w:rsid w:val="00AD2493"/>
    <w:rsid w:val="00AD2497"/>
    <w:rsid w:val="00AD24A2"/>
    <w:rsid w:val="00AD2525"/>
    <w:rsid w:val="00AD2538"/>
    <w:rsid w:val="00AD254B"/>
    <w:rsid w:val="00AD2551"/>
    <w:rsid w:val="00AD25D0"/>
    <w:rsid w:val="00AD260E"/>
    <w:rsid w:val="00AD2616"/>
    <w:rsid w:val="00AD2619"/>
    <w:rsid w:val="00AD2634"/>
    <w:rsid w:val="00AD269A"/>
    <w:rsid w:val="00AD26CF"/>
    <w:rsid w:val="00AD26EB"/>
    <w:rsid w:val="00AD270A"/>
    <w:rsid w:val="00AD275B"/>
    <w:rsid w:val="00AD2764"/>
    <w:rsid w:val="00AD2782"/>
    <w:rsid w:val="00AD280C"/>
    <w:rsid w:val="00AD2824"/>
    <w:rsid w:val="00AD2873"/>
    <w:rsid w:val="00AD28F1"/>
    <w:rsid w:val="00AD2907"/>
    <w:rsid w:val="00AD290A"/>
    <w:rsid w:val="00AD295E"/>
    <w:rsid w:val="00AD2A01"/>
    <w:rsid w:val="00AD2A27"/>
    <w:rsid w:val="00AD2A52"/>
    <w:rsid w:val="00AD2A6B"/>
    <w:rsid w:val="00AD2A8F"/>
    <w:rsid w:val="00AD2AAF"/>
    <w:rsid w:val="00AD2B04"/>
    <w:rsid w:val="00AD2B1E"/>
    <w:rsid w:val="00AD2B5B"/>
    <w:rsid w:val="00AD2B72"/>
    <w:rsid w:val="00AD2BF3"/>
    <w:rsid w:val="00AD2C12"/>
    <w:rsid w:val="00AD2C4D"/>
    <w:rsid w:val="00AD2C59"/>
    <w:rsid w:val="00AD2C95"/>
    <w:rsid w:val="00AD2C9D"/>
    <w:rsid w:val="00AD2CAB"/>
    <w:rsid w:val="00AD2CAD"/>
    <w:rsid w:val="00AD2CC1"/>
    <w:rsid w:val="00AD2D33"/>
    <w:rsid w:val="00AD2D53"/>
    <w:rsid w:val="00AD2D85"/>
    <w:rsid w:val="00AD2DB1"/>
    <w:rsid w:val="00AD2DEF"/>
    <w:rsid w:val="00AD2E50"/>
    <w:rsid w:val="00AD2E5A"/>
    <w:rsid w:val="00AD2EB5"/>
    <w:rsid w:val="00AD2EF7"/>
    <w:rsid w:val="00AD2F22"/>
    <w:rsid w:val="00AD2F8D"/>
    <w:rsid w:val="00AD3048"/>
    <w:rsid w:val="00AD307E"/>
    <w:rsid w:val="00AD3091"/>
    <w:rsid w:val="00AD30B4"/>
    <w:rsid w:val="00AD30B6"/>
    <w:rsid w:val="00AD30FF"/>
    <w:rsid w:val="00AD315C"/>
    <w:rsid w:val="00AD316A"/>
    <w:rsid w:val="00AD31B2"/>
    <w:rsid w:val="00AD31B5"/>
    <w:rsid w:val="00AD31DF"/>
    <w:rsid w:val="00AD321A"/>
    <w:rsid w:val="00AD3234"/>
    <w:rsid w:val="00AD327A"/>
    <w:rsid w:val="00AD328C"/>
    <w:rsid w:val="00AD32CF"/>
    <w:rsid w:val="00AD32F8"/>
    <w:rsid w:val="00AD3343"/>
    <w:rsid w:val="00AD3350"/>
    <w:rsid w:val="00AD338C"/>
    <w:rsid w:val="00AD33C6"/>
    <w:rsid w:val="00AD340B"/>
    <w:rsid w:val="00AD3434"/>
    <w:rsid w:val="00AD3482"/>
    <w:rsid w:val="00AD34B5"/>
    <w:rsid w:val="00AD34FA"/>
    <w:rsid w:val="00AD3509"/>
    <w:rsid w:val="00AD3533"/>
    <w:rsid w:val="00AD35BC"/>
    <w:rsid w:val="00AD3604"/>
    <w:rsid w:val="00AD360C"/>
    <w:rsid w:val="00AD3655"/>
    <w:rsid w:val="00AD3685"/>
    <w:rsid w:val="00AD36F3"/>
    <w:rsid w:val="00AD36F6"/>
    <w:rsid w:val="00AD3710"/>
    <w:rsid w:val="00AD3727"/>
    <w:rsid w:val="00AD373B"/>
    <w:rsid w:val="00AD375C"/>
    <w:rsid w:val="00AD3762"/>
    <w:rsid w:val="00AD377E"/>
    <w:rsid w:val="00AD37CB"/>
    <w:rsid w:val="00AD386D"/>
    <w:rsid w:val="00AD389E"/>
    <w:rsid w:val="00AD38E7"/>
    <w:rsid w:val="00AD3916"/>
    <w:rsid w:val="00AD393E"/>
    <w:rsid w:val="00AD3947"/>
    <w:rsid w:val="00AD398F"/>
    <w:rsid w:val="00AD399C"/>
    <w:rsid w:val="00AD39ED"/>
    <w:rsid w:val="00AD3A5B"/>
    <w:rsid w:val="00AD3AA0"/>
    <w:rsid w:val="00AD3AA6"/>
    <w:rsid w:val="00AD3AB7"/>
    <w:rsid w:val="00AD3AE6"/>
    <w:rsid w:val="00AD3AFA"/>
    <w:rsid w:val="00AD3B16"/>
    <w:rsid w:val="00AD3B40"/>
    <w:rsid w:val="00AD3B9D"/>
    <w:rsid w:val="00AD3BBD"/>
    <w:rsid w:val="00AD3BE6"/>
    <w:rsid w:val="00AD3C0B"/>
    <w:rsid w:val="00AD3C30"/>
    <w:rsid w:val="00AD3C39"/>
    <w:rsid w:val="00AD3C68"/>
    <w:rsid w:val="00AD3C74"/>
    <w:rsid w:val="00AD3D63"/>
    <w:rsid w:val="00AD3E18"/>
    <w:rsid w:val="00AD3E44"/>
    <w:rsid w:val="00AD3E82"/>
    <w:rsid w:val="00AD3F13"/>
    <w:rsid w:val="00AD3F7C"/>
    <w:rsid w:val="00AD3F90"/>
    <w:rsid w:val="00AD3FF1"/>
    <w:rsid w:val="00AD4000"/>
    <w:rsid w:val="00AD402E"/>
    <w:rsid w:val="00AD40F3"/>
    <w:rsid w:val="00AD4139"/>
    <w:rsid w:val="00AD413E"/>
    <w:rsid w:val="00AD41C9"/>
    <w:rsid w:val="00AD41D0"/>
    <w:rsid w:val="00AD4204"/>
    <w:rsid w:val="00AD421B"/>
    <w:rsid w:val="00AD4319"/>
    <w:rsid w:val="00AD431B"/>
    <w:rsid w:val="00AD4337"/>
    <w:rsid w:val="00AD4357"/>
    <w:rsid w:val="00AD4417"/>
    <w:rsid w:val="00AD442E"/>
    <w:rsid w:val="00AD4474"/>
    <w:rsid w:val="00AD449A"/>
    <w:rsid w:val="00AD44CE"/>
    <w:rsid w:val="00AD44E1"/>
    <w:rsid w:val="00AD44EE"/>
    <w:rsid w:val="00AD4580"/>
    <w:rsid w:val="00AD458A"/>
    <w:rsid w:val="00AD45F0"/>
    <w:rsid w:val="00AD4638"/>
    <w:rsid w:val="00AD46BC"/>
    <w:rsid w:val="00AD46BF"/>
    <w:rsid w:val="00AD46C9"/>
    <w:rsid w:val="00AD46CF"/>
    <w:rsid w:val="00AD46EE"/>
    <w:rsid w:val="00AD471E"/>
    <w:rsid w:val="00AD4744"/>
    <w:rsid w:val="00AD4778"/>
    <w:rsid w:val="00AD47EB"/>
    <w:rsid w:val="00AD4810"/>
    <w:rsid w:val="00AD4841"/>
    <w:rsid w:val="00AD48A1"/>
    <w:rsid w:val="00AD48DE"/>
    <w:rsid w:val="00AD48F6"/>
    <w:rsid w:val="00AD48F8"/>
    <w:rsid w:val="00AD4907"/>
    <w:rsid w:val="00AD490E"/>
    <w:rsid w:val="00AD4914"/>
    <w:rsid w:val="00AD491B"/>
    <w:rsid w:val="00AD4930"/>
    <w:rsid w:val="00AD4943"/>
    <w:rsid w:val="00AD49AE"/>
    <w:rsid w:val="00AD4A5B"/>
    <w:rsid w:val="00AD4A6B"/>
    <w:rsid w:val="00AD4A8C"/>
    <w:rsid w:val="00AD4AD5"/>
    <w:rsid w:val="00AD4B50"/>
    <w:rsid w:val="00AD4BB8"/>
    <w:rsid w:val="00AD4CAB"/>
    <w:rsid w:val="00AD4D28"/>
    <w:rsid w:val="00AD4D29"/>
    <w:rsid w:val="00AD4D4C"/>
    <w:rsid w:val="00AD4DD6"/>
    <w:rsid w:val="00AD4E05"/>
    <w:rsid w:val="00AD4E2B"/>
    <w:rsid w:val="00AD4E4A"/>
    <w:rsid w:val="00AD4E4C"/>
    <w:rsid w:val="00AD4E99"/>
    <w:rsid w:val="00AD4F10"/>
    <w:rsid w:val="00AD4F34"/>
    <w:rsid w:val="00AD4F3A"/>
    <w:rsid w:val="00AD4F84"/>
    <w:rsid w:val="00AD4F8D"/>
    <w:rsid w:val="00AD4F9A"/>
    <w:rsid w:val="00AD4FA0"/>
    <w:rsid w:val="00AD5061"/>
    <w:rsid w:val="00AD5080"/>
    <w:rsid w:val="00AD5086"/>
    <w:rsid w:val="00AD508F"/>
    <w:rsid w:val="00AD50F2"/>
    <w:rsid w:val="00AD512A"/>
    <w:rsid w:val="00AD51A5"/>
    <w:rsid w:val="00AD51CA"/>
    <w:rsid w:val="00AD51D1"/>
    <w:rsid w:val="00AD51F2"/>
    <w:rsid w:val="00AD5285"/>
    <w:rsid w:val="00AD52E6"/>
    <w:rsid w:val="00AD5317"/>
    <w:rsid w:val="00AD5351"/>
    <w:rsid w:val="00AD536B"/>
    <w:rsid w:val="00AD5381"/>
    <w:rsid w:val="00AD53CA"/>
    <w:rsid w:val="00AD53FC"/>
    <w:rsid w:val="00AD5421"/>
    <w:rsid w:val="00AD546D"/>
    <w:rsid w:val="00AD54BD"/>
    <w:rsid w:val="00AD5506"/>
    <w:rsid w:val="00AD5585"/>
    <w:rsid w:val="00AD5598"/>
    <w:rsid w:val="00AD55E9"/>
    <w:rsid w:val="00AD55EF"/>
    <w:rsid w:val="00AD5617"/>
    <w:rsid w:val="00AD562F"/>
    <w:rsid w:val="00AD5636"/>
    <w:rsid w:val="00AD5656"/>
    <w:rsid w:val="00AD56A7"/>
    <w:rsid w:val="00AD5710"/>
    <w:rsid w:val="00AD5721"/>
    <w:rsid w:val="00AD5790"/>
    <w:rsid w:val="00AD5797"/>
    <w:rsid w:val="00AD5814"/>
    <w:rsid w:val="00AD581E"/>
    <w:rsid w:val="00AD583F"/>
    <w:rsid w:val="00AD5859"/>
    <w:rsid w:val="00AD5885"/>
    <w:rsid w:val="00AD5887"/>
    <w:rsid w:val="00AD588F"/>
    <w:rsid w:val="00AD58CA"/>
    <w:rsid w:val="00AD58E3"/>
    <w:rsid w:val="00AD58E5"/>
    <w:rsid w:val="00AD58F3"/>
    <w:rsid w:val="00AD590F"/>
    <w:rsid w:val="00AD5929"/>
    <w:rsid w:val="00AD5956"/>
    <w:rsid w:val="00AD5981"/>
    <w:rsid w:val="00AD59AE"/>
    <w:rsid w:val="00AD59E9"/>
    <w:rsid w:val="00AD59F7"/>
    <w:rsid w:val="00AD5A4A"/>
    <w:rsid w:val="00AD5AB3"/>
    <w:rsid w:val="00AD5B06"/>
    <w:rsid w:val="00AD5B5F"/>
    <w:rsid w:val="00AD5BED"/>
    <w:rsid w:val="00AD5C90"/>
    <w:rsid w:val="00AD5CD0"/>
    <w:rsid w:val="00AD5D3C"/>
    <w:rsid w:val="00AD5D4B"/>
    <w:rsid w:val="00AD5D6D"/>
    <w:rsid w:val="00AD5D72"/>
    <w:rsid w:val="00AD5D95"/>
    <w:rsid w:val="00AD5DC2"/>
    <w:rsid w:val="00AD5E31"/>
    <w:rsid w:val="00AD5E5A"/>
    <w:rsid w:val="00AD5EA3"/>
    <w:rsid w:val="00AD5F80"/>
    <w:rsid w:val="00AD5F98"/>
    <w:rsid w:val="00AD5F9A"/>
    <w:rsid w:val="00AD5FA0"/>
    <w:rsid w:val="00AD5FE9"/>
    <w:rsid w:val="00AD5FF2"/>
    <w:rsid w:val="00AD5FF6"/>
    <w:rsid w:val="00AD605F"/>
    <w:rsid w:val="00AD608E"/>
    <w:rsid w:val="00AD60D7"/>
    <w:rsid w:val="00AD60FB"/>
    <w:rsid w:val="00AD6138"/>
    <w:rsid w:val="00AD615A"/>
    <w:rsid w:val="00AD61AD"/>
    <w:rsid w:val="00AD61ED"/>
    <w:rsid w:val="00AD61FB"/>
    <w:rsid w:val="00AD6217"/>
    <w:rsid w:val="00AD623C"/>
    <w:rsid w:val="00AD6241"/>
    <w:rsid w:val="00AD627F"/>
    <w:rsid w:val="00AD6291"/>
    <w:rsid w:val="00AD62C0"/>
    <w:rsid w:val="00AD62FB"/>
    <w:rsid w:val="00AD62FC"/>
    <w:rsid w:val="00AD6305"/>
    <w:rsid w:val="00AD631F"/>
    <w:rsid w:val="00AD637E"/>
    <w:rsid w:val="00AD63AB"/>
    <w:rsid w:val="00AD642C"/>
    <w:rsid w:val="00AD645B"/>
    <w:rsid w:val="00AD64C7"/>
    <w:rsid w:val="00AD651D"/>
    <w:rsid w:val="00AD6522"/>
    <w:rsid w:val="00AD653A"/>
    <w:rsid w:val="00AD6573"/>
    <w:rsid w:val="00AD658A"/>
    <w:rsid w:val="00AD6595"/>
    <w:rsid w:val="00AD65F0"/>
    <w:rsid w:val="00AD6643"/>
    <w:rsid w:val="00AD6655"/>
    <w:rsid w:val="00AD6671"/>
    <w:rsid w:val="00AD6673"/>
    <w:rsid w:val="00AD6681"/>
    <w:rsid w:val="00AD66E7"/>
    <w:rsid w:val="00AD6707"/>
    <w:rsid w:val="00AD67EF"/>
    <w:rsid w:val="00AD6873"/>
    <w:rsid w:val="00AD68B7"/>
    <w:rsid w:val="00AD68DF"/>
    <w:rsid w:val="00AD6947"/>
    <w:rsid w:val="00AD69C9"/>
    <w:rsid w:val="00AD69D2"/>
    <w:rsid w:val="00AD69F3"/>
    <w:rsid w:val="00AD6A73"/>
    <w:rsid w:val="00AD6A8E"/>
    <w:rsid w:val="00AD6A93"/>
    <w:rsid w:val="00AD6B0F"/>
    <w:rsid w:val="00AD6BB0"/>
    <w:rsid w:val="00AD6C76"/>
    <w:rsid w:val="00AD6C79"/>
    <w:rsid w:val="00AD6D5C"/>
    <w:rsid w:val="00AD6D79"/>
    <w:rsid w:val="00AD6E14"/>
    <w:rsid w:val="00AD6E67"/>
    <w:rsid w:val="00AD6E80"/>
    <w:rsid w:val="00AD6ED2"/>
    <w:rsid w:val="00AD6F17"/>
    <w:rsid w:val="00AD6F4C"/>
    <w:rsid w:val="00AD6F97"/>
    <w:rsid w:val="00AD7017"/>
    <w:rsid w:val="00AD7064"/>
    <w:rsid w:val="00AD7065"/>
    <w:rsid w:val="00AD7104"/>
    <w:rsid w:val="00AD72BA"/>
    <w:rsid w:val="00AD72BE"/>
    <w:rsid w:val="00AD73C6"/>
    <w:rsid w:val="00AD73E8"/>
    <w:rsid w:val="00AD742A"/>
    <w:rsid w:val="00AD749F"/>
    <w:rsid w:val="00AD74BD"/>
    <w:rsid w:val="00AD7502"/>
    <w:rsid w:val="00AD751F"/>
    <w:rsid w:val="00AD753C"/>
    <w:rsid w:val="00AD7552"/>
    <w:rsid w:val="00AD755D"/>
    <w:rsid w:val="00AD7611"/>
    <w:rsid w:val="00AD7614"/>
    <w:rsid w:val="00AD7626"/>
    <w:rsid w:val="00AD7640"/>
    <w:rsid w:val="00AD7648"/>
    <w:rsid w:val="00AD76F4"/>
    <w:rsid w:val="00AD76F5"/>
    <w:rsid w:val="00AD7716"/>
    <w:rsid w:val="00AD775A"/>
    <w:rsid w:val="00AD778E"/>
    <w:rsid w:val="00AD77EC"/>
    <w:rsid w:val="00AD786E"/>
    <w:rsid w:val="00AD78CB"/>
    <w:rsid w:val="00AD7901"/>
    <w:rsid w:val="00AD7930"/>
    <w:rsid w:val="00AD795F"/>
    <w:rsid w:val="00AD7966"/>
    <w:rsid w:val="00AD79D9"/>
    <w:rsid w:val="00AD7A12"/>
    <w:rsid w:val="00AD7A8A"/>
    <w:rsid w:val="00AD7A91"/>
    <w:rsid w:val="00AD7AD5"/>
    <w:rsid w:val="00AD7B2F"/>
    <w:rsid w:val="00AD7B51"/>
    <w:rsid w:val="00AD7B82"/>
    <w:rsid w:val="00AD7BC2"/>
    <w:rsid w:val="00AD7BEC"/>
    <w:rsid w:val="00AD7C72"/>
    <w:rsid w:val="00AD7C73"/>
    <w:rsid w:val="00AD7CA6"/>
    <w:rsid w:val="00AD7CCE"/>
    <w:rsid w:val="00AD7D0C"/>
    <w:rsid w:val="00AD7D4C"/>
    <w:rsid w:val="00AD7E0E"/>
    <w:rsid w:val="00AD7E40"/>
    <w:rsid w:val="00AD7EBD"/>
    <w:rsid w:val="00AD7ED8"/>
    <w:rsid w:val="00AD7EDA"/>
    <w:rsid w:val="00AD7EE9"/>
    <w:rsid w:val="00AD7F3E"/>
    <w:rsid w:val="00AD7F44"/>
    <w:rsid w:val="00AD7F67"/>
    <w:rsid w:val="00AD7F8C"/>
    <w:rsid w:val="00AD7FEB"/>
    <w:rsid w:val="00AE003B"/>
    <w:rsid w:val="00AE0045"/>
    <w:rsid w:val="00AE0074"/>
    <w:rsid w:val="00AE0093"/>
    <w:rsid w:val="00AE00A2"/>
    <w:rsid w:val="00AE00DD"/>
    <w:rsid w:val="00AE00F2"/>
    <w:rsid w:val="00AE0155"/>
    <w:rsid w:val="00AE0174"/>
    <w:rsid w:val="00AE0205"/>
    <w:rsid w:val="00AE0233"/>
    <w:rsid w:val="00AE0236"/>
    <w:rsid w:val="00AE0274"/>
    <w:rsid w:val="00AE027A"/>
    <w:rsid w:val="00AE0280"/>
    <w:rsid w:val="00AE02DD"/>
    <w:rsid w:val="00AE035F"/>
    <w:rsid w:val="00AE03B6"/>
    <w:rsid w:val="00AE0423"/>
    <w:rsid w:val="00AE0481"/>
    <w:rsid w:val="00AE0495"/>
    <w:rsid w:val="00AE04E7"/>
    <w:rsid w:val="00AE0532"/>
    <w:rsid w:val="00AE0585"/>
    <w:rsid w:val="00AE05A3"/>
    <w:rsid w:val="00AE05E0"/>
    <w:rsid w:val="00AE066B"/>
    <w:rsid w:val="00AE069D"/>
    <w:rsid w:val="00AE06D6"/>
    <w:rsid w:val="00AE0740"/>
    <w:rsid w:val="00AE0791"/>
    <w:rsid w:val="00AE0795"/>
    <w:rsid w:val="00AE07B9"/>
    <w:rsid w:val="00AE07EA"/>
    <w:rsid w:val="00AE0837"/>
    <w:rsid w:val="00AE085C"/>
    <w:rsid w:val="00AE08C3"/>
    <w:rsid w:val="00AE08E5"/>
    <w:rsid w:val="00AE0938"/>
    <w:rsid w:val="00AE093F"/>
    <w:rsid w:val="00AE0952"/>
    <w:rsid w:val="00AE0962"/>
    <w:rsid w:val="00AE09AB"/>
    <w:rsid w:val="00AE09DE"/>
    <w:rsid w:val="00AE09FA"/>
    <w:rsid w:val="00AE0A09"/>
    <w:rsid w:val="00AE0A1B"/>
    <w:rsid w:val="00AE0A62"/>
    <w:rsid w:val="00AE0A7F"/>
    <w:rsid w:val="00AE0A84"/>
    <w:rsid w:val="00AE0B20"/>
    <w:rsid w:val="00AE0B36"/>
    <w:rsid w:val="00AE0B4C"/>
    <w:rsid w:val="00AE0BC3"/>
    <w:rsid w:val="00AE0BEC"/>
    <w:rsid w:val="00AE0C12"/>
    <w:rsid w:val="00AE0C1D"/>
    <w:rsid w:val="00AE0C72"/>
    <w:rsid w:val="00AE0C95"/>
    <w:rsid w:val="00AE0CA6"/>
    <w:rsid w:val="00AE0CCF"/>
    <w:rsid w:val="00AE0CF4"/>
    <w:rsid w:val="00AE0CF5"/>
    <w:rsid w:val="00AE0D04"/>
    <w:rsid w:val="00AE0D68"/>
    <w:rsid w:val="00AE0DA7"/>
    <w:rsid w:val="00AE0DD8"/>
    <w:rsid w:val="00AE0E17"/>
    <w:rsid w:val="00AE0ED7"/>
    <w:rsid w:val="00AE0EDE"/>
    <w:rsid w:val="00AE0EF2"/>
    <w:rsid w:val="00AE0F22"/>
    <w:rsid w:val="00AE0F32"/>
    <w:rsid w:val="00AE0F3C"/>
    <w:rsid w:val="00AE0F58"/>
    <w:rsid w:val="00AE0F68"/>
    <w:rsid w:val="00AE0FE8"/>
    <w:rsid w:val="00AE0FF2"/>
    <w:rsid w:val="00AE0FF9"/>
    <w:rsid w:val="00AE101C"/>
    <w:rsid w:val="00AE107F"/>
    <w:rsid w:val="00AE1094"/>
    <w:rsid w:val="00AE10BB"/>
    <w:rsid w:val="00AE10BE"/>
    <w:rsid w:val="00AE11F0"/>
    <w:rsid w:val="00AE1205"/>
    <w:rsid w:val="00AE120C"/>
    <w:rsid w:val="00AE122F"/>
    <w:rsid w:val="00AE126A"/>
    <w:rsid w:val="00AE129F"/>
    <w:rsid w:val="00AE12A5"/>
    <w:rsid w:val="00AE131D"/>
    <w:rsid w:val="00AE1344"/>
    <w:rsid w:val="00AE1393"/>
    <w:rsid w:val="00AE1411"/>
    <w:rsid w:val="00AE143C"/>
    <w:rsid w:val="00AE1441"/>
    <w:rsid w:val="00AE1475"/>
    <w:rsid w:val="00AE1482"/>
    <w:rsid w:val="00AE14E5"/>
    <w:rsid w:val="00AE151E"/>
    <w:rsid w:val="00AE1536"/>
    <w:rsid w:val="00AE1545"/>
    <w:rsid w:val="00AE1637"/>
    <w:rsid w:val="00AE165E"/>
    <w:rsid w:val="00AE1671"/>
    <w:rsid w:val="00AE16F4"/>
    <w:rsid w:val="00AE1752"/>
    <w:rsid w:val="00AE177F"/>
    <w:rsid w:val="00AE178F"/>
    <w:rsid w:val="00AE1799"/>
    <w:rsid w:val="00AE17CC"/>
    <w:rsid w:val="00AE1864"/>
    <w:rsid w:val="00AE18A1"/>
    <w:rsid w:val="00AE1960"/>
    <w:rsid w:val="00AE1984"/>
    <w:rsid w:val="00AE19CF"/>
    <w:rsid w:val="00AE19E2"/>
    <w:rsid w:val="00AE1A2A"/>
    <w:rsid w:val="00AE1A4B"/>
    <w:rsid w:val="00AE1A65"/>
    <w:rsid w:val="00AE1A69"/>
    <w:rsid w:val="00AE1ACF"/>
    <w:rsid w:val="00AE1B0B"/>
    <w:rsid w:val="00AE1B29"/>
    <w:rsid w:val="00AE1B76"/>
    <w:rsid w:val="00AE1B77"/>
    <w:rsid w:val="00AE1B78"/>
    <w:rsid w:val="00AE1BAF"/>
    <w:rsid w:val="00AE1BDB"/>
    <w:rsid w:val="00AE1C1E"/>
    <w:rsid w:val="00AE1C37"/>
    <w:rsid w:val="00AE1C73"/>
    <w:rsid w:val="00AE1CD1"/>
    <w:rsid w:val="00AE1D3A"/>
    <w:rsid w:val="00AE1D54"/>
    <w:rsid w:val="00AE1D7F"/>
    <w:rsid w:val="00AE1D96"/>
    <w:rsid w:val="00AE1DED"/>
    <w:rsid w:val="00AE1E12"/>
    <w:rsid w:val="00AE1EA4"/>
    <w:rsid w:val="00AE1F13"/>
    <w:rsid w:val="00AE2007"/>
    <w:rsid w:val="00AE2082"/>
    <w:rsid w:val="00AE20C9"/>
    <w:rsid w:val="00AE20E1"/>
    <w:rsid w:val="00AE2142"/>
    <w:rsid w:val="00AE2202"/>
    <w:rsid w:val="00AE2221"/>
    <w:rsid w:val="00AE223A"/>
    <w:rsid w:val="00AE2251"/>
    <w:rsid w:val="00AE22D5"/>
    <w:rsid w:val="00AE22E7"/>
    <w:rsid w:val="00AE2310"/>
    <w:rsid w:val="00AE2350"/>
    <w:rsid w:val="00AE2354"/>
    <w:rsid w:val="00AE239A"/>
    <w:rsid w:val="00AE23B1"/>
    <w:rsid w:val="00AE23B2"/>
    <w:rsid w:val="00AE23F8"/>
    <w:rsid w:val="00AE2440"/>
    <w:rsid w:val="00AE249E"/>
    <w:rsid w:val="00AE24B5"/>
    <w:rsid w:val="00AE24BF"/>
    <w:rsid w:val="00AE250C"/>
    <w:rsid w:val="00AE2571"/>
    <w:rsid w:val="00AE25AE"/>
    <w:rsid w:val="00AE25BD"/>
    <w:rsid w:val="00AE25C0"/>
    <w:rsid w:val="00AE25C3"/>
    <w:rsid w:val="00AE260F"/>
    <w:rsid w:val="00AE2623"/>
    <w:rsid w:val="00AE26BC"/>
    <w:rsid w:val="00AE26BE"/>
    <w:rsid w:val="00AE2737"/>
    <w:rsid w:val="00AE274B"/>
    <w:rsid w:val="00AE2768"/>
    <w:rsid w:val="00AE27A1"/>
    <w:rsid w:val="00AE27A8"/>
    <w:rsid w:val="00AE27B3"/>
    <w:rsid w:val="00AE27CD"/>
    <w:rsid w:val="00AE27DB"/>
    <w:rsid w:val="00AE27FA"/>
    <w:rsid w:val="00AE2876"/>
    <w:rsid w:val="00AE28A9"/>
    <w:rsid w:val="00AE28C8"/>
    <w:rsid w:val="00AE28D4"/>
    <w:rsid w:val="00AE2905"/>
    <w:rsid w:val="00AE2913"/>
    <w:rsid w:val="00AE296A"/>
    <w:rsid w:val="00AE29CF"/>
    <w:rsid w:val="00AE2A09"/>
    <w:rsid w:val="00AE2A13"/>
    <w:rsid w:val="00AE2A47"/>
    <w:rsid w:val="00AE2A58"/>
    <w:rsid w:val="00AE2A8D"/>
    <w:rsid w:val="00AE2AC0"/>
    <w:rsid w:val="00AE2C33"/>
    <w:rsid w:val="00AE2CCE"/>
    <w:rsid w:val="00AE2D7A"/>
    <w:rsid w:val="00AE2E15"/>
    <w:rsid w:val="00AE2E7B"/>
    <w:rsid w:val="00AE2E84"/>
    <w:rsid w:val="00AE2E91"/>
    <w:rsid w:val="00AE2EF5"/>
    <w:rsid w:val="00AE2F15"/>
    <w:rsid w:val="00AE2F3E"/>
    <w:rsid w:val="00AE2F4E"/>
    <w:rsid w:val="00AE2F72"/>
    <w:rsid w:val="00AE2FE7"/>
    <w:rsid w:val="00AE2FEA"/>
    <w:rsid w:val="00AE3064"/>
    <w:rsid w:val="00AE30B0"/>
    <w:rsid w:val="00AE30CA"/>
    <w:rsid w:val="00AE30CD"/>
    <w:rsid w:val="00AE30CE"/>
    <w:rsid w:val="00AE30DB"/>
    <w:rsid w:val="00AE30F5"/>
    <w:rsid w:val="00AE3109"/>
    <w:rsid w:val="00AE3131"/>
    <w:rsid w:val="00AE3134"/>
    <w:rsid w:val="00AE3147"/>
    <w:rsid w:val="00AE31A4"/>
    <w:rsid w:val="00AE31BF"/>
    <w:rsid w:val="00AE3230"/>
    <w:rsid w:val="00AE3233"/>
    <w:rsid w:val="00AE3257"/>
    <w:rsid w:val="00AE332B"/>
    <w:rsid w:val="00AE3340"/>
    <w:rsid w:val="00AE338D"/>
    <w:rsid w:val="00AE33BE"/>
    <w:rsid w:val="00AE3443"/>
    <w:rsid w:val="00AE3493"/>
    <w:rsid w:val="00AE34B5"/>
    <w:rsid w:val="00AE3507"/>
    <w:rsid w:val="00AE3541"/>
    <w:rsid w:val="00AE3556"/>
    <w:rsid w:val="00AE3607"/>
    <w:rsid w:val="00AE364E"/>
    <w:rsid w:val="00AE3659"/>
    <w:rsid w:val="00AE36F5"/>
    <w:rsid w:val="00AE3725"/>
    <w:rsid w:val="00AE37E7"/>
    <w:rsid w:val="00AE3870"/>
    <w:rsid w:val="00AE387A"/>
    <w:rsid w:val="00AE3885"/>
    <w:rsid w:val="00AE3887"/>
    <w:rsid w:val="00AE38BD"/>
    <w:rsid w:val="00AE3917"/>
    <w:rsid w:val="00AE3938"/>
    <w:rsid w:val="00AE394A"/>
    <w:rsid w:val="00AE395C"/>
    <w:rsid w:val="00AE397C"/>
    <w:rsid w:val="00AE3993"/>
    <w:rsid w:val="00AE39A7"/>
    <w:rsid w:val="00AE39FC"/>
    <w:rsid w:val="00AE3A16"/>
    <w:rsid w:val="00AE3A62"/>
    <w:rsid w:val="00AE3A68"/>
    <w:rsid w:val="00AE3A80"/>
    <w:rsid w:val="00AE3A8D"/>
    <w:rsid w:val="00AE3ADD"/>
    <w:rsid w:val="00AE3B86"/>
    <w:rsid w:val="00AE3B9C"/>
    <w:rsid w:val="00AE3BDA"/>
    <w:rsid w:val="00AE3C9D"/>
    <w:rsid w:val="00AE3D35"/>
    <w:rsid w:val="00AE3DA5"/>
    <w:rsid w:val="00AE3E46"/>
    <w:rsid w:val="00AE3E51"/>
    <w:rsid w:val="00AE3E63"/>
    <w:rsid w:val="00AE3E91"/>
    <w:rsid w:val="00AE3E94"/>
    <w:rsid w:val="00AE3ECA"/>
    <w:rsid w:val="00AE3EE6"/>
    <w:rsid w:val="00AE3F54"/>
    <w:rsid w:val="00AE3F8F"/>
    <w:rsid w:val="00AE3F93"/>
    <w:rsid w:val="00AE3FB3"/>
    <w:rsid w:val="00AE401B"/>
    <w:rsid w:val="00AE4039"/>
    <w:rsid w:val="00AE406B"/>
    <w:rsid w:val="00AE4081"/>
    <w:rsid w:val="00AE4086"/>
    <w:rsid w:val="00AE40F7"/>
    <w:rsid w:val="00AE4116"/>
    <w:rsid w:val="00AE4199"/>
    <w:rsid w:val="00AE41A3"/>
    <w:rsid w:val="00AE4205"/>
    <w:rsid w:val="00AE4236"/>
    <w:rsid w:val="00AE4273"/>
    <w:rsid w:val="00AE42C4"/>
    <w:rsid w:val="00AE42EA"/>
    <w:rsid w:val="00AE42F0"/>
    <w:rsid w:val="00AE4303"/>
    <w:rsid w:val="00AE4335"/>
    <w:rsid w:val="00AE433F"/>
    <w:rsid w:val="00AE4351"/>
    <w:rsid w:val="00AE4370"/>
    <w:rsid w:val="00AE4402"/>
    <w:rsid w:val="00AE441B"/>
    <w:rsid w:val="00AE4439"/>
    <w:rsid w:val="00AE447E"/>
    <w:rsid w:val="00AE44B2"/>
    <w:rsid w:val="00AE44F8"/>
    <w:rsid w:val="00AE4576"/>
    <w:rsid w:val="00AE45E0"/>
    <w:rsid w:val="00AE45EB"/>
    <w:rsid w:val="00AE45F7"/>
    <w:rsid w:val="00AE460B"/>
    <w:rsid w:val="00AE465F"/>
    <w:rsid w:val="00AE46C0"/>
    <w:rsid w:val="00AE476E"/>
    <w:rsid w:val="00AE477E"/>
    <w:rsid w:val="00AE47DB"/>
    <w:rsid w:val="00AE484F"/>
    <w:rsid w:val="00AE4855"/>
    <w:rsid w:val="00AE48C5"/>
    <w:rsid w:val="00AE48DE"/>
    <w:rsid w:val="00AE48F9"/>
    <w:rsid w:val="00AE4909"/>
    <w:rsid w:val="00AE4921"/>
    <w:rsid w:val="00AE492D"/>
    <w:rsid w:val="00AE494E"/>
    <w:rsid w:val="00AE499F"/>
    <w:rsid w:val="00AE49AB"/>
    <w:rsid w:val="00AE49B2"/>
    <w:rsid w:val="00AE49EA"/>
    <w:rsid w:val="00AE49F6"/>
    <w:rsid w:val="00AE4A7D"/>
    <w:rsid w:val="00AE4A8D"/>
    <w:rsid w:val="00AE4A98"/>
    <w:rsid w:val="00AE4AF9"/>
    <w:rsid w:val="00AE4B1C"/>
    <w:rsid w:val="00AE4B91"/>
    <w:rsid w:val="00AE4BC0"/>
    <w:rsid w:val="00AE4BDA"/>
    <w:rsid w:val="00AE4BF0"/>
    <w:rsid w:val="00AE4C0D"/>
    <w:rsid w:val="00AE4C44"/>
    <w:rsid w:val="00AE4C99"/>
    <w:rsid w:val="00AE4CEF"/>
    <w:rsid w:val="00AE4D0B"/>
    <w:rsid w:val="00AE4D24"/>
    <w:rsid w:val="00AE4D2E"/>
    <w:rsid w:val="00AE4D30"/>
    <w:rsid w:val="00AE4D58"/>
    <w:rsid w:val="00AE4D7C"/>
    <w:rsid w:val="00AE4E29"/>
    <w:rsid w:val="00AE4E42"/>
    <w:rsid w:val="00AE4ED4"/>
    <w:rsid w:val="00AE4EE2"/>
    <w:rsid w:val="00AE4EE7"/>
    <w:rsid w:val="00AE4EE8"/>
    <w:rsid w:val="00AE4F09"/>
    <w:rsid w:val="00AE4F0B"/>
    <w:rsid w:val="00AE4F11"/>
    <w:rsid w:val="00AE4F18"/>
    <w:rsid w:val="00AE4F66"/>
    <w:rsid w:val="00AE4F95"/>
    <w:rsid w:val="00AE4FCF"/>
    <w:rsid w:val="00AE500E"/>
    <w:rsid w:val="00AE501F"/>
    <w:rsid w:val="00AE5085"/>
    <w:rsid w:val="00AE50A3"/>
    <w:rsid w:val="00AE50C4"/>
    <w:rsid w:val="00AE511F"/>
    <w:rsid w:val="00AE5164"/>
    <w:rsid w:val="00AE517A"/>
    <w:rsid w:val="00AE517F"/>
    <w:rsid w:val="00AE51DA"/>
    <w:rsid w:val="00AE52F3"/>
    <w:rsid w:val="00AE533C"/>
    <w:rsid w:val="00AE53A8"/>
    <w:rsid w:val="00AE53CC"/>
    <w:rsid w:val="00AE544D"/>
    <w:rsid w:val="00AE54A7"/>
    <w:rsid w:val="00AE54CD"/>
    <w:rsid w:val="00AE54D8"/>
    <w:rsid w:val="00AE5517"/>
    <w:rsid w:val="00AE5521"/>
    <w:rsid w:val="00AE553A"/>
    <w:rsid w:val="00AE5584"/>
    <w:rsid w:val="00AE55C5"/>
    <w:rsid w:val="00AE5602"/>
    <w:rsid w:val="00AE5695"/>
    <w:rsid w:val="00AE56AA"/>
    <w:rsid w:val="00AE56F2"/>
    <w:rsid w:val="00AE570C"/>
    <w:rsid w:val="00AE5738"/>
    <w:rsid w:val="00AE57EF"/>
    <w:rsid w:val="00AE5808"/>
    <w:rsid w:val="00AE58F4"/>
    <w:rsid w:val="00AE58F8"/>
    <w:rsid w:val="00AE590E"/>
    <w:rsid w:val="00AE5937"/>
    <w:rsid w:val="00AE5981"/>
    <w:rsid w:val="00AE59A1"/>
    <w:rsid w:val="00AE59C5"/>
    <w:rsid w:val="00AE59DB"/>
    <w:rsid w:val="00AE5A0C"/>
    <w:rsid w:val="00AE5A24"/>
    <w:rsid w:val="00AE5A54"/>
    <w:rsid w:val="00AE5A5D"/>
    <w:rsid w:val="00AE5AE1"/>
    <w:rsid w:val="00AE5B04"/>
    <w:rsid w:val="00AE5B44"/>
    <w:rsid w:val="00AE5B9E"/>
    <w:rsid w:val="00AE5BBF"/>
    <w:rsid w:val="00AE5C0E"/>
    <w:rsid w:val="00AE5C33"/>
    <w:rsid w:val="00AE5C8E"/>
    <w:rsid w:val="00AE5CC1"/>
    <w:rsid w:val="00AE5CDD"/>
    <w:rsid w:val="00AE5D43"/>
    <w:rsid w:val="00AE5D68"/>
    <w:rsid w:val="00AE5D78"/>
    <w:rsid w:val="00AE5D8A"/>
    <w:rsid w:val="00AE5DD8"/>
    <w:rsid w:val="00AE5DDD"/>
    <w:rsid w:val="00AE5E3E"/>
    <w:rsid w:val="00AE5E60"/>
    <w:rsid w:val="00AE5E61"/>
    <w:rsid w:val="00AE5EA0"/>
    <w:rsid w:val="00AE5EAD"/>
    <w:rsid w:val="00AE5ED6"/>
    <w:rsid w:val="00AE5F2B"/>
    <w:rsid w:val="00AE5F68"/>
    <w:rsid w:val="00AE5FAF"/>
    <w:rsid w:val="00AE600C"/>
    <w:rsid w:val="00AE6038"/>
    <w:rsid w:val="00AE6042"/>
    <w:rsid w:val="00AE609C"/>
    <w:rsid w:val="00AE609D"/>
    <w:rsid w:val="00AE60D4"/>
    <w:rsid w:val="00AE60FB"/>
    <w:rsid w:val="00AE611C"/>
    <w:rsid w:val="00AE6185"/>
    <w:rsid w:val="00AE61B2"/>
    <w:rsid w:val="00AE61C1"/>
    <w:rsid w:val="00AE6201"/>
    <w:rsid w:val="00AE621E"/>
    <w:rsid w:val="00AE622B"/>
    <w:rsid w:val="00AE6236"/>
    <w:rsid w:val="00AE62B4"/>
    <w:rsid w:val="00AE62C4"/>
    <w:rsid w:val="00AE630C"/>
    <w:rsid w:val="00AE6358"/>
    <w:rsid w:val="00AE63A1"/>
    <w:rsid w:val="00AE63F1"/>
    <w:rsid w:val="00AE6417"/>
    <w:rsid w:val="00AE642E"/>
    <w:rsid w:val="00AE645A"/>
    <w:rsid w:val="00AE649F"/>
    <w:rsid w:val="00AE64DB"/>
    <w:rsid w:val="00AE64E9"/>
    <w:rsid w:val="00AE652D"/>
    <w:rsid w:val="00AE6565"/>
    <w:rsid w:val="00AE65C7"/>
    <w:rsid w:val="00AE65FA"/>
    <w:rsid w:val="00AE6616"/>
    <w:rsid w:val="00AE669B"/>
    <w:rsid w:val="00AE669D"/>
    <w:rsid w:val="00AE6717"/>
    <w:rsid w:val="00AE676B"/>
    <w:rsid w:val="00AE67A3"/>
    <w:rsid w:val="00AE67A6"/>
    <w:rsid w:val="00AE6811"/>
    <w:rsid w:val="00AE6831"/>
    <w:rsid w:val="00AE68A3"/>
    <w:rsid w:val="00AE68A5"/>
    <w:rsid w:val="00AE6936"/>
    <w:rsid w:val="00AE6A1D"/>
    <w:rsid w:val="00AE6A32"/>
    <w:rsid w:val="00AE6A93"/>
    <w:rsid w:val="00AE6ABC"/>
    <w:rsid w:val="00AE6ACA"/>
    <w:rsid w:val="00AE6AF8"/>
    <w:rsid w:val="00AE6B2A"/>
    <w:rsid w:val="00AE6B46"/>
    <w:rsid w:val="00AE6B76"/>
    <w:rsid w:val="00AE6B87"/>
    <w:rsid w:val="00AE6BA8"/>
    <w:rsid w:val="00AE6BCA"/>
    <w:rsid w:val="00AE6C28"/>
    <w:rsid w:val="00AE6C32"/>
    <w:rsid w:val="00AE6C55"/>
    <w:rsid w:val="00AE6C77"/>
    <w:rsid w:val="00AE6CA5"/>
    <w:rsid w:val="00AE6CBF"/>
    <w:rsid w:val="00AE6D23"/>
    <w:rsid w:val="00AE6D6F"/>
    <w:rsid w:val="00AE6D7E"/>
    <w:rsid w:val="00AE6D90"/>
    <w:rsid w:val="00AE6DAB"/>
    <w:rsid w:val="00AE6DD1"/>
    <w:rsid w:val="00AE6DF7"/>
    <w:rsid w:val="00AE6E28"/>
    <w:rsid w:val="00AE6E52"/>
    <w:rsid w:val="00AE6E97"/>
    <w:rsid w:val="00AE6EA2"/>
    <w:rsid w:val="00AE6F2A"/>
    <w:rsid w:val="00AE6F2B"/>
    <w:rsid w:val="00AE6F9A"/>
    <w:rsid w:val="00AE7053"/>
    <w:rsid w:val="00AE708C"/>
    <w:rsid w:val="00AE70E9"/>
    <w:rsid w:val="00AE710E"/>
    <w:rsid w:val="00AE715E"/>
    <w:rsid w:val="00AE7171"/>
    <w:rsid w:val="00AE7197"/>
    <w:rsid w:val="00AE71BD"/>
    <w:rsid w:val="00AE71D8"/>
    <w:rsid w:val="00AE71DD"/>
    <w:rsid w:val="00AE7223"/>
    <w:rsid w:val="00AE726D"/>
    <w:rsid w:val="00AE7275"/>
    <w:rsid w:val="00AE72DC"/>
    <w:rsid w:val="00AE7347"/>
    <w:rsid w:val="00AE734C"/>
    <w:rsid w:val="00AE734E"/>
    <w:rsid w:val="00AE7377"/>
    <w:rsid w:val="00AE7445"/>
    <w:rsid w:val="00AE7446"/>
    <w:rsid w:val="00AE74A1"/>
    <w:rsid w:val="00AE74D3"/>
    <w:rsid w:val="00AE74D4"/>
    <w:rsid w:val="00AE74E6"/>
    <w:rsid w:val="00AE7504"/>
    <w:rsid w:val="00AE757E"/>
    <w:rsid w:val="00AE75B4"/>
    <w:rsid w:val="00AE75BA"/>
    <w:rsid w:val="00AE766B"/>
    <w:rsid w:val="00AE76E7"/>
    <w:rsid w:val="00AE7741"/>
    <w:rsid w:val="00AE7767"/>
    <w:rsid w:val="00AE777E"/>
    <w:rsid w:val="00AE779D"/>
    <w:rsid w:val="00AE77D6"/>
    <w:rsid w:val="00AE77DB"/>
    <w:rsid w:val="00AE7818"/>
    <w:rsid w:val="00AE7831"/>
    <w:rsid w:val="00AE78AE"/>
    <w:rsid w:val="00AE78BA"/>
    <w:rsid w:val="00AE7937"/>
    <w:rsid w:val="00AE795E"/>
    <w:rsid w:val="00AE796D"/>
    <w:rsid w:val="00AE79AD"/>
    <w:rsid w:val="00AE79E5"/>
    <w:rsid w:val="00AE79F6"/>
    <w:rsid w:val="00AE7A18"/>
    <w:rsid w:val="00AE7AC0"/>
    <w:rsid w:val="00AE7AF7"/>
    <w:rsid w:val="00AE7B08"/>
    <w:rsid w:val="00AE7B4C"/>
    <w:rsid w:val="00AE7BA9"/>
    <w:rsid w:val="00AE7BFE"/>
    <w:rsid w:val="00AE7C1B"/>
    <w:rsid w:val="00AE7C1E"/>
    <w:rsid w:val="00AE7C23"/>
    <w:rsid w:val="00AE7C8E"/>
    <w:rsid w:val="00AE7CC4"/>
    <w:rsid w:val="00AE7CF6"/>
    <w:rsid w:val="00AE7D22"/>
    <w:rsid w:val="00AE7D2D"/>
    <w:rsid w:val="00AE7DC1"/>
    <w:rsid w:val="00AE7E0C"/>
    <w:rsid w:val="00AE7E8F"/>
    <w:rsid w:val="00AE7E98"/>
    <w:rsid w:val="00AE7EAE"/>
    <w:rsid w:val="00AE7F4B"/>
    <w:rsid w:val="00AE7FA1"/>
    <w:rsid w:val="00AE7FBF"/>
    <w:rsid w:val="00AE7FC7"/>
    <w:rsid w:val="00AE7FC9"/>
    <w:rsid w:val="00AF0023"/>
    <w:rsid w:val="00AF0051"/>
    <w:rsid w:val="00AF005B"/>
    <w:rsid w:val="00AF0084"/>
    <w:rsid w:val="00AF00A0"/>
    <w:rsid w:val="00AF00BE"/>
    <w:rsid w:val="00AF00DE"/>
    <w:rsid w:val="00AF014F"/>
    <w:rsid w:val="00AF0167"/>
    <w:rsid w:val="00AF0187"/>
    <w:rsid w:val="00AF01BC"/>
    <w:rsid w:val="00AF01C5"/>
    <w:rsid w:val="00AF0295"/>
    <w:rsid w:val="00AF02BF"/>
    <w:rsid w:val="00AF02D1"/>
    <w:rsid w:val="00AF02E3"/>
    <w:rsid w:val="00AF03DD"/>
    <w:rsid w:val="00AF0406"/>
    <w:rsid w:val="00AF0415"/>
    <w:rsid w:val="00AF047D"/>
    <w:rsid w:val="00AF04EC"/>
    <w:rsid w:val="00AF0533"/>
    <w:rsid w:val="00AF0557"/>
    <w:rsid w:val="00AF057B"/>
    <w:rsid w:val="00AF058D"/>
    <w:rsid w:val="00AF05E7"/>
    <w:rsid w:val="00AF05EB"/>
    <w:rsid w:val="00AF0657"/>
    <w:rsid w:val="00AF068F"/>
    <w:rsid w:val="00AF0757"/>
    <w:rsid w:val="00AF07AB"/>
    <w:rsid w:val="00AF07B6"/>
    <w:rsid w:val="00AF07B8"/>
    <w:rsid w:val="00AF07C7"/>
    <w:rsid w:val="00AF0842"/>
    <w:rsid w:val="00AF08A3"/>
    <w:rsid w:val="00AF08DC"/>
    <w:rsid w:val="00AF0905"/>
    <w:rsid w:val="00AF0937"/>
    <w:rsid w:val="00AF099C"/>
    <w:rsid w:val="00AF09EF"/>
    <w:rsid w:val="00AF09F1"/>
    <w:rsid w:val="00AF0A03"/>
    <w:rsid w:val="00AF0A25"/>
    <w:rsid w:val="00AF0A37"/>
    <w:rsid w:val="00AF0A65"/>
    <w:rsid w:val="00AF0AA7"/>
    <w:rsid w:val="00AF0AD1"/>
    <w:rsid w:val="00AF0B11"/>
    <w:rsid w:val="00AF0B12"/>
    <w:rsid w:val="00AF0B6B"/>
    <w:rsid w:val="00AF0BA6"/>
    <w:rsid w:val="00AF0C04"/>
    <w:rsid w:val="00AF0C05"/>
    <w:rsid w:val="00AF0C1A"/>
    <w:rsid w:val="00AF0C42"/>
    <w:rsid w:val="00AF0C74"/>
    <w:rsid w:val="00AF0C9A"/>
    <w:rsid w:val="00AF0CF4"/>
    <w:rsid w:val="00AF0D03"/>
    <w:rsid w:val="00AF0D3B"/>
    <w:rsid w:val="00AF0D5C"/>
    <w:rsid w:val="00AF0D84"/>
    <w:rsid w:val="00AF0D8C"/>
    <w:rsid w:val="00AF0E3C"/>
    <w:rsid w:val="00AF0EDF"/>
    <w:rsid w:val="00AF0EE8"/>
    <w:rsid w:val="00AF0F1A"/>
    <w:rsid w:val="00AF0F3A"/>
    <w:rsid w:val="00AF0F6F"/>
    <w:rsid w:val="00AF0F9F"/>
    <w:rsid w:val="00AF0FD0"/>
    <w:rsid w:val="00AF0FDC"/>
    <w:rsid w:val="00AF101A"/>
    <w:rsid w:val="00AF106C"/>
    <w:rsid w:val="00AF10AE"/>
    <w:rsid w:val="00AF10F4"/>
    <w:rsid w:val="00AF1170"/>
    <w:rsid w:val="00AF1192"/>
    <w:rsid w:val="00AF1200"/>
    <w:rsid w:val="00AF1230"/>
    <w:rsid w:val="00AF129F"/>
    <w:rsid w:val="00AF12CA"/>
    <w:rsid w:val="00AF12F3"/>
    <w:rsid w:val="00AF130E"/>
    <w:rsid w:val="00AF1321"/>
    <w:rsid w:val="00AF13A1"/>
    <w:rsid w:val="00AF13AC"/>
    <w:rsid w:val="00AF13B6"/>
    <w:rsid w:val="00AF1436"/>
    <w:rsid w:val="00AF1441"/>
    <w:rsid w:val="00AF1459"/>
    <w:rsid w:val="00AF1464"/>
    <w:rsid w:val="00AF1469"/>
    <w:rsid w:val="00AF149D"/>
    <w:rsid w:val="00AF14CA"/>
    <w:rsid w:val="00AF14EC"/>
    <w:rsid w:val="00AF1544"/>
    <w:rsid w:val="00AF1567"/>
    <w:rsid w:val="00AF15B6"/>
    <w:rsid w:val="00AF15BB"/>
    <w:rsid w:val="00AF16EA"/>
    <w:rsid w:val="00AF1785"/>
    <w:rsid w:val="00AF17BE"/>
    <w:rsid w:val="00AF17FC"/>
    <w:rsid w:val="00AF188D"/>
    <w:rsid w:val="00AF18A1"/>
    <w:rsid w:val="00AF18C0"/>
    <w:rsid w:val="00AF1926"/>
    <w:rsid w:val="00AF195C"/>
    <w:rsid w:val="00AF1996"/>
    <w:rsid w:val="00AF19A8"/>
    <w:rsid w:val="00AF19AE"/>
    <w:rsid w:val="00AF19F1"/>
    <w:rsid w:val="00AF1A30"/>
    <w:rsid w:val="00AF1A82"/>
    <w:rsid w:val="00AF1AA5"/>
    <w:rsid w:val="00AF1AEE"/>
    <w:rsid w:val="00AF1B03"/>
    <w:rsid w:val="00AF1B57"/>
    <w:rsid w:val="00AF1BAF"/>
    <w:rsid w:val="00AF1C52"/>
    <w:rsid w:val="00AF1C8E"/>
    <w:rsid w:val="00AF1C90"/>
    <w:rsid w:val="00AF1CA7"/>
    <w:rsid w:val="00AF1CD0"/>
    <w:rsid w:val="00AF1CFD"/>
    <w:rsid w:val="00AF1D12"/>
    <w:rsid w:val="00AF1D43"/>
    <w:rsid w:val="00AF1D73"/>
    <w:rsid w:val="00AF1D88"/>
    <w:rsid w:val="00AF1DA5"/>
    <w:rsid w:val="00AF1DE1"/>
    <w:rsid w:val="00AF1E14"/>
    <w:rsid w:val="00AF1ED1"/>
    <w:rsid w:val="00AF1F29"/>
    <w:rsid w:val="00AF1FA9"/>
    <w:rsid w:val="00AF1FE5"/>
    <w:rsid w:val="00AF2014"/>
    <w:rsid w:val="00AF2079"/>
    <w:rsid w:val="00AF2087"/>
    <w:rsid w:val="00AF2093"/>
    <w:rsid w:val="00AF2197"/>
    <w:rsid w:val="00AF21AB"/>
    <w:rsid w:val="00AF21AD"/>
    <w:rsid w:val="00AF221B"/>
    <w:rsid w:val="00AF2228"/>
    <w:rsid w:val="00AF2247"/>
    <w:rsid w:val="00AF22B4"/>
    <w:rsid w:val="00AF22FB"/>
    <w:rsid w:val="00AF234F"/>
    <w:rsid w:val="00AF2396"/>
    <w:rsid w:val="00AF239A"/>
    <w:rsid w:val="00AF23D4"/>
    <w:rsid w:val="00AF2432"/>
    <w:rsid w:val="00AF2539"/>
    <w:rsid w:val="00AF2592"/>
    <w:rsid w:val="00AF25C0"/>
    <w:rsid w:val="00AF25C4"/>
    <w:rsid w:val="00AF2618"/>
    <w:rsid w:val="00AF2657"/>
    <w:rsid w:val="00AF27B0"/>
    <w:rsid w:val="00AF27B4"/>
    <w:rsid w:val="00AF27C0"/>
    <w:rsid w:val="00AF27D0"/>
    <w:rsid w:val="00AF27DA"/>
    <w:rsid w:val="00AF2832"/>
    <w:rsid w:val="00AF2863"/>
    <w:rsid w:val="00AF28C7"/>
    <w:rsid w:val="00AF28DA"/>
    <w:rsid w:val="00AF290F"/>
    <w:rsid w:val="00AF2919"/>
    <w:rsid w:val="00AF2938"/>
    <w:rsid w:val="00AF29AE"/>
    <w:rsid w:val="00AF29D0"/>
    <w:rsid w:val="00AF29F1"/>
    <w:rsid w:val="00AF29F7"/>
    <w:rsid w:val="00AF2A31"/>
    <w:rsid w:val="00AF2A99"/>
    <w:rsid w:val="00AF2ACC"/>
    <w:rsid w:val="00AF2AF7"/>
    <w:rsid w:val="00AF2B49"/>
    <w:rsid w:val="00AF2B67"/>
    <w:rsid w:val="00AF2C1E"/>
    <w:rsid w:val="00AF2C35"/>
    <w:rsid w:val="00AF2C4F"/>
    <w:rsid w:val="00AF2CF6"/>
    <w:rsid w:val="00AF2CFE"/>
    <w:rsid w:val="00AF2D93"/>
    <w:rsid w:val="00AF2D9B"/>
    <w:rsid w:val="00AF2DDD"/>
    <w:rsid w:val="00AF2DED"/>
    <w:rsid w:val="00AF2E13"/>
    <w:rsid w:val="00AF2E30"/>
    <w:rsid w:val="00AF2E97"/>
    <w:rsid w:val="00AF2EF7"/>
    <w:rsid w:val="00AF2F40"/>
    <w:rsid w:val="00AF2F43"/>
    <w:rsid w:val="00AF2F4A"/>
    <w:rsid w:val="00AF2F6A"/>
    <w:rsid w:val="00AF2F77"/>
    <w:rsid w:val="00AF2F8C"/>
    <w:rsid w:val="00AF2FB8"/>
    <w:rsid w:val="00AF2FB9"/>
    <w:rsid w:val="00AF2FEF"/>
    <w:rsid w:val="00AF3066"/>
    <w:rsid w:val="00AF3102"/>
    <w:rsid w:val="00AF3104"/>
    <w:rsid w:val="00AF316F"/>
    <w:rsid w:val="00AF31A8"/>
    <w:rsid w:val="00AF31C0"/>
    <w:rsid w:val="00AF31D5"/>
    <w:rsid w:val="00AF31E4"/>
    <w:rsid w:val="00AF31EA"/>
    <w:rsid w:val="00AF3209"/>
    <w:rsid w:val="00AF32CC"/>
    <w:rsid w:val="00AF32F1"/>
    <w:rsid w:val="00AF3300"/>
    <w:rsid w:val="00AF330C"/>
    <w:rsid w:val="00AF33AC"/>
    <w:rsid w:val="00AF33B4"/>
    <w:rsid w:val="00AF343F"/>
    <w:rsid w:val="00AF34DC"/>
    <w:rsid w:val="00AF34DF"/>
    <w:rsid w:val="00AF356F"/>
    <w:rsid w:val="00AF3578"/>
    <w:rsid w:val="00AF35B3"/>
    <w:rsid w:val="00AF35C5"/>
    <w:rsid w:val="00AF35DF"/>
    <w:rsid w:val="00AF35F5"/>
    <w:rsid w:val="00AF35FE"/>
    <w:rsid w:val="00AF3606"/>
    <w:rsid w:val="00AF3610"/>
    <w:rsid w:val="00AF3618"/>
    <w:rsid w:val="00AF368C"/>
    <w:rsid w:val="00AF36B3"/>
    <w:rsid w:val="00AF36C4"/>
    <w:rsid w:val="00AF36F6"/>
    <w:rsid w:val="00AF3727"/>
    <w:rsid w:val="00AF376F"/>
    <w:rsid w:val="00AF37C6"/>
    <w:rsid w:val="00AF37CE"/>
    <w:rsid w:val="00AF37D0"/>
    <w:rsid w:val="00AF37D6"/>
    <w:rsid w:val="00AF37DF"/>
    <w:rsid w:val="00AF38B1"/>
    <w:rsid w:val="00AF38B7"/>
    <w:rsid w:val="00AF38E3"/>
    <w:rsid w:val="00AF38F5"/>
    <w:rsid w:val="00AF3910"/>
    <w:rsid w:val="00AF395C"/>
    <w:rsid w:val="00AF3963"/>
    <w:rsid w:val="00AF3971"/>
    <w:rsid w:val="00AF39BB"/>
    <w:rsid w:val="00AF39DA"/>
    <w:rsid w:val="00AF39F9"/>
    <w:rsid w:val="00AF3A64"/>
    <w:rsid w:val="00AF3A81"/>
    <w:rsid w:val="00AF3B05"/>
    <w:rsid w:val="00AF3B10"/>
    <w:rsid w:val="00AF3B91"/>
    <w:rsid w:val="00AF3BBD"/>
    <w:rsid w:val="00AF3BDC"/>
    <w:rsid w:val="00AF3BEB"/>
    <w:rsid w:val="00AF3BFC"/>
    <w:rsid w:val="00AF3C5F"/>
    <w:rsid w:val="00AF3C98"/>
    <w:rsid w:val="00AF3CAD"/>
    <w:rsid w:val="00AF3D3A"/>
    <w:rsid w:val="00AF3D59"/>
    <w:rsid w:val="00AF3D6A"/>
    <w:rsid w:val="00AF3DB3"/>
    <w:rsid w:val="00AF3E00"/>
    <w:rsid w:val="00AF3E42"/>
    <w:rsid w:val="00AF3E5A"/>
    <w:rsid w:val="00AF3E73"/>
    <w:rsid w:val="00AF3EDE"/>
    <w:rsid w:val="00AF3F7B"/>
    <w:rsid w:val="00AF3F9E"/>
    <w:rsid w:val="00AF3FB0"/>
    <w:rsid w:val="00AF3FED"/>
    <w:rsid w:val="00AF4016"/>
    <w:rsid w:val="00AF4052"/>
    <w:rsid w:val="00AF406C"/>
    <w:rsid w:val="00AF40A2"/>
    <w:rsid w:val="00AF40A7"/>
    <w:rsid w:val="00AF414F"/>
    <w:rsid w:val="00AF4167"/>
    <w:rsid w:val="00AF4193"/>
    <w:rsid w:val="00AF41F1"/>
    <w:rsid w:val="00AF41FE"/>
    <w:rsid w:val="00AF4254"/>
    <w:rsid w:val="00AF4258"/>
    <w:rsid w:val="00AF426D"/>
    <w:rsid w:val="00AF4354"/>
    <w:rsid w:val="00AF437F"/>
    <w:rsid w:val="00AF4385"/>
    <w:rsid w:val="00AF440F"/>
    <w:rsid w:val="00AF4488"/>
    <w:rsid w:val="00AF4580"/>
    <w:rsid w:val="00AF4595"/>
    <w:rsid w:val="00AF45EC"/>
    <w:rsid w:val="00AF45EF"/>
    <w:rsid w:val="00AF4620"/>
    <w:rsid w:val="00AF468C"/>
    <w:rsid w:val="00AF46AF"/>
    <w:rsid w:val="00AF46B7"/>
    <w:rsid w:val="00AF46BC"/>
    <w:rsid w:val="00AF472B"/>
    <w:rsid w:val="00AF4737"/>
    <w:rsid w:val="00AF4755"/>
    <w:rsid w:val="00AF478D"/>
    <w:rsid w:val="00AF4852"/>
    <w:rsid w:val="00AF4853"/>
    <w:rsid w:val="00AF4859"/>
    <w:rsid w:val="00AF4870"/>
    <w:rsid w:val="00AF489D"/>
    <w:rsid w:val="00AF48DC"/>
    <w:rsid w:val="00AF48FA"/>
    <w:rsid w:val="00AF490A"/>
    <w:rsid w:val="00AF491D"/>
    <w:rsid w:val="00AF4920"/>
    <w:rsid w:val="00AF49A0"/>
    <w:rsid w:val="00AF49CE"/>
    <w:rsid w:val="00AF49D6"/>
    <w:rsid w:val="00AF49FF"/>
    <w:rsid w:val="00AF4A01"/>
    <w:rsid w:val="00AF4A20"/>
    <w:rsid w:val="00AF4A3D"/>
    <w:rsid w:val="00AF4A50"/>
    <w:rsid w:val="00AF4B84"/>
    <w:rsid w:val="00AF4BBC"/>
    <w:rsid w:val="00AF4BD5"/>
    <w:rsid w:val="00AF4BE1"/>
    <w:rsid w:val="00AF4C50"/>
    <w:rsid w:val="00AF4CB9"/>
    <w:rsid w:val="00AF4CDD"/>
    <w:rsid w:val="00AF4CE4"/>
    <w:rsid w:val="00AF4D06"/>
    <w:rsid w:val="00AF4D20"/>
    <w:rsid w:val="00AF4D53"/>
    <w:rsid w:val="00AF4D9B"/>
    <w:rsid w:val="00AF4DD4"/>
    <w:rsid w:val="00AF4E68"/>
    <w:rsid w:val="00AF4E7E"/>
    <w:rsid w:val="00AF4E88"/>
    <w:rsid w:val="00AF4EFB"/>
    <w:rsid w:val="00AF4F01"/>
    <w:rsid w:val="00AF4F64"/>
    <w:rsid w:val="00AF4FA7"/>
    <w:rsid w:val="00AF4FA8"/>
    <w:rsid w:val="00AF5079"/>
    <w:rsid w:val="00AF5131"/>
    <w:rsid w:val="00AF5140"/>
    <w:rsid w:val="00AF5164"/>
    <w:rsid w:val="00AF51A4"/>
    <w:rsid w:val="00AF5254"/>
    <w:rsid w:val="00AF528E"/>
    <w:rsid w:val="00AF529B"/>
    <w:rsid w:val="00AF52C2"/>
    <w:rsid w:val="00AF52DC"/>
    <w:rsid w:val="00AF52F9"/>
    <w:rsid w:val="00AF52FE"/>
    <w:rsid w:val="00AF5335"/>
    <w:rsid w:val="00AF5356"/>
    <w:rsid w:val="00AF53B0"/>
    <w:rsid w:val="00AF53C3"/>
    <w:rsid w:val="00AF53EC"/>
    <w:rsid w:val="00AF5457"/>
    <w:rsid w:val="00AF5485"/>
    <w:rsid w:val="00AF548D"/>
    <w:rsid w:val="00AF5490"/>
    <w:rsid w:val="00AF54F7"/>
    <w:rsid w:val="00AF5524"/>
    <w:rsid w:val="00AF552F"/>
    <w:rsid w:val="00AF5540"/>
    <w:rsid w:val="00AF559C"/>
    <w:rsid w:val="00AF55AC"/>
    <w:rsid w:val="00AF55CE"/>
    <w:rsid w:val="00AF56A1"/>
    <w:rsid w:val="00AF56C1"/>
    <w:rsid w:val="00AF56E8"/>
    <w:rsid w:val="00AF56EA"/>
    <w:rsid w:val="00AF572B"/>
    <w:rsid w:val="00AF5731"/>
    <w:rsid w:val="00AF575A"/>
    <w:rsid w:val="00AF576D"/>
    <w:rsid w:val="00AF57B4"/>
    <w:rsid w:val="00AF57BD"/>
    <w:rsid w:val="00AF57DB"/>
    <w:rsid w:val="00AF580A"/>
    <w:rsid w:val="00AF586E"/>
    <w:rsid w:val="00AF589C"/>
    <w:rsid w:val="00AF58AE"/>
    <w:rsid w:val="00AF5903"/>
    <w:rsid w:val="00AF590B"/>
    <w:rsid w:val="00AF593A"/>
    <w:rsid w:val="00AF5981"/>
    <w:rsid w:val="00AF59C9"/>
    <w:rsid w:val="00AF5A04"/>
    <w:rsid w:val="00AF5A80"/>
    <w:rsid w:val="00AF5AE7"/>
    <w:rsid w:val="00AF5B10"/>
    <w:rsid w:val="00AF5B9B"/>
    <w:rsid w:val="00AF5BFE"/>
    <w:rsid w:val="00AF5C32"/>
    <w:rsid w:val="00AF5C59"/>
    <w:rsid w:val="00AF5CC5"/>
    <w:rsid w:val="00AF5CD3"/>
    <w:rsid w:val="00AF5CF1"/>
    <w:rsid w:val="00AF5D84"/>
    <w:rsid w:val="00AF5DC0"/>
    <w:rsid w:val="00AF5DFF"/>
    <w:rsid w:val="00AF5E0B"/>
    <w:rsid w:val="00AF5E66"/>
    <w:rsid w:val="00AF5E8D"/>
    <w:rsid w:val="00AF5EE5"/>
    <w:rsid w:val="00AF5F07"/>
    <w:rsid w:val="00AF5F38"/>
    <w:rsid w:val="00AF6084"/>
    <w:rsid w:val="00AF60A7"/>
    <w:rsid w:val="00AF6121"/>
    <w:rsid w:val="00AF613E"/>
    <w:rsid w:val="00AF6193"/>
    <w:rsid w:val="00AF619C"/>
    <w:rsid w:val="00AF61A4"/>
    <w:rsid w:val="00AF61A8"/>
    <w:rsid w:val="00AF61E0"/>
    <w:rsid w:val="00AF6212"/>
    <w:rsid w:val="00AF6310"/>
    <w:rsid w:val="00AF632F"/>
    <w:rsid w:val="00AF634A"/>
    <w:rsid w:val="00AF6351"/>
    <w:rsid w:val="00AF6377"/>
    <w:rsid w:val="00AF6389"/>
    <w:rsid w:val="00AF63DE"/>
    <w:rsid w:val="00AF640F"/>
    <w:rsid w:val="00AF6412"/>
    <w:rsid w:val="00AF6439"/>
    <w:rsid w:val="00AF643D"/>
    <w:rsid w:val="00AF644D"/>
    <w:rsid w:val="00AF645C"/>
    <w:rsid w:val="00AF652F"/>
    <w:rsid w:val="00AF6531"/>
    <w:rsid w:val="00AF65B8"/>
    <w:rsid w:val="00AF661E"/>
    <w:rsid w:val="00AF666E"/>
    <w:rsid w:val="00AF6680"/>
    <w:rsid w:val="00AF668C"/>
    <w:rsid w:val="00AF66C2"/>
    <w:rsid w:val="00AF66D3"/>
    <w:rsid w:val="00AF6761"/>
    <w:rsid w:val="00AF6789"/>
    <w:rsid w:val="00AF67AB"/>
    <w:rsid w:val="00AF67D9"/>
    <w:rsid w:val="00AF6822"/>
    <w:rsid w:val="00AF6883"/>
    <w:rsid w:val="00AF68B8"/>
    <w:rsid w:val="00AF692B"/>
    <w:rsid w:val="00AF694F"/>
    <w:rsid w:val="00AF69C3"/>
    <w:rsid w:val="00AF69C4"/>
    <w:rsid w:val="00AF69DD"/>
    <w:rsid w:val="00AF6A08"/>
    <w:rsid w:val="00AF6A68"/>
    <w:rsid w:val="00AF6B09"/>
    <w:rsid w:val="00AF6B32"/>
    <w:rsid w:val="00AF6B79"/>
    <w:rsid w:val="00AF6B97"/>
    <w:rsid w:val="00AF6BA2"/>
    <w:rsid w:val="00AF6BE2"/>
    <w:rsid w:val="00AF6C1D"/>
    <w:rsid w:val="00AF6C8B"/>
    <w:rsid w:val="00AF6C9F"/>
    <w:rsid w:val="00AF6CB0"/>
    <w:rsid w:val="00AF6CC0"/>
    <w:rsid w:val="00AF6CDE"/>
    <w:rsid w:val="00AF6D03"/>
    <w:rsid w:val="00AF6D07"/>
    <w:rsid w:val="00AF6D6C"/>
    <w:rsid w:val="00AF6D9B"/>
    <w:rsid w:val="00AF6E48"/>
    <w:rsid w:val="00AF6E98"/>
    <w:rsid w:val="00AF6EA3"/>
    <w:rsid w:val="00AF6EB1"/>
    <w:rsid w:val="00AF6EC6"/>
    <w:rsid w:val="00AF6EDA"/>
    <w:rsid w:val="00AF6F0F"/>
    <w:rsid w:val="00AF6F64"/>
    <w:rsid w:val="00AF6F95"/>
    <w:rsid w:val="00AF6FB9"/>
    <w:rsid w:val="00AF6FC3"/>
    <w:rsid w:val="00AF6FE5"/>
    <w:rsid w:val="00AF700C"/>
    <w:rsid w:val="00AF70D6"/>
    <w:rsid w:val="00AF7127"/>
    <w:rsid w:val="00AF71AE"/>
    <w:rsid w:val="00AF7204"/>
    <w:rsid w:val="00AF7206"/>
    <w:rsid w:val="00AF7242"/>
    <w:rsid w:val="00AF7302"/>
    <w:rsid w:val="00AF73B3"/>
    <w:rsid w:val="00AF73E0"/>
    <w:rsid w:val="00AF7421"/>
    <w:rsid w:val="00AF7547"/>
    <w:rsid w:val="00AF7596"/>
    <w:rsid w:val="00AF75B3"/>
    <w:rsid w:val="00AF7609"/>
    <w:rsid w:val="00AF766E"/>
    <w:rsid w:val="00AF76FF"/>
    <w:rsid w:val="00AF7729"/>
    <w:rsid w:val="00AF772D"/>
    <w:rsid w:val="00AF7756"/>
    <w:rsid w:val="00AF7770"/>
    <w:rsid w:val="00AF7788"/>
    <w:rsid w:val="00AF77FD"/>
    <w:rsid w:val="00AF781B"/>
    <w:rsid w:val="00AF7838"/>
    <w:rsid w:val="00AF78A5"/>
    <w:rsid w:val="00AF78D0"/>
    <w:rsid w:val="00AF79D7"/>
    <w:rsid w:val="00AF7A62"/>
    <w:rsid w:val="00AF7A76"/>
    <w:rsid w:val="00AF7AB7"/>
    <w:rsid w:val="00AF7AC7"/>
    <w:rsid w:val="00AF7B35"/>
    <w:rsid w:val="00AF7B65"/>
    <w:rsid w:val="00AF7B87"/>
    <w:rsid w:val="00AF7BBB"/>
    <w:rsid w:val="00AF7BC0"/>
    <w:rsid w:val="00AF7C0D"/>
    <w:rsid w:val="00AF7C21"/>
    <w:rsid w:val="00AF7C5F"/>
    <w:rsid w:val="00AF7CA0"/>
    <w:rsid w:val="00AF7CC8"/>
    <w:rsid w:val="00AF7CCA"/>
    <w:rsid w:val="00AF7CD5"/>
    <w:rsid w:val="00AF7CD6"/>
    <w:rsid w:val="00AF7D01"/>
    <w:rsid w:val="00AF7D19"/>
    <w:rsid w:val="00AF7D3D"/>
    <w:rsid w:val="00AF7D4F"/>
    <w:rsid w:val="00AF7D65"/>
    <w:rsid w:val="00AF7D83"/>
    <w:rsid w:val="00AF7DA2"/>
    <w:rsid w:val="00AF7DC3"/>
    <w:rsid w:val="00AF7DF6"/>
    <w:rsid w:val="00AF7E4F"/>
    <w:rsid w:val="00AF7E91"/>
    <w:rsid w:val="00AF7E93"/>
    <w:rsid w:val="00AF7ECA"/>
    <w:rsid w:val="00AF7F50"/>
    <w:rsid w:val="00AF7F67"/>
    <w:rsid w:val="00AF7F84"/>
    <w:rsid w:val="00AF7F8D"/>
    <w:rsid w:val="00AF7FAE"/>
    <w:rsid w:val="00AF7FB3"/>
    <w:rsid w:val="00AF7FB5"/>
    <w:rsid w:val="00AF7FBB"/>
    <w:rsid w:val="00AF7FF1"/>
    <w:rsid w:val="00AF7FFD"/>
    <w:rsid w:val="00B0004A"/>
    <w:rsid w:val="00B00057"/>
    <w:rsid w:val="00B0005E"/>
    <w:rsid w:val="00B00066"/>
    <w:rsid w:val="00B0006D"/>
    <w:rsid w:val="00B000C7"/>
    <w:rsid w:val="00B000DC"/>
    <w:rsid w:val="00B00175"/>
    <w:rsid w:val="00B0017D"/>
    <w:rsid w:val="00B001B2"/>
    <w:rsid w:val="00B001F1"/>
    <w:rsid w:val="00B0020C"/>
    <w:rsid w:val="00B00213"/>
    <w:rsid w:val="00B00227"/>
    <w:rsid w:val="00B0023C"/>
    <w:rsid w:val="00B00281"/>
    <w:rsid w:val="00B002E2"/>
    <w:rsid w:val="00B00307"/>
    <w:rsid w:val="00B00309"/>
    <w:rsid w:val="00B00390"/>
    <w:rsid w:val="00B003E4"/>
    <w:rsid w:val="00B003FF"/>
    <w:rsid w:val="00B00403"/>
    <w:rsid w:val="00B0040F"/>
    <w:rsid w:val="00B00422"/>
    <w:rsid w:val="00B00436"/>
    <w:rsid w:val="00B0044C"/>
    <w:rsid w:val="00B00488"/>
    <w:rsid w:val="00B004AD"/>
    <w:rsid w:val="00B004B0"/>
    <w:rsid w:val="00B0052D"/>
    <w:rsid w:val="00B00543"/>
    <w:rsid w:val="00B00553"/>
    <w:rsid w:val="00B00560"/>
    <w:rsid w:val="00B0057E"/>
    <w:rsid w:val="00B005AE"/>
    <w:rsid w:val="00B005CA"/>
    <w:rsid w:val="00B0060C"/>
    <w:rsid w:val="00B00618"/>
    <w:rsid w:val="00B00654"/>
    <w:rsid w:val="00B00687"/>
    <w:rsid w:val="00B00761"/>
    <w:rsid w:val="00B00763"/>
    <w:rsid w:val="00B007A6"/>
    <w:rsid w:val="00B007C2"/>
    <w:rsid w:val="00B00851"/>
    <w:rsid w:val="00B00895"/>
    <w:rsid w:val="00B008C7"/>
    <w:rsid w:val="00B008DE"/>
    <w:rsid w:val="00B008F6"/>
    <w:rsid w:val="00B00908"/>
    <w:rsid w:val="00B0092B"/>
    <w:rsid w:val="00B00952"/>
    <w:rsid w:val="00B00983"/>
    <w:rsid w:val="00B00990"/>
    <w:rsid w:val="00B0099C"/>
    <w:rsid w:val="00B009C3"/>
    <w:rsid w:val="00B009F6"/>
    <w:rsid w:val="00B00A0D"/>
    <w:rsid w:val="00B00AA6"/>
    <w:rsid w:val="00B00AB1"/>
    <w:rsid w:val="00B00ACC"/>
    <w:rsid w:val="00B00B08"/>
    <w:rsid w:val="00B00B4B"/>
    <w:rsid w:val="00B00BD3"/>
    <w:rsid w:val="00B00C2E"/>
    <w:rsid w:val="00B00C4F"/>
    <w:rsid w:val="00B00C7D"/>
    <w:rsid w:val="00B00CA7"/>
    <w:rsid w:val="00B00D74"/>
    <w:rsid w:val="00B00DD1"/>
    <w:rsid w:val="00B00E1E"/>
    <w:rsid w:val="00B00E62"/>
    <w:rsid w:val="00B00E8A"/>
    <w:rsid w:val="00B00EB9"/>
    <w:rsid w:val="00B00ED4"/>
    <w:rsid w:val="00B00EE7"/>
    <w:rsid w:val="00B00EFD"/>
    <w:rsid w:val="00B00FC5"/>
    <w:rsid w:val="00B01034"/>
    <w:rsid w:val="00B010A2"/>
    <w:rsid w:val="00B010AE"/>
    <w:rsid w:val="00B010B3"/>
    <w:rsid w:val="00B010C3"/>
    <w:rsid w:val="00B010FF"/>
    <w:rsid w:val="00B01144"/>
    <w:rsid w:val="00B01172"/>
    <w:rsid w:val="00B01184"/>
    <w:rsid w:val="00B011AC"/>
    <w:rsid w:val="00B011C6"/>
    <w:rsid w:val="00B01207"/>
    <w:rsid w:val="00B0122C"/>
    <w:rsid w:val="00B0129F"/>
    <w:rsid w:val="00B012D7"/>
    <w:rsid w:val="00B012DF"/>
    <w:rsid w:val="00B01316"/>
    <w:rsid w:val="00B01341"/>
    <w:rsid w:val="00B0135C"/>
    <w:rsid w:val="00B0137E"/>
    <w:rsid w:val="00B0139D"/>
    <w:rsid w:val="00B013C6"/>
    <w:rsid w:val="00B013E9"/>
    <w:rsid w:val="00B013EC"/>
    <w:rsid w:val="00B013F2"/>
    <w:rsid w:val="00B01490"/>
    <w:rsid w:val="00B014E7"/>
    <w:rsid w:val="00B014F3"/>
    <w:rsid w:val="00B014FE"/>
    <w:rsid w:val="00B01573"/>
    <w:rsid w:val="00B015CA"/>
    <w:rsid w:val="00B01620"/>
    <w:rsid w:val="00B01670"/>
    <w:rsid w:val="00B01684"/>
    <w:rsid w:val="00B016A9"/>
    <w:rsid w:val="00B016F7"/>
    <w:rsid w:val="00B0170C"/>
    <w:rsid w:val="00B017B9"/>
    <w:rsid w:val="00B017D4"/>
    <w:rsid w:val="00B01814"/>
    <w:rsid w:val="00B01878"/>
    <w:rsid w:val="00B018A7"/>
    <w:rsid w:val="00B018B1"/>
    <w:rsid w:val="00B018B8"/>
    <w:rsid w:val="00B018E5"/>
    <w:rsid w:val="00B01909"/>
    <w:rsid w:val="00B0190C"/>
    <w:rsid w:val="00B0197B"/>
    <w:rsid w:val="00B0197F"/>
    <w:rsid w:val="00B0198F"/>
    <w:rsid w:val="00B019AC"/>
    <w:rsid w:val="00B019EB"/>
    <w:rsid w:val="00B019F1"/>
    <w:rsid w:val="00B01AD7"/>
    <w:rsid w:val="00B01B02"/>
    <w:rsid w:val="00B01B07"/>
    <w:rsid w:val="00B01B22"/>
    <w:rsid w:val="00B01B9C"/>
    <w:rsid w:val="00B01BCC"/>
    <w:rsid w:val="00B01BE5"/>
    <w:rsid w:val="00B01C07"/>
    <w:rsid w:val="00B01C10"/>
    <w:rsid w:val="00B01C16"/>
    <w:rsid w:val="00B01C3D"/>
    <w:rsid w:val="00B01C95"/>
    <w:rsid w:val="00B01CC4"/>
    <w:rsid w:val="00B01CC6"/>
    <w:rsid w:val="00B01D0D"/>
    <w:rsid w:val="00B01D15"/>
    <w:rsid w:val="00B01D34"/>
    <w:rsid w:val="00B01D3D"/>
    <w:rsid w:val="00B01DE8"/>
    <w:rsid w:val="00B01DEB"/>
    <w:rsid w:val="00B01E5E"/>
    <w:rsid w:val="00B01EA4"/>
    <w:rsid w:val="00B01F15"/>
    <w:rsid w:val="00B01F5A"/>
    <w:rsid w:val="00B01F99"/>
    <w:rsid w:val="00B02032"/>
    <w:rsid w:val="00B02046"/>
    <w:rsid w:val="00B0205E"/>
    <w:rsid w:val="00B020F2"/>
    <w:rsid w:val="00B02108"/>
    <w:rsid w:val="00B0214F"/>
    <w:rsid w:val="00B02150"/>
    <w:rsid w:val="00B02189"/>
    <w:rsid w:val="00B021DD"/>
    <w:rsid w:val="00B0220D"/>
    <w:rsid w:val="00B02223"/>
    <w:rsid w:val="00B022B6"/>
    <w:rsid w:val="00B022BF"/>
    <w:rsid w:val="00B022C1"/>
    <w:rsid w:val="00B0232B"/>
    <w:rsid w:val="00B0233F"/>
    <w:rsid w:val="00B02392"/>
    <w:rsid w:val="00B023C4"/>
    <w:rsid w:val="00B02480"/>
    <w:rsid w:val="00B02481"/>
    <w:rsid w:val="00B024EF"/>
    <w:rsid w:val="00B02564"/>
    <w:rsid w:val="00B025F8"/>
    <w:rsid w:val="00B02672"/>
    <w:rsid w:val="00B0267B"/>
    <w:rsid w:val="00B02694"/>
    <w:rsid w:val="00B026B2"/>
    <w:rsid w:val="00B026B3"/>
    <w:rsid w:val="00B026F5"/>
    <w:rsid w:val="00B02726"/>
    <w:rsid w:val="00B027A3"/>
    <w:rsid w:val="00B027FD"/>
    <w:rsid w:val="00B027FE"/>
    <w:rsid w:val="00B0291E"/>
    <w:rsid w:val="00B02951"/>
    <w:rsid w:val="00B0296E"/>
    <w:rsid w:val="00B029E8"/>
    <w:rsid w:val="00B029F3"/>
    <w:rsid w:val="00B02A11"/>
    <w:rsid w:val="00B02A35"/>
    <w:rsid w:val="00B02A58"/>
    <w:rsid w:val="00B02A82"/>
    <w:rsid w:val="00B02AFC"/>
    <w:rsid w:val="00B02B00"/>
    <w:rsid w:val="00B02B0A"/>
    <w:rsid w:val="00B02B21"/>
    <w:rsid w:val="00B02B68"/>
    <w:rsid w:val="00B02C39"/>
    <w:rsid w:val="00B02C79"/>
    <w:rsid w:val="00B02C8F"/>
    <w:rsid w:val="00B02C9A"/>
    <w:rsid w:val="00B02C9E"/>
    <w:rsid w:val="00B02CA5"/>
    <w:rsid w:val="00B02D17"/>
    <w:rsid w:val="00B02D65"/>
    <w:rsid w:val="00B02D67"/>
    <w:rsid w:val="00B02D79"/>
    <w:rsid w:val="00B02D8D"/>
    <w:rsid w:val="00B02D8F"/>
    <w:rsid w:val="00B02D9A"/>
    <w:rsid w:val="00B02DAC"/>
    <w:rsid w:val="00B02E32"/>
    <w:rsid w:val="00B02E87"/>
    <w:rsid w:val="00B02E91"/>
    <w:rsid w:val="00B02E92"/>
    <w:rsid w:val="00B02EFE"/>
    <w:rsid w:val="00B02F2D"/>
    <w:rsid w:val="00B02F53"/>
    <w:rsid w:val="00B02F5D"/>
    <w:rsid w:val="00B02F64"/>
    <w:rsid w:val="00B02F7C"/>
    <w:rsid w:val="00B0305E"/>
    <w:rsid w:val="00B03065"/>
    <w:rsid w:val="00B030E8"/>
    <w:rsid w:val="00B030F3"/>
    <w:rsid w:val="00B031B8"/>
    <w:rsid w:val="00B031E1"/>
    <w:rsid w:val="00B03238"/>
    <w:rsid w:val="00B03261"/>
    <w:rsid w:val="00B032B3"/>
    <w:rsid w:val="00B032B4"/>
    <w:rsid w:val="00B032C4"/>
    <w:rsid w:val="00B0334E"/>
    <w:rsid w:val="00B0335A"/>
    <w:rsid w:val="00B03370"/>
    <w:rsid w:val="00B03382"/>
    <w:rsid w:val="00B033C3"/>
    <w:rsid w:val="00B03436"/>
    <w:rsid w:val="00B034D8"/>
    <w:rsid w:val="00B0353D"/>
    <w:rsid w:val="00B0354D"/>
    <w:rsid w:val="00B03554"/>
    <w:rsid w:val="00B03567"/>
    <w:rsid w:val="00B035BA"/>
    <w:rsid w:val="00B03604"/>
    <w:rsid w:val="00B0362B"/>
    <w:rsid w:val="00B03630"/>
    <w:rsid w:val="00B03634"/>
    <w:rsid w:val="00B03666"/>
    <w:rsid w:val="00B037AF"/>
    <w:rsid w:val="00B037F3"/>
    <w:rsid w:val="00B0380E"/>
    <w:rsid w:val="00B0381A"/>
    <w:rsid w:val="00B03833"/>
    <w:rsid w:val="00B0384A"/>
    <w:rsid w:val="00B0385B"/>
    <w:rsid w:val="00B03881"/>
    <w:rsid w:val="00B0389B"/>
    <w:rsid w:val="00B038A5"/>
    <w:rsid w:val="00B038C5"/>
    <w:rsid w:val="00B038EB"/>
    <w:rsid w:val="00B0390F"/>
    <w:rsid w:val="00B03958"/>
    <w:rsid w:val="00B03961"/>
    <w:rsid w:val="00B039F0"/>
    <w:rsid w:val="00B03A01"/>
    <w:rsid w:val="00B03A33"/>
    <w:rsid w:val="00B03A75"/>
    <w:rsid w:val="00B03AD5"/>
    <w:rsid w:val="00B03ADB"/>
    <w:rsid w:val="00B03AE8"/>
    <w:rsid w:val="00B03B79"/>
    <w:rsid w:val="00B03B9B"/>
    <w:rsid w:val="00B03B9D"/>
    <w:rsid w:val="00B03BCC"/>
    <w:rsid w:val="00B03BFB"/>
    <w:rsid w:val="00B03C1C"/>
    <w:rsid w:val="00B03C2B"/>
    <w:rsid w:val="00B03C90"/>
    <w:rsid w:val="00B03CB5"/>
    <w:rsid w:val="00B03CBA"/>
    <w:rsid w:val="00B03CC2"/>
    <w:rsid w:val="00B03D06"/>
    <w:rsid w:val="00B03DA2"/>
    <w:rsid w:val="00B03DCA"/>
    <w:rsid w:val="00B03EEB"/>
    <w:rsid w:val="00B03F09"/>
    <w:rsid w:val="00B03F37"/>
    <w:rsid w:val="00B03F6E"/>
    <w:rsid w:val="00B03F9D"/>
    <w:rsid w:val="00B03FB9"/>
    <w:rsid w:val="00B03FC8"/>
    <w:rsid w:val="00B04047"/>
    <w:rsid w:val="00B04079"/>
    <w:rsid w:val="00B040A0"/>
    <w:rsid w:val="00B040C9"/>
    <w:rsid w:val="00B040D3"/>
    <w:rsid w:val="00B040DC"/>
    <w:rsid w:val="00B040F0"/>
    <w:rsid w:val="00B04136"/>
    <w:rsid w:val="00B0413F"/>
    <w:rsid w:val="00B04140"/>
    <w:rsid w:val="00B04154"/>
    <w:rsid w:val="00B04197"/>
    <w:rsid w:val="00B041AE"/>
    <w:rsid w:val="00B041AF"/>
    <w:rsid w:val="00B041BE"/>
    <w:rsid w:val="00B041ED"/>
    <w:rsid w:val="00B04232"/>
    <w:rsid w:val="00B0426B"/>
    <w:rsid w:val="00B042FF"/>
    <w:rsid w:val="00B04317"/>
    <w:rsid w:val="00B0434B"/>
    <w:rsid w:val="00B0434F"/>
    <w:rsid w:val="00B04369"/>
    <w:rsid w:val="00B0439B"/>
    <w:rsid w:val="00B043CC"/>
    <w:rsid w:val="00B043F2"/>
    <w:rsid w:val="00B0441E"/>
    <w:rsid w:val="00B04468"/>
    <w:rsid w:val="00B04489"/>
    <w:rsid w:val="00B044A8"/>
    <w:rsid w:val="00B0453D"/>
    <w:rsid w:val="00B04554"/>
    <w:rsid w:val="00B04583"/>
    <w:rsid w:val="00B04586"/>
    <w:rsid w:val="00B04643"/>
    <w:rsid w:val="00B0469E"/>
    <w:rsid w:val="00B046AD"/>
    <w:rsid w:val="00B046B6"/>
    <w:rsid w:val="00B046D9"/>
    <w:rsid w:val="00B04721"/>
    <w:rsid w:val="00B0472C"/>
    <w:rsid w:val="00B04756"/>
    <w:rsid w:val="00B047A6"/>
    <w:rsid w:val="00B047AD"/>
    <w:rsid w:val="00B047B4"/>
    <w:rsid w:val="00B0488C"/>
    <w:rsid w:val="00B048D0"/>
    <w:rsid w:val="00B048D9"/>
    <w:rsid w:val="00B048FE"/>
    <w:rsid w:val="00B0491F"/>
    <w:rsid w:val="00B049A0"/>
    <w:rsid w:val="00B049A3"/>
    <w:rsid w:val="00B04A32"/>
    <w:rsid w:val="00B04A40"/>
    <w:rsid w:val="00B04A42"/>
    <w:rsid w:val="00B04A44"/>
    <w:rsid w:val="00B04A64"/>
    <w:rsid w:val="00B04AB6"/>
    <w:rsid w:val="00B04AC8"/>
    <w:rsid w:val="00B04AD3"/>
    <w:rsid w:val="00B04AE0"/>
    <w:rsid w:val="00B04AE1"/>
    <w:rsid w:val="00B04AE7"/>
    <w:rsid w:val="00B04B94"/>
    <w:rsid w:val="00B04B9F"/>
    <w:rsid w:val="00B04BA1"/>
    <w:rsid w:val="00B04BA5"/>
    <w:rsid w:val="00B04BC1"/>
    <w:rsid w:val="00B04BE9"/>
    <w:rsid w:val="00B04C20"/>
    <w:rsid w:val="00B04C31"/>
    <w:rsid w:val="00B04D10"/>
    <w:rsid w:val="00B04D39"/>
    <w:rsid w:val="00B04D57"/>
    <w:rsid w:val="00B04D8D"/>
    <w:rsid w:val="00B04DBB"/>
    <w:rsid w:val="00B04DD9"/>
    <w:rsid w:val="00B04E21"/>
    <w:rsid w:val="00B04E41"/>
    <w:rsid w:val="00B04E42"/>
    <w:rsid w:val="00B04F4B"/>
    <w:rsid w:val="00B04F72"/>
    <w:rsid w:val="00B050B3"/>
    <w:rsid w:val="00B050CE"/>
    <w:rsid w:val="00B050D7"/>
    <w:rsid w:val="00B050DB"/>
    <w:rsid w:val="00B050EB"/>
    <w:rsid w:val="00B0517F"/>
    <w:rsid w:val="00B051D5"/>
    <w:rsid w:val="00B051E6"/>
    <w:rsid w:val="00B0520A"/>
    <w:rsid w:val="00B05226"/>
    <w:rsid w:val="00B0525D"/>
    <w:rsid w:val="00B052C0"/>
    <w:rsid w:val="00B05305"/>
    <w:rsid w:val="00B0532F"/>
    <w:rsid w:val="00B05366"/>
    <w:rsid w:val="00B05393"/>
    <w:rsid w:val="00B053C7"/>
    <w:rsid w:val="00B053CB"/>
    <w:rsid w:val="00B053F4"/>
    <w:rsid w:val="00B05418"/>
    <w:rsid w:val="00B05431"/>
    <w:rsid w:val="00B05450"/>
    <w:rsid w:val="00B054E1"/>
    <w:rsid w:val="00B05517"/>
    <w:rsid w:val="00B05556"/>
    <w:rsid w:val="00B0556D"/>
    <w:rsid w:val="00B0557D"/>
    <w:rsid w:val="00B0559E"/>
    <w:rsid w:val="00B055A9"/>
    <w:rsid w:val="00B055B5"/>
    <w:rsid w:val="00B055C1"/>
    <w:rsid w:val="00B05620"/>
    <w:rsid w:val="00B05628"/>
    <w:rsid w:val="00B05656"/>
    <w:rsid w:val="00B05724"/>
    <w:rsid w:val="00B05751"/>
    <w:rsid w:val="00B057B0"/>
    <w:rsid w:val="00B05852"/>
    <w:rsid w:val="00B058A5"/>
    <w:rsid w:val="00B05913"/>
    <w:rsid w:val="00B0592D"/>
    <w:rsid w:val="00B059DA"/>
    <w:rsid w:val="00B05A68"/>
    <w:rsid w:val="00B05A85"/>
    <w:rsid w:val="00B05AC9"/>
    <w:rsid w:val="00B05ACC"/>
    <w:rsid w:val="00B05AD3"/>
    <w:rsid w:val="00B05AD7"/>
    <w:rsid w:val="00B05BAE"/>
    <w:rsid w:val="00B05BF4"/>
    <w:rsid w:val="00B05C11"/>
    <w:rsid w:val="00B05C1C"/>
    <w:rsid w:val="00B05CA2"/>
    <w:rsid w:val="00B05CD0"/>
    <w:rsid w:val="00B05CEA"/>
    <w:rsid w:val="00B05D00"/>
    <w:rsid w:val="00B05D23"/>
    <w:rsid w:val="00B05D36"/>
    <w:rsid w:val="00B05DF8"/>
    <w:rsid w:val="00B05E0A"/>
    <w:rsid w:val="00B05E21"/>
    <w:rsid w:val="00B05E3F"/>
    <w:rsid w:val="00B05E98"/>
    <w:rsid w:val="00B05EA0"/>
    <w:rsid w:val="00B05EA9"/>
    <w:rsid w:val="00B05ECB"/>
    <w:rsid w:val="00B05EF3"/>
    <w:rsid w:val="00B05F32"/>
    <w:rsid w:val="00B05F4F"/>
    <w:rsid w:val="00B05FBB"/>
    <w:rsid w:val="00B05FE8"/>
    <w:rsid w:val="00B05FEC"/>
    <w:rsid w:val="00B06022"/>
    <w:rsid w:val="00B06086"/>
    <w:rsid w:val="00B060BF"/>
    <w:rsid w:val="00B060F3"/>
    <w:rsid w:val="00B06105"/>
    <w:rsid w:val="00B061F1"/>
    <w:rsid w:val="00B0625E"/>
    <w:rsid w:val="00B062B0"/>
    <w:rsid w:val="00B062BB"/>
    <w:rsid w:val="00B062DF"/>
    <w:rsid w:val="00B062E2"/>
    <w:rsid w:val="00B06347"/>
    <w:rsid w:val="00B06405"/>
    <w:rsid w:val="00B06409"/>
    <w:rsid w:val="00B06413"/>
    <w:rsid w:val="00B06447"/>
    <w:rsid w:val="00B06488"/>
    <w:rsid w:val="00B064A5"/>
    <w:rsid w:val="00B064DD"/>
    <w:rsid w:val="00B064F4"/>
    <w:rsid w:val="00B064F9"/>
    <w:rsid w:val="00B06514"/>
    <w:rsid w:val="00B0659B"/>
    <w:rsid w:val="00B065D3"/>
    <w:rsid w:val="00B065EF"/>
    <w:rsid w:val="00B065F0"/>
    <w:rsid w:val="00B06634"/>
    <w:rsid w:val="00B06647"/>
    <w:rsid w:val="00B0664D"/>
    <w:rsid w:val="00B066F0"/>
    <w:rsid w:val="00B06739"/>
    <w:rsid w:val="00B0678F"/>
    <w:rsid w:val="00B06800"/>
    <w:rsid w:val="00B0685C"/>
    <w:rsid w:val="00B0685F"/>
    <w:rsid w:val="00B068A8"/>
    <w:rsid w:val="00B06922"/>
    <w:rsid w:val="00B06938"/>
    <w:rsid w:val="00B06940"/>
    <w:rsid w:val="00B06950"/>
    <w:rsid w:val="00B069D7"/>
    <w:rsid w:val="00B06A21"/>
    <w:rsid w:val="00B06A35"/>
    <w:rsid w:val="00B06A96"/>
    <w:rsid w:val="00B06AA0"/>
    <w:rsid w:val="00B06AAB"/>
    <w:rsid w:val="00B06B06"/>
    <w:rsid w:val="00B06B1F"/>
    <w:rsid w:val="00B06B4E"/>
    <w:rsid w:val="00B06B52"/>
    <w:rsid w:val="00B06B76"/>
    <w:rsid w:val="00B06B77"/>
    <w:rsid w:val="00B06B8D"/>
    <w:rsid w:val="00B06B9D"/>
    <w:rsid w:val="00B06BEF"/>
    <w:rsid w:val="00B06C76"/>
    <w:rsid w:val="00B06CBB"/>
    <w:rsid w:val="00B06CD6"/>
    <w:rsid w:val="00B06D0E"/>
    <w:rsid w:val="00B06D85"/>
    <w:rsid w:val="00B06DCE"/>
    <w:rsid w:val="00B06DED"/>
    <w:rsid w:val="00B06E1D"/>
    <w:rsid w:val="00B06E26"/>
    <w:rsid w:val="00B06E53"/>
    <w:rsid w:val="00B06EAF"/>
    <w:rsid w:val="00B06F0E"/>
    <w:rsid w:val="00B06F37"/>
    <w:rsid w:val="00B06F9B"/>
    <w:rsid w:val="00B06FFB"/>
    <w:rsid w:val="00B07014"/>
    <w:rsid w:val="00B07064"/>
    <w:rsid w:val="00B07169"/>
    <w:rsid w:val="00B07179"/>
    <w:rsid w:val="00B0719C"/>
    <w:rsid w:val="00B071A1"/>
    <w:rsid w:val="00B071EE"/>
    <w:rsid w:val="00B071FF"/>
    <w:rsid w:val="00B0721B"/>
    <w:rsid w:val="00B07261"/>
    <w:rsid w:val="00B0726C"/>
    <w:rsid w:val="00B07275"/>
    <w:rsid w:val="00B07278"/>
    <w:rsid w:val="00B072BA"/>
    <w:rsid w:val="00B07301"/>
    <w:rsid w:val="00B07307"/>
    <w:rsid w:val="00B07314"/>
    <w:rsid w:val="00B07320"/>
    <w:rsid w:val="00B07323"/>
    <w:rsid w:val="00B0733F"/>
    <w:rsid w:val="00B0738E"/>
    <w:rsid w:val="00B07428"/>
    <w:rsid w:val="00B07442"/>
    <w:rsid w:val="00B0748E"/>
    <w:rsid w:val="00B074B7"/>
    <w:rsid w:val="00B0754A"/>
    <w:rsid w:val="00B07569"/>
    <w:rsid w:val="00B075C6"/>
    <w:rsid w:val="00B075CD"/>
    <w:rsid w:val="00B075E4"/>
    <w:rsid w:val="00B07631"/>
    <w:rsid w:val="00B07638"/>
    <w:rsid w:val="00B0763F"/>
    <w:rsid w:val="00B07651"/>
    <w:rsid w:val="00B07663"/>
    <w:rsid w:val="00B076A7"/>
    <w:rsid w:val="00B076CA"/>
    <w:rsid w:val="00B076E2"/>
    <w:rsid w:val="00B076F3"/>
    <w:rsid w:val="00B0771D"/>
    <w:rsid w:val="00B07781"/>
    <w:rsid w:val="00B0778D"/>
    <w:rsid w:val="00B077C5"/>
    <w:rsid w:val="00B077D9"/>
    <w:rsid w:val="00B077DE"/>
    <w:rsid w:val="00B07860"/>
    <w:rsid w:val="00B07897"/>
    <w:rsid w:val="00B078B0"/>
    <w:rsid w:val="00B078E8"/>
    <w:rsid w:val="00B0795B"/>
    <w:rsid w:val="00B079C6"/>
    <w:rsid w:val="00B079EC"/>
    <w:rsid w:val="00B07A0C"/>
    <w:rsid w:val="00B07A1F"/>
    <w:rsid w:val="00B07A2A"/>
    <w:rsid w:val="00B07A6B"/>
    <w:rsid w:val="00B07ABD"/>
    <w:rsid w:val="00B07AE0"/>
    <w:rsid w:val="00B07AED"/>
    <w:rsid w:val="00B07AF9"/>
    <w:rsid w:val="00B07AFD"/>
    <w:rsid w:val="00B07B09"/>
    <w:rsid w:val="00B07B0A"/>
    <w:rsid w:val="00B07B32"/>
    <w:rsid w:val="00B07B4A"/>
    <w:rsid w:val="00B07BA1"/>
    <w:rsid w:val="00B07BB2"/>
    <w:rsid w:val="00B07BD7"/>
    <w:rsid w:val="00B07BED"/>
    <w:rsid w:val="00B07C15"/>
    <w:rsid w:val="00B07CE2"/>
    <w:rsid w:val="00B07D20"/>
    <w:rsid w:val="00B07D56"/>
    <w:rsid w:val="00B07D74"/>
    <w:rsid w:val="00B07D97"/>
    <w:rsid w:val="00B07DEA"/>
    <w:rsid w:val="00B07E03"/>
    <w:rsid w:val="00B07E07"/>
    <w:rsid w:val="00B07E32"/>
    <w:rsid w:val="00B07EFB"/>
    <w:rsid w:val="00B07EFC"/>
    <w:rsid w:val="00B07F08"/>
    <w:rsid w:val="00B07F1A"/>
    <w:rsid w:val="00B07F29"/>
    <w:rsid w:val="00B07F44"/>
    <w:rsid w:val="00B07F46"/>
    <w:rsid w:val="00B10031"/>
    <w:rsid w:val="00B10058"/>
    <w:rsid w:val="00B10099"/>
    <w:rsid w:val="00B100AE"/>
    <w:rsid w:val="00B1010E"/>
    <w:rsid w:val="00B10121"/>
    <w:rsid w:val="00B10164"/>
    <w:rsid w:val="00B10170"/>
    <w:rsid w:val="00B10180"/>
    <w:rsid w:val="00B101F8"/>
    <w:rsid w:val="00B1026E"/>
    <w:rsid w:val="00B1026F"/>
    <w:rsid w:val="00B10282"/>
    <w:rsid w:val="00B10290"/>
    <w:rsid w:val="00B102CB"/>
    <w:rsid w:val="00B102CE"/>
    <w:rsid w:val="00B102D9"/>
    <w:rsid w:val="00B102F5"/>
    <w:rsid w:val="00B10316"/>
    <w:rsid w:val="00B10319"/>
    <w:rsid w:val="00B1032B"/>
    <w:rsid w:val="00B1033C"/>
    <w:rsid w:val="00B1044B"/>
    <w:rsid w:val="00B1046D"/>
    <w:rsid w:val="00B10493"/>
    <w:rsid w:val="00B10495"/>
    <w:rsid w:val="00B1049F"/>
    <w:rsid w:val="00B104C6"/>
    <w:rsid w:val="00B104EE"/>
    <w:rsid w:val="00B104F3"/>
    <w:rsid w:val="00B10501"/>
    <w:rsid w:val="00B10530"/>
    <w:rsid w:val="00B10554"/>
    <w:rsid w:val="00B1056B"/>
    <w:rsid w:val="00B105E7"/>
    <w:rsid w:val="00B105F1"/>
    <w:rsid w:val="00B10603"/>
    <w:rsid w:val="00B10649"/>
    <w:rsid w:val="00B10688"/>
    <w:rsid w:val="00B106D4"/>
    <w:rsid w:val="00B106E6"/>
    <w:rsid w:val="00B10700"/>
    <w:rsid w:val="00B10708"/>
    <w:rsid w:val="00B10762"/>
    <w:rsid w:val="00B10773"/>
    <w:rsid w:val="00B107B8"/>
    <w:rsid w:val="00B107C9"/>
    <w:rsid w:val="00B107D8"/>
    <w:rsid w:val="00B107DB"/>
    <w:rsid w:val="00B107EA"/>
    <w:rsid w:val="00B107EF"/>
    <w:rsid w:val="00B1080B"/>
    <w:rsid w:val="00B1085C"/>
    <w:rsid w:val="00B10899"/>
    <w:rsid w:val="00B108A7"/>
    <w:rsid w:val="00B108F5"/>
    <w:rsid w:val="00B1090A"/>
    <w:rsid w:val="00B1091A"/>
    <w:rsid w:val="00B1096A"/>
    <w:rsid w:val="00B1096C"/>
    <w:rsid w:val="00B109AF"/>
    <w:rsid w:val="00B109CF"/>
    <w:rsid w:val="00B109FE"/>
    <w:rsid w:val="00B10A2A"/>
    <w:rsid w:val="00B10A2D"/>
    <w:rsid w:val="00B10A83"/>
    <w:rsid w:val="00B10AD2"/>
    <w:rsid w:val="00B10B01"/>
    <w:rsid w:val="00B10B4C"/>
    <w:rsid w:val="00B10BB2"/>
    <w:rsid w:val="00B10BE5"/>
    <w:rsid w:val="00B10C59"/>
    <w:rsid w:val="00B10CAA"/>
    <w:rsid w:val="00B10CFC"/>
    <w:rsid w:val="00B10D1A"/>
    <w:rsid w:val="00B10D38"/>
    <w:rsid w:val="00B10D54"/>
    <w:rsid w:val="00B10DF9"/>
    <w:rsid w:val="00B10E8D"/>
    <w:rsid w:val="00B10E9B"/>
    <w:rsid w:val="00B10F84"/>
    <w:rsid w:val="00B10F9B"/>
    <w:rsid w:val="00B10FD5"/>
    <w:rsid w:val="00B11017"/>
    <w:rsid w:val="00B11063"/>
    <w:rsid w:val="00B110C4"/>
    <w:rsid w:val="00B110F5"/>
    <w:rsid w:val="00B111CC"/>
    <w:rsid w:val="00B111D7"/>
    <w:rsid w:val="00B111FA"/>
    <w:rsid w:val="00B11211"/>
    <w:rsid w:val="00B11272"/>
    <w:rsid w:val="00B11275"/>
    <w:rsid w:val="00B11276"/>
    <w:rsid w:val="00B112B6"/>
    <w:rsid w:val="00B112D9"/>
    <w:rsid w:val="00B1136E"/>
    <w:rsid w:val="00B1139E"/>
    <w:rsid w:val="00B113BD"/>
    <w:rsid w:val="00B1141F"/>
    <w:rsid w:val="00B1143B"/>
    <w:rsid w:val="00B114CD"/>
    <w:rsid w:val="00B1151A"/>
    <w:rsid w:val="00B1152E"/>
    <w:rsid w:val="00B1153A"/>
    <w:rsid w:val="00B1156E"/>
    <w:rsid w:val="00B11593"/>
    <w:rsid w:val="00B11598"/>
    <w:rsid w:val="00B115AF"/>
    <w:rsid w:val="00B11607"/>
    <w:rsid w:val="00B1166F"/>
    <w:rsid w:val="00B116F6"/>
    <w:rsid w:val="00B116FD"/>
    <w:rsid w:val="00B11757"/>
    <w:rsid w:val="00B11771"/>
    <w:rsid w:val="00B1177E"/>
    <w:rsid w:val="00B117AC"/>
    <w:rsid w:val="00B117B7"/>
    <w:rsid w:val="00B11813"/>
    <w:rsid w:val="00B11863"/>
    <w:rsid w:val="00B11865"/>
    <w:rsid w:val="00B118C9"/>
    <w:rsid w:val="00B1191E"/>
    <w:rsid w:val="00B1199F"/>
    <w:rsid w:val="00B119B4"/>
    <w:rsid w:val="00B119B5"/>
    <w:rsid w:val="00B119E9"/>
    <w:rsid w:val="00B11A00"/>
    <w:rsid w:val="00B11A4E"/>
    <w:rsid w:val="00B11A99"/>
    <w:rsid w:val="00B11AA3"/>
    <w:rsid w:val="00B11AD5"/>
    <w:rsid w:val="00B11B24"/>
    <w:rsid w:val="00B11B82"/>
    <w:rsid w:val="00B11B9C"/>
    <w:rsid w:val="00B11BF5"/>
    <w:rsid w:val="00B11C0F"/>
    <w:rsid w:val="00B11C1E"/>
    <w:rsid w:val="00B11C64"/>
    <w:rsid w:val="00B11D2A"/>
    <w:rsid w:val="00B11D62"/>
    <w:rsid w:val="00B11DD4"/>
    <w:rsid w:val="00B11E05"/>
    <w:rsid w:val="00B11E3B"/>
    <w:rsid w:val="00B11E66"/>
    <w:rsid w:val="00B11E80"/>
    <w:rsid w:val="00B11E9D"/>
    <w:rsid w:val="00B11EC2"/>
    <w:rsid w:val="00B11EC3"/>
    <w:rsid w:val="00B11EF3"/>
    <w:rsid w:val="00B11F07"/>
    <w:rsid w:val="00B11FC5"/>
    <w:rsid w:val="00B12018"/>
    <w:rsid w:val="00B120AC"/>
    <w:rsid w:val="00B1212B"/>
    <w:rsid w:val="00B12140"/>
    <w:rsid w:val="00B1215C"/>
    <w:rsid w:val="00B12190"/>
    <w:rsid w:val="00B121A6"/>
    <w:rsid w:val="00B121DB"/>
    <w:rsid w:val="00B1222A"/>
    <w:rsid w:val="00B12234"/>
    <w:rsid w:val="00B12244"/>
    <w:rsid w:val="00B1227D"/>
    <w:rsid w:val="00B122BD"/>
    <w:rsid w:val="00B122C8"/>
    <w:rsid w:val="00B1236C"/>
    <w:rsid w:val="00B1237F"/>
    <w:rsid w:val="00B123EE"/>
    <w:rsid w:val="00B123F1"/>
    <w:rsid w:val="00B12438"/>
    <w:rsid w:val="00B12456"/>
    <w:rsid w:val="00B124DB"/>
    <w:rsid w:val="00B124E9"/>
    <w:rsid w:val="00B124FC"/>
    <w:rsid w:val="00B12518"/>
    <w:rsid w:val="00B12587"/>
    <w:rsid w:val="00B12589"/>
    <w:rsid w:val="00B125C9"/>
    <w:rsid w:val="00B12600"/>
    <w:rsid w:val="00B1263A"/>
    <w:rsid w:val="00B1265E"/>
    <w:rsid w:val="00B126CD"/>
    <w:rsid w:val="00B12723"/>
    <w:rsid w:val="00B12747"/>
    <w:rsid w:val="00B1277C"/>
    <w:rsid w:val="00B1278F"/>
    <w:rsid w:val="00B1281B"/>
    <w:rsid w:val="00B1284A"/>
    <w:rsid w:val="00B1289C"/>
    <w:rsid w:val="00B128BB"/>
    <w:rsid w:val="00B12957"/>
    <w:rsid w:val="00B129B1"/>
    <w:rsid w:val="00B129E7"/>
    <w:rsid w:val="00B12A0D"/>
    <w:rsid w:val="00B12A4F"/>
    <w:rsid w:val="00B12AEC"/>
    <w:rsid w:val="00B12B1F"/>
    <w:rsid w:val="00B12B48"/>
    <w:rsid w:val="00B12B7E"/>
    <w:rsid w:val="00B12B8E"/>
    <w:rsid w:val="00B12B9C"/>
    <w:rsid w:val="00B12B9E"/>
    <w:rsid w:val="00B12BB5"/>
    <w:rsid w:val="00B12BD6"/>
    <w:rsid w:val="00B12C2D"/>
    <w:rsid w:val="00B12C86"/>
    <w:rsid w:val="00B12CAF"/>
    <w:rsid w:val="00B12CD9"/>
    <w:rsid w:val="00B12CF3"/>
    <w:rsid w:val="00B12D0E"/>
    <w:rsid w:val="00B12D1B"/>
    <w:rsid w:val="00B12D4E"/>
    <w:rsid w:val="00B12D58"/>
    <w:rsid w:val="00B12D65"/>
    <w:rsid w:val="00B12D78"/>
    <w:rsid w:val="00B12DA8"/>
    <w:rsid w:val="00B12DFF"/>
    <w:rsid w:val="00B12E91"/>
    <w:rsid w:val="00B12F13"/>
    <w:rsid w:val="00B12F58"/>
    <w:rsid w:val="00B12F64"/>
    <w:rsid w:val="00B12FE5"/>
    <w:rsid w:val="00B12FF7"/>
    <w:rsid w:val="00B1300C"/>
    <w:rsid w:val="00B13022"/>
    <w:rsid w:val="00B13038"/>
    <w:rsid w:val="00B1306F"/>
    <w:rsid w:val="00B1307C"/>
    <w:rsid w:val="00B130B4"/>
    <w:rsid w:val="00B1313B"/>
    <w:rsid w:val="00B13141"/>
    <w:rsid w:val="00B13153"/>
    <w:rsid w:val="00B13169"/>
    <w:rsid w:val="00B13186"/>
    <w:rsid w:val="00B131AF"/>
    <w:rsid w:val="00B131FF"/>
    <w:rsid w:val="00B13259"/>
    <w:rsid w:val="00B13277"/>
    <w:rsid w:val="00B1327A"/>
    <w:rsid w:val="00B132BC"/>
    <w:rsid w:val="00B1335A"/>
    <w:rsid w:val="00B133A0"/>
    <w:rsid w:val="00B133F7"/>
    <w:rsid w:val="00B133FB"/>
    <w:rsid w:val="00B13401"/>
    <w:rsid w:val="00B134E8"/>
    <w:rsid w:val="00B134FC"/>
    <w:rsid w:val="00B13521"/>
    <w:rsid w:val="00B135B7"/>
    <w:rsid w:val="00B135F5"/>
    <w:rsid w:val="00B13623"/>
    <w:rsid w:val="00B13644"/>
    <w:rsid w:val="00B13674"/>
    <w:rsid w:val="00B136B4"/>
    <w:rsid w:val="00B136F3"/>
    <w:rsid w:val="00B137AA"/>
    <w:rsid w:val="00B1383F"/>
    <w:rsid w:val="00B13863"/>
    <w:rsid w:val="00B138D6"/>
    <w:rsid w:val="00B138E5"/>
    <w:rsid w:val="00B139D0"/>
    <w:rsid w:val="00B139F2"/>
    <w:rsid w:val="00B13A1C"/>
    <w:rsid w:val="00B13A2B"/>
    <w:rsid w:val="00B13A68"/>
    <w:rsid w:val="00B13A77"/>
    <w:rsid w:val="00B13AA6"/>
    <w:rsid w:val="00B13AE7"/>
    <w:rsid w:val="00B13B3A"/>
    <w:rsid w:val="00B13B47"/>
    <w:rsid w:val="00B13B54"/>
    <w:rsid w:val="00B13B73"/>
    <w:rsid w:val="00B13B8D"/>
    <w:rsid w:val="00B13BFE"/>
    <w:rsid w:val="00B13C02"/>
    <w:rsid w:val="00B13CFF"/>
    <w:rsid w:val="00B13D6F"/>
    <w:rsid w:val="00B13D76"/>
    <w:rsid w:val="00B13D7A"/>
    <w:rsid w:val="00B13DB4"/>
    <w:rsid w:val="00B13E5E"/>
    <w:rsid w:val="00B13E60"/>
    <w:rsid w:val="00B13EAE"/>
    <w:rsid w:val="00B13EB7"/>
    <w:rsid w:val="00B13EBE"/>
    <w:rsid w:val="00B13ED0"/>
    <w:rsid w:val="00B13ED1"/>
    <w:rsid w:val="00B13EDD"/>
    <w:rsid w:val="00B13EDE"/>
    <w:rsid w:val="00B13F32"/>
    <w:rsid w:val="00B13F78"/>
    <w:rsid w:val="00B14004"/>
    <w:rsid w:val="00B1400D"/>
    <w:rsid w:val="00B14062"/>
    <w:rsid w:val="00B14093"/>
    <w:rsid w:val="00B14131"/>
    <w:rsid w:val="00B141C4"/>
    <w:rsid w:val="00B141EA"/>
    <w:rsid w:val="00B141ED"/>
    <w:rsid w:val="00B14204"/>
    <w:rsid w:val="00B14210"/>
    <w:rsid w:val="00B14236"/>
    <w:rsid w:val="00B14244"/>
    <w:rsid w:val="00B14246"/>
    <w:rsid w:val="00B14248"/>
    <w:rsid w:val="00B14258"/>
    <w:rsid w:val="00B14267"/>
    <w:rsid w:val="00B142A2"/>
    <w:rsid w:val="00B142D8"/>
    <w:rsid w:val="00B1432A"/>
    <w:rsid w:val="00B14344"/>
    <w:rsid w:val="00B14386"/>
    <w:rsid w:val="00B143EF"/>
    <w:rsid w:val="00B1443B"/>
    <w:rsid w:val="00B1443C"/>
    <w:rsid w:val="00B14473"/>
    <w:rsid w:val="00B14477"/>
    <w:rsid w:val="00B144F9"/>
    <w:rsid w:val="00B1451A"/>
    <w:rsid w:val="00B1454E"/>
    <w:rsid w:val="00B14557"/>
    <w:rsid w:val="00B14563"/>
    <w:rsid w:val="00B14588"/>
    <w:rsid w:val="00B1459D"/>
    <w:rsid w:val="00B145FD"/>
    <w:rsid w:val="00B14634"/>
    <w:rsid w:val="00B1467A"/>
    <w:rsid w:val="00B1467F"/>
    <w:rsid w:val="00B146A3"/>
    <w:rsid w:val="00B146C2"/>
    <w:rsid w:val="00B1471E"/>
    <w:rsid w:val="00B14792"/>
    <w:rsid w:val="00B147BB"/>
    <w:rsid w:val="00B147F5"/>
    <w:rsid w:val="00B14807"/>
    <w:rsid w:val="00B1480E"/>
    <w:rsid w:val="00B1489C"/>
    <w:rsid w:val="00B148D4"/>
    <w:rsid w:val="00B14938"/>
    <w:rsid w:val="00B1494C"/>
    <w:rsid w:val="00B14967"/>
    <w:rsid w:val="00B149D9"/>
    <w:rsid w:val="00B149E7"/>
    <w:rsid w:val="00B14A0D"/>
    <w:rsid w:val="00B14A10"/>
    <w:rsid w:val="00B14A23"/>
    <w:rsid w:val="00B14A32"/>
    <w:rsid w:val="00B14A85"/>
    <w:rsid w:val="00B14ACD"/>
    <w:rsid w:val="00B14AF4"/>
    <w:rsid w:val="00B14B05"/>
    <w:rsid w:val="00B14B13"/>
    <w:rsid w:val="00B14B43"/>
    <w:rsid w:val="00B14BCE"/>
    <w:rsid w:val="00B14BD3"/>
    <w:rsid w:val="00B14BE4"/>
    <w:rsid w:val="00B14C3F"/>
    <w:rsid w:val="00B14C95"/>
    <w:rsid w:val="00B14CE3"/>
    <w:rsid w:val="00B14CF4"/>
    <w:rsid w:val="00B14D07"/>
    <w:rsid w:val="00B14D89"/>
    <w:rsid w:val="00B14D95"/>
    <w:rsid w:val="00B14DDD"/>
    <w:rsid w:val="00B14E39"/>
    <w:rsid w:val="00B14E74"/>
    <w:rsid w:val="00B14E8E"/>
    <w:rsid w:val="00B14ECB"/>
    <w:rsid w:val="00B14EF2"/>
    <w:rsid w:val="00B14F43"/>
    <w:rsid w:val="00B14FD8"/>
    <w:rsid w:val="00B14FDF"/>
    <w:rsid w:val="00B1500E"/>
    <w:rsid w:val="00B1502E"/>
    <w:rsid w:val="00B15071"/>
    <w:rsid w:val="00B150B0"/>
    <w:rsid w:val="00B150F4"/>
    <w:rsid w:val="00B15109"/>
    <w:rsid w:val="00B15195"/>
    <w:rsid w:val="00B151FA"/>
    <w:rsid w:val="00B15220"/>
    <w:rsid w:val="00B15234"/>
    <w:rsid w:val="00B15268"/>
    <w:rsid w:val="00B15290"/>
    <w:rsid w:val="00B152E7"/>
    <w:rsid w:val="00B15324"/>
    <w:rsid w:val="00B15337"/>
    <w:rsid w:val="00B153E6"/>
    <w:rsid w:val="00B154B8"/>
    <w:rsid w:val="00B155C8"/>
    <w:rsid w:val="00B15600"/>
    <w:rsid w:val="00B15613"/>
    <w:rsid w:val="00B15640"/>
    <w:rsid w:val="00B156D6"/>
    <w:rsid w:val="00B15719"/>
    <w:rsid w:val="00B15734"/>
    <w:rsid w:val="00B15769"/>
    <w:rsid w:val="00B1577D"/>
    <w:rsid w:val="00B157A6"/>
    <w:rsid w:val="00B157BC"/>
    <w:rsid w:val="00B15825"/>
    <w:rsid w:val="00B15855"/>
    <w:rsid w:val="00B158A5"/>
    <w:rsid w:val="00B158D0"/>
    <w:rsid w:val="00B158EF"/>
    <w:rsid w:val="00B15935"/>
    <w:rsid w:val="00B1594D"/>
    <w:rsid w:val="00B15952"/>
    <w:rsid w:val="00B1596B"/>
    <w:rsid w:val="00B159C2"/>
    <w:rsid w:val="00B15AA0"/>
    <w:rsid w:val="00B15AEA"/>
    <w:rsid w:val="00B15B43"/>
    <w:rsid w:val="00B15B44"/>
    <w:rsid w:val="00B15B4E"/>
    <w:rsid w:val="00B15BC8"/>
    <w:rsid w:val="00B15BE9"/>
    <w:rsid w:val="00B15C37"/>
    <w:rsid w:val="00B15C8C"/>
    <w:rsid w:val="00B15C8E"/>
    <w:rsid w:val="00B15CE4"/>
    <w:rsid w:val="00B15CF7"/>
    <w:rsid w:val="00B15D07"/>
    <w:rsid w:val="00B15D52"/>
    <w:rsid w:val="00B15DC5"/>
    <w:rsid w:val="00B15DE1"/>
    <w:rsid w:val="00B15DF5"/>
    <w:rsid w:val="00B15E03"/>
    <w:rsid w:val="00B15E0D"/>
    <w:rsid w:val="00B15E23"/>
    <w:rsid w:val="00B15E24"/>
    <w:rsid w:val="00B15E61"/>
    <w:rsid w:val="00B15E73"/>
    <w:rsid w:val="00B15E77"/>
    <w:rsid w:val="00B15EAD"/>
    <w:rsid w:val="00B15F53"/>
    <w:rsid w:val="00B15F6A"/>
    <w:rsid w:val="00B15F73"/>
    <w:rsid w:val="00B15F7A"/>
    <w:rsid w:val="00B15FED"/>
    <w:rsid w:val="00B16043"/>
    <w:rsid w:val="00B16087"/>
    <w:rsid w:val="00B160B8"/>
    <w:rsid w:val="00B160C3"/>
    <w:rsid w:val="00B160DA"/>
    <w:rsid w:val="00B1613A"/>
    <w:rsid w:val="00B161A6"/>
    <w:rsid w:val="00B161DC"/>
    <w:rsid w:val="00B161F2"/>
    <w:rsid w:val="00B1622B"/>
    <w:rsid w:val="00B1627A"/>
    <w:rsid w:val="00B1629E"/>
    <w:rsid w:val="00B16340"/>
    <w:rsid w:val="00B1634D"/>
    <w:rsid w:val="00B1637D"/>
    <w:rsid w:val="00B163D9"/>
    <w:rsid w:val="00B164F2"/>
    <w:rsid w:val="00B1653E"/>
    <w:rsid w:val="00B1658C"/>
    <w:rsid w:val="00B165EF"/>
    <w:rsid w:val="00B16605"/>
    <w:rsid w:val="00B1667B"/>
    <w:rsid w:val="00B166DD"/>
    <w:rsid w:val="00B166F8"/>
    <w:rsid w:val="00B166FE"/>
    <w:rsid w:val="00B16707"/>
    <w:rsid w:val="00B1671E"/>
    <w:rsid w:val="00B16729"/>
    <w:rsid w:val="00B16753"/>
    <w:rsid w:val="00B1675A"/>
    <w:rsid w:val="00B1676E"/>
    <w:rsid w:val="00B167A3"/>
    <w:rsid w:val="00B167B5"/>
    <w:rsid w:val="00B167C3"/>
    <w:rsid w:val="00B167CD"/>
    <w:rsid w:val="00B167EE"/>
    <w:rsid w:val="00B16819"/>
    <w:rsid w:val="00B16862"/>
    <w:rsid w:val="00B1686F"/>
    <w:rsid w:val="00B168BC"/>
    <w:rsid w:val="00B168F2"/>
    <w:rsid w:val="00B16917"/>
    <w:rsid w:val="00B16926"/>
    <w:rsid w:val="00B1693D"/>
    <w:rsid w:val="00B16949"/>
    <w:rsid w:val="00B16986"/>
    <w:rsid w:val="00B169BD"/>
    <w:rsid w:val="00B169EC"/>
    <w:rsid w:val="00B169FA"/>
    <w:rsid w:val="00B16A1A"/>
    <w:rsid w:val="00B16A82"/>
    <w:rsid w:val="00B16A9D"/>
    <w:rsid w:val="00B16AC9"/>
    <w:rsid w:val="00B16AD5"/>
    <w:rsid w:val="00B16AE0"/>
    <w:rsid w:val="00B16AF2"/>
    <w:rsid w:val="00B16BD3"/>
    <w:rsid w:val="00B16C49"/>
    <w:rsid w:val="00B16C8E"/>
    <w:rsid w:val="00B16CBA"/>
    <w:rsid w:val="00B16CC1"/>
    <w:rsid w:val="00B16CD0"/>
    <w:rsid w:val="00B16D01"/>
    <w:rsid w:val="00B16D14"/>
    <w:rsid w:val="00B16D30"/>
    <w:rsid w:val="00B16D36"/>
    <w:rsid w:val="00B16D75"/>
    <w:rsid w:val="00B16D82"/>
    <w:rsid w:val="00B16DC1"/>
    <w:rsid w:val="00B16DE5"/>
    <w:rsid w:val="00B16DF1"/>
    <w:rsid w:val="00B16E0D"/>
    <w:rsid w:val="00B16E16"/>
    <w:rsid w:val="00B16E7A"/>
    <w:rsid w:val="00B16EE2"/>
    <w:rsid w:val="00B16F07"/>
    <w:rsid w:val="00B16F0D"/>
    <w:rsid w:val="00B16F16"/>
    <w:rsid w:val="00B16F53"/>
    <w:rsid w:val="00B16F74"/>
    <w:rsid w:val="00B16F94"/>
    <w:rsid w:val="00B16FBC"/>
    <w:rsid w:val="00B1702C"/>
    <w:rsid w:val="00B17035"/>
    <w:rsid w:val="00B17044"/>
    <w:rsid w:val="00B1704A"/>
    <w:rsid w:val="00B170C8"/>
    <w:rsid w:val="00B170D1"/>
    <w:rsid w:val="00B17112"/>
    <w:rsid w:val="00B17125"/>
    <w:rsid w:val="00B17169"/>
    <w:rsid w:val="00B171AA"/>
    <w:rsid w:val="00B17247"/>
    <w:rsid w:val="00B1726D"/>
    <w:rsid w:val="00B17335"/>
    <w:rsid w:val="00B1733B"/>
    <w:rsid w:val="00B173DD"/>
    <w:rsid w:val="00B173EA"/>
    <w:rsid w:val="00B17435"/>
    <w:rsid w:val="00B17466"/>
    <w:rsid w:val="00B17471"/>
    <w:rsid w:val="00B1749E"/>
    <w:rsid w:val="00B17512"/>
    <w:rsid w:val="00B17530"/>
    <w:rsid w:val="00B175C2"/>
    <w:rsid w:val="00B17636"/>
    <w:rsid w:val="00B17655"/>
    <w:rsid w:val="00B1767A"/>
    <w:rsid w:val="00B17693"/>
    <w:rsid w:val="00B176BE"/>
    <w:rsid w:val="00B1770A"/>
    <w:rsid w:val="00B17727"/>
    <w:rsid w:val="00B17730"/>
    <w:rsid w:val="00B1779D"/>
    <w:rsid w:val="00B177A3"/>
    <w:rsid w:val="00B177D6"/>
    <w:rsid w:val="00B1781C"/>
    <w:rsid w:val="00B1781E"/>
    <w:rsid w:val="00B17893"/>
    <w:rsid w:val="00B1789A"/>
    <w:rsid w:val="00B178A9"/>
    <w:rsid w:val="00B178CB"/>
    <w:rsid w:val="00B17902"/>
    <w:rsid w:val="00B17907"/>
    <w:rsid w:val="00B1790C"/>
    <w:rsid w:val="00B17958"/>
    <w:rsid w:val="00B179CC"/>
    <w:rsid w:val="00B17A0D"/>
    <w:rsid w:val="00B17A50"/>
    <w:rsid w:val="00B17A60"/>
    <w:rsid w:val="00B17A9A"/>
    <w:rsid w:val="00B17B16"/>
    <w:rsid w:val="00B17B37"/>
    <w:rsid w:val="00B17B52"/>
    <w:rsid w:val="00B17BA9"/>
    <w:rsid w:val="00B17BC4"/>
    <w:rsid w:val="00B17C2E"/>
    <w:rsid w:val="00B17C45"/>
    <w:rsid w:val="00B17C46"/>
    <w:rsid w:val="00B17D3A"/>
    <w:rsid w:val="00B17DA5"/>
    <w:rsid w:val="00B17DFC"/>
    <w:rsid w:val="00B17ED4"/>
    <w:rsid w:val="00B17F0C"/>
    <w:rsid w:val="00B17F26"/>
    <w:rsid w:val="00B17F59"/>
    <w:rsid w:val="00B17F74"/>
    <w:rsid w:val="00B17F81"/>
    <w:rsid w:val="00B20091"/>
    <w:rsid w:val="00B20094"/>
    <w:rsid w:val="00B200C5"/>
    <w:rsid w:val="00B200CE"/>
    <w:rsid w:val="00B2016C"/>
    <w:rsid w:val="00B2016F"/>
    <w:rsid w:val="00B201C0"/>
    <w:rsid w:val="00B201D5"/>
    <w:rsid w:val="00B201D9"/>
    <w:rsid w:val="00B20209"/>
    <w:rsid w:val="00B2020B"/>
    <w:rsid w:val="00B20288"/>
    <w:rsid w:val="00B20294"/>
    <w:rsid w:val="00B20303"/>
    <w:rsid w:val="00B203B5"/>
    <w:rsid w:val="00B203F7"/>
    <w:rsid w:val="00B20462"/>
    <w:rsid w:val="00B20468"/>
    <w:rsid w:val="00B204CF"/>
    <w:rsid w:val="00B205B0"/>
    <w:rsid w:val="00B205CC"/>
    <w:rsid w:val="00B205CD"/>
    <w:rsid w:val="00B205CF"/>
    <w:rsid w:val="00B2064C"/>
    <w:rsid w:val="00B2066B"/>
    <w:rsid w:val="00B206B6"/>
    <w:rsid w:val="00B206DA"/>
    <w:rsid w:val="00B206DE"/>
    <w:rsid w:val="00B206ED"/>
    <w:rsid w:val="00B20759"/>
    <w:rsid w:val="00B20769"/>
    <w:rsid w:val="00B20797"/>
    <w:rsid w:val="00B207C6"/>
    <w:rsid w:val="00B20818"/>
    <w:rsid w:val="00B2082D"/>
    <w:rsid w:val="00B20883"/>
    <w:rsid w:val="00B208ED"/>
    <w:rsid w:val="00B208F0"/>
    <w:rsid w:val="00B208FD"/>
    <w:rsid w:val="00B2090C"/>
    <w:rsid w:val="00B20927"/>
    <w:rsid w:val="00B20A30"/>
    <w:rsid w:val="00B20A72"/>
    <w:rsid w:val="00B20A8E"/>
    <w:rsid w:val="00B20B7D"/>
    <w:rsid w:val="00B20B9C"/>
    <w:rsid w:val="00B20BAF"/>
    <w:rsid w:val="00B20BE3"/>
    <w:rsid w:val="00B20C24"/>
    <w:rsid w:val="00B20C95"/>
    <w:rsid w:val="00B20CDC"/>
    <w:rsid w:val="00B20D3A"/>
    <w:rsid w:val="00B20D75"/>
    <w:rsid w:val="00B20E04"/>
    <w:rsid w:val="00B20E47"/>
    <w:rsid w:val="00B20E6E"/>
    <w:rsid w:val="00B20ED4"/>
    <w:rsid w:val="00B20F7D"/>
    <w:rsid w:val="00B20FA8"/>
    <w:rsid w:val="00B20FF2"/>
    <w:rsid w:val="00B21033"/>
    <w:rsid w:val="00B21048"/>
    <w:rsid w:val="00B210DD"/>
    <w:rsid w:val="00B210E3"/>
    <w:rsid w:val="00B21118"/>
    <w:rsid w:val="00B21134"/>
    <w:rsid w:val="00B21198"/>
    <w:rsid w:val="00B211A7"/>
    <w:rsid w:val="00B21235"/>
    <w:rsid w:val="00B21268"/>
    <w:rsid w:val="00B212BD"/>
    <w:rsid w:val="00B212C0"/>
    <w:rsid w:val="00B21308"/>
    <w:rsid w:val="00B21340"/>
    <w:rsid w:val="00B213A1"/>
    <w:rsid w:val="00B213DF"/>
    <w:rsid w:val="00B2140C"/>
    <w:rsid w:val="00B21437"/>
    <w:rsid w:val="00B214BE"/>
    <w:rsid w:val="00B2150C"/>
    <w:rsid w:val="00B21517"/>
    <w:rsid w:val="00B215B9"/>
    <w:rsid w:val="00B21600"/>
    <w:rsid w:val="00B21670"/>
    <w:rsid w:val="00B21682"/>
    <w:rsid w:val="00B21697"/>
    <w:rsid w:val="00B216BB"/>
    <w:rsid w:val="00B2172B"/>
    <w:rsid w:val="00B21735"/>
    <w:rsid w:val="00B2174E"/>
    <w:rsid w:val="00B21845"/>
    <w:rsid w:val="00B218D5"/>
    <w:rsid w:val="00B21919"/>
    <w:rsid w:val="00B21926"/>
    <w:rsid w:val="00B21931"/>
    <w:rsid w:val="00B21966"/>
    <w:rsid w:val="00B21968"/>
    <w:rsid w:val="00B21970"/>
    <w:rsid w:val="00B21998"/>
    <w:rsid w:val="00B219B2"/>
    <w:rsid w:val="00B219E2"/>
    <w:rsid w:val="00B219F6"/>
    <w:rsid w:val="00B21A26"/>
    <w:rsid w:val="00B21A6C"/>
    <w:rsid w:val="00B21A81"/>
    <w:rsid w:val="00B21ADA"/>
    <w:rsid w:val="00B21B1A"/>
    <w:rsid w:val="00B21B27"/>
    <w:rsid w:val="00B21B28"/>
    <w:rsid w:val="00B21B4F"/>
    <w:rsid w:val="00B21BFE"/>
    <w:rsid w:val="00B21C01"/>
    <w:rsid w:val="00B21C0C"/>
    <w:rsid w:val="00B21C28"/>
    <w:rsid w:val="00B21CCB"/>
    <w:rsid w:val="00B21D14"/>
    <w:rsid w:val="00B21D56"/>
    <w:rsid w:val="00B21DAB"/>
    <w:rsid w:val="00B21E21"/>
    <w:rsid w:val="00B21E48"/>
    <w:rsid w:val="00B21E93"/>
    <w:rsid w:val="00B21EBC"/>
    <w:rsid w:val="00B21EC0"/>
    <w:rsid w:val="00B21F01"/>
    <w:rsid w:val="00B21F14"/>
    <w:rsid w:val="00B21F36"/>
    <w:rsid w:val="00B21F3F"/>
    <w:rsid w:val="00B21F47"/>
    <w:rsid w:val="00B21F72"/>
    <w:rsid w:val="00B21F92"/>
    <w:rsid w:val="00B21F9F"/>
    <w:rsid w:val="00B21FF3"/>
    <w:rsid w:val="00B22013"/>
    <w:rsid w:val="00B22069"/>
    <w:rsid w:val="00B22083"/>
    <w:rsid w:val="00B220D7"/>
    <w:rsid w:val="00B2212F"/>
    <w:rsid w:val="00B2214E"/>
    <w:rsid w:val="00B2217D"/>
    <w:rsid w:val="00B22193"/>
    <w:rsid w:val="00B2219D"/>
    <w:rsid w:val="00B221A4"/>
    <w:rsid w:val="00B221C0"/>
    <w:rsid w:val="00B221D2"/>
    <w:rsid w:val="00B2222A"/>
    <w:rsid w:val="00B2226C"/>
    <w:rsid w:val="00B22277"/>
    <w:rsid w:val="00B2228A"/>
    <w:rsid w:val="00B22309"/>
    <w:rsid w:val="00B2230B"/>
    <w:rsid w:val="00B2232C"/>
    <w:rsid w:val="00B22349"/>
    <w:rsid w:val="00B223E5"/>
    <w:rsid w:val="00B224A3"/>
    <w:rsid w:val="00B224B1"/>
    <w:rsid w:val="00B224B8"/>
    <w:rsid w:val="00B224BB"/>
    <w:rsid w:val="00B224CD"/>
    <w:rsid w:val="00B224D0"/>
    <w:rsid w:val="00B2259C"/>
    <w:rsid w:val="00B225EA"/>
    <w:rsid w:val="00B22608"/>
    <w:rsid w:val="00B2261E"/>
    <w:rsid w:val="00B2262B"/>
    <w:rsid w:val="00B226C5"/>
    <w:rsid w:val="00B226D3"/>
    <w:rsid w:val="00B2274B"/>
    <w:rsid w:val="00B2277E"/>
    <w:rsid w:val="00B227B9"/>
    <w:rsid w:val="00B227C5"/>
    <w:rsid w:val="00B227D4"/>
    <w:rsid w:val="00B227DF"/>
    <w:rsid w:val="00B227F5"/>
    <w:rsid w:val="00B22821"/>
    <w:rsid w:val="00B2285D"/>
    <w:rsid w:val="00B228AC"/>
    <w:rsid w:val="00B22945"/>
    <w:rsid w:val="00B2294E"/>
    <w:rsid w:val="00B22962"/>
    <w:rsid w:val="00B229C2"/>
    <w:rsid w:val="00B229C4"/>
    <w:rsid w:val="00B229FE"/>
    <w:rsid w:val="00B22A22"/>
    <w:rsid w:val="00B22A5A"/>
    <w:rsid w:val="00B22A7D"/>
    <w:rsid w:val="00B22A9A"/>
    <w:rsid w:val="00B22B16"/>
    <w:rsid w:val="00B22B1D"/>
    <w:rsid w:val="00B22B24"/>
    <w:rsid w:val="00B22B45"/>
    <w:rsid w:val="00B22B73"/>
    <w:rsid w:val="00B22BBE"/>
    <w:rsid w:val="00B22C49"/>
    <w:rsid w:val="00B22C6B"/>
    <w:rsid w:val="00B22C84"/>
    <w:rsid w:val="00B22C85"/>
    <w:rsid w:val="00B22C8E"/>
    <w:rsid w:val="00B22CB8"/>
    <w:rsid w:val="00B22CDD"/>
    <w:rsid w:val="00B22D56"/>
    <w:rsid w:val="00B22E2D"/>
    <w:rsid w:val="00B22E39"/>
    <w:rsid w:val="00B22E3E"/>
    <w:rsid w:val="00B22E83"/>
    <w:rsid w:val="00B22E84"/>
    <w:rsid w:val="00B22E8C"/>
    <w:rsid w:val="00B22F34"/>
    <w:rsid w:val="00B22F42"/>
    <w:rsid w:val="00B22F4B"/>
    <w:rsid w:val="00B22F65"/>
    <w:rsid w:val="00B22F98"/>
    <w:rsid w:val="00B22FB3"/>
    <w:rsid w:val="00B22FF3"/>
    <w:rsid w:val="00B23056"/>
    <w:rsid w:val="00B23090"/>
    <w:rsid w:val="00B230AC"/>
    <w:rsid w:val="00B230BB"/>
    <w:rsid w:val="00B230EF"/>
    <w:rsid w:val="00B230F6"/>
    <w:rsid w:val="00B23141"/>
    <w:rsid w:val="00B2314D"/>
    <w:rsid w:val="00B23184"/>
    <w:rsid w:val="00B231B5"/>
    <w:rsid w:val="00B231D1"/>
    <w:rsid w:val="00B231E4"/>
    <w:rsid w:val="00B2322E"/>
    <w:rsid w:val="00B23269"/>
    <w:rsid w:val="00B2328E"/>
    <w:rsid w:val="00B232E1"/>
    <w:rsid w:val="00B232E2"/>
    <w:rsid w:val="00B232FC"/>
    <w:rsid w:val="00B233E0"/>
    <w:rsid w:val="00B233EC"/>
    <w:rsid w:val="00B23472"/>
    <w:rsid w:val="00B23480"/>
    <w:rsid w:val="00B23491"/>
    <w:rsid w:val="00B234B3"/>
    <w:rsid w:val="00B23571"/>
    <w:rsid w:val="00B23580"/>
    <w:rsid w:val="00B235A1"/>
    <w:rsid w:val="00B235A6"/>
    <w:rsid w:val="00B235AD"/>
    <w:rsid w:val="00B235CF"/>
    <w:rsid w:val="00B235DB"/>
    <w:rsid w:val="00B2363A"/>
    <w:rsid w:val="00B23694"/>
    <w:rsid w:val="00B23697"/>
    <w:rsid w:val="00B236CA"/>
    <w:rsid w:val="00B2371F"/>
    <w:rsid w:val="00B23723"/>
    <w:rsid w:val="00B237B4"/>
    <w:rsid w:val="00B237E8"/>
    <w:rsid w:val="00B237F5"/>
    <w:rsid w:val="00B23885"/>
    <w:rsid w:val="00B238AA"/>
    <w:rsid w:val="00B2394B"/>
    <w:rsid w:val="00B2395A"/>
    <w:rsid w:val="00B23984"/>
    <w:rsid w:val="00B23A08"/>
    <w:rsid w:val="00B23A2F"/>
    <w:rsid w:val="00B23A77"/>
    <w:rsid w:val="00B23A9D"/>
    <w:rsid w:val="00B23AC8"/>
    <w:rsid w:val="00B23AD9"/>
    <w:rsid w:val="00B23ADD"/>
    <w:rsid w:val="00B23B1F"/>
    <w:rsid w:val="00B23B2F"/>
    <w:rsid w:val="00B23B53"/>
    <w:rsid w:val="00B23C23"/>
    <w:rsid w:val="00B23C77"/>
    <w:rsid w:val="00B23C86"/>
    <w:rsid w:val="00B23CC9"/>
    <w:rsid w:val="00B23CE9"/>
    <w:rsid w:val="00B23D16"/>
    <w:rsid w:val="00B23D42"/>
    <w:rsid w:val="00B23D90"/>
    <w:rsid w:val="00B23E02"/>
    <w:rsid w:val="00B23E13"/>
    <w:rsid w:val="00B23E25"/>
    <w:rsid w:val="00B23E91"/>
    <w:rsid w:val="00B23F6E"/>
    <w:rsid w:val="00B23FEA"/>
    <w:rsid w:val="00B23FFE"/>
    <w:rsid w:val="00B24034"/>
    <w:rsid w:val="00B24089"/>
    <w:rsid w:val="00B2409F"/>
    <w:rsid w:val="00B240A4"/>
    <w:rsid w:val="00B24182"/>
    <w:rsid w:val="00B24194"/>
    <w:rsid w:val="00B241B2"/>
    <w:rsid w:val="00B24279"/>
    <w:rsid w:val="00B242C4"/>
    <w:rsid w:val="00B242EE"/>
    <w:rsid w:val="00B2430F"/>
    <w:rsid w:val="00B2432E"/>
    <w:rsid w:val="00B24341"/>
    <w:rsid w:val="00B2434A"/>
    <w:rsid w:val="00B24381"/>
    <w:rsid w:val="00B243A1"/>
    <w:rsid w:val="00B243D7"/>
    <w:rsid w:val="00B24446"/>
    <w:rsid w:val="00B244BD"/>
    <w:rsid w:val="00B245C0"/>
    <w:rsid w:val="00B245FA"/>
    <w:rsid w:val="00B24612"/>
    <w:rsid w:val="00B2463B"/>
    <w:rsid w:val="00B247A4"/>
    <w:rsid w:val="00B24807"/>
    <w:rsid w:val="00B24809"/>
    <w:rsid w:val="00B2486B"/>
    <w:rsid w:val="00B248B5"/>
    <w:rsid w:val="00B248E0"/>
    <w:rsid w:val="00B248FE"/>
    <w:rsid w:val="00B2490A"/>
    <w:rsid w:val="00B24914"/>
    <w:rsid w:val="00B24936"/>
    <w:rsid w:val="00B24970"/>
    <w:rsid w:val="00B24973"/>
    <w:rsid w:val="00B249DC"/>
    <w:rsid w:val="00B24A2D"/>
    <w:rsid w:val="00B24A3D"/>
    <w:rsid w:val="00B24A5F"/>
    <w:rsid w:val="00B24A77"/>
    <w:rsid w:val="00B24AD8"/>
    <w:rsid w:val="00B24B07"/>
    <w:rsid w:val="00B24B7D"/>
    <w:rsid w:val="00B24B92"/>
    <w:rsid w:val="00B24BA5"/>
    <w:rsid w:val="00B24BE0"/>
    <w:rsid w:val="00B24C52"/>
    <w:rsid w:val="00B24D06"/>
    <w:rsid w:val="00B24D57"/>
    <w:rsid w:val="00B24D71"/>
    <w:rsid w:val="00B24D80"/>
    <w:rsid w:val="00B24DC9"/>
    <w:rsid w:val="00B24E34"/>
    <w:rsid w:val="00B24E56"/>
    <w:rsid w:val="00B24E99"/>
    <w:rsid w:val="00B24EB2"/>
    <w:rsid w:val="00B24F13"/>
    <w:rsid w:val="00B24F1E"/>
    <w:rsid w:val="00B24F28"/>
    <w:rsid w:val="00B24F2A"/>
    <w:rsid w:val="00B24F38"/>
    <w:rsid w:val="00B24F9A"/>
    <w:rsid w:val="00B24FE1"/>
    <w:rsid w:val="00B25004"/>
    <w:rsid w:val="00B25029"/>
    <w:rsid w:val="00B25057"/>
    <w:rsid w:val="00B25071"/>
    <w:rsid w:val="00B2508C"/>
    <w:rsid w:val="00B250B6"/>
    <w:rsid w:val="00B25104"/>
    <w:rsid w:val="00B2510F"/>
    <w:rsid w:val="00B2516D"/>
    <w:rsid w:val="00B25175"/>
    <w:rsid w:val="00B251A8"/>
    <w:rsid w:val="00B252A0"/>
    <w:rsid w:val="00B252B0"/>
    <w:rsid w:val="00B252EB"/>
    <w:rsid w:val="00B252F8"/>
    <w:rsid w:val="00B2534E"/>
    <w:rsid w:val="00B253BF"/>
    <w:rsid w:val="00B253C8"/>
    <w:rsid w:val="00B25449"/>
    <w:rsid w:val="00B2550B"/>
    <w:rsid w:val="00B2560E"/>
    <w:rsid w:val="00B2563E"/>
    <w:rsid w:val="00B25642"/>
    <w:rsid w:val="00B25697"/>
    <w:rsid w:val="00B256DD"/>
    <w:rsid w:val="00B256FF"/>
    <w:rsid w:val="00B25710"/>
    <w:rsid w:val="00B25743"/>
    <w:rsid w:val="00B25754"/>
    <w:rsid w:val="00B25757"/>
    <w:rsid w:val="00B257A8"/>
    <w:rsid w:val="00B2584C"/>
    <w:rsid w:val="00B25885"/>
    <w:rsid w:val="00B258B0"/>
    <w:rsid w:val="00B258F5"/>
    <w:rsid w:val="00B2591F"/>
    <w:rsid w:val="00B2594D"/>
    <w:rsid w:val="00B2595C"/>
    <w:rsid w:val="00B259C4"/>
    <w:rsid w:val="00B259DE"/>
    <w:rsid w:val="00B259F3"/>
    <w:rsid w:val="00B25A70"/>
    <w:rsid w:val="00B25AAF"/>
    <w:rsid w:val="00B25AC3"/>
    <w:rsid w:val="00B25B08"/>
    <w:rsid w:val="00B25B28"/>
    <w:rsid w:val="00B25BCF"/>
    <w:rsid w:val="00B25C1C"/>
    <w:rsid w:val="00B25C26"/>
    <w:rsid w:val="00B25C4F"/>
    <w:rsid w:val="00B25C72"/>
    <w:rsid w:val="00B25C7F"/>
    <w:rsid w:val="00B25CC3"/>
    <w:rsid w:val="00B25CE6"/>
    <w:rsid w:val="00B25D4D"/>
    <w:rsid w:val="00B25D6D"/>
    <w:rsid w:val="00B25D79"/>
    <w:rsid w:val="00B25DA1"/>
    <w:rsid w:val="00B25DDC"/>
    <w:rsid w:val="00B25DF9"/>
    <w:rsid w:val="00B25E2B"/>
    <w:rsid w:val="00B25E58"/>
    <w:rsid w:val="00B25E9C"/>
    <w:rsid w:val="00B25ECB"/>
    <w:rsid w:val="00B25F18"/>
    <w:rsid w:val="00B25F8A"/>
    <w:rsid w:val="00B25F91"/>
    <w:rsid w:val="00B25FA4"/>
    <w:rsid w:val="00B25FD9"/>
    <w:rsid w:val="00B26011"/>
    <w:rsid w:val="00B2602E"/>
    <w:rsid w:val="00B26037"/>
    <w:rsid w:val="00B26069"/>
    <w:rsid w:val="00B26082"/>
    <w:rsid w:val="00B26088"/>
    <w:rsid w:val="00B260A1"/>
    <w:rsid w:val="00B260DF"/>
    <w:rsid w:val="00B26119"/>
    <w:rsid w:val="00B2614A"/>
    <w:rsid w:val="00B26150"/>
    <w:rsid w:val="00B26214"/>
    <w:rsid w:val="00B2622F"/>
    <w:rsid w:val="00B262BB"/>
    <w:rsid w:val="00B262C0"/>
    <w:rsid w:val="00B262CE"/>
    <w:rsid w:val="00B262D6"/>
    <w:rsid w:val="00B2638C"/>
    <w:rsid w:val="00B263B0"/>
    <w:rsid w:val="00B263DE"/>
    <w:rsid w:val="00B263F2"/>
    <w:rsid w:val="00B263F4"/>
    <w:rsid w:val="00B26501"/>
    <w:rsid w:val="00B26526"/>
    <w:rsid w:val="00B26533"/>
    <w:rsid w:val="00B2658E"/>
    <w:rsid w:val="00B265AC"/>
    <w:rsid w:val="00B26603"/>
    <w:rsid w:val="00B26661"/>
    <w:rsid w:val="00B26694"/>
    <w:rsid w:val="00B266DC"/>
    <w:rsid w:val="00B26705"/>
    <w:rsid w:val="00B2675B"/>
    <w:rsid w:val="00B26783"/>
    <w:rsid w:val="00B26792"/>
    <w:rsid w:val="00B267B9"/>
    <w:rsid w:val="00B267D1"/>
    <w:rsid w:val="00B267E4"/>
    <w:rsid w:val="00B2686D"/>
    <w:rsid w:val="00B2688B"/>
    <w:rsid w:val="00B268CB"/>
    <w:rsid w:val="00B26912"/>
    <w:rsid w:val="00B26941"/>
    <w:rsid w:val="00B26943"/>
    <w:rsid w:val="00B2697B"/>
    <w:rsid w:val="00B2697C"/>
    <w:rsid w:val="00B269B1"/>
    <w:rsid w:val="00B26AD5"/>
    <w:rsid w:val="00B26AEB"/>
    <w:rsid w:val="00B26BC1"/>
    <w:rsid w:val="00B26BDF"/>
    <w:rsid w:val="00B26C32"/>
    <w:rsid w:val="00B26C3D"/>
    <w:rsid w:val="00B26C50"/>
    <w:rsid w:val="00B26C96"/>
    <w:rsid w:val="00B26D77"/>
    <w:rsid w:val="00B26E2E"/>
    <w:rsid w:val="00B26E57"/>
    <w:rsid w:val="00B26F15"/>
    <w:rsid w:val="00B26F1E"/>
    <w:rsid w:val="00B27009"/>
    <w:rsid w:val="00B27026"/>
    <w:rsid w:val="00B2706C"/>
    <w:rsid w:val="00B2707C"/>
    <w:rsid w:val="00B270FB"/>
    <w:rsid w:val="00B2713D"/>
    <w:rsid w:val="00B2719C"/>
    <w:rsid w:val="00B271AA"/>
    <w:rsid w:val="00B271AC"/>
    <w:rsid w:val="00B271D4"/>
    <w:rsid w:val="00B27207"/>
    <w:rsid w:val="00B27227"/>
    <w:rsid w:val="00B27249"/>
    <w:rsid w:val="00B2724D"/>
    <w:rsid w:val="00B27255"/>
    <w:rsid w:val="00B27287"/>
    <w:rsid w:val="00B272AE"/>
    <w:rsid w:val="00B272D2"/>
    <w:rsid w:val="00B27348"/>
    <w:rsid w:val="00B27386"/>
    <w:rsid w:val="00B273C7"/>
    <w:rsid w:val="00B2740D"/>
    <w:rsid w:val="00B27430"/>
    <w:rsid w:val="00B27433"/>
    <w:rsid w:val="00B2743F"/>
    <w:rsid w:val="00B2749C"/>
    <w:rsid w:val="00B274A9"/>
    <w:rsid w:val="00B274CC"/>
    <w:rsid w:val="00B27518"/>
    <w:rsid w:val="00B275A0"/>
    <w:rsid w:val="00B275E9"/>
    <w:rsid w:val="00B275EF"/>
    <w:rsid w:val="00B275FB"/>
    <w:rsid w:val="00B27650"/>
    <w:rsid w:val="00B27691"/>
    <w:rsid w:val="00B27694"/>
    <w:rsid w:val="00B276FC"/>
    <w:rsid w:val="00B27768"/>
    <w:rsid w:val="00B27825"/>
    <w:rsid w:val="00B2784A"/>
    <w:rsid w:val="00B278A2"/>
    <w:rsid w:val="00B279B7"/>
    <w:rsid w:val="00B279BC"/>
    <w:rsid w:val="00B27A27"/>
    <w:rsid w:val="00B27AAF"/>
    <w:rsid w:val="00B27AC4"/>
    <w:rsid w:val="00B27B73"/>
    <w:rsid w:val="00B27BF2"/>
    <w:rsid w:val="00B27C06"/>
    <w:rsid w:val="00B27C36"/>
    <w:rsid w:val="00B27C6A"/>
    <w:rsid w:val="00B27CB2"/>
    <w:rsid w:val="00B27CB5"/>
    <w:rsid w:val="00B27CCA"/>
    <w:rsid w:val="00B27D04"/>
    <w:rsid w:val="00B27D1F"/>
    <w:rsid w:val="00B27D46"/>
    <w:rsid w:val="00B27D99"/>
    <w:rsid w:val="00B27E54"/>
    <w:rsid w:val="00B27E58"/>
    <w:rsid w:val="00B27E72"/>
    <w:rsid w:val="00B27E77"/>
    <w:rsid w:val="00B27E8E"/>
    <w:rsid w:val="00B27E91"/>
    <w:rsid w:val="00B27EE6"/>
    <w:rsid w:val="00B27F12"/>
    <w:rsid w:val="00B27F29"/>
    <w:rsid w:val="00B27F34"/>
    <w:rsid w:val="00B27F7F"/>
    <w:rsid w:val="00B27FDD"/>
    <w:rsid w:val="00B30001"/>
    <w:rsid w:val="00B3003C"/>
    <w:rsid w:val="00B300C0"/>
    <w:rsid w:val="00B300CD"/>
    <w:rsid w:val="00B300F6"/>
    <w:rsid w:val="00B30119"/>
    <w:rsid w:val="00B30142"/>
    <w:rsid w:val="00B3016B"/>
    <w:rsid w:val="00B30173"/>
    <w:rsid w:val="00B301BB"/>
    <w:rsid w:val="00B301F6"/>
    <w:rsid w:val="00B3021B"/>
    <w:rsid w:val="00B30228"/>
    <w:rsid w:val="00B30265"/>
    <w:rsid w:val="00B3029E"/>
    <w:rsid w:val="00B3030D"/>
    <w:rsid w:val="00B3030E"/>
    <w:rsid w:val="00B30339"/>
    <w:rsid w:val="00B3034E"/>
    <w:rsid w:val="00B3034F"/>
    <w:rsid w:val="00B3038C"/>
    <w:rsid w:val="00B303AF"/>
    <w:rsid w:val="00B303D5"/>
    <w:rsid w:val="00B3045A"/>
    <w:rsid w:val="00B3052F"/>
    <w:rsid w:val="00B30532"/>
    <w:rsid w:val="00B3056F"/>
    <w:rsid w:val="00B305B7"/>
    <w:rsid w:val="00B305BB"/>
    <w:rsid w:val="00B305BC"/>
    <w:rsid w:val="00B305C5"/>
    <w:rsid w:val="00B305ED"/>
    <w:rsid w:val="00B30623"/>
    <w:rsid w:val="00B30674"/>
    <w:rsid w:val="00B30684"/>
    <w:rsid w:val="00B306A9"/>
    <w:rsid w:val="00B306D0"/>
    <w:rsid w:val="00B30727"/>
    <w:rsid w:val="00B3073F"/>
    <w:rsid w:val="00B307BA"/>
    <w:rsid w:val="00B307C3"/>
    <w:rsid w:val="00B30843"/>
    <w:rsid w:val="00B3084C"/>
    <w:rsid w:val="00B3085F"/>
    <w:rsid w:val="00B308E5"/>
    <w:rsid w:val="00B30908"/>
    <w:rsid w:val="00B3092E"/>
    <w:rsid w:val="00B30936"/>
    <w:rsid w:val="00B3095A"/>
    <w:rsid w:val="00B309D2"/>
    <w:rsid w:val="00B309D5"/>
    <w:rsid w:val="00B309FB"/>
    <w:rsid w:val="00B30A2A"/>
    <w:rsid w:val="00B30A72"/>
    <w:rsid w:val="00B30ADF"/>
    <w:rsid w:val="00B30B44"/>
    <w:rsid w:val="00B30B78"/>
    <w:rsid w:val="00B30B88"/>
    <w:rsid w:val="00B30B8C"/>
    <w:rsid w:val="00B30C1A"/>
    <w:rsid w:val="00B30C56"/>
    <w:rsid w:val="00B30C72"/>
    <w:rsid w:val="00B30C7E"/>
    <w:rsid w:val="00B30C93"/>
    <w:rsid w:val="00B30CB1"/>
    <w:rsid w:val="00B30D04"/>
    <w:rsid w:val="00B30D11"/>
    <w:rsid w:val="00B30D22"/>
    <w:rsid w:val="00B30D59"/>
    <w:rsid w:val="00B30D81"/>
    <w:rsid w:val="00B30D8E"/>
    <w:rsid w:val="00B30E42"/>
    <w:rsid w:val="00B30E4C"/>
    <w:rsid w:val="00B30EA1"/>
    <w:rsid w:val="00B30ED9"/>
    <w:rsid w:val="00B30F40"/>
    <w:rsid w:val="00B30F60"/>
    <w:rsid w:val="00B30F70"/>
    <w:rsid w:val="00B30FE6"/>
    <w:rsid w:val="00B31025"/>
    <w:rsid w:val="00B31061"/>
    <w:rsid w:val="00B31062"/>
    <w:rsid w:val="00B31089"/>
    <w:rsid w:val="00B310A2"/>
    <w:rsid w:val="00B310BF"/>
    <w:rsid w:val="00B31118"/>
    <w:rsid w:val="00B31129"/>
    <w:rsid w:val="00B31179"/>
    <w:rsid w:val="00B3117F"/>
    <w:rsid w:val="00B3119D"/>
    <w:rsid w:val="00B311A6"/>
    <w:rsid w:val="00B311DF"/>
    <w:rsid w:val="00B31230"/>
    <w:rsid w:val="00B31275"/>
    <w:rsid w:val="00B312B5"/>
    <w:rsid w:val="00B312E5"/>
    <w:rsid w:val="00B312EA"/>
    <w:rsid w:val="00B31314"/>
    <w:rsid w:val="00B31343"/>
    <w:rsid w:val="00B313B1"/>
    <w:rsid w:val="00B3143B"/>
    <w:rsid w:val="00B314C5"/>
    <w:rsid w:val="00B314D2"/>
    <w:rsid w:val="00B31559"/>
    <w:rsid w:val="00B315F5"/>
    <w:rsid w:val="00B31614"/>
    <w:rsid w:val="00B3161C"/>
    <w:rsid w:val="00B31625"/>
    <w:rsid w:val="00B31683"/>
    <w:rsid w:val="00B3168E"/>
    <w:rsid w:val="00B316D6"/>
    <w:rsid w:val="00B316DC"/>
    <w:rsid w:val="00B316F3"/>
    <w:rsid w:val="00B3170D"/>
    <w:rsid w:val="00B31714"/>
    <w:rsid w:val="00B317BC"/>
    <w:rsid w:val="00B317CD"/>
    <w:rsid w:val="00B3182B"/>
    <w:rsid w:val="00B31865"/>
    <w:rsid w:val="00B31935"/>
    <w:rsid w:val="00B3196F"/>
    <w:rsid w:val="00B319A0"/>
    <w:rsid w:val="00B319C1"/>
    <w:rsid w:val="00B31A6D"/>
    <w:rsid w:val="00B31A7D"/>
    <w:rsid w:val="00B31AB3"/>
    <w:rsid w:val="00B31AD6"/>
    <w:rsid w:val="00B31AF2"/>
    <w:rsid w:val="00B31B7D"/>
    <w:rsid w:val="00B31B82"/>
    <w:rsid w:val="00B31B88"/>
    <w:rsid w:val="00B31BBF"/>
    <w:rsid w:val="00B31C17"/>
    <w:rsid w:val="00B31CAD"/>
    <w:rsid w:val="00B31CB2"/>
    <w:rsid w:val="00B31CF3"/>
    <w:rsid w:val="00B31DA1"/>
    <w:rsid w:val="00B31DB5"/>
    <w:rsid w:val="00B31E0C"/>
    <w:rsid w:val="00B31E25"/>
    <w:rsid w:val="00B31E45"/>
    <w:rsid w:val="00B31E60"/>
    <w:rsid w:val="00B31E78"/>
    <w:rsid w:val="00B31E81"/>
    <w:rsid w:val="00B31E87"/>
    <w:rsid w:val="00B31E8A"/>
    <w:rsid w:val="00B31EFF"/>
    <w:rsid w:val="00B31F28"/>
    <w:rsid w:val="00B32032"/>
    <w:rsid w:val="00B32037"/>
    <w:rsid w:val="00B3205F"/>
    <w:rsid w:val="00B320AE"/>
    <w:rsid w:val="00B320CA"/>
    <w:rsid w:val="00B320D9"/>
    <w:rsid w:val="00B320EA"/>
    <w:rsid w:val="00B320F4"/>
    <w:rsid w:val="00B320FA"/>
    <w:rsid w:val="00B3218E"/>
    <w:rsid w:val="00B321AE"/>
    <w:rsid w:val="00B321BC"/>
    <w:rsid w:val="00B321CD"/>
    <w:rsid w:val="00B32202"/>
    <w:rsid w:val="00B32212"/>
    <w:rsid w:val="00B32299"/>
    <w:rsid w:val="00B3233D"/>
    <w:rsid w:val="00B3238A"/>
    <w:rsid w:val="00B32396"/>
    <w:rsid w:val="00B323D6"/>
    <w:rsid w:val="00B32496"/>
    <w:rsid w:val="00B32499"/>
    <w:rsid w:val="00B3249B"/>
    <w:rsid w:val="00B324A5"/>
    <w:rsid w:val="00B32541"/>
    <w:rsid w:val="00B32545"/>
    <w:rsid w:val="00B3255B"/>
    <w:rsid w:val="00B32576"/>
    <w:rsid w:val="00B3258C"/>
    <w:rsid w:val="00B3260D"/>
    <w:rsid w:val="00B3262D"/>
    <w:rsid w:val="00B32633"/>
    <w:rsid w:val="00B32639"/>
    <w:rsid w:val="00B32653"/>
    <w:rsid w:val="00B32683"/>
    <w:rsid w:val="00B326A1"/>
    <w:rsid w:val="00B326A7"/>
    <w:rsid w:val="00B327B2"/>
    <w:rsid w:val="00B327BD"/>
    <w:rsid w:val="00B327C4"/>
    <w:rsid w:val="00B327CF"/>
    <w:rsid w:val="00B327F3"/>
    <w:rsid w:val="00B32808"/>
    <w:rsid w:val="00B32854"/>
    <w:rsid w:val="00B3289E"/>
    <w:rsid w:val="00B3292A"/>
    <w:rsid w:val="00B32959"/>
    <w:rsid w:val="00B3295C"/>
    <w:rsid w:val="00B32973"/>
    <w:rsid w:val="00B329CC"/>
    <w:rsid w:val="00B32A14"/>
    <w:rsid w:val="00B32A32"/>
    <w:rsid w:val="00B32B10"/>
    <w:rsid w:val="00B32B4B"/>
    <w:rsid w:val="00B32B4C"/>
    <w:rsid w:val="00B32B8E"/>
    <w:rsid w:val="00B32BEE"/>
    <w:rsid w:val="00B32C2A"/>
    <w:rsid w:val="00B32C46"/>
    <w:rsid w:val="00B32C4A"/>
    <w:rsid w:val="00B32C50"/>
    <w:rsid w:val="00B32C5E"/>
    <w:rsid w:val="00B32CC4"/>
    <w:rsid w:val="00B32CD6"/>
    <w:rsid w:val="00B32CF3"/>
    <w:rsid w:val="00B32D48"/>
    <w:rsid w:val="00B32DBF"/>
    <w:rsid w:val="00B32E14"/>
    <w:rsid w:val="00B32E2D"/>
    <w:rsid w:val="00B32EC4"/>
    <w:rsid w:val="00B32F21"/>
    <w:rsid w:val="00B32F2E"/>
    <w:rsid w:val="00B32F3F"/>
    <w:rsid w:val="00B32F57"/>
    <w:rsid w:val="00B32FE6"/>
    <w:rsid w:val="00B32FF0"/>
    <w:rsid w:val="00B3302D"/>
    <w:rsid w:val="00B3303B"/>
    <w:rsid w:val="00B33056"/>
    <w:rsid w:val="00B3305B"/>
    <w:rsid w:val="00B33077"/>
    <w:rsid w:val="00B33085"/>
    <w:rsid w:val="00B330A7"/>
    <w:rsid w:val="00B33145"/>
    <w:rsid w:val="00B331F0"/>
    <w:rsid w:val="00B33236"/>
    <w:rsid w:val="00B3324B"/>
    <w:rsid w:val="00B33255"/>
    <w:rsid w:val="00B33261"/>
    <w:rsid w:val="00B333CC"/>
    <w:rsid w:val="00B333E6"/>
    <w:rsid w:val="00B33435"/>
    <w:rsid w:val="00B33467"/>
    <w:rsid w:val="00B3346C"/>
    <w:rsid w:val="00B334C1"/>
    <w:rsid w:val="00B33555"/>
    <w:rsid w:val="00B335D4"/>
    <w:rsid w:val="00B335DA"/>
    <w:rsid w:val="00B33619"/>
    <w:rsid w:val="00B33621"/>
    <w:rsid w:val="00B33657"/>
    <w:rsid w:val="00B3366E"/>
    <w:rsid w:val="00B33679"/>
    <w:rsid w:val="00B33687"/>
    <w:rsid w:val="00B336E0"/>
    <w:rsid w:val="00B3373C"/>
    <w:rsid w:val="00B33789"/>
    <w:rsid w:val="00B33796"/>
    <w:rsid w:val="00B337AC"/>
    <w:rsid w:val="00B337DC"/>
    <w:rsid w:val="00B337F1"/>
    <w:rsid w:val="00B33845"/>
    <w:rsid w:val="00B33879"/>
    <w:rsid w:val="00B33899"/>
    <w:rsid w:val="00B338F4"/>
    <w:rsid w:val="00B33902"/>
    <w:rsid w:val="00B33937"/>
    <w:rsid w:val="00B33942"/>
    <w:rsid w:val="00B33965"/>
    <w:rsid w:val="00B3396F"/>
    <w:rsid w:val="00B33973"/>
    <w:rsid w:val="00B339D0"/>
    <w:rsid w:val="00B339FB"/>
    <w:rsid w:val="00B33A0A"/>
    <w:rsid w:val="00B33A12"/>
    <w:rsid w:val="00B33A2C"/>
    <w:rsid w:val="00B33A49"/>
    <w:rsid w:val="00B33A56"/>
    <w:rsid w:val="00B33A63"/>
    <w:rsid w:val="00B33A93"/>
    <w:rsid w:val="00B33AA5"/>
    <w:rsid w:val="00B33AD2"/>
    <w:rsid w:val="00B33AE3"/>
    <w:rsid w:val="00B33B3C"/>
    <w:rsid w:val="00B33B50"/>
    <w:rsid w:val="00B33BA7"/>
    <w:rsid w:val="00B33BBD"/>
    <w:rsid w:val="00B33C25"/>
    <w:rsid w:val="00B33C41"/>
    <w:rsid w:val="00B33C83"/>
    <w:rsid w:val="00B33D2D"/>
    <w:rsid w:val="00B33D49"/>
    <w:rsid w:val="00B33D6E"/>
    <w:rsid w:val="00B33DAE"/>
    <w:rsid w:val="00B33E28"/>
    <w:rsid w:val="00B33E32"/>
    <w:rsid w:val="00B33E4A"/>
    <w:rsid w:val="00B33EED"/>
    <w:rsid w:val="00B33F52"/>
    <w:rsid w:val="00B33FC2"/>
    <w:rsid w:val="00B33FF3"/>
    <w:rsid w:val="00B3405F"/>
    <w:rsid w:val="00B3407F"/>
    <w:rsid w:val="00B34091"/>
    <w:rsid w:val="00B340B2"/>
    <w:rsid w:val="00B340F8"/>
    <w:rsid w:val="00B34127"/>
    <w:rsid w:val="00B34175"/>
    <w:rsid w:val="00B341C1"/>
    <w:rsid w:val="00B341FC"/>
    <w:rsid w:val="00B34216"/>
    <w:rsid w:val="00B34223"/>
    <w:rsid w:val="00B342B2"/>
    <w:rsid w:val="00B342D1"/>
    <w:rsid w:val="00B3430D"/>
    <w:rsid w:val="00B34338"/>
    <w:rsid w:val="00B3437C"/>
    <w:rsid w:val="00B34385"/>
    <w:rsid w:val="00B343E0"/>
    <w:rsid w:val="00B343E2"/>
    <w:rsid w:val="00B34464"/>
    <w:rsid w:val="00B34494"/>
    <w:rsid w:val="00B344D0"/>
    <w:rsid w:val="00B34554"/>
    <w:rsid w:val="00B3456F"/>
    <w:rsid w:val="00B345E2"/>
    <w:rsid w:val="00B34658"/>
    <w:rsid w:val="00B34696"/>
    <w:rsid w:val="00B3469D"/>
    <w:rsid w:val="00B346A0"/>
    <w:rsid w:val="00B34741"/>
    <w:rsid w:val="00B34766"/>
    <w:rsid w:val="00B34774"/>
    <w:rsid w:val="00B34782"/>
    <w:rsid w:val="00B34830"/>
    <w:rsid w:val="00B3487C"/>
    <w:rsid w:val="00B348F5"/>
    <w:rsid w:val="00B3490F"/>
    <w:rsid w:val="00B3493E"/>
    <w:rsid w:val="00B34942"/>
    <w:rsid w:val="00B3494A"/>
    <w:rsid w:val="00B3495A"/>
    <w:rsid w:val="00B3498B"/>
    <w:rsid w:val="00B349D4"/>
    <w:rsid w:val="00B349F3"/>
    <w:rsid w:val="00B34A0B"/>
    <w:rsid w:val="00B34ACD"/>
    <w:rsid w:val="00B34ADD"/>
    <w:rsid w:val="00B34B66"/>
    <w:rsid w:val="00B34BD3"/>
    <w:rsid w:val="00B34C12"/>
    <w:rsid w:val="00B34C38"/>
    <w:rsid w:val="00B34C5F"/>
    <w:rsid w:val="00B34C88"/>
    <w:rsid w:val="00B34D2A"/>
    <w:rsid w:val="00B34D85"/>
    <w:rsid w:val="00B34DA8"/>
    <w:rsid w:val="00B34DBD"/>
    <w:rsid w:val="00B34DF1"/>
    <w:rsid w:val="00B34E32"/>
    <w:rsid w:val="00B34F3E"/>
    <w:rsid w:val="00B34FE4"/>
    <w:rsid w:val="00B35000"/>
    <w:rsid w:val="00B3504B"/>
    <w:rsid w:val="00B350AA"/>
    <w:rsid w:val="00B350ED"/>
    <w:rsid w:val="00B351C3"/>
    <w:rsid w:val="00B351C7"/>
    <w:rsid w:val="00B351D1"/>
    <w:rsid w:val="00B3521D"/>
    <w:rsid w:val="00B35221"/>
    <w:rsid w:val="00B35261"/>
    <w:rsid w:val="00B352BE"/>
    <w:rsid w:val="00B35357"/>
    <w:rsid w:val="00B3535B"/>
    <w:rsid w:val="00B353DE"/>
    <w:rsid w:val="00B353E6"/>
    <w:rsid w:val="00B353E7"/>
    <w:rsid w:val="00B353F7"/>
    <w:rsid w:val="00B35423"/>
    <w:rsid w:val="00B3546E"/>
    <w:rsid w:val="00B35479"/>
    <w:rsid w:val="00B354A6"/>
    <w:rsid w:val="00B354EC"/>
    <w:rsid w:val="00B3552B"/>
    <w:rsid w:val="00B35558"/>
    <w:rsid w:val="00B35559"/>
    <w:rsid w:val="00B35566"/>
    <w:rsid w:val="00B355B3"/>
    <w:rsid w:val="00B355DA"/>
    <w:rsid w:val="00B355FA"/>
    <w:rsid w:val="00B356EE"/>
    <w:rsid w:val="00B35702"/>
    <w:rsid w:val="00B35719"/>
    <w:rsid w:val="00B3571E"/>
    <w:rsid w:val="00B35730"/>
    <w:rsid w:val="00B357C0"/>
    <w:rsid w:val="00B357E9"/>
    <w:rsid w:val="00B35813"/>
    <w:rsid w:val="00B3581D"/>
    <w:rsid w:val="00B35830"/>
    <w:rsid w:val="00B35884"/>
    <w:rsid w:val="00B3588F"/>
    <w:rsid w:val="00B3589D"/>
    <w:rsid w:val="00B358C0"/>
    <w:rsid w:val="00B358E4"/>
    <w:rsid w:val="00B358EC"/>
    <w:rsid w:val="00B3595E"/>
    <w:rsid w:val="00B35985"/>
    <w:rsid w:val="00B359A3"/>
    <w:rsid w:val="00B359AA"/>
    <w:rsid w:val="00B35A45"/>
    <w:rsid w:val="00B35AB3"/>
    <w:rsid w:val="00B35AB9"/>
    <w:rsid w:val="00B35AC0"/>
    <w:rsid w:val="00B35B31"/>
    <w:rsid w:val="00B35B4C"/>
    <w:rsid w:val="00B35B5B"/>
    <w:rsid w:val="00B35B5D"/>
    <w:rsid w:val="00B35B89"/>
    <w:rsid w:val="00B35BCC"/>
    <w:rsid w:val="00B35C23"/>
    <w:rsid w:val="00B35C26"/>
    <w:rsid w:val="00B35C42"/>
    <w:rsid w:val="00B35C5B"/>
    <w:rsid w:val="00B35D1D"/>
    <w:rsid w:val="00B35D24"/>
    <w:rsid w:val="00B35DB9"/>
    <w:rsid w:val="00B35E79"/>
    <w:rsid w:val="00B35F23"/>
    <w:rsid w:val="00B35F92"/>
    <w:rsid w:val="00B35FAC"/>
    <w:rsid w:val="00B3604E"/>
    <w:rsid w:val="00B3605B"/>
    <w:rsid w:val="00B360B2"/>
    <w:rsid w:val="00B360E2"/>
    <w:rsid w:val="00B3616B"/>
    <w:rsid w:val="00B3619C"/>
    <w:rsid w:val="00B361B2"/>
    <w:rsid w:val="00B361CA"/>
    <w:rsid w:val="00B361E7"/>
    <w:rsid w:val="00B36206"/>
    <w:rsid w:val="00B3621D"/>
    <w:rsid w:val="00B3627E"/>
    <w:rsid w:val="00B3629F"/>
    <w:rsid w:val="00B36338"/>
    <w:rsid w:val="00B3633F"/>
    <w:rsid w:val="00B36350"/>
    <w:rsid w:val="00B363CE"/>
    <w:rsid w:val="00B36410"/>
    <w:rsid w:val="00B36421"/>
    <w:rsid w:val="00B3645D"/>
    <w:rsid w:val="00B364AD"/>
    <w:rsid w:val="00B364C3"/>
    <w:rsid w:val="00B365A5"/>
    <w:rsid w:val="00B365D0"/>
    <w:rsid w:val="00B365EB"/>
    <w:rsid w:val="00B36642"/>
    <w:rsid w:val="00B36676"/>
    <w:rsid w:val="00B3667A"/>
    <w:rsid w:val="00B366AD"/>
    <w:rsid w:val="00B366C6"/>
    <w:rsid w:val="00B366F3"/>
    <w:rsid w:val="00B366F8"/>
    <w:rsid w:val="00B3670A"/>
    <w:rsid w:val="00B36722"/>
    <w:rsid w:val="00B36739"/>
    <w:rsid w:val="00B3679F"/>
    <w:rsid w:val="00B367B2"/>
    <w:rsid w:val="00B36812"/>
    <w:rsid w:val="00B3688B"/>
    <w:rsid w:val="00B368BB"/>
    <w:rsid w:val="00B36916"/>
    <w:rsid w:val="00B36924"/>
    <w:rsid w:val="00B3694C"/>
    <w:rsid w:val="00B369A3"/>
    <w:rsid w:val="00B369C2"/>
    <w:rsid w:val="00B36A72"/>
    <w:rsid w:val="00B36A86"/>
    <w:rsid w:val="00B36AA4"/>
    <w:rsid w:val="00B36AAC"/>
    <w:rsid w:val="00B36AAE"/>
    <w:rsid w:val="00B36AC8"/>
    <w:rsid w:val="00B36B92"/>
    <w:rsid w:val="00B36B99"/>
    <w:rsid w:val="00B36CBC"/>
    <w:rsid w:val="00B36D25"/>
    <w:rsid w:val="00B36D3B"/>
    <w:rsid w:val="00B36D45"/>
    <w:rsid w:val="00B36E61"/>
    <w:rsid w:val="00B36EB1"/>
    <w:rsid w:val="00B36EF3"/>
    <w:rsid w:val="00B36F20"/>
    <w:rsid w:val="00B36F8D"/>
    <w:rsid w:val="00B36FB5"/>
    <w:rsid w:val="00B36FCF"/>
    <w:rsid w:val="00B37067"/>
    <w:rsid w:val="00B37096"/>
    <w:rsid w:val="00B370FB"/>
    <w:rsid w:val="00B37117"/>
    <w:rsid w:val="00B37154"/>
    <w:rsid w:val="00B37166"/>
    <w:rsid w:val="00B37270"/>
    <w:rsid w:val="00B372D9"/>
    <w:rsid w:val="00B37356"/>
    <w:rsid w:val="00B3736C"/>
    <w:rsid w:val="00B37378"/>
    <w:rsid w:val="00B37384"/>
    <w:rsid w:val="00B373AE"/>
    <w:rsid w:val="00B373D9"/>
    <w:rsid w:val="00B3743E"/>
    <w:rsid w:val="00B3750C"/>
    <w:rsid w:val="00B37536"/>
    <w:rsid w:val="00B3753B"/>
    <w:rsid w:val="00B375CA"/>
    <w:rsid w:val="00B375E8"/>
    <w:rsid w:val="00B37608"/>
    <w:rsid w:val="00B37688"/>
    <w:rsid w:val="00B376A8"/>
    <w:rsid w:val="00B376DB"/>
    <w:rsid w:val="00B376EB"/>
    <w:rsid w:val="00B3770A"/>
    <w:rsid w:val="00B37712"/>
    <w:rsid w:val="00B37740"/>
    <w:rsid w:val="00B37744"/>
    <w:rsid w:val="00B37794"/>
    <w:rsid w:val="00B3782B"/>
    <w:rsid w:val="00B378A1"/>
    <w:rsid w:val="00B3790E"/>
    <w:rsid w:val="00B37964"/>
    <w:rsid w:val="00B379A7"/>
    <w:rsid w:val="00B379C2"/>
    <w:rsid w:val="00B379F9"/>
    <w:rsid w:val="00B37A2B"/>
    <w:rsid w:val="00B37A9C"/>
    <w:rsid w:val="00B37AB3"/>
    <w:rsid w:val="00B37ABB"/>
    <w:rsid w:val="00B37AD5"/>
    <w:rsid w:val="00B37AF3"/>
    <w:rsid w:val="00B37B1B"/>
    <w:rsid w:val="00B37B61"/>
    <w:rsid w:val="00B37B7A"/>
    <w:rsid w:val="00B37B8F"/>
    <w:rsid w:val="00B37BAE"/>
    <w:rsid w:val="00B37BCC"/>
    <w:rsid w:val="00B37BCF"/>
    <w:rsid w:val="00B37BD8"/>
    <w:rsid w:val="00B37BF1"/>
    <w:rsid w:val="00B37C00"/>
    <w:rsid w:val="00B37C41"/>
    <w:rsid w:val="00B37D37"/>
    <w:rsid w:val="00B37D40"/>
    <w:rsid w:val="00B37D75"/>
    <w:rsid w:val="00B37DAA"/>
    <w:rsid w:val="00B37DE9"/>
    <w:rsid w:val="00B37ECF"/>
    <w:rsid w:val="00B37F39"/>
    <w:rsid w:val="00B37F6F"/>
    <w:rsid w:val="00B37F70"/>
    <w:rsid w:val="00B37F77"/>
    <w:rsid w:val="00B37FAE"/>
    <w:rsid w:val="00B37FEE"/>
    <w:rsid w:val="00B37FEF"/>
    <w:rsid w:val="00B37FF3"/>
    <w:rsid w:val="00B40043"/>
    <w:rsid w:val="00B40048"/>
    <w:rsid w:val="00B4006D"/>
    <w:rsid w:val="00B40097"/>
    <w:rsid w:val="00B400B1"/>
    <w:rsid w:val="00B400C5"/>
    <w:rsid w:val="00B4010A"/>
    <w:rsid w:val="00B40112"/>
    <w:rsid w:val="00B4012A"/>
    <w:rsid w:val="00B40183"/>
    <w:rsid w:val="00B4019D"/>
    <w:rsid w:val="00B401A3"/>
    <w:rsid w:val="00B4020E"/>
    <w:rsid w:val="00B4025F"/>
    <w:rsid w:val="00B4028A"/>
    <w:rsid w:val="00B402CA"/>
    <w:rsid w:val="00B402CF"/>
    <w:rsid w:val="00B4030D"/>
    <w:rsid w:val="00B40336"/>
    <w:rsid w:val="00B4035C"/>
    <w:rsid w:val="00B40361"/>
    <w:rsid w:val="00B403D6"/>
    <w:rsid w:val="00B403E3"/>
    <w:rsid w:val="00B4042A"/>
    <w:rsid w:val="00B4042F"/>
    <w:rsid w:val="00B40464"/>
    <w:rsid w:val="00B40553"/>
    <w:rsid w:val="00B40576"/>
    <w:rsid w:val="00B4058A"/>
    <w:rsid w:val="00B405F1"/>
    <w:rsid w:val="00B40676"/>
    <w:rsid w:val="00B40683"/>
    <w:rsid w:val="00B4068D"/>
    <w:rsid w:val="00B406AD"/>
    <w:rsid w:val="00B40706"/>
    <w:rsid w:val="00B40715"/>
    <w:rsid w:val="00B407B5"/>
    <w:rsid w:val="00B40821"/>
    <w:rsid w:val="00B40826"/>
    <w:rsid w:val="00B40846"/>
    <w:rsid w:val="00B4095F"/>
    <w:rsid w:val="00B409AC"/>
    <w:rsid w:val="00B40A91"/>
    <w:rsid w:val="00B40AB9"/>
    <w:rsid w:val="00B40B12"/>
    <w:rsid w:val="00B40B2A"/>
    <w:rsid w:val="00B40B31"/>
    <w:rsid w:val="00B40B65"/>
    <w:rsid w:val="00B40BAF"/>
    <w:rsid w:val="00B40C08"/>
    <w:rsid w:val="00B40C28"/>
    <w:rsid w:val="00B40C58"/>
    <w:rsid w:val="00B40C8D"/>
    <w:rsid w:val="00B40CA4"/>
    <w:rsid w:val="00B40CA8"/>
    <w:rsid w:val="00B40CE5"/>
    <w:rsid w:val="00B40CF8"/>
    <w:rsid w:val="00B40D35"/>
    <w:rsid w:val="00B40D36"/>
    <w:rsid w:val="00B40D4C"/>
    <w:rsid w:val="00B40D61"/>
    <w:rsid w:val="00B40D77"/>
    <w:rsid w:val="00B40D9D"/>
    <w:rsid w:val="00B40DAB"/>
    <w:rsid w:val="00B40DDF"/>
    <w:rsid w:val="00B40DFC"/>
    <w:rsid w:val="00B40E31"/>
    <w:rsid w:val="00B40E38"/>
    <w:rsid w:val="00B40E42"/>
    <w:rsid w:val="00B40EB2"/>
    <w:rsid w:val="00B40EF0"/>
    <w:rsid w:val="00B40EF5"/>
    <w:rsid w:val="00B40F0A"/>
    <w:rsid w:val="00B40F2C"/>
    <w:rsid w:val="00B40F47"/>
    <w:rsid w:val="00B40F5C"/>
    <w:rsid w:val="00B40F82"/>
    <w:rsid w:val="00B40FBB"/>
    <w:rsid w:val="00B4103D"/>
    <w:rsid w:val="00B4109D"/>
    <w:rsid w:val="00B410A0"/>
    <w:rsid w:val="00B410BB"/>
    <w:rsid w:val="00B410FB"/>
    <w:rsid w:val="00B410FF"/>
    <w:rsid w:val="00B4111E"/>
    <w:rsid w:val="00B41133"/>
    <w:rsid w:val="00B41165"/>
    <w:rsid w:val="00B41207"/>
    <w:rsid w:val="00B4122A"/>
    <w:rsid w:val="00B41269"/>
    <w:rsid w:val="00B412E3"/>
    <w:rsid w:val="00B41352"/>
    <w:rsid w:val="00B413C0"/>
    <w:rsid w:val="00B413C3"/>
    <w:rsid w:val="00B413C5"/>
    <w:rsid w:val="00B413EC"/>
    <w:rsid w:val="00B41420"/>
    <w:rsid w:val="00B41427"/>
    <w:rsid w:val="00B4145D"/>
    <w:rsid w:val="00B4146A"/>
    <w:rsid w:val="00B4146E"/>
    <w:rsid w:val="00B41490"/>
    <w:rsid w:val="00B414B7"/>
    <w:rsid w:val="00B414D6"/>
    <w:rsid w:val="00B41528"/>
    <w:rsid w:val="00B41548"/>
    <w:rsid w:val="00B4154F"/>
    <w:rsid w:val="00B4156F"/>
    <w:rsid w:val="00B4158D"/>
    <w:rsid w:val="00B415A1"/>
    <w:rsid w:val="00B4160D"/>
    <w:rsid w:val="00B41635"/>
    <w:rsid w:val="00B41689"/>
    <w:rsid w:val="00B416D1"/>
    <w:rsid w:val="00B416ED"/>
    <w:rsid w:val="00B4170B"/>
    <w:rsid w:val="00B41718"/>
    <w:rsid w:val="00B41771"/>
    <w:rsid w:val="00B41808"/>
    <w:rsid w:val="00B41818"/>
    <w:rsid w:val="00B4181A"/>
    <w:rsid w:val="00B41839"/>
    <w:rsid w:val="00B4183D"/>
    <w:rsid w:val="00B41849"/>
    <w:rsid w:val="00B41869"/>
    <w:rsid w:val="00B4186D"/>
    <w:rsid w:val="00B4186E"/>
    <w:rsid w:val="00B4187D"/>
    <w:rsid w:val="00B418CC"/>
    <w:rsid w:val="00B418E0"/>
    <w:rsid w:val="00B41956"/>
    <w:rsid w:val="00B41994"/>
    <w:rsid w:val="00B419C6"/>
    <w:rsid w:val="00B419CE"/>
    <w:rsid w:val="00B419D0"/>
    <w:rsid w:val="00B419EC"/>
    <w:rsid w:val="00B41A10"/>
    <w:rsid w:val="00B41A4E"/>
    <w:rsid w:val="00B41A6A"/>
    <w:rsid w:val="00B41ACD"/>
    <w:rsid w:val="00B41AE3"/>
    <w:rsid w:val="00B41B3F"/>
    <w:rsid w:val="00B41B53"/>
    <w:rsid w:val="00B41B98"/>
    <w:rsid w:val="00B41BD3"/>
    <w:rsid w:val="00B41BF6"/>
    <w:rsid w:val="00B41C0A"/>
    <w:rsid w:val="00B41C0E"/>
    <w:rsid w:val="00B41C10"/>
    <w:rsid w:val="00B41C13"/>
    <w:rsid w:val="00B41C54"/>
    <w:rsid w:val="00B41C66"/>
    <w:rsid w:val="00B41C7C"/>
    <w:rsid w:val="00B41CBB"/>
    <w:rsid w:val="00B41CF7"/>
    <w:rsid w:val="00B41CF9"/>
    <w:rsid w:val="00B41D29"/>
    <w:rsid w:val="00B41D4E"/>
    <w:rsid w:val="00B41DE6"/>
    <w:rsid w:val="00B41E0D"/>
    <w:rsid w:val="00B41E11"/>
    <w:rsid w:val="00B41E2D"/>
    <w:rsid w:val="00B41E74"/>
    <w:rsid w:val="00B41EAC"/>
    <w:rsid w:val="00B41EC2"/>
    <w:rsid w:val="00B41ED5"/>
    <w:rsid w:val="00B41EE9"/>
    <w:rsid w:val="00B41EF4"/>
    <w:rsid w:val="00B41F14"/>
    <w:rsid w:val="00B41F3D"/>
    <w:rsid w:val="00B41FDB"/>
    <w:rsid w:val="00B41FE3"/>
    <w:rsid w:val="00B4206B"/>
    <w:rsid w:val="00B420FA"/>
    <w:rsid w:val="00B42144"/>
    <w:rsid w:val="00B42159"/>
    <w:rsid w:val="00B42196"/>
    <w:rsid w:val="00B421F2"/>
    <w:rsid w:val="00B422CD"/>
    <w:rsid w:val="00B422F3"/>
    <w:rsid w:val="00B42303"/>
    <w:rsid w:val="00B42315"/>
    <w:rsid w:val="00B4234F"/>
    <w:rsid w:val="00B423AE"/>
    <w:rsid w:val="00B423DB"/>
    <w:rsid w:val="00B423DD"/>
    <w:rsid w:val="00B423E1"/>
    <w:rsid w:val="00B42412"/>
    <w:rsid w:val="00B42437"/>
    <w:rsid w:val="00B4249E"/>
    <w:rsid w:val="00B424E2"/>
    <w:rsid w:val="00B4254A"/>
    <w:rsid w:val="00B42551"/>
    <w:rsid w:val="00B4257A"/>
    <w:rsid w:val="00B42595"/>
    <w:rsid w:val="00B4260C"/>
    <w:rsid w:val="00B4263A"/>
    <w:rsid w:val="00B42686"/>
    <w:rsid w:val="00B4269C"/>
    <w:rsid w:val="00B42724"/>
    <w:rsid w:val="00B42788"/>
    <w:rsid w:val="00B42799"/>
    <w:rsid w:val="00B427DE"/>
    <w:rsid w:val="00B427E7"/>
    <w:rsid w:val="00B42819"/>
    <w:rsid w:val="00B42875"/>
    <w:rsid w:val="00B42894"/>
    <w:rsid w:val="00B428BE"/>
    <w:rsid w:val="00B428E6"/>
    <w:rsid w:val="00B4293A"/>
    <w:rsid w:val="00B42940"/>
    <w:rsid w:val="00B42979"/>
    <w:rsid w:val="00B429EB"/>
    <w:rsid w:val="00B42A04"/>
    <w:rsid w:val="00B42A56"/>
    <w:rsid w:val="00B42A6A"/>
    <w:rsid w:val="00B42A6F"/>
    <w:rsid w:val="00B42A91"/>
    <w:rsid w:val="00B42AB9"/>
    <w:rsid w:val="00B42BE4"/>
    <w:rsid w:val="00B42C2E"/>
    <w:rsid w:val="00B42C51"/>
    <w:rsid w:val="00B42C5B"/>
    <w:rsid w:val="00B42C6F"/>
    <w:rsid w:val="00B42D7C"/>
    <w:rsid w:val="00B42DC7"/>
    <w:rsid w:val="00B42E21"/>
    <w:rsid w:val="00B42E3C"/>
    <w:rsid w:val="00B42E57"/>
    <w:rsid w:val="00B42E5C"/>
    <w:rsid w:val="00B42E67"/>
    <w:rsid w:val="00B42E6A"/>
    <w:rsid w:val="00B42F37"/>
    <w:rsid w:val="00B42FF0"/>
    <w:rsid w:val="00B4305C"/>
    <w:rsid w:val="00B430C6"/>
    <w:rsid w:val="00B4314B"/>
    <w:rsid w:val="00B4314F"/>
    <w:rsid w:val="00B43150"/>
    <w:rsid w:val="00B43199"/>
    <w:rsid w:val="00B43212"/>
    <w:rsid w:val="00B43236"/>
    <w:rsid w:val="00B43263"/>
    <w:rsid w:val="00B4330F"/>
    <w:rsid w:val="00B43337"/>
    <w:rsid w:val="00B43353"/>
    <w:rsid w:val="00B4335A"/>
    <w:rsid w:val="00B43371"/>
    <w:rsid w:val="00B43381"/>
    <w:rsid w:val="00B433E5"/>
    <w:rsid w:val="00B43406"/>
    <w:rsid w:val="00B43455"/>
    <w:rsid w:val="00B43456"/>
    <w:rsid w:val="00B43467"/>
    <w:rsid w:val="00B4348C"/>
    <w:rsid w:val="00B434A8"/>
    <w:rsid w:val="00B434BE"/>
    <w:rsid w:val="00B43592"/>
    <w:rsid w:val="00B435A2"/>
    <w:rsid w:val="00B435F3"/>
    <w:rsid w:val="00B43611"/>
    <w:rsid w:val="00B43649"/>
    <w:rsid w:val="00B43669"/>
    <w:rsid w:val="00B43679"/>
    <w:rsid w:val="00B436B2"/>
    <w:rsid w:val="00B436B3"/>
    <w:rsid w:val="00B4372A"/>
    <w:rsid w:val="00B4377F"/>
    <w:rsid w:val="00B43799"/>
    <w:rsid w:val="00B437AF"/>
    <w:rsid w:val="00B43845"/>
    <w:rsid w:val="00B438B9"/>
    <w:rsid w:val="00B43910"/>
    <w:rsid w:val="00B4392C"/>
    <w:rsid w:val="00B4394F"/>
    <w:rsid w:val="00B439A9"/>
    <w:rsid w:val="00B439D6"/>
    <w:rsid w:val="00B439E7"/>
    <w:rsid w:val="00B43A36"/>
    <w:rsid w:val="00B43A9C"/>
    <w:rsid w:val="00B43ACE"/>
    <w:rsid w:val="00B43B8F"/>
    <w:rsid w:val="00B43BC6"/>
    <w:rsid w:val="00B43BDE"/>
    <w:rsid w:val="00B43C31"/>
    <w:rsid w:val="00B43C3C"/>
    <w:rsid w:val="00B43D04"/>
    <w:rsid w:val="00B43D2C"/>
    <w:rsid w:val="00B43DB4"/>
    <w:rsid w:val="00B43DDD"/>
    <w:rsid w:val="00B43DFC"/>
    <w:rsid w:val="00B43E55"/>
    <w:rsid w:val="00B43EBC"/>
    <w:rsid w:val="00B43EBE"/>
    <w:rsid w:val="00B43F35"/>
    <w:rsid w:val="00B43F3C"/>
    <w:rsid w:val="00B43F4D"/>
    <w:rsid w:val="00B43FC2"/>
    <w:rsid w:val="00B441AB"/>
    <w:rsid w:val="00B441EC"/>
    <w:rsid w:val="00B441F3"/>
    <w:rsid w:val="00B44201"/>
    <w:rsid w:val="00B44212"/>
    <w:rsid w:val="00B44271"/>
    <w:rsid w:val="00B4427F"/>
    <w:rsid w:val="00B442DB"/>
    <w:rsid w:val="00B442E8"/>
    <w:rsid w:val="00B442FD"/>
    <w:rsid w:val="00B4433E"/>
    <w:rsid w:val="00B443C2"/>
    <w:rsid w:val="00B443E2"/>
    <w:rsid w:val="00B444B8"/>
    <w:rsid w:val="00B444C4"/>
    <w:rsid w:val="00B444F5"/>
    <w:rsid w:val="00B44519"/>
    <w:rsid w:val="00B44550"/>
    <w:rsid w:val="00B4455C"/>
    <w:rsid w:val="00B44590"/>
    <w:rsid w:val="00B445B0"/>
    <w:rsid w:val="00B44610"/>
    <w:rsid w:val="00B44639"/>
    <w:rsid w:val="00B44681"/>
    <w:rsid w:val="00B446EE"/>
    <w:rsid w:val="00B44725"/>
    <w:rsid w:val="00B4478C"/>
    <w:rsid w:val="00B448B9"/>
    <w:rsid w:val="00B448F3"/>
    <w:rsid w:val="00B44A3E"/>
    <w:rsid w:val="00B44A4B"/>
    <w:rsid w:val="00B44A5E"/>
    <w:rsid w:val="00B44AC5"/>
    <w:rsid w:val="00B44B49"/>
    <w:rsid w:val="00B44BA2"/>
    <w:rsid w:val="00B44BAB"/>
    <w:rsid w:val="00B44BC3"/>
    <w:rsid w:val="00B44BCE"/>
    <w:rsid w:val="00B44BE5"/>
    <w:rsid w:val="00B44C00"/>
    <w:rsid w:val="00B44C30"/>
    <w:rsid w:val="00B44C4E"/>
    <w:rsid w:val="00B44C99"/>
    <w:rsid w:val="00B44C9F"/>
    <w:rsid w:val="00B44CD5"/>
    <w:rsid w:val="00B44CDE"/>
    <w:rsid w:val="00B44D02"/>
    <w:rsid w:val="00B44D27"/>
    <w:rsid w:val="00B44D47"/>
    <w:rsid w:val="00B44D48"/>
    <w:rsid w:val="00B44D88"/>
    <w:rsid w:val="00B44DCA"/>
    <w:rsid w:val="00B44DCD"/>
    <w:rsid w:val="00B44DF0"/>
    <w:rsid w:val="00B44E02"/>
    <w:rsid w:val="00B44E1C"/>
    <w:rsid w:val="00B44E58"/>
    <w:rsid w:val="00B44E5B"/>
    <w:rsid w:val="00B44EAC"/>
    <w:rsid w:val="00B44EF9"/>
    <w:rsid w:val="00B44F19"/>
    <w:rsid w:val="00B44F56"/>
    <w:rsid w:val="00B44F76"/>
    <w:rsid w:val="00B44F87"/>
    <w:rsid w:val="00B44FB9"/>
    <w:rsid w:val="00B44FF4"/>
    <w:rsid w:val="00B4500E"/>
    <w:rsid w:val="00B4503D"/>
    <w:rsid w:val="00B4504D"/>
    <w:rsid w:val="00B45181"/>
    <w:rsid w:val="00B451DF"/>
    <w:rsid w:val="00B451E2"/>
    <w:rsid w:val="00B4520B"/>
    <w:rsid w:val="00B45234"/>
    <w:rsid w:val="00B4527B"/>
    <w:rsid w:val="00B452E8"/>
    <w:rsid w:val="00B452EB"/>
    <w:rsid w:val="00B4535E"/>
    <w:rsid w:val="00B4537B"/>
    <w:rsid w:val="00B45392"/>
    <w:rsid w:val="00B453FF"/>
    <w:rsid w:val="00B4541C"/>
    <w:rsid w:val="00B4542A"/>
    <w:rsid w:val="00B45437"/>
    <w:rsid w:val="00B4544A"/>
    <w:rsid w:val="00B45453"/>
    <w:rsid w:val="00B45489"/>
    <w:rsid w:val="00B45551"/>
    <w:rsid w:val="00B45599"/>
    <w:rsid w:val="00B455D7"/>
    <w:rsid w:val="00B4561C"/>
    <w:rsid w:val="00B45653"/>
    <w:rsid w:val="00B4565F"/>
    <w:rsid w:val="00B456CB"/>
    <w:rsid w:val="00B456D6"/>
    <w:rsid w:val="00B456DB"/>
    <w:rsid w:val="00B456E1"/>
    <w:rsid w:val="00B456FF"/>
    <w:rsid w:val="00B4571F"/>
    <w:rsid w:val="00B45753"/>
    <w:rsid w:val="00B4578E"/>
    <w:rsid w:val="00B457CC"/>
    <w:rsid w:val="00B457FC"/>
    <w:rsid w:val="00B4583B"/>
    <w:rsid w:val="00B4585E"/>
    <w:rsid w:val="00B4586F"/>
    <w:rsid w:val="00B458EC"/>
    <w:rsid w:val="00B4590B"/>
    <w:rsid w:val="00B45946"/>
    <w:rsid w:val="00B45964"/>
    <w:rsid w:val="00B45976"/>
    <w:rsid w:val="00B4597F"/>
    <w:rsid w:val="00B45985"/>
    <w:rsid w:val="00B459E0"/>
    <w:rsid w:val="00B45A32"/>
    <w:rsid w:val="00B45A62"/>
    <w:rsid w:val="00B45A6B"/>
    <w:rsid w:val="00B45B8E"/>
    <w:rsid w:val="00B45B97"/>
    <w:rsid w:val="00B45BA4"/>
    <w:rsid w:val="00B45BC5"/>
    <w:rsid w:val="00B45C0A"/>
    <w:rsid w:val="00B45C29"/>
    <w:rsid w:val="00B45C3D"/>
    <w:rsid w:val="00B45C86"/>
    <w:rsid w:val="00B45C89"/>
    <w:rsid w:val="00B45CD7"/>
    <w:rsid w:val="00B45CF4"/>
    <w:rsid w:val="00B45DE7"/>
    <w:rsid w:val="00B45E69"/>
    <w:rsid w:val="00B45E79"/>
    <w:rsid w:val="00B45EA0"/>
    <w:rsid w:val="00B45ED0"/>
    <w:rsid w:val="00B45F1D"/>
    <w:rsid w:val="00B45F4D"/>
    <w:rsid w:val="00B45F4E"/>
    <w:rsid w:val="00B45F69"/>
    <w:rsid w:val="00B45F92"/>
    <w:rsid w:val="00B45F9A"/>
    <w:rsid w:val="00B45FA8"/>
    <w:rsid w:val="00B45FED"/>
    <w:rsid w:val="00B46033"/>
    <w:rsid w:val="00B4605E"/>
    <w:rsid w:val="00B46073"/>
    <w:rsid w:val="00B46074"/>
    <w:rsid w:val="00B46078"/>
    <w:rsid w:val="00B460AC"/>
    <w:rsid w:val="00B460AD"/>
    <w:rsid w:val="00B460D4"/>
    <w:rsid w:val="00B460DD"/>
    <w:rsid w:val="00B460EE"/>
    <w:rsid w:val="00B4611C"/>
    <w:rsid w:val="00B46171"/>
    <w:rsid w:val="00B4617D"/>
    <w:rsid w:val="00B461AC"/>
    <w:rsid w:val="00B461C3"/>
    <w:rsid w:val="00B4620B"/>
    <w:rsid w:val="00B46210"/>
    <w:rsid w:val="00B46282"/>
    <w:rsid w:val="00B4628C"/>
    <w:rsid w:val="00B462B1"/>
    <w:rsid w:val="00B463C6"/>
    <w:rsid w:val="00B46420"/>
    <w:rsid w:val="00B46444"/>
    <w:rsid w:val="00B46453"/>
    <w:rsid w:val="00B4650B"/>
    <w:rsid w:val="00B4652C"/>
    <w:rsid w:val="00B46547"/>
    <w:rsid w:val="00B465D8"/>
    <w:rsid w:val="00B46677"/>
    <w:rsid w:val="00B46688"/>
    <w:rsid w:val="00B466E3"/>
    <w:rsid w:val="00B4673A"/>
    <w:rsid w:val="00B46773"/>
    <w:rsid w:val="00B467B2"/>
    <w:rsid w:val="00B467EF"/>
    <w:rsid w:val="00B467F4"/>
    <w:rsid w:val="00B467FD"/>
    <w:rsid w:val="00B4684C"/>
    <w:rsid w:val="00B468A8"/>
    <w:rsid w:val="00B468AA"/>
    <w:rsid w:val="00B46973"/>
    <w:rsid w:val="00B46981"/>
    <w:rsid w:val="00B469F3"/>
    <w:rsid w:val="00B46A24"/>
    <w:rsid w:val="00B46A66"/>
    <w:rsid w:val="00B46A83"/>
    <w:rsid w:val="00B46A8F"/>
    <w:rsid w:val="00B46AA6"/>
    <w:rsid w:val="00B46B62"/>
    <w:rsid w:val="00B46B64"/>
    <w:rsid w:val="00B46B78"/>
    <w:rsid w:val="00B46B7F"/>
    <w:rsid w:val="00B46BA5"/>
    <w:rsid w:val="00B46BF7"/>
    <w:rsid w:val="00B46C32"/>
    <w:rsid w:val="00B46C59"/>
    <w:rsid w:val="00B46C61"/>
    <w:rsid w:val="00B46CA6"/>
    <w:rsid w:val="00B46CB8"/>
    <w:rsid w:val="00B46CD1"/>
    <w:rsid w:val="00B46CE4"/>
    <w:rsid w:val="00B46CEB"/>
    <w:rsid w:val="00B46D2C"/>
    <w:rsid w:val="00B46D37"/>
    <w:rsid w:val="00B46D75"/>
    <w:rsid w:val="00B46DAD"/>
    <w:rsid w:val="00B46DCA"/>
    <w:rsid w:val="00B46E14"/>
    <w:rsid w:val="00B46E19"/>
    <w:rsid w:val="00B46F0F"/>
    <w:rsid w:val="00B46FB0"/>
    <w:rsid w:val="00B46FD3"/>
    <w:rsid w:val="00B46FF4"/>
    <w:rsid w:val="00B46FFC"/>
    <w:rsid w:val="00B4702B"/>
    <w:rsid w:val="00B47054"/>
    <w:rsid w:val="00B4705B"/>
    <w:rsid w:val="00B47080"/>
    <w:rsid w:val="00B470B6"/>
    <w:rsid w:val="00B470FF"/>
    <w:rsid w:val="00B4710E"/>
    <w:rsid w:val="00B47110"/>
    <w:rsid w:val="00B47147"/>
    <w:rsid w:val="00B47237"/>
    <w:rsid w:val="00B47279"/>
    <w:rsid w:val="00B4729B"/>
    <w:rsid w:val="00B472AB"/>
    <w:rsid w:val="00B472E8"/>
    <w:rsid w:val="00B4731B"/>
    <w:rsid w:val="00B4731C"/>
    <w:rsid w:val="00B4731D"/>
    <w:rsid w:val="00B47336"/>
    <w:rsid w:val="00B4733A"/>
    <w:rsid w:val="00B47368"/>
    <w:rsid w:val="00B47390"/>
    <w:rsid w:val="00B473B8"/>
    <w:rsid w:val="00B473DD"/>
    <w:rsid w:val="00B473EF"/>
    <w:rsid w:val="00B47438"/>
    <w:rsid w:val="00B47441"/>
    <w:rsid w:val="00B47467"/>
    <w:rsid w:val="00B47478"/>
    <w:rsid w:val="00B47491"/>
    <w:rsid w:val="00B47534"/>
    <w:rsid w:val="00B475B0"/>
    <w:rsid w:val="00B475C2"/>
    <w:rsid w:val="00B475CE"/>
    <w:rsid w:val="00B475CF"/>
    <w:rsid w:val="00B475D9"/>
    <w:rsid w:val="00B475F3"/>
    <w:rsid w:val="00B47621"/>
    <w:rsid w:val="00B4766E"/>
    <w:rsid w:val="00B47680"/>
    <w:rsid w:val="00B476BA"/>
    <w:rsid w:val="00B476E2"/>
    <w:rsid w:val="00B476F9"/>
    <w:rsid w:val="00B476FC"/>
    <w:rsid w:val="00B4771F"/>
    <w:rsid w:val="00B47726"/>
    <w:rsid w:val="00B47729"/>
    <w:rsid w:val="00B47742"/>
    <w:rsid w:val="00B47763"/>
    <w:rsid w:val="00B477A1"/>
    <w:rsid w:val="00B477C0"/>
    <w:rsid w:val="00B477E4"/>
    <w:rsid w:val="00B477F4"/>
    <w:rsid w:val="00B477FB"/>
    <w:rsid w:val="00B47820"/>
    <w:rsid w:val="00B4786C"/>
    <w:rsid w:val="00B47889"/>
    <w:rsid w:val="00B47893"/>
    <w:rsid w:val="00B4789F"/>
    <w:rsid w:val="00B478CC"/>
    <w:rsid w:val="00B47924"/>
    <w:rsid w:val="00B47954"/>
    <w:rsid w:val="00B47966"/>
    <w:rsid w:val="00B47A77"/>
    <w:rsid w:val="00B47AC6"/>
    <w:rsid w:val="00B47AD3"/>
    <w:rsid w:val="00B47B42"/>
    <w:rsid w:val="00B47BCF"/>
    <w:rsid w:val="00B47BF7"/>
    <w:rsid w:val="00B47C2C"/>
    <w:rsid w:val="00B47C9B"/>
    <w:rsid w:val="00B47CE8"/>
    <w:rsid w:val="00B47CEA"/>
    <w:rsid w:val="00B47CF8"/>
    <w:rsid w:val="00B47D0E"/>
    <w:rsid w:val="00B47D22"/>
    <w:rsid w:val="00B47D47"/>
    <w:rsid w:val="00B47D4E"/>
    <w:rsid w:val="00B47DC1"/>
    <w:rsid w:val="00B47DCD"/>
    <w:rsid w:val="00B47DD4"/>
    <w:rsid w:val="00B47E1D"/>
    <w:rsid w:val="00B47E4C"/>
    <w:rsid w:val="00B47E99"/>
    <w:rsid w:val="00B47F69"/>
    <w:rsid w:val="00B47F7C"/>
    <w:rsid w:val="00B47FCA"/>
    <w:rsid w:val="00B47FF7"/>
    <w:rsid w:val="00B5000C"/>
    <w:rsid w:val="00B50012"/>
    <w:rsid w:val="00B50055"/>
    <w:rsid w:val="00B5007E"/>
    <w:rsid w:val="00B50093"/>
    <w:rsid w:val="00B5009B"/>
    <w:rsid w:val="00B5009F"/>
    <w:rsid w:val="00B5019A"/>
    <w:rsid w:val="00B501B6"/>
    <w:rsid w:val="00B501FB"/>
    <w:rsid w:val="00B5023D"/>
    <w:rsid w:val="00B5024E"/>
    <w:rsid w:val="00B5026F"/>
    <w:rsid w:val="00B502A5"/>
    <w:rsid w:val="00B502E3"/>
    <w:rsid w:val="00B50390"/>
    <w:rsid w:val="00B50517"/>
    <w:rsid w:val="00B50573"/>
    <w:rsid w:val="00B50579"/>
    <w:rsid w:val="00B5058D"/>
    <w:rsid w:val="00B50590"/>
    <w:rsid w:val="00B505B3"/>
    <w:rsid w:val="00B505FD"/>
    <w:rsid w:val="00B50644"/>
    <w:rsid w:val="00B5066A"/>
    <w:rsid w:val="00B5068F"/>
    <w:rsid w:val="00B50693"/>
    <w:rsid w:val="00B50698"/>
    <w:rsid w:val="00B506B1"/>
    <w:rsid w:val="00B506DF"/>
    <w:rsid w:val="00B5077E"/>
    <w:rsid w:val="00B50798"/>
    <w:rsid w:val="00B507BE"/>
    <w:rsid w:val="00B507EF"/>
    <w:rsid w:val="00B508DE"/>
    <w:rsid w:val="00B508FD"/>
    <w:rsid w:val="00B5091B"/>
    <w:rsid w:val="00B5093B"/>
    <w:rsid w:val="00B50942"/>
    <w:rsid w:val="00B5098B"/>
    <w:rsid w:val="00B509D1"/>
    <w:rsid w:val="00B509FA"/>
    <w:rsid w:val="00B50A21"/>
    <w:rsid w:val="00B50A65"/>
    <w:rsid w:val="00B50A67"/>
    <w:rsid w:val="00B50ACC"/>
    <w:rsid w:val="00B50AE2"/>
    <w:rsid w:val="00B50BA2"/>
    <w:rsid w:val="00B50BB4"/>
    <w:rsid w:val="00B50BB5"/>
    <w:rsid w:val="00B50BD2"/>
    <w:rsid w:val="00B50C4E"/>
    <w:rsid w:val="00B50C50"/>
    <w:rsid w:val="00B50C69"/>
    <w:rsid w:val="00B50C79"/>
    <w:rsid w:val="00B50CAC"/>
    <w:rsid w:val="00B50CCF"/>
    <w:rsid w:val="00B50CFD"/>
    <w:rsid w:val="00B50D0E"/>
    <w:rsid w:val="00B50D49"/>
    <w:rsid w:val="00B50D5F"/>
    <w:rsid w:val="00B50D76"/>
    <w:rsid w:val="00B50D97"/>
    <w:rsid w:val="00B50DA7"/>
    <w:rsid w:val="00B50DC6"/>
    <w:rsid w:val="00B50E77"/>
    <w:rsid w:val="00B50EA4"/>
    <w:rsid w:val="00B50EE1"/>
    <w:rsid w:val="00B50F04"/>
    <w:rsid w:val="00B50F4A"/>
    <w:rsid w:val="00B50FB4"/>
    <w:rsid w:val="00B50FBC"/>
    <w:rsid w:val="00B50FD0"/>
    <w:rsid w:val="00B50FE2"/>
    <w:rsid w:val="00B50FEF"/>
    <w:rsid w:val="00B51049"/>
    <w:rsid w:val="00B5106A"/>
    <w:rsid w:val="00B51071"/>
    <w:rsid w:val="00B51086"/>
    <w:rsid w:val="00B5113C"/>
    <w:rsid w:val="00B51187"/>
    <w:rsid w:val="00B5118A"/>
    <w:rsid w:val="00B511FF"/>
    <w:rsid w:val="00B51210"/>
    <w:rsid w:val="00B512AB"/>
    <w:rsid w:val="00B512AC"/>
    <w:rsid w:val="00B512E3"/>
    <w:rsid w:val="00B512E9"/>
    <w:rsid w:val="00B5131B"/>
    <w:rsid w:val="00B51345"/>
    <w:rsid w:val="00B51380"/>
    <w:rsid w:val="00B51416"/>
    <w:rsid w:val="00B514A6"/>
    <w:rsid w:val="00B514AE"/>
    <w:rsid w:val="00B51522"/>
    <w:rsid w:val="00B51529"/>
    <w:rsid w:val="00B5154F"/>
    <w:rsid w:val="00B5155C"/>
    <w:rsid w:val="00B515DE"/>
    <w:rsid w:val="00B515E7"/>
    <w:rsid w:val="00B51643"/>
    <w:rsid w:val="00B516BF"/>
    <w:rsid w:val="00B516C6"/>
    <w:rsid w:val="00B51720"/>
    <w:rsid w:val="00B51757"/>
    <w:rsid w:val="00B517BB"/>
    <w:rsid w:val="00B517C8"/>
    <w:rsid w:val="00B517D7"/>
    <w:rsid w:val="00B517F4"/>
    <w:rsid w:val="00B51806"/>
    <w:rsid w:val="00B51833"/>
    <w:rsid w:val="00B518A3"/>
    <w:rsid w:val="00B518D3"/>
    <w:rsid w:val="00B5190A"/>
    <w:rsid w:val="00B5192E"/>
    <w:rsid w:val="00B51946"/>
    <w:rsid w:val="00B519C2"/>
    <w:rsid w:val="00B519CD"/>
    <w:rsid w:val="00B519F2"/>
    <w:rsid w:val="00B51A04"/>
    <w:rsid w:val="00B51A21"/>
    <w:rsid w:val="00B51A25"/>
    <w:rsid w:val="00B51A50"/>
    <w:rsid w:val="00B51A84"/>
    <w:rsid w:val="00B51AA0"/>
    <w:rsid w:val="00B51AD1"/>
    <w:rsid w:val="00B51AE0"/>
    <w:rsid w:val="00B51AE3"/>
    <w:rsid w:val="00B51AFF"/>
    <w:rsid w:val="00B51B35"/>
    <w:rsid w:val="00B51B89"/>
    <w:rsid w:val="00B51BFF"/>
    <w:rsid w:val="00B51C83"/>
    <w:rsid w:val="00B51CB4"/>
    <w:rsid w:val="00B51CBE"/>
    <w:rsid w:val="00B51D05"/>
    <w:rsid w:val="00B51D8B"/>
    <w:rsid w:val="00B51DEC"/>
    <w:rsid w:val="00B51DFC"/>
    <w:rsid w:val="00B51E2D"/>
    <w:rsid w:val="00B51F0C"/>
    <w:rsid w:val="00B51F2C"/>
    <w:rsid w:val="00B51F5A"/>
    <w:rsid w:val="00B51F63"/>
    <w:rsid w:val="00B51FFD"/>
    <w:rsid w:val="00B5206D"/>
    <w:rsid w:val="00B52091"/>
    <w:rsid w:val="00B520E6"/>
    <w:rsid w:val="00B52105"/>
    <w:rsid w:val="00B5210D"/>
    <w:rsid w:val="00B52163"/>
    <w:rsid w:val="00B52183"/>
    <w:rsid w:val="00B521A2"/>
    <w:rsid w:val="00B521B6"/>
    <w:rsid w:val="00B521BA"/>
    <w:rsid w:val="00B521DF"/>
    <w:rsid w:val="00B521EB"/>
    <w:rsid w:val="00B522A8"/>
    <w:rsid w:val="00B522B2"/>
    <w:rsid w:val="00B52327"/>
    <w:rsid w:val="00B52376"/>
    <w:rsid w:val="00B523DB"/>
    <w:rsid w:val="00B5242F"/>
    <w:rsid w:val="00B52433"/>
    <w:rsid w:val="00B52442"/>
    <w:rsid w:val="00B52491"/>
    <w:rsid w:val="00B5249D"/>
    <w:rsid w:val="00B52592"/>
    <w:rsid w:val="00B525AA"/>
    <w:rsid w:val="00B525BF"/>
    <w:rsid w:val="00B52653"/>
    <w:rsid w:val="00B52694"/>
    <w:rsid w:val="00B526AA"/>
    <w:rsid w:val="00B52711"/>
    <w:rsid w:val="00B52719"/>
    <w:rsid w:val="00B5272F"/>
    <w:rsid w:val="00B52791"/>
    <w:rsid w:val="00B527AC"/>
    <w:rsid w:val="00B527F0"/>
    <w:rsid w:val="00B52805"/>
    <w:rsid w:val="00B5280E"/>
    <w:rsid w:val="00B52844"/>
    <w:rsid w:val="00B52865"/>
    <w:rsid w:val="00B5286A"/>
    <w:rsid w:val="00B5287D"/>
    <w:rsid w:val="00B528BA"/>
    <w:rsid w:val="00B528CA"/>
    <w:rsid w:val="00B5292F"/>
    <w:rsid w:val="00B52945"/>
    <w:rsid w:val="00B529FA"/>
    <w:rsid w:val="00B52A57"/>
    <w:rsid w:val="00B52AE4"/>
    <w:rsid w:val="00B52B24"/>
    <w:rsid w:val="00B52B26"/>
    <w:rsid w:val="00B52B49"/>
    <w:rsid w:val="00B52B98"/>
    <w:rsid w:val="00B52C64"/>
    <w:rsid w:val="00B52C7E"/>
    <w:rsid w:val="00B52C8B"/>
    <w:rsid w:val="00B52C92"/>
    <w:rsid w:val="00B52CD1"/>
    <w:rsid w:val="00B52D0E"/>
    <w:rsid w:val="00B52D23"/>
    <w:rsid w:val="00B52D36"/>
    <w:rsid w:val="00B52DC8"/>
    <w:rsid w:val="00B52DE4"/>
    <w:rsid w:val="00B52E26"/>
    <w:rsid w:val="00B52E4A"/>
    <w:rsid w:val="00B52E6E"/>
    <w:rsid w:val="00B52EBD"/>
    <w:rsid w:val="00B52EDE"/>
    <w:rsid w:val="00B52EE4"/>
    <w:rsid w:val="00B52F17"/>
    <w:rsid w:val="00B52F51"/>
    <w:rsid w:val="00B52F88"/>
    <w:rsid w:val="00B52FEB"/>
    <w:rsid w:val="00B52FF6"/>
    <w:rsid w:val="00B5303B"/>
    <w:rsid w:val="00B53086"/>
    <w:rsid w:val="00B530D9"/>
    <w:rsid w:val="00B530EA"/>
    <w:rsid w:val="00B53126"/>
    <w:rsid w:val="00B5315F"/>
    <w:rsid w:val="00B531DA"/>
    <w:rsid w:val="00B531F4"/>
    <w:rsid w:val="00B5326A"/>
    <w:rsid w:val="00B53284"/>
    <w:rsid w:val="00B532BD"/>
    <w:rsid w:val="00B532EF"/>
    <w:rsid w:val="00B532FD"/>
    <w:rsid w:val="00B53394"/>
    <w:rsid w:val="00B53397"/>
    <w:rsid w:val="00B533A4"/>
    <w:rsid w:val="00B533E8"/>
    <w:rsid w:val="00B53466"/>
    <w:rsid w:val="00B534EE"/>
    <w:rsid w:val="00B5356F"/>
    <w:rsid w:val="00B53575"/>
    <w:rsid w:val="00B53583"/>
    <w:rsid w:val="00B5363A"/>
    <w:rsid w:val="00B53693"/>
    <w:rsid w:val="00B536A4"/>
    <w:rsid w:val="00B536D0"/>
    <w:rsid w:val="00B536E8"/>
    <w:rsid w:val="00B53726"/>
    <w:rsid w:val="00B5373B"/>
    <w:rsid w:val="00B5379B"/>
    <w:rsid w:val="00B537DC"/>
    <w:rsid w:val="00B537F6"/>
    <w:rsid w:val="00B537FE"/>
    <w:rsid w:val="00B5391F"/>
    <w:rsid w:val="00B53948"/>
    <w:rsid w:val="00B539C3"/>
    <w:rsid w:val="00B53A08"/>
    <w:rsid w:val="00B53A1F"/>
    <w:rsid w:val="00B53A71"/>
    <w:rsid w:val="00B53ACF"/>
    <w:rsid w:val="00B53AD0"/>
    <w:rsid w:val="00B53BA0"/>
    <w:rsid w:val="00B53C37"/>
    <w:rsid w:val="00B53C42"/>
    <w:rsid w:val="00B53C45"/>
    <w:rsid w:val="00B53C47"/>
    <w:rsid w:val="00B53C69"/>
    <w:rsid w:val="00B53C6D"/>
    <w:rsid w:val="00B53C88"/>
    <w:rsid w:val="00B53C97"/>
    <w:rsid w:val="00B53C9D"/>
    <w:rsid w:val="00B53CA6"/>
    <w:rsid w:val="00B53CAD"/>
    <w:rsid w:val="00B53CCB"/>
    <w:rsid w:val="00B53DC2"/>
    <w:rsid w:val="00B53E15"/>
    <w:rsid w:val="00B53E20"/>
    <w:rsid w:val="00B53E5E"/>
    <w:rsid w:val="00B53E8A"/>
    <w:rsid w:val="00B53E97"/>
    <w:rsid w:val="00B53F81"/>
    <w:rsid w:val="00B53F9D"/>
    <w:rsid w:val="00B53FA0"/>
    <w:rsid w:val="00B53FAA"/>
    <w:rsid w:val="00B53FFF"/>
    <w:rsid w:val="00B54077"/>
    <w:rsid w:val="00B54078"/>
    <w:rsid w:val="00B54096"/>
    <w:rsid w:val="00B540A2"/>
    <w:rsid w:val="00B540EF"/>
    <w:rsid w:val="00B54131"/>
    <w:rsid w:val="00B54185"/>
    <w:rsid w:val="00B54196"/>
    <w:rsid w:val="00B541B4"/>
    <w:rsid w:val="00B54227"/>
    <w:rsid w:val="00B54232"/>
    <w:rsid w:val="00B5425D"/>
    <w:rsid w:val="00B5426F"/>
    <w:rsid w:val="00B542B6"/>
    <w:rsid w:val="00B543AE"/>
    <w:rsid w:val="00B543DC"/>
    <w:rsid w:val="00B54401"/>
    <w:rsid w:val="00B5442C"/>
    <w:rsid w:val="00B544B7"/>
    <w:rsid w:val="00B544DD"/>
    <w:rsid w:val="00B54521"/>
    <w:rsid w:val="00B54523"/>
    <w:rsid w:val="00B5453C"/>
    <w:rsid w:val="00B5454B"/>
    <w:rsid w:val="00B54552"/>
    <w:rsid w:val="00B54567"/>
    <w:rsid w:val="00B5456B"/>
    <w:rsid w:val="00B54594"/>
    <w:rsid w:val="00B5464C"/>
    <w:rsid w:val="00B546AC"/>
    <w:rsid w:val="00B546C6"/>
    <w:rsid w:val="00B546C8"/>
    <w:rsid w:val="00B547C1"/>
    <w:rsid w:val="00B547D9"/>
    <w:rsid w:val="00B54810"/>
    <w:rsid w:val="00B54899"/>
    <w:rsid w:val="00B548C6"/>
    <w:rsid w:val="00B548DA"/>
    <w:rsid w:val="00B548F6"/>
    <w:rsid w:val="00B549DF"/>
    <w:rsid w:val="00B549FC"/>
    <w:rsid w:val="00B54A58"/>
    <w:rsid w:val="00B54A80"/>
    <w:rsid w:val="00B54A9F"/>
    <w:rsid w:val="00B54AA1"/>
    <w:rsid w:val="00B54AB8"/>
    <w:rsid w:val="00B54ABA"/>
    <w:rsid w:val="00B54B0A"/>
    <w:rsid w:val="00B54B8C"/>
    <w:rsid w:val="00B54BE0"/>
    <w:rsid w:val="00B54C03"/>
    <w:rsid w:val="00B54C1F"/>
    <w:rsid w:val="00B54C2A"/>
    <w:rsid w:val="00B54C65"/>
    <w:rsid w:val="00B54C75"/>
    <w:rsid w:val="00B54CE4"/>
    <w:rsid w:val="00B54D10"/>
    <w:rsid w:val="00B54D3E"/>
    <w:rsid w:val="00B54D67"/>
    <w:rsid w:val="00B54D9B"/>
    <w:rsid w:val="00B54DF2"/>
    <w:rsid w:val="00B54E18"/>
    <w:rsid w:val="00B54E41"/>
    <w:rsid w:val="00B54E5A"/>
    <w:rsid w:val="00B54E6F"/>
    <w:rsid w:val="00B54EBA"/>
    <w:rsid w:val="00B54EC4"/>
    <w:rsid w:val="00B54ED4"/>
    <w:rsid w:val="00B54EE2"/>
    <w:rsid w:val="00B54F01"/>
    <w:rsid w:val="00B54F9E"/>
    <w:rsid w:val="00B54FFC"/>
    <w:rsid w:val="00B55004"/>
    <w:rsid w:val="00B550C7"/>
    <w:rsid w:val="00B550EE"/>
    <w:rsid w:val="00B55142"/>
    <w:rsid w:val="00B5518C"/>
    <w:rsid w:val="00B55194"/>
    <w:rsid w:val="00B551F4"/>
    <w:rsid w:val="00B551FC"/>
    <w:rsid w:val="00B55232"/>
    <w:rsid w:val="00B5526E"/>
    <w:rsid w:val="00B5528D"/>
    <w:rsid w:val="00B552C2"/>
    <w:rsid w:val="00B552F2"/>
    <w:rsid w:val="00B552F8"/>
    <w:rsid w:val="00B5533C"/>
    <w:rsid w:val="00B5534F"/>
    <w:rsid w:val="00B5538C"/>
    <w:rsid w:val="00B553B5"/>
    <w:rsid w:val="00B553EB"/>
    <w:rsid w:val="00B55432"/>
    <w:rsid w:val="00B554C5"/>
    <w:rsid w:val="00B55564"/>
    <w:rsid w:val="00B55583"/>
    <w:rsid w:val="00B5558B"/>
    <w:rsid w:val="00B55616"/>
    <w:rsid w:val="00B5565C"/>
    <w:rsid w:val="00B5567A"/>
    <w:rsid w:val="00B556AE"/>
    <w:rsid w:val="00B556D2"/>
    <w:rsid w:val="00B5573F"/>
    <w:rsid w:val="00B55750"/>
    <w:rsid w:val="00B55766"/>
    <w:rsid w:val="00B55805"/>
    <w:rsid w:val="00B558E1"/>
    <w:rsid w:val="00B558F2"/>
    <w:rsid w:val="00B559DB"/>
    <w:rsid w:val="00B55A4D"/>
    <w:rsid w:val="00B55A57"/>
    <w:rsid w:val="00B55A62"/>
    <w:rsid w:val="00B55B2D"/>
    <w:rsid w:val="00B55B58"/>
    <w:rsid w:val="00B55B76"/>
    <w:rsid w:val="00B55BB6"/>
    <w:rsid w:val="00B55BBF"/>
    <w:rsid w:val="00B55C04"/>
    <w:rsid w:val="00B55C10"/>
    <w:rsid w:val="00B55C2C"/>
    <w:rsid w:val="00B55C5C"/>
    <w:rsid w:val="00B55C84"/>
    <w:rsid w:val="00B55CA6"/>
    <w:rsid w:val="00B55CB8"/>
    <w:rsid w:val="00B55CC9"/>
    <w:rsid w:val="00B55CD5"/>
    <w:rsid w:val="00B55CFB"/>
    <w:rsid w:val="00B55D07"/>
    <w:rsid w:val="00B55D28"/>
    <w:rsid w:val="00B55D53"/>
    <w:rsid w:val="00B55D54"/>
    <w:rsid w:val="00B55D63"/>
    <w:rsid w:val="00B55D6A"/>
    <w:rsid w:val="00B55D73"/>
    <w:rsid w:val="00B55DA2"/>
    <w:rsid w:val="00B55DB2"/>
    <w:rsid w:val="00B55E4B"/>
    <w:rsid w:val="00B55E8C"/>
    <w:rsid w:val="00B55E98"/>
    <w:rsid w:val="00B55EDD"/>
    <w:rsid w:val="00B55F6D"/>
    <w:rsid w:val="00B55F8C"/>
    <w:rsid w:val="00B55F8E"/>
    <w:rsid w:val="00B56031"/>
    <w:rsid w:val="00B5607B"/>
    <w:rsid w:val="00B5608F"/>
    <w:rsid w:val="00B560DC"/>
    <w:rsid w:val="00B56120"/>
    <w:rsid w:val="00B5619B"/>
    <w:rsid w:val="00B561AC"/>
    <w:rsid w:val="00B561B8"/>
    <w:rsid w:val="00B56261"/>
    <w:rsid w:val="00B5628A"/>
    <w:rsid w:val="00B562A8"/>
    <w:rsid w:val="00B562B3"/>
    <w:rsid w:val="00B56303"/>
    <w:rsid w:val="00B5635D"/>
    <w:rsid w:val="00B5637D"/>
    <w:rsid w:val="00B563B8"/>
    <w:rsid w:val="00B563D9"/>
    <w:rsid w:val="00B56424"/>
    <w:rsid w:val="00B5643B"/>
    <w:rsid w:val="00B564AA"/>
    <w:rsid w:val="00B564FF"/>
    <w:rsid w:val="00B56509"/>
    <w:rsid w:val="00B5652A"/>
    <w:rsid w:val="00B56542"/>
    <w:rsid w:val="00B5658F"/>
    <w:rsid w:val="00B56596"/>
    <w:rsid w:val="00B565C0"/>
    <w:rsid w:val="00B565CE"/>
    <w:rsid w:val="00B565E9"/>
    <w:rsid w:val="00B565F2"/>
    <w:rsid w:val="00B565F5"/>
    <w:rsid w:val="00B5662A"/>
    <w:rsid w:val="00B56682"/>
    <w:rsid w:val="00B566CC"/>
    <w:rsid w:val="00B5672B"/>
    <w:rsid w:val="00B5674E"/>
    <w:rsid w:val="00B56786"/>
    <w:rsid w:val="00B5678B"/>
    <w:rsid w:val="00B56835"/>
    <w:rsid w:val="00B5686F"/>
    <w:rsid w:val="00B5688C"/>
    <w:rsid w:val="00B568CA"/>
    <w:rsid w:val="00B56A29"/>
    <w:rsid w:val="00B56A47"/>
    <w:rsid w:val="00B56AEA"/>
    <w:rsid w:val="00B56B1C"/>
    <w:rsid w:val="00B56B3F"/>
    <w:rsid w:val="00B56BCD"/>
    <w:rsid w:val="00B56BF6"/>
    <w:rsid w:val="00B56C1D"/>
    <w:rsid w:val="00B56C2B"/>
    <w:rsid w:val="00B56C40"/>
    <w:rsid w:val="00B56C97"/>
    <w:rsid w:val="00B56CCD"/>
    <w:rsid w:val="00B56CEF"/>
    <w:rsid w:val="00B56D67"/>
    <w:rsid w:val="00B56D7B"/>
    <w:rsid w:val="00B56D89"/>
    <w:rsid w:val="00B56D91"/>
    <w:rsid w:val="00B56D98"/>
    <w:rsid w:val="00B56DD5"/>
    <w:rsid w:val="00B56E00"/>
    <w:rsid w:val="00B56EF5"/>
    <w:rsid w:val="00B56F45"/>
    <w:rsid w:val="00B56F7C"/>
    <w:rsid w:val="00B56FA1"/>
    <w:rsid w:val="00B56FA6"/>
    <w:rsid w:val="00B56FA7"/>
    <w:rsid w:val="00B56FC4"/>
    <w:rsid w:val="00B56FDF"/>
    <w:rsid w:val="00B5705F"/>
    <w:rsid w:val="00B57066"/>
    <w:rsid w:val="00B57093"/>
    <w:rsid w:val="00B570E1"/>
    <w:rsid w:val="00B5710C"/>
    <w:rsid w:val="00B57144"/>
    <w:rsid w:val="00B5716D"/>
    <w:rsid w:val="00B571C5"/>
    <w:rsid w:val="00B57234"/>
    <w:rsid w:val="00B5729F"/>
    <w:rsid w:val="00B572AA"/>
    <w:rsid w:val="00B57386"/>
    <w:rsid w:val="00B573D4"/>
    <w:rsid w:val="00B573F5"/>
    <w:rsid w:val="00B573F9"/>
    <w:rsid w:val="00B57413"/>
    <w:rsid w:val="00B57416"/>
    <w:rsid w:val="00B57459"/>
    <w:rsid w:val="00B57461"/>
    <w:rsid w:val="00B574C2"/>
    <w:rsid w:val="00B574E0"/>
    <w:rsid w:val="00B57525"/>
    <w:rsid w:val="00B5752B"/>
    <w:rsid w:val="00B5755D"/>
    <w:rsid w:val="00B57576"/>
    <w:rsid w:val="00B57580"/>
    <w:rsid w:val="00B57583"/>
    <w:rsid w:val="00B5759A"/>
    <w:rsid w:val="00B575EC"/>
    <w:rsid w:val="00B5760B"/>
    <w:rsid w:val="00B57634"/>
    <w:rsid w:val="00B5763E"/>
    <w:rsid w:val="00B57690"/>
    <w:rsid w:val="00B576B1"/>
    <w:rsid w:val="00B576E9"/>
    <w:rsid w:val="00B57729"/>
    <w:rsid w:val="00B5778B"/>
    <w:rsid w:val="00B57797"/>
    <w:rsid w:val="00B577C8"/>
    <w:rsid w:val="00B5781E"/>
    <w:rsid w:val="00B5786D"/>
    <w:rsid w:val="00B57875"/>
    <w:rsid w:val="00B57898"/>
    <w:rsid w:val="00B578AF"/>
    <w:rsid w:val="00B578BB"/>
    <w:rsid w:val="00B578D0"/>
    <w:rsid w:val="00B578E5"/>
    <w:rsid w:val="00B578E9"/>
    <w:rsid w:val="00B57916"/>
    <w:rsid w:val="00B57917"/>
    <w:rsid w:val="00B5791A"/>
    <w:rsid w:val="00B5791F"/>
    <w:rsid w:val="00B5793B"/>
    <w:rsid w:val="00B5795E"/>
    <w:rsid w:val="00B579C4"/>
    <w:rsid w:val="00B579D3"/>
    <w:rsid w:val="00B579D6"/>
    <w:rsid w:val="00B579F3"/>
    <w:rsid w:val="00B57A18"/>
    <w:rsid w:val="00B57ABA"/>
    <w:rsid w:val="00B57AC1"/>
    <w:rsid w:val="00B57B54"/>
    <w:rsid w:val="00B57B71"/>
    <w:rsid w:val="00B57B94"/>
    <w:rsid w:val="00B57B95"/>
    <w:rsid w:val="00B57BB5"/>
    <w:rsid w:val="00B57BEE"/>
    <w:rsid w:val="00B57C42"/>
    <w:rsid w:val="00B57C87"/>
    <w:rsid w:val="00B57C96"/>
    <w:rsid w:val="00B57CD6"/>
    <w:rsid w:val="00B57D8C"/>
    <w:rsid w:val="00B57E1B"/>
    <w:rsid w:val="00B57E89"/>
    <w:rsid w:val="00B57EC6"/>
    <w:rsid w:val="00B57F0B"/>
    <w:rsid w:val="00B57F3C"/>
    <w:rsid w:val="00B57F43"/>
    <w:rsid w:val="00B57FB2"/>
    <w:rsid w:val="00B6001A"/>
    <w:rsid w:val="00B60034"/>
    <w:rsid w:val="00B6003C"/>
    <w:rsid w:val="00B60061"/>
    <w:rsid w:val="00B600AB"/>
    <w:rsid w:val="00B600C3"/>
    <w:rsid w:val="00B600D1"/>
    <w:rsid w:val="00B60245"/>
    <w:rsid w:val="00B6028E"/>
    <w:rsid w:val="00B60299"/>
    <w:rsid w:val="00B602BF"/>
    <w:rsid w:val="00B60348"/>
    <w:rsid w:val="00B60383"/>
    <w:rsid w:val="00B603B2"/>
    <w:rsid w:val="00B603C7"/>
    <w:rsid w:val="00B604C8"/>
    <w:rsid w:val="00B6053F"/>
    <w:rsid w:val="00B6054D"/>
    <w:rsid w:val="00B60580"/>
    <w:rsid w:val="00B60591"/>
    <w:rsid w:val="00B605AD"/>
    <w:rsid w:val="00B605EB"/>
    <w:rsid w:val="00B60664"/>
    <w:rsid w:val="00B606A5"/>
    <w:rsid w:val="00B6072E"/>
    <w:rsid w:val="00B6078A"/>
    <w:rsid w:val="00B607DF"/>
    <w:rsid w:val="00B60838"/>
    <w:rsid w:val="00B60844"/>
    <w:rsid w:val="00B60874"/>
    <w:rsid w:val="00B60878"/>
    <w:rsid w:val="00B608CC"/>
    <w:rsid w:val="00B6090E"/>
    <w:rsid w:val="00B6093B"/>
    <w:rsid w:val="00B60958"/>
    <w:rsid w:val="00B60997"/>
    <w:rsid w:val="00B609CC"/>
    <w:rsid w:val="00B609EF"/>
    <w:rsid w:val="00B60A36"/>
    <w:rsid w:val="00B60ADF"/>
    <w:rsid w:val="00B60B03"/>
    <w:rsid w:val="00B60B4A"/>
    <w:rsid w:val="00B60B6C"/>
    <w:rsid w:val="00B60B6D"/>
    <w:rsid w:val="00B60C28"/>
    <w:rsid w:val="00B60C58"/>
    <w:rsid w:val="00B60C5A"/>
    <w:rsid w:val="00B60C5D"/>
    <w:rsid w:val="00B60C85"/>
    <w:rsid w:val="00B60C86"/>
    <w:rsid w:val="00B60CA2"/>
    <w:rsid w:val="00B60D19"/>
    <w:rsid w:val="00B60D24"/>
    <w:rsid w:val="00B60D3C"/>
    <w:rsid w:val="00B60D49"/>
    <w:rsid w:val="00B60D94"/>
    <w:rsid w:val="00B60D9F"/>
    <w:rsid w:val="00B60E08"/>
    <w:rsid w:val="00B60E44"/>
    <w:rsid w:val="00B60E83"/>
    <w:rsid w:val="00B60EC3"/>
    <w:rsid w:val="00B60F1D"/>
    <w:rsid w:val="00B60F57"/>
    <w:rsid w:val="00B60FE8"/>
    <w:rsid w:val="00B61146"/>
    <w:rsid w:val="00B61187"/>
    <w:rsid w:val="00B6118B"/>
    <w:rsid w:val="00B611C2"/>
    <w:rsid w:val="00B6126E"/>
    <w:rsid w:val="00B61272"/>
    <w:rsid w:val="00B61280"/>
    <w:rsid w:val="00B612CB"/>
    <w:rsid w:val="00B612CC"/>
    <w:rsid w:val="00B612EE"/>
    <w:rsid w:val="00B6130F"/>
    <w:rsid w:val="00B61344"/>
    <w:rsid w:val="00B61389"/>
    <w:rsid w:val="00B61394"/>
    <w:rsid w:val="00B61395"/>
    <w:rsid w:val="00B613C6"/>
    <w:rsid w:val="00B6140B"/>
    <w:rsid w:val="00B6140C"/>
    <w:rsid w:val="00B614DE"/>
    <w:rsid w:val="00B614F3"/>
    <w:rsid w:val="00B61541"/>
    <w:rsid w:val="00B61557"/>
    <w:rsid w:val="00B6155B"/>
    <w:rsid w:val="00B6155D"/>
    <w:rsid w:val="00B6156F"/>
    <w:rsid w:val="00B61587"/>
    <w:rsid w:val="00B615BC"/>
    <w:rsid w:val="00B61607"/>
    <w:rsid w:val="00B61625"/>
    <w:rsid w:val="00B61631"/>
    <w:rsid w:val="00B61642"/>
    <w:rsid w:val="00B6166D"/>
    <w:rsid w:val="00B6166E"/>
    <w:rsid w:val="00B616E7"/>
    <w:rsid w:val="00B616EE"/>
    <w:rsid w:val="00B61720"/>
    <w:rsid w:val="00B61756"/>
    <w:rsid w:val="00B6176D"/>
    <w:rsid w:val="00B6181F"/>
    <w:rsid w:val="00B6185F"/>
    <w:rsid w:val="00B6186C"/>
    <w:rsid w:val="00B618B0"/>
    <w:rsid w:val="00B618F3"/>
    <w:rsid w:val="00B618F7"/>
    <w:rsid w:val="00B61900"/>
    <w:rsid w:val="00B61922"/>
    <w:rsid w:val="00B61939"/>
    <w:rsid w:val="00B6195B"/>
    <w:rsid w:val="00B61981"/>
    <w:rsid w:val="00B619B8"/>
    <w:rsid w:val="00B61A0E"/>
    <w:rsid w:val="00B61A83"/>
    <w:rsid w:val="00B61A8C"/>
    <w:rsid w:val="00B61AA0"/>
    <w:rsid w:val="00B61ABE"/>
    <w:rsid w:val="00B61AF6"/>
    <w:rsid w:val="00B61B06"/>
    <w:rsid w:val="00B61B5B"/>
    <w:rsid w:val="00B61B68"/>
    <w:rsid w:val="00B61B70"/>
    <w:rsid w:val="00B61BA7"/>
    <w:rsid w:val="00B61C4D"/>
    <w:rsid w:val="00B61C6F"/>
    <w:rsid w:val="00B61C77"/>
    <w:rsid w:val="00B61C7F"/>
    <w:rsid w:val="00B61CBC"/>
    <w:rsid w:val="00B61CDA"/>
    <w:rsid w:val="00B61CDC"/>
    <w:rsid w:val="00B61CF0"/>
    <w:rsid w:val="00B61D88"/>
    <w:rsid w:val="00B61DD2"/>
    <w:rsid w:val="00B61DE7"/>
    <w:rsid w:val="00B61E5A"/>
    <w:rsid w:val="00B61E9A"/>
    <w:rsid w:val="00B61EFF"/>
    <w:rsid w:val="00B61F00"/>
    <w:rsid w:val="00B61F22"/>
    <w:rsid w:val="00B61F33"/>
    <w:rsid w:val="00B61F61"/>
    <w:rsid w:val="00B61F6F"/>
    <w:rsid w:val="00B61FFF"/>
    <w:rsid w:val="00B6204F"/>
    <w:rsid w:val="00B62056"/>
    <w:rsid w:val="00B6206A"/>
    <w:rsid w:val="00B6206D"/>
    <w:rsid w:val="00B620DD"/>
    <w:rsid w:val="00B620E1"/>
    <w:rsid w:val="00B621D4"/>
    <w:rsid w:val="00B621F1"/>
    <w:rsid w:val="00B62224"/>
    <w:rsid w:val="00B62286"/>
    <w:rsid w:val="00B622D9"/>
    <w:rsid w:val="00B62342"/>
    <w:rsid w:val="00B62378"/>
    <w:rsid w:val="00B62392"/>
    <w:rsid w:val="00B623B3"/>
    <w:rsid w:val="00B623FF"/>
    <w:rsid w:val="00B62420"/>
    <w:rsid w:val="00B624B4"/>
    <w:rsid w:val="00B624DA"/>
    <w:rsid w:val="00B624F8"/>
    <w:rsid w:val="00B6250F"/>
    <w:rsid w:val="00B62580"/>
    <w:rsid w:val="00B62595"/>
    <w:rsid w:val="00B6260C"/>
    <w:rsid w:val="00B62639"/>
    <w:rsid w:val="00B6267B"/>
    <w:rsid w:val="00B626B7"/>
    <w:rsid w:val="00B626F7"/>
    <w:rsid w:val="00B6272E"/>
    <w:rsid w:val="00B62781"/>
    <w:rsid w:val="00B6278A"/>
    <w:rsid w:val="00B62827"/>
    <w:rsid w:val="00B6285E"/>
    <w:rsid w:val="00B62864"/>
    <w:rsid w:val="00B6286F"/>
    <w:rsid w:val="00B6287A"/>
    <w:rsid w:val="00B62888"/>
    <w:rsid w:val="00B628CF"/>
    <w:rsid w:val="00B628E2"/>
    <w:rsid w:val="00B62912"/>
    <w:rsid w:val="00B62934"/>
    <w:rsid w:val="00B62954"/>
    <w:rsid w:val="00B62972"/>
    <w:rsid w:val="00B6298E"/>
    <w:rsid w:val="00B629CC"/>
    <w:rsid w:val="00B62A4F"/>
    <w:rsid w:val="00B62AA3"/>
    <w:rsid w:val="00B62AB3"/>
    <w:rsid w:val="00B62AC3"/>
    <w:rsid w:val="00B62AC5"/>
    <w:rsid w:val="00B62B6E"/>
    <w:rsid w:val="00B62BE9"/>
    <w:rsid w:val="00B62C0E"/>
    <w:rsid w:val="00B62C1D"/>
    <w:rsid w:val="00B62C34"/>
    <w:rsid w:val="00B62C40"/>
    <w:rsid w:val="00B62C6B"/>
    <w:rsid w:val="00B62CB6"/>
    <w:rsid w:val="00B62CD5"/>
    <w:rsid w:val="00B62CDA"/>
    <w:rsid w:val="00B62CF2"/>
    <w:rsid w:val="00B62CFC"/>
    <w:rsid w:val="00B62DBF"/>
    <w:rsid w:val="00B62DC0"/>
    <w:rsid w:val="00B62DFF"/>
    <w:rsid w:val="00B62E26"/>
    <w:rsid w:val="00B62E55"/>
    <w:rsid w:val="00B62EC7"/>
    <w:rsid w:val="00B62EC9"/>
    <w:rsid w:val="00B62ED6"/>
    <w:rsid w:val="00B62EF1"/>
    <w:rsid w:val="00B62EF2"/>
    <w:rsid w:val="00B62F0E"/>
    <w:rsid w:val="00B62F75"/>
    <w:rsid w:val="00B62F81"/>
    <w:rsid w:val="00B62FCA"/>
    <w:rsid w:val="00B63039"/>
    <w:rsid w:val="00B63048"/>
    <w:rsid w:val="00B63051"/>
    <w:rsid w:val="00B63064"/>
    <w:rsid w:val="00B6308C"/>
    <w:rsid w:val="00B630E3"/>
    <w:rsid w:val="00B6314E"/>
    <w:rsid w:val="00B631B7"/>
    <w:rsid w:val="00B631DB"/>
    <w:rsid w:val="00B6323A"/>
    <w:rsid w:val="00B6326E"/>
    <w:rsid w:val="00B632DE"/>
    <w:rsid w:val="00B6330F"/>
    <w:rsid w:val="00B63335"/>
    <w:rsid w:val="00B63375"/>
    <w:rsid w:val="00B633EA"/>
    <w:rsid w:val="00B633F3"/>
    <w:rsid w:val="00B6340E"/>
    <w:rsid w:val="00B63483"/>
    <w:rsid w:val="00B634A9"/>
    <w:rsid w:val="00B634B3"/>
    <w:rsid w:val="00B634CE"/>
    <w:rsid w:val="00B634F8"/>
    <w:rsid w:val="00B63513"/>
    <w:rsid w:val="00B63522"/>
    <w:rsid w:val="00B6366C"/>
    <w:rsid w:val="00B63689"/>
    <w:rsid w:val="00B6368F"/>
    <w:rsid w:val="00B636B8"/>
    <w:rsid w:val="00B636C2"/>
    <w:rsid w:val="00B636D3"/>
    <w:rsid w:val="00B63727"/>
    <w:rsid w:val="00B63740"/>
    <w:rsid w:val="00B6377E"/>
    <w:rsid w:val="00B637A2"/>
    <w:rsid w:val="00B6383D"/>
    <w:rsid w:val="00B63885"/>
    <w:rsid w:val="00B63897"/>
    <w:rsid w:val="00B638B0"/>
    <w:rsid w:val="00B638D1"/>
    <w:rsid w:val="00B63912"/>
    <w:rsid w:val="00B6393D"/>
    <w:rsid w:val="00B63963"/>
    <w:rsid w:val="00B63964"/>
    <w:rsid w:val="00B639DE"/>
    <w:rsid w:val="00B639F3"/>
    <w:rsid w:val="00B63A02"/>
    <w:rsid w:val="00B63A31"/>
    <w:rsid w:val="00B63A70"/>
    <w:rsid w:val="00B63AE0"/>
    <w:rsid w:val="00B63AF7"/>
    <w:rsid w:val="00B63B30"/>
    <w:rsid w:val="00B63B44"/>
    <w:rsid w:val="00B63B6D"/>
    <w:rsid w:val="00B63B86"/>
    <w:rsid w:val="00B63B8B"/>
    <w:rsid w:val="00B63BB0"/>
    <w:rsid w:val="00B63BC3"/>
    <w:rsid w:val="00B63BCC"/>
    <w:rsid w:val="00B63BCE"/>
    <w:rsid w:val="00B63C6B"/>
    <w:rsid w:val="00B63CE6"/>
    <w:rsid w:val="00B63D4C"/>
    <w:rsid w:val="00B63D5A"/>
    <w:rsid w:val="00B63D95"/>
    <w:rsid w:val="00B63D97"/>
    <w:rsid w:val="00B63E1F"/>
    <w:rsid w:val="00B63E24"/>
    <w:rsid w:val="00B63EC3"/>
    <w:rsid w:val="00B63EEA"/>
    <w:rsid w:val="00B63F1E"/>
    <w:rsid w:val="00B63F3A"/>
    <w:rsid w:val="00B63F6A"/>
    <w:rsid w:val="00B63FBE"/>
    <w:rsid w:val="00B6400B"/>
    <w:rsid w:val="00B64053"/>
    <w:rsid w:val="00B640C9"/>
    <w:rsid w:val="00B640EB"/>
    <w:rsid w:val="00B64136"/>
    <w:rsid w:val="00B641A4"/>
    <w:rsid w:val="00B641AF"/>
    <w:rsid w:val="00B641FE"/>
    <w:rsid w:val="00B64222"/>
    <w:rsid w:val="00B64240"/>
    <w:rsid w:val="00B642B1"/>
    <w:rsid w:val="00B642CA"/>
    <w:rsid w:val="00B642F7"/>
    <w:rsid w:val="00B6435B"/>
    <w:rsid w:val="00B6435F"/>
    <w:rsid w:val="00B643A8"/>
    <w:rsid w:val="00B643AC"/>
    <w:rsid w:val="00B643CE"/>
    <w:rsid w:val="00B643D0"/>
    <w:rsid w:val="00B64474"/>
    <w:rsid w:val="00B6448E"/>
    <w:rsid w:val="00B644A9"/>
    <w:rsid w:val="00B644B4"/>
    <w:rsid w:val="00B644E4"/>
    <w:rsid w:val="00B64500"/>
    <w:rsid w:val="00B6454E"/>
    <w:rsid w:val="00B645A0"/>
    <w:rsid w:val="00B645A2"/>
    <w:rsid w:val="00B64712"/>
    <w:rsid w:val="00B6477A"/>
    <w:rsid w:val="00B64783"/>
    <w:rsid w:val="00B647AD"/>
    <w:rsid w:val="00B64858"/>
    <w:rsid w:val="00B64891"/>
    <w:rsid w:val="00B648D2"/>
    <w:rsid w:val="00B648FE"/>
    <w:rsid w:val="00B64946"/>
    <w:rsid w:val="00B6497A"/>
    <w:rsid w:val="00B64991"/>
    <w:rsid w:val="00B649B6"/>
    <w:rsid w:val="00B64A59"/>
    <w:rsid w:val="00B64A69"/>
    <w:rsid w:val="00B64A7E"/>
    <w:rsid w:val="00B64A9B"/>
    <w:rsid w:val="00B64ABD"/>
    <w:rsid w:val="00B64AC5"/>
    <w:rsid w:val="00B64B05"/>
    <w:rsid w:val="00B64B19"/>
    <w:rsid w:val="00B64B20"/>
    <w:rsid w:val="00B64B67"/>
    <w:rsid w:val="00B64B97"/>
    <w:rsid w:val="00B64BB8"/>
    <w:rsid w:val="00B64BF7"/>
    <w:rsid w:val="00B64C16"/>
    <w:rsid w:val="00B64C5E"/>
    <w:rsid w:val="00B64CB0"/>
    <w:rsid w:val="00B64CC9"/>
    <w:rsid w:val="00B64CDD"/>
    <w:rsid w:val="00B64D1F"/>
    <w:rsid w:val="00B64D26"/>
    <w:rsid w:val="00B64D73"/>
    <w:rsid w:val="00B64D7E"/>
    <w:rsid w:val="00B64DA2"/>
    <w:rsid w:val="00B64DFC"/>
    <w:rsid w:val="00B64E0C"/>
    <w:rsid w:val="00B64E78"/>
    <w:rsid w:val="00B64E8B"/>
    <w:rsid w:val="00B64EB0"/>
    <w:rsid w:val="00B64EB6"/>
    <w:rsid w:val="00B64EBA"/>
    <w:rsid w:val="00B64EC3"/>
    <w:rsid w:val="00B64EE5"/>
    <w:rsid w:val="00B64F7E"/>
    <w:rsid w:val="00B64F80"/>
    <w:rsid w:val="00B6502D"/>
    <w:rsid w:val="00B6505C"/>
    <w:rsid w:val="00B6506E"/>
    <w:rsid w:val="00B6506F"/>
    <w:rsid w:val="00B65093"/>
    <w:rsid w:val="00B650ED"/>
    <w:rsid w:val="00B6511E"/>
    <w:rsid w:val="00B65124"/>
    <w:rsid w:val="00B65168"/>
    <w:rsid w:val="00B6516C"/>
    <w:rsid w:val="00B6519A"/>
    <w:rsid w:val="00B651EE"/>
    <w:rsid w:val="00B65202"/>
    <w:rsid w:val="00B65227"/>
    <w:rsid w:val="00B6523E"/>
    <w:rsid w:val="00B65259"/>
    <w:rsid w:val="00B652C1"/>
    <w:rsid w:val="00B6531D"/>
    <w:rsid w:val="00B65334"/>
    <w:rsid w:val="00B65382"/>
    <w:rsid w:val="00B653A7"/>
    <w:rsid w:val="00B653EA"/>
    <w:rsid w:val="00B6540E"/>
    <w:rsid w:val="00B6548F"/>
    <w:rsid w:val="00B654D0"/>
    <w:rsid w:val="00B654DD"/>
    <w:rsid w:val="00B6550D"/>
    <w:rsid w:val="00B65559"/>
    <w:rsid w:val="00B65584"/>
    <w:rsid w:val="00B655D0"/>
    <w:rsid w:val="00B655D5"/>
    <w:rsid w:val="00B655E0"/>
    <w:rsid w:val="00B65632"/>
    <w:rsid w:val="00B65648"/>
    <w:rsid w:val="00B6568D"/>
    <w:rsid w:val="00B656B6"/>
    <w:rsid w:val="00B656DF"/>
    <w:rsid w:val="00B65720"/>
    <w:rsid w:val="00B6572A"/>
    <w:rsid w:val="00B65760"/>
    <w:rsid w:val="00B6578A"/>
    <w:rsid w:val="00B65792"/>
    <w:rsid w:val="00B6579A"/>
    <w:rsid w:val="00B657B5"/>
    <w:rsid w:val="00B657CD"/>
    <w:rsid w:val="00B65812"/>
    <w:rsid w:val="00B6583F"/>
    <w:rsid w:val="00B65898"/>
    <w:rsid w:val="00B658CB"/>
    <w:rsid w:val="00B658D2"/>
    <w:rsid w:val="00B65906"/>
    <w:rsid w:val="00B65948"/>
    <w:rsid w:val="00B65964"/>
    <w:rsid w:val="00B6596E"/>
    <w:rsid w:val="00B65ADA"/>
    <w:rsid w:val="00B65B03"/>
    <w:rsid w:val="00B65B0E"/>
    <w:rsid w:val="00B65B31"/>
    <w:rsid w:val="00B65BFB"/>
    <w:rsid w:val="00B65BFF"/>
    <w:rsid w:val="00B65C01"/>
    <w:rsid w:val="00B65C1D"/>
    <w:rsid w:val="00B65C5F"/>
    <w:rsid w:val="00B65C82"/>
    <w:rsid w:val="00B65CCE"/>
    <w:rsid w:val="00B65D5D"/>
    <w:rsid w:val="00B65DDB"/>
    <w:rsid w:val="00B65DEA"/>
    <w:rsid w:val="00B65DF8"/>
    <w:rsid w:val="00B65E37"/>
    <w:rsid w:val="00B65EF5"/>
    <w:rsid w:val="00B65F08"/>
    <w:rsid w:val="00B65F35"/>
    <w:rsid w:val="00B66035"/>
    <w:rsid w:val="00B6609F"/>
    <w:rsid w:val="00B660BD"/>
    <w:rsid w:val="00B660BF"/>
    <w:rsid w:val="00B660DE"/>
    <w:rsid w:val="00B66123"/>
    <w:rsid w:val="00B66149"/>
    <w:rsid w:val="00B66188"/>
    <w:rsid w:val="00B661E4"/>
    <w:rsid w:val="00B66249"/>
    <w:rsid w:val="00B66265"/>
    <w:rsid w:val="00B6626E"/>
    <w:rsid w:val="00B662BE"/>
    <w:rsid w:val="00B6632F"/>
    <w:rsid w:val="00B66348"/>
    <w:rsid w:val="00B66358"/>
    <w:rsid w:val="00B66376"/>
    <w:rsid w:val="00B66383"/>
    <w:rsid w:val="00B66390"/>
    <w:rsid w:val="00B66392"/>
    <w:rsid w:val="00B663BC"/>
    <w:rsid w:val="00B663FA"/>
    <w:rsid w:val="00B66449"/>
    <w:rsid w:val="00B66461"/>
    <w:rsid w:val="00B66508"/>
    <w:rsid w:val="00B6652E"/>
    <w:rsid w:val="00B66546"/>
    <w:rsid w:val="00B66567"/>
    <w:rsid w:val="00B66591"/>
    <w:rsid w:val="00B665C4"/>
    <w:rsid w:val="00B6661D"/>
    <w:rsid w:val="00B6667D"/>
    <w:rsid w:val="00B666A9"/>
    <w:rsid w:val="00B66755"/>
    <w:rsid w:val="00B667AA"/>
    <w:rsid w:val="00B667E1"/>
    <w:rsid w:val="00B667F1"/>
    <w:rsid w:val="00B66829"/>
    <w:rsid w:val="00B6688C"/>
    <w:rsid w:val="00B668EF"/>
    <w:rsid w:val="00B66913"/>
    <w:rsid w:val="00B6693A"/>
    <w:rsid w:val="00B66945"/>
    <w:rsid w:val="00B669AA"/>
    <w:rsid w:val="00B669B4"/>
    <w:rsid w:val="00B669D2"/>
    <w:rsid w:val="00B66A16"/>
    <w:rsid w:val="00B66A22"/>
    <w:rsid w:val="00B66A4D"/>
    <w:rsid w:val="00B66A53"/>
    <w:rsid w:val="00B66A6A"/>
    <w:rsid w:val="00B66B30"/>
    <w:rsid w:val="00B66B49"/>
    <w:rsid w:val="00B66B82"/>
    <w:rsid w:val="00B66B8E"/>
    <w:rsid w:val="00B66BBF"/>
    <w:rsid w:val="00B66BFB"/>
    <w:rsid w:val="00B66C3D"/>
    <w:rsid w:val="00B66C69"/>
    <w:rsid w:val="00B66C8E"/>
    <w:rsid w:val="00B66CB7"/>
    <w:rsid w:val="00B66CDF"/>
    <w:rsid w:val="00B66D14"/>
    <w:rsid w:val="00B66D2B"/>
    <w:rsid w:val="00B66D6C"/>
    <w:rsid w:val="00B66DD0"/>
    <w:rsid w:val="00B66E0A"/>
    <w:rsid w:val="00B66E0E"/>
    <w:rsid w:val="00B66E1B"/>
    <w:rsid w:val="00B66E2D"/>
    <w:rsid w:val="00B66E3D"/>
    <w:rsid w:val="00B66E46"/>
    <w:rsid w:val="00B66E66"/>
    <w:rsid w:val="00B66EE1"/>
    <w:rsid w:val="00B66F1C"/>
    <w:rsid w:val="00B66FF0"/>
    <w:rsid w:val="00B67027"/>
    <w:rsid w:val="00B6704F"/>
    <w:rsid w:val="00B6705D"/>
    <w:rsid w:val="00B67087"/>
    <w:rsid w:val="00B670CF"/>
    <w:rsid w:val="00B670EA"/>
    <w:rsid w:val="00B6712B"/>
    <w:rsid w:val="00B67157"/>
    <w:rsid w:val="00B6716A"/>
    <w:rsid w:val="00B6716C"/>
    <w:rsid w:val="00B671B4"/>
    <w:rsid w:val="00B671FA"/>
    <w:rsid w:val="00B67210"/>
    <w:rsid w:val="00B6721F"/>
    <w:rsid w:val="00B67253"/>
    <w:rsid w:val="00B67338"/>
    <w:rsid w:val="00B6733E"/>
    <w:rsid w:val="00B67359"/>
    <w:rsid w:val="00B673C9"/>
    <w:rsid w:val="00B673DF"/>
    <w:rsid w:val="00B67400"/>
    <w:rsid w:val="00B6741B"/>
    <w:rsid w:val="00B67455"/>
    <w:rsid w:val="00B67493"/>
    <w:rsid w:val="00B674AB"/>
    <w:rsid w:val="00B674D7"/>
    <w:rsid w:val="00B675C6"/>
    <w:rsid w:val="00B675ED"/>
    <w:rsid w:val="00B675F4"/>
    <w:rsid w:val="00B6766A"/>
    <w:rsid w:val="00B676E5"/>
    <w:rsid w:val="00B676FD"/>
    <w:rsid w:val="00B67707"/>
    <w:rsid w:val="00B677A4"/>
    <w:rsid w:val="00B6782B"/>
    <w:rsid w:val="00B67890"/>
    <w:rsid w:val="00B678DA"/>
    <w:rsid w:val="00B678E8"/>
    <w:rsid w:val="00B67916"/>
    <w:rsid w:val="00B67930"/>
    <w:rsid w:val="00B6796C"/>
    <w:rsid w:val="00B67975"/>
    <w:rsid w:val="00B67991"/>
    <w:rsid w:val="00B679BB"/>
    <w:rsid w:val="00B679C2"/>
    <w:rsid w:val="00B67A32"/>
    <w:rsid w:val="00B67ACC"/>
    <w:rsid w:val="00B67ADE"/>
    <w:rsid w:val="00B67B34"/>
    <w:rsid w:val="00B67B85"/>
    <w:rsid w:val="00B67BAA"/>
    <w:rsid w:val="00B67BB1"/>
    <w:rsid w:val="00B67C24"/>
    <w:rsid w:val="00B67C3D"/>
    <w:rsid w:val="00B67D1E"/>
    <w:rsid w:val="00B67DDC"/>
    <w:rsid w:val="00B67DDE"/>
    <w:rsid w:val="00B67E23"/>
    <w:rsid w:val="00B67E2C"/>
    <w:rsid w:val="00B67E5D"/>
    <w:rsid w:val="00B67E77"/>
    <w:rsid w:val="00B67EC0"/>
    <w:rsid w:val="00B67EC2"/>
    <w:rsid w:val="00B67EED"/>
    <w:rsid w:val="00B67EFB"/>
    <w:rsid w:val="00B67EFC"/>
    <w:rsid w:val="00B67F54"/>
    <w:rsid w:val="00B67F6E"/>
    <w:rsid w:val="00B67F71"/>
    <w:rsid w:val="00B67FE6"/>
    <w:rsid w:val="00B70068"/>
    <w:rsid w:val="00B7007E"/>
    <w:rsid w:val="00B700BB"/>
    <w:rsid w:val="00B7014F"/>
    <w:rsid w:val="00B70166"/>
    <w:rsid w:val="00B70176"/>
    <w:rsid w:val="00B70191"/>
    <w:rsid w:val="00B701EB"/>
    <w:rsid w:val="00B70204"/>
    <w:rsid w:val="00B70209"/>
    <w:rsid w:val="00B7023F"/>
    <w:rsid w:val="00B70245"/>
    <w:rsid w:val="00B70250"/>
    <w:rsid w:val="00B70348"/>
    <w:rsid w:val="00B70356"/>
    <w:rsid w:val="00B70378"/>
    <w:rsid w:val="00B7037A"/>
    <w:rsid w:val="00B7039D"/>
    <w:rsid w:val="00B70431"/>
    <w:rsid w:val="00B7043C"/>
    <w:rsid w:val="00B7043F"/>
    <w:rsid w:val="00B70463"/>
    <w:rsid w:val="00B70478"/>
    <w:rsid w:val="00B704BC"/>
    <w:rsid w:val="00B7050A"/>
    <w:rsid w:val="00B7051A"/>
    <w:rsid w:val="00B7051B"/>
    <w:rsid w:val="00B70583"/>
    <w:rsid w:val="00B705C6"/>
    <w:rsid w:val="00B70629"/>
    <w:rsid w:val="00B70636"/>
    <w:rsid w:val="00B70671"/>
    <w:rsid w:val="00B706B8"/>
    <w:rsid w:val="00B70722"/>
    <w:rsid w:val="00B7072E"/>
    <w:rsid w:val="00B70761"/>
    <w:rsid w:val="00B707CB"/>
    <w:rsid w:val="00B7080B"/>
    <w:rsid w:val="00B7083D"/>
    <w:rsid w:val="00B7084B"/>
    <w:rsid w:val="00B7089A"/>
    <w:rsid w:val="00B708BC"/>
    <w:rsid w:val="00B708E4"/>
    <w:rsid w:val="00B70933"/>
    <w:rsid w:val="00B70971"/>
    <w:rsid w:val="00B709E3"/>
    <w:rsid w:val="00B709EC"/>
    <w:rsid w:val="00B70A30"/>
    <w:rsid w:val="00B70A88"/>
    <w:rsid w:val="00B70AA5"/>
    <w:rsid w:val="00B70AAB"/>
    <w:rsid w:val="00B70AD7"/>
    <w:rsid w:val="00B70AFA"/>
    <w:rsid w:val="00B70B0A"/>
    <w:rsid w:val="00B70B2E"/>
    <w:rsid w:val="00B70B30"/>
    <w:rsid w:val="00B70B45"/>
    <w:rsid w:val="00B70B7F"/>
    <w:rsid w:val="00B70BFC"/>
    <w:rsid w:val="00B70C14"/>
    <w:rsid w:val="00B70C61"/>
    <w:rsid w:val="00B70CBE"/>
    <w:rsid w:val="00B70CD5"/>
    <w:rsid w:val="00B70CD9"/>
    <w:rsid w:val="00B70CEC"/>
    <w:rsid w:val="00B70D0E"/>
    <w:rsid w:val="00B70D21"/>
    <w:rsid w:val="00B70D27"/>
    <w:rsid w:val="00B70D4B"/>
    <w:rsid w:val="00B70D7F"/>
    <w:rsid w:val="00B70DB7"/>
    <w:rsid w:val="00B70DD6"/>
    <w:rsid w:val="00B70E0F"/>
    <w:rsid w:val="00B70E1E"/>
    <w:rsid w:val="00B70E36"/>
    <w:rsid w:val="00B70E45"/>
    <w:rsid w:val="00B70E53"/>
    <w:rsid w:val="00B70EFB"/>
    <w:rsid w:val="00B70F24"/>
    <w:rsid w:val="00B70FA8"/>
    <w:rsid w:val="00B70FE1"/>
    <w:rsid w:val="00B70FF2"/>
    <w:rsid w:val="00B70FF7"/>
    <w:rsid w:val="00B71033"/>
    <w:rsid w:val="00B710C9"/>
    <w:rsid w:val="00B710E9"/>
    <w:rsid w:val="00B71111"/>
    <w:rsid w:val="00B711AC"/>
    <w:rsid w:val="00B711F0"/>
    <w:rsid w:val="00B712C4"/>
    <w:rsid w:val="00B712CD"/>
    <w:rsid w:val="00B71391"/>
    <w:rsid w:val="00B713A3"/>
    <w:rsid w:val="00B713D1"/>
    <w:rsid w:val="00B7140E"/>
    <w:rsid w:val="00B71416"/>
    <w:rsid w:val="00B71428"/>
    <w:rsid w:val="00B7146F"/>
    <w:rsid w:val="00B714A2"/>
    <w:rsid w:val="00B714AC"/>
    <w:rsid w:val="00B714CB"/>
    <w:rsid w:val="00B714FB"/>
    <w:rsid w:val="00B7151E"/>
    <w:rsid w:val="00B7154F"/>
    <w:rsid w:val="00B71562"/>
    <w:rsid w:val="00B71628"/>
    <w:rsid w:val="00B71682"/>
    <w:rsid w:val="00B71688"/>
    <w:rsid w:val="00B716D6"/>
    <w:rsid w:val="00B7179C"/>
    <w:rsid w:val="00B717D7"/>
    <w:rsid w:val="00B71801"/>
    <w:rsid w:val="00B71825"/>
    <w:rsid w:val="00B71826"/>
    <w:rsid w:val="00B7186E"/>
    <w:rsid w:val="00B71880"/>
    <w:rsid w:val="00B718A4"/>
    <w:rsid w:val="00B71908"/>
    <w:rsid w:val="00B71909"/>
    <w:rsid w:val="00B719C3"/>
    <w:rsid w:val="00B719FC"/>
    <w:rsid w:val="00B71A0A"/>
    <w:rsid w:val="00B71A18"/>
    <w:rsid w:val="00B71A1E"/>
    <w:rsid w:val="00B71A3A"/>
    <w:rsid w:val="00B71A3E"/>
    <w:rsid w:val="00B71A58"/>
    <w:rsid w:val="00B71A63"/>
    <w:rsid w:val="00B71A77"/>
    <w:rsid w:val="00B71A7A"/>
    <w:rsid w:val="00B71A8B"/>
    <w:rsid w:val="00B71AA8"/>
    <w:rsid w:val="00B71AD6"/>
    <w:rsid w:val="00B71ADF"/>
    <w:rsid w:val="00B71AE1"/>
    <w:rsid w:val="00B71AF9"/>
    <w:rsid w:val="00B71B4E"/>
    <w:rsid w:val="00B71B72"/>
    <w:rsid w:val="00B71B9C"/>
    <w:rsid w:val="00B71BA5"/>
    <w:rsid w:val="00B71BE8"/>
    <w:rsid w:val="00B71C60"/>
    <w:rsid w:val="00B71C6F"/>
    <w:rsid w:val="00B71C8F"/>
    <w:rsid w:val="00B71C97"/>
    <w:rsid w:val="00B71CB6"/>
    <w:rsid w:val="00B71CB8"/>
    <w:rsid w:val="00B71D1A"/>
    <w:rsid w:val="00B71D53"/>
    <w:rsid w:val="00B71D54"/>
    <w:rsid w:val="00B71D5A"/>
    <w:rsid w:val="00B71D65"/>
    <w:rsid w:val="00B71D82"/>
    <w:rsid w:val="00B71DFE"/>
    <w:rsid w:val="00B71E69"/>
    <w:rsid w:val="00B71E83"/>
    <w:rsid w:val="00B71EB4"/>
    <w:rsid w:val="00B71EB9"/>
    <w:rsid w:val="00B71EDA"/>
    <w:rsid w:val="00B71F61"/>
    <w:rsid w:val="00B71F7F"/>
    <w:rsid w:val="00B71F8C"/>
    <w:rsid w:val="00B71FF9"/>
    <w:rsid w:val="00B7202C"/>
    <w:rsid w:val="00B720C8"/>
    <w:rsid w:val="00B720DE"/>
    <w:rsid w:val="00B72108"/>
    <w:rsid w:val="00B72114"/>
    <w:rsid w:val="00B721ED"/>
    <w:rsid w:val="00B7223B"/>
    <w:rsid w:val="00B72267"/>
    <w:rsid w:val="00B722DD"/>
    <w:rsid w:val="00B722E7"/>
    <w:rsid w:val="00B723EE"/>
    <w:rsid w:val="00B723F2"/>
    <w:rsid w:val="00B72446"/>
    <w:rsid w:val="00B7244A"/>
    <w:rsid w:val="00B72451"/>
    <w:rsid w:val="00B72464"/>
    <w:rsid w:val="00B7248F"/>
    <w:rsid w:val="00B724BA"/>
    <w:rsid w:val="00B724BD"/>
    <w:rsid w:val="00B724ED"/>
    <w:rsid w:val="00B72572"/>
    <w:rsid w:val="00B725BE"/>
    <w:rsid w:val="00B725E8"/>
    <w:rsid w:val="00B72619"/>
    <w:rsid w:val="00B7266F"/>
    <w:rsid w:val="00B72673"/>
    <w:rsid w:val="00B72687"/>
    <w:rsid w:val="00B726C1"/>
    <w:rsid w:val="00B726D9"/>
    <w:rsid w:val="00B72706"/>
    <w:rsid w:val="00B7272B"/>
    <w:rsid w:val="00B7278D"/>
    <w:rsid w:val="00B727DC"/>
    <w:rsid w:val="00B7280A"/>
    <w:rsid w:val="00B72822"/>
    <w:rsid w:val="00B7284B"/>
    <w:rsid w:val="00B7284C"/>
    <w:rsid w:val="00B7286E"/>
    <w:rsid w:val="00B728F9"/>
    <w:rsid w:val="00B72909"/>
    <w:rsid w:val="00B72919"/>
    <w:rsid w:val="00B7292B"/>
    <w:rsid w:val="00B729C3"/>
    <w:rsid w:val="00B729E4"/>
    <w:rsid w:val="00B729E6"/>
    <w:rsid w:val="00B729F9"/>
    <w:rsid w:val="00B72AA4"/>
    <w:rsid w:val="00B72AFF"/>
    <w:rsid w:val="00B72B83"/>
    <w:rsid w:val="00B72BD0"/>
    <w:rsid w:val="00B72BE1"/>
    <w:rsid w:val="00B72BE5"/>
    <w:rsid w:val="00B72BF1"/>
    <w:rsid w:val="00B72C05"/>
    <w:rsid w:val="00B72C16"/>
    <w:rsid w:val="00B72C1F"/>
    <w:rsid w:val="00B72C2C"/>
    <w:rsid w:val="00B72C3C"/>
    <w:rsid w:val="00B72C52"/>
    <w:rsid w:val="00B72C7E"/>
    <w:rsid w:val="00B72CA0"/>
    <w:rsid w:val="00B72CEE"/>
    <w:rsid w:val="00B72D16"/>
    <w:rsid w:val="00B72D21"/>
    <w:rsid w:val="00B72D35"/>
    <w:rsid w:val="00B72D59"/>
    <w:rsid w:val="00B72D5C"/>
    <w:rsid w:val="00B72D69"/>
    <w:rsid w:val="00B72DFD"/>
    <w:rsid w:val="00B72E3C"/>
    <w:rsid w:val="00B72E70"/>
    <w:rsid w:val="00B72EBE"/>
    <w:rsid w:val="00B72EFD"/>
    <w:rsid w:val="00B72F1B"/>
    <w:rsid w:val="00B72F46"/>
    <w:rsid w:val="00B7300F"/>
    <w:rsid w:val="00B73100"/>
    <w:rsid w:val="00B7310B"/>
    <w:rsid w:val="00B73119"/>
    <w:rsid w:val="00B73223"/>
    <w:rsid w:val="00B7329A"/>
    <w:rsid w:val="00B7329E"/>
    <w:rsid w:val="00B732EE"/>
    <w:rsid w:val="00B73329"/>
    <w:rsid w:val="00B7333E"/>
    <w:rsid w:val="00B73373"/>
    <w:rsid w:val="00B7337D"/>
    <w:rsid w:val="00B733E0"/>
    <w:rsid w:val="00B73402"/>
    <w:rsid w:val="00B73451"/>
    <w:rsid w:val="00B73474"/>
    <w:rsid w:val="00B734B6"/>
    <w:rsid w:val="00B734F8"/>
    <w:rsid w:val="00B734FB"/>
    <w:rsid w:val="00B73508"/>
    <w:rsid w:val="00B73569"/>
    <w:rsid w:val="00B735A5"/>
    <w:rsid w:val="00B735ED"/>
    <w:rsid w:val="00B73605"/>
    <w:rsid w:val="00B7364F"/>
    <w:rsid w:val="00B7367C"/>
    <w:rsid w:val="00B7367F"/>
    <w:rsid w:val="00B736EC"/>
    <w:rsid w:val="00B7374F"/>
    <w:rsid w:val="00B73751"/>
    <w:rsid w:val="00B73765"/>
    <w:rsid w:val="00B73810"/>
    <w:rsid w:val="00B73813"/>
    <w:rsid w:val="00B73839"/>
    <w:rsid w:val="00B7385A"/>
    <w:rsid w:val="00B738EF"/>
    <w:rsid w:val="00B73919"/>
    <w:rsid w:val="00B7398E"/>
    <w:rsid w:val="00B73A27"/>
    <w:rsid w:val="00B73A57"/>
    <w:rsid w:val="00B73A6D"/>
    <w:rsid w:val="00B73AA2"/>
    <w:rsid w:val="00B73AD6"/>
    <w:rsid w:val="00B73B77"/>
    <w:rsid w:val="00B73B7A"/>
    <w:rsid w:val="00B73BA0"/>
    <w:rsid w:val="00B73BAB"/>
    <w:rsid w:val="00B73BAE"/>
    <w:rsid w:val="00B73BBB"/>
    <w:rsid w:val="00B73BD8"/>
    <w:rsid w:val="00B73C3A"/>
    <w:rsid w:val="00B73CA7"/>
    <w:rsid w:val="00B73CC4"/>
    <w:rsid w:val="00B73CEA"/>
    <w:rsid w:val="00B73D0C"/>
    <w:rsid w:val="00B73D70"/>
    <w:rsid w:val="00B73D96"/>
    <w:rsid w:val="00B73DAC"/>
    <w:rsid w:val="00B73DCE"/>
    <w:rsid w:val="00B73DF3"/>
    <w:rsid w:val="00B73E4E"/>
    <w:rsid w:val="00B73E57"/>
    <w:rsid w:val="00B73E60"/>
    <w:rsid w:val="00B73EAB"/>
    <w:rsid w:val="00B73EBE"/>
    <w:rsid w:val="00B73EC9"/>
    <w:rsid w:val="00B73F05"/>
    <w:rsid w:val="00B73F40"/>
    <w:rsid w:val="00B73FBF"/>
    <w:rsid w:val="00B73FF4"/>
    <w:rsid w:val="00B7402B"/>
    <w:rsid w:val="00B74081"/>
    <w:rsid w:val="00B740B0"/>
    <w:rsid w:val="00B740C5"/>
    <w:rsid w:val="00B74119"/>
    <w:rsid w:val="00B74152"/>
    <w:rsid w:val="00B74184"/>
    <w:rsid w:val="00B7427C"/>
    <w:rsid w:val="00B74388"/>
    <w:rsid w:val="00B744B3"/>
    <w:rsid w:val="00B744FC"/>
    <w:rsid w:val="00B74535"/>
    <w:rsid w:val="00B74564"/>
    <w:rsid w:val="00B74566"/>
    <w:rsid w:val="00B7457C"/>
    <w:rsid w:val="00B74593"/>
    <w:rsid w:val="00B745B3"/>
    <w:rsid w:val="00B74607"/>
    <w:rsid w:val="00B7462A"/>
    <w:rsid w:val="00B7462F"/>
    <w:rsid w:val="00B74655"/>
    <w:rsid w:val="00B7465E"/>
    <w:rsid w:val="00B746C0"/>
    <w:rsid w:val="00B746D4"/>
    <w:rsid w:val="00B746DA"/>
    <w:rsid w:val="00B746E6"/>
    <w:rsid w:val="00B7473F"/>
    <w:rsid w:val="00B7482E"/>
    <w:rsid w:val="00B7484F"/>
    <w:rsid w:val="00B7486E"/>
    <w:rsid w:val="00B74874"/>
    <w:rsid w:val="00B748F3"/>
    <w:rsid w:val="00B74901"/>
    <w:rsid w:val="00B74966"/>
    <w:rsid w:val="00B74970"/>
    <w:rsid w:val="00B749BE"/>
    <w:rsid w:val="00B74A7C"/>
    <w:rsid w:val="00B74AB0"/>
    <w:rsid w:val="00B74BA4"/>
    <w:rsid w:val="00B74BAA"/>
    <w:rsid w:val="00B74BB1"/>
    <w:rsid w:val="00B74C05"/>
    <w:rsid w:val="00B74C0A"/>
    <w:rsid w:val="00B74C57"/>
    <w:rsid w:val="00B74C65"/>
    <w:rsid w:val="00B74CA0"/>
    <w:rsid w:val="00B74CA7"/>
    <w:rsid w:val="00B74CF0"/>
    <w:rsid w:val="00B74CF4"/>
    <w:rsid w:val="00B74D1A"/>
    <w:rsid w:val="00B74D29"/>
    <w:rsid w:val="00B74D39"/>
    <w:rsid w:val="00B74E58"/>
    <w:rsid w:val="00B74E59"/>
    <w:rsid w:val="00B74EA3"/>
    <w:rsid w:val="00B74EA4"/>
    <w:rsid w:val="00B74EB6"/>
    <w:rsid w:val="00B74ED4"/>
    <w:rsid w:val="00B74F3B"/>
    <w:rsid w:val="00B74F56"/>
    <w:rsid w:val="00B74F86"/>
    <w:rsid w:val="00B74FC3"/>
    <w:rsid w:val="00B74FDF"/>
    <w:rsid w:val="00B7500A"/>
    <w:rsid w:val="00B7503C"/>
    <w:rsid w:val="00B750E3"/>
    <w:rsid w:val="00B7514A"/>
    <w:rsid w:val="00B7515C"/>
    <w:rsid w:val="00B751BF"/>
    <w:rsid w:val="00B75228"/>
    <w:rsid w:val="00B7523B"/>
    <w:rsid w:val="00B7528D"/>
    <w:rsid w:val="00B752EF"/>
    <w:rsid w:val="00B75319"/>
    <w:rsid w:val="00B753A7"/>
    <w:rsid w:val="00B753E5"/>
    <w:rsid w:val="00B75431"/>
    <w:rsid w:val="00B75474"/>
    <w:rsid w:val="00B754CA"/>
    <w:rsid w:val="00B754D8"/>
    <w:rsid w:val="00B75534"/>
    <w:rsid w:val="00B7555A"/>
    <w:rsid w:val="00B7560E"/>
    <w:rsid w:val="00B7562C"/>
    <w:rsid w:val="00B75637"/>
    <w:rsid w:val="00B756F8"/>
    <w:rsid w:val="00B7575C"/>
    <w:rsid w:val="00B75765"/>
    <w:rsid w:val="00B757AF"/>
    <w:rsid w:val="00B757C5"/>
    <w:rsid w:val="00B75837"/>
    <w:rsid w:val="00B7585E"/>
    <w:rsid w:val="00B75897"/>
    <w:rsid w:val="00B758C1"/>
    <w:rsid w:val="00B75912"/>
    <w:rsid w:val="00B7591C"/>
    <w:rsid w:val="00B75970"/>
    <w:rsid w:val="00B7598F"/>
    <w:rsid w:val="00B7599B"/>
    <w:rsid w:val="00B759CE"/>
    <w:rsid w:val="00B75A20"/>
    <w:rsid w:val="00B75A22"/>
    <w:rsid w:val="00B75A2B"/>
    <w:rsid w:val="00B75A83"/>
    <w:rsid w:val="00B75ADA"/>
    <w:rsid w:val="00B75B18"/>
    <w:rsid w:val="00B75BCA"/>
    <w:rsid w:val="00B75C01"/>
    <w:rsid w:val="00B75CCC"/>
    <w:rsid w:val="00B75CE5"/>
    <w:rsid w:val="00B75CFB"/>
    <w:rsid w:val="00B75D30"/>
    <w:rsid w:val="00B75D38"/>
    <w:rsid w:val="00B75D44"/>
    <w:rsid w:val="00B75DD4"/>
    <w:rsid w:val="00B75E11"/>
    <w:rsid w:val="00B75E18"/>
    <w:rsid w:val="00B75E21"/>
    <w:rsid w:val="00B75EB6"/>
    <w:rsid w:val="00B75ED9"/>
    <w:rsid w:val="00B75EE5"/>
    <w:rsid w:val="00B75F2F"/>
    <w:rsid w:val="00B75F7C"/>
    <w:rsid w:val="00B75F9B"/>
    <w:rsid w:val="00B75FD7"/>
    <w:rsid w:val="00B75FFA"/>
    <w:rsid w:val="00B76013"/>
    <w:rsid w:val="00B7602D"/>
    <w:rsid w:val="00B7604D"/>
    <w:rsid w:val="00B7607D"/>
    <w:rsid w:val="00B760D7"/>
    <w:rsid w:val="00B760FF"/>
    <w:rsid w:val="00B7613B"/>
    <w:rsid w:val="00B76141"/>
    <w:rsid w:val="00B7614F"/>
    <w:rsid w:val="00B76163"/>
    <w:rsid w:val="00B7620E"/>
    <w:rsid w:val="00B76246"/>
    <w:rsid w:val="00B76248"/>
    <w:rsid w:val="00B7625C"/>
    <w:rsid w:val="00B762AF"/>
    <w:rsid w:val="00B762BF"/>
    <w:rsid w:val="00B76352"/>
    <w:rsid w:val="00B76379"/>
    <w:rsid w:val="00B76398"/>
    <w:rsid w:val="00B76406"/>
    <w:rsid w:val="00B76422"/>
    <w:rsid w:val="00B76429"/>
    <w:rsid w:val="00B76462"/>
    <w:rsid w:val="00B76464"/>
    <w:rsid w:val="00B76499"/>
    <w:rsid w:val="00B7650F"/>
    <w:rsid w:val="00B76512"/>
    <w:rsid w:val="00B7652F"/>
    <w:rsid w:val="00B765A4"/>
    <w:rsid w:val="00B765D7"/>
    <w:rsid w:val="00B76612"/>
    <w:rsid w:val="00B76637"/>
    <w:rsid w:val="00B7665B"/>
    <w:rsid w:val="00B766F7"/>
    <w:rsid w:val="00B766FE"/>
    <w:rsid w:val="00B76746"/>
    <w:rsid w:val="00B76764"/>
    <w:rsid w:val="00B76765"/>
    <w:rsid w:val="00B76781"/>
    <w:rsid w:val="00B767C2"/>
    <w:rsid w:val="00B767FC"/>
    <w:rsid w:val="00B76804"/>
    <w:rsid w:val="00B7686A"/>
    <w:rsid w:val="00B768A5"/>
    <w:rsid w:val="00B7698E"/>
    <w:rsid w:val="00B769A6"/>
    <w:rsid w:val="00B769B4"/>
    <w:rsid w:val="00B769CC"/>
    <w:rsid w:val="00B769D4"/>
    <w:rsid w:val="00B76A36"/>
    <w:rsid w:val="00B76A78"/>
    <w:rsid w:val="00B76A9F"/>
    <w:rsid w:val="00B76AE4"/>
    <w:rsid w:val="00B76AEF"/>
    <w:rsid w:val="00B76B12"/>
    <w:rsid w:val="00B76B14"/>
    <w:rsid w:val="00B76B28"/>
    <w:rsid w:val="00B76B2C"/>
    <w:rsid w:val="00B76B30"/>
    <w:rsid w:val="00B76BA2"/>
    <w:rsid w:val="00B76BAC"/>
    <w:rsid w:val="00B76BF9"/>
    <w:rsid w:val="00B76C2B"/>
    <w:rsid w:val="00B76C8C"/>
    <w:rsid w:val="00B76CC3"/>
    <w:rsid w:val="00B76D0A"/>
    <w:rsid w:val="00B76D38"/>
    <w:rsid w:val="00B76D4E"/>
    <w:rsid w:val="00B76D79"/>
    <w:rsid w:val="00B76DA4"/>
    <w:rsid w:val="00B76E20"/>
    <w:rsid w:val="00B76E41"/>
    <w:rsid w:val="00B76E70"/>
    <w:rsid w:val="00B76E85"/>
    <w:rsid w:val="00B76EEF"/>
    <w:rsid w:val="00B76F20"/>
    <w:rsid w:val="00B76F58"/>
    <w:rsid w:val="00B77016"/>
    <w:rsid w:val="00B77061"/>
    <w:rsid w:val="00B770A0"/>
    <w:rsid w:val="00B770B3"/>
    <w:rsid w:val="00B770C3"/>
    <w:rsid w:val="00B77174"/>
    <w:rsid w:val="00B771A1"/>
    <w:rsid w:val="00B771A2"/>
    <w:rsid w:val="00B771DC"/>
    <w:rsid w:val="00B771F6"/>
    <w:rsid w:val="00B771FA"/>
    <w:rsid w:val="00B77297"/>
    <w:rsid w:val="00B772A5"/>
    <w:rsid w:val="00B772B9"/>
    <w:rsid w:val="00B772FF"/>
    <w:rsid w:val="00B77315"/>
    <w:rsid w:val="00B7731E"/>
    <w:rsid w:val="00B7732E"/>
    <w:rsid w:val="00B77360"/>
    <w:rsid w:val="00B77366"/>
    <w:rsid w:val="00B77393"/>
    <w:rsid w:val="00B773E0"/>
    <w:rsid w:val="00B7740D"/>
    <w:rsid w:val="00B77427"/>
    <w:rsid w:val="00B774A9"/>
    <w:rsid w:val="00B774D3"/>
    <w:rsid w:val="00B774D7"/>
    <w:rsid w:val="00B774F9"/>
    <w:rsid w:val="00B7752E"/>
    <w:rsid w:val="00B7755B"/>
    <w:rsid w:val="00B77581"/>
    <w:rsid w:val="00B7758A"/>
    <w:rsid w:val="00B7763C"/>
    <w:rsid w:val="00B7764D"/>
    <w:rsid w:val="00B77710"/>
    <w:rsid w:val="00B77722"/>
    <w:rsid w:val="00B77737"/>
    <w:rsid w:val="00B77782"/>
    <w:rsid w:val="00B77799"/>
    <w:rsid w:val="00B777A7"/>
    <w:rsid w:val="00B77825"/>
    <w:rsid w:val="00B7789D"/>
    <w:rsid w:val="00B778E1"/>
    <w:rsid w:val="00B7791D"/>
    <w:rsid w:val="00B77960"/>
    <w:rsid w:val="00B77990"/>
    <w:rsid w:val="00B77A9A"/>
    <w:rsid w:val="00B77B35"/>
    <w:rsid w:val="00B77B3C"/>
    <w:rsid w:val="00B77B66"/>
    <w:rsid w:val="00B77B8C"/>
    <w:rsid w:val="00B77C31"/>
    <w:rsid w:val="00B77C3E"/>
    <w:rsid w:val="00B77C59"/>
    <w:rsid w:val="00B77C5A"/>
    <w:rsid w:val="00B77C94"/>
    <w:rsid w:val="00B77CD4"/>
    <w:rsid w:val="00B77D2A"/>
    <w:rsid w:val="00B77D70"/>
    <w:rsid w:val="00B77DA8"/>
    <w:rsid w:val="00B77DD6"/>
    <w:rsid w:val="00B77DDC"/>
    <w:rsid w:val="00B77DE7"/>
    <w:rsid w:val="00B77E00"/>
    <w:rsid w:val="00B77E56"/>
    <w:rsid w:val="00B77EBE"/>
    <w:rsid w:val="00B77EDA"/>
    <w:rsid w:val="00B77F97"/>
    <w:rsid w:val="00B77FAD"/>
    <w:rsid w:val="00B77FB5"/>
    <w:rsid w:val="00B77FB7"/>
    <w:rsid w:val="00B77FFA"/>
    <w:rsid w:val="00B80069"/>
    <w:rsid w:val="00B80079"/>
    <w:rsid w:val="00B80084"/>
    <w:rsid w:val="00B800C4"/>
    <w:rsid w:val="00B800E9"/>
    <w:rsid w:val="00B80117"/>
    <w:rsid w:val="00B80147"/>
    <w:rsid w:val="00B801F6"/>
    <w:rsid w:val="00B80209"/>
    <w:rsid w:val="00B8022A"/>
    <w:rsid w:val="00B80248"/>
    <w:rsid w:val="00B80276"/>
    <w:rsid w:val="00B803EA"/>
    <w:rsid w:val="00B80441"/>
    <w:rsid w:val="00B8045D"/>
    <w:rsid w:val="00B804B3"/>
    <w:rsid w:val="00B80562"/>
    <w:rsid w:val="00B805D1"/>
    <w:rsid w:val="00B80626"/>
    <w:rsid w:val="00B8062A"/>
    <w:rsid w:val="00B8064B"/>
    <w:rsid w:val="00B8067A"/>
    <w:rsid w:val="00B80691"/>
    <w:rsid w:val="00B80695"/>
    <w:rsid w:val="00B806AB"/>
    <w:rsid w:val="00B806B4"/>
    <w:rsid w:val="00B8075E"/>
    <w:rsid w:val="00B807F6"/>
    <w:rsid w:val="00B80803"/>
    <w:rsid w:val="00B80819"/>
    <w:rsid w:val="00B80831"/>
    <w:rsid w:val="00B80833"/>
    <w:rsid w:val="00B8083D"/>
    <w:rsid w:val="00B80886"/>
    <w:rsid w:val="00B8088B"/>
    <w:rsid w:val="00B808E4"/>
    <w:rsid w:val="00B80900"/>
    <w:rsid w:val="00B80958"/>
    <w:rsid w:val="00B80963"/>
    <w:rsid w:val="00B80993"/>
    <w:rsid w:val="00B809AA"/>
    <w:rsid w:val="00B809E4"/>
    <w:rsid w:val="00B80A16"/>
    <w:rsid w:val="00B80A57"/>
    <w:rsid w:val="00B80A73"/>
    <w:rsid w:val="00B80AF7"/>
    <w:rsid w:val="00B80B4F"/>
    <w:rsid w:val="00B80BC6"/>
    <w:rsid w:val="00B80BDE"/>
    <w:rsid w:val="00B80BFE"/>
    <w:rsid w:val="00B80CBA"/>
    <w:rsid w:val="00B80CD6"/>
    <w:rsid w:val="00B80CEC"/>
    <w:rsid w:val="00B80D00"/>
    <w:rsid w:val="00B80D2D"/>
    <w:rsid w:val="00B80D31"/>
    <w:rsid w:val="00B80D7E"/>
    <w:rsid w:val="00B80D93"/>
    <w:rsid w:val="00B80D95"/>
    <w:rsid w:val="00B80DCF"/>
    <w:rsid w:val="00B80E12"/>
    <w:rsid w:val="00B80E33"/>
    <w:rsid w:val="00B80ECB"/>
    <w:rsid w:val="00B80ED8"/>
    <w:rsid w:val="00B80F72"/>
    <w:rsid w:val="00B8100F"/>
    <w:rsid w:val="00B81098"/>
    <w:rsid w:val="00B810A8"/>
    <w:rsid w:val="00B810B2"/>
    <w:rsid w:val="00B810F9"/>
    <w:rsid w:val="00B810FC"/>
    <w:rsid w:val="00B81137"/>
    <w:rsid w:val="00B81146"/>
    <w:rsid w:val="00B811C6"/>
    <w:rsid w:val="00B8126F"/>
    <w:rsid w:val="00B81271"/>
    <w:rsid w:val="00B81283"/>
    <w:rsid w:val="00B81379"/>
    <w:rsid w:val="00B81399"/>
    <w:rsid w:val="00B813C5"/>
    <w:rsid w:val="00B81424"/>
    <w:rsid w:val="00B81442"/>
    <w:rsid w:val="00B81470"/>
    <w:rsid w:val="00B814A9"/>
    <w:rsid w:val="00B814B7"/>
    <w:rsid w:val="00B814D1"/>
    <w:rsid w:val="00B814D5"/>
    <w:rsid w:val="00B814D8"/>
    <w:rsid w:val="00B81517"/>
    <w:rsid w:val="00B81522"/>
    <w:rsid w:val="00B8153F"/>
    <w:rsid w:val="00B81547"/>
    <w:rsid w:val="00B8154F"/>
    <w:rsid w:val="00B8155F"/>
    <w:rsid w:val="00B81595"/>
    <w:rsid w:val="00B8159D"/>
    <w:rsid w:val="00B815C9"/>
    <w:rsid w:val="00B8163B"/>
    <w:rsid w:val="00B81677"/>
    <w:rsid w:val="00B81692"/>
    <w:rsid w:val="00B816D2"/>
    <w:rsid w:val="00B816D7"/>
    <w:rsid w:val="00B81718"/>
    <w:rsid w:val="00B8171A"/>
    <w:rsid w:val="00B81731"/>
    <w:rsid w:val="00B81736"/>
    <w:rsid w:val="00B81747"/>
    <w:rsid w:val="00B817B1"/>
    <w:rsid w:val="00B817CB"/>
    <w:rsid w:val="00B817CD"/>
    <w:rsid w:val="00B817EC"/>
    <w:rsid w:val="00B8184A"/>
    <w:rsid w:val="00B81857"/>
    <w:rsid w:val="00B81940"/>
    <w:rsid w:val="00B81948"/>
    <w:rsid w:val="00B81950"/>
    <w:rsid w:val="00B81963"/>
    <w:rsid w:val="00B81964"/>
    <w:rsid w:val="00B819A4"/>
    <w:rsid w:val="00B81A25"/>
    <w:rsid w:val="00B81A32"/>
    <w:rsid w:val="00B81A36"/>
    <w:rsid w:val="00B81A48"/>
    <w:rsid w:val="00B81A90"/>
    <w:rsid w:val="00B81A9E"/>
    <w:rsid w:val="00B81AC3"/>
    <w:rsid w:val="00B81AC4"/>
    <w:rsid w:val="00B81ACF"/>
    <w:rsid w:val="00B81AE0"/>
    <w:rsid w:val="00B81B13"/>
    <w:rsid w:val="00B81B1B"/>
    <w:rsid w:val="00B81B9C"/>
    <w:rsid w:val="00B81BED"/>
    <w:rsid w:val="00B81C3D"/>
    <w:rsid w:val="00B81C8B"/>
    <w:rsid w:val="00B81CB6"/>
    <w:rsid w:val="00B81CD2"/>
    <w:rsid w:val="00B81CEE"/>
    <w:rsid w:val="00B81D73"/>
    <w:rsid w:val="00B81D76"/>
    <w:rsid w:val="00B81DE4"/>
    <w:rsid w:val="00B81DE6"/>
    <w:rsid w:val="00B81E3C"/>
    <w:rsid w:val="00B81E99"/>
    <w:rsid w:val="00B81EAE"/>
    <w:rsid w:val="00B81F22"/>
    <w:rsid w:val="00B81F5B"/>
    <w:rsid w:val="00B81F67"/>
    <w:rsid w:val="00B81F6C"/>
    <w:rsid w:val="00B81FA2"/>
    <w:rsid w:val="00B8206F"/>
    <w:rsid w:val="00B8209D"/>
    <w:rsid w:val="00B820C7"/>
    <w:rsid w:val="00B820EF"/>
    <w:rsid w:val="00B8213C"/>
    <w:rsid w:val="00B821CC"/>
    <w:rsid w:val="00B82233"/>
    <w:rsid w:val="00B8224D"/>
    <w:rsid w:val="00B82272"/>
    <w:rsid w:val="00B82273"/>
    <w:rsid w:val="00B82295"/>
    <w:rsid w:val="00B8229A"/>
    <w:rsid w:val="00B822C7"/>
    <w:rsid w:val="00B822F6"/>
    <w:rsid w:val="00B822FC"/>
    <w:rsid w:val="00B8231A"/>
    <w:rsid w:val="00B82367"/>
    <w:rsid w:val="00B8239F"/>
    <w:rsid w:val="00B823A3"/>
    <w:rsid w:val="00B8245B"/>
    <w:rsid w:val="00B8249D"/>
    <w:rsid w:val="00B824D4"/>
    <w:rsid w:val="00B824FA"/>
    <w:rsid w:val="00B82506"/>
    <w:rsid w:val="00B8250E"/>
    <w:rsid w:val="00B8252A"/>
    <w:rsid w:val="00B82540"/>
    <w:rsid w:val="00B8254C"/>
    <w:rsid w:val="00B82591"/>
    <w:rsid w:val="00B825B4"/>
    <w:rsid w:val="00B825BF"/>
    <w:rsid w:val="00B825C9"/>
    <w:rsid w:val="00B825DA"/>
    <w:rsid w:val="00B82621"/>
    <w:rsid w:val="00B8262D"/>
    <w:rsid w:val="00B82638"/>
    <w:rsid w:val="00B826C1"/>
    <w:rsid w:val="00B826E6"/>
    <w:rsid w:val="00B826F2"/>
    <w:rsid w:val="00B82785"/>
    <w:rsid w:val="00B8279F"/>
    <w:rsid w:val="00B827B0"/>
    <w:rsid w:val="00B827F9"/>
    <w:rsid w:val="00B82804"/>
    <w:rsid w:val="00B8283F"/>
    <w:rsid w:val="00B82844"/>
    <w:rsid w:val="00B82858"/>
    <w:rsid w:val="00B828BC"/>
    <w:rsid w:val="00B828CA"/>
    <w:rsid w:val="00B828CB"/>
    <w:rsid w:val="00B8296E"/>
    <w:rsid w:val="00B829AC"/>
    <w:rsid w:val="00B829BD"/>
    <w:rsid w:val="00B82A30"/>
    <w:rsid w:val="00B82A6B"/>
    <w:rsid w:val="00B82A8A"/>
    <w:rsid w:val="00B82B08"/>
    <w:rsid w:val="00B82B47"/>
    <w:rsid w:val="00B82BB4"/>
    <w:rsid w:val="00B82C19"/>
    <w:rsid w:val="00B82C5A"/>
    <w:rsid w:val="00B82C8F"/>
    <w:rsid w:val="00B82C90"/>
    <w:rsid w:val="00B82CEB"/>
    <w:rsid w:val="00B82D46"/>
    <w:rsid w:val="00B82D54"/>
    <w:rsid w:val="00B82D75"/>
    <w:rsid w:val="00B82DD0"/>
    <w:rsid w:val="00B82DFC"/>
    <w:rsid w:val="00B82E78"/>
    <w:rsid w:val="00B82EE8"/>
    <w:rsid w:val="00B82FFC"/>
    <w:rsid w:val="00B8302E"/>
    <w:rsid w:val="00B83036"/>
    <w:rsid w:val="00B8304A"/>
    <w:rsid w:val="00B8308B"/>
    <w:rsid w:val="00B830D0"/>
    <w:rsid w:val="00B830E5"/>
    <w:rsid w:val="00B83108"/>
    <w:rsid w:val="00B8311F"/>
    <w:rsid w:val="00B831F3"/>
    <w:rsid w:val="00B83231"/>
    <w:rsid w:val="00B8326A"/>
    <w:rsid w:val="00B83270"/>
    <w:rsid w:val="00B83280"/>
    <w:rsid w:val="00B832D9"/>
    <w:rsid w:val="00B83315"/>
    <w:rsid w:val="00B83344"/>
    <w:rsid w:val="00B83367"/>
    <w:rsid w:val="00B833B8"/>
    <w:rsid w:val="00B833DB"/>
    <w:rsid w:val="00B8341E"/>
    <w:rsid w:val="00B83435"/>
    <w:rsid w:val="00B8343A"/>
    <w:rsid w:val="00B83440"/>
    <w:rsid w:val="00B834A9"/>
    <w:rsid w:val="00B834BD"/>
    <w:rsid w:val="00B83506"/>
    <w:rsid w:val="00B835A9"/>
    <w:rsid w:val="00B83605"/>
    <w:rsid w:val="00B8361D"/>
    <w:rsid w:val="00B8362E"/>
    <w:rsid w:val="00B8364B"/>
    <w:rsid w:val="00B83661"/>
    <w:rsid w:val="00B836AC"/>
    <w:rsid w:val="00B8372F"/>
    <w:rsid w:val="00B8373C"/>
    <w:rsid w:val="00B8377B"/>
    <w:rsid w:val="00B837A4"/>
    <w:rsid w:val="00B837D9"/>
    <w:rsid w:val="00B83869"/>
    <w:rsid w:val="00B8386A"/>
    <w:rsid w:val="00B8388A"/>
    <w:rsid w:val="00B838BC"/>
    <w:rsid w:val="00B83912"/>
    <w:rsid w:val="00B8396C"/>
    <w:rsid w:val="00B83A09"/>
    <w:rsid w:val="00B83A76"/>
    <w:rsid w:val="00B83A82"/>
    <w:rsid w:val="00B83A9E"/>
    <w:rsid w:val="00B83AF7"/>
    <w:rsid w:val="00B83B02"/>
    <w:rsid w:val="00B83B6C"/>
    <w:rsid w:val="00B83B73"/>
    <w:rsid w:val="00B83B8D"/>
    <w:rsid w:val="00B83B98"/>
    <w:rsid w:val="00B83BAF"/>
    <w:rsid w:val="00B83C9A"/>
    <w:rsid w:val="00B83CB3"/>
    <w:rsid w:val="00B83D17"/>
    <w:rsid w:val="00B83D3F"/>
    <w:rsid w:val="00B83D69"/>
    <w:rsid w:val="00B83DD9"/>
    <w:rsid w:val="00B83E08"/>
    <w:rsid w:val="00B83E0E"/>
    <w:rsid w:val="00B83E46"/>
    <w:rsid w:val="00B83E49"/>
    <w:rsid w:val="00B83E5F"/>
    <w:rsid w:val="00B83E76"/>
    <w:rsid w:val="00B83EB9"/>
    <w:rsid w:val="00B83EC4"/>
    <w:rsid w:val="00B83ED1"/>
    <w:rsid w:val="00B83EE4"/>
    <w:rsid w:val="00B83F38"/>
    <w:rsid w:val="00B83F64"/>
    <w:rsid w:val="00B83FA7"/>
    <w:rsid w:val="00B83FDE"/>
    <w:rsid w:val="00B84015"/>
    <w:rsid w:val="00B84037"/>
    <w:rsid w:val="00B84048"/>
    <w:rsid w:val="00B840EA"/>
    <w:rsid w:val="00B84115"/>
    <w:rsid w:val="00B841F0"/>
    <w:rsid w:val="00B841F4"/>
    <w:rsid w:val="00B84215"/>
    <w:rsid w:val="00B84247"/>
    <w:rsid w:val="00B84274"/>
    <w:rsid w:val="00B842B1"/>
    <w:rsid w:val="00B842C5"/>
    <w:rsid w:val="00B84301"/>
    <w:rsid w:val="00B84313"/>
    <w:rsid w:val="00B8433A"/>
    <w:rsid w:val="00B84385"/>
    <w:rsid w:val="00B843AB"/>
    <w:rsid w:val="00B84417"/>
    <w:rsid w:val="00B84454"/>
    <w:rsid w:val="00B844AC"/>
    <w:rsid w:val="00B844B6"/>
    <w:rsid w:val="00B844E3"/>
    <w:rsid w:val="00B84515"/>
    <w:rsid w:val="00B84560"/>
    <w:rsid w:val="00B84599"/>
    <w:rsid w:val="00B845F8"/>
    <w:rsid w:val="00B84621"/>
    <w:rsid w:val="00B84627"/>
    <w:rsid w:val="00B8464E"/>
    <w:rsid w:val="00B84683"/>
    <w:rsid w:val="00B846A2"/>
    <w:rsid w:val="00B846E6"/>
    <w:rsid w:val="00B846F4"/>
    <w:rsid w:val="00B8470F"/>
    <w:rsid w:val="00B84761"/>
    <w:rsid w:val="00B8478A"/>
    <w:rsid w:val="00B84796"/>
    <w:rsid w:val="00B847C0"/>
    <w:rsid w:val="00B847D8"/>
    <w:rsid w:val="00B84885"/>
    <w:rsid w:val="00B8488D"/>
    <w:rsid w:val="00B84898"/>
    <w:rsid w:val="00B848C0"/>
    <w:rsid w:val="00B8491C"/>
    <w:rsid w:val="00B84938"/>
    <w:rsid w:val="00B84940"/>
    <w:rsid w:val="00B84999"/>
    <w:rsid w:val="00B849C7"/>
    <w:rsid w:val="00B849F1"/>
    <w:rsid w:val="00B84A14"/>
    <w:rsid w:val="00B84A48"/>
    <w:rsid w:val="00B84A4D"/>
    <w:rsid w:val="00B84AB6"/>
    <w:rsid w:val="00B84AE1"/>
    <w:rsid w:val="00B84AF8"/>
    <w:rsid w:val="00B84B21"/>
    <w:rsid w:val="00B84B79"/>
    <w:rsid w:val="00B84BE6"/>
    <w:rsid w:val="00B84C1E"/>
    <w:rsid w:val="00B84C46"/>
    <w:rsid w:val="00B84CB7"/>
    <w:rsid w:val="00B84CC0"/>
    <w:rsid w:val="00B84CF3"/>
    <w:rsid w:val="00B84D15"/>
    <w:rsid w:val="00B84D24"/>
    <w:rsid w:val="00B84DD4"/>
    <w:rsid w:val="00B84E1D"/>
    <w:rsid w:val="00B84E1E"/>
    <w:rsid w:val="00B84E4F"/>
    <w:rsid w:val="00B84EA0"/>
    <w:rsid w:val="00B84EA2"/>
    <w:rsid w:val="00B84F41"/>
    <w:rsid w:val="00B84F7D"/>
    <w:rsid w:val="00B84FA1"/>
    <w:rsid w:val="00B84FE0"/>
    <w:rsid w:val="00B85027"/>
    <w:rsid w:val="00B85042"/>
    <w:rsid w:val="00B85053"/>
    <w:rsid w:val="00B8506D"/>
    <w:rsid w:val="00B85081"/>
    <w:rsid w:val="00B85087"/>
    <w:rsid w:val="00B850AD"/>
    <w:rsid w:val="00B850AE"/>
    <w:rsid w:val="00B8510C"/>
    <w:rsid w:val="00B85155"/>
    <w:rsid w:val="00B851B1"/>
    <w:rsid w:val="00B8522D"/>
    <w:rsid w:val="00B85246"/>
    <w:rsid w:val="00B85260"/>
    <w:rsid w:val="00B85291"/>
    <w:rsid w:val="00B852A0"/>
    <w:rsid w:val="00B852B2"/>
    <w:rsid w:val="00B852F3"/>
    <w:rsid w:val="00B8534F"/>
    <w:rsid w:val="00B853A6"/>
    <w:rsid w:val="00B853E0"/>
    <w:rsid w:val="00B853FA"/>
    <w:rsid w:val="00B85405"/>
    <w:rsid w:val="00B85427"/>
    <w:rsid w:val="00B8543E"/>
    <w:rsid w:val="00B8545D"/>
    <w:rsid w:val="00B8546A"/>
    <w:rsid w:val="00B85472"/>
    <w:rsid w:val="00B8547D"/>
    <w:rsid w:val="00B85483"/>
    <w:rsid w:val="00B85573"/>
    <w:rsid w:val="00B85583"/>
    <w:rsid w:val="00B85589"/>
    <w:rsid w:val="00B855E6"/>
    <w:rsid w:val="00B8563A"/>
    <w:rsid w:val="00B85652"/>
    <w:rsid w:val="00B85654"/>
    <w:rsid w:val="00B8569A"/>
    <w:rsid w:val="00B856F1"/>
    <w:rsid w:val="00B85706"/>
    <w:rsid w:val="00B85795"/>
    <w:rsid w:val="00B85826"/>
    <w:rsid w:val="00B8582C"/>
    <w:rsid w:val="00B8582F"/>
    <w:rsid w:val="00B8584E"/>
    <w:rsid w:val="00B85879"/>
    <w:rsid w:val="00B8589D"/>
    <w:rsid w:val="00B858B1"/>
    <w:rsid w:val="00B858DC"/>
    <w:rsid w:val="00B85902"/>
    <w:rsid w:val="00B85909"/>
    <w:rsid w:val="00B85970"/>
    <w:rsid w:val="00B85A3B"/>
    <w:rsid w:val="00B85A57"/>
    <w:rsid w:val="00B85A74"/>
    <w:rsid w:val="00B85A9E"/>
    <w:rsid w:val="00B85AAB"/>
    <w:rsid w:val="00B85AE1"/>
    <w:rsid w:val="00B85B0E"/>
    <w:rsid w:val="00B85BEB"/>
    <w:rsid w:val="00B85C20"/>
    <w:rsid w:val="00B85C7F"/>
    <w:rsid w:val="00B85CC0"/>
    <w:rsid w:val="00B85CE0"/>
    <w:rsid w:val="00B85D6F"/>
    <w:rsid w:val="00B85D74"/>
    <w:rsid w:val="00B85D87"/>
    <w:rsid w:val="00B85DE2"/>
    <w:rsid w:val="00B85DED"/>
    <w:rsid w:val="00B85E11"/>
    <w:rsid w:val="00B85E36"/>
    <w:rsid w:val="00B85E42"/>
    <w:rsid w:val="00B85E49"/>
    <w:rsid w:val="00B85E4C"/>
    <w:rsid w:val="00B85E69"/>
    <w:rsid w:val="00B85E75"/>
    <w:rsid w:val="00B85EA9"/>
    <w:rsid w:val="00B85F2E"/>
    <w:rsid w:val="00B85FB6"/>
    <w:rsid w:val="00B86011"/>
    <w:rsid w:val="00B8603D"/>
    <w:rsid w:val="00B86068"/>
    <w:rsid w:val="00B86072"/>
    <w:rsid w:val="00B860A2"/>
    <w:rsid w:val="00B860AF"/>
    <w:rsid w:val="00B860E9"/>
    <w:rsid w:val="00B86109"/>
    <w:rsid w:val="00B86172"/>
    <w:rsid w:val="00B861B5"/>
    <w:rsid w:val="00B8622B"/>
    <w:rsid w:val="00B86255"/>
    <w:rsid w:val="00B86299"/>
    <w:rsid w:val="00B862A8"/>
    <w:rsid w:val="00B862B5"/>
    <w:rsid w:val="00B8630F"/>
    <w:rsid w:val="00B86346"/>
    <w:rsid w:val="00B86375"/>
    <w:rsid w:val="00B863AB"/>
    <w:rsid w:val="00B863D3"/>
    <w:rsid w:val="00B86404"/>
    <w:rsid w:val="00B86419"/>
    <w:rsid w:val="00B86459"/>
    <w:rsid w:val="00B864B9"/>
    <w:rsid w:val="00B864BB"/>
    <w:rsid w:val="00B864DD"/>
    <w:rsid w:val="00B86533"/>
    <w:rsid w:val="00B8657C"/>
    <w:rsid w:val="00B865AF"/>
    <w:rsid w:val="00B865BB"/>
    <w:rsid w:val="00B865BF"/>
    <w:rsid w:val="00B865D7"/>
    <w:rsid w:val="00B865E5"/>
    <w:rsid w:val="00B86617"/>
    <w:rsid w:val="00B86638"/>
    <w:rsid w:val="00B86651"/>
    <w:rsid w:val="00B86672"/>
    <w:rsid w:val="00B866C3"/>
    <w:rsid w:val="00B866C5"/>
    <w:rsid w:val="00B866F9"/>
    <w:rsid w:val="00B8671A"/>
    <w:rsid w:val="00B86727"/>
    <w:rsid w:val="00B8674A"/>
    <w:rsid w:val="00B8674C"/>
    <w:rsid w:val="00B86756"/>
    <w:rsid w:val="00B86758"/>
    <w:rsid w:val="00B8678C"/>
    <w:rsid w:val="00B867B4"/>
    <w:rsid w:val="00B867F2"/>
    <w:rsid w:val="00B86828"/>
    <w:rsid w:val="00B8686E"/>
    <w:rsid w:val="00B8687E"/>
    <w:rsid w:val="00B8689E"/>
    <w:rsid w:val="00B868F8"/>
    <w:rsid w:val="00B868FD"/>
    <w:rsid w:val="00B86915"/>
    <w:rsid w:val="00B86950"/>
    <w:rsid w:val="00B869C7"/>
    <w:rsid w:val="00B869D0"/>
    <w:rsid w:val="00B86A67"/>
    <w:rsid w:val="00B86AD3"/>
    <w:rsid w:val="00B86AFB"/>
    <w:rsid w:val="00B86B49"/>
    <w:rsid w:val="00B86B60"/>
    <w:rsid w:val="00B86B65"/>
    <w:rsid w:val="00B86BE3"/>
    <w:rsid w:val="00B86C2D"/>
    <w:rsid w:val="00B86C96"/>
    <w:rsid w:val="00B86C9F"/>
    <w:rsid w:val="00B86CE9"/>
    <w:rsid w:val="00B86CEE"/>
    <w:rsid w:val="00B86D1F"/>
    <w:rsid w:val="00B86D28"/>
    <w:rsid w:val="00B86D3E"/>
    <w:rsid w:val="00B86D4C"/>
    <w:rsid w:val="00B86D60"/>
    <w:rsid w:val="00B86D92"/>
    <w:rsid w:val="00B86DEC"/>
    <w:rsid w:val="00B86DEF"/>
    <w:rsid w:val="00B86DF8"/>
    <w:rsid w:val="00B86E10"/>
    <w:rsid w:val="00B86E22"/>
    <w:rsid w:val="00B86E83"/>
    <w:rsid w:val="00B86F7F"/>
    <w:rsid w:val="00B86F81"/>
    <w:rsid w:val="00B86F9E"/>
    <w:rsid w:val="00B86FB9"/>
    <w:rsid w:val="00B86FEF"/>
    <w:rsid w:val="00B87017"/>
    <w:rsid w:val="00B8704E"/>
    <w:rsid w:val="00B87090"/>
    <w:rsid w:val="00B870BC"/>
    <w:rsid w:val="00B87124"/>
    <w:rsid w:val="00B8712F"/>
    <w:rsid w:val="00B8715D"/>
    <w:rsid w:val="00B8716D"/>
    <w:rsid w:val="00B871AF"/>
    <w:rsid w:val="00B8726D"/>
    <w:rsid w:val="00B87278"/>
    <w:rsid w:val="00B8729D"/>
    <w:rsid w:val="00B872C5"/>
    <w:rsid w:val="00B872D7"/>
    <w:rsid w:val="00B87348"/>
    <w:rsid w:val="00B873AB"/>
    <w:rsid w:val="00B873AC"/>
    <w:rsid w:val="00B873D9"/>
    <w:rsid w:val="00B873DF"/>
    <w:rsid w:val="00B873F7"/>
    <w:rsid w:val="00B8740F"/>
    <w:rsid w:val="00B87475"/>
    <w:rsid w:val="00B874FC"/>
    <w:rsid w:val="00B87520"/>
    <w:rsid w:val="00B8758E"/>
    <w:rsid w:val="00B875B6"/>
    <w:rsid w:val="00B87619"/>
    <w:rsid w:val="00B8761E"/>
    <w:rsid w:val="00B87635"/>
    <w:rsid w:val="00B876D8"/>
    <w:rsid w:val="00B8779A"/>
    <w:rsid w:val="00B877A8"/>
    <w:rsid w:val="00B877FB"/>
    <w:rsid w:val="00B87806"/>
    <w:rsid w:val="00B87816"/>
    <w:rsid w:val="00B87857"/>
    <w:rsid w:val="00B8787C"/>
    <w:rsid w:val="00B878D5"/>
    <w:rsid w:val="00B878E4"/>
    <w:rsid w:val="00B87943"/>
    <w:rsid w:val="00B8795F"/>
    <w:rsid w:val="00B87977"/>
    <w:rsid w:val="00B879EC"/>
    <w:rsid w:val="00B87A0A"/>
    <w:rsid w:val="00B87A24"/>
    <w:rsid w:val="00B87ABC"/>
    <w:rsid w:val="00B87B06"/>
    <w:rsid w:val="00B87B19"/>
    <w:rsid w:val="00B87BAB"/>
    <w:rsid w:val="00B87BB1"/>
    <w:rsid w:val="00B87BE0"/>
    <w:rsid w:val="00B87BF7"/>
    <w:rsid w:val="00B87BFC"/>
    <w:rsid w:val="00B87C2A"/>
    <w:rsid w:val="00B87C35"/>
    <w:rsid w:val="00B87CB6"/>
    <w:rsid w:val="00B87CE4"/>
    <w:rsid w:val="00B87D32"/>
    <w:rsid w:val="00B87D7C"/>
    <w:rsid w:val="00B87D8F"/>
    <w:rsid w:val="00B87DA2"/>
    <w:rsid w:val="00B87DBA"/>
    <w:rsid w:val="00B87DD6"/>
    <w:rsid w:val="00B87DEB"/>
    <w:rsid w:val="00B87E0B"/>
    <w:rsid w:val="00B87E48"/>
    <w:rsid w:val="00B87E66"/>
    <w:rsid w:val="00B87E71"/>
    <w:rsid w:val="00B87E8D"/>
    <w:rsid w:val="00B87E8E"/>
    <w:rsid w:val="00B87F36"/>
    <w:rsid w:val="00B87F53"/>
    <w:rsid w:val="00B87F60"/>
    <w:rsid w:val="00B87F67"/>
    <w:rsid w:val="00B87F7C"/>
    <w:rsid w:val="00B87F96"/>
    <w:rsid w:val="00B87FED"/>
    <w:rsid w:val="00B90044"/>
    <w:rsid w:val="00B90045"/>
    <w:rsid w:val="00B9009A"/>
    <w:rsid w:val="00B9009C"/>
    <w:rsid w:val="00B900B0"/>
    <w:rsid w:val="00B900BB"/>
    <w:rsid w:val="00B900C4"/>
    <w:rsid w:val="00B900E3"/>
    <w:rsid w:val="00B900E6"/>
    <w:rsid w:val="00B9019A"/>
    <w:rsid w:val="00B90207"/>
    <w:rsid w:val="00B90279"/>
    <w:rsid w:val="00B90280"/>
    <w:rsid w:val="00B9028D"/>
    <w:rsid w:val="00B90296"/>
    <w:rsid w:val="00B902D9"/>
    <w:rsid w:val="00B902EE"/>
    <w:rsid w:val="00B90352"/>
    <w:rsid w:val="00B903B5"/>
    <w:rsid w:val="00B903B6"/>
    <w:rsid w:val="00B903F6"/>
    <w:rsid w:val="00B9042F"/>
    <w:rsid w:val="00B9043E"/>
    <w:rsid w:val="00B9044C"/>
    <w:rsid w:val="00B90475"/>
    <w:rsid w:val="00B90537"/>
    <w:rsid w:val="00B90598"/>
    <w:rsid w:val="00B905BB"/>
    <w:rsid w:val="00B905E0"/>
    <w:rsid w:val="00B9061B"/>
    <w:rsid w:val="00B90629"/>
    <w:rsid w:val="00B90684"/>
    <w:rsid w:val="00B906AD"/>
    <w:rsid w:val="00B90729"/>
    <w:rsid w:val="00B9073F"/>
    <w:rsid w:val="00B9078C"/>
    <w:rsid w:val="00B90818"/>
    <w:rsid w:val="00B90831"/>
    <w:rsid w:val="00B9087B"/>
    <w:rsid w:val="00B908FD"/>
    <w:rsid w:val="00B90919"/>
    <w:rsid w:val="00B90923"/>
    <w:rsid w:val="00B90926"/>
    <w:rsid w:val="00B90933"/>
    <w:rsid w:val="00B90A20"/>
    <w:rsid w:val="00B90A33"/>
    <w:rsid w:val="00B90A62"/>
    <w:rsid w:val="00B90A80"/>
    <w:rsid w:val="00B90A87"/>
    <w:rsid w:val="00B90ABD"/>
    <w:rsid w:val="00B90CD4"/>
    <w:rsid w:val="00B90D36"/>
    <w:rsid w:val="00B90D3C"/>
    <w:rsid w:val="00B90D83"/>
    <w:rsid w:val="00B90D85"/>
    <w:rsid w:val="00B90D92"/>
    <w:rsid w:val="00B90DFE"/>
    <w:rsid w:val="00B90E5F"/>
    <w:rsid w:val="00B90EAB"/>
    <w:rsid w:val="00B90F1E"/>
    <w:rsid w:val="00B90F3A"/>
    <w:rsid w:val="00B90F7A"/>
    <w:rsid w:val="00B90F9D"/>
    <w:rsid w:val="00B90FAB"/>
    <w:rsid w:val="00B90FCF"/>
    <w:rsid w:val="00B910A4"/>
    <w:rsid w:val="00B910B5"/>
    <w:rsid w:val="00B910E3"/>
    <w:rsid w:val="00B91106"/>
    <w:rsid w:val="00B91112"/>
    <w:rsid w:val="00B91148"/>
    <w:rsid w:val="00B9117B"/>
    <w:rsid w:val="00B91194"/>
    <w:rsid w:val="00B911AE"/>
    <w:rsid w:val="00B911B2"/>
    <w:rsid w:val="00B911C0"/>
    <w:rsid w:val="00B911DB"/>
    <w:rsid w:val="00B912AA"/>
    <w:rsid w:val="00B912BC"/>
    <w:rsid w:val="00B912D4"/>
    <w:rsid w:val="00B912FE"/>
    <w:rsid w:val="00B91317"/>
    <w:rsid w:val="00B9132C"/>
    <w:rsid w:val="00B91350"/>
    <w:rsid w:val="00B9135A"/>
    <w:rsid w:val="00B9135D"/>
    <w:rsid w:val="00B9136D"/>
    <w:rsid w:val="00B913DF"/>
    <w:rsid w:val="00B913F6"/>
    <w:rsid w:val="00B91431"/>
    <w:rsid w:val="00B91457"/>
    <w:rsid w:val="00B91461"/>
    <w:rsid w:val="00B9147A"/>
    <w:rsid w:val="00B9149D"/>
    <w:rsid w:val="00B914FE"/>
    <w:rsid w:val="00B91514"/>
    <w:rsid w:val="00B91556"/>
    <w:rsid w:val="00B9159A"/>
    <w:rsid w:val="00B915AB"/>
    <w:rsid w:val="00B915AC"/>
    <w:rsid w:val="00B9169D"/>
    <w:rsid w:val="00B916D1"/>
    <w:rsid w:val="00B9172D"/>
    <w:rsid w:val="00B91742"/>
    <w:rsid w:val="00B9176A"/>
    <w:rsid w:val="00B9178E"/>
    <w:rsid w:val="00B91808"/>
    <w:rsid w:val="00B9180F"/>
    <w:rsid w:val="00B91812"/>
    <w:rsid w:val="00B9181A"/>
    <w:rsid w:val="00B91840"/>
    <w:rsid w:val="00B9185A"/>
    <w:rsid w:val="00B91890"/>
    <w:rsid w:val="00B9191C"/>
    <w:rsid w:val="00B91A22"/>
    <w:rsid w:val="00B91A2B"/>
    <w:rsid w:val="00B91AE9"/>
    <w:rsid w:val="00B91AFF"/>
    <w:rsid w:val="00B91B1C"/>
    <w:rsid w:val="00B91B54"/>
    <w:rsid w:val="00B91B96"/>
    <w:rsid w:val="00B91BE5"/>
    <w:rsid w:val="00B91C42"/>
    <w:rsid w:val="00B91C45"/>
    <w:rsid w:val="00B91C55"/>
    <w:rsid w:val="00B91C56"/>
    <w:rsid w:val="00B91C76"/>
    <w:rsid w:val="00B91C91"/>
    <w:rsid w:val="00B91CB5"/>
    <w:rsid w:val="00B91CDB"/>
    <w:rsid w:val="00B91D10"/>
    <w:rsid w:val="00B91D1C"/>
    <w:rsid w:val="00B91D26"/>
    <w:rsid w:val="00B91D81"/>
    <w:rsid w:val="00B91EA5"/>
    <w:rsid w:val="00B91EC3"/>
    <w:rsid w:val="00B91ED7"/>
    <w:rsid w:val="00B91F0A"/>
    <w:rsid w:val="00B91F67"/>
    <w:rsid w:val="00B91F84"/>
    <w:rsid w:val="00B91FC9"/>
    <w:rsid w:val="00B9203A"/>
    <w:rsid w:val="00B9203D"/>
    <w:rsid w:val="00B9208B"/>
    <w:rsid w:val="00B920DE"/>
    <w:rsid w:val="00B920F1"/>
    <w:rsid w:val="00B921B6"/>
    <w:rsid w:val="00B921BA"/>
    <w:rsid w:val="00B921E2"/>
    <w:rsid w:val="00B92218"/>
    <w:rsid w:val="00B92257"/>
    <w:rsid w:val="00B92267"/>
    <w:rsid w:val="00B9226E"/>
    <w:rsid w:val="00B922AF"/>
    <w:rsid w:val="00B92301"/>
    <w:rsid w:val="00B92343"/>
    <w:rsid w:val="00B92382"/>
    <w:rsid w:val="00B92399"/>
    <w:rsid w:val="00B92466"/>
    <w:rsid w:val="00B9248C"/>
    <w:rsid w:val="00B924A3"/>
    <w:rsid w:val="00B924E0"/>
    <w:rsid w:val="00B92504"/>
    <w:rsid w:val="00B92505"/>
    <w:rsid w:val="00B9255D"/>
    <w:rsid w:val="00B92564"/>
    <w:rsid w:val="00B92577"/>
    <w:rsid w:val="00B92586"/>
    <w:rsid w:val="00B92588"/>
    <w:rsid w:val="00B925C6"/>
    <w:rsid w:val="00B925C8"/>
    <w:rsid w:val="00B92601"/>
    <w:rsid w:val="00B92618"/>
    <w:rsid w:val="00B9267D"/>
    <w:rsid w:val="00B92690"/>
    <w:rsid w:val="00B926A2"/>
    <w:rsid w:val="00B926E7"/>
    <w:rsid w:val="00B926FB"/>
    <w:rsid w:val="00B927F5"/>
    <w:rsid w:val="00B92858"/>
    <w:rsid w:val="00B92892"/>
    <w:rsid w:val="00B92908"/>
    <w:rsid w:val="00B92927"/>
    <w:rsid w:val="00B9295F"/>
    <w:rsid w:val="00B929B8"/>
    <w:rsid w:val="00B929FF"/>
    <w:rsid w:val="00B92A0E"/>
    <w:rsid w:val="00B92A40"/>
    <w:rsid w:val="00B92A66"/>
    <w:rsid w:val="00B92A74"/>
    <w:rsid w:val="00B92ABB"/>
    <w:rsid w:val="00B92AD2"/>
    <w:rsid w:val="00B92AF3"/>
    <w:rsid w:val="00B92B1C"/>
    <w:rsid w:val="00B92B39"/>
    <w:rsid w:val="00B92B3B"/>
    <w:rsid w:val="00B92B47"/>
    <w:rsid w:val="00B92C03"/>
    <w:rsid w:val="00B92C35"/>
    <w:rsid w:val="00B92CB9"/>
    <w:rsid w:val="00B92CDC"/>
    <w:rsid w:val="00B92CF4"/>
    <w:rsid w:val="00B92D0D"/>
    <w:rsid w:val="00B92D27"/>
    <w:rsid w:val="00B92D49"/>
    <w:rsid w:val="00B92D6D"/>
    <w:rsid w:val="00B92DC2"/>
    <w:rsid w:val="00B92E06"/>
    <w:rsid w:val="00B92E17"/>
    <w:rsid w:val="00B92E23"/>
    <w:rsid w:val="00B92E8D"/>
    <w:rsid w:val="00B92EBD"/>
    <w:rsid w:val="00B92EC3"/>
    <w:rsid w:val="00B92ECD"/>
    <w:rsid w:val="00B92F22"/>
    <w:rsid w:val="00B92F94"/>
    <w:rsid w:val="00B92FE9"/>
    <w:rsid w:val="00B92FF9"/>
    <w:rsid w:val="00B9301A"/>
    <w:rsid w:val="00B93036"/>
    <w:rsid w:val="00B930BE"/>
    <w:rsid w:val="00B930CD"/>
    <w:rsid w:val="00B93143"/>
    <w:rsid w:val="00B9314B"/>
    <w:rsid w:val="00B93198"/>
    <w:rsid w:val="00B931D5"/>
    <w:rsid w:val="00B93221"/>
    <w:rsid w:val="00B9323D"/>
    <w:rsid w:val="00B93277"/>
    <w:rsid w:val="00B9328E"/>
    <w:rsid w:val="00B932C7"/>
    <w:rsid w:val="00B932FC"/>
    <w:rsid w:val="00B9332C"/>
    <w:rsid w:val="00B93388"/>
    <w:rsid w:val="00B933A9"/>
    <w:rsid w:val="00B933BD"/>
    <w:rsid w:val="00B933D9"/>
    <w:rsid w:val="00B933FD"/>
    <w:rsid w:val="00B934A5"/>
    <w:rsid w:val="00B934E7"/>
    <w:rsid w:val="00B93510"/>
    <w:rsid w:val="00B93546"/>
    <w:rsid w:val="00B9358D"/>
    <w:rsid w:val="00B935EC"/>
    <w:rsid w:val="00B93622"/>
    <w:rsid w:val="00B93632"/>
    <w:rsid w:val="00B93663"/>
    <w:rsid w:val="00B936A4"/>
    <w:rsid w:val="00B936CA"/>
    <w:rsid w:val="00B93738"/>
    <w:rsid w:val="00B93752"/>
    <w:rsid w:val="00B93766"/>
    <w:rsid w:val="00B93767"/>
    <w:rsid w:val="00B9376F"/>
    <w:rsid w:val="00B937A8"/>
    <w:rsid w:val="00B93806"/>
    <w:rsid w:val="00B93836"/>
    <w:rsid w:val="00B93867"/>
    <w:rsid w:val="00B938C1"/>
    <w:rsid w:val="00B9390A"/>
    <w:rsid w:val="00B9396A"/>
    <w:rsid w:val="00B9399A"/>
    <w:rsid w:val="00B939F4"/>
    <w:rsid w:val="00B93A2D"/>
    <w:rsid w:val="00B93A33"/>
    <w:rsid w:val="00B93A9D"/>
    <w:rsid w:val="00B93AB3"/>
    <w:rsid w:val="00B93AE2"/>
    <w:rsid w:val="00B93AFC"/>
    <w:rsid w:val="00B93B07"/>
    <w:rsid w:val="00B93B0A"/>
    <w:rsid w:val="00B93B1A"/>
    <w:rsid w:val="00B93B20"/>
    <w:rsid w:val="00B93B91"/>
    <w:rsid w:val="00B93B94"/>
    <w:rsid w:val="00B93BCF"/>
    <w:rsid w:val="00B93C70"/>
    <w:rsid w:val="00B93C78"/>
    <w:rsid w:val="00B93CEC"/>
    <w:rsid w:val="00B93CF3"/>
    <w:rsid w:val="00B93D0F"/>
    <w:rsid w:val="00B93DD1"/>
    <w:rsid w:val="00B93DDC"/>
    <w:rsid w:val="00B93DFC"/>
    <w:rsid w:val="00B93E03"/>
    <w:rsid w:val="00B93E32"/>
    <w:rsid w:val="00B93EEC"/>
    <w:rsid w:val="00B93F25"/>
    <w:rsid w:val="00B93F5D"/>
    <w:rsid w:val="00B93FF7"/>
    <w:rsid w:val="00B9401B"/>
    <w:rsid w:val="00B94043"/>
    <w:rsid w:val="00B94066"/>
    <w:rsid w:val="00B940D0"/>
    <w:rsid w:val="00B941B7"/>
    <w:rsid w:val="00B94221"/>
    <w:rsid w:val="00B94239"/>
    <w:rsid w:val="00B9426D"/>
    <w:rsid w:val="00B9429F"/>
    <w:rsid w:val="00B9436B"/>
    <w:rsid w:val="00B943A6"/>
    <w:rsid w:val="00B943CF"/>
    <w:rsid w:val="00B943D0"/>
    <w:rsid w:val="00B9442D"/>
    <w:rsid w:val="00B94444"/>
    <w:rsid w:val="00B9445A"/>
    <w:rsid w:val="00B9448B"/>
    <w:rsid w:val="00B94496"/>
    <w:rsid w:val="00B944C3"/>
    <w:rsid w:val="00B944D8"/>
    <w:rsid w:val="00B9450A"/>
    <w:rsid w:val="00B9451B"/>
    <w:rsid w:val="00B94571"/>
    <w:rsid w:val="00B9459A"/>
    <w:rsid w:val="00B945B8"/>
    <w:rsid w:val="00B945D3"/>
    <w:rsid w:val="00B94611"/>
    <w:rsid w:val="00B9461B"/>
    <w:rsid w:val="00B9465A"/>
    <w:rsid w:val="00B946F3"/>
    <w:rsid w:val="00B94709"/>
    <w:rsid w:val="00B947EA"/>
    <w:rsid w:val="00B94834"/>
    <w:rsid w:val="00B94970"/>
    <w:rsid w:val="00B9497E"/>
    <w:rsid w:val="00B949AB"/>
    <w:rsid w:val="00B949DD"/>
    <w:rsid w:val="00B94A46"/>
    <w:rsid w:val="00B94A57"/>
    <w:rsid w:val="00B94A8F"/>
    <w:rsid w:val="00B94AC1"/>
    <w:rsid w:val="00B94ADE"/>
    <w:rsid w:val="00B94B64"/>
    <w:rsid w:val="00B94B97"/>
    <w:rsid w:val="00B94B9F"/>
    <w:rsid w:val="00B94C19"/>
    <w:rsid w:val="00B94C36"/>
    <w:rsid w:val="00B94C3E"/>
    <w:rsid w:val="00B94C44"/>
    <w:rsid w:val="00B94CFD"/>
    <w:rsid w:val="00B94D5F"/>
    <w:rsid w:val="00B94D8E"/>
    <w:rsid w:val="00B94DEE"/>
    <w:rsid w:val="00B94EF0"/>
    <w:rsid w:val="00B94F47"/>
    <w:rsid w:val="00B94F76"/>
    <w:rsid w:val="00B94F8E"/>
    <w:rsid w:val="00B94FBA"/>
    <w:rsid w:val="00B94FFF"/>
    <w:rsid w:val="00B950A5"/>
    <w:rsid w:val="00B950B9"/>
    <w:rsid w:val="00B95120"/>
    <w:rsid w:val="00B9514F"/>
    <w:rsid w:val="00B951DB"/>
    <w:rsid w:val="00B95220"/>
    <w:rsid w:val="00B9525A"/>
    <w:rsid w:val="00B952DB"/>
    <w:rsid w:val="00B9538B"/>
    <w:rsid w:val="00B953A7"/>
    <w:rsid w:val="00B953AE"/>
    <w:rsid w:val="00B953B9"/>
    <w:rsid w:val="00B953E9"/>
    <w:rsid w:val="00B95426"/>
    <w:rsid w:val="00B95437"/>
    <w:rsid w:val="00B95463"/>
    <w:rsid w:val="00B95483"/>
    <w:rsid w:val="00B954DD"/>
    <w:rsid w:val="00B9550E"/>
    <w:rsid w:val="00B95534"/>
    <w:rsid w:val="00B9553B"/>
    <w:rsid w:val="00B9558F"/>
    <w:rsid w:val="00B95593"/>
    <w:rsid w:val="00B955E3"/>
    <w:rsid w:val="00B955F6"/>
    <w:rsid w:val="00B955FC"/>
    <w:rsid w:val="00B95608"/>
    <w:rsid w:val="00B9560D"/>
    <w:rsid w:val="00B95665"/>
    <w:rsid w:val="00B9568C"/>
    <w:rsid w:val="00B9568F"/>
    <w:rsid w:val="00B956C1"/>
    <w:rsid w:val="00B956C4"/>
    <w:rsid w:val="00B956C8"/>
    <w:rsid w:val="00B95715"/>
    <w:rsid w:val="00B95807"/>
    <w:rsid w:val="00B9581A"/>
    <w:rsid w:val="00B95844"/>
    <w:rsid w:val="00B9585E"/>
    <w:rsid w:val="00B95864"/>
    <w:rsid w:val="00B9587D"/>
    <w:rsid w:val="00B9588D"/>
    <w:rsid w:val="00B95898"/>
    <w:rsid w:val="00B958C0"/>
    <w:rsid w:val="00B95905"/>
    <w:rsid w:val="00B95929"/>
    <w:rsid w:val="00B9595A"/>
    <w:rsid w:val="00B959BB"/>
    <w:rsid w:val="00B95A01"/>
    <w:rsid w:val="00B95A87"/>
    <w:rsid w:val="00B95B45"/>
    <w:rsid w:val="00B95BA3"/>
    <w:rsid w:val="00B95BCD"/>
    <w:rsid w:val="00B95BE8"/>
    <w:rsid w:val="00B95BE9"/>
    <w:rsid w:val="00B95C20"/>
    <w:rsid w:val="00B95C45"/>
    <w:rsid w:val="00B95C58"/>
    <w:rsid w:val="00B95C73"/>
    <w:rsid w:val="00B95D00"/>
    <w:rsid w:val="00B95D16"/>
    <w:rsid w:val="00B95D4E"/>
    <w:rsid w:val="00B95D52"/>
    <w:rsid w:val="00B95D7D"/>
    <w:rsid w:val="00B95DBE"/>
    <w:rsid w:val="00B95E0A"/>
    <w:rsid w:val="00B95E4B"/>
    <w:rsid w:val="00B95E55"/>
    <w:rsid w:val="00B95E6E"/>
    <w:rsid w:val="00B95EAB"/>
    <w:rsid w:val="00B95EB1"/>
    <w:rsid w:val="00B95ED1"/>
    <w:rsid w:val="00B95EEE"/>
    <w:rsid w:val="00B95F2E"/>
    <w:rsid w:val="00B95F7B"/>
    <w:rsid w:val="00B95F83"/>
    <w:rsid w:val="00B95FB8"/>
    <w:rsid w:val="00B96040"/>
    <w:rsid w:val="00B960E5"/>
    <w:rsid w:val="00B96123"/>
    <w:rsid w:val="00B9616D"/>
    <w:rsid w:val="00B9620E"/>
    <w:rsid w:val="00B96236"/>
    <w:rsid w:val="00B9627D"/>
    <w:rsid w:val="00B96285"/>
    <w:rsid w:val="00B962B5"/>
    <w:rsid w:val="00B96308"/>
    <w:rsid w:val="00B96347"/>
    <w:rsid w:val="00B96415"/>
    <w:rsid w:val="00B9648E"/>
    <w:rsid w:val="00B964E3"/>
    <w:rsid w:val="00B96502"/>
    <w:rsid w:val="00B96528"/>
    <w:rsid w:val="00B96607"/>
    <w:rsid w:val="00B9662C"/>
    <w:rsid w:val="00B96635"/>
    <w:rsid w:val="00B9669E"/>
    <w:rsid w:val="00B966BA"/>
    <w:rsid w:val="00B966C9"/>
    <w:rsid w:val="00B966D8"/>
    <w:rsid w:val="00B9674B"/>
    <w:rsid w:val="00B96794"/>
    <w:rsid w:val="00B967C2"/>
    <w:rsid w:val="00B967F5"/>
    <w:rsid w:val="00B96842"/>
    <w:rsid w:val="00B96884"/>
    <w:rsid w:val="00B9690F"/>
    <w:rsid w:val="00B96930"/>
    <w:rsid w:val="00B96973"/>
    <w:rsid w:val="00B96987"/>
    <w:rsid w:val="00B96A1E"/>
    <w:rsid w:val="00B96BA0"/>
    <w:rsid w:val="00B96BB8"/>
    <w:rsid w:val="00B96BC5"/>
    <w:rsid w:val="00B96BC8"/>
    <w:rsid w:val="00B96BD6"/>
    <w:rsid w:val="00B96C52"/>
    <w:rsid w:val="00B96C57"/>
    <w:rsid w:val="00B96C62"/>
    <w:rsid w:val="00B96C98"/>
    <w:rsid w:val="00B96CBD"/>
    <w:rsid w:val="00B96CC9"/>
    <w:rsid w:val="00B96DF2"/>
    <w:rsid w:val="00B96E70"/>
    <w:rsid w:val="00B96E79"/>
    <w:rsid w:val="00B96EC1"/>
    <w:rsid w:val="00B96EF3"/>
    <w:rsid w:val="00B96F02"/>
    <w:rsid w:val="00B96F40"/>
    <w:rsid w:val="00B96F70"/>
    <w:rsid w:val="00B96FB5"/>
    <w:rsid w:val="00B96FC7"/>
    <w:rsid w:val="00B96FC9"/>
    <w:rsid w:val="00B96FD2"/>
    <w:rsid w:val="00B96FFE"/>
    <w:rsid w:val="00B9706B"/>
    <w:rsid w:val="00B97075"/>
    <w:rsid w:val="00B97083"/>
    <w:rsid w:val="00B9708F"/>
    <w:rsid w:val="00B970B3"/>
    <w:rsid w:val="00B9710E"/>
    <w:rsid w:val="00B97152"/>
    <w:rsid w:val="00B97226"/>
    <w:rsid w:val="00B9723F"/>
    <w:rsid w:val="00B97282"/>
    <w:rsid w:val="00B972C4"/>
    <w:rsid w:val="00B972D9"/>
    <w:rsid w:val="00B973B7"/>
    <w:rsid w:val="00B9745E"/>
    <w:rsid w:val="00B97496"/>
    <w:rsid w:val="00B974D8"/>
    <w:rsid w:val="00B97510"/>
    <w:rsid w:val="00B9753B"/>
    <w:rsid w:val="00B97560"/>
    <w:rsid w:val="00B975A6"/>
    <w:rsid w:val="00B975AC"/>
    <w:rsid w:val="00B975B0"/>
    <w:rsid w:val="00B975EE"/>
    <w:rsid w:val="00B975FB"/>
    <w:rsid w:val="00B97600"/>
    <w:rsid w:val="00B976D8"/>
    <w:rsid w:val="00B976ED"/>
    <w:rsid w:val="00B976FE"/>
    <w:rsid w:val="00B9777F"/>
    <w:rsid w:val="00B97784"/>
    <w:rsid w:val="00B9778D"/>
    <w:rsid w:val="00B977B5"/>
    <w:rsid w:val="00B977B8"/>
    <w:rsid w:val="00B97855"/>
    <w:rsid w:val="00B9789E"/>
    <w:rsid w:val="00B978EA"/>
    <w:rsid w:val="00B9796A"/>
    <w:rsid w:val="00B979A1"/>
    <w:rsid w:val="00B979B0"/>
    <w:rsid w:val="00B979E8"/>
    <w:rsid w:val="00B97A05"/>
    <w:rsid w:val="00B97A40"/>
    <w:rsid w:val="00B97AC4"/>
    <w:rsid w:val="00B97AD0"/>
    <w:rsid w:val="00B97B07"/>
    <w:rsid w:val="00B97B0A"/>
    <w:rsid w:val="00B97B1F"/>
    <w:rsid w:val="00B97BDC"/>
    <w:rsid w:val="00B97BEB"/>
    <w:rsid w:val="00B97C27"/>
    <w:rsid w:val="00B97CE1"/>
    <w:rsid w:val="00B97D2B"/>
    <w:rsid w:val="00B97D8B"/>
    <w:rsid w:val="00B97DDD"/>
    <w:rsid w:val="00B97E6C"/>
    <w:rsid w:val="00B97EF4"/>
    <w:rsid w:val="00B97F03"/>
    <w:rsid w:val="00B97F0D"/>
    <w:rsid w:val="00B97F1F"/>
    <w:rsid w:val="00B97F91"/>
    <w:rsid w:val="00B97FB9"/>
    <w:rsid w:val="00B97FBA"/>
    <w:rsid w:val="00B97FE8"/>
    <w:rsid w:val="00B97FF6"/>
    <w:rsid w:val="00B97FFA"/>
    <w:rsid w:val="00BA0018"/>
    <w:rsid w:val="00BA0034"/>
    <w:rsid w:val="00BA0089"/>
    <w:rsid w:val="00BA00C1"/>
    <w:rsid w:val="00BA00ED"/>
    <w:rsid w:val="00BA0142"/>
    <w:rsid w:val="00BA0174"/>
    <w:rsid w:val="00BA01E0"/>
    <w:rsid w:val="00BA0206"/>
    <w:rsid w:val="00BA0232"/>
    <w:rsid w:val="00BA0240"/>
    <w:rsid w:val="00BA0269"/>
    <w:rsid w:val="00BA0277"/>
    <w:rsid w:val="00BA0291"/>
    <w:rsid w:val="00BA0355"/>
    <w:rsid w:val="00BA0379"/>
    <w:rsid w:val="00BA03FF"/>
    <w:rsid w:val="00BA04DC"/>
    <w:rsid w:val="00BA04EB"/>
    <w:rsid w:val="00BA04FD"/>
    <w:rsid w:val="00BA0506"/>
    <w:rsid w:val="00BA057A"/>
    <w:rsid w:val="00BA05E4"/>
    <w:rsid w:val="00BA05E8"/>
    <w:rsid w:val="00BA05F0"/>
    <w:rsid w:val="00BA05F7"/>
    <w:rsid w:val="00BA067C"/>
    <w:rsid w:val="00BA069F"/>
    <w:rsid w:val="00BA06B2"/>
    <w:rsid w:val="00BA071E"/>
    <w:rsid w:val="00BA072D"/>
    <w:rsid w:val="00BA0730"/>
    <w:rsid w:val="00BA0794"/>
    <w:rsid w:val="00BA07BA"/>
    <w:rsid w:val="00BA07C5"/>
    <w:rsid w:val="00BA07E9"/>
    <w:rsid w:val="00BA0817"/>
    <w:rsid w:val="00BA0898"/>
    <w:rsid w:val="00BA08A1"/>
    <w:rsid w:val="00BA08A2"/>
    <w:rsid w:val="00BA08A4"/>
    <w:rsid w:val="00BA090D"/>
    <w:rsid w:val="00BA0929"/>
    <w:rsid w:val="00BA097E"/>
    <w:rsid w:val="00BA09AC"/>
    <w:rsid w:val="00BA09C3"/>
    <w:rsid w:val="00BA0A0D"/>
    <w:rsid w:val="00BA0A84"/>
    <w:rsid w:val="00BA0AEC"/>
    <w:rsid w:val="00BA0B2F"/>
    <w:rsid w:val="00BA0B56"/>
    <w:rsid w:val="00BA0B78"/>
    <w:rsid w:val="00BA0BA0"/>
    <w:rsid w:val="00BA0BFE"/>
    <w:rsid w:val="00BA0C5E"/>
    <w:rsid w:val="00BA0C67"/>
    <w:rsid w:val="00BA0CA8"/>
    <w:rsid w:val="00BA0CAA"/>
    <w:rsid w:val="00BA0CC0"/>
    <w:rsid w:val="00BA0CC4"/>
    <w:rsid w:val="00BA0DA6"/>
    <w:rsid w:val="00BA0DCD"/>
    <w:rsid w:val="00BA0E45"/>
    <w:rsid w:val="00BA0E49"/>
    <w:rsid w:val="00BA0E65"/>
    <w:rsid w:val="00BA0E6B"/>
    <w:rsid w:val="00BA0E72"/>
    <w:rsid w:val="00BA0E8F"/>
    <w:rsid w:val="00BA0ED3"/>
    <w:rsid w:val="00BA0EDE"/>
    <w:rsid w:val="00BA0EEC"/>
    <w:rsid w:val="00BA0F37"/>
    <w:rsid w:val="00BA0F47"/>
    <w:rsid w:val="00BA0FBF"/>
    <w:rsid w:val="00BA10D8"/>
    <w:rsid w:val="00BA111C"/>
    <w:rsid w:val="00BA1134"/>
    <w:rsid w:val="00BA1179"/>
    <w:rsid w:val="00BA11A0"/>
    <w:rsid w:val="00BA11D5"/>
    <w:rsid w:val="00BA11FB"/>
    <w:rsid w:val="00BA1225"/>
    <w:rsid w:val="00BA122C"/>
    <w:rsid w:val="00BA1277"/>
    <w:rsid w:val="00BA132D"/>
    <w:rsid w:val="00BA132F"/>
    <w:rsid w:val="00BA13B4"/>
    <w:rsid w:val="00BA13E1"/>
    <w:rsid w:val="00BA1455"/>
    <w:rsid w:val="00BA146A"/>
    <w:rsid w:val="00BA1504"/>
    <w:rsid w:val="00BA150F"/>
    <w:rsid w:val="00BA1561"/>
    <w:rsid w:val="00BA15E3"/>
    <w:rsid w:val="00BA1604"/>
    <w:rsid w:val="00BA161C"/>
    <w:rsid w:val="00BA164F"/>
    <w:rsid w:val="00BA1659"/>
    <w:rsid w:val="00BA1662"/>
    <w:rsid w:val="00BA1679"/>
    <w:rsid w:val="00BA16EF"/>
    <w:rsid w:val="00BA177B"/>
    <w:rsid w:val="00BA17D4"/>
    <w:rsid w:val="00BA1816"/>
    <w:rsid w:val="00BA1845"/>
    <w:rsid w:val="00BA1888"/>
    <w:rsid w:val="00BA18A0"/>
    <w:rsid w:val="00BA18E9"/>
    <w:rsid w:val="00BA18F9"/>
    <w:rsid w:val="00BA18FF"/>
    <w:rsid w:val="00BA192B"/>
    <w:rsid w:val="00BA192C"/>
    <w:rsid w:val="00BA199B"/>
    <w:rsid w:val="00BA19CA"/>
    <w:rsid w:val="00BA1A2A"/>
    <w:rsid w:val="00BA1A3E"/>
    <w:rsid w:val="00BA1A47"/>
    <w:rsid w:val="00BA1A81"/>
    <w:rsid w:val="00BA1A88"/>
    <w:rsid w:val="00BA1A97"/>
    <w:rsid w:val="00BA1B6D"/>
    <w:rsid w:val="00BA1BA2"/>
    <w:rsid w:val="00BA1C2E"/>
    <w:rsid w:val="00BA1C4F"/>
    <w:rsid w:val="00BA1C96"/>
    <w:rsid w:val="00BA1D55"/>
    <w:rsid w:val="00BA1D79"/>
    <w:rsid w:val="00BA1D96"/>
    <w:rsid w:val="00BA1DB0"/>
    <w:rsid w:val="00BA1E05"/>
    <w:rsid w:val="00BA1E49"/>
    <w:rsid w:val="00BA1E5F"/>
    <w:rsid w:val="00BA1E6E"/>
    <w:rsid w:val="00BA1EC8"/>
    <w:rsid w:val="00BA1EEA"/>
    <w:rsid w:val="00BA1F05"/>
    <w:rsid w:val="00BA1F26"/>
    <w:rsid w:val="00BA1F4D"/>
    <w:rsid w:val="00BA1F50"/>
    <w:rsid w:val="00BA1FE5"/>
    <w:rsid w:val="00BA1FF9"/>
    <w:rsid w:val="00BA201B"/>
    <w:rsid w:val="00BA201C"/>
    <w:rsid w:val="00BA2083"/>
    <w:rsid w:val="00BA20DE"/>
    <w:rsid w:val="00BA2102"/>
    <w:rsid w:val="00BA2155"/>
    <w:rsid w:val="00BA2168"/>
    <w:rsid w:val="00BA217C"/>
    <w:rsid w:val="00BA21E1"/>
    <w:rsid w:val="00BA2212"/>
    <w:rsid w:val="00BA221E"/>
    <w:rsid w:val="00BA2244"/>
    <w:rsid w:val="00BA2270"/>
    <w:rsid w:val="00BA2296"/>
    <w:rsid w:val="00BA22D2"/>
    <w:rsid w:val="00BA2353"/>
    <w:rsid w:val="00BA236D"/>
    <w:rsid w:val="00BA2374"/>
    <w:rsid w:val="00BA23D8"/>
    <w:rsid w:val="00BA23F6"/>
    <w:rsid w:val="00BA2445"/>
    <w:rsid w:val="00BA24FC"/>
    <w:rsid w:val="00BA2540"/>
    <w:rsid w:val="00BA2570"/>
    <w:rsid w:val="00BA261B"/>
    <w:rsid w:val="00BA2658"/>
    <w:rsid w:val="00BA267F"/>
    <w:rsid w:val="00BA272D"/>
    <w:rsid w:val="00BA276F"/>
    <w:rsid w:val="00BA2777"/>
    <w:rsid w:val="00BA2788"/>
    <w:rsid w:val="00BA278D"/>
    <w:rsid w:val="00BA27DE"/>
    <w:rsid w:val="00BA281B"/>
    <w:rsid w:val="00BA28BD"/>
    <w:rsid w:val="00BA29A1"/>
    <w:rsid w:val="00BA2A07"/>
    <w:rsid w:val="00BA2A0A"/>
    <w:rsid w:val="00BA2A2A"/>
    <w:rsid w:val="00BA2AA2"/>
    <w:rsid w:val="00BA2AB2"/>
    <w:rsid w:val="00BA2AD5"/>
    <w:rsid w:val="00BA2B1A"/>
    <w:rsid w:val="00BA2B35"/>
    <w:rsid w:val="00BA2B40"/>
    <w:rsid w:val="00BA2B45"/>
    <w:rsid w:val="00BA2B4E"/>
    <w:rsid w:val="00BA2B74"/>
    <w:rsid w:val="00BA2B8E"/>
    <w:rsid w:val="00BA2BD3"/>
    <w:rsid w:val="00BA2C2D"/>
    <w:rsid w:val="00BA2C33"/>
    <w:rsid w:val="00BA2C61"/>
    <w:rsid w:val="00BA2D1B"/>
    <w:rsid w:val="00BA2D33"/>
    <w:rsid w:val="00BA2D39"/>
    <w:rsid w:val="00BA2D4A"/>
    <w:rsid w:val="00BA2D76"/>
    <w:rsid w:val="00BA2DCB"/>
    <w:rsid w:val="00BA2E51"/>
    <w:rsid w:val="00BA2E72"/>
    <w:rsid w:val="00BA2E7B"/>
    <w:rsid w:val="00BA2F29"/>
    <w:rsid w:val="00BA2F80"/>
    <w:rsid w:val="00BA2F82"/>
    <w:rsid w:val="00BA2F92"/>
    <w:rsid w:val="00BA2F97"/>
    <w:rsid w:val="00BA2FC4"/>
    <w:rsid w:val="00BA2FE0"/>
    <w:rsid w:val="00BA3043"/>
    <w:rsid w:val="00BA304F"/>
    <w:rsid w:val="00BA30A9"/>
    <w:rsid w:val="00BA30AF"/>
    <w:rsid w:val="00BA3131"/>
    <w:rsid w:val="00BA3145"/>
    <w:rsid w:val="00BA316D"/>
    <w:rsid w:val="00BA3178"/>
    <w:rsid w:val="00BA31AD"/>
    <w:rsid w:val="00BA3229"/>
    <w:rsid w:val="00BA322C"/>
    <w:rsid w:val="00BA3248"/>
    <w:rsid w:val="00BA3265"/>
    <w:rsid w:val="00BA32B0"/>
    <w:rsid w:val="00BA32B2"/>
    <w:rsid w:val="00BA3304"/>
    <w:rsid w:val="00BA330F"/>
    <w:rsid w:val="00BA333B"/>
    <w:rsid w:val="00BA338A"/>
    <w:rsid w:val="00BA3446"/>
    <w:rsid w:val="00BA3448"/>
    <w:rsid w:val="00BA347E"/>
    <w:rsid w:val="00BA34B1"/>
    <w:rsid w:val="00BA34D1"/>
    <w:rsid w:val="00BA34DD"/>
    <w:rsid w:val="00BA34E7"/>
    <w:rsid w:val="00BA3560"/>
    <w:rsid w:val="00BA3561"/>
    <w:rsid w:val="00BA357E"/>
    <w:rsid w:val="00BA35CD"/>
    <w:rsid w:val="00BA3610"/>
    <w:rsid w:val="00BA3617"/>
    <w:rsid w:val="00BA3618"/>
    <w:rsid w:val="00BA3621"/>
    <w:rsid w:val="00BA3629"/>
    <w:rsid w:val="00BA3669"/>
    <w:rsid w:val="00BA3698"/>
    <w:rsid w:val="00BA36A2"/>
    <w:rsid w:val="00BA36B2"/>
    <w:rsid w:val="00BA3727"/>
    <w:rsid w:val="00BA372E"/>
    <w:rsid w:val="00BA3763"/>
    <w:rsid w:val="00BA379F"/>
    <w:rsid w:val="00BA37B9"/>
    <w:rsid w:val="00BA37BB"/>
    <w:rsid w:val="00BA37EA"/>
    <w:rsid w:val="00BA380B"/>
    <w:rsid w:val="00BA3847"/>
    <w:rsid w:val="00BA3861"/>
    <w:rsid w:val="00BA3863"/>
    <w:rsid w:val="00BA3877"/>
    <w:rsid w:val="00BA3887"/>
    <w:rsid w:val="00BA38B5"/>
    <w:rsid w:val="00BA38DB"/>
    <w:rsid w:val="00BA38FA"/>
    <w:rsid w:val="00BA38FF"/>
    <w:rsid w:val="00BA3902"/>
    <w:rsid w:val="00BA394B"/>
    <w:rsid w:val="00BA39AA"/>
    <w:rsid w:val="00BA39E3"/>
    <w:rsid w:val="00BA3A4E"/>
    <w:rsid w:val="00BA3A55"/>
    <w:rsid w:val="00BA3A9D"/>
    <w:rsid w:val="00BA3AA5"/>
    <w:rsid w:val="00BA3AAF"/>
    <w:rsid w:val="00BA3B26"/>
    <w:rsid w:val="00BA3BDE"/>
    <w:rsid w:val="00BA3BF8"/>
    <w:rsid w:val="00BA3C48"/>
    <w:rsid w:val="00BA3C63"/>
    <w:rsid w:val="00BA3C68"/>
    <w:rsid w:val="00BA3D48"/>
    <w:rsid w:val="00BA3D62"/>
    <w:rsid w:val="00BA3DAC"/>
    <w:rsid w:val="00BA3E1A"/>
    <w:rsid w:val="00BA3E20"/>
    <w:rsid w:val="00BA3E44"/>
    <w:rsid w:val="00BA3EBB"/>
    <w:rsid w:val="00BA3EFC"/>
    <w:rsid w:val="00BA3F02"/>
    <w:rsid w:val="00BA3FC5"/>
    <w:rsid w:val="00BA3FD1"/>
    <w:rsid w:val="00BA3FFC"/>
    <w:rsid w:val="00BA400B"/>
    <w:rsid w:val="00BA40B7"/>
    <w:rsid w:val="00BA40DA"/>
    <w:rsid w:val="00BA4101"/>
    <w:rsid w:val="00BA4142"/>
    <w:rsid w:val="00BA4184"/>
    <w:rsid w:val="00BA41AD"/>
    <w:rsid w:val="00BA4211"/>
    <w:rsid w:val="00BA4240"/>
    <w:rsid w:val="00BA42BA"/>
    <w:rsid w:val="00BA42E9"/>
    <w:rsid w:val="00BA4380"/>
    <w:rsid w:val="00BA43AA"/>
    <w:rsid w:val="00BA43C5"/>
    <w:rsid w:val="00BA43CC"/>
    <w:rsid w:val="00BA43CF"/>
    <w:rsid w:val="00BA4413"/>
    <w:rsid w:val="00BA443A"/>
    <w:rsid w:val="00BA4448"/>
    <w:rsid w:val="00BA444A"/>
    <w:rsid w:val="00BA4477"/>
    <w:rsid w:val="00BA447E"/>
    <w:rsid w:val="00BA44A0"/>
    <w:rsid w:val="00BA44B9"/>
    <w:rsid w:val="00BA44DF"/>
    <w:rsid w:val="00BA453E"/>
    <w:rsid w:val="00BA458C"/>
    <w:rsid w:val="00BA45AD"/>
    <w:rsid w:val="00BA4629"/>
    <w:rsid w:val="00BA467F"/>
    <w:rsid w:val="00BA468D"/>
    <w:rsid w:val="00BA46CB"/>
    <w:rsid w:val="00BA46D0"/>
    <w:rsid w:val="00BA4748"/>
    <w:rsid w:val="00BA4761"/>
    <w:rsid w:val="00BA47C2"/>
    <w:rsid w:val="00BA480D"/>
    <w:rsid w:val="00BA4829"/>
    <w:rsid w:val="00BA48C6"/>
    <w:rsid w:val="00BA4956"/>
    <w:rsid w:val="00BA49BC"/>
    <w:rsid w:val="00BA4A13"/>
    <w:rsid w:val="00BA4A17"/>
    <w:rsid w:val="00BA4A36"/>
    <w:rsid w:val="00BA4A39"/>
    <w:rsid w:val="00BA4A9B"/>
    <w:rsid w:val="00BA4ADB"/>
    <w:rsid w:val="00BA4B23"/>
    <w:rsid w:val="00BA4B60"/>
    <w:rsid w:val="00BA4B77"/>
    <w:rsid w:val="00BA4C5F"/>
    <w:rsid w:val="00BA4C7F"/>
    <w:rsid w:val="00BA4CC6"/>
    <w:rsid w:val="00BA4CCE"/>
    <w:rsid w:val="00BA4CD4"/>
    <w:rsid w:val="00BA4CE9"/>
    <w:rsid w:val="00BA4CEF"/>
    <w:rsid w:val="00BA4D90"/>
    <w:rsid w:val="00BA4E67"/>
    <w:rsid w:val="00BA4F4A"/>
    <w:rsid w:val="00BA4F7B"/>
    <w:rsid w:val="00BA4F8F"/>
    <w:rsid w:val="00BA4F99"/>
    <w:rsid w:val="00BA4FE8"/>
    <w:rsid w:val="00BA4FF0"/>
    <w:rsid w:val="00BA50B2"/>
    <w:rsid w:val="00BA50CE"/>
    <w:rsid w:val="00BA50D2"/>
    <w:rsid w:val="00BA5184"/>
    <w:rsid w:val="00BA5185"/>
    <w:rsid w:val="00BA520B"/>
    <w:rsid w:val="00BA521E"/>
    <w:rsid w:val="00BA521F"/>
    <w:rsid w:val="00BA527A"/>
    <w:rsid w:val="00BA528D"/>
    <w:rsid w:val="00BA5339"/>
    <w:rsid w:val="00BA5360"/>
    <w:rsid w:val="00BA539D"/>
    <w:rsid w:val="00BA539F"/>
    <w:rsid w:val="00BA5410"/>
    <w:rsid w:val="00BA5414"/>
    <w:rsid w:val="00BA5466"/>
    <w:rsid w:val="00BA54B4"/>
    <w:rsid w:val="00BA54DB"/>
    <w:rsid w:val="00BA5557"/>
    <w:rsid w:val="00BA5559"/>
    <w:rsid w:val="00BA555E"/>
    <w:rsid w:val="00BA558D"/>
    <w:rsid w:val="00BA559B"/>
    <w:rsid w:val="00BA55A4"/>
    <w:rsid w:val="00BA567F"/>
    <w:rsid w:val="00BA56B7"/>
    <w:rsid w:val="00BA56C7"/>
    <w:rsid w:val="00BA56CB"/>
    <w:rsid w:val="00BA56EC"/>
    <w:rsid w:val="00BA572F"/>
    <w:rsid w:val="00BA574D"/>
    <w:rsid w:val="00BA5779"/>
    <w:rsid w:val="00BA5786"/>
    <w:rsid w:val="00BA57B5"/>
    <w:rsid w:val="00BA5820"/>
    <w:rsid w:val="00BA587B"/>
    <w:rsid w:val="00BA5882"/>
    <w:rsid w:val="00BA588F"/>
    <w:rsid w:val="00BA5890"/>
    <w:rsid w:val="00BA58DE"/>
    <w:rsid w:val="00BA5901"/>
    <w:rsid w:val="00BA599E"/>
    <w:rsid w:val="00BA59F4"/>
    <w:rsid w:val="00BA59F7"/>
    <w:rsid w:val="00BA5A48"/>
    <w:rsid w:val="00BA5A50"/>
    <w:rsid w:val="00BA5AB9"/>
    <w:rsid w:val="00BA5B4A"/>
    <w:rsid w:val="00BA5B61"/>
    <w:rsid w:val="00BA5B65"/>
    <w:rsid w:val="00BA5B7C"/>
    <w:rsid w:val="00BA5B90"/>
    <w:rsid w:val="00BA5BA3"/>
    <w:rsid w:val="00BA5BAD"/>
    <w:rsid w:val="00BA5C04"/>
    <w:rsid w:val="00BA5C81"/>
    <w:rsid w:val="00BA5D35"/>
    <w:rsid w:val="00BA5D50"/>
    <w:rsid w:val="00BA5D84"/>
    <w:rsid w:val="00BA5DD7"/>
    <w:rsid w:val="00BA5E0C"/>
    <w:rsid w:val="00BA5E15"/>
    <w:rsid w:val="00BA5EAD"/>
    <w:rsid w:val="00BA5EB2"/>
    <w:rsid w:val="00BA5ECA"/>
    <w:rsid w:val="00BA5ED7"/>
    <w:rsid w:val="00BA5F2D"/>
    <w:rsid w:val="00BA5FA0"/>
    <w:rsid w:val="00BA6043"/>
    <w:rsid w:val="00BA6071"/>
    <w:rsid w:val="00BA60A5"/>
    <w:rsid w:val="00BA60AA"/>
    <w:rsid w:val="00BA6104"/>
    <w:rsid w:val="00BA61B3"/>
    <w:rsid w:val="00BA61CF"/>
    <w:rsid w:val="00BA61D5"/>
    <w:rsid w:val="00BA61EC"/>
    <w:rsid w:val="00BA6205"/>
    <w:rsid w:val="00BA6225"/>
    <w:rsid w:val="00BA62B0"/>
    <w:rsid w:val="00BA62CD"/>
    <w:rsid w:val="00BA63A4"/>
    <w:rsid w:val="00BA63DE"/>
    <w:rsid w:val="00BA63F1"/>
    <w:rsid w:val="00BA641E"/>
    <w:rsid w:val="00BA644F"/>
    <w:rsid w:val="00BA6474"/>
    <w:rsid w:val="00BA6475"/>
    <w:rsid w:val="00BA64A5"/>
    <w:rsid w:val="00BA64D1"/>
    <w:rsid w:val="00BA6563"/>
    <w:rsid w:val="00BA656B"/>
    <w:rsid w:val="00BA6579"/>
    <w:rsid w:val="00BA6619"/>
    <w:rsid w:val="00BA6636"/>
    <w:rsid w:val="00BA66D7"/>
    <w:rsid w:val="00BA6701"/>
    <w:rsid w:val="00BA6733"/>
    <w:rsid w:val="00BA673E"/>
    <w:rsid w:val="00BA67F6"/>
    <w:rsid w:val="00BA67FC"/>
    <w:rsid w:val="00BA685D"/>
    <w:rsid w:val="00BA689C"/>
    <w:rsid w:val="00BA68E8"/>
    <w:rsid w:val="00BA6900"/>
    <w:rsid w:val="00BA692C"/>
    <w:rsid w:val="00BA692F"/>
    <w:rsid w:val="00BA6975"/>
    <w:rsid w:val="00BA69C2"/>
    <w:rsid w:val="00BA69C6"/>
    <w:rsid w:val="00BA69E5"/>
    <w:rsid w:val="00BA69E6"/>
    <w:rsid w:val="00BA69FC"/>
    <w:rsid w:val="00BA6A0A"/>
    <w:rsid w:val="00BA6A25"/>
    <w:rsid w:val="00BA6A6E"/>
    <w:rsid w:val="00BA6B26"/>
    <w:rsid w:val="00BA6B31"/>
    <w:rsid w:val="00BA6B48"/>
    <w:rsid w:val="00BA6B8A"/>
    <w:rsid w:val="00BA6B9F"/>
    <w:rsid w:val="00BA6BD3"/>
    <w:rsid w:val="00BA6C12"/>
    <w:rsid w:val="00BA6C3A"/>
    <w:rsid w:val="00BA6CB1"/>
    <w:rsid w:val="00BA6D49"/>
    <w:rsid w:val="00BA6D5E"/>
    <w:rsid w:val="00BA6DAD"/>
    <w:rsid w:val="00BA6E11"/>
    <w:rsid w:val="00BA6E42"/>
    <w:rsid w:val="00BA6E43"/>
    <w:rsid w:val="00BA6E6E"/>
    <w:rsid w:val="00BA6E94"/>
    <w:rsid w:val="00BA6EAC"/>
    <w:rsid w:val="00BA6F44"/>
    <w:rsid w:val="00BA6F9A"/>
    <w:rsid w:val="00BA6FBF"/>
    <w:rsid w:val="00BA6FC8"/>
    <w:rsid w:val="00BA7058"/>
    <w:rsid w:val="00BA705D"/>
    <w:rsid w:val="00BA7085"/>
    <w:rsid w:val="00BA70AF"/>
    <w:rsid w:val="00BA70BA"/>
    <w:rsid w:val="00BA7136"/>
    <w:rsid w:val="00BA71C8"/>
    <w:rsid w:val="00BA71F1"/>
    <w:rsid w:val="00BA71F9"/>
    <w:rsid w:val="00BA729A"/>
    <w:rsid w:val="00BA729C"/>
    <w:rsid w:val="00BA72B0"/>
    <w:rsid w:val="00BA7394"/>
    <w:rsid w:val="00BA7407"/>
    <w:rsid w:val="00BA74A6"/>
    <w:rsid w:val="00BA74C0"/>
    <w:rsid w:val="00BA7568"/>
    <w:rsid w:val="00BA75EB"/>
    <w:rsid w:val="00BA7639"/>
    <w:rsid w:val="00BA7681"/>
    <w:rsid w:val="00BA76B0"/>
    <w:rsid w:val="00BA76C1"/>
    <w:rsid w:val="00BA773E"/>
    <w:rsid w:val="00BA7887"/>
    <w:rsid w:val="00BA789C"/>
    <w:rsid w:val="00BA78C7"/>
    <w:rsid w:val="00BA78CA"/>
    <w:rsid w:val="00BA78FE"/>
    <w:rsid w:val="00BA7907"/>
    <w:rsid w:val="00BA7928"/>
    <w:rsid w:val="00BA79EE"/>
    <w:rsid w:val="00BA79F4"/>
    <w:rsid w:val="00BA7A11"/>
    <w:rsid w:val="00BA7A26"/>
    <w:rsid w:val="00BA7AB2"/>
    <w:rsid w:val="00BA7ADF"/>
    <w:rsid w:val="00BA7AF3"/>
    <w:rsid w:val="00BA7B69"/>
    <w:rsid w:val="00BA7B75"/>
    <w:rsid w:val="00BA7BCE"/>
    <w:rsid w:val="00BA7BD0"/>
    <w:rsid w:val="00BA7C1E"/>
    <w:rsid w:val="00BA7C2A"/>
    <w:rsid w:val="00BA7C2D"/>
    <w:rsid w:val="00BA7CCB"/>
    <w:rsid w:val="00BA7D09"/>
    <w:rsid w:val="00BA7D4D"/>
    <w:rsid w:val="00BA7DB7"/>
    <w:rsid w:val="00BA7DC1"/>
    <w:rsid w:val="00BA7DEE"/>
    <w:rsid w:val="00BA7DFB"/>
    <w:rsid w:val="00BA7E20"/>
    <w:rsid w:val="00BA7E2C"/>
    <w:rsid w:val="00BA7E4F"/>
    <w:rsid w:val="00BA7EB7"/>
    <w:rsid w:val="00BA7ED8"/>
    <w:rsid w:val="00BA7F4F"/>
    <w:rsid w:val="00BA7F66"/>
    <w:rsid w:val="00BA7F73"/>
    <w:rsid w:val="00BA7F75"/>
    <w:rsid w:val="00BA7F79"/>
    <w:rsid w:val="00BB0027"/>
    <w:rsid w:val="00BB0044"/>
    <w:rsid w:val="00BB00CF"/>
    <w:rsid w:val="00BB0117"/>
    <w:rsid w:val="00BB01BB"/>
    <w:rsid w:val="00BB01E7"/>
    <w:rsid w:val="00BB0224"/>
    <w:rsid w:val="00BB0241"/>
    <w:rsid w:val="00BB02B8"/>
    <w:rsid w:val="00BB032D"/>
    <w:rsid w:val="00BB035C"/>
    <w:rsid w:val="00BB0393"/>
    <w:rsid w:val="00BB03A5"/>
    <w:rsid w:val="00BB03D7"/>
    <w:rsid w:val="00BB041A"/>
    <w:rsid w:val="00BB041D"/>
    <w:rsid w:val="00BB042B"/>
    <w:rsid w:val="00BB0430"/>
    <w:rsid w:val="00BB04AF"/>
    <w:rsid w:val="00BB04D9"/>
    <w:rsid w:val="00BB0521"/>
    <w:rsid w:val="00BB0595"/>
    <w:rsid w:val="00BB0622"/>
    <w:rsid w:val="00BB0637"/>
    <w:rsid w:val="00BB06B0"/>
    <w:rsid w:val="00BB06EF"/>
    <w:rsid w:val="00BB0787"/>
    <w:rsid w:val="00BB07DC"/>
    <w:rsid w:val="00BB0812"/>
    <w:rsid w:val="00BB081E"/>
    <w:rsid w:val="00BB082A"/>
    <w:rsid w:val="00BB0832"/>
    <w:rsid w:val="00BB085D"/>
    <w:rsid w:val="00BB0871"/>
    <w:rsid w:val="00BB0885"/>
    <w:rsid w:val="00BB08B0"/>
    <w:rsid w:val="00BB0904"/>
    <w:rsid w:val="00BB092D"/>
    <w:rsid w:val="00BB09AB"/>
    <w:rsid w:val="00BB09AC"/>
    <w:rsid w:val="00BB09E4"/>
    <w:rsid w:val="00BB09E6"/>
    <w:rsid w:val="00BB0A6B"/>
    <w:rsid w:val="00BB0A71"/>
    <w:rsid w:val="00BB0A97"/>
    <w:rsid w:val="00BB0AE7"/>
    <w:rsid w:val="00BB0B57"/>
    <w:rsid w:val="00BB0B6A"/>
    <w:rsid w:val="00BB0BAC"/>
    <w:rsid w:val="00BB0BC9"/>
    <w:rsid w:val="00BB0BD9"/>
    <w:rsid w:val="00BB0BFA"/>
    <w:rsid w:val="00BB0CBE"/>
    <w:rsid w:val="00BB0CF6"/>
    <w:rsid w:val="00BB0D44"/>
    <w:rsid w:val="00BB0D9B"/>
    <w:rsid w:val="00BB0DA3"/>
    <w:rsid w:val="00BB0E80"/>
    <w:rsid w:val="00BB0F50"/>
    <w:rsid w:val="00BB0F89"/>
    <w:rsid w:val="00BB0FED"/>
    <w:rsid w:val="00BB113A"/>
    <w:rsid w:val="00BB1156"/>
    <w:rsid w:val="00BB117B"/>
    <w:rsid w:val="00BB1251"/>
    <w:rsid w:val="00BB1286"/>
    <w:rsid w:val="00BB1297"/>
    <w:rsid w:val="00BB1323"/>
    <w:rsid w:val="00BB1396"/>
    <w:rsid w:val="00BB13D2"/>
    <w:rsid w:val="00BB13F9"/>
    <w:rsid w:val="00BB1438"/>
    <w:rsid w:val="00BB1451"/>
    <w:rsid w:val="00BB1468"/>
    <w:rsid w:val="00BB149B"/>
    <w:rsid w:val="00BB14FB"/>
    <w:rsid w:val="00BB158F"/>
    <w:rsid w:val="00BB159E"/>
    <w:rsid w:val="00BB15A7"/>
    <w:rsid w:val="00BB15D4"/>
    <w:rsid w:val="00BB15EA"/>
    <w:rsid w:val="00BB161E"/>
    <w:rsid w:val="00BB1637"/>
    <w:rsid w:val="00BB1638"/>
    <w:rsid w:val="00BB1676"/>
    <w:rsid w:val="00BB16AA"/>
    <w:rsid w:val="00BB16D9"/>
    <w:rsid w:val="00BB170C"/>
    <w:rsid w:val="00BB173B"/>
    <w:rsid w:val="00BB17B7"/>
    <w:rsid w:val="00BB17C2"/>
    <w:rsid w:val="00BB17E2"/>
    <w:rsid w:val="00BB182A"/>
    <w:rsid w:val="00BB1885"/>
    <w:rsid w:val="00BB1890"/>
    <w:rsid w:val="00BB18BF"/>
    <w:rsid w:val="00BB18C6"/>
    <w:rsid w:val="00BB1908"/>
    <w:rsid w:val="00BB1912"/>
    <w:rsid w:val="00BB1946"/>
    <w:rsid w:val="00BB19BC"/>
    <w:rsid w:val="00BB19CF"/>
    <w:rsid w:val="00BB1A87"/>
    <w:rsid w:val="00BB1A95"/>
    <w:rsid w:val="00BB1B19"/>
    <w:rsid w:val="00BB1B83"/>
    <w:rsid w:val="00BB1BA0"/>
    <w:rsid w:val="00BB1BAB"/>
    <w:rsid w:val="00BB1BC7"/>
    <w:rsid w:val="00BB1C44"/>
    <w:rsid w:val="00BB1C77"/>
    <w:rsid w:val="00BB1C7F"/>
    <w:rsid w:val="00BB1CAD"/>
    <w:rsid w:val="00BB1D3E"/>
    <w:rsid w:val="00BB1D96"/>
    <w:rsid w:val="00BB1DAF"/>
    <w:rsid w:val="00BB1DB6"/>
    <w:rsid w:val="00BB1DBB"/>
    <w:rsid w:val="00BB1DC5"/>
    <w:rsid w:val="00BB1DE3"/>
    <w:rsid w:val="00BB1DF8"/>
    <w:rsid w:val="00BB1E19"/>
    <w:rsid w:val="00BB1E46"/>
    <w:rsid w:val="00BB1E67"/>
    <w:rsid w:val="00BB1E9C"/>
    <w:rsid w:val="00BB1E9D"/>
    <w:rsid w:val="00BB1F38"/>
    <w:rsid w:val="00BB1F51"/>
    <w:rsid w:val="00BB1F82"/>
    <w:rsid w:val="00BB1FFE"/>
    <w:rsid w:val="00BB2043"/>
    <w:rsid w:val="00BB20D1"/>
    <w:rsid w:val="00BB20F2"/>
    <w:rsid w:val="00BB2153"/>
    <w:rsid w:val="00BB21AC"/>
    <w:rsid w:val="00BB2201"/>
    <w:rsid w:val="00BB2203"/>
    <w:rsid w:val="00BB2205"/>
    <w:rsid w:val="00BB223A"/>
    <w:rsid w:val="00BB223E"/>
    <w:rsid w:val="00BB225E"/>
    <w:rsid w:val="00BB2357"/>
    <w:rsid w:val="00BB23FA"/>
    <w:rsid w:val="00BB2440"/>
    <w:rsid w:val="00BB24F0"/>
    <w:rsid w:val="00BB25A1"/>
    <w:rsid w:val="00BB25BB"/>
    <w:rsid w:val="00BB25EF"/>
    <w:rsid w:val="00BB2605"/>
    <w:rsid w:val="00BB2637"/>
    <w:rsid w:val="00BB2724"/>
    <w:rsid w:val="00BB276A"/>
    <w:rsid w:val="00BB2779"/>
    <w:rsid w:val="00BB27DB"/>
    <w:rsid w:val="00BB27E1"/>
    <w:rsid w:val="00BB2817"/>
    <w:rsid w:val="00BB2848"/>
    <w:rsid w:val="00BB28C6"/>
    <w:rsid w:val="00BB28D4"/>
    <w:rsid w:val="00BB28EB"/>
    <w:rsid w:val="00BB28F8"/>
    <w:rsid w:val="00BB2910"/>
    <w:rsid w:val="00BB2990"/>
    <w:rsid w:val="00BB2ACC"/>
    <w:rsid w:val="00BB2B48"/>
    <w:rsid w:val="00BB2BA5"/>
    <w:rsid w:val="00BB2C1E"/>
    <w:rsid w:val="00BB2C31"/>
    <w:rsid w:val="00BB2C73"/>
    <w:rsid w:val="00BB2C85"/>
    <w:rsid w:val="00BB2CCB"/>
    <w:rsid w:val="00BB2CEC"/>
    <w:rsid w:val="00BB2D2F"/>
    <w:rsid w:val="00BB2D53"/>
    <w:rsid w:val="00BB2D5D"/>
    <w:rsid w:val="00BB2D60"/>
    <w:rsid w:val="00BB2DC6"/>
    <w:rsid w:val="00BB2E24"/>
    <w:rsid w:val="00BB2E53"/>
    <w:rsid w:val="00BB2E89"/>
    <w:rsid w:val="00BB2E99"/>
    <w:rsid w:val="00BB2ED0"/>
    <w:rsid w:val="00BB2EFF"/>
    <w:rsid w:val="00BB2F0D"/>
    <w:rsid w:val="00BB2F0F"/>
    <w:rsid w:val="00BB2F4C"/>
    <w:rsid w:val="00BB2F86"/>
    <w:rsid w:val="00BB2FCE"/>
    <w:rsid w:val="00BB3029"/>
    <w:rsid w:val="00BB302D"/>
    <w:rsid w:val="00BB3065"/>
    <w:rsid w:val="00BB3085"/>
    <w:rsid w:val="00BB30B0"/>
    <w:rsid w:val="00BB30C7"/>
    <w:rsid w:val="00BB3126"/>
    <w:rsid w:val="00BB3128"/>
    <w:rsid w:val="00BB3140"/>
    <w:rsid w:val="00BB3179"/>
    <w:rsid w:val="00BB31C8"/>
    <w:rsid w:val="00BB31E5"/>
    <w:rsid w:val="00BB3218"/>
    <w:rsid w:val="00BB321B"/>
    <w:rsid w:val="00BB3229"/>
    <w:rsid w:val="00BB3233"/>
    <w:rsid w:val="00BB327A"/>
    <w:rsid w:val="00BB328A"/>
    <w:rsid w:val="00BB33FF"/>
    <w:rsid w:val="00BB347A"/>
    <w:rsid w:val="00BB3492"/>
    <w:rsid w:val="00BB34B4"/>
    <w:rsid w:val="00BB34C6"/>
    <w:rsid w:val="00BB3555"/>
    <w:rsid w:val="00BB3576"/>
    <w:rsid w:val="00BB35E4"/>
    <w:rsid w:val="00BB3655"/>
    <w:rsid w:val="00BB365D"/>
    <w:rsid w:val="00BB3688"/>
    <w:rsid w:val="00BB36BA"/>
    <w:rsid w:val="00BB36FA"/>
    <w:rsid w:val="00BB3712"/>
    <w:rsid w:val="00BB3719"/>
    <w:rsid w:val="00BB3725"/>
    <w:rsid w:val="00BB3740"/>
    <w:rsid w:val="00BB3761"/>
    <w:rsid w:val="00BB37CB"/>
    <w:rsid w:val="00BB37CF"/>
    <w:rsid w:val="00BB382A"/>
    <w:rsid w:val="00BB38B7"/>
    <w:rsid w:val="00BB38D1"/>
    <w:rsid w:val="00BB38F4"/>
    <w:rsid w:val="00BB38FE"/>
    <w:rsid w:val="00BB3910"/>
    <w:rsid w:val="00BB395B"/>
    <w:rsid w:val="00BB39B1"/>
    <w:rsid w:val="00BB3A23"/>
    <w:rsid w:val="00BB3A4E"/>
    <w:rsid w:val="00BB3AC0"/>
    <w:rsid w:val="00BB3B55"/>
    <w:rsid w:val="00BB3B73"/>
    <w:rsid w:val="00BB3C28"/>
    <w:rsid w:val="00BB3C33"/>
    <w:rsid w:val="00BB3C53"/>
    <w:rsid w:val="00BB3C5B"/>
    <w:rsid w:val="00BB3C6E"/>
    <w:rsid w:val="00BB3C6F"/>
    <w:rsid w:val="00BB3C71"/>
    <w:rsid w:val="00BB3C87"/>
    <w:rsid w:val="00BB3D63"/>
    <w:rsid w:val="00BB3D66"/>
    <w:rsid w:val="00BB3D87"/>
    <w:rsid w:val="00BB3D8E"/>
    <w:rsid w:val="00BB3DB5"/>
    <w:rsid w:val="00BB3DF2"/>
    <w:rsid w:val="00BB3E05"/>
    <w:rsid w:val="00BB3EE9"/>
    <w:rsid w:val="00BB3EF8"/>
    <w:rsid w:val="00BB3EFC"/>
    <w:rsid w:val="00BB3F19"/>
    <w:rsid w:val="00BB3F3C"/>
    <w:rsid w:val="00BB3F5D"/>
    <w:rsid w:val="00BB405F"/>
    <w:rsid w:val="00BB4093"/>
    <w:rsid w:val="00BB409C"/>
    <w:rsid w:val="00BB40D6"/>
    <w:rsid w:val="00BB4118"/>
    <w:rsid w:val="00BB4136"/>
    <w:rsid w:val="00BB413D"/>
    <w:rsid w:val="00BB427C"/>
    <w:rsid w:val="00BB42E3"/>
    <w:rsid w:val="00BB42F6"/>
    <w:rsid w:val="00BB4387"/>
    <w:rsid w:val="00BB44C9"/>
    <w:rsid w:val="00BB44F1"/>
    <w:rsid w:val="00BB44FA"/>
    <w:rsid w:val="00BB4510"/>
    <w:rsid w:val="00BB4536"/>
    <w:rsid w:val="00BB454B"/>
    <w:rsid w:val="00BB4596"/>
    <w:rsid w:val="00BB45AB"/>
    <w:rsid w:val="00BB45FE"/>
    <w:rsid w:val="00BB4660"/>
    <w:rsid w:val="00BB471B"/>
    <w:rsid w:val="00BB473D"/>
    <w:rsid w:val="00BB47A1"/>
    <w:rsid w:val="00BB47F7"/>
    <w:rsid w:val="00BB4820"/>
    <w:rsid w:val="00BB4853"/>
    <w:rsid w:val="00BB48CF"/>
    <w:rsid w:val="00BB490B"/>
    <w:rsid w:val="00BB4965"/>
    <w:rsid w:val="00BB4978"/>
    <w:rsid w:val="00BB49E0"/>
    <w:rsid w:val="00BB4A64"/>
    <w:rsid w:val="00BB4A6C"/>
    <w:rsid w:val="00BB4AF6"/>
    <w:rsid w:val="00BB4B17"/>
    <w:rsid w:val="00BB4B5A"/>
    <w:rsid w:val="00BB4B78"/>
    <w:rsid w:val="00BB4B91"/>
    <w:rsid w:val="00BB4BAA"/>
    <w:rsid w:val="00BB4BE9"/>
    <w:rsid w:val="00BB4C33"/>
    <w:rsid w:val="00BB4C9F"/>
    <w:rsid w:val="00BB4CDF"/>
    <w:rsid w:val="00BB4D48"/>
    <w:rsid w:val="00BB4D59"/>
    <w:rsid w:val="00BB4E03"/>
    <w:rsid w:val="00BB4E09"/>
    <w:rsid w:val="00BB4E0C"/>
    <w:rsid w:val="00BB4E35"/>
    <w:rsid w:val="00BB4E4D"/>
    <w:rsid w:val="00BB4F53"/>
    <w:rsid w:val="00BB5000"/>
    <w:rsid w:val="00BB5017"/>
    <w:rsid w:val="00BB5047"/>
    <w:rsid w:val="00BB5084"/>
    <w:rsid w:val="00BB50C0"/>
    <w:rsid w:val="00BB50C4"/>
    <w:rsid w:val="00BB50F5"/>
    <w:rsid w:val="00BB512C"/>
    <w:rsid w:val="00BB5137"/>
    <w:rsid w:val="00BB5199"/>
    <w:rsid w:val="00BB51B6"/>
    <w:rsid w:val="00BB51CB"/>
    <w:rsid w:val="00BB51E2"/>
    <w:rsid w:val="00BB5237"/>
    <w:rsid w:val="00BB5245"/>
    <w:rsid w:val="00BB52B3"/>
    <w:rsid w:val="00BB52BD"/>
    <w:rsid w:val="00BB52E3"/>
    <w:rsid w:val="00BB538A"/>
    <w:rsid w:val="00BB53CF"/>
    <w:rsid w:val="00BB540C"/>
    <w:rsid w:val="00BB5424"/>
    <w:rsid w:val="00BB546E"/>
    <w:rsid w:val="00BB5475"/>
    <w:rsid w:val="00BB54D9"/>
    <w:rsid w:val="00BB5649"/>
    <w:rsid w:val="00BB56BE"/>
    <w:rsid w:val="00BB56BF"/>
    <w:rsid w:val="00BB5758"/>
    <w:rsid w:val="00BB578D"/>
    <w:rsid w:val="00BB57DE"/>
    <w:rsid w:val="00BB57DF"/>
    <w:rsid w:val="00BB57E8"/>
    <w:rsid w:val="00BB5803"/>
    <w:rsid w:val="00BB5818"/>
    <w:rsid w:val="00BB581A"/>
    <w:rsid w:val="00BB587E"/>
    <w:rsid w:val="00BB5884"/>
    <w:rsid w:val="00BB58F9"/>
    <w:rsid w:val="00BB58FE"/>
    <w:rsid w:val="00BB590E"/>
    <w:rsid w:val="00BB596F"/>
    <w:rsid w:val="00BB5991"/>
    <w:rsid w:val="00BB599D"/>
    <w:rsid w:val="00BB59AF"/>
    <w:rsid w:val="00BB59E8"/>
    <w:rsid w:val="00BB5A0E"/>
    <w:rsid w:val="00BB5A60"/>
    <w:rsid w:val="00BB5AF8"/>
    <w:rsid w:val="00BB5B79"/>
    <w:rsid w:val="00BB5BD2"/>
    <w:rsid w:val="00BB5BDC"/>
    <w:rsid w:val="00BB5C21"/>
    <w:rsid w:val="00BB5CA4"/>
    <w:rsid w:val="00BB5CE1"/>
    <w:rsid w:val="00BB5CEC"/>
    <w:rsid w:val="00BB5E53"/>
    <w:rsid w:val="00BB5E63"/>
    <w:rsid w:val="00BB5E9F"/>
    <w:rsid w:val="00BB5EDF"/>
    <w:rsid w:val="00BB5F20"/>
    <w:rsid w:val="00BB5F4A"/>
    <w:rsid w:val="00BB5F6F"/>
    <w:rsid w:val="00BB5FA9"/>
    <w:rsid w:val="00BB5FC8"/>
    <w:rsid w:val="00BB5FE7"/>
    <w:rsid w:val="00BB5FEC"/>
    <w:rsid w:val="00BB601D"/>
    <w:rsid w:val="00BB6041"/>
    <w:rsid w:val="00BB6068"/>
    <w:rsid w:val="00BB60A1"/>
    <w:rsid w:val="00BB60E6"/>
    <w:rsid w:val="00BB610C"/>
    <w:rsid w:val="00BB6171"/>
    <w:rsid w:val="00BB6179"/>
    <w:rsid w:val="00BB61DB"/>
    <w:rsid w:val="00BB61E3"/>
    <w:rsid w:val="00BB6201"/>
    <w:rsid w:val="00BB6245"/>
    <w:rsid w:val="00BB6264"/>
    <w:rsid w:val="00BB6297"/>
    <w:rsid w:val="00BB629A"/>
    <w:rsid w:val="00BB62AE"/>
    <w:rsid w:val="00BB62C7"/>
    <w:rsid w:val="00BB62D1"/>
    <w:rsid w:val="00BB63FD"/>
    <w:rsid w:val="00BB64A5"/>
    <w:rsid w:val="00BB64BF"/>
    <w:rsid w:val="00BB64CA"/>
    <w:rsid w:val="00BB64E8"/>
    <w:rsid w:val="00BB656D"/>
    <w:rsid w:val="00BB65B8"/>
    <w:rsid w:val="00BB65EE"/>
    <w:rsid w:val="00BB65FA"/>
    <w:rsid w:val="00BB6600"/>
    <w:rsid w:val="00BB660C"/>
    <w:rsid w:val="00BB667C"/>
    <w:rsid w:val="00BB6685"/>
    <w:rsid w:val="00BB6695"/>
    <w:rsid w:val="00BB66A8"/>
    <w:rsid w:val="00BB66BB"/>
    <w:rsid w:val="00BB66EB"/>
    <w:rsid w:val="00BB677D"/>
    <w:rsid w:val="00BB6795"/>
    <w:rsid w:val="00BB67C2"/>
    <w:rsid w:val="00BB67CC"/>
    <w:rsid w:val="00BB67CD"/>
    <w:rsid w:val="00BB6815"/>
    <w:rsid w:val="00BB6833"/>
    <w:rsid w:val="00BB6850"/>
    <w:rsid w:val="00BB685D"/>
    <w:rsid w:val="00BB687F"/>
    <w:rsid w:val="00BB68A4"/>
    <w:rsid w:val="00BB68CF"/>
    <w:rsid w:val="00BB6914"/>
    <w:rsid w:val="00BB6918"/>
    <w:rsid w:val="00BB6988"/>
    <w:rsid w:val="00BB69C3"/>
    <w:rsid w:val="00BB6A11"/>
    <w:rsid w:val="00BB6A49"/>
    <w:rsid w:val="00BB6A4D"/>
    <w:rsid w:val="00BB6AB6"/>
    <w:rsid w:val="00BB6ABB"/>
    <w:rsid w:val="00BB6BA0"/>
    <w:rsid w:val="00BB6BF6"/>
    <w:rsid w:val="00BB6C11"/>
    <w:rsid w:val="00BB6C20"/>
    <w:rsid w:val="00BB6C38"/>
    <w:rsid w:val="00BB6C42"/>
    <w:rsid w:val="00BB6D11"/>
    <w:rsid w:val="00BB6E46"/>
    <w:rsid w:val="00BB6E49"/>
    <w:rsid w:val="00BB6EC9"/>
    <w:rsid w:val="00BB6F16"/>
    <w:rsid w:val="00BB6F1E"/>
    <w:rsid w:val="00BB6F68"/>
    <w:rsid w:val="00BB6F76"/>
    <w:rsid w:val="00BB6F80"/>
    <w:rsid w:val="00BB6F8F"/>
    <w:rsid w:val="00BB6FCD"/>
    <w:rsid w:val="00BB703D"/>
    <w:rsid w:val="00BB7044"/>
    <w:rsid w:val="00BB7064"/>
    <w:rsid w:val="00BB70C6"/>
    <w:rsid w:val="00BB70E3"/>
    <w:rsid w:val="00BB710B"/>
    <w:rsid w:val="00BB7129"/>
    <w:rsid w:val="00BB7154"/>
    <w:rsid w:val="00BB71C3"/>
    <w:rsid w:val="00BB71D0"/>
    <w:rsid w:val="00BB7282"/>
    <w:rsid w:val="00BB728B"/>
    <w:rsid w:val="00BB730F"/>
    <w:rsid w:val="00BB7320"/>
    <w:rsid w:val="00BB73F1"/>
    <w:rsid w:val="00BB740E"/>
    <w:rsid w:val="00BB7449"/>
    <w:rsid w:val="00BB7552"/>
    <w:rsid w:val="00BB756C"/>
    <w:rsid w:val="00BB757B"/>
    <w:rsid w:val="00BB75F1"/>
    <w:rsid w:val="00BB75F7"/>
    <w:rsid w:val="00BB760D"/>
    <w:rsid w:val="00BB7629"/>
    <w:rsid w:val="00BB7630"/>
    <w:rsid w:val="00BB7656"/>
    <w:rsid w:val="00BB76D9"/>
    <w:rsid w:val="00BB7709"/>
    <w:rsid w:val="00BB7719"/>
    <w:rsid w:val="00BB7742"/>
    <w:rsid w:val="00BB774A"/>
    <w:rsid w:val="00BB7754"/>
    <w:rsid w:val="00BB777E"/>
    <w:rsid w:val="00BB7780"/>
    <w:rsid w:val="00BB778A"/>
    <w:rsid w:val="00BB77A7"/>
    <w:rsid w:val="00BB77CA"/>
    <w:rsid w:val="00BB77F6"/>
    <w:rsid w:val="00BB7832"/>
    <w:rsid w:val="00BB7834"/>
    <w:rsid w:val="00BB7872"/>
    <w:rsid w:val="00BB78BF"/>
    <w:rsid w:val="00BB78FE"/>
    <w:rsid w:val="00BB792D"/>
    <w:rsid w:val="00BB79EB"/>
    <w:rsid w:val="00BB7A5D"/>
    <w:rsid w:val="00BB7A62"/>
    <w:rsid w:val="00BB7A71"/>
    <w:rsid w:val="00BB7ABC"/>
    <w:rsid w:val="00BB7AC5"/>
    <w:rsid w:val="00BB7AD9"/>
    <w:rsid w:val="00BB7AF2"/>
    <w:rsid w:val="00BB7B43"/>
    <w:rsid w:val="00BB7B5E"/>
    <w:rsid w:val="00BB7BA0"/>
    <w:rsid w:val="00BB7BDE"/>
    <w:rsid w:val="00BB7BDF"/>
    <w:rsid w:val="00BB7C33"/>
    <w:rsid w:val="00BB7C52"/>
    <w:rsid w:val="00BB7CCD"/>
    <w:rsid w:val="00BB7CD5"/>
    <w:rsid w:val="00BB7CD9"/>
    <w:rsid w:val="00BB7CF1"/>
    <w:rsid w:val="00BB7D0C"/>
    <w:rsid w:val="00BB7D49"/>
    <w:rsid w:val="00BB7D4D"/>
    <w:rsid w:val="00BB7D8F"/>
    <w:rsid w:val="00BB7DBA"/>
    <w:rsid w:val="00BB7DC5"/>
    <w:rsid w:val="00BB7DE5"/>
    <w:rsid w:val="00BB7E10"/>
    <w:rsid w:val="00BB7E54"/>
    <w:rsid w:val="00BB7E99"/>
    <w:rsid w:val="00BB7EA0"/>
    <w:rsid w:val="00BB7EA7"/>
    <w:rsid w:val="00BB7EF7"/>
    <w:rsid w:val="00BB7F32"/>
    <w:rsid w:val="00BB7F43"/>
    <w:rsid w:val="00BB7F7D"/>
    <w:rsid w:val="00BB7FCA"/>
    <w:rsid w:val="00BC0022"/>
    <w:rsid w:val="00BC002E"/>
    <w:rsid w:val="00BC0068"/>
    <w:rsid w:val="00BC0077"/>
    <w:rsid w:val="00BC008A"/>
    <w:rsid w:val="00BC00C8"/>
    <w:rsid w:val="00BC00D8"/>
    <w:rsid w:val="00BC00F9"/>
    <w:rsid w:val="00BC011A"/>
    <w:rsid w:val="00BC0137"/>
    <w:rsid w:val="00BC015B"/>
    <w:rsid w:val="00BC017A"/>
    <w:rsid w:val="00BC01BE"/>
    <w:rsid w:val="00BC01C7"/>
    <w:rsid w:val="00BC0215"/>
    <w:rsid w:val="00BC0260"/>
    <w:rsid w:val="00BC0283"/>
    <w:rsid w:val="00BC03A9"/>
    <w:rsid w:val="00BC03EE"/>
    <w:rsid w:val="00BC0401"/>
    <w:rsid w:val="00BC0418"/>
    <w:rsid w:val="00BC0480"/>
    <w:rsid w:val="00BC049D"/>
    <w:rsid w:val="00BC04B4"/>
    <w:rsid w:val="00BC04BA"/>
    <w:rsid w:val="00BC04D9"/>
    <w:rsid w:val="00BC0503"/>
    <w:rsid w:val="00BC051C"/>
    <w:rsid w:val="00BC055C"/>
    <w:rsid w:val="00BC05A7"/>
    <w:rsid w:val="00BC061F"/>
    <w:rsid w:val="00BC0634"/>
    <w:rsid w:val="00BC0653"/>
    <w:rsid w:val="00BC0686"/>
    <w:rsid w:val="00BC06DB"/>
    <w:rsid w:val="00BC0716"/>
    <w:rsid w:val="00BC07E9"/>
    <w:rsid w:val="00BC0829"/>
    <w:rsid w:val="00BC0837"/>
    <w:rsid w:val="00BC0874"/>
    <w:rsid w:val="00BC0886"/>
    <w:rsid w:val="00BC08AC"/>
    <w:rsid w:val="00BC08D4"/>
    <w:rsid w:val="00BC0914"/>
    <w:rsid w:val="00BC0928"/>
    <w:rsid w:val="00BC0985"/>
    <w:rsid w:val="00BC099F"/>
    <w:rsid w:val="00BC09B2"/>
    <w:rsid w:val="00BC0A98"/>
    <w:rsid w:val="00BC0A9A"/>
    <w:rsid w:val="00BC0AAC"/>
    <w:rsid w:val="00BC0AC3"/>
    <w:rsid w:val="00BC0AD5"/>
    <w:rsid w:val="00BC0AE9"/>
    <w:rsid w:val="00BC0B23"/>
    <w:rsid w:val="00BC0B2E"/>
    <w:rsid w:val="00BC0B3D"/>
    <w:rsid w:val="00BC0B75"/>
    <w:rsid w:val="00BC0B91"/>
    <w:rsid w:val="00BC0BA5"/>
    <w:rsid w:val="00BC0BC4"/>
    <w:rsid w:val="00BC0C4C"/>
    <w:rsid w:val="00BC0C67"/>
    <w:rsid w:val="00BC0C6B"/>
    <w:rsid w:val="00BC0C97"/>
    <w:rsid w:val="00BC0D34"/>
    <w:rsid w:val="00BC0D66"/>
    <w:rsid w:val="00BC0DD7"/>
    <w:rsid w:val="00BC0DEB"/>
    <w:rsid w:val="00BC0E33"/>
    <w:rsid w:val="00BC0E4B"/>
    <w:rsid w:val="00BC0E88"/>
    <w:rsid w:val="00BC0EEA"/>
    <w:rsid w:val="00BC0F2E"/>
    <w:rsid w:val="00BC0F50"/>
    <w:rsid w:val="00BC0F64"/>
    <w:rsid w:val="00BC0FA1"/>
    <w:rsid w:val="00BC0FBC"/>
    <w:rsid w:val="00BC0FC6"/>
    <w:rsid w:val="00BC0FEC"/>
    <w:rsid w:val="00BC109D"/>
    <w:rsid w:val="00BC10C6"/>
    <w:rsid w:val="00BC10FE"/>
    <w:rsid w:val="00BC1108"/>
    <w:rsid w:val="00BC1126"/>
    <w:rsid w:val="00BC1141"/>
    <w:rsid w:val="00BC1189"/>
    <w:rsid w:val="00BC11BD"/>
    <w:rsid w:val="00BC11D0"/>
    <w:rsid w:val="00BC1201"/>
    <w:rsid w:val="00BC1215"/>
    <w:rsid w:val="00BC12BE"/>
    <w:rsid w:val="00BC12CA"/>
    <w:rsid w:val="00BC131B"/>
    <w:rsid w:val="00BC1321"/>
    <w:rsid w:val="00BC135A"/>
    <w:rsid w:val="00BC13B9"/>
    <w:rsid w:val="00BC13C3"/>
    <w:rsid w:val="00BC13CB"/>
    <w:rsid w:val="00BC1469"/>
    <w:rsid w:val="00BC147F"/>
    <w:rsid w:val="00BC14AB"/>
    <w:rsid w:val="00BC14F0"/>
    <w:rsid w:val="00BC1501"/>
    <w:rsid w:val="00BC1581"/>
    <w:rsid w:val="00BC159B"/>
    <w:rsid w:val="00BC160C"/>
    <w:rsid w:val="00BC1622"/>
    <w:rsid w:val="00BC1697"/>
    <w:rsid w:val="00BC16B9"/>
    <w:rsid w:val="00BC16EC"/>
    <w:rsid w:val="00BC170A"/>
    <w:rsid w:val="00BC17DD"/>
    <w:rsid w:val="00BC1849"/>
    <w:rsid w:val="00BC1887"/>
    <w:rsid w:val="00BC188B"/>
    <w:rsid w:val="00BC18C3"/>
    <w:rsid w:val="00BC1915"/>
    <w:rsid w:val="00BC196D"/>
    <w:rsid w:val="00BC19A1"/>
    <w:rsid w:val="00BC1A3D"/>
    <w:rsid w:val="00BC1A42"/>
    <w:rsid w:val="00BC1AF2"/>
    <w:rsid w:val="00BC1B3E"/>
    <w:rsid w:val="00BC1B51"/>
    <w:rsid w:val="00BC1B55"/>
    <w:rsid w:val="00BC1BAF"/>
    <w:rsid w:val="00BC1C5D"/>
    <w:rsid w:val="00BC1C6A"/>
    <w:rsid w:val="00BC1C70"/>
    <w:rsid w:val="00BC1C87"/>
    <w:rsid w:val="00BC1C8C"/>
    <w:rsid w:val="00BC1C91"/>
    <w:rsid w:val="00BC1CDE"/>
    <w:rsid w:val="00BC1D08"/>
    <w:rsid w:val="00BC1D3F"/>
    <w:rsid w:val="00BC1D95"/>
    <w:rsid w:val="00BC1DB5"/>
    <w:rsid w:val="00BC1E1F"/>
    <w:rsid w:val="00BC1E22"/>
    <w:rsid w:val="00BC1EAE"/>
    <w:rsid w:val="00BC1EB1"/>
    <w:rsid w:val="00BC1ED0"/>
    <w:rsid w:val="00BC1F50"/>
    <w:rsid w:val="00BC1F66"/>
    <w:rsid w:val="00BC1FE5"/>
    <w:rsid w:val="00BC202B"/>
    <w:rsid w:val="00BC205A"/>
    <w:rsid w:val="00BC2062"/>
    <w:rsid w:val="00BC2064"/>
    <w:rsid w:val="00BC2096"/>
    <w:rsid w:val="00BC20B4"/>
    <w:rsid w:val="00BC20CB"/>
    <w:rsid w:val="00BC20CC"/>
    <w:rsid w:val="00BC2153"/>
    <w:rsid w:val="00BC215E"/>
    <w:rsid w:val="00BC216F"/>
    <w:rsid w:val="00BC219B"/>
    <w:rsid w:val="00BC21A1"/>
    <w:rsid w:val="00BC21BE"/>
    <w:rsid w:val="00BC21E0"/>
    <w:rsid w:val="00BC2208"/>
    <w:rsid w:val="00BC220E"/>
    <w:rsid w:val="00BC2242"/>
    <w:rsid w:val="00BC2254"/>
    <w:rsid w:val="00BC2296"/>
    <w:rsid w:val="00BC22C9"/>
    <w:rsid w:val="00BC233F"/>
    <w:rsid w:val="00BC238C"/>
    <w:rsid w:val="00BC23F1"/>
    <w:rsid w:val="00BC243F"/>
    <w:rsid w:val="00BC2441"/>
    <w:rsid w:val="00BC2446"/>
    <w:rsid w:val="00BC24B6"/>
    <w:rsid w:val="00BC24E4"/>
    <w:rsid w:val="00BC252B"/>
    <w:rsid w:val="00BC257C"/>
    <w:rsid w:val="00BC25CF"/>
    <w:rsid w:val="00BC25D8"/>
    <w:rsid w:val="00BC2603"/>
    <w:rsid w:val="00BC2660"/>
    <w:rsid w:val="00BC2743"/>
    <w:rsid w:val="00BC2767"/>
    <w:rsid w:val="00BC27E4"/>
    <w:rsid w:val="00BC283D"/>
    <w:rsid w:val="00BC288A"/>
    <w:rsid w:val="00BC2964"/>
    <w:rsid w:val="00BC2A68"/>
    <w:rsid w:val="00BC2A87"/>
    <w:rsid w:val="00BC2A9C"/>
    <w:rsid w:val="00BC2B0F"/>
    <w:rsid w:val="00BC2B20"/>
    <w:rsid w:val="00BC2B46"/>
    <w:rsid w:val="00BC2B6A"/>
    <w:rsid w:val="00BC2BB1"/>
    <w:rsid w:val="00BC2BF3"/>
    <w:rsid w:val="00BC2C10"/>
    <w:rsid w:val="00BC2C3B"/>
    <w:rsid w:val="00BC2CA9"/>
    <w:rsid w:val="00BC2CF8"/>
    <w:rsid w:val="00BC2D26"/>
    <w:rsid w:val="00BC2DA1"/>
    <w:rsid w:val="00BC2DA4"/>
    <w:rsid w:val="00BC2DA9"/>
    <w:rsid w:val="00BC2DC3"/>
    <w:rsid w:val="00BC2E4D"/>
    <w:rsid w:val="00BC2E74"/>
    <w:rsid w:val="00BC2E85"/>
    <w:rsid w:val="00BC2E8B"/>
    <w:rsid w:val="00BC2EB6"/>
    <w:rsid w:val="00BC2EC6"/>
    <w:rsid w:val="00BC2EE8"/>
    <w:rsid w:val="00BC2F24"/>
    <w:rsid w:val="00BC2F25"/>
    <w:rsid w:val="00BC2F8C"/>
    <w:rsid w:val="00BC2FA0"/>
    <w:rsid w:val="00BC2FB8"/>
    <w:rsid w:val="00BC3014"/>
    <w:rsid w:val="00BC3020"/>
    <w:rsid w:val="00BC3052"/>
    <w:rsid w:val="00BC308B"/>
    <w:rsid w:val="00BC3162"/>
    <w:rsid w:val="00BC3170"/>
    <w:rsid w:val="00BC31DF"/>
    <w:rsid w:val="00BC31FB"/>
    <w:rsid w:val="00BC3206"/>
    <w:rsid w:val="00BC320E"/>
    <w:rsid w:val="00BC324D"/>
    <w:rsid w:val="00BC3256"/>
    <w:rsid w:val="00BC3259"/>
    <w:rsid w:val="00BC3280"/>
    <w:rsid w:val="00BC3311"/>
    <w:rsid w:val="00BC333B"/>
    <w:rsid w:val="00BC3389"/>
    <w:rsid w:val="00BC33B3"/>
    <w:rsid w:val="00BC33C3"/>
    <w:rsid w:val="00BC3423"/>
    <w:rsid w:val="00BC3457"/>
    <w:rsid w:val="00BC345C"/>
    <w:rsid w:val="00BC3499"/>
    <w:rsid w:val="00BC34C1"/>
    <w:rsid w:val="00BC34E3"/>
    <w:rsid w:val="00BC34EE"/>
    <w:rsid w:val="00BC3520"/>
    <w:rsid w:val="00BC359E"/>
    <w:rsid w:val="00BC35D6"/>
    <w:rsid w:val="00BC3612"/>
    <w:rsid w:val="00BC363F"/>
    <w:rsid w:val="00BC3673"/>
    <w:rsid w:val="00BC367E"/>
    <w:rsid w:val="00BC36B8"/>
    <w:rsid w:val="00BC3777"/>
    <w:rsid w:val="00BC3780"/>
    <w:rsid w:val="00BC3795"/>
    <w:rsid w:val="00BC379D"/>
    <w:rsid w:val="00BC37DB"/>
    <w:rsid w:val="00BC3834"/>
    <w:rsid w:val="00BC3856"/>
    <w:rsid w:val="00BC385B"/>
    <w:rsid w:val="00BC3895"/>
    <w:rsid w:val="00BC38D8"/>
    <w:rsid w:val="00BC3966"/>
    <w:rsid w:val="00BC3995"/>
    <w:rsid w:val="00BC39D7"/>
    <w:rsid w:val="00BC39E3"/>
    <w:rsid w:val="00BC3A41"/>
    <w:rsid w:val="00BC3A86"/>
    <w:rsid w:val="00BC3A8C"/>
    <w:rsid w:val="00BC3A93"/>
    <w:rsid w:val="00BC3AC2"/>
    <w:rsid w:val="00BC3AD5"/>
    <w:rsid w:val="00BC3AE0"/>
    <w:rsid w:val="00BC3AE2"/>
    <w:rsid w:val="00BC3B19"/>
    <w:rsid w:val="00BC3B22"/>
    <w:rsid w:val="00BC3BFC"/>
    <w:rsid w:val="00BC3C18"/>
    <w:rsid w:val="00BC3C29"/>
    <w:rsid w:val="00BC3C7C"/>
    <w:rsid w:val="00BC3CC2"/>
    <w:rsid w:val="00BC3CD1"/>
    <w:rsid w:val="00BC3CDB"/>
    <w:rsid w:val="00BC3D25"/>
    <w:rsid w:val="00BC3D37"/>
    <w:rsid w:val="00BC3D66"/>
    <w:rsid w:val="00BC3DA9"/>
    <w:rsid w:val="00BC3DC9"/>
    <w:rsid w:val="00BC3E0E"/>
    <w:rsid w:val="00BC3E29"/>
    <w:rsid w:val="00BC3E2D"/>
    <w:rsid w:val="00BC3E44"/>
    <w:rsid w:val="00BC3E82"/>
    <w:rsid w:val="00BC3EBF"/>
    <w:rsid w:val="00BC3ED5"/>
    <w:rsid w:val="00BC3F18"/>
    <w:rsid w:val="00BC3F21"/>
    <w:rsid w:val="00BC3F56"/>
    <w:rsid w:val="00BC3F94"/>
    <w:rsid w:val="00BC3FB7"/>
    <w:rsid w:val="00BC401D"/>
    <w:rsid w:val="00BC4057"/>
    <w:rsid w:val="00BC409A"/>
    <w:rsid w:val="00BC40AB"/>
    <w:rsid w:val="00BC4105"/>
    <w:rsid w:val="00BC4134"/>
    <w:rsid w:val="00BC417B"/>
    <w:rsid w:val="00BC41EB"/>
    <w:rsid w:val="00BC41F9"/>
    <w:rsid w:val="00BC423D"/>
    <w:rsid w:val="00BC4284"/>
    <w:rsid w:val="00BC42A9"/>
    <w:rsid w:val="00BC42D1"/>
    <w:rsid w:val="00BC4305"/>
    <w:rsid w:val="00BC439A"/>
    <w:rsid w:val="00BC4446"/>
    <w:rsid w:val="00BC444B"/>
    <w:rsid w:val="00BC4456"/>
    <w:rsid w:val="00BC4473"/>
    <w:rsid w:val="00BC44AB"/>
    <w:rsid w:val="00BC44D2"/>
    <w:rsid w:val="00BC459D"/>
    <w:rsid w:val="00BC45B0"/>
    <w:rsid w:val="00BC4610"/>
    <w:rsid w:val="00BC4695"/>
    <w:rsid w:val="00BC4745"/>
    <w:rsid w:val="00BC4764"/>
    <w:rsid w:val="00BC47FB"/>
    <w:rsid w:val="00BC482C"/>
    <w:rsid w:val="00BC484F"/>
    <w:rsid w:val="00BC48A2"/>
    <w:rsid w:val="00BC48A9"/>
    <w:rsid w:val="00BC48D6"/>
    <w:rsid w:val="00BC4911"/>
    <w:rsid w:val="00BC4920"/>
    <w:rsid w:val="00BC4932"/>
    <w:rsid w:val="00BC494D"/>
    <w:rsid w:val="00BC4953"/>
    <w:rsid w:val="00BC4961"/>
    <w:rsid w:val="00BC496E"/>
    <w:rsid w:val="00BC49EA"/>
    <w:rsid w:val="00BC4A47"/>
    <w:rsid w:val="00BC4A6D"/>
    <w:rsid w:val="00BC4AA5"/>
    <w:rsid w:val="00BC4AC3"/>
    <w:rsid w:val="00BC4B89"/>
    <w:rsid w:val="00BC4D03"/>
    <w:rsid w:val="00BC4D09"/>
    <w:rsid w:val="00BC4D13"/>
    <w:rsid w:val="00BC4D8A"/>
    <w:rsid w:val="00BC4DD4"/>
    <w:rsid w:val="00BC4DF2"/>
    <w:rsid w:val="00BC4E3B"/>
    <w:rsid w:val="00BC4EDA"/>
    <w:rsid w:val="00BC4F1D"/>
    <w:rsid w:val="00BC4F71"/>
    <w:rsid w:val="00BC4FA1"/>
    <w:rsid w:val="00BC4FA3"/>
    <w:rsid w:val="00BC4FBD"/>
    <w:rsid w:val="00BC4FFA"/>
    <w:rsid w:val="00BC5068"/>
    <w:rsid w:val="00BC50DB"/>
    <w:rsid w:val="00BC50DC"/>
    <w:rsid w:val="00BC5150"/>
    <w:rsid w:val="00BC5153"/>
    <w:rsid w:val="00BC51AD"/>
    <w:rsid w:val="00BC51CF"/>
    <w:rsid w:val="00BC51DC"/>
    <w:rsid w:val="00BC51F8"/>
    <w:rsid w:val="00BC5205"/>
    <w:rsid w:val="00BC5270"/>
    <w:rsid w:val="00BC5281"/>
    <w:rsid w:val="00BC52A7"/>
    <w:rsid w:val="00BC52FA"/>
    <w:rsid w:val="00BC5364"/>
    <w:rsid w:val="00BC53CE"/>
    <w:rsid w:val="00BC5408"/>
    <w:rsid w:val="00BC546C"/>
    <w:rsid w:val="00BC5482"/>
    <w:rsid w:val="00BC549A"/>
    <w:rsid w:val="00BC54BE"/>
    <w:rsid w:val="00BC5531"/>
    <w:rsid w:val="00BC555F"/>
    <w:rsid w:val="00BC5561"/>
    <w:rsid w:val="00BC558A"/>
    <w:rsid w:val="00BC5592"/>
    <w:rsid w:val="00BC559F"/>
    <w:rsid w:val="00BC55C5"/>
    <w:rsid w:val="00BC55F7"/>
    <w:rsid w:val="00BC5615"/>
    <w:rsid w:val="00BC56B1"/>
    <w:rsid w:val="00BC56D7"/>
    <w:rsid w:val="00BC56EC"/>
    <w:rsid w:val="00BC56FE"/>
    <w:rsid w:val="00BC57A9"/>
    <w:rsid w:val="00BC57BD"/>
    <w:rsid w:val="00BC57CD"/>
    <w:rsid w:val="00BC57E7"/>
    <w:rsid w:val="00BC57FD"/>
    <w:rsid w:val="00BC5833"/>
    <w:rsid w:val="00BC5861"/>
    <w:rsid w:val="00BC5863"/>
    <w:rsid w:val="00BC5868"/>
    <w:rsid w:val="00BC5924"/>
    <w:rsid w:val="00BC5967"/>
    <w:rsid w:val="00BC59A8"/>
    <w:rsid w:val="00BC59A9"/>
    <w:rsid w:val="00BC59B3"/>
    <w:rsid w:val="00BC59D4"/>
    <w:rsid w:val="00BC5A03"/>
    <w:rsid w:val="00BC5A2E"/>
    <w:rsid w:val="00BC5A53"/>
    <w:rsid w:val="00BC5A85"/>
    <w:rsid w:val="00BC5AEC"/>
    <w:rsid w:val="00BC5B33"/>
    <w:rsid w:val="00BC5BAF"/>
    <w:rsid w:val="00BC5BCC"/>
    <w:rsid w:val="00BC5BD7"/>
    <w:rsid w:val="00BC5C0B"/>
    <w:rsid w:val="00BC5C11"/>
    <w:rsid w:val="00BC5C30"/>
    <w:rsid w:val="00BC5C40"/>
    <w:rsid w:val="00BC5C4D"/>
    <w:rsid w:val="00BC5C65"/>
    <w:rsid w:val="00BC5C83"/>
    <w:rsid w:val="00BC5D2D"/>
    <w:rsid w:val="00BC5D59"/>
    <w:rsid w:val="00BC5D9D"/>
    <w:rsid w:val="00BC5DDC"/>
    <w:rsid w:val="00BC5EE4"/>
    <w:rsid w:val="00BC5F3D"/>
    <w:rsid w:val="00BC5F67"/>
    <w:rsid w:val="00BC5F81"/>
    <w:rsid w:val="00BC5FBD"/>
    <w:rsid w:val="00BC5FD8"/>
    <w:rsid w:val="00BC5FFA"/>
    <w:rsid w:val="00BC600B"/>
    <w:rsid w:val="00BC600F"/>
    <w:rsid w:val="00BC6023"/>
    <w:rsid w:val="00BC6041"/>
    <w:rsid w:val="00BC6136"/>
    <w:rsid w:val="00BC613A"/>
    <w:rsid w:val="00BC615A"/>
    <w:rsid w:val="00BC6181"/>
    <w:rsid w:val="00BC61CF"/>
    <w:rsid w:val="00BC626B"/>
    <w:rsid w:val="00BC627F"/>
    <w:rsid w:val="00BC6319"/>
    <w:rsid w:val="00BC6321"/>
    <w:rsid w:val="00BC63AD"/>
    <w:rsid w:val="00BC63C9"/>
    <w:rsid w:val="00BC63DE"/>
    <w:rsid w:val="00BC648C"/>
    <w:rsid w:val="00BC64B8"/>
    <w:rsid w:val="00BC64D7"/>
    <w:rsid w:val="00BC64E9"/>
    <w:rsid w:val="00BC6521"/>
    <w:rsid w:val="00BC6548"/>
    <w:rsid w:val="00BC6590"/>
    <w:rsid w:val="00BC65B1"/>
    <w:rsid w:val="00BC65C6"/>
    <w:rsid w:val="00BC6602"/>
    <w:rsid w:val="00BC660E"/>
    <w:rsid w:val="00BC6629"/>
    <w:rsid w:val="00BC6651"/>
    <w:rsid w:val="00BC668E"/>
    <w:rsid w:val="00BC66B3"/>
    <w:rsid w:val="00BC66FF"/>
    <w:rsid w:val="00BC6760"/>
    <w:rsid w:val="00BC6802"/>
    <w:rsid w:val="00BC6812"/>
    <w:rsid w:val="00BC6815"/>
    <w:rsid w:val="00BC681C"/>
    <w:rsid w:val="00BC682B"/>
    <w:rsid w:val="00BC683F"/>
    <w:rsid w:val="00BC684B"/>
    <w:rsid w:val="00BC6880"/>
    <w:rsid w:val="00BC68B1"/>
    <w:rsid w:val="00BC68D9"/>
    <w:rsid w:val="00BC68FD"/>
    <w:rsid w:val="00BC6934"/>
    <w:rsid w:val="00BC693F"/>
    <w:rsid w:val="00BC6946"/>
    <w:rsid w:val="00BC697B"/>
    <w:rsid w:val="00BC699B"/>
    <w:rsid w:val="00BC6A12"/>
    <w:rsid w:val="00BC6A84"/>
    <w:rsid w:val="00BC6AE1"/>
    <w:rsid w:val="00BC6B14"/>
    <w:rsid w:val="00BC6B95"/>
    <w:rsid w:val="00BC6BBD"/>
    <w:rsid w:val="00BC6BDA"/>
    <w:rsid w:val="00BC6C17"/>
    <w:rsid w:val="00BC6C58"/>
    <w:rsid w:val="00BC6CC7"/>
    <w:rsid w:val="00BC6CD5"/>
    <w:rsid w:val="00BC6D40"/>
    <w:rsid w:val="00BC6D5B"/>
    <w:rsid w:val="00BC6DE1"/>
    <w:rsid w:val="00BC6E3A"/>
    <w:rsid w:val="00BC6ECD"/>
    <w:rsid w:val="00BC6F01"/>
    <w:rsid w:val="00BC6F0A"/>
    <w:rsid w:val="00BC6F43"/>
    <w:rsid w:val="00BC6F47"/>
    <w:rsid w:val="00BC6F4C"/>
    <w:rsid w:val="00BC6F79"/>
    <w:rsid w:val="00BC6FCE"/>
    <w:rsid w:val="00BC6FED"/>
    <w:rsid w:val="00BC7021"/>
    <w:rsid w:val="00BC70B2"/>
    <w:rsid w:val="00BC70BE"/>
    <w:rsid w:val="00BC7148"/>
    <w:rsid w:val="00BC7159"/>
    <w:rsid w:val="00BC7199"/>
    <w:rsid w:val="00BC7243"/>
    <w:rsid w:val="00BC7262"/>
    <w:rsid w:val="00BC726E"/>
    <w:rsid w:val="00BC7292"/>
    <w:rsid w:val="00BC72B5"/>
    <w:rsid w:val="00BC7329"/>
    <w:rsid w:val="00BC73A2"/>
    <w:rsid w:val="00BC73FB"/>
    <w:rsid w:val="00BC7453"/>
    <w:rsid w:val="00BC7471"/>
    <w:rsid w:val="00BC7486"/>
    <w:rsid w:val="00BC7493"/>
    <w:rsid w:val="00BC760E"/>
    <w:rsid w:val="00BC7620"/>
    <w:rsid w:val="00BC7623"/>
    <w:rsid w:val="00BC7678"/>
    <w:rsid w:val="00BC7683"/>
    <w:rsid w:val="00BC76A7"/>
    <w:rsid w:val="00BC76B6"/>
    <w:rsid w:val="00BC76D2"/>
    <w:rsid w:val="00BC76E2"/>
    <w:rsid w:val="00BC774D"/>
    <w:rsid w:val="00BC7755"/>
    <w:rsid w:val="00BC77A7"/>
    <w:rsid w:val="00BC77E5"/>
    <w:rsid w:val="00BC783F"/>
    <w:rsid w:val="00BC784C"/>
    <w:rsid w:val="00BC7877"/>
    <w:rsid w:val="00BC78C2"/>
    <w:rsid w:val="00BC7914"/>
    <w:rsid w:val="00BC793C"/>
    <w:rsid w:val="00BC795A"/>
    <w:rsid w:val="00BC797E"/>
    <w:rsid w:val="00BC799F"/>
    <w:rsid w:val="00BC79DC"/>
    <w:rsid w:val="00BC7A50"/>
    <w:rsid w:val="00BC7A5C"/>
    <w:rsid w:val="00BC7A73"/>
    <w:rsid w:val="00BC7A84"/>
    <w:rsid w:val="00BC7ABC"/>
    <w:rsid w:val="00BC7AE6"/>
    <w:rsid w:val="00BC7B0F"/>
    <w:rsid w:val="00BC7B2C"/>
    <w:rsid w:val="00BC7B37"/>
    <w:rsid w:val="00BC7BC7"/>
    <w:rsid w:val="00BC7BEF"/>
    <w:rsid w:val="00BC7BFD"/>
    <w:rsid w:val="00BC7C20"/>
    <w:rsid w:val="00BC7C2D"/>
    <w:rsid w:val="00BC7C4A"/>
    <w:rsid w:val="00BC7C59"/>
    <w:rsid w:val="00BC7C6E"/>
    <w:rsid w:val="00BC7C86"/>
    <w:rsid w:val="00BC7D02"/>
    <w:rsid w:val="00BC7D03"/>
    <w:rsid w:val="00BC7D46"/>
    <w:rsid w:val="00BC7D89"/>
    <w:rsid w:val="00BC7D91"/>
    <w:rsid w:val="00BC7DA2"/>
    <w:rsid w:val="00BC7DB3"/>
    <w:rsid w:val="00BC7E53"/>
    <w:rsid w:val="00BC7EB2"/>
    <w:rsid w:val="00BC7EDD"/>
    <w:rsid w:val="00BC7F1C"/>
    <w:rsid w:val="00BC7F44"/>
    <w:rsid w:val="00BC7F8B"/>
    <w:rsid w:val="00BC7FB6"/>
    <w:rsid w:val="00BC7FC5"/>
    <w:rsid w:val="00BC7FD5"/>
    <w:rsid w:val="00BD0025"/>
    <w:rsid w:val="00BD008D"/>
    <w:rsid w:val="00BD0095"/>
    <w:rsid w:val="00BD00E0"/>
    <w:rsid w:val="00BD010D"/>
    <w:rsid w:val="00BD0111"/>
    <w:rsid w:val="00BD01A0"/>
    <w:rsid w:val="00BD02C2"/>
    <w:rsid w:val="00BD0379"/>
    <w:rsid w:val="00BD03E0"/>
    <w:rsid w:val="00BD0458"/>
    <w:rsid w:val="00BD0462"/>
    <w:rsid w:val="00BD0472"/>
    <w:rsid w:val="00BD04D9"/>
    <w:rsid w:val="00BD053E"/>
    <w:rsid w:val="00BD0571"/>
    <w:rsid w:val="00BD0573"/>
    <w:rsid w:val="00BD05B4"/>
    <w:rsid w:val="00BD05E6"/>
    <w:rsid w:val="00BD0657"/>
    <w:rsid w:val="00BD0664"/>
    <w:rsid w:val="00BD06C1"/>
    <w:rsid w:val="00BD06F0"/>
    <w:rsid w:val="00BD075A"/>
    <w:rsid w:val="00BD0792"/>
    <w:rsid w:val="00BD07B0"/>
    <w:rsid w:val="00BD07DA"/>
    <w:rsid w:val="00BD07E4"/>
    <w:rsid w:val="00BD0855"/>
    <w:rsid w:val="00BD0860"/>
    <w:rsid w:val="00BD08A2"/>
    <w:rsid w:val="00BD08BF"/>
    <w:rsid w:val="00BD08CC"/>
    <w:rsid w:val="00BD08DB"/>
    <w:rsid w:val="00BD0904"/>
    <w:rsid w:val="00BD0945"/>
    <w:rsid w:val="00BD0982"/>
    <w:rsid w:val="00BD0A04"/>
    <w:rsid w:val="00BD0A54"/>
    <w:rsid w:val="00BD0ACE"/>
    <w:rsid w:val="00BD0B1A"/>
    <w:rsid w:val="00BD0B25"/>
    <w:rsid w:val="00BD0B43"/>
    <w:rsid w:val="00BD0B5E"/>
    <w:rsid w:val="00BD0C06"/>
    <w:rsid w:val="00BD0C2E"/>
    <w:rsid w:val="00BD0C3F"/>
    <w:rsid w:val="00BD0C63"/>
    <w:rsid w:val="00BD0CA7"/>
    <w:rsid w:val="00BD0CC0"/>
    <w:rsid w:val="00BD0D12"/>
    <w:rsid w:val="00BD0D13"/>
    <w:rsid w:val="00BD0D19"/>
    <w:rsid w:val="00BD0D46"/>
    <w:rsid w:val="00BD0D5D"/>
    <w:rsid w:val="00BD0DC4"/>
    <w:rsid w:val="00BD0DE7"/>
    <w:rsid w:val="00BD0E48"/>
    <w:rsid w:val="00BD0E4B"/>
    <w:rsid w:val="00BD0E86"/>
    <w:rsid w:val="00BD0EA7"/>
    <w:rsid w:val="00BD0F00"/>
    <w:rsid w:val="00BD0F23"/>
    <w:rsid w:val="00BD0F2D"/>
    <w:rsid w:val="00BD0F3E"/>
    <w:rsid w:val="00BD0F47"/>
    <w:rsid w:val="00BD0FB7"/>
    <w:rsid w:val="00BD0FCB"/>
    <w:rsid w:val="00BD0FCE"/>
    <w:rsid w:val="00BD0FE6"/>
    <w:rsid w:val="00BD0FE9"/>
    <w:rsid w:val="00BD1004"/>
    <w:rsid w:val="00BD101E"/>
    <w:rsid w:val="00BD103B"/>
    <w:rsid w:val="00BD1065"/>
    <w:rsid w:val="00BD1083"/>
    <w:rsid w:val="00BD10E1"/>
    <w:rsid w:val="00BD10FB"/>
    <w:rsid w:val="00BD1121"/>
    <w:rsid w:val="00BD1154"/>
    <w:rsid w:val="00BD11E0"/>
    <w:rsid w:val="00BD1211"/>
    <w:rsid w:val="00BD1277"/>
    <w:rsid w:val="00BD12A4"/>
    <w:rsid w:val="00BD1317"/>
    <w:rsid w:val="00BD131A"/>
    <w:rsid w:val="00BD132D"/>
    <w:rsid w:val="00BD139E"/>
    <w:rsid w:val="00BD13DA"/>
    <w:rsid w:val="00BD13EC"/>
    <w:rsid w:val="00BD142E"/>
    <w:rsid w:val="00BD1452"/>
    <w:rsid w:val="00BD149B"/>
    <w:rsid w:val="00BD14F1"/>
    <w:rsid w:val="00BD1626"/>
    <w:rsid w:val="00BD1628"/>
    <w:rsid w:val="00BD165C"/>
    <w:rsid w:val="00BD1668"/>
    <w:rsid w:val="00BD167F"/>
    <w:rsid w:val="00BD16CD"/>
    <w:rsid w:val="00BD1716"/>
    <w:rsid w:val="00BD17BC"/>
    <w:rsid w:val="00BD1819"/>
    <w:rsid w:val="00BD186C"/>
    <w:rsid w:val="00BD188A"/>
    <w:rsid w:val="00BD1892"/>
    <w:rsid w:val="00BD189E"/>
    <w:rsid w:val="00BD18C5"/>
    <w:rsid w:val="00BD18F1"/>
    <w:rsid w:val="00BD190F"/>
    <w:rsid w:val="00BD1916"/>
    <w:rsid w:val="00BD197E"/>
    <w:rsid w:val="00BD1993"/>
    <w:rsid w:val="00BD19A6"/>
    <w:rsid w:val="00BD19EA"/>
    <w:rsid w:val="00BD1A23"/>
    <w:rsid w:val="00BD1A26"/>
    <w:rsid w:val="00BD1A36"/>
    <w:rsid w:val="00BD1AA2"/>
    <w:rsid w:val="00BD1AB2"/>
    <w:rsid w:val="00BD1AE6"/>
    <w:rsid w:val="00BD1AE8"/>
    <w:rsid w:val="00BD1B3D"/>
    <w:rsid w:val="00BD1B55"/>
    <w:rsid w:val="00BD1B7D"/>
    <w:rsid w:val="00BD1C0A"/>
    <w:rsid w:val="00BD1C0E"/>
    <w:rsid w:val="00BD1C4A"/>
    <w:rsid w:val="00BD1CAC"/>
    <w:rsid w:val="00BD1CAD"/>
    <w:rsid w:val="00BD1D53"/>
    <w:rsid w:val="00BD1D5A"/>
    <w:rsid w:val="00BD1E48"/>
    <w:rsid w:val="00BD1EBD"/>
    <w:rsid w:val="00BD1ECA"/>
    <w:rsid w:val="00BD1F41"/>
    <w:rsid w:val="00BD2012"/>
    <w:rsid w:val="00BD202F"/>
    <w:rsid w:val="00BD2082"/>
    <w:rsid w:val="00BD2085"/>
    <w:rsid w:val="00BD20EB"/>
    <w:rsid w:val="00BD2111"/>
    <w:rsid w:val="00BD217F"/>
    <w:rsid w:val="00BD2184"/>
    <w:rsid w:val="00BD2190"/>
    <w:rsid w:val="00BD21AD"/>
    <w:rsid w:val="00BD21F6"/>
    <w:rsid w:val="00BD229C"/>
    <w:rsid w:val="00BD2367"/>
    <w:rsid w:val="00BD23A9"/>
    <w:rsid w:val="00BD23F9"/>
    <w:rsid w:val="00BD240D"/>
    <w:rsid w:val="00BD242F"/>
    <w:rsid w:val="00BD245F"/>
    <w:rsid w:val="00BD24A4"/>
    <w:rsid w:val="00BD24DB"/>
    <w:rsid w:val="00BD24EF"/>
    <w:rsid w:val="00BD250A"/>
    <w:rsid w:val="00BD2524"/>
    <w:rsid w:val="00BD252C"/>
    <w:rsid w:val="00BD2623"/>
    <w:rsid w:val="00BD265D"/>
    <w:rsid w:val="00BD2671"/>
    <w:rsid w:val="00BD26C7"/>
    <w:rsid w:val="00BD2726"/>
    <w:rsid w:val="00BD2761"/>
    <w:rsid w:val="00BD2802"/>
    <w:rsid w:val="00BD2804"/>
    <w:rsid w:val="00BD2809"/>
    <w:rsid w:val="00BD2829"/>
    <w:rsid w:val="00BD285D"/>
    <w:rsid w:val="00BD2865"/>
    <w:rsid w:val="00BD295E"/>
    <w:rsid w:val="00BD299E"/>
    <w:rsid w:val="00BD29CF"/>
    <w:rsid w:val="00BD2A42"/>
    <w:rsid w:val="00BD2A7E"/>
    <w:rsid w:val="00BD2A80"/>
    <w:rsid w:val="00BD2A92"/>
    <w:rsid w:val="00BD2AD4"/>
    <w:rsid w:val="00BD2B20"/>
    <w:rsid w:val="00BD2B4F"/>
    <w:rsid w:val="00BD2C1E"/>
    <w:rsid w:val="00BD2C3B"/>
    <w:rsid w:val="00BD2D0D"/>
    <w:rsid w:val="00BD2D58"/>
    <w:rsid w:val="00BD2D6B"/>
    <w:rsid w:val="00BD2DC8"/>
    <w:rsid w:val="00BD2E4B"/>
    <w:rsid w:val="00BD2E8C"/>
    <w:rsid w:val="00BD2E8D"/>
    <w:rsid w:val="00BD2E92"/>
    <w:rsid w:val="00BD2F0C"/>
    <w:rsid w:val="00BD2F30"/>
    <w:rsid w:val="00BD2F83"/>
    <w:rsid w:val="00BD2FA5"/>
    <w:rsid w:val="00BD2FB0"/>
    <w:rsid w:val="00BD2FCD"/>
    <w:rsid w:val="00BD2FCE"/>
    <w:rsid w:val="00BD30AA"/>
    <w:rsid w:val="00BD30BE"/>
    <w:rsid w:val="00BD30C2"/>
    <w:rsid w:val="00BD312A"/>
    <w:rsid w:val="00BD315C"/>
    <w:rsid w:val="00BD3165"/>
    <w:rsid w:val="00BD317F"/>
    <w:rsid w:val="00BD31CE"/>
    <w:rsid w:val="00BD31DA"/>
    <w:rsid w:val="00BD31E6"/>
    <w:rsid w:val="00BD31EF"/>
    <w:rsid w:val="00BD320A"/>
    <w:rsid w:val="00BD321D"/>
    <w:rsid w:val="00BD3222"/>
    <w:rsid w:val="00BD327E"/>
    <w:rsid w:val="00BD3284"/>
    <w:rsid w:val="00BD3332"/>
    <w:rsid w:val="00BD336C"/>
    <w:rsid w:val="00BD337C"/>
    <w:rsid w:val="00BD3411"/>
    <w:rsid w:val="00BD3494"/>
    <w:rsid w:val="00BD349F"/>
    <w:rsid w:val="00BD34D9"/>
    <w:rsid w:val="00BD34F1"/>
    <w:rsid w:val="00BD350F"/>
    <w:rsid w:val="00BD357A"/>
    <w:rsid w:val="00BD3580"/>
    <w:rsid w:val="00BD35AA"/>
    <w:rsid w:val="00BD35CC"/>
    <w:rsid w:val="00BD35EA"/>
    <w:rsid w:val="00BD35EC"/>
    <w:rsid w:val="00BD3633"/>
    <w:rsid w:val="00BD3638"/>
    <w:rsid w:val="00BD363A"/>
    <w:rsid w:val="00BD3661"/>
    <w:rsid w:val="00BD3681"/>
    <w:rsid w:val="00BD36A1"/>
    <w:rsid w:val="00BD36AC"/>
    <w:rsid w:val="00BD370F"/>
    <w:rsid w:val="00BD3732"/>
    <w:rsid w:val="00BD3817"/>
    <w:rsid w:val="00BD3819"/>
    <w:rsid w:val="00BD3853"/>
    <w:rsid w:val="00BD3873"/>
    <w:rsid w:val="00BD38B1"/>
    <w:rsid w:val="00BD38B6"/>
    <w:rsid w:val="00BD38FC"/>
    <w:rsid w:val="00BD3978"/>
    <w:rsid w:val="00BD3981"/>
    <w:rsid w:val="00BD3A2C"/>
    <w:rsid w:val="00BD3A5E"/>
    <w:rsid w:val="00BD3A86"/>
    <w:rsid w:val="00BD3ADE"/>
    <w:rsid w:val="00BD3AE9"/>
    <w:rsid w:val="00BD3B0D"/>
    <w:rsid w:val="00BD3B3A"/>
    <w:rsid w:val="00BD3B4B"/>
    <w:rsid w:val="00BD3B61"/>
    <w:rsid w:val="00BD3C5B"/>
    <w:rsid w:val="00BD3C88"/>
    <w:rsid w:val="00BD3CC8"/>
    <w:rsid w:val="00BD3CEE"/>
    <w:rsid w:val="00BD3CFD"/>
    <w:rsid w:val="00BD3D12"/>
    <w:rsid w:val="00BD3D19"/>
    <w:rsid w:val="00BD3D2A"/>
    <w:rsid w:val="00BD3D4C"/>
    <w:rsid w:val="00BD3DA5"/>
    <w:rsid w:val="00BD3E26"/>
    <w:rsid w:val="00BD3E90"/>
    <w:rsid w:val="00BD3ECA"/>
    <w:rsid w:val="00BD3F49"/>
    <w:rsid w:val="00BD3F5B"/>
    <w:rsid w:val="00BD3FAD"/>
    <w:rsid w:val="00BD4033"/>
    <w:rsid w:val="00BD40A2"/>
    <w:rsid w:val="00BD40DE"/>
    <w:rsid w:val="00BD4109"/>
    <w:rsid w:val="00BD4144"/>
    <w:rsid w:val="00BD4165"/>
    <w:rsid w:val="00BD41B7"/>
    <w:rsid w:val="00BD41C2"/>
    <w:rsid w:val="00BD41CE"/>
    <w:rsid w:val="00BD4244"/>
    <w:rsid w:val="00BD424A"/>
    <w:rsid w:val="00BD431A"/>
    <w:rsid w:val="00BD4328"/>
    <w:rsid w:val="00BD43E8"/>
    <w:rsid w:val="00BD4401"/>
    <w:rsid w:val="00BD440B"/>
    <w:rsid w:val="00BD4473"/>
    <w:rsid w:val="00BD44BF"/>
    <w:rsid w:val="00BD44C5"/>
    <w:rsid w:val="00BD4513"/>
    <w:rsid w:val="00BD459F"/>
    <w:rsid w:val="00BD45D4"/>
    <w:rsid w:val="00BD45D8"/>
    <w:rsid w:val="00BD466C"/>
    <w:rsid w:val="00BD46EF"/>
    <w:rsid w:val="00BD4718"/>
    <w:rsid w:val="00BD4725"/>
    <w:rsid w:val="00BD4751"/>
    <w:rsid w:val="00BD47AE"/>
    <w:rsid w:val="00BD4831"/>
    <w:rsid w:val="00BD48BC"/>
    <w:rsid w:val="00BD491E"/>
    <w:rsid w:val="00BD4920"/>
    <w:rsid w:val="00BD4938"/>
    <w:rsid w:val="00BD494B"/>
    <w:rsid w:val="00BD49BE"/>
    <w:rsid w:val="00BD49CB"/>
    <w:rsid w:val="00BD4A24"/>
    <w:rsid w:val="00BD4A8F"/>
    <w:rsid w:val="00BD4AC9"/>
    <w:rsid w:val="00BD4B0A"/>
    <w:rsid w:val="00BD4B19"/>
    <w:rsid w:val="00BD4B35"/>
    <w:rsid w:val="00BD4B55"/>
    <w:rsid w:val="00BD4C48"/>
    <w:rsid w:val="00BD4C4F"/>
    <w:rsid w:val="00BD4C94"/>
    <w:rsid w:val="00BD4C98"/>
    <w:rsid w:val="00BD4CD8"/>
    <w:rsid w:val="00BD4CF7"/>
    <w:rsid w:val="00BD4D6A"/>
    <w:rsid w:val="00BD4E0A"/>
    <w:rsid w:val="00BD4E27"/>
    <w:rsid w:val="00BD4E30"/>
    <w:rsid w:val="00BD4E32"/>
    <w:rsid w:val="00BD4E53"/>
    <w:rsid w:val="00BD4E76"/>
    <w:rsid w:val="00BD4E77"/>
    <w:rsid w:val="00BD4E84"/>
    <w:rsid w:val="00BD4EAE"/>
    <w:rsid w:val="00BD4EC9"/>
    <w:rsid w:val="00BD4ED6"/>
    <w:rsid w:val="00BD4F11"/>
    <w:rsid w:val="00BD4F8A"/>
    <w:rsid w:val="00BD4FC6"/>
    <w:rsid w:val="00BD502B"/>
    <w:rsid w:val="00BD502D"/>
    <w:rsid w:val="00BD5042"/>
    <w:rsid w:val="00BD506D"/>
    <w:rsid w:val="00BD5093"/>
    <w:rsid w:val="00BD50AF"/>
    <w:rsid w:val="00BD513C"/>
    <w:rsid w:val="00BD5162"/>
    <w:rsid w:val="00BD5184"/>
    <w:rsid w:val="00BD51D9"/>
    <w:rsid w:val="00BD5202"/>
    <w:rsid w:val="00BD5226"/>
    <w:rsid w:val="00BD5229"/>
    <w:rsid w:val="00BD527E"/>
    <w:rsid w:val="00BD52DF"/>
    <w:rsid w:val="00BD52F4"/>
    <w:rsid w:val="00BD52F7"/>
    <w:rsid w:val="00BD5318"/>
    <w:rsid w:val="00BD5393"/>
    <w:rsid w:val="00BD53A2"/>
    <w:rsid w:val="00BD53AD"/>
    <w:rsid w:val="00BD53C3"/>
    <w:rsid w:val="00BD5431"/>
    <w:rsid w:val="00BD543C"/>
    <w:rsid w:val="00BD545A"/>
    <w:rsid w:val="00BD545E"/>
    <w:rsid w:val="00BD547D"/>
    <w:rsid w:val="00BD5510"/>
    <w:rsid w:val="00BD5532"/>
    <w:rsid w:val="00BD554F"/>
    <w:rsid w:val="00BD55AA"/>
    <w:rsid w:val="00BD55DD"/>
    <w:rsid w:val="00BD55E7"/>
    <w:rsid w:val="00BD569C"/>
    <w:rsid w:val="00BD56BE"/>
    <w:rsid w:val="00BD56C2"/>
    <w:rsid w:val="00BD5713"/>
    <w:rsid w:val="00BD5727"/>
    <w:rsid w:val="00BD5742"/>
    <w:rsid w:val="00BD57DE"/>
    <w:rsid w:val="00BD5821"/>
    <w:rsid w:val="00BD583C"/>
    <w:rsid w:val="00BD5881"/>
    <w:rsid w:val="00BD58E4"/>
    <w:rsid w:val="00BD58FB"/>
    <w:rsid w:val="00BD5935"/>
    <w:rsid w:val="00BD5957"/>
    <w:rsid w:val="00BD597E"/>
    <w:rsid w:val="00BD599A"/>
    <w:rsid w:val="00BD5A2B"/>
    <w:rsid w:val="00BD5A30"/>
    <w:rsid w:val="00BD5A39"/>
    <w:rsid w:val="00BD5B3D"/>
    <w:rsid w:val="00BD5B63"/>
    <w:rsid w:val="00BD5B83"/>
    <w:rsid w:val="00BD5B9E"/>
    <w:rsid w:val="00BD5BBB"/>
    <w:rsid w:val="00BD5BF4"/>
    <w:rsid w:val="00BD5C26"/>
    <w:rsid w:val="00BD5C3D"/>
    <w:rsid w:val="00BD5D01"/>
    <w:rsid w:val="00BD5D7D"/>
    <w:rsid w:val="00BD5DA8"/>
    <w:rsid w:val="00BD5DB4"/>
    <w:rsid w:val="00BD5DFB"/>
    <w:rsid w:val="00BD5E28"/>
    <w:rsid w:val="00BD5E75"/>
    <w:rsid w:val="00BD5EB8"/>
    <w:rsid w:val="00BD5ED5"/>
    <w:rsid w:val="00BD5EF9"/>
    <w:rsid w:val="00BD5F01"/>
    <w:rsid w:val="00BD5F3A"/>
    <w:rsid w:val="00BD5F40"/>
    <w:rsid w:val="00BD5F6F"/>
    <w:rsid w:val="00BD5F87"/>
    <w:rsid w:val="00BD5FA1"/>
    <w:rsid w:val="00BD5FE3"/>
    <w:rsid w:val="00BD5FE5"/>
    <w:rsid w:val="00BD600C"/>
    <w:rsid w:val="00BD6017"/>
    <w:rsid w:val="00BD6042"/>
    <w:rsid w:val="00BD6053"/>
    <w:rsid w:val="00BD6075"/>
    <w:rsid w:val="00BD60D9"/>
    <w:rsid w:val="00BD6140"/>
    <w:rsid w:val="00BD616D"/>
    <w:rsid w:val="00BD61EA"/>
    <w:rsid w:val="00BD6213"/>
    <w:rsid w:val="00BD6225"/>
    <w:rsid w:val="00BD629C"/>
    <w:rsid w:val="00BD62F5"/>
    <w:rsid w:val="00BD62F8"/>
    <w:rsid w:val="00BD6361"/>
    <w:rsid w:val="00BD63BD"/>
    <w:rsid w:val="00BD63C7"/>
    <w:rsid w:val="00BD6401"/>
    <w:rsid w:val="00BD6470"/>
    <w:rsid w:val="00BD648F"/>
    <w:rsid w:val="00BD6497"/>
    <w:rsid w:val="00BD64DC"/>
    <w:rsid w:val="00BD64EF"/>
    <w:rsid w:val="00BD6547"/>
    <w:rsid w:val="00BD660E"/>
    <w:rsid w:val="00BD6612"/>
    <w:rsid w:val="00BD6637"/>
    <w:rsid w:val="00BD6675"/>
    <w:rsid w:val="00BD667D"/>
    <w:rsid w:val="00BD6681"/>
    <w:rsid w:val="00BD6694"/>
    <w:rsid w:val="00BD66DD"/>
    <w:rsid w:val="00BD6753"/>
    <w:rsid w:val="00BD67A4"/>
    <w:rsid w:val="00BD67C9"/>
    <w:rsid w:val="00BD67FE"/>
    <w:rsid w:val="00BD68A7"/>
    <w:rsid w:val="00BD695D"/>
    <w:rsid w:val="00BD6A07"/>
    <w:rsid w:val="00BD6A43"/>
    <w:rsid w:val="00BD6A70"/>
    <w:rsid w:val="00BD6A98"/>
    <w:rsid w:val="00BD6B19"/>
    <w:rsid w:val="00BD6B70"/>
    <w:rsid w:val="00BD6B75"/>
    <w:rsid w:val="00BD6BDA"/>
    <w:rsid w:val="00BD6C08"/>
    <w:rsid w:val="00BD6C32"/>
    <w:rsid w:val="00BD6C58"/>
    <w:rsid w:val="00BD6C69"/>
    <w:rsid w:val="00BD6C98"/>
    <w:rsid w:val="00BD6CF0"/>
    <w:rsid w:val="00BD6D3C"/>
    <w:rsid w:val="00BD6D8C"/>
    <w:rsid w:val="00BD6D8D"/>
    <w:rsid w:val="00BD6DB1"/>
    <w:rsid w:val="00BD6DDC"/>
    <w:rsid w:val="00BD6DF7"/>
    <w:rsid w:val="00BD6E0E"/>
    <w:rsid w:val="00BD6E46"/>
    <w:rsid w:val="00BD6E53"/>
    <w:rsid w:val="00BD6E94"/>
    <w:rsid w:val="00BD6EAD"/>
    <w:rsid w:val="00BD6F01"/>
    <w:rsid w:val="00BD6FA7"/>
    <w:rsid w:val="00BD6FB6"/>
    <w:rsid w:val="00BD6FBE"/>
    <w:rsid w:val="00BD6FFE"/>
    <w:rsid w:val="00BD700F"/>
    <w:rsid w:val="00BD703F"/>
    <w:rsid w:val="00BD7049"/>
    <w:rsid w:val="00BD70A6"/>
    <w:rsid w:val="00BD70AC"/>
    <w:rsid w:val="00BD713F"/>
    <w:rsid w:val="00BD7173"/>
    <w:rsid w:val="00BD71B8"/>
    <w:rsid w:val="00BD7204"/>
    <w:rsid w:val="00BD7207"/>
    <w:rsid w:val="00BD722F"/>
    <w:rsid w:val="00BD726A"/>
    <w:rsid w:val="00BD726F"/>
    <w:rsid w:val="00BD72BC"/>
    <w:rsid w:val="00BD736C"/>
    <w:rsid w:val="00BD7381"/>
    <w:rsid w:val="00BD73D7"/>
    <w:rsid w:val="00BD73DA"/>
    <w:rsid w:val="00BD73F4"/>
    <w:rsid w:val="00BD741C"/>
    <w:rsid w:val="00BD7459"/>
    <w:rsid w:val="00BD74B3"/>
    <w:rsid w:val="00BD7537"/>
    <w:rsid w:val="00BD755A"/>
    <w:rsid w:val="00BD7589"/>
    <w:rsid w:val="00BD75B5"/>
    <w:rsid w:val="00BD7634"/>
    <w:rsid w:val="00BD764D"/>
    <w:rsid w:val="00BD76A8"/>
    <w:rsid w:val="00BD76C1"/>
    <w:rsid w:val="00BD76CF"/>
    <w:rsid w:val="00BD7712"/>
    <w:rsid w:val="00BD7716"/>
    <w:rsid w:val="00BD77B2"/>
    <w:rsid w:val="00BD77C4"/>
    <w:rsid w:val="00BD77D7"/>
    <w:rsid w:val="00BD7818"/>
    <w:rsid w:val="00BD7859"/>
    <w:rsid w:val="00BD7877"/>
    <w:rsid w:val="00BD787D"/>
    <w:rsid w:val="00BD788B"/>
    <w:rsid w:val="00BD7894"/>
    <w:rsid w:val="00BD789A"/>
    <w:rsid w:val="00BD78A9"/>
    <w:rsid w:val="00BD795D"/>
    <w:rsid w:val="00BD79AF"/>
    <w:rsid w:val="00BD7A6D"/>
    <w:rsid w:val="00BD7A98"/>
    <w:rsid w:val="00BD7B1B"/>
    <w:rsid w:val="00BD7B31"/>
    <w:rsid w:val="00BD7B90"/>
    <w:rsid w:val="00BD7BB8"/>
    <w:rsid w:val="00BD7C15"/>
    <w:rsid w:val="00BD7C2C"/>
    <w:rsid w:val="00BD7C3D"/>
    <w:rsid w:val="00BD7C6F"/>
    <w:rsid w:val="00BD7C93"/>
    <w:rsid w:val="00BD7C97"/>
    <w:rsid w:val="00BD7CCA"/>
    <w:rsid w:val="00BD7CD5"/>
    <w:rsid w:val="00BD7CD8"/>
    <w:rsid w:val="00BD7D37"/>
    <w:rsid w:val="00BD7D4F"/>
    <w:rsid w:val="00BD7D5C"/>
    <w:rsid w:val="00BD7DB9"/>
    <w:rsid w:val="00BD7DDB"/>
    <w:rsid w:val="00BD7E48"/>
    <w:rsid w:val="00BD7EA7"/>
    <w:rsid w:val="00BD7EB5"/>
    <w:rsid w:val="00BD7ECD"/>
    <w:rsid w:val="00BD7F22"/>
    <w:rsid w:val="00BD7FA0"/>
    <w:rsid w:val="00BD7FDE"/>
    <w:rsid w:val="00BE000D"/>
    <w:rsid w:val="00BE001A"/>
    <w:rsid w:val="00BE0053"/>
    <w:rsid w:val="00BE00CE"/>
    <w:rsid w:val="00BE0107"/>
    <w:rsid w:val="00BE0108"/>
    <w:rsid w:val="00BE0158"/>
    <w:rsid w:val="00BE0194"/>
    <w:rsid w:val="00BE01B6"/>
    <w:rsid w:val="00BE0249"/>
    <w:rsid w:val="00BE026B"/>
    <w:rsid w:val="00BE0326"/>
    <w:rsid w:val="00BE0341"/>
    <w:rsid w:val="00BE0356"/>
    <w:rsid w:val="00BE037A"/>
    <w:rsid w:val="00BE0388"/>
    <w:rsid w:val="00BE0397"/>
    <w:rsid w:val="00BE03DB"/>
    <w:rsid w:val="00BE03F1"/>
    <w:rsid w:val="00BE0449"/>
    <w:rsid w:val="00BE04B0"/>
    <w:rsid w:val="00BE04BA"/>
    <w:rsid w:val="00BE0519"/>
    <w:rsid w:val="00BE053B"/>
    <w:rsid w:val="00BE0568"/>
    <w:rsid w:val="00BE05EC"/>
    <w:rsid w:val="00BE062E"/>
    <w:rsid w:val="00BE0665"/>
    <w:rsid w:val="00BE0679"/>
    <w:rsid w:val="00BE067E"/>
    <w:rsid w:val="00BE0689"/>
    <w:rsid w:val="00BE06A4"/>
    <w:rsid w:val="00BE06C8"/>
    <w:rsid w:val="00BE06DA"/>
    <w:rsid w:val="00BE06DD"/>
    <w:rsid w:val="00BE0791"/>
    <w:rsid w:val="00BE07D5"/>
    <w:rsid w:val="00BE0819"/>
    <w:rsid w:val="00BE081B"/>
    <w:rsid w:val="00BE081F"/>
    <w:rsid w:val="00BE086C"/>
    <w:rsid w:val="00BE089D"/>
    <w:rsid w:val="00BE0903"/>
    <w:rsid w:val="00BE09B6"/>
    <w:rsid w:val="00BE0A53"/>
    <w:rsid w:val="00BE0A90"/>
    <w:rsid w:val="00BE0AE0"/>
    <w:rsid w:val="00BE0B20"/>
    <w:rsid w:val="00BE0B8D"/>
    <w:rsid w:val="00BE0BFD"/>
    <w:rsid w:val="00BE0C00"/>
    <w:rsid w:val="00BE0C20"/>
    <w:rsid w:val="00BE0C24"/>
    <w:rsid w:val="00BE0C38"/>
    <w:rsid w:val="00BE0C40"/>
    <w:rsid w:val="00BE0C65"/>
    <w:rsid w:val="00BE0C87"/>
    <w:rsid w:val="00BE0C8C"/>
    <w:rsid w:val="00BE0CB8"/>
    <w:rsid w:val="00BE0CD0"/>
    <w:rsid w:val="00BE0DAC"/>
    <w:rsid w:val="00BE0E14"/>
    <w:rsid w:val="00BE0EC0"/>
    <w:rsid w:val="00BE0EFA"/>
    <w:rsid w:val="00BE0F16"/>
    <w:rsid w:val="00BE0F17"/>
    <w:rsid w:val="00BE0F59"/>
    <w:rsid w:val="00BE0F6C"/>
    <w:rsid w:val="00BE0FAF"/>
    <w:rsid w:val="00BE1062"/>
    <w:rsid w:val="00BE106B"/>
    <w:rsid w:val="00BE109E"/>
    <w:rsid w:val="00BE10F4"/>
    <w:rsid w:val="00BE111A"/>
    <w:rsid w:val="00BE1124"/>
    <w:rsid w:val="00BE1180"/>
    <w:rsid w:val="00BE118E"/>
    <w:rsid w:val="00BE11AE"/>
    <w:rsid w:val="00BE1215"/>
    <w:rsid w:val="00BE121B"/>
    <w:rsid w:val="00BE12DA"/>
    <w:rsid w:val="00BE132D"/>
    <w:rsid w:val="00BE1363"/>
    <w:rsid w:val="00BE1385"/>
    <w:rsid w:val="00BE13AD"/>
    <w:rsid w:val="00BE13C2"/>
    <w:rsid w:val="00BE145E"/>
    <w:rsid w:val="00BE1468"/>
    <w:rsid w:val="00BE1490"/>
    <w:rsid w:val="00BE1498"/>
    <w:rsid w:val="00BE14EF"/>
    <w:rsid w:val="00BE14FD"/>
    <w:rsid w:val="00BE1507"/>
    <w:rsid w:val="00BE1521"/>
    <w:rsid w:val="00BE155F"/>
    <w:rsid w:val="00BE15F1"/>
    <w:rsid w:val="00BE1606"/>
    <w:rsid w:val="00BE166B"/>
    <w:rsid w:val="00BE166C"/>
    <w:rsid w:val="00BE166E"/>
    <w:rsid w:val="00BE1676"/>
    <w:rsid w:val="00BE1684"/>
    <w:rsid w:val="00BE1692"/>
    <w:rsid w:val="00BE1695"/>
    <w:rsid w:val="00BE16DB"/>
    <w:rsid w:val="00BE171D"/>
    <w:rsid w:val="00BE172F"/>
    <w:rsid w:val="00BE1737"/>
    <w:rsid w:val="00BE1796"/>
    <w:rsid w:val="00BE17C7"/>
    <w:rsid w:val="00BE1848"/>
    <w:rsid w:val="00BE1856"/>
    <w:rsid w:val="00BE1857"/>
    <w:rsid w:val="00BE1859"/>
    <w:rsid w:val="00BE188C"/>
    <w:rsid w:val="00BE18C4"/>
    <w:rsid w:val="00BE18E7"/>
    <w:rsid w:val="00BE18F8"/>
    <w:rsid w:val="00BE19D6"/>
    <w:rsid w:val="00BE1A02"/>
    <w:rsid w:val="00BE1A16"/>
    <w:rsid w:val="00BE1A19"/>
    <w:rsid w:val="00BE1A91"/>
    <w:rsid w:val="00BE1AF3"/>
    <w:rsid w:val="00BE1B10"/>
    <w:rsid w:val="00BE1B3C"/>
    <w:rsid w:val="00BE1B77"/>
    <w:rsid w:val="00BE1BB1"/>
    <w:rsid w:val="00BE1BBE"/>
    <w:rsid w:val="00BE1BE2"/>
    <w:rsid w:val="00BE1C29"/>
    <w:rsid w:val="00BE1C2B"/>
    <w:rsid w:val="00BE1C3C"/>
    <w:rsid w:val="00BE1CAA"/>
    <w:rsid w:val="00BE1D01"/>
    <w:rsid w:val="00BE1D06"/>
    <w:rsid w:val="00BE1D37"/>
    <w:rsid w:val="00BE1D4C"/>
    <w:rsid w:val="00BE1D59"/>
    <w:rsid w:val="00BE1D6E"/>
    <w:rsid w:val="00BE1D73"/>
    <w:rsid w:val="00BE1DAE"/>
    <w:rsid w:val="00BE1DF2"/>
    <w:rsid w:val="00BE1E28"/>
    <w:rsid w:val="00BE1F2C"/>
    <w:rsid w:val="00BE1F3C"/>
    <w:rsid w:val="00BE1F68"/>
    <w:rsid w:val="00BE1F81"/>
    <w:rsid w:val="00BE1FB2"/>
    <w:rsid w:val="00BE1FCD"/>
    <w:rsid w:val="00BE2018"/>
    <w:rsid w:val="00BE203D"/>
    <w:rsid w:val="00BE205C"/>
    <w:rsid w:val="00BE207D"/>
    <w:rsid w:val="00BE2081"/>
    <w:rsid w:val="00BE20C3"/>
    <w:rsid w:val="00BE20CA"/>
    <w:rsid w:val="00BE21B4"/>
    <w:rsid w:val="00BE21C7"/>
    <w:rsid w:val="00BE21CE"/>
    <w:rsid w:val="00BE21E4"/>
    <w:rsid w:val="00BE21EF"/>
    <w:rsid w:val="00BE222B"/>
    <w:rsid w:val="00BE224E"/>
    <w:rsid w:val="00BE2268"/>
    <w:rsid w:val="00BE2279"/>
    <w:rsid w:val="00BE22AF"/>
    <w:rsid w:val="00BE22EE"/>
    <w:rsid w:val="00BE2312"/>
    <w:rsid w:val="00BE235E"/>
    <w:rsid w:val="00BE237F"/>
    <w:rsid w:val="00BE2390"/>
    <w:rsid w:val="00BE2399"/>
    <w:rsid w:val="00BE23AC"/>
    <w:rsid w:val="00BE23C0"/>
    <w:rsid w:val="00BE23FD"/>
    <w:rsid w:val="00BE2474"/>
    <w:rsid w:val="00BE24D9"/>
    <w:rsid w:val="00BE24EF"/>
    <w:rsid w:val="00BE2575"/>
    <w:rsid w:val="00BE25B5"/>
    <w:rsid w:val="00BE263C"/>
    <w:rsid w:val="00BE2688"/>
    <w:rsid w:val="00BE2728"/>
    <w:rsid w:val="00BE27A6"/>
    <w:rsid w:val="00BE27D2"/>
    <w:rsid w:val="00BE2814"/>
    <w:rsid w:val="00BE2888"/>
    <w:rsid w:val="00BE290D"/>
    <w:rsid w:val="00BE2988"/>
    <w:rsid w:val="00BE2992"/>
    <w:rsid w:val="00BE2A0F"/>
    <w:rsid w:val="00BE2ADA"/>
    <w:rsid w:val="00BE2B16"/>
    <w:rsid w:val="00BE2B17"/>
    <w:rsid w:val="00BE2B23"/>
    <w:rsid w:val="00BE2B6A"/>
    <w:rsid w:val="00BE2B95"/>
    <w:rsid w:val="00BE2BDD"/>
    <w:rsid w:val="00BE2CB1"/>
    <w:rsid w:val="00BE2D03"/>
    <w:rsid w:val="00BE2D25"/>
    <w:rsid w:val="00BE2D4B"/>
    <w:rsid w:val="00BE2D64"/>
    <w:rsid w:val="00BE2DC8"/>
    <w:rsid w:val="00BE2DFB"/>
    <w:rsid w:val="00BE2DFC"/>
    <w:rsid w:val="00BE2F0D"/>
    <w:rsid w:val="00BE2F3F"/>
    <w:rsid w:val="00BE304B"/>
    <w:rsid w:val="00BE306B"/>
    <w:rsid w:val="00BE3073"/>
    <w:rsid w:val="00BE30FF"/>
    <w:rsid w:val="00BE315B"/>
    <w:rsid w:val="00BE3237"/>
    <w:rsid w:val="00BE3243"/>
    <w:rsid w:val="00BE3288"/>
    <w:rsid w:val="00BE3290"/>
    <w:rsid w:val="00BE32A8"/>
    <w:rsid w:val="00BE32AB"/>
    <w:rsid w:val="00BE32C9"/>
    <w:rsid w:val="00BE3312"/>
    <w:rsid w:val="00BE3356"/>
    <w:rsid w:val="00BE33AA"/>
    <w:rsid w:val="00BE349F"/>
    <w:rsid w:val="00BE3508"/>
    <w:rsid w:val="00BE3514"/>
    <w:rsid w:val="00BE352E"/>
    <w:rsid w:val="00BE35BA"/>
    <w:rsid w:val="00BE3672"/>
    <w:rsid w:val="00BE3720"/>
    <w:rsid w:val="00BE3813"/>
    <w:rsid w:val="00BE3814"/>
    <w:rsid w:val="00BE3891"/>
    <w:rsid w:val="00BE38A8"/>
    <w:rsid w:val="00BE38BD"/>
    <w:rsid w:val="00BE3913"/>
    <w:rsid w:val="00BE3942"/>
    <w:rsid w:val="00BE395D"/>
    <w:rsid w:val="00BE3966"/>
    <w:rsid w:val="00BE399D"/>
    <w:rsid w:val="00BE39CB"/>
    <w:rsid w:val="00BE3A11"/>
    <w:rsid w:val="00BE3A2B"/>
    <w:rsid w:val="00BE3A3C"/>
    <w:rsid w:val="00BE3A8A"/>
    <w:rsid w:val="00BE3A99"/>
    <w:rsid w:val="00BE3B03"/>
    <w:rsid w:val="00BE3B3F"/>
    <w:rsid w:val="00BE3B51"/>
    <w:rsid w:val="00BE3C5F"/>
    <w:rsid w:val="00BE3C67"/>
    <w:rsid w:val="00BE3CE8"/>
    <w:rsid w:val="00BE3D1D"/>
    <w:rsid w:val="00BE3D65"/>
    <w:rsid w:val="00BE3D7D"/>
    <w:rsid w:val="00BE3DD7"/>
    <w:rsid w:val="00BE3DF9"/>
    <w:rsid w:val="00BE3E7C"/>
    <w:rsid w:val="00BE3EA2"/>
    <w:rsid w:val="00BE3F1D"/>
    <w:rsid w:val="00BE3F90"/>
    <w:rsid w:val="00BE3FE3"/>
    <w:rsid w:val="00BE4020"/>
    <w:rsid w:val="00BE407A"/>
    <w:rsid w:val="00BE408F"/>
    <w:rsid w:val="00BE4098"/>
    <w:rsid w:val="00BE40B1"/>
    <w:rsid w:val="00BE40B4"/>
    <w:rsid w:val="00BE40E9"/>
    <w:rsid w:val="00BE410E"/>
    <w:rsid w:val="00BE4110"/>
    <w:rsid w:val="00BE4111"/>
    <w:rsid w:val="00BE411E"/>
    <w:rsid w:val="00BE4143"/>
    <w:rsid w:val="00BE418A"/>
    <w:rsid w:val="00BE41D5"/>
    <w:rsid w:val="00BE420E"/>
    <w:rsid w:val="00BE422D"/>
    <w:rsid w:val="00BE4266"/>
    <w:rsid w:val="00BE426A"/>
    <w:rsid w:val="00BE42FF"/>
    <w:rsid w:val="00BE432C"/>
    <w:rsid w:val="00BE4363"/>
    <w:rsid w:val="00BE438B"/>
    <w:rsid w:val="00BE439E"/>
    <w:rsid w:val="00BE43C8"/>
    <w:rsid w:val="00BE444E"/>
    <w:rsid w:val="00BE4474"/>
    <w:rsid w:val="00BE4508"/>
    <w:rsid w:val="00BE451F"/>
    <w:rsid w:val="00BE4541"/>
    <w:rsid w:val="00BE4570"/>
    <w:rsid w:val="00BE45B1"/>
    <w:rsid w:val="00BE45FA"/>
    <w:rsid w:val="00BE4670"/>
    <w:rsid w:val="00BE46BB"/>
    <w:rsid w:val="00BE46DB"/>
    <w:rsid w:val="00BE46ED"/>
    <w:rsid w:val="00BE46FD"/>
    <w:rsid w:val="00BE473D"/>
    <w:rsid w:val="00BE4772"/>
    <w:rsid w:val="00BE4777"/>
    <w:rsid w:val="00BE47A8"/>
    <w:rsid w:val="00BE47D2"/>
    <w:rsid w:val="00BE4816"/>
    <w:rsid w:val="00BE4859"/>
    <w:rsid w:val="00BE4861"/>
    <w:rsid w:val="00BE48BD"/>
    <w:rsid w:val="00BE48CE"/>
    <w:rsid w:val="00BE495C"/>
    <w:rsid w:val="00BE4983"/>
    <w:rsid w:val="00BE49AD"/>
    <w:rsid w:val="00BE49C5"/>
    <w:rsid w:val="00BE4A50"/>
    <w:rsid w:val="00BE4A78"/>
    <w:rsid w:val="00BE4A91"/>
    <w:rsid w:val="00BE4B73"/>
    <w:rsid w:val="00BE4B98"/>
    <w:rsid w:val="00BE4BF7"/>
    <w:rsid w:val="00BE4C2C"/>
    <w:rsid w:val="00BE4C36"/>
    <w:rsid w:val="00BE4C54"/>
    <w:rsid w:val="00BE4C81"/>
    <w:rsid w:val="00BE4CD3"/>
    <w:rsid w:val="00BE4D0E"/>
    <w:rsid w:val="00BE4D1A"/>
    <w:rsid w:val="00BE4D22"/>
    <w:rsid w:val="00BE4DD4"/>
    <w:rsid w:val="00BE4E25"/>
    <w:rsid w:val="00BE4E2C"/>
    <w:rsid w:val="00BE4E37"/>
    <w:rsid w:val="00BE4EC7"/>
    <w:rsid w:val="00BE4ECF"/>
    <w:rsid w:val="00BE4F01"/>
    <w:rsid w:val="00BE4F0C"/>
    <w:rsid w:val="00BE4F40"/>
    <w:rsid w:val="00BE4F75"/>
    <w:rsid w:val="00BE4FA7"/>
    <w:rsid w:val="00BE4FCE"/>
    <w:rsid w:val="00BE4FD4"/>
    <w:rsid w:val="00BE4FFE"/>
    <w:rsid w:val="00BE5049"/>
    <w:rsid w:val="00BE5059"/>
    <w:rsid w:val="00BE5083"/>
    <w:rsid w:val="00BE50B5"/>
    <w:rsid w:val="00BE5109"/>
    <w:rsid w:val="00BE5119"/>
    <w:rsid w:val="00BE515D"/>
    <w:rsid w:val="00BE5166"/>
    <w:rsid w:val="00BE518E"/>
    <w:rsid w:val="00BE5199"/>
    <w:rsid w:val="00BE52C6"/>
    <w:rsid w:val="00BE52D4"/>
    <w:rsid w:val="00BE5341"/>
    <w:rsid w:val="00BE5355"/>
    <w:rsid w:val="00BE537D"/>
    <w:rsid w:val="00BE53C6"/>
    <w:rsid w:val="00BE53DC"/>
    <w:rsid w:val="00BE5403"/>
    <w:rsid w:val="00BE5412"/>
    <w:rsid w:val="00BE543A"/>
    <w:rsid w:val="00BE544C"/>
    <w:rsid w:val="00BE5552"/>
    <w:rsid w:val="00BE55A3"/>
    <w:rsid w:val="00BE55C3"/>
    <w:rsid w:val="00BE55CE"/>
    <w:rsid w:val="00BE55FB"/>
    <w:rsid w:val="00BE5617"/>
    <w:rsid w:val="00BE567E"/>
    <w:rsid w:val="00BE56A0"/>
    <w:rsid w:val="00BE571E"/>
    <w:rsid w:val="00BE573C"/>
    <w:rsid w:val="00BE57A7"/>
    <w:rsid w:val="00BE57DF"/>
    <w:rsid w:val="00BE5813"/>
    <w:rsid w:val="00BE587C"/>
    <w:rsid w:val="00BE5901"/>
    <w:rsid w:val="00BE591D"/>
    <w:rsid w:val="00BE5927"/>
    <w:rsid w:val="00BE5983"/>
    <w:rsid w:val="00BE5A40"/>
    <w:rsid w:val="00BE5A9B"/>
    <w:rsid w:val="00BE5AA6"/>
    <w:rsid w:val="00BE5AB6"/>
    <w:rsid w:val="00BE5AD8"/>
    <w:rsid w:val="00BE5B8A"/>
    <w:rsid w:val="00BE5BB3"/>
    <w:rsid w:val="00BE5C55"/>
    <w:rsid w:val="00BE5C67"/>
    <w:rsid w:val="00BE5CA6"/>
    <w:rsid w:val="00BE5D2B"/>
    <w:rsid w:val="00BE5E55"/>
    <w:rsid w:val="00BE5E89"/>
    <w:rsid w:val="00BE5E9A"/>
    <w:rsid w:val="00BE5E9C"/>
    <w:rsid w:val="00BE5EB2"/>
    <w:rsid w:val="00BE5EB8"/>
    <w:rsid w:val="00BE5EE1"/>
    <w:rsid w:val="00BE5F29"/>
    <w:rsid w:val="00BE5F88"/>
    <w:rsid w:val="00BE5FA8"/>
    <w:rsid w:val="00BE5FD0"/>
    <w:rsid w:val="00BE5FEF"/>
    <w:rsid w:val="00BE6060"/>
    <w:rsid w:val="00BE6075"/>
    <w:rsid w:val="00BE607B"/>
    <w:rsid w:val="00BE60AD"/>
    <w:rsid w:val="00BE60E2"/>
    <w:rsid w:val="00BE60F3"/>
    <w:rsid w:val="00BE6101"/>
    <w:rsid w:val="00BE6116"/>
    <w:rsid w:val="00BE6155"/>
    <w:rsid w:val="00BE6162"/>
    <w:rsid w:val="00BE61AB"/>
    <w:rsid w:val="00BE61C2"/>
    <w:rsid w:val="00BE620F"/>
    <w:rsid w:val="00BE622D"/>
    <w:rsid w:val="00BE6258"/>
    <w:rsid w:val="00BE6261"/>
    <w:rsid w:val="00BE6269"/>
    <w:rsid w:val="00BE6273"/>
    <w:rsid w:val="00BE631B"/>
    <w:rsid w:val="00BE631D"/>
    <w:rsid w:val="00BE6320"/>
    <w:rsid w:val="00BE6357"/>
    <w:rsid w:val="00BE63F1"/>
    <w:rsid w:val="00BE6401"/>
    <w:rsid w:val="00BE640D"/>
    <w:rsid w:val="00BE6459"/>
    <w:rsid w:val="00BE6481"/>
    <w:rsid w:val="00BE64DE"/>
    <w:rsid w:val="00BE6527"/>
    <w:rsid w:val="00BE6562"/>
    <w:rsid w:val="00BE65B1"/>
    <w:rsid w:val="00BE668A"/>
    <w:rsid w:val="00BE6715"/>
    <w:rsid w:val="00BE67D3"/>
    <w:rsid w:val="00BE680A"/>
    <w:rsid w:val="00BE680F"/>
    <w:rsid w:val="00BE6824"/>
    <w:rsid w:val="00BE682F"/>
    <w:rsid w:val="00BE6857"/>
    <w:rsid w:val="00BE685D"/>
    <w:rsid w:val="00BE6861"/>
    <w:rsid w:val="00BE6881"/>
    <w:rsid w:val="00BE6910"/>
    <w:rsid w:val="00BE6915"/>
    <w:rsid w:val="00BE6922"/>
    <w:rsid w:val="00BE693E"/>
    <w:rsid w:val="00BE6995"/>
    <w:rsid w:val="00BE6999"/>
    <w:rsid w:val="00BE69B1"/>
    <w:rsid w:val="00BE69BF"/>
    <w:rsid w:val="00BE69CD"/>
    <w:rsid w:val="00BE6A3A"/>
    <w:rsid w:val="00BE6AD9"/>
    <w:rsid w:val="00BE6B0C"/>
    <w:rsid w:val="00BE6B38"/>
    <w:rsid w:val="00BE6B42"/>
    <w:rsid w:val="00BE6B68"/>
    <w:rsid w:val="00BE6BA8"/>
    <w:rsid w:val="00BE6C16"/>
    <w:rsid w:val="00BE6C1C"/>
    <w:rsid w:val="00BE6C44"/>
    <w:rsid w:val="00BE6C91"/>
    <w:rsid w:val="00BE6CAB"/>
    <w:rsid w:val="00BE6D2F"/>
    <w:rsid w:val="00BE6D5A"/>
    <w:rsid w:val="00BE6D6B"/>
    <w:rsid w:val="00BE6DC6"/>
    <w:rsid w:val="00BE6DF8"/>
    <w:rsid w:val="00BE6E4A"/>
    <w:rsid w:val="00BE6EAD"/>
    <w:rsid w:val="00BE6EE8"/>
    <w:rsid w:val="00BE6EF3"/>
    <w:rsid w:val="00BE6F03"/>
    <w:rsid w:val="00BE6F1D"/>
    <w:rsid w:val="00BE6F49"/>
    <w:rsid w:val="00BE6F68"/>
    <w:rsid w:val="00BE7072"/>
    <w:rsid w:val="00BE70CD"/>
    <w:rsid w:val="00BE7141"/>
    <w:rsid w:val="00BE7187"/>
    <w:rsid w:val="00BE71E3"/>
    <w:rsid w:val="00BE71E7"/>
    <w:rsid w:val="00BE726F"/>
    <w:rsid w:val="00BE734C"/>
    <w:rsid w:val="00BE7362"/>
    <w:rsid w:val="00BE738F"/>
    <w:rsid w:val="00BE73C1"/>
    <w:rsid w:val="00BE73F8"/>
    <w:rsid w:val="00BE7440"/>
    <w:rsid w:val="00BE7479"/>
    <w:rsid w:val="00BE74A9"/>
    <w:rsid w:val="00BE74D6"/>
    <w:rsid w:val="00BE74E2"/>
    <w:rsid w:val="00BE7503"/>
    <w:rsid w:val="00BE755E"/>
    <w:rsid w:val="00BE7570"/>
    <w:rsid w:val="00BE7599"/>
    <w:rsid w:val="00BE75B0"/>
    <w:rsid w:val="00BE762F"/>
    <w:rsid w:val="00BE7655"/>
    <w:rsid w:val="00BE76B0"/>
    <w:rsid w:val="00BE76B4"/>
    <w:rsid w:val="00BE7762"/>
    <w:rsid w:val="00BE7765"/>
    <w:rsid w:val="00BE776A"/>
    <w:rsid w:val="00BE77F2"/>
    <w:rsid w:val="00BE7803"/>
    <w:rsid w:val="00BE782F"/>
    <w:rsid w:val="00BE783A"/>
    <w:rsid w:val="00BE7858"/>
    <w:rsid w:val="00BE789D"/>
    <w:rsid w:val="00BE78CD"/>
    <w:rsid w:val="00BE7942"/>
    <w:rsid w:val="00BE794F"/>
    <w:rsid w:val="00BE7987"/>
    <w:rsid w:val="00BE798A"/>
    <w:rsid w:val="00BE79F9"/>
    <w:rsid w:val="00BE7A34"/>
    <w:rsid w:val="00BE7B10"/>
    <w:rsid w:val="00BE7B9E"/>
    <w:rsid w:val="00BE7BC9"/>
    <w:rsid w:val="00BE7BDD"/>
    <w:rsid w:val="00BE7BEC"/>
    <w:rsid w:val="00BE7C4E"/>
    <w:rsid w:val="00BE7C7E"/>
    <w:rsid w:val="00BE7CE8"/>
    <w:rsid w:val="00BE7CF2"/>
    <w:rsid w:val="00BE7CF5"/>
    <w:rsid w:val="00BE7D07"/>
    <w:rsid w:val="00BE7D37"/>
    <w:rsid w:val="00BE7D3B"/>
    <w:rsid w:val="00BE7DB3"/>
    <w:rsid w:val="00BE7DB7"/>
    <w:rsid w:val="00BE7DCD"/>
    <w:rsid w:val="00BE7E10"/>
    <w:rsid w:val="00BE7E9E"/>
    <w:rsid w:val="00BE7EC1"/>
    <w:rsid w:val="00BE7ED9"/>
    <w:rsid w:val="00BE7EEE"/>
    <w:rsid w:val="00BE7F61"/>
    <w:rsid w:val="00BE7F7E"/>
    <w:rsid w:val="00BE7F87"/>
    <w:rsid w:val="00BE7FA5"/>
    <w:rsid w:val="00BE7FB9"/>
    <w:rsid w:val="00BE7FD2"/>
    <w:rsid w:val="00BE7FD9"/>
    <w:rsid w:val="00BE7FF7"/>
    <w:rsid w:val="00BF008E"/>
    <w:rsid w:val="00BF0091"/>
    <w:rsid w:val="00BF00EB"/>
    <w:rsid w:val="00BF0159"/>
    <w:rsid w:val="00BF0166"/>
    <w:rsid w:val="00BF017D"/>
    <w:rsid w:val="00BF0206"/>
    <w:rsid w:val="00BF0217"/>
    <w:rsid w:val="00BF0221"/>
    <w:rsid w:val="00BF0260"/>
    <w:rsid w:val="00BF0276"/>
    <w:rsid w:val="00BF027F"/>
    <w:rsid w:val="00BF0287"/>
    <w:rsid w:val="00BF02CD"/>
    <w:rsid w:val="00BF02E4"/>
    <w:rsid w:val="00BF0328"/>
    <w:rsid w:val="00BF03CB"/>
    <w:rsid w:val="00BF03CF"/>
    <w:rsid w:val="00BF0411"/>
    <w:rsid w:val="00BF0421"/>
    <w:rsid w:val="00BF042E"/>
    <w:rsid w:val="00BF0476"/>
    <w:rsid w:val="00BF047D"/>
    <w:rsid w:val="00BF04AA"/>
    <w:rsid w:val="00BF04D6"/>
    <w:rsid w:val="00BF051E"/>
    <w:rsid w:val="00BF05DF"/>
    <w:rsid w:val="00BF05EA"/>
    <w:rsid w:val="00BF0630"/>
    <w:rsid w:val="00BF0631"/>
    <w:rsid w:val="00BF0655"/>
    <w:rsid w:val="00BF065C"/>
    <w:rsid w:val="00BF0683"/>
    <w:rsid w:val="00BF06B9"/>
    <w:rsid w:val="00BF06D5"/>
    <w:rsid w:val="00BF0736"/>
    <w:rsid w:val="00BF0738"/>
    <w:rsid w:val="00BF0786"/>
    <w:rsid w:val="00BF0798"/>
    <w:rsid w:val="00BF079F"/>
    <w:rsid w:val="00BF080C"/>
    <w:rsid w:val="00BF0835"/>
    <w:rsid w:val="00BF0848"/>
    <w:rsid w:val="00BF086F"/>
    <w:rsid w:val="00BF094B"/>
    <w:rsid w:val="00BF09BC"/>
    <w:rsid w:val="00BF0A0C"/>
    <w:rsid w:val="00BF0A61"/>
    <w:rsid w:val="00BF0A93"/>
    <w:rsid w:val="00BF0AA2"/>
    <w:rsid w:val="00BF0AB1"/>
    <w:rsid w:val="00BF0AB2"/>
    <w:rsid w:val="00BF0AE5"/>
    <w:rsid w:val="00BF0AEE"/>
    <w:rsid w:val="00BF0B93"/>
    <w:rsid w:val="00BF0C22"/>
    <w:rsid w:val="00BF0C63"/>
    <w:rsid w:val="00BF0C80"/>
    <w:rsid w:val="00BF0C89"/>
    <w:rsid w:val="00BF0C91"/>
    <w:rsid w:val="00BF0CE5"/>
    <w:rsid w:val="00BF0D6D"/>
    <w:rsid w:val="00BF0D99"/>
    <w:rsid w:val="00BF0DB1"/>
    <w:rsid w:val="00BF0E8D"/>
    <w:rsid w:val="00BF0EEB"/>
    <w:rsid w:val="00BF0EFF"/>
    <w:rsid w:val="00BF0F10"/>
    <w:rsid w:val="00BF0F11"/>
    <w:rsid w:val="00BF0F20"/>
    <w:rsid w:val="00BF0F9F"/>
    <w:rsid w:val="00BF0FE1"/>
    <w:rsid w:val="00BF0FE4"/>
    <w:rsid w:val="00BF1008"/>
    <w:rsid w:val="00BF1009"/>
    <w:rsid w:val="00BF100E"/>
    <w:rsid w:val="00BF1081"/>
    <w:rsid w:val="00BF10A6"/>
    <w:rsid w:val="00BF10AE"/>
    <w:rsid w:val="00BF1117"/>
    <w:rsid w:val="00BF1119"/>
    <w:rsid w:val="00BF113F"/>
    <w:rsid w:val="00BF119E"/>
    <w:rsid w:val="00BF11FC"/>
    <w:rsid w:val="00BF11FD"/>
    <w:rsid w:val="00BF120B"/>
    <w:rsid w:val="00BF125A"/>
    <w:rsid w:val="00BF1266"/>
    <w:rsid w:val="00BF12D0"/>
    <w:rsid w:val="00BF1304"/>
    <w:rsid w:val="00BF1350"/>
    <w:rsid w:val="00BF1395"/>
    <w:rsid w:val="00BF13BF"/>
    <w:rsid w:val="00BF13C0"/>
    <w:rsid w:val="00BF13DF"/>
    <w:rsid w:val="00BF1440"/>
    <w:rsid w:val="00BF144E"/>
    <w:rsid w:val="00BF1471"/>
    <w:rsid w:val="00BF14D6"/>
    <w:rsid w:val="00BF14EA"/>
    <w:rsid w:val="00BF1512"/>
    <w:rsid w:val="00BF15FA"/>
    <w:rsid w:val="00BF161D"/>
    <w:rsid w:val="00BF164E"/>
    <w:rsid w:val="00BF165D"/>
    <w:rsid w:val="00BF166E"/>
    <w:rsid w:val="00BF1694"/>
    <w:rsid w:val="00BF16BA"/>
    <w:rsid w:val="00BF16BE"/>
    <w:rsid w:val="00BF16E5"/>
    <w:rsid w:val="00BF16F5"/>
    <w:rsid w:val="00BF16F7"/>
    <w:rsid w:val="00BF173F"/>
    <w:rsid w:val="00BF1743"/>
    <w:rsid w:val="00BF1744"/>
    <w:rsid w:val="00BF174C"/>
    <w:rsid w:val="00BF1779"/>
    <w:rsid w:val="00BF1864"/>
    <w:rsid w:val="00BF1889"/>
    <w:rsid w:val="00BF18BC"/>
    <w:rsid w:val="00BF18E3"/>
    <w:rsid w:val="00BF18F5"/>
    <w:rsid w:val="00BF191A"/>
    <w:rsid w:val="00BF1969"/>
    <w:rsid w:val="00BF1980"/>
    <w:rsid w:val="00BF1996"/>
    <w:rsid w:val="00BF19A4"/>
    <w:rsid w:val="00BF19B0"/>
    <w:rsid w:val="00BF19BF"/>
    <w:rsid w:val="00BF19FB"/>
    <w:rsid w:val="00BF1A26"/>
    <w:rsid w:val="00BF1A8E"/>
    <w:rsid w:val="00BF1A98"/>
    <w:rsid w:val="00BF1AFE"/>
    <w:rsid w:val="00BF1B05"/>
    <w:rsid w:val="00BF1B08"/>
    <w:rsid w:val="00BF1BA8"/>
    <w:rsid w:val="00BF1BD2"/>
    <w:rsid w:val="00BF1BEC"/>
    <w:rsid w:val="00BF1C66"/>
    <w:rsid w:val="00BF1C73"/>
    <w:rsid w:val="00BF1C76"/>
    <w:rsid w:val="00BF1CAD"/>
    <w:rsid w:val="00BF1CC7"/>
    <w:rsid w:val="00BF1CE3"/>
    <w:rsid w:val="00BF1D0A"/>
    <w:rsid w:val="00BF1D13"/>
    <w:rsid w:val="00BF1D5F"/>
    <w:rsid w:val="00BF1D8F"/>
    <w:rsid w:val="00BF1DF4"/>
    <w:rsid w:val="00BF1DFA"/>
    <w:rsid w:val="00BF1E0A"/>
    <w:rsid w:val="00BF1E55"/>
    <w:rsid w:val="00BF1E5B"/>
    <w:rsid w:val="00BF1E75"/>
    <w:rsid w:val="00BF1F27"/>
    <w:rsid w:val="00BF1F8C"/>
    <w:rsid w:val="00BF1FA1"/>
    <w:rsid w:val="00BF2010"/>
    <w:rsid w:val="00BF20D6"/>
    <w:rsid w:val="00BF20E2"/>
    <w:rsid w:val="00BF2194"/>
    <w:rsid w:val="00BF21A7"/>
    <w:rsid w:val="00BF21B4"/>
    <w:rsid w:val="00BF21BA"/>
    <w:rsid w:val="00BF21C9"/>
    <w:rsid w:val="00BF21D6"/>
    <w:rsid w:val="00BF21E0"/>
    <w:rsid w:val="00BF222E"/>
    <w:rsid w:val="00BF227F"/>
    <w:rsid w:val="00BF22BC"/>
    <w:rsid w:val="00BF22D9"/>
    <w:rsid w:val="00BF22F6"/>
    <w:rsid w:val="00BF2389"/>
    <w:rsid w:val="00BF23AE"/>
    <w:rsid w:val="00BF2409"/>
    <w:rsid w:val="00BF244B"/>
    <w:rsid w:val="00BF245C"/>
    <w:rsid w:val="00BF2514"/>
    <w:rsid w:val="00BF2546"/>
    <w:rsid w:val="00BF2553"/>
    <w:rsid w:val="00BF2567"/>
    <w:rsid w:val="00BF256F"/>
    <w:rsid w:val="00BF25BD"/>
    <w:rsid w:val="00BF25DC"/>
    <w:rsid w:val="00BF25EB"/>
    <w:rsid w:val="00BF25F6"/>
    <w:rsid w:val="00BF26CB"/>
    <w:rsid w:val="00BF26E0"/>
    <w:rsid w:val="00BF2725"/>
    <w:rsid w:val="00BF2729"/>
    <w:rsid w:val="00BF272F"/>
    <w:rsid w:val="00BF2783"/>
    <w:rsid w:val="00BF2787"/>
    <w:rsid w:val="00BF27AE"/>
    <w:rsid w:val="00BF27F4"/>
    <w:rsid w:val="00BF2874"/>
    <w:rsid w:val="00BF28DD"/>
    <w:rsid w:val="00BF28EF"/>
    <w:rsid w:val="00BF296D"/>
    <w:rsid w:val="00BF299C"/>
    <w:rsid w:val="00BF2A40"/>
    <w:rsid w:val="00BF2A98"/>
    <w:rsid w:val="00BF2AAE"/>
    <w:rsid w:val="00BF2AB7"/>
    <w:rsid w:val="00BF2AB8"/>
    <w:rsid w:val="00BF2AEC"/>
    <w:rsid w:val="00BF2B3B"/>
    <w:rsid w:val="00BF2B79"/>
    <w:rsid w:val="00BF2BA2"/>
    <w:rsid w:val="00BF2C08"/>
    <w:rsid w:val="00BF2C3C"/>
    <w:rsid w:val="00BF2C47"/>
    <w:rsid w:val="00BF2C48"/>
    <w:rsid w:val="00BF2C7B"/>
    <w:rsid w:val="00BF2D43"/>
    <w:rsid w:val="00BF2D6A"/>
    <w:rsid w:val="00BF2DA4"/>
    <w:rsid w:val="00BF2E1C"/>
    <w:rsid w:val="00BF2E24"/>
    <w:rsid w:val="00BF2E3C"/>
    <w:rsid w:val="00BF2E56"/>
    <w:rsid w:val="00BF2E81"/>
    <w:rsid w:val="00BF2E85"/>
    <w:rsid w:val="00BF2EF8"/>
    <w:rsid w:val="00BF2EF9"/>
    <w:rsid w:val="00BF2F31"/>
    <w:rsid w:val="00BF2F32"/>
    <w:rsid w:val="00BF2F58"/>
    <w:rsid w:val="00BF2F87"/>
    <w:rsid w:val="00BF2F90"/>
    <w:rsid w:val="00BF2FA7"/>
    <w:rsid w:val="00BF3013"/>
    <w:rsid w:val="00BF3022"/>
    <w:rsid w:val="00BF3041"/>
    <w:rsid w:val="00BF3043"/>
    <w:rsid w:val="00BF3082"/>
    <w:rsid w:val="00BF3089"/>
    <w:rsid w:val="00BF30AF"/>
    <w:rsid w:val="00BF30B6"/>
    <w:rsid w:val="00BF30C1"/>
    <w:rsid w:val="00BF30CB"/>
    <w:rsid w:val="00BF30E6"/>
    <w:rsid w:val="00BF30EC"/>
    <w:rsid w:val="00BF315D"/>
    <w:rsid w:val="00BF3188"/>
    <w:rsid w:val="00BF31DC"/>
    <w:rsid w:val="00BF3206"/>
    <w:rsid w:val="00BF321C"/>
    <w:rsid w:val="00BF3241"/>
    <w:rsid w:val="00BF324D"/>
    <w:rsid w:val="00BF3286"/>
    <w:rsid w:val="00BF3320"/>
    <w:rsid w:val="00BF333B"/>
    <w:rsid w:val="00BF33AC"/>
    <w:rsid w:val="00BF3481"/>
    <w:rsid w:val="00BF348C"/>
    <w:rsid w:val="00BF3497"/>
    <w:rsid w:val="00BF34C5"/>
    <w:rsid w:val="00BF3503"/>
    <w:rsid w:val="00BF3590"/>
    <w:rsid w:val="00BF362E"/>
    <w:rsid w:val="00BF3637"/>
    <w:rsid w:val="00BF36B7"/>
    <w:rsid w:val="00BF36D2"/>
    <w:rsid w:val="00BF36DB"/>
    <w:rsid w:val="00BF3731"/>
    <w:rsid w:val="00BF374E"/>
    <w:rsid w:val="00BF37A9"/>
    <w:rsid w:val="00BF383F"/>
    <w:rsid w:val="00BF3897"/>
    <w:rsid w:val="00BF38AA"/>
    <w:rsid w:val="00BF38F8"/>
    <w:rsid w:val="00BF3904"/>
    <w:rsid w:val="00BF391F"/>
    <w:rsid w:val="00BF3936"/>
    <w:rsid w:val="00BF393F"/>
    <w:rsid w:val="00BF3952"/>
    <w:rsid w:val="00BF398D"/>
    <w:rsid w:val="00BF39E7"/>
    <w:rsid w:val="00BF3AAA"/>
    <w:rsid w:val="00BF3AE8"/>
    <w:rsid w:val="00BF3AF9"/>
    <w:rsid w:val="00BF3B72"/>
    <w:rsid w:val="00BF3BE6"/>
    <w:rsid w:val="00BF3C03"/>
    <w:rsid w:val="00BF3C53"/>
    <w:rsid w:val="00BF3D4F"/>
    <w:rsid w:val="00BF3D8E"/>
    <w:rsid w:val="00BF3DCF"/>
    <w:rsid w:val="00BF3E22"/>
    <w:rsid w:val="00BF3E49"/>
    <w:rsid w:val="00BF3E54"/>
    <w:rsid w:val="00BF3E66"/>
    <w:rsid w:val="00BF3E7B"/>
    <w:rsid w:val="00BF3E83"/>
    <w:rsid w:val="00BF3EFA"/>
    <w:rsid w:val="00BF3F1E"/>
    <w:rsid w:val="00BF4011"/>
    <w:rsid w:val="00BF4021"/>
    <w:rsid w:val="00BF405B"/>
    <w:rsid w:val="00BF40D1"/>
    <w:rsid w:val="00BF40E0"/>
    <w:rsid w:val="00BF4117"/>
    <w:rsid w:val="00BF415D"/>
    <w:rsid w:val="00BF4199"/>
    <w:rsid w:val="00BF41B7"/>
    <w:rsid w:val="00BF41CE"/>
    <w:rsid w:val="00BF41F0"/>
    <w:rsid w:val="00BF421A"/>
    <w:rsid w:val="00BF4231"/>
    <w:rsid w:val="00BF424A"/>
    <w:rsid w:val="00BF4344"/>
    <w:rsid w:val="00BF4356"/>
    <w:rsid w:val="00BF43EF"/>
    <w:rsid w:val="00BF4422"/>
    <w:rsid w:val="00BF4460"/>
    <w:rsid w:val="00BF4477"/>
    <w:rsid w:val="00BF44AD"/>
    <w:rsid w:val="00BF44FE"/>
    <w:rsid w:val="00BF44FF"/>
    <w:rsid w:val="00BF4530"/>
    <w:rsid w:val="00BF4534"/>
    <w:rsid w:val="00BF4551"/>
    <w:rsid w:val="00BF4572"/>
    <w:rsid w:val="00BF45B9"/>
    <w:rsid w:val="00BF45FD"/>
    <w:rsid w:val="00BF463E"/>
    <w:rsid w:val="00BF463F"/>
    <w:rsid w:val="00BF46A5"/>
    <w:rsid w:val="00BF46FF"/>
    <w:rsid w:val="00BF476E"/>
    <w:rsid w:val="00BF4778"/>
    <w:rsid w:val="00BF4784"/>
    <w:rsid w:val="00BF478F"/>
    <w:rsid w:val="00BF47D2"/>
    <w:rsid w:val="00BF47F2"/>
    <w:rsid w:val="00BF481A"/>
    <w:rsid w:val="00BF4829"/>
    <w:rsid w:val="00BF4843"/>
    <w:rsid w:val="00BF4879"/>
    <w:rsid w:val="00BF48CA"/>
    <w:rsid w:val="00BF48F9"/>
    <w:rsid w:val="00BF4921"/>
    <w:rsid w:val="00BF4929"/>
    <w:rsid w:val="00BF4980"/>
    <w:rsid w:val="00BF4A13"/>
    <w:rsid w:val="00BF4A90"/>
    <w:rsid w:val="00BF4AEE"/>
    <w:rsid w:val="00BF4B19"/>
    <w:rsid w:val="00BF4B47"/>
    <w:rsid w:val="00BF4B4C"/>
    <w:rsid w:val="00BF4B4E"/>
    <w:rsid w:val="00BF4B62"/>
    <w:rsid w:val="00BF4B68"/>
    <w:rsid w:val="00BF4B90"/>
    <w:rsid w:val="00BF4BDB"/>
    <w:rsid w:val="00BF4C37"/>
    <w:rsid w:val="00BF4C91"/>
    <w:rsid w:val="00BF4CDE"/>
    <w:rsid w:val="00BF4CEA"/>
    <w:rsid w:val="00BF4CF3"/>
    <w:rsid w:val="00BF4D3A"/>
    <w:rsid w:val="00BF4D89"/>
    <w:rsid w:val="00BF4D92"/>
    <w:rsid w:val="00BF4E4D"/>
    <w:rsid w:val="00BF4E4F"/>
    <w:rsid w:val="00BF4E57"/>
    <w:rsid w:val="00BF4F6D"/>
    <w:rsid w:val="00BF4FAD"/>
    <w:rsid w:val="00BF5038"/>
    <w:rsid w:val="00BF506A"/>
    <w:rsid w:val="00BF50DF"/>
    <w:rsid w:val="00BF50F1"/>
    <w:rsid w:val="00BF5143"/>
    <w:rsid w:val="00BF5157"/>
    <w:rsid w:val="00BF515E"/>
    <w:rsid w:val="00BF5167"/>
    <w:rsid w:val="00BF519C"/>
    <w:rsid w:val="00BF51BB"/>
    <w:rsid w:val="00BF51FB"/>
    <w:rsid w:val="00BF5211"/>
    <w:rsid w:val="00BF523C"/>
    <w:rsid w:val="00BF5259"/>
    <w:rsid w:val="00BF529C"/>
    <w:rsid w:val="00BF52C1"/>
    <w:rsid w:val="00BF5305"/>
    <w:rsid w:val="00BF5318"/>
    <w:rsid w:val="00BF5359"/>
    <w:rsid w:val="00BF53B6"/>
    <w:rsid w:val="00BF53C4"/>
    <w:rsid w:val="00BF53CF"/>
    <w:rsid w:val="00BF53DC"/>
    <w:rsid w:val="00BF53E9"/>
    <w:rsid w:val="00BF5406"/>
    <w:rsid w:val="00BF546C"/>
    <w:rsid w:val="00BF5470"/>
    <w:rsid w:val="00BF54CD"/>
    <w:rsid w:val="00BF54E9"/>
    <w:rsid w:val="00BF54FF"/>
    <w:rsid w:val="00BF5504"/>
    <w:rsid w:val="00BF5514"/>
    <w:rsid w:val="00BF552E"/>
    <w:rsid w:val="00BF554B"/>
    <w:rsid w:val="00BF555D"/>
    <w:rsid w:val="00BF5577"/>
    <w:rsid w:val="00BF558F"/>
    <w:rsid w:val="00BF55B6"/>
    <w:rsid w:val="00BF55EC"/>
    <w:rsid w:val="00BF565A"/>
    <w:rsid w:val="00BF56AF"/>
    <w:rsid w:val="00BF56B1"/>
    <w:rsid w:val="00BF56FE"/>
    <w:rsid w:val="00BF5738"/>
    <w:rsid w:val="00BF5775"/>
    <w:rsid w:val="00BF57C1"/>
    <w:rsid w:val="00BF57CF"/>
    <w:rsid w:val="00BF5848"/>
    <w:rsid w:val="00BF5859"/>
    <w:rsid w:val="00BF58E0"/>
    <w:rsid w:val="00BF5975"/>
    <w:rsid w:val="00BF59FF"/>
    <w:rsid w:val="00BF5A43"/>
    <w:rsid w:val="00BF5ABD"/>
    <w:rsid w:val="00BF5B9F"/>
    <w:rsid w:val="00BF5BC0"/>
    <w:rsid w:val="00BF5BF3"/>
    <w:rsid w:val="00BF5C37"/>
    <w:rsid w:val="00BF5C4C"/>
    <w:rsid w:val="00BF5C54"/>
    <w:rsid w:val="00BF5CDF"/>
    <w:rsid w:val="00BF5D02"/>
    <w:rsid w:val="00BF5D45"/>
    <w:rsid w:val="00BF5D65"/>
    <w:rsid w:val="00BF5D9D"/>
    <w:rsid w:val="00BF5DC4"/>
    <w:rsid w:val="00BF5DE5"/>
    <w:rsid w:val="00BF5DF9"/>
    <w:rsid w:val="00BF5F52"/>
    <w:rsid w:val="00BF5FAC"/>
    <w:rsid w:val="00BF5FC8"/>
    <w:rsid w:val="00BF601F"/>
    <w:rsid w:val="00BF6035"/>
    <w:rsid w:val="00BF606C"/>
    <w:rsid w:val="00BF6071"/>
    <w:rsid w:val="00BF60A3"/>
    <w:rsid w:val="00BF60A4"/>
    <w:rsid w:val="00BF6135"/>
    <w:rsid w:val="00BF61A3"/>
    <w:rsid w:val="00BF61AA"/>
    <w:rsid w:val="00BF61BD"/>
    <w:rsid w:val="00BF61D9"/>
    <w:rsid w:val="00BF61F1"/>
    <w:rsid w:val="00BF6239"/>
    <w:rsid w:val="00BF6304"/>
    <w:rsid w:val="00BF63A4"/>
    <w:rsid w:val="00BF63D0"/>
    <w:rsid w:val="00BF63D8"/>
    <w:rsid w:val="00BF653E"/>
    <w:rsid w:val="00BF6588"/>
    <w:rsid w:val="00BF65DF"/>
    <w:rsid w:val="00BF668E"/>
    <w:rsid w:val="00BF6706"/>
    <w:rsid w:val="00BF670A"/>
    <w:rsid w:val="00BF6774"/>
    <w:rsid w:val="00BF67F0"/>
    <w:rsid w:val="00BF6847"/>
    <w:rsid w:val="00BF6890"/>
    <w:rsid w:val="00BF6893"/>
    <w:rsid w:val="00BF68B9"/>
    <w:rsid w:val="00BF691F"/>
    <w:rsid w:val="00BF698E"/>
    <w:rsid w:val="00BF69B1"/>
    <w:rsid w:val="00BF69C6"/>
    <w:rsid w:val="00BF69CF"/>
    <w:rsid w:val="00BF69F0"/>
    <w:rsid w:val="00BF6A0F"/>
    <w:rsid w:val="00BF6AB1"/>
    <w:rsid w:val="00BF6B14"/>
    <w:rsid w:val="00BF6B27"/>
    <w:rsid w:val="00BF6B90"/>
    <w:rsid w:val="00BF6C24"/>
    <w:rsid w:val="00BF6C25"/>
    <w:rsid w:val="00BF6CAA"/>
    <w:rsid w:val="00BF6CCF"/>
    <w:rsid w:val="00BF6CFC"/>
    <w:rsid w:val="00BF6D14"/>
    <w:rsid w:val="00BF6D46"/>
    <w:rsid w:val="00BF6DC8"/>
    <w:rsid w:val="00BF6DE8"/>
    <w:rsid w:val="00BF6F14"/>
    <w:rsid w:val="00BF6F43"/>
    <w:rsid w:val="00BF6F56"/>
    <w:rsid w:val="00BF6F73"/>
    <w:rsid w:val="00BF6F9B"/>
    <w:rsid w:val="00BF6FD2"/>
    <w:rsid w:val="00BF6FFE"/>
    <w:rsid w:val="00BF7059"/>
    <w:rsid w:val="00BF707D"/>
    <w:rsid w:val="00BF7098"/>
    <w:rsid w:val="00BF710E"/>
    <w:rsid w:val="00BF7138"/>
    <w:rsid w:val="00BF7164"/>
    <w:rsid w:val="00BF7241"/>
    <w:rsid w:val="00BF7252"/>
    <w:rsid w:val="00BF7292"/>
    <w:rsid w:val="00BF72E1"/>
    <w:rsid w:val="00BF72F9"/>
    <w:rsid w:val="00BF7320"/>
    <w:rsid w:val="00BF7340"/>
    <w:rsid w:val="00BF7342"/>
    <w:rsid w:val="00BF73AF"/>
    <w:rsid w:val="00BF7407"/>
    <w:rsid w:val="00BF741B"/>
    <w:rsid w:val="00BF7427"/>
    <w:rsid w:val="00BF744C"/>
    <w:rsid w:val="00BF747F"/>
    <w:rsid w:val="00BF74C9"/>
    <w:rsid w:val="00BF74D2"/>
    <w:rsid w:val="00BF7532"/>
    <w:rsid w:val="00BF7588"/>
    <w:rsid w:val="00BF75BA"/>
    <w:rsid w:val="00BF7625"/>
    <w:rsid w:val="00BF764A"/>
    <w:rsid w:val="00BF769B"/>
    <w:rsid w:val="00BF76D9"/>
    <w:rsid w:val="00BF7713"/>
    <w:rsid w:val="00BF7742"/>
    <w:rsid w:val="00BF7793"/>
    <w:rsid w:val="00BF779B"/>
    <w:rsid w:val="00BF77CD"/>
    <w:rsid w:val="00BF77DB"/>
    <w:rsid w:val="00BF783A"/>
    <w:rsid w:val="00BF7859"/>
    <w:rsid w:val="00BF785F"/>
    <w:rsid w:val="00BF7871"/>
    <w:rsid w:val="00BF7878"/>
    <w:rsid w:val="00BF78BB"/>
    <w:rsid w:val="00BF78BC"/>
    <w:rsid w:val="00BF78CF"/>
    <w:rsid w:val="00BF78D1"/>
    <w:rsid w:val="00BF7942"/>
    <w:rsid w:val="00BF79CB"/>
    <w:rsid w:val="00BF7A08"/>
    <w:rsid w:val="00BF7A12"/>
    <w:rsid w:val="00BF7A61"/>
    <w:rsid w:val="00BF7AF7"/>
    <w:rsid w:val="00BF7B3E"/>
    <w:rsid w:val="00BF7B3F"/>
    <w:rsid w:val="00BF7B4E"/>
    <w:rsid w:val="00BF7B56"/>
    <w:rsid w:val="00BF7B5F"/>
    <w:rsid w:val="00BF7B62"/>
    <w:rsid w:val="00BF7B70"/>
    <w:rsid w:val="00BF7B7D"/>
    <w:rsid w:val="00BF7B8E"/>
    <w:rsid w:val="00BF7BBC"/>
    <w:rsid w:val="00BF7C38"/>
    <w:rsid w:val="00BF7C7A"/>
    <w:rsid w:val="00BF7C7E"/>
    <w:rsid w:val="00BF7C8B"/>
    <w:rsid w:val="00BF7C8D"/>
    <w:rsid w:val="00BF7CB0"/>
    <w:rsid w:val="00BF7D06"/>
    <w:rsid w:val="00BF7D1F"/>
    <w:rsid w:val="00BF7DF4"/>
    <w:rsid w:val="00BF7E0B"/>
    <w:rsid w:val="00BF7E20"/>
    <w:rsid w:val="00BF7EC0"/>
    <w:rsid w:val="00BF7F07"/>
    <w:rsid w:val="00BF7F4C"/>
    <w:rsid w:val="00BF7F88"/>
    <w:rsid w:val="00C0008C"/>
    <w:rsid w:val="00C000B2"/>
    <w:rsid w:val="00C000E5"/>
    <w:rsid w:val="00C00141"/>
    <w:rsid w:val="00C0019B"/>
    <w:rsid w:val="00C001B7"/>
    <w:rsid w:val="00C001DD"/>
    <w:rsid w:val="00C00229"/>
    <w:rsid w:val="00C0023F"/>
    <w:rsid w:val="00C00248"/>
    <w:rsid w:val="00C00273"/>
    <w:rsid w:val="00C003D9"/>
    <w:rsid w:val="00C003F7"/>
    <w:rsid w:val="00C00413"/>
    <w:rsid w:val="00C00489"/>
    <w:rsid w:val="00C0048C"/>
    <w:rsid w:val="00C00495"/>
    <w:rsid w:val="00C004A8"/>
    <w:rsid w:val="00C004DE"/>
    <w:rsid w:val="00C004E2"/>
    <w:rsid w:val="00C0050C"/>
    <w:rsid w:val="00C0052B"/>
    <w:rsid w:val="00C00530"/>
    <w:rsid w:val="00C0057F"/>
    <w:rsid w:val="00C005ED"/>
    <w:rsid w:val="00C00611"/>
    <w:rsid w:val="00C0062E"/>
    <w:rsid w:val="00C00634"/>
    <w:rsid w:val="00C00667"/>
    <w:rsid w:val="00C00682"/>
    <w:rsid w:val="00C0069D"/>
    <w:rsid w:val="00C006C5"/>
    <w:rsid w:val="00C006C6"/>
    <w:rsid w:val="00C006CA"/>
    <w:rsid w:val="00C0075A"/>
    <w:rsid w:val="00C007A2"/>
    <w:rsid w:val="00C007A7"/>
    <w:rsid w:val="00C007C6"/>
    <w:rsid w:val="00C0080F"/>
    <w:rsid w:val="00C0085D"/>
    <w:rsid w:val="00C008D6"/>
    <w:rsid w:val="00C008DD"/>
    <w:rsid w:val="00C008E1"/>
    <w:rsid w:val="00C0098A"/>
    <w:rsid w:val="00C009BA"/>
    <w:rsid w:val="00C00AA9"/>
    <w:rsid w:val="00C00B19"/>
    <w:rsid w:val="00C00B4E"/>
    <w:rsid w:val="00C00B7D"/>
    <w:rsid w:val="00C00BAC"/>
    <w:rsid w:val="00C00BF1"/>
    <w:rsid w:val="00C00C43"/>
    <w:rsid w:val="00C00CA8"/>
    <w:rsid w:val="00C00CEA"/>
    <w:rsid w:val="00C00D0D"/>
    <w:rsid w:val="00C00D31"/>
    <w:rsid w:val="00C00D4D"/>
    <w:rsid w:val="00C00DCB"/>
    <w:rsid w:val="00C00DDF"/>
    <w:rsid w:val="00C00DFD"/>
    <w:rsid w:val="00C00E3C"/>
    <w:rsid w:val="00C00E97"/>
    <w:rsid w:val="00C00EA4"/>
    <w:rsid w:val="00C00ED0"/>
    <w:rsid w:val="00C00F21"/>
    <w:rsid w:val="00C00F7F"/>
    <w:rsid w:val="00C00F89"/>
    <w:rsid w:val="00C00FC6"/>
    <w:rsid w:val="00C00FEE"/>
    <w:rsid w:val="00C00FF4"/>
    <w:rsid w:val="00C01050"/>
    <w:rsid w:val="00C01054"/>
    <w:rsid w:val="00C0110E"/>
    <w:rsid w:val="00C01113"/>
    <w:rsid w:val="00C0115A"/>
    <w:rsid w:val="00C0116F"/>
    <w:rsid w:val="00C0119E"/>
    <w:rsid w:val="00C011B8"/>
    <w:rsid w:val="00C011DD"/>
    <w:rsid w:val="00C01240"/>
    <w:rsid w:val="00C01273"/>
    <w:rsid w:val="00C012AB"/>
    <w:rsid w:val="00C012EF"/>
    <w:rsid w:val="00C012F6"/>
    <w:rsid w:val="00C0134A"/>
    <w:rsid w:val="00C0136A"/>
    <w:rsid w:val="00C013F3"/>
    <w:rsid w:val="00C01452"/>
    <w:rsid w:val="00C014D9"/>
    <w:rsid w:val="00C01518"/>
    <w:rsid w:val="00C01564"/>
    <w:rsid w:val="00C01582"/>
    <w:rsid w:val="00C015CA"/>
    <w:rsid w:val="00C015F4"/>
    <w:rsid w:val="00C015FE"/>
    <w:rsid w:val="00C01615"/>
    <w:rsid w:val="00C01623"/>
    <w:rsid w:val="00C01698"/>
    <w:rsid w:val="00C016A9"/>
    <w:rsid w:val="00C016D4"/>
    <w:rsid w:val="00C016DC"/>
    <w:rsid w:val="00C01708"/>
    <w:rsid w:val="00C01725"/>
    <w:rsid w:val="00C01886"/>
    <w:rsid w:val="00C018B9"/>
    <w:rsid w:val="00C018E4"/>
    <w:rsid w:val="00C018F3"/>
    <w:rsid w:val="00C018FB"/>
    <w:rsid w:val="00C01924"/>
    <w:rsid w:val="00C01937"/>
    <w:rsid w:val="00C01986"/>
    <w:rsid w:val="00C01997"/>
    <w:rsid w:val="00C019B0"/>
    <w:rsid w:val="00C019CD"/>
    <w:rsid w:val="00C01A6E"/>
    <w:rsid w:val="00C01B65"/>
    <w:rsid w:val="00C01B67"/>
    <w:rsid w:val="00C01B80"/>
    <w:rsid w:val="00C01BA7"/>
    <w:rsid w:val="00C01BC8"/>
    <w:rsid w:val="00C01C40"/>
    <w:rsid w:val="00C01C56"/>
    <w:rsid w:val="00C01CFB"/>
    <w:rsid w:val="00C01D57"/>
    <w:rsid w:val="00C01D9B"/>
    <w:rsid w:val="00C01DB6"/>
    <w:rsid w:val="00C01DD4"/>
    <w:rsid w:val="00C01E40"/>
    <w:rsid w:val="00C01ECA"/>
    <w:rsid w:val="00C01ED2"/>
    <w:rsid w:val="00C01F06"/>
    <w:rsid w:val="00C01FDA"/>
    <w:rsid w:val="00C01FDC"/>
    <w:rsid w:val="00C0200D"/>
    <w:rsid w:val="00C02055"/>
    <w:rsid w:val="00C020A6"/>
    <w:rsid w:val="00C020F7"/>
    <w:rsid w:val="00C02107"/>
    <w:rsid w:val="00C0210C"/>
    <w:rsid w:val="00C02118"/>
    <w:rsid w:val="00C02199"/>
    <w:rsid w:val="00C021DB"/>
    <w:rsid w:val="00C02216"/>
    <w:rsid w:val="00C02235"/>
    <w:rsid w:val="00C02256"/>
    <w:rsid w:val="00C02285"/>
    <w:rsid w:val="00C02298"/>
    <w:rsid w:val="00C022CD"/>
    <w:rsid w:val="00C022FB"/>
    <w:rsid w:val="00C0239B"/>
    <w:rsid w:val="00C0247D"/>
    <w:rsid w:val="00C02489"/>
    <w:rsid w:val="00C024D4"/>
    <w:rsid w:val="00C024FA"/>
    <w:rsid w:val="00C025CF"/>
    <w:rsid w:val="00C025E9"/>
    <w:rsid w:val="00C025ED"/>
    <w:rsid w:val="00C025F3"/>
    <w:rsid w:val="00C025FE"/>
    <w:rsid w:val="00C026D0"/>
    <w:rsid w:val="00C02722"/>
    <w:rsid w:val="00C0272F"/>
    <w:rsid w:val="00C02739"/>
    <w:rsid w:val="00C02754"/>
    <w:rsid w:val="00C02765"/>
    <w:rsid w:val="00C0278F"/>
    <w:rsid w:val="00C027C0"/>
    <w:rsid w:val="00C027D0"/>
    <w:rsid w:val="00C02824"/>
    <w:rsid w:val="00C0283F"/>
    <w:rsid w:val="00C02876"/>
    <w:rsid w:val="00C02886"/>
    <w:rsid w:val="00C02915"/>
    <w:rsid w:val="00C02916"/>
    <w:rsid w:val="00C0291F"/>
    <w:rsid w:val="00C0295A"/>
    <w:rsid w:val="00C029EF"/>
    <w:rsid w:val="00C02A09"/>
    <w:rsid w:val="00C02A30"/>
    <w:rsid w:val="00C02A6F"/>
    <w:rsid w:val="00C02A76"/>
    <w:rsid w:val="00C02AC3"/>
    <w:rsid w:val="00C02ADD"/>
    <w:rsid w:val="00C02B3D"/>
    <w:rsid w:val="00C02B5D"/>
    <w:rsid w:val="00C02B9C"/>
    <w:rsid w:val="00C02BB8"/>
    <w:rsid w:val="00C02BBF"/>
    <w:rsid w:val="00C02CD5"/>
    <w:rsid w:val="00C02CEB"/>
    <w:rsid w:val="00C02D4C"/>
    <w:rsid w:val="00C02DA6"/>
    <w:rsid w:val="00C02DB2"/>
    <w:rsid w:val="00C02DFF"/>
    <w:rsid w:val="00C02E45"/>
    <w:rsid w:val="00C02E8C"/>
    <w:rsid w:val="00C02EEC"/>
    <w:rsid w:val="00C02EF2"/>
    <w:rsid w:val="00C02F28"/>
    <w:rsid w:val="00C02F2B"/>
    <w:rsid w:val="00C02F79"/>
    <w:rsid w:val="00C02FA1"/>
    <w:rsid w:val="00C02FDB"/>
    <w:rsid w:val="00C03005"/>
    <w:rsid w:val="00C0300F"/>
    <w:rsid w:val="00C03026"/>
    <w:rsid w:val="00C0309A"/>
    <w:rsid w:val="00C030DA"/>
    <w:rsid w:val="00C03127"/>
    <w:rsid w:val="00C0315C"/>
    <w:rsid w:val="00C03162"/>
    <w:rsid w:val="00C03165"/>
    <w:rsid w:val="00C03169"/>
    <w:rsid w:val="00C03211"/>
    <w:rsid w:val="00C0321F"/>
    <w:rsid w:val="00C03261"/>
    <w:rsid w:val="00C03278"/>
    <w:rsid w:val="00C032AF"/>
    <w:rsid w:val="00C032C9"/>
    <w:rsid w:val="00C032FB"/>
    <w:rsid w:val="00C03387"/>
    <w:rsid w:val="00C033CE"/>
    <w:rsid w:val="00C03404"/>
    <w:rsid w:val="00C03410"/>
    <w:rsid w:val="00C03425"/>
    <w:rsid w:val="00C0346A"/>
    <w:rsid w:val="00C0347D"/>
    <w:rsid w:val="00C03482"/>
    <w:rsid w:val="00C034A1"/>
    <w:rsid w:val="00C034A7"/>
    <w:rsid w:val="00C03570"/>
    <w:rsid w:val="00C03572"/>
    <w:rsid w:val="00C03586"/>
    <w:rsid w:val="00C035BD"/>
    <w:rsid w:val="00C03642"/>
    <w:rsid w:val="00C0367F"/>
    <w:rsid w:val="00C036D3"/>
    <w:rsid w:val="00C036EA"/>
    <w:rsid w:val="00C0371E"/>
    <w:rsid w:val="00C03733"/>
    <w:rsid w:val="00C03758"/>
    <w:rsid w:val="00C03783"/>
    <w:rsid w:val="00C03793"/>
    <w:rsid w:val="00C037B1"/>
    <w:rsid w:val="00C037BB"/>
    <w:rsid w:val="00C037EF"/>
    <w:rsid w:val="00C037F0"/>
    <w:rsid w:val="00C0380C"/>
    <w:rsid w:val="00C03837"/>
    <w:rsid w:val="00C0384B"/>
    <w:rsid w:val="00C03855"/>
    <w:rsid w:val="00C0392D"/>
    <w:rsid w:val="00C039B6"/>
    <w:rsid w:val="00C039E4"/>
    <w:rsid w:val="00C039EC"/>
    <w:rsid w:val="00C039F5"/>
    <w:rsid w:val="00C03A14"/>
    <w:rsid w:val="00C03A35"/>
    <w:rsid w:val="00C03A74"/>
    <w:rsid w:val="00C03ABC"/>
    <w:rsid w:val="00C03AD7"/>
    <w:rsid w:val="00C03B2B"/>
    <w:rsid w:val="00C03B64"/>
    <w:rsid w:val="00C03B9D"/>
    <w:rsid w:val="00C03BA4"/>
    <w:rsid w:val="00C03BED"/>
    <w:rsid w:val="00C03C0F"/>
    <w:rsid w:val="00C03C11"/>
    <w:rsid w:val="00C03C31"/>
    <w:rsid w:val="00C03C3C"/>
    <w:rsid w:val="00C03C75"/>
    <w:rsid w:val="00C03C93"/>
    <w:rsid w:val="00C03CE5"/>
    <w:rsid w:val="00C03D4F"/>
    <w:rsid w:val="00C03DB3"/>
    <w:rsid w:val="00C03E37"/>
    <w:rsid w:val="00C03E42"/>
    <w:rsid w:val="00C03E60"/>
    <w:rsid w:val="00C03ED0"/>
    <w:rsid w:val="00C03F3E"/>
    <w:rsid w:val="00C03F5F"/>
    <w:rsid w:val="00C03F97"/>
    <w:rsid w:val="00C03F9D"/>
    <w:rsid w:val="00C03FA5"/>
    <w:rsid w:val="00C03FEB"/>
    <w:rsid w:val="00C03FF8"/>
    <w:rsid w:val="00C03FFA"/>
    <w:rsid w:val="00C040A5"/>
    <w:rsid w:val="00C040B8"/>
    <w:rsid w:val="00C040EE"/>
    <w:rsid w:val="00C04168"/>
    <w:rsid w:val="00C0416A"/>
    <w:rsid w:val="00C0417E"/>
    <w:rsid w:val="00C0418B"/>
    <w:rsid w:val="00C04192"/>
    <w:rsid w:val="00C04195"/>
    <w:rsid w:val="00C0419A"/>
    <w:rsid w:val="00C0426F"/>
    <w:rsid w:val="00C042B2"/>
    <w:rsid w:val="00C042C1"/>
    <w:rsid w:val="00C04322"/>
    <w:rsid w:val="00C043DF"/>
    <w:rsid w:val="00C0443E"/>
    <w:rsid w:val="00C04566"/>
    <w:rsid w:val="00C045EB"/>
    <w:rsid w:val="00C0461C"/>
    <w:rsid w:val="00C04660"/>
    <w:rsid w:val="00C046B4"/>
    <w:rsid w:val="00C046BD"/>
    <w:rsid w:val="00C046FD"/>
    <w:rsid w:val="00C04725"/>
    <w:rsid w:val="00C047A0"/>
    <w:rsid w:val="00C048C3"/>
    <w:rsid w:val="00C048F1"/>
    <w:rsid w:val="00C04913"/>
    <w:rsid w:val="00C04928"/>
    <w:rsid w:val="00C04943"/>
    <w:rsid w:val="00C049AA"/>
    <w:rsid w:val="00C049DB"/>
    <w:rsid w:val="00C04A07"/>
    <w:rsid w:val="00C04A19"/>
    <w:rsid w:val="00C04A20"/>
    <w:rsid w:val="00C04A2A"/>
    <w:rsid w:val="00C04B0B"/>
    <w:rsid w:val="00C04B23"/>
    <w:rsid w:val="00C04B30"/>
    <w:rsid w:val="00C04B59"/>
    <w:rsid w:val="00C04B71"/>
    <w:rsid w:val="00C04BC1"/>
    <w:rsid w:val="00C04BE7"/>
    <w:rsid w:val="00C04C19"/>
    <w:rsid w:val="00C04C7C"/>
    <w:rsid w:val="00C04CC4"/>
    <w:rsid w:val="00C04CD3"/>
    <w:rsid w:val="00C04CE8"/>
    <w:rsid w:val="00C04D19"/>
    <w:rsid w:val="00C04D41"/>
    <w:rsid w:val="00C04D7A"/>
    <w:rsid w:val="00C04D7E"/>
    <w:rsid w:val="00C04DDA"/>
    <w:rsid w:val="00C04DE4"/>
    <w:rsid w:val="00C04EC7"/>
    <w:rsid w:val="00C04EC9"/>
    <w:rsid w:val="00C04F12"/>
    <w:rsid w:val="00C04F45"/>
    <w:rsid w:val="00C04F60"/>
    <w:rsid w:val="00C04F8F"/>
    <w:rsid w:val="00C05002"/>
    <w:rsid w:val="00C05015"/>
    <w:rsid w:val="00C0501D"/>
    <w:rsid w:val="00C05038"/>
    <w:rsid w:val="00C0505C"/>
    <w:rsid w:val="00C050D8"/>
    <w:rsid w:val="00C050E6"/>
    <w:rsid w:val="00C05148"/>
    <w:rsid w:val="00C05156"/>
    <w:rsid w:val="00C051A4"/>
    <w:rsid w:val="00C051A6"/>
    <w:rsid w:val="00C051AB"/>
    <w:rsid w:val="00C051BB"/>
    <w:rsid w:val="00C05220"/>
    <w:rsid w:val="00C05250"/>
    <w:rsid w:val="00C05287"/>
    <w:rsid w:val="00C052A9"/>
    <w:rsid w:val="00C052FC"/>
    <w:rsid w:val="00C05328"/>
    <w:rsid w:val="00C05348"/>
    <w:rsid w:val="00C053B5"/>
    <w:rsid w:val="00C053CD"/>
    <w:rsid w:val="00C053D2"/>
    <w:rsid w:val="00C05407"/>
    <w:rsid w:val="00C05430"/>
    <w:rsid w:val="00C05445"/>
    <w:rsid w:val="00C054C0"/>
    <w:rsid w:val="00C054E0"/>
    <w:rsid w:val="00C054F0"/>
    <w:rsid w:val="00C0555C"/>
    <w:rsid w:val="00C05572"/>
    <w:rsid w:val="00C0557E"/>
    <w:rsid w:val="00C055DD"/>
    <w:rsid w:val="00C055F5"/>
    <w:rsid w:val="00C0560D"/>
    <w:rsid w:val="00C05664"/>
    <w:rsid w:val="00C05673"/>
    <w:rsid w:val="00C05683"/>
    <w:rsid w:val="00C056BB"/>
    <w:rsid w:val="00C056D6"/>
    <w:rsid w:val="00C05711"/>
    <w:rsid w:val="00C0572C"/>
    <w:rsid w:val="00C05745"/>
    <w:rsid w:val="00C057E6"/>
    <w:rsid w:val="00C0583B"/>
    <w:rsid w:val="00C0587A"/>
    <w:rsid w:val="00C058D4"/>
    <w:rsid w:val="00C05902"/>
    <w:rsid w:val="00C059CA"/>
    <w:rsid w:val="00C059D7"/>
    <w:rsid w:val="00C05A08"/>
    <w:rsid w:val="00C05A26"/>
    <w:rsid w:val="00C05A4C"/>
    <w:rsid w:val="00C05B35"/>
    <w:rsid w:val="00C05B63"/>
    <w:rsid w:val="00C05B95"/>
    <w:rsid w:val="00C05BB4"/>
    <w:rsid w:val="00C05C06"/>
    <w:rsid w:val="00C05C78"/>
    <w:rsid w:val="00C05D04"/>
    <w:rsid w:val="00C05D4C"/>
    <w:rsid w:val="00C05DA4"/>
    <w:rsid w:val="00C05E0B"/>
    <w:rsid w:val="00C05E3C"/>
    <w:rsid w:val="00C05E45"/>
    <w:rsid w:val="00C05E4A"/>
    <w:rsid w:val="00C05E77"/>
    <w:rsid w:val="00C05E7F"/>
    <w:rsid w:val="00C05EA6"/>
    <w:rsid w:val="00C05F5A"/>
    <w:rsid w:val="00C05FB6"/>
    <w:rsid w:val="00C05FCD"/>
    <w:rsid w:val="00C05FE4"/>
    <w:rsid w:val="00C05FED"/>
    <w:rsid w:val="00C05FF7"/>
    <w:rsid w:val="00C06060"/>
    <w:rsid w:val="00C0606A"/>
    <w:rsid w:val="00C0609C"/>
    <w:rsid w:val="00C060A6"/>
    <w:rsid w:val="00C060F9"/>
    <w:rsid w:val="00C06121"/>
    <w:rsid w:val="00C061EE"/>
    <w:rsid w:val="00C06237"/>
    <w:rsid w:val="00C06247"/>
    <w:rsid w:val="00C06274"/>
    <w:rsid w:val="00C062B9"/>
    <w:rsid w:val="00C06358"/>
    <w:rsid w:val="00C0635A"/>
    <w:rsid w:val="00C0636E"/>
    <w:rsid w:val="00C06375"/>
    <w:rsid w:val="00C063CC"/>
    <w:rsid w:val="00C064FC"/>
    <w:rsid w:val="00C06503"/>
    <w:rsid w:val="00C0650F"/>
    <w:rsid w:val="00C0651B"/>
    <w:rsid w:val="00C06520"/>
    <w:rsid w:val="00C0652B"/>
    <w:rsid w:val="00C06576"/>
    <w:rsid w:val="00C06610"/>
    <w:rsid w:val="00C06681"/>
    <w:rsid w:val="00C0668B"/>
    <w:rsid w:val="00C066AC"/>
    <w:rsid w:val="00C066CA"/>
    <w:rsid w:val="00C06700"/>
    <w:rsid w:val="00C0672A"/>
    <w:rsid w:val="00C0675F"/>
    <w:rsid w:val="00C067AA"/>
    <w:rsid w:val="00C067CA"/>
    <w:rsid w:val="00C06827"/>
    <w:rsid w:val="00C06864"/>
    <w:rsid w:val="00C06877"/>
    <w:rsid w:val="00C068C3"/>
    <w:rsid w:val="00C0690D"/>
    <w:rsid w:val="00C06929"/>
    <w:rsid w:val="00C06958"/>
    <w:rsid w:val="00C06975"/>
    <w:rsid w:val="00C06979"/>
    <w:rsid w:val="00C0698E"/>
    <w:rsid w:val="00C069CC"/>
    <w:rsid w:val="00C069D4"/>
    <w:rsid w:val="00C069D8"/>
    <w:rsid w:val="00C06AF4"/>
    <w:rsid w:val="00C06B3E"/>
    <w:rsid w:val="00C06B7D"/>
    <w:rsid w:val="00C06BA2"/>
    <w:rsid w:val="00C06C27"/>
    <w:rsid w:val="00C06C41"/>
    <w:rsid w:val="00C06C49"/>
    <w:rsid w:val="00C06CB1"/>
    <w:rsid w:val="00C06CB2"/>
    <w:rsid w:val="00C06CB8"/>
    <w:rsid w:val="00C06D40"/>
    <w:rsid w:val="00C06D90"/>
    <w:rsid w:val="00C06E04"/>
    <w:rsid w:val="00C06EED"/>
    <w:rsid w:val="00C06F1C"/>
    <w:rsid w:val="00C06F84"/>
    <w:rsid w:val="00C06FBA"/>
    <w:rsid w:val="00C06FCB"/>
    <w:rsid w:val="00C06FEE"/>
    <w:rsid w:val="00C07001"/>
    <w:rsid w:val="00C07049"/>
    <w:rsid w:val="00C0705C"/>
    <w:rsid w:val="00C070F8"/>
    <w:rsid w:val="00C07151"/>
    <w:rsid w:val="00C07193"/>
    <w:rsid w:val="00C071B0"/>
    <w:rsid w:val="00C071C4"/>
    <w:rsid w:val="00C071DF"/>
    <w:rsid w:val="00C071F7"/>
    <w:rsid w:val="00C0728B"/>
    <w:rsid w:val="00C072A5"/>
    <w:rsid w:val="00C07332"/>
    <w:rsid w:val="00C07354"/>
    <w:rsid w:val="00C07373"/>
    <w:rsid w:val="00C073B0"/>
    <w:rsid w:val="00C073B5"/>
    <w:rsid w:val="00C074AB"/>
    <w:rsid w:val="00C074FA"/>
    <w:rsid w:val="00C0750A"/>
    <w:rsid w:val="00C07513"/>
    <w:rsid w:val="00C0751E"/>
    <w:rsid w:val="00C07549"/>
    <w:rsid w:val="00C07598"/>
    <w:rsid w:val="00C07607"/>
    <w:rsid w:val="00C0761C"/>
    <w:rsid w:val="00C0768C"/>
    <w:rsid w:val="00C076AF"/>
    <w:rsid w:val="00C07729"/>
    <w:rsid w:val="00C07804"/>
    <w:rsid w:val="00C07824"/>
    <w:rsid w:val="00C0785E"/>
    <w:rsid w:val="00C07878"/>
    <w:rsid w:val="00C0790C"/>
    <w:rsid w:val="00C0795E"/>
    <w:rsid w:val="00C07969"/>
    <w:rsid w:val="00C0798E"/>
    <w:rsid w:val="00C07996"/>
    <w:rsid w:val="00C079DA"/>
    <w:rsid w:val="00C079E3"/>
    <w:rsid w:val="00C07A0A"/>
    <w:rsid w:val="00C07A2C"/>
    <w:rsid w:val="00C07A52"/>
    <w:rsid w:val="00C07A82"/>
    <w:rsid w:val="00C07A9F"/>
    <w:rsid w:val="00C07ACF"/>
    <w:rsid w:val="00C07AEA"/>
    <w:rsid w:val="00C07B37"/>
    <w:rsid w:val="00C07BDA"/>
    <w:rsid w:val="00C07C18"/>
    <w:rsid w:val="00C07C39"/>
    <w:rsid w:val="00C07C3B"/>
    <w:rsid w:val="00C07C51"/>
    <w:rsid w:val="00C07C6F"/>
    <w:rsid w:val="00C07C78"/>
    <w:rsid w:val="00C07C8B"/>
    <w:rsid w:val="00C07CF7"/>
    <w:rsid w:val="00C07D12"/>
    <w:rsid w:val="00C07D46"/>
    <w:rsid w:val="00C07D6C"/>
    <w:rsid w:val="00C07D7D"/>
    <w:rsid w:val="00C07DA4"/>
    <w:rsid w:val="00C07DA8"/>
    <w:rsid w:val="00C07DAC"/>
    <w:rsid w:val="00C07E4A"/>
    <w:rsid w:val="00C07E4C"/>
    <w:rsid w:val="00C07E9C"/>
    <w:rsid w:val="00C07ECA"/>
    <w:rsid w:val="00C07ED0"/>
    <w:rsid w:val="00C07F27"/>
    <w:rsid w:val="00C07F5B"/>
    <w:rsid w:val="00C07F88"/>
    <w:rsid w:val="00C10028"/>
    <w:rsid w:val="00C10065"/>
    <w:rsid w:val="00C100D1"/>
    <w:rsid w:val="00C1016D"/>
    <w:rsid w:val="00C10177"/>
    <w:rsid w:val="00C1018B"/>
    <w:rsid w:val="00C10260"/>
    <w:rsid w:val="00C102E6"/>
    <w:rsid w:val="00C1030F"/>
    <w:rsid w:val="00C10383"/>
    <w:rsid w:val="00C103C3"/>
    <w:rsid w:val="00C103D8"/>
    <w:rsid w:val="00C103DA"/>
    <w:rsid w:val="00C10411"/>
    <w:rsid w:val="00C10419"/>
    <w:rsid w:val="00C10492"/>
    <w:rsid w:val="00C104CD"/>
    <w:rsid w:val="00C104E5"/>
    <w:rsid w:val="00C10518"/>
    <w:rsid w:val="00C105FB"/>
    <w:rsid w:val="00C10604"/>
    <w:rsid w:val="00C1061D"/>
    <w:rsid w:val="00C10656"/>
    <w:rsid w:val="00C10686"/>
    <w:rsid w:val="00C1070D"/>
    <w:rsid w:val="00C1070E"/>
    <w:rsid w:val="00C10762"/>
    <w:rsid w:val="00C107F8"/>
    <w:rsid w:val="00C10804"/>
    <w:rsid w:val="00C10823"/>
    <w:rsid w:val="00C1082C"/>
    <w:rsid w:val="00C1085F"/>
    <w:rsid w:val="00C1087F"/>
    <w:rsid w:val="00C108E3"/>
    <w:rsid w:val="00C108E7"/>
    <w:rsid w:val="00C10A45"/>
    <w:rsid w:val="00C10A7D"/>
    <w:rsid w:val="00C10A98"/>
    <w:rsid w:val="00C10AD4"/>
    <w:rsid w:val="00C10ADB"/>
    <w:rsid w:val="00C10AF4"/>
    <w:rsid w:val="00C10B0B"/>
    <w:rsid w:val="00C10B36"/>
    <w:rsid w:val="00C10B37"/>
    <w:rsid w:val="00C10B49"/>
    <w:rsid w:val="00C10B4B"/>
    <w:rsid w:val="00C10B6E"/>
    <w:rsid w:val="00C10B89"/>
    <w:rsid w:val="00C10BA3"/>
    <w:rsid w:val="00C10C17"/>
    <w:rsid w:val="00C10C6F"/>
    <w:rsid w:val="00C10CAE"/>
    <w:rsid w:val="00C10CB3"/>
    <w:rsid w:val="00C10CCB"/>
    <w:rsid w:val="00C10CCE"/>
    <w:rsid w:val="00C10D55"/>
    <w:rsid w:val="00C10E3A"/>
    <w:rsid w:val="00C10ED2"/>
    <w:rsid w:val="00C10EE2"/>
    <w:rsid w:val="00C10F01"/>
    <w:rsid w:val="00C10F54"/>
    <w:rsid w:val="00C10FFF"/>
    <w:rsid w:val="00C1101E"/>
    <w:rsid w:val="00C11047"/>
    <w:rsid w:val="00C11091"/>
    <w:rsid w:val="00C11094"/>
    <w:rsid w:val="00C110C2"/>
    <w:rsid w:val="00C110EE"/>
    <w:rsid w:val="00C11107"/>
    <w:rsid w:val="00C1112A"/>
    <w:rsid w:val="00C11143"/>
    <w:rsid w:val="00C11158"/>
    <w:rsid w:val="00C111B3"/>
    <w:rsid w:val="00C111C1"/>
    <w:rsid w:val="00C111DB"/>
    <w:rsid w:val="00C1120E"/>
    <w:rsid w:val="00C1121C"/>
    <w:rsid w:val="00C11245"/>
    <w:rsid w:val="00C11259"/>
    <w:rsid w:val="00C112D5"/>
    <w:rsid w:val="00C113AD"/>
    <w:rsid w:val="00C113C2"/>
    <w:rsid w:val="00C113EC"/>
    <w:rsid w:val="00C113F8"/>
    <w:rsid w:val="00C1142B"/>
    <w:rsid w:val="00C114BC"/>
    <w:rsid w:val="00C1151F"/>
    <w:rsid w:val="00C115CD"/>
    <w:rsid w:val="00C115D9"/>
    <w:rsid w:val="00C115DB"/>
    <w:rsid w:val="00C1164C"/>
    <w:rsid w:val="00C116C2"/>
    <w:rsid w:val="00C11700"/>
    <w:rsid w:val="00C11749"/>
    <w:rsid w:val="00C11771"/>
    <w:rsid w:val="00C1177E"/>
    <w:rsid w:val="00C117BD"/>
    <w:rsid w:val="00C117E7"/>
    <w:rsid w:val="00C11811"/>
    <w:rsid w:val="00C11850"/>
    <w:rsid w:val="00C11855"/>
    <w:rsid w:val="00C11879"/>
    <w:rsid w:val="00C118A5"/>
    <w:rsid w:val="00C118F5"/>
    <w:rsid w:val="00C11923"/>
    <w:rsid w:val="00C1193E"/>
    <w:rsid w:val="00C1197D"/>
    <w:rsid w:val="00C119A2"/>
    <w:rsid w:val="00C119C0"/>
    <w:rsid w:val="00C119C5"/>
    <w:rsid w:val="00C119E3"/>
    <w:rsid w:val="00C11A4B"/>
    <w:rsid w:val="00C11AEA"/>
    <w:rsid w:val="00C11AED"/>
    <w:rsid w:val="00C11AF7"/>
    <w:rsid w:val="00C11B68"/>
    <w:rsid w:val="00C11BCC"/>
    <w:rsid w:val="00C11BDB"/>
    <w:rsid w:val="00C11BED"/>
    <w:rsid w:val="00C11C23"/>
    <w:rsid w:val="00C11C27"/>
    <w:rsid w:val="00C11C55"/>
    <w:rsid w:val="00C11C90"/>
    <w:rsid w:val="00C11CB9"/>
    <w:rsid w:val="00C11CDB"/>
    <w:rsid w:val="00C11D88"/>
    <w:rsid w:val="00C11DD7"/>
    <w:rsid w:val="00C11DED"/>
    <w:rsid w:val="00C11E24"/>
    <w:rsid w:val="00C11E5A"/>
    <w:rsid w:val="00C11E8D"/>
    <w:rsid w:val="00C11EC7"/>
    <w:rsid w:val="00C11ED1"/>
    <w:rsid w:val="00C11F3B"/>
    <w:rsid w:val="00C11F45"/>
    <w:rsid w:val="00C11F77"/>
    <w:rsid w:val="00C11FA2"/>
    <w:rsid w:val="00C11FAC"/>
    <w:rsid w:val="00C11FEF"/>
    <w:rsid w:val="00C12027"/>
    <w:rsid w:val="00C12066"/>
    <w:rsid w:val="00C12110"/>
    <w:rsid w:val="00C1211B"/>
    <w:rsid w:val="00C12130"/>
    <w:rsid w:val="00C12155"/>
    <w:rsid w:val="00C1217B"/>
    <w:rsid w:val="00C12254"/>
    <w:rsid w:val="00C12258"/>
    <w:rsid w:val="00C12282"/>
    <w:rsid w:val="00C1228E"/>
    <w:rsid w:val="00C122B1"/>
    <w:rsid w:val="00C122B6"/>
    <w:rsid w:val="00C122CE"/>
    <w:rsid w:val="00C122F6"/>
    <w:rsid w:val="00C1231A"/>
    <w:rsid w:val="00C1232A"/>
    <w:rsid w:val="00C12345"/>
    <w:rsid w:val="00C1237D"/>
    <w:rsid w:val="00C12390"/>
    <w:rsid w:val="00C12423"/>
    <w:rsid w:val="00C12438"/>
    <w:rsid w:val="00C1246A"/>
    <w:rsid w:val="00C125A5"/>
    <w:rsid w:val="00C125C8"/>
    <w:rsid w:val="00C125FE"/>
    <w:rsid w:val="00C12616"/>
    <w:rsid w:val="00C12624"/>
    <w:rsid w:val="00C1263A"/>
    <w:rsid w:val="00C1263E"/>
    <w:rsid w:val="00C12671"/>
    <w:rsid w:val="00C126AE"/>
    <w:rsid w:val="00C126EE"/>
    <w:rsid w:val="00C127C4"/>
    <w:rsid w:val="00C127EE"/>
    <w:rsid w:val="00C12869"/>
    <w:rsid w:val="00C1287D"/>
    <w:rsid w:val="00C128A0"/>
    <w:rsid w:val="00C128F7"/>
    <w:rsid w:val="00C1291B"/>
    <w:rsid w:val="00C12926"/>
    <w:rsid w:val="00C12986"/>
    <w:rsid w:val="00C1298E"/>
    <w:rsid w:val="00C129BA"/>
    <w:rsid w:val="00C12A28"/>
    <w:rsid w:val="00C12A55"/>
    <w:rsid w:val="00C12ABE"/>
    <w:rsid w:val="00C12ACA"/>
    <w:rsid w:val="00C12AD5"/>
    <w:rsid w:val="00C12AD7"/>
    <w:rsid w:val="00C12B57"/>
    <w:rsid w:val="00C12B76"/>
    <w:rsid w:val="00C12B79"/>
    <w:rsid w:val="00C12B92"/>
    <w:rsid w:val="00C12BA0"/>
    <w:rsid w:val="00C12C41"/>
    <w:rsid w:val="00C12C4A"/>
    <w:rsid w:val="00C12C72"/>
    <w:rsid w:val="00C12C78"/>
    <w:rsid w:val="00C12D22"/>
    <w:rsid w:val="00C12D6E"/>
    <w:rsid w:val="00C12D8F"/>
    <w:rsid w:val="00C12DC6"/>
    <w:rsid w:val="00C12E1B"/>
    <w:rsid w:val="00C12E69"/>
    <w:rsid w:val="00C12E87"/>
    <w:rsid w:val="00C12E95"/>
    <w:rsid w:val="00C12F2F"/>
    <w:rsid w:val="00C12F53"/>
    <w:rsid w:val="00C12F6D"/>
    <w:rsid w:val="00C12F76"/>
    <w:rsid w:val="00C1300D"/>
    <w:rsid w:val="00C1304A"/>
    <w:rsid w:val="00C1308E"/>
    <w:rsid w:val="00C13090"/>
    <w:rsid w:val="00C13098"/>
    <w:rsid w:val="00C130AE"/>
    <w:rsid w:val="00C130BD"/>
    <w:rsid w:val="00C130C7"/>
    <w:rsid w:val="00C130F2"/>
    <w:rsid w:val="00C13107"/>
    <w:rsid w:val="00C13112"/>
    <w:rsid w:val="00C13160"/>
    <w:rsid w:val="00C131B9"/>
    <w:rsid w:val="00C131BB"/>
    <w:rsid w:val="00C131BC"/>
    <w:rsid w:val="00C1320A"/>
    <w:rsid w:val="00C13220"/>
    <w:rsid w:val="00C1322E"/>
    <w:rsid w:val="00C1339D"/>
    <w:rsid w:val="00C1341B"/>
    <w:rsid w:val="00C134C7"/>
    <w:rsid w:val="00C13507"/>
    <w:rsid w:val="00C13527"/>
    <w:rsid w:val="00C13553"/>
    <w:rsid w:val="00C135A8"/>
    <w:rsid w:val="00C135D4"/>
    <w:rsid w:val="00C13600"/>
    <w:rsid w:val="00C13648"/>
    <w:rsid w:val="00C13679"/>
    <w:rsid w:val="00C136AB"/>
    <w:rsid w:val="00C136C5"/>
    <w:rsid w:val="00C13704"/>
    <w:rsid w:val="00C13755"/>
    <w:rsid w:val="00C137BD"/>
    <w:rsid w:val="00C137DB"/>
    <w:rsid w:val="00C137F1"/>
    <w:rsid w:val="00C137FE"/>
    <w:rsid w:val="00C13825"/>
    <w:rsid w:val="00C138B0"/>
    <w:rsid w:val="00C138D3"/>
    <w:rsid w:val="00C13935"/>
    <w:rsid w:val="00C13987"/>
    <w:rsid w:val="00C13996"/>
    <w:rsid w:val="00C139A1"/>
    <w:rsid w:val="00C13A0C"/>
    <w:rsid w:val="00C13A50"/>
    <w:rsid w:val="00C13A81"/>
    <w:rsid w:val="00C13AF6"/>
    <w:rsid w:val="00C13B2F"/>
    <w:rsid w:val="00C13B8A"/>
    <w:rsid w:val="00C13BCD"/>
    <w:rsid w:val="00C13C13"/>
    <w:rsid w:val="00C13C2A"/>
    <w:rsid w:val="00C13CC2"/>
    <w:rsid w:val="00C13CCD"/>
    <w:rsid w:val="00C13CDD"/>
    <w:rsid w:val="00C13D2D"/>
    <w:rsid w:val="00C13D37"/>
    <w:rsid w:val="00C13D54"/>
    <w:rsid w:val="00C13D7A"/>
    <w:rsid w:val="00C13D84"/>
    <w:rsid w:val="00C13E06"/>
    <w:rsid w:val="00C13E1D"/>
    <w:rsid w:val="00C13E2A"/>
    <w:rsid w:val="00C13E3C"/>
    <w:rsid w:val="00C13E51"/>
    <w:rsid w:val="00C13E85"/>
    <w:rsid w:val="00C13F33"/>
    <w:rsid w:val="00C1402E"/>
    <w:rsid w:val="00C140AB"/>
    <w:rsid w:val="00C140E6"/>
    <w:rsid w:val="00C14146"/>
    <w:rsid w:val="00C1416C"/>
    <w:rsid w:val="00C141C7"/>
    <w:rsid w:val="00C141F7"/>
    <w:rsid w:val="00C14245"/>
    <w:rsid w:val="00C1427F"/>
    <w:rsid w:val="00C1437E"/>
    <w:rsid w:val="00C1439A"/>
    <w:rsid w:val="00C14414"/>
    <w:rsid w:val="00C1447B"/>
    <w:rsid w:val="00C144F7"/>
    <w:rsid w:val="00C14567"/>
    <w:rsid w:val="00C1458D"/>
    <w:rsid w:val="00C145C5"/>
    <w:rsid w:val="00C1461A"/>
    <w:rsid w:val="00C14629"/>
    <w:rsid w:val="00C1463C"/>
    <w:rsid w:val="00C1466C"/>
    <w:rsid w:val="00C146EF"/>
    <w:rsid w:val="00C14702"/>
    <w:rsid w:val="00C14749"/>
    <w:rsid w:val="00C14753"/>
    <w:rsid w:val="00C147CF"/>
    <w:rsid w:val="00C1485F"/>
    <w:rsid w:val="00C14899"/>
    <w:rsid w:val="00C148C7"/>
    <w:rsid w:val="00C1492A"/>
    <w:rsid w:val="00C1492D"/>
    <w:rsid w:val="00C14948"/>
    <w:rsid w:val="00C14966"/>
    <w:rsid w:val="00C14A0F"/>
    <w:rsid w:val="00C14A90"/>
    <w:rsid w:val="00C14A95"/>
    <w:rsid w:val="00C14AAE"/>
    <w:rsid w:val="00C14ACC"/>
    <w:rsid w:val="00C14C63"/>
    <w:rsid w:val="00C14CAE"/>
    <w:rsid w:val="00C14D00"/>
    <w:rsid w:val="00C14D21"/>
    <w:rsid w:val="00C14D89"/>
    <w:rsid w:val="00C14D8A"/>
    <w:rsid w:val="00C14D9E"/>
    <w:rsid w:val="00C14DE0"/>
    <w:rsid w:val="00C14DF0"/>
    <w:rsid w:val="00C14E1D"/>
    <w:rsid w:val="00C14E55"/>
    <w:rsid w:val="00C14E75"/>
    <w:rsid w:val="00C14EBF"/>
    <w:rsid w:val="00C14EF5"/>
    <w:rsid w:val="00C14F35"/>
    <w:rsid w:val="00C14F79"/>
    <w:rsid w:val="00C1500D"/>
    <w:rsid w:val="00C15011"/>
    <w:rsid w:val="00C150BA"/>
    <w:rsid w:val="00C150BD"/>
    <w:rsid w:val="00C150D3"/>
    <w:rsid w:val="00C15118"/>
    <w:rsid w:val="00C15161"/>
    <w:rsid w:val="00C1516E"/>
    <w:rsid w:val="00C15192"/>
    <w:rsid w:val="00C151BF"/>
    <w:rsid w:val="00C15247"/>
    <w:rsid w:val="00C1528B"/>
    <w:rsid w:val="00C1529B"/>
    <w:rsid w:val="00C1529E"/>
    <w:rsid w:val="00C152AE"/>
    <w:rsid w:val="00C15348"/>
    <w:rsid w:val="00C15366"/>
    <w:rsid w:val="00C15386"/>
    <w:rsid w:val="00C15395"/>
    <w:rsid w:val="00C153C0"/>
    <w:rsid w:val="00C153EE"/>
    <w:rsid w:val="00C1544C"/>
    <w:rsid w:val="00C1544F"/>
    <w:rsid w:val="00C154D0"/>
    <w:rsid w:val="00C1551B"/>
    <w:rsid w:val="00C155F3"/>
    <w:rsid w:val="00C155F8"/>
    <w:rsid w:val="00C15605"/>
    <w:rsid w:val="00C15622"/>
    <w:rsid w:val="00C15623"/>
    <w:rsid w:val="00C1566E"/>
    <w:rsid w:val="00C15673"/>
    <w:rsid w:val="00C1575B"/>
    <w:rsid w:val="00C15812"/>
    <w:rsid w:val="00C1582E"/>
    <w:rsid w:val="00C15846"/>
    <w:rsid w:val="00C158BE"/>
    <w:rsid w:val="00C158F4"/>
    <w:rsid w:val="00C15907"/>
    <w:rsid w:val="00C1595F"/>
    <w:rsid w:val="00C159AB"/>
    <w:rsid w:val="00C15A24"/>
    <w:rsid w:val="00C15A2F"/>
    <w:rsid w:val="00C15ABF"/>
    <w:rsid w:val="00C15B4E"/>
    <w:rsid w:val="00C15B5A"/>
    <w:rsid w:val="00C15C20"/>
    <w:rsid w:val="00C15C26"/>
    <w:rsid w:val="00C15C53"/>
    <w:rsid w:val="00C15C81"/>
    <w:rsid w:val="00C15CF9"/>
    <w:rsid w:val="00C15CFD"/>
    <w:rsid w:val="00C15D1B"/>
    <w:rsid w:val="00C15D23"/>
    <w:rsid w:val="00C15D49"/>
    <w:rsid w:val="00C15D6B"/>
    <w:rsid w:val="00C15DE0"/>
    <w:rsid w:val="00C15E13"/>
    <w:rsid w:val="00C15E3D"/>
    <w:rsid w:val="00C15E70"/>
    <w:rsid w:val="00C15EA9"/>
    <w:rsid w:val="00C15EE0"/>
    <w:rsid w:val="00C15F30"/>
    <w:rsid w:val="00C15F45"/>
    <w:rsid w:val="00C15FBC"/>
    <w:rsid w:val="00C16033"/>
    <w:rsid w:val="00C1605A"/>
    <w:rsid w:val="00C16072"/>
    <w:rsid w:val="00C160D0"/>
    <w:rsid w:val="00C160E7"/>
    <w:rsid w:val="00C16118"/>
    <w:rsid w:val="00C16124"/>
    <w:rsid w:val="00C16138"/>
    <w:rsid w:val="00C161E2"/>
    <w:rsid w:val="00C16205"/>
    <w:rsid w:val="00C16243"/>
    <w:rsid w:val="00C16263"/>
    <w:rsid w:val="00C1629A"/>
    <w:rsid w:val="00C1633B"/>
    <w:rsid w:val="00C16410"/>
    <w:rsid w:val="00C16443"/>
    <w:rsid w:val="00C16449"/>
    <w:rsid w:val="00C16468"/>
    <w:rsid w:val="00C164A0"/>
    <w:rsid w:val="00C16532"/>
    <w:rsid w:val="00C165B1"/>
    <w:rsid w:val="00C165F0"/>
    <w:rsid w:val="00C16629"/>
    <w:rsid w:val="00C16640"/>
    <w:rsid w:val="00C166A5"/>
    <w:rsid w:val="00C167AA"/>
    <w:rsid w:val="00C16892"/>
    <w:rsid w:val="00C168A1"/>
    <w:rsid w:val="00C16935"/>
    <w:rsid w:val="00C16954"/>
    <w:rsid w:val="00C169CD"/>
    <w:rsid w:val="00C169FA"/>
    <w:rsid w:val="00C16A3B"/>
    <w:rsid w:val="00C16A8F"/>
    <w:rsid w:val="00C16A98"/>
    <w:rsid w:val="00C16AA9"/>
    <w:rsid w:val="00C16AAF"/>
    <w:rsid w:val="00C16AC5"/>
    <w:rsid w:val="00C16AF5"/>
    <w:rsid w:val="00C16B13"/>
    <w:rsid w:val="00C16B15"/>
    <w:rsid w:val="00C16B59"/>
    <w:rsid w:val="00C16BC2"/>
    <w:rsid w:val="00C16C15"/>
    <w:rsid w:val="00C16C35"/>
    <w:rsid w:val="00C16C45"/>
    <w:rsid w:val="00C16CFA"/>
    <w:rsid w:val="00C16D12"/>
    <w:rsid w:val="00C16D33"/>
    <w:rsid w:val="00C16D43"/>
    <w:rsid w:val="00C16D66"/>
    <w:rsid w:val="00C16D6E"/>
    <w:rsid w:val="00C16D95"/>
    <w:rsid w:val="00C16D9C"/>
    <w:rsid w:val="00C16DA9"/>
    <w:rsid w:val="00C16DCE"/>
    <w:rsid w:val="00C16E0D"/>
    <w:rsid w:val="00C16E7F"/>
    <w:rsid w:val="00C16EAA"/>
    <w:rsid w:val="00C16ED6"/>
    <w:rsid w:val="00C16EDC"/>
    <w:rsid w:val="00C16F59"/>
    <w:rsid w:val="00C16F93"/>
    <w:rsid w:val="00C16FB1"/>
    <w:rsid w:val="00C17012"/>
    <w:rsid w:val="00C17046"/>
    <w:rsid w:val="00C170A3"/>
    <w:rsid w:val="00C170A9"/>
    <w:rsid w:val="00C17167"/>
    <w:rsid w:val="00C17184"/>
    <w:rsid w:val="00C1721B"/>
    <w:rsid w:val="00C17225"/>
    <w:rsid w:val="00C17250"/>
    <w:rsid w:val="00C17267"/>
    <w:rsid w:val="00C172AD"/>
    <w:rsid w:val="00C172C0"/>
    <w:rsid w:val="00C1731A"/>
    <w:rsid w:val="00C173CE"/>
    <w:rsid w:val="00C173E1"/>
    <w:rsid w:val="00C17409"/>
    <w:rsid w:val="00C1741E"/>
    <w:rsid w:val="00C17427"/>
    <w:rsid w:val="00C17469"/>
    <w:rsid w:val="00C174B5"/>
    <w:rsid w:val="00C174F1"/>
    <w:rsid w:val="00C174FB"/>
    <w:rsid w:val="00C1753E"/>
    <w:rsid w:val="00C1763F"/>
    <w:rsid w:val="00C17674"/>
    <w:rsid w:val="00C17692"/>
    <w:rsid w:val="00C176B7"/>
    <w:rsid w:val="00C176D8"/>
    <w:rsid w:val="00C176E2"/>
    <w:rsid w:val="00C17754"/>
    <w:rsid w:val="00C1777D"/>
    <w:rsid w:val="00C1778C"/>
    <w:rsid w:val="00C177A4"/>
    <w:rsid w:val="00C17812"/>
    <w:rsid w:val="00C17860"/>
    <w:rsid w:val="00C17892"/>
    <w:rsid w:val="00C178A1"/>
    <w:rsid w:val="00C178B2"/>
    <w:rsid w:val="00C17973"/>
    <w:rsid w:val="00C1797A"/>
    <w:rsid w:val="00C17998"/>
    <w:rsid w:val="00C179CC"/>
    <w:rsid w:val="00C179FD"/>
    <w:rsid w:val="00C17A45"/>
    <w:rsid w:val="00C17A4C"/>
    <w:rsid w:val="00C17A7D"/>
    <w:rsid w:val="00C17A8D"/>
    <w:rsid w:val="00C17B01"/>
    <w:rsid w:val="00C17B34"/>
    <w:rsid w:val="00C17B39"/>
    <w:rsid w:val="00C17B48"/>
    <w:rsid w:val="00C17BD9"/>
    <w:rsid w:val="00C17C0B"/>
    <w:rsid w:val="00C17C7B"/>
    <w:rsid w:val="00C17D1A"/>
    <w:rsid w:val="00C17D22"/>
    <w:rsid w:val="00C17D42"/>
    <w:rsid w:val="00C17D57"/>
    <w:rsid w:val="00C17D5B"/>
    <w:rsid w:val="00C17D5D"/>
    <w:rsid w:val="00C17D5F"/>
    <w:rsid w:val="00C17DA6"/>
    <w:rsid w:val="00C17DB8"/>
    <w:rsid w:val="00C17E27"/>
    <w:rsid w:val="00C17E42"/>
    <w:rsid w:val="00C17E6F"/>
    <w:rsid w:val="00C17EDF"/>
    <w:rsid w:val="00C17EF7"/>
    <w:rsid w:val="00C17F40"/>
    <w:rsid w:val="00C17FA7"/>
    <w:rsid w:val="00C17FB6"/>
    <w:rsid w:val="00C20000"/>
    <w:rsid w:val="00C2005B"/>
    <w:rsid w:val="00C2008D"/>
    <w:rsid w:val="00C2008E"/>
    <w:rsid w:val="00C200F3"/>
    <w:rsid w:val="00C20120"/>
    <w:rsid w:val="00C2013F"/>
    <w:rsid w:val="00C2014F"/>
    <w:rsid w:val="00C201D3"/>
    <w:rsid w:val="00C20229"/>
    <w:rsid w:val="00C2022A"/>
    <w:rsid w:val="00C20288"/>
    <w:rsid w:val="00C2028D"/>
    <w:rsid w:val="00C202B4"/>
    <w:rsid w:val="00C202FB"/>
    <w:rsid w:val="00C2030A"/>
    <w:rsid w:val="00C20351"/>
    <w:rsid w:val="00C20366"/>
    <w:rsid w:val="00C20399"/>
    <w:rsid w:val="00C203C0"/>
    <w:rsid w:val="00C203EE"/>
    <w:rsid w:val="00C203FE"/>
    <w:rsid w:val="00C2041E"/>
    <w:rsid w:val="00C2045A"/>
    <w:rsid w:val="00C2047F"/>
    <w:rsid w:val="00C204E9"/>
    <w:rsid w:val="00C20604"/>
    <w:rsid w:val="00C20671"/>
    <w:rsid w:val="00C206A7"/>
    <w:rsid w:val="00C206B6"/>
    <w:rsid w:val="00C206BE"/>
    <w:rsid w:val="00C20738"/>
    <w:rsid w:val="00C20782"/>
    <w:rsid w:val="00C207D9"/>
    <w:rsid w:val="00C2082F"/>
    <w:rsid w:val="00C2084E"/>
    <w:rsid w:val="00C208B7"/>
    <w:rsid w:val="00C208BE"/>
    <w:rsid w:val="00C2090E"/>
    <w:rsid w:val="00C20969"/>
    <w:rsid w:val="00C209CE"/>
    <w:rsid w:val="00C209DA"/>
    <w:rsid w:val="00C20A1B"/>
    <w:rsid w:val="00C20A29"/>
    <w:rsid w:val="00C20A2F"/>
    <w:rsid w:val="00C20A47"/>
    <w:rsid w:val="00C20A4F"/>
    <w:rsid w:val="00C20A50"/>
    <w:rsid w:val="00C20A57"/>
    <w:rsid w:val="00C20A98"/>
    <w:rsid w:val="00C20AEC"/>
    <w:rsid w:val="00C20B36"/>
    <w:rsid w:val="00C20B6D"/>
    <w:rsid w:val="00C20B88"/>
    <w:rsid w:val="00C20BDA"/>
    <w:rsid w:val="00C20C02"/>
    <w:rsid w:val="00C20C0A"/>
    <w:rsid w:val="00C20C2B"/>
    <w:rsid w:val="00C20CE0"/>
    <w:rsid w:val="00C20CFB"/>
    <w:rsid w:val="00C20D10"/>
    <w:rsid w:val="00C20D51"/>
    <w:rsid w:val="00C20D56"/>
    <w:rsid w:val="00C20D5C"/>
    <w:rsid w:val="00C20DC8"/>
    <w:rsid w:val="00C20DCD"/>
    <w:rsid w:val="00C20E19"/>
    <w:rsid w:val="00C20E2D"/>
    <w:rsid w:val="00C20E53"/>
    <w:rsid w:val="00C20E76"/>
    <w:rsid w:val="00C20E9B"/>
    <w:rsid w:val="00C20EB7"/>
    <w:rsid w:val="00C20F16"/>
    <w:rsid w:val="00C20F82"/>
    <w:rsid w:val="00C20FF6"/>
    <w:rsid w:val="00C21004"/>
    <w:rsid w:val="00C2100F"/>
    <w:rsid w:val="00C21011"/>
    <w:rsid w:val="00C2101D"/>
    <w:rsid w:val="00C21078"/>
    <w:rsid w:val="00C210B3"/>
    <w:rsid w:val="00C210F9"/>
    <w:rsid w:val="00C2112E"/>
    <w:rsid w:val="00C21135"/>
    <w:rsid w:val="00C2113D"/>
    <w:rsid w:val="00C21155"/>
    <w:rsid w:val="00C211B1"/>
    <w:rsid w:val="00C211D7"/>
    <w:rsid w:val="00C2123B"/>
    <w:rsid w:val="00C21245"/>
    <w:rsid w:val="00C2125E"/>
    <w:rsid w:val="00C2129B"/>
    <w:rsid w:val="00C212B5"/>
    <w:rsid w:val="00C21336"/>
    <w:rsid w:val="00C21369"/>
    <w:rsid w:val="00C21392"/>
    <w:rsid w:val="00C21393"/>
    <w:rsid w:val="00C213E1"/>
    <w:rsid w:val="00C213FC"/>
    <w:rsid w:val="00C21478"/>
    <w:rsid w:val="00C214F8"/>
    <w:rsid w:val="00C2153F"/>
    <w:rsid w:val="00C2154A"/>
    <w:rsid w:val="00C21564"/>
    <w:rsid w:val="00C21588"/>
    <w:rsid w:val="00C215C6"/>
    <w:rsid w:val="00C215C7"/>
    <w:rsid w:val="00C215F6"/>
    <w:rsid w:val="00C215F9"/>
    <w:rsid w:val="00C21637"/>
    <w:rsid w:val="00C2165E"/>
    <w:rsid w:val="00C2166F"/>
    <w:rsid w:val="00C216F2"/>
    <w:rsid w:val="00C2171F"/>
    <w:rsid w:val="00C21756"/>
    <w:rsid w:val="00C21781"/>
    <w:rsid w:val="00C2178B"/>
    <w:rsid w:val="00C2178E"/>
    <w:rsid w:val="00C21825"/>
    <w:rsid w:val="00C21845"/>
    <w:rsid w:val="00C218C6"/>
    <w:rsid w:val="00C218CB"/>
    <w:rsid w:val="00C218F6"/>
    <w:rsid w:val="00C2191F"/>
    <w:rsid w:val="00C21921"/>
    <w:rsid w:val="00C21924"/>
    <w:rsid w:val="00C21943"/>
    <w:rsid w:val="00C21956"/>
    <w:rsid w:val="00C219E9"/>
    <w:rsid w:val="00C21A17"/>
    <w:rsid w:val="00C21A56"/>
    <w:rsid w:val="00C21AD0"/>
    <w:rsid w:val="00C21B16"/>
    <w:rsid w:val="00C21BB6"/>
    <w:rsid w:val="00C21C8D"/>
    <w:rsid w:val="00C21CB6"/>
    <w:rsid w:val="00C21D35"/>
    <w:rsid w:val="00C21D3E"/>
    <w:rsid w:val="00C21D49"/>
    <w:rsid w:val="00C21DC4"/>
    <w:rsid w:val="00C21DFE"/>
    <w:rsid w:val="00C21ECB"/>
    <w:rsid w:val="00C21F35"/>
    <w:rsid w:val="00C21F87"/>
    <w:rsid w:val="00C21FA1"/>
    <w:rsid w:val="00C22027"/>
    <w:rsid w:val="00C22041"/>
    <w:rsid w:val="00C22077"/>
    <w:rsid w:val="00C22083"/>
    <w:rsid w:val="00C2208C"/>
    <w:rsid w:val="00C220AE"/>
    <w:rsid w:val="00C220C8"/>
    <w:rsid w:val="00C22150"/>
    <w:rsid w:val="00C22163"/>
    <w:rsid w:val="00C22167"/>
    <w:rsid w:val="00C22170"/>
    <w:rsid w:val="00C221CB"/>
    <w:rsid w:val="00C221D5"/>
    <w:rsid w:val="00C221EA"/>
    <w:rsid w:val="00C221FB"/>
    <w:rsid w:val="00C22202"/>
    <w:rsid w:val="00C2220F"/>
    <w:rsid w:val="00C2221B"/>
    <w:rsid w:val="00C2224E"/>
    <w:rsid w:val="00C22286"/>
    <w:rsid w:val="00C22295"/>
    <w:rsid w:val="00C222A0"/>
    <w:rsid w:val="00C2231D"/>
    <w:rsid w:val="00C2233F"/>
    <w:rsid w:val="00C22366"/>
    <w:rsid w:val="00C22367"/>
    <w:rsid w:val="00C2239F"/>
    <w:rsid w:val="00C223AB"/>
    <w:rsid w:val="00C2245B"/>
    <w:rsid w:val="00C22460"/>
    <w:rsid w:val="00C22471"/>
    <w:rsid w:val="00C22495"/>
    <w:rsid w:val="00C224A9"/>
    <w:rsid w:val="00C224EB"/>
    <w:rsid w:val="00C224F6"/>
    <w:rsid w:val="00C22608"/>
    <w:rsid w:val="00C2260D"/>
    <w:rsid w:val="00C22610"/>
    <w:rsid w:val="00C22637"/>
    <w:rsid w:val="00C2264E"/>
    <w:rsid w:val="00C22668"/>
    <w:rsid w:val="00C22694"/>
    <w:rsid w:val="00C22697"/>
    <w:rsid w:val="00C226B8"/>
    <w:rsid w:val="00C226D0"/>
    <w:rsid w:val="00C226DB"/>
    <w:rsid w:val="00C226F4"/>
    <w:rsid w:val="00C2276B"/>
    <w:rsid w:val="00C22790"/>
    <w:rsid w:val="00C22843"/>
    <w:rsid w:val="00C22864"/>
    <w:rsid w:val="00C228F2"/>
    <w:rsid w:val="00C22931"/>
    <w:rsid w:val="00C2295F"/>
    <w:rsid w:val="00C22992"/>
    <w:rsid w:val="00C22AB4"/>
    <w:rsid w:val="00C22B09"/>
    <w:rsid w:val="00C22B10"/>
    <w:rsid w:val="00C22B60"/>
    <w:rsid w:val="00C22CD0"/>
    <w:rsid w:val="00C22CFA"/>
    <w:rsid w:val="00C22D1D"/>
    <w:rsid w:val="00C22D21"/>
    <w:rsid w:val="00C22D25"/>
    <w:rsid w:val="00C22D2F"/>
    <w:rsid w:val="00C22D6E"/>
    <w:rsid w:val="00C22D78"/>
    <w:rsid w:val="00C22D7A"/>
    <w:rsid w:val="00C22D90"/>
    <w:rsid w:val="00C22DF7"/>
    <w:rsid w:val="00C22E3E"/>
    <w:rsid w:val="00C22E3F"/>
    <w:rsid w:val="00C22F5D"/>
    <w:rsid w:val="00C22F86"/>
    <w:rsid w:val="00C2301A"/>
    <w:rsid w:val="00C23085"/>
    <w:rsid w:val="00C2308F"/>
    <w:rsid w:val="00C230A4"/>
    <w:rsid w:val="00C230BF"/>
    <w:rsid w:val="00C2313B"/>
    <w:rsid w:val="00C23148"/>
    <w:rsid w:val="00C23159"/>
    <w:rsid w:val="00C23195"/>
    <w:rsid w:val="00C231C4"/>
    <w:rsid w:val="00C23243"/>
    <w:rsid w:val="00C23251"/>
    <w:rsid w:val="00C2325E"/>
    <w:rsid w:val="00C23265"/>
    <w:rsid w:val="00C232B0"/>
    <w:rsid w:val="00C233B8"/>
    <w:rsid w:val="00C233D1"/>
    <w:rsid w:val="00C233F0"/>
    <w:rsid w:val="00C2343C"/>
    <w:rsid w:val="00C2346B"/>
    <w:rsid w:val="00C2348C"/>
    <w:rsid w:val="00C234AB"/>
    <w:rsid w:val="00C234B9"/>
    <w:rsid w:val="00C234EB"/>
    <w:rsid w:val="00C23570"/>
    <w:rsid w:val="00C23579"/>
    <w:rsid w:val="00C23605"/>
    <w:rsid w:val="00C23622"/>
    <w:rsid w:val="00C236E3"/>
    <w:rsid w:val="00C237CB"/>
    <w:rsid w:val="00C237D2"/>
    <w:rsid w:val="00C237F0"/>
    <w:rsid w:val="00C238E4"/>
    <w:rsid w:val="00C23991"/>
    <w:rsid w:val="00C239CD"/>
    <w:rsid w:val="00C23A59"/>
    <w:rsid w:val="00C23A76"/>
    <w:rsid w:val="00C23A98"/>
    <w:rsid w:val="00C23AFA"/>
    <w:rsid w:val="00C23B20"/>
    <w:rsid w:val="00C23B44"/>
    <w:rsid w:val="00C23BB0"/>
    <w:rsid w:val="00C23C26"/>
    <w:rsid w:val="00C23C46"/>
    <w:rsid w:val="00C23C79"/>
    <w:rsid w:val="00C23CE0"/>
    <w:rsid w:val="00C23CFE"/>
    <w:rsid w:val="00C23D13"/>
    <w:rsid w:val="00C23D14"/>
    <w:rsid w:val="00C23D51"/>
    <w:rsid w:val="00C23E95"/>
    <w:rsid w:val="00C23EE0"/>
    <w:rsid w:val="00C23EE7"/>
    <w:rsid w:val="00C23F15"/>
    <w:rsid w:val="00C23F36"/>
    <w:rsid w:val="00C23FAF"/>
    <w:rsid w:val="00C23FEE"/>
    <w:rsid w:val="00C23FF3"/>
    <w:rsid w:val="00C23FFA"/>
    <w:rsid w:val="00C24027"/>
    <w:rsid w:val="00C24035"/>
    <w:rsid w:val="00C24078"/>
    <w:rsid w:val="00C240E3"/>
    <w:rsid w:val="00C24188"/>
    <w:rsid w:val="00C241A3"/>
    <w:rsid w:val="00C24238"/>
    <w:rsid w:val="00C24250"/>
    <w:rsid w:val="00C24271"/>
    <w:rsid w:val="00C242A1"/>
    <w:rsid w:val="00C243AD"/>
    <w:rsid w:val="00C243E2"/>
    <w:rsid w:val="00C243E5"/>
    <w:rsid w:val="00C24405"/>
    <w:rsid w:val="00C24414"/>
    <w:rsid w:val="00C24549"/>
    <w:rsid w:val="00C24565"/>
    <w:rsid w:val="00C2457D"/>
    <w:rsid w:val="00C246D0"/>
    <w:rsid w:val="00C246F2"/>
    <w:rsid w:val="00C24729"/>
    <w:rsid w:val="00C24760"/>
    <w:rsid w:val="00C24779"/>
    <w:rsid w:val="00C247A0"/>
    <w:rsid w:val="00C247A6"/>
    <w:rsid w:val="00C247C8"/>
    <w:rsid w:val="00C24831"/>
    <w:rsid w:val="00C24833"/>
    <w:rsid w:val="00C24888"/>
    <w:rsid w:val="00C2489A"/>
    <w:rsid w:val="00C248A6"/>
    <w:rsid w:val="00C248AD"/>
    <w:rsid w:val="00C24929"/>
    <w:rsid w:val="00C2492A"/>
    <w:rsid w:val="00C2493A"/>
    <w:rsid w:val="00C2493E"/>
    <w:rsid w:val="00C24964"/>
    <w:rsid w:val="00C249C0"/>
    <w:rsid w:val="00C24A0B"/>
    <w:rsid w:val="00C24A15"/>
    <w:rsid w:val="00C24AA4"/>
    <w:rsid w:val="00C24AAF"/>
    <w:rsid w:val="00C24BF0"/>
    <w:rsid w:val="00C24C21"/>
    <w:rsid w:val="00C24C3A"/>
    <w:rsid w:val="00C24C88"/>
    <w:rsid w:val="00C24C9D"/>
    <w:rsid w:val="00C24D0F"/>
    <w:rsid w:val="00C24D14"/>
    <w:rsid w:val="00C24D19"/>
    <w:rsid w:val="00C24D39"/>
    <w:rsid w:val="00C24D94"/>
    <w:rsid w:val="00C24D98"/>
    <w:rsid w:val="00C24D9B"/>
    <w:rsid w:val="00C24E20"/>
    <w:rsid w:val="00C24E27"/>
    <w:rsid w:val="00C24E2F"/>
    <w:rsid w:val="00C24E44"/>
    <w:rsid w:val="00C24E62"/>
    <w:rsid w:val="00C24E7F"/>
    <w:rsid w:val="00C24EC7"/>
    <w:rsid w:val="00C24EDC"/>
    <w:rsid w:val="00C24F27"/>
    <w:rsid w:val="00C24F77"/>
    <w:rsid w:val="00C24F87"/>
    <w:rsid w:val="00C24FA3"/>
    <w:rsid w:val="00C24FCB"/>
    <w:rsid w:val="00C2503B"/>
    <w:rsid w:val="00C2504B"/>
    <w:rsid w:val="00C2506D"/>
    <w:rsid w:val="00C250B7"/>
    <w:rsid w:val="00C250F1"/>
    <w:rsid w:val="00C251E2"/>
    <w:rsid w:val="00C25279"/>
    <w:rsid w:val="00C25303"/>
    <w:rsid w:val="00C25381"/>
    <w:rsid w:val="00C25442"/>
    <w:rsid w:val="00C25465"/>
    <w:rsid w:val="00C2546B"/>
    <w:rsid w:val="00C25554"/>
    <w:rsid w:val="00C25590"/>
    <w:rsid w:val="00C25591"/>
    <w:rsid w:val="00C2559E"/>
    <w:rsid w:val="00C255B2"/>
    <w:rsid w:val="00C255EA"/>
    <w:rsid w:val="00C255F2"/>
    <w:rsid w:val="00C255F3"/>
    <w:rsid w:val="00C25645"/>
    <w:rsid w:val="00C25649"/>
    <w:rsid w:val="00C256B5"/>
    <w:rsid w:val="00C256B6"/>
    <w:rsid w:val="00C2571F"/>
    <w:rsid w:val="00C2578E"/>
    <w:rsid w:val="00C257D9"/>
    <w:rsid w:val="00C25827"/>
    <w:rsid w:val="00C25836"/>
    <w:rsid w:val="00C2583A"/>
    <w:rsid w:val="00C25845"/>
    <w:rsid w:val="00C25890"/>
    <w:rsid w:val="00C258A7"/>
    <w:rsid w:val="00C259BE"/>
    <w:rsid w:val="00C259CE"/>
    <w:rsid w:val="00C259ED"/>
    <w:rsid w:val="00C259F7"/>
    <w:rsid w:val="00C25A37"/>
    <w:rsid w:val="00C25A43"/>
    <w:rsid w:val="00C25AFB"/>
    <w:rsid w:val="00C25B01"/>
    <w:rsid w:val="00C25B0D"/>
    <w:rsid w:val="00C25B21"/>
    <w:rsid w:val="00C25B6A"/>
    <w:rsid w:val="00C25B88"/>
    <w:rsid w:val="00C25BCA"/>
    <w:rsid w:val="00C25BD5"/>
    <w:rsid w:val="00C25BDC"/>
    <w:rsid w:val="00C25BE6"/>
    <w:rsid w:val="00C25BFB"/>
    <w:rsid w:val="00C25C77"/>
    <w:rsid w:val="00C25C7F"/>
    <w:rsid w:val="00C25CD5"/>
    <w:rsid w:val="00C25CF3"/>
    <w:rsid w:val="00C25D5A"/>
    <w:rsid w:val="00C25D6F"/>
    <w:rsid w:val="00C25DA9"/>
    <w:rsid w:val="00C25DC0"/>
    <w:rsid w:val="00C25DD3"/>
    <w:rsid w:val="00C25E7D"/>
    <w:rsid w:val="00C25EB4"/>
    <w:rsid w:val="00C25EB6"/>
    <w:rsid w:val="00C25EEC"/>
    <w:rsid w:val="00C25F25"/>
    <w:rsid w:val="00C25F5F"/>
    <w:rsid w:val="00C25F61"/>
    <w:rsid w:val="00C25F81"/>
    <w:rsid w:val="00C25FAA"/>
    <w:rsid w:val="00C25FB6"/>
    <w:rsid w:val="00C25FD1"/>
    <w:rsid w:val="00C2604F"/>
    <w:rsid w:val="00C26050"/>
    <w:rsid w:val="00C26064"/>
    <w:rsid w:val="00C260A2"/>
    <w:rsid w:val="00C260B5"/>
    <w:rsid w:val="00C2613B"/>
    <w:rsid w:val="00C26145"/>
    <w:rsid w:val="00C26150"/>
    <w:rsid w:val="00C2617E"/>
    <w:rsid w:val="00C26187"/>
    <w:rsid w:val="00C2619B"/>
    <w:rsid w:val="00C261BE"/>
    <w:rsid w:val="00C261C4"/>
    <w:rsid w:val="00C262A7"/>
    <w:rsid w:val="00C263D1"/>
    <w:rsid w:val="00C263ED"/>
    <w:rsid w:val="00C26424"/>
    <w:rsid w:val="00C26452"/>
    <w:rsid w:val="00C264D6"/>
    <w:rsid w:val="00C26512"/>
    <w:rsid w:val="00C2652E"/>
    <w:rsid w:val="00C2655E"/>
    <w:rsid w:val="00C26585"/>
    <w:rsid w:val="00C26655"/>
    <w:rsid w:val="00C266B8"/>
    <w:rsid w:val="00C266D4"/>
    <w:rsid w:val="00C266DD"/>
    <w:rsid w:val="00C26733"/>
    <w:rsid w:val="00C26776"/>
    <w:rsid w:val="00C267A9"/>
    <w:rsid w:val="00C267BC"/>
    <w:rsid w:val="00C267C8"/>
    <w:rsid w:val="00C26832"/>
    <w:rsid w:val="00C26835"/>
    <w:rsid w:val="00C2685B"/>
    <w:rsid w:val="00C26893"/>
    <w:rsid w:val="00C268AD"/>
    <w:rsid w:val="00C268CC"/>
    <w:rsid w:val="00C268FF"/>
    <w:rsid w:val="00C269DF"/>
    <w:rsid w:val="00C26A1B"/>
    <w:rsid w:val="00C26A73"/>
    <w:rsid w:val="00C26A7F"/>
    <w:rsid w:val="00C26AB3"/>
    <w:rsid w:val="00C26AB6"/>
    <w:rsid w:val="00C26B0F"/>
    <w:rsid w:val="00C26B68"/>
    <w:rsid w:val="00C26BB0"/>
    <w:rsid w:val="00C26C0E"/>
    <w:rsid w:val="00C26C26"/>
    <w:rsid w:val="00C26CA6"/>
    <w:rsid w:val="00C26D0A"/>
    <w:rsid w:val="00C26D16"/>
    <w:rsid w:val="00C26D19"/>
    <w:rsid w:val="00C26D4D"/>
    <w:rsid w:val="00C26E79"/>
    <w:rsid w:val="00C26F4E"/>
    <w:rsid w:val="00C26F55"/>
    <w:rsid w:val="00C26F8E"/>
    <w:rsid w:val="00C26F9F"/>
    <w:rsid w:val="00C26FB2"/>
    <w:rsid w:val="00C26FFC"/>
    <w:rsid w:val="00C2708B"/>
    <w:rsid w:val="00C270D9"/>
    <w:rsid w:val="00C270E0"/>
    <w:rsid w:val="00C2713A"/>
    <w:rsid w:val="00C271BB"/>
    <w:rsid w:val="00C271C2"/>
    <w:rsid w:val="00C27244"/>
    <w:rsid w:val="00C27282"/>
    <w:rsid w:val="00C272A0"/>
    <w:rsid w:val="00C272A9"/>
    <w:rsid w:val="00C272E3"/>
    <w:rsid w:val="00C272E4"/>
    <w:rsid w:val="00C272E8"/>
    <w:rsid w:val="00C2733F"/>
    <w:rsid w:val="00C273AD"/>
    <w:rsid w:val="00C27416"/>
    <w:rsid w:val="00C2742B"/>
    <w:rsid w:val="00C2743F"/>
    <w:rsid w:val="00C27448"/>
    <w:rsid w:val="00C27472"/>
    <w:rsid w:val="00C27495"/>
    <w:rsid w:val="00C274A3"/>
    <w:rsid w:val="00C274F5"/>
    <w:rsid w:val="00C27529"/>
    <w:rsid w:val="00C2754B"/>
    <w:rsid w:val="00C27573"/>
    <w:rsid w:val="00C2761F"/>
    <w:rsid w:val="00C2766A"/>
    <w:rsid w:val="00C27697"/>
    <w:rsid w:val="00C276A8"/>
    <w:rsid w:val="00C276E1"/>
    <w:rsid w:val="00C27759"/>
    <w:rsid w:val="00C27763"/>
    <w:rsid w:val="00C27779"/>
    <w:rsid w:val="00C277A7"/>
    <w:rsid w:val="00C277B2"/>
    <w:rsid w:val="00C27836"/>
    <w:rsid w:val="00C27838"/>
    <w:rsid w:val="00C278F7"/>
    <w:rsid w:val="00C278FB"/>
    <w:rsid w:val="00C27934"/>
    <w:rsid w:val="00C2795E"/>
    <w:rsid w:val="00C279D8"/>
    <w:rsid w:val="00C279DC"/>
    <w:rsid w:val="00C27A35"/>
    <w:rsid w:val="00C27A77"/>
    <w:rsid w:val="00C27AAE"/>
    <w:rsid w:val="00C27B59"/>
    <w:rsid w:val="00C27B7B"/>
    <w:rsid w:val="00C27BCA"/>
    <w:rsid w:val="00C27C19"/>
    <w:rsid w:val="00C27C4E"/>
    <w:rsid w:val="00C27C83"/>
    <w:rsid w:val="00C27C9F"/>
    <w:rsid w:val="00C27CA2"/>
    <w:rsid w:val="00C27CFB"/>
    <w:rsid w:val="00C27CFE"/>
    <w:rsid w:val="00C27D01"/>
    <w:rsid w:val="00C27D1A"/>
    <w:rsid w:val="00C27DC3"/>
    <w:rsid w:val="00C27DF1"/>
    <w:rsid w:val="00C27E37"/>
    <w:rsid w:val="00C27E5C"/>
    <w:rsid w:val="00C27E63"/>
    <w:rsid w:val="00C27E7C"/>
    <w:rsid w:val="00C27E86"/>
    <w:rsid w:val="00C27E94"/>
    <w:rsid w:val="00C27ECC"/>
    <w:rsid w:val="00C27EEC"/>
    <w:rsid w:val="00C27F04"/>
    <w:rsid w:val="00C27F2C"/>
    <w:rsid w:val="00C27F30"/>
    <w:rsid w:val="00C27F70"/>
    <w:rsid w:val="00C27F9B"/>
    <w:rsid w:val="00C300B5"/>
    <w:rsid w:val="00C300C8"/>
    <w:rsid w:val="00C30148"/>
    <w:rsid w:val="00C30271"/>
    <w:rsid w:val="00C302DB"/>
    <w:rsid w:val="00C302F5"/>
    <w:rsid w:val="00C30331"/>
    <w:rsid w:val="00C30375"/>
    <w:rsid w:val="00C30380"/>
    <w:rsid w:val="00C30402"/>
    <w:rsid w:val="00C3040F"/>
    <w:rsid w:val="00C30483"/>
    <w:rsid w:val="00C3049D"/>
    <w:rsid w:val="00C304B3"/>
    <w:rsid w:val="00C304C5"/>
    <w:rsid w:val="00C30511"/>
    <w:rsid w:val="00C30578"/>
    <w:rsid w:val="00C3058B"/>
    <w:rsid w:val="00C305D7"/>
    <w:rsid w:val="00C30617"/>
    <w:rsid w:val="00C30627"/>
    <w:rsid w:val="00C30630"/>
    <w:rsid w:val="00C30641"/>
    <w:rsid w:val="00C30644"/>
    <w:rsid w:val="00C30668"/>
    <w:rsid w:val="00C30716"/>
    <w:rsid w:val="00C30740"/>
    <w:rsid w:val="00C30764"/>
    <w:rsid w:val="00C30774"/>
    <w:rsid w:val="00C307F5"/>
    <w:rsid w:val="00C30803"/>
    <w:rsid w:val="00C3083B"/>
    <w:rsid w:val="00C30873"/>
    <w:rsid w:val="00C30969"/>
    <w:rsid w:val="00C309FC"/>
    <w:rsid w:val="00C30A3F"/>
    <w:rsid w:val="00C30A5B"/>
    <w:rsid w:val="00C30AC7"/>
    <w:rsid w:val="00C30ADE"/>
    <w:rsid w:val="00C30B1A"/>
    <w:rsid w:val="00C30B28"/>
    <w:rsid w:val="00C30B4A"/>
    <w:rsid w:val="00C30B64"/>
    <w:rsid w:val="00C30B69"/>
    <w:rsid w:val="00C30B9B"/>
    <w:rsid w:val="00C30BAD"/>
    <w:rsid w:val="00C30BDC"/>
    <w:rsid w:val="00C30BE4"/>
    <w:rsid w:val="00C30C77"/>
    <w:rsid w:val="00C30CE6"/>
    <w:rsid w:val="00C30DDA"/>
    <w:rsid w:val="00C30DE6"/>
    <w:rsid w:val="00C30DEB"/>
    <w:rsid w:val="00C30E8B"/>
    <w:rsid w:val="00C30EF1"/>
    <w:rsid w:val="00C30FB6"/>
    <w:rsid w:val="00C30FF4"/>
    <w:rsid w:val="00C31059"/>
    <w:rsid w:val="00C31067"/>
    <w:rsid w:val="00C310C9"/>
    <w:rsid w:val="00C310D4"/>
    <w:rsid w:val="00C310EE"/>
    <w:rsid w:val="00C310F4"/>
    <w:rsid w:val="00C310FA"/>
    <w:rsid w:val="00C3111B"/>
    <w:rsid w:val="00C311F4"/>
    <w:rsid w:val="00C31206"/>
    <w:rsid w:val="00C31258"/>
    <w:rsid w:val="00C31273"/>
    <w:rsid w:val="00C31278"/>
    <w:rsid w:val="00C312B1"/>
    <w:rsid w:val="00C31380"/>
    <w:rsid w:val="00C313A3"/>
    <w:rsid w:val="00C313B3"/>
    <w:rsid w:val="00C313C3"/>
    <w:rsid w:val="00C313ED"/>
    <w:rsid w:val="00C31401"/>
    <w:rsid w:val="00C31427"/>
    <w:rsid w:val="00C3144C"/>
    <w:rsid w:val="00C314D5"/>
    <w:rsid w:val="00C314DD"/>
    <w:rsid w:val="00C31502"/>
    <w:rsid w:val="00C31507"/>
    <w:rsid w:val="00C3152F"/>
    <w:rsid w:val="00C31552"/>
    <w:rsid w:val="00C31664"/>
    <w:rsid w:val="00C31676"/>
    <w:rsid w:val="00C316B0"/>
    <w:rsid w:val="00C31762"/>
    <w:rsid w:val="00C317A5"/>
    <w:rsid w:val="00C317F4"/>
    <w:rsid w:val="00C31838"/>
    <w:rsid w:val="00C31869"/>
    <w:rsid w:val="00C31871"/>
    <w:rsid w:val="00C318A7"/>
    <w:rsid w:val="00C31921"/>
    <w:rsid w:val="00C31925"/>
    <w:rsid w:val="00C319AA"/>
    <w:rsid w:val="00C31A71"/>
    <w:rsid w:val="00C31AEB"/>
    <w:rsid w:val="00C31AEE"/>
    <w:rsid w:val="00C31B38"/>
    <w:rsid w:val="00C31B61"/>
    <w:rsid w:val="00C31B66"/>
    <w:rsid w:val="00C31C29"/>
    <w:rsid w:val="00C31C41"/>
    <w:rsid w:val="00C31C87"/>
    <w:rsid w:val="00C31C97"/>
    <w:rsid w:val="00C31D01"/>
    <w:rsid w:val="00C31D07"/>
    <w:rsid w:val="00C31D90"/>
    <w:rsid w:val="00C31DA3"/>
    <w:rsid w:val="00C31E21"/>
    <w:rsid w:val="00C31E29"/>
    <w:rsid w:val="00C31EFB"/>
    <w:rsid w:val="00C31EFC"/>
    <w:rsid w:val="00C31F09"/>
    <w:rsid w:val="00C31F0E"/>
    <w:rsid w:val="00C31F11"/>
    <w:rsid w:val="00C31F31"/>
    <w:rsid w:val="00C31F58"/>
    <w:rsid w:val="00C31F7B"/>
    <w:rsid w:val="00C31F9F"/>
    <w:rsid w:val="00C31FC5"/>
    <w:rsid w:val="00C31FD1"/>
    <w:rsid w:val="00C32011"/>
    <w:rsid w:val="00C3207A"/>
    <w:rsid w:val="00C32090"/>
    <w:rsid w:val="00C32092"/>
    <w:rsid w:val="00C320EE"/>
    <w:rsid w:val="00C320F2"/>
    <w:rsid w:val="00C32142"/>
    <w:rsid w:val="00C3218C"/>
    <w:rsid w:val="00C321D0"/>
    <w:rsid w:val="00C321FC"/>
    <w:rsid w:val="00C3225D"/>
    <w:rsid w:val="00C32261"/>
    <w:rsid w:val="00C32273"/>
    <w:rsid w:val="00C32287"/>
    <w:rsid w:val="00C3228B"/>
    <w:rsid w:val="00C322A5"/>
    <w:rsid w:val="00C322A6"/>
    <w:rsid w:val="00C322B7"/>
    <w:rsid w:val="00C322CD"/>
    <w:rsid w:val="00C322DF"/>
    <w:rsid w:val="00C32300"/>
    <w:rsid w:val="00C3233A"/>
    <w:rsid w:val="00C32345"/>
    <w:rsid w:val="00C32372"/>
    <w:rsid w:val="00C32387"/>
    <w:rsid w:val="00C3248F"/>
    <w:rsid w:val="00C325C4"/>
    <w:rsid w:val="00C325E6"/>
    <w:rsid w:val="00C3264F"/>
    <w:rsid w:val="00C32660"/>
    <w:rsid w:val="00C32662"/>
    <w:rsid w:val="00C32676"/>
    <w:rsid w:val="00C326BF"/>
    <w:rsid w:val="00C326CB"/>
    <w:rsid w:val="00C326F0"/>
    <w:rsid w:val="00C326F3"/>
    <w:rsid w:val="00C327A8"/>
    <w:rsid w:val="00C327AF"/>
    <w:rsid w:val="00C327DD"/>
    <w:rsid w:val="00C327E5"/>
    <w:rsid w:val="00C3281A"/>
    <w:rsid w:val="00C3284E"/>
    <w:rsid w:val="00C328CB"/>
    <w:rsid w:val="00C328CE"/>
    <w:rsid w:val="00C32952"/>
    <w:rsid w:val="00C32986"/>
    <w:rsid w:val="00C329A6"/>
    <w:rsid w:val="00C329DA"/>
    <w:rsid w:val="00C329E4"/>
    <w:rsid w:val="00C329FA"/>
    <w:rsid w:val="00C32A1B"/>
    <w:rsid w:val="00C32A23"/>
    <w:rsid w:val="00C32AB1"/>
    <w:rsid w:val="00C32AD8"/>
    <w:rsid w:val="00C32B58"/>
    <w:rsid w:val="00C32B91"/>
    <w:rsid w:val="00C32BB0"/>
    <w:rsid w:val="00C32BD6"/>
    <w:rsid w:val="00C32BFB"/>
    <w:rsid w:val="00C32C05"/>
    <w:rsid w:val="00C32C35"/>
    <w:rsid w:val="00C32C88"/>
    <w:rsid w:val="00C32CC9"/>
    <w:rsid w:val="00C32CE6"/>
    <w:rsid w:val="00C32CFC"/>
    <w:rsid w:val="00C32D10"/>
    <w:rsid w:val="00C32D11"/>
    <w:rsid w:val="00C32D22"/>
    <w:rsid w:val="00C32D7D"/>
    <w:rsid w:val="00C32DB1"/>
    <w:rsid w:val="00C32E0A"/>
    <w:rsid w:val="00C32E3C"/>
    <w:rsid w:val="00C32E7F"/>
    <w:rsid w:val="00C32EE2"/>
    <w:rsid w:val="00C32FA9"/>
    <w:rsid w:val="00C3301F"/>
    <w:rsid w:val="00C33077"/>
    <w:rsid w:val="00C3308F"/>
    <w:rsid w:val="00C33092"/>
    <w:rsid w:val="00C33125"/>
    <w:rsid w:val="00C331FC"/>
    <w:rsid w:val="00C3324A"/>
    <w:rsid w:val="00C3325B"/>
    <w:rsid w:val="00C3326F"/>
    <w:rsid w:val="00C3327F"/>
    <w:rsid w:val="00C33289"/>
    <w:rsid w:val="00C3329E"/>
    <w:rsid w:val="00C33331"/>
    <w:rsid w:val="00C3334D"/>
    <w:rsid w:val="00C3336E"/>
    <w:rsid w:val="00C33377"/>
    <w:rsid w:val="00C333EC"/>
    <w:rsid w:val="00C33429"/>
    <w:rsid w:val="00C3345F"/>
    <w:rsid w:val="00C334CC"/>
    <w:rsid w:val="00C334D7"/>
    <w:rsid w:val="00C33557"/>
    <w:rsid w:val="00C3356B"/>
    <w:rsid w:val="00C3356F"/>
    <w:rsid w:val="00C335D3"/>
    <w:rsid w:val="00C335E7"/>
    <w:rsid w:val="00C3361C"/>
    <w:rsid w:val="00C336A6"/>
    <w:rsid w:val="00C33852"/>
    <w:rsid w:val="00C338A4"/>
    <w:rsid w:val="00C338C2"/>
    <w:rsid w:val="00C338DE"/>
    <w:rsid w:val="00C338E6"/>
    <w:rsid w:val="00C338EC"/>
    <w:rsid w:val="00C33908"/>
    <w:rsid w:val="00C3392D"/>
    <w:rsid w:val="00C33932"/>
    <w:rsid w:val="00C3393F"/>
    <w:rsid w:val="00C3395C"/>
    <w:rsid w:val="00C3398D"/>
    <w:rsid w:val="00C339CC"/>
    <w:rsid w:val="00C339E9"/>
    <w:rsid w:val="00C33A34"/>
    <w:rsid w:val="00C33A57"/>
    <w:rsid w:val="00C33B27"/>
    <w:rsid w:val="00C33B30"/>
    <w:rsid w:val="00C33B56"/>
    <w:rsid w:val="00C33B5A"/>
    <w:rsid w:val="00C33B6C"/>
    <w:rsid w:val="00C33B85"/>
    <w:rsid w:val="00C33BA6"/>
    <w:rsid w:val="00C33BB6"/>
    <w:rsid w:val="00C33C3C"/>
    <w:rsid w:val="00C33C8F"/>
    <w:rsid w:val="00C33CB6"/>
    <w:rsid w:val="00C33CCD"/>
    <w:rsid w:val="00C33CCE"/>
    <w:rsid w:val="00C33CFA"/>
    <w:rsid w:val="00C33D32"/>
    <w:rsid w:val="00C33DAB"/>
    <w:rsid w:val="00C33DE5"/>
    <w:rsid w:val="00C33DEC"/>
    <w:rsid w:val="00C33E37"/>
    <w:rsid w:val="00C33E4A"/>
    <w:rsid w:val="00C33E54"/>
    <w:rsid w:val="00C33E76"/>
    <w:rsid w:val="00C33E91"/>
    <w:rsid w:val="00C33F22"/>
    <w:rsid w:val="00C33F63"/>
    <w:rsid w:val="00C33F81"/>
    <w:rsid w:val="00C33F92"/>
    <w:rsid w:val="00C33FB3"/>
    <w:rsid w:val="00C34006"/>
    <w:rsid w:val="00C34027"/>
    <w:rsid w:val="00C34093"/>
    <w:rsid w:val="00C340D5"/>
    <w:rsid w:val="00C34124"/>
    <w:rsid w:val="00C34127"/>
    <w:rsid w:val="00C34167"/>
    <w:rsid w:val="00C341A3"/>
    <w:rsid w:val="00C341B8"/>
    <w:rsid w:val="00C341E9"/>
    <w:rsid w:val="00C34266"/>
    <w:rsid w:val="00C342B9"/>
    <w:rsid w:val="00C3432E"/>
    <w:rsid w:val="00C34379"/>
    <w:rsid w:val="00C3439E"/>
    <w:rsid w:val="00C343B8"/>
    <w:rsid w:val="00C344D3"/>
    <w:rsid w:val="00C344D6"/>
    <w:rsid w:val="00C344DE"/>
    <w:rsid w:val="00C34523"/>
    <w:rsid w:val="00C34535"/>
    <w:rsid w:val="00C3460A"/>
    <w:rsid w:val="00C346DC"/>
    <w:rsid w:val="00C347DC"/>
    <w:rsid w:val="00C34860"/>
    <w:rsid w:val="00C348AD"/>
    <w:rsid w:val="00C348BB"/>
    <w:rsid w:val="00C348C8"/>
    <w:rsid w:val="00C3491D"/>
    <w:rsid w:val="00C34999"/>
    <w:rsid w:val="00C349CD"/>
    <w:rsid w:val="00C34A3E"/>
    <w:rsid w:val="00C34A6C"/>
    <w:rsid w:val="00C34A7C"/>
    <w:rsid w:val="00C34A85"/>
    <w:rsid w:val="00C34A86"/>
    <w:rsid w:val="00C34A91"/>
    <w:rsid w:val="00C34AA7"/>
    <w:rsid w:val="00C34AD5"/>
    <w:rsid w:val="00C34B12"/>
    <w:rsid w:val="00C34B14"/>
    <w:rsid w:val="00C34BB3"/>
    <w:rsid w:val="00C34BEB"/>
    <w:rsid w:val="00C34C37"/>
    <w:rsid w:val="00C34C6C"/>
    <w:rsid w:val="00C34C9B"/>
    <w:rsid w:val="00C34CB6"/>
    <w:rsid w:val="00C34CD3"/>
    <w:rsid w:val="00C34CE3"/>
    <w:rsid w:val="00C34D93"/>
    <w:rsid w:val="00C34DA2"/>
    <w:rsid w:val="00C34DFC"/>
    <w:rsid w:val="00C34E45"/>
    <w:rsid w:val="00C34E50"/>
    <w:rsid w:val="00C34E58"/>
    <w:rsid w:val="00C34F0D"/>
    <w:rsid w:val="00C34F3A"/>
    <w:rsid w:val="00C34F55"/>
    <w:rsid w:val="00C34F76"/>
    <w:rsid w:val="00C35000"/>
    <w:rsid w:val="00C35049"/>
    <w:rsid w:val="00C3504D"/>
    <w:rsid w:val="00C350BA"/>
    <w:rsid w:val="00C35102"/>
    <w:rsid w:val="00C3510B"/>
    <w:rsid w:val="00C35127"/>
    <w:rsid w:val="00C3513C"/>
    <w:rsid w:val="00C35170"/>
    <w:rsid w:val="00C35186"/>
    <w:rsid w:val="00C3518D"/>
    <w:rsid w:val="00C351F1"/>
    <w:rsid w:val="00C35222"/>
    <w:rsid w:val="00C35224"/>
    <w:rsid w:val="00C35229"/>
    <w:rsid w:val="00C35232"/>
    <w:rsid w:val="00C35234"/>
    <w:rsid w:val="00C35242"/>
    <w:rsid w:val="00C3525C"/>
    <w:rsid w:val="00C352E9"/>
    <w:rsid w:val="00C352EB"/>
    <w:rsid w:val="00C35313"/>
    <w:rsid w:val="00C353DA"/>
    <w:rsid w:val="00C35438"/>
    <w:rsid w:val="00C35463"/>
    <w:rsid w:val="00C35488"/>
    <w:rsid w:val="00C35490"/>
    <w:rsid w:val="00C35495"/>
    <w:rsid w:val="00C354AA"/>
    <w:rsid w:val="00C35526"/>
    <w:rsid w:val="00C3552E"/>
    <w:rsid w:val="00C35537"/>
    <w:rsid w:val="00C355C8"/>
    <w:rsid w:val="00C355D0"/>
    <w:rsid w:val="00C35658"/>
    <w:rsid w:val="00C35671"/>
    <w:rsid w:val="00C356A8"/>
    <w:rsid w:val="00C356D8"/>
    <w:rsid w:val="00C35760"/>
    <w:rsid w:val="00C35780"/>
    <w:rsid w:val="00C357D1"/>
    <w:rsid w:val="00C357E6"/>
    <w:rsid w:val="00C35874"/>
    <w:rsid w:val="00C358A4"/>
    <w:rsid w:val="00C3591C"/>
    <w:rsid w:val="00C35977"/>
    <w:rsid w:val="00C3598C"/>
    <w:rsid w:val="00C359DF"/>
    <w:rsid w:val="00C35A32"/>
    <w:rsid w:val="00C35A43"/>
    <w:rsid w:val="00C35A7E"/>
    <w:rsid w:val="00C35A8F"/>
    <w:rsid w:val="00C35A95"/>
    <w:rsid w:val="00C35ADD"/>
    <w:rsid w:val="00C35AE8"/>
    <w:rsid w:val="00C35B05"/>
    <w:rsid w:val="00C35B64"/>
    <w:rsid w:val="00C35B6E"/>
    <w:rsid w:val="00C35B84"/>
    <w:rsid w:val="00C35BA3"/>
    <w:rsid w:val="00C35C0A"/>
    <w:rsid w:val="00C35C1E"/>
    <w:rsid w:val="00C35C3C"/>
    <w:rsid w:val="00C35C8D"/>
    <w:rsid w:val="00C35CC6"/>
    <w:rsid w:val="00C35CE5"/>
    <w:rsid w:val="00C35D32"/>
    <w:rsid w:val="00C35D38"/>
    <w:rsid w:val="00C35DC0"/>
    <w:rsid w:val="00C35DFC"/>
    <w:rsid w:val="00C35E3B"/>
    <w:rsid w:val="00C35E89"/>
    <w:rsid w:val="00C35EAF"/>
    <w:rsid w:val="00C35EE6"/>
    <w:rsid w:val="00C35EE8"/>
    <w:rsid w:val="00C35EEC"/>
    <w:rsid w:val="00C35F4B"/>
    <w:rsid w:val="00C36030"/>
    <w:rsid w:val="00C360F3"/>
    <w:rsid w:val="00C36113"/>
    <w:rsid w:val="00C36148"/>
    <w:rsid w:val="00C36175"/>
    <w:rsid w:val="00C3619F"/>
    <w:rsid w:val="00C361A0"/>
    <w:rsid w:val="00C361A1"/>
    <w:rsid w:val="00C361AA"/>
    <w:rsid w:val="00C361AE"/>
    <w:rsid w:val="00C361CA"/>
    <w:rsid w:val="00C361FF"/>
    <w:rsid w:val="00C36216"/>
    <w:rsid w:val="00C36255"/>
    <w:rsid w:val="00C36280"/>
    <w:rsid w:val="00C362CA"/>
    <w:rsid w:val="00C362F4"/>
    <w:rsid w:val="00C36308"/>
    <w:rsid w:val="00C3632D"/>
    <w:rsid w:val="00C3635A"/>
    <w:rsid w:val="00C36386"/>
    <w:rsid w:val="00C363AB"/>
    <w:rsid w:val="00C363D9"/>
    <w:rsid w:val="00C3641A"/>
    <w:rsid w:val="00C3643E"/>
    <w:rsid w:val="00C36444"/>
    <w:rsid w:val="00C36446"/>
    <w:rsid w:val="00C364C7"/>
    <w:rsid w:val="00C364D1"/>
    <w:rsid w:val="00C36535"/>
    <w:rsid w:val="00C3658A"/>
    <w:rsid w:val="00C365F9"/>
    <w:rsid w:val="00C365FC"/>
    <w:rsid w:val="00C3665D"/>
    <w:rsid w:val="00C3666C"/>
    <w:rsid w:val="00C3667F"/>
    <w:rsid w:val="00C366C9"/>
    <w:rsid w:val="00C366D8"/>
    <w:rsid w:val="00C366DF"/>
    <w:rsid w:val="00C366F6"/>
    <w:rsid w:val="00C366FB"/>
    <w:rsid w:val="00C36733"/>
    <w:rsid w:val="00C3675A"/>
    <w:rsid w:val="00C36761"/>
    <w:rsid w:val="00C367A8"/>
    <w:rsid w:val="00C367B8"/>
    <w:rsid w:val="00C367CC"/>
    <w:rsid w:val="00C367E3"/>
    <w:rsid w:val="00C3682D"/>
    <w:rsid w:val="00C36834"/>
    <w:rsid w:val="00C36899"/>
    <w:rsid w:val="00C3699D"/>
    <w:rsid w:val="00C369A6"/>
    <w:rsid w:val="00C369C3"/>
    <w:rsid w:val="00C369FB"/>
    <w:rsid w:val="00C36A3F"/>
    <w:rsid w:val="00C36A91"/>
    <w:rsid w:val="00C36AC8"/>
    <w:rsid w:val="00C36AD0"/>
    <w:rsid w:val="00C36AFB"/>
    <w:rsid w:val="00C36B33"/>
    <w:rsid w:val="00C36B43"/>
    <w:rsid w:val="00C36B4B"/>
    <w:rsid w:val="00C36B7D"/>
    <w:rsid w:val="00C36B8F"/>
    <w:rsid w:val="00C36BD5"/>
    <w:rsid w:val="00C36C65"/>
    <w:rsid w:val="00C36CA2"/>
    <w:rsid w:val="00C36CC5"/>
    <w:rsid w:val="00C36CED"/>
    <w:rsid w:val="00C36D3A"/>
    <w:rsid w:val="00C36DBD"/>
    <w:rsid w:val="00C36E1F"/>
    <w:rsid w:val="00C36E2B"/>
    <w:rsid w:val="00C36E41"/>
    <w:rsid w:val="00C36E5D"/>
    <w:rsid w:val="00C36ECE"/>
    <w:rsid w:val="00C36ED5"/>
    <w:rsid w:val="00C36EDA"/>
    <w:rsid w:val="00C36F5A"/>
    <w:rsid w:val="00C36F8A"/>
    <w:rsid w:val="00C36F94"/>
    <w:rsid w:val="00C36FEF"/>
    <w:rsid w:val="00C37035"/>
    <w:rsid w:val="00C3706E"/>
    <w:rsid w:val="00C370C9"/>
    <w:rsid w:val="00C370EB"/>
    <w:rsid w:val="00C370FE"/>
    <w:rsid w:val="00C3713F"/>
    <w:rsid w:val="00C37152"/>
    <w:rsid w:val="00C37209"/>
    <w:rsid w:val="00C37210"/>
    <w:rsid w:val="00C37235"/>
    <w:rsid w:val="00C3723D"/>
    <w:rsid w:val="00C3726E"/>
    <w:rsid w:val="00C372DD"/>
    <w:rsid w:val="00C372ED"/>
    <w:rsid w:val="00C37323"/>
    <w:rsid w:val="00C37358"/>
    <w:rsid w:val="00C37383"/>
    <w:rsid w:val="00C373A9"/>
    <w:rsid w:val="00C3741E"/>
    <w:rsid w:val="00C37456"/>
    <w:rsid w:val="00C37457"/>
    <w:rsid w:val="00C374D1"/>
    <w:rsid w:val="00C374F9"/>
    <w:rsid w:val="00C37529"/>
    <w:rsid w:val="00C3752E"/>
    <w:rsid w:val="00C37585"/>
    <w:rsid w:val="00C3758B"/>
    <w:rsid w:val="00C37595"/>
    <w:rsid w:val="00C375BD"/>
    <w:rsid w:val="00C375C0"/>
    <w:rsid w:val="00C375D2"/>
    <w:rsid w:val="00C3762B"/>
    <w:rsid w:val="00C37721"/>
    <w:rsid w:val="00C37727"/>
    <w:rsid w:val="00C377CA"/>
    <w:rsid w:val="00C3781A"/>
    <w:rsid w:val="00C37831"/>
    <w:rsid w:val="00C3785B"/>
    <w:rsid w:val="00C37878"/>
    <w:rsid w:val="00C37906"/>
    <w:rsid w:val="00C3797D"/>
    <w:rsid w:val="00C37987"/>
    <w:rsid w:val="00C379B7"/>
    <w:rsid w:val="00C37A64"/>
    <w:rsid w:val="00C37A69"/>
    <w:rsid w:val="00C37A85"/>
    <w:rsid w:val="00C37AB5"/>
    <w:rsid w:val="00C37B29"/>
    <w:rsid w:val="00C37B8D"/>
    <w:rsid w:val="00C37BE1"/>
    <w:rsid w:val="00C37BEF"/>
    <w:rsid w:val="00C37BF5"/>
    <w:rsid w:val="00C37C12"/>
    <w:rsid w:val="00C37C6A"/>
    <w:rsid w:val="00C37CD9"/>
    <w:rsid w:val="00C37CFC"/>
    <w:rsid w:val="00C37D03"/>
    <w:rsid w:val="00C37D3D"/>
    <w:rsid w:val="00C37DCE"/>
    <w:rsid w:val="00C37E10"/>
    <w:rsid w:val="00C37ED0"/>
    <w:rsid w:val="00C37EE0"/>
    <w:rsid w:val="00C37EEA"/>
    <w:rsid w:val="00C37F00"/>
    <w:rsid w:val="00C37F21"/>
    <w:rsid w:val="00C37F76"/>
    <w:rsid w:val="00C37F85"/>
    <w:rsid w:val="00C37FBD"/>
    <w:rsid w:val="00C37FC4"/>
    <w:rsid w:val="00C40000"/>
    <w:rsid w:val="00C400A9"/>
    <w:rsid w:val="00C400D0"/>
    <w:rsid w:val="00C40110"/>
    <w:rsid w:val="00C4011B"/>
    <w:rsid w:val="00C40149"/>
    <w:rsid w:val="00C40159"/>
    <w:rsid w:val="00C4017B"/>
    <w:rsid w:val="00C40192"/>
    <w:rsid w:val="00C401A3"/>
    <w:rsid w:val="00C401AA"/>
    <w:rsid w:val="00C40202"/>
    <w:rsid w:val="00C40224"/>
    <w:rsid w:val="00C402F6"/>
    <w:rsid w:val="00C402FD"/>
    <w:rsid w:val="00C40313"/>
    <w:rsid w:val="00C4035C"/>
    <w:rsid w:val="00C40366"/>
    <w:rsid w:val="00C40404"/>
    <w:rsid w:val="00C40481"/>
    <w:rsid w:val="00C40486"/>
    <w:rsid w:val="00C404A9"/>
    <w:rsid w:val="00C404B5"/>
    <w:rsid w:val="00C404B8"/>
    <w:rsid w:val="00C404D5"/>
    <w:rsid w:val="00C404EF"/>
    <w:rsid w:val="00C4050F"/>
    <w:rsid w:val="00C40524"/>
    <w:rsid w:val="00C40557"/>
    <w:rsid w:val="00C4056B"/>
    <w:rsid w:val="00C40710"/>
    <w:rsid w:val="00C40720"/>
    <w:rsid w:val="00C40766"/>
    <w:rsid w:val="00C407A7"/>
    <w:rsid w:val="00C407C0"/>
    <w:rsid w:val="00C407EF"/>
    <w:rsid w:val="00C4082B"/>
    <w:rsid w:val="00C408C0"/>
    <w:rsid w:val="00C408C7"/>
    <w:rsid w:val="00C40901"/>
    <w:rsid w:val="00C40918"/>
    <w:rsid w:val="00C40939"/>
    <w:rsid w:val="00C40944"/>
    <w:rsid w:val="00C40966"/>
    <w:rsid w:val="00C409D2"/>
    <w:rsid w:val="00C409D4"/>
    <w:rsid w:val="00C409D7"/>
    <w:rsid w:val="00C409E0"/>
    <w:rsid w:val="00C40A05"/>
    <w:rsid w:val="00C40A3E"/>
    <w:rsid w:val="00C40A9A"/>
    <w:rsid w:val="00C40AC2"/>
    <w:rsid w:val="00C40AF7"/>
    <w:rsid w:val="00C40B0D"/>
    <w:rsid w:val="00C40B14"/>
    <w:rsid w:val="00C40B36"/>
    <w:rsid w:val="00C40B6B"/>
    <w:rsid w:val="00C40B78"/>
    <w:rsid w:val="00C40B80"/>
    <w:rsid w:val="00C40B81"/>
    <w:rsid w:val="00C40B85"/>
    <w:rsid w:val="00C40BDD"/>
    <w:rsid w:val="00C40BFD"/>
    <w:rsid w:val="00C40C0E"/>
    <w:rsid w:val="00C40C32"/>
    <w:rsid w:val="00C40C9D"/>
    <w:rsid w:val="00C40CA7"/>
    <w:rsid w:val="00C40D1C"/>
    <w:rsid w:val="00C40D1E"/>
    <w:rsid w:val="00C40DEA"/>
    <w:rsid w:val="00C40DFB"/>
    <w:rsid w:val="00C40DFD"/>
    <w:rsid w:val="00C40EC9"/>
    <w:rsid w:val="00C40ECA"/>
    <w:rsid w:val="00C40EE3"/>
    <w:rsid w:val="00C40F27"/>
    <w:rsid w:val="00C40F72"/>
    <w:rsid w:val="00C40F9D"/>
    <w:rsid w:val="00C40FAE"/>
    <w:rsid w:val="00C40FB2"/>
    <w:rsid w:val="00C4102B"/>
    <w:rsid w:val="00C410B9"/>
    <w:rsid w:val="00C410CA"/>
    <w:rsid w:val="00C410E3"/>
    <w:rsid w:val="00C41162"/>
    <w:rsid w:val="00C411ED"/>
    <w:rsid w:val="00C411FF"/>
    <w:rsid w:val="00C41208"/>
    <w:rsid w:val="00C41217"/>
    <w:rsid w:val="00C4121E"/>
    <w:rsid w:val="00C41231"/>
    <w:rsid w:val="00C41263"/>
    <w:rsid w:val="00C4127C"/>
    <w:rsid w:val="00C412C0"/>
    <w:rsid w:val="00C412C2"/>
    <w:rsid w:val="00C412C4"/>
    <w:rsid w:val="00C412EB"/>
    <w:rsid w:val="00C41302"/>
    <w:rsid w:val="00C4133E"/>
    <w:rsid w:val="00C4139E"/>
    <w:rsid w:val="00C413BA"/>
    <w:rsid w:val="00C41439"/>
    <w:rsid w:val="00C414DA"/>
    <w:rsid w:val="00C414E6"/>
    <w:rsid w:val="00C4152D"/>
    <w:rsid w:val="00C41587"/>
    <w:rsid w:val="00C415CF"/>
    <w:rsid w:val="00C41600"/>
    <w:rsid w:val="00C41614"/>
    <w:rsid w:val="00C4162D"/>
    <w:rsid w:val="00C4166C"/>
    <w:rsid w:val="00C416AD"/>
    <w:rsid w:val="00C416D1"/>
    <w:rsid w:val="00C416FD"/>
    <w:rsid w:val="00C41818"/>
    <w:rsid w:val="00C41847"/>
    <w:rsid w:val="00C418BD"/>
    <w:rsid w:val="00C418DC"/>
    <w:rsid w:val="00C4191D"/>
    <w:rsid w:val="00C41945"/>
    <w:rsid w:val="00C4194B"/>
    <w:rsid w:val="00C41982"/>
    <w:rsid w:val="00C41995"/>
    <w:rsid w:val="00C41A17"/>
    <w:rsid w:val="00C41A53"/>
    <w:rsid w:val="00C41A56"/>
    <w:rsid w:val="00C41A5B"/>
    <w:rsid w:val="00C41A6C"/>
    <w:rsid w:val="00C41AA1"/>
    <w:rsid w:val="00C41AA9"/>
    <w:rsid w:val="00C41AD4"/>
    <w:rsid w:val="00C41B52"/>
    <w:rsid w:val="00C41B87"/>
    <w:rsid w:val="00C41B9E"/>
    <w:rsid w:val="00C41C10"/>
    <w:rsid w:val="00C41C24"/>
    <w:rsid w:val="00C41C63"/>
    <w:rsid w:val="00C41CF1"/>
    <w:rsid w:val="00C41CF4"/>
    <w:rsid w:val="00C41D38"/>
    <w:rsid w:val="00C41D59"/>
    <w:rsid w:val="00C41D79"/>
    <w:rsid w:val="00C41D99"/>
    <w:rsid w:val="00C41DBE"/>
    <w:rsid w:val="00C41DDD"/>
    <w:rsid w:val="00C41E08"/>
    <w:rsid w:val="00C41E76"/>
    <w:rsid w:val="00C41EAC"/>
    <w:rsid w:val="00C41EB4"/>
    <w:rsid w:val="00C41EDB"/>
    <w:rsid w:val="00C41EFA"/>
    <w:rsid w:val="00C41F1C"/>
    <w:rsid w:val="00C41F3D"/>
    <w:rsid w:val="00C41F8A"/>
    <w:rsid w:val="00C41FB8"/>
    <w:rsid w:val="00C41FBD"/>
    <w:rsid w:val="00C41FE0"/>
    <w:rsid w:val="00C41FE3"/>
    <w:rsid w:val="00C42005"/>
    <w:rsid w:val="00C4201A"/>
    <w:rsid w:val="00C42055"/>
    <w:rsid w:val="00C420DB"/>
    <w:rsid w:val="00C420ED"/>
    <w:rsid w:val="00C42175"/>
    <w:rsid w:val="00C42177"/>
    <w:rsid w:val="00C421B6"/>
    <w:rsid w:val="00C421E6"/>
    <w:rsid w:val="00C421F9"/>
    <w:rsid w:val="00C42299"/>
    <w:rsid w:val="00C422A2"/>
    <w:rsid w:val="00C423A3"/>
    <w:rsid w:val="00C423CB"/>
    <w:rsid w:val="00C4240D"/>
    <w:rsid w:val="00C42447"/>
    <w:rsid w:val="00C42537"/>
    <w:rsid w:val="00C42694"/>
    <w:rsid w:val="00C42715"/>
    <w:rsid w:val="00C42786"/>
    <w:rsid w:val="00C427AF"/>
    <w:rsid w:val="00C427BD"/>
    <w:rsid w:val="00C427C9"/>
    <w:rsid w:val="00C42808"/>
    <w:rsid w:val="00C4285A"/>
    <w:rsid w:val="00C42867"/>
    <w:rsid w:val="00C4286E"/>
    <w:rsid w:val="00C4288D"/>
    <w:rsid w:val="00C4296F"/>
    <w:rsid w:val="00C429BC"/>
    <w:rsid w:val="00C429FB"/>
    <w:rsid w:val="00C42A02"/>
    <w:rsid w:val="00C42A53"/>
    <w:rsid w:val="00C42AB1"/>
    <w:rsid w:val="00C42AB5"/>
    <w:rsid w:val="00C42AD7"/>
    <w:rsid w:val="00C42AED"/>
    <w:rsid w:val="00C42B13"/>
    <w:rsid w:val="00C42B39"/>
    <w:rsid w:val="00C42B8B"/>
    <w:rsid w:val="00C42BC0"/>
    <w:rsid w:val="00C42BD1"/>
    <w:rsid w:val="00C42D0D"/>
    <w:rsid w:val="00C42D0F"/>
    <w:rsid w:val="00C42D35"/>
    <w:rsid w:val="00C42D4B"/>
    <w:rsid w:val="00C42D69"/>
    <w:rsid w:val="00C42DE2"/>
    <w:rsid w:val="00C42DE5"/>
    <w:rsid w:val="00C42E05"/>
    <w:rsid w:val="00C42E0C"/>
    <w:rsid w:val="00C42EAD"/>
    <w:rsid w:val="00C42F07"/>
    <w:rsid w:val="00C42F12"/>
    <w:rsid w:val="00C42F3C"/>
    <w:rsid w:val="00C42F54"/>
    <w:rsid w:val="00C42FD0"/>
    <w:rsid w:val="00C42FDD"/>
    <w:rsid w:val="00C42FEB"/>
    <w:rsid w:val="00C43007"/>
    <w:rsid w:val="00C4300E"/>
    <w:rsid w:val="00C43032"/>
    <w:rsid w:val="00C43037"/>
    <w:rsid w:val="00C43056"/>
    <w:rsid w:val="00C43058"/>
    <w:rsid w:val="00C430A4"/>
    <w:rsid w:val="00C430EB"/>
    <w:rsid w:val="00C43112"/>
    <w:rsid w:val="00C43165"/>
    <w:rsid w:val="00C431D2"/>
    <w:rsid w:val="00C431ED"/>
    <w:rsid w:val="00C43214"/>
    <w:rsid w:val="00C43232"/>
    <w:rsid w:val="00C43276"/>
    <w:rsid w:val="00C432DE"/>
    <w:rsid w:val="00C43328"/>
    <w:rsid w:val="00C433E3"/>
    <w:rsid w:val="00C433FC"/>
    <w:rsid w:val="00C43432"/>
    <w:rsid w:val="00C43441"/>
    <w:rsid w:val="00C43443"/>
    <w:rsid w:val="00C4345D"/>
    <w:rsid w:val="00C434B2"/>
    <w:rsid w:val="00C4356B"/>
    <w:rsid w:val="00C435A2"/>
    <w:rsid w:val="00C435B1"/>
    <w:rsid w:val="00C435BE"/>
    <w:rsid w:val="00C43645"/>
    <w:rsid w:val="00C43664"/>
    <w:rsid w:val="00C4366F"/>
    <w:rsid w:val="00C436C3"/>
    <w:rsid w:val="00C4372A"/>
    <w:rsid w:val="00C43761"/>
    <w:rsid w:val="00C43780"/>
    <w:rsid w:val="00C437D5"/>
    <w:rsid w:val="00C437EF"/>
    <w:rsid w:val="00C4385B"/>
    <w:rsid w:val="00C438F0"/>
    <w:rsid w:val="00C43963"/>
    <w:rsid w:val="00C43968"/>
    <w:rsid w:val="00C43985"/>
    <w:rsid w:val="00C439AC"/>
    <w:rsid w:val="00C439BC"/>
    <w:rsid w:val="00C43A02"/>
    <w:rsid w:val="00C43A64"/>
    <w:rsid w:val="00C43ADB"/>
    <w:rsid w:val="00C43B24"/>
    <w:rsid w:val="00C43BA7"/>
    <w:rsid w:val="00C43BA9"/>
    <w:rsid w:val="00C43BAA"/>
    <w:rsid w:val="00C43BBB"/>
    <w:rsid w:val="00C43C19"/>
    <w:rsid w:val="00C43C44"/>
    <w:rsid w:val="00C43C57"/>
    <w:rsid w:val="00C43C5D"/>
    <w:rsid w:val="00C43D0F"/>
    <w:rsid w:val="00C43D39"/>
    <w:rsid w:val="00C43DD6"/>
    <w:rsid w:val="00C43DDC"/>
    <w:rsid w:val="00C43DE1"/>
    <w:rsid w:val="00C43E21"/>
    <w:rsid w:val="00C43F41"/>
    <w:rsid w:val="00C43F5B"/>
    <w:rsid w:val="00C43F75"/>
    <w:rsid w:val="00C44006"/>
    <w:rsid w:val="00C4403E"/>
    <w:rsid w:val="00C44066"/>
    <w:rsid w:val="00C44084"/>
    <w:rsid w:val="00C440A5"/>
    <w:rsid w:val="00C440C1"/>
    <w:rsid w:val="00C440D5"/>
    <w:rsid w:val="00C440D7"/>
    <w:rsid w:val="00C440E5"/>
    <w:rsid w:val="00C44143"/>
    <w:rsid w:val="00C441D2"/>
    <w:rsid w:val="00C44207"/>
    <w:rsid w:val="00C4427B"/>
    <w:rsid w:val="00C4427F"/>
    <w:rsid w:val="00C4428A"/>
    <w:rsid w:val="00C442AE"/>
    <w:rsid w:val="00C44333"/>
    <w:rsid w:val="00C4433F"/>
    <w:rsid w:val="00C443B7"/>
    <w:rsid w:val="00C44436"/>
    <w:rsid w:val="00C44455"/>
    <w:rsid w:val="00C4447B"/>
    <w:rsid w:val="00C44485"/>
    <w:rsid w:val="00C44508"/>
    <w:rsid w:val="00C44509"/>
    <w:rsid w:val="00C44536"/>
    <w:rsid w:val="00C44552"/>
    <w:rsid w:val="00C44577"/>
    <w:rsid w:val="00C445A9"/>
    <w:rsid w:val="00C445FC"/>
    <w:rsid w:val="00C44665"/>
    <w:rsid w:val="00C4469A"/>
    <w:rsid w:val="00C446B4"/>
    <w:rsid w:val="00C446BA"/>
    <w:rsid w:val="00C44726"/>
    <w:rsid w:val="00C447FE"/>
    <w:rsid w:val="00C4486C"/>
    <w:rsid w:val="00C4486E"/>
    <w:rsid w:val="00C44895"/>
    <w:rsid w:val="00C448A5"/>
    <w:rsid w:val="00C448CE"/>
    <w:rsid w:val="00C44934"/>
    <w:rsid w:val="00C44952"/>
    <w:rsid w:val="00C449DF"/>
    <w:rsid w:val="00C449F6"/>
    <w:rsid w:val="00C44A2A"/>
    <w:rsid w:val="00C44AB4"/>
    <w:rsid w:val="00C44AE4"/>
    <w:rsid w:val="00C44B3A"/>
    <w:rsid w:val="00C44B57"/>
    <w:rsid w:val="00C44B5B"/>
    <w:rsid w:val="00C44B5F"/>
    <w:rsid w:val="00C44BAC"/>
    <w:rsid w:val="00C44BC5"/>
    <w:rsid w:val="00C44C4B"/>
    <w:rsid w:val="00C44C5A"/>
    <w:rsid w:val="00C44C5B"/>
    <w:rsid w:val="00C44C6D"/>
    <w:rsid w:val="00C44C7B"/>
    <w:rsid w:val="00C44C8E"/>
    <w:rsid w:val="00C44CD6"/>
    <w:rsid w:val="00C44CDA"/>
    <w:rsid w:val="00C44D6E"/>
    <w:rsid w:val="00C44D87"/>
    <w:rsid w:val="00C44DAC"/>
    <w:rsid w:val="00C44DBF"/>
    <w:rsid w:val="00C44E0D"/>
    <w:rsid w:val="00C44E96"/>
    <w:rsid w:val="00C44EA4"/>
    <w:rsid w:val="00C44ED0"/>
    <w:rsid w:val="00C44F07"/>
    <w:rsid w:val="00C44F0B"/>
    <w:rsid w:val="00C44F13"/>
    <w:rsid w:val="00C44FC2"/>
    <w:rsid w:val="00C44FF5"/>
    <w:rsid w:val="00C45014"/>
    <w:rsid w:val="00C4502C"/>
    <w:rsid w:val="00C45035"/>
    <w:rsid w:val="00C45070"/>
    <w:rsid w:val="00C45085"/>
    <w:rsid w:val="00C4509C"/>
    <w:rsid w:val="00C450FB"/>
    <w:rsid w:val="00C4510C"/>
    <w:rsid w:val="00C4517F"/>
    <w:rsid w:val="00C45189"/>
    <w:rsid w:val="00C45219"/>
    <w:rsid w:val="00C45255"/>
    <w:rsid w:val="00C4527D"/>
    <w:rsid w:val="00C452BD"/>
    <w:rsid w:val="00C452CE"/>
    <w:rsid w:val="00C45310"/>
    <w:rsid w:val="00C45369"/>
    <w:rsid w:val="00C45430"/>
    <w:rsid w:val="00C45472"/>
    <w:rsid w:val="00C454EB"/>
    <w:rsid w:val="00C4550A"/>
    <w:rsid w:val="00C4552E"/>
    <w:rsid w:val="00C45596"/>
    <w:rsid w:val="00C45698"/>
    <w:rsid w:val="00C456E9"/>
    <w:rsid w:val="00C4571D"/>
    <w:rsid w:val="00C45776"/>
    <w:rsid w:val="00C457BB"/>
    <w:rsid w:val="00C45818"/>
    <w:rsid w:val="00C4585A"/>
    <w:rsid w:val="00C45863"/>
    <w:rsid w:val="00C45872"/>
    <w:rsid w:val="00C458A4"/>
    <w:rsid w:val="00C458C5"/>
    <w:rsid w:val="00C45937"/>
    <w:rsid w:val="00C459C6"/>
    <w:rsid w:val="00C45A1D"/>
    <w:rsid w:val="00C45A44"/>
    <w:rsid w:val="00C45AE8"/>
    <w:rsid w:val="00C45B83"/>
    <w:rsid w:val="00C45B90"/>
    <w:rsid w:val="00C45BA0"/>
    <w:rsid w:val="00C45BD4"/>
    <w:rsid w:val="00C45BED"/>
    <w:rsid w:val="00C45BF0"/>
    <w:rsid w:val="00C45C19"/>
    <w:rsid w:val="00C45C21"/>
    <w:rsid w:val="00C45C56"/>
    <w:rsid w:val="00C45C70"/>
    <w:rsid w:val="00C45D1B"/>
    <w:rsid w:val="00C45D65"/>
    <w:rsid w:val="00C45DE4"/>
    <w:rsid w:val="00C45E09"/>
    <w:rsid w:val="00C45E0A"/>
    <w:rsid w:val="00C45E25"/>
    <w:rsid w:val="00C45E2E"/>
    <w:rsid w:val="00C45E6E"/>
    <w:rsid w:val="00C45EE4"/>
    <w:rsid w:val="00C45F3F"/>
    <w:rsid w:val="00C45F47"/>
    <w:rsid w:val="00C45F67"/>
    <w:rsid w:val="00C45F6A"/>
    <w:rsid w:val="00C45F9D"/>
    <w:rsid w:val="00C45FB7"/>
    <w:rsid w:val="00C45FE0"/>
    <w:rsid w:val="00C45FF1"/>
    <w:rsid w:val="00C45FFC"/>
    <w:rsid w:val="00C46010"/>
    <w:rsid w:val="00C46050"/>
    <w:rsid w:val="00C46066"/>
    <w:rsid w:val="00C4606E"/>
    <w:rsid w:val="00C460B5"/>
    <w:rsid w:val="00C460CA"/>
    <w:rsid w:val="00C460CD"/>
    <w:rsid w:val="00C460E0"/>
    <w:rsid w:val="00C460EB"/>
    <w:rsid w:val="00C460ED"/>
    <w:rsid w:val="00C46134"/>
    <w:rsid w:val="00C46175"/>
    <w:rsid w:val="00C46180"/>
    <w:rsid w:val="00C461CA"/>
    <w:rsid w:val="00C461CC"/>
    <w:rsid w:val="00C46206"/>
    <w:rsid w:val="00C46266"/>
    <w:rsid w:val="00C462AD"/>
    <w:rsid w:val="00C462C5"/>
    <w:rsid w:val="00C462CC"/>
    <w:rsid w:val="00C462E6"/>
    <w:rsid w:val="00C463DB"/>
    <w:rsid w:val="00C4648C"/>
    <w:rsid w:val="00C46491"/>
    <w:rsid w:val="00C464E6"/>
    <w:rsid w:val="00C46514"/>
    <w:rsid w:val="00C46538"/>
    <w:rsid w:val="00C46541"/>
    <w:rsid w:val="00C46547"/>
    <w:rsid w:val="00C4657D"/>
    <w:rsid w:val="00C465B5"/>
    <w:rsid w:val="00C46609"/>
    <w:rsid w:val="00C46657"/>
    <w:rsid w:val="00C4669C"/>
    <w:rsid w:val="00C467BA"/>
    <w:rsid w:val="00C467BE"/>
    <w:rsid w:val="00C467CF"/>
    <w:rsid w:val="00C46815"/>
    <w:rsid w:val="00C46822"/>
    <w:rsid w:val="00C46890"/>
    <w:rsid w:val="00C468D3"/>
    <w:rsid w:val="00C4694C"/>
    <w:rsid w:val="00C46992"/>
    <w:rsid w:val="00C46A76"/>
    <w:rsid w:val="00C46A83"/>
    <w:rsid w:val="00C46A8A"/>
    <w:rsid w:val="00C46A8F"/>
    <w:rsid w:val="00C46A9F"/>
    <w:rsid w:val="00C46AB1"/>
    <w:rsid w:val="00C46AE4"/>
    <w:rsid w:val="00C46AF6"/>
    <w:rsid w:val="00C46B35"/>
    <w:rsid w:val="00C46B37"/>
    <w:rsid w:val="00C46CCE"/>
    <w:rsid w:val="00C46CEC"/>
    <w:rsid w:val="00C46D07"/>
    <w:rsid w:val="00C46D52"/>
    <w:rsid w:val="00C46D63"/>
    <w:rsid w:val="00C46DDB"/>
    <w:rsid w:val="00C46DDD"/>
    <w:rsid w:val="00C46DDE"/>
    <w:rsid w:val="00C46E2B"/>
    <w:rsid w:val="00C46E31"/>
    <w:rsid w:val="00C46E78"/>
    <w:rsid w:val="00C46E8D"/>
    <w:rsid w:val="00C46E97"/>
    <w:rsid w:val="00C46EB8"/>
    <w:rsid w:val="00C46EBA"/>
    <w:rsid w:val="00C46EBF"/>
    <w:rsid w:val="00C46EE3"/>
    <w:rsid w:val="00C46EED"/>
    <w:rsid w:val="00C46F0D"/>
    <w:rsid w:val="00C46F14"/>
    <w:rsid w:val="00C46F94"/>
    <w:rsid w:val="00C46FA0"/>
    <w:rsid w:val="00C46FD2"/>
    <w:rsid w:val="00C47035"/>
    <w:rsid w:val="00C4705A"/>
    <w:rsid w:val="00C47091"/>
    <w:rsid w:val="00C47093"/>
    <w:rsid w:val="00C470D1"/>
    <w:rsid w:val="00C470FE"/>
    <w:rsid w:val="00C47108"/>
    <w:rsid w:val="00C47139"/>
    <w:rsid w:val="00C47249"/>
    <w:rsid w:val="00C47277"/>
    <w:rsid w:val="00C472CD"/>
    <w:rsid w:val="00C4731A"/>
    <w:rsid w:val="00C4733F"/>
    <w:rsid w:val="00C4736F"/>
    <w:rsid w:val="00C4737A"/>
    <w:rsid w:val="00C473D6"/>
    <w:rsid w:val="00C47432"/>
    <w:rsid w:val="00C47455"/>
    <w:rsid w:val="00C47490"/>
    <w:rsid w:val="00C47519"/>
    <w:rsid w:val="00C4754A"/>
    <w:rsid w:val="00C4754F"/>
    <w:rsid w:val="00C47590"/>
    <w:rsid w:val="00C475DB"/>
    <w:rsid w:val="00C475F4"/>
    <w:rsid w:val="00C47600"/>
    <w:rsid w:val="00C4760E"/>
    <w:rsid w:val="00C47617"/>
    <w:rsid w:val="00C476CF"/>
    <w:rsid w:val="00C476F4"/>
    <w:rsid w:val="00C4771C"/>
    <w:rsid w:val="00C477F5"/>
    <w:rsid w:val="00C47861"/>
    <w:rsid w:val="00C4787C"/>
    <w:rsid w:val="00C47935"/>
    <w:rsid w:val="00C4793A"/>
    <w:rsid w:val="00C47974"/>
    <w:rsid w:val="00C47980"/>
    <w:rsid w:val="00C47994"/>
    <w:rsid w:val="00C479B0"/>
    <w:rsid w:val="00C479D1"/>
    <w:rsid w:val="00C47A41"/>
    <w:rsid w:val="00C47AA7"/>
    <w:rsid w:val="00C47AA9"/>
    <w:rsid w:val="00C47AC1"/>
    <w:rsid w:val="00C47AE9"/>
    <w:rsid w:val="00C47B07"/>
    <w:rsid w:val="00C47B31"/>
    <w:rsid w:val="00C47B3E"/>
    <w:rsid w:val="00C47B70"/>
    <w:rsid w:val="00C47BD6"/>
    <w:rsid w:val="00C47BF4"/>
    <w:rsid w:val="00C47C29"/>
    <w:rsid w:val="00C47C39"/>
    <w:rsid w:val="00C47C72"/>
    <w:rsid w:val="00C47C93"/>
    <w:rsid w:val="00C47D1E"/>
    <w:rsid w:val="00C47D64"/>
    <w:rsid w:val="00C47D76"/>
    <w:rsid w:val="00C47D89"/>
    <w:rsid w:val="00C47D9D"/>
    <w:rsid w:val="00C47DD6"/>
    <w:rsid w:val="00C47DE9"/>
    <w:rsid w:val="00C47DFF"/>
    <w:rsid w:val="00C47E33"/>
    <w:rsid w:val="00C47E78"/>
    <w:rsid w:val="00C47EA8"/>
    <w:rsid w:val="00C47EB7"/>
    <w:rsid w:val="00C47EC1"/>
    <w:rsid w:val="00C47EE0"/>
    <w:rsid w:val="00C47F57"/>
    <w:rsid w:val="00C47FA9"/>
    <w:rsid w:val="00C47FB7"/>
    <w:rsid w:val="00C47FC0"/>
    <w:rsid w:val="00C47FF2"/>
    <w:rsid w:val="00C5000C"/>
    <w:rsid w:val="00C5000E"/>
    <w:rsid w:val="00C50043"/>
    <w:rsid w:val="00C5008D"/>
    <w:rsid w:val="00C5010D"/>
    <w:rsid w:val="00C5013B"/>
    <w:rsid w:val="00C5016E"/>
    <w:rsid w:val="00C501B6"/>
    <w:rsid w:val="00C501C2"/>
    <w:rsid w:val="00C50224"/>
    <w:rsid w:val="00C5028E"/>
    <w:rsid w:val="00C502A9"/>
    <w:rsid w:val="00C502EE"/>
    <w:rsid w:val="00C5034E"/>
    <w:rsid w:val="00C5038F"/>
    <w:rsid w:val="00C503EA"/>
    <w:rsid w:val="00C50459"/>
    <w:rsid w:val="00C5048D"/>
    <w:rsid w:val="00C504B8"/>
    <w:rsid w:val="00C504B9"/>
    <w:rsid w:val="00C504F5"/>
    <w:rsid w:val="00C50541"/>
    <w:rsid w:val="00C5058E"/>
    <w:rsid w:val="00C50594"/>
    <w:rsid w:val="00C505C3"/>
    <w:rsid w:val="00C505D3"/>
    <w:rsid w:val="00C505E1"/>
    <w:rsid w:val="00C50606"/>
    <w:rsid w:val="00C5064D"/>
    <w:rsid w:val="00C50687"/>
    <w:rsid w:val="00C5069F"/>
    <w:rsid w:val="00C506A5"/>
    <w:rsid w:val="00C506AD"/>
    <w:rsid w:val="00C50747"/>
    <w:rsid w:val="00C5079F"/>
    <w:rsid w:val="00C507C9"/>
    <w:rsid w:val="00C507CC"/>
    <w:rsid w:val="00C507F9"/>
    <w:rsid w:val="00C5080A"/>
    <w:rsid w:val="00C5083D"/>
    <w:rsid w:val="00C5086A"/>
    <w:rsid w:val="00C50877"/>
    <w:rsid w:val="00C50886"/>
    <w:rsid w:val="00C5088F"/>
    <w:rsid w:val="00C508E4"/>
    <w:rsid w:val="00C508EC"/>
    <w:rsid w:val="00C5091B"/>
    <w:rsid w:val="00C50928"/>
    <w:rsid w:val="00C5092D"/>
    <w:rsid w:val="00C5099C"/>
    <w:rsid w:val="00C50A0A"/>
    <w:rsid w:val="00C50A6A"/>
    <w:rsid w:val="00C50ACD"/>
    <w:rsid w:val="00C50B9D"/>
    <w:rsid w:val="00C50BC8"/>
    <w:rsid w:val="00C50BD8"/>
    <w:rsid w:val="00C50BF7"/>
    <w:rsid w:val="00C50C28"/>
    <w:rsid w:val="00C50C48"/>
    <w:rsid w:val="00C50CD9"/>
    <w:rsid w:val="00C50CDA"/>
    <w:rsid w:val="00C50CDD"/>
    <w:rsid w:val="00C50D5D"/>
    <w:rsid w:val="00C50D6E"/>
    <w:rsid w:val="00C50D8D"/>
    <w:rsid w:val="00C50DD9"/>
    <w:rsid w:val="00C50DF7"/>
    <w:rsid w:val="00C50E1A"/>
    <w:rsid w:val="00C50F2C"/>
    <w:rsid w:val="00C50F39"/>
    <w:rsid w:val="00C50F5D"/>
    <w:rsid w:val="00C50F83"/>
    <w:rsid w:val="00C50F99"/>
    <w:rsid w:val="00C5104F"/>
    <w:rsid w:val="00C5105D"/>
    <w:rsid w:val="00C51072"/>
    <w:rsid w:val="00C511E5"/>
    <w:rsid w:val="00C511FC"/>
    <w:rsid w:val="00C51210"/>
    <w:rsid w:val="00C51262"/>
    <w:rsid w:val="00C5128A"/>
    <w:rsid w:val="00C512D9"/>
    <w:rsid w:val="00C512DB"/>
    <w:rsid w:val="00C51304"/>
    <w:rsid w:val="00C51351"/>
    <w:rsid w:val="00C51407"/>
    <w:rsid w:val="00C5140F"/>
    <w:rsid w:val="00C5147E"/>
    <w:rsid w:val="00C514E4"/>
    <w:rsid w:val="00C515DD"/>
    <w:rsid w:val="00C515F1"/>
    <w:rsid w:val="00C51677"/>
    <w:rsid w:val="00C5168E"/>
    <w:rsid w:val="00C516E6"/>
    <w:rsid w:val="00C516E7"/>
    <w:rsid w:val="00C5170D"/>
    <w:rsid w:val="00C51746"/>
    <w:rsid w:val="00C51749"/>
    <w:rsid w:val="00C517CF"/>
    <w:rsid w:val="00C517DB"/>
    <w:rsid w:val="00C51898"/>
    <w:rsid w:val="00C518B1"/>
    <w:rsid w:val="00C518EB"/>
    <w:rsid w:val="00C5192A"/>
    <w:rsid w:val="00C519A0"/>
    <w:rsid w:val="00C519AA"/>
    <w:rsid w:val="00C519EA"/>
    <w:rsid w:val="00C519F3"/>
    <w:rsid w:val="00C51A0A"/>
    <w:rsid w:val="00C51A4B"/>
    <w:rsid w:val="00C51AE3"/>
    <w:rsid w:val="00C51AE9"/>
    <w:rsid w:val="00C51AF7"/>
    <w:rsid w:val="00C51B12"/>
    <w:rsid w:val="00C51B17"/>
    <w:rsid w:val="00C51BEB"/>
    <w:rsid w:val="00C51C15"/>
    <w:rsid w:val="00C51C32"/>
    <w:rsid w:val="00C51C3E"/>
    <w:rsid w:val="00C51C47"/>
    <w:rsid w:val="00C51C4E"/>
    <w:rsid w:val="00C51C6B"/>
    <w:rsid w:val="00C51CCB"/>
    <w:rsid w:val="00C51D6F"/>
    <w:rsid w:val="00C51D7F"/>
    <w:rsid w:val="00C51D92"/>
    <w:rsid w:val="00C51DCE"/>
    <w:rsid w:val="00C51DD9"/>
    <w:rsid w:val="00C51DF8"/>
    <w:rsid w:val="00C51E0F"/>
    <w:rsid w:val="00C51E34"/>
    <w:rsid w:val="00C51E41"/>
    <w:rsid w:val="00C51E4C"/>
    <w:rsid w:val="00C51EA3"/>
    <w:rsid w:val="00C51EFD"/>
    <w:rsid w:val="00C51F93"/>
    <w:rsid w:val="00C51F98"/>
    <w:rsid w:val="00C51F9F"/>
    <w:rsid w:val="00C51FCE"/>
    <w:rsid w:val="00C51FD0"/>
    <w:rsid w:val="00C52009"/>
    <w:rsid w:val="00C52016"/>
    <w:rsid w:val="00C52024"/>
    <w:rsid w:val="00C5211D"/>
    <w:rsid w:val="00C5214A"/>
    <w:rsid w:val="00C5216C"/>
    <w:rsid w:val="00C52189"/>
    <w:rsid w:val="00C521AB"/>
    <w:rsid w:val="00C521D1"/>
    <w:rsid w:val="00C52245"/>
    <w:rsid w:val="00C52274"/>
    <w:rsid w:val="00C52300"/>
    <w:rsid w:val="00C52327"/>
    <w:rsid w:val="00C523C6"/>
    <w:rsid w:val="00C5246D"/>
    <w:rsid w:val="00C524B4"/>
    <w:rsid w:val="00C524C8"/>
    <w:rsid w:val="00C52510"/>
    <w:rsid w:val="00C52547"/>
    <w:rsid w:val="00C52548"/>
    <w:rsid w:val="00C5254E"/>
    <w:rsid w:val="00C5258D"/>
    <w:rsid w:val="00C525B9"/>
    <w:rsid w:val="00C52614"/>
    <w:rsid w:val="00C52623"/>
    <w:rsid w:val="00C5262C"/>
    <w:rsid w:val="00C52630"/>
    <w:rsid w:val="00C526B0"/>
    <w:rsid w:val="00C526E1"/>
    <w:rsid w:val="00C5270D"/>
    <w:rsid w:val="00C5279C"/>
    <w:rsid w:val="00C527AF"/>
    <w:rsid w:val="00C527C6"/>
    <w:rsid w:val="00C527D8"/>
    <w:rsid w:val="00C52828"/>
    <w:rsid w:val="00C5283F"/>
    <w:rsid w:val="00C52880"/>
    <w:rsid w:val="00C528BD"/>
    <w:rsid w:val="00C528D7"/>
    <w:rsid w:val="00C52937"/>
    <w:rsid w:val="00C52A8B"/>
    <w:rsid w:val="00C52AFD"/>
    <w:rsid w:val="00C52B34"/>
    <w:rsid w:val="00C52B3A"/>
    <w:rsid w:val="00C52B42"/>
    <w:rsid w:val="00C52B71"/>
    <w:rsid w:val="00C52B8A"/>
    <w:rsid w:val="00C52BA5"/>
    <w:rsid w:val="00C52BDE"/>
    <w:rsid w:val="00C52C06"/>
    <w:rsid w:val="00C52C3E"/>
    <w:rsid w:val="00C52C6D"/>
    <w:rsid w:val="00C52C74"/>
    <w:rsid w:val="00C52C8C"/>
    <w:rsid w:val="00C52C93"/>
    <w:rsid w:val="00C52CAA"/>
    <w:rsid w:val="00C52CCA"/>
    <w:rsid w:val="00C52E09"/>
    <w:rsid w:val="00C52E6A"/>
    <w:rsid w:val="00C52EB3"/>
    <w:rsid w:val="00C52EC4"/>
    <w:rsid w:val="00C52FD3"/>
    <w:rsid w:val="00C52FE9"/>
    <w:rsid w:val="00C53010"/>
    <w:rsid w:val="00C53017"/>
    <w:rsid w:val="00C53056"/>
    <w:rsid w:val="00C530B6"/>
    <w:rsid w:val="00C530C1"/>
    <w:rsid w:val="00C53109"/>
    <w:rsid w:val="00C5313D"/>
    <w:rsid w:val="00C531BB"/>
    <w:rsid w:val="00C531D1"/>
    <w:rsid w:val="00C53218"/>
    <w:rsid w:val="00C5323E"/>
    <w:rsid w:val="00C53266"/>
    <w:rsid w:val="00C53289"/>
    <w:rsid w:val="00C532AF"/>
    <w:rsid w:val="00C532CD"/>
    <w:rsid w:val="00C532F2"/>
    <w:rsid w:val="00C53349"/>
    <w:rsid w:val="00C533C8"/>
    <w:rsid w:val="00C53475"/>
    <w:rsid w:val="00C534B6"/>
    <w:rsid w:val="00C53533"/>
    <w:rsid w:val="00C53536"/>
    <w:rsid w:val="00C53541"/>
    <w:rsid w:val="00C5354A"/>
    <w:rsid w:val="00C5356A"/>
    <w:rsid w:val="00C53617"/>
    <w:rsid w:val="00C53649"/>
    <w:rsid w:val="00C5366B"/>
    <w:rsid w:val="00C5367A"/>
    <w:rsid w:val="00C536B9"/>
    <w:rsid w:val="00C53705"/>
    <w:rsid w:val="00C53743"/>
    <w:rsid w:val="00C53760"/>
    <w:rsid w:val="00C5378C"/>
    <w:rsid w:val="00C5379E"/>
    <w:rsid w:val="00C537AF"/>
    <w:rsid w:val="00C537F9"/>
    <w:rsid w:val="00C5380E"/>
    <w:rsid w:val="00C5382A"/>
    <w:rsid w:val="00C53846"/>
    <w:rsid w:val="00C5393D"/>
    <w:rsid w:val="00C539CD"/>
    <w:rsid w:val="00C53A16"/>
    <w:rsid w:val="00C53AA9"/>
    <w:rsid w:val="00C53AD6"/>
    <w:rsid w:val="00C53AFF"/>
    <w:rsid w:val="00C53B00"/>
    <w:rsid w:val="00C53B4F"/>
    <w:rsid w:val="00C53BA3"/>
    <w:rsid w:val="00C53BA5"/>
    <w:rsid w:val="00C53BB8"/>
    <w:rsid w:val="00C53C5D"/>
    <w:rsid w:val="00C53C87"/>
    <w:rsid w:val="00C53C8F"/>
    <w:rsid w:val="00C53C9D"/>
    <w:rsid w:val="00C53CDB"/>
    <w:rsid w:val="00C53CF7"/>
    <w:rsid w:val="00C53DAB"/>
    <w:rsid w:val="00C53E5D"/>
    <w:rsid w:val="00C53E82"/>
    <w:rsid w:val="00C53E8A"/>
    <w:rsid w:val="00C53EAF"/>
    <w:rsid w:val="00C53EC1"/>
    <w:rsid w:val="00C53EC9"/>
    <w:rsid w:val="00C53F6C"/>
    <w:rsid w:val="00C53FB1"/>
    <w:rsid w:val="00C53FE0"/>
    <w:rsid w:val="00C53FFE"/>
    <w:rsid w:val="00C5402C"/>
    <w:rsid w:val="00C5407B"/>
    <w:rsid w:val="00C54085"/>
    <w:rsid w:val="00C540C7"/>
    <w:rsid w:val="00C54132"/>
    <w:rsid w:val="00C54149"/>
    <w:rsid w:val="00C54151"/>
    <w:rsid w:val="00C54169"/>
    <w:rsid w:val="00C5418F"/>
    <w:rsid w:val="00C541E1"/>
    <w:rsid w:val="00C5422B"/>
    <w:rsid w:val="00C54241"/>
    <w:rsid w:val="00C54249"/>
    <w:rsid w:val="00C54264"/>
    <w:rsid w:val="00C54267"/>
    <w:rsid w:val="00C543B1"/>
    <w:rsid w:val="00C543F1"/>
    <w:rsid w:val="00C544A0"/>
    <w:rsid w:val="00C544B5"/>
    <w:rsid w:val="00C54511"/>
    <w:rsid w:val="00C545BD"/>
    <w:rsid w:val="00C545C9"/>
    <w:rsid w:val="00C54604"/>
    <w:rsid w:val="00C5461C"/>
    <w:rsid w:val="00C54646"/>
    <w:rsid w:val="00C54767"/>
    <w:rsid w:val="00C5476B"/>
    <w:rsid w:val="00C54788"/>
    <w:rsid w:val="00C54793"/>
    <w:rsid w:val="00C54798"/>
    <w:rsid w:val="00C547F3"/>
    <w:rsid w:val="00C54839"/>
    <w:rsid w:val="00C5483D"/>
    <w:rsid w:val="00C54853"/>
    <w:rsid w:val="00C54864"/>
    <w:rsid w:val="00C548A5"/>
    <w:rsid w:val="00C54914"/>
    <w:rsid w:val="00C5492C"/>
    <w:rsid w:val="00C5494E"/>
    <w:rsid w:val="00C5496F"/>
    <w:rsid w:val="00C54993"/>
    <w:rsid w:val="00C5499B"/>
    <w:rsid w:val="00C54A01"/>
    <w:rsid w:val="00C54A37"/>
    <w:rsid w:val="00C54A75"/>
    <w:rsid w:val="00C54ABC"/>
    <w:rsid w:val="00C54ABD"/>
    <w:rsid w:val="00C54AC2"/>
    <w:rsid w:val="00C54AF4"/>
    <w:rsid w:val="00C54AF7"/>
    <w:rsid w:val="00C54B24"/>
    <w:rsid w:val="00C54B89"/>
    <w:rsid w:val="00C54B93"/>
    <w:rsid w:val="00C54B9E"/>
    <w:rsid w:val="00C54BCF"/>
    <w:rsid w:val="00C54C57"/>
    <w:rsid w:val="00C54C5A"/>
    <w:rsid w:val="00C54CA8"/>
    <w:rsid w:val="00C54CDC"/>
    <w:rsid w:val="00C54D90"/>
    <w:rsid w:val="00C54E58"/>
    <w:rsid w:val="00C54EB1"/>
    <w:rsid w:val="00C54EB2"/>
    <w:rsid w:val="00C54EBB"/>
    <w:rsid w:val="00C54ED3"/>
    <w:rsid w:val="00C54EDB"/>
    <w:rsid w:val="00C54EFB"/>
    <w:rsid w:val="00C54FD9"/>
    <w:rsid w:val="00C54FE1"/>
    <w:rsid w:val="00C550AA"/>
    <w:rsid w:val="00C550AF"/>
    <w:rsid w:val="00C550BB"/>
    <w:rsid w:val="00C55105"/>
    <w:rsid w:val="00C55173"/>
    <w:rsid w:val="00C55195"/>
    <w:rsid w:val="00C551C2"/>
    <w:rsid w:val="00C551CE"/>
    <w:rsid w:val="00C551FD"/>
    <w:rsid w:val="00C5523A"/>
    <w:rsid w:val="00C5525C"/>
    <w:rsid w:val="00C55266"/>
    <w:rsid w:val="00C55269"/>
    <w:rsid w:val="00C552BA"/>
    <w:rsid w:val="00C55323"/>
    <w:rsid w:val="00C55330"/>
    <w:rsid w:val="00C55342"/>
    <w:rsid w:val="00C553AA"/>
    <w:rsid w:val="00C553BA"/>
    <w:rsid w:val="00C553D3"/>
    <w:rsid w:val="00C55452"/>
    <w:rsid w:val="00C55496"/>
    <w:rsid w:val="00C554A5"/>
    <w:rsid w:val="00C554D4"/>
    <w:rsid w:val="00C55503"/>
    <w:rsid w:val="00C55511"/>
    <w:rsid w:val="00C55520"/>
    <w:rsid w:val="00C55527"/>
    <w:rsid w:val="00C55531"/>
    <w:rsid w:val="00C5555B"/>
    <w:rsid w:val="00C5557E"/>
    <w:rsid w:val="00C5557F"/>
    <w:rsid w:val="00C555CA"/>
    <w:rsid w:val="00C55601"/>
    <w:rsid w:val="00C55638"/>
    <w:rsid w:val="00C5563C"/>
    <w:rsid w:val="00C5564D"/>
    <w:rsid w:val="00C5569B"/>
    <w:rsid w:val="00C556C7"/>
    <w:rsid w:val="00C556FC"/>
    <w:rsid w:val="00C55795"/>
    <w:rsid w:val="00C557E5"/>
    <w:rsid w:val="00C557F4"/>
    <w:rsid w:val="00C5588A"/>
    <w:rsid w:val="00C558A1"/>
    <w:rsid w:val="00C558B3"/>
    <w:rsid w:val="00C55907"/>
    <w:rsid w:val="00C55975"/>
    <w:rsid w:val="00C559FE"/>
    <w:rsid w:val="00C55A1A"/>
    <w:rsid w:val="00C55A2C"/>
    <w:rsid w:val="00C55A34"/>
    <w:rsid w:val="00C55A3B"/>
    <w:rsid w:val="00C55A51"/>
    <w:rsid w:val="00C55A7C"/>
    <w:rsid w:val="00C55A7E"/>
    <w:rsid w:val="00C55B01"/>
    <w:rsid w:val="00C55B2E"/>
    <w:rsid w:val="00C55B8A"/>
    <w:rsid w:val="00C55BCC"/>
    <w:rsid w:val="00C55BF7"/>
    <w:rsid w:val="00C55C11"/>
    <w:rsid w:val="00C55C22"/>
    <w:rsid w:val="00C55CA0"/>
    <w:rsid w:val="00C55CF6"/>
    <w:rsid w:val="00C55D1F"/>
    <w:rsid w:val="00C55D28"/>
    <w:rsid w:val="00C55D72"/>
    <w:rsid w:val="00C55D89"/>
    <w:rsid w:val="00C55DBC"/>
    <w:rsid w:val="00C55DC4"/>
    <w:rsid w:val="00C55DC7"/>
    <w:rsid w:val="00C55E98"/>
    <w:rsid w:val="00C55EC2"/>
    <w:rsid w:val="00C5603D"/>
    <w:rsid w:val="00C5604D"/>
    <w:rsid w:val="00C56070"/>
    <w:rsid w:val="00C56090"/>
    <w:rsid w:val="00C56135"/>
    <w:rsid w:val="00C56153"/>
    <w:rsid w:val="00C5615B"/>
    <w:rsid w:val="00C561C1"/>
    <w:rsid w:val="00C561F4"/>
    <w:rsid w:val="00C56230"/>
    <w:rsid w:val="00C56288"/>
    <w:rsid w:val="00C562CB"/>
    <w:rsid w:val="00C56349"/>
    <w:rsid w:val="00C5635D"/>
    <w:rsid w:val="00C5636D"/>
    <w:rsid w:val="00C5637C"/>
    <w:rsid w:val="00C563B2"/>
    <w:rsid w:val="00C563C1"/>
    <w:rsid w:val="00C563F4"/>
    <w:rsid w:val="00C5649F"/>
    <w:rsid w:val="00C56522"/>
    <w:rsid w:val="00C5656C"/>
    <w:rsid w:val="00C565E0"/>
    <w:rsid w:val="00C565FD"/>
    <w:rsid w:val="00C56626"/>
    <w:rsid w:val="00C56643"/>
    <w:rsid w:val="00C566A2"/>
    <w:rsid w:val="00C56713"/>
    <w:rsid w:val="00C56720"/>
    <w:rsid w:val="00C56734"/>
    <w:rsid w:val="00C567C8"/>
    <w:rsid w:val="00C567E2"/>
    <w:rsid w:val="00C567FA"/>
    <w:rsid w:val="00C56809"/>
    <w:rsid w:val="00C56833"/>
    <w:rsid w:val="00C56865"/>
    <w:rsid w:val="00C5687A"/>
    <w:rsid w:val="00C56889"/>
    <w:rsid w:val="00C568B8"/>
    <w:rsid w:val="00C5694E"/>
    <w:rsid w:val="00C56984"/>
    <w:rsid w:val="00C5698A"/>
    <w:rsid w:val="00C56991"/>
    <w:rsid w:val="00C56A90"/>
    <w:rsid w:val="00C56A91"/>
    <w:rsid w:val="00C56ABE"/>
    <w:rsid w:val="00C56ACB"/>
    <w:rsid w:val="00C56AD1"/>
    <w:rsid w:val="00C56AE3"/>
    <w:rsid w:val="00C56BBE"/>
    <w:rsid w:val="00C56C1E"/>
    <w:rsid w:val="00C56C1F"/>
    <w:rsid w:val="00C56C49"/>
    <w:rsid w:val="00C56CA4"/>
    <w:rsid w:val="00C56CC4"/>
    <w:rsid w:val="00C56CFF"/>
    <w:rsid w:val="00C56D04"/>
    <w:rsid w:val="00C56D08"/>
    <w:rsid w:val="00C56D2A"/>
    <w:rsid w:val="00C56D2C"/>
    <w:rsid w:val="00C56E07"/>
    <w:rsid w:val="00C56E79"/>
    <w:rsid w:val="00C56E9E"/>
    <w:rsid w:val="00C56F7E"/>
    <w:rsid w:val="00C56FBC"/>
    <w:rsid w:val="00C57036"/>
    <w:rsid w:val="00C570D6"/>
    <w:rsid w:val="00C57125"/>
    <w:rsid w:val="00C57163"/>
    <w:rsid w:val="00C571AB"/>
    <w:rsid w:val="00C57202"/>
    <w:rsid w:val="00C57214"/>
    <w:rsid w:val="00C57232"/>
    <w:rsid w:val="00C5726A"/>
    <w:rsid w:val="00C57271"/>
    <w:rsid w:val="00C57314"/>
    <w:rsid w:val="00C57323"/>
    <w:rsid w:val="00C5733F"/>
    <w:rsid w:val="00C5737B"/>
    <w:rsid w:val="00C57392"/>
    <w:rsid w:val="00C573A0"/>
    <w:rsid w:val="00C573E8"/>
    <w:rsid w:val="00C573EB"/>
    <w:rsid w:val="00C5741F"/>
    <w:rsid w:val="00C57473"/>
    <w:rsid w:val="00C574B3"/>
    <w:rsid w:val="00C57514"/>
    <w:rsid w:val="00C5757C"/>
    <w:rsid w:val="00C5759A"/>
    <w:rsid w:val="00C575FB"/>
    <w:rsid w:val="00C5763F"/>
    <w:rsid w:val="00C57680"/>
    <w:rsid w:val="00C57698"/>
    <w:rsid w:val="00C57705"/>
    <w:rsid w:val="00C5774B"/>
    <w:rsid w:val="00C5777D"/>
    <w:rsid w:val="00C577EF"/>
    <w:rsid w:val="00C577FF"/>
    <w:rsid w:val="00C57811"/>
    <w:rsid w:val="00C5783C"/>
    <w:rsid w:val="00C57863"/>
    <w:rsid w:val="00C57898"/>
    <w:rsid w:val="00C578B7"/>
    <w:rsid w:val="00C579E8"/>
    <w:rsid w:val="00C579F4"/>
    <w:rsid w:val="00C579FC"/>
    <w:rsid w:val="00C57A14"/>
    <w:rsid w:val="00C57A29"/>
    <w:rsid w:val="00C57A5A"/>
    <w:rsid w:val="00C57AB3"/>
    <w:rsid w:val="00C57ADB"/>
    <w:rsid w:val="00C57B10"/>
    <w:rsid w:val="00C57B93"/>
    <w:rsid w:val="00C57BBE"/>
    <w:rsid w:val="00C57C15"/>
    <w:rsid w:val="00C57C36"/>
    <w:rsid w:val="00C57C74"/>
    <w:rsid w:val="00C57C80"/>
    <w:rsid w:val="00C57C86"/>
    <w:rsid w:val="00C57CA9"/>
    <w:rsid w:val="00C57CEE"/>
    <w:rsid w:val="00C57D22"/>
    <w:rsid w:val="00C57D51"/>
    <w:rsid w:val="00C57D6E"/>
    <w:rsid w:val="00C57D97"/>
    <w:rsid w:val="00C57DBF"/>
    <w:rsid w:val="00C57DD6"/>
    <w:rsid w:val="00C57DD8"/>
    <w:rsid w:val="00C57E0B"/>
    <w:rsid w:val="00C57E31"/>
    <w:rsid w:val="00C57E4E"/>
    <w:rsid w:val="00C57E52"/>
    <w:rsid w:val="00C57E5E"/>
    <w:rsid w:val="00C57E93"/>
    <w:rsid w:val="00C57EB0"/>
    <w:rsid w:val="00C57F1B"/>
    <w:rsid w:val="00C57F47"/>
    <w:rsid w:val="00C57F62"/>
    <w:rsid w:val="00C57F80"/>
    <w:rsid w:val="00C57F9C"/>
    <w:rsid w:val="00C57FB3"/>
    <w:rsid w:val="00C57FC8"/>
    <w:rsid w:val="00C57FD4"/>
    <w:rsid w:val="00C57FDD"/>
    <w:rsid w:val="00C57FEC"/>
    <w:rsid w:val="00C58B5E"/>
    <w:rsid w:val="00C60070"/>
    <w:rsid w:val="00C600D3"/>
    <w:rsid w:val="00C6014D"/>
    <w:rsid w:val="00C60164"/>
    <w:rsid w:val="00C6017C"/>
    <w:rsid w:val="00C601C5"/>
    <w:rsid w:val="00C601C9"/>
    <w:rsid w:val="00C601EA"/>
    <w:rsid w:val="00C60201"/>
    <w:rsid w:val="00C60209"/>
    <w:rsid w:val="00C602BF"/>
    <w:rsid w:val="00C60320"/>
    <w:rsid w:val="00C6032B"/>
    <w:rsid w:val="00C6034F"/>
    <w:rsid w:val="00C60368"/>
    <w:rsid w:val="00C603F1"/>
    <w:rsid w:val="00C60407"/>
    <w:rsid w:val="00C6047E"/>
    <w:rsid w:val="00C6048F"/>
    <w:rsid w:val="00C60496"/>
    <w:rsid w:val="00C604AB"/>
    <w:rsid w:val="00C604AF"/>
    <w:rsid w:val="00C604B8"/>
    <w:rsid w:val="00C604CD"/>
    <w:rsid w:val="00C604DE"/>
    <w:rsid w:val="00C60526"/>
    <w:rsid w:val="00C60532"/>
    <w:rsid w:val="00C60579"/>
    <w:rsid w:val="00C6058B"/>
    <w:rsid w:val="00C60593"/>
    <w:rsid w:val="00C605E6"/>
    <w:rsid w:val="00C605F9"/>
    <w:rsid w:val="00C6064C"/>
    <w:rsid w:val="00C60668"/>
    <w:rsid w:val="00C60705"/>
    <w:rsid w:val="00C6078F"/>
    <w:rsid w:val="00C60798"/>
    <w:rsid w:val="00C6082F"/>
    <w:rsid w:val="00C60851"/>
    <w:rsid w:val="00C6086A"/>
    <w:rsid w:val="00C6086C"/>
    <w:rsid w:val="00C60944"/>
    <w:rsid w:val="00C60A57"/>
    <w:rsid w:val="00C60AAF"/>
    <w:rsid w:val="00C60AD4"/>
    <w:rsid w:val="00C60B14"/>
    <w:rsid w:val="00C60B2B"/>
    <w:rsid w:val="00C60B3E"/>
    <w:rsid w:val="00C60B51"/>
    <w:rsid w:val="00C60BE0"/>
    <w:rsid w:val="00C60C50"/>
    <w:rsid w:val="00C60CB9"/>
    <w:rsid w:val="00C60D71"/>
    <w:rsid w:val="00C60DFA"/>
    <w:rsid w:val="00C60DFB"/>
    <w:rsid w:val="00C60EAE"/>
    <w:rsid w:val="00C6103E"/>
    <w:rsid w:val="00C6107B"/>
    <w:rsid w:val="00C61092"/>
    <w:rsid w:val="00C61099"/>
    <w:rsid w:val="00C610B2"/>
    <w:rsid w:val="00C61105"/>
    <w:rsid w:val="00C61107"/>
    <w:rsid w:val="00C6116D"/>
    <w:rsid w:val="00C611E4"/>
    <w:rsid w:val="00C611F0"/>
    <w:rsid w:val="00C612BA"/>
    <w:rsid w:val="00C612C2"/>
    <w:rsid w:val="00C61318"/>
    <w:rsid w:val="00C6131A"/>
    <w:rsid w:val="00C61324"/>
    <w:rsid w:val="00C6132C"/>
    <w:rsid w:val="00C61343"/>
    <w:rsid w:val="00C613D1"/>
    <w:rsid w:val="00C61496"/>
    <w:rsid w:val="00C614B1"/>
    <w:rsid w:val="00C614CA"/>
    <w:rsid w:val="00C61513"/>
    <w:rsid w:val="00C6154C"/>
    <w:rsid w:val="00C6156B"/>
    <w:rsid w:val="00C61616"/>
    <w:rsid w:val="00C6169B"/>
    <w:rsid w:val="00C616CF"/>
    <w:rsid w:val="00C61718"/>
    <w:rsid w:val="00C617AE"/>
    <w:rsid w:val="00C618EF"/>
    <w:rsid w:val="00C61965"/>
    <w:rsid w:val="00C61979"/>
    <w:rsid w:val="00C619C5"/>
    <w:rsid w:val="00C619D6"/>
    <w:rsid w:val="00C619F9"/>
    <w:rsid w:val="00C61A46"/>
    <w:rsid w:val="00C61A70"/>
    <w:rsid w:val="00C61A9F"/>
    <w:rsid w:val="00C61AC9"/>
    <w:rsid w:val="00C61ADA"/>
    <w:rsid w:val="00C61ADF"/>
    <w:rsid w:val="00C61AFE"/>
    <w:rsid w:val="00C61B6E"/>
    <w:rsid w:val="00C61BD0"/>
    <w:rsid w:val="00C61BD3"/>
    <w:rsid w:val="00C61BE1"/>
    <w:rsid w:val="00C61C6B"/>
    <w:rsid w:val="00C61C94"/>
    <w:rsid w:val="00C61D5D"/>
    <w:rsid w:val="00C61DA7"/>
    <w:rsid w:val="00C61DB2"/>
    <w:rsid w:val="00C61DB4"/>
    <w:rsid w:val="00C61DD5"/>
    <w:rsid w:val="00C61DF5"/>
    <w:rsid w:val="00C61E9A"/>
    <w:rsid w:val="00C61ECD"/>
    <w:rsid w:val="00C61F10"/>
    <w:rsid w:val="00C61FA4"/>
    <w:rsid w:val="00C62003"/>
    <w:rsid w:val="00C62023"/>
    <w:rsid w:val="00C62061"/>
    <w:rsid w:val="00C62063"/>
    <w:rsid w:val="00C62091"/>
    <w:rsid w:val="00C620E9"/>
    <w:rsid w:val="00C62101"/>
    <w:rsid w:val="00C6210A"/>
    <w:rsid w:val="00C6211C"/>
    <w:rsid w:val="00C62139"/>
    <w:rsid w:val="00C621E4"/>
    <w:rsid w:val="00C621FB"/>
    <w:rsid w:val="00C62229"/>
    <w:rsid w:val="00C62250"/>
    <w:rsid w:val="00C62286"/>
    <w:rsid w:val="00C622EF"/>
    <w:rsid w:val="00C62304"/>
    <w:rsid w:val="00C62357"/>
    <w:rsid w:val="00C62368"/>
    <w:rsid w:val="00C6236E"/>
    <w:rsid w:val="00C62375"/>
    <w:rsid w:val="00C6242C"/>
    <w:rsid w:val="00C62467"/>
    <w:rsid w:val="00C62496"/>
    <w:rsid w:val="00C624A1"/>
    <w:rsid w:val="00C624B7"/>
    <w:rsid w:val="00C62502"/>
    <w:rsid w:val="00C62517"/>
    <w:rsid w:val="00C6254C"/>
    <w:rsid w:val="00C62567"/>
    <w:rsid w:val="00C62615"/>
    <w:rsid w:val="00C6261B"/>
    <w:rsid w:val="00C6262C"/>
    <w:rsid w:val="00C6264C"/>
    <w:rsid w:val="00C6265A"/>
    <w:rsid w:val="00C62660"/>
    <w:rsid w:val="00C626A3"/>
    <w:rsid w:val="00C626AF"/>
    <w:rsid w:val="00C626B2"/>
    <w:rsid w:val="00C626DC"/>
    <w:rsid w:val="00C62735"/>
    <w:rsid w:val="00C62758"/>
    <w:rsid w:val="00C6275B"/>
    <w:rsid w:val="00C62777"/>
    <w:rsid w:val="00C627A3"/>
    <w:rsid w:val="00C627AF"/>
    <w:rsid w:val="00C627B0"/>
    <w:rsid w:val="00C627DC"/>
    <w:rsid w:val="00C6280E"/>
    <w:rsid w:val="00C62892"/>
    <w:rsid w:val="00C628C1"/>
    <w:rsid w:val="00C6293D"/>
    <w:rsid w:val="00C62A0F"/>
    <w:rsid w:val="00C62A8A"/>
    <w:rsid w:val="00C62AE3"/>
    <w:rsid w:val="00C62AE5"/>
    <w:rsid w:val="00C62BC9"/>
    <w:rsid w:val="00C62BFF"/>
    <w:rsid w:val="00C62C16"/>
    <w:rsid w:val="00C62C5F"/>
    <w:rsid w:val="00C62C64"/>
    <w:rsid w:val="00C62C68"/>
    <w:rsid w:val="00C62CA9"/>
    <w:rsid w:val="00C62CE0"/>
    <w:rsid w:val="00C62CF1"/>
    <w:rsid w:val="00C62D0B"/>
    <w:rsid w:val="00C62D3D"/>
    <w:rsid w:val="00C62D5F"/>
    <w:rsid w:val="00C62D74"/>
    <w:rsid w:val="00C62DC1"/>
    <w:rsid w:val="00C62DC6"/>
    <w:rsid w:val="00C62DD1"/>
    <w:rsid w:val="00C62E02"/>
    <w:rsid w:val="00C62E88"/>
    <w:rsid w:val="00C62ED2"/>
    <w:rsid w:val="00C62F32"/>
    <w:rsid w:val="00C62F80"/>
    <w:rsid w:val="00C62F8F"/>
    <w:rsid w:val="00C63002"/>
    <w:rsid w:val="00C6309B"/>
    <w:rsid w:val="00C630E9"/>
    <w:rsid w:val="00C63128"/>
    <w:rsid w:val="00C63163"/>
    <w:rsid w:val="00C631D4"/>
    <w:rsid w:val="00C632D4"/>
    <w:rsid w:val="00C632DB"/>
    <w:rsid w:val="00C632FD"/>
    <w:rsid w:val="00C63318"/>
    <w:rsid w:val="00C63358"/>
    <w:rsid w:val="00C63362"/>
    <w:rsid w:val="00C6339B"/>
    <w:rsid w:val="00C633CB"/>
    <w:rsid w:val="00C633D8"/>
    <w:rsid w:val="00C6345A"/>
    <w:rsid w:val="00C63471"/>
    <w:rsid w:val="00C63479"/>
    <w:rsid w:val="00C63492"/>
    <w:rsid w:val="00C6358A"/>
    <w:rsid w:val="00C635A6"/>
    <w:rsid w:val="00C635BD"/>
    <w:rsid w:val="00C635C6"/>
    <w:rsid w:val="00C635EB"/>
    <w:rsid w:val="00C6360D"/>
    <w:rsid w:val="00C63620"/>
    <w:rsid w:val="00C6364D"/>
    <w:rsid w:val="00C636C5"/>
    <w:rsid w:val="00C636F6"/>
    <w:rsid w:val="00C63712"/>
    <w:rsid w:val="00C63714"/>
    <w:rsid w:val="00C6373E"/>
    <w:rsid w:val="00C6385E"/>
    <w:rsid w:val="00C638AF"/>
    <w:rsid w:val="00C638C8"/>
    <w:rsid w:val="00C638EC"/>
    <w:rsid w:val="00C638F6"/>
    <w:rsid w:val="00C63947"/>
    <w:rsid w:val="00C63979"/>
    <w:rsid w:val="00C63A3D"/>
    <w:rsid w:val="00C63AC2"/>
    <w:rsid w:val="00C63AD5"/>
    <w:rsid w:val="00C63AF1"/>
    <w:rsid w:val="00C63B37"/>
    <w:rsid w:val="00C63B52"/>
    <w:rsid w:val="00C63B94"/>
    <w:rsid w:val="00C63BCE"/>
    <w:rsid w:val="00C63BD5"/>
    <w:rsid w:val="00C63C44"/>
    <w:rsid w:val="00C63D13"/>
    <w:rsid w:val="00C63D3E"/>
    <w:rsid w:val="00C63D53"/>
    <w:rsid w:val="00C63D88"/>
    <w:rsid w:val="00C63D90"/>
    <w:rsid w:val="00C63DCE"/>
    <w:rsid w:val="00C63DE4"/>
    <w:rsid w:val="00C63DF8"/>
    <w:rsid w:val="00C63E32"/>
    <w:rsid w:val="00C63E98"/>
    <w:rsid w:val="00C63E9C"/>
    <w:rsid w:val="00C63EDB"/>
    <w:rsid w:val="00C63F88"/>
    <w:rsid w:val="00C63FBA"/>
    <w:rsid w:val="00C63FD1"/>
    <w:rsid w:val="00C63FD4"/>
    <w:rsid w:val="00C63FDC"/>
    <w:rsid w:val="00C63FF2"/>
    <w:rsid w:val="00C640FF"/>
    <w:rsid w:val="00C64136"/>
    <w:rsid w:val="00C64151"/>
    <w:rsid w:val="00C64163"/>
    <w:rsid w:val="00C641E8"/>
    <w:rsid w:val="00C64218"/>
    <w:rsid w:val="00C64273"/>
    <w:rsid w:val="00C64324"/>
    <w:rsid w:val="00C643BE"/>
    <w:rsid w:val="00C6452D"/>
    <w:rsid w:val="00C64541"/>
    <w:rsid w:val="00C64545"/>
    <w:rsid w:val="00C6454E"/>
    <w:rsid w:val="00C64552"/>
    <w:rsid w:val="00C6456F"/>
    <w:rsid w:val="00C64585"/>
    <w:rsid w:val="00C645F7"/>
    <w:rsid w:val="00C64697"/>
    <w:rsid w:val="00C646C6"/>
    <w:rsid w:val="00C646C7"/>
    <w:rsid w:val="00C646CB"/>
    <w:rsid w:val="00C646D7"/>
    <w:rsid w:val="00C64730"/>
    <w:rsid w:val="00C6473C"/>
    <w:rsid w:val="00C64755"/>
    <w:rsid w:val="00C6476F"/>
    <w:rsid w:val="00C6481D"/>
    <w:rsid w:val="00C64885"/>
    <w:rsid w:val="00C6488B"/>
    <w:rsid w:val="00C6488E"/>
    <w:rsid w:val="00C648AA"/>
    <w:rsid w:val="00C648FD"/>
    <w:rsid w:val="00C64912"/>
    <w:rsid w:val="00C64960"/>
    <w:rsid w:val="00C64A06"/>
    <w:rsid w:val="00C64AA6"/>
    <w:rsid w:val="00C64B07"/>
    <w:rsid w:val="00C64BB2"/>
    <w:rsid w:val="00C64C71"/>
    <w:rsid w:val="00C64D15"/>
    <w:rsid w:val="00C64D21"/>
    <w:rsid w:val="00C64D43"/>
    <w:rsid w:val="00C64D7D"/>
    <w:rsid w:val="00C64DA2"/>
    <w:rsid w:val="00C64E25"/>
    <w:rsid w:val="00C64E2D"/>
    <w:rsid w:val="00C64E2F"/>
    <w:rsid w:val="00C64EC5"/>
    <w:rsid w:val="00C64EE2"/>
    <w:rsid w:val="00C64FF9"/>
    <w:rsid w:val="00C64FFB"/>
    <w:rsid w:val="00C65000"/>
    <w:rsid w:val="00C65002"/>
    <w:rsid w:val="00C65081"/>
    <w:rsid w:val="00C650A1"/>
    <w:rsid w:val="00C650C5"/>
    <w:rsid w:val="00C650ED"/>
    <w:rsid w:val="00C6510C"/>
    <w:rsid w:val="00C65126"/>
    <w:rsid w:val="00C65129"/>
    <w:rsid w:val="00C65171"/>
    <w:rsid w:val="00C651A8"/>
    <w:rsid w:val="00C651C5"/>
    <w:rsid w:val="00C651D3"/>
    <w:rsid w:val="00C65296"/>
    <w:rsid w:val="00C652A0"/>
    <w:rsid w:val="00C65329"/>
    <w:rsid w:val="00C65349"/>
    <w:rsid w:val="00C6536C"/>
    <w:rsid w:val="00C653E2"/>
    <w:rsid w:val="00C65434"/>
    <w:rsid w:val="00C654DE"/>
    <w:rsid w:val="00C654F9"/>
    <w:rsid w:val="00C65551"/>
    <w:rsid w:val="00C655AB"/>
    <w:rsid w:val="00C6560C"/>
    <w:rsid w:val="00C65611"/>
    <w:rsid w:val="00C65613"/>
    <w:rsid w:val="00C65746"/>
    <w:rsid w:val="00C6574E"/>
    <w:rsid w:val="00C65752"/>
    <w:rsid w:val="00C65794"/>
    <w:rsid w:val="00C657B2"/>
    <w:rsid w:val="00C657DA"/>
    <w:rsid w:val="00C657E4"/>
    <w:rsid w:val="00C657F0"/>
    <w:rsid w:val="00C657F2"/>
    <w:rsid w:val="00C6582F"/>
    <w:rsid w:val="00C65847"/>
    <w:rsid w:val="00C658A3"/>
    <w:rsid w:val="00C658C1"/>
    <w:rsid w:val="00C658D8"/>
    <w:rsid w:val="00C658EA"/>
    <w:rsid w:val="00C65914"/>
    <w:rsid w:val="00C659F7"/>
    <w:rsid w:val="00C659F8"/>
    <w:rsid w:val="00C65A48"/>
    <w:rsid w:val="00C65A59"/>
    <w:rsid w:val="00C65A80"/>
    <w:rsid w:val="00C65A9E"/>
    <w:rsid w:val="00C65AFB"/>
    <w:rsid w:val="00C65B00"/>
    <w:rsid w:val="00C65B39"/>
    <w:rsid w:val="00C65B3B"/>
    <w:rsid w:val="00C65B46"/>
    <w:rsid w:val="00C65B5E"/>
    <w:rsid w:val="00C65B99"/>
    <w:rsid w:val="00C65BB5"/>
    <w:rsid w:val="00C65C05"/>
    <w:rsid w:val="00C65C33"/>
    <w:rsid w:val="00C65C77"/>
    <w:rsid w:val="00C65C89"/>
    <w:rsid w:val="00C65CC4"/>
    <w:rsid w:val="00C65D0E"/>
    <w:rsid w:val="00C65D0F"/>
    <w:rsid w:val="00C65D34"/>
    <w:rsid w:val="00C65D61"/>
    <w:rsid w:val="00C65D95"/>
    <w:rsid w:val="00C65DDE"/>
    <w:rsid w:val="00C65DE8"/>
    <w:rsid w:val="00C65E95"/>
    <w:rsid w:val="00C65F4C"/>
    <w:rsid w:val="00C65F74"/>
    <w:rsid w:val="00C65F77"/>
    <w:rsid w:val="00C65FAA"/>
    <w:rsid w:val="00C65FC0"/>
    <w:rsid w:val="00C65FC2"/>
    <w:rsid w:val="00C66007"/>
    <w:rsid w:val="00C66037"/>
    <w:rsid w:val="00C6604A"/>
    <w:rsid w:val="00C6610A"/>
    <w:rsid w:val="00C66126"/>
    <w:rsid w:val="00C66161"/>
    <w:rsid w:val="00C6621D"/>
    <w:rsid w:val="00C66280"/>
    <w:rsid w:val="00C66289"/>
    <w:rsid w:val="00C662AA"/>
    <w:rsid w:val="00C662BF"/>
    <w:rsid w:val="00C6631F"/>
    <w:rsid w:val="00C6635A"/>
    <w:rsid w:val="00C66363"/>
    <w:rsid w:val="00C66416"/>
    <w:rsid w:val="00C664BA"/>
    <w:rsid w:val="00C664FE"/>
    <w:rsid w:val="00C6655E"/>
    <w:rsid w:val="00C6657D"/>
    <w:rsid w:val="00C6658D"/>
    <w:rsid w:val="00C665C1"/>
    <w:rsid w:val="00C665DE"/>
    <w:rsid w:val="00C6662C"/>
    <w:rsid w:val="00C666A8"/>
    <w:rsid w:val="00C666AF"/>
    <w:rsid w:val="00C666B3"/>
    <w:rsid w:val="00C666D7"/>
    <w:rsid w:val="00C66760"/>
    <w:rsid w:val="00C6676F"/>
    <w:rsid w:val="00C667E2"/>
    <w:rsid w:val="00C668A7"/>
    <w:rsid w:val="00C668BF"/>
    <w:rsid w:val="00C668E0"/>
    <w:rsid w:val="00C668FB"/>
    <w:rsid w:val="00C66976"/>
    <w:rsid w:val="00C6699F"/>
    <w:rsid w:val="00C669AB"/>
    <w:rsid w:val="00C669CA"/>
    <w:rsid w:val="00C66A6A"/>
    <w:rsid w:val="00C66A6D"/>
    <w:rsid w:val="00C66ADD"/>
    <w:rsid w:val="00C66B03"/>
    <w:rsid w:val="00C66B32"/>
    <w:rsid w:val="00C66B5C"/>
    <w:rsid w:val="00C66C24"/>
    <w:rsid w:val="00C66CA8"/>
    <w:rsid w:val="00C66D00"/>
    <w:rsid w:val="00C66D4E"/>
    <w:rsid w:val="00C66DFB"/>
    <w:rsid w:val="00C66E39"/>
    <w:rsid w:val="00C66EE3"/>
    <w:rsid w:val="00C66EE4"/>
    <w:rsid w:val="00C66EFB"/>
    <w:rsid w:val="00C66F3B"/>
    <w:rsid w:val="00C66F77"/>
    <w:rsid w:val="00C66FDE"/>
    <w:rsid w:val="00C67021"/>
    <w:rsid w:val="00C67099"/>
    <w:rsid w:val="00C67116"/>
    <w:rsid w:val="00C6716C"/>
    <w:rsid w:val="00C67191"/>
    <w:rsid w:val="00C671BD"/>
    <w:rsid w:val="00C6722B"/>
    <w:rsid w:val="00C6724E"/>
    <w:rsid w:val="00C67260"/>
    <w:rsid w:val="00C67286"/>
    <w:rsid w:val="00C672CB"/>
    <w:rsid w:val="00C67328"/>
    <w:rsid w:val="00C6732A"/>
    <w:rsid w:val="00C673B9"/>
    <w:rsid w:val="00C673D8"/>
    <w:rsid w:val="00C6749F"/>
    <w:rsid w:val="00C674C8"/>
    <w:rsid w:val="00C67538"/>
    <w:rsid w:val="00C675B9"/>
    <w:rsid w:val="00C6766B"/>
    <w:rsid w:val="00C67675"/>
    <w:rsid w:val="00C67686"/>
    <w:rsid w:val="00C67710"/>
    <w:rsid w:val="00C67793"/>
    <w:rsid w:val="00C677AE"/>
    <w:rsid w:val="00C677B2"/>
    <w:rsid w:val="00C6786F"/>
    <w:rsid w:val="00C67880"/>
    <w:rsid w:val="00C67886"/>
    <w:rsid w:val="00C67891"/>
    <w:rsid w:val="00C678EA"/>
    <w:rsid w:val="00C67907"/>
    <w:rsid w:val="00C679AA"/>
    <w:rsid w:val="00C679D4"/>
    <w:rsid w:val="00C67A22"/>
    <w:rsid w:val="00C67A3E"/>
    <w:rsid w:val="00C67A48"/>
    <w:rsid w:val="00C67A56"/>
    <w:rsid w:val="00C67AB5"/>
    <w:rsid w:val="00C67AC4"/>
    <w:rsid w:val="00C67B52"/>
    <w:rsid w:val="00C67B57"/>
    <w:rsid w:val="00C67B5B"/>
    <w:rsid w:val="00C67B64"/>
    <w:rsid w:val="00C67B73"/>
    <w:rsid w:val="00C67B7E"/>
    <w:rsid w:val="00C67B90"/>
    <w:rsid w:val="00C67BAD"/>
    <w:rsid w:val="00C67BB7"/>
    <w:rsid w:val="00C67BC2"/>
    <w:rsid w:val="00C67C02"/>
    <w:rsid w:val="00C67C11"/>
    <w:rsid w:val="00C67C68"/>
    <w:rsid w:val="00C67C76"/>
    <w:rsid w:val="00C67D1A"/>
    <w:rsid w:val="00C67D2B"/>
    <w:rsid w:val="00C67D60"/>
    <w:rsid w:val="00C67DBB"/>
    <w:rsid w:val="00C67E61"/>
    <w:rsid w:val="00C67F4A"/>
    <w:rsid w:val="00C67F6D"/>
    <w:rsid w:val="00C70009"/>
    <w:rsid w:val="00C7007F"/>
    <w:rsid w:val="00C700A2"/>
    <w:rsid w:val="00C700F6"/>
    <w:rsid w:val="00C70104"/>
    <w:rsid w:val="00C70127"/>
    <w:rsid w:val="00C7015C"/>
    <w:rsid w:val="00C70173"/>
    <w:rsid w:val="00C702BB"/>
    <w:rsid w:val="00C702C2"/>
    <w:rsid w:val="00C702C9"/>
    <w:rsid w:val="00C70310"/>
    <w:rsid w:val="00C70359"/>
    <w:rsid w:val="00C703D5"/>
    <w:rsid w:val="00C703F9"/>
    <w:rsid w:val="00C7045C"/>
    <w:rsid w:val="00C70478"/>
    <w:rsid w:val="00C7049C"/>
    <w:rsid w:val="00C70509"/>
    <w:rsid w:val="00C70560"/>
    <w:rsid w:val="00C705F4"/>
    <w:rsid w:val="00C70654"/>
    <w:rsid w:val="00C7067C"/>
    <w:rsid w:val="00C7069F"/>
    <w:rsid w:val="00C706A3"/>
    <w:rsid w:val="00C706A9"/>
    <w:rsid w:val="00C706C3"/>
    <w:rsid w:val="00C706D0"/>
    <w:rsid w:val="00C706D1"/>
    <w:rsid w:val="00C70708"/>
    <w:rsid w:val="00C7071A"/>
    <w:rsid w:val="00C707A9"/>
    <w:rsid w:val="00C70809"/>
    <w:rsid w:val="00C70813"/>
    <w:rsid w:val="00C7082C"/>
    <w:rsid w:val="00C70844"/>
    <w:rsid w:val="00C708C3"/>
    <w:rsid w:val="00C708CC"/>
    <w:rsid w:val="00C708E4"/>
    <w:rsid w:val="00C7093B"/>
    <w:rsid w:val="00C70997"/>
    <w:rsid w:val="00C70A2E"/>
    <w:rsid w:val="00C70A54"/>
    <w:rsid w:val="00C70A7D"/>
    <w:rsid w:val="00C70A85"/>
    <w:rsid w:val="00C70A9C"/>
    <w:rsid w:val="00C70ABF"/>
    <w:rsid w:val="00C70AE2"/>
    <w:rsid w:val="00C70B02"/>
    <w:rsid w:val="00C70B05"/>
    <w:rsid w:val="00C70B2F"/>
    <w:rsid w:val="00C70BBC"/>
    <w:rsid w:val="00C70C01"/>
    <w:rsid w:val="00C70C17"/>
    <w:rsid w:val="00C70C19"/>
    <w:rsid w:val="00C70C95"/>
    <w:rsid w:val="00C70CCA"/>
    <w:rsid w:val="00C70CCB"/>
    <w:rsid w:val="00C70D3D"/>
    <w:rsid w:val="00C70D69"/>
    <w:rsid w:val="00C70D92"/>
    <w:rsid w:val="00C70D9F"/>
    <w:rsid w:val="00C70DE3"/>
    <w:rsid w:val="00C70E28"/>
    <w:rsid w:val="00C70E95"/>
    <w:rsid w:val="00C70EC0"/>
    <w:rsid w:val="00C70ED4"/>
    <w:rsid w:val="00C70F7A"/>
    <w:rsid w:val="00C70FA4"/>
    <w:rsid w:val="00C70FCE"/>
    <w:rsid w:val="00C70FFA"/>
    <w:rsid w:val="00C71080"/>
    <w:rsid w:val="00C71090"/>
    <w:rsid w:val="00C7109C"/>
    <w:rsid w:val="00C710B0"/>
    <w:rsid w:val="00C710BF"/>
    <w:rsid w:val="00C71126"/>
    <w:rsid w:val="00C7112D"/>
    <w:rsid w:val="00C71162"/>
    <w:rsid w:val="00C7117C"/>
    <w:rsid w:val="00C711AB"/>
    <w:rsid w:val="00C711CF"/>
    <w:rsid w:val="00C711E0"/>
    <w:rsid w:val="00C71256"/>
    <w:rsid w:val="00C712E2"/>
    <w:rsid w:val="00C71308"/>
    <w:rsid w:val="00C71320"/>
    <w:rsid w:val="00C71324"/>
    <w:rsid w:val="00C71351"/>
    <w:rsid w:val="00C7137E"/>
    <w:rsid w:val="00C713B9"/>
    <w:rsid w:val="00C713DC"/>
    <w:rsid w:val="00C713DF"/>
    <w:rsid w:val="00C7140D"/>
    <w:rsid w:val="00C7141A"/>
    <w:rsid w:val="00C7144C"/>
    <w:rsid w:val="00C71469"/>
    <w:rsid w:val="00C71488"/>
    <w:rsid w:val="00C714E8"/>
    <w:rsid w:val="00C71543"/>
    <w:rsid w:val="00C7156B"/>
    <w:rsid w:val="00C71574"/>
    <w:rsid w:val="00C71578"/>
    <w:rsid w:val="00C71580"/>
    <w:rsid w:val="00C715F8"/>
    <w:rsid w:val="00C71633"/>
    <w:rsid w:val="00C7168B"/>
    <w:rsid w:val="00C716BD"/>
    <w:rsid w:val="00C716C4"/>
    <w:rsid w:val="00C716C9"/>
    <w:rsid w:val="00C716E1"/>
    <w:rsid w:val="00C717AD"/>
    <w:rsid w:val="00C717C5"/>
    <w:rsid w:val="00C717F1"/>
    <w:rsid w:val="00C71845"/>
    <w:rsid w:val="00C7185B"/>
    <w:rsid w:val="00C71869"/>
    <w:rsid w:val="00C7186E"/>
    <w:rsid w:val="00C71893"/>
    <w:rsid w:val="00C7189E"/>
    <w:rsid w:val="00C71A04"/>
    <w:rsid w:val="00C71A28"/>
    <w:rsid w:val="00C71A56"/>
    <w:rsid w:val="00C71A80"/>
    <w:rsid w:val="00C71AE3"/>
    <w:rsid w:val="00C71B2C"/>
    <w:rsid w:val="00C71B3E"/>
    <w:rsid w:val="00C71B7C"/>
    <w:rsid w:val="00C71BA8"/>
    <w:rsid w:val="00C71BF6"/>
    <w:rsid w:val="00C71C5C"/>
    <w:rsid w:val="00C71C9F"/>
    <w:rsid w:val="00C71D5D"/>
    <w:rsid w:val="00C71DB0"/>
    <w:rsid w:val="00C71E4B"/>
    <w:rsid w:val="00C71E53"/>
    <w:rsid w:val="00C71E65"/>
    <w:rsid w:val="00C71E6F"/>
    <w:rsid w:val="00C71F6E"/>
    <w:rsid w:val="00C71F7E"/>
    <w:rsid w:val="00C71F81"/>
    <w:rsid w:val="00C71F8A"/>
    <w:rsid w:val="00C71FC7"/>
    <w:rsid w:val="00C71FEF"/>
    <w:rsid w:val="00C72046"/>
    <w:rsid w:val="00C720D0"/>
    <w:rsid w:val="00C720F8"/>
    <w:rsid w:val="00C72127"/>
    <w:rsid w:val="00C721B7"/>
    <w:rsid w:val="00C7224B"/>
    <w:rsid w:val="00C722B0"/>
    <w:rsid w:val="00C72343"/>
    <w:rsid w:val="00C7234E"/>
    <w:rsid w:val="00C72397"/>
    <w:rsid w:val="00C723DD"/>
    <w:rsid w:val="00C723DF"/>
    <w:rsid w:val="00C723FB"/>
    <w:rsid w:val="00C7240F"/>
    <w:rsid w:val="00C72430"/>
    <w:rsid w:val="00C724D5"/>
    <w:rsid w:val="00C724FB"/>
    <w:rsid w:val="00C72507"/>
    <w:rsid w:val="00C726BC"/>
    <w:rsid w:val="00C72758"/>
    <w:rsid w:val="00C72762"/>
    <w:rsid w:val="00C72781"/>
    <w:rsid w:val="00C72793"/>
    <w:rsid w:val="00C727B9"/>
    <w:rsid w:val="00C72837"/>
    <w:rsid w:val="00C72859"/>
    <w:rsid w:val="00C72A1A"/>
    <w:rsid w:val="00C72A34"/>
    <w:rsid w:val="00C72A35"/>
    <w:rsid w:val="00C72A57"/>
    <w:rsid w:val="00C72A6D"/>
    <w:rsid w:val="00C72A89"/>
    <w:rsid w:val="00C72AA2"/>
    <w:rsid w:val="00C72AAA"/>
    <w:rsid w:val="00C72AD9"/>
    <w:rsid w:val="00C72ADB"/>
    <w:rsid w:val="00C72ADE"/>
    <w:rsid w:val="00C72C7C"/>
    <w:rsid w:val="00C72CD8"/>
    <w:rsid w:val="00C72CE8"/>
    <w:rsid w:val="00C72D04"/>
    <w:rsid w:val="00C72D0A"/>
    <w:rsid w:val="00C72D1A"/>
    <w:rsid w:val="00C72D3F"/>
    <w:rsid w:val="00C72D88"/>
    <w:rsid w:val="00C72D98"/>
    <w:rsid w:val="00C72DAD"/>
    <w:rsid w:val="00C72DBD"/>
    <w:rsid w:val="00C72E32"/>
    <w:rsid w:val="00C72E4F"/>
    <w:rsid w:val="00C72EBB"/>
    <w:rsid w:val="00C72EC0"/>
    <w:rsid w:val="00C72EC5"/>
    <w:rsid w:val="00C72EC7"/>
    <w:rsid w:val="00C72ED7"/>
    <w:rsid w:val="00C72F01"/>
    <w:rsid w:val="00C72F88"/>
    <w:rsid w:val="00C72FFA"/>
    <w:rsid w:val="00C73001"/>
    <w:rsid w:val="00C73007"/>
    <w:rsid w:val="00C731A5"/>
    <w:rsid w:val="00C7325D"/>
    <w:rsid w:val="00C732A0"/>
    <w:rsid w:val="00C732BA"/>
    <w:rsid w:val="00C732C1"/>
    <w:rsid w:val="00C73316"/>
    <w:rsid w:val="00C73347"/>
    <w:rsid w:val="00C7334C"/>
    <w:rsid w:val="00C7338A"/>
    <w:rsid w:val="00C733B2"/>
    <w:rsid w:val="00C7347E"/>
    <w:rsid w:val="00C734A7"/>
    <w:rsid w:val="00C734C3"/>
    <w:rsid w:val="00C7351E"/>
    <w:rsid w:val="00C7356A"/>
    <w:rsid w:val="00C73571"/>
    <w:rsid w:val="00C7359A"/>
    <w:rsid w:val="00C735A6"/>
    <w:rsid w:val="00C735CA"/>
    <w:rsid w:val="00C73679"/>
    <w:rsid w:val="00C736B4"/>
    <w:rsid w:val="00C7370E"/>
    <w:rsid w:val="00C7377C"/>
    <w:rsid w:val="00C738DF"/>
    <w:rsid w:val="00C7392A"/>
    <w:rsid w:val="00C739A7"/>
    <w:rsid w:val="00C73A01"/>
    <w:rsid w:val="00C73A6F"/>
    <w:rsid w:val="00C73ADE"/>
    <w:rsid w:val="00C73B7F"/>
    <w:rsid w:val="00C73B83"/>
    <w:rsid w:val="00C73BE9"/>
    <w:rsid w:val="00C73C7F"/>
    <w:rsid w:val="00C73CAB"/>
    <w:rsid w:val="00C73D44"/>
    <w:rsid w:val="00C73D49"/>
    <w:rsid w:val="00C73D79"/>
    <w:rsid w:val="00C73D84"/>
    <w:rsid w:val="00C73E65"/>
    <w:rsid w:val="00C73EAF"/>
    <w:rsid w:val="00C73EC1"/>
    <w:rsid w:val="00C73EF6"/>
    <w:rsid w:val="00C73EFC"/>
    <w:rsid w:val="00C73F48"/>
    <w:rsid w:val="00C73F97"/>
    <w:rsid w:val="00C73FFD"/>
    <w:rsid w:val="00C74014"/>
    <w:rsid w:val="00C74035"/>
    <w:rsid w:val="00C74050"/>
    <w:rsid w:val="00C7408E"/>
    <w:rsid w:val="00C74138"/>
    <w:rsid w:val="00C7413A"/>
    <w:rsid w:val="00C74247"/>
    <w:rsid w:val="00C74260"/>
    <w:rsid w:val="00C742ED"/>
    <w:rsid w:val="00C74300"/>
    <w:rsid w:val="00C7431C"/>
    <w:rsid w:val="00C74326"/>
    <w:rsid w:val="00C7433A"/>
    <w:rsid w:val="00C74367"/>
    <w:rsid w:val="00C743D5"/>
    <w:rsid w:val="00C74459"/>
    <w:rsid w:val="00C7446E"/>
    <w:rsid w:val="00C7447A"/>
    <w:rsid w:val="00C744B6"/>
    <w:rsid w:val="00C7452B"/>
    <w:rsid w:val="00C74543"/>
    <w:rsid w:val="00C74560"/>
    <w:rsid w:val="00C7459D"/>
    <w:rsid w:val="00C745D8"/>
    <w:rsid w:val="00C74636"/>
    <w:rsid w:val="00C7467F"/>
    <w:rsid w:val="00C746DA"/>
    <w:rsid w:val="00C746E3"/>
    <w:rsid w:val="00C74712"/>
    <w:rsid w:val="00C7472A"/>
    <w:rsid w:val="00C7474F"/>
    <w:rsid w:val="00C7475E"/>
    <w:rsid w:val="00C74761"/>
    <w:rsid w:val="00C74768"/>
    <w:rsid w:val="00C747DD"/>
    <w:rsid w:val="00C747F1"/>
    <w:rsid w:val="00C74817"/>
    <w:rsid w:val="00C7488F"/>
    <w:rsid w:val="00C748CD"/>
    <w:rsid w:val="00C748D1"/>
    <w:rsid w:val="00C74913"/>
    <w:rsid w:val="00C74928"/>
    <w:rsid w:val="00C74971"/>
    <w:rsid w:val="00C7497B"/>
    <w:rsid w:val="00C74A44"/>
    <w:rsid w:val="00C74A90"/>
    <w:rsid w:val="00C74A9E"/>
    <w:rsid w:val="00C74AD9"/>
    <w:rsid w:val="00C74AFA"/>
    <w:rsid w:val="00C74B15"/>
    <w:rsid w:val="00C74B89"/>
    <w:rsid w:val="00C74B8C"/>
    <w:rsid w:val="00C74BA8"/>
    <w:rsid w:val="00C74BC1"/>
    <w:rsid w:val="00C74BF2"/>
    <w:rsid w:val="00C74C17"/>
    <w:rsid w:val="00C74C99"/>
    <w:rsid w:val="00C74CB2"/>
    <w:rsid w:val="00C74CBA"/>
    <w:rsid w:val="00C74CFC"/>
    <w:rsid w:val="00C74D30"/>
    <w:rsid w:val="00C74D86"/>
    <w:rsid w:val="00C74DA6"/>
    <w:rsid w:val="00C74DA9"/>
    <w:rsid w:val="00C74DAD"/>
    <w:rsid w:val="00C74DB1"/>
    <w:rsid w:val="00C74DEC"/>
    <w:rsid w:val="00C74DFD"/>
    <w:rsid w:val="00C74E02"/>
    <w:rsid w:val="00C74E05"/>
    <w:rsid w:val="00C74E32"/>
    <w:rsid w:val="00C74E4F"/>
    <w:rsid w:val="00C74F28"/>
    <w:rsid w:val="00C74FA0"/>
    <w:rsid w:val="00C74FE9"/>
    <w:rsid w:val="00C75009"/>
    <w:rsid w:val="00C75027"/>
    <w:rsid w:val="00C7503D"/>
    <w:rsid w:val="00C75067"/>
    <w:rsid w:val="00C7512F"/>
    <w:rsid w:val="00C7518A"/>
    <w:rsid w:val="00C751A0"/>
    <w:rsid w:val="00C751DD"/>
    <w:rsid w:val="00C75229"/>
    <w:rsid w:val="00C752A7"/>
    <w:rsid w:val="00C75333"/>
    <w:rsid w:val="00C75384"/>
    <w:rsid w:val="00C753CC"/>
    <w:rsid w:val="00C7542F"/>
    <w:rsid w:val="00C75457"/>
    <w:rsid w:val="00C7548B"/>
    <w:rsid w:val="00C7552C"/>
    <w:rsid w:val="00C7561D"/>
    <w:rsid w:val="00C756A5"/>
    <w:rsid w:val="00C756F4"/>
    <w:rsid w:val="00C7577F"/>
    <w:rsid w:val="00C757A6"/>
    <w:rsid w:val="00C757D4"/>
    <w:rsid w:val="00C75844"/>
    <w:rsid w:val="00C7585B"/>
    <w:rsid w:val="00C7589C"/>
    <w:rsid w:val="00C758A4"/>
    <w:rsid w:val="00C75912"/>
    <w:rsid w:val="00C7592B"/>
    <w:rsid w:val="00C75966"/>
    <w:rsid w:val="00C75968"/>
    <w:rsid w:val="00C759FB"/>
    <w:rsid w:val="00C75A24"/>
    <w:rsid w:val="00C75A39"/>
    <w:rsid w:val="00C75A79"/>
    <w:rsid w:val="00C75AF5"/>
    <w:rsid w:val="00C75B9F"/>
    <w:rsid w:val="00C75BBC"/>
    <w:rsid w:val="00C75BBE"/>
    <w:rsid w:val="00C75BCE"/>
    <w:rsid w:val="00C75BFE"/>
    <w:rsid w:val="00C75C05"/>
    <w:rsid w:val="00C75C67"/>
    <w:rsid w:val="00C75C87"/>
    <w:rsid w:val="00C75D54"/>
    <w:rsid w:val="00C75D95"/>
    <w:rsid w:val="00C75E06"/>
    <w:rsid w:val="00C75E62"/>
    <w:rsid w:val="00C75FCE"/>
    <w:rsid w:val="00C75FEE"/>
    <w:rsid w:val="00C76046"/>
    <w:rsid w:val="00C76073"/>
    <w:rsid w:val="00C76074"/>
    <w:rsid w:val="00C76076"/>
    <w:rsid w:val="00C760C5"/>
    <w:rsid w:val="00C760CD"/>
    <w:rsid w:val="00C7617A"/>
    <w:rsid w:val="00C761F7"/>
    <w:rsid w:val="00C7620D"/>
    <w:rsid w:val="00C7623C"/>
    <w:rsid w:val="00C76243"/>
    <w:rsid w:val="00C762BC"/>
    <w:rsid w:val="00C7631F"/>
    <w:rsid w:val="00C76357"/>
    <w:rsid w:val="00C7639B"/>
    <w:rsid w:val="00C763A8"/>
    <w:rsid w:val="00C763DE"/>
    <w:rsid w:val="00C76430"/>
    <w:rsid w:val="00C7644D"/>
    <w:rsid w:val="00C76461"/>
    <w:rsid w:val="00C76484"/>
    <w:rsid w:val="00C764E8"/>
    <w:rsid w:val="00C7650F"/>
    <w:rsid w:val="00C7652D"/>
    <w:rsid w:val="00C76574"/>
    <w:rsid w:val="00C765FE"/>
    <w:rsid w:val="00C76600"/>
    <w:rsid w:val="00C76659"/>
    <w:rsid w:val="00C766E4"/>
    <w:rsid w:val="00C76749"/>
    <w:rsid w:val="00C767C4"/>
    <w:rsid w:val="00C767D5"/>
    <w:rsid w:val="00C768B8"/>
    <w:rsid w:val="00C768C9"/>
    <w:rsid w:val="00C76917"/>
    <w:rsid w:val="00C76927"/>
    <w:rsid w:val="00C76954"/>
    <w:rsid w:val="00C76985"/>
    <w:rsid w:val="00C76990"/>
    <w:rsid w:val="00C769A7"/>
    <w:rsid w:val="00C769D4"/>
    <w:rsid w:val="00C769D8"/>
    <w:rsid w:val="00C769F9"/>
    <w:rsid w:val="00C769FE"/>
    <w:rsid w:val="00C76A04"/>
    <w:rsid w:val="00C76A12"/>
    <w:rsid w:val="00C76A1C"/>
    <w:rsid w:val="00C76A3A"/>
    <w:rsid w:val="00C76A60"/>
    <w:rsid w:val="00C76A86"/>
    <w:rsid w:val="00C76A95"/>
    <w:rsid w:val="00C76B9D"/>
    <w:rsid w:val="00C76BAE"/>
    <w:rsid w:val="00C76C21"/>
    <w:rsid w:val="00C76DAA"/>
    <w:rsid w:val="00C76DB9"/>
    <w:rsid w:val="00C76DE5"/>
    <w:rsid w:val="00C76DFB"/>
    <w:rsid w:val="00C76E12"/>
    <w:rsid w:val="00C76E1A"/>
    <w:rsid w:val="00C76E1E"/>
    <w:rsid w:val="00C76E3E"/>
    <w:rsid w:val="00C76E54"/>
    <w:rsid w:val="00C76EA7"/>
    <w:rsid w:val="00C76F3D"/>
    <w:rsid w:val="00C76F65"/>
    <w:rsid w:val="00C76FA3"/>
    <w:rsid w:val="00C77001"/>
    <w:rsid w:val="00C7701A"/>
    <w:rsid w:val="00C77039"/>
    <w:rsid w:val="00C7705B"/>
    <w:rsid w:val="00C770EC"/>
    <w:rsid w:val="00C77107"/>
    <w:rsid w:val="00C77162"/>
    <w:rsid w:val="00C7720A"/>
    <w:rsid w:val="00C7720C"/>
    <w:rsid w:val="00C7722F"/>
    <w:rsid w:val="00C7723C"/>
    <w:rsid w:val="00C7726B"/>
    <w:rsid w:val="00C772B0"/>
    <w:rsid w:val="00C772EB"/>
    <w:rsid w:val="00C772EC"/>
    <w:rsid w:val="00C77358"/>
    <w:rsid w:val="00C7737A"/>
    <w:rsid w:val="00C773B3"/>
    <w:rsid w:val="00C77448"/>
    <w:rsid w:val="00C77464"/>
    <w:rsid w:val="00C77510"/>
    <w:rsid w:val="00C77516"/>
    <w:rsid w:val="00C7755D"/>
    <w:rsid w:val="00C77594"/>
    <w:rsid w:val="00C775BC"/>
    <w:rsid w:val="00C775C8"/>
    <w:rsid w:val="00C77613"/>
    <w:rsid w:val="00C77615"/>
    <w:rsid w:val="00C776D1"/>
    <w:rsid w:val="00C77709"/>
    <w:rsid w:val="00C77735"/>
    <w:rsid w:val="00C7773E"/>
    <w:rsid w:val="00C77764"/>
    <w:rsid w:val="00C77796"/>
    <w:rsid w:val="00C77854"/>
    <w:rsid w:val="00C77876"/>
    <w:rsid w:val="00C7787E"/>
    <w:rsid w:val="00C778A0"/>
    <w:rsid w:val="00C778AC"/>
    <w:rsid w:val="00C778E4"/>
    <w:rsid w:val="00C7791A"/>
    <w:rsid w:val="00C77921"/>
    <w:rsid w:val="00C7794D"/>
    <w:rsid w:val="00C77953"/>
    <w:rsid w:val="00C77992"/>
    <w:rsid w:val="00C77A03"/>
    <w:rsid w:val="00C77A36"/>
    <w:rsid w:val="00C77A43"/>
    <w:rsid w:val="00C77A73"/>
    <w:rsid w:val="00C77A7D"/>
    <w:rsid w:val="00C77ADE"/>
    <w:rsid w:val="00C77B17"/>
    <w:rsid w:val="00C77B98"/>
    <w:rsid w:val="00C77BAF"/>
    <w:rsid w:val="00C77BB3"/>
    <w:rsid w:val="00C77BBA"/>
    <w:rsid w:val="00C77C5D"/>
    <w:rsid w:val="00C77C89"/>
    <w:rsid w:val="00C77D26"/>
    <w:rsid w:val="00C77D41"/>
    <w:rsid w:val="00C77D9C"/>
    <w:rsid w:val="00C77E14"/>
    <w:rsid w:val="00C77E51"/>
    <w:rsid w:val="00C77E5D"/>
    <w:rsid w:val="00C77EA4"/>
    <w:rsid w:val="00C77EA8"/>
    <w:rsid w:val="00C77ED4"/>
    <w:rsid w:val="00C77F29"/>
    <w:rsid w:val="00C77F77"/>
    <w:rsid w:val="00C77FCB"/>
    <w:rsid w:val="00C8000F"/>
    <w:rsid w:val="00C8003D"/>
    <w:rsid w:val="00C8003E"/>
    <w:rsid w:val="00C80061"/>
    <w:rsid w:val="00C800E0"/>
    <w:rsid w:val="00C800EC"/>
    <w:rsid w:val="00C80103"/>
    <w:rsid w:val="00C80105"/>
    <w:rsid w:val="00C8010D"/>
    <w:rsid w:val="00C8010E"/>
    <w:rsid w:val="00C80195"/>
    <w:rsid w:val="00C801AE"/>
    <w:rsid w:val="00C801E0"/>
    <w:rsid w:val="00C80236"/>
    <w:rsid w:val="00C80256"/>
    <w:rsid w:val="00C80274"/>
    <w:rsid w:val="00C802CF"/>
    <w:rsid w:val="00C802ED"/>
    <w:rsid w:val="00C80336"/>
    <w:rsid w:val="00C80337"/>
    <w:rsid w:val="00C8035C"/>
    <w:rsid w:val="00C80372"/>
    <w:rsid w:val="00C803AC"/>
    <w:rsid w:val="00C80419"/>
    <w:rsid w:val="00C8044D"/>
    <w:rsid w:val="00C804A5"/>
    <w:rsid w:val="00C804AF"/>
    <w:rsid w:val="00C80528"/>
    <w:rsid w:val="00C80549"/>
    <w:rsid w:val="00C80550"/>
    <w:rsid w:val="00C80565"/>
    <w:rsid w:val="00C80602"/>
    <w:rsid w:val="00C80643"/>
    <w:rsid w:val="00C80688"/>
    <w:rsid w:val="00C80692"/>
    <w:rsid w:val="00C806AD"/>
    <w:rsid w:val="00C806B2"/>
    <w:rsid w:val="00C806EC"/>
    <w:rsid w:val="00C8072A"/>
    <w:rsid w:val="00C8073F"/>
    <w:rsid w:val="00C807F2"/>
    <w:rsid w:val="00C807FF"/>
    <w:rsid w:val="00C8080C"/>
    <w:rsid w:val="00C80880"/>
    <w:rsid w:val="00C808E2"/>
    <w:rsid w:val="00C808FE"/>
    <w:rsid w:val="00C8098D"/>
    <w:rsid w:val="00C809A9"/>
    <w:rsid w:val="00C809CA"/>
    <w:rsid w:val="00C809D6"/>
    <w:rsid w:val="00C809DF"/>
    <w:rsid w:val="00C809F0"/>
    <w:rsid w:val="00C80A0D"/>
    <w:rsid w:val="00C80A7C"/>
    <w:rsid w:val="00C80ABA"/>
    <w:rsid w:val="00C80AEB"/>
    <w:rsid w:val="00C80B1E"/>
    <w:rsid w:val="00C80B6E"/>
    <w:rsid w:val="00C80BD9"/>
    <w:rsid w:val="00C80BF6"/>
    <w:rsid w:val="00C80C05"/>
    <w:rsid w:val="00C80C57"/>
    <w:rsid w:val="00C80C74"/>
    <w:rsid w:val="00C80C85"/>
    <w:rsid w:val="00C80D22"/>
    <w:rsid w:val="00C80D58"/>
    <w:rsid w:val="00C80DAC"/>
    <w:rsid w:val="00C80DB4"/>
    <w:rsid w:val="00C80DDD"/>
    <w:rsid w:val="00C80DF7"/>
    <w:rsid w:val="00C80F05"/>
    <w:rsid w:val="00C80F43"/>
    <w:rsid w:val="00C80F90"/>
    <w:rsid w:val="00C80F94"/>
    <w:rsid w:val="00C80FAF"/>
    <w:rsid w:val="00C80FE4"/>
    <w:rsid w:val="00C81068"/>
    <w:rsid w:val="00C8106D"/>
    <w:rsid w:val="00C81079"/>
    <w:rsid w:val="00C81098"/>
    <w:rsid w:val="00C81104"/>
    <w:rsid w:val="00C8118E"/>
    <w:rsid w:val="00C8119F"/>
    <w:rsid w:val="00C811AB"/>
    <w:rsid w:val="00C811E7"/>
    <w:rsid w:val="00C811E8"/>
    <w:rsid w:val="00C811EE"/>
    <w:rsid w:val="00C8121D"/>
    <w:rsid w:val="00C81222"/>
    <w:rsid w:val="00C81271"/>
    <w:rsid w:val="00C81281"/>
    <w:rsid w:val="00C812D3"/>
    <w:rsid w:val="00C812F0"/>
    <w:rsid w:val="00C81305"/>
    <w:rsid w:val="00C81347"/>
    <w:rsid w:val="00C8135B"/>
    <w:rsid w:val="00C81363"/>
    <w:rsid w:val="00C81374"/>
    <w:rsid w:val="00C81380"/>
    <w:rsid w:val="00C81391"/>
    <w:rsid w:val="00C813A4"/>
    <w:rsid w:val="00C81400"/>
    <w:rsid w:val="00C814AF"/>
    <w:rsid w:val="00C814BB"/>
    <w:rsid w:val="00C814D1"/>
    <w:rsid w:val="00C81604"/>
    <w:rsid w:val="00C8163F"/>
    <w:rsid w:val="00C81640"/>
    <w:rsid w:val="00C816A4"/>
    <w:rsid w:val="00C816A7"/>
    <w:rsid w:val="00C816B3"/>
    <w:rsid w:val="00C8176E"/>
    <w:rsid w:val="00C817BE"/>
    <w:rsid w:val="00C817FC"/>
    <w:rsid w:val="00C81812"/>
    <w:rsid w:val="00C81818"/>
    <w:rsid w:val="00C81843"/>
    <w:rsid w:val="00C8185D"/>
    <w:rsid w:val="00C81892"/>
    <w:rsid w:val="00C8189D"/>
    <w:rsid w:val="00C8190F"/>
    <w:rsid w:val="00C81942"/>
    <w:rsid w:val="00C81954"/>
    <w:rsid w:val="00C81966"/>
    <w:rsid w:val="00C8196A"/>
    <w:rsid w:val="00C81978"/>
    <w:rsid w:val="00C819EF"/>
    <w:rsid w:val="00C81A05"/>
    <w:rsid w:val="00C81B2F"/>
    <w:rsid w:val="00C81B7E"/>
    <w:rsid w:val="00C81BD9"/>
    <w:rsid w:val="00C81BE9"/>
    <w:rsid w:val="00C81BF5"/>
    <w:rsid w:val="00C81C6D"/>
    <w:rsid w:val="00C81CB5"/>
    <w:rsid w:val="00C81D31"/>
    <w:rsid w:val="00C81DB7"/>
    <w:rsid w:val="00C81DCC"/>
    <w:rsid w:val="00C81E21"/>
    <w:rsid w:val="00C81E35"/>
    <w:rsid w:val="00C81EAB"/>
    <w:rsid w:val="00C81EB8"/>
    <w:rsid w:val="00C81EC4"/>
    <w:rsid w:val="00C81ECD"/>
    <w:rsid w:val="00C81F31"/>
    <w:rsid w:val="00C81F7B"/>
    <w:rsid w:val="00C81F82"/>
    <w:rsid w:val="00C81FDC"/>
    <w:rsid w:val="00C820C8"/>
    <w:rsid w:val="00C820EA"/>
    <w:rsid w:val="00C8210C"/>
    <w:rsid w:val="00C82121"/>
    <w:rsid w:val="00C821FA"/>
    <w:rsid w:val="00C8220E"/>
    <w:rsid w:val="00C82211"/>
    <w:rsid w:val="00C82226"/>
    <w:rsid w:val="00C822DD"/>
    <w:rsid w:val="00C822E4"/>
    <w:rsid w:val="00C823D3"/>
    <w:rsid w:val="00C823EC"/>
    <w:rsid w:val="00C82404"/>
    <w:rsid w:val="00C8240E"/>
    <w:rsid w:val="00C8241A"/>
    <w:rsid w:val="00C82434"/>
    <w:rsid w:val="00C8243B"/>
    <w:rsid w:val="00C82462"/>
    <w:rsid w:val="00C82476"/>
    <w:rsid w:val="00C824C1"/>
    <w:rsid w:val="00C82531"/>
    <w:rsid w:val="00C8256A"/>
    <w:rsid w:val="00C825D4"/>
    <w:rsid w:val="00C825E4"/>
    <w:rsid w:val="00C825F8"/>
    <w:rsid w:val="00C82659"/>
    <w:rsid w:val="00C826C4"/>
    <w:rsid w:val="00C826CC"/>
    <w:rsid w:val="00C8273F"/>
    <w:rsid w:val="00C82744"/>
    <w:rsid w:val="00C8277D"/>
    <w:rsid w:val="00C82798"/>
    <w:rsid w:val="00C827CC"/>
    <w:rsid w:val="00C827DC"/>
    <w:rsid w:val="00C827E1"/>
    <w:rsid w:val="00C82816"/>
    <w:rsid w:val="00C82827"/>
    <w:rsid w:val="00C828B5"/>
    <w:rsid w:val="00C828C3"/>
    <w:rsid w:val="00C82949"/>
    <w:rsid w:val="00C8296C"/>
    <w:rsid w:val="00C82993"/>
    <w:rsid w:val="00C829E3"/>
    <w:rsid w:val="00C82A1E"/>
    <w:rsid w:val="00C82A25"/>
    <w:rsid w:val="00C82A35"/>
    <w:rsid w:val="00C82A86"/>
    <w:rsid w:val="00C82A87"/>
    <w:rsid w:val="00C82A9A"/>
    <w:rsid w:val="00C82A9B"/>
    <w:rsid w:val="00C82C3E"/>
    <w:rsid w:val="00C82C48"/>
    <w:rsid w:val="00C82C55"/>
    <w:rsid w:val="00C82C5B"/>
    <w:rsid w:val="00C82CA4"/>
    <w:rsid w:val="00C82D8B"/>
    <w:rsid w:val="00C82DFA"/>
    <w:rsid w:val="00C82E03"/>
    <w:rsid w:val="00C82E3D"/>
    <w:rsid w:val="00C82E6E"/>
    <w:rsid w:val="00C82E8C"/>
    <w:rsid w:val="00C82EAD"/>
    <w:rsid w:val="00C82EC1"/>
    <w:rsid w:val="00C82EDA"/>
    <w:rsid w:val="00C82F59"/>
    <w:rsid w:val="00C82FED"/>
    <w:rsid w:val="00C82FF9"/>
    <w:rsid w:val="00C8303C"/>
    <w:rsid w:val="00C83093"/>
    <w:rsid w:val="00C830A5"/>
    <w:rsid w:val="00C8315D"/>
    <w:rsid w:val="00C8316D"/>
    <w:rsid w:val="00C8317A"/>
    <w:rsid w:val="00C831B0"/>
    <w:rsid w:val="00C831D2"/>
    <w:rsid w:val="00C831E2"/>
    <w:rsid w:val="00C831F6"/>
    <w:rsid w:val="00C83227"/>
    <w:rsid w:val="00C83274"/>
    <w:rsid w:val="00C83289"/>
    <w:rsid w:val="00C832CF"/>
    <w:rsid w:val="00C832DC"/>
    <w:rsid w:val="00C8330E"/>
    <w:rsid w:val="00C83332"/>
    <w:rsid w:val="00C8335B"/>
    <w:rsid w:val="00C83361"/>
    <w:rsid w:val="00C83365"/>
    <w:rsid w:val="00C83369"/>
    <w:rsid w:val="00C83403"/>
    <w:rsid w:val="00C83411"/>
    <w:rsid w:val="00C83449"/>
    <w:rsid w:val="00C83457"/>
    <w:rsid w:val="00C8347A"/>
    <w:rsid w:val="00C8347F"/>
    <w:rsid w:val="00C834A5"/>
    <w:rsid w:val="00C834C0"/>
    <w:rsid w:val="00C834DC"/>
    <w:rsid w:val="00C834E0"/>
    <w:rsid w:val="00C834FA"/>
    <w:rsid w:val="00C8355A"/>
    <w:rsid w:val="00C8357E"/>
    <w:rsid w:val="00C83581"/>
    <w:rsid w:val="00C835A2"/>
    <w:rsid w:val="00C835DB"/>
    <w:rsid w:val="00C83624"/>
    <w:rsid w:val="00C83672"/>
    <w:rsid w:val="00C83694"/>
    <w:rsid w:val="00C836AA"/>
    <w:rsid w:val="00C836FD"/>
    <w:rsid w:val="00C83729"/>
    <w:rsid w:val="00C83738"/>
    <w:rsid w:val="00C8373B"/>
    <w:rsid w:val="00C8376F"/>
    <w:rsid w:val="00C83780"/>
    <w:rsid w:val="00C8378F"/>
    <w:rsid w:val="00C837CB"/>
    <w:rsid w:val="00C8380E"/>
    <w:rsid w:val="00C83824"/>
    <w:rsid w:val="00C83873"/>
    <w:rsid w:val="00C83892"/>
    <w:rsid w:val="00C838FD"/>
    <w:rsid w:val="00C83905"/>
    <w:rsid w:val="00C83962"/>
    <w:rsid w:val="00C839D7"/>
    <w:rsid w:val="00C839EC"/>
    <w:rsid w:val="00C83A22"/>
    <w:rsid w:val="00C83A82"/>
    <w:rsid w:val="00C83B31"/>
    <w:rsid w:val="00C83B54"/>
    <w:rsid w:val="00C83B64"/>
    <w:rsid w:val="00C83BB2"/>
    <w:rsid w:val="00C83C0B"/>
    <w:rsid w:val="00C83C2E"/>
    <w:rsid w:val="00C83C40"/>
    <w:rsid w:val="00C83C53"/>
    <w:rsid w:val="00C83CA8"/>
    <w:rsid w:val="00C83CD0"/>
    <w:rsid w:val="00C83CDF"/>
    <w:rsid w:val="00C83D52"/>
    <w:rsid w:val="00C83DE8"/>
    <w:rsid w:val="00C83DF0"/>
    <w:rsid w:val="00C83E3B"/>
    <w:rsid w:val="00C83E5A"/>
    <w:rsid w:val="00C83ED1"/>
    <w:rsid w:val="00C83EDB"/>
    <w:rsid w:val="00C83F6B"/>
    <w:rsid w:val="00C83F79"/>
    <w:rsid w:val="00C83FDA"/>
    <w:rsid w:val="00C83FE5"/>
    <w:rsid w:val="00C84007"/>
    <w:rsid w:val="00C840BB"/>
    <w:rsid w:val="00C840C0"/>
    <w:rsid w:val="00C84129"/>
    <w:rsid w:val="00C8412A"/>
    <w:rsid w:val="00C84141"/>
    <w:rsid w:val="00C8414F"/>
    <w:rsid w:val="00C8418B"/>
    <w:rsid w:val="00C841CD"/>
    <w:rsid w:val="00C841F8"/>
    <w:rsid w:val="00C8420D"/>
    <w:rsid w:val="00C84244"/>
    <w:rsid w:val="00C84287"/>
    <w:rsid w:val="00C842AA"/>
    <w:rsid w:val="00C842B3"/>
    <w:rsid w:val="00C842CF"/>
    <w:rsid w:val="00C84325"/>
    <w:rsid w:val="00C84378"/>
    <w:rsid w:val="00C843C3"/>
    <w:rsid w:val="00C843E5"/>
    <w:rsid w:val="00C84439"/>
    <w:rsid w:val="00C84471"/>
    <w:rsid w:val="00C84478"/>
    <w:rsid w:val="00C84515"/>
    <w:rsid w:val="00C8454C"/>
    <w:rsid w:val="00C845B1"/>
    <w:rsid w:val="00C845D1"/>
    <w:rsid w:val="00C845D2"/>
    <w:rsid w:val="00C84631"/>
    <w:rsid w:val="00C8468B"/>
    <w:rsid w:val="00C846B1"/>
    <w:rsid w:val="00C846EB"/>
    <w:rsid w:val="00C84767"/>
    <w:rsid w:val="00C84794"/>
    <w:rsid w:val="00C847B3"/>
    <w:rsid w:val="00C847B8"/>
    <w:rsid w:val="00C847E8"/>
    <w:rsid w:val="00C847F7"/>
    <w:rsid w:val="00C84828"/>
    <w:rsid w:val="00C848A5"/>
    <w:rsid w:val="00C849F0"/>
    <w:rsid w:val="00C84A0E"/>
    <w:rsid w:val="00C84A3A"/>
    <w:rsid w:val="00C84A8C"/>
    <w:rsid w:val="00C84ACA"/>
    <w:rsid w:val="00C84B02"/>
    <w:rsid w:val="00C84B08"/>
    <w:rsid w:val="00C84B48"/>
    <w:rsid w:val="00C84BA8"/>
    <w:rsid w:val="00C84BCC"/>
    <w:rsid w:val="00C84BE2"/>
    <w:rsid w:val="00C84BF4"/>
    <w:rsid w:val="00C84C29"/>
    <w:rsid w:val="00C84C9A"/>
    <w:rsid w:val="00C84CB4"/>
    <w:rsid w:val="00C84CCC"/>
    <w:rsid w:val="00C84D07"/>
    <w:rsid w:val="00C84D1E"/>
    <w:rsid w:val="00C84D8B"/>
    <w:rsid w:val="00C84DC3"/>
    <w:rsid w:val="00C84E4B"/>
    <w:rsid w:val="00C84E97"/>
    <w:rsid w:val="00C84EB6"/>
    <w:rsid w:val="00C84F03"/>
    <w:rsid w:val="00C84F15"/>
    <w:rsid w:val="00C84F5F"/>
    <w:rsid w:val="00C84F6B"/>
    <w:rsid w:val="00C84FE1"/>
    <w:rsid w:val="00C85080"/>
    <w:rsid w:val="00C850E1"/>
    <w:rsid w:val="00C850F5"/>
    <w:rsid w:val="00C85106"/>
    <w:rsid w:val="00C8511B"/>
    <w:rsid w:val="00C8511C"/>
    <w:rsid w:val="00C8513D"/>
    <w:rsid w:val="00C85145"/>
    <w:rsid w:val="00C85159"/>
    <w:rsid w:val="00C851A2"/>
    <w:rsid w:val="00C851B4"/>
    <w:rsid w:val="00C851E3"/>
    <w:rsid w:val="00C851FE"/>
    <w:rsid w:val="00C85235"/>
    <w:rsid w:val="00C85295"/>
    <w:rsid w:val="00C85297"/>
    <w:rsid w:val="00C8529C"/>
    <w:rsid w:val="00C852F1"/>
    <w:rsid w:val="00C853A1"/>
    <w:rsid w:val="00C853A3"/>
    <w:rsid w:val="00C853BA"/>
    <w:rsid w:val="00C853CE"/>
    <w:rsid w:val="00C853EB"/>
    <w:rsid w:val="00C85412"/>
    <w:rsid w:val="00C85453"/>
    <w:rsid w:val="00C854AA"/>
    <w:rsid w:val="00C854FE"/>
    <w:rsid w:val="00C85538"/>
    <w:rsid w:val="00C856E8"/>
    <w:rsid w:val="00C856ED"/>
    <w:rsid w:val="00C85746"/>
    <w:rsid w:val="00C85782"/>
    <w:rsid w:val="00C857A3"/>
    <w:rsid w:val="00C857AE"/>
    <w:rsid w:val="00C857CD"/>
    <w:rsid w:val="00C8580F"/>
    <w:rsid w:val="00C8584A"/>
    <w:rsid w:val="00C85853"/>
    <w:rsid w:val="00C858BA"/>
    <w:rsid w:val="00C858E5"/>
    <w:rsid w:val="00C858FD"/>
    <w:rsid w:val="00C85914"/>
    <w:rsid w:val="00C8592D"/>
    <w:rsid w:val="00C859CF"/>
    <w:rsid w:val="00C85A02"/>
    <w:rsid w:val="00C85A47"/>
    <w:rsid w:val="00C85A5B"/>
    <w:rsid w:val="00C85A66"/>
    <w:rsid w:val="00C85A6B"/>
    <w:rsid w:val="00C85A72"/>
    <w:rsid w:val="00C85A76"/>
    <w:rsid w:val="00C85ADF"/>
    <w:rsid w:val="00C85B10"/>
    <w:rsid w:val="00C85BB1"/>
    <w:rsid w:val="00C85BD3"/>
    <w:rsid w:val="00C85BE9"/>
    <w:rsid w:val="00C85C03"/>
    <w:rsid w:val="00C85C0F"/>
    <w:rsid w:val="00C85C10"/>
    <w:rsid w:val="00C85C7C"/>
    <w:rsid w:val="00C85D10"/>
    <w:rsid w:val="00C85D55"/>
    <w:rsid w:val="00C85DB2"/>
    <w:rsid w:val="00C85DDF"/>
    <w:rsid w:val="00C85DEF"/>
    <w:rsid w:val="00C85EA2"/>
    <w:rsid w:val="00C85EBF"/>
    <w:rsid w:val="00C85EFB"/>
    <w:rsid w:val="00C85F2B"/>
    <w:rsid w:val="00C85F40"/>
    <w:rsid w:val="00C85F5B"/>
    <w:rsid w:val="00C8600D"/>
    <w:rsid w:val="00C86109"/>
    <w:rsid w:val="00C8614B"/>
    <w:rsid w:val="00C86164"/>
    <w:rsid w:val="00C86167"/>
    <w:rsid w:val="00C861DF"/>
    <w:rsid w:val="00C861F8"/>
    <w:rsid w:val="00C8625E"/>
    <w:rsid w:val="00C8625F"/>
    <w:rsid w:val="00C86295"/>
    <w:rsid w:val="00C862BA"/>
    <w:rsid w:val="00C862D1"/>
    <w:rsid w:val="00C862E0"/>
    <w:rsid w:val="00C86374"/>
    <w:rsid w:val="00C86377"/>
    <w:rsid w:val="00C8640C"/>
    <w:rsid w:val="00C86449"/>
    <w:rsid w:val="00C8644C"/>
    <w:rsid w:val="00C8645A"/>
    <w:rsid w:val="00C8647F"/>
    <w:rsid w:val="00C86490"/>
    <w:rsid w:val="00C864ED"/>
    <w:rsid w:val="00C8654F"/>
    <w:rsid w:val="00C86643"/>
    <w:rsid w:val="00C86770"/>
    <w:rsid w:val="00C8677F"/>
    <w:rsid w:val="00C867B2"/>
    <w:rsid w:val="00C867D5"/>
    <w:rsid w:val="00C867F5"/>
    <w:rsid w:val="00C86842"/>
    <w:rsid w:val="00C86868"/>
    <w:rsid w:val="00C8686C"/>
    <w:rsid w:val="00C868B5"/>
    <w:rsid w:val="00C868BA"/>
    <w:rsid w:val="00C868C1"/>
    <w:rsid w:val="00C86955"/>
    <w:rsid w:val="00C86A6F"/>
    <w:rsid w:val="00C86A9D"/>
    <w:rsid w:val="00C86ABA"/>
    <w:rsid w:val="00C86AE7"/>
    <w:rsid w:val="00C86B11"/>
    <w:rsid w:val="00C86B81"/>
    <w:rsid w:val="00C86BA0"/>
    <w:rsid w:val="00C86BA2"/>
    <w:rsid w:val="00C86BCD"/>
    <w:rsid w:val="00C86C02"/>
    <w:rsid w:val="00C86C13"/>
    <w:rsid w:val="00C86C2E"/>
    <w:rsid w:val="00C86C62"/>
    <w:rsid w:val="00C86C96"/>
    <w:rsid w:val="00C86CA5"/>
    <w:rsid w:val="00C86CAF"/>
    <w:rsid w:val="00C86D67"/>
    <w:rsid w:val="00C86D80"/>
    <w:rsid w:val="00C86DC2"/>
    <w:rsid w:val="00C86E0E"/>
    <w:rsid w:val="00C86E0F"/>
    <w:rsid w:val="00C86E48"/>
    <w:rsid w:val="00C86E53"/>
    <w:rsid w:val="00C86EA2"/>
    <w:rsid w:val="00C86EB3"/>
    <w:rsid w:val="00C86ED6"/>
    <w:rsid w:val="00C86EE4"/>
    <w:rsid w:val="00C86FB6"/>
    <w:rsid w:val="00C86FB9"/>
    <w:rsid w:val="00C87020"/>
    <w:rsid w:val="00C8704E"/>
    <w:rsid w:val="00C87064"/>
    <w:rsid w:val="00C8706C"/>
    <w:rsid w:val="00C8714C"/>
    <w:rsid w:val="00C87170"/>
    <w:rsid w:val="00C871C9"/>
    <w:rsid w:val="00C871CB"/>
    <w:rsid w:val="00C871E4"/>
    <w:rsid w:val="00C87228"/>
    <w:rsid w:val="00C87242"/>
    <w:rsid w:val="00C87289"/>
    <w:rsid w:val="00C87294"/>
    <w:rsid w:val="00C8729D"/>
    <w:rsid w:val="00C872AA"/>
    <w:rsid w:val="00C872BD"/>
    <w:rsid w:val="00C872EF"/>
    <w:rsid w:val="00C8730E"/>
    <w:rsid w:val="00C87321"/>
    <w:rsid w:val="00C8735F"/>
    <w:rsid w:val="00C87369"/>
    <w:rsid w:val="00C87388"/>
    <w:rsid w:val="00C8738B"/>
    <w:rsid w:val="00C873B6"/>
    <w:rsid w:val="00C873F1"/>
    <w:rsid w:val="00C8740A"/>
    <w:rsid w:val="00C87497"/>
    <w:rsid w:val="00C874B8"/>
    <w:rsid w:val="00C874E9"/>
    <w:rsid w:val="00C87549"/>
    <w:rsid w:val="00C8757E"/>
    <w:rsid w:val="00C87595"/>
    <w:rsid w:val="00C875CA"/>
    <w:rsid w:val="00C875DC"/>
    <w:rsid w:val="00C875FD"/>
    <w:rsid w:val="00C8760D"/>
    <w:rsid w:val="00C87635"/>
    <w:rsid w:val="00C876CF"/>
    <w:rsid w:val="00C876EC"/>
    <w:rsid w:val="00C87726"/>
    <w:rsid w:val="00C8775E"/>
    <w:rsid w:val="00C87789"/>
    <w:rsid w:val="00C877A3"/>
    <w:rsid w:val="00C87845"/>
    <w:rsid w:val="00C8784E"/>
    <w:rsid w:val="00C87861"/>
    <w:rsid w:val="00C878A8"/>
    <w:rsid w:val="00C878C5"/>
    <w:rsid w:val="00C878D5"/>
    <w:rsid w:val="00C87926"/>
    <w:rsid w:val="00C87996"/>
    <w:rsid w:val="00C879AF"/>
    <w:rsid w:val="00C879C1"/>
    <w:rsid w:val="00C87A69"/>
    <w:rsid w:val="00C87A80"/>
    <w:rsid w:val="00C87A8E"/>
    <w:rsid w:val="00C87A97"/>
    <w:rsid w:val="00C87AB5"/>
    <w:rsid w:val="00C87B13"/>
    <w:rsid w:val="00C87B95"/>
    <w:rsid w:val="00C87BA9"/>
    <w:rsid w:val="00C87BDD"/>
    <w:rsid w:val="00C87C62"/>
    <w:rsid w:val="00C87C8F"/>
    <w:rsid w:val="00C87DA6"/>
    <w:rsid w:val="00C87DCA"/>
    <w:rsid w:val="00C87E14"/>
    <w:rsid w:val="00C87E37"/>
    <w:rsid w:val="00C87E88"/>
    <w:rsid w:val="00C87EB1"/>
    <w:rsid w:val="00C87EDF"/>
    <w:rsid w:val="00C87EF2"/>
    <w:rsid w:val="00C87F13"/>
    <w:rsid w:val="00C87F27"/>
    <w:rsid w:val="00C87F61"/>
    <w:rsid w:val="00C87F63"/>
    <w:rsid w:val="00C87FC3"/>
    <w:rsid w:val="00C900A0"/>
    <w:rsid w:val="00C900A5"/>
    <w:rsid w:val="00C900C7"/>
    <w:rsid w:val="00C90109"/>
    <w:rsid w:val="00C90174"/>
    <w:rsid w:val="00C901A3"/>
    <w:rsid w:val="00C901AA"/>
    <w:rsid w:val="00C901C5"/>
    <w:rsid w:val="00C901F4"/>
    <w:rsid w:val="00C90203"/>
    <w:rsid w:val="00C9021D"/>
    <w:rsid w:val="00C9028C"/>
    <w:rsid w:val="00C902F9"/>
    <w:rsid w:val="00C9030C"/>
    <w:rsid w:val="00C9031E"/>
    <w:rsid w:val="00C90339"/>
    <w:rsid w:val="00C90348"/>
    <w:rsid w:val="00C90361"/>
    <w:rsid w:val="00C9036D"/>
    <w:rsid w:val="00C903B4"/>
    <w:rsid w:val="00C90427"/>
    <w:rsid w:val="00C90459"/>
    <w:rsid w:val="00C904A1"/>
    <w:rsid w:val="00C904F7"/>
    <w:rsid w:val="00C9050C"/>
    <w:rsid w:val="00C90524"/>
    <w:rsid w:val="00C90606"/>
    <w:rsid w:val="00C9062D"/>
    <w:rsid w:val="00C90668"/>
    <w:rsid w:val="00C90687"/>
    <w:rsid w:val="00C90724"/>
    <w:rsid w:val="00C9072E"/>
    <w:rsid w:val="00C907B4"/>
    <w:rsid w:val="00C907D9"/>
    <w:rsid w:val="00C907DE"/>
    <w:rsid w:val="00C90821"/>
    <w:rsid w:val="00C90838"/>
    <w:rsid w:val="00C9086A"/>
    <w:rsid w:val="00C90871"/>
    <w:rsid w:val="00C908C0"/>
    <w:rsid w:val="00C908EE"/>
    <w:rsid w:val="00C90909"/>
    <w:rsid w:val="00C90914"/>
    <w:rsid w:val="00C90918"/>
    <w:rsid w:val="00C9092E"/>
    <w:rsid w:val="00C90930"/>
    <w:rsid w:val="00C90975"/>
    <w:rsid w:val="00C909D8"/>
    <w:rsid w:val="00C90A37"/>
    <w:rsid w:val="00C90A6B"/>
    <w:rsid w:val="00C90AE7"/>
    <w:rsid w:val="00C90BE6"/>
    <w:rsid w:val="00C90C13"/>
    <w:rsid w:val="00C90C81"/>
    <w:rsid w:val="00C90C8E"/>
    <w:rsid w:val="00C90CAF"/>
    <w:rsid w:val="00C90CE0"/>
    <w:rsid w:val="00C90D14"/>
    <w:rsid w:val="00C90D30"/>
    <w:rsid w:val="00C90DA8"/>
    <w:rsid w:val="00C90DCC"/>
    <w:rsid w:val="00C90DD8"/>
    <w:rsid w:val="00C90E04"/>
    <w:rsid w:val="00C90E9C"/>
    <w:rsid w:val="00C90EEF"/>
    <w:rsid w:val="00C90F00"/>
    <w:rsid w:val="00C90F02"/>
    <w:rsid w:val="00C90F7D"/>
    <w:rsid w:val="00C90FA3"/>
    <w:rsid w:val="00C90FE6"/>
    <w:rsid w:val="00C90FF2"/>
    <w:rsid w:val="00C91012"/>
    <w:rsid w:val="00C91013"/>
    <w:rsid w:val="00C91035"/>
    <w:rsid w:val="00C9109A"/>
    <w:rsid w:val="00C910E2"/>
    <w:rsid w:val="00C911CB"/>
    <w:rsid w:val="00C91273"/>
    <w:rsid w:val="00C912A0"/>
    <w:rsid w:val="00C912DE"/>
    <w:rsid w:val="00C91324"/>
    <w:rsid w:val="00C91333"/>
    <w:rsid w:val="00C91360"/>
    <w:rsid w:val="00C913C4"/>
    <w:rsid w:val="00C91455"/>
    <w:rsid w:val="00C91464"/>
    <w:rsid w:val="00C914A6"/>
    <w:rsid w:val="00C914B3"/>
    <w:rsid w:val="00C9154F"/>
    <w:rsid w:val="00C915CD"/>
    <w:rsid w:val="00C915D5"/>
    <w:rsid w:val="00C9161C"/>
    <w:rsid w:val="00C9164F"/>
    <w:rsid w:val="00C9167C"/>
    <w:rsid w:val="00C916B0"/>
    <w:rsid w:val="00C91704"/>
    <w:rsid w:val="00C91709"/>
    <w:rsid w:val="00C91854"/>
    <w:rsid w:val="00C91872"/>
    <w:rsid w:val="00C9189B"/>
    <w:rsid w:val="00C918B4"/>
    <w:rsid w:val="00C918C2"/>
    <w:rsid w:val="00C918F1"/>
    <w:rsid w:val="00C91917"/>
    <w:rsid w:val="00C91940"/>
    <w:rsid w:val="00C91988"/>
    <w:rsid w:val="00C91997"/>
    <w:rsid w:val="00C919BD"/>
    <w:rsid w:val="00C919C5"/>
    <w:rsid w:val="00C919E5"/>
    <w:rsid w:val="00C91A55"/>
    <w:rsid w:val="00C91A63"/>
    <w:rsid w:val="00C91AEA"/>
    <w:rsid w:val="00C91AF3"/>
    <w:rsid w:val="00C91B87"/>
    <w:rsid w:val="00C91BD8"/>
    <w:rsid w:val="00C91BE9"/>
    <w:rsid w:val="00C91C15"/>
    <w:rsid w:val="00C91C23"/>
    <w:rsid w:val="00C91C52"/>
    <w:rsid w:val="00C91C5C"/>
    <w:rsid w:val="00C91CD3"/>
    <w:rsid w:val="00C91D78"/>
    <w:rsid w:val="00C91DFF"/>
    <w:rsid w:val="00C91E38"/>
    <w:rsid w:val="00C91E43"/>
    <w:rsid w:val="00C91E58"/>
    <w:rsid w:val="00C91E72"/>
    <w:rsid w:val="00C91E85"/>
    <w:rsid w:val="00C91E8A"/>
    <w:rsid w:val="00C91EBC"/>
    <w:rsid w:val="00C91ECF"/>
    <w:rsid w:val="00C91EF0"/>
    <w:rsid w:val="00C91F41"/>
    <w:rsid w:val="00C91F6C"/>
    <w:rsid w:val="00C91F75"/>
    <w:rsid w:val="00C92002"/>
    <w:rsid w:val="00C9200F"/>
    <w:rsid w:val="00C92033"/>
    <w:rsid w:val="00C9209F"/>
    <w:rsid w:val="00C920FB"/>
    <w:rsid w:val="00C92107"/>
    <w:rsid w:val="00C92120"/>
    <w:rsid w:val="00C92126"/>
    <w:rsid w:val="00C9216F"/>
    <w:rsid w:val="00C92190"/>
    <w:rsid w:val="00C921B8"/>
    <w:rsid w:val="00C921B9"/>
    <w:rsid w:val="00C92247"/>
    <w:rsid w:val="00C92285"/>
    <w:rsid w:val="00C922C2"/>
    <w:rsid w:val="00C922C8"/>
    <w:rsid w:val="00C922E7"/>
    <w:rsid w:val="00C9230D"/>
    <w:rsid w:val="00C9232F"/>
    <w:rsid w:val="00C92362"/>
    <w:rsid w:val="00C92408"/>
    <w:rsid w:val="00C92475"/>
    <w:rsid w:val="00C92486"/>
    <w:rsid w:val="00C92514"/>
    <w:rsid w:val="00C92525"/>
    <w:rsid w:val="00C92578"/>
    <w:rsid w:val="00C9258A"/>
    <w:rsid w:val="00C9258D"/>
    <w:rsid w:val="00C9259C"/>
    <w:rsid w:val="00C925B2"/>
    <w:rsid w:val="00C9263F"/>
    <w:rsid w:val="00C9265F"/>
    <w:rsid w:val="00C92700"/>
    <w:rsid w:val="00C92718"/>
    <w:rsid w:val="00C92723"/>
    <w:rsid w:val="00C9276D"/>
    <w:rsid w:val="00C92771"/>
    <w:rsid w:val="00C927B5"/>
    <w:rsid w:val="00C9288F"/>
    <w:rsid w:val="00C92893"/>
    <w:rsid w:val="00C928C3"/>
    <w:rsid w:val="00C928E4"/>
    <w:rsid w:val="00C928E7"/>
    <w:rsid w:val="00C9291D"/>
    <w:rsid w:val="00C92928"/>
    <w:rsid w:val="00C9292F"/>
    <w:rsid w:val="00C9294D"/>
    <w:rsid w:val="00C9295C"/>
    <w:rsid w:val="00C92988"/>
    <w:rsid w:val="00C92999"/>
    <w:rsid w:val="00C929F1"/>
    <w:rsid w:val="00C929F4"/>
    <w:rsid w:val="00C92A02"/>
    <w:rsid w:val="00C92A2A"/>
    <w:rsid w:val="00C92A6E"/>
    <w:rsid w:val="00C92A79"/>
    <w:rsid w:val="00C92B66"/>
    <w:rsid w:val="00C92B7B"/>
    <w:rsid w:val="00C92BA5"/>
    <w:rsid w:val="00C92C8F"/>
    <w:rsid w:val="00C92CE3"/>
    <w:rsid w:val="00C92D49"/>
    <w:rsid w:val="00C92D70"/>
    <w:rsid w:val="00C92D7F"/>
    <w:rsid w:val="00C92D82"/>
    <w:rsid w:val="00C92DB8"/>
    <w:rsid w:val="00C92DDF"/>
    <w:rsid w:val="00C92E16"/>
    <w:rsid w:val="00C92E2C"/>
    <w:rsid w:val="00C92E39"/>
    <w:rsid w:val="00C92E8D"/>
    <w:rsid w:val="00C92E92"/>
    <w:rsid w:val="00C92EA2"/>
    <w:rsid w:val="00C92ED1"/>
    <w:rsid w:val="00C92EFD"/>
    <w:rsid w:val="00C92F60"/>
    <w:rsid w:val="00C92F72"/>
    <w:rsid w:val="00C92F7E"/>
    <w:rsid w:val="00C92FB4"/>
    <w:rsid w:val="00C92FC6"/>
    <w:rsid w:val="00C92FD0"/>
    <w:rsid w:val="00C92FD8"/>
    <w:rsid w:val="00C9302A"/>
    <w:rsid w:val="00C93037"/>
    <w:rsid w:val="00C930A6"/>
    <w:rsid w:val="00C930B7"/>
    <w:rsid w:val="00C930F2"/>
    <w:rsid w:val="00C93134"/>
    <w:rsid w:val="00C9316D"/>
    <w:rsid w:val="00C931AD"/>
    <w:rsid w:val="00C931F1"/>
    <w:rsid w:val="00C931F7"/>
    <w:rsid w:val="00C93269"/>
    <w:rsid w:val="00C932A4"/>
    <w:rsid w:val="00C932AF"/>
    <w:rsid w:val="00C93340"/>
    <w:rsid w:val="00C93350"/>
    <w:rsid w:val="00C93371"/>
    <w:rsid w:val="00C9338D"/>
    <w:rsid w:val="00C93412"/>
    <w:rsid w:val="00C93414"/>
    <w:rsid w:val="00C9346D"/>
    <w:rsid w:val="00C934CA"/>
    <w:rsid w:val="00C934D3"/>
    <w:rsid w:val="00C934F5"/>
    <w:rsid w:val="00C9355A"/>
    <w:rsid w:val="00C9355B"/>
    <w:rsid w:val="00C93577"/>
    <w:rsid w:val="00C9360B"/>
    <w:rsid w:val="00C93630"/>
    <w:rsid w:val="00C93638"/>
    <w:rsid w:val="00C93665"/>
    <w:rsid w:val="00C9369C"/>
    <w:rsid w:val="00C9369F"/>
    <w:rsid w:val="00C936D9"/>
    <w:rsid w:val="00C93764"/>
    <w:rsid w:val="00C9376A"/>
    <w:rsid w:val="00C9386D"/>
    <w:rsid w:val="00C93871"/>
    <w:rsid w:val="00C93894"/>
    <w:rsid w:val="00C938E1"/>
    <w:rsid w:val="00C93908"/>
    <w:rsid w:val="00C9391B"/>
    <w:rsid w:val="00C93938"/>
    <w:rsid w:val="00C93969"/>
    <w:rsid w:val="00C939E9"/>
    <w:rsid w:val="00C93A30"/>
    <w:rsid w:val="00C93A60"/>
    <w:rsid w:val="00C93A6C"/>
    <w:rsid w:val="00C93A71"/>
    <w:rsid w:val="00C93AB5"/>
    <w:rsid w:val="00C93ADA"/>
    <w:rsid w:val="00C93AF1"/>
    <w:rsid w:val="00C93B1A"/>
    <w:rsid w:val="00C93B5C"/>
    <w:rsid w:val="00C93B6E"/>
    <w:rsid w:val="00C93B8A"/>
    <w:rsid w:val="00C93BF3"/>
    <w:rsid w:val="00C93C1A"/>
    <w:rsid w:val="00C93C88"/>
    <w:rsid w:val="00C93D4A"/>
    <w:rsid w:val="00C93D82"/>
    <w:rsid w:val="00C93DB3"/>
    <w:rsid w:val="00C93DCC"/>
    <w:rsid w:val="00C93E13"/>
    <w:rsid w:val="00C93E35"/>
    <w:rsid w:val="00C93E57"/>
    <w:rsid w:val="00C93E9E"/>
    <w:rsid w:val="00C93EB1"/>
    <w:rsid w:val="00C93EC5"/>
    <w:rsid w:val="00C93F01"/>
    <w:rsid w:val="00C93F24"/>
    <w:rsid w:val="00C93F4A"/>
    <w:rsid w:val="00C93F4B"/>
    <w:rsid w:val="00C93F63"/>
    <w:rsid w:val="00C93F97"/>
    <w:rsid w:val="00C93FA0"/>
    <w:rsid w:val="00C94012"/>
    <w:rsid w:val="00C9403D"/>
    <w:rsid w:val="00C9406B"/>
    <w:rsid w:val="00C94093"/>
    <w:rsid w:val="00C940AB"/>
    <w:rsid w:val="00C9410D"/>
    <w:rsid w:val="00C9415F"/>
    <w:rsid w:val="00C941CE"/>
    <w:rsid w:val="00C942A6"/>
    <w:rsid w:val="00C94333"/>
    <w:rsid w:val="00C9437E"/>
    <w:rsid w:val="00C9438E"/>
    <w:rsid w:val="00C94428"/>
    <w:rsid w:val="00C94453"/>
    <w:rsid w:val="00C944FC"/>
    <w:rsid w:val="00C94557"/>
    <w:rsid w:val="00C9459C"/>
    <w:rsid w:val="00C945A7"/>
    <w:rsid w:val="00C94648"/>
    <w:rsid w:val="00C9464D"/>
    <w:rsid w:val="00C946CA"/>
    <w:rsid w:val="00C946D9"/>
    <w:rsid w:val="00C946FD"/>
    <w:rsid w:val="00C9473A"/>
    <w:rsid w:val="00C9473B"/>
    <w:rsid w:val="00C9475C"/>
    <w:rsid w:val="00C94825"/>
    <w:rsid w:val="00C94833"/>
    <w:rsid w:val="00C94848"/>
    <w:rsid w:val="00C948EB"/>
    <w:rsid w:val="00C9493C"/>
    <w:rsid w:val="00C9495C"/>
    <w:rsid w:val="00C949F8"/>
    <w:rsid w:val="00C94A45"/>
    <w:rsid w:val="00C94A8F"/>
    <w:rsid w:val="00C94ABE"/>
    <w:rsid w:val="00C94AEE"/>
    <w:rsid w:val="00C94B8F"/>
    <w:rsid w:val="00C94BB5"/>
    <w:rsid w:val="00C94BF1"/>
    <w:rsid w:val="00C94CB8"/>
    <w:rsid w:val="00C94D0F"/>
    <w:rsid w:val="00C94D10"/>
    <w:rsid w:val="00C94D7A"/>
    <w:rsid w:val="00C94D8F"/>
    <w:rsid w:val="00C94E26"/>
    <w:rsid w:val="00C94E2F"/>
    <w:rsid w:val="00C94E4C"/>
    <w:rsid w:val="00C94E84"/>
    <w:rsid w:val="00C94EA8"/>
    <w:rsid w:val="00C94EB7"/>
    <w:rsid w:val="00C94ED9"/>
    <w:rsid w:val="00C94EE3"/>
    <w:rsid w:val="00C94EED"/>
    <w:rsid w:val="00C94F04"/>
    <w:rsid w:val="00C94F19"/>
    <w:rsid w:val="00C94F2A"/>
    <w:rsid w:val="00C94F79"/>
    <w:rsid w:val="00C94F7F"/>
    <w:rsid w:val="00C94FA8"/>
    <w:rsid w:val="00C94FE5"/>
    <w:rsid w:val="00C95019"/>
    <w:rsid w:val="00C95038"/>
    <w:rsid w:val="00C95051"/>
    <w:rsid w:val="00C9509D"/>
    <w:rsid w:val="00C950CE"/>
    <w:rsid w:val="00C950E2"/>
    <w:rsid w:val="00C9516C"/>
    <w:rsid w:val="00C95173"/>
    <w:rsid w:val="00C9517E"/>
    <w:rsid w:val="00C9518D"/>
    <w:rsid w:val="00C951D7"/>
    <w:rsid w:val="00C951EA"/>
    <w:rsid w:val="00C95219"/>
    <w:rsid w:val="00C95226"/>
    <w:rsid w:val="00C9523F"/>
    <w:rsid w:val="00C9525D"/>
    <w:rsid w:val="00C95273"/>
    <w:rsid w:val="00C9528C"/>
    <w:rsid w:val="00C952CC"/>
    <w:rsid w:val="00C952D2"/>
    <w:rsid w:val="00C952DB"/>
    <w:rsid w:val="00C952E7"/>
    <w:rsid w:val="00C9536F"/>
    <w:rsid w:val="00C95388"/>
    <w:rsid w:val="00C9539A"/>
    <w:rsid w:val="00C95424"/>
    <w:rsid w:val="00C9543F"/>
    <w:rsid w:val="00C95449"/>
    <w:rsid w:val="00C9548C"/>
    <w:rsid w:val="00C95498"/>
    <w:rsid w:val="00C954B0"/>
    <w:rsid w:val="00C9552E"/>
    <w:rsid w:val="00C9565C"/>
    <w:rsid w:val="00C95669"/>
    <w:rsid w:val="00C95679"/>
    <w:rsid w:val="00C9567E"/>
    <w:rsid w:val="00C9571F"/>
    <w:rsid w:val="00C95778"/>
    <w:rsid w:val="00C9581A"/>
    <w:rsid w:val="00C95820"/>
    <w:rsid w:val="00C95827"/>
    <w:rsid w:val="00C9586A"/>
    <w:rsid w:val="00C95871"/>
    <w:rsid w:val="00C958B6"/>
    <w:rsid w:val="00C958EC"/>
    <w:rsid w:val="00C9590F"/>
    <w:rsid w:val="00C95957"/>
    <w:rsid w:val="00C959C3"/>
    <w:rsid w:val="00C95A01"/>
    <w:rsid w:val="00C95A0E"/>
    <w:rsid w:val="00C95A65"/>
    <w:rsid w:val="00C95A88"/>
    <w:rsid w:val="00C95AC9"/>
    <w:rsid w:val="00C95B15"/>
    <w:rsid w:val="00C95B72"/>
    <w:rsid w:val="00C95B7D"/>
    <w:rsid w:val="00C95BB9"/>
    <w:rsid w:val="00C95BDA"/>
    <w:rsid w:val="00C95BE3"/>
    <w:rsid w:val="00C95C07"/>
    <w:rsid w:val="00C95C1D"/>
    <w:rsid w:val="00C95C4A"/>
    <w:rsid w:val="00C95C50"/>
    <w:rsid w:val="00C95C7E"/>
    <w:rsid w:val="00C95CAB"/>
    <w:rsid w:val="00C95D00"/>
    <w:rsid w:val="00C95D46"/>
    <w:rsid w:val="00C95D88"/>
    <w:rsid w:val="00C95DD1"/>
    <w:rsid w:val="00C95DD9"/>
    <w:rsid w:val="00C95E05"/>
    <w:rsid w:val="00C95E1C"/>
    <w:rsid w:val="00C95E3C"/>
    <w:rsid w:val="00C95E3F"/>
    <w:rsid w:val="00C95E48"/>
    <w:rsid w:val="00C95E64"/>
    <w:rsid w:val="00C95E89"/>
    <w:rsid w:val="00C95E9F"/>
    <w:rsid w:val="00C95F5D"/>
    <w:rsid w:val="00C95FA1"/>
    <w:rsid w:val="00C95FB6"/>
    <w:rsid w:val="00C95FB9"/>
    <w:rsid w:val="00C95FD1"/>
    <w:rsid w:val="00C95FE7"/>
    <w:rsid w:val="00C96030"/>
    <w:rsid w:val="00C960E7"/>
    <w:rsid w:val="00C961F7"/>
    <w:rsid w:val="00C9625F"/>
    <w:rsid w:val="00C9627E"/>
    <w:rsid w:val="00C96281"/>
    <w:rsid w:val="00C96289"/>
    <w:rsid w:val="00C9629F"/>
    <w:rsid w:val="00C962BC"/>
    <w:rsid w:val="00C962D5"/>
    <w:rsid w:val="00C962E0"/>
    <w:rsid w:val="00C962FE"/>
    <w:rsid w:val="00C9637D"/>
    <w:rsid w:val="00C96398"/>
    <w:rsid w:val="00C9642A"/>
    <w:rsid w:val="00C9647E"/>
    <w:rsid w:val="00C964C4"/>
    <w:rsid w:val="00C964DA"/>
    <w:rsid w:val="00C96503"/>
    <w:rsid w:val="00C96518"/>
    <w:rsid w:val="00C96538"/>
    <w:rsid w:val="00C9653A"/>
    <w:rsid w:val="00C9658D"/>
    <w:rsid w:val="00C965D1"/>
    <w:rsid w:val="00C96625"/>
    <w:rsid w:val="00C96677"/>
    <w:rsid w:val="00C966B5"/>
    <w:rsid w:val="00C966B6"/>
    <w:rsid w:val="00C966B8"/>
    <w:rsid w:val="00C966CD"/>
    <w:rsid w:val="00C96805"/>
    <w:rsid w:val="00C9680C"/>
    <w:rsid w:val="00C96812"/>
    <w:rsid w:val="00C968F2"/>
    <w:rsid w:val="00C9694C"/>
    <w:rsid w:val="00C96960"/>
    <w:rsid w:val="00C96965"/>
    <w:rsid w:val="00C969B2"/>
    <w:rsid w:val="00C969E9"/>
    <w:rsid w:val="00C96A37"/>
    <w:rsid w:val="00C96A3A"/>
    <w:rsid w:val="00C96AD8"/>
    <w:rsid w:val="00C96B00"/>
    <w:rsid w:val="00C96B3A"/>
    <w:rsid w:val="00C96B8A"/>
    <w:rsid w:val="00C96B96"/>
    <w:rsid w:val="00C96BC4"/>
    <w:rsid w:val="00C96BE1"/>
    <w:rsid w:val="00C96BF4"/>
    <w:rsid w:val="00C96C1B"/>
    <w:rsid w:val="00C96C58"/>
    <w:rsid w:val="00C96C5F"/>
    <w:rsid w:val="00C96C8C"/>
    <w:rsid w:val="00C96C8F"/>
    <w:rsid w:val="00C96CB3"/>
    <w:rsid w:val="00C96CFF"/>
    <w:rsid w:val="00C96D75"/>
    <w:rsid w:val="00C96DB7"/>
    <w:rsid w:val="00C96E6B"/>
    <w:rsid w:val="00C96E6E"/>
    <w:rsid w:val="00C96EA3"/>
    <w:rsid w:val="00C96ECF"/>
    <w:rsid w:val="00C96EEF"/>
    <w:rsid w:val="00C96F3F"/>
    <w:rsid w:val="00C9702D"/>
    <w:rsid w:val="00C97033"/>
    <w:rsid w:val="00C970A1"/>
    <w:rsid w:val="00C970C2"/>
    <w:rsid w:val="00C970D8"/>
    <w:rsid w:val="00C97154"/>
    <w:rsid w:val="00C97162"/>
    <w:rsid w:val="00C971D0"/>
    <w:rsid w:val="00C971EA"/>
    <w:rsid w:val="00C97205"/>
    <w:rsid w:val="00C9721F"/>
    <w:rsid w:val="00C97266"/>
    <w:rsid w:val="00C972AC"/>
    <w:rsid w:val="00C972C6"/>
    <w:rsid w:val="00C972DD"/>
    <w:rsid w:val="00C97397"/>
    <w:rsid w:val="00C97430"/>
    <w:rsid w:val="00C9745D"/>
    <w:rsid w:val="00C97488"/>
    <w:rsid w:val="00C97493"/>
    <w:rsid w:val="00C974C4"/>
    <w:rsid w:val="00C97572"/>
    <w:rsid w:val="00C975C8"/>
    <w:rsid w:val="00C975E5"/>
    <w:rsid w:val="00C97607"/>
    <w:rsid w:val="00C97632"/>
    <w:rsid w:val="00C97678"/>
    <w:rsid w:val="00C976B6"/>
    <w:rsid w:val="00C97708"/>
    <w:rsid w:val="00C97773"/>
    <w:rsid w:val="00C97785"/>
    <w:rsid w:val="00C9779D"/>
    <w:rsid w:val="00C9779E"/>
    <w:rsid w:val="00C977D5"/>
    <w:rsid w:val="00C97840"/>
    <w:rsid w:val="00C978CB"/>
    <w:rsid w:val="00C97918"/>
    <w:rsid w:val="00C97986"/>
    <w:rsid w:val="00C97996"/>
    <w:rsid w:val="00C97A0F"/>
    <w:rsid w:val="00C97A3E"/>
    <w:rsid w:val="00C97A4A"/>
    <w:rsid w:val="00C97A71"/>
    <w:rsid w:val="00C97A8C"/>
    <w:rsid w:val="00C97A9A"/>
    <w:rsid w:val="00C97A9C"/>
    <w:rsid w:val="00C97B86"/>
    <w:rsid w:val="00C97BC8"/>
    <w:rsid w:val="00C97BEC"/>
    <w:rsid w:val="00C97BF7"/>
    <w:rsid w:val="00C97C12"/>
    <w:rsid w:val="00C97C39"/>
    <w:rsid w:val="00C97C43"/>
    <w:rsid w:val="00C97CBF"/>
    <w:rsid w:val="00C97CFB"/>
    <w:rsid w:val="00C97D0C"/>
    <w:rsid w:val="00C97D46"/>
    <w:rsid w:val="00C97D78"/>
    <w:rsid w:val="00C97D95"/>
    <w:rsid w:val="00C97DA2"/>
    <w:rsid w:val="00C97DBF"/>
    <w:rsid w:val="00C97DE1"/>
    <w:rsid w:val="00C97E66"/>
    <w:rsid w:val="00C97E79"/>
    <w:rsid w:val="00C97F18"/>
    <w:rsid w:val="00C97F3E"/>
    <w:rsid w:val="00C97F85"/>
    <w:rsid w:val="00C97FFB"/>
    <w:rsid w:val="00CA0069"/>
    <w:rsid w:val="00CA0072"/>
    <w:rsid w:val="00CA00A7"/>
    <w:rsid w:val="00CA00B4"/>
    <w:rsid w:val="00CA00B8"/>
    <w:rsid w:val="00CA00C4"/>
    <w:rsid w:val="00CA00FF"/>
    <w:rsid w:val="00CA0130"/>
    <w:rsid w:val="00CA0178"/>
    <w:rsid w:val="00CA023D"/>
    <w:rsid w:val="00CA0258"/>
    <w:rsid w:val="00CA0263"/>
    <w:rsid w:val="00CA028E"/>
    <w:rsid w:val="00CA02F6"/>
    <w:rsid w:val="00CA0398"/>
    <w:rsid w:val="00CA039F"/>
    <w:rsid w:val="00CA03B6"/>
    <w:rsid w:val="00CA03EB"/>
    <w:rsid w:val="00CA0457"/>
    <w:rsid w:val="00CA04C7"/>
    <w:rsid w:val="00CA0538"/>
    <w:rsid w:val="00CA0539"/>
    <w:rsid w:val="00CA0540"/>
    <w:rsid w:val="00CA05DF"/>
    <w:rsid w:val="00CA05F4"/>
    <w:rsid w:val="00CA06A2"/>
    <w:rsid w:val="00CA06C3"/>
    <w:rsid w:val="00CA0722"/>
    <w:rsid w:val="00CA0772"/>
    <w:rsid w:val="00CA0774"/>
    <w:rsid w:val="00CA078E"/>
    <w:rsid w:val="00CA0837"/>
    <w:rsid w:val="00CA0867"/>
    <w:rsid w:val="00CA0962"/>
    <w:rsid w:val="00CA09AD"/>
    <w:rsid w:val="00CA09C2"/>
    <w:rsid w:val="00CA09DA"/>
    <w:rsid w:val="00CA0A1C"/>
    <w:rsid w:val="00CA0A43"/>
    <w:rsid w:val="00CA0BDE"/>
    <w:rsid w:val="00CA0C05"/>
    <w:rsid w:val="00CA0C37"/>
    <w:rsid w:val="00CA0C97"/>
    <w:rsid w:val="00CA0CA0"/>
    <w:rsid w:val="00CA0D64"/>
    <w:rsid w:val="00CA0D73"/>
    <w:rsid w:val="00CA0D8A"/>
    <w:rsid w:val="00CA0DF1"/>
    <w:rsid w:val="00CA0E2D"/>
    <w:rsid w:val="00CA0E40"/>
    <w:rsid w:val="00CA0E5E"/>
    <w:rsid w:val="00CA0ECF"/>
    <w:rsid w:val="00CA0F02"/>
    <w:rsid w:val="00CA0F55"/>
    <w:rsid w:val="00CA0F9F"/>
    <w:rsid w:val="00CA0FD7"/>
    <w:rsid w:val="00CA0FE7"/>
    <w:rsid w:val="00CA102E"/>
    <w:rsid w:val="00CA103E"/>
    <w:rsid w:val="00CA1049"/>
    <w:rsid w:val="00CA106E"/>
    <w:rsid w:val="00CA106F"/>
    <w:rsid w:val="00CA109D"/>
    <w:rsid w:val="00CA10ED"/>
    <w:rsid w:val="00CA1128"/>
    <w:rsid w:val="00CA11D6"/>
    <w:rsid w:val="00CA127A"/>
    <w:rsid w:val="00CA12A5"/>
    <w:rsid w:val="00CA12E4"/>
    <w:rsid w:val="00CA12F1"/>
    <w:rsid w:val="00CA130A"/>
    <w:rsid w:val="00CA1331"/>
    <w:rsid w:val="00CA13BB"/>
    <w:rsid w:val="00CA1451"/>
    <w:rsid w:val="00CA14B0"/>
    <w:rsid w:val="00CA14C1"/>
    <w:rsid w:val="00CA14DA"/>
    <w:rsid w:val="00CA150D"/>
    <w:rsid w:val="00CA1557"/>
    <w:rsid w:val="00CA157D"/>
    <w:rsid w:val="00CA159B"/>
    <w:rsid w:val="00CA15A8"/>
    <w:rsid w:val="00CA15EC"/>
    <w:rsid w:val="00CA1615"/>
    <w:rsid w:val="00CA1625"/>
    <w:rsid w:val="00CA16C7"/>
    <w:rsid w:val="00CA173F"/>
    <w:rsid w:val="00CA1743"/>
    <w:rsid w:val="00CA174C"/>
    <w:rsid w:val="00CA178C"/>
    <w:rsid w:val="00CA1797"/>
    <w:rsid w:val="00CA17B9"/>
    <w:rsid w:val="00CA17BA"/>
    <w:rsid w:val="00CA1840"/>
    <w:rsid w:val="00CA18A7"/>
    <w:rsid w:val="00CA18D1"/>
    <w:rsid w:val="00CA1991"/>
    <w:rsid w:val="00CA19B8"/>
    <w:rsid w:val="00CA1A66"/>
    <w:rsid w:val="00CA1A80"/>
    <w:rsid w:val="00CA1ADE"/>
    <w:rsid w:val="00CA1B08"/>
    <w:rsid w:val="00CA1B23"/>
    <w:rsid w:val="00CA1B2F"/>
    <w:rsid w:val="00CA1B34"/>
    <w:rsid w:val="00CA1B52"/>
    <w:rsid w:val="00CA1B64"/>
    <w:rsid w:val="00CA1C00"/>
    <w:rsid w:val="00CA1C2A"/>
    <w:rsid w:val="00CA1C55"/>
    <w:rsid w:val="00CA1C58"/>
    <w:rsid w:val="00CA1C72"/>
    <w:rsid w:val="00CA1C7C"/>
    <w:rsid w:val="00CA1C80"/>
    <w:rsid w:val="00CA1CAC"/>
    <w:rsid w:val="00CA1D1F"/>
    <w:rsid w:val="00CA1D21"/>
    <w:rsid w:val="00CA1DFA"/>
    <w:rsid w:val="00CA1DFF"/>
    <w:rsid w:val="00CA1E10"/>
    <w:rsid w:val="00CA1E12"/>
    <w:rsid w:val="00CA1E52"/>
    <w:rsid w:val="00CA1E5D"/>
    <w:rsid w:val="00CA1E7D"/>
    <w:rsid w:val="00CA1E93"/>
    <w:rsid w:val="00CA1EB1"/>
    <w:rsid w:val="00CA1EDA"/>
    <w:rsid w:val="00CA1EE6"/>
    <w:rsid w:val="00CA1F04"/>
    <w:rsid w:val="00CA1F45"/>
    <w:rsid w:val="00CA1F69"/>
    <w:rsid w:val="00CA1F78"/>
    <w:rsid w:val="00CA2016"/>
    <w:rsid w:val="00CA20A9"/>
    <w:rsid w:val="00CA20CF"/>
    <w:rsid w:val="00CA20DE"/>
    <w:rsid w:val="00CA20FD"/>
    <w:rsid w:val="00CA2157"/>
    <w:rsid w:val="00CA21B3"/>
    <w:rsid w:val="00CA21E1"/>
    <w:rsid w:val="00CA2238"/>
    <w:rsid w:val="00CA2300"/>
    <w:rsid w:val="00CA230E"/>
    <w:rsid w:val="00CA235C"/>
    <w:rsid w:val="00CA238E"/>
    <w:rsid w:val="00CA2434"/>
    <w:rsid w:val="00CA2447"/>
    <w:rsid w:val="00CA247B"/>
    <w:rsid w:val="00CA2487"/>
    <w:rsid w:val="00CA248C"/>
    <w:rsid w:val="00CA24D3"/>
    <w:rsid w:val="00CA2527"/>
    <w:rsid w:val="00CA258D"/>
    <w:rsid w:val="00CA25B3"/>
    <w:rsid w:val="00CA2614"/>
    <w:rsid w:val="00CA2683"/>
    <w:rsid w:val="00CA2686"/>
    <w:rsid w:val="00CA272D"/>
    <w:rsid w:val="00CA275A"/>
    <w:rsid w:val="00CA2828"/>
    <w:rsid w:val="00CA2833"/>
    <w:rsid w:val="00CA2878"/>
    <w:rsid w:val="00CA28A7"/>
    <w:rsid w:val="00CA2948"/>
    <w:rsid w:val="00CA2956"/>
    <w:rsid w:val="00CA29DE"/>
    <w:rsid w:val="00CA2A0E"/>
    <w:rsid w:val="00CA2A35"/>
    <w:rsid w:val="00CA2A68"/>
    <w:rsid w:val="00CA2A8B"/>
    <w:rsid w:val="00CA2AE4"/>
    <w:rsid w:val="00CA2B1F"/>
    <w:rsid w:val="00CA2B29"/>
    <w:rsid w:val="00CA2B4E"/>
    <w:rsid w:val="00CA2BDA"/>
    <w:rsid w:val="00CA2C33"/>
    <w:rsid w:val="00CA2C46"/>
    <w:rsid w:val="00CA2CB8"/>
    <w:rsid w:val="00CA2D9C"/>
    <w:rsid w:val="00CA2DA6"/>
    <w:rsid w:val="00CA2E13"/>
    <w:rsid w:val="00CA2E6C"/>
    <w:rsid w:val="00CA2E7C"/>
    <w:rsid w:val="00CA2E93"/>
    <w:rsid w:val="00CA2ED4"/>
    <w:rsid w:val="00CA2F07"/>
    <w:rsid w:val="00CA2F5F"/>
    <w:rsid w:val="00CA2F69"/>
    <w:rsid w:val="00CA2FB0"/>
    <w:rsid w:val="00CA2FF3"/>
    <w:rsid w:val="00CA302A"/>
    <w:rsid w:val="00CA3061"/>
    <w:rsid w:val="00CA306C"/>
    <w:rsid w:val="00CA30BA"/>
    <w:rsid w:val="00CA30CB"/>
    <w:rsid w:val="00CA30DB"/>
    <w:rsid w:val="00CA30E7"/>
    <w:rsid w:val="00CA30FC"/>
    <w:rsid w:val="00CA3159"/>
    <w:rsid w:val="00CA315A"/>
    <w:rsid w:val="00CA3196"/>
    <w:rsid w:val="00CA31EF"/>
    <w:rsid w:val="00CA3205"/>
    <w:rsid w:val="00CA3208"/>
    <w:rsid w:val="00CA3228"/>
    <w:rsid w:val="00CA3238"/>
    <w:rsid w:val="00CA326C"/>
    <w:rsid w:val="00CA327A"/>
    <w:rsid w:val="00CA32B0"/>
    <w:rsid w:val="00CA32BA"/>
    <w:rsid w:val="00CA3337"/>
    <w:rsid w:val="00CA3399"/>
    <w:rsid w:val="00CA33FC"/>
    <w:rsid w:val="00CA349D"/>
    <w:rsid w:val="00CA34AD"/>
    <w:rsid w:val="00CA34C3"/>
    <w:rsid w:val="00CA34D5"/>
    <w:rsid w:val="00CA34FA"/>
    <w:rsid w:val="00CA3520"/>
    <w:rsid w:val="00CA3552"/>
    <w:rsid w:val="00CA358D"/>
    <w:rsid w:val="00CA359E"/>
    <w:rsid w:val="00CA35A9"/>
    <w:rsid w:val="00CA35E2"/>
    <w:rsid w:val="00CA3627"/>
    <w:rsid w:val="00CA3631"/>
    <w:rsid w:val="00CA3665"/>
    <w:rsid w:val="00CA36A4"/>
    <w:rsid w:val="00CA36BE"/>
    <w:rsid w:val="00CA36CC"/>
    <w:rsid w:val="00CA374D"/>
    <w:rsid w:val="00CA3755"/>
    <w:rsid w:val="00CA376C"/>
    <w:rsid w:val="00CA383B"/>
    <w:rsid w:val="00CA384F"/>
    <w:rsid w:val="00CA3889"/>
    <w:rsid w:val="00CA3928"/>
    <w:rsid w:val="00CA3957"/>
    <w:rsid w:val="00CA3990"/>
    <w:rsid w:val="00CA39F8"/>
    <w:rsid w:val="00CA3A25"/>
    <w:rsid w:val="00CA3AB2"/>
    <w:rsid w:val="00CA3ACD"/>
    <w:rsid w:val="00CA3B0B"/>
    <w:rsid w:val="00CA3B6C"/>
    <w:rsid w:val="00CA3B76"/>
    <w:rsid w:val="00CA3BE2"/>
    <w:rsid w:val="00CA3C52"/>
    <w:rsid w:val="00CA3CFF"/>
    <w:rsid w:val="00CA3D68"/>
    <w:rsid w:val="00CA3DB1"/>
    <w:rsid w:val="00CA3DF2"/>
    <w:rsid w:val="00CA3DFB"/>
    <w:rsid w:val="00CA3E1F"/>
    <w:rsid w:val="00CA3E71"/>
    <w:rsid w:val="00CA3E81"/>
    <w:rsid w:val="00CA3EC0"/>
    <w:rsid w:val="00CA3ECB"/>
    <w:rsid w:val="00CA3F0B"/>
    <w:rsid w:val="00CA3F3B"/>
    <w:rsid w:val="00CA3F74"/>
    <w:rsid w:val="00CA3F88"/>
    <w:rsid w:val="00CA3F91"/>
    <w:rsid w:val="00CA4072"/>
    <w:rsid w:val="00CA4074"/>
    <w:rsid w:val="00CA4088"/>
    <w:rsid w:val="00CA40B1"/>
    <w:rsid w:val="00CA40F7"/>
    <w:rsid w:val="00CA40FD"/>
    <w:rsid w:val="00CA411B"/>
    <w:rsid w:val="00CA411C"/>
    <w:rsid w:val="00CA4186"/>
    <w:rsid w:val="00CA4213"/>
    <w:rsid w:val="00CA424F"/>
    <w:rsid w:val="00CA4285"/>
    <w:rsid w:val="00CA42CC"/>
    <w:rsid w:val="00CA42F8"/>
    <w:rsid w:val="00CA435B"/>
    <w:rsid w:val="00CA4392"/>
    <w:rsid w:val="00CA4398"/>
    <w:rsid w:val="00CA43D6"/>
    <w:rsid w:val="00CA4402"/>
    <w:rsid w:val="00CA4415"/>
    <w:rsid w:val="00CA4433"/>
    <w:rsid w:val="00CA448B"/>
    <w:rsid w:val="00CA44C2"/>
    <w:rsid w:val="00CA4553"/>
    <w:rsid w:val="00CA45A2"/>
    <w:rsid w:val="00CA45BA"/>
    <w:rsid w:val="00CA45BC"/>
    <w:rsid w:val="00CA4605"/>
    <w:rsid w:val="00CA464D"/>
    <w:rsid w:val="00CA4658"/>
    <w:rsid w:val="00CA468B"/>
    <w:rsid w:val="00CA4698"/>
    <w:rsid w:val="00CA46E4"/>
    <w:rsid w:val="00CA470B"/>
    <w:rsid w:val="00CA4743"/>
    <w:rsid w:val="00CA4769"/>
    <w:rsid w:val="00CA47A9"/>
    <w:rsid w:val="00CA47B9"/>
    <w:rsid w:val="00CA4860"/>
    <w:rsid w:val="00CA4890"/>
    <w:rsid w:val="00CA4895"/>
    <w:rsid w:val="00CA48BE"/>
    <w:rsid w:val="00CA49B1"/>
    <w:rsid w:val="00CA49E0"/>
    <w:rsid w:val="00CA4A0C"/>
    <w:rsid w:val="00CA4A5B"/>
    <w:rsid w:val="00CA4B1D"/>
    <w:rsid w:val="00CA4B1E"/>
    <w:rsid w:val="00CA4B84"/>
    <w:rsid w:val="00CA4BA9"/>
    <w:rsid w:val="00CA4C14"/>
    <w:rsid w:val="00CA4C32"/>
    <w:rsid w:val="00CA4C4F"/>
    <w:rsid w:val="00CA4C93"/>
    <w:rsid w:val="00CA4CFC"/>
    <w:rsid w:val="00CA4DF6"/>
    <w:rsid w:val="00CA4E5C"/>
    <w:rsid w:val="00CA4E7E"/>
    <w:rsid w:val="00CA4E7F"/>
    <w:rsid w:val="00CA4E9D"/>
    <w:rsid w:val="00CA4ED6"/>
    <w:rsid w:val="00CA4F2E"/>
    <w:rsid w:val="00CA5035"/>
    <w:rsid w:val="00CA5080"/>
    <w:rsid w:val="00CA50C8"/>
    <w:rsid w:val="00CA50C9"/>
    <w:rsid w:val="00CA50D2"/>
    <w:rsid w:val="00CA511D"/>
    <w:rsid w:val="00CA5148"/>
    <w:rsid w:val="00CA5154"/>
    <w:rsid w:val="00CA5169"/>
    <w:rsid w:val="00CA51C9"/>
    <w:rsid w:val="00CA5215"/>
    <w:rsid w:val="00CA526D"/>
    <w:rsid w:val="00CA526E"/>
    <w:rsid w:val="00CA52B3"/>
    <w:rsid w:val="00CA533F"/>
    <w:rsid w:val="00CA5349"/>
    <w:rsid w:val="00CA53B0"/>
    <w:rsid w:val="00CA53B6"/>
    <w:rsid w:val="00CA53BF"/>
    <w:rsid w:val="00CA546C"/>
    <w:rsid w:val="00CA551B"/>
    <w:rsid w:val="00CA5565"/>
    <w:rsid w:val="00CA55AB"/>
    <w:rsid w:val="00CA55D5"/>
    <w:rsid w:val="00CA55DF"/>
    <w:rsid w:val="00CA55EC"/>
    <w:rsid w:val="00CA5620"/>
    <w:rsid w:val="00CA5672"/>
    <w:rsid w:val="00CA56B8"/>
    <w:rsid w:val="00CA56D5"/>
    <w:rsid w:val="00CA56F3"/>
    <w:rsid w:val="00CA574D"/>
    <w:rsid w:val="00CA5757"/>
    <w:rsid w:val="00CA5762"/>
    <w:rsid w:val="00CA576A"/>
    <w:rsid w:val="00CA5781"/>
    <w:rsid w:val="00CA57B5"/>
    <w:rsid w:val="00CA5802"/>
    <w:rsid w:val="00CA5810"/>
    <w:rsid w:val="00CA58AD"/>
    <w:rsid w:val="00CA598F"/>
    <w:rsid w:val="00CA5A13"/>
    <w:rsid w:val="00CA5A69"/>
    <w:rsid w:val="00CA5AA7"/>
    <w:rsid w:val="00CA5AB0"/>
    <w:rsid w:val="00CA5B31"/>
    <w:rsid w:val="00CA5B6B"/>
    <w:rsid w:val="00CA5BA6"/>
    <w:rsid w:val="00CA5BFB"/>
    <w:rsid w:val="00CA5C1A"/>
    <w:rsid w:val="00CA5C3D"/>
    <w:rsid w:val="00CA5D1B"/>
    <w:rsid w:val="00CA5DFC"/>
    <w:rsid w:val="00CA5E14"/>
    <w:rsid w:val="00CA5E2E"/>
    <w:rsid w:val="00CA5E48"/>
    <w:rsid w:val="00CA5E6C"/>
    <w:rsid w:val="00CA5E8C"/>
    <w:rsid w:val="00CA5EAC"/>
    <w:rsid w:val="00CA5ED2"/>
    <w:rsid w:val="00CA5EF1"/>
    <w:rsid w:val="00CA5F02"/>
    <w:rsid w:val="00CA5FD1"/>
    <w:rsid w:val="00CA5FED"/>
    <w:rsid w:val="00CA600E"/>
    <w:rsid w:val="00CA6060"/>
    <w:rsid w:val="00CA61A2"/>
    <w:rsid w:val="00CA6234"/>
    <w:rsid w:val="00CA627A"/>
    <w:rsid w:val="00CA6313"/>
    <w:rsid w:val="00CA6393"/>
    <w:rsid w:val="00CA63A2"/>
    <w:rsid w:val="00CA63F6"/>
    <w:rsid w:val="00CA63FB"/>
    <w:rsid w:val="00CA643A"/>
    <w:rsid w:val="00CA6468"/>
    <w:rsid w:val="00CA6515"/>
    <w:rsid w:val="00CA652E"/>
    <w:rsid w:val="00CA6593"/>
    <w:rsid w:val="00CA6597"/>
    <w:rsid w:val="00CA659E"/>
    <w:rsid w:val="00CA6657"/>
    <w:rsid w:val="00CA672A"/>
    <w:rsid w:val="00CA672D"/>
    <w:rsid w:val="00CA6735"/>
    <w:rsid w:val="00CA6838"/>
    <w:rsid w:val="00CA6857"/>
    <w:rsid w:val="00CA694E"/>
    <w:rsid w:val="00CA696A"/>
    <w:rsid w:val="00CA69C5"/>
    <w:rsid w:val="00CA69D2"/>
    <w:rsid w:val="00CA69F1"/>
    <w:rsid w:val="00CA6A0A"/>
    <w:rsid w:val="00CA6A21"/>
    <w:rsid w:val="00CA6A27"/>
    <w:rsid w:val="00CA6A8A"/>
    <w:rsid w:val="00CA6AF0"/>
    <w:rsid w:val="00CA6AFE"/>
    <w:rsid w:val="00CA6B37"/>
    <w:rsid w:val="00CA6B3E"/>
    <w:rsid w:val="00CA6B6E"/>
    <w:rsid w:val="00CA6C02"/>
    <w:rsid w:val="00CA6C12"/>
    <w:rsid w:val="00CA6C32"/>
    <w:rsid w:val="00CA6C75"/>
    <w:rsid w:val="00CA6C7A"/>
    <w:rsid w:val="00CA6C91"/>
    <w:rsid w:val="00CA6D08"/>
    <w:rsid w:val="00CA6D6A"/>
    <w:rsid w:val="00CA6D79"/>
    <w:rsid w:val="00CA6DA6"/>
    <w:rsid w:val="00CA6DC4"/>
    <w:rsid w:val="00CA6DC8"/>
    <w:rsid w:val="00CA6DD8"/>
    <w:rsid w:val="00CA6DE0"/>
    <w:rsid w:val="00CA6E27"/>
    <w:rsid w:val="00CA6E6F"/>
    <w:rsid w:val="00CA6F1E"/>
    <w:rsid w:val="00CA6F49"/>
    <w:rsid w:val="00CA6F4F"/>
    <w:rsid w:val="00CA6FB5"/>
    <w:rsid w:val="00CA6FCE"/>
    <w:rsid w:val="00CA700C"/>
    <w:rsid w:val="00CA70D4"/>
    <w:rsid w:val="00CA7196"/>
    <w:rsid w:val="00CA71B6"/>
    <w:rsid w:val="00CA71B8"/>
    <w:rsid w:val="00CA7225"/>
    <w:rsid w:val="00CA72B9"/>
    <w:rsid w:val="00CA72BD"/>
    <w:rsid w:val="00CA730F"/>
    <w:rsid w:val="00CA735F"/>
    <w:rsid w:val="00CA7418"/>
    <w:rsid w:val="00CA744C"/>
    <w:rsid w:val="00CA74EA"/>
    <w:rsid w:val="00CA7588"/>
    <w:rsid w:val="00CA758F"/>
    <w:rsid w:val="00CA75C4"/>
    <w:rsid w:val="00CA75D7"/>
    <w:rsid w:val="00CA75EA"/>
    <w:rsid w:val="00CA7624"/>
    <w:rsid w:val="00CA7671"/>
    <w:rsid w:val="00CA7679"/>
    <w:rsid w:val="00CA7693"/>
    <w:rsid w:val="00CA76B2"/>
    <w:rsid w:val="00CA76B6"/>
    <w:rsid w:val="00CA76F6"/>
    <w:rsid w:val="00CA774E"/>
    <w:rsid w:val="00CA77AE"/>
    <w:rsid w:val="00CA77DA"/>
    <w:rsid w:val="00CA77E6"/>
    <w:rsid w:val="00CA7845"/>
    <w:rsid w:val="00CA78BF"/>
    <w:rsid w:val="00CA78C2"/>
    <w:rsid w:val="00CA78C5"/>
    <w:rsid w:val="00CA78D0"/>
    <w:rsid w:val="00CA78DB"/>
    <w:rsid w:val="00CA78EE"/>
    <w:rsid w:val="00CA7901"/>
    <w:rsid w:val="00CA793E"/>
    <w:rsid w:val="00CA794E"/>
    <w:rsid w:val="00CA7975"/>
    <w:rsid w:val="00CA79AD"/>
    <w:rsid w:val="00CA79AE"/>
    <w:rsid w:val="00CA7A28"/>
    <w:rsid w:val="00CA7A36"/>
    <w:rsid w:val="00CA7A43"/>
    <w:rsid w:val="00CA7BB9"/>
    <w:rsid w:val="00CA7BE4"/>
    <w:rsid w:val="00CA7C0B"/>
    <w:rsid w:val="00CA7C33"/>
    <w:rsid w:val="00CA7C73"/>
    <w:rsid w:val="00CA7C86"/>
    <w:rsid w:val="00CA7CEE"/>
    <w:rsid w:val="00CA7D5B"/>
    <w:rsid w:val="00CA7D7B"/>
    <w:rsid w:val="00CA7DBE"/>
    <w:rsid w:val="00CA7DE5"/>
    <w:rsid w:val="00CA7ED8"/>
    <w:rsid w:val="00CA7F1B"/>
    <w:rsid w:val="00CA7F27"/>
    <w:rsid w:val="00CA7F2D"/>
    <w:rsid w:val="00CA7F31"/>
    <w:rsid w:val="00CA7F6B"/>
    <w:rsid w:val="00CA7F89"/>
    <w:rsid w:val="00CB000C"/>
    <w:rsid w:val="00CB0050"/>
    <w:rsid w:val="00CB009E"/>
    <w:rsid w:val="00CB010A"/>
    <w:rsid w:val="00CB0142"/>
    <w:rsid w:val="00CB01AE"/>
    <w:rsid w:val="00CB0219"/>
    <w:rsid w:val="00CB024C"/>
    <w:rsid w:val="00CB0250"/>
    <w:rsid w:val="00CB0275"/>
    <w:rsid w:val="00CB032A"/>
    <w:rsid w:val="00CB040F"/>
    <w:rsid w:val="00CB041F"/>
    <w:rsid w:val="00CB0470"/>
    <w:rsid w:val="00CB04FE"/>
    <w:rsid w:val="00CB058C"/>
    <w:rsid w:val="00CB0722"/>
    <w:rsid w:val="00CB0727"/>
    <w:rsid w:val="00CB072E"/>
    <w:rsid w:val="00CB0740"/>
    <w:rsid w:val="00CB0742"/>
    <w:rsid w:val="00CB07D4"/>
    <w:rsid w:val="00CB0808"/>
    <w:rsid w:val="00CB0825"/>
    <w:rsid w:val="00CB082F"/>
    <w:rsid w:val="00CB0930"/>
    <w:rsid w:val="00CB0954"/>
    <w:rsid w:val="00CB095B"/>
    <w:rsid w:val="00CB0998"/>
    <w:rsid w:val="00CB0999"/>
    <w:rsid w:val="00CB09A3"/>
    <w:rsid w:val="00CB09C6"/>
    <w:rsid w:val="00CB09CD"/>
    <w:rsid w:val="00CB0A0D"/>
    <w:rsid w:val="00CB0A1D"/>
    <w:rsid w:val="00CB0A44"/>
    <w:rsid w:val="00CB0A49"/>
    <w:rsid w:val="00CB0A67"/>
    <w:rsid w:val="00CB0AC3"/>
    <w:rsid w:val="00CB0AE5"/>
    <w:rsid w:val="00CB0B22"/>
    <w:rsid w:val="00CB0B8C"/>
    <w:rsid w:val="00CB0BC0"/>
    <w:rsid w:val="00CB0BE2"/>
    <w:rsid w:val="00CB0BF5"/>
    <w:rsid w:val="00CB0C41"/>
    <w:rsid w:val="00CB0C51"/>
    <w:rsid w:val="00CB0CA8"/>
    <w:rsid w:val="00CB0CE8"/>
    <w:rsid w:val="00CB0CE9"/>
    <w:rsid w:val="00CB0D13"/>
    <w:rsid w:val="00CB0D16"/>
    <w:rsid w:val="00CB0D59"/>
    <w:rsid w:val="00CB0D63"/>
    <w:rsid w:val="00CB0D6C"/>
    <w:rsid w:val="00CB0DA5"/>
    <w:rsid w:val="00CB0E1A"/>
    <w:rsid w:val="00CB0E33"/>
    <w:rsid w:val="00CB0E56"/>
    <w:rsid w:val="00CB0E78"/>
    <w:rsid w:val="00CB0E82"/>
    <w:rsid w:val="00CB0EB2"/>
    <w:rsid w:val="00CB0EB4"/>
    <w:rsid w:val="00CB0F1D"/>
    <w:rsid w:val="00CB0F29"/>
    <w:rsid w:val="00CB0F3A"/>
    <w:rsid w:val="00CB0FA3"/>
    <w:rsid w:val="00CB101A"/>
    <w:rsid w:val="00CB1049"/>
    <w:rsid w:val="00CB1053"/>
    <w:rsid w:val="00CB106D"/>
    <w:rsid w:val="00CB1077"/>
    <w:rsid w:val="00CB1132"/>
    <w:rsid w:val="00CB1180"/>
    <w:rsid w:val="00CB122B"/>
    <w:rsid w:val="00CB12D0"/>
    <w:rsid w:val="00CB1353"/>
    <w:rsid w:val="00CB13BC"/>
    <w:rsid w:val="00CB1408"/>
    <w:rsid w:val="00CB1448"/>
    <w:rsid w:val="00CB1460"/>
    <w:rsid w:val="00CB1469"/>
    <w:rsid w:val="00CB14B2"/>
    <w:rsid w:val="00CB14C5"/>
    <w:rsid w:val="00CB1504"/>
    <w:rsid w:val="00CB1575"/>
    <w:rsid w:val="00CB160D"/>
    <w:rsid w:val="00CB16A9"/>
    <w:rsid w:val="00CB16B6"/>
    <w:rsid w:val="00CB16BA"/>
    <w:rsid w:val="00CB16CA"/>
    <w:rsid w:val="00CB16DD"/>
    <w:rsid w:val="00CB1701"/>
    <w:rsid w:val="00CB1719"/>
    <w:rsid w:val="00CB173A"/>
    <w:rsid w:val="00CB17C1"/>
    <w:rsid w:val="00CB17E5"/>
    <w:rsid w:val="00CB1848"/>
    <w:rsid w:val="00CB187B"/>
    <w:rsid w:val="00CB18C5"/>
    <w:rsid w:val="00CB18F4"/>
    <w:rsid w:val="00CB1945"/>
    <w:rsid w:val="00CB1A08"/>
    <w:rsid w:val="00CB1A12"/>
    <w:rsid w:val="00CB1A4D"/>
    <w:rsid w:val="00CB1AC1"/>
    <w:rsid w:val="00CB1B07"/>
    <w:rsid w:val="00CB1B22"/>
    <w:rsid w:val="00CB1B34"/>
    <w:rsid w:val="00CB1B5A"/>
    <w:rsid w:val="00CB1BEA"/>
    <w:rsid w:val="00CB1BF5"/>
    <w:rsid w:val="00CB1CBC"/>
    <w:rsid w:val="00CB1CBF"/>
    <w:rsid w:val="00CB1CC6"/>
    <w:rsid w:val="00CB1CD5"/>
    <w:rsid w:val="00CB1D26"/>
    <w:rsid w:val="00CB1D55"/>
    <w:rsid w:val="00CB1DD0"/>
    <w:rsid w:val="00CB1DE8"/>
    <w:rsid w:val="00CB1E11"/>
    <w:rsid w:val="00CB1E22"/>
    <w:rsid w:val="00CB1E3A"/>
    <w:rsid w:val="00CB1E54"/>
    <w:rsid w:val="00CB1E82"/>
    <w:rsid w:val="00CB1E8C"/>
    <w:rsid w:val="00CB1E93"/>
    <w:rsid w:val="00CB1EAD"/>
    <w:rsid w:val="00CB1EAF"/>
    <w:rsid w:val="00CB1F46"/>
    <w:rsid w:val="00CB1F66"/>
    <w:rsid w:val="00CB1F6D"/>
    <w:rsid w:val="00CB1F79"/>
    <w:rsid w:val="00CB1F94"/>
    <w:rsid w:val="00CB1FE9"/>
    <w:rsid w:val="00CB1FFD"/>
    <w:rsid w:val="00CB2035"/>
    <w:rsid w:val="00CB209F"/>
    <w:rsid w:val="00CB2176"/>
    <w:rsid w:val="00CB2189"/>
    <w:rsid w:val="00CB21A6"/>
    <w:rsid w:val="00CB21A8"/>
    <w:rsid w:val="00CB21BD"/>
    <w:rsid w:val="00CB2226"/>
    <w:rsid w:val="00CB2239"/>
    <w:rsid w:val="00CB2297"/>
    <w:rsid w:val="00CB22AC"/>
    <w:rsid w:val="00CB22D0"/>
    <w:rsid w:val="00CB233A"/>
    <w:rsid w:val="00CB2362"/>
    <w:rsid w:val="00CB238A"/>
    <w:rsid w:val="00CB23A4"/>
    <w:rsid w:val="00CB23BA"/>
    <w:rsid w:val="00CB23C8"/>
    <w:rsid w:val="00CB240F"/>
    <w:rsid w:val="00CB2433"/>
    <w:rsid w:val="00CB2460"/>
    <w:rsid w:val="00CB246C"/>
    <w:rsid w:val="00CB2496"/>
    <w:rsid w:val="00CB24CE"/>
    <w:rsid w:val="00CB24D2"/>
    <w:rsid w:val="00CB24DB"/>
    <w:rsid w:val="00CB24F9"/>
    <w:rsid w:val="00CB2506"/>
    <w:rsid w:val="00CB25A5"/>
    <w:rsid w:val="00CB2661"/>
    <w:rsid w:val="00CB266B"/>
    <w:rsid w:val="00CB26C0"/>
    <w:rsid w:val="00CB26E6"/>
    <w:rsid w:val="00CB26E7"/>
    <w:rsid w:val="00CB2716"/>
    <w:rsid w:val="00CB2743"/>
    <w:rsid w:val="00CB2790"/>
    <w:rsid w:val="00CB2792"/>
    <w:rsid w:val="00CB27A7"/>
    <w:rsid w:val="00CB27D9"/>
    <w:rsid w:val="00CB2814"/>
    <w:rsid w:val="00CB28CF"/>
    <w:rsid w:val="00CB29D8"/>
    <w:rsid w:val="00CB2A00"/>
    <w:rsid w:val="00CB2A51"/>
    <w:rsid w:val="00CB2AB7"/>
    <w:rsid w:val="00CB2AB9"/>
    <w:rsid w:val="00CB2AC8"/>
    <w:rsid w:val="00CB2AEB"/>
    <w:rsid w:val="00CB2AFB"/>
    <w:rsid w:val="00CB2B0A"/>
    <w:rsid w:val="00CB2B0D"/>
    <w:rsid w:val="00CB2B24"/>
    <w:rsid w:val="00CB2BAB"/>
    <w:rsid w:val="00CB2BC2"/>
    <w:rsid w:val="00CB2BDE"/>
    <w:rsid w:val="00CB2BF4"/>
    <w:rsid w:val="00CB2C6B"/>
    <w:rsid w:val="00CB2CBA"/>
    <w:rsid w:val="00CB2CBC"/>
    <w:rsid w:val="00CB2CE4"/>
    <w:rsid w:val="00CB2CE6"/>
    <w:rsid w:val="00CB2D85"/>
    <w:rsid w:val="00CB2DBF"/>
    <w:rsid w:val="00CB2E40"/>
    <w:rsid w:val="00CB2EA3"/>
    <w:rsid w:val="00CB2ED6"/>
    <w:rsid w:val="00CB2FAD"/>
    <w:rsid w:val="00CB2FBA"/>
    <w:rsid w:val="00CB3011"/>
    <w:rsid w:val="00CB3020"/>
    <w:rsid w:val="00CB3050"/>
    <w:rsid w:val="00CB3052"/>
    <w:rsid w:val="00CB30AF"/>
    <w:rsid w:val="00CB30F3"/>
    <w:rsid w:val="00CB3103"/>
    <w:rsid w:val="00CB3129"/>
    <w:rsid w:val="00CB3130"/>
    <w:rsid w:val="00CB3139"/>
    <w:rsid w:val="00CB313E"/>
    <w:rsid w:val="00CB3195"/>
    <w:rsid w:val="00CB319D"/>
    <w:rsid w:val="00CB31FE"/>
    <w:rsid w:val="00CB3226"/>
    <w:rsid w:val="00CB33B3"/>
    <w:rsid w:val="00CB33C6"/>
    <w:rsid w:val="00CB34F9"/>
    <w:rsid w:val="00CB3516"/>
    <w:rsid w:val="00CB3529"/>
    <w:rsid w:val="00CB3550"/>
    <w:rsid w:val="00CB35AF"/>
    <w:rsid w:val="00CB35DF"/>
    <w:rsid w:val="00CB35EC"/>
    <w:rsid w:val="00CB35FF"/>
    <w:rsid w:val="00CB361D"/>
    <w:rsid w:val="00CB362F"/>
    <w:rsid w:val="00CB3636"/>
    <w:rsid w:val="00CB364C"/>
    <w:rsid w:val="00CB3772"/>
    <w:rsid w:val="00CB37A0"/>
    <w:rsid w:val="00CB37BB"/>
    <w:rsid w:val="00CB37FC"/>
    <w:rsid w:val="00CB38A4"/>
    <w:rsid w:val="00CB38C7"/>
    <w:rsid w:val="00CB3963"/>
    <w:rsid w:val="00CB39CB"/>
    <w:rsid w:val="00CB3ADA"/>
    <w:rsid w:val="00CB3AF2"/>
    <w:rsid w:val="00CB3B61"/>
    <w:rsid w:val="00CB3B98"/>
    <w:rsid w:val="00CB3BA1"/>
    <w:rsid w:val="00CB3BB8"/>
    <w:rsid w:val="00CB3C80"/>
    <w:rsid w:val="00CB3C89"/>
    <w:rsid w:val="00CB3CE7"/>
    <w:rsid w:val="00CB3CFC"/>
    <w:rsid w:val="00CB3D20"/>
    <w:rsid w:val="00CB3D42"/>
    <w:rsid w:val="00CB3D5F"/>
    <w:rsid w:val="00CB3D61"/>
    <w:rsid w:val="00CB3E05"/>
    <w:rsid w:val="00CB3E18"/>
    <w:rsid w:val="00CB3E36"/>
    <w:rsid w:val="00CB3EDE"/>
    <w:rsid w:val="00CB3F26"/>
    <w:rsid w:val="00CB3F51"/>
    <w:rsid w:val="00CB3F71"/>
    <w:rsid w:val="00CB3F9D"/>
    <w:rsid w:val="00CB3FB7"/>
    <w:rsid w:val="00CB3FCA"/>
    <w:rsid w:val="00CB401D"/>
    <w:rsid w:val="00CB4025"/>
    <w:rsid w:val="00CB40FE"/>
    <w:rsid w:val="00CB4113"/>
    <w:rsid w:val="00CB411E"/>
    <w:rsid w:val="00CB417C"/>
    <w:rsid w:val="00CB4184"/>
    <w:rsid w:val="00CB41B8"/>
    <w:rsid w:val="00CB41C5"/>
    <w:rsid w:val="00CB4262"/>
    <w:rsid w:val="00CB429D"/>
    <w:rsid w:val="00CB42F6"/>
    <w:rsid w:val="00CB4355"/>
    <w:rsid w:val="00CB43B7"/>
    <w:rsid w:val="00CB43D2"/>
    <w:rsid w:val="00CB4413"/>
    <w:rsid w:val="00CB4469"/>
    <w:rsid w:val="00CB4487"/>
    <w:rsid w:val="00CB4502"/>
    <w:rsid w:val="00CB4508"/>
    <w:rsid w:val="00CB459A"/>
    <w:rsid w:val="00CB45A4"/>
    <w:rsid w:val="00CB45A6"/>
    <w:rsid w:val="00CB462A"/>
    <w:rsid w:val="00CB462F"/>
    <w:rsid w:val="00CB4662"/>
    <w:rsid w:val="00CB4669"/>
    <w:rsid w:val="00CB4683"/>
    <w:rsid w:val="00CB4689"/>
    <w:rsid w:val="00CB4697"/>
    <w:rsid w:val="00CB46A7"/>
    <w:rsid w:val="00CB46FF"/>
    <w:rsid w:val="00CB4713"/>
    <w:rsid w:val="00CB4755"/>
    <w:rsid w:val="00CB47A5"/>
    <w:rsid w:val="00CB47AF"/>
    <w:rsid w:val="00CB47C1"/>
    <w:rsid w:val="00CB4800"/>
    <w:rsid w:val="00CB4811"/>
    <w:rsid w:val="00CB482D"/>
    <w:rsid w:val="00CB4837"/>
    <w:rsid w:val="00CB4858"/>
    <w:rsid w:val="00CB487E"/>
    <w:rsid w:val="00CB488B"/>
    <w:rsid w:val="00CB492E"/>
    <w:rsid w:val="00CB493D"/>
    <w:rsid w:val="00CB4941"/>
    <w:rsid w:val="00CB49CB"/>
    <w:rsid w:val="00CB49D9"/>
    <w:rsid w:val="00CB4A19"/>
    <w:rsid w:val="00CB4A64"/>
    <w:rsid w:val="00CB4AB3"/>
    <w:rsid w:val="00CB4AD4"/>
    <w:rsid w:val="00CB4AF0"/>
    <w:rsid w:val="00CB4C04"/>
    <w:rsid w:val="00CB4C37"/>
    <w:rsid w:val="00CB4C68"/>
    <w:rsid w:val="00CB4C98"/>
    <w:rsid w:val="00CB4CF5"/>
    <w:rsid w:val="00CB4D42"/>
    <w:rsid w:val="00CB4D68"/>
    <w:rsid w:val="00CB4DA7"/>
    <w:rsid w:val="00CB4DA9"/>
    <w:rsid w:val="00CB4DDB"/>
    <w:rsid w:val="00CB4E0F"/>
    <w:rsid w:val="00CB4E13"/>
    <w:rsid w:val="00CB4E3F"/>
    <w:rsid w:val="00CB4E95"/>
    <w:rsid w:val="00CB4EC1"/>
    <w:rsid w:val="00CB4EF6"/>
    <w:rsid w:val="00CB4F01"/>
    <w:rsid w:val="00CB4F72"/>
    <w:rsid w:val="00CB4F7B"/>
    <w:rsid w:val="00CB4F8B"/>
    <w:rsid w:val="00CB4FA2"/>
    <w:rsid w:val="00CB5062"/>
    <w:rsid w:val="00CB5099"/>
    <w:rsid w:val="00CB50A5"/>
    <w:rsid w:val="00CB50AC"/>
    <w:rsid w:val="00CB50F3"/>
    <w:rsid w:val="00CB50F4"/>
    <w:rsid w:val="00CB5106"/>
    <w:rsid w:val="00CB513E"/>
    <w:rsid w:val="00CB5151"/>
    <w:rsid w:val="00CB5184"/>
    <w:rsid w:val="00CB51F7"/>
    <w:rsid w:val="00CB523A"/>
    <w:rsid w:val="00CB5260"/>
    <w:rsid w:val="00CB527C"/>
    <w:rsid w:val="00CB5283"/>
    <w:rsid w:val="00CB52D0"/>
    <w:rsid w:val="00CB5344"/>
    <w:rsid w:val="00CB5359"/>
    <w:rsid w:val="00CB53A8"/>
    <w:rsid w:val="00CB53B8"/>
    <w:rsid w:val="00CB53DE"/>
    <w:rsid w:val="00CB5474"/>
    <w:rsid w:val="00CB54C0"/>
    <w:rsid w:val="00CB54C3"/>
    <w:rsid w:val="00CB54ED"/>
    <w:rsid w:val="00CB5523"/>
    <w:rsid w:val="00CB5578"/>
    <w:rsid w:val="00CB558A"/>
    <w:rsid w:val="00CB55A1"/>
    <w:rsid w:val="00CB55CA"/>
    <w:rsid w:val="00CB55F2"/>
    <w:rsid w:val="00CB5635"/>
    <w:rsid w:val="00CB568F"/>
    <w:rsid w:val="00CB56C1"/>
    <w:rsid w:val="00CB56E6"/>
    <w:rsid w:val="00CB5711"/>
    <w:rsid w:val="00CB5730"/>
    <w:rsid w:val="00CB573B"/>
    <w:rsid w:val="00CB5782"/>
    <w:rsid w:val="00CB57A8"/>
    <w:rsid w:val="00CB57B4"/>
    <w:rsid w:val="00CB57B9"/>
    <w:rsid w:val="00CB57BA"/>
    <w:rsid w:val="00CB57CE"/>
    <w:rsid w:val="00CB57F4"/>
    <w:rsid w:val="00CB5820"/>
    <w:rsid w:val="00CB5822"/>
    <w:rsid w:val="00CB5830"/>
    <w:rsid w:val="00CB58ED"/>
    <w:rsid w:val="00CB5909"/>
    <w:rsid w:val="00CB596A"/>
    <w:rsid w:val="00CB59F0"/>
    <w:rsid w:val="00CB5A43"/>
    <w:rsid w:val="00CB5A7A"/>
    <w:rsid w:val="00CB5A87"/>
    <w:rsid w:val="00CB5A8C"/>
    <w:rsid w:val="00CB5AD3"/>
    <w:rsid w:val="00CB5AF2"/>
    <w:rsid w:val="00CB5B19"/>
    <w:rsid w:val="00CB5B47"/>
    <w:rsid w:val="00CB5B78"/>
    <w:rsid w:val="00CB5BE2"/>
    <w:rsid w:val="00CB5C00"/>
    <w:rsid w:val="00CB5C03"/>
    <w:rsid w:val="00CB5C0C"/>
    <w:rsid w:val="00CB5C22"/>
    <w:rsid w:val="00CB5C28"/>
    <w:rsid w:val="00CB5C7D"/>
    <w:rsid w:val="00CB5CB3"/>
    <w:rsid w:val="00CB5CC6"/>
    <w:rsid w:val="00CB5CE6"/>
    <w:rsid w:val="00CB5D0A"/>
    <w:rsid w:val="00CB5DE4"/>
    <w:rsid w:val="00CB5E21"/>
    <w:rsid w:val="00CB5E28"/>
    <w:rsid w:val="00CB5E48"/>
    <w:rsid w:val="00CB5E64"/>
    <w:rsid w:val="00CB5F65"/>
    <w:rsid w:val="00CB5FD3"/>
    <w:rsid w:val="00CB5FDA"/>
    <w:rsid w:val="00CB6003"/>
    <w:rsid w:val="00CB604E"/>
    <w:rsid w:val="00CB6058"/>
    <w:rsid w:val="00CB6063"/>
    <w:rsid w:val="00CB6072"/>
    <w:rsid w:val="00CB6097"/>
    <w:rsid w:val="00CB60D2"/>
    <w:rsid w:val="00CB60E4"/>
    <w:rsid w:val="00CB60EE"/>
    <w:rsid w:val="00CB60F1"/>
    <w:rsid w:val="00CB6123"/>
    <w:rsid w:val="00CB612A"/>
    <w:rsid w:val="00CB614D"/>
    <w:rsid w:val="00CB61CD"/>
    <w:rsid w:val="00CB6269"/>
    <w:rsid w:val="00CB6290"/>
    <w:rsid w:val="00CB6294"/>
    <w:rsid w:val="00CB63D4"/>
    <w:rsid w:val="00CB644C"/>
    <w:rsid w:val="00CB6456"/>
    <w:rsid w:val="00CB647B"/>
    <w:rsid w:val="00CB64A8"/>
    <w:rsid w:val="00CB64F1"/>
    <w:rsid w:val="00CB6536"/>
    <w:rsid w:val="00CB6575"/>
    <w:rsid w:val="00CB661A"/>
    <w:rsid w:val="00CB661E"/>
    <w:rsid w:val="00CB664F"/>
    <w:rsid w:val="00CB6662"/>
    <w:rsid w:val="00CB6665"/>
    <w:rsid w:val="00CB6680"/>
    <w:rsid w:val="00CB6682"/>
    <w:rsid w:val="00CB6695"/>
    <w:rsid w:val="00CB66FB"/>
    <w:rsid w:val="00CB6772"/>
    <w:rsid w:val="00CB6791"/>
    <w:rsid w:val="00CB6813"/>
    <w:rsid w:val="00CB689D"/>
    <w:rsid w:val="00CB68D4"/>
    <w:rsid w:val="00CB696D"/>
    <w:rsid w:val="00CB6989"/>
    <w:rsid w:val="00CB69DE"/>
    <w:rsid w:val="00CB6A10"/>
    <w:rsid w:val="00CB6A9D"/>
    <w:rsid w:val="00CB6B00"/>
    <w:rsid w:val="00CB6B24"/>
    <w:rsid w:val="00CB6B26"/>
    <w:rsid w:val="00CB6B51"/>
    <w:rsid w:val="00CB6B5B"/>
    <w:rsid w:val="00CB6B8C"/>
    <w:rsid w:val="00CB6BCF"/>
    <w:rsid w:val="00CB6C0C"/>
    <w:rsid w:val="00CB6C41"/>
    <w:rsid w:val="00CB6C61"/>
    <w:rsid w:val="00CB6C66"/>
    <w:rsid w:val="00CB6C6F"/>
    <w:rsid w:val="00CB6C77"/>
    <w:rsid w:val="00CB6CA6"/>
    <w:rsid w:val="00CB6D05"/>
    <w:rsid w:val="00CB6D39"/>
    <w:rsid w:val="00CB6E4D"/>
    <w:rsid w:val="00CB6E54"/>
    <w:rsid w:val="00CB6E60"/>
    <w:rsid w:val="00CB6E61"/>
    <w:rsid w:val="00CB6ED5"/>
    <w:rsid w:val="00CB6EF1"/>
    <w:rsid w:val="00CB6FA1"/>
    <w:rsid w:val="00CB6FBC"/>
    <w:rsid w:val="00CB7008"/>
    <w:rsid w:val="00CB703E"/>
    <w:rsid w:val="00CB704B"/>
    <w:rsid w:val="00CB705D"/>
    <w:rsid w:val="00CB70D5"/>
    <w:rsid w:val="00CB7132"/>
    <w:rsid w:val="00CB714A"/>
    <w:rsid w:val="00CB71CE"/>
    <w:rsid w:val="00CB720B"/>
    <w:rsid w:val="00CB72CD"/>
    <w:rsid w:val="00CB72DB"/>
    <w:rsid w:val="00CB7331"/>
    <w:rsid w:val="00CB7378"/>
    <w:rsid w:val="00CB737C"/>
    <w:rsid w:val="00CB7391"/>
    <w:rsid w:val="00CB7399"/>
    <w:rsid w:val="00CB73EE"/>
    <w:rsid w:val="00CB7446"/>
    <w:rsid w:val="00CB7458"/>
    <w:rsid w:val="00CB747F"/>
    <w:rsid w:val="00CB748B"/>
    <w:rsid w:val="00CB74A1"/>
    <w:rsid w:val="00CB74DE"/>
    <w:rsid w:val="00CB74F7"/>
    <w:rsid w:val="00CB751D"/>
    <w:rsid w:val="00CB7524"/>
    <w:rsid w:val="00CB7525"/>
    <w:rsid w:val="00CB7541"/>
    <w:rsid w:val="00CB7542"/>
    <w:rsid w:val="00CB756F"/>
    <w:rsid w:val="00CB7573"/>
    <w:rsid w:val="00CB7597"/>
    <w:rsid w:val="00CB75A6"/>
    <w:rsid w:val="00CB75E1"/>
    <w:rsid w:val="00CB7613"/>
    <w:rsid w:val="00CB7632"/>
    <w:rsid w:val="00CB764C"/>
    <w:rsid w:val="00CB769F"/>
    <w:rsid w:val="00CB76CD"/>
    <w:rsid w:val="00CB7708"/>
    <w:rsid w:val="00CB7750"/>
    <w:rsid w:val="00CB7757"/>
    <w:rsid w:val="00CB7796"/>
    <w:rsid w:val="00CB77E6"/>
    <w:rsid w:val="00CB7854"/>
    <w:rsid w:val="00CB788C"/>
    <w:rsid w:val="00CB7892"/>
    <w:rsid w:val="00CB78B3"/>
    <w:rsid w:val="00CB7900"/>
    <w:rsid w:val="00CB7914"/>
    <w:rsid w:val="00CB791C"/>
    <w:rsid w:val="00CB7951"/>
    <w:rsid w:val="00CB7994"/>
    <w:rsid w:val="00CB7A33"/>
    <w:rsid w:val="00CB7A4A"/>
    <w:rsid w:val="00CB7ACB"/>
    <w:rsid w:val="00CB7ADA"/>
    <w:rsid w:val="00CB7AE8"/>
    <w:rsid w:val="00CB7B02"/>
    <w:rsid w:val="00CB7B13"/>
    <w:rsid w:val="00CB7BAC"/>
    <w:rsid w:val="00CB7BCB"/>
    <w:rsid w:val="00CB7BD7"/>
    <w:rsid w:val="00CB7C07"/>
    <w:rsid w:val="00CB7C37"/>
    <w:rsid w:val="00CB7C77"/>
    <w:rsid w:val="00CB7C8F"/>
    <w:rsid w:val="00CB7CC5"/>
    <w:rsid w:val="00CB7CE5"/>
    <w:rsid w:val="00CB7D53"/>
    <w:rsid w:val="00CB7D5B"/>
    <w:rsid w:val="00CB7D5E"/>
    <w:rsid w:val="00CB7D84"/>
    <w:rsid w:val="00CB7D9D"/>
    <w:rsid w:val="00CB7E0D"/>
    <w:rsid w:val="00CB7E19"/>
    <w:rsid w:val="00CB7E20"/>
    <w:rsid w:val="00CB7E43"/>
    <w:rsid w:val="00CB7E9D"/>
    <w:rsid w:val="00CB7EE9"/>
    <w:rsid w:val="00CB7F7B"/>
    <w:rsid w:val="00CB7FB4"/>
    <w:rsid w:val="00CB7FFE"/>
    <w:rsid w:val="00CC0116"/>
    <w:rsid w:val="00CC013C"/>
    <w:rsid w:val="00CC0156"/>
    <w:rsid w:val="00CC018D"/>
    <w:rsid w:val="00CC01E1"/>
    <w:rsid w:val="00CC0231"/>
    <w:rsid w:val="00CC026F"/>
    <w:rsid w:val="00CC0327"/>
    <w:rsid w:val="00CC0390"/>
    <w:rsid w:val="00CC03AF"/>
    <w:rsid w:val="00CC03C5"/>
    <w:rsid w:val="00CC03D4"/>
    <w:rsid w:val="00CC03E5"/>
    <w:rsid w:val="00CC03ED"/>
    <w:rsid w:val="00CC03FA"/>
    <w:rsid w:val="00CC0408"/>
    <w:rsid w:val="00CC0431"/>
    <w:rsid w:val="00CC0470"/>
    <w:rsid w:val="00CC048A"/>
    <w:rsid w:val="00CC04D7"/>
    <w:rsid w:val="00CC04E2"/>
    <w:rsid w:val="00CC0511"/>
    <w:rsid w:val="00CC0523"/>
    <w:rsid w:val="00CC0532"/>
    <w:rsid w:val="00CC05A7"/>
    <w:rsid w:val="00CC0616"/>
    <w:rsid w:val="00CC065B"/>
    <w:rsid w:val="00CC0660"/>
    <w:rsid w:val="00CC06CB"/>
    <w:rsid w:val="00CC0713"/>
    <w:rsid w:val="00CC077A"/>
    <w:rsid w:val="00CC079C"/>
    <w:rsid w:val="00CC0805"/>
    <w:rsid w:val="00CC080D"/>
    <w:rsid w:val="00CC0862"/>
    <w:rsid w:val="00CC086D"/>
    <w:rsid w:val="00CC0927"/>
    <w:rsid w:val="00CC0953"/>
    <w:rsid w:val="00CC0963"/>
    <w:rsid w:val="00CC0968"/>
    <w:rsid w:val="00CC096E"/>
    <w:rsid w:val="00CC09C8"/>
    <w:rsid w:val="00CC09E6"/>
    <w:rsid w:val="00CC09E8"/>
    <w:rsid w:val="00CC0A2A"/>
    <w:rsid w:val="00CC0A6B"/>
    <w:rsid w:val="00CC0A97"/>
    <w:rsid w:val="00CC0AC7"/>
    <w:rsid w:val="00CC0AEA"/>
    <w:rsid w:val="00CC0AF7"/>
    <w:rsid w:val="00CC0B62"/>
    <w:rsid w:val="00CC0B7F"/>
    <w:rsid w:val="00CC0BF2"/>
    <w:rsid w:val="00CC0C13"/>
    <w:rsid w:val="00CC0D1A"/>
    <w:rsid w:val="00CC0D2D"/>
    <w:rsid w:val="00CC0D49"/>
    <w:rsid w:val="00CC0D50"/>
    <w:rsid w:val="00CC0D83"/>
    <w:rsid w:val="00CC0D84"/>
    <w:rsid w:val="00CC0D85"/>
    <w:rsid w:val="00CC0DBC"/>
    <w:rsid w:val="00CC0DD2"/>
    <w:rsid w:val="00CC0E51"/>
    <w:rsid w:val="00CC0E78"/>
    <w:rsid w:val="00CC0E8C"/>
    <w:rsid w:val="00CC0E90"/>
    <w:rsid w:val="00CC0EBF"/>
    <w:rsid w:val="00CC0EC0"/>
    <w:rsid w:val="00CC0ED7"/>
    <w:rsid w:val="00CC0EEE"/>
    <w:rsid w:val="00CC0EF8"/>
    <w:rsid w:val="00CC0F5A"/>
    <w:rsid w:val="00CC0FCA"/>
    <w:rsid w:val="00CC0FD3"/>
    <w:rsid w:val="00CC0FEF"/>
    <w:rsid w:val="00CC1003"/>
    <w:rsid w:val="00CC1006"/>
    <w:rsid w:val="00CC1008"/>
    <w:rsid w:val="00CC10A9"/>
    <w:rsid w:val="00CC10BF"/>
    <w:rsid w:val="00CC10ED"/>
    <w:rsid w:val="00CC10FC"/>
    <w:rsid w:val="00CC1112"/>
    <w:rsid w:val="00CC1114"/>
    <w:rsid w:val="00CC1180"/>
    <w:rsid w:val="00CC126B"/>
    <w:rsid w:val="00CC126D"/>
    <w:rsid w:val="00CC1278"/>
    <w:rsid w:val="00CC1279"/>
    <w:rsid w:val="00CC128A"/>
    <w:rsid w:val="00CC12A3"/>
    <w:rsid w:val="00CC12E5"/>
    <w:rsid w:val="00CC1300"/>
    <w:rsid w:val="00CC1337"/>
    <w:rsid w:val="00CC134A"/>
    <w:rsid w:val="00CC139D"/>
    <w:rsid w:val="00CC1409"/>
    <w:rsid w:val="00CC142F"/>
    <w:rsid w:val="00CC1431"/>
    <w:rsid w:val="00CC144E"/>
    <w:rsid w:val="00CC1461"/>
    <w:rsid w:val="00CC1468"/>
    <w:rsid w:val="00CC148D"/>
    <w:rsid w:val="00CC14C2"/>
    <w:rsid w:val="00CC14EC"/>
    <w:rsid w:val="00CC14FA"/>
    <w:rsid w:val="00CC1513"/>
    <w:rsid w:val="00CC15C5"/>
    <w:rsid w:val="00CC15D2"/>
    <w:rsid w:val="00CC1615"/>
    <w:rsid w:val="00CC1682"/>
    <w:rsid w:val="00CC16EF"/>
    <w:rsid w:val="00CC1854"/>
    <w:rsid w:val="00CC1879"/>
    <w:rsid w:val="00CC18B8"/>
    <w:rsid w:val="00CC190D"/>
    <w:rsid w:val="00CC19D2"/>
    <w:rsid w:val="00CC1A3C"/>
    <w:rsid w:val="00CC1A4E"/>
    <w:rsid w:val="00CC1A52"/>
    <w:rsid w:val="00CC1A53"/>
    <w:rsid w:val="00CC1A65"/>
    <w:rsid w:val="00CC1A99"/>
    <w:rsid w:val="00CC1AB8"/>
    <w:rsid w:val="00CC1B76"/>
    <w:rsid w:val="00CC1B8E"/>
    <w:rsid w:val="00CC1BCB"/>
    <w:rsid w:val="00CC1C50"/>
    <w:rsid w:val="00CC1D03"/>
    <w:rsid w:val="00CC1D17"/>
    <w:rsid w:val="00CC1D7F"/>
    <w:rsid w:val="00CC1DED"/>
    <w:rsid w:val="00CC1E2D"/>
    <w:rsid w:val="00CC1E55"/>
    <w:rsid w:val="00CC1EAC"/>
    <w:rsid w:val="00CC1F0D"/>
    <w:rsid w:val="00CC1F19"/>
    <w:rsid w:val="00CC1F4F"/>
    <w:rsid w:val="00CC1FE7"/>
    <w:rsid w:val="00CC2041"/>
    <w:rsid w:val="00CC204E"/>
    <w:rsid w:val="00CC205F"/>
    <w:rsid w:val="00CC2064"/>
    <w:rsid w:val="00CC2067"/>
    <w:rsid w:val="00CC20A5"/>
    <w:rsid w:val="00CC20B3"/>
    <w:rsid w:val="00CC20C2"/>
    <w:rsid w:val="00CC2135"/>
    <w:rsid w:val="00CC215F"/>
    <w:rsid w:val="00CC21EF"/>
    <w:rsid w:val="00CC224A"/>
    <w:rsid w:val="00CC2284"/>
    <w:rsid w:val="00CC22A9"/>
    <w:rsid w:val="00CC22BF"/>
    <w:rsid w:val="00CC22FC"/>
    <w:rsid w:val="00CC231E"/>
    <w:rsid w:val="00CC2326"/>
    <w:rsid w:val="00CC239B"/>
    <w:rsid w:val="00CC23AE"/>
    <w:rsid w:val="00CC2430"/>
    <w:rsid w:val="00CC243E"/>
    <w:rsid w:val="00CC248D"/>
    <w:rsid w:val="00CC24AC"/>
    <w:rsid w:val="00CC24C5"/>
    <w:rsid w:val="00CC2584"/>
    <w:rsid w:val="00CC25A1"/>
    <w:rsid w:val="00CC25AF"/>
    <w:rsid w:val="00CC25B9"/>
    <w:rsid w:val="00CC25D3"/>
    <w:rsid w:val="00CC25F0"/>
    <w:rsid w:val="00CC25FB"/>
    <w:rsid w:val="00CC2600"/>
    <w:rsid w:val="00CC261B"/>
    <w:rsid w:val="00CC26A9"/>
    <w:rsid w:val="00CC26CF"/>
    <w:rsid w:val="00CC26EA"/>
    <w:rsid w:val="00CC26FF"/>
    <w:rsid w:val="00CC271F"/>
    <w:rsid w:val="00CC2777"/>
    <w:rsid w:val="00CC279E"/>
    <w:rsid w:val="00CC27B9"/>
    <w:rsid w:val="00CC2882"/>
    <w:rsid w:val="00CC28E2"/>
    <w:rsid w:val="00CC2998"/>
    <w:rsid w:val="00CC29A4"/>
    <w:rsid w:val="00CC29DD"/>
    <w:rsid w:val="00CC2B6D"/>
    <w:rsid w:val="00CC2B84"/>
    <w:rsid w:val="00CC2B92"/>
    <w:rsid w:val="00CC2BF6"/>
    <w:rsid w:val="00CC2C2C"/>
    <w:rsid w:val="00CC2CC2"/>
    <w:rsid w:val="00CC2CC4"/>
    <w:rsid w:val="00CC2D35"/>
    <w:rsid w:val="00CC2D3C"/>
    <w:rsid w:val="00CC2D7D"/>
    <w:rsid w:val="00CC2D9B"/>
    <w:rsid w:val="00CC2E01"/>
    <w:rsid w:val="00CC2E43"/>
    <w:rsid w:val="00CC2EA8"/>
    <w:rsid w:val="00CC2ED6"/>
    <w:rsid w:val="00CC2F72"/>
    <w:rsid w:val="00CC2FAC"/>
    <w:rsid w:val="00CC2FF5"/>
    <w:rsid w:val="00CC300E"/>
    <w:rsid w:val="00CC3027"/>
    <w:rsid w:val="00CC3037"/>
    <w:rsid w:val="00CC3060"/>
    <w:rsid w:val="00CC3070"/>
    <w:rsid w:val="00CC30EC"/>
    <w:rsid w:val="00CC314B"/>
    <w:rsid w:val="00CC315A"/>
    <w:rsid w:val="00CC316A"/>
    <w:rsid w:val="00CC317C"/>
    <w:rsid w:val="00CC31D2"/>
    <w:rsid w:val="00CC31EE"/>
    <w:rsid w:val="00CC3241"/>
    <w:rsid w:val="00CC3266"/>
    <w:rsid w:val="00CC328E"/>
    <w:rsid w:val="00CC32B5"/>
    <w:rsid w:val="00CC32E7"/>
    <w:rsid w:val="00CC33C8"/>
    <w:rsid w:val="00CC33FB"/>
    <w:rsid w:val="00CC3406"/>
    <w:rsid w:val="00CC3421"/>
    <w:rsid w:val="00CC3463"/>
    <w:rsid w:val="00CC3474"/>
    <w:rsid w:val="00CC3500"/>
    <w:rsid w:val="00CC351B"/>
    <w:rsid w:val="00CC35A8"/>
    <w:rsid w:val="00CC35E2"/>
    <w:rsid w:val="00CC3622"/>
    <w:rsid w:val="00CC365C"/>
    <w:rsid w:val="00CC367B"/>
    <w:rsid w:val="00CC36D0"/>
    <w:rsid w:val="00CC36D3"/>
    <w:rsid w:val="00CC3701"/>
    <w:rsid w:val="00CC3704"/>
    <w:rsid w:val="00CC3718"/>
    <w:rsid w:val="00CC376F"/>
    <w:rsid w:val="00CC37B0"/>
    <w:rsid w:val="00CC3864"/>
    <w:rsid w:val="00CC38C4"/>
    <w:rsid w:val="00CC38CC"/>
    <w:rsid w:val="00CC3909"/>
    <w:rsid w:val="00CC3911"/>
    <w:rsid w:val="00CC397A"/>
    <w:rsid w:val="00CC3A48"/>
    <w:rsid w:val="00CC3AA6"/>
    <w:rsid w:val="00CC3AAC"/>
    <w:rsid w:val="00CC3ABA"/>
    <w:rsid w:val="00CC3AC5"/>
    <w:rsid w:val="00CC3AE1"/>
    <w:rsid w:val="00CC3B17"/>
    <w:rsid w:val="00CC3B24"/>
    <w:rsid w:val="00CC3B68"/>
    <w:rsid w:val="00CC3B91"/>
    <w:rsid w:val="00CC3C24"/>
    <w:rsid w:val="00CC3C2B"/>
    <w:rsid w:val="00CC3C6E"/>
    <w:rsid w:val="00CC3C89"/>
    <w:rsid w:val="00CC3C99"/>
    <w:rsid w:val="00CC3D73"/>
    <w:rsid w:val="00CC3D91"/>
    <w:rsid w:val="00CC3DD5"/>
    <w:rsid w:val="00CC3E67"/>
    <w:rsid w:val="00CC3EAB"/>
    <w:rsid w:val="00CC3F24"/>
    <w:rsid w:val="00CC3F4A"/>
    <w:rsid w:val="00CC3F59"/>
    <w:rsid w:val="00CC3F90"/>
    <w:rsid w:val="00CC409E"/>
    <w:rsid w:val="00CC40B4"/>
    <w:rsid w:val="00CC4147"/>
    <w:rsid w:val="00CC4186"/>
    <w:rsid w:val="00CC4230"/>
    <w:rsid w:val="00CC4276"/>
    <w:rsid w:val="00CC4291"/>
    <w:rsid w:val="00CC4337"/>
    <w:rsid w:val="00CC4388"/>
    <w:rsid w:val="00CC43D1"/>
    <w:rsid w:val="00CC441F"/>
    <w:rsid w:val="00CC445F"/>
    <w:rsid w:val="00CC447D"/>
    <w:rsid w:val="00CC4527"/>
    <w:rsid w:val="00CC452D"/>
    <w:rsid w:val="00CC457E"/>
    <w:rsid w:val="00CC4599"/>
    <w:rsid w:val="00CC45CE"/>
    <w:rsid w:val="00CC45DB"/>
    <w:rsid w:val="00CC45F9"/>
    <w:rsid w:val="00CC460C"/>
    <w:rsid w:val="00CC4639"/>
    <w:rsid w:val="00CC4678"/>
    <w:rsid w:val="00CC476A"/>
    <w:rsid w:val="00CC4785"/>
    <w:rsid w:val="00CC47C8"/>
    <w:rsid w:val="00CC47F5"/>
    <w:rsid w:val="00CC481E"/>
    <w:rsid w:val="00CC482A"/>
    <w:rsid w:val="00CC484C"/>
    <w:rsid w:val="00CC4862"/>
    <w:rsid w:val="00CC48CC"/>
    <w:rsid w:val="00CC4916"/>
    <w:rsid w:val="00CC492C"/>
    <w:rsid w:val="00CC493F"/>
    <w:rsid w:val="00CC494A"/>
    <w:rsid w:val="00CC49C2"/>
    <w:rsid w:val="00CC4B31"/>
    <w:rsid w:val="00CC4B33"/>
    <w:rsid w:val="00CC4BD1"/>
    <w:rsid w:val="00CC4BD7"/>
    <w:rsid w:val="00CC4C41"/>
    <w:rsid w:val="00CC4C85"/>
    <w:rsid w:val="00CC4D1B"/>
    <w:rsid w:val="00CC4D26"/>
    <w:rsid w:val="00CC4D32"/>
    <w:rsid w:val="00CC4D43"/>
    <w:rsid w:val="00CC4D44"/>
    <w:rsid w:val="00CC4D4E"/>
    <w:rsid w:val="00CC4D69"/>
    <w:rsid w:val="00CC4D7F"/>
    <w:rsid w:val="00CC4D87"/>
    <w:rsid w:val="00CC4D97"/>
    <w:rsid w:val="00CC4DE6"/>
    <w:rsid w:val="00CC4E4A"/>
    <w:rsid w:val="00CC4E5A"/>
    <w:rsid w:val="00CC4E6F"/>
    <w:rsid w:val="00CC4EDA"/>
    <w:rsid w:val="00CC4EE4"/>
    <w:rsid w:val="00CC4F05"/>
    <w:rsid w:val="00CC4F36"/>
    <w:rsid w:val="00CC4F64"/>
    <w:rsid w:val="00CC4FBD"/>
    <w:rsid w:val="00CC4FE0"/>
    <w:rsid w:val="00CC5070"/>
    <w:rsid w:val="00CC50D5"/>
    <w:rsid w:val="00CC50EA"/>
    <w:rsid w:val="00CC523B"/>
    <w:rsid w:val="00CC52E4"/>
    <w:rsid w:val="00CC536C"/>
    <w:rsid w:val="00CC5382"/>
    <w:rsid w:val="00CC53B2"/>
    <w:rsid w:val="00CC53ED"/>
    <w:rsid w:val="00CC53EE"/>
    <w:rsid w:val="00CC540B"/>
    <w:rsid w:val="00CC542B"/>
    <w:rsid w:val="00CC5460"/>
    <w:rsid w:val="00CC54DD"/>
    <w:rsid w:val="00CC54F0"/>
    <w:rsid w:val="00CC5527"/>
    <w:rsid w:val="00CC552F"/>
    <w:rsid w:val="00CC5546"/>
    <w:rsid w:val="00CC557F"/>
    <w:rsid w:val="00CC5595"/>
    <w:rsid w:val="00CC559E"/>
    <w:rsid w:val="00CC560B"/>
    <w:rsid w:val="00CC56B6"/>
    <w:rsid w:val="00CC56D3"/>
    <w:rsid w:val="00CC57B2"/>
    <w:rsid w:val="00CC57CD"/>
    <w:rsid w:val="00CC57D3"/>
    <w:rsid w:val="00CC57E5"/>
    <w:rsid w:val="00CC57F6"/>
    <w:rsid w:val="00CC5815"/>
    <w:rsid w:val="00CC5860"/>
    <w:rsid w:val="00CC5866"/>
    <w:rsid w:val="00CC586C"/>
    <w:rsid w:val="00CC5971"/>
    <w:rsid w:val="00CC5984"/>
    <w:rsid w:val="00CC59BB"/>
    <w:rsid w:val="00CC59E3"/>
    <w:rsid w:val="00CC5A47"/>
    <w:rsid w:val="00CC5A6E"/>
    <w:rsid w:val="00CC5A76"/>
    <w:rsid w:val="00CC5AB0"/>
    <w:rsid w:val="00CC5AB6"/>
    <w:rsid w:val="00CC5ABA"/>
    <w:rsid w:val="00CC5AC9"/>
    <w:rsid w:val="00CC5AF6"/>
    <w:rsid w:val="00CC5B03"/>
    <w:rsid w:val="00CC5B0F"/>
    <w:rsid w:val="00CC5B29"/>
    <w:rsid w:val="00CC5B76"/>
    <w:rsid w:val="00CC5B83"/>
    <w:rsid w:val="00CC5BA3"/>
    <w:rsid w:val="00CC5BBB"/>
    <w:rsid w:val="00CC5C74"/>
    <w:rsid w:val="00CC5C82"/>
    <w:rsid w:val="00CC5CF9"/>
    <w:rsid w:val="00CC5CFD"/>
    <w:rsid w:val="00CC5DE7"/>
    <w:rsid w:val="00CC5E20"/>
    <w:rsid w:val="00CC5E34"/>
    <w:rsid w:val="00CC5EB3"/>
    <w:rsid w:val="00CC5EBA"/>
    <w:rsid w:val="00CC5ECC"/>
    <w:rsid w:val="00CC5EED"/>
    <w:rsid w:val="00CC5EFF"/>
    <w:rsid w:val="00CC5F02"/>
    <w:rsid w:val="00CC5F21"/>
    <w:rsid w:val="00CC5F66"/>
    <w:rsid w:val="00CC600D"/>
    <w:rsid w:val="00CC60DB"/>
    <w:rsid w:val="00CC60E9"/>
    <w:rsid w:val="00CC60F7"/>
    <w:rsid w:val="00CC6112"/>
    <w:rsid w:val="00CC611E"/>
    <w:rsid w:val="00CC617A"/>
    <w:rsid w:val="00CC6193"/>
    <w:rsid w:val="00CC61C1"/>
    <w:rsid w:val="00CC61C5"/>
    <w:rsid w:val="00CC61EE"/>
    <w:rsid w:val="00CC61F6"/>
    <w:rsid w:val="00CC61FF"/>
    <w:rsid w:val="00CC625F"/>
    <w:rsid w:val="00CC628F"/>
    <w:rsid w:val="00CC62C2"/>
    <w:rsid w:val="00CC630E"/>
    <w:rsid w:val="00CC633E"/>
    <w:rsid w:val="00CC6362"/>
    <w:rsid w:val="00CC63F9"/>
    <w:rsid w:val="00CC63FF"/>
    <w:rsid w:val="00CC6441"/>
    <w:rsid w:val="00CC647D"/>
    <w:rsid w:val="00CC6491"/>
    <w:rsid w:val="00CC64C8"/>
    <w:rsid w:val="00CC651E"/>
    <w:rsid w:val="00CC6532"/>
    <w:rsid w:val="00CC65A0"/>
    <w:rsid w:val="00CC65B0"/>
    <w:rsid w:val="00CC65F6"/>
    <w:rsid w:val="00CC6611"/>
    <w:rsid w:val="00CC662A"/>
    <w:rsid w:val="00CC6643"/>
    <w:rsid w:val="00CC6663"/>
    <w:rsid w:val="00CC6762"/>
    <w:rsid w:val="00CC6777"/>
    <w:rsid w:val="00CC67AB"/>
    <w:rsid w:val="00CC6831"/>
    <w:rsid w:val="00CC6873"/>
    <w:rsid w:val="00CC68AF"/>
    <w:rsid w:val="00CC68FF"/>
    <w:rsid w:val="00CC6904"/>
    <w:rsid w:val="00CC6923"/>
    <w:rsid w:val="00CC696C"/>
    <w:rsid w:val="00CC6B9C"/>
    <w:rsid w:val="00CC6BB0"/>
    <w:rsid w:val="00CC6C0D"/>
    <w:rsid w:val="00CC6C93"/>
    <w:rsid w:val="00CC6CA5"/>
    <w:rsid w:val="00CC6D1F"/>
    <w:rsid w:val="00CC6D36"/>
    <w:rsid w:val="00CC6D37"/>
    <w:rsid w:val="00CC6D45"/>
    <w:rsid w:val="00CC6DF5"/>
    <w:rsid w:val="00CC6E11"/>
    <w:rsid w:val="00CC6E3F"/>
    <w:rsid w:val="00CC6EA6"/>
    <w:rsid w:val="00CC6EBB"/>
    <w:rsid w:val="00CC6EBF"/>
    <w:rsid w:val="00CC6ECE"/>
    <w:rsid w:val="00CC6F11"/>
    <w:rsid w:val="00CC6F1A"/>
    <w:rsid w:val="00CC6F49"/>
    <w:rsid w:val="00CC7008"/>
    <w:rsid w:val="00CC708F"/>
    <w:rsid w:val="00CC70A0"/>
    <w:rsid w:val="00CC7116"/>
    <w:rsid w:val="00CC7199"/>
    <w:rsid w:val="00CC71A6"/>
    <w:rsid w:val="00CC71AA"/>
    <w:rsid w:val="00CC71AD"/>
    <w:rsid w:val="00CC7218"/>
    <w:rsid w:val="00CC7275"/>
    <w:rsid w:val="00CC729A"/>
    <w:rsid w:val="00CC72A2"/>
    <w:rsid w:val="00CC72AA"/>
    <w:rsid w:val="00CC72DD"/>
    <w:rsid w:val="00CC72DF"/>
    <w:rsid w:val="00CC72F5"/>
    <w:rsid w:val="00CC731A"/>
    <w:rsid w:val="00CC732B"/>
    <w:rsid w:val="00CC7332"/>
    <w:rsid w:val="00CC7365"/>
    <w:rsid w:val="00CC73BB"/>
    <w:rsid w:val="00CC7432"/>
    <w:rsid w:val="00CC7489"/>
    <w:rsid w:val="00CC74B9"/>
    <w:rsid w:val="00CC74F8"/>
    <w:rsid w:val="00CC7529"/>
    <w:rsid w:val="00CC7547"/>
    <w:rsid w:val="00CC758B"/>
    <w:rsid w:val="00CC75CB"/>
    <w:rsid w:val="00CC761F"/>
    <w:rsid w:val="00CC765A"/>
    <w:rsid w:val="00CC765C"/>
    <w:rsid w:val="00CC76CF"/>
    <w:rsid w:val="00CC7700"/>
    <w:rsid w:val="00CC7708"/>
    <w:rsid w:val="00CC7716"/>
    <w:rsid w:val="00CC7743"/>
    <w:rsid w:val="00CC77C7"/>
    <w:rsid w:val="00CC77CE"/>
    <w:rsid w:val="00CC77CF"/>
    <w:rsid w:val="00CC781C"/>
    <w:rsid w:val="00CC785F"/>
    <w:rsid w:val="00CC786B"/>
    <w:rsid w:val="00CC7880"/>
    <w:rsid w:val="00CC7892"/>
    <w:rsid w:val="00CC7923"/>
    <w:rsid w:val="00CC792A"/>
    <w:rsid w:val="00CC7936"/>
    <w:rsid w:val="00CC795D"/>
    <w:rsid w:val="00CC799B"/>
    <w:rsid w:val="00CC79DE"/>
    <w:rsid w:val="00CC79EA"/>
    <w:rsid w:val="00CC7A10"/>
    <w:rsid w:val="00CC7A27"/>
    <w:rsid w:val="00CC7A4C"/>
    <w:rsid w:val="00CC7B05"/>
    <w:rsid w:val="00CC7B4B"/>
    <w:rsid w:val="00CC7B8C"/>
    <w:rsid w:val="00CC7BA9"/>
    <w:rsid w:val="00CC7BF9"/>
    <w:rsid w:val="00CC7C0C"/>
    <w:rsid w:val="00CC7C19"/>
    <w:rsid w:val="00CC7C26"/>
    <w:rsid w:val="00CC7C49"/>
    <w:rsid w:val="00CC7C80"/>
    <w:rsid w:val="00CC7CCF"/>
    <w:rsid w:val="00CC7CE0"/>
    <w:rsid w:val="00CC7CF5"/>
    <w:rsid w:val="00CC7D05"/>
    <w:rsid w:val="00CC7D0D"/>
    <w:rsid w:val="00CC7D20"/>
    <w:rsid w:val="00CC7D69"/>
    <w:rsid w:val="00CC7E2C"/>
    <w:rsid w:val="00CC7E7A"/>
    <w:rsid w:val="00CC7E8E"/>
    <w:rsid w:val="00CC7EAE"/>
    <w:rsid w:val="00CC7ECB"/>
    <w:rsid w:val="00CC7EDD"/>
    <w:rsid w:val="00CC7F43"/>
    <w:rsid w:val="00CC7F58"/>
    <w:rsid w:val="00CC7FA7"/>
    <w:rsid w:val="00CC7FC5"/>
    <w:rsid w:val="00CC7FDA"/>
    <w:rsid w:val="00CC7FE4"/>
    <w:rsid w:val="00CD0061"/>
    <w:rsid w:val="00CD0078"/>
    <w:rsid w:val="00CD008F"/>
    <w:rsid w:val="00CD00A8"/>
    <w:rsid w:val="00CD0100"/>
    <w:rsid w:val="00CD0115"/>
    <w:rsid w:val="00CD0123"/>
    <w:rsid w:val="00CD02D0"/>
    <w:rsid w:val="00CD03D4"/>
    <w:rsid w:val="00CD044D"/>
    <w:rsid w:val="00CD04A4"/>
    <w:rsid w:val="00CD0559"/>
    <w:rsid w:val="00CD058E"/>
    <w:rsid w:val="00CD05BA"/>
    <w:rsid w:val="00CD05D7"/>
    <w:rsid w:val="00CD05EC"/>
    <w:rsid w:val="00CD061F"/>
    <w:rsid w:val="00CD066A"/>
    <w:rsid w:val="00CD06D5"/>
    <w:rsid w:val="00CD06E9"/>
    <w:rsid w:val="00CD06F4"/>
    <w:rsid w:val="00CD0707"/>
    <w:rsid w:val="00CD0724"/>
    <w:rsid w:val="00CD0732"/>
    <w:rsid w:val="00CD07A1"/>
    <w:rsid w:val="00CD07C9"/>
    <w:rsid w:val="00CD0804"/>
    <w:rsid w:val="00CD0838"/>
    <w:rsid w:val="00CD084C"/>
    <w:rsid w:val="00CD0852"/>
    <w:rsid w:val="00CD08BF"/>
    <w:rsid w:val="00CD08FE"/>
    <w:rsid w:val="00CD0935"/>
    <w:rsid w:val="00CD098D"/>
    <w:rsid w:val="00CD099A"/>
    <w:rsid w:val="00CD09AA"/>
    <w:rsid w:val="00CD0A48"/>
    <w:rsid w:val="00CD0A4C"/>
    <w:rsid w:val="00CD0A86"/>
    <w:rsid w:val="00CD0AB1"/>
    <w:rsid w:val="00CD0ADA"/>
    <w:rsid w:val="00CD0B23"/>
    <w:rsid w:val="00CD0B24"/>
    <w:rsid w:val="00CD0B39"/>
    <w:rsid w:val="00CD0BF6"/>
    <w:rsid w:val="00CD0C30"/>
    <w:rsid w:val="00CD0C8F"/>
    <w:rsid w:val="00CD0CAA"/>
    <w:rsid w:val="00CD0CBC"/>
    <w:rsid w:val="00CD0CC4"/>
    <w:rsid w:val="00CD0DAA"/>
    <w:rsid w:val="00CD0DEF"/>
    <w:rsid w:val="00CD0E01"/>
    <w:rsid w:val="00CD0E1F"/>
    <w:rsid w:val="00CD0E26"/>
    <w:rsid w:val="00CD0EAB"/>
    <w:rsid w:val="00CD0F04"/>
    <w:rsid w:val="00CD0F21"/>
    <w:rsid w:val="00CD0FAB"/>
    <w:rsid w:val="00CD0FDC"/>
    <w:rsid w:val="00CD0FE8"/>
    <w:rsid w:val="00CD104C"/>
    <w:rsid w:val="00CD10AD"/>
    <w:rsid w:val="00CD10C7"/>
    <w:rsid w:val="00CD10E7"/>
    <w:rsid w:val="00CD1118"/>
    <w:rsid w:val="00CD1151"/>
    <w:rsid w:val="00CD116A"/>
    <w:rsid w:val="00CD1287"/>
    <w:rsid w:val="00CD1299"/>
    <w:rsid w:val="00CD1435"/>
    <w:rsid w:val="00CD14AE"/>
    <w:rsid w:val="00CD14BC"/>
    <w:rsid w:val="00CD14C1"/>
    <w:rsid w:val="00CD14F3"/>
    <w:rsid w:val="00CD14F8"/>
    <w:rsid w:val="00CD157B"/>
    <w:rsid w:val="00CD158D"/>
    <w:rsid w:val="00CD15CD"/>
    <w:rsid w:val="00CD15EA"/>
    <w:rsid w:val="00CD1651"/>
    <w:rsid w:val="00CD168B"/>
    <w:rsid w:val="00CD1696"/>
    <w:rsid w:val="00CD1727"/>
    <w:rsid w:val="00CD1748"/>
    <w:rsid w:val="00CD17E9"/>
    <w:rsid w:val="00CD17F7"/>
    <w:rsid w:val="00CD189A"/>
    <w:rsid w:val="00CD18CD"/>
    <w:rsid w:val="00CD18D7"/>
    <w:rsid w:val="00CD18FC"/>
    <w:rsid w:val="00CD1907"/>
    <w:rsid w:val="00CD1918"/>
    <w:rsid w:val="00CD1955"/>
    <w:rsid w:val="00CD1966"/>
    <w:rsid w:val="00CD1980"/>
    <w:rsid w:val="00CD19C8"/>
    <w:rsid w:val="00CD19DC"/>
    <w:rsid w:val="00CD19F2"/>
    <w:rsid w:val="00CD1A11"/>
    <w:rsid w:val="00CD1A15"/>
    <w:rsid w:val="00CD1A37"/>
    <w:rsid w:val="00CD1A6D"/>
    <w:rsid w:val="00CD1A9E"/>
    <w:rsid w:val="00CD1AA8"/>
    <w:rsid w:val="00CD1B0C"/>
    <w:rsid w:val="00CD1B0D"/>
    <w:rsid w:val="00CD1B2B"/>
    <w:rsid w:val="00CD1B32"/>
    <w:rsid w:val="00CD1B84"/>
    <w:rsid w:val="00CD1BBB"/>
    <w:rsid w:val="00CD1C7B"/>
    <w:rsid w:val="00CD1C88"/>
    <w:rsid w:val="00CD1CC2"/>
    <w:rsid w:val="00CD1CDC"/>
    <w:rsid w:val="00CD1CE4"/>
    <w:rsid w:val="00CD1CF3"/>
    <w:rsid w:val="00CD1CF9"/>
    <w:rsid w:val="00CD1D39"/>
    <w:rsid w:val="00CD1D62"/>
    <w:rsid w:val="00CD1D98"/>
    <w:rsid w:val="00CD1DA7"/>
    <w:rsid w:val="00CD1DDD"/>
    <w:rsid w:val="00CD1E13"/>
    <w:rsid w:val="00CD1E30"/>
    <w:rsid w:val="00CD1E80"/>
    <w:rsid w:val="00CD1E8A"/>
    <w:rsid w:val="00CD1E8D"/>
    <w:rsid w:val="00CD1EDC"/>
    <w:rsid w:val="00CD1EFD"/>
    <w:rsid w:val="00CD1F06"/>
    <w:rsid w:val="00CD1F0E"/>
    <w:rsid w:val="00CD1F11"/>
    <w:rsid w:val="00CD1F28"/>
    <w:rsid w:val="00CD1F9B"/>
    <w:rsid w:val="00CD1FA7"/>
    <w:rsid w:val="00CD1FAB"/>
    <w:rsid w:val="00CD201B"/>
    <w:rsid w:val="00CD209F"/>
    <w:rsid w:val="00CD20DE"/>
    <w:rsid w:val="00CD20EF"/>
    <w:rsid w:val="00CD2110"/>
    <w:rsid w:val="00CD2184"/>
    <w:rsid w:val="00CD21E2"/>
    <w:rsid w:val="00CD2242"/>
    <w:rsid w:val="00CD22CE"/>
    <w:rsid w:val="00CD2366"/>
    <w:rsid w:val="00CD236F"/>
    <w:rsid w:val="00CD23D3"/>
    <w:rsid w:val="00CD2448"/>
    <w:rsid w:val="00CD2491"/>
    <w:rsid w:val="00CD25AA"/>
    <w:rsid w:val="00CD25F6"/>
    <w:rsid w:val="00CD261A"/>
    <w:rsid w:val="00CD26F4"/>
    <w:rsid w:val="00CD2731"/>
    <w:rsid w:val="00CD2736"/>
    <w:rsid w:val="00CD276A"/>
    <w:rsid w:val="00CD27B6"/>
    <w:rsid w:val="00CD27CE"/>
    <w:rsid w:val="00CD27D1"/>
    <w:rsid w:val="00CD27E3"/>
    <w:rsid w:val="00CD27E9"/>
    <w:rsid w:val="00CD2897"/>
    <w:rsid w:val="00CD28D2"/>
    <w:rsid w:val="00CD28F1"/>
    <w:rsid w:val="00CD28F5"/>
    <w:rsid w:val="00CD293B"/>
    <w:rsid w:val="00CD293E"/>
    <w:rsid w:val="00CD295F"/>
    <w:rsid w:val="00CD2975"/>
    <w:rsid w:val="00CD2A23"/>
    <w:rsid w:val="00CD2A76"/>
    <w:rsid w:val="00CD2AEF"/>
    <w:rsid w:val="00CD2B4A"/>
    <w:rsid w:val="00CD2B8F"/>
    <w:rsid w:val="00CD2C0D"/>
    <w:rsid w:val="00CD2C40"/>
    <w:rsid w:val="00CD2C65"/>
    <w:rsid w:val="00CD2C66"/>
    <w:rsid w:val="00CD2C75"/>
    <w:rsid w:val="00CD2CA9"/>
    <w:rsid w:val="00CD2D33"/>
    <w:rsid w:val="00CD2D73"/>
    <w:rsid w:val="00CD2E59"/>
    <w:rsid w:val="00CD2E62"/>
    <w:rsid w:val="00CD2E6F"/>
    <w:rsid w:val="00CD2E9A"/>
    <w:rsid w:val="00CD2EC5"/>
    <w:rsid w:val="00CD2EE6"/>
    <w:rsid w:val="00CD2EF1"/>
    <w:rsid w:val="00CD2F04"/>
    <w:rsid w:val="00CD2F0F"/>
    <w:rsid w:val="00CD2F5D"/>
    <w:rsid w:val="00CD2FE4"/>
    <w:rsid w:val="00CD2FF3"/>
    <w:rsid w:val="00CD3094"/>
    <w:rsid w:val="00CD312C"/>
    <w:rsid w:val="00CD3142"/>
    <w:rsid w:val="00CD315B"/>
    <w:rsid w:val="00CD3259"/>
    <w:rsid w:val="00CD328D"/>
    <w:rsid w:val="00CD32A4"/>
    <w:rsid w:val="00CD32C6"/>
    <w:rsid w:val="00CD330B"/>
    <w:rsid w:val="00CD3359"/>
    <w:rsid w:val="00CD33CE"/>
    <w:rsid w:val="00CD342F"/>
    <w:rsid w:val="00CD3437"/>
    <w:rsid w:val="00CD344A"/>
    <w:rsid w:val="00CD346D"/>
    <w:rsid w:val="00CD3494"/>
    <w:rsid w:val="00CD349E"/>
    <w:rsid w:val="00CD34A0"/>
    <w:rsid w:val="00CD352E"/>
    <w:rsid w:val="00CD355C"/>
    <w:rsid w:val="00CD3609"/>
    <w:rsid w:val="00CD372A"/>
    <w:rsid w:val="00CD3743"/>
    <w:rsid w:val="00CD3760"/>
    <w:rsid w:val="00CD3765"/>
    <w:rsid w:val="00CD3803"/>
    <w:rsid w:val="00CD3814"/>
    <w:rsid w:val="00CD382F"/>
    <w:rsid w:val="00CD388A"/>
    <w:rsid w:val="00CD38C3"/>
    <w:rsid w:val="00CD3909"/>
    <w:rsid w:val="00CD3941"/>
    <w:rsid w:val="00CD3970"/>
    <w:rsid w:val="00CD398B"/>
    <w:rsid w:val="00CD399F"/>
    <w:rsid w:val="00CD39F6"/>
    <w:rsid w:val="00CD39F9"/>
    <w:rsid w:val="00CD3A0A"/>
    <w:rsid w:val="00CD3A33"/>
    <w:rsid w:val="00CD3A74"/>
    <w:rsid w:val="00CD3A85"/>
    <w:rsid w:val="00CD3A8B"/>
    <w:rsid w:val="00CD3AA1"/>
    <w:rsid w:val="00CD3AF6"/>
    <w:rsid w:val="00CD3B39"/>
    <w:rsid w:val="00CD3B64"/>
    <w:rsid w:val="00CD3B85"/>
    <w:rsid w:val="00CD3BEE"/>
    <w:rsid w:val="00CD3BF7"/>
    <w:rsid w:val="00CD3C97"/>
    <w:rsid w:val="00CD3CB5"/>
    <w:rsid w:val="00CD3CCF"/>
    <w:rsid w:val="00CD3CE1"/>
    <w:rsid w:val="00CD3D57"/>
    <w:rsid w:val="00CD3D96"/>
    <w:rsid w:val="00CD3E60"/>
    <w:rsid w:val="00CD3E65"/>
    <w:rsid w:val="00CD3E83"/>
    <w:rsid w:val="00CD3EBA"/>
    <w:rsid w:val="00CD3EF3"/>
    <w:rsid w:val="00CD3F0A"/>
    <w:rsid w:val="00CD3F1D"/>
    <w:rsid w:val="00CD3F27"/>
    <w:rsid w:val="00CD3F47"/>
    <w:rsid w:val="00CD3F55"/>
    <w:rsid w:val="00CD400C"/>
    <w:rsid w:val="00CD4015"/>
    <w:rsid w:val="00CD40C6"/>
    <w:rsid w:val="00CD411E"/>
    <w:rsid w:val="00CD419F"/>
    <w:rsid w:val="00CD4210"/>
    <w:rsid w:val="00CD4246"/>
    <w:rsid w:val="00CD42C9"/>
    <w:rsid w:val="00CD4324"/>
    <w:rsid w:val="00CD4329"/>
    <w:rsid w:val="00CD4337"/>
    <w:rsid w:val="00CD43A8"/>
    <w:rsid w:val="00CD43CF"/>
    <w:rsid w:val="00CD4465"/>
    <w:rsid w:val="00CD44B9"/>
    <w:rsid w:val="00CD44DC"/>
    <w:rsid w:val="00CD4507"/>
    <w:rsid w:val="00CD4568"/>
    <w:rsid w:val="00CD456D"/>
    <w:rsid w:val="00CD45B9"/>
    <w:rsid w:val="00CD4613"/>
    <w:rsid w:val="00CD4631"/>
    <w:rsid w:val="00CD4679"/>
    <w:rsid w:val="00CD467C"/>
    <w:rsid w:val="00CD4683"/>
    <w:rsid w:val="00CD46AB"/>
    <w:rsid w:val="00CD470E"/>
    <w:rsid w:val="00CD473C"/>
    <w:rsid w:val="00CD474D"/>
    <w:rsid w:val="00CD47A0"/>
    <w:rsid w:val="00CD47AB"/>
    <w:rsid w:val="00CD47E5"/>
    <w:rsid w:val="00CD47EF"/>
    <w:rsid w:val="00CD480A"/>
    <w:rsid w:val="00CD4813"/>
    <w:rsid w:val="00CD481E"/>
    <w:rsid w:val="00CD48AB"/>
    <w:rsid w:val="00CD48D0"/>
    <w:rsid w:val="00CD4901"/>
    <w:rsid w:val="00CD4928"/>
    <w:rsid w:val="00CD4931"/>
    <w:rsid w:val="00CD49F8"/>
    <w:rsid w:val="00CD4A1D"/>
    <w:rsid w:val="00CD4A23"/>
    <w:rsid w:val="00CD4A26"/>
    <w:rsid w:val="00CD4AA0"/>
    <w:rsid w:val="00CD4ABD"/>
    <w:rsid w:val="00CD4B01"/>
    <w:rsid w:val="00CD4B1A"/>
    <w:rsid w:val="00CD4B49"/>
    <w:rsid w:val="00CD4B57"/>
    <w:rsid w:val="00CD4B82"/>
    <w:rsid w:val="00CD4B8B"/>
    <w:rsid w:val="00CD4B92"/>
    <w:rsid w:val="00CD4C09"/>
    <w:rsid w:val="00CD4C36"/>
    <w:rsid w:val="00CD4C56"/>
    <w:rsid w:val="00CD4C7C"/>
    <w:rsid w:val="00CD4CA3"/>
    <w:rsid w:val="00CD4D7E"/>
    <w:rsid w:val="00CD4DA4"/>
    <w:rsid w:val="00CD4DE4"/>
    <w:rsid w:val="00CD4E2C"/>
    <w:rsid w:val="00CD4E3E"/>
    <w:rsid w:val="00CD4E70"/>
    <w:rsid w:val="00CD4E98"/>
    <w:rsid w:val="00CD4EA6"/>
    <w:rsid w:val="00CD4ED1"/>
    <w:rsid w:val="00CD4F00"/>
    <w:rsid w:val="00CD4F3A"/>
    <w:rsid w:val="00CD4F75"/>
    <w:rsid w:val="00CD4F95"/>
    <w:rsid w:val="00CD4FAF"/>
    <w:rsid w:val="00CD4FC0"/>
    <w:rsid w:val="00CD5040"/>
    <w:rsid w:val="00CD5088"/>
    <w:rsid w:val="00CD519A"/>
    <w:rsid w:val="00CD51CB"/>
    <w:rsid w:val="00CD51E8"/>
    <w:rsid w:val="00CD5259"/>
    <w:rsid w:val="00CD5324"/>
    <w:rsid w:val="00CD5384"/>
    <w:rsid w:val="00CD53DE"/>
    <w:rsid w:val="00CD5450"/>
    <w:rsid w:val="00CD5455"/>
    <w:rsid w:val="00CD548B"/>
    <w:rsid w:val="00CD550B"/>
    <w:rsid w:val="00CD55C8"/>
    <w:rsid w:val="00CD5601"/>
    <w:rsid w:val="00CD5636"/>
    <w:rsid w:val="00CD565E"/>
    <w:rsid w:val="00CD567A"/>
    <w:rsid w:val="00CD56A1"/>
    <w:rsid w:val="00CD56E6"/>
    <w:rsid w:val="00CD5708"/>
    <w:rsid w:val="00CD575C"/>
    <w:rsid w:val="00CD575E"/>
    <w:rsid w:val="00CD5781"/>
    <w:rsid w:val="00CD57AD"/>
    <w:rsid w:val="00CD57FB"/>
    <w:rsid w:val="00CD5829"/>
    <w:rsid w:val="00CD589E"/>
    <w:rsid w:val="00CD58B1"/>
    <w:rsid w:val="00CD58E2"/>
    <w:rsid w:val="00CD58EB"/>
    <w:rsid w:val="00CD58F3"/>
    <w:rsid w:val="00CD58FA"/>
    <w:rsid w:val="00CD5908"/>
    <w:rsid w:val="00CD5962"/>
    <w:rsid w:val="00CD597D"/>
    <w:rsid w:val="00CD59D8"/>
    <w:rsid w:val="00CD5A6D"/>
    <w:rsid w:val="00CD5A8D"/>
    <w:rsid w:val="00CD5ADD"/>
    <w:rsid w:val="00CD5AED"/>
    <w:rsid w:val="00CD5AFB"/>
    <w:rsid w:val="00CD5B0A"/>
    <w:rsid w:val="00CD5B14"/>
    <w:rsid w:val="00CD5B28"/>
    <w:rsid w:val="00CD5B51"/>
    <w:rsid w:val="00CD5BFA"/>
    <w:rsid w:val="00CD5C27"/>
    <w:rsid w:val="00CD5C6F"/>
    <w:rsid w:val="00CD5C8C"/>
    <w:rsid w:val="00CD5CE0"/>
    <w:rsid w:val="00CD5D29"/>
    <w:rsid w:val="00CD5D9C"/>
    <w:rsid w:val="00CD5DA5"/>
    <w:rsid w:val="00CD5DC1"/>
    <w:rsid w:val="00CD5DF5"/>
    <w:rsid w:val="00CD5E71"/>
    <w:rsid w:val="00CD5E81"/>
    <w:rsid w:val="00CD5EA2"/>
    <w:rsid w:val="00CD5EAA"/>
    <w:rsid w:val="00CD5ED3"/>
    <w:rsid w:val="00CD5ED4"/>
    <w:rsid w:val="00CD5F57"/>
    <w:rsid w:val="00CD5F87"/>
    <w:rsid w:val="00CD5F8E"/>
    <w:rsid w:val="00CD5F97"/>
    <w:rsid w:val="00CD5FFA"/>
    <w:rsid w:val="00CD6020"/>
    <w:rsid w:val="00CD6022"/>
    <w:rsid w:val="00CD6049"/>
    <w:rsid w:val="00CD607E"/>
    <w:rsid w:val="00CD60D8"/>
    <w:rsid w:val="00CD60F7"/>
    <w:rsid w:val="00CD6100"/>
    <w:rsid w:val="00CD6124"/>
    <w:rsid w:val="00CD6134"/>
    <w:rsid w:val="00CD619A"/>
    <w:rsid w:val="00CD61B4"/>
    <w:rsid w:val="00CD61D4"/>
    <w:rsid w:val="00CD61F8"/>
    <w:rsid w:val="00CD6226"/>
    <w:rsid w:val="00CD624B"/>
    <w:rsid w:val="00CD6255"/>
    <w:rsid w:val="00CD6296"/>
    <w:rsid w:val="00CD62AC"/>
    <w:rsid w:val="00CD62D0"/>
    <w:rsid w:val="00CD62EE"/>
    <w:rsid w:val="00CD631F"/>
    <w:rsid w:val="00CD63AF"/>
    <w:rsid w:val="00CD63CD"/>
    <w:rsid w:val="00CD63F5"/>
    <w:rsid w:val="00CD6408"/>
    <w:rsid w:val="00CD6436"/>
    <w:rsid w:val="00CD6442"/>
    <w:rsid w:val="00CD6485"/>
    <w:rsid w:val="00CD6499"/>
    <w:rsid w:val="00CD649B"/>
    <w:rsid w:val="00CD649D"/>
    <w:rsid w:val="00CD6565"/>
    <w:rsid w:val="00CD65DC"/>
    <w:rsid w:val="00CD65E3"/>
    <w:rsid w:val="00CD6613"/>
    <w:rsid w:val="00CD667A"/>
    <w:rsid w:val="00CD6731"/>
    <w:rsid w:val="00CD6748"/>
    <w:rsid w:val="00CD6751"/>
    <w:rsid w:val="00CD675D"/>
    <w:rsid w:val="00CD67B8"/>
    <w:rsid w:val="00CD67D8"/>
    <w:rsid w:val="00CD682A"/>
    <w:rsid w:val="00CD6868"/>
    <w:rsid w:val="00CD68B2"/>
    <w:rsid w:val="00CD68C8"/>
    <w:rsid w:val="00CD68F4"/>
    <w:rsid w:val="00CD6902"/>
    <w:rsid w:val="00CD6919"/>
    <w:rsid w:val="00CD69F7"/>
    <w:rsid w:val="00CD6A62"/>
    <w:rsid w:val="00CD6A6A"/>
    <w:rsid w:val="00CD6AB6"/>
    <w:rsid w:val="00CD6B16"/>
    <w:rsid w:val="00CD6B64"/>
    <w:rsid w:val="00CD6B8E"/>
    <w:rsid w:val="00CD6B9F"/>
    <w:rsid w:val="00CD6BB4"/>
    <w:rsid w:val="00CD6C47"/>
    <w:rsid w:val="00CD6C5E"/>
    <w:rsid w:val="00CD6C94"/>
    <w:rsid w:val="00CD6CF6"/>
    <w:rsid w:val="00CD6D0D"/>
    <w:rsid w:val="00CD6DEA"/>
    <w:rsid w:val="00CD6E06"/>
    <w:rsid w:val="00CD6E66"/>
    <w:rsid w:val="00CD6E85"/>
    <w:rsid w:val="00CD6ED6"/>
    <w:rsid w:val="00CD6F21"/>
    <w:rsid w:val="00CD6F36"/>
    <w:rsid w:val="00CD6F7B"/>
    <w:rsid w:val="00CD6F7E"/>
    <w:rsid w:val="00CD6F88"/>
    <w:rsid w:val="00CD6FC7"/>
    <w:rsid w:val="00CD703C"/>
    <w:rsid w:val="00CD7058"/>
    <w:rsid w:val="00CD7088"/>
    <w:rsid w:val="00CD70F7"/>
    <w:rsid w:val="00CD7193"/>
    <w:rsid w:val="00CD719F"/>
    <w:rsid w:val="00CD71E9"/>
    <w:rsid w:val="00CD7232"/>
    <w:rsid w:val="00CD72BB"/>
    <w:rsid w:val="00CD72C3"/>
    <w:rsid w:val="00CD7308"/>
    <w:rsid w:val="00CD7336"/>
    <w:rsid w:val="00CD7344"/>
    <w:rsid w:val="00CD7348"/>
    <w:rsid w:val="00CD73D7"/>
    <w:rsid w:val="00CD73D9"/>
    <w:rsid w:val="00CD74BC"/>
    <w:rsid w:val="00CD74EE"/>
    <w:rsid w:val="00CD74F2"/>
    <w:rsid w:val="00CD755B"/>
    <w:rsid w:val="00CD75A0"/>
    <w:rsid w:val="00CD7630"/>
    <w:rsid w:val="00CD76A7"/>
    <w:rsid w:val="00CD76F1"/>
    <w:rsid w:val="00CD771C"/>
    <w:rsid w:val="00CD773E"/>
    <w:rsid w:val="00CD775F"/>
    <w:rsid w:val="00CD776E"/>
    <w:rsid w:val="00CD7771"/>
    <w:rsid w:val="00CD7775"/>
    <w:rsid w:val="00CD77AA"/>
    <w:rsid w:val="00CD77AC"/>
    <w:rsid w:val="00CD77C8"/>
    <w:rsid w:val="00CD77F1"/>
    <w:rsid w:val="00CD7852"/>
    <w:rsid w:val="00CD78A1"/>
    <w:rsid w:val="00CD78A3"/>
    <w:rsid w:val="00CD78CB"/>
    <w:rsid w:val="00CD78D9"/>
    <w:rsid w:val="00CD790C"/>
    <w:rsid w:val="00CD791A"/>
    <w:rsid w:val="00CD7981"/>
    <w:rsid w:val="00CD79BE"/>
    <w:rsid w:val="00CD7A12"/>
    <w:rsid w:val="00CD7A94"/>
    <w:rsid w:val="00CD7AA5"/>
    <w:rsid w:val="00CD7AD6"/>
    <w:rsid w:val="00CD7B01"/>
    <w:rsid w:val="00CD7B48"/>
    <w:rsid w:val="00CD7B8A"/>
    <w:rsid w:val="00CD7B9C"/>
    <w:rsid w:val="00CD7BBA"/>
    <w:rsid w:val="00CD7BF2"/>
    <w:rsid w:val="00CD7BF6"/>
    <w:rsid w:val="00CD7C4C"/>
    <w:rsid w:val="00CD7C53"/>
    <w:rsid w:val="00CD7D2B"/>
    <w:rsid w:val="00CD7D98"/>
    <w:rsid w:val="00CD7DC2"/>
    <w:rsid w:val="00CD7E43"/>
    <w:rsid w:val="00CD7EBE"/>
    <w:rsid w:val="00CD7EDA"/>
    <w:rsid w:val="00CD7F0D"/>
    <w:rsid w:val="00CD7F8B"/>
    <w:rsid w:val="00CD7FD4"/>
    <w:rsid w:val="00CD7FE9"/>
    <w:rsid w:val="00CE0048"/>
    <w:rsid w:val="00CE00C6"/>
    <w:rsid w:val="00CE00C7"/>
    <w:rsid w:val="00CE00E0"/>
    <w:rsid w:val="00CE0163"/>
    <w:rsid w:val="00CE018E"/>
    <w:rsid w:val="00CE0202"/>
    <w:rsid w:val="00CE022F"/>
    <w:rsid w:val="00CE0233"/>
    <w:rsid w:val="00CE023D"/>
    <w:rsid w:val="00CE0240"/>
    <w:rsid w:val="00CE027F"/>
    <w:rsid w:val="00CE029A"/>
    <w:rsid w:val="00CE02DA"/>
    <w:rsid w:val="00CE030E"/>
    <w:rsid w:val="00CE032F"/>
    <w:rsid w:val="00CE0334"/>
    <w:rsid w:val="00CE0398"/>
    <w:rsid w:val="00CE03C5"/>
    <w:rsid w:val="00CE040D"/>
    <w:rsid w:val="00CE0473"/>
    <w:rsid w:val="00CE0477"/>
    <w:rsid w:val="00CE04A1"/>
    <w:rsid w:val="00CE04B7"/>
    <w:rsid w:val="00CE04C4"/>
    <w:rsid w:val="00CE04D7"/>
    <w:rsid w:val="00CE0502"/>
    <w:rsid w:val="00CE05B6"/>
    <w:rsid w:val="00CE05C8"/>
    <w:rsid w:val="00CE05E9"/>
    <w:rsid w:val="00CE0625"/>
    <w:rsid w:val="00CE0659"/>
    <w:rsid w:val="00CE06B7"/>
    <w:rsid w:val="00CE078C"/>
    <w:rsid w:val="00CE086A"/>
    <w:rsid w:val="00CE0874"/>
    <w:rsid w:val="00CE08F7"/>
    <w:rsid w:val="00CE0910"/>
    <w:rsid w:val="00CE095D"/>
    <w:rsid w:val="00CE0962"/>
    <w:rsid w:val="00CE09E4"/>
    <w:rsid w:val="00CE0ADB"/>
    <w:rsid w:val="00CE0B14"/>
    <w:rsid w:val="00CE0B1F"/>
    <w:rsid w:val="00CE0B26"/>
    <w:rsid w:val="00CE0B6A"/>
    <w:rsid w:val="00CE0B93"/>
    <w:rsid w:val="00CE0BB8"/>
    <w:rsid w:val="00CE0C43"/>
    <w:rsid w:val="00CE0C61"/>
    <w:rsid w:val="00CE0CB6"/>
    <w:rsid w:val="00CE0CEC"/>
    <w:rsid w:val="00CE0D6A"/>
    <w:rsid w:val="00CE0D7E"/>
    <w:rsid w:val="00CE0DD9"/>
    <w:rsid w:val="00CE0E3D"/>
    <w:rsid w:val="00CE0E40"/>
    <w:rsid w:val="00CE0ECB"/>
    <w:rsid w:val="00CE0EF3"/>
    <w:rsid w:val="00CE0FB6"/>
    <w:rsid w:val="00CE1016"/>
    <w:rsid w:val="00CE1083"/>
    <w:rsid w:val="00CE111B"/>
    <w:rsid w:val="00CE1121"/>
    <w:rsid w:val="00CE119B"/>
    <w:rsid w:val="00CE11D9"/>
    <w:rsid w:val="00CE11F2"/>
    <w:rsid w:val="00CE1272"/>
    <w:rsid w:val="00CE12A5"/>
    <w:rsid w:val="00CE131A"/>
    <w:rsid w:val="00CE133E"/>
    <w:rsid w:val="00CE134E"/>
    <w:rsid w:val="00CE1380"/>
    <w:rsid w:val="00CE1390"/>
    <w:rsid w:val="00CE13B5"/>
    <w:rsid w:val="00CE13D9"/>
    <w:rsid w:val="00CE1420"/>
    <w:rsid w:val="00CE1478"/>
    <w:rsid w:val="00CE14BB"/>
    <w:rsid w:val="00CE14D0"/>
    <w:rsid w:val="00CE14DF"/>
    <w:rsid w:val="00CE151E"/>
    <w:rsid w:val="00CE1552"/>
    <w:rsid w:val="00CE15C5"/>
    <w:rsid w:val="00CE15DC"/>
    <w:rsid w:val="00CE15E2"/>
    <w:rsid w:val="00CE15E9"/>
    <w:rsid w:val="00CE15F1"/>
    <w:rsid w:val="00CE15F3"/>
    <w:rsid w:val="00CE1634"/>
    <w:rsid w:val="00CE165D"/>
    <w:rsid w:val="00CE168B"/>
    <w:rsid w:val="00CE16FE"/>
    <w:rsid w:val="00CE1732"/>
    <w:rsid w:val="00CE1739"/>
    <w:rsid w:val="00CE1748"/>
    <w:rsid w:val="00CE175E"/>
    <w:rsid w:val="00CE1766"/>
    <w:rsid w:val="00CE1787"/>
    <w:rsid w:val="00CE178B"/>
    <w:rsid w:val="00CE17B5"/>
    <w:rsid w:val="00CE1806"/>
    <w:rsid w:val="00CE182A"/>
    <w:rsid w:val="00CE183A"/>
    <w:rsid w:val="00CE1899"/>
    <w:rsid w:val="00CE18A0"/>
    <w:rsid w:val="00CE1914"/>
    <w:rsid w:val="00CE198B"/>
    <w:rsid w:val="00CE199B"/>
    <w:rsid w:val="00CE19B8"/>
    <w:rsid w:val="00CE1A0C"/>
    <w:rsid w:val="00CE1A46"/>
    <w:rsid w:val="00CE1A53"/>
    <w:rsid w:val="00CE1A69"/>
    <w:rsid w:val="00CE1A94"/>
    <w:rsid w:val="00CE1B04"/>
    <w:rsid w:val="00CE1B5F"/>
    <w:rsid w:val="00CE1BFC"/>
    <w:rsid w:val="00CE1C53"/>
    <w:rsid w:val="00CE1C9A"/>
    <w:rsid w:val="00CE1CA4"/>
    <w:rsid w:val="00CE1CC4"/>
    <w:rsid w:val="00CE1CF3"/>
    <w:rsid w:val="00CE1D0C"/>
    <w:rsid w:val="00CE1D5A"/>
    <w:rsid w:val="00CE1D77"/>
    <w:rsid w:val="00CE1DC0"/>
    <w:rsid w:val="00CE1DC6"/>
    <w:rsid w:val="00CE1E1A"/>
    <w:rsid w:val="00CE1E88"/>
    <w:rsid w:val="00CE1EAF"/>
    <w:rsid w:val="00CE1EEE"/>
    <w:rsid w:val="00CE1EF4"/>
    <w:rsid w:val="00CE1F39"/>
    <w:rsid w:val="00CE1FA0"/>
    <w:rsid w:val="00CE1FA7"/>
    <w:rsid w:val="00CE1FD1"/>
    <w:rsid w:val="00CE2024"/>
    <w:rsid w:val="00CE203F"/>
    <w:rsid w:val="00CE2136"/>
    <w:rsid w:val="00CE2163"/>
    <w:rsid w:val="00CE21F3"/>
    <w:rsid w:val="00CE2246"/>
    <w:rsid w:val="00CE228E"/>
    <w:rsid w:val="00CE22BE"/>
    <w:rsid w:val="00CE22C2"/>
    <w:rsid w:val="00CE230F"/>
    <w:rsid w:val="00CE237B"/>
    <w:rsid w:val="00CE23F9"/>
    <w:rsid w:val="00CE243D"/>
    <w:rsid w:val="00CE244E"/>
    <w:rsid w:val="00CE245B"/>
    <w:rsid w:val="00CE2471"/>
    <w:rsid w:val="00CE24A7"/>
    <w:rsid w:val="00CE24FB"/>
    <w:rsid w:val="00CE2510"/>
    <w:rsid w:val="00CE255A"/>
    <w:rsid w:val="00CE2589"/>
    <w:rsid w:val="00CE2599"/>
    <w:rsid w:val="00CE25A5"/>
    <w:rsid w:val="00CE2612"/>
    <w:rsid w:val="00CE2617"/>
    <w:rsid w:val="00CE2642"/>
    <w:rsid w:val="00CE268B"/>
    <w:rsid w:val="00CE270C"/>
    <w:rsid w:val="00CE271A"/>
    <w:rsid w:val="00CE2733"/>
    <w:rsid w:val="00CE2781"/>
    <w:rsid w:val="00CE2798"/>
    <w:rsid w:val="00CE2820"/>
    <w:rsid w:val="00CE283A"/>
    <w:rsid w:val="00CE2857"/>
    <w:rsid w:val="00CE2863"/>
    <w:rsid w:val="00CE289F"/>
    <w:rsid w:val="00CE28C3"/>
    <w:rsid w:val="00CE28EB"/>
    <w:rsid w:val="00CE28ED"/>
    <w:rsid w:val="00CE2921"/>
    <w:rsid w:val="00CE294D"/>
    <w:rsid w:val="00CE295B"/>
    <w:rsid w:val="00CE299D"/>
    <w:rsid w:val="00CE29B2"/>
    <w:rsid w:val="00CE29C7"/>
    <w:rsid w:val="00CE29F9"/>
    <w:rsid w:val="00CE2A2C"/>
    <w:rsid w:val="00CE2A41"/>
    <w:rsid w:val="00CE2A97"/>
    <w:rsid w:val="00CE2AA0"/>
    <w:rsid w:val="00CE2AA4"/>
    <w:rsid w:val="00CE2ACD"/>
    <w:rsid w:val="00CE2AD8"/>
    <w:rsid w:val="00CE2AF1"/>
    <w:rsid w:val="00CE2B43"/>
    <w:rsid w:val="00CE2BC5"/>
    <w:rsid w:val="00CE2BD3"/>
    <w:rsid w:val="00CE2BDD"/>
    <w:rsid w:val="00CE2BF7"/>
    <w:rsid w:val="00CE2C20"/>
    <w:rsid w:val="00CE2C68"/>
    <w:rsid w:val="00CE2CDA"/>
    <w:rsid w:val="00CE2CFC"/>
    <w:rsid w:val="00CE2D0B"/>
    <w:rsid w:val="00CE2D0E"/>
    <w:rsid w:val="00CE2DF7"/>
    <w:rsid w:val="00CE2DFB"/>
    <w:rsid w:val="00CE2E26"/>
    <w:rsid w:val="00CE2E2D"/>
    <w:rsid w:val="00CE2E48"/>
    <w:rsid w:val="00CE2E66"/>
    <w:rsid w:val="00CE2EB0"/>
    <w:rsid w:val="00CE2EDB"/>
    <w:rsid w:val="00CE2F1A"/>
    <w:rsid w:val="00CE2F26"/>
    <w:rsid w:val="00CE2F55"/>
    <w:rsid w:val="00CE2FA7"/>
    <w:rsid w:val="00CE2FD0"/>
    <w:rsid w:val="00CE302A"/>
    <w:rsid w:val="00CE3048"/>
    <w:rsid w:val="00CE3061"/>
    <w:rsid w:val="00CE306C"/>
    <w:rsid w:val="00CE30C8"/>
    <w:rsid w:val="00CE310C"/>
    <w:rsid w:val="00CE3179"/>
    <w:rsid w:val="00CE3183"/>
    <w:rsid w:val="00CE31C2"/>
    <w:rsid w:val="00CE3204"/>
    <w:rsid w:val="00CE3218"/>
    <w:rsid w:val="00CE323F"/>
    <w:rsid w:val="00CE3293"/>
    <w:rsid w:val="00CE329E"/>
    <w:rsid w:val="00CE32DB"/>
    <w:rsid w:val="00CE332A"/>
    <w:rsid w:val="00CE3373"/>
    <w:rsid w:val="00CE339E"/>
    <w:rsid w:val="00CE33CB"/>
    <w:rsid w:val="00CE33E4"/>
    <w:rsid w:val="00CE34E3"/>
    <w:rsid w:val="00CE34EE"/>
    <w:rsid w:val="00CE34F3"/>
    <w:rsid w:val="00CE3504"/>
    <w:rsid w:val="00CE350E"/>
    <w:rsid w:val="00CE354D"/>
    <w:rsid w:val="00CE359D"/>
    <w:rsid w:val="00CE35EB"/>
    <w:rsid w:val="00CE35F8"/>
    <w:rsid w:val="00CE3675"/>
    <w:rsid w:val="00CE367C"/>
    <w:rsid w:val="00CE368A"/>
    <w:rsid w:val="00CE3753"/>
    <w:rsid w:val="00CE37A0"/>
    <w:rsid w:val="00CE37BC"/>
    <w:rsid w:val="00CE37D3"/>
    <w:rsid w:val="00CE3815"/>
    <w:rsid w:val="00CE3881"/>
    <w:rsid w:val="00CE3895"/>
    <w:rsid w:val="00CE38F3"/>
    <w:rsid w:val="00CE3910"/>
    <w:rsid w:val="00CE3923"/>
    <w:rsid w:val="00CE39BE"/>
    <w:rsid w:val="00CE39F2"/>
    <w:rsid w:val="00CE3A1E"/>
    <w:rsid w:val="00CE3A2A"/>
    <w:rsid w:val="00CE3A43"/>
    <w:rsid w:val="00CE3A58"/>
    <w:rsid w:val="00CE3AAE"/>
    <w:rsid w:val="00CE3AF2"/>
    <w:rsid w:val="00CE3B0D"/>
    <w:rsid w:val="00CE3B16"/>
    <w:rsid w:val="00CE3BBE"/>
    <w:rsid w:val="00CE3C2C"/>
    <w:rsid w:val="00CE3C7E"/>
    <w:rsid w:val="00CE3C9B"/>
    <w:rsid w:val="00CE3C9C"/>
    <w:rsid w:val="00CE3CED"/>
    <w:rsid w:val="00CE3D8A"/>
    <w:rsid w:val="00CE3EAC"/>
    <w:rsid w:val="00CE3EC5"/>
    <w:rsid w:val="00CE3EDE"/>
    <w:rsid w:val="00CE3EE0"/>
    <w:rsid w:val="00CE3F1C"/>
    <w:rsid w:val="00CE3F3B"/>
    <w:rsid w:val="00CE3F44"/>
    <w:rsid w:val="00CE3F55"/>
    <w:rsid w:val="00CE3F58"/>
    <w:rsid w:val="00CE3F68"/>
    <w:rsid w:val="00CE3F84"/>
    <w:rsid w:val="00CE3F92"/>
    <w:rsid w:val="00CE3FF5"/>
    <w:rsid w:val="00CE401E"/>
    <w:rsid w:val="00CE4041"/>
    <w:rsid w:val="00CE4043"/>
    <w:rsid w:val="00CE4109"/>
    <w:rsid w:val="00CE413F"/>
    <w:rsid w:val="00CE4150"/>
    <w:rsid w:val="00CE4159"/>
    <w:rsid w:val="00CE41C1"/>
    <w:rsid w:val="00CE41D3"/>
    <w:rsid w:val="00CE4223"/>
    <w:rsid w:val="00CE4226"/>
    <w:rsid w:val="00CE423E"/>
    <w:rsid w:val="00CE4251"/>
    <w:rsid w:val="00CE42B2"/>
    <w:rsid w:val="00CE42BB"/>
    <w:rsid w:val="00CE42F6"/>
    <w:rsid w:val="00CE42FD"/>
    <w:rsid w:val="00CE4366"/>
    <w:rsid w:val="00CE436E"/>
    <w:rsid w:val="00CE437C"/>
    <w:rsid w:val="00CE439E"/>
    <w:rsid w:val="00CE4407"/>
    <w:rsid w:val="00CE446B"/>
    <w:rsid w:val="00CE447B"/>
    <w:rsid w:val="00CE4481"/>
    <w:rsid w:val="00CE4516"/>
    <w:rsid w:val="00CE4559"/>
    <w:rsid w:val="00CE4567"/>
    <w:rsid w:val="00CE457C"/>
    <w:rsid w:val="00CE4625"/>
    <w:rsid w:val="00CE4629"/>
    <w:rsid w:val="00CE464B"/>
    <w:rsid w:val="00CE465B"/>
    <w:rsid w:val="00CE4664"/>
    <w:rsid w:val="00CE466C"/>
    <w:rsid w:val="00CE46DF"/>
    <w:rsid w:val="00CE46EF"/>
    <w:rsid w:val="00CE4704"/>
    <w:rsid w:val="00CE4710"/>
    <w:rsid w:val="00CE475A"/>
    <w:rsid w:val="00CE4796"/>
    <w:rsid w:val="00CE47B7"/>
    <w:rsid w:val="00CE47F8"/>
    <w:rsid w:val="00CE4809"/>
    <w:rsid w:val="00CE4840"/>
    <w:rsid w:val="00CE485D"/>
    <w:rsid w:val="00CE4873"/>
    <w:rsid w:val="00CE48FA"/>
    <w:rsid w:val="00CE4923"/>
    <w:rsid w:val="00CE4940"/>
    <w:rsid w:val="00CE49BD"/>
    <w:rsid w:val="00CE49E5"/>
    <w:rsid w:val="00CE49E8"/>
    <w:rsid w:val="00CE4A4A"/>
    <w:rsid w:val="00CE4A8D"/>
    <w:rsid w:val="00CE4A8E"/>
    <w:rsid w:val="00CE4B38"/>
    <w:rsid w:val="00CE4B56"/>
    <w:rsid w:val="00CE4BB0"/>
    <w:rsid w:val="00CE4BFF"/>
    <w:rsid w:val="00CE4D61"/>
    <w:rsid w:val="00CE4D75"/>
    <w:rsid w:val="00CE4D95"/>
    <w:rsid w:val="00CE4D97"/>
    <w:rsid w:val="00CE4E37"/>
    <w:rsid w:val="00CE4E5B"/>
    <w:rsid w:val="00CE4E94"/>
    <w:rsid w:val="00CE4E9A"/>
    <w:rsid w:val="00CE4EB9"/>
    <w:rsid w:val="00CE4EDA"/>
    <w:rsid w:val="00CE4EE8"/>
    <w:rsid w:val="00CE4F35"/>
    <w:rsid w:val="00CE4F39"/>
    <w:rsid w:val="00CE4F56"/>
    <w:rsid w:val="00CE5014"/>
    <w:rsid w:val="00CE5028"/>
    <w:rsid w:val="00CE5037"/>
    <w:rsid w:val="00CE5055"/>
    <w:rsid w:val="00CE506D"/>
    <w:rsid w:val="00CE506E"/>
    <w:rsid w:val="00CE50FF"/>
    <w:rsid w:val="00CE510C"/>
    <w:rsid w:val="00CE519C"/>
    <w:rsid w:val="00CE5219"/>
    <w:rsid w:val="00CE522B"/>
    <w:rsid w:val="00CE5243"/>
    <w:rsid w:val="00CE5262"/>
    <w:rsid w:val="00CE52A4"/>
    <w:rsid w:val="00CE52AA"/>
    <w:rsid w:val="00CE5318"/>
    <w:rsid w:val="00CE5325"/>
    <w:rsid w:val="00CE5326"/>
    <w:rsid w:val="00CE5339"/>
    <w:rsid w:val="00CE5367"/>
    <w:rsid w:val="00CE5375"/>
    <w:rsid w:val="00CE53B3"/>
    <w:rsid w:val="00CE53B6"/>
    <w:rsid w:val="00CE53BC"/>
    <w:rsid w:val="00CE53BE"/>
    <w:rsid w:val="00CE5475"/>
    <w:rsid w:val="00CE5491"/>
    <w:rsid w:val="00CE54FA"/>
    <w:rsid w:val="00CE556C"/>
    <w:rsid w:val="00CE55AA"/>
    <w:rsid w:val="00CE55EB"/>
    <w:rsid w:val="00CE55ED"/>
    <w:rsid w:val="00CE5634"/>
    <w:rsid w:val="00CE565A"/>
    <w:rsid w:val="00CE565B"/>
    <w:rsid w:val="00CE56EA"/>
    <w:rsid w:val="00CE5712"/>
    <w:rsid w:val="00CE573E"/>
    <w:rsid w:val="00CE5740"/>
    <w:rsid w:val="00CE57C8"/>
    <w:rsid w:val="00CE5806"/>
    <w:rsid w:val="00CE58B0"/>
    <w:rsid w:val="00CE58D3"/>
    <w:rsid w:val="00CE5903"/>
    <w:rsid w:val="00CE590E"/>
    <w:rsid w:val="00CE5940"/>
    <w:rsid w:val="00CE59B8"/>
    <w:rsid w:val="00CE59E0"/>
    <w:rsid w:val="00CE5A01"/>
    <w:rsid w:val="00CE5A26"/>
    <w:rsid w:val="00CE5A27"/>
    <w:rsid w:val="00CE5A2C"/>
    <w:rsid w:val="00CE5A70"/>
    <w:rsid w:val="00CE5A9A"/>
    <w:rsid w:val="00CE5ABD"/>
    <w:rsid w:val="00CE5B6F"/>
    <w:rsid w:val="00CE5C21"/>
    <w:rsid w:val="00CE5C54"/>
    <w:rsid w:val="00CE5CB0"/>
    <w:rsid w:val="00CE5CDE"/>
    <w:rsid w:val="00CE5D0A"/>
    <w:rsid w:val="00CE5D5B"/>
    <w:rsid w:val="00CE5D61"/>
    <w:rsid w:val="00CE5D71"/>
    <w:rsid w:val="00CE5D8A"/>
    <w:rsid w:val="00CE5DC5"/>
    <w:rsid w:val="00CE5DC6"/>
    <w:rsid w:val="00CE5E27"/>
    <w:rsid w:val="00CE5E5D"/>
    <w:rsid w:val="00CE5E8F"/>
    <w:rsid w:val="00CE5E98"/>
    <w:rsid w:val="00CE5EFC"/>
    <w:rsid w:val="00CE5F77"/>
    <w:rsid w:val="00CE5F7E"/>
    <w:rsid w:val="00CE5F9D"/>
    <w:rsid w:val="00CE5FAB"/>
    <w:rsid w:val="00CE5FAD"/>
    <w:rsid w:val="00CE5FFE"/>
    <w:rsid w:val="00CE600E"/>
    <w:rsid w:val="00CE6039"/>
    <w:rsid w:val="00CE6055"/>
    <w:rsid w:val="00CE6149"/>
    <w:rsid w:val="00CE6167"/>
    <w:rsid w:val="00CE6168"/>
    <w:rsid w:val="00CE61C0"/>
    <w:rsid w:val="00CE62A0"/>
    <w:rsid w:val="00CE62CF"/>
    <w:rsid w:val="00CE62D5"/>
    <w:rsid w:val="00CE62E6"/>
    <w:rsid w:val="00CE62F6"/>
    <w:rsid w:val="00CE6305"/>
    <w:rsid w:val="00CE6330"/>
    <w:rsid w:val="00CE6332"/>
    <w:rsid w:val="00CE63C5"/>
    <w:rsid w:val="00CE63CE"/>
    <w:rsid w:val="00CE63DE"/>
    <w:rsid w:val="00CE640A"/>
    <w:rsid w:val="00CE642F"/>
    <w:rsid w:val="00CE6447"/>
    <w:rsid w:val="00CE648A"/>
    <w:rsid w:val="00CE64C9"/>
    <w:rsid w:val="00CE655E"/>
    <w:rsid w:val="00CE6576"/>
    <w:rsid w:val="00CE65A9"/>
    <w:rsid w:val="00CE65AB"/>
    <w:rsid w:val="00CE65D7"/>
    <w:rsid w:val="00CE65FD"/>
    <w:rsid w:val="00CE660D"/>
    <w:rsid w:val="00CE6619"/>
    <w:rsid w:val="00CE661A"/>
    <w:rsid w:val="00CE6685"/>
    <w:rsid w:val="00CE6696"/>
    <w:rsid w:val="00CE66E7"/>
    <w:rsid w:val="00CE6735"/>
    <w:rsid w:val="00CE6755"/>
    <w:rsid w:val="00CE6759"/>
    <w:rsid w:val="00CE6776"/>
    <w:rsid w:val="00CE67D0"/>
    <w:rsid w:val="00CE6871"/>
    <w:rsid w:val="00CE6873"/>
    <w:rsid w:val="00CE6876"/>
    <w:rsid w:val="00CE6906"/>
    <w:rsid w:val="00CE6A3C"/>
    <w:rsid w:val="00CE6A64"/>
    <w:rsid w:val="00CE6A84"/>
    <w:rsid w:val="00CE6AA7"/>
    <w:rsid w:val="00CE6ADD"/>
    <w:rsid w:val="00CE6B05"/>
    <w:rsid w:val="00CE6B49"/>
    <w:rsid w:val="00CE6B6A"/>
    <w:rsid w:val="00CE6B6F"/>
    <w:rsid w:val="00CE6B71"/>
    <w:rsid w:val="00CE6BA5"/>
    <w:rsid w:val="00CE6BB2"/>
    <w:rsid w:val="00CE6BEC"/>
    <w:rsid w:val="00CE6C04"/>
    <w:rsid w:val="00CE6C07"/>
    <w:rsid w:val="00CE6C77"/>
    <w:rsid w:val="00CE6C7E"/>
    <w:rsid w:val="00CE6C8C"/>
    <w:rsid w:val="00CE6C8E"/>
    <w:rsid w:val="00CE6D20"/>
    <w:rsid w:val="00CE6D22"/>
    <w:rsid w:val="00CE6D34"/>
    <w:rsid w:val="00CE6D72"/>
    <w:rsid w:val="00CE6E17"/>
    <w:rsid w:val="00CE6E2D"/>
    <w:rsid w:val="00CE6E5C"/>
    <w:rsid w:val="00CE6E95"/>
    <w:rsid w:val="00CE6EA4"/>
    <w:rsid w:val="00CE6F19"/>
    <w:rsid w:val="00CE6F5C"/>
    <w:rsid w:val="00CE6F7B"/>
    <w:rsid w:val="00CE6FD8"/>
    <w:rsid w:val="00CE6FEF"/>
    <w:rsid w:val="00CE7080"/>
    <w:rsid w:val="00CE7084"/>
    <w:rsid w:val="00CE708B"/>
    <w:rsid w:val="00CE70D8"/>
    <w:rsid w:val="00CE711C"/>
    <w:rsid w:val="00CE715F"/>
    <w:rsid w:val="00CE71AB"/>
    <w:rsid w:val="00CE71EB"/>
    <w:rsid w:val="00CE7255"/>
    <w:rsid w:val="00CE7256"/>
    <w:rsid w:val="00CE7266"/>
    <w:rsid w:val="00CE7278"/>
    <w:rsid w:val="00CE72BD"/>
    <w:rsid w:val="00CE72C1"/>
    <w:rsid w:val="00CE72C4"/>
    <w:rsid w:val="00CE72CA"/>
    <w:rsid w:val="00CE7306"/>
    <w:rsid w:val="00CE7311"/>
    <w:rsid w:val="00CE73F3"/>
    <w:rsid w:val="00CE73F4"/>
    <w:rsid w:val="00CE7482"/>
    <w:rsid w:val="00CE74B4"/>
    <w:rsid w:val="00CE757E"/>
    <w:rsid w:val="00CE7605"/>
    <w:rsid w:val="00CE761D"/>
    <w:rsid w:val="00CE7620"/>
    <w:rsid w:val="00CE76F4"/>
    <w:rsid w:val="00CE76F7"/>
    <w:rsid w:val="00CE772E"/>
    <w:rsid w:val="00CE774D"/>
    <w:rsid w:val="00CE7765"/>
    <w:rsid w:val="00CE7769"/>
    <w:rsid w:val="00CE7780"/>
    <w:rsid w:val="00CE7806"/>
    <w:rsid w:val="00CE782B"/>
    <w:rsid w:val="00CE783F"/>
    <w:rsid w:val="00CE78DC"/>
    <w:rsid w:val="00CE79B7"/>
    <w:rsid w:val="00CE79CC"/>
    <w:rsid w:val="00CE79D5"/>
    <w:rsid w:val="00CE79FB"/>
    <w:rsid w:val="00CE7A9C"/>
    <w:rsid w:val="00CE7AC4"/>
    <w:rsid w:val="00CE7B6C"/>
    <w:rsid w:val="00CE7B72"/>
    <w:rsid w:val="00CE7BE6"/>
    <w:rsid w:val="00CE7CD3"/>
    <w:rsid w:val="00CE7D13"/>
    <w:rsid w:val="00CE7D23"/>
    <w:rsid w:val="00CE7D55"/>
    <w:rsid w:val="00CE7DCA"/>
    <w:rsid w:val="00CE7DCE"/>
    <w:rsid w:val="00CE7DF8"/>
    <w:rsid w:val="00CE7E11"/>
    <w:rsid w:val="00CE7E13"/>
    <w:rsid w:val="00CE7EDC"/>
    <w:rsid w:val="00CE7F04"/>
    <w:rsid w:val="00CE7F66"/>
    <w:rsid w:val="00CF0018"/>
    <w:rsid w:val="00CF001F"/>
    <w:rsid w:val="00CF00B8"/>
    <w:rsid w:val="00CF00BD"/>
    <w:rsid w:val="00CF00E5"/>
    <w:rsid w:val="00CF00F0"/>
    <w:rsid w:val="00CF010F"/>
    <w:rsid w:val="00CF011A"/>
    <w:rsid w:val="00CF0170"/>
    <w:rsid w:val="00CF022F"/>
    <w:rsid w:val="00CF0269"/>
    <w:rsid w:val="00CF029E"/>
    <w:rsid w:val="00CF02BD"/>
    <w:rsid w:val="00CF0336"/>
    <w:rsid w:val="00CF0337"/>
    <w:rsid w:val="00CF03B2"/>
    <w:rsid w:val="00CF03B9"/>
    <w:rsid w:val="00CF03D8"/>
    <w:rsid w:val="00CF03DC"/>
    <w:rsid w:val="00CF03FC"/>
    <w:rsid w:val="00CF0406"/>
    <w:rsid w:val="00CF0453"/>
    <w:rsid w:val="00CF04B4"/>
    <w:rsid w:val="00CF04D2"/>
    <w:rsid w:val="00CF0654"/>
    <w:rsid w:val="00CF0661"/>
    <w:rsid w:val="00CF0670"/>
    <w:rsid w:val="00CF0674"/>
    <w:rsid w:val="00CF0680"/>
    <w:rsid w:val="00CF068F"/>
    <w:rsid w:val="00CF06D4"/>
    <w:rsid w:val="00CF06E9"/>
    <w:rsid w:val="00CF06EA"/>
    <w:rsid w:val="00CF06F1"/>
    <w:rsid w:val="00CF0752"/>
    <w:rsid w:val="00CF07F5"/>
    <w:rsid w:val="00CF082D"/>
    <w:rsid w:val="00CF082F"/>
    <w:rsid w:val="00CF0907"/>
    <w:rsid w:val="00CF0990"/>
    <w:rsid w:val="00CF0995"/>
    <w:rsid w:val="00CF0A28"/>
    <w:rsid w:val="00CF0A77"/>
    <w:rsid w:val="00CF0A99"/>
    <w:rsid w:val="00CF0AA9"/>
    <w:rsid w:val="00CF0AF4"/>
    <w:rsid w:val="00CF0AFC"/>
    <w:rsid w:val="00CF0B1C"/>
    <w:rsid w:val="00CF0B3F"/>
    <w:rsid w:val="00CF0B4D"/>
    <w:rsid w:val="00CF0B71"/>
    <w:rsid w:val="00CF0BBD"/>
    <w:rsid w:val="00CF0BDE"/>
    <w:rsid w:val="00CF0C73"/>
    <w:rsid w:val="00CF0CAF"/>
    <w:rsid w:val="00CF0CC6"/>
    <w:rsid w:val="00CF0D80"/>
    <w:rsid w:val="00CF0DBA"/>
    <w:rsid w:val="00CF0DDF"/>
    <w:rsid w:val="00CF0DE7"/>
    <w:rsid w:val="00CF0E10"/>
    <w:rsid w:val="00CF0E16"/>
    <w:rsid w:val="00CF0EAA"/>
    <w:rsid w:val="00CF0EBD"/>
    <w:rsid w:val="00CF0EE1"/>
    <w:rsid w:val="00CF0F2B"/>
    <w:rsid w:val="00CF0F4F"/>
    <w:rsid w:val="00CF0F6F"/>
    <w:rsid w:val="00CF0FE2"/>
    <w:rsid w:val="00CF1004"/>
    <w:rsid w:val="00CF1052"/>
    <w:rsid w:val="00CF1073"/>
    <w:rsid w:val="00CF10DD"/>
    <w:rsid w:val="00CF1127"/>
    <w:rsid w:val="00CF112B"/>
    <w:rsid w:val="00CF116C"/>
    <w:rsid w:val="00CF11AC"/>
    <w:rsid w:val="00CF1213"/>
    <w:rsid w:val="00CF1244"/>
    <w:rsid w:val="00CF1284"/>
    <w:rsid w:val="00CF12E7"/>
    <w:rsid w:val="00CF1356"/>
    <w:rsid w:val="00CF13E0"/>
    <w:rsid w:val="00CF13FA"/>
    <w:rsid w:val="00CF1420"/>
    <w:rsid w:val="00CF1423"/>
    <w:rsid w:val="00CF144D"/>
    <w:rsid w:val="00CF1478"/>
    <w:rsid w:val="00CF14BF"/>
    <w:rsid w:val="00CF1578"/>
    <w:rsid w:val="00CF1599"/>
    <w:rsid w:val="00CF15EC"/>
    <w:rsid w:val="00CF15FA"/>
    <w:rsid w:val="00CF15FD"/>
    <w:rsid w:val="00CF1624"/>
    <w:rsid w:val="00CF168A"/>
    <w:rsid w:val="00CF1692"/>
    <w:rsid w:val="00CF17CC"/>
    <w:rsid w:val="00CF17FC"/>
    <w:rsid w:val="00CF1829"/>
    <w:rsid w:val="00CF182B"/>
    <w:rsid w:val="00CF1850"/>
    <w:rsid w:val="00CF1860"/>
    <w:rsid w:val="00CF1875"/>
    <w:rsid w:val="00CF1877"/>
    <w:rsid w:val="00CF1930"/>
    <w:rsid w:val="00CF194B"/>
    <w:rsid w:val="00CF196B"/>
    <w:rsid w:val="00CF19B5"/>
    <w:rsid w:val="00CF19C8"/>
    <w:rsid w:val="00CF1A9D"/>
    <w:rsid w:val="00CF1B3E"/>
    <w:rsid w:val="00CF1B46"/>
    <w:rsid w:val="00CF1B4F"/>
    <w:rsid w:val="00CF1B50"/>
    <w:rsid w:val="00CF1B91"/>
    <w:rsid w:val="00CF1B97"/>
    <w:rsid w:val="00CF1BCF"/>
    <w:rsid w:val="00CF1C23"/>
    <w:rsid w:val="00CF1C36"/>
    <w:rsid w:val="00CF1C49"/>
    <w:rsid w:val="00CF1C6F"/>
    <w:rsid w:val="00CF1C90"/>
    <w:rsid w:val="00CF1D09"/>
    <w:rsid w:val="00CF1DAD"/>
    <w:rsid w:val="00CF1DFC"/>
    <w:rsid w:val="00CF1EB1"/>
    <w:rsid w:val="00CF1F35"/>
    <w:rsid w:val="00CF1FD0"/>
    <w:rsid w:val="00CF202B"/>
    <w:rsid w:val="00CF208E"/>
    <w:rsid w:val="00CF20B3"/>
    <w:rsid w:val="00CF20B5"/>
    <w:rsid w:val="00CF20BF"/>
    <w:rsid w:val="00CF2129"/>
    <w:rsid w:val="00CF2162"/>
    <w:rsid w:val="00CF21A7"/>
    <w:rsid w:val="00CF21FF"/>
    <w:rsid w:val="00CF2224"/>
    <w:rsid w:val="00CF22A0"/>
    <w:rsid w:val="00CF22CB"/>
    <w:rsid w:val="00CF2349"/>
    <w:rsid w:val="00CF23C0"/>
    <w:rsid w:val="00CF23FD"/>
    <w:rsid w:val="00CF2416"/>
    <w:rsid w:val="00CF243B"/>
    <w:rsid w:val="00CF2490"/>
    <w:rsid w:val="00CF24B7"/>
    <w:rsid w:val="00CF24D0"/>
    <w:rsid w:val="00CF2550"/>
    <w:rsid w:val="00CF25C3"/>
    <w:rsid w:val="00CF25E8"/>
    <w:rsid w:val="00CF25EC"/>
    <w:rsid w:val="00CF263E"/>
    <w:rsid w:val="00CF26B4"/>
    <w:rsid w:val="00CF272B"/>
    <w:rsid w:val="00CF2751"/>
    <w:rsid w:val="00CF2777"/>
    <w:rsid w:val="00CF27A4"/>
    <w:rsid w:val="00CF27D7"/>
    <w:rsid w:val="00CF27EE"/>
    <w:rsid w:val="00CF280A"/>
    <w:rsid w:val="00CF2811"/>
    <w:rsid w:val="00CF2834"/>
    <w:rsid w:val="00CF2874"/>
    <w:rsid w:val="00CF28A3"/>
    <w:rsid w:val="00CF2A13"/>
    <w:rsid w:val="00CF2A15"/>
    <w:rsid w:val="00CF2A42"/>
    <w:rsid w:val="00CF2A84"/>
    <w:rsid w:val="00CF2AC5"/>
    <w:rsid w:val="00CF2AF5"/>
    <w:rsid w:val="00CF2B86"/>
    <w:rsid w:val="00CF2B9C"/>
    <w:rsid w:val="00CF2BD0"/>
    <w:rsid w:val="00CF2BD8"/>
    <w:rsid w:val="00CF2C15"/>
    <w:rsid w:val="00CF2C68"/>
    <w:rsid w:val="00CF2C73"/>
    <w:rsid w:val="00CF2C7F"/>
    <w:rsid w:val="00CF2CB7"/>
    <w:rsid w:val="00CF2CC6"/>
    <w:rsid w:val="00CF2D4B"/>
    <w:rsid w:val="00CF2D55"/>
    <w:rsid w:val="00CF2D64"/>
    <w:rsid w:val="00CF2D6D"/>
    <w:rsid w:val="00CF2D70"/>
    <w:rsid w:val="00CF2DAC"/>
    <w:rsid w:val="00CF2DD2"/>
    <w:rsid w:val="00CF2DD9"/>
    <w:rsid w:val="00CF2E72"/>
    <w:rsid w:val="00CF2EA3"/>
    <w:rsid w:val="00CF2EA5"/>
    <w:rsid w:val="00CF2EC9"/>
    <w:rsid w:val="00CF2F14"/>
    <w:rsid w:val="00CF2F2B"/>
    <w:rsid w:val="00CF2F7C"/>
    <w:rsid w:val="00CF2FC8"/>
    <w:rsid w:val="00CF2FF4"/>
    <w:rsid w:val="00CF3091"/>
    <w:rsid w:val="00CF30EF"/>
    <w:rsid w:val="00CF30F5"/>
    <w:rsid w:val="00CF310D"/>
    <w:rsid w:val="00CF3113"/>
    <w:rsid w:val="00CF3117"/>
    <w:rsid w:val="00CF3164"/>
    <w:rsid w:val="00CF319A"/>
    <w:rsid w:val="00CF31BE"/>
    <w:rsid w:val="00CF3235"/>
    <w:rsid w:val="00CF3240"/>
    <w:rsid w:val="00CF3242"/>
    <w:rsid w:val="00CF324E"/>
    <w:rsid w:val="00CF3297"/>
    <w:rsid w:val="00CF3380"/>
    <w:rsid w:val="00CF33AC"/>
    <w:rsid w:val="00CF3413"/>
    <w:rsid w:val="00CF341F"/>
    <w:rsid w:val="00CF3433"/>
    <w:rsid w:val="00CF344F"/>
    <w:rsid w:val="00CF3467"/>
    <w:rsid w:val="00CF347E"/>
    <w:rsid w:val="00CF349C"/>
    <w:rsid w:val="00CF34E7"/>
    <w:rsid w:val="00CF34F1"/>
    <w:rsid w:val="00CF3520"/>
    <w:rsid w:val="00CF35D7"/>
    <w:rsid w:val="00CF3604"/>
    <w:rsid w:val="00CF37FD"/>
    <w:rsid w:val="00CF3846"/>
    <w:rsid w:val="00CF384B"/>
    <w:rsid w:val="00CF3889"/>
    <w:rsid w:val="00CF3898"/>
    <w:rsid w:val="00CF38CB"/>
    <w:rsid w:val="00CF396F"/>
    <w:rsid w:val="00CF3981"/>
    <w:rsid w:val="00CF3982"/>
    <w:rsid w:val="00CF39A4"/>
    <w:rsid w:val="00CF39D0"/>
    <w:rsid w:val="00CF39DE"/>
    <w:rsid w:val="00CF3AE7"/>
    <w:rsid w:val="00CF3B7A"/>
    <w:rsid w:val="00CF3B9A"/>
    <w:rsid w:val="00CF3BA8"/>
    <w:rsid w:val="00CF3BBC"/>
    <w:rsid w:val="00CF3BC2"/>
    <w:rsid w:val="00CF3C2A"/>
    <w:rsid w:val="00CF3CBA"/>
    <w:rsid w:val="00CF3CCD"/>
    <w:rsid w:val="00CF3CE5"/>
    <w:rsid w:val="00CF3D00"/>
    <w:rsid w:val="00CF3D02"/>
    <w:rsid w:val="00CF3D89"/>
    <w:rsid w:val="00CF3DA6"/>
    <w:rsid w:val="00CF3DE7"/>
    <w:rsid w:val="00CF3EA9"/>
    <w:rsid w:val="00CF3EAE"/>
    <w:rsid w:val="00CF3FC0"/>
    <w:rsid w:val="00CF40C7"/>
    <w:rsid w:val="00CF40CF"/>
    <w:rsid w:val="00CF4177"/>
    <w:rsid w:val="00CF417E"/>
    <w:rsid w:val="00CF41DA"/>
    <w:rsid w:val="00CF41E0"/>
    <w:rsid w:val="00CF4219"/>
    <w:rsid w:val="00CF426E"/>
    <w:rsid w:val="00CF4286"/>
    <w:rsid w:val="00CF42E2"/>
    <w:rsid w:val="00CF42E6"/>
    <w:rsid w:val="00CF4300"/>
    <w:rsid w:val="00CF4325"/>
    <w:rsid w:val="00CF4331"/>
    <w:rsid w:val="00CF433E"/>
    <w:rsid w:val="00CF4390"/>
    <w:rsid w:val="00CF4414"/>
    <w:rsid w:val="00CF4455"/>
    <w:rsid w:val="00CF445C"/>
    <w:rsid w:val="00CF44F0"/>
    <w:rsid w:val="00CF4534"/>
    <w:rsid w:val="00CF454C"/>
    <w:rsid w:val="00CF4556"/>
    <w:rsid w:val="00CF456F"/>
    <w:rsid w:val="00CF45ED"/>
    <w:rsid w:val="00CF4627"/>
    <w:rsid w:val="00CF4645"/>
    <w:rsid w:val="00CF4648"/>
    <w:rsid w:val="00CF4667"/>
    <w:rsid w:val="00CF46BC"/>
    <w:rsid w:val="00CF4750"/>
    <w:rsid w:val="00CF4751"/>
    <w:rsid w:val="00CF4766"/>
    <w:rsid w:val="00CF476D"/>
    <w:rsid w:val="00CF4779"/>
    <w:rsid w:val="00CF478E"/>
    <w:rsid w:val="00CF479E"/>
    <w:rsid w:val="00CF481C"/>
    <w:rsid w:val="00CF48DB"/>
    <w:rsid w:val="00CF48F9"/>
    <w:rsid w:val="00CF4978"/>
    <w:rsid w:val="00CF4997"/>
    <w:rsid w:val="00CF49E2"/>
    <w:rsid w:val="00CF49EB"/>
    <w:rsid w:val="00CF4A74"/>
    <w:rsid w:val="00CF4A7C"/>
    <w:rsid w:val="00CF4AD8"/>
    <w:rsid w:val="00CF4ADB"/>
    <w:rsid w:val="00CF4B29"/>
    <w:rsid w:val="00CF4B32"/>
    <w:rsid w:val="00CF4BB9"/>
    <w:rsid w:val="00CF4BD1"/>
    <w:rsid w:val="00CF4C27"/>
    <w:rsid w:val="00CF4C5B"/>
    <w:rsid w:val="00CF4C9D"/>
    <w:rsid w:val="00CF4D16"/>
    <w:rsid w:val="00CF4D5F"/>
    <w:rsid w:val="00CF4D61"/>
    <w:rsid w:val="00CF4D81"/>
    <w:rsid w:val="00CF4DB2"/>
    <w:rsid w:val="00CF4E6E"/>
    <w:rsid w:val="00CF4EC3"/>
    <w:rsid w:val="00CF4EDB"/>
    <w:rsid w:val="00CF4F55"/>
    <w:rsid w:val="00CF4F64"/>
    <w:rsid w:val="00CF4F8D"/>
    <w:rsid w:val="00CF4F9D"/>
    <w:rsid w:val="00CF4FBD"/>
    <w:rsid w:val="00CF5037"/>
    <w:rsid w:val="00CF5057"/>
    <w:rsid w:val="00CF5070"/>
    <w:rsid w:val="00CF5084"/>
    <w:rsid w:val="00CF5091"/>
    <w:rsid w:val="00CF50A8"/>
    <w:rsid w:val="00CF50CD"/>
    <w:rsid w:val="00CF510C"/>
    <w:rsid w:val="00CF51B2"/>
    <w:rsid w:val="00CF51FA"/>
    <w:rsid w:val="00CF525E"/>
    <w:rsid w:val="00CF5289"/>
    <w:rsid w:val="00CF52B9"/>
    <w:rsid w:val="00CF5315"/>
    <w:rsid w:val="00CF532A"/>
    <w:rsid w:val="00CF53A1"/>
    <w:rsid w:val="00CF53CB"/>
    <w:rsid w:val="00CF5429"/>
    <w:rsid w:val="00CF5470"/>
    <w:rsid w:val="00CF54BD"/>
    <w:rsid w:val="00CF54DF"/>
    <w:rsid w:val="00CF54F0"/>
    <w:rsid w:val="00CF5512"/>
    <w:rsid w:val="00CF551D"/>
    <w:rsid w:val="00CF5533"/>
    <w:rsid w:val="00CF554A"/>
    <w:rsid w:val="00CF55B5"/>
    <w:rsid w:val="00CF55FE"/>
    <w:rsid w:val="00CF560D"/>
    <w:rsid w:val="00CF563F"/>
    <w:rsid w:val="00CF5646"/>
    <w:rsid w:val="00CF5659"/>
    <w:rsid w:val="00CF5669"/>
    <w:rsid w:val="00CF5689"/>
    <w:rsid w:val="00CF56C9"/>
    <w:rsid w:val="00CF570C"/>
    <w:rsid w:val="00CF575B"/>
    <w:rsid w:val="00CF57A7"/>
    <w:rsid w:val="00CF57D0"/>
    <w:rsid w:val="00CF5814"/>
    <w:rsid w:val="00CF5850"/>
    <w:rsid w:val="00CF5868"/>
    <w:rsid w:val="00CF587E"/>
    <w:rsid w:val="00CF58B4"/>
    <w:rsid w:val="00CF58BC"/>
    <w:rsid w:val="00CF58C7"/>
    <w:rsid w:val="00CF58DA"/>
    <w:rsid w:val="00CF590D"/>
    <w:rsid w:val="00CF5954"/>
    <w:rsid w:val="00CF5A17"/>
    <w:rsid w:val="00CF5A46"/>
    <w:rsid w:val="00CF5A61"/>
    <w:rsid w:val="00CF5B0D"/>
    <w:rsid w:val="00CF5B21"/>
    <w:rsid w:val="00CF5B2A"/>
    <w:rsid w:val="00CF5BB5"/>
    <w:rsid w:val="00CF5BD1"/>
    <w:rsid w:val="00CF5C4F"/>
    <w:rsid w:val="00CF5C52"/>
    <w:rsid w:val="00CF5C6B"/>
    <w:rsid w:val="00CF5D1A"/>
    <w:rsid w:val="00CF5D23"/>
    <w:rsid w:val="00CF5D31"/>
    <w:rsid w:val="00CF5D3D"/>
    <w:rsid w:val="00CF5D51"/>
    <w:rsid w:val="00CF5D62"/>
    <w:rsid w:val="00CF5D8C"/>
    <w:rsid w:val="00CF5DFF"/>
    <w:rsid w:val="00CF5E19"/>
    <w:rsid w:val="00CF5E2A"/>
    <w:rsid w:val="00CF5E68"/>
    <w:rsid w:val="00CF5E8A"/>
    <w:rsid w:val="00CF5EED"/>
    <w:rsid w:val="00CF5F10"/>
    <w:rsid w:val="00CF5F31"/>
    <w:rsid w:val="00CF5F4C"/>
    <w:rsid w:val="00CF5F65"/>
    <w:rsid w:val="00CF5F74"/>
    <w:rsid w:val="00CF6025"/>
    <w:rsid w:val="00CF6049"/>
    <w:rsid w:val="00CF6094"/>
    <w:rsid w:val="00CF6132"/>
    <w:rsid w:val="00CF6176"/>
    <w:rsid w:val="00CF6189"/>
    <w:rsid w:val="00CF61CB"/>
    <w:rsid w:val="00CF61CE"/>
    <w:rsid w:val="00CF61EB"/>
    <w:rsid w:val="00CF6274"/>
    <w:rsid w:val="00CF6290"/>
    <w:rsid w:val="00CF6294"/>
    <w:rsid w:val="00CF6298"/>
    <w:rsid w:val="00CF6302"/>
    <w:rsid w:val="00CF6346"/>
    <w:rsid w:val="00CF6408"/>
    <w:rsid w:val="00CF642D"/>
    <w:rsid w:val="00CF6509"/>
    <w:rsid w:val="00CF6530"/>
    <w:rsid w:val="00CF653B"/>
    <w:rsid w:val="00CF6583"/>
    <w:rsid w:val="00CF6591"/>
    <w:rsid w:val="00CF65A8"/>
    <w:rsid w:val="00CF65AC"/>
    <w:rsid w:val="00CF65EA"/>
    <w:rsid w:val="00CF65EF"/>
    <w:rsid w:val="00CF662A"/>
    <w:rsid w:val="00CF6640"/>
    <w:rsid w:val="00CF6666"/>
    <w:rsid w:val="00CF6697"/>
    <w:rsid w:val="00CF669C"/>
    <w:rsid w:val="00CF66A2"/>
    <w:rsid w:val="00CF66C0"/>
    <w:rsid w:val="00CF66D3"/>
    <w:rsid w:val="00CF66D5"/>
    <w:rsid w:val="00CF671A"/>
    <w:rsid w:val="00CF675E"/>
    <w:rsid w:val="00CF6792"/>
    <w:rsid w:val="00CF6797"/>
    <w:rsid w:val="00CF67A6"/>
    <w:rsid w:val="00CF67B0"/>
    <w:rsid w:val="00CF67E1"/>
    <w:rsid w:val="00CF67EF"/>
    <w:rsid w:val="00CF67F9"/>
    <w:rsid w:val="00CF6867"/>
    <w:rsid w:val="00CF68A6"/>
    <w:rsid w:val="00CF68F6"/>
    <w:rsid w:val="00CF68FD"/>
    <w:rsid w:val="00CF6937"/>
    <w:rsid w:val="00CF694B"/>
    <w:rsid w:val="00CF69DE"/>
    <w:rsid w:val="00CF69FB"/>
    <w:rsid w:val="00CF6A16"/>
    <w:rsid w:val="00CF6A3C"/>
    <w:rsid w:val="00CF6AAF"/>
    <w:rsid w:val="00CF6ABD"/>
    <w:rsid w:val="00CF6ADB"/>
    <w:rsid w:val="00CF6B38"/>
    <w:rsid w:val="00CF6B3F"/>
    <w:rsid w:val="00CF6BED"/>
    <w:rsid w:val="00CF6C2B"/>
    <w:rsid w:val="00CF6C37"/>
    <w:rsid w:val="00CF6CA3"/>
    <w:rsid w:val="00CF6D1C"/>
    <w:rsid w:val="00CF6DC4"/>
    <w:rsid w:val="00CF6E19"/>
    <w:rsid w:val="00CF6E5D"/>
    <w:rsid w:val="00CF6F34"/>
    <w:rsid w:val="00CF6F57"/>
    <w:rsid w:val="00CF6F81"/>
    <w:rsid w:val="00CF6F91"/>
    <w:rsid w:val="00CF6FEF"/>
    <w:rsid w:val="00CF6FF4"/>
    <w:rsid w:val="00CF700B"/>
    <w:rsid w:val="00CF7093"/>
    <w:rsid w:val="00CF70F6"/>
    <w:rsid w:val="00CF7140"/>
    <w:rsid w:val="00CF7169"/>
    <w:rsid w:val="00CF71A2"/>
    <w:rsid w:val="00CF71B7"/>
    <w:rsid w:val="00CF71C7"/>
    <w:rsid w:val="00CF71CA"/>
    <w:rsid w:val="00CF71F4"/>
    <w:rsid w:val="00CF721F"/>
    <w:rsid w:val="00CF7224"/>
    <w:rsid w:val="00CF72B6"/>
    <w:rsid w:val="00CF72ED"/>
    <w:rsid w:val="00CF730D"/>
    <w:rsid w:val="00CF7315"/>
    <w:rsid w:val="00CF7349"/>
    <w:rsid w:val="00CF7376"/>
    <w:rsid w:val="00CF73B3"/>
    <w:rsid w:val="00CF73F9"/>
    <w:rsid w:val="00CF7401"/>
    <w:rsid w:val="00CF7418"/>
    <w:rsid w:val="00CF7438"/>
    <w:rsid w:val="00CF7471"/>
    <w:rsid w:val="00CF7478"/>
    <w:rsid w:val="00CF74C2"/>
    <w:rsid w:val="00CF74EB"/>
    <w:rsid w:val="00CF7528"/>
    <w:rsid w:val="00CF7578"/>
    <w:rsid w:val="00CF75C6"/>
    <w:rsid w:val="00CF75C9"/>
    <w:rsid w:val="00CF75CE"/>
    <w:rsid w:val="00CF7670"/>
    <w:rsid w:val="00CF76A9"/>
    <w:rsid w:val="00CF76BD"/>
    <w:rsid w:val="00CF76F8"/>
    <w:rsid w:val="00CF7714"/>
    <w:rsid w:val="00CF773E"/>
    <w:rsid w:val="00CF7783"/>
    <w:rsid w:val="00CF77A9"/>
    <w:rsid w:val="00CF77AC"/>
    <w:rsid w:val="00CF77B1"/>
    <w:rsid w:val="00CF77C7"/>
    <w:rsid w:val="00CF77EB"/>
    <w:rsid w:val="00CF780F"/>
    <w:rsid w:val="00CF7881"/>
    <w:rsid w:val="00CF7893"/>
    <w:rsid w:val="00CF78AB"/>
    <w:rsid w:val="00CF78D0"/>
    <w:rsid w:val="00CF7963"/>
    <w:rsid w:val="00CF797D"/>
    <w:rsid w:val="00CF798E"/>
    <w:rsid w:val="00CF799B"/>
    <w:rsid w:val="00CF7A03"/>
    <w:rsid w:val="00CF7A2A"/>
    <w:rsid w:val="00CF7A2B"/>
    <w:rsid w:val="00CF7A99"/>
    <w:rsid w:val="00CF7AD1"/>
    <w:rsid w:val="00CF7B09"/>
    <w:rsid w:val="00CF7B4D"/>
    <w:rsid w:val="00CF7B68"/>
    <w:rsid w:val="00CF7B89"/>
    <w:rsid w:val="00CF7B9F"/>
    <w:rsid w:val="00CF7C7B"/>
    <w:rsid w:val="00CF7CB1"/>
    <w:rsid w:val="00CF7CBE"/>
    <w:rsid w:val="00CF7D18"/>
    <w:rsid w:val="00CF7D5C"/>
    <w:rsid w:val="00CF7D84"/>
    <w:rsid w:val="00CF7D9A"/>
    <w:rsid w:val="00CF7DD6"/>
    <w:rsid w:val="00CF7DDA"/>
    <w:rsid w:val="00CF7E11"/>
    <w:rsid w:val="00CF7E14"/>
    <w:rsid w:val="00CF7E2C"/>
    <w:rsid w:val="00CF7EE7"/>
    <w:rsid w:val="00CF7F02"/>
    <w:rsid w:val="00CF7F06"/>
    <w:rsid w:val="00CF7F21"/>
    <w:rsid w:val="00CF7F52"/>
    <w:rsid w:val="00CF7F68"/>
    <w:rsid w:val="00CF7F94"/>
    <w:rsid w:val="00D0003B"/>
    <w:rsid w:val="00D0007D"/>
    <w:rsid w:val="00D000D2"/>
    <w:rsid w:val="00D0013C"/>
    <w:rsid w:val="00D00197"/>
    <w:rsid w:val="00D001D5"/>
    <w:rsid w:val="00D00223"/>
    <w:rsid w:val="00D0027F"/>
    <w:rsid w:val="00D00310"/>
    <w:rsid w:val="00D00353"/>
    <w:rsid w:val="00D0036B"/>
    <w:rsid w:val="00D003C7"/>
    <w:rsid w:val="00D0043E"/>
    <w:rsid w:val="00D004B9"/>
    <w:rsid w:val="00D00557"/>
    <w:rsid w:val="00D0055B"/>
    <w:rsid w:val="00D0055E"/>
    <w:rsid w:val="00D005BD"/>
    <w:rsid w:val="00D005E1"/>
    <w:rsid w:val="00D00612"/>
    <w:rsid w:val="00D00646"/>
    <w:rsid w:val="00D00765"/>
    <w:rsid w:val="00D007C9"/>
    <w:rsid w:val="00D007E1"/>
    <w:rsid w:val="00D00815"/>
    <w:rsid w:val="00D0081E"/>
    <w:rsid w:val="00D0083D"/>
    <w:rsid w:val="00D0084C"/>
    <w:rsid w:val="00D008AA"/>
    <w:rsid w:val="00D008C0"/>
    <w:rsid w:val="00D008CA"/>
    <w:rsid w:val="00D008D2"/>
    <w:rsid w:val="00D008EC"/>
    <w:rsid w:val="00D0091B"/>
    <w:rsid w:val="00D0097B"/>
    <w:rsid w:val="00D009A1"/>
    <w:rsid w:val="00D009A6"/>
    <w:rsid w:val="00D00A2E"/>
    <w:rsid w:val="00D00A78"/>
    <w:rsid w:val="00D00B07"/>
    <w:rsid w:val="00D00B20"/>
    <w:rsid w:val="00D00B7D"/>
    <w:rsid w:val="00D00B95"/>
    <w:rsid w:val="00D00BCA"/>
    <w:rsid w:val="00D00BD0"/>
    <w:rsid w:val="00D00CAB"/>
    <w:rsid w:val="00D00CFD"/>
    <w:rsid w:val="00D00D07"/>
    <w:rsid w:val="00D00D2B"/>
    <w:rsid w:val="00D00D4C"/>
    <w:rsid w:val="00D00D88"/>
    <w:rsid w:val="00D00D90"/>
    <w:rsid w:val="00D00D9A"/>
    <w:rsid w:val="00D00DFF"/>
    <w:rsid w:val="00D00E44"/>
    <w:rsid w:val="00D00E51"/>
    <w:rsid w:val="00D00E53"/>
    <w:rsid w:val="00D00E8E"/>
    <w:rsid w:val="00D00EEF"/>
    <w:rsid w:val="00D00F16"/>
    <w:rsid w:val="00D00F2D"/>
    <w:rsid w:val="00D00F2E"/>
    <w:rsid w:val="00D00F5F"/>
    <w:rsid w:val="00D00F6E"/>
    <w:rsid w:val="00D00F8C"/>
    <w:rsid w:val="00D00F90"/>
    <w:rsid w:val="00D0103E"/>
    <w:rsid w:val="00D01063"/>
    <w:rsid w:val="00D010B5"/>
    <w:rsid w:val="00D011BC"/>
    <w:rsid w:val="00D011FE"/>
    <w:rsid w:val="00D012CF"/>
    <w:rsid w:val="00D013A4"/>
    <w:rsid w:val="00D013A8"/>
    <w:rsid w:val="00D013F3"/>
    <w:rsid w:val="00D013F6"/>
    <w:rsid w:val="00D014B6"/>
    <w:rsid w:val="00D014C1"/>
    <w:rsid w:val="00D014EB"/>
    <w:rsid w:val="00D01544"/>
    <w:rsid w:val="00D0156F"/>
    <w:rsid w:val="00D015B6"/>
    <w:rsid w:val="00D015B8"/>
    <w:rsid w:val="00D015E3"/>
    <w:rsid w:val="00D01608"/>
    <w:rsid w:val="00D01681"/>
    <w:rsid w:val="00D016F7"/>
    <w:rsid w:val="00D016FD"/>
    <w:rsid w:val="00D016FE"/>
    <w:rsid w:val="00D01781"/>
    <w:rsid w:val="00D01782"/>
    <w:rsid w:val="00D01807"/>
    <w:rsid w:val="00D01844"/>
    <w:rsid w:val="00D01849"/>
    <w:rsid w:val="00D01894"/>
    <w:rsid w:val="00D018CB"/>
    <w:rsid w:val="00D018CE"/>
    <w:rsid w:val="00D0190E"/>
    <w:rsid w:val="00D01916"/>
    <w:rsid w:val="00D0191A"/>
    <w:rsid w:val="00D01958"/>
    <w:rsid w:val="00D01965"/>
    <w:rsid w:val="00D01998"/>
    <w:rsid w:val="00D019A9"/>
    <w:rsid w:val="00D019FF"/>
    <w:rsid w:val="00D01A07"/>
    <w:rsid w:val="00D01A1C"/>
    <w:rsid w:val="00D01A23"/>
    <w:rsid w:val="00D01A3B"/>
    <w:rsid w:val="00D01A4E"/>
    <w:rsid w:val="00D01A54"/>
    <w:rsid w:val="00D01A6F"/>
    <w:rsid w:val="00D01A9D"/>
    <w:rsid w:val="00D01AC3"/>
    <w:rsid w:val="00D01B07"/>
    <w:rsid w:val="00D01B29"/>
    <w:rsid w:val="00D01B98"/>
    <w:rsid w:val="00D01BF9"/>
    <w:rsid w:val="00D01CF1"/>
    <w:rsid w:val="00D01D1C"/>
    <w:rsid w:val="00D01D22"/>
    <w:rsid w:val="00D01D56"/>
    <w:rsid w:val="00D01D57"/>
    <w:rsid w:val="00D01D71"/>
    <w:rsid w:val="00D01D95"/>
    <w:rsid w:val="00D01DB6"/>
    <w:rsid w:val="00D01DD0"/>
    <w:rsid w:val="00D01DE7"/>
    <w:rsid w:val="00D01E17"/>
    <w:rsid w:val="00D01E1C"/>
    <w:rsid w:val="00D01E8E"/>
    <w:rsid w:val="00D01ED9"/>
    <w:rsid w:val="00D01F09"/>
    <w:rsid w:val="00D01F36"/>
    <w:rsid w:val="00D01F9A"/>
    <w:rsid w:val="00D01FD6"/>
    <w:rsid w:val="00D01FDE"/>
    <w:rsid w:val="00D02094"/>
    <w:rsid w:val="00D020E4"/>
    <w:rsid w:val="00D02109"/>
    <w:rsid w:val="00D02155"/>
    <w:rsid w:val="00D021A9"/>
    <w:rsid w:val="00D021AE"/>
    <w:rsid w:val="00D0225A"/>
    <w:rsid w:val="00D022AC"/>
    <w:rsid w:val="00D022D5"/>
    <w:rsid w:val="00D022E2"/>
    <w:rsid w:val="00D02309"/>
    <w:rsid w:val="00D02328"/>
    <w:rsid w:val="00D0236C"/>
    <w:rsid w:val="00D0239E"/>
    <w:rsid w:val="00D023BA"/>
    <w:rsid w:val="00D023D4"/>
    <w:rsid w:val="00D023D9"/>
    <w:rsid w:val="00D02444"/>
    <w:rsid w:val="00D02488"/>
    <w:rsid w:val="00D024FF"/>
    <w:rsid w:val="00D02502"/>
    <w:rsid w:val="00D0255E"/>
    <w:rsid w:val="00D025A0"/>
    <w:rsid w:val="00D025AA"/>
    <w:rsid w:val="00D025BF"/>
    <w:rsid w:val="00D025C8"/>
    <w:rsid w:val="00D02638"/>
    <w:rsid w:val="00D0263A"/>
    <w:rsid w:val="00D026E0"/>
    <w:rsid w:val="00D026E5"/>
    <w:rsid w:val="00D027C7"/>
    <w:rsid w:val="00D027E6"/>
    <w:rsid w:val="00D027EC"/>
    <w:rsid w:val="00D027FC"/>
    <w:rsid w:val="00D0280F"/>
    <w:rsid w:val="00D02850"/>
    <w:rsid w:val="00D02861"/>
    <w:rsid w:val="00D02865"/>
    <w:rsid w:val="00D02895"/>
    <w:rsid w:val="00D028EA"/>
    <w:rsid w:val="00D0292B"/>
    <w:rsid w:val="00D0292C"/>
    <w:rsid w:val="00D0292F"/>
    <w:rsid w:val="00D029D9"/>
    <w:rsid w:val="00D02A57"/>
    <w:rsid w:val="00D02A7E"/>
    <w:rsid w:val="00D02AC2"/>
    <w:rsid w:val="00D02B4D"/>
    <w:rsid w:val="00D02B6F"/>
    <w:rsid w:val="00D02B9E"/>
    <w:rsid w:val="00D02BCA"/>
    <w:rsid w:val="00D02BD5"/>
    <w:rsid w:val="00D02C34"/>
    <w:rsid w:val="00D02C42"/>
    <w:rsid w:val="00D02C62"/>
    <w:rsid w:val="00D02CD4"/>
    <w:rsid w:val="00D02D07"/>
    <w:rsid w:val="00D02D2E"/>
    <w:rsid w:val="00D02DD5"/>
    <w:rsid w:val="00D02DF8"/>
    <w:rsid w:val="00D02E3D"/>
    <w:rsid w:val="00D02ECA"/>
    <w:rsid w:val="00D02F62"/>
    <w:rsid w:val="00D02F71"/>
    <w:rsid w:val="00D02FA7"/>
    <w:rsid w:val="00D02FDE"/>
    <w:rsid w:val="00D0302D"/>
    <w:rsid w:val="00D0305D"/>
    <w:rsid w:val="00D03072"/>
    <w:rsid w:val="00D03074"/>
    <w:rsid w:val="00D030BE"/>
    <w:rsid w:val="00D030D9"/>
    <w:rsid w:val="00D03124"/>
    <w:rsid w:val="00D03145"/>
    <w:rsid w:val="00D031D3"/>
    <w:rsid w:val="00D031DF"/>
    <w:rsid w:val="00D031F6"/>
    <w:rsid w:val="00D0322B"/>
    <w:rsid w:val="00D03268"/>
    <w:rsid w:val="00D0327C"/>
    <w:rsid w:val="00D032BB"/>
    <w:rsid w:val="00D032D3"/>
    <w:rsid w:val="00D0330F"/>
    <w:rsid w:val="00D03315"/>
    <w:rsid w:val="00D03348"/>
    <w:rsid w:val="00D03357"/>
    <w:rsid w:val="00D03363"/>
    <w:rsid w:val="00D033B6"/>
    <w:rsid w:val="00D033CF"/>
    <w:rsid w:val="00D03422"/>
    <w:rsid w:val="00D0342E"/>
    <w:rsid w:val="00D034AA"/>
    <w:rsid w:val="00D034AF"/>
    <w:rsid w:val="00D034CC"/>
    <w:rsid w:val="00D034D9"/>
    <w:rsid w:val="00D03537"/>
    <w:rsid w:val="00D0356D"/>
    <w:rsid w:val="00D035A6"/>
    <w:rsid w:val="00D035C1"/>
    <w:rsid w:val="00D0361F"/>
    <w:rsid w:val="00D03654"/>
    <w:rsid w:val="00D03683"/>
    <w:rsid w:val="00D0370B"/>
    <w:rsid w:val="00D03750"/>
    <w:rsid w:val="00D037A5"/>
    <w:rsid w:val="00D037A7"/>
    <w:rsid w:val="00D037B0"/>
    <w:rsid w:val="00D037C5"/>
    <w:rsid w:val="00D037C8"/>
    <w:rsid w:val="00D03811"/>
    <w:rsid w:val="00D038D3"/>
    <w:rsid w:val="00D038E0"/>
    <w:rsid w:val="00D03939"/>
    <w:rsid w:val="00D039CA"/>
    <w:rsid w:val="00D03A3D"/>
    <w:rsid w:val="00D03A68"/>
    <w:rsid w:val="00D03AFD"/>
    <w:rsid w:val="00D03B28"/>
    <w:rsid w:val="00D03B2F"/>
    <w:rsid w:val="00D03B95"/>
    <w:rsid w:val="00D03C35"/>
    <w:rsid w:val="00D03C36"/>
    <w:rsid w:val="00D03C3F"/>
    <w:rsid w:val="00D03C5B"/>
    <w:rsid w:val="00D03C77"/>
    <w:rsid w:val="00D03C8A"/>
    <w:rsid w:val="00D03C8D"/>
    <w:rsid w:val="00D03C92"/>
    <w:rsid w:val="00D03CD9"/>
    <w:rsid w:val="00D03D16"/>
    <w:rsid w:val="00D03D1C"/>
    <w:rsid w:val="00D03D1F"/>
    <w:rsid w:val="00D03D2F"/>
    <w:rsid w:val="00D03D48"/>
    <w:rsid w:val="00D03D76"/>
    <w:rsid w:val="00D03D91"/>
    <w:rsid w:val="00D03DD3"/>
    <w:rsid w:val="00D03DDF"/>
    <w:rsid w:val="00D03E57"/>
    <w:rsid w:val="00D03E61"/>
    <w:rsid w:val="00D03EB4"/>
    <w:rsid w:val="00D03EB9"/>
    <w:rsid w:val="00D03EDA"/>
    <w:rsid w:val="00D03F49"/>
    <w:rsid w:val="00D03F8C"/>
    <w:rsid w:val="00D03F91"/>
    <w:rsid w:val="00D03F9A"/>
    <w:rsid w:val="00D03FDD"/>
    <w:rsid w:val="00D04035"/>
    <w:rsid w:val="00D04056"/>
    <w:rsid w:val="00D0408C"/>
    <w:rsid w:val="00D040AB"/>
    <w:rsid w:val="00D040B8"/>
    <w:rsid w:val="00D04122"/>
    <w:rsid w:val="00D0413C"/>
    <w:rsid w:val="00D04159"/>
    <w:rsid w:val="00D04194"/>
    <w:rsid w:val="00D04215"/>
    <w:rsid w:val="00D0424D"/>
    <w:rsid w:val="00D0426C"/>
    <w:rsid w:val="00D04278"/>
    <w:rsid w:val="00D042C3"/>
    <w:rsid w:val="00D042F0"/>
    <w:rsid w:val="00D04334"/>
    <w:rsid w:val="00D0434D"/>
    <w:rsid w:val="00D043C7"/>
    <w:rsid w:val="00D043FE"/>
    <w:rsid w:val="00D0441F"/>
    <w:rsid w:val="00D0442A"/>
    <w:rsid w:val="00D04497"/>
    <w:rsid w:val="00D044DF"/>
    <w:rsid w:val="00D0451A"/>
    <w:rsid w:val="00D04568"/>
    <w:rsid w:val="00D045E3"/>
    <w:rsid w:val="00D04620"/>
    <w:rsid w:val="00D0462A"/>
    <w:rsid w:val="00D04649"/>
    <w:rsid w:val="00D046A3"/>
    <w:rsid w:val="00D046C5"/>
    <w:rsid w:val="00D046DC"/>
    <w:rsid w:val="00D04726"/>
    <w:rsid w:val="00D04731"/>
    <w:rsid w:val="00D04740"/>
    <w:rsid w:val="00D0476E"/>
    <w:rsid w:val="00D04789"/>
    <w:rsid w:val="00D047AB"/>
    <w:rsid w:val="00D04828"/>
    <w:rsid w:val="00D048A8"/>
    <w:rsid w:val="00D04902"/>
    <w:rsid w:val="00D04915"/>
    <w:rsid w:val="00D04974"/>
    <w:rsid w:val="00D04975"/>
    <w:rsid w:val="00D04992"/>
    <w:rsid w:val="00D0499B"/>
    <w:rsid w:val="00D0499E"/>
    <w:rsid w:val="00D04A5A"/>
    <w:rsid w:val="00D04A67"/>
    <w:rsid w:val="00D04A7D"/>
    <w:rsid w:val="00D04ACB"/>
    <w:rsid w:val="00D04B09"/>
    <w:rsid w:val="00D04B19"/>
    <w:rsid w:val="00D04B5E"/>
    <w:rsid w:val="00D04BAA"/>
    <w:rsid w:val="00D04BC2"/>
    <w:rsid w:val="00D04C9F"/>
    <w:rsid w:val="00D04CC2"/>
    <w:rsid w:val="00D04CF9"/>
    <w:rsid w:val="00D04D4F"/>
    <w:rsid w:val="00D04DAF"/>
    <w:rsid w:val="00D04E26"/>
    <w:rsid w:val="00D04E37"/>
    <w:rsid w:val="00D04E8D"/>
    <w:rsid w:val="00D04ECD"/>
    <w:rsid w:val="00D04F30"/>
    <w:rsid w:val="00D04F34"/>
    <w:rsid w:val="00D04F7E"/>
    <w:rsid w:val="00D04FA3"/>
    <w:rsid w:val="00D05024"/>
    <w:rsid w:val="00D050DF"/>
    <w:rsid w:val="00D05119"/>
    <w:rsid w:val="00D05166"/>
    <w:rsid w:val="00D0519D"/>
    <w:rsid w:val="00D051E4"/>
    <w:rsid w:val="00D051F6"/>
    <w:rsid w:val="00D05235"/>
    <w:rsid w:val="00D05252"/>
    <w:rsid w:val="00D05260"/>
    <w:rsid w:val="00D0528B"/>
    <w:rsid w:val="00D0529F"/>
    <w:rsid w:val="00D052A8"/>
    <w:rsid w:val="00D052B6"/>
    <w:rsid w:val="00D052EE"/>
    <w:rsid w:val="00D052F9"/>
    <w:rsid w:val="00D053AD"/>
    <w:rsid w:val="00D053BE"/>
    <w:rsid w:val="00D05431"/>
    <w:rsid w:val="00D05433"/>
    <w:rsid w:val="00D0546A"/>
    <w:rsid w:val="00D054D7"/>
    <w:rsid w:val="00D055C3"/>
    <w:rsid w:val="00D05623"/>
    <w:rsid w:val="00D0562E"/>
    <w:rsid w:val="00D05681"/>
    <w:rsid w:val="00D056AB"/>
    <w:rsid w:val="00D056CA"/>
    <w:rsid w:val="00D056D3"/>
    <w:rsid w:val="00D0572C"/>
    <w:rsid w:val="00D0574F"/>
    <w:rsid w:val="00D0576F"/>
    <w:rsid w:val="00D057C0"/>
    <w:rsid w:val="00D057D3"/>
    <w:rsid w:val="00D057F3"/>
    <w:rsid w:val="00D05805"/>
    <w:rsid w:val="00D05902"/>
    <w:rsid w:val="00D05916"/>
    <w:rsid w:val="00D05929"/>
    <w:rsid w:val="00D05932"/>
    <w:rsid w:val="00D05938"/>
    <w:rsid w:val="00D05953"/>
    <w:rsid w:val="00D05988"/>
    <w:rsid w:val="00D059BD"/>
    <w:rsid w:val="00D05A4F"/>
    <w:rsid w:val="00D05A63"/>
    <w:rsid w:val="00D05ABD"/>
    <w:rsid w:val="00D05AC5"/>
    <w:rsid w:val="00D05AE7"/>
    <w:rsid w:val="00D05AFA"/>
    <w:rsid w:val="00D05B47"/>
    <w:rsid w:val="00D05B50"/>
    <w:rsid w:val="00D05B60"/>
    <w:rsid w:val="00D05B66"/>
    <w:rsid w:val="00D05BA1"/>
    <w:rsid w:val="00D05BAF"/>
    <w:rsid w:val="00D05BE9"/>
    <w:rsid w:val="00D05BF7"/>
    <w:rsid w:val="00D05BFA"/>
    <w:rsid w:val="00D05C58"/>
    <w:rsid w:val="00D05C59"/>
    <w:rsid w:val="00D05CE2"/>
    <w:rsid w:val="00D05D20"/>
    <w:rsid w:val="00D05D28"/>
    <w:rsid w:val="00D05DAC"/>
    <w:rsid w:val="00D05DE4"/>
    <w:rsid w:val="00D05E17"/>
    <w:rsid w:val="00D05E1A"/>
    <w:rsid w:val="00D05EA6"/>
    <w:rsid w:val="00D05ED5"/>
    <w:rsid w:val="00D05EF7"/>
    <w:rsid w:val="00D05F03"/>
    <w:rsid w:val="00D05F18"/>
    <w:rsid w:val="00D05F49"/>
    <w:rsid w:val="00D05F6F"/>
    <w:rsid w:val="00D05FA1"/>
    <w:rsid w:val="00D05FB6"/>
    <w:rsid w:val="00D05FE6"/>
    <w:rsid w:val="00D0600D"/>
    <w:rsid w:val="00D0602D"/>
    <w:rsid w:val="00D0603B"/>
    <w:rsid w:val="00D06123"/>
    <w:rsid w:val="00D06192"/>
    <w:rsid w:val="00D061F0"/>
    <w:rsid w:val="00D06228"/>
    <w:rsid w:val="00D0622F"/>
    <w:rsid w:val="00D0630A"/>
    <w:rsid w:val="00D0630B"/>
    <w:rsid w:val="00D06317"/>
    <w:rsid w:val="00D0635F"/>
    <w:rsid w:val="00D0637A"/>
    <w:rsid w:val="00D0644C"/>
    <w:rsid w:val="00D06472"/>
    <w:rsid w:val="00D06492"/>
    <w:rsid w:val="00D064E2"/>
    <w:rsid w:val="00D064E9"/>
    <w:rsid w:val="00D06548"/>
    <w:rsid w:val="00D0654E"/>
    <w:rsid w:val="00D065D3"/>
    <w:rsid w:val="00D065E0"/>
    <w:rsid w:val="00D065F1"/>
    <w:rsid w:val="00D0660F"/>
    <w:rsid w:val="00D06635"/>
    <w:rsid w:val="00D06647"/>
    <w:rsid w:val="00D066A3"/>
    <w:rsid w:val="00D066C4"/>
    <w:rsid w:val="00D066D1"/>
    <w:rsid w:val="00D066F2"/>
    <w:rsid w:val="00D0672C"/>
    <w:rsid w:val="00D06789"/>
    <w:rsid w:val="00D067DA"/>
    <w:rsid w:val="00D06806"/>
    <w:rsid w:val="00D0683E"/>
    <w:rsid w:val="00D06891"/>
    <w:rsid w:val="00D0690B"/>
    <w:rsid w:val="00D06945"/>
    <w:rsid w:val="00D06962"/>
    <w:rsid w:val="00D069DA"/>
    <w:rsid w:val="00D06A27"/>
    <w:rsid w:val="00D06A29"/>
    <w:rsid w:val="00D06A5D"/>
    <w:rsid w:val="00D06A65"/>
    <w:rsid w:val="00D06AA6"/>
    <w:rsid w:val="00D06ADD"/>
    <w:rsid w:val="00D06B5B"/>
    <w:rsid w:val="00D06BBB"/>
    <w:rsid w:val="00D06BDF"/>
    <w:rsid w:val="00D06C27"/>
    <w:rsid w:val="00D06C35"/>
    <w:rsid w:val="00D06C6A"/>
    <w:rsid w:val="00D06C94"/>
    <w:rsid w:val="00D06CC6"/>
    <w:rsid w:val="00D06CCF"/>
    <w:rsid w:val="00D06CD4"/>
    <w:rsid w:val="00D06D09"/>
    <w:rsid w:val="00D06D27"/>
    <w:rsid w:val="00D06D28"/>
    <w:rsid w:val="00D06D4B"/>
    <w:rsid w:val="00D06DE4"/>
    <w:rsid w:val="00D06E1A"/>
    <w:rsid w:val="00D06E36"/>
    <w:rsid w:val="00D06E6C"/>
    <w:rsid w:val="00D06EAE"/>
    <w:rsid w:val="00D06ED1"/>
    <w:rsid w:val="00D06EE8"/>
    <w:rsid w:val="00D06F16"/>
    <w:rsid w:val="00D06F36"/>
    <w:rsid w:val="00D06F99"/>
    <w:rsid w:val="00D06FB6"/>
    <w:rsid w:val="00D06FE8"/>
    <w:rsid w:val="00D06FEB"/>
    <w:rsid w:val="00D070D1"/>
    <w:rsid w:val="00D070F6"/>
    <w:rsid w:val="00D07112"/>
    <w:rsid w:val="00D07138"/>
    <w:rsid w:val="00D071BC"/>
    <w:rsid w:val="00D071BE"/>
    <w:rsid w:val="00D07203"/>
    <w:rsid w:val="00D07247"/>
    <w:rsid w:val="00D07299"/>
    <w:rsid w:val="00D072A3"/>
    <w:rsid w:val="00D072AF"/>
    <w:rsid w:val="00D0731D"/>
    <w:rsid w:val="00D07332"/>
    <w:rsid w:val="00D0735A"/>
    <w:rsid w:val="00D0738A"/>
    <w:rsid w:val="00D07401"/>
    <w:rsid w:val="00D07422"/>
    <w:rsid w:val="00D0743B"/>
    <w:rsid w:val="00D0747E"/>
    <w:rsid w:val="00D07496"/>
    <w:rsid w:val="00D074DB"/>
    <w:rsid w:val="00D07503"/>
    <w:rsid w:val="00D07529"/>
    <w:rsid w:val="00D0754F"/>
    <w:rsid w:val="00D07561"/>
    <w:rsid w:val="00D0757F"/>
    <w:rsid w:val="00D075F7"/>
    <w:rsid w:val="00D07608"/>
    <w:rsid w:val="00D07629"/>
    <w:rsid w:val="00D07690"/>
    <w:rsid w:val="00D077B7"/>
    <w:rsid w:val="00D07806"/>
    <w:rsid w:val="00D07828"/>
    <w:rsid w:val="00D0786E"/>
    <w:rsid w:val="00D078BF"/>
    <w:rsid w:val="00D078C1"/>
    <w:rsid w:val="00D07922"/>
    <w:rsid w:val="00D0792E"/>
    <w:rsid w:val="00D07947"/>
    <w:rsid w:val="00D07A30"/>
    <w:rsid w:val="00D07AC5"/>
    <w:rsid w:val="00D07C08"/>
    <w:rsid w:val="00D07C24"/>
    <w:rsid w:val="00D07C41"/>
    <w:rsid w:val="00D07C78"/>
    <w:rsid w:val="00D07C8D"/>
    <w:rsid w:val="00D07D4F"/>
    <w:rsid w:val="00D07D53"/>
    <w:rsid w:val="00D07D6A"/>
    <w:rsid w:val="00D07D6D"/>
    <w:rsid w:val="00D07D86"/>
    <w:rsid w:val="00D07DA3"/>
    <w:rsid w:val="00D07DC1"/>
    <w:rsid w:val="00D07DE8"/>
    <w:rsid w:val="00D07E2E"/>
    <w:rsid w:val="00D07E4F"/>
    <w:rsid w:val="00D07E50"/>
    <w:rsid w:val="00D07E82"/>
    <w:rsid w:val="00D07EA3"/>
    <w:rsid w:val="00D07F58"/>
    <w:rsid w:val="00D07F6D"/>
    <w:rsid w:val="00D07F96"/>
    <w:rsid w:val="00D07FA3"/>
    <w:rsid w:val="00D07FA9"/>
    <w:rsid w:val="00D10026"/>
    <w:rsid w:val="00D1003C"/>
    <w:rsid w:val="00D100C4"/>
    <w:rsid w:val="00D100CE"/>
    <w:rsid w:val="00D100D6"/>
    <w:rsid w:val="00D100EF"/>
    <w:rsid w:val="00D10113"/>
    <w:rsid w:val="00D1018C"/>
    <w:rsid w:val="00D101BB"/>
    <w:rsid w:val="00D10238"/>
    <w:rsid w:val="00D10241"/>
    <w:rsid w:val="00D10253"/>
    <w:rsid w:val="00D10283"/>
    <w:rsid w:val="00D10310"/>
    <w:rsid w:val="00D1034F"/>
    <w:rsid w:val="00D1035B"/>
    <w:rsid w:val="00D10454"/>
    <w:rsid w:val="00D10468"/>
    <w:rsid w:val="00D10477"/>
    <w:rsid w:val="00D104EE"/>
    <w:rsid w:val="00D10545"/>
    <w:rsid w:val="00D10574"/>
    <w:rsid w:val="00D10588"/>
    <w:rsid w:val="00D105AA"/>
    <w:rsid w:val="00D105CC"/>
    <w:rsid w:val="00D105DC"/>
    <w:rsid w:val="00D105DF"/>
    <w:rsid w:val="00D10627"/>
    <w:rsid w:val="00D10715"/>
    <w:rsid w:val="00D1071A"/>
    <w:rsid w:val="00D10833"/>
    <w:rsid w:val="00D10840"/>
    <w:rsid w:val="00D10846"/>
    <w:rsid w:val="00D10847"/>
    <w:rsid w:val="00D10940"/>
    <w:rsid w:val="00D10951"/>
    <w:rsid w:val="00D10956"/>
    <w:rsid w:val="00D10A0C"/>
    <w:rsid w:val="00D10A36"/>
    <w:rsid w:val="00D10AF6"/>
    <w:rsid w:val="00D10B11"/>
    <w:rsid w:val="00D10B32"/>
    <w:rsid w:val="00D10B3D"/>
    <w:rsid w:val="00D10C64"/>
    <w:rsid w:val="00D10C8C"/>
    <w:rsid w:val="00D10D20"/>
    <w:rsid w:val="00D10D65"/>
    <w:rsid w:val="00D10DBB"/>
    <w:rsid w:val="00D10E08"/>
    <w:rsid w:val="00D10E41"/>
    <w:rsid w:val="00D10E5B"/>
    <w:rsid w:val="00D10E89"/>
    <w:rsid w:val="00D10EB0"/>
    <w:rsid w:val="00D10EBF"/>
    <w:rsid w:val="00D10EE0"/>
    <w:rsid w:val="00D10EFE"/>
    <w:rsid w:val="00D10F35"/>
    <w:rsid w:val="00D10F42"/>
    <w:rsid w:val="00D10FB9"/>
    <w:rsid w:val="00D10FE1"/>
    <w:rsid w:val="00D10FED"/>
    <w:rsid w:val="00D11004"/>
    <w:rsid w:val="00D11017"/>
    <w:rsid w:val="00D11054"/>
    <w:rsid w:val="00D1108A"/>
    <w:rsid w:val="00D1108F"/>
    <w:rsid w:val="00D11110"/>
    <w:rsid w:val="00D1113A"/>
    <w:rsid w:val="00D1117E"/>
    <w:rsid w:val="00D11180"/>
    <w:rsid w:val="00D111B9"/>
    <w:rsid w:val="00D111BA"/>
    <w:rsid w:val="00D111DE"/>
    <w:rsid w:val="00D111E0"/>
    <w:rsid w:val="00D11211"/>
    <w:rsid w:val="00D11221"/>
    <w:rsid w:val="00D11266"/>
    <w:rsid w:val="00D1127B"/>
    <w:rsid w:val="00D112CB"/>
    <w:rsid w:val="00D11306"/>
    <w:rsid w:val="00D11392"/>
    <w:rsid w:val="00D113C6"/>
    <w:rsid w:val="00D113CD"/>
    <w:rsid w:val="00D113FA"/>
    <w:rsid w:val="00D11426"/>
    <w:rsid w:val="00D11444"/>
    <w:rsid w:val="00D11472"/>
    <w:rsid w:val="00D11482"/>
    <w:rsid w:val="00D114A6"/>
    <w:rsid w:val="00D114C0"/>
    <w:rsid w:val="00D114E4"/>
    <w:rsid w:val="00D114E8"/>
    <w:rsid w:val="00D11561"/>
    <w:rsid w:val="00D115BA"/>
    <w:rsid w:val="00D115C8"/>
    <w:rsid w:val="00D115CB"/>
    <w:rsid w:val="00D115FC"/>
    <w:rsid w:val="00D11677"/>
    <w:rsid w:val="00D116DB"/>
    <w:rsid w:val="00D11706"/>
    <w:rsid w:val="00D11708"/>
    <w:rsid w:val="00D11732"/>
    <w:rsid w:val="00D1173E"/>
    <w:rsid w:val="00D117A5"/>
    <w:rsid w:val="00D117C9"/>
    <w:rsid w:val="00D117CE"/>
    <w:rsid w:val="00D117D6"/>
    <w:rsid w:val="00D11828"/>
    <w:rsid w:val="00D1187C"/>
    <w:rsid w:val="00D1189D"/>
    <w:rsid w:val="00D1190C"/>
    <w:rsid w:val="00D119D1"/>
    <w:rsid w:val="00D11A07"/>
    <w:rsid w:val="00D11A22"/>
    <w:rsid w:val="00D11A94"/>
    <w:rsid w:val="00D11A9D"/>
    <w:rsid w:val="00D11AD6"/>
    <w:rsid w:val="00D11B15"/>
    <w:rsid w:val="00D11B77"/>
    <w:rsid w:val="00D11B7A"/>
    <w:rsid w:val="00D11B89"/>
    <w:rsid w:val="00D11BA3"/>
    <w:rsid w:val="00D11BAC"/>
    <w:rsid w:val="00D11BB7"/>
    <w:rsid w:val="00D11BEE"/>
    <w:rsid w:val="00D11BFC"/>
    <w:rsid w:val="00D11C0A"/>
    <w:rsid w:val="00D11C41"/>
    <w:rsid w:val="00D11D27"/>
    <w:rsid w:val="00D11D56"/>
    <w:rsid w:val="00D11DEF"/>
    <w:rsid w:val="00D11DF0"/>
    <w:rsid w:val="00D11E16"/>
    <w:rsid w:val="00D11EA7"/>
    <w:rsid w:val="00D11ED2"/>
    <w:rsid w:val="00D11EEF"/>
    <w:rsid w:val="00D11F55"/>
    <w:rsid w:val="00D11F95"/>
    <w:rsid w:val="00D11F9D"/>
    <w:rsid w:val="00D11FD0"/>
    <w:rsid w:val="00D11FD6"/>
    <w:rsid w:val="00D11FF1"/>
    <w:rsid w:val="00D1202B"/>
    <w:rsid w:val="00D12030"/>
    <w:rsid w:val="00D12040"/>
    <w:rsid w:val="00D12045"/>
    <w:rsid w:val="00D1206E"/>
    <w:rsid w:val="00D12077"/>
    <w:rsid w:val="00D1209A"/>
    <w:rsid w:val="00D120D1"/>
    <w:rsid w:val="00D120D6"/>
    <w:rsid w:val="00D120E3"/>
    <w:rsid w:val="00D12119"/>
    <w:rsid w:val="00D1211D"/>
    <w:rsid w:val="00D12153"/>
    <w:rsid w:val="00D121E4"/>
    <w:rsid w:val="00D121E5"/>
    <w:rsid w:val="00D12247"/>
    <w:rsid w:val="00D12249"/>
    <w:rsid w:val="00D1224C"/>
    <w:rsid w:val="00D12261"/>
    <w:rsid w:val="00D12297"/>
    <w:rsid w:val="00D122B5"/>
    <w:rsid w:val="00D12309"/>
    <w:rsid w:val="00D12327"/>
    <w:rsid w:val="00D1233B"/>
    <w:rsid w:val="00D12356"/>
    <w:rsid w:val="00D12364"/>
    <w:rsid w:val="00D12385"/>
    <w:rsid w:val="00D123AB"/>
    <w:rsid w:val="00D123BA"/>
    <w:rsid w:val="00D123CB"/>
    <w:rsid w:val="00D123CE"/>
    <w:rsid w:val="00D123F1"/>
    <w:rsid w:val="00D1241F"/>
    <w:rsid w:val="00D1243B"/>
    <w:rsid w:val="00D1243D"/>
    <w:rsid w:val="00D12469"/>
    <w:rsid w:val="00D12481"/>
    <w:rsid w:val="00D12494"/>
    <w:rsid w:val="00D1249E"/>
    <w:rsid w:val="00D124B4"/>
    <w:rsid w:val="00D124D8"/>
    <w:rsid w:val="00D12505"/>
    <w:rsid w:val="00D12559"/>
    <w:rsid w:val="00D1256A"/>
    <w:rsid w:val="00D12582"/>
    <w:rsid w:val="00D1259A"/>
    <w:rsid w:val="00D12605"/>
    <w:rsid w:val="00D12629"/>
    <w:rsid w:val="00D1263B"/>
    <w:rsid w:val="00D1263F"/>
    <w:rsid w:val="00D126B9"/>
    <w:rsid w:val="00D126FD"/>
    <w:rsid w:val="00D12716"/>
    <w:rsid w:val="00D12771"/>
    <w:rsid w:val="00D1277D"/>
    <w:rsid w:val="00D12781"/>
    <w:rsid w:val="00D12795"/>
    <w:rsid w:val="00D127A0"/>
    <w:rsid w:val="00D127CC"/>
    <w:rsid w:val="00D127E5"/>
    <w:rsid w:val="00D127F1"/>
    <w:rsid w:val="00D12834"/>
    <w:rsid w:val="00D12899"/>
    <w:rsid w:val="00D128E2"/>
    <w:rsid w:val="00D1292E"/>
    <w:rsid w:val="00D12938"/>
    <w:rsid w:val="00D12955"/>
    <w:rsid w:val="00D129A3"/>
    <w:rsid w:val="00D12A05"/>
    <w:rsid w:val="00D12A32"/>
    <w:rsid w:val="00D12A34"/>
    <w:rsid w:val="00D12AAB"/>
    <w:rsid w:val="00D12AD5"/>
    <w:rsid w:val="00D12B0F"/>
    <w:rsid w:val="00D12B74"/>
    <w:rsid w:val="00D12BA7"/>
    <w:rsid w:val="00D12BAF"/>
    <w:rsid w:val="00D12BCA"/>
    <w:rsid w:val="00D12BD5"/>
    <w:rsid w:val="00D12BF8"/>
    <w:rsid w:val="00D12C51"/>
    <w:rsid w:val="00D12D4C"/>
    <w:rsid w:val="00D12E13"/>
    <w:rsid w:val="00D12E38"/>
    <w:rsid w:val="00D12EC3"/>
    <w:rsid w:val="00D12ED6"/>
    <w:rsid w:val="00D12EE6"/>
    <w:rsid w:val="00D12EF1"/>
    <w:rsid w:val="00D12EF6"/>
    <w:rsid w:val="00D12F09"/>
    <w:rsid w:val="00D12F2B"/>
    <w:rsid w:val="00D12F8F"/>
    <w:rsid w:val="00D12F95"/>
    <w:rsid w:val="00D12F9A"/>
    <w:rsid w:val="00D12FA5"/>
    <w:rsid w:val="00D12FD2"/>
    <w:rsid w:val="00D130F6"/>
    <w:rsid w:val="00D1311D"/>
    <w:rsid w:val="00D1313E"/>
    <w:rsid w:val="00D13159"/>
    <w:rsid w:val="00D13170"/>
    <w:rsid w:val="00D131BE"/>
    <w:rsid w:val="00D13229"/>
    <w:rsid w:val="00D13264"/>
    <w:rsid w:val="00D13279"/>
    <w:rsid w:val="00D13280"/>
    <w:rsid w:val="00D13306"/>
    <w:rsid w:val="00D13313"/>
    <w:rsid w:val="00D133C6"/>
    <w:rsid w:val="00D13473"/>
    <w:rsid w:val="00D13474"/>
    <w:rsid w:val="00D1349E"/>
    <w:rsid w:val="00D134DD"/>
    <w:rsid w:val="00D13564"/>
    <w:rsid w:val="00D1356B"/>
    <w:rsid w:val="00D13585"/>
    <w:rsid w:val="00D135B1"/>
    <w:rsid w:val="00D135B3"/>
    <w:rsid w:val="00D135C9"/>
    <w:rsid w:val="00D1360F"/>
    <w:rsid w:val="00D13632"/>
    <w:rsid w:val="00D13660"/>
    <w:rsid w:val="00D136A1"/>
    <w:rsid w:val="00D1373B"/>
    <w:rsid w:val="00D1377C"/>
    <w:rsid w:val="00D13811"/>
    <w:rsid w:val="00D1382C"/>
    <w:rsid w:val="00D138B4"/>
    <w:rsid w:val="00D13900"/>
    <w:rsid w:val="00D13984"/>
    <w:rsid w:val="00D139D8"/>
    <w:rsid w:val="00D139FC"/>
    <w:rsid w:val="00D13A54"/>
    <w:rsid w:val="00D13A84"/>
    <w:rsid w:val="00D13A94"/>
    <w:rsid w:val="00D13ACA"/>
    <w:rsid w:val="00D13AD9"/>
    <w:rsid w:val="00D13AF0"/>
    <w:rsid w:val="00D13B57"/>
    <w:rsid w:val="00D13C5C"/>
    <w:rsid w:val="00D13C62"/>
    <w:rsid w:val="00D13CF4"/>
    <w:rsid w:val="00D13D00"/>
    <w:rsid w:val="00D13D04"/>
    <w:rsid w:val="00D13D22"/>
    <w:rsid w:val="00D13D42"/>
    <w:rsid w:val="00D13D74"/>
    <w:rsid w:val="00D13D92"/>
    <w:rsid w:val="00D13DA1"/>
    <w:rsid w:val="00D13DBD"/>
    <w:rsid w:val="00D13E01"/>
    <w:rsid w:val="00D13E41"/>
    <w:rsid w:val="00D13E6F"/>
    <w:rsid w:val="00D13E74"/>
    <w:rsid w:val="00D13EBB"/>
    <w:rsid w:val="00D13ECF"/>
    <w:rsid w:val="00D13EDD"/>
    <w:rsid w:val="00D13F0D"/>
    <w:rsid w:val="00D13F18"/>
    <w:rsid w:val="00D13F57"/>
    <w:rsid w:val="00D13F6F"/>
    <w:rsid w:val="00D13F8D"/>
    <w:rsid w:val="00D13F94"/>
    <w:rsid w:val="00D13FD4"/>
    <w:rsid w:val="00D1402C"/>
    <w:rsid w:val="00D1402F"/>
    <w:rsid w:val="00D14030"/>
    <w:rsid w:val="00D14073"/>
    <w:rsid w:val="00D14077"/>
    <w:rsid w:val="00D1407E"/>
    <w:rsid w:val="00D140AE"/>
    <w:rsid w:val="00D140C4"/>
    <w:rsid w:val="00D141B9"/>
    <w:rsid w:val="00D1424C"/>
    <w:rsid w:val="00D14276"/>
    <w:rsid w:val="00D14290"/>
    <w:rsid w:val="00D142C5"/>
    <w:rsid w:val="00D142C6"/>
    <w:rsid w:val="00D142D4"/>
    <w:rsid w:val="00D142F2"/>
    <w:rsid w:val="00D14370"/>
    <w:rsid w:val="00D143EB"/>
    <w:rsid w:val="00D144BF"/>
    <w:rsid w:val="00D144D9"/>
    <w:rsid w:val="00D144DA"/>
    <w:rsid w:val="00D144FA"/>
    <w:rsid w:val="00D14513"/>
    <w:rsid w:val="00D14518"/>
    <w:rsid w:val="00D1452D"/>
    <w:rsid w:val="00D14578"/>
    <w:rsid w:val="00D14581"/>
    <w:rsid w:val="00D145EA"/>
    <w:rsid w:val="00D145F6"/>
    <w:rsid w:val="00D14604"/>
    <w:rsid w:val="00D1461B"/>
    <w:rsid w:val="00D14637"/>
    <w:rsid w:val="00D14698"/>
    <w:rsid w:val="00D146D5"/>
    <w:rsid w:val="00D146D7"/>
    <w:rsid w:val="00D14791"/>
    <w:rsid w:val="00D147C2"/>
    <w:rsid w:val="00D14820"/>
    <w:rsid w:val="00D14855"/>
    <w:rsid w:val="00D148C6"/>
    <w:rsid w:val="00D148FE"/>
    <w:rsid w:val="00D14902"/>
    <w:rsid w:val="00D14921"/>
    <w:rsid w:val="00D14930"/>
    <w:rsid w:val="00D149A5"/>
    <w:rsid w:val="00D14A0E"/>
    <w:rsid w:val="00D14A4C"/>
    <w:rsid w:val="00D14A59"/>
    <w:rsid w:val="00D14A96"/>
    <w:rsid w:val="00D14AC3"/>
    <w:rsid w:val="00D14AE1"/>
    <w:rsid w:val="00D14B20"/>
    <w:rsid w:val="00D14B59"/>
    <w:rsid w:val="00D14B74"/>
    <w:rsid w:val="00D14BA2"/>
    <w:rsid w:val="00D14BBF"/>
    <w:rsid w:val="00D14BE8"/>
    <w:rsid w:val="00D14BF0"/>
    <w:rsid w:val="00D14C0B"/>
    <w:rsid w:val="00D14C32"/>
    <w:rsid w:val="00D14C4D"/>
    <w:rsid w:val="00D14C7D"/>
    <w:rsid w:val="00D14CA4"/>
    <w:rsid w:val="00D14CBF"/>
    <w:rsid w:val="00D14CC0"/>
    <w:rsid w:val="00D14CC6"/>
    <w:rsid w:val="00D14CCF"/>
    <w:rsid w:val="00D14CD2"/>
    <w:rsid w:val="00D14CFA"/>
    <w:rsid w:val="00D14D55"/>
    <w:rsid w:val="00D14D8E"/>
    <w:rsid w:val="00D14DB3"/>
    <w:rsid w:val="00D14DD3"/>
    <w:rsid w:val="00D14DF2"/>
    <w:rsid w:val="00D14DFB"/>
    <w:rsid w:val="00D14E2A"/>
    <w:rsid w:val="00D14ED2"/>
    <w:rsid w:val="00D14EE5"/>
    <w:rsid w:val="00D14F2D"/>
    <w:rsid w:val="00D14FCF"/>
    <w:rsid w:val="00D14FE6"/>
    <w:rsid w:val="00D1500C"/>
    <w:rsid w:val="00D15099"/>
    <w:rsid w:val="00D150A9"/>
    <w:rsid w:val="00D150BD"/>
    <w:rsid w:val="00D15119"/>
    <w:rsid w:val="00D1518D"/>
    <w:rsid w:val="00D15193"/>
    <w:rsid w:val="00D151EC"/>
    <w:rsid w:val="00D1521B"/>
    <w:rsid w:val="00D1522A"/>
    <w:rsid w:val="00D15281"/>
    <w:rsid w:val="00D15289"/>
    <w:rsid w:val="00D15431"/>
    <w:rsid w:val="00D15488"/>
    <w:rsid w:val="00D1554C"/>
    <w:rsid w:val="00D1556A"/>
    <w:rsid w:val="00D1558D"/>
    <w:rsid w:val="00D1558F"/>
    <w:rsid w:val="00D15596"/>
    <w:rsid w:val="00D155C1"/>
    <w:rsid w:val="00D1565B"/>
    <w:rsid w:val="00D15670"/>
    <w:rsid w:val="00D15679"/>
    <w:rsid w:val="00D156D9"/>
    <w:rsid w:val="00D15758"/>
    <w:rsid w:val="00D1582F"/>
    <w:rsid w:val="00D1588A"/>
    <w:rsid w:val="00D158C1"/>
    <w:rsid w:val="00D158F3"/>
    <w:rsid w:val="00D15908"/>
    <w:rsid w:val="00D15951"/>
    <w:rsid w:val="00D1597E"/>
    <w:rsid w:val="00D1598D"/>
    <w:rsid w:val="00D159E1"/>
    <w:rsid w:val="00D159E9"/>
    <w:rsid w:val="00D159EB"/>
    <w:rsid w:val="00D15A01"/>
    <w:rsid w:val="00D15A3F"/>
    <w:rsid w:val="00D15B44"/>
    <w:rsid w:val="00D15BDB"/>
    <w:rsid w:val="00D15C99"/>
    <w:rsid w:val="00D15CB4"/>
    <w:rsid w:val="00D15D0B"/>
    <w:rsid w:val="00D15D91"/>
    <w:rsid w:val="00D15DAD"/>
    <w:rsid w:val="00D15E1E"/>
    <w:rsid w:val="00D15E5A"/>
    <w:rsid w:val="00D15EAE"/>
    <w:rsid w:val="00D15EC2"/>
    <w:rsid w:val="00D15ED0"/>
    <w:rsid w:val="00D15EE0"/>
    <w:rsid w:val="00D15EE2"/>
    <w:rsid w:val="00D15FBE"/>
    <w:rsid w:val="00D16099"/>
    <w:rsid w:val="00D160E1"/>
    <w:rsid w:val="00D16115"/>
    <w:rsid w:val="00D1612C"/>
    <w:rsid w:val="00D16149"/>
    <w:rsid w:val="00D1614B"/>
    <w:rsid w:val="00D16158"/>
    <w:rsid w:val="00D16187"/>
    <w:rsid w:val="00D16211"/>
    <w:rsid w:val="00D16254"/>
    <w:rsid w:val="00D16273"/>
    <w:rsid w:val="00D162D3"/>
    <w:rsid w:val="00D162EF"/>
    <w:rsid w:val="00D162F8"/>
    <w:rsid w:val="00D16313"/>
    <w:rsid w:val="00D1635E"/>
    <w:rsid w:val="00D16374"/>
    <w:rsid w:val="00D163F8"/>
    <w:rsid w:val="00D164B9"/>
    <w:rsid w:val="00D164C9"/>
    <w:rsid w:val="00D164FB"/>
    <w:rsid w:val="00D16508"/>
    <w:rsid w:val="00D16561"/>
    <w:rsid w:val="00D16570"/>
    <w:rsid w:val="00D16580"/>
    <w:rsid w:val="00D165BF"/>
    <w:rsid w:val="00D16607"/>
    <w:rsid w:val="00D1665E"/>
    <w:rsid w:val="00D16684"/>
    <w:rsid w:val="00D1669E"/>
    <w:rsid w:val="00D166CF"/>
    <w:rsid w:val="00D166DD"/>
    <w:rsid w:val="00D166E9"/>
    <w:rsid w:val="00D166F0"/>
    <w:rsid w:val="00D16702"/>
    <w:rsid w:val="00D16757"/>
    <w:rsid w:val="00D16775"/>
    <w:rsid w:val="00D16791"/>
    <w:rsid w:val="00D167BC"/>
    <w:rsid w:val="00D16821"/>
    <w:rsid w:val="00D16847"/>
    <w:rsid w:val="00D16859"/>
    <w:rsid w:val="00D168C7"/>
    <w:rsid w:val="00D168F6"/>
    <w:rsid w:val="00D1690E"/>
    <w:rsid w:val="00D16914"/>
    <w:rsid w:val="00D16921"/>
    <w:rsid w:val="00D1693F"/>
    <w:rsid w:val="00D1697C"/>
    <w:rsid w:val="00D1699D"/>
    <w:rsid w:val="00D1699F"/>
    <w:rsid w:val="00D169CC"/>
    <w:rsid w:val="00D16A00"/>
    <w:rsid w:val="00D16AE1"/>
    <w:rsid w:val="00D16AF8"/>
    <w:rsid w:val="00D16B0C"/>
    <w:rsid w:val="00D16B49"/>
    <w:rsid w:val="00D16B63"/>
    <w:rsid w:val="00D16B77"/>
    <w:rsid w:val="00D16C0E"/>
    <w:rsid w:val="00D16C4A"/>
    <w:rsid w:val="00D16C9B"/>
    <w:rsid w:val="00D16CA8"/>
    <w:rsid w:val="00D16CC9"/>
    <w:rsid w:val="00D16D32"/>
    <w:rsid w:val="00D16E1C"/>
    <w:rsid w:val="00D16E78"/>
    <w:rsid w:val="00D16E79"/>
    <w:rsid w:val="00D16E83"/>
    <w:rsid w:val="00D16E94"/>
    <w:rsid w:val="00D16E95"/>
    <w:rsid w:val="00D16EB2"/>
    <w:rsid w:val="00D16EF5"/>
    <w:rsid w:val="00D16FAB"/>
    <w:rsid w:val="00D16FAE"/>
    <w:rsid w:val="00D16FB3"/>
    <w:rsid w:val="00D16FB4"/>
    <w:rsid w:val="00D16FC1"/>
    <w:rsid w:val="00D16FD3"/>
    <w:rsid w:val="00D16FE7"/>
    <w:rsid w:val="00D1700B"/>
    <w:rsid w:val="00D17070"/>
    <w:rsid w:val="00D1710A"/>
    <w:rsid w:val="00D1710E"/>
    <w:rsid w:val="00D17138"/>
    <w:rsid w:val="00D1715E"/>
    <w:rsid w:val="00D1717E"/>
    <w:rsid w:val="00D17186"/>
    <w:rsid w:val="00D1721B"/>
    <w:rsid w:val="00D1724B"/>
    <w:rsid w:val="00D17250"/>
    <w:rsid w:val="00D172AE"/>
    <w:rsid w:val="00D172D1"/>
    <w:rsid w:val="00D172D9"/>
    <w:rsid w:val="00D172E1"/>
    <w:rsid w:val="00D17344"/>
    <w:rsid w:val="00D17409"/>
    <w:rsid w:val="00D17493"/>
    <w:rsid w:val="00D174A1"/>
    <w:rsid w:val="00D1751B"/>
    <w:rsid w:val="00D17579"/>
    <w:rsid w:val="00D17586"/>
    <w:rsid w:val="00D17612"/>
    <w:rsid w:val="00D17616"/>
    <w:rsid w:val="00D17641"/>
    <w:rsid w:val="00D17665"/>
    <w:rsid w:val="00D17692"/>
    <w:rsid w:val="00D1769E"/>
    <w:rsid w:val="00D176CB"/>
    <w:rsid w:val="00D17719"/>
    <w:rsid w:val="00D1774A"/>
    <w:rsid w:val="00D17809"/>
    <w:rsid w:val="00D17832"/>
    <w:rsid w:val="00D1783A"/>
    <w:rsid w:val="00D17892"/>
    <w:rsid w:val="00D178A0"/>
    <w:rsid w:val="00D178D7"/>
    <w:rsid w:val="00D1790D"/>
    <w:rsid w:val="00D1791B"/>
    <w:rsid w:val="00D1792D"/>
    <w:rsid w:val="00D1797C"/>
    <w:rsid w:val="00D179AE"/>
    <w:rsid w:val="00D179D8"/>
    <w:rsid w:val="00D179F5"/>
    <w:rsid w:val="00D179F8"/>
    <w:rsid w:val="00D17A42"/>
    <w:rsid w:val="00D17A86"/>
    <w:rsid w:val="00D17AB4"/>
    <w:rsid w:val="00D17AC0"/>
    <w:rsid w:val="00D17ADF"/>
    <w:rsid w:val="00D17B06"/>
    <w:rsid w:val="00D17B20"/>
    <w:rsid w:val="00D17BB7"/>
    <w:rsid w:val="00D17BEB"/>
    <w:rsid w:val="00D17BFE"/>
    <w:rsid w:val="00D17C4A"/>
    <w:rsid w:val="00D17CF5"/>
    <w:rsid w:val="00D17D00"/>
    <w:rsid w:val="00D17D24"/>
    <w:rsid w:val="00D17D74"/>
    <w:rsid w:val="00D17DA0"/>
    <w:rsid w:val="00D17DF5"/>
    <w:rsid w:val="00D17E14"/>
    <w:rsid w:val="00D17EC2"/>
    <w:rsid w:val="00D17ECC"/>
    <w:rsid w:val="00D17F0F"/>
    <w:rsid w:val="00D17F2A"/>
    <w:rsid w:val="00D17F30"/>
    <w:rsid w:val="00D17F4C"/>
    <w:rsid w:val="00D17F73"/>
    <w:rsid w:val="00D2006C"/>
    <w:rsid w:val="00D200B3"/>
    <w:rsid w:val="00D200D6"/>
    <w:rsid w:val="00D200DA"/>
    <w:rsid w:val="00D200DB"/>
    <w:rsid w:val="00D200DE"/>
    <w:rsid w:val="00D200ED"/>
    <w:rsid w:val="00D20125"/>
    <w:rsid w:val="00D20134"/>
    <w:rsid w:val="00D20141"/>
    <w:rsid w:val="00D20172"/>
    <w:rsid w:val="00D20191"/>
    <w:rsid w:val="00D201A3"/>
    <w:rsid w:val="00D201B6"/>
    <w:rsid w:val="00D201D1"/>
    <w:rsid w:val="00D201EF"/>
    <w:rsid w:val="00D201FE"/>
    <w:rsid w:val="00D20228"/>
    <w:rsid w:val="00D20243"/>
    <w:rsid w:val="00D20267"/>
    <w:rsid w:val="00D20319"/>
    <w:rsid w:val="00D2037F"/>
    <w:rsid w:val="00D20388"/>
    <w:rsid w:val="00D203AA"/>
    <w:rsid w:val="00D203F2"/>
    <w:rsid w:val="00D2040E"/>
    <w:rsid w:val="00D20549"/>
    <w:rsid w:val="00D2057E"/>
    <w:rsid w:val="00D20584"/>
    <w:rsid w:val="00D205AD"/>
    <w:rsid w:val="00D205D4"/>
    <w:rsid w:val="00D205E7"/>
    <w:rsid w:val="00D205F3"/>
    <w:rsid w:val="00D2060D"/>
    <w:rsid w:val="00D2062E"/>
    <w:rsid w:val="00D20695"/>
    <w:rsid w:val="00D20701"/>
    <w:rsid w:val="00D2070B"/>
    <w:rsid w:val="00D2070F"/>
    <w:rsid w:val="00D20737"/>
    <w:rsid w:val="00D207BB"/>
    <w:rsid w:val="00D207BE"/>
    <w:rsid w:val="00D20821"/>
    <w:rsid w:val="00D208B1"/>
    <w:rsid w:val="00D208D0"/>
    <w:rsid w:val="00D208DC"/>
    <w:rsid w:val="00D20901"/>
    <w:rsid w:val="00D20962"/>
    <w:rsid w:val="00D20976"/>
    <w:rsid w:val="00D209A5"/>
    <w:rsid w:val="00D209B2"/>
    <w:rsid w:val="00D209B3"/>
    <w:rsid w:val="00D209CA"/>
    <w:rsid w:val="00D209EF"/>
    <w:rsid w:val="00D20A93"/>
    <w:rsid w:val="00D20AD1"/>
    <w:rsid w:val="00D20AF4"/>
    <w:rsid w:val="00D20B6C"/>
    <w:rsid w:val="00D20B73"/>
    <w:rsid w:val="00D20B80"/>
    <w:rsid w:val="00D20B95"/>
    <w:rsid w:val="00D20C09"/>
    <w:rsid w:val="00D20C1A"/>
    <w:rsid w:val="00D20C64"/>
    <w:rsid w:val="00D20C8F"/>
    <w:rsid w:val="00D20CAD"/>
    <w:rsid w:val="00D20CBC"/>
    <w:rsid w:val="00D20D23"/>
    <w:rsid w:val="00D20D81"/>
    <w:rsid w:val="00D20DDB"/>
    <w:rsid w:val="00D20DE6"/>
    <w:rsid w:val="00D20E5B"/>
    <w:rsid w:val="00D20E89"/>
    <w:rsid w:val="00D20EA5"/>
    <w:rsid w:val="00D20EBB"/>
    <w:rsid w:val="00D20ECE"/>
    <w:rsid w:val="00D20EFE"/>
    <w:rsid w:val="00D20F14"/>
    <w:rsid w:val="00D20F99"/>
    <w:rsid w:val="00D20FD1"/>
    <w:rsid w:val="00D2102F"/>
    <w:rsid w:val="00D21088"/>
    <w:rsid w:val="00D21110"/>
    <w:rsid w:val="00D2115C"/>
    <w:rsid w:val="00D21169"/>
    <w:rsid w:val="00D21196"/>
    <w:rsid w:val="00D2126C"/>
    <w:rsid w:val="00D21299"/>
    <w:rsid w:val="00D212F4"/>
    <w:rsid w:val="00D2130B"/>
    <w:rsid w:val="00D2132A"/>
    <w:rsid w:val="00D21359"/>
    <w:rsid w:val="00D213B2"/>
    <w:rsid w:val="00D21422"/>
    <w:rsid w:val="00D21453"/>
    <w:rsid w:val="00D21464"/>
    <w:rsid w:val="00D21573"/>
    <w:rsid w:val="00D21619"/>
    <w:rsid w:val="00D2161B"/>
    <w:rsid w:val="00D21626"/>
    <w:rsid w:val="00D21634"/>
    <w:rsid w:val="00D216A3"/>
    <w:rsid w:val="00D216AC"/>
    <w:rsid w:val="00D216B6"/>
    <w:rsid w:val="00D2173A"/>
    <w:rsid w:val="00D21748"/>
    <w:rsid w:val="00D21799"/>
    <w:rsid w:val="00D217B4"/>
    <w:rsid w:val="00D2180F"/>
    <w:rsid w:val="00D218DB"/>
    <w:rsid w:val="00D218F6"/>
    <w:rsid w:val="00D21955"/>
    <w:rsid w:val="00D21998"/>
    <w:rsid w:val="00D219E6"/>
    <w:rsid w:val="00D219F5"/>
    <w:rsid w:val="00D21A3A"/>
    <w:rsid w:val="00D21A9E"/>
    <w:rsid w:val="00D21ABC"/>
    <w:rsid w:val="00D21AE0"/>
    <w:rsid w:val="00D21AE2"/>
    <w:rsid w:val="00D21B64"/>
    <w:rsid w:val="00D21B6F"/>
    <w:rsid w:val="00D21B71"/>
    <w:rsid w:val="00D21B72"/>
    <w:rsid w:val="00D21B99"/>
    <w:rsid w:val="00D21B9F"/>
    <w:rsid w:val="00D21BC2"/>
    <w:rsid w:val="00D21BCE"/>
    <w:rsid w:val="00D21BF5"/>
    <w:rsid w:val="00D21C0C"/>
    <w:rsid w:val="00D21C66"/>
    <w:rsid w:val="00D21CD3"/>
    <w:rsid w:val="00D21CDD"/>
    <w:rsid w:val="00D21CF9"/>
    <w:rsid w:val="00D21D39"/>
    <w:rsid w:val="00D21D46"/>
    <w:rsid w:val="00D21D8E"/>
    <w:rsid w:val="00D21DEE"/>
    <w:rsid w:val="00D21DF2"/>
    <w:rsid w:val="00D21E63"/>
    <w:rsid w:val="00D21E66"/>
    <w:rsid w:val="00D21ED1"/>
    <w:rsid w:val="00D21EE7"/>
    <w:rsid w:val="00D21EFC"/>
    <w:rsid w:val="00D21F00"/>
    <w:rsid w:val="00D21F29"/>
    <w:rsid w:val="00D21F51"/>
    <w:rsid w:val="00D21FE4"/>
    <w:rsid w:val="00D21FF9"/>
    <w:rsid w:val="00D22007"/>
    <w:rsid w:val="00D22008"/>
    <w:rsid w:val="00D22028"/>
    <w:rsid w:val="00D2202A"/>
    <w:rsid w:val="00D2203A"/>
    <w:rsid w:val="00D22112"/>
    <w:rsid w:val="00D22132"/>
    <w:rsid w:val="00D2214F"/>
    <w:rsid w:val="00D2215E"/>
    <w:rsid w:val="00D221AA"/>
    <w:rsid w:val="00D221D2"/>
    <w:rsid w:val="00D221F3"/>
    <w:rsid w:val="00D2225F"/>
    <w:rsid w:val="00D22265"/>
    <w:rsid w:val="00D222B2"/>
    <w:rsid w:val="00D22355"/>
    <w:rsid w:val="00D2239A"/>
    <w:rsid w:val="00D2240A"/>
    <w:rsid w:val="00D2242B"/>
    <w:rsid w:val="00D22457"/>
    <w:rsid w:val="00D2255A"/>
    <w:rsid w:val="00D22567"/>
    <w:rsid w:val="00D2256D"/>
    <w:rsid w:val="00D22571"/>
    <w:rsid w:val="00D2258D"/>
    <w:rsid w:val="00D22599"/>
    <w:rsid w:val="00D225D2"/>
    <w:rsid w:val="00D22620"/>
    <w:rsid w:val="00D2263D"/>
    <w:rsid w:val="00D2263F"/>
    <w:rsid w:val="00D226BE"/>
    <w:rsid w:val="00D226CB"/>
    <w:rsid w:val="00D22709"/>
    <w:rsid w:val="00D2270B"/>
    <w:rsid w:val="00D22718"/>
    <w:rsid w:val="00D2273E"/>
    <w:rsid w:val="00D227E8"/>
    <w:rsid w:val="00D22804"/>
    <w:rsid w:val="00D22841"/>
    <w:rsid w:val="00D228B3"/>
    <w:rsid w:val="00D228E2"/>
    <w:rsid w:val="00D2291B"/>
    <w:rsid w:val="00D229AD"/>
    <w:rsid w:val="00D22A0F"/>
    <w:rsid w:val="00D22A1B"/>
    <w:rsid w:val="00D22A51"/>
    <w:rsid w:val="00D22A68"/>
    <w:rsid w:val="00D22A70"/>
    <w:rsid w:val="00D22A98"/>
    <w:rsid w:val="00D22AC7"/>
    <w:rsid w:val="00D22AD2"/>
    <w:rsid w:val="00D22B11"/>
    <w:rsid w:val="00D22B17"/>
    <w:rsid w:val="00D22B4D"/>
    <w:rsid w:val="00D22B61"/>
    <w:rsid w:val="00D22B8D"/>
    <w:rsid w:val="00D22C35"/>
    <w:rsid w:val="00D22CAE"/>
    <w:rsid w:val="00D22D96"/>
    <w:rsid w:val="00D22D9E"/>
    <w:rsid w:val="00D22DE3"/>
    <w:rsid w:val="00D22E5D"/>
    <w:rsid w:val="00D22E7E"/>
    <w:rsid w:val="00D22E93"/>
    <w:rsid w:val="00D22E94"/>
    <w:rsid w:val="00D22F33"/>
    <w:rsid w:val="00D22FA0"/>
    <w:rsid w:val="00D22FA2"/>
    <w:rsid w:val="00D22FA5"/>
    <w:rsid w:val="00D22FEB"/>
    <w:rsid w:val="00D23020"/>
    <w:rsid w:val="00D2303B"/>
    <w:rsid w:val="00D23043"/>
    <w:rsid w:val="00D23063"/>
    <w:rsid w:val="00D230A0"/>
    <w:rsid w:val="00D230CB"/>
    <w:rsid w:val="00D230F5"/>
    <w:rsid w:val="00D230FE"/>
    <w:rsid w:val="00D23181"/>
    <w:rsid w:val="00D231A8"/>
    <w:rsid w:val="00D23243"/>
    <w:rsid w:val="00D2324A"/>
    <w:rsid w:val="00D23290"/>
    <w:rsid w:val="00D232E8"/>
    <w:rsid w:val="00D2331A"/>
    <w:rsid w:val="00D23357"/>
    <w:rsid w:val="00D2335D"/>
    <w:rsid w:val="00D233B8"/>
    <w:rsid w:val="00D233F1"/>
    <w:rsid w:val="00D233FA"/>
    <w:rsid w:val="00D23417"/>
    <w:rsid w:val="00D23462"/>
    <w:rsid w:val="00D23465"/>
    <w:rsid w:val="00D2347B"/>
    <w:rsid w:val="00D234A4"/>
    <w:rsid w:val="00D234D7"/>
    <w:rsid w:val="00D23505"/>
    <w:rsid w:val="00D2353D"/>
    <w:rsid w:val="00D235DF"/>
    <w:rsid w:val="00D235FA"/>
    <w:rsid w:val="00D23636"/>
    <w:rsid w:val="00D23637"/>
    <w:rsid w:val="00D23651"/>
    <w:rsid w:val="00D236D3"/>
    <w:rsid w:val="00D236DE"/>
    <w:rsid w:val="00D236E1"/>
    <w:rsid w:val="00D23705"/>
    <w:rsid w:val="00D23767"/>
    <w:rsid w:val="00D23816"/>
    <w:rsid w:val="00D23856"/>
    <w:rsid w:val="00D2387B"/>
    <w:rsid w:val="00D2387E"/>
    <w:rsid w:val="00D238E8"/>
    <w:rsid w:val="00D238EC"/>
    <w:rsid w:val="00D2391F"/>
    <w:rsid w:val="00D239CF"/>
    <w:rsid w:val="00D23AA4"/>
    <w:rsid w:val="00D23AFB"/>
    <w:rsid w:val="00D23B55"/>
    <w:rsid w:val="00D23BF0"/>
    <w:rsid w:val="00D23C55"/>
    <w:rsid w:val="00D23CD3"/>
    <w:rsid w:val="00D23D09"/>
    <w:rsid w:val="00D23D2C"/>
    <w:rsid w:val="00D23D70"/>
    <w:rsid w:val="00D23E44"/>
    <w:rsid w:val="00D23E89"/>
    <w:rsid w:val="00D23E8D"/>
    <w:rsid w:val="00D23EAE"/>
    <w:rsid w:val="00D23EE9"/>
    <w:rsid w:val="00D23F62"/>
    <w:rsid w:val="00D23F68"/>
    <w:rsid w:val="00D2400D"/>
    <w:rsid w:val="00D24039"/>
    <w:rsid w:val="00D24062"/>
    <w:rsid w:val="00D240C4"/>
    <w:rsid w:val="00D240F1"/>
    <w:rsid w:val="00D24142"/>
    <w:rsid w:val="00D2416C"/>
    <w:rsid w:val="00D24175"/>
    <w:rsid w:val="00D2418C"/>
    <w:rsid w:val="00D24197"/>
    <w:rsid w:val="00D241C3"/>
    <w:rsid w:val="00D241D0"/>
    <w:rsid w:val="00D24217"/>
    <w:rsid w:val="00D24226"/>
    <w:rsid w:val="00D2428D"/>
    <w:rsid w:val="00D242DE"/>
    <w:rsid w:val="00D2434C"/>
    <w:rsid w:val="00D2438B"/>
    <w:rsid w:val="00D2438D"/>
    <w:rsid w:val="00D243CA"/>
    <w:rsid w:val="00D24464"/>
    <w:rsid w:val="00D244D2"/>
    <w:rsid w:val="00D24513"/>
    <w:rsid w:val="00D24535"/>
    <w:rsid w:val="00D24580"/>
    <w:rsid w:val="00D245A0"/>
    <w:rsid w:val="00D245BD"/>
    <w:rsid w:val="00D245CB"/>
    <w:rsid w:val="00D245DB"/>
    <w:rsid w:val="00D24602"/>
    <w:rsid w:val="00D24668"/>
    <w:rsid w:val="00D24686"/>
    <w:rsid w:val="00D246B7"/>
    <w:rsid w:val="00D246CD"/>
    <w:rsid w:val="00D246E7"/>
    <w:rsid w:val="00D246FE"/>
    <w:rsid w:val="00D24720"/>
    <w:rsid w:val="00D24730"/>
    <w:rsid w:val="00D2474E"/>
    <w:rsid w:val="00D24763"/>
    <w:rsid w:val="00D247B1"/>
    <w:rsid w:val="00D247C6"/>
    <w:rsid w:val="00D2481D"/>
    <w:rsid w:val="00D248AE"/>
    <w:rsid w:val="00D248E0"/>
    <w:rsid w:val="00D248E1"/>
    <w:rsid w:val="00D2491D"/>
    <w:rsid w:val="00D24931"/>
    <w:rsid w:val="00D2497C"/>
    <w:rsid w:val="00D249AD"/>
    <w:rsid w:val="00D24A22"/>
    <w:rsid w:val="00D24A76"/>
    <w:rsid w:val="00D24A98"/>
    <w:rsid w:val="00D24AD7"/>
    <w:rsid w:val="00D24ADE"/>
    <w:rsid w:val="00D24B27"/>
    <w:rsid w:val="00D24B2F"/>
    <w:rsid w:val="00D24B4D"/>
    <w:rsid w:val="00D24B51"/>
    <w:rsid w:val="00D24B8B"/>
    <w:rsid w:val="00D24B93"/>
    <w:rsid w:val="00D24BBF"/>
    <w:rsid w:val="00D24BFC"/>
    <w:rsid w:val="00D24C51"/>
    <w:rsid w:val="00D24C81"/>
    <w:rsid w:val="00D24CE9"/>
    <w:rsid w:val="00D24D46"/>
    <w:rsid w:val="00D24D49"/>
    <w:rsid w:val="00D24D4D"/>
    <w:rsid w:val="00D24D53"/>
    <w:rsid w:val="00D24DAD"/>
    <w:rsid w:val="00D24E12"/>
    <w:rsid w:val="00D24E16"/>
    <w:rsid w:val="00D24E81"/>
    <w:rsid w:val="00D24E8E"/>
    <w:rsid w:val="00D24EC4"/>
    <w:rsid w:val="00D24F18"/>
    <w:rsid w:val="00D24F27"/>
    <w:rsid w:val="00D24F95"/>
    <w:rsid w:val="00D24FD6"/>
    <w:rsid w:val="00D25049"/>
    <w:rsid w:val="00D2509F"/>
    <w:rsid w:val="00D250CA"/>
    <w:rsid w:val="00D250CC"/>
    <w:rsid w:val="00D250DA"/>
    <w:rsid w:val="00D250F5"/>
    <w:rsid w:val="00D2517A"/>
    <w:rsid w:val="00D251CC"/>
    <w:rsid w:val="00D25254"/>
    <w:rsid w:val="00D2525F"/>
    <w:rsid w:val="00D252E2"/>
    <w:rsid w:val="00D252F3"/>
    <w:rsid w:val="00D25311"/>
    <w:rsid w:val="00D25427"/>
    <w:rsid w:val="00D25441"/>
    <w:rsid w:val="00D25474"/>
    <w:rsid w:val="00D25484"/>
    <w:rsid w:val="00D25494"/>
    <w:rsid w:val="00D254A4"/>
    <w:rsid w:val="00D25531"/>
    <w:rsid w:val="00D25547"/>
    <w:rsid w:val="00D25551"/>
    <w:rsid w:val="00D2556E"/>
    <w:rsid w:val="00D25582"/>
    <w:rsid w:val="00D255D2"/>
    <w:rsid w:val="00D25600"/>
    <w:rsid w:val="00D25617"/>
    <w:rsid w:val="00D2567C"/>
    <w:rsid w:val="00D25695"/>
    <w:rsid w:val="00D256BE"/>
    <w:rsid w:val="00D2570D"/>
    <w:rsid w:val="00D257BF"/>
    <w:rsid w:val="00D2581D"/>
    <w:rsid w:val="00D25864"/>
    <w:rsid w:val="00D2596F"/>
    <w:rsid w:val="00D259D2"/>
    <w:rsid w:val="00D25A26"/>
    <w:rsid w:val="00D25A9D"/>
    <w:rsid w:val="00D25AA1"/>
    <w:rsid w:val="00D25AE7"/>
    <w:rsid w:val="00D25AF8"/>
    <w:rsid w:val="00D25B2C"/>
    <w:rsid w:val="00D25BC8"/>
    <w:rsid w:val="00D25BDE"/>
    <w:rsid w:val="00D25BE6"/>
    <w:rsid w:val="00D25BEE"/>
    <w:rsid w:val="00D25C09"/>
    <w:rsid w:val="00D25C38"/>
    <w:rsid w:val="00D25C58"/>
    <w:rsid w:val="00D25CC5"/>
    <w:rsid w:val="00D25D16"/>
    <w:rsid w:val="00D25D50"/>
    <w:rsid w:val="00D25D84"/>
    <w:rsid w:val="00D25D95"/>
    <w:rsid w:val="00D25DAC"/>
    <w:rsid w:val="00D25DD0"/>
    <w:rsid w:val="00D25DDE"/>
    <w:rsid w:val="00D25E16"/>
    <w:rsid w:val="00D25EA5"/>
    <w:rsid w:val="00D25EE9"/>
    <w:rsid w:val="00D25F37"/>
    <w:rsid w:val="00D25F39"/>
    <w:rsid w:val="00D26018"/>
    <w:rsid w:val="00D26033"/>
    <w:rsid w:val="00D2604B"/>
    <w:rsid w:val="00D26074"/>
    <w:rsid w:val="00D26082"/>
    <w:rsid w:val="00D26095"/>
    <w:rsid w:val="00D2609D"/>
    <w:rsid w:val="00D260E0"/>
    <w:rsid w:val="00D26108"/>
    <w:rsid w:val="00D2619A"/>
    <w:rsid w:val="00D261A6"/>
    <w:rsid w:val="00D26203"/>
    <w:rsid w:val="00D26222"/>
    <w:rsid w:val="00D26294"/>
    <w:rsid w:val="00D262E1"/>
    <w:rsid w:val="00D26318"/>
    <w:rsid w:val="00D26390"/>
    <w:rsid w:val="00D263E0"/>
    <w:rsid w:val="00D263ED"/>
    <w:rsid w:val="00D263F0"/>
    <w:rsid w:val="00D26420"/>
    <w:rsid w:val="00D2656A"/>
    <w:rsid w:val="00D265BA"/>
    <w:rsid w:val="00D265BF"/>
    <w:rsid w:val="00D26603"/>
    <w:rsid w:val="00D26648"/>
    <w:rsid w:val="00D266A7"/>
    <w:rsid w:val="00D266C9"/>
    <w:rsid w:val="00D266D2"/>
    <w:rsid w:val="00D266E8"/>
    <w:rsid w:val="00D26703"/>
    <w:rsid w:val="00D26757"/>
    <w:rsid w:val="00D26768"/>
    <w:rsid w:val="00D267E5"/>
    <w:rsid w:val="00D26858"/>
    <w:rsid w:val="00D26878"/>
    <w:rsid w:val="00D268C5"/>
    <w:rsid w:val="00D268F4"/>
    <w:rsid w:val="00D26967"/>
    <w:rsid w:val="00D269C8"/>
    <w:rsid w:val="00D26A1D"/>
    <w:rsid w:val="00D26B0C"/>
    <w:rsid w:val="00D26B55"/>
    <w:rsid w:val="00D26C1D"/>
    <w:rsid w:val="00D26C35"/>
    <w:rsid w:val="00D26C45"/>
    <w:rsid w:val="00D26C47"/>
    <w:rsid w:val="00D26C57"/>
    <w:rsid w:val="00D26D2B"/>
    <w:rsid w:val="00D26D6C"/>
    <w:rsid w:val="00D26DA2"/>
    <w:rsid w:val="00D26DE2"/>
    <w:rsid w:val="00D26DFF"/>
    <w:rsid w:val="00D26F21"/>
    <w:rsid w:val="00D26FC7"/>
    <w:rsid w:val="00D27013"/>
    <w:rsid w:val="00D27033"/>
    <w:rsid w:val="00D270F8"/>
    <w:rsid w:val="00D2715B"/>
    <w:rsid w:val="00D271B7"/>
    <w:rsid w:val="00D271FF"/>
    <w:rsid w:val="00D2721D"/>
    <w:rsid w:val="00D27227"/>
    <w:rsid w:val="00D272CD"/>
    <w:rsid w:val="00D2733B"/>
    <w:rsid w:val="00D2733C"/>
    <w:rsid w:val="00D27350"/>
    <w:rsid w:val="00D27369"/>
    <w:rsid w:val="00D27392"/>
    <w:rsid w:val="00D273F1"/>
    <w:rsid w:val="00D2743A"/>
    <w:rsid w:val="00D2744A"/>
    <w:rsid w:val="00D274A3"/>
    <w:rsid w:val="00D274B3"/>
    <w:rsid w:val="00D274CE"/>
    <w:rsid w:val="00D274FC"/>
    <w:rsid w:val="00D27509"/>
    <w:rsid w:val="00D27584"/>
    <w:rsid w:val="00D275BD"/>
    <w:rsid w:val="00D275C0"/>
    <w:rsid w:val="00D275C4"/>
    <w:rsid w:val="00D275DD"/>
    <w:rsid w:val="00D2764E"/>
    <w:rsid w:val="00D27658"/>
    <w:rsid w:val="00D2766F"/>
    <w:rsid w:val="00D276EA"/>
    <w:rsid w:val="00D276F8"/>
    <w:rsid w:val="00D2775F"/>
    <w:rsid w:val="00D27772"/>
    <w:rsid w:val="00D27799"/>
    <w:rsid w:val="00D2779E"/>
    <w:rsid w:val="00D27819"/>
    <w:rsid w:val="00D2781F"/>
    <w:rsid w:val="00D2782B"/>
    <w:rsid w:val="00D27839"/>
    <w:rsid w:val="00D2784E"/>
    <w:rsid w:val="00D27886"/>
    <w:rsid w:val="00D2788A"/>
    <w:rsid w:val="00D27893"/>
    <w:rsid w:val="00D278C0"/>
    <w:rsid w:val="00D278CB"/>
    <w:rsid w:val="00D278E8"/>
    <w:rsid w:val="00D2790B"/>
    <w:rsid w:val="00D27912"/>
    <w:rsid w:val="00D27913"/>
    <w:rsid w:val="00D2794D"/>
    <w:rsid w:val="00D2796F"/>
    <w:rsid w:val="00D2797E"/>
    <w:rsid w:val="00D27998"/>
    <w:rsid w:val="00D279C0"/>
    <w:rsid w:val="00D279CF"/>
    <w:rsid w:val="00D27A48"/>
    <w:rsid w:val="00D27A70"/>
    <w:rsid w:val="00D27AC9"/>
    <w:rsid w:val="00D27B09"/>
    <w:rsid w:val="00D27B0F"/>
    <w:rsid w:val="00D27BCD"/>
    <w:rsid w:val="00D27BD2"/>
    <w:rsid w:val="00D27C40"/>
    <w:rsid w:val="00D27CA7"/>
    <w:rsid w:val="00D27CE7"/>
    <w:rsid w:val="00D27D20"/>
    <w:rsid w:val="00D27D7F"/>
    <w:rsid w:val="00D27DB1"/>
    <w:rsid w:val="00D27DC1"/>
    <w:rsid w:val="00D27DEC"/>
    <w:rsid w:val="00D27EDA"/>
    <w:rsid w:val="00D27F4E"/>
    <w:rsid w:val="00D27F8D"/>
    <w:rsid w:val="00D27FC9"/>
    <w:rsid w:val="00D27FE0"/>
    <w:rsid w:val="00D30048"/>
    <w:rsid w:val="00D300FC"/>
    <w:rsid w:val="00D3012A"/>
    <w:rsid w:val="00D301AA"/>
    <w:rsid w:val="00D301D5"/>
    <w:rsid w:val="00D30211"/>
    <w:rsid w:val="00D3026C"/>
    <w:rsid w:val="00D302D1"/>
    <w:rsid w:val="00D302E4"/>
    <w:rsid w:val="00D30323"/>
    <w:rsid w:val="00D303A1"/>
    <w:rsid w:val="00D303C8"/>
    <w:rsid w:val="00D303EE"/>
    <w:rsid w:val="00D303F0"/>
    <w:rsid w:val="00D3048F"/>
    <w:rsid w:val="00D304D4"/>
    <w:rsid w:val="00D3050F"/>
    <w:rsid w:val="00D30525"/>
    <w:rsid w:val="00D30565"/>
    <w:rsid w:val="00D30588"/>
    <w:rsid w:val="00D3058C"/>
    <w:rsid w:val="00D305AE"/>
    <w:rsid w:val="00D305B3"/>
    <w:rsid w:val="00D305DE"/>
    <w:rsid w:val="00D30607"/>
    <w:rsid w:val="00D30631"/>
    <w:rsid w:val="00D3065B"/>
    <w:rsid w:val="00D3065F"/>
    <w:rsid w:val="00D30682"/>
    <w:rsid w:val="00D30694"/>
    <w:rsid w:val="00D306C5"/>
    <w:rsid w:val="00D3070F"/>
    <w:rsid w:val="00D30725"/>
    <w:rsid w:val="00D3076E"/>
    <w:rsid w:val="00D307A9"/>
    <w:rsid w:val="00D307AC"/>
    <w:rsid w:val="00D307D9"/>
    <w:rsid w:val="00D30825"/>
    <w:rsid w:val="00D30839"/>
    <w:rsid w:val="00D3083D"/>
    <w:rsid w:val="00D3083F"/>
    <w:rsid w:val="00D30843"/>
    <w:rsid w:val="00D30863"/>
    <w:rsid w:val="00D30887"/>
    <w:rsid w:val="00D3089A"/>
    <w:rsid w:val="00D308C4"/>
    <w:rsid w:val="00D308FF"/>
    <w:rsid w:val="00D30917"/>
    <w:rsid w:val="00D3094E"/>
    <w:rsid w:val="00D3098D"/>
    <w:rsid w:val="00D309DD"/>
    <w:rsid w:val="00D309FE"/>
    <w:rsid w:val="00D30A0F"/>
    <w:rsid w:val="00D30A1B"/>
    <w:rsid w:val="00D30A24"/>
    <w:rsid w:val="00D30A70"/>
    <w:rsid w:val="00D30B00"/>
    <w:rsid w:val="00D30B54"/>
    <w:rsid w:val="00D30C0D"/>
    <w:rsid w:val="00D30C17"/>
    <w:rsid w:val="00D30C6C"/>
    <w:rsid w:val="00D30C79"/>
    <w:rsid w:val="00D30CD0"/>
    <w:rsid w:val="00D30CF0"/>
    <w:rsid w:val="00D30D12"/>
    <w:rsid w:val="00D30D9B"/>
    <w:rsid w:val="00D30DCC"/>
    <w:rsid w:val="00D30E24"/>
    <w:rsid w:val="00D30E26"/>
    <w:rsid w:val="00D30E3E"/>
    <w:rsid w:val="00D30EAB"/>
    <w:rsid w:val="00D30F9D"/>
    <w:rsid w:val="00D30FC9"/>
    <w:rsid w:val="00D31006"/>
    <w:rsid w:val="00D3105B"/>
    <w:rsid w:val="00D3105E"/>
    <w:rsid w:val="00D31070"/>
    <w:rsid w:val="00D310EA"/>
    <w:rsid w:val="00D31133"/>
    <w:rsid w:val="00D31137"/>
    <w:rsid w:val="00D31154"/>
    <w:rsid w:val="00D31192"/>
    <w:rsid w:val="00D3119C"/>
    <w:rsid w:val="00D311C7"/>
    <w:rsid w:val="00D3123A"/>
    <w:rsid w:val="00D31268"/>
    <w:rsid w:val="00D31314"/>
    <w:rsid w:val="00D31319"/>
    <w:rsid w:val="00D3133B"/>
    <w:rsid w:val="00D31354"/>
    <w:rsid w:val="00D3135E"/>
    <w:rsid w:val="00D31376"/>
    <w:rsid w:val="00D313A6"/>
    <w:rsid w:val="00D31430"/>
    <w:rsid w:val="00D31495"/>
    <w:rsid w:val="00D31496"/>
    <w:rsid w:val="00D314E7"/>
    <w:rsid w:val="00D31531"/>
    <w:rsid w:val="00D3159A"/>
    <w:rsid w:val="00D31610"/>
    <w:rsid w:val="00D3165F"/>
    <w:rsid w:val="00D31696"/>
    <w:rsid w:val="00D316AF"/>
    <w:rsid w:val="00D316D8"/>
    <w:rsid w:val="00D316FC"/>
    <w:rsid w:val="00D3172A"/>
    <w:rsid w:val="00D31742"/>
    <w:rsid w:val="00D3174A"/>
    <w:rsid w:val="00D31750"/>
    <w:rsid w:val="00D31778"/>
    <w:rsid w:val="00D3177A"/>
    <w:rsid w:val="00D317A0"/>
    <w:rsid w:val="00D317AC"/>
    <w:rsid w:val="00D31877"/>
    <w:rsid w:val="00D318DD"/>
    <w:rsid w:val="00D3190D"/>
    <w:rsid w:val="00D3192E"/>
    <w:rsid w:val="00D3194D"/>
    <w:rsid w:val="00D3198A"/>
    <w:rsid w:val="00D319A6"/>
    <w:rsid w:val="00D319BC"/>
    <w:rsid w:val="00D31A15"/>
    <w:rsid w:val="00D31A52"/>
    <w:rsid w:val="00D31A6C"/>
    <w:rsid w:val="00D31A86"/>
    <w:rsid w:val="00D31A9C"/>
    <w:rsid w:val="00D31B9D"/>
    <w:rsid w:val="00D31BB3"/>
    <w:rsid w:val="00D31BB6"/>
    <w:rsid w:val="00D31BDB"/>
    <w:rsid w:val="00D31C2F"/>
    <w:rsid w:val="00D31C92"/>
    <w:rsid w:val="00D31D1A"/>
    <w:rsid w:val="00D31D39"/>
    <w:rsid w:val="00D31D77"/>
    <w:rsid w:val="00D31D8C"/>
    <w:rsid w:val="00D31D94"/>
    <w:rsid w:val="00D31DA3"/>
    <w:rsid w:val="00D31DB7"/>
    <w:rsid w:val="00D31DF3"/>
    <w:rsid w:val="00D31E5C"/>
    <w:rsid w:val="00D31E61"/>
    <w:rsid w:val="00D31E6D"/>
    <w:rsid w:val="00D31E86"/>
    <w:rsid w:val="00D31E92"/>
    <w:rsid w:val="00D31EBA"/>
    <w:rsid w:val="00D31F18"/>
    <w:rsid w:val="00D32018"/>
    <w:rsid w:val="00D3202E"/>
    <w:rsid w:val="00D32047"/>
    <w:rsid w:val="00D3207D"/>
    <w:rsid w:val="00D320CB"/>
    <w:rsid w:val="00D321B3"/>
    <w:rsid w:val="00D321F4"/>
    <w:rsid w:val="00D3221B"/>
    <w:rsid w:val="00D3221E"/>
    <w:rsid w:val="00D3225F"/>
    <w:rsid w:val="00D32294"/>
    <w:rsid w:val="00D323AD"/>
    <w:rsid w:val="00D3243D"/>
    <w:rsid w:val="00D32446"/>
    <w:rsid w:val="00D3254C"/>
    <w:rsid w:val="00D32577"/>
    <w:rsid w:val="00D325EE"/>
    <w:rsid w:val="00D32614"/>
    <w:rsid w:val="00D3262F"/>
    <w:rsid w:val="00D32637"/>
    <w:rsid w:val="00D32682"/>
    <w:rsid w:val="00D326E4"/>
    <w:rsid w:val="00D3271E"/>
    <w:rsid w:val="00D32721"/>
    <w:rsid w:val="00D327F4"/>
    <w:rsid w:val="00D32862"/>
    <w:rsid w:val="00D32899"/>
    <w:rsid w:val="00D328AB"/>
    <w:rsid w:val="00D328C6"/>
    <w:rsid w:val="00D328D1"/>
    <w:rsid w:val="00D328EF"/>
    <w:rsid w:val="00D3293A"/>
    <w:rsid w:val="00D32958"/>
    <w:rsid w:val="00D3295D"/>
    <w:rsid w:val="00D3296F"/>
    <w:rsid w:val="00D329A4"/>
    <w:rsid w:val="00D329DA"/>
    <w:rsid w:val="00D32A11"/>
    <w:rsid w:val="00D32A17"/>
    <w:rsid w:val="00D32A19"/>
    <w:rsid w:val="00D32A4C"/>
    <w:rsid w:val="00D32A53"/>
    <w:rsid w:val="00D32A99"/>
    <w:rsid w:val="00D32AB7"/>
    <w:rsid w:val="00D32AF5"/>
    <w:rsid w:val="00D32B29"/>
    <w:rsid w:val="00D32B63"/>
    <w:rsid w:val="00D32BE3"/>
    <w:rsid w:val="00D32C39"/>
    <w:rsid w:val="00D32C6F"/>
    <w:rsid w:val="00D32C72"/>
    <w:rsid w:val="00D32CAF"/>
    <w:rsid w:val="00D32CDC"/>
    <w:rsid w:val="00D32CDD"/>
    <w:rsid w:val="00D32CF0"/>
    <w:rsid w:val="00D32D02"/>
    <w:rsid w:val="00D32D81"/>
    <w:rsid w:val="00D32D8B"/>
    <w:rsid w:val="00D32DE5"/>
    <w:rsid w:val="00D32E0E"/>
    <w:rsid w:val="00D32E6E"/>
    <w:rsid w:val="00D32F23"/>
    <w:rsid w:val="00D32F6D"/>
    <w:rsid w:val="00D32F8A"/>
    <w:rsid w:val="00D33048"/>
    <w:rsid w:val="00D33052"/>
    <w:rsid w:val="00D3308C"/>
    <w:rsid w:val="00D330BD"/>
    <w:rsid w:val="00D330BF"/>
    <w:rsid w:val="00D330CA"/>
    <w:rsid w:val="00D330EB"/>
    <w:rsid w:val="00D33122"/>
    <w:rsid w:val="00D331CD"/>
    <w:rsid w:val="00D3320A"/>
    <w:rsid w:val="00D332B2"/>
    <w:rsid w:val="00D332BE"/>
    <w:rsid w:val="00D332DC"/>
    <w:rsid w:val="00D332DE"/>
    <w:rsid w:val="00D333BE"/>
    <w:rsid w:val="00D333C4"/>
    <w:rsid w:val="00D333DA"/>
    <w:rsid w:val="00D333E9"/>
    <w:rsid w:val="00D33480"/>
    <w:rsid w:val="00D33494"/>
    <w:rsid w:val="00D334D9"/>
    <w:rsid w:val="00D334DC"/>
    <w:rsid w:val="00D334E6"/>
    <w:rsid w:val="00D334ED"/>
    <w:rsid w:val="00D334F3"/>
    <w:rsid w:val="00D33512"/>
    <w:rsid w:val="00D33551"/>
    <w:rsid w:val="00D33599"/>
    <w:rsid w:val="00D335AD"/>
    <w:rsid w:val="00D335C7"/>
    <w:rsid w:val="00D335CA"/>
    <w:rsid w:val="00D3363A"/>
    <w:rsid w:val="00D336C3"/>
    <w:rsid w:val="00D3377A"/>
    <w:rsid w:val="00D337CB"/>
    <w:rsid w:val="00D337D4"/>
    <w:rsid w:val="00D337E1"/>
    <w:rsid w:val="00D337F4"/>
    <w:rsid w:val="00D33829"/>
    <w:rsid w:val="00D33838"/>
    <w:rsid w:val="00D3386A"/>
    <w:rsid w:val="00D33877"/>
    <w:rsid w:val="00D33933"/>
    <w:rsid w:val="00D33959"/>
    <w:rsid w:val="00D339A5"/>
    <w:rsid w:val="00D33A52"/>
    <w:rsid w:val="00D33B48"/>
    <w:rsid w:val="00D33B4C"/>
    <w:rsid w:val="00D33B8B"/>
    <w:rsid w:val="00D33BBA"/>
    <w:rsid w:val="00D33BC5"/>
    <w:rsid w:val="00D33BE7"/>
    <w:rsid w:val="00D33C73"/>
    <w:rsid w:val="00D33C85"/>
    <w:rsid w:val="00D33D02"/>
    <w:rsid w:val="00D33D08"/>
    <w:rsid w:val="00D33EF7"/>
    <w:rsid w:val="00D33EF9"/>
    <w:rsid w:val="00D33F55"/>
    <w:rsid w:val="00D3400D"/>
    <w:rsid w:val="00D34019"/>
    <w:rsid w:val="00D340AB"/>
    <w:rsid w:val="00D340D9"/>
    <w:rsid w:val="00D34119"/>
    <w:rsid w:val="00D34146"/>
    <w:rsid w:val="00D34282"/>
    <w:rsid w:val="00D34298"/>
    <w:rsid w:val="00D342E4"/>
    <w:rsid w:val="00D342EE"/>
    <w:rsid w:val="00D342FF"/>
    <w:rsid w:val="00D3431D"/>
    <w:rsid w:val="00D34347"/>
    <w:rsid w:val="00D343A9"/>
    <w:rsid w:val="00D343C4"/>
    <w:rsid w:val="00D343D2"/>
    <w:rsid w:val="00D343D5"/>
    <w:rsid w:val="00D343D7"/>
    <w:rsid w:val="00D3447C"/>
    <w:rsid w:val="00D344A3"/>
    <w:rsid w:val="00D344E4"/>
    <w:rsid w:val="00D34557"/>
    <w:rsid w:val="00D34590"/>
    <w:rsid w:val="00D345C9"/>
    <w:rsid w:val="00D34611"/>
    <w:rsid w:val="00D3464B"/>
    <w:rsid w:val="00D34688"/>
    <w:rsid w:val="00D3470A"/>
    <w:rsid w:val="00D34743"/>
    <w:rsid w:val="00D3475E"/>
    <w:rsid w:val="00D34761"/>
    <w:rsid w:val="00D34789"/>
    <w:rsid w:val="00D347A4"/>
    <w:rsid w:val="00D3480E"/>
    <w:rsid w:val="00D34871"/>
    <w:rsid w:val="00D34878"/>
    <w:rsid w:val="00D3488E"/>
    <w:rsid w:val="00D348FD"/>
    <w:rsid w:val="00D3490B"/>
    <w:rsid w:val="00D3495F"/>
    <w:rsid w:val="00D3497C"/>
    <w:rsid w:val="00D349A7"/>
    <w:rsid w:val="00D349C4"/>
    <w:rsid w:val="00D349E4"/>
    <w:rsid w:val="00D34A5A"/>
    <w:rsid w:val="00D34A77"/>
    <w:rsid w:val="00D34A93"/>
    <w:rsid w:val="00D34A98"/>
    <w:rsid w:val="00D34A9D"/>
    <w:rsid w:val="00D34AD2"/>
    <w:rsid w:val="00D34B16"/>
    <w:rsid w:val="00D34B50"/>
    <w:rsid w:val="00D34BE3"/>
    <w:rsid w:val="00D34BFD"/>
    <w:rsid w:val="00D34C49"/>
    <w:rsid w:val="00D34C5D"/>
    <w:rsid w:val="00D34CD8"/>
    <w:rsid w:val="00D34CF4"/>
    <w:rsid w:val="00D34D54"/>
    <w:rsid w:val="00D34D69"/>
    <w:rsid w:val="00D34DAA"/>
    <w:rsid w:val="00D34DF5"/>
    <w:rsid w:val="00D34E11"/>
    <w:rsid w:val="00D34E79"/>
    <w:rsid w:val="00D34EA0"/>
    <w:rsid w:val="00D34ECE"/>
    <w:rsid w:val="00D34F87"/>
    <w:rsid w:val="00D34FA1"/>
    <w:rsid w:val="00D34FAA"/>
    <w:rsid w:val="00D34FCA"/>
    <w:rsid w:val="00D34FFD"/>
    <w:rsid w:val="00D3501C"/>
    <w:rsid w:val="00D3509E"/>
    <w:rsid w:val="00D350F6"/>
    <w:rsid w:val="00D350FF"/>
    <w:rsid w:val="00D35126"/>
    <w:rsid w:val="00D351B4"/>
    <w:rsid w:val="00D35211"/>
    <w:rsid w:val="00D3524E"/>
    <w:rsid w:val="00D3528E"/>
    <w:rsid w:val="00D352B6"/>
    <w:rsid w:val="00D352C3"/>
    <w:rsid w:val="00D352DB"/>
    <w:rsid w:val="00D352DF"/>
    <w:rsid w:val="00D352F0"/>
    <w:rsid w:val="00D3538D"/>
    <w:rsid w:val="00D353A0"/>
    <w:rsid w:val="00D3541F"/>
    <w:rsid w:val="00D3542C"/>
    <w:rsid w:val="00D35444"/>
    <w:rsid w:val="00D3546B"/>
    <w:rsid w:val="00D354C2"/>
    <w:rsid w:val="00D35505"/>
    <w:rsid w:val="00D3552C"/>
    <w:rsid w:val="00D35562"/>
    <w:rsid w:val="00D35583"/>
    <w:rsid w:val="00D35615"/>
    <w:rsid w:val="00D35627"/>
    <w:rsid w:val="00D35684"/>
    <w:rsid w:val="00D356B8"/>
    <w:rsid w:val="00D356C6"/>
    <w:rsid w:val="00D35728"/>
    <w:rsid w:val="00D3574F"/>
    <w:rsid w:val="00D35757"/>
    <w:rsid w:val="00D35772"/>
    <w:rsid w:val="00D3581C"/>
    <w:rsid w:val="00D3582E"/>
    <w:rsid w:val="00D35846"/>
    <w:rsid w:val="00D3584A"/>
    <w:rsid w:val="00D35868"/>
    <w:rsid w:val="00D35874"/>
    <w:rsid w:val="00D35877"/>
    <w:rsid w:val="00D3588E"/>
    <w:rsid w:val="00D358DD"/>
    <w:rsid w:val="00D35975"/>
    <w:rsid w:val="00D35979"/>
    <w:rsid w:val="00D35989"/>
    <w:rsid w:val="00D359AE"/>
    <w:rsid w:val="00D359FB"/>
    <w:rsid w:val="00D359FD"/>
    <w:rsid w:val="00D35A70"/>
    <w:rsid w:val="00D35A79"/>
    <w:rsid w:val="00D35AEC"/>
    <w:rsid w:val="00D35B0F"/>
    <w:rsid w:val="00D35B44"/>
    <w:rsid w:val="00D35B57"/>
    <w:rsid w:val="00D35B6F"/>
    <w:rsid w:val="00D35C09"/>
    <w:rsid w:val="00D35C68"/>
    <w:rsid w:val="00D35C83"/>
    <w:rsid w:val="00D35D09"/>
    <w:rsid w:val="00D35D23"/>
    <w:rsid w:val="00D35D6F"/>
    <w:rsid w:val="00D35E4A"/>
    <w:rsid w:val="00D35E51"/>
    <w:rsid w:val="00D35E80"/>
    <w:rsid w:val="00D35E96"/>
    <w:rsid w:val="00D35E9E"/>
    <w:rsid w:val="00D35EA4"/>
    <w:rsid w:val="00D35EC9"/>
    <w:rsid w:val="00D35EF7"/>
    <w:rsid w:val="00D35F0F"/>
    <w:rsid w:val="00D35F23"/>
    <w:rsid w:val="00D35F5F"/>
    <w:rsid w:val="00D35F75"/>
    <w:rsid w:val="00D35F8D"/>
    <w:rsid w:val="00D35FEC"/>
    <w:rsid w:val="00D3603B"/>
    <w:rsid w:val="00D3609E"/>
    <w:rsid w:val="00D360CE"/>
    <w:rsid w:val="00D360F4"/>
    <w:rsid w:val="00D3614A"/>
    <w:rsid w:val="00D361BC"/>
    <w:rsid w:val="00D361E4"/>
    <w:rsid w:val="00D362CF"/>
    <w:rsid w:val="00D36306"/>
    <w:rsid w:val="00D3632B"/>
    <w:rsid w:val="00D3637A"/>
    <w:rsid w:val="00D363E6"/>
    <w:rsid w:val="00D3645A"/>
    <w:rsid w:val="00D364A4"/>
    <w:rsid w:val="00D364C5"/>
    <w:rsid w:val="00D364C8"/>
    <w:rsid w:val="00D36513"/>
    <w:rsid w:val="00D36593"/>
    <w:rsid w:val="00D365C5"/>
    <w:rsid w:val="00D3661F"/>
    <w:rsid w:val="00D36637"/>
    <w:rsid w:val="00D3664B"/>
    <w:rsid w:val="00D3664E"/>
    <w:rsid w:val="00D3667C"/>
    <w:rsid w:val="00D36687"/>
    <w:rsid w:val="00D366BF"/>
    <w:rsid w:val="00D366D4"/>
    <w:rsid w:val="00D366E1"/>
    <w:rsid w:val="00D366F3"/>
    <w:rsid w:val="00D3670D"/>
    <w:rsid w:val="00D36775"/>
    <w:rsid w:val="00D36796"/>
    <w:rsid w:val="00D367B6"/>
    <w:rsid w:val="00D367F7"/>
    <w:rsid w:val="00D36870"/>
    <w:rsid w:val="00D368AA"/>
    <w:rsid w:val="00D368CA"/>
    <w:rsid w:val="00D368D1"/>
    <w:rsid w:val="00D36930"/>
    <w:rsid w:val="00D36981"/>
    <w:rsid w:val="00D36A44"/>
    <w:rsid w:val="00D36A9C"/>
    <w:rsid w:val="00D36AEF"/>
    <w:rsid w:val="00D36B19"/>
    <w:rsid w:val="00D36B1D"/>
    <w:rsid w:val="00D36B29"/>
    <w:rsid w:val="00D36B88"/>
    <w:rsid w:val="00D36B98"/>
    <w:rsid w:val="00D36C4A"/>
    <w:rsid w:val="00D36C89"/>
    <w:rsid w:val="00D36C9C"/>
    <w:rsid w:val="00D36D07"/>
    <w:rsid w:val="00D36D26"/>
    <w:rsid w:val="00D36D2C"/>
    <w:rsid w:val="00D36D9C"/>
    <w:rsid w:val="00D36DBD"/>
    <w:rsid w:val="00D36DD5"/>
    <w:rsid w:val="00D36DEC"/>
    <w:rsid w:val="00D36E91"/>
    <w:rsid w:val="00D36E93"/>
    <w:rsid w:val="00D36EA0"/>
    <w:rsid w:val="00D36F3B"/>
    <w:rsid w:val="00D36FAE"/>
    <w:rsid w:val="00D36FCA"/>
    <w:rsid w:val="00D36FD2"/>
    <w:rsid w:val="00D3703A"/>
    <w:rsid w:val="00D37081"/>
    <w:rsid w:val="00D370DD"/>
    <w:rsid w:val="00D37138"/>
    <w:rsid w:val="00D371F3"/>
    <w:rsid w:val="00D37242"/>
    <w:rsid w:val="00D37264"/>
    <w:rsid w:val="00D372CD"/>
    <w:rsid w:val="00D37375"/>
    <w:rsid w:val="00D37386"/>
    <w:rsid w:val="00D373BF"/>
    <w:rsid w:val="00D373FE"/>
    <w:rsid w:val="00D37460"/>
    <w:rsid w:val="00D37471"/>
    <w:rsid w:val="00D3748D"/>
    <w:rsid w:val="00D37523"/>
    <w:rsid w:val="00D375D7"/>
    <w:rsid w:val="00D375E8"/>
    <w:rsid w:val="00D375EC"/>
    <w:rsid w:val="00D37651"/>
    <w:rsid w:val="00D37654"/>
    <w:rsid w:val="00D3772D"/>
    <w:rsid w:val="00D37757"/>
    <w:rsid w:val="00D37772"/>
    <w:rsid w:val="00D377AC"/>
    <w:rsid w:val="00D377CF"/>
    <w:rsid w:val="00D377DB"/>
    <w:rsid w:val="00D37826"/>
    <w:rsid w:val="00D37837"/>
    <w:rsid w:val="00D3783E"/>
    <w:rsid w:val="00D37879"/>
    <w:rsid w:val="00D3794D"/>
    <w:rsid w:val="00D3796B"/>
    <w:rsid w:val="00D379AE"/>
    <w:rsid w:val="00D379BA"/>
    <w:rsid w:val="00D379D7"/>
    <w:rsid w:val="00D37A8B"/>
    <w:rsid w:val="00D37AB2"/>
    <w:rsid w:val="00D37AE0"/>
    <w:rsid w:val="00D37AE8"/>
    <w:rsid w:val="00D37B22"/>
    <w:rsid w:val="00D37B3A"/>
    <w:rsid w:val="00D37B4A"/>
    <w:rsid w:val="00D37B53"/>
    <w:rsid w:val="00D37B61"/>
    <w:rsid w:val="00D37B92"/>
    <w:rsid w:val="00D37BB7"/>
    <w:rsid w:val="00D37BD0"/>
    <w:rsid w:val="00D37BEB"/>
    <w:rsid w:val="00D37C93"/>
    <w:rsid w:val="00D37C94"/>
    <w:rsid w:val="00D37CCE"/>
    <w:rsid w:val="00D37CE4"/>
    <w:rsid w:val="00D37D8B"/>
    <w:rsid w:val="00D37DC3"/>
    <w:rsid w:val="00D37DD0"/>
    <w:rsid w:val="00D37DFE"/>
    <w:rsid w:val="00D37E61"/>
    <w:rsid w:val="00D37F4E"/>
    <w:rsid w:val="00D37F5B"/>
    <w:rsid w:val="00D37F7B"/>
    <w:rsid w:val="00D4001A"/>
    <w:rsid w:val="00D40092"/>
    <w:rsid w:val="00D40099"/>
    <w:rsid w:val="00D400AA"/>
    <w:rsid w:val="00D400AC"/>
    <w:rsid w:val="00D400EE"/>
    <w:rsid w:val="00D401B8"/>
    <w:rsid w:val="00D401DB"/>
    <w:rsid w:val="00D401EB"/>
    <w:rsid w:val="00D4021E"/>
    <w:rsid w:val="00D4028A"/>
    <w:rsid w:val="00D402B3"/>
    <w:rsid w:val="00D4030B"/>
    <w:rsid w:val="00D4033F"/>
    <w:rsid w:val="00D4034F"/>
    <w:rsid w:val="00D40368"/>
    <w:rsid w:val="00D403DB"/>
    <w:rsid w:val="00D403DE"/>
    <w:rsid w:val="00D403EB"/>
    <w:rsid w:val="00D403F0"/>
    <w:rsid w:val="00D40444"/>
    <w:rsid w:val="00D404AD"/>
    <w:rsid w:val="00D404D6"/>
    <w:rsid w:val="00D4051D"/>
    <w:rsid w:val="00D40529"/>
    <w:rsid w:val="00D4053B"/>
    <w:rsid w:val="00D40549"/>
    <w:rsid w:val="00D40560"/>
    <w:rsid w:val="00D405B5"/>
    <w:rsid w:val="00D405B6"/>
    <w:rsid w:val="00D4065F"/>
    <w:rsid w:val="00D40682"/>
    <w:rsid w:val="00D406A4"/>
    <w:rsid w:val="00D406CD"/>
    <w:rsid w:val="00D406FA"/>
    <w:rsid w:val="00D40769"/>
    <w:rsid w:val="00D4082B"/>
    <w:rsid w:val="00D4086B"/>
    <w:rsid w:val="00D40905"/>
    <w:rsid w:val="00D40969"/>
    <w:rsid w:val="00D40980"/>
    <w:rsid w:val="00D409C3"/>
    <w:rsid w:val="00D40A1E"/>
    <w:rsid w:val="00D40A58"/>
    <w:rsid w:val="00D40A7D"/>
    <w:rsid w:val="00D40A7F"/>
    <w:rsid w:val="00D40A8C"/>
    <w:rsid w:val="00D40A97"/>
    <w:rsid w:val="00D40ADA"/>
    <w:rsid w:val="00D40AEC"/>
    <w:rsid w:val="00D40B7B"/>
    <w:rsid w:val="00D40B9A"/>
    <w:rsid w:val="00D40B9D"/>
    <w:rsid w:val="00D40C09"/>
    <w:rsid w:val="00D40D04"/>
    <w:rsid w:val="00D40D17"/>
    <w:rsid w:val="00D40D23"/>
    <w:rsid w:val="00D40D48"/>
    <w:rsid w:val="00D40D7B"/>
    <w:rsid w:val="00D40DA9"/>
    <w:rsid w:val="00D40E19"/>
    <w:rsid w:val="00D40E31"/>
    <w:rsid w:val="00D40E72"/>
    <w:rsid w:val="00D40EED"/>
    <w:rsid w:val="00D40F53"/>
    <w:rsid w:val="00D40F84"/>
    <w:rsid w:val="00D40FBE"/>
    <w:rsid w:val="00D40FC4"/>
    <w:rsid w:val="00D40FFC"/>
    <w:rsid w:val="00D40FFD"/>
    <w:rsid w:val="00D4102D"/>
    <w:rsid w:val="00D41061"/>
    <w:rsid w:val="00D4111B"/>
    <w:rsid w:val="00D41191"/>
    <w:rsid w:val="00D411F8"/>
    <w:rsid w:val="00D41221"/>
    <w:rsid w:val="00D41288"/>
    <w:rsid w:val="00D412AA"/>
    <w:rsid w:val="00D412AC"/>
    <w:rsid w:val="00D412E0"/>
    <w:rsid w:val="00D41323"/>
    <w:rsid w:val="00D41350"/>
    <w:rsid w:val="00D41382"/>
    <w:rsid w:val="00D413D5"/>
    <w:rsid w:val="00D413ED"/>
    <w:rsid w:val="00D4140C"/>
    <w:rsid w:val="00D41421"/>
    <w:rsid w:val="00D41634"/>
    <w:rsid w:val="00D41669"/>
    <w:rsid w:val="00D4167C"/>
    <w:rsid w:val="00D4173E"/>
    <w:rsid w:val="00D41749"/>
    <w:rsid w:val="00D41775"/>
    <w:rsid w:val="00D417C1"/>
    <w:rsid w:val="00D417E8"/>
    <w:rsid w:val="00D41841"/>
    <w:rsid w:val="00D4184E"/>
    <w:rsid w:val="00D41854"/>
    <w:rsid w:val="00D4193E"/>
    <w:rsid w:val="00D4196B"/>
    <w:rsid w:val="00D41972"/>
    <w:rsid w:val="00D419BF"/>
    <w:rsid w:val="00D419D6"/>
    <w:rsid w:val="00D41A20"/>
    <w:rsid w:val="00D41A57"/>
    <w:rsid w:val="00D41A61"/>
    <w:rsid w:val="00D41A99"/>
    <w:rsid w:val="00D41AE1"/>
    <w:rsid w:val="00D41B3A"/>
    <w:rsid w:val="00D41B95"/>
    <w:rsid w:val="00D41BA8"/>
    <w:rsid w:val="00D41C17"/>
    <w:rsid w:val="00D41C36"/>
    <w:rsid w:val="00D41C80"/>
    <w:rsid w:val="00D41CAD"/>
    <w:rsid w:val="00D41CB3"/>
    <w:rsid w:val="00D41CC0"/>
    <w:rsid w:val="00D41CD6"/>
    <w:rsid w:val="00D41CE9"/>
    <w:rsid w:val="00D41D03"/>
    <w:rsid w:val="00D41D13"/>
    <w:rsid w:val="00D41D8C"/>
    <w:rsid w:val="00D41D8D"/>
    <w:rsid w:val="00D41E2A"/>
    <w:rsid w:val="00D41E4C"/>
    <w:rsid w:val="00D41E89"/>
    <w:rsid w:val="00D41E93"/>
    <w:rsid w:val="00D41E97"/>
    <w:rsid w:val="00D41EB8"/>
    <w:rsid w:val="00D41F54"/>
    <w:rsid w:val="00D41F59"/>
    <w:rsid w:val="00D41F7B"/>
    <w:rsid w:val="00D42004"/>
    <w:rsid w:val="00D4201D"/>
    <w:rsid w:val="00D42062"/>
    <w:rsid w:val="00D42064"/>
    <w:rsid w:val="00D420C0"/>
    <w:rsid w:val="00D420CB"/>
    <w:rsid w:val="00D420D7"/>
    <w:rsid w:val="00D420FE"/>
    <w:rsid w:val="00D42121"/>
    <w:rsid w:val="00D421DE"/>
    <w:rsid w:val="00D42270"/>
    <w:rsid w:val="00D42275"/>
    <w:rsid w:val="00D422BC"/>
    <w:rsid w:val="00D42339"/>
    <w:rsid w:val="00D42347"/>
    <w:rsid w:val="00D423B7"/>
    <w:rsid w:val="00D42428"/>
    <w:rsid w:val="00D42488"/>
    <w:rsid w:val="00D424C6"/>
    <w:rsid w:val="00D424E9"/>
    <w:rsid w:val="00D424EB"/>
    <w:rsid w:val="00D424FA"/>
    <w:rsid w:val="00D4252E"/>
    <w:rsid w:val="00D42567"/>
    <w:rsid w:val="00D425A9"/>
    <w:rsid w:val="00D425F8"/>
    <w:rsid w:val="00D4261F"/>
    <w:rsid w:val="00D4264D"/>
    <w:rsid w:val="00D42667"/>
    <w:rsid w:val="00D42696"/>
    <w:rsid w:val="00D426E0"/>
    <w:rsid w:val="00D42726"/>
    <w:rsid w:val="00D42750"/>
    <w:rsid w:val="00D4278D"/>
    <w:rsid w:val="00D4279A"/>
    <w:rsid w:val="00D427BB"/>
    <w:rsid w:val="00D427CF"/>
    <w:rsid w:val="00D427E9"/>
    <w:rsid w:val="00D427FF"/>
    <w:rsid w:val="00D4280F"/>
    <w:rsid w:val="00D42819"/>
    <w:rsid w:val="00D42861"/>
    <w:rsid w:val="00D428BA"/>
    <w:rsid w:val="00D428C9"/>
    <w:rsid w:val="00D428DC"/>
    <w:rsid w:val="00D429C6"/>
    <w:rsid w:val="00D42A3D"/>
    <w:rsid w:val="00D42A88"/>
    <w:rsid w:val="00D42AB2"/>
    <w:rsid w:val="00D42ABB"/>
    <w:rsid w:val="00D42AEC"/>
    <w:rsid w:val="00D42B3D"/>
    <w:rsid w:val="00D42B55"/>
    <w:rsid w:val="00D42B87"/>
    <w:rsid w:val="00D42B8B"/>
    <w:rsid w:val="00D42BE1"/>
    <w:rsid w:val="00D42C04"/>
    <w:rsid w:val="00D42C3F"/>
    <w:rsid w:val="00D42C5E"/>
    <w:rsid w:val="00D42C6A"/>
    <w:rsid w:val="00D42C82"/>
    <w:rsid w:val="00D42C83"/>
    <w:rsid w:val="00D42D0B"/>
    <w:rsid w:val="00D42D1D"/>
    <w:rsid w:val="00D42D57"/>
    <w:rsid w:val="00D42DA3"/>
    <w:rsid w:val="00D42DFD"/>
    <w:rsid w:val="00D42E24"/>
    <w:rsid w:val="00D42EB1"/>
    <w:rsid w:val="00D42EB2"/>
    <w:rsid w:val="00D42EEE"/>
    <w:rsid w:val="00D42EFC"/>
    <w:rsid w:val="00D42F4C"/>
    <w:rsid w:val="00D42F5D"/>
    <w:rsid w:val="00D42F77"/>
    <w:rsid w:val="00D42F92"/>
    <w:rsid w:val="00D43051"/>
    <w:rsid w:val="00D43083"/>
    <w:rsid w:val="00D43087"/>
    <w:rsid w:val="00D4309D"/>
    <w:rsid w:val="00D43116"/>
    <w:rsid w:val="00D4311E"/>
    <w:rsid w:val="00D43132"/>
    <w:rsid w:val="00D43137"/>
    <w:rsid w:val="00D431FB"/>
    <w:rsid w:val="00D431FD"/>
    <w:rsid w:val="00D4322E"/>
    <w:rsid w:val="00D4325F"/>
    <w:rsid w:val="00D432B2"/>
    <w:rsid w:val="00D432BF"/>
    <w:rsid w:val="00D432C1"/>
    <w:rsid w:val="00D432FB"/>
    <w:rsid w:val="00D4333C"/>
    <w:rsid w:val="00D43342"/>
    <w:rsid w:val="00D43357"/>
    <w:rsid w:val="00D43365"/>
    <w:rsid w:val="00D43397"/>
    <w:rsid w:val="00D433BB"/>
    <w:rsid w:val="00D433D3"/>
    <w:rsid w:val="00D43426"/>
    <w:rsid w:val="00D43432"/>
    <w:rsid w:val="00D43439"/>
    <w:rsid w:val="00D4344A"/>
    <w:rsid w:val="00D434DC"/>
    <w:rsid w:val="00D43501"/>
    <w:rsid w:val="00D43525"/>
    <w:rsid w:val="00D435A4"/>
    <w:rsid w:val="00D435B6"/>
    <w:rsid w:val="00D4363A"/>
    <w:rsid w:val="00D4363C"/>
    <w:rsid w:val="00D4364E"/>
    <w:rsid w:val="00D4367A"/>
    <w:rsid w:val="00D4368C"/>
    <w:rsid w:val="00D436B3"/>
    <w:rsid w:val="00D436D6"/>
    <w:rsid w:val="00D43730"/>
    <w:rsid w:val="00D4374E"/>
    <w:rsid w:val="00D43764"/>
    <w:rsid w:val="00D43779"/>
    <w:rsid w:val="00D437C6"/>
    <w:rsid w:val="00D43825"/>
    <w:rsid w:val="00D438F1"/>
    <w:rsid w:val="00D4391A"/>
    <w:rsid w:val="00D43953"/>
    <w:rsid w:val="00D439B7"/>
    <w:rsid w:val="00D439E4"/>
    <w:rsid w:val="00D439FF"/>
    <w:rsid w:val="00D43A00"/>
    <w:rsid w:val="00D43A14"/>
    <w:rsid w:val="00D43AE3"/>
    <w:rsid w:val="00D43B45"/>
    <w:rsid w:val="00D43B5D"/>
    <w:rsid w:val="00D43B6A"/>
    <w:rsid w:val="00D43B84"/>
    <w:rsid w:val="00D43BA1"/>
    <w:rsid w:val="00D43BAA"/>
    <w:rsid w:val="00D43BF0"/>
    <w:rsid w:val="00D43C13"/>
    <w:rsid w:val="00D43CBB"/>
    <w:rsid w:val="00D43CCE"/>
    <w:rsid w:val="00D43D16"/>
    <w:rsid w:val="00D43D5F"/>
    <w:rsid w:val="00D43D6A"/>
    <w:rsid w:val="00D43DCB"/>
    <w:rsid w:val="00D43E01"/>
    <w:rsid w:val="00D43E0A"/>
    <w:rsid w:val="00D43E5D"/>
    <w:rsid w:val="00D43E94"/>
    <w:rsid w:val="00D43F57"/>
    <w:rsid w:val="00D43F7E"/>
    <w:rsid w:val="00D43FBA"/>
    <w:rsid w:val="00D43FBB"/>
    <w:rsid w:val="00D43FD6"/>
    <w:rsid w:val="00D43FEC"/>
    <w:rsid w:val="00D4401C"/>
    <w:rsid w:val="00D4401E"/>
    <w:rsid w:val="00D4403C"/>
    <w:rsid w:val="00D44081"/>
    <w:rsid w:val="00D440A6"/>
    <w:rsid w:val="00D440F9"/>
    <w:rsid w:val="00D4410E"/>
    <w:rsid w:val="00D4411D"/>
    <w:rsid w:val="00D44199"/>
    <w:rsid w:val="00D441BE"/>
    <w:rsid w:val="00D4420B"/>
    <w:rsid w:val="00D44262"/>
    <w:rsid w:val="00D44284"/>
    <w:rsid w:val="00D4428D"/>
    <w:rsid w:val="00D442A8"/>
    <w:rsid w:val="00D442F3"/>
    <w:rsid w:val="00D44301"/>
    <w:rsid w:val="00D4436A"/>
    <w:rsid w:val="00D44387"/>
    <w:rsid w:val="00D443DA"/>
    <w:rsid w:val="00D4442B"/>
    <w:rsid w:val="00D4446B"/>
    <w:rsid w:val="00D44471"/>
    <w:rsid w:val="00D444BB"/>
    <w:rsid w:val="00D4450F"/>
    <w:rsid w:val="00D44514"/>
    <w:rsid w:val="00D4454B"/>
    <w:rsid w:val="00D445B3"/>
    <w:rsid w:val="00D445E3"/>
    <w:rsid w:val="00D44699"/>
    <w:rsid w:val="00D446D0"/>
    <w:rsid w:val="00D44745"/>
    <w:rsid w:val="00D44749"/>
    <w:rsid w:val="00D4475A"/>
    <w:rsid w:val="00D44764"/>
    <w:rsid w:val="00D4476E"/>
    <w:rsid w:val="00D4478B"/>
    <w:rsid w:val="00D447C2"/>
    <w:rsid w:val="00D447CE"/>
    <w:rsid w:val="00D447ED"/>
    <w:rsid w:val="00D44807"/>
    <w:rsid w:val="00D44814"/>
    <w:rsid w:val="00D44829"/>
    <w:rsid w:val="00D4486B"/>
    <w:rsid w:val="00D44885"/>
    <w:rsid w:val="00D448BE"/>
    <w:rsid w:val="00D448C8"/>
    <w:rsid w:val="00D448FA"/>
    <w:rsid w:val="00D44916"/>
    <w:rsid w:val="00D449BD"/>
    <w:rsid w:val="00D44A1B"/>
    <w:rsid w:val="00D44A86"/>
    <w:rsid w:val="00D44AD5"/>
    <w:rsid w:val="00D44AEE"/>
    <w:rsid w:val="00D44AEF"/>
    <w:rsid w:val="00D44B5D"/>
    <w:rsid w:val="00D44BD2"/>
    <w:rsid w:val="00D44C58"/>
    <w:rsid w:val="00D44C74"/>
    <w:rsid w:val="00D44CB5"/>
    <w:rsid w:val="00D44CBE"/>
    <w:rsid w:val="00D44D59"/>
    <w:rsid w:val="00D44D77"/>
    <w:rsid w:val="00D44DB0"/>
    <w:rsid w:val="00D44EC3"/>
    <w:rsid w:val="00D44EDB"/>
    <w:rsid w:val="00D44EFC"/>
    <w:rsid w:val="00D44F18"/>
    <w:rsid w:val="00D44F43"/>
    <w:rsid w:val="00D44F8B"/>
    <w:rsid w:val="00D44F92"/>
    <w:rsid w:val="00D44F9F"/>
    <w:rsid w:val="00D44FC7"/>
    <w:rsid w:val="00D45004"/>
    <w:rsid w:val="00D4502C"/>
    <w:rsid w:val="00D4512C"/>
    <w:rsid w:val="00D45165"/>
    <w:rsid w:val="00D4516B"/>
    <w:rsid w:val="00D45179"/>
    <w:rsid w:val="00D451B0"/>
    <w:rsid w:val="00D451B4"/>
    <w:rsid w:val="00D451BD"/>
    <w:rsid w:val="00D451F4"/>
    <w:rsid w:val="00D45215"/>
    <w:rsid w:val="00D45235"/>
    <w:rsid w:val="00D45240"/>
    <w:rsid w:val="00D45247"/>
    <w:rsid w:val="00D45250"/>
    <w:rsid w:val="00D45261"/>
    <w:rsid w:val="00D45284"/>
    <w:rsid w:val="00D4529D"/>
    <w:rsid w:val="00D452AC"/>
    <w:rsid w:val="00D4538F"/>
    <w:rsid w:val="00D45397"/>
    <w:rsid w:val="00D453C7"/>
    <w:rsid w:val="00D4541D"/>
    <w:rsid w:val="00D45443"/>
    <w:rsid w:val="00D454B6"/>
    <w:rsid w:val="00D454C7"/>
    <w:rsid w:val="00D45530"/>
    <w:rsid w:val="00D45568"/>
    <w:rsid w:val="00D4559C"/>
    <w:rsid w:val="00D455F0"/>
    <w:rsid w:val="00D4560B"/>
    <w:rsid w:val="00D45627"/>
    <w:rsid w:val="00D45677"/>
    <w:rsid w:val="00D456C9"/>
    <w:rsid w:val="00D456DD"/>
    <w:rsid w:val="00D456E4"/>
    <w:rsid w:val="00D456F5"/>
    <w:rsid w:val="00D4571F"/>
    <w:rsid w:val="00D4573D"/>
    <w:rsid w:val="00D45758"/>
    <w:rsid w:val="00D457D9"/>
    <w:rsid w:val="00D45805"/>
    <w:rsid w:val="00D4584F"/>
    <w:rsid w:val="00D45871"/>
    <w:rsid w:val="00D45898"/>
    <w:rsid w:val="00D458CA"/>
    <w:rsid w:val="00D458D6"/>
    <w:rsid w:val="00D458E8"/>
    <w:rsid w:val="00D458FF"/>
    <w:rsid w:val="00D45905"/>
    <w:rsid w:val="00D4593D"/>
    <w:rsid w:val="00D4598B"/>
    <w:rsid w:val="00D4598F"/>
    <w:rsid w:val="00D459AD"/>
    <w:rsid w:val="00D459DB"/>
    <w:rsid w:val="00D45A4A"/>
    <w:rsid w:val="00D45A66"/>
    <w:rsid w:val="00D45A84"/>
    <w:rsid w:val="00D45ACD"/>
    <w:rsid w:val="00D45AD5"/>
    <w:rsid w:val="00D45B51"/>
    <w:rsid w:val="00D45B72"/>
    <w:rsid w:val="00D45BDB"/>
    <w:rsid w:val="00D45C05"/>
    <w:rsid w:val="00D45C15"/>
    <w:rsid w:val="00D45C24"/>
    <w:rsid w:val="00D45C2C"/>
    <w:rsid w:val="00D45C36"/>
    <w:rsid w:val="00D45C3C"/>
    <w:rsid w:val="00D45CAA"/>
    <w:rsid w:val="00D45CB1"/>
    <w:rsid w:val="00D45CB2"/>
    <w:rsid w:val="00D45CDB"/>
    <w:rsid w:val="00D45CE8"/>
    <w:rsid w:val="00D45D20"/>
    <w:rsid w:val="00D45DBF"/>
    <w:rsid w:val="00D45DC1"/>
    <w:rsid w:val="00D45E10"/>
    <w:rsid w:val="00D45EBC"/>
    <w:rsid w:val="00D45ECA"/>
    <w:rsid w:val="00D45FBB"/>
    <w:rsid w:val="00D45FCB"/>
    <w:rsid w:val="00D4604C"/>
    <w:rsid w:val="00D4607A"/>
    <w:rsid w:val="00D460EB"/>
    <w:rsid w:val="00D460F9"/>
    <w:rsid w:val="00D4610C"/>
    <w:rsid w:val="00D46137"/>
    <w:rsid w:val="00D461AE"/>
    <w:rsid w:val="00D461C0"/>
    <w:rsid w:val="00D461DB"/>
    <w:rsid w:val="00D461F9"/>
    <w:rsid w:val="00D46285"/>
    <w:rsid w:val="00D462D8"/>
    <w:rsid w:val="00D462F8"/>
    <w:rsid w:val="00D46319"/>
    <w:rsid w:val="00D4634B"/>
    <w:rsid w:val="00D46396"/>
    <w:rsid w:val="00D463B2"/>
    <w:rsid w:val="00D463C1"/>
    <w:rsid w:val="00D463C4"/>
    <w:rsid w:val="00D46423"/>
    <w:rsid w:val="00D46429"/>
    <w:rsid w:val="00D46464"/>
    <w:rsid w:val="00D46472"/>
    <w:rsid w:val="00D464D2"/>
    <w:rsid w:val="00D464E5"/>
    <w:rsid w:val="00D464F7"/>
    <w:rsid w:val="00D4650C"/>
    <w:rsid w:val="00D4651C"/>
    <w:rsid w:val="00D46539"/>
    <w:rsid w:val="00D4655A"/>
    <w:rsid w:val="00D4659B"/>
    <w:rsid w:val="00D465A1"/>
    <w:rsid w:val="00D465E8"/>
    <w:rsid w:val="00D465F3"/>
    <w:rsid w:val="00D4668E"/>
    <w:rsid w:val="00D466C6"/>
    <w:rsid w:val="00D466DB"/>
    <w:rsid w:val="00D46704"/>
    <w:rsid w:val="00D4670A"/>
    <w:rsid w:val="00D46720"/>
    <w:rsid w:val="00D46721"/>
    <w:rsid w:val="00D4673C"/>
    <w:rsid w:val="00D4673F"/>
    <w:rsid w:val="00D4675B"/>
    <w:rsid w:val="00D46785"/>
    <w:rsid w:val="00D467A3"/>
    <w:rsid w:val="00D467B3"/>
    <w:rsid w:val="00D4680C"/>
    <w:rsid w:val="00D46810"/>
    <w:rsid w:val="00D468C5"/>
    <w:rsid w:val="00D46926"/>
    <w:rsid w:val="00D46965"/>
    <w:rsid w:val="00D46985"/>
    <w:rsid w:val="00D4699A"/>
    <w:rsid w:val="00D469C8"/>
    <w:rsid w:val="00D469E3"/>
    <w:rsid w:val="00D469F6"/>
    <w:rsid w:val="00D46A1B"/>
    <w:rsid w:val="00D46A2C"/>
    <w:rsid w:val="00D46A61"/>
    <w:rsid w:val="00D46AEE"/>
    <w:rsid w:val="00D46B27"/>
    <w:rsid w:val="00D46B29"/>
    <w:rsid w:val="00D46B3B"/>
    <w:rsid w:val="00D46B80"/>
    <w:rsid w:val="00D46BA6"/>
    <w:rsid w:val="00D46BC5"/>
    <w:rsid w:val="00D46BF7"/>
    <w:rsid w:val="00D46C42"/>
    <w:rsid w:val="00D46CC7"/>
    <w:rsid w:val="00D46CE1"/>
    <w:rsid w:val="00D46CEC"/>
    <w:rsid w:val="00D46D60"/>
    <w:rsid w:val="00D46D6B"/>
    <w:rsid w:val="00D46E47"/>
    <w:rsid w:val="00D46E79"/>
    <w:rsid w:val="00D46EBF"/>
    <w:rsid w:val="00D46EC5"/>
    <w:rsid w:val="00D46FAE"/>
    <w:rsid w:val="00D47042"/>
    <w:rsid w:val="00D47066"/>
    <w:rsid w:val="00D47080"/>
    <w:rsid w:val="00D47083"/>
    <w:rsid w:val="00D4709C"/>
    <w:rsid w:val="00D470D5"/>
    <w:rsid w:val="00D470E0"/>
    <w:rsid w:val="00D47100"/>
    <w:rsid w:val="00D47116"/>
    <w:rsid w:val="00D4714F"/>
    <w:rsid w:val="00D4721E"/>
    <w:rsid w:val="00D4723A"/>
    <w:rsid w:val="00D47248"/>
    <w:rsid w:val="00D4733A"/>
    <w:rsid w:val="00D47351"/>
    <w:rsid w:val="00D47382"/>
    <w:rsid w:val="00D473BA"/>
    <w:rsid w:val="00D47401"/>
    <w:rsid w:val="00D4740B"/>
    <w:rsid w:val="00D47420"/>
    <w:rsid w:val="00D4748E"/>
    <w:rsid w:val="00D474C3"/>
    <w:rsid w:val="00D474ED"/>
    <w:rsid w:val="00D47580"/>
    <w:rsid w:val="00D4769D"/>
    <w:rsid w:val="00D476C5"/>
    <w:rsid w:val="00D476DA"/>
    <w:rsid w:val="00D47742"/>
    <w:rsid w:val="00D477BA"/>
    <w:rsid w:val="00D477CD"/>
    <w:rsid w:val="00D47858"/>
    <w:rsid w:val="00D478A6"/>
    <w:rsid w:val="00D478BF"/>
    <w:rsid w:val="00D478E2"/>
    <w:rsid w:val="00D4791B"/>
    <w:rsid w:val="00D47963"/>
    <w:rsid w:val="00D47979"/>
    <w:rsid w:val="00D47983"/>
    <w:rsid w:val="00D47A3B"/>
    <w:rsid w:val="00D47A63"/>
    <w:rsid w:val="00D47A69"/>
    <w:rsid w:val="00D47AA8"/>
    <w:rsid w:val="00D47ABC"/>
    <w:rsid w:val="00D47ADE"/>
    <w:rsid w:val="00D47B49"/>
    <w:rsid w:val="00D47B64"/>
    <w:rsid w:val="00D47BAF"/>
    <w:rsid w:val="00D47BD1"/>
    <w:rsid w:val="00D47C53"/>
    <w:rsid w:val="00D47C71"/>
    <w:rsid w:val="00D47CD0"/>
    <w:rsid w:val="00D47CFF"/>
    <w:rsid w:val="00D47DAE"/>
    <w:rsid w:val="00D47DD4"/>
    <w:rsid w:val="00D47E12"/>
    <w:rsid w:val="00D47E17"/>
    <w:rsid w:val="00D47ED1"/>
    <w:rsid w:val="00D47EFC"/>
    <w:rsid w:val="00D47FC5"/>
    <w:rsid w:val="00D47FD4"/>
    <w:rsid w:val="00D5002F"/>
    <w:rsid w:val="00D50031"/>
    <w:rsid w:val="00D5004A"/>
    <w:rsid w:val="00D50052"/>
    <w:rsid w:val="00D50072"/>
    <w:rsid w:val="00D50082"/>
    <w:rsid w:val="00D500DC"/>
    <w:rsid w:val="00D50103"/>
    <w:rsid w:val="00D50106"/>
    <w:rsid w:val="00D50116"/>
    <w:rsid w:val="00D501AD"/>
    <w:rsid w:val="00D501B9"/>
    <w:rsid w:val="00D50226"/>
    <w:rsid w:val="00D50246"/>
    <w:rsid w:val="00D50261"/>
    <w:rsid w:val="00D5028E"/>
    <w:rsid w:val="00D50296"/>
    <w:rsid w:val="00D502D1"/>
    <w:rsid w:val="00D50338"/>
    <w:rsid w:val="00D503BA"/>
    <w:rsid w:val="00D50402"/>
    <w:rsid w:val="00D5043D"/>
    <w:rsid w:val="00D50459"/>
    <w:rsid w:val="00D50478"/>
    <w:rsid w:val="00D50515"/>
    <w:rsid w:val="00D505A5"/>
    <w:rsid w:val="00D505E0"/>
    <w:rsid w:val="00D5060B"/>
    <w:rsid w:val="00D5067A"/>
    <w:rsid w:val="00D50684"/>
    <w:rsid w:val="00D506B5"/>
    <w:rsid w:val="00D50731"/>
    <w:rsid w:val="00D50755"/>
    <w:rsid w:val="00D507A7"/>
    <w:rsid w:val="00D507F8"/>
    <w:rsid w:val="00D5081B"/>
    <w:rsid w:val="00D50839"/>
    <w:rsid w:val="00D50855"/>
    <w:rsid w:val="00D50857"/>
    <w:rsid w:val="00D50924"/>
    <w:rsid w:val="00D5097B"/>
    <w:rsid w:val="00D509E6"/>
    <w:rsid w:val="00D509FD"/>
    <w:rsid w:val="00D50A1F"/>
    <w:rsid w:val="00D50A52"/>
    <w:rsid w:val="00D50A79"/>
    <w:rsid w:val="00D50A84"/>
    <w:rsid w:val="00D50B49"/>
    <w:rsid w:val="00D50B55"/>
    <w:rsid w:val="00D50BE5"/>
    <w:rsid w:val="00D50C58"/>
    <w:rsid w:val="00D50C7A"/>
    <w:rsid w:val="00D50C87"/>
    <w:rsid w:val="00D50CFA"/>
    <w:rsid w:val="00D50D14"/>
    <w:rsid w:val="00D50DCE"/>
    <w:rsid w:val="00D50DD7"/>
    <w:rsid w:val="00D50E13"/>
    <w:rsid w:val="00D50E8F"/>
    <w:rsid w:val="00D50EA1"/>
    <w:rsid w:val="00D50EB1"/>
    <w:rsid w:val="00D50EB3"/>
    <w:rsid w:val="00D50F98"/>
    <w:rsid w:val="00D50FC8"/>
    <w:rsid w:val="00D50FDC"/>
    <w:rsid w:val="00D50FF2"/>
    <w:rsid w:val="00D51007"/>
    <w:rsid w:val="00D51030"/>
    <w:rsid w:val="00D5109D"/>
    <w:rsid w:val="00D510BA"/>
    <w:rsid w:val="00D511BC"/>
    <w:rsid w:val="00D511FC"/>
    <w:rsid w:val="00D51284"/>
    <w:rsid w:val="00D512AE"/>
    <w:rsid w:val="00D51322"/>
    <w:rsid w:val="00D5136C"/>
    <w:rsid w:val="00D513FB"/>
    <w:rsid w:val="00D51406"/>
    <w:rsid w:val="00D5140B"/>
    <w:rsid w:val="00D51446"/>
    <w:rsid w:val="00D51507"/>
    <w:rsid w:val="00D5152E"/>
    <w:rsid w:val="00D5153E"/>
    <w:rsid w:val="00D51549"/>
    <w:rsid w:val="00D5157E"/>
    <w:rsid w:val="00D515A7"/>
    <w:rsid w:val="00D515DA"/>
    <w:rsid w:val="00D515EA"/>
    <w:rsid w:val="00D515FC"/>
    <w:rsid w:val="00D51610"/>
    <w:rsid w:val="00D51669"/>
    <w:rsid w:val="00D5166C"/>
    <w:rsid w:val="00D5169E"/>
    <w:rsid w:val="00D516BE"/>
    <w:rsid w:val="00D51703"/>
    <w:rsid w:val="00D51757"/>
    <w:rsid w:val="00D517AF"/>
    <w:rsid w:val="00D517D0"/>
    <w:rsid w:val="00D51800"/>
    <w:rsid w:val="00D5180C"/>
    <w:rsid w:val="00D51813"/>
    <w:rsid w:val="00D51839"/>
    <w:rsid w:val="00D518B3"/>
    <w:rsid w:val="00D5193B"/>
    <w:rsid w:val="00D51951"/>
    <w:rsid w:val="00D5196C"/>
    <w:rsid w:val="00D51990"/>
    <w:rsid w:val="00D5199F"/>
    <w:rsid w:val="00D519C4"/>
    <w:rsid w:val="00D519C9"/>
    <w:rsid w:val="00D519D0"/>
    <w:rsid w:val="00D51A07"/>
    <w:rsid w:val="00D51A69"/>
    <w:rsid w:val="00D51ABB"/>
    <w:rsid w:val="00D51AC5"/>
    <w:rsid w:val="00D51ACF"/>
    <w:rsid w:val="00D51AE1"/>
    <w:rsid w:val="00D51B78"/>
    <w:rsid w:val="00D51BA9"/>
    <w:rsid w:val="00D51C1E"/>
    <w:rsid w:val="00D51C2B"/>
    <w:rsid w:val="00D51C47"/>
    <w:rsid w:val="00D51CA4"/>
    <w:rsid w:val="00D51D2E"/>
    <w:rsid w:val="00D51D5F"/>
    <w:rsid w:val="00D51D78"/>
    <w:rsid w:val="00D51D89"/>
    <w:rsid w:val="00D51DA2"/>
    <w:rsid w:val="00D51DAE"/>
    <w:rsid w:val="00D51DC7"/>
    <w:rsid w:val="00D51DD7"/>
    <w:rsid w:val="00D51E24"/>
    <w:rsid w:val="00D51E25"/>
    <w:rsid w:val="00D51E2F"/>
    <w:rsid w:val="00D51E5D"/>
    <w:rsid w:val="00D51EC3"/>
    <w:rsid w:val="00D51EF0"/>
    <w:rsid w:val="00D51F0B"/>
    <w:rsid w:val="00D51F13"/>
    <w:rsid w:val="00D51F34"/>
    <w:rsid w:val="00D51F75"/>
    <w:rsid w:val="00D51FBE"/>
    <w:rsid w:val="00D51FCF"/>
    <w:rsid w:val="00D51FD6"/>
    <w:rsid w:val="00D51FEE"/>
    <w:rsid w:val="00D52010"/>
    <w:rsid w:val="00D52037"/>
    <w:rsid w:val="00D520AB"/>
    <w:rsid w:val="00D52119"/>
    <w:rsid w:val="00D52131"/>
    <w:rsid w:val="00D52174"/>
    <w:rsid w:val="00D521DF"/>
    <w:rsid w:val="00D521F8"/>
    <w:rsid w:val="00D52275"/>
    <w:rsid w:val="00D522BF"/>
    <w:rsid w:val="00D522E3"/>
    <w:rsid w:val="00D522FB"/>
    <w:rsid w:val="00D52309"/>
    <w:rsid w:val="00D5232C"/>
    <w:rsid w:val="00D52359"/>
    <w:rsid w:val="00D5238A"/>
    <w:rsid w:val="00D5246C"/>
    <w:rsid w:val="00D524B4"/>
    <w:rsid w:val="00D524EF"/>
    <w:rsid w:val="00D5254D"/>
    <w:rsid w:val="00D525C9"/>
    <w:rsid w:val="00D52624"/>
    <w:rsid w:val="00D52658"/>
    <w:rsid w:val="00D526C5"/>
    <w:rsid w:val="00D526F6"/>
    <w:rsid w:val="00D52734"/>
    <w:rsid w:val="00D52737"/>
    <w:rsid w:val="00D52748"/>
    <w:rsid w:val="00D52784"/>
    <w:rsid w:val="00D52860"/>
    <w:rsid w:val="00D52886"/>
    <w:rsid w:val="00D5288C"/>
    <w:rsid w:val="00D528E4"/>
    <w:rsid w:val="00D52935"/>
    <w:rsid w:val="00D52956"/>
    <w:rsid w:val="00D52987"/>
    <w:rsid w:val="00D5298B"/>
    <w:rsid w:val="00D529AF"/>
    <w:rsid w:val="00D52A3F"/>
    <w:rsid w:val="00D52A40"/>
    <w:rsid w:val="00D52A5E"/>
    <w:rsid w:val="00D52A66"/>
    <w:rsid w:val="00D52A79"/>
    <w:rsid w:val="00D52A85"/>
    <w:rsid w:val="00D52BD6"/>
    <w:rsid w:val="00D52C19"/>
    <w:rsid w:val="00D52C33"/>
    <w:rsid w:val="00D52C8D"/>
    <w:rsid w:val="00D52C97"/>
    <w:rsid w:val="00D52DA5"/>
    <w:rsid w:val="00D52E90"/>
    <w:rsid w:val="00D52EA5"/>
    <w:rsid w:val="00D52ED6"/>
    <w:rsid w:val="00D52EE7"/>
    <w:rsid w:val="00D52EF6"/>
    <w:rsid w:val="00D52F6A"/>
    <w:rsid w:val="00D52F70"/>
    <w:rsid w:val="00D52F82"/>
    <w:rsid w:val="00D52FAC"/>
    <w:rsid w:val="00D52FED"/>
    <w:rsid w:val="00D52FFE"/>
    <w:rsid w:val="00D53058"/>
    <w:rsid w:val="00D53064"/>
    <w:rsid w:val="00D53086"/>
    <w:rsid w:val="00D530A9"/>
    <w:rsid w:val="00D53133"/>
    <w:rsid w:val="00D5314F"/>
    <w:rsid w:val="00D5316A"/>
    <w:rsid w:val="00D5317B"/>
    <w:rsid w:val="00D531C5"/>
    <w:rsid w:val="00D53262"/>
    <w:rsid w:val="00D5337B"/>
    <w:rsid w:val="00D53390"/>
    <w:rsid w:val="00D533A0"/>
    <w:rsid w:val="00D533F2"/>
    <w:rsid w:val="00D5343C"/>
    <w:rsid w:val="00D53450"/>
    <w:rsid w:val="00D5345D"/>
    <w:rsid w:val="00D53465"/>
    <w:rsid w:val="00D53470"/>
    <w:rsid w:val="00D5348B"/>
    <w:rsid w:val="00D534B6"/>
    <w:rsid w:val="00D534EF"/>
    <w:rsid w:val="00D534FF"/>
    <w:rsid w:val="00D53500"/>
    <w:rsid w:val="00D53594"/>
    <w:rsid w:val="00D535A0"/>
    <w:rsid w:val="00D535A7"/>
    <w:rsid w:val="00D5364A"/>
    <w:rsid w:val="00D5367B"/>
    <w:rsid w:val="00D53691"/>
    <w:rsid w:val="00D536C0"/>
    <w:rsid w:val="00D536DE"/>
    <w:rsid w:val="00D5373E"/>
    <w:rsid w:val="00D537A0"/>
    <w:rsid w:val="00D537A7"/>
    <w:rsid w:val="00D537DA"/>
    <w:rsid w:val="00D53801"/>
    <w:rsid w:val="00D5387F"/>
    <w:rsid w:val="00D5388A"/>
    <w:rsid w:val="00D538A1"/>
    <w:rsid w:val="00D538D6"/>
    <w:rsid w:val="00D538F7"/>
    <w:rsid w:val="00D5394C"/>
    <w:rsid w:val="00D53983"/>
    <w:rsid w:val="00D53998"/>
    <w:rsid w:val="00D539A3"/>
    <w:rsid w:val="00D539C2"/>
    <w:rsid w:val="00D53A22"/>
    <w:rsid w:val="00D53A8C"/>
    <w:rsid w:val="00D53A9B"/>
    <w:rsid w:val="00D53AEC"/>
    <w:rsid w:val="00D53B03"/>
    <w:rsid w:val="00D53B54"/>
    <w:rsid w:val="00D53B69"/>
    <w:rsid w:val="00D53BB1"/>
    <w:rsid w:val="00D53BC0"/>
    <w:rsid w:val="00D53C23"/>
    <w:rsid w:val="00D53C6F"/>
    <w:rsid w:val="00D53C80"/>
    <w:rsid w:val="00D53D1E"/>
    <w:rsid w:val="00D53D46"/>
    <w:rsid w:val="00D53D7F"/>
    <w:rsid w:val="00D53D85"/>
    <w:rsid w:val="00D53D9A"/>
    <w:rsid w:val="00D53DDC"/>
    <w:rsid w:val="00D53E69"/>
    <w:rsid w:val="00D53E72"/>
    <w:rsid w:val="00D53EA3"/>
    <w:rsid w:val="00D53EB4"/>
    <w:rsid w:val="00D53ECC"/>
    <w:rsid w:val="00D53ED8"/>
    <w:rsid w:val="00D53F13"/>
    <w:rsid w:val="00D53F40"/>
    <w:rsid w:val="00D53F99"/>
    <w:rsid w:val="00D53FC0"/>
    <w:rsid w:val="00D54044"/>
    <w:rsid w:val="00D5405D"/>
    <w:rsid w:val="00D54077"/>
    <w:rsid w:val="00D540AA"/>
    <w:rsid w:val="00D540F6"/>
    <w:rsid w:val="00D54119"/>
    <w:rsid w:val="00D54123"/>
    <w:rsid w:val="00D54132"/>
    <w:rsid w:val="00D5414D"/>
    <w:rsid w:val="00D54197"/>
    <w:rsid w:val="00D541ED"/>
    <w:rsid w:val="00D54201"/>
    <w:rsid w:val="00D5423C"/>
    <w:rsid w:val="00D54267"/>
    <w:rsid w:val="00D542A2"/>
    <w:rsid w:val="00D542B8"/>
    <w:rsid w:val="00D542D8"/>
    <w:rsid w:val="00D542E2"/>
    <w:rsid w:val="00D542E3"/>
    <w:rsid w:val="00D54321"/>
    <w:rsid w:val="00D54335"/>
    <w:rsid w:val="00D54353"/>
    <w:rsid w:val="00D54374"/>
    <w:rsid w:val="00D54394"/>
    <w:rsid w:val="00D5439D"/>
    <w:rsid w:val="00D543AA"/>
    <w:rsid w:val="00D543C6"/>
    <w:rsid w:val="00D543E0"/>
    <w:rsid w:val="00D54430"/>
    <w:rsid w:val="00D54445"/>
    <w:rsid w:val="00D54446"/>
    <w:rsid w:val="00D5444F"/>
    <w:rsid w:val="00D54649"/>
    <w:rsid w:val="00D54667"/>
    <w:rsid w:val="00D54669"/>
    <w:rsid w:val="00D54682"/>
    <w:rsid w:val="00D546BD"/>
    <w:rsid w:val="00D54724"/>
    <w:rsid w:val="00D5473A"/>
    <w:rsid w:val="00D54801"/>
    <w:rsid w:val="00D54823"/>
    <w:rsid w:val="00D54957"/>
    <w:rsid w:val="00D54989"/>
    <w:rsid w:val="00D5498E"/>
    <w:rsid w:val="00D549A2"/>
    <w:rsid w:val="00D54A5F"/>
    <w:rsid w:val="00D54AE2"/>
    <w:rsid w:val="00D54AF9"/>
    <w:rsid w:val="00D54B01"/>
    <w:rsid w:val="00D54B0E"/>
    <w:rsid w:val="00D54B4F"/>
    <w:rsid w:val="00D54B79"/>
    <w:rsid w:val="00D54B8B"/>
    <w:rsid w:val="00D54BCA"/>
    <w:rsid w:val="00D54BE7"/>
    <w:rsid w:val="00D54C0D"/>
    <w:rsid w:val="00D54C25"/>
    <w:rsid w:val="00D54C32"/>
    <w:rsid w:val="00D54C3C"/>
    <w:rsid w:val="00D54C74"/>
    <w:rsid w:val="00D54C96"/>
    <w:rsid w:val="00D54CB2"/>
    <w:rsid w:val="00D54CCD"/>
    <w:rsid w:val="00D54D5A"/>
    <w:rsid w:val="00D54D5E"/>
    <w:rsid w:val="00D54D63"/>
    <w:rsid w:val="00D54D94"/>
    <w:rsid w:val="00D54E36"/>
    <w:rsid w:val="00D54E50"/>
    <w:rsid w:val="00D54E8C"/>
    <w:rsid w:val="00D54E9E"/>
    <w:rsid w:val="00D54EB2"/>
    <w:rsid w:val="00D54ED0"/>
    <w:rsid w:val="00D54F03"/>
    <w:rsid w:val="00D54F66"/>
    <w:rsid w:val="00D54FB2"/>
    <w:rsid w:val="00D54FF2"/>
    <w:rsid w:val="00D55031"/>
    <w:rsid w:val="00D550C3"/>
    <w:rsid w:val="00D5510F"/>
    <w:rsid w:val="00D55165"/>
    <w:rsid w:val="00D55166"/>
    <w:rsid w:val="00D551B2"/>
    <w:rsid w:val="00D551C3"/>
    <w:rsid w:val="00D5528A"/>
    <w:rsid w:val="00D55334"/>
    <w:rsid w:val="00D55348"/>
    <w:rsid w:val="00D5534F"/>
    <w:rsid w:val="00D55396"/>
    <w:rsid w:val="00D553BA"/>
    <w:rsid w:val="00D553C9"/>
    <w:rsid w:val="00D55458"/>
    <w:rsid w:val="00D554ED"/>
    <w:rsid w:val="00D55514"/>
    <w:rsid w:val="00D5556A"/>
    <w:rsid w:val="00D5556C"/>
    <w:rsid w:val="00D55580"/>
    <w:rsid w:val="00D5560D"/>
    <w:rsid w:val="00D5562C"/>
    <w:rsid w:val="00D5563B"/>
    <w:rsid w:val="00D55656"/>
    <w:rsid w:val="00D55689"/>
    <w:rsid w:val="00D5569A"/>
    <w:rsid w:val="00D556C4"/>
    <w:rsid w:val="00D556F2"/>
    <w:rsid w:val="00D55752"/>
    <w:rsid w:val="00D55758"/>
    <w:rsid w:val="00D557B1"/>
    <w:rsid w:val="00D557D3"/>
    <w:rsid w:val="00D5583D"/>
    <w:rsid w:val="00D55856"/>
    <w:rsid w:val="00D558E0"/>
    <w:rsid w:val="00D559A9"/>
    <w:rsid w:val="00D559BB"/>
    <w:rsid w:val="00D559E6"/>
    <w:rsid w:val="00D55A62"/>
    <w:rsid w:val="00D55A82"/>
    <w:rsid w:val="00D55ADA"/>
    <w:rsid w:val="00D55B32"/>
    <w:rsid w:val="00D55BC9"/>
    <w:rsid w:val="00D55BD3"/>
    <w:rsid w:val="00D55C01"/>
    <w:rsid w:val="00D55C02"/>
    <w:rsid w:val="00D55C72"/>
    <w:rsid w:val="00D55CC5"/>
    <w:rsid w:val="00D55CCA"/>
    <w:rsid w:val="00D55CE2"/>
    <w:rsid w:val="00D55E4A"/>
    <w:rsid w:val="00D55E71"/>
    <w:rsid w:val="00D55EAF"/>
    <w:rsid w:val="00D55EF1"/>
    <w:rsid w:val="00D55F33"/>
    <w:rsid w:val="00D55F40"/>
    <w:rsid w:val="00D55F6E"/>
    <w:rsid w:val="00D56022"/>
    <w:rsid w:val="00D56039"/>
    <w:rsid w:val="00D5607F"/>
    <w:rsid w:val="00D56082"/>
    <w:rsid w:val="00D5609A"/>
    <w:rsid w:val="00D560AA"/>
    <w:rsid w:val="00D560AF"/>
    <w:rsid w:val="00D560BB"/>
    <w:rsid w:val="00D560BF"/>
    <w:rsid w:val="00D560C6"/>
    <w:rsid w:val="00D560CC"/>
    <w:rsid w:val="00D560E4"/>
    <w:rsid w:val="00D56108"/>
    <w:rsid w:val="00D56118"/>
    <w:rsid w:val="00D5611E"/>
    <w:rsid w:val="00D56154"/>
    <w:rsid w:val="00D561B9"/>
    <w:rsid w:val="00D561FE"/>
    <w:rsid w:val="00D5623C"/>
    <w:rsid w:val="00D56265"/>
    <w:rsid w:val="00D56276"/>
    <w:rsid w:val="00D56281"/>
    <w:rsid w:val="00D562D5"/>
    <w:rsid w:val="00D5633F"/>
    <w:rsid w:val="00D56344"/>
    <w:rsid w:val="00D563F4"/>
    <w:rsid w:val="00D5640D"/>
    <w:rsid w:val="00D56417"/>
    <w:rsid w:val="00D56481"/>
    <w:rsid w:val="00D564BB"/>
    <w:rsid w:val="00D564D3"/>
    <w:rsid w:val="00D564E7"/>
    <w:rsid w:val="00D564FE"/>
    <w:rsid w:val="00D56512"/>
    <w:rsid w:val="00D56556"/>
    <w:rsid w:val="00D565B4"/>
    <w:rsid w:val="00D5665E"/>
    <w:rsid w:val="00D56697"/>
    <w:rsid w:val="00D56725"/>
    <w:rsid w:val="00D56751"/>
    <w:rsid w:val="00D56766"/>
    <w:rsid w:val="00D5677B"/>
    <w:rsid w:val="00D56799"/>
    <w:rsid w:val="00D5679C"/>
    <w:rsid w:val="00D567D0"/>
    <w:rsid w:val="00D567D9"/>
    <w:rsid w:val="00D5685A"/>
    <w:rsid w:val="00D56885"/>
    <w:rsid w:val="00D568DA"/>
    <w:rsid w:val="00D568DC"/>
    <w:rsid w:val="00D5690C"/>
    <w:rsid w:val="00D5695B"/>
    <w:rsid w:val="00D569EB"/>
    <w:rsid w:val="00D56A0A"/>
    <w:rsid w:val="00D56A35"/>
    <w:rsid w:val="00D56A36"/>
    <w:rsid w:val="00D56AE2"/>
    <w:rsid w:val="00D56B37"/>
    <w:rsid w:val="00D56B54"/>
    <w:rsid w:val="00D56B80"/>
    <w:rsid w:val="00D56B96"/>
    <w:rsid w:val="00D56B97"/>
    <w:rsid w:val="00D56C25"/>
    <w:rsid w:val="00D56C2C"/>
    <w:rsid w:val="00D56C44"/>
    <w:rsid w:val="00D56C6D"/>
    <w:rsid w:val="00D56CC0"/>
    <w:rsid w:val="00D56CD1"/>
    <w:rsid w:val="00D56E1D"/>
    <w:rsid w:val="00D56E29"/>
    <w:rsid w:val="00D56E5F"/>
    <w:rsid w:val="00D56E8C"/>
    <w:rsid w:val="00D56E9F"/>
    <w:rsid w:val="00D56F06"/>
    <w:rsid w:val="00D56F0E"/>
    <w:rsid w:val="00D56F63"/>
    <w:rsid w:val="00D56F77"/>
    <w:rsid w:val="00D56FCC"/>
    <w:rsid w:val="00D56FCE"/>
    <w:rsid w:val="00D56FEE"/>
    <w:rsid w:val="00D57069"/>
    <w:rsid w:val="00D570F3"/>
    <w:rsid w:val="00D5711A"/>
    <w:rsid w:val="00D57193"/>
    <w:rsid w:val="00D57198"/>
    <w:rsid w:val="00D571B0"/>
    <w:rsid w:val="00D571C3"/>
    <w:rsid w:val="00D571D5"/>
    <w:rsid w:val="00D5720E"/>
    <w:rsid w:val="00D57219"/>
    <w:rsid w:val="00D5722E"/>
    <w:rsid w:val="00D57245"/>
    <w:rsid w:val="00D572A6"/>
    <w:rsid w:val="00D572FB"/>
    <w:rsid w:val="00D57302"/>
    <w:rsid w:val="00D5731D"/>
    <w:rsid w:val="00D57328"/>
    <w:rsid w:val="00D57381"/>
    <w:rsid w:val="00D5738B"/>
    <w:rsid w:val="00D57449"/>
    <w:rsid w:val="00D5746C"/>
    <w:rsid w:val="00D57484"/>
    <w:rsid w:val="00D57486"/>
    <w:rsid w:val="00D57495"/>
    <w:rsid w:val="00D574B4"/>
    <w:rsid w:val="00D574DC"/>
    <w:rsid w:val="00D574DD"/>
    <w:rsid w:val="00D574F9"/>
    <w:rsid w:val="00D5752D"/>
    <w:rsid w:val="00D57539"/>
    <w:rsid w:val="00D57551"/>
    <w:rsid w:val="00D57563"/>
    <w:rsid w:val="00D575B4"/>
    <w:rsid w:val="00D575BF"/>
    <w:rsid w:val="00D575C7"/>
    <w:rsid w:val="00D575E9"/>
    <w:rsid w:val="00D575F0"/>
    <w:rsid w:val="00D5766E"/>
    <w:rsid w:val="00D57707"/>
    <w:rsid w:val="00D57743"/>
    <w:rsid w:val="00D57744"/>
    <w:rsid w:val="00D57770"/>
    <w:rsid w:val="00D577D2"/>
    <w:rsid w:val="00D577FC"/>
    <w:rsid w:val="00D57805"/>
    <w:rsid w:val="00D57818"/>
    <w:rsid w:val="00D57851"/>
    <w:rsid w:val="00D5785F"/>
    <w:rsid w:val="00D5786A"/>
    <w:rsid w:val="00D578B0"/>
    <w:rsid w:val="00D5795C"/>
    <w:rsid w:val="00D579B7"/>
    <w:rsid w:val="00D579C3"/>
    <w:rsid w:val="00D579D0"/>
    <w:rsid w:val="00D579E4"/>
    <w:rsid w:val="00D57A0E"/>
    <w:rsid w:val="00D57A4A"/>
    <w:rsid w:val="00D57A90"/>
    <w:rsid w:val="00D57AE4"/>
    <w:rsid w:val="00D57AF9"/>
    <w:rsid w:val="00D57B34"/>
    <w:rsid w:val="00D57B53"/>
    <w:rsid w:val="00D57BB1"/>
    <w:rsid w:val="00D57C01"/>
    <w:rsid w:val="00D57CC6"/>
    <w:rsid w:val="00D57CEE"/>
    <w:rsid w:val="00D57DB6"/>
    <w:rsid w:val="00D57DC4"/>
    <w:rsid w:val="00D57E0B"/>
    <w:rsid w:val="00D57E2B"/>
    <w:rsid w:val="00D57E33"/>
    <w:rsid w:val="00D57E53"/>
    <w:rsid w:val="00D57E5B"/>
    <w:rsid w:val="00D57E65"/>
    <w:rsid w:val="00D57ED9"/>
    <w:rsid w:val="00D57F36"/>
    <w:rsid w:val="00D57FD6"/>
    <w:rsid w:val="00D60028"/>
    <w:rsid w:val="00D600B5"/>
    <w:rsid w:val="00D6016B"/>
    <w:rsid w:val="00D601A5"/>
    <w:rsid w:val="00D601AC"/>
    <w:rsid w:val="00D601EA"/>
    <w:rsid w:val="00D601F0"/>
    <w:rsid w:val="00D601FF"/>
    <w:rsid w:val="00D60330"/>
    <w:rsid w:val="00D60340"/>
    <w:rsid w:val="00D603F5"/>
    <w:rsid w:val="00D60408"/>
    <w:rsid w:val="00D6047C"/>
    <w:rsid w:val="00D60483"/>
    <w:rsid w:val="00D60505"/>
    <w:rsid w:val="00D60522"/>
    <w:rsid w:val="00D60582"/>
    <w:rsid w:val="00D60622"/>
    <w:rsid w:val="00D606B5"/>
    <w:rsid w:val="00D606BA"/>
    <w:rsid w:val="00D606BB"/>
    <w:rsid w:val="00D60700"/>
    <w:rsid w:val="00D60795"/>
    <w:rsid w:val="00D607B5"/>
    <w:rsid w:val="00D607DF"/>
    <w:rsid w:val="00D60814"/>
    <w:rsid w:val="00D6081E"/>
    <w:rsid w:val="00D60898"/>
    <w:rsid w:val="00D608AB"/>
    <w:rsid w:val="00D608C6"/>
    <w:rsid w:val="00D608D3"/>
    <w:rsid w:val="00D6090D"/>
    <w:rsid w:val="00D60911"/>
    <w:rsid w:val="00D60934"/>
    <w:rsid w:val="00D609DF"/>
    <w:rsid w:val="00D60A97"/>
    <w:rsid w:val="00D60AAF"/>
    <w:rsid w:val="00D60B57"/>
    <w:rsid w:val="00D60B93"/>
    <w:rsid w:val="00D60BBB"/>
    <w:rsid w:val="00D60BCA"/>
    <w:rsid w:val="00D60BDE"/>
    <w:rsid w:val="00D60C1E"/>
    <w:rsid w:val="00D60C5B"/>
    <w:rsid w:val="00D60C67"/>
    <w:rsid w:val="00D60CAA"/>
    <w:rsid w:val="00D60CE8"/>
    <w:rsid w:val="00D60CEA"/>
    <w:rsid w:val="00D60D10"/>
    <w:rsid w:val="00D60D1D"/>
    <w:rsid w:val="00D60D3B"/>
    <w:rsid w:val="00D60D40"/>
    <w:rsid w:val="00D60D6C"/>
    <w:rsid w:val="00D60E81"/>
    <w:rsid w:val="00D60ED1"/>
    <w:rsid w:val="00D60EF4"/>
    <w:rsid w:val="00D60EF6"/>
    <w:rsid w:val="00D60F00"/>
    <w:rsid w:val="00D60F30"/>
    <w:rsid w:val="00D60F77"/>
    <w:rsid w:val="00D61015"/>
    <w:rsid w:val="00D61036"/>
    <w:rsid w:val="00D61085"/>
    <w:rsid w:val="00D610B2"/>
    <w:rsid w:val="00D610DA"/>
    <w:rsid w:val="00D6110C"/>
    <w:rsid w:val="00D61146"/>
    <w:rsid w:val="00D61159"/>
    <w:rsid w:val="00D61211"/>
    <w:rsid w:val="00D6127F"/>
    <w:rsid w:val="00D61293"/>
    <w:rsid w:val="00D612FE"/>
    <w:rsid w:val="00D6132E"/>
    <w:rsid w:val="00D6139C"/>
    <w:rsid w:val="00D613B9"/>
    <w:rsid w:val="00D61407"/>
    <w:rsid w:val="00D6141D"/>
    <w:rsid w:val="00D61440"/>
    <w:rsid w:val="00D61470"/>
    <w:rsid w:val="00D61489"/>
    <w:rsid w:val="00D6152E"/>
    <w:rsid w:val="00D61536"/>
    <w:rsid w:val="00D61557"/>
    <w:rsid w:val="00D61578"/>
    <w:rsid w:val="00D615BE"/>
    <w:rsid w:val="00D61633"/>
    <w:rsid w:val="00D6165B"/>
    <w:rsid w:val="00D6168B"/>
    <w:rsid w:val="00D61722"/>
    <w:rsid w:val="00D6177C"/>
    <w:rsid w:val="00D617AF"/>
    <w:rsid w:val="00D61831"/>
    <w:rsid w:val="00D61839"/>
    <w:rsid w:val="00D6183B"/>
    <w:rsid w:val="00D6185D"/>
    <w:rsid w:val="00D618C5"/>
    <w:rsid w:val="00D618D9"/>
    <w:rsid w:val="00D618E3"/>
    <w:rsid w:val="00D618E4"/>
    <w:rsid w:val="00D6192B"/>
    <w:rsid w:val="00D61942"/>
    <w:rsid w:val="00D61944"/>
    <w:rsid w:val="00D61988"/>
    <w:rsid w:val="00D619B6"/>
    <w:rsid w:val="00D619BA"/>
    <w:rsid w:val="00D619F8"/>
    <w:rsid w:val="00D61B04"/>
    <w:rsid w:val="00D61B26"/>
    <w:rsid w:val="00D61B56"/>
    <w:rsid w:val="00D61C86"/>
    <w:rsid w:val="00D61CC9"/>
    <w:rsid w:val="00D61CD5"/>
    <w:rsid w:val="00D61CF2"/>
    <w:rsid w:val="00D61D3A"/>
    <w:rsid w:val="00D61D59"/>
    <w:rsid w:val="00D61D96"/>
    <w:rsid w:val="00D61DE5"/>
    <w:rsid w:val="00D61DEF"/>
    <w:rsid w:val="00D61E8A"/>
    <w:rsid w:val="00D61EFF"/>
    <w:rsid w:val="00D61FF8"/>
    <w:rsid w:val="00D62076"/>
    <w:rsid w:val="00D6207E"/>
    <w:rsid w:val="00D620C1"/>
    <w:rsid w:val="00D62120"/>
    <w:rsid w:val="00D62138"/>
    <w:rsid w:val="00D621A7"/>
    <w:rsid w:val="00D621D4"/>
    <w:rsid w:val="00D62202"/>
    <w:rsid w:val="00D62251"/>
    <w:rsid w:val="00D6225E"/>
    <w:rsid w:val="00D62261"/>
    <w:rsid w:val="00D622B0"/>
    <w:rsid w:val="00D623D6"/>
    <w:rsid w:val="00D624A7"/>
    <w:rsid w:val="00D624BE"/>
    <w:rsid w:val="00D6251D"/>
    <w:rsid w:val="00D6255B"/>
    <w:rsid w:val="00D625A2"/>
    <w:rsid w:val="00D625E8"/>
    <w:rsid w:val="00D625F0"/>
    <w:rsid w:val="00D626B6"/>
    <w:rsid w:val="00D62701"/>
    <w:rsid w:val="00D627E0"/>
    <w:rsid w:val="00D6287B"/>
    <w:rsid w:val="00D6288D"/>
    <w:rsid w:val="00D62890"/>
    <w:rsid w:val="00D628D5"/>
    <w:rsid w:val="00D62951"/>
    <w:rsid w:val="00D62BFB"/>
    <w:rsid w:val="00D62C2B"/>
    <w:rsid w:val="00D62C6C"/>
    <w:rsid w:val="00D62C9E"/>
    <w:rsid w:val="00D62CAC"/>
    <w:rsid w:val="00D62D4C"/>
    <w:rsid w:val="00D62D80"/>
    <w:rsid w:val="00D62DAB"/>
    <w:rsid w:val="00D62E14"/>
    <w:rsid w:val="00D62E81"/>
    <w:rsid w:val="00D62EC8"/>
    <w:rsid w:val="00D62ED2"/>
    <w:rsid w:val="00D62EDB"/>
    <w:rsid w:val="00D62F34"/>
    <w:rsid w:val="00D62F3F"/>
    <w:rsid w:val="00D62F96"/>
    <w:rsid w:val="00D62F9A"/>
    <w:rsid w:val="00D63005"/>
    <w:rsid w:val="00D63055"/>
    <w:rsid w:val="00D630BA"/>
    <w:rsid w:val="00D63101"/>
    <w:rsid w:val="00D6310E"/>
    <w:rsid w:val="00D63209"/>
    <w:rsid w:val="00D63214"/>
    <w:rsid w:val="00D6322E"/>
    <w:rsid w:val="00D63285"/>
    <w:rsid w:val="00D632CB"/>
    <w:rsid w:val="00D632D6"/>
    <w:rsid w:val="00D632F3"/>
    <w:rsid w:val="00D63323"/>
    <w:rsid w:val="00D6335B"/>
    <w:rsid w:val="00D633CB"/>
    <w:rsid w:val="00D633E8"/>
    <w:rsid w:val="00D63441"/>
    <w:rsid w:val="00D63471"/>
    <w:rsid w:val="00D6347D"/>
    <w:rsid w:val="00D634D5"/>
    <w:rsid w:val="00D634E1"/>
    <w:rsid w:val="00D6356A"/>
    <w:rsid w:val="00D63582"/>
    <w:rsid w:val="00D635A8"/>
    <w:rsid w:val="00D6361A"/>
    <w:rsid w:val="00D63682"/>
    <w:rsid w:val="00D636E3"/>
    <w:rsid w:val="00D636E4"/>
    <w:rsid w:val="00D636E8"/>
    <w:rsid w:val="00D6370E"/>
    <w:rsid w:val="00D63732"/>
    <w:rsid w:val="00D6376A"/>
    <w:rsid w:val="00D6377E"/>
    <w:rsid w:val="00D637F7"/>
    <w:rsid w:val="00D637FE"/>
    <w:rsid w:val="00D63819"/>
    <w:rsid w:val="00D6385B"/>
    <w:rsid w:val="00D6388B"/>
    <w:rsid w:val="00D6390C"/>
    <w:rsid w:val="00D6392F"/>
    <w:rsid w:val="00D639D6"/>
    <w:rsid w:val="00D639FC"/>
    <w:rsid w:val="00D639FD"/>
    <w:rsid w:val="00D63AF6"/>
    <w:rsid w:val="00D63B01"/>
    <w:rsid w:val="00D63B45"/>
    <w:rsid w:val="00D63B65"/>
    <w:rsid w:val="00D63C27"/>
    <w:rsid w:val="00D63C2D"/>
    <w:rsid w:val="00D63C3B"/>
    <w:rsid w:val="00D63CA0"/>
    <w:rsid w:val="00D63CB6"/>
    <w:rsid w:val="00D63D26"/>
    <w:rsid w:val="00D63D9B"/>
    <w:rsid w:val="00D63EBF"/>
    <w:rsid w:val="00D63EC2"/>
    <w:rsid w:val="00D63F43"/>
    <w:rsid w:val="00D63F80"/>
    <w:rsid w:val="00D63FA1"/>
    <w:rsid w:val="00D64010"/>
    <w:rsid w:val="00D64022"/>
    <w:rsid w:val="00D64066"/>
    <w:rsid w:val="00D64132"/>
    <w:rsid w:val="00D64187"/>
    <w:rsid w:val="00D641E2"/>
    <w:rsid w:val="00D6420A"/>
    <w:rsid w:val="00D64223"/>
    <w:rsid w:val="00D642A9"/>
    <w:rsid w:val="00D642B0"/>
    <w:rsid w:val="00D642FE"/>
    <w:rsid w:val="00D64333"/>
    <w:rsid w:val="00D64343"/>
    <w:rsid w:val="00D64355"/>
    <w:rsid w:val="00D64365"/>
    <w:rsid w:val="00D64378"/>
    <w:rsid w:val="00D643D9"/>
    <w:rsid w:val="00D6443D"/>
    <w:rsid w:val="00D64551"/>
    <w:rsid w:val="00D64570"/>
    <w:rsid w:val="00D64617"/>
    <w:rsid w:val="00D64677"/>
    <w:rsid w:val="00D646D2"/>
    <w:rsid w:val="00D6472A"/>
    <w:rsid w:val="00D6475F"/>
    <w:rsid w:val="00D64766"/>
    <w:rsid w:val="00D6476E"/>
    <w:rsid w:val="00D64792"/>
    <w:rsid w:val="00D647B8"/>
    <w:rsid w:val="00D64806"/>
    <w:rsid w:val="00D64841"/>
    <w:rsid w:val="00D6485C"/>
    <w:rsid w:val="00D648C8"/>
    <w:rsid w:val="00D648E3"/>
    <w:rsid w:val="00D64914"/>
    <w:rsid w:val="00D6491F"/>
    <w:rsid w:val="00D649E3"/>
    <w:rsid w:val="00D649E6"/>
    <w:rsid w:val="00D64A6D"/>
    <w:rsid w:val="00D64AAA"/>
    <w:rsid w:val="00D64ADB"/>
    <w:rsid w:val="00D64B6E"/>
    <w:rsid w:val="00D64C1A"/>
    <w:rsid w:val="00D64C69"/>
    <w:rsid w:val="00D64C6A"/>
    <w:rsid w:val="00D64CC8"/>
    <w:rsid w:val="00D64CCD"/>
    <w:rsid w:val="00D64D13"/>
    <w:rsid w:val="00D64D1A"/>
    <w:rsid w:val="00D64D48"/>
    <w:rsid w:val="00D64DF8"/>
    <w:rsid w:val="00D64E02"/>
    <w:rsid w:val="00D64E29"/>
    <w:rsid w:val="00D64E35"/>
    <w:rsid w:val="00D64E3B"/>
    <w:rsid w:val="00D64E6B"/>
    <w:rsid w:val="00D64E72"/>
    <w:rsid w:val="00D64EA2"/>
    <w:rsid w:val="00D64ECF"/>
    <w:rsid w:val="00D64EE7"/>
    <w:rsid w:val="00D64F13"/>
    <w:rsid w:val="00D64F29"/>
    <w:rsid w:val="00D64F81"/>
    <w:rsid w:val="00D65080"/>
    <w:rsid w:val="00D650D9"/>
    <w:rsid w:val="00D650E6"/>
    <w:rsid w:val="00D650FA"/>
    <w:rsid w:val="00D650FC"/>
    <w:rsid w:val="00D6511D"/>
    <w:rsid w:val="00D651AD"/>
    <w:rsid w:val="00D651C4"/>
    <w:rsid w:val="00D651FB"/>
    <w:rsid w:val="00D65206"/>
    <w:rsid w:val="00D6520F"/>
    <w:rsid w:val="00D6522D"/>
    <w:rsid w:val="00D65237"/>
    <w:rsid w:val="00D65252"/>
    <w:rsid w:val="00D652C1"/>
    <w:rsid w:val="00D652FC"/>
    <w:rsid w:val="00D6530B"/>
    <w:rsid w:val="00D6534E"/>
    <w:rsid w:val="00D65369"/>
    <w:rsid w:val="00D65393"/>
    <w:rsid w:val="00D65398"/>
    <w:rsid w:val="00D653B6"/>
    <w:rsid w:val="00D653EA"/>
    <w:rsid w:val="00D65437"/>
    <w:rsid w:val="00D65468"/>
    <w:rsid w:val="00D65469"/>
    <w:rsid w:val="00D6546B"/>
    <w:rsid w:val="00D6547A"/>
    <w:rsid w:val="00D654A5"/>
    <w:rsid w:val="00D654F7"/>
    <w:rsid w:val="00D65513"/>
    <w:rsid w:val="00D6559F"/>
    <w:rsid w:val="00D6565A"/>
    <w:rsid w:val="00D65680"/>
    <w:rsid w:val="00D656B1"/>
    <w:rsid w:val="00D6571B"/>
    <w:rsid w:val="00D6572D"/>
    <w:rsid w:val="00D65754"/>
    <w:rsid w:val="00D6580D"/>
    <w:rsid w:val="00D65850"/>
    <w:rsid w:val="00D658C0"/>
    <w:rsid w:val="00D6590E"/>
    <w:rsid w:val="00D6594A"/>
    <w:rsid w:val="00D6599D"/>
    <w:rsid w:val="00D65A0B"/>
    <w:rsid w:val="00D65A27"/>
    <w:rsid w:val="00D65A84"/>
    <w:rsid w:val="00D65A87"/>
    <w:rsid w:val="00D65A91"/>
    <w:rsid w:val="00D65ABC"/>
    <w:rsid w:val="00D65ADD"/>
    <w:rsid w:val="00D65B22"/>
    <w:rsid w:val="00D65B26"/>
    <w:rsid w:val="00D65B27"/>
    <w:rsid w:val="00D65B63"/>
    <w:rsid w:val="00D65B96"/>
    <w:rsid w:val="00D65BA0"/>
    <w:rsid w:val="00D65BD6"/>
    <w:rsid w:val="00D65C15"/>
    <w:rsid w:val="00D65C21"/>
    <w:rsid w:val="00D65C2A"/>
    <w:rsid w:val="00D65C83"/>
    <w:rsid w:val="00D65CBB"/>
    <w:rsid w:val="00D65CBC"/>
    <w:rsid w:val="00D65CD8"/>
    <w:rsid w:val="00D65D5B"/>
    <w:rsid w:val="00D65D9E"/>
    <w:rsid w:val="00D65DBF"/>
    <w:rsid w:val="00D65DDA"/>
    <w:rsid w:val="00D65E1F"/>
    <w:rsid w:val="00D65ED3"/>
    <w:rsid w:val="00D65ED6"/>
    <w:rsid w:val="00D65F75"/>
    <w:rsid w:val="00D66019"/>
    <w:rsid w:val="00D66083"/>
    <w:rsid w:val="00D66088"/>
    <w:rsid w:val="00D66107"/>
    <w:rsid w:val="00D66156"/>
    <w:rsid w:val="00D66157"/>
    <w:rsid w:val="00D66180"/>
    <w:rsid w:val="00D661A2"/>
    <w:rsid w:val="00D661F6"/>
    <w:rsid w:val="00D66215"/>
    <w:rsid w:val="00D66269"/>
    <w:rsid w:val="00D66283"/>
    <w:rsid w:val="00D66289"/>
    <w:rsid w:val="00D662E7"/>
    <w:rsid w:val="00D66309"/>
    <w:rsid w:val="00D6630F"/>
    <w:rsid w:val="00D66319"/>
    <w:rsid w:val="00D66378"/>
    <w:rsid w:val="00D6637E"/>
    <w:rsid w:val="00D6639C"/>
    <w:rsid w:val="00D663EA"/>
    <w:rsid w:val="00D6640D"/>
    <w:rsid w:val="00D66413"/>
    <w:rsid w:val="00D66421"/>
    <w:rsid w:val="00D6643F"/>
    <w:rsid w:val="00D66457"/>
    <w:rsid w:val="00D664AC"/>
    <w:rsid w:val="00D664F2"/>
    <w:rsid w:val="00D6653C"/>
    <w:rsid w:val="00D6657E"/>
    <w:rsid w:val="00D6658E"/>
    <w:rsid w:val="00D6659B"/>
    <w:rsid w:val="00D665A9"/>
    <w:rsid w:val="00D665EC"/>
    <w:rsid w:val="00D66688"/>
    <w:rsid w:val="00D666A9"/>
    <w:rsid w:val="00D6677F"/>
    <w:rsid w:val="00D66797"/>
    <w:rsid w:val="00D667C1"/>
    <w:rsid w:val="00D667EE"/>
    <w:rsid w:val="00D668BB"/>
    <w:rsid w:val="00D668E8"/>
    <w:rsid w:val="00D66902"/>
    <w:rsid w:val="00D6690D"/>
    <w:rsid w:val="00D6691B"/>
    <w:rsid w:val="00D669A3"/>
    <w:rsid w:val="00D669BF"/>
    <w:rsid w:val="00D66A15"/>
    <w:rsid w:val="00D66A3A"/>
    <w:rsid w:val="00D66A55"/>
    <w:rsid w:val="00D66A57"/>
    <w:rsid w:val="00D66B01"/>
    <w:rsid w:val="00D66B4C"/>
    <w:rsid w:val="00D66B4E"/>
    <w:rsid w:val="00D66B50"/>
    <w:rsid w:val="00D66B70"/>
    <w:rsid w:val="00D66C26"/>
    <w:rsid w:val="00D66C31"/>
    <w:rsid w:val="00D66C38"/>
    <w:rsid w:val="00D66C5F"/>
    <w:rsid w:val="00D66C90"/>
    <w:rsid w:val="00D66DA2"/>
    <w:rsid w:val="00D66DAB"/>
    <w:rsid w:val="00D66DDA"/>
    <w:rsid w:val="00D66DF4"/>
    <w:rsid w:val="00D66E01"/>
    <w:rsid w:val="00D66E0A"/>
    <w:rsid w:val="00D66E2B"/>
    <w:rsid w:val="00D66FC3"/>
    <w:rsid w:val="00D6703B"/>
    <w:rsid w:val="00D670EB"/>
    <w:rsid w:val="00D6719B"/>
    <w:rsid w:val="00D67205"/>
    <w:rsid w:val="00D67237"/>
    <w:rsid w:val="00D67294"/>
    <w:rsid w:val="00D67306"/>
    <w:rsid w:val="00D67371"/>
    <w:rsid w:val="00D674B0"/>
    <w:rsid w:val="00D674B1"/>
    <w:rsid w:val="00D674ED"/>
    <w:rsid w:val="00D6752E"/>
    <w:rsid w:val="00D67589"/>
    <w:rsid w:val="00D675A4"/>
    <w:rsid w:val="00D675C1"/>
    <w:rsid w:val="00D6766D"/>
    <w:rsid w:val="00D67698"/>
    <w:rsid w:val="00D676CD"/>
    <w:rsid w:val="00D676F3"/>
    <w:rsid w:val="00D67747"/>
    <w:rsid w:val="00D67775"/>
    <w:rsid w:val="00D67797"/>
    <w:rsid w:val="00D677EB"/>
    <w:rsid w:val="00D677F3"/>
    <w:rsid w:val="00D67810"/>
    <w:rsid w:val="00D6788C"/>
    <w:rsid w:val="00D678A4"/>
    <w:rsid w:val="00D678DB"/>
    <w:rsid w:val="00D678F0"/>
    <w:rsid w:val="00D67920"/>
    <w:rsid w:val="00D67924"/>
    <w:rsid w:val="00D67932"/>
    <w:rsid w:val="00D67942"/>
    <w:rsid w:val="00D6797C"/>
    <w:rsid w:val="00D67A02"/>
    <w:rsid w:val="00D67A0D"/>
    <w:rsid w:val="00D67A63"/>
    <w:rsid w:val="00D67A7F"/>
    <w:rsid w:val="00D67A8E"/>
    <w:rsid w:val="00D67AE4"/>
    <w:rsid w:val="00D67B13"/>
    <w:rsid w:val="00D67B41"/>
    <w:rsid w:val="00D67B57"/>
    <w:rsid w:val="00D67B87"/>
    <w:rsid w:val="00D67BC4"/>
    <w:rsid w:val="00D67BFB"/>
    <w:rsid w:val="00D67C42"/>
    <w:rsid w:val="00D67CAC"/>
    <w:rsid w:val="00D67D0B"/>
    <w:rsid w:val="00D67D21"/>
    <w:rsid w:val="00D67DAA"/>
    <w:rsid w:val="00D67DE0"/>
    <w:rsid w:val="00D67E00"/>
    <w:rsid w:val="00D67E5B"/>
    <w:rsid w:val="00D67E6C"/>
    <w:rsid w:val="00D67E8C"/>
    <w:rsid w:val="00D67EB6"/>
    <w:rsid w:val="00D67F61"/>
    <w:rsid w:val="00D67F63"/>
    <w:rsid w:val="00D67F91"/>
    <w:rsid w:val="00D67F9F"/>
    <w:rsid w:val="00D67FFD"/>
    <w:rsid w:val="00D698AA"/>
    <w:rsid w:val="00D7003A"/>
    <w:rsid w:val="00D70075"/>
    <w:rsid w:val="00D700A4"/>
    <w:rsid w:val="00D7010E"/>
    <w:rsid w:val="00D70150"/>
    <w:rsid w:val="00D701AD"/>
    <w:rsid w:val="00D701C6"/>
    <w:rsid w:val="00D70211"/>
    <w:rsid w:val="00D7021D"/>
    <w:rsid w:val="00D70233"/>
    <w:rsid w:val="00D702DC"/>
    <w:rsid w:val="00D702FA"/>
    <w:rsid w:val="00D70360"/>
    <w:rsid w:val="00D7036B"/>
    <w:rsid w:val="00D703DD"/>
    <w:rsid w:val="00D70432"/>
    <w:rsid w:val="00D7048F"/>
    <w:rsid w:val="00D704FB"/>
    <w:rsid w:val="00D70504"/>
    <w:rsid w:val="00D70527"/>
    <w:rsid w:val="00D7054F"/>
    <w:rsid w:val="00D7057B"/>
    <w:rsid w:val="00D70580"/>
    <w:rsid w:val="00D70585"/>
    <w:rsid w:val="00D70594"/>
    <w:rsid w:val="00D705A1"/>
    <w:rsid w:val="00D705F3"/>
    <w:rsid w:val="00D705F4"/>
    <w:rsid w:val="00D70615"/>
    <w:rsid w:val="00D706AD"/>
    <w:rsid w:val="00D706BE"/>
    <w:rsid w:val="00D706DA"/>
    <w:rsid w:val="00D70779"/>
    <w:rsid w:val="00D7077A"/>
    <w:rsid w:val="00D70786"/>
    <w:rsid w:val="00D707B1"/>
    <w:rsid w:val="00D707D8"/>
    <w:rsid w:val="00D708C6"/>
    <w:rsid w:val="00D708D5"/>
    <w:rsid w:val="00D70911"/>
    <w:rsid w:val="00D70966"/>
    <w:rsid w:val="00D709B6"/>
    <w:rsid w:val="00D709E6"/>
    <w:rsid w:val="00D70A16"/>
    <w:rsid w:val="00D70A1A"/>
    <w:rsid w:val="00D70A8E"/>
    <w:rsid w:val="00D70AF8"/>
    <w:rsid w:val="00D70BA7"/>
    <w:rsid w:val="00D70BC2"/>
    <w:rsid w:val="00D70CD3"/>
    <w:rsid w:val="00D70CE4"/>
    <w:rsid w:val="00D70D11"/>
    <w:rsid w:val="00D70D4B"/>
    <w:rsid w:val="00D70DE1"/>
    <w:rsid w:val="00D70DFE"/>
    <w:rsid w:val="00D70E13"/>
    <w:rsid w:val="00D70E42"/>
    <w:rsid w:val="00D70E6C"/>
    <w:rsid w:val="00D70EE3"/>
    <w:rsid w:val="00D70EF3"/>
    <w:rsid w:val="00D70F11"/>
    <w:rsid w:val="00D70F67"/>
    <w:rsid w:val="00D70F6D"/>
    <w:rsid w:val="00D70FB4"/>
    <w:rsid w:val="00D70FB5"/>
    <w:rsid w:val="00D70FD2"/>
    <w:rsid w:val="00D7104E"/>
    <w:rsid w:val="00D710E2"/>
    <w:rsid w:val="00D710E3"/>
    <w:rsid w:val="00D710F1"/>
    <w:rsid w:val="00D710F3"/>
    <w:rsid w:val="00D710FB"/>
    <w:rsid w:val="00D711B7"/>
    <w:rsid w:val="00D711B8"/>
    <w:rsid w:val="00D711C4"/>
    <w:rsid w:val="00D711CD"/>
    <w:rsid w:val="00D71212"/>
    <w:rsid w:val="00D71218"/>
    <w:rsid w:val="00D71231"/>
    <w:rsid w:val="00D71244"/>
    <w:rsid w:val="00D7129E"/>
    <w:rsid w:val="00D712A4"/>
    <w:rsid w:val="00D712DD"/>
    <w:rsid w:val="00D712FC"/>
    <w:rsid w:val="00D71304"/>
    <w:rsid w:val="00D7139F"/>
    <w:rsid w:val="00D7140A"/>
    <w:rsid w:val="00D714AA"/>
    <w:rsid w:val="00D714C3"/>
    <w:rsid w:val="00D715E1"/>
    <w:rsid w:val="00D71636"/>
    <w:rsid w:val="00D71683"/>
    <w:rsid w:val="00D7170A"/>
    <w:rsid w:val="00D71713"/>
    <w:rsid w:val="00D71777"/>
    <w:rsid w:val="00D71789"/>
    <w:rsid w:val="00D717A6"/>
    <w:rsid w:val="00D717B9"/>
    <w:rsid w:val="00D717EA"/>
    <w:rsid w:val="00D71835"/>
    <w:rsid w:val="00D718D3"/>
    <w:rsid w:val="00D718D4"/>
    <w:rsid w:val="00D719AE"/>
    <w:rsid w:val="00D719D9"/>
    <w:rsid w:val="00D719EE"/>
    <w:rsid w:val="00D719F9"/>
    <w:rsid w:val="00D71A91"/>
    <w:rsid w:val="00D71AA2"/>
    <w:rsid w:val="00D71BA6"/>
    <w:rsid w:val="00D71BE0"/>
    <w:rsid w:val="00D71C2A"/>
    <w:rsid w:val="00D71C58"/>
    <w:rsid w:val="00D71C67"/>
    <w:rsid w:val="00D71C80"/>
    <w:rsid w:val="00D71CC4"/>
    <w:rsid w:val="00D71CC7"/>
    <w:rsid w:val="00D71CF3"/>
    <w:rsid w:val="00D71CF6"/>
    <w:rsid w:val="00D71D01"/>
    <w:rsid w:val="00D71D9B"/>
    <w:rsid w:val="00D71DC9"/>
    <w:rsid w:val="00D71DEE"/>
    <w:rsid w:val="00D71DF7"/>
    <w:rsid w:val="00D71E1B"/>
    <w:rsid w:val="00D71E36"/>
    <w:rsid w:val="00D71E87"/>
    <w:rsid w:val="00D71EBB"/>
    <w:rsid w:val="00D71F34"/>
    <w:rsid w:val="00D71F60"/>
    <w:rsid w:val="00D71FF0"/>
    <w:rsid w:val="00D71FF8"/>
    <w:rsid w:val="00D72008"/>
    <w:rsid w:val="00D72013"/>
    <w:rsid w:val="00D7201D"/>
    <w:rsid w:val="00D72068"/>
    <w:rsid w:val="00D72070"/>
    <w:rsid w:val="00D72087"/>
    <w:rsid w:val="00D7209E"/>
    <w:rsid w:val="00D720B2"/>
    <w:rsid w:val="00D720D1"/>
    <w:rsid w:val="00D720E4"/>
    <w:rsid w:val="00D72123"/>
    <w:rsid w:val="00D72156"/>
    <w:rsid w:val="00D72168"/>
    <w:rsid w:val="00D72187"/>
    <w:rsid w:val="00D72219"/>
    <w:rsid w:val="00D72279"/>
    <w:rsid w:val="00D7229E"/>
    <w:rsid w:val="00D722E3"/>
    <w:rsid w:val="00D723A7"/>
    <w:rsid w:val="00D723BC"/>
    <w:rsid w:val="00D723E9"/>
    <w:rsid w:val="00D723EA"/>
    <w:rsid w:val="00D72423"/>
    <w:rsid w:val="00D7249D"/>
    <w:rsid w:val="00D724B9"/>
    <w:rsid w:val="00D724BA"/>
    <w:rsid w:val="00D72515"/>
    <w:rsid w:val="00D7252C"/>
    <w:rsid w:val="00D7256E"/>
    <w:rsid w:val="00D725A8"/>
    <w:rsid w:val="00D72668"/>
    <w:rsid w:val="00D7266F"/>
    <w:rsid w:val="00D726F8"/>
    <w:rsid w:val="00D72775"/>
    <w:rsid w:val="00D72777"/>
    <w:rsid w:val="00D727F1"/>
    <w:rsid w:val="00D7284E"/>
    <w:rsid w:val="00D72894"/>
    <w:rsid w:val="00D728E1"/>
    <w:rsid w:val="00D728FF"/>
    <w:rsid w:val="00D7292F"/>
    <w:rsid w:val="00D72970"/>
    <w:rsid w:val="00D729A1"/>
    <w:rsid w:val="00D729F2"/>
    <w:rsid w:val="00D72A31"/>
    <w:rsid w:val="00D72A40"/>
    <w:rsid w:val="00D72A6B"/>
    <w:rsid w:val="00D72AA9"/>
    <w:rsid w:val="00D72AC4"/>
    <w:rsid w:val="00D72AD4"/>
    <w:rsid w:val="00D72B97"/>
    <w:rsid w:val="00D72BA5"/>
    <w:rsid w:val="00D72BCC"/>
    <w:rsid w:val="00D72BDB"/>
    <w:rsid w:val="00D72BEB"/>
    <w:rsid w:val="00D72BFC"/>
    <w:rsid w:val="00D72C3F"/>
    <w:rsid w:val="00D72C91"/>
    <w:rsid w:val="00D72CB2"/>
    <w:rsid w:val="00D72CF8"/>
    <w:rsid w:val="00D72D28"/>
    <w:rsid w:val="00D72D64"/>
    <w:rsid w:val="00D72D70"/>
    <w:rsid w:val="00D72D7C"/>
    <w:rsid w:val="00D72D8C"/>
    <w:rsid w:val="00D72DA1"/>
    <w:rsid w:val="00D72DB3"/>
    <w:rsid w:val="00D72DD2"/>
    <w:rsid w:val="00D72E26"/>
    <w:rsid w:val="00D72E75"/>
    <w:rsid w:val="00D72EBF"/>
    <w:rsid w:val="00D72F0E"/>
    <w:rsid w:val="00D72F24"/>
    <w:rsid w:val="00D72F40"/>
    <w:rsid w:val="00D72F44"/>
    <w:rsid w:val="00D72F8C"/>
    <w:rsid w:val="00D72FB4"/>
    <w:rsid w:val="00D72FC0"/>
    <w:rsid w:val="00D72FC4"/>
    <w:rsid w:val="00D7302A"/>
    <w:rsid w:val="00D730DB"/>
    <w:rsid w:val="00D73111"/>
    <w:rsid w:val="00D73119"/>
    <w:rsid w:val="00D7313E"/>
    <w:rsid w:val="00D73193"/>
    <w:rsid w:val="00D7319C"/>
    <w:rsid w:val="00D731C4"/>
    <w:rsid w:val="00D731CA"/>
    <w:rsid w:val="00D731CF"/>
    <w:rsid w:val="00D731E2"/>
    <w:rsid w:val="00D73260"/>
    <w:rsid w:val="00D73261"/>
    <w:rsid w:val="00D73275"/>
    <w:rsid w:val="00D73281"/>
    <w:rsid w:val="00D732CF"/>
    <w:rsid w:val="00D732E7"/>
    <w:rsid w:val="00D73320"/>
    <w:rsid w:val="00D733EA"/>
    <w:rsid w:val="00D73419"/>
    <w:rsid w:val="00D7346D"/>
    <w:rsid w:val="00D7346F"/>
    <w:rsid w:val="00D7347C"/>
    <w:rsid w:val="00D734AA"/>
    <w:rsid w:val="00D734AF"/>
    <w:rsid w:val="00D734E9"/>
    <w:rsid w:val="00D735F7"/>
    <w:rsid w:val="00D735FD"/>
    <w:rsid w:val="00D7361C"/>
    <w:rsid w:val="00D73687"/>
    <w:rsid w:val="00D736C1"/>
    <w:rsid w:val="00D73713"/>
    <w:rsid w:val="00D73726"/>
    <w:rsid w:val="00D73732"/>
    <w:rsid w:val="00D73756"/>
    <w:rsid w:val="00D73763"/>
    <w:rsid w:val="00D73772"/>
    <w:rsid w:val="00D7378D"/>
    <w:rsid w:val="00D737B2"/>
    <w:rsid w:val="00D737EF"/>
    <w:rsid w:val="00D737FA"/>
    <w:rsid w:val="00D73855"/>
    <w:rsid w:val="00D73874"/>
    <w:rsid w:val="00D73897"/>
    <w:rsid w:val="00D738A2"/>
    <w:rsid w:val="00D738F4"/>
    <w:rsid w:val="00D7395F"/>
    <w:rsid w:val="00D73996"/>
    <w:rsid w:val="00D739DB"/>
    <w:rsid w:val="00D739F8"/>
    <w:rsid w:val="00D73A1C"/>
    <w:rsid w:val="00D73A77"/>
    <w:rsid w:val="00D73AAB"/>
    <w:rsid w:val="00D73AEB"/>
    <w:rsid w:val="00D73BB8"/>
    <w:rsid w:val="00D73BD2"/>
    <w:rsid w:val="00D73C0D"/>
    <w:rsid w:val="00D73C31"/>
    <w:rsid w:val="00D73CC1"/>
    <w:rsid w:val="00D73D57"/>
    <w:rsid w:val="00D73DA2"/>
    <w:rsid w:val="00D73DB8"/>
    <w:rsid w:val="00D73DBE"/>
    <w:rsid w:val="00D73DCA"/>
    <w:rsid w:val="00D73DE6"/>
    <w:rsid w:val="00D73E11"/>
    <w:rsid w:val="00D73E1E"/>
    <w:rsid w:val="00D73E29"/>
    <w:rsid w:val="00D73E7B"/>
    <w:rsid w:val="00D73EAA"/>
    <w:rsid w:val="00D73ED3"/>
    <w:rsid w:val="00D73EE5"/>
    <w:rsid w:val="00D73F26"/>
    <w:rsid w:val="00D73F69"/>
    <w:rsid w:val="00D73F78"/>
    <w:rsid w:val="00D73F83"/>
    <w:rsid w:val="00D73F8E"/>
    <w:rsid w:val="00D74020"/>
    <w:rsid w:val="00D74026"/>
    <w:rsid w:val="00D74081"/>
    <w:rsid w:val="00D74092"/>
    <w:rsid w:val="00D7409A"/>
    <w:rsid w:val="00D740F5"/>
    <w:rsid w:val="00D74141"/>
    <w:rsid w:val="00D74208"/>
    <w:rsid w:val="00D742F2"/>
    <w:rsid w:val="00D74303"/>
    <w:rsid w:val="00D7430B"/>
    <w:rsid w:val="00D74348"/>
    <w:rsid w:val="00D7435E"/>
    <w:rsid w:val="00D7437D"/>
    <w:rsid w:val="00D74420"/>
    <w:rsid w:val="00D7447D"/>
    <w:rsid w:val="00D74492"/>
    <w:rsid w:val="00D744E2"/>
    <w:rsid w:val="00D745B2"/>
    <w:rsid w:val="00D7460A"/>
    <w:rsid w:val="00D74695"/>
    <w:rsid w:val="00D746DC"/>
    <w:rsid w:val="00D746E2"/>
    <w:rsid w:val="00D74789"/>
    <w:rsid w:val="00D747D0"/>
    <w:rsid w:val="00D74821"/>
    <w:rsid w:val="00D74880"/>
    <w:rsid w:val="00D74883"/>
    <w:rsid w:val="00D74886"/>
    <w:rsid w:val="00D748AC"/>
    <w:rsid w:val="00D74931"/>
    <w:rsid w:val="00D7493A"/>
    <w:rsid w:val="00D7497D"/>
    <w:rsid w:val="00D74982"/>
    <w:rsid w:val="00D749B2"/>
    <w:rsid w:val="00D749B5"/>
    <w:rsid w:val="00D749C0"/>
    <w:rsid w:val="00D74A6D"/>
    <w:rsid w:val="00D74AA0"/>
    <w:rsid w:val="00D74ABE"/>
    <w:rsid w:val="00D74ADA"/>
    <w:rsid w:val="00D74B12"/>
    <w:rsid w:val="00D74B55"/>
    <w:rsid w:val="00D74B70"/>
    <w:rsid w:val="00D74BA2"/>
    <w:rsid w:val="00D74BD5"/>
    <w:rsid w:val="00D74BE7"/>
    <w:rsid w:val="00D74C03"/>
    <w:rsid w:val="00D74C10"/>
    <w:rsid w:val="00D74C73"/>
    <w:rsid w:val="00D74C8A"/>
    <w:rsid w:val="00D74C9D"/>
    <w:rsid w:val="00D74CF0"/>
    <w:rsid w:val="00D74D1C"/>
    <w:rsid w:val="00D74DDF"/>
    <w:rsid w:val="00D74DE1"/>
    <w:rsid w:val="00D74DE4"/>
    <w:rsid w:val="00D74E4D"/>
    <w:rsid w:val="00D74E75"/>
    <w:rsid w:val="00D74E92"/>
    <w:rsid w:val="00D74ED7"/>
    <w:rsid w:val="00D74F4D"/>
    <w:rsid w:val="00D74FCC"/>
    <w:rsid w:val="00D74FDB"/>
    <w:rsid w:val="00D74FF6"/>
    <w:rsid w:val="00D75027"/>
    <w:rsid w:val="00D75028"/>
    <w:rsid w:val="00D7502D"/>
    <w:rsid w:val="00D75069"/>
    <w:rsid w:val="00D750DA"/>
    <w:rsid w:val="00D750DC"/>
    <w:rsid w:val="00D7512E"/>
    <w:rsid w:val="00D75131"/>
    <w:rsid w:val="00D7516A"/>
    <w:rsid w:val="00D75182"/>
    <w:rsid w:val="00D751D4"/>
    <w:rsid w:val="00D751E2"/>
    <w:rsid w:val="00D751F4"/>
    <w:rsid w:val="00D7529F"/>
    <w:rsid w:val="00D752E5"/>
    <w:rsid w:val="00D753A0"/>
    <w:rsid w:val="00D753F0"/>
    <w:rsid w:val="00D753F2"/>
    <w:rsid w:val="00D754A0"/>
    <w:rsid w:val="00D754C2"/>
    <w:rsid w:val="00D754EF"/>
    <w:rsid w:val="00D75538"/>
    <w:rsid w:val="00D755C1"/>
    <w:rsid w:val="00D755C6"/>
    <w:rsid w:val="00D75662"/>
    <w:rsid w:val="00D75680"/>
    <w:rsid w:val="00D75694"/>
    <w:rsid w:val="00D756D1"/>
    <w:rsid w:val="00D756E1"/>
    <w:rsid w:val="00D756FB"/>
    <w:rsid w:val="00D75732"/>
    <w:rsid w:val="00D75756"/>
    <w:rsid w:val="00D75786"/>
    <w:rsid w:val="00D75798"/>
    <w:rsid w:val="00D757B5"/>
    <w:rsid w:val="00D757F4"/>
    <w:rsid w:val="00D758C4"/>
    <w:rsid w:val="00D758C6"/>
    <w:rsid w:val="00D758F0"/>
    <w:rsid w:val="00D7591D"/>
    <w:rsid w:val="00D75950"/>
    <w:rsid w:val="00D75952"/>
    <w:rsid w:val="00D7597A"/>
    <w:rsid w:val="00D75A59"/>
    <w:rsid w:val="00D75A5B"/>
    <w:rsid w:val="00D75A79"/>
    <w:rsid w:val="00D75A7E"/>
    <w:rsid w:val="00D75AD4"/>
    <w:rsid w:val="00D75AFA"/>
    <w:rsid w:val="00D75B0D"/>
    <w:rsid w:val="00D75B29"/>
    <w:rsid w:val="00D75B81"/>
    <w:rsid w:val="00D75B85"/>
    <w:rsid w:val="00D75B9D"/>
    <w:rsid w:val="00D75BB2"/>
    <w:rsid w:val="00D75BF7"/>
    <w:rsid w:val="00D75BFA"/>
    <w:rsid w:val="00D75C83"/>
    <w:rsid w:val="00D75CA1"/>
    <w:rsid w:val="00D75CD9"/>
    <w:rsid w:val="00D75DC7"/>
    <w:rsid w:val="00D75DCC"/>
    <w:rsid w:val="00D75DE2"/>
    <w:rsid w:val="00D75E57"/>
    <w:rsid w:val="00D75FA1"/>
    <w:rsid w:val="00D75FE6"/>
    <w:rsid w:val="00D75FF5"/>
    <w:rsid w:val="00D760DA"/>
    <w:rsid w:val="00D76103"/>
    <w:rsid w:val="00D76114"/>
    <w:rsid w:val="00D7613F"/>
    <w:rsid w:val="00D7614C"/>
    <w:rsid w:val="00D761CA"/>
    <w:rsid w:val="00D761CC"/>
    <w:rsid w:val="00D761FC"/>
    <w:rsid w:val="00D76226"/>
    <w:rsid w:val="00D76232"/>
    <w:rsid w:val="00D76271"/>
    <w:rsid w:val="00D76290"/>
    <w:rsid w:val="00D762A7"/>
    <w:rsid w:val="00D762C4"/>
    <w:rsid w:val="00D76307"/>
    <w:rsid w:val="00D763A9"/>
    <w:rsid w:val="00D763D9"/>
    <w:rsid w:val="00D763ED"/>
    <w:rsid w:val="00D763F7"/>
    <w:rsid w:val="00D76424"/>
    <w:rsid w:val="00D76434"/>
    <w:rsid w:val="00D76448"/>
    <w:rsid w:val="00D764B8"/>
    <w:rsid w:val="00D764BC"/>
    <w:rsid w:val="00D7651A"/>
    <w:rsid w:val="00D7656C"/>
    <w:rsid w:val="00D7657A"/>
    <w:rsid w:val="00D7658B"/>
    <w:rsid w:val="00D7659C"/>
    <w:rsid w:val="00D7661B"/>
    <w:rsid w:val="00D7661D"/>
    <w:rsid w:val="00D76678"/>
    <w:rsid w:val="00D766B8"/>
    <w:rsid w:val="00D766E0"/>
    <w:rsid w:val="00D766E1"/>
    <w:rsid w:val="00D766E5"/>
    <w:rsid w:val="00D7670F"/>
    <w:rsid w:val="00D76711"/>
    <w:rsid w:val="00D76714"/>
    <w:rsid w:val="00D7672A"/>
    <w:rsid w:val="00D7672D"/>
    <w:rsid w:val="00D76788"/>
    <w:rsid w:val="00D767E8"/>
    <w:rsid w:val="00D76859"/>
    <w:rsid w:val="00D76872"/>
    <w:rsid w:val="00D7689D"/>
    <w:rsid w:val="00D768C4"/>
    <w:rsid w:val="00D76914"/>
    <w:rsid w:val="00D76923"/>
    <w:rsid w:val="00D76A0C"/>
    <w:rsid w:val="00D76A58"/>
    <w:rsid w:val="00D76B19"/>
    <w:rsid w:val="00D76B2C"/>
    <w:rsid w:val="00D76BED"/>
    <w:rsid w:val="00D76BFA"/>
    <w:rsid w:val="00D76C35"/>
    <w:rsid w:val="00D76C3A"/>
    <w:rsid w:val="00D76C87"/>
    <w:rsid w:val="00D76CC8"/>
    <w:rsid w:val="00D76CCA"/>
    <w:rsid w:val="00D76CD4"/>
    <w:rsid w:val="00D76D39"/>
    <w:rsid w:val="00D76D40"/>
    <w:rsid w:val="00D76D54"/>
    <w:rsid w:val="00D76D7C"/>
    <w:rsid w:val="00D76D9F"/>
    <w:rsid w:val="00D76DDA"/>
    <w:rsid w:val="00D76DF8"/>
    <w:rsid w:val="00D76E0F"/>
    <w:rsid w:val="00D76E45"/>
    <w:rsid w:val="00D76E77"/>
    <w:rsid w:val="00D76E88"/>
    <w:rsid w:val="00D76EBE"/>
    <w:rsid w:val="00D76ED4"/>
    <w:rsid w:val="00D76F30"/>
    <w:rsid w:val="00D76F84"/>
    <w:rsid w:val="00D76FDC"/>
    <w:rsid w:val="00D76FEC"/>
    <w:rsid w:val="00D77011"/>
    <w:rsid w:val="00D77057"/>
    <w:rsid w:val="00D770B2"/>
    <w:rsid w:val="00D770BF"/>
    <w:rsid w:val="00D770C7"/>
    <w:rsid w:val="00D770DA"/>
    <w:rsid w:val="00D770FF"/>
    <w:rsid w:val="00D7711E"/>
    <w:rsid w:val="00D7712A"/>
    <w:rsid w:val="00D77157"/>
    <w:rsid w:val="00D77187"/>
    <w:rsid w:val="00D771E0"/>
    <w:rsid w:val="00D7726C"/>
    <w:rsid w:val="00D7726E"/>
    <w:rsid w:val="00D7729B"/>
    <w:rsid w:val="00D7731B"/>
    <w:rsid w:val="00D7739C"/>
    <w:rsid w:val="00D7739E"/>
    <w:rsid w:val="00D773C1"/>
    <w:rsid w:val="00D773E9"/>
    <w:rsid w:val="00D773F2"/>
    <w:rsid w:val="00D77404"/>
    <w:rsid w:val="00D77439"/>
    <w:rsid w:val="00D774D8"/>
    <w:rsid w:val="00D77563"/>
    <w:rsid w:val="00D77665"/>
    <w:rsid w:val="00D7766A"/>
    <w:rsid w:val="00D7767F"/>
    <w:rsid w:val="00D77685"/>
    <w:rsid w:val="00D776A9"/>
    <w:rsid w:val="00D776E7"/>
    <w:rsid w:val="00D77720"/>
    <w:rsid w:val="00D77746"/>
    <w:rsid w:val="00D7774C"/>
    <w:rsid w:val="00D77829"/>
    <w:rsid w:val="00D7789E"/>
    <w:rsid w:val="00D7793F"/>
    <w:rsid w:val="00D7795F"/>
    <w:rsid w:val="00D779A8"/>
    <w:rsid w:val="00D779F3"/>
    <w:rsid w:val="00D77A00"/>
    <w:rsid w:val="00D77A24"/>
    <w:rsid w:val="00D77A68"/>
    <w:rsid w:val="00D77A91"/>
    <w:rsid w:val="00D77AA9"/>
    <w:rsid w:val="00D77ACE"/>
    <w:rsid w:val="00D77BFA"/>
    <w:rsid w:val="00D77C28"/>
    <w:rsid w:val="00D77C2C"/>
    <w:rsid w:val="00D77C2D"/>
    <w:rsid w:val="00D77C43"/>
    <w:rsid w:val="00D77C75"/>
    <w:rsid w:val="00D77C94"/>
    <w:rsid w:val="00D77CCF"/>
    <w:rsid w:val="00D77CE4"/>
    <w:rsid w:val="00D77DCE"/>
    <w:rsid w:val="00D77E01"/>
    <w:rsid w:val="00D77E34"/>
    <w:rsid w:val="00D77E68"/>
    <w:rsid w:val="00D77E71"/>
    <w:rsid w:val="00D77E80"/>
    <w:rsid w:val="00D77E8B"/>
    <w:rsid w:val="00D77ECE"/>
    <w:rsid w:val="00D77EDE"/>
    <w:rsid w:val="00D77FC7"/>
    <w:rsid w:val="00D77FEE"/>
    <w:rsid w:val="00D77FF1"/>
    <w:rsid w:val="00D77FFA"/>
    <w:rsid w:val="00D80024"/>
    <w:rsid w:val="00D800D0"/>
    <w:rsid w:val="00D80170"/>
    <w:rsid w:val="00D8022B"/>
    <w:rsid w:val="00D80286"/>
    <w:rsid w:val="00D8029B"/>
    <w:rsid w:val="00D8031E"/>
    <w:rsid w:val="00D8032A"/>
    <w:rsid w:val="00D8033D"/>
    <w:rsid w:val="00D8035A"/>
    <w:rsid w:val="00D80361"/>
    <w:rsid w:val="00D80396"/>
    <w:rsid w:val="00D80407"/>
    <w:rsid w:val="00D80417"/>
    <w:rsid w:val="00D8042A"/>
    <w:rsid w:val="00D8042C"/>
    <w:rsid w:val="00D80469"/>
    <w:rsid w:val="00D804D5"/>
    <w:rsid w:val="00D804F2"/>
    <w:rsid w:val="00D804FE"/>
    <w:rsid w:val="00D80519"/>
    <w:rsid w:val="00D8051E"/>
    <w:rsid w:val="00D80575"/>
    <w:rsid w:val="00D805E7"/>
    <w:rsid w:val="00D80642"/>
    <w:rsid w:val="00D80648"/>
    <w:rsid w:val="00D80666"/>
    <w:rsid w:val="00D8070A"/>
    <w:rsid w:val="00D8075B"/>
    <w:rsid w:val="00D80762"/>
    <w:rsid w:val="00D8076F"/>
    <w:rsid w:val="00D807A8"/>
    <w:rsid w:val="00D807A9"/>
    <w:rsid w:val="00D807DE"/>
    <w:rsid w:val="00D807F0"/>
    <w:rsid w:val="00D80800"/>
    <w:rsid w:val="00D80802"/>
    <w:rsid w:val="00D80807"/>
    <w:rsid w:val="00D80823"/>
    <w:rsid w:val="00D808D2"/>
    <w:rsid w:val="00D808D7"/>
    <w:rsid w:val="00D8092C"/>
    <w:rsid w:val="00D80A54"/>
    <w:rsid w:val="00D80AC2"/>
    <w:rsid w:val="00D80AF1"/>
    <w:rsid w:val="00D80B18"/>
    <w:rsid w:val="00D80B2D"/>
    <w:rsid w:val="00D80B66"/>
    <w:rsid w:val="00D80B7E"/>
    <w:rsid w:val="00D80BC2"/>
    <w:rsid w:val="00D80BF4"/>
    <w:rsid w:val="00D80C03"/>
    <w:rsid w:val="00D80C85"/>
    <w:rsid w:val="00D80CE2"/>
    <w:rsid w:val="00D80CE3"/>
    <w:rsid w:val="00D80DE8"/>
    <w:rsid w:val="00D80E18"/>
    <w:rsid w:val="00D80E58"/>
    <w:rsid w:val="00D80EA5"/>
    <w:rsid w:val="00D80ECB"/>
    <w:rsid w:val="00D80EE4"/>
    <w:rsid w:val="00D80EFB"/>
    <w:rsid w:val="00D80FB7"/>
    <w:rsid w:val="00D80FBA"/>
    <w:rsid w:val="00D80FEF"/>
    <w:rsid w:val="00D81016"/>
    <w:rsid w:val="00D81030"/>
    <w:rsid w:val="00D81047"/>
    <w:rsid w:val="00D810EB"/>
    <w:rsid w:val="00D8111A"/>
    <w:rsid w:val="00D81123"/>
    <w:rsid w:val="00D811B8"/>
    <w:rsid w:val="00D811C1"/>
    <w:rsid w:val="00D811D3"/>
    <w:rsid w:val="00D811F6"/>
    <w:rsid w:val="00D8120A"/>
    <w:rsid w:val="00D81210"/>
    <w:rsid w:val="00D81221"/>
    <w:rsid w:val="00D8123E"/>
    <w:rsid w:val="00D8124D"/>
    <w:rsid w:val="00D8124E"/>
    <w:rsid w:val="00D8125F"/>
    <w:rsid w:val="00D812CC"/>
    <w:rsid w:val="00D81310"/>
    <w:rsid w:val="00D8131C"/>
    <w:rsid w:val="00D8136E"/>
    <w:rsid w:val="00D813D5"/>
    <w:rsid w:val="00D813E6"/>
    <w:rsid w:val="00D813F2"/>
    <w:rsid w:val="00D81407"/>
    <w:rsid w:val="00D8141C"/>
    <w:rsid w:val="00D81441"/>
    <w:rsid w:val="00D81455"/>
    <w:rsid w:val="00D8145A"/>
    <w:rsid w:val="00D81482"/>
    <w:rsid w:val="00D814E6"/>
    <w:rsid w:val="00D814EA"/>
    <w:rsid w:val="00D81582"/>
    <w:rsid w:val="00D815DC"/>
    <w:rsid w:val="00D815E0"/>
    <w:rsid w:val="00D815FA"/>
    <w:rsid w:val="00D81681"/>
    <w:rsid w:val="00D816BC"/>
    <w:rsid w:val="00D816CA"/>
    <w:rsid w:val="00D8170E"/>
    <w:rsid w:val="00D81785"/>
    <w:rsid w:val="00D817EA"/>
    <w:rsid w:val="00D81808"/>
    <w:rsid w:val="00D8183D"/>
    <w:rsid w:val="00D8184D"/>
    <w:rsid w:val="00D8185A"/>
    <w:rsid w:val="00D818BC"/>
    <w:rsid w:val="00D818EB"/>
    <w:rsid w:val="00D81915"/>
    <w:rsid w:val="00D8194E"/>
    <w:rsid w:val="00D819A3"/>
    <w:rsid w:val="00D819CC"/>
    <w:rsid w:val="00D81A28"/>
    <w:rsid w:val="00D81A32"/>
    <w:rsid w:val="00D81A51"/>
    <w:rsid w:val="00D81AAE"/>
    <w:rsid w:val="00D81ABE"/>
    <w:rsid w:val="00D81AE3"/>
    <w:rsid w:val="00D81AEB"/>
    <w:rsid w:val="00D81B23"/>
    <w:rsid w:val="00D81B4F"/>
    <w:rsid w:val="00D81B80"/>
    <w:rsid w:val="00D81B86"/>
    <w:rsid w:val="00D81C29"/>
    <w:rsid w:val="00D81C52"/>
    <w:rsid w:val="00D81CF6"/>
    <w:rsid w:val="00D81D29"/>
    <w:rsid w:val="00D81D3A"/>
    <w:rsid w:val="00D81D4C"/>
    <w:rsid w:val="00D81D68"/>
    <w:rsid w:val="00D81DDD"/>
    <w:rsid w:val="00D81E07"/>
    <w:rsid w:val="00D81E28"/>
    <w:rsid w:val="00D81E74"/>
    <w:rsid w:val="00D81EB7"/>
    <w:rsid w:val="00D81ECC"/>
    <w:rsid w:val="00D81F44"/>
    <w:rsid w:val="00D81FCE"/>
    <w:rsid w:val="00D81FDB"/>
    <w:rsid w:val="00D82090"/>
    <w:rsid w:val="00D820C0"/>
    <w:rsid w:val="00D8213E"/>
    <w:rsid w:val="00D82152"/>
    <w:rsid w:val="00D8219C"/>
    <w:rsid w:val="00D821D2"/>
    <w:rsid w:val="00D821DA"/>
    <w:rsid w:val="00D8222A"/>
    <w:rsid w:val="00D82234"/>
    <w:rsid w:val="00D822E9"/>
    <w:rsid w:val="00D82340"/>
    <w:rsid w:val="00D8235E"/>
    <w:rsid w:val="00D82379"/>
    <w:rsid w:val="00D823BF"/>
    <w:rsid w:val="00D823DF"/>
    <w:rsid w:val="00D823F1"/>
    <w:rsid w:val="00D823F7"/>
    <w:rsid w:val="00D82416"/>
    <w:rsid w:val="00D82454"/>
    <w:rsid w:val="00D8246B"/>
    <w:rsid w:val="00D8247A"/>
    <w:rsid w:val="00D824D2"/>
    <w:rsid w:val="00D824EA"/>
    <w:rsid w:val="00D824F4"/>
    <w:rsid w:val="00D8250C"/>
    <w:rsid w:val="00D82540"/>
    <w:rsid w:val="00D82593"/>
    <w:rsid w:val="00D825FF"/>
    <w:rsid w:val="00D82604"/>
    <w:rsid w:val="00D8262E"/>
    <w:rsid w:val="00D82645"/>
    <w:rsid w:val="00D82680"/>
    <w:rsid w:val="00D82691"/>
    <w:rsid w:val="00D826AD"/>
    <w:rsid w:val="00D826C8"/>
    <w:rsid w:val="00D826F7"/>
    <w:rsid w:val="00D82762"/>
    <w:rsid w:val="00D827D7"/>
    <w:rsid w:val="00D827F0"/>
    <w:rsid w:val="00D82829"/>
    <w:rsid w:val="00D82841"/>
    <w:rsid w:val="00D82867"/>
    <w:rsid w:val="00D8289B"/>
    <w:rsid w:val="00D828B2"/>
    <w:rsid w:val="00D828FA"/>
    <w:rsid w:val="00D82955"/>
    <w:rsid w:val="00D82988"/>
    <w:rsid w:val="00D82999"/>
    <w:rsid w:val="00D8299D"/>
    <w:rsid w:val="00D829E4"/>
    <w:rsid w:val="00D82A22"/>
    <w:rsid w:val="00D82A48"/>
    <w:rsid w:val="00D82ACE"/>
    <w:rsid w:val="00D82B09"/>
    <w:rsid w:val="00D82B62"/>
    <w:rsid w:val="00D82B84"/>
    <w:rsid w:val="00D82B87"/>
    <w:rsid w:val="00D82BDC"/>
    <w:rsid w:val="00D82C1B"/>
    <w:rsid w:val="00D82C25"/>
    <w:rsid w:val="00D82C4A"/>
    <w:rsid w:val="00D82CE1"/>
    <w:rsid w:val="00D82D09"/>
    <w:rsid w:val="00D82D0F"/>
    <w:rsid w:val="00D82D52"/>
    <w:rsid w:val="00D82D73"/>
    <w:rsid w:val="00D82DDC"/>
    <w:rsid w:val="00D82DF9"/>
    <w:rsid w:val="00D82E8A"/>
    <w:rsid w:val="00D82EF6"/>
    <w:rsid w:val="00D82F70"/>
    <w:rsid w:val="00D82F7E"/>
    <w:rsid w:val="00D82FA7"/>
    <w:rsid w:val="00D82FDC"/>
    <w:rsid w:val="00D830B9"/>
    <w:rsid w:val="00D830C1"/>
    <w:rsid w:val="00D830EA"/>
    <w:rsid w:val="00D830F3"/>
    <w:rsid w:val="00D83145"/>
    <w:rsid w:val="00D831CA"/>
    <w:rsid w:val="00D83213"/>
    <w:rsid w:val="00D8321B"/>
    <w:rsid w:val="00D83228"/>
    <w:rsid w:val="00D8325D"/>
    <w:rsid w:val="00D8325F"/>
    <w:rsid w:val="00D8326F"/>
    <w:rsid w:val="00D8328D"/>
    <w:rsid w:val="00D8332D"/>
    <w:rsid w:val="00D83357"/>
    <w:rsid w:val="00D83398"/>
    <w:rsid w:val="00D833DC"/>
    <w:rsid w:val="00D8345C"/>
    <w:rsid w:val="00D83466"/>
    <w:rsid w:val="00D8347D"/>
    <w:rsid w:val="00D834BE"/>
    <w:rsid w:val="00D8351D"/>
    <w:rsid w:val="00D8351F"/>
    <w:rsid w:val="00D8352E"/>
    <w:rsid w:val="00D83693"/>
    <w:rsid w:val="00D83699"/>
    <w:rsid w:val="00D83792"/>
    <w:rsid w:val="00D837DD"/>
    <w:rsid w:val="00D837E4"/>
    <w:rsid w:val="00D83806"/>
    <w:rsid w:val="00D8380B"/>
    <w:rsid w:val="00D8385E"/>
    <w:rsid w:val="00D83876"/>
    <w:rsid w:val="00D83894"/>
    <w:rsid w:val="00D838C7"/>
    <w:rsid w:val="00D83901"/>
    <w:rsid w:val="00D83956"/>
    <w:rsid w:val="00D839E8"/>
    <w:rsid w:val="00D839EB"/>
    <w:rsid w:val="00D839F6"/>
    <w:rsid w:val="00D83A9D"/>
    <w:rsid w:val="00D83ADA"/>
    <w:rsid w:val="00D83AE6"/>
    <w:rsid w:val="00D83BB8"/>
    <w:rsid w:val="00D83C05"/>
    <w:rsid w:val="00D83C42"/>
    <w:rsid w:val="00D83C98"/>
    <w:rsid w:val="00D83CE0"/>
    <w:rsid w:val="00D83CFC"/>
    <w:rsid w:val="00D83D19"/>
    <w:rsid w:val="00D83D2B"/>
    <w:rsid w:val="00D83D72"/>
    <w:rsid w:val="00D83DE3"/>
    <w:rsid w:val="00D83DE5"/>
    <w:rsid w:val="00D83E83"/>
    <w:rsid w:val="00D83EBB"/>
    <w:rsid w:val="00D83ED0"/>
    <w:rsid w:val="00D83EE0"/>
    <w:rsid w:val="00D83F24"/>
    <w:rsid w:val="00D83F41"/>
    <w:rsid w:val="00D83FEF"/>
    <w:rsid w:val="00D84074"/>
    <w:rsid w:val="00D840A7"/>
    <w:rsid w:val="00D840C2"/>
    <w:rsid w:val="00D84103"/>
    <w:rsid w:val="00D84118"/>
    <w:rsid w:val="00D84122"/>
    <w:rsid w:val="00D8418A"/>
    <w:rsid w:val="00D84191"/>
    <w:rsid w:val="00D841AB"/>
    <w:rsid w:val="00D842DF"/>
    <w:rsid w:val="00D84318"/>
    <w:rsid w:val="00D843B2"/>
    <w:rsid w:val="00D8440A"/>
    <w:rsid w:val="00D84411"/>
    <w:rsid w:val="00D8442B"/>
    <w:rsid w:val="00D84432"/>
    <w:rsid w:val="00D8448B"/>
    <w:rsid w:val="00D84554"/>
    <w:rsid w:val="00D8455F"/>
    <w:rsid w:val="00D8456E"/>
    <w:rsid w:val="00D845B6"/>
    <w:rsid w:val="00D845C1"/>
    <w:rsid w:val="00D845CB"/>
    <w:rsid w:val="00D84668"/>
    <w:rsid w:val="00D84669"/>
    <w:rsid w:val="00D846B4"/>
    <w:rsid w:val="00D84761"/>
    <w:rsid w:val="00D847B8"/>
    <w:rsid w:val="00D847E8"/>
    <w:rsid w:val="00D847F1"/>
    <w:rsid w:val="00D847F3"/>
    <w:rsid w:val="00D84805"/>
    <w:rsid w:val="00D84850"/>
    <w:rsid w:val="00D8487A"/>
    <w:rsid w:val="00D848A1"/>
    <w:rsid w:val="00D848BD"/>
    <w:rsid w:val="00D84908"/>
    <w:rsid w:val="00D84935"/>
    <w:rsid w:val="00D8497D"/>
    <w:rsid w:val="00D849D1"/>
    <w:rsid w:val="00D849D9"/>
    <w:rsid w:val="00D849F6"/>
    <w:rsid w:val="00D84A19"/>
    <w:rsid w:val="00D84A23"/>
    <w:rsid w:val="00D84AB2"/>
    <w:rsid w:val="00D84AC3"/>
    <w:rsid w:val="00D84BE1"/>
    <w:rsid w:val="00D84C01"/>
    <w:rsid w:val="00D84C11"/>
    <w:rsid w:val="00D84C20"/>
    <w:rsid w:val="00D84C22"/>
    <w:rsid w:val="00D84C6F"/>
    <w:rsid w:val="00D84C92"/>
    <w:rsid w:val="00D84CF6"/>
    <w:rsid w:val="00D84D13"/>
    <w:rsid w:val="00D84DE7"/>
    <w:rsid w:val="00D84DF0"/>
    <w:rsid w:val="00D84E59"/>
    <w:rsid w:val="00D84E78"/>
    <w:rsid w:val="00D84E7C"/>
    <w:rsid w:val="00D84E9C"/>
    <w:rsid w:val="00D84EAE"/>
    <w:rsid w:val="00D84F55"/>
    <w:rsid w:val="00D84F84"/>
    <w:rsid w:val="00D84FD9"/>
    <w:rsid w:val="00D84FDC"/>
    <w:rsid w:val="00D84FE3"/>
    <w:rsid w:val="00D85043"/>
    <w:rsid w:val="00D850CC"/>
    <w:rsid w:val="00D850E1"/>
    <w:rsid w:val="00D851BB"/>
    <w:rsid w:val="00D851BF"/>
    <w:rsid w:val="00D851F7"/>
    <w:rsid w:val="00D8522B"/>
    <w:rsid w:val="00D852A3"/>
    <w:rsid w:val="00D852A8"/>
    <w:rsid w:val="00D852D9"/>
    <w:rsid w:val="00D852EE"/>
    <w:rsid w:val="00D853E7"/>
    <w:rsid w:val="00D8543E"/>
    <w:rsid w:val="00D854A5"/>
    <w:rsid w:val="00D854E5"/>
    <w:rsid w:val="00D855C1"/>
    <w:rsid w:val="00D8560E"/>
    <w:rsid w:val="00D85639"/>
    <w:rsid w:val="00D85650"/>
    <w:rsid w:val="00D856B2"/>
    <w:rsid w:val="00D856E0"/>
    <w:rsid w:val="00D856F9"/>
    <w:rsid w:val="00D8570B"/>
    <w:rsid w:val="00D85721"/>
    <w:rsid w:val="00D85733"/>
    <w:rsid w:val="00D8575A"/>
    <w:rsid w:val="00D857BB"/>
    <w:rsid w:val="00D85902"/>
    <w:rsid w:val="00D8591E"/>
    <w:rsid w:val="00D85928"/>
    <w:rsid w:val="00D8596D"/>
    <w:rsid w:val="00D859BE"/>
    <w:rsid w:val="00D859D4"/>
    <w:rsid w:val="00D85A45"/>
    <w:rsid w:val="00D85A47"/>
    <w:rsid w:val="00D85A60"/>
    <w:rsid w:val="00D85AB0"/>
    <w:rsid w:val="00D85ABB"/>
    <w:rsid w:val="00D85B03"/>
    <w:rsid w:val="00D85B26"/>
    <w:rsid w:val="00D85B71"/>
    <w:rsid w:val="00D85BD1"/>
    <w:rsid w:val="00D85C14"/>
    <w:rsid w:val="00D85C2D"/>
    <w:rsid w:val="00D85C31"/>
    <w:rsid w:val="00D85C72"/>
    <w:rsid w:val="00D85C91"/>
    <w:rsid w:val="00D85CA9"/>
    <w:rsid w:val="00D85CB1"/>
    <w:rsid w:val="00D85CF0"/>
    <w:rsid w:val="00D85D06"/>
    <w:rsid w:val="00D85D1B"/>
    <w:rsid w:val="00D85D1C"/>
    <w:rsid w:val="00D85D5D"/>
    <w:rsid w:val="00D85DE2"/>
    <w:rsid w:val="00D85DE7"/>
    <w:rsid w:val="00D85EDA"/>
    <w:rsid w:val="00D85EDF"/>
    <w:rsid w:val="00D85F79"/>
    <w:rsid w:val="00D85F8F"/>
    <w:rsid w:val="00D85FB0"/>
    <w:rsid w:val="00D8604B"/>
    <w:rsid w:val="00D8604F"/>
    <w:rsid w:val="00D8606D"/>
    <w:rsid w:val="00D8607E"/>
    <w:rsid w:val="00D860A3"/>
    <w:rsid w:val="00D860E9"/>
    <w:rsid w:val="00D8610D"/>
    <w:rsid w:val="00D8617C"/>
    <w:rsid w:val="00D86188"/>
    <w:rsid w:val="00D86191"/>
    <w:rsid w:val="00D86195"/>
    <w:rsid w:val="00D861D2"/>
    <w:rsid w:val="00D861F9"/>
    <w:rsid w:val="00D86238"/>
    <w:rsid w:val="00D8623E"/>
    <w:rsid w:val="00D86249"/>
    <w:rsid w:val="00D8632D"/>
    <w:rsid w:val="00D8639C"/>
    <w:rsid w:val="00D863BA"/>
    <w:rsid w:val="00D863F1"/>
    <w:rsid w:val="00D86405"/>
    <w:rsid w:val="00D86407"/>
    <w:rsid w:val="00D86409"/>
    <w:rsid w:val="00D8640D"/>
    <w:rsid w:val="00D86494"/>
    <w:rsid w:val="00D865AB"/>
    <w:rsid w:val="00D865D7"/>
    <w:rsid w:val="00D8667D"/>
    <w:rsid w:val="00D866E0"/>
    <w:rsid w:val="00D866F3"/>
    <w:rsid w:val="00D86766"/>
    <w:rsid w:val="00D8676C"/>
    <w:rsid w:val="00D8678F"/>
    <w:rsid w:val="00D867AD"/>
    <w:rsid w:val="00D867B5"/>
    <w:rsid w:val="00D867CE"/>
    <w:rsid w:val="00D867CF"/>
    <w:rsid w:val="00D86851"/>
    <w:rsid w:val="00D868CA"/>
    <w:rsid w:val="00D8691D"/>
    <w:rsid w:val="00D86950"/>
    <w:rsid w:val="00D869AA"/>
    <w:rsid w:val="00D86A59"/>
    <w:rsid w:val="00D86B0C"/>
    <w:rsid w:val="00D86B51"/>
    <w:rsid w:val="00D86B68"/>
    <w:rsid w:val="00D86C8D"/>
    <w:rsid w:val="00D86CD8"/>
    <w:rsid w:val="00D86D26"/>
    <w:rsid w:val="00D86D60"/>
    <w:rsid w:val="00D86D9F"/>
    <w:rsid w:val="00D86DB5"/>
    <w:rsid w:val="00D86EA1"/>
    <w:rsid w:val="00D86EE8"/>
    <w:rsid w:val="00D86F46"/>
    <w:rsid w:val="00D86F4E"/>
    <w:rsid w:val="00D86F50"/>
    <w:rsid w:val="00D86F52"/>
    <w:rsid w:val="00D86F75"/>
    <w:rsid w:val="00D86FDC"/>
    <w:rsid w:val="00D86FEA"/>
    <w:rsid w:val="00D87031"/>
    <w:rsid w:val="00D870E8"/>
    <w:rsid w:val="00D8710A"/>
    <w:rsid w:val="00D8712C"/>
    <w:rsid w:val="00D87141"/>
    <w:rsid w:val="00D8717E"/>
    <w:rsid w:val="00D871A0"/>
    <w:rsid w:val="00D871E5"/>
    <w:rsid w:val="00D87287"/>
    <w:rsid w:val="00D87292"/>
    <w:rsid w:val="00D872F0"/>
    <w:rsid w:val="00D87302"/>
    <w:rsid w:val="00D8731A"/>
    <w:rsid w:val="00D8733A"/>
    <w:rsid w:val="00D8736C"/>
    <w:rsid w:val="00D87383"/>
    <w:rsid w:val="00D873C0"/>
    <w:rsid w:val="00D873E5"/>
    <w:rsid w:val="00D87413"/>
    <w:rsid w:val="00D87414"/>
    <w:rsid w:val="00D8742B"/>
    <w:rsid w:val="00D87441"/>
    <w:rsid w:val="00D87471"/>
    <w:rsid w:val="00D8749F"/>
    <w:rsid w:val="00D87526"/>
    <w:rsid w:val="00D8752C"/>
    <w:rsid w:val="00D87537"/>
    <w:rsid w:val="00D8757D"/>
    <w:rsid w:val="00D87587"/>
    <w:rsid w:val="00D875E9"/>
    <w:rsid w:val="00D87618"/>
    <w:rsid w:val="00D8765E"/>
    <w:rsid w:val="00D87661"/>
    <w:rsid w:val="00D87724"/>
    <w:rsid w:val="00D8775A"/>
    <w:rsid w:val="00D87834"/>
    <w:rsid w:val="00D8783C"/>
    <w:rsid w:val="00D8784E"/>
    <w:rsid w:val="00D8788F"/>
    <w:rsid w:val="00D8789B"/>
    <w:rsid w:val="00D878F8"/>
    <w:rsid w:val="00D8794E"/>
    <w:rsid w:val="00D87A33"/>
    <w:rsid w:val="00D87A3A"/>
    <w:rsid w:val="00D87A68"/>
    <w:rsid w:val="00D87A85"/>
    <w:rsid w:val="00D87A90"/>
    <w:rsid w:val="00D87AA3"/>
    <w:rsid w:val="00D87ACB"/>
    <w:rsid w:val="00D87AF6"/>
    <w:rsid w:val="00D87B00"/>
    <w:rsid w:val="00D87B05"/>
    <w:rsid w:val="00D87BDB"/>
    <w:rsid w:val="00D87BE4"/>
    <w:rsid w:val="00D87BED"/>
    <w:rsid w:val="00D87C19"/>
    <w:rsid w:val="00D87C35"/>
    <w:rsid w:val="00D87C47"/>
    <w:rsid w:val="00D87CD0"/>
    <w:rsid w:val="00D87D11"/>
    <w:rsid w:val="00D87E7F"/>
    <w:rsid w:val="00D87EA6"/>
    <w:rsid w:val="00D87ED9"/>
    <w:rsid w:val="00D87F00"/>
    <w:rsid w:val="00D87F11"/>
    <w:rsid w:val="00D87F2B"/>
    <w:rsid w:val="00D87F41"/>
    <w:rsid w:val="00D87F89"/>
    <w:rsid w:val="00D87FB0"/>
    <w:rsid w:val="00D87FE5"/>
    <w:rsid w:val="00D90012"/>
    <w:rsid w:val="00D90022"/>
    <w:rsid w:val="00D90084"/>
    <w:rsid w:val="00D90093"/>
    <w:rsid w:val="00D900AF"/>
    <w:rsid w:val="00D9011B"/>
    <w:rsid w:val="00D90129"/>
    <w:rsid w:val="00D90142"/>
    <w:rsid w:val="00D901D9"/>
    <w:rsid w:val="00D901F2"/>
    <w:rsid w:val="00D9020E"/>
    <w:rsid w:val="00D90243"/>
    <w:rsid w:val="00D902F5"/>
    <w:rsid w:val="00D90331"/>
    <w:rsid w:val="00D9039B"/>
    <w:rsid w:val="00D903A3"/>
    <w:rsid w:val="00D903E1"/>
    <w:rsid w:val="00D90480"/>
    <w:rsid w:val="00D904D0"/>
    <w:rsid w:val="00D904D2"/>
    <w:rsid w:val="00D90576"/>
    <w:rsid w:val="00D90645"/>
    <w:rsid w:val="00D9068C"/>
    <w:rsid w:val="00D906B5"/>
    <w:rsid w:val="00D90728"/>
    <w:rsid w:val="00D90789"/>
    <w:rsid w:val="00D9078E"/>
    <w:rsid w:val="00D907A5"/>
    <w:rsid w:val="00D907AD"/>
    <w:rsid w:val="00D90845"/>
    <w:rsid w:val="00D9084D"/>
    <w:rsid w:val="00D9085F"/>
    <w:rsid w:val="00D908C9"/>
    <w:rsid w:val="00D908E0"/>
    <w:rsid w:val="00D9097D"/>
    <w:rsid w:val="00D9097E"/>
    <w:rsid w:val="00D909B1"/>
    <w:rsid w:val="00D909CD"/>
    <w:rsid w:val="00D90A3F"/>
    <w:rsid w:val="00D90ADE"/>
    <w:rsid w:val="00D90B0E"/>
    <w:rsid w:val="00D90BD3"/>
    <w:rsid w:val="00D90BE8"/>
    <w:rsid w:val="00D90C36"/>
    <w:rsid w:val="00D90CA4"/>
    <w:rsid w:val="00D90CE8"/>
    <w:rsid w:val="00D90D08"/>
    <w:rsid w:val="00D90D1A"/>
    <w:rsid w:val="00D90D2D"/>
    <w:rsid w:val="00D90D31"/>
    <w:rsid w:val="00D90D32"/>
    <w:rsid w:val="00D90D6D"/>
    <w:rsid w:val="00D90D97"/>
    <w:rsid w:val="00D90DC7"/>
    <w:rsid w:val="00D90E30"/>
    <w:rsid w:val="00D90E3C"/>
    <w:rsid w:val="00D90E63"/>
    <w:rsid w:val="00D90E90"/>
    <w:rsid w:val="00D90EF1"/>
    <w:rsid w:val="00D90F11"/>
    <w:rsid w:val="00D90F55"/>
    <w:rsid w:val="00D90FAA"/>
    <w:rsid w:val="00D9100C"/>
    <w:rsid w:val="00D91010"/>
    <w:rsid w:val="00D9108A"/>
    <w:rsid w:val="00D910BF"/>
    <w:rsid w:val="00D910D5"/>
    <w:rsid w:val="00D910FE"/>
    <w:rsid w:val="00D9112E"/>
    <w:rsid w:val="00D91183"/>
    <w:rsid w:val="00D911F5"/>
    <w:rsid w:val="00D91206"/>
    <w:rsid w:val="00D912B3"/>
    <w:rsid w:val="00D9134F"/>
    <w:rsid w:val="00D91376"/>
    <w:rsid w:val="00D913A5"/>
    <w:rsid w:val="00D913C4"/>
    <w:rsid w:val="00D913D6"/>
    <w:rsid w:val="00D91408"/>
    <w:rsid w:val="00D91416"/>
    <w:rsid w:val="00D91428"/>
    <w:rsid w:val="00D91443"/>
    <w:rsid w:val="00D91457"/>
    <w:rsid w:val="00D91541"/>
    <w:rsid w:val="00D915D2"/>
    <w:rsid w:val="00D915EA"/>
    <w:rsid w:val="00D9167A"/>
    <w:rsid w:val="00D91695"/>
    <w:rsid w:val="00D9169D"/>
    <w:rsid w:val="00D916FE"/>
    <w:rsid w:val="00D91717"/>
    <w:rsid w:val="00D917F6"/>
    <w:rsid w:val="00D9180C"/>
    <w:rsid w:val="00D9182B"/>
    <w:rsid w:val="00D91857"/>
    <w:rsid w:val="00D918B6"/>
    <w:rsid w:val="00D918FB"/>
    <w:rsid w:val="00D9199F"/>
    <w:rsid w:val="00D919A0"/>
    <w:rsid w:val="00D919A5"/>
    <w:rsid w:val="00D919DB"/>
    <w:rsid w:val="00D919F3"/>
    <w:rsid w:val="00D91A00"/>
    <w:rsid w:val="00D91A86"/>
    <w:rsid w:val="00D91B4F"/>
    <w:rsid w:val="00D91B5C"/>
    <w:rsid w:val="00D91B65"/>
    <w:rsid w:val="00D91B85"/>
    <w:rsid w:val="00D91BD2"/>
    <w:rsid w:val="00D91BE4"/>
    <w:rsid w:val="00D91BF9"/>
    <w:rsid w:val="00D91C0D"/>
    <w:rsid w:val="00D91C34"/>
    <w:rsid w:val="00D91C49"/>
    <w:rsid w:val="00D91C63"/>
    <w:rsid w:val="00D91C69"/>
    <w:rsid w:val="00D91C8E"/>
    <w:rsid w:val="00D91D66"/>
    <w:rsid w:val="00D91D98"/>
    <w:rsid w:val="00D91D9D"/>
    <w:rsid w:val="00D91DA7"/>
    <w:rsid w:val="00D91E0F"/>
    <w:rsid w:val="00D91E86"/>
    <w:rsid w:val="00D91EC5"/>
    <w:rsid w:val="00D91ED5"/>
    <w:rsid w:val="00D91EF4"/>
    <w:rsid w:val="00D91F43"/>
    <w:rsid w:val="00D91F47"/>
    <w:rsid w:val="00D91F54"/>
    <w:rsid w:val="00D91F60"/>
    <w:rsid w:val="00D91F64"/>
    <w:rsid w:val="00D91F6C"/>
    <w:rsid w:val="00D91F8B"/>
    <w:rsid w:val="00D91F8C"/>
    <w:rsid w:val="00D91FBE"/>
    <w:rsid w:val="00D91FED"/>
    <w:rsid w:val="00D91FF7"/>
    <w:rsid w:val="00D92006"/>
    <w:rsid w:val="00D92013"/>
    <w:rsid w:val="00D92056"/>
    <w:rsid w:val="00D920AE"/>
    <w:rsid w:val="00D920C9"/>
    <w:rsid w:val="00D920DE"/>
    <w:rsid w:val="00D920FE"/>
    <w:rsid w:val="00D92103"/>
    <w:rsid w:val="00D9210D"/>
    <w:rsid w:val="00D9211A"/>
    <w:rsid w:val="00D92152"/>
    <w:rsid w:val="00D921C7"/>
    <w:rsid w:val="00D921EA"/>
    <w:rsid w:val="00D9220E"/>
    <w:rsid w:val="00D92242"/>
    <w:rsid w:val="00D9224C"/>
    <w:rsid w:val="00D9227F"/>
    <w:rsid w:val="00D922A6"/>
    <w:rsid w:val="00D922AE"/>
    <w:rsid w:val="00D922BE"/>
    <w:rsid w:val="00D9235B"/>
    <w:rsid w:val="00D92436"/>
    <w:rsid w:val="00D9253C"/>
    <w:rsid w:val="00D9259E"/>
    <w:rsid w:val="00D925F3"/>
    <w:rsid w:val="00D925F9"/>
    <w:rsid w:val="00D92606"/>
    <w:rsid w:val="00D9262E"/>
    <w:rsid w:val="00D926E0"/>
    <w:rsid w:val="00D926F2"/>
    <w:rsid w:val="00D9274F"/>
    <w:rsid w:val="00D92795"/>
    <w:rsid w:val="00D927AE"/>
    <w:rsid w:val="00D927BF"/>
    <w:rsid w:val="00D927DB"/>
    <w:rsid w:val="00D927EE"/>
    <w:rsid w:val="00D9280E"/>
    <w:rsid w:val="00D92823"/>
    <w:rsid w:val="00D92865"/>
    <w:rsid w:val="00D9286F"/>
    <w:rsid w:val="00D9288B"/>
    <w:rsid w:val="00D928E0"/>
    <w:rsid w:val="00D928FE"/>
    <w:rsid w:val="00D92A1F"/>
    <w:rsid w:val="00D92A21"/>
    <w:rsid w:val="00D92A30"/>
    <w:rsid w:val="00D92A66"/>
    <w:rsid w:val="00D92AB4"/>
    <w:rsid w:val="00D92B1E"/>
    <w:rsid w:val="00D92B25"/>
    <w:rsid w:val="00D92B3E"/>
    <w:rsid w:val="00D92BDC"/>
    <w:rsid w:val="00D92C36"/>
    <w:rsid w:val="00D92C5E"/>
    <w:rsid w:val="00D92D18"/>
    <w:rsid w:val="00D92D2E"/>
    <w:rsid w:val="00D92D5F"/>
    <w:rsid w:val="00D92DE3"/>
    <w:rsid w:val="00D92DED"/>
    <w:rsid w:val="00D92E2D"/>
    <w:rsid w:val="00D92E89"/>
    <w:rsid w:val="00D92EBD"/>
    <w:rsid w:val="00D92EF8"/>
    <w:rsid w:val="00D92F08"/>
    <w:rsid w:val="00D92F13"/>
    <w:rsid w:val="00D92F60"/>
    <w:rsid w:val="00D92FA4"/>
    <w:rsid w:val="00D92FE0"/>
    <w:rsid w:val="00D9305E"/>
    <w:rsid w:val="00D93063"/>
    <w:rsid w:val="00D93069"/>
    <w:rsid w:val="00D93088"/>
    <w:rsid w:val="00D9308E"/>
    <w:rsid w:val="00D93094"/>
    <w:rsid w:val="00D930E2"/>
    <w:rsid w:val="00D9310E"/>
    <w:rsid w:val="00D9316B"/>
    <w:rsid w:val="00D931E3"/>
    <w:rsid w:val="00D931E9"/>
    <w:rsid w:val="00D93250"/>
    <w:rsid w:val="00D93292"/>
    <w:rsid w:val="00D93303"/>
    <w:rsid w:val="00D93311"/>
    <w:rsid w:val="00D9334B"/>
    <w:rsid w:val="00D93358"/>
    <w:rsid w:val="00D9335B"/>
    <w:rsid w:val="00D93371"/>
    <w:rsid w:val="00D933A7"/>
    <w:rsid w:val="00D933E4"/>
    <w:rsid w:val="00D93410"/>
    <w:rsid w:val="00D93437"/>
    <w:rsid w:val="00D934A5"/>
    <w:rsid w:val="00D934AE"/>
    <w:rsid w:val="00D934D0"/>
    <w:rsid w:val="00D934FA"/>
    <w:rsid w:val="00D9358D"/>
    <w:rsid w:val="00D935F1"/>
    <w:rsid w:val="00D935FC"/>
    <w:rsid w:val="00D93627"/>
    <w:rsid w:val="00D9364F"/>
    <w:rsid w:val="00D93683"/>
    <w:rsid w:val="00D936B1"/>
    <w:rsid w:val="00D936C4"/>
    <w:rsid w:val="00D936FE"/>
    <w:rsid w:val="00D93716"/>
    <w:rsid w:val="00D9375D"/>
    <w:rsid w:val="00D9377A"/>
    <w:rsid w:val="00D93784"/>
    <w:rsid w:val="00D937B9"/>
    <w:rsid w:val="00D937D2"/>
    <w:rsid w:val="00D937ED"/>
    <w:rsid w:val="00D9387A"/>
    <w:rsid w:val="00D93892"/>
    <w:rsid w:val="00D938AA"/>
    <w:rsid w:val="00D938AF"/>
    <w:rsid w:val="00D938B5"/>
    <w:rsid w:val="00D938E9"/>
    <w:rsid w:val="00D93907"/>
    <w:rsid w:val="00D93908"/>
    <w:rsid w:val="00D93985"/>
    <w:rsid w:val="00D939B3"/>
    <w:rsid w:val="00D939C6"/>
    <w:rsid w:val="00D93A03"/>
    <w:rsid w:val="00D93A39"/>
    <w:rsid w:val="00D93A8C"/>
    <w:rsid w:val="00D93A98"/>
    <w:rsid w:val="00D93ABF"/>
    <w:rsid w:val="00D93B34"/>
    <w:rsid w:val="00D93B48"/>
    <w:rsid w:val="00D93B6A"/>
    <w:rsid w:val="00D93B8E"/>
    <w:rsid w:val="00D93BAC"/>
    <w:rsid w:val="00D93BDB"/>
    <w:rsid w:val="00D93C1D"/>
    <w:rsid w:val="00D93C26"/>
    <w:rsid w:val="00D93C66"/>
    <w:rsid w:val="00D93C77"/>
    <w:rsid w:val="00D93CC7"/>
    <w:rsid w:val="00D93CD2"/>
    <w:rsid w:val="00D93D0A"/>
    <w:rsid w:val="00D93D11"/>
    <w:rsid w:val="00D93D33"/>
    <w:rsid w:val="00D93D6B"/>
    <w:rsid w:val="00D93DF7"/>
    <w:rsid w:val="00D93E2D"/>
    <w:rsid w:val="00D93E46"/>
    <w:rsid w:val="00D93E6A"/>
    <w:rsid w:val="00D93ED6"/>
    <w:rsid w:val="00D93F0E"/>
    <w:rsid w:val="00D93F47"/>
    <w:rsid w:val="00D93F4D"/>
    <w:rsid w:val="00D93F9E"/>
    <w:rsid w:val="00D93FB5"/>
    <w:rsid w:val="00D93FFF"/>
    <w:rsid w:val="00D9407B"/>
    <w:rsid w:val="00D940BA"/>
    <w:rsid w:val="00D940E5"/>
    <w:rsid w:val="00D94117"/>
    <w:rsid w:val="00D94123"/>
    <w:rsid w:val="00D94143"/>
    <w:rsid w:val="00D94158"/>
    <w:rsid w:val="00D94273"/>
    <w:rsid w:val="00D9428C"/>
    <w:rsid w:val="00D94297"/>
    <w:rsid w:val="00D942AB"/>
    <w:rsid w:val="00D942EE"/>
    <w:rsid w:val="00D9434D"/>
    <w:rsid w:val="00D94363"/>
    <w:rsid w:val="00D943B5"/>
    <w:rsid w:val="00D9440C"/>
    <w:rsid w:val="00D94426"/>
    <w:rsid w:val="00D9443D"/>
    <w:rsid w:val="00D94440"/>
    <w:rsid w:val="00D94490"/>
    <w:rsid w:val="00D9452C"/>
    <w:rsid w:val="00D94553"/>
    <w:rsid w:val="00D945BB"/>
    <w:rsid w:val="00D9462E"/>
    <w:rsid w:val="00D94630"/>
    <w:rsid w:val="00D94647"/>
    <w:rsid w:val="00D94680"/>
    <w:rsid w:val="00D946BE"/>
    <w:rsid w:val="00D946F4"/>
    <w:rsid w:val="00D94705"/>
    <w:rsid w:val="00D94741"/>
    <w:rsid w:val="00D947D6"/>
    <w:rsid w:val="00D94805"/>
    <w:rsid w:val="00D94810"/>
    <w:rsid w:val="00D948D3"/>
    <w:rsid w:val="00D948E0"/>
    <w:rsid w:val="00D949E1"/>
    <w:rsid w:val="00D94A18"/>
    <w:rsid w:val="00D94A1D"/>
    <w:rsid w:val="00D94A46"/>
    <w:rsid w:val="00D94A5D"/>
    <w:rsid w:val="00D94AD2"/>
    <w:rsid w:val="00D94B27"/>
    <w:rsid w:val="00D94BB6"/>
    <w:rsid w:val="00D94BBF"/>
    <w:rsid w:val="00D94BFD"/>
    <w:rsid w:val="00D94C05"/>
    <w:rsid w:val="00D94C21"/>
    <w:rsid w:val="00D94C6B"/>
    <w:rsid w:val="00D94CB0"/>
    <w:rsid w:val="00D94CBD"/>
    <w:rsid w:val="00D94CD0"/>
    <w:rsid w:val="00D94CD7"/>
    <w:rsid w:val="00D94D3D"/>
    <w:rsid w:val="00D94D59"/>
    <w:rsid w:val="00D94D67"/>
    <w:rsid w:val="00D94DCC"/>
    <w:rsid w:val="00D94E5E"/>
    <w:rsid w:val="00D94F1A"/>
    <w:rsid w:val="00D94F6E"/>
    <w:rsid w:val="00D94F79"/>
    <w:rsid w:val="00D94F87"/>
    <w:rsid w:val="00D94FF9"/>
    <w:rsid w:val="00D95008"/>
    <w:rsid w:val="00D95086"/>
    <w:rsid w:val="00D950A6"/>
    <w:rsid w:val="00D950C2"/>
    <w:rsid w:val="00D950C5"/>
    <w:rsid w:val="00D950CE"/>
    <w:rsid w:val="00D950F1"/>
    <w:rsid w:val="00D95101"/>
    <w:rsid w:val="00D95103"/>
    <w:rsid w:val="00D951B5"/>
    <w:rsid w:val="00D951BB"/>
    <w:rsid w:val="00D9524B"/>
    <w:rsid w:val="00D9525E"/>
    <w:rsid w:val="00D95297"/>
    <w:rsid w:val="00D95327"/>
    <w:rsid w:val="00D95339"/>
    <w:rsid w:val="00D95386"/>
    <w:rsid w:val="00D95392"/>
    <w:rsid w:val="00D953F6"/>
    <w:rsid w:val="00D953FD"/>
    <w:rsid w:val="00D95454"/>
    <w:rsid w:val="00D954A0"/>
    <w:rsid w:val="00D95525"/>
    <w:rsid w:val="00D95596"/>
    <w:rsid w:val="00D9559B"/>
    <w:rsid w:val="00D955AF"/>
    <w:rsid w:val="00D955F5"/>
    <w:rsid w:val="00D95600"/>
    <w:rsid w:val="00D95669"/>
    <w:rsid w:val="00D956B1"/>
    <w:rsid w:val="00D956B3"/>
    <w:rsid w:val="00D956D6"/>
    <w:rsid w:val="00D956EA"/>
    <w:rsid w:val="00D9578E"/>
    <w:rsid w:val="00D9579B"/>
    <w:rsid w:val="00D957B4"/>
    <w:rsid w:val="00D958A1"/>
    <w:rsid w:val="00D958E0"/>
    <w:rsid w:val="00D9592F"/>
    <w:rsid w:val="00D95948"/>
    <w:rsid w:val="00D959A1"/>
    <w:rsid w:val="00D959D3"/>
    <w:rsid w:val="00D959D9"/>
    <w:rsid w:val="00D95A25"/>
    <w:rsid w:val="00D95A89"/>
    <w:rsid w:val="00D95AB1"/>
    <w:rsid w:val="00D95ABB"/>
    <w:rsid w:val="00D95B17"/>
    <w:rsid w:val="00D95B1E"/>
    <w:rsid w:val="00D95B37"/>
    <w:rsid w:val="00D95B3A"/>
    <w:rsid w:val="00D95B4F"/>
    <w:rsid w:val="00D95B6E"/>
    <w:rsid w:val="00D95BAB"/>
    <w:rsid w:val="00D95BC6"/>
    <w:rsid w:val="00D95BDA"/>
    <w:rsid w:val="00D95C42"/>
    <w:rsid w:val="00D95C8A"/>
    <w:rsid w:val="00D95CD9"/>
    <w:rsid w:val="00D95D36"/>
    <w:rsid w:val="00D95D47"/>
    <w:rsid w:val="00D95D5E"/>
    <w:rsid w:val="00D95DDD"/>
    <w:rsid w:val="00D95DF7"/>
    <w:rsid w:val="00D95ED0"/>
    <w:rsid w:val="00D95EFE"/>
    <w:rsid w:val="00D95FDA"/>
    <w:rsid w:val="00D95FDD"/>
    <w:rsid w:val="00D96034"/>
    <w:rsid w:val="00D96045"/>
    <w:rsid w:val="00D96093"/>
    <w:rsid w:val="00D960AD"/>
    <w:rsid w:val="00D960C1"/>
    <w:rsid w:val="00D960F3"/>
    <w:rsid w:val="00D96110"/>
    <w:rsid w:val="00D96193"/>
    <w:rsid w:val="00D9622F"/>
    <w:rsid w:val="00D96239"/>
    <w:rsid w:val="00D962AF"/>
    <w:rsid w:val="00D962B0"/>
    <w:rsid w:val="00D962FF"/>
    <w:rsid w:val="00D96300"/>
    <w:rsid w:val="00D9630F"/>
    <w:rsid w:val="00D96360"/>
    <w:rsid w:val="00D96371"/>
    <w:rsid w:val="00D9641A"/>
    <w:rsid w:val="00D9644C"/>
    <w:rsid w:val="00D9647B"/>
    <w:rsid w:val="00D964D6"/>
    <w:rsid w:val="00D964FD"/>
    <w:rsid w:val="00D9650D"/>
    <w:rsid w:val="00D96564"/>
    <w:rsid w:val="00D9656C"/>
    <w:rsid w:val="00D965A6"/>
    <w:rsid w:val="00D965BA"/>
    <w:rsid w:val="00D9661C"/>
    <w:rsid w:val="00D9665A"/>
    <w:rsid w:val="00D966BE"/>
    <w:rsid w:val="00D966F2"/>
    <w:rsid w:val="00D9674E"/>
    <w:rsid w:val="00D96755"/>
    <w:rsid w:val="00D9675B"/>
    <w:rsid w:val="00D96837"/>
    <w:rsid w:val="00D9683E"/>
    <w:rsid w:val="00D96848"/>
    <w:rsid w:val="00D96858"/>
    <w:rsid w:val="00D96866"/>
    <w:rsid w:val="00D9686C"/>
    <w:rsid w:val="00D968AE"/>
    <w:rsid w:val="00D968B1"/>
    <w:rsid w:val="00D96928"/>
    <w:rsid w:val="00D9696B"/>
    <w:rsid w:val="00D9696F"/>
    <w:rsid w:val="00D96977"/>
    <w:rsid w:val="00D969F1"/>
    <w:rsid w:val="00D969F4"/>
    <w:rsid w:val="00D96A4C"/>
    <w:rsid w:val="00D96A66"/>
    <w:rsid w:val="00D96A80"/>
    <w:rsid w:val="00D96A93"/>
    <w:rsid w:val="00D96B53"/>
    <w:rsid w:val="00D96B69"/>
    <w:rsid w:val="00D96BCF"/>
    <w:rsid w:val="00D96BD4"/>
    <w:rsid w:val="00D96BDC"/>
    <w:rsid w:val="00D96C10"/>
    <w:rsid w:val="00D96C13"/>
    <w:rsid w:val="00D96C16"/>
    <w:rsid w:val="00D96C4F"/>
    <w:rsid w:val="00D96D79"/>
    <w:rsid w:val="00D96D94"/>
    <w:rsid w:val="00D96DF1"/>
    <w:rsid w:val="00D96E07"/>
    <w:rsid w:val="00D96E56"/>
    <w:rsid w:val="00D96E7B"/>
    <w:rsid w:val="00D96E98"/>
    <w:rsid w:val="00D96F66"/>
    <w:rsid w:val="00D96FAA"/>
    <w:rsid w:val="00D96FEC"/>
    <w:rsid w:val="00D96FF7"/>
    <w:rsid w:val="00D97013"/>
    <w:rsid w:val="00D9701E"/>
    <w:rsid w:val="00D97026"/>
    <w:rsid w:val="00D97048"/>
    <w:rsid w:val="00D970DD"/>
    <w:rsid w:val="00D9714B"/>
    <w:rsid w:val="00D971A3"/>
    <w:rsid w:val="00D97245"/>
    <w:rsid w:val="00D97250"/>
    <w:rsid w:val="00D972D7"/>
    <w:rsid w:val="00D97324"/>
    <w:rsid w:val="00D9740C"/>
    <w:rsid w:val="00D9742D"/>
    <w:rsid w:val="00D97465"/>
    <w:rsid w:val="00D97476"/>
    <w:rsid w:val="00D97485"/>
    <w:rsid w:val="00D97496"/>
    <w:rsid w:val="00D974A4"/>
    <w:rsid w:val="00D9750B"/>
    <w:rsid w:val="00D97568"/>
    <w:rsid w:val="00D97609"/>
    <w:rsid w:val="00D9761B"/>
    <w:rsid w:val="00D9772E"/>
    <w:rsid w:val="00D97743"/>
    <w:rsid w:val="00D97760"/>
    <w:rsid w:val="00D97794"/>
    <w:rsid w:val="00D977CA"/>
    <w:rsid w:val="00D977D7"/>
    <w:rsid w:val="00D977E1"/>
    <w:rsid w:val="00D977F6"/>
    <w:rsid w:val="00D9786D"/>
    <w:rsid w:val="00D97907"/>
    <w:rsid w:val="00D9795C"/>
    <w:rsid w:val="00D97966"/>
    <w:rsid w:val="00D97974"/>
    <w:rsid w:val="00D97977"/>
    <w:rsid w:val="00D979BD"/>
    <w:rsid w:val="00D979BF"/>
    <w:rsid w:val="00D979C7"/>
    <w:rsid w:val="00D979F9"/>
    <w:rsid w:val="00D97A37"/>
    <w:rsid w:val="00D97AAE"/>
    <w:rsid w:val="00D97AD4"/>
    <w:rsid w:val="00D97AFA"/>
    <w:rsid w:val="00D97B47"/>
    <w:rsid w:val="00D97BA4"/>
    <w:rsid w:val="00D97C10"/>
    <w:rsid w:val="00D97C71"/>
    <w:rsid w:val="00D97D7D"/>
    <w:rsid w:val="00D97E51"/>
    <w:rsid w:val="00D97EA8"/>
    <w:rsid w:val="00D97F1F"/>
    <w:rsid w:val="00D97F55"/>
    <w:rsid w:val="00D97FE6"/>
    <w:rsid w:val="00DA0024"/>
    <w:rsid w:val="00DA0043"/>
    <w:rsid w:val="00DA0086"/>
    <w:rsid w:val="00DA0118"/>
    <w:rsid w:val="00DA0135"/>
    <w:rsid w:val="00DA0153"/>
    <w:rsid w:val="00DA0159"/>
    <w:rsid w:val="00DA01BE"/>
    <w:rsid w:val="00DA01CD"/>
    <w:rsid w:val="00DA01ED"/>
    <w:rsid w:val="00DA01F2"/>
    <w:rsid w:val="00DA020D"/>
    <w:rsid w:val="00DA023C"/>
    <w:rsid w:val="00DA027D"/>
    <w:rsid w:val="00DA0282"/>
    <w:rsid w:val="00DA0292"/>
    <w:rsid w:val="00DA02A3"/>
    <w:rsid w:val="00DA02A4"/>
    <w:rsid w:val="00DA02D9"/>
    <w:rsid w:val="00DA0337"/>
    <w:rsid w:val="00DA034D"/>
    <w:rsid w:val="00DA036B"/>
    <w:rsid w:val="00DA03F1"/>
    <w:rsid w:val="00DA0460"/>
    <w:rsid w:val="00DA046D"/>
    <w:rsid w:val="00DA047F"/>
    <w:rsid w:val="00DA049E"/>
    <w:rsid w:val="00DA04B2"/>
    <w:rsid w:val="00DA04EC"/>
    <w:rsid w:val="00DA052B"/>
    <w:rsid w:val="00DA053F"/>
    <w:rsid w:val="00DA054B"/>
    <w:rsid w:val="00DA057F"/>
    <w:rsid w:val="00DA059A"/>
    <w:rsid w:val="00DA05D7"/>
    <w:rsid w:val="00DA05DE"/>
    <w:rsid w:val="00DA05E4"/>
    <w:rsid w:val="00DA062B"/>
    <w:rsid w:val="00DA06C5"/>
    <w:rsid w:val="00DA0756"/>
    <w:rsid w:val="00DA0763"/>
    <w:rsid w:val="00DA07C9"/>
    <w:rsid w:val="00DA07D9"/>
    <w:rsid w:val="00DA0814"/>
    <w:rsid w:val="00DA085F"/>
    <w:rsid w:val="00DA08E1"/>
    <w:rsid w:val="00DA0907"/>
    <w:rsid w:val="00DA0914"/>
    <w:rsid w:val="00DA0957"/>
    <w:rsid w:val="00DA09CB"/>
    <w:rsid w:val="00DA09FC"/>
    <w:rsid w:val="00DA0A0B"/>
    <w:rsid w:val="00DA0A4E"/>
    <w:rsid w:val="00DA0A53"/>
    <w:rsid w:val="00DA0A74"/>
    <w:rsid w:val="00DA0A93"/>
    <w:rsid w:val="00DA0AA0"/>
    <w:rsid w:val="00DA0AB7"/>
    <w:rsid w:val="00DA0AC9"/>
    <w:rsid w:val="00DA0AEB"/>
    <w:rsid w:val="00DA0AFA"/>
    <w:rsid w:val="00DA0B07"/>
    <w:rsid w:val="00DA0B7C"/>
    <w:rsid w:val="00DA0BA2"/>
    <w:rsid w:val="00DA0BC7"/>
    <w:rsid w:val="00DA0BCD"/>
    <w:rsid w:val="00DA0C22"/>
    <w:rsid w:val="00DA0C4F"/>
    <w:rsid w:val="00DA0C52"/>
    <w:rsid w:val="00DA0CA2"/>
    <w:rsid w:val="00DA0CA4"/>
    <w:rsid w:val="00DA0CC2"/>
    <w:rsid w:val="00DA0CFD"/>
    <w:rsid w:val="00DA0D48"/>
    <w:rsid w:val="00DA0D85"/>
    <w:rsid w:val="00DA0DF0"/>
    <w:rsid w:val="00DA0E5C"/>
    <w:rsid w:val="00DA0E83"/>
    <w:rsid w:val="00DA0F14"/>
    <w:rsid w:val="00DA0F3C"/>
    <w:rsid w:val="00DA0FC6"/>
    <w:rsid w:val="00DA0FCF"/>
    <w:rsid w:val="00DA1013"/>
    <w:rsid w:val="00DA105E"/>
    <w:rsid w:val="00DA1086"/>
    <w:rsid w:val="00DA10E4"/>
    <w:rsid w:val="00DA1105"/>
    <w:rsid w:val="00DA1199"/>
    <w:rsid w:val="00DA119F"/>
    <w:rsid w:val="00DA11FF"/>
    <w:rsid w:val="00DA1204"/>
    <w:rsid w:val="00DA120E"/>
    <w:rsid w:val="00DA1250"/>
    <w:rsid w:val="00DA1255"/>
    <w:rsid w:val="00DA1283"/>
    <w:rsid w:val="00DA12AD"/>
    <w:rsid w:val="00DA12C5"/>
    <w:rsid w:val="00DA1328"/>
    <w:rsid w:val="00DA132F"/>
    <w:rsid w:val="00DA134D"/>
    <w:rsid w:val="00DA1368"/>
    <w:rsid w:val="00DA13FF"/>
    <w:rsid w:val="00DA1401"/>
    <w:rsid w:val="00DA1402"/>
    <w:rsid w:val="00DA140B"/>
    <w:rsid w:val="00DA1428"/>
    <w:rsid w:val="00DA1494"/>
    <w:rsid w:val="00DA14C7"/>
    <w:rsid w:val="00DA14EF"/>
    <w:rsid w:val="00DA153A"/>
    <w:rsid w:val="00DA1589"/>
    <w:rsid w:val="00DA158B"/>
    <w:rsid w:val="00DA15B4"/>
    <w:rsid w:val="00DA168C"/>
    <w:rsid w:val="00DA16AD"/>
    <w:rsid w:val="00DA16BF"/>
    <w:rsid w:val="00DA16D5"/>
    <w:rsid w:val="00DA16D8"/>
    <w:rsid w:val="00DA16F1"/>
    <w:rsid w:val="00DA16FE"/>
    <w:rsid w:val="00DA1751"/>
    <w:rsid w:val="00DA17B5"/>
    <w:rsid w:val="00DA17BC"/>
    <w:rsid w:val="00DA187E"/>
    <w:rsid w:val="00DA18A8"/>
    <w:rsid w:val="00DA18D7"/>
    <w:rsid w:val="00DA18D9"/>
    <w:rsid w:val="00DA18F2"/>
    <w:rsid w:val="00DA197B"/>
    <w:rsid w:val="00DA19DE"/>
    <w:rsid w:val="00DA19F5"/>
    <w:rsid w:val="00DA1A82"/>
    <w:rsid w:val="00DA1AA0"/>
    <w:rsid w:val="00DA1B48"/>
    <w:rsid w:val="00DA1BB2"/>
    <w:rsid w:val="00DA1C54"/>
    <w:rsid w:val="00DA1D11"/>
    <w:rsid w:val="00DA1D26"/>
    <w:rsid w:val="00DA1D2C"/>
    <w:rsid w:val="00DA1D79"/>
    <w:rsid w:val="00DA1D8B"/>
    <w:rsid w:val="00DA1DCC"/>
    <w:rsid w:val="00DA1E6E"/>
    <w:rsid w:val="00DA1E74"/>
    <w:rsid w:val="00DA1ECD"/>
    <w:rsid w:val="00DA1EE0"/>
    <w:rsid w:val="00DA1F08"/>
    <w:rsid w:val="00DA1F43"/>
    <w:rsid w:val="00DA202A"/>
    <w:rsid w:val="00DA2052"/>
    <w:rsid w:val="00DA209E"/>
    <w:rsid w:val="00DA20A4"/>
    <w:rsid w:val="00DA20DA"/>
    <w:rsid w:val="00DA211D"/>
    <w:rsid w:val="00DA211F"/>
    <w:rsid w:val="00DA214F"/>
    <w:rsid w:val="00DA2197"/>
    <w:rsid w:val="00DA220C"/>
    <w:rsid w:val="00DA229C"/>
    <w:rsid w:val="00DA22AB"/>
    <w:rsid w:val="00DA22C6"/>
    <w:rsid w:val="00DA22D9"/>
    <w:rsid w:val="00DA22F9"/>
    <w:rsid w:val="00DA2311"/>
    <w:rsid w:val="00DA2349"/>
    <w:rsid w:val="00DA235D"/>
    <w:rsid w:val="00DA23C4"/>
    <w:rsid w:val="00DA23D7"/>
    <w:rsid w:val="00DA2425"/>
    <w:rsid w:val="00DA246D"/>
    <w:rsid w:val="00DA24E4"/>
    <w:rsid w:val="00DA24EE"/>
    <w:rsid w:val="00DA24F4"/>
    <w:rsid w:val="00DA2503"/>
    <w:rsid w:val="00DA2528"/>
    <w:rsid w:val="00DA252E"/>
    <w:rsid w:val="00DA2577"/>
    <w:rsid w:val="00DA2590"/>
    <w:rsid w:val="00DA2594"/>
    <w:rsid w:val="00DA2597"/>
    <w:rsid w:val="00DA259E"/>
    <w:rsid w:val="00DA25A8"/>
    <w:rsid w:val="00DA25B9"/>
    <w:rsid w:val="00DA25E7"/>
    <w:rsid w:val="00DA25F7"/>
    <w:rsid w:val="00DA264B"/>
    <w:rsid w:val="00DA264F"/>
    <w:rsid w:val="00DA26E0"/>
    <w:rsid w:val="00DA270C"/>
    <w:rsid w:val="00DA2746"/>
    <w:rsid w:val="00DA275D"/>
    <w:rsid w:val="00DA276C"/>
    <w:rsid w:val="00DA2869"/>
    <w:rsid w:val="00DA28A5"/>
    <w:rsid w:val="00DA28B7"/>
    <w:rsid w:val="00DA291C"/>
    <w:rsid w:val="00DA2995"/>
    <w:rsid w:val="00DA2A7B"/>
    <w:rsid w:val="00DA2AFD"/>
    <w:rsid w:val="00DA2AFE"/>
    <w:rsid w:val="00DA2B13"/>
    <w:rsid w:val="00DA2B1E"/>
    <w:rsid w:val="00DA2B38"/>
    <w:rsid w:val="00DA2BCC"/>
    <w:rsid w:val="00DA2C67"/>
    <w:rsid w:val="00DA2D41"/>
    <w:rsid w:val="00DA2DBD"/>
    <w:rsid w:val="00DA2E49"/>
    <w:rsid w:val="00DA2E96"/>
    <w:rsid w:val="00DA2F43"/>
    <w:rsid w:val="00DA2F58"/>
    <w:rsid w:val="00DA2F62"/>
    <w:rsid w:val="00DA2F86"/>
    <w:rsid w:val="00DA2F98"/>
    <w:rsid w:val="00DA2FB6"/>
    <w:rsid w:val="00DA2FDA"/>
    <w:rsid w:val="00DA300C"/>
    <w:rsid w:val="00DA3017"/>
    <w:rsid w:val="00DA304A"/>
    <w:rsid w:val="00DA3087"/>
    <w:rsid w:val="00DA313E"/>
    <w:rsid w:val="00DA31E4"/>
    <w:rsid w:val="00DA3206"/>
    <w:rsid w:val="00DA321E"/>
    <w:rsid w:val="00DA32F5"/>
    <w:rsid w:val="00DA3308"/>
    <w:rsid w:val="00DA3314"/>
    <w:rsid w:val="00DA3352"/>
    <w:rsid w:val="00DA3359"/>
    <w:rsid w:val="00DA335E"/>
    <w:rsid w:val="00DA337C"/>
    <w:rsid w:val="00DA3392"/>
    <w:rsid w:val="00DA34B3"/>
    <w:rsid w:val="00DA3576"/>
    <w:rsid w:val="00DA3590"/>
    <w:rsid w:val="00DA35ED"/>
    <w:rsid w:val="00DA3663"/>
    <w:rsid w:val="00DA367F"/>
    <w:rsid w:val="00DA3693"/>
    <w:rsid w:val="00DA370E"/>
    <w:rsid w:val="00DA3779"/>
    <w:rsid w:val="00DA3780"/>
    <w:rsid w:val="00DA37FC"/>
    <w:rsid w:val="00DA384D"/>
    <w:rsid w:val="00DA385A"/>
    <w:rsid w:val="00DA387E"/>
    <w:rsid w:val="00DA389A"/>
    <w:rsid w:val="00DA38BE"/>
    <w:rsid w:val="00DA38C1"/>
    <w:rsid w:val="00DA38FC"/>
    <w:rsid w:val="00DA39E0"/>
    <w:rsid w:val="00DA39E2"/>
    <w:rsid w:val="00DA3A21"/>
    <w:rsid w:val="00DA3A4E"/>
    <w:rsid w:val="00DA3A72"/>
    <w:rsid w:val="00DA3AF9"/>
    <w:rsid w:val="00DA3B11"/>
    <w:rsid w:val="00DA3B33"/>
    <w:rsid w:val="00DA3B44"/>
    <w:rsid w:val="00DA3B6B"/>
    <w:rsid w:val="00DA3C1F"/>
    <w:rsid w:val="00DA3C43"/>
    <w:rsid w:val="00DA3C85"/>
    <w:rsid w:val="00DA3CB6"/>
    <w:rsid w:val="00DA3D48"/>
    <w:rsid w:val="00DA3D55"/>
    <w:rsid w:val="00DA3D56"/>
    <w:rsid w:val="00DA3D5E"/>
    <w:rsid w:val="00DA3D94"/>
    <w:rsid w:val="00DA3D99"/>
    <w:rsid w:val="00DA3DFD"/>
    <w:rsid w:val="00DA3E65"/>
    <w:rsid w:val="00DA3E69"/>
    <w:rsid w:val="00DA3E92"/>
    <w:rsid w:val="00DA3EB8"/>
    <w:rsid w:val="00DA3EC9"/>
    <w:rsid w:val="00DA3ED4"/>
    <w:rsid w:val="00DA3F22"/>
    <w:rsid w:val="00DA3F59"/>
    <w:rsid w:val="00DA3F9C"/>
    <w:rsid w:val="00DA3FA4"/>
    <w:rsid w:val="00DA3FA5"/>
    <w:rsid w:val="00DA3FBE"/>
    <w:rsid w:val="00DA3FD6"/>
    <w:rsid w:val="00DA3FF0"/>
    <w:rsid w:val="00DA3FF3"/>
    <w:rsid w:val="00DA4023"/>
    <w:rsid w:val="00DA4063"/>
    <w:rsid w:val="00DA406B"/>
    <w:rsid w:val="00DA41A0"/>
    <w:rsid w:val="00DA41B1"/>
    <w:rsid w:val="00DA41C3"/>
    <w:rsid w:val="00DA41DB"/>
    <w:rsid w:val="00DA4202"/>
    <w:rsid w:val="00DA4239"/>
    <w:rsid w:val="00DA428A"/>
    <w:rsid w:val="00DA429F"/>
    <w:rsid w:val="00DA42C3"/>
    <w:rsid w:val="00DA42C8"/>
    <w:rsid w:val="00DA42E8"/>
    <w:rsid w:val="00DA4353"/>
    <w:rsid w:val="00DA4378"/>
    <w:rsid w:val="00DA4381"/>
    <w:rsid w:val="00DA4411"/>
    <w:rsid w:val="00DA4440"/>
    <w:rsid w:val="00DA4452"/>
    <w:rsid w:val="00DA4465"/>
    <w:rsid w:val="00DA4482"/>
    <w:rsid w:val="00DA44C0"/>
    <w:rsid w:val="00DA44C6"/>
    <w:rsid w:val="00DA4518"/>
    <w:rsid w:val="00DA454F"/>
    <w:rsid w:val="00DA4556"/>
    <w:rsid w:val="00DA458A"/>
    <w:rsid w:val="00DA459F"/>
    <w:rsid w:val="00DA45B0"/>
    <w:rsid w:val="00DA45CE"/>
    <w:rsid w:val="00DA463B"/>
    <w:rsid w:val="00DA4648"/>
    <w:rsid w:val="00DA4663"/>
    <w:rsid w:val="00DA4666"/>
    <w:rsid w:val="00DA466A"/>
    <w:rsid w:val="00DA4679"/>
    <w:rsid w:val="00DA469D"/>
    <w:rsid w:val="00DA46B8"/>
    <w:rsid w:val="00DA46C9"/>
    <w:rsid w:val="00DA47BC"/>
    <w:rsid w:val="00DA47E2"/>
    <w:rsid w:val="00DA482D"/>
    <w:rsid w:val="00DA4904"/>
    <w:rsid w:val="00DA490F"/>
    <w:rsid w:val="00DA49CB"/>
    <w:rsid w:val="00DA4A08"/>
    <w:rsid w:val="00DA4A80"/>
    <w:rsid w:val="00DA4A8B"/>
    <w:rsid w:val="00DA4AD1"/>
    <w:rsid w:val="00DA4ADD"/>
    <w:rsid w:val="00DA4B08"/>
    <w:rsid w:val="00DA4B44"/>
    <w:rsid w:val="00DA4BDB"/>
    <w:rsid w:val="00DA4BE3"/>
    <w:rsid w:val="00DA4C78"/>
    <w:rsid w:val="00DA4CA2"/>
    <w:rsid w:val="00DA4CB3"/>
    <w:rsid w:val="00DA4CBD"/>
    <w:rsid w:val="00DA4CEA"/>
    <w:rsid w:val="00DA4D1A"/>
    <w:rsid w:val="00DA4D1B"/>
    <w:rsid w:val="00DA4D3C"/>
    <w:rsid w:val="00DA4D4A"/>
    <w:rsid w:val="00DA4DE5"/>
    <w:rsid w:val="00DA4DF3"/>
    <w:rsid w:val="00DA4E57"/>
    <w:rsid w:val="00DA4E91"/>
    <w:rsid w:val="00DA4EDE"/>
    <w:rsid w:val="00DA4FAA"/>
    <w:rsid w:val="00DA5000"/>
    <w:rsid w:val="00DA5029"/>
    <w:rsid w:val="00DA502C"/>
    <w:rsid w:val="00DA5034"/>
    <w:rsid w:val="00DA5084"/>
    <w:rsid w:val="00DA50CE"/>
    <w:rsid w:val="00DA50D3"/>
    <w:rsid w:val="00DA5105"/>
    <w:rsid w:val="00DA512A"/>
    <w:rsid w:val="00DA517D"/>
    <w:rsid w:val="00DA518C"/>
    <w:rsid w:val="00DA518F"/>
    <w:rsid w:val="00DA5196"/>
    <w:rsid w:val="00DA51DB"/>
    <w:rsid w:val="00DA5219"/>
    <w:rsid w:val="00DA5293"/>
    <w:rsid w:val="00DA5343"/>
    <w:rsid w:val="00DA535B"/>
    <w:rsid w:val="00DA536E"/>
    <w:rsid w:val="00DA5371"/>
    <w:rsid w:val="00DA5389"/>
    <w:rsid w:val="00DA53D7"/>
    <w:rsid w:val="00DA540E"/>
    <w:rsid w:val="00DA5422"/>
    <w:rsid w:val="00DA5432"/>
    <w:rsid w:val="00DA5460"/>
    <w:rsid w:val="00DA5513"/>
    <w:rsid w:val="00DA5580"/>
    <w:rsid w:val="00DA55BB"/>
    <w:rsid w:val="00DA5614"/>
    <w:rsid w:val="00DA563A"/>
    <w:rsid w:val="00DA5654"/>
    <w:rsid w:val="00DA56AE"/>
    <w:rsid w:val="00DA571D"/>
    <w:rsid w:val="00DA5740"/>
    <w:rsid w:val="00DA5745"/>
    <w:rsid w:val="00DA576A"/>
    <w:rsid w:val="00DA577A"/>
    <w:rsid w:val="00DA578B"/>
    <w:rsid w:val="00DA57B7"/>
    <w:rsid w:val="00DA57CA"/>
    <w:rsid w:val="00DA57CF"/>
    <w:rsid w:val="00DA57D6"/>
    <w:rsid w:val="00DA57DA"/>
    <w:rsid w:val="00DA5835"/>
    <w:rsid w:val="00DA588C"/>
    <w:rsid w:val="00DA59CA"/>
    <w:rsid w:val="00DA59F1"/>
    <w:rsid w:val="00DA5A4D"/>
    <w:rsid w:val="00DA5A82"/>
    <w:rsid w:val="00DA5A9C"/>
    <w:rsid w:val="00DA5B31"/>
    <w:rsid w:val="00DA5B87"/>
    <w:rsid w:val="00DA5BAE"/>
    <w:rsid w:val="00DA5BB5"/>
    <w:rsid w:val="00DA5BD3"/>
    <w:rsid w:val="00DA5C12"/>
    <w:rsid w:val="00DA5C13"/>
    <w:rsid w:val="00DA5C26"/>
    <w:rsid w:val="00DA5C2B"/>
    <w:rsid w:val="00DA5C83"/>
    <w:rsid w:val="00DA5CC9"/>
    <w:rsid w:val="00DA5D46"/>
    <w:rsid w:val="00DA5D55"/>
    <w:rsid w:val="00DA5D7B"/>
    <w:rsid w:val="00DA5DD5"/>
    <w:rsid w:val="00DA5DE7"/>
    <w:rsid w:val="00DA5E11"/>
    <w:rsid w:val="00DA5E26"/>
    <w:rsid w:val="00DA5E32"/>
    <w:rsid w:val="00DA5E8C"/>
    <w:rsid w:val="00DA5E9E"/>
    <w:rsid w:val="00DA5EB6"/>
    <w:rsid w:val="00DA5F35"/>
    <w:rsid w:val="00DA5F96"/>
    <w:rsid w:val="00DA5FF3"/>
    <w:rsid w:val="00DA6007"/>
    <w:rsid w:val="00DA6014"/>
    <w:rsid w:val="00DA601C"/>
    <w:rsid w:val="00DA60C2"/>
    <w:rsid w:val="00DA60DA"/>
    <w:rsid w:val="00DA60DF"/>
    <w:rsid w:val="00DA610D"/>
    <w:rsid w:val="00DA612F"/>
    <w:rsid w:val="00DA617B"/>
    <w:rsid w:val="00DA61CC"/>
    <w:rsid w:val="00DA61D3"/>
    <w:rsid w:val="00DA61E6"/>
    <w:rsid w:val="00DA6217"/>
    <w:rsid w:val="00DA622B"/>
    <w:rsid w:val="00DA622F"/>
    <w:rsid w:val="00DA62A9"/>
    <w:rsid w:val="00DA62D6"/>
    <w:rsid w:val="00DA62DD"/>
    <w:rsid w:val="00DA62EB"/>
    <w:rsid w:val="00DA62FC"/>
    <w:rsid w:val="00DA630B"/>
    <w:rsid w:val="00DA6311"/>
    <w:rsid w:val="00DA6323"/>
    <w:rsid w:val="00DA6339"/>
    <w:rsid w:val="00DA635C"/>
    <w:rsid w:val="00DA636F"/>
    <w:rsid w:val="00DA637F"/>
    <w:rsid w:val="00DA63C4"/>
    <w:rsid w:val="00DA63F8"/>
    <w:rsid w:val="00DA643D"/>
    <w:rsid w:val="00DA6453"/>
    <w:rsid w:val="00DA6466"/>
    <w:rsid w:val="00DA6490"/>
    <w:rsid w:val="00DA649C"/>
    <w:rsid w:val="00DA650C"/>
    <w:rsid w:val="00DA6533"/>
    <w:rsid w:val="00DA6539"/>
    <w:rsid w:val="00DA659F"/>
    <w:rsid w:val="00DA664B"/>
    <w:rsid w:val="00DA6653"/>
    <w:rsid w:val="00DA665E"/>
    <w:rsid w:val="00DA666D"/>
    <w:rsid w:val="00DA6708"/>
    <w:rsid w:val="00DA672D"/>
    <w:rsid w:val="00DA6732"/>
    <w:rsid w:val="00DA6766"/>
    <w:rsid w:val="00DA6796"/>
    <w:rsid w:val="00DA67E1"/>
    <w:rsid w:val="00DA67F9"/>
    <w:rsid w:val="00DA6813"/>
    <w:rsid w:val="00DA6817"/>
    <w:rsid w:val="00DA6819"/>
    <w:rsid w:val="00DA682D"/>
    <w:rsid w:val="00DA6857"/>
    <w:rsid w:val="00DA689B"/>
    <w:rsid w:val="00DA68BA"/>
    <w:rsid w:val="00DA68E8"/>
    <w:rsid w:val="00DA6922"/>
    <w:rsid w:val="00DA6939"/>
    <w:rsid w:val="00DA694F"/>
    <w:rsid w:val="00DA695E"/>
    <w:rsid w:val="00DA6992"/>
    <w:rsid w:val="00DA69F5"/>
    <w:rsid w:val="00DA6A34"/>
    <w:rsid w:val="00DA6A4F"/>
    <w:rsid w:val="00DA6A66"/>
    <w:rsid w:val="00DA6A77"/>
    <w:rsid w:val="00DA6A8A"/>
    <w:rsid w:val="00DA6AA9"/>
    <w:rsid w:val="00DA6AAA"/>
    <w:rsid w:val="00DA6AED"/>
    <w:rsid w:val="00DA6AFF"/>
    <w:rsid w:val="00DA6B13"/>
    <w:rsid w:val="00DA6BB6"/>
    <w:rsid w:val="00DA6C18"/>
    <w:rsid w:val="00DA6C1D"/>
    <w:rsid w:val="00DA6C2C"/>
    <w:rsid w:val="00DA6C90"/>
    <w:rsid w:val="00DA6CDF"/>
    <w:rsid w:val="00DA6CE8"/>
    <w:rsid w:val="00DA6D32"/>
    <w:rsid w:val="00DA6DB9"/>
    <w:rsid w:val="00DA6DBE"/>
    <w:rsid w:val="00DA6DDA"/>
    <w:rsid w:val="00DA6E99"/>
    <w:rsid w:val="00DA6EA4"/>
    <w:rsid w:val="00DA6ECC"/>
    <w:rsid w:val="00DA6FC1"/>
    <w:rsid w:val="00DA7043"/>
    <w:rsid w:val="00DA7047"/>
    <w:rsid w:val="00DA7056"/>
    <w:rsid w:val="00DA7065"/>
    <w:rsid w:val="00DA7084"/>
    <w:rsid w:val="00DA7086"/>
    <w:rsid w:val="00DA7089"/>
    <w:rsid w:val="00DA709E"/>
    <w:rsid w:val="00DA70BB"/>
    <w:rsid w:val="00DA70DE"/>
    <w:rsid w:val="00DA7110"/>
    <w:rsid w:val="00DA7112"/>
    <w:rsid w:val="00DA711F"/>
    <w:rsid w:val="00DA720F"/>
    <w:rsid w:val="00DA725A"/>
    <w:rsid w:val="00DA7299"/>
    <w:rsid w:val="00DA730C"/>
    <w:rsid w:val="00DA731D"/>
    <w:rsid w:val="00DA7349"/>
    <w:rsid w:val="00DA7361"/>
    <w:rsid w:val="00DA7399"/>
    <w:rsid w:val="00DA73A6"/>
    <w:rsid w:val="00DA7464"/>
    <w:rsid w:val="00DA7495"/>
    <w:rsid w:val="00DA74B5"/>
    <w:rsid w:val="00DA74D9"/>
    <w:rsid w:val="00DA75CA"/>
    <w:rsid w:val="00DA75E1"/>
    <w:rsid w:val="00DA7607"/>
    <w:rsid w:val="00DA768C"/>
    <w:rsid w:val="00DA7700"/>
    <w:rsid w:val="00DA772D"/>
    <w:rsid w:val="00DA787A"/>
    <w:rsid w:val="00DA791A"/>
    <w:rsid w:val="00DA7925"/>
    <w:rsid w:val="00DA7929"/>
    <w:rsid w:val="00DA7967"/>
    <w:rsid w:val="00DA7997"/>
    <w:rsid w:val="00DA7A19"/>
    <w:rsid w:val="00DA7AAC"/>
    <w:rsid w:val="00DA7AFA"/>
    <w:rsid w:val="00DA7B02"/>
    <w:rsid w:val="00DA7B40"/>
    <w:rsid w:val="00DA7B54"/>
    <w:rsid w:val="00DA7B97"/>
    <w:rsid w:val="00DA7BC9"/>
    <w:rsid w:val="00DA7C1B"/>
    <w:rsid w:val="00DA7C3A"/>
    <w:rsid w:val="00DA7C74"/>
    <w:rsid w:val="00DA7C7C"/>
    <w:rsid w:val="00DA7C8A"/>
    <w:rsid w:val="00DA7CE8"/>
    <w:rsid w:val="00DA7D15"/>
    <w:rsid w:val="00DA7D84"/>
    <w:rsid w:val="00DA7DE3"/>
    <w:rsid w:val="00DA7E1A"/>
    <w:rsid w:val="00DA7E41"/>
    <w:rsid w:val="00DA7E84"/>
    <w:rsid w:val="00DA7E9C"/>
    <w:rsid w:val="00DA7E9E"/>
    <w:rsid w:val="00DA7EA7"/>
    <w:rsid w:val="00DA7EDC"/>
    <w:rsid w:val="00DA7F03"/>
    <w:rsid w:val="00DA7F13"/>
    <w:rsid w:val="00DA7F38"/>
    <w:rsid w:val="00DA7F3C"/>
    <w:rsid w:val="00DA7FA6"/>
    <w:rsid w:val="00DA7FC2"/>
    <w:rsid w:val="00DB0046"/>
    <w:rsid w:val="00DB004E"/>
    <w:rsid w:val="00DB006F"/>
    <w:rsid w:val="00DB0087"/>
    <w:rsid w:val="00DB00E3"/>
    <w:rsid w:val="00DB0165"/>
    <w:rsid w:val="00DB0199"/>
    <w:rsid w:val="00DB021B"/>
    <w:rsid w:val="00DB022A"/>
    <w:rsid w:val="00DB0266"/>
    <w:rsid w:val="00DB0282"/>
    <w:rsid w:val="00DB02AE"/>
    <w:rsid w:val="00DB033C"/>
    <w:rsid w:val="00DB0345"/>
    <w:rsid w:val="00DB0369"/>
    <w:rsid w:val="00DB03E6"/>
    <w:rsid w:val="00DB0448"/>
    <w:rsid w:val="00DB0458"/>
    <w:rsid w:val="00DB04A2"/>
    <w:rsid w:val="00DB04E3"/>
    <w:rsid w:val="00DB0560"/>
    <w:rsid w:val="00DB05CD"/>
    <w:rsid w:val="00DB05E3"/>
    <w:rsid w:val="00DB0637"/>
    <w:rsid w:val="00DB0652"/>
    <w:rsid w:val="00DB06DC"/>
    <w:rsid w:val="00DB06FD"/>
    <w:rsid w:val="00DB070D"/>
    <w:rsid w:val="00DB0769"/>
    <w:rsid w:val="00DB076F"/>
    <w:rsid w:val="00DB079F"/>
    <w:rsid w:val="00DB07B5"/>
    <w:rsid w:val="00DB07F6"/>
    <w:rsid w:val="00DB091B"/>
    <w:rsid w:val="00DB09BF"/>
    <w:rsid w:val="00DB0A1F"/>
    <w:rsid w:val="00DB0A5B"/>
    <w:rsid w:val="00DB0B07"/>
    <w:rsid w:val="00DB0BA8"/>
    <w:rsid w:val="00DB0C0B"/>
    <w:rsid w:val="00DB0C36"/>
    <w:rsid w:val="00DB0C44"/>
    <w:rsid w:val="00DB0C65"/>
    <w:rsid w:val="00DB0CF8"/>
    <w:rsid w:val="00DB0D01"/>
    <w:rsid w:val="00DB0D4A"/>
    <w:rsid w:val="00DB0DCD"/>
    <w:rsid w:val="00DB0DEA"/>
    <w:rsid w:val="00DB0DEC"/>
    <w:rsid w:val="00DB0E06"/>
    <w:rsid w:val="00DB0E2F"/>
    <w:rsid w:val="00DB0E54"/>
    <w:rsid w:val="00DB0E9A"/>
    <w:rsid w:val="00DB0EBB"/>
    <w:rsid w:val="00DB0F04"/>
    <w:rsid w:val="00DB0F2C"/>
    <w:rsid w:val="00DB0F61"/>
    <w:rsid w:val="00DB0FCA"/>
    <w:rsid w:val="00DB1004"/>
    <w:rsid w:val="00DB102D"/>
    <w:rsid w:val="00DB10B0"/>
    <w:rsid w:val="00DB10C4"/>
    <w:rsid w:val="00DB10CA"/>
    <w:rsid w:val="00DB10F4"/>
    <w:rsid w:val="00DB116E"/>
    <w:rsid w:val="00DB11AD"/>
    <w:rsid w:val="00DB11CF"/>
    <w:rsid w:val="00DB120B"/>
    <w:rsid w:val="00DB1268"/>
    <w:rsid w:val="00DB1271"/>
    <w:rsid w:val="00DB1274"/>
    <w:rsid w:val="00DB12BC"/>
    <w:rsid w:val="00DB12E5"/>
    <w:rsid w:val="00DB12FA"/>
    <w:rsid w:val="00DB1310"/>
    <w:rsid w:val="00DB1396"/>
    <w:rsid w:val="00DB1399"/>
    <w:rsid w:val="00DB13C6"/>
    <w:rsid w:val="00DB13D9"/>
    <w:rsid w:val="00DB13E9"/>
    <w:rsid w:val="00DB1442"/>
    <w:rsid w:val="00DB1459"/>
    <w:rsid w:val="00DB1460"/>
    <w:rsid w:val="00DB1494"/>
    <w:rsid w:val="00DB14E2"/>
    <w:rsid w:val="00DB152D"/>
    <w:rsid w:val="00DB15DB"/>
    <w:rsid w:val="00DB1645"/>
    <w:rsid w:val="00DB1658"/>
    <w:rsid w:val="00DB166F"/>
    <w:rsid w:val="00DB167C"/>
    <w:rsid w:val="00DB167E"/>
    <w:rsid w:val="00DB170A"/>
    <w:rsid w:val="00DB1750"/>
    <w:rsid w:val="00DB17AD"/>
    <w:rsid w:val="00DB1813"/>
    <w:rsid w:val="00DB1893"/>
    <w:rsid w:val="00DB18B2"/>
    <w:rsid w:val="00DB18C0"/>
    <w:rsid w:val="00DB18E2"/>
    <w:rsid w:val="00DB192B"/>
    <w:rsid w:val="00DB1934"/>
    <w:rsid w:val="00DB1937"/>
    <w:rsid w:val="00DB19C2"/>
    <w:rsid w:val="00DB19C6"/>
    <w:rsid w:val="00DB19D5"/>
    <w:rsid w:val="00DB19F0"/>
    <w:rsid w:val="00DB1A18"/>
    <w:rsid w:val="00DB1A22"/>
    <w:rsid w:val="00DB1A3A"/>
    <w:rsid w:val="00DB1A8A"/>
    <w:rsid w:val="00DB1B32"/>
    <w:rsid w:val="00DB1B5F"/>
    <w:rsid w:val="00DB1BA9"/>
    <w:rsid w:val="00DB1BCD"/>
    <w:rsid w:val="00DB1BE3"/>
    <w:rsid w:val="00DB1C40"/>
    <w:rsid w:val="00DB1CD1"/>
    <w:rsid w:val="00DB1CE1"/>
    <w:rsid w:val="00DB1CEC"/>
    <w:rsid w:val="00DB1CF4"/>
    <w:rsid w:val="00DB1D29"/>
    <w:rsid w:val="00DB1D5B"/>
    <w:rsid w:val="00DB1D7A"/>
    <w:rsid w:val="00DB1D7B"/>
    <w:rsid w:val="00DB1D8A"/>
    <w:rsid w:val="00DB1E44"/>
    <w:rsid w:val="00DB1E6B"/>
    <w:rsid w:val="00DB1E86"/>
    <w:rsid w:val="00DB1E94"/>
    <w:rsid w:val="00DB1EEE"/>
    <w:rsid w:val="00DB1F02"/>
    <w:rsid w:val="00DB1F08"/>
    <w:rsid w:val="00DB1F40"/>
    <w:rsid w:val="00DB1FA1"/>
    <w:rsid w:val="00DB1FBD"/>
    <w:rsid w:val="00DB1FE4"/>
    <w:rsid w:val="00DB1FFD"/>
    <w:rsid w:val="00DB2025"/>
    <w:rsid w:val="00DB20DA"/>
    <w:rsid w:val="00DB21A2"/>
    <w:rsid w:val="00DB21DF"/>
    <w:rsid w:val="00DB21E7"/>
    <w:rsid w:val="00DB2232"/>
    <w:rsid w:val="00DB226A"/>
    <w:rsid w:val="00DB229F"/>
    <w:rsid w:val="00DB22E3"/>
    <w:rsid w:val="00DB2341"/>
    <w:rsid w:val="00DB2347"/>
    <w:rsid w:val="00DB235A"/>
    <w:rsid w:val="00DB237D"/>
    <w:rsid w:val="00DB23BE"/>
    <w:rsid w:val="00DB2400"/>
    <w:rsid w:val="00DB240B"/>
    <w:rsid w:val="00DB2418"/>
    <w:rsid w:val="00DB2436"/>
    <w:rsid w:val="00DB255D"/>
    <w:rsid w:val="00DB259A"/>
    <w:rsid w:val="00DB25B8"/>
    <w:rsid w:val="00DB25BA"/>
    <w:rsid w:val="00DB265B"/>
    <w:rsid w:val="00DB26AF"/>
    <w:rsid w:val="00DB26E1"/>
    <w:rsid w:val="00DB271C"/>
    <w:rsid w:val="00DB2762"/>
    <w:rsid w:val="00DB27FA"/>
    <w:rsid w:val="00DB2810"/>
    <w:rsid w:val="00DB2868"/>
    <w:rsid w:val="00DB286A"/>
    <w:rsid w:val="00DB2870"/>
    <w:rsid w:val="00DB28BE"/>
    <w:rsid w:val="00DB28EE"/>
    <w:rsid w:val="00DB28F7"/>
    <w:rsid w:val="00DB2969"/>
    <w:rsid w:val="00DB29BF"/>
    <w:rsid w:val="00DB29C3"/>
    <w:rsid w:val="00DB2A14"/>
    <w:rsid w:val="00DB2A3C"/>
    <w:rsid w:val="00DB2A69"/>
    <w:rsid w:val="00DB2A95"/>
    <w:rsid w:val="00DB2AA8"/>
    <w:rsid w:val="00DB2AB3"/>
    <w:rsid w:val="00DB2ABE"/>
    <w:rsid w:val="00DB2B6E"/>
    <w:rsid w:val="00DB2BCE"/>
    <w:rsid w:val="00DB2BF6"/>
    <w:rsid w:val="00DB2BFF"/>
    <w:rsid w:val="00DB2C88"/>
    <w:rsid w:val="00DB2D2C"/>
    <w:rsid w:val="00DB2D36"/>
    <w:rsid w:val="00DB2D6D"/>
    <w:rsid w:val="00DB2D77"/>
    <w:rsid w:val="00DB2D7A"/>
    <w:rsid w:val="00DB2DB2"/>
    <w:rsid w:val="00DB2E1B"/>
    <w:rsid w:val="00DB2E51"/>
    <w:rsid w:val="00DB2F36"/>
    <w:rsid w:val="00DB2FB0"/>
    <w:rsid w:val="00DB2FBC"/>
    <w:rsid w:val="00DB2FE6"/>
    <w:rsid w:val="00DB302E"/>
    <w:rsid w:val="00DB3051"/>
    <w:rsid w:val="00DB30B0"/>
    <w:rsid w:val="00DB30D2"/>
    <w:rsid w:val="00DB30E1"/>
    <w:rsid w:val="00DB3111"/>
    <w:rsid w:val="00DB3156"/>
    <w:rsid w:val="00DB31AD"/>
    <w:rsid w:val="00DB31D6"/>
    <w:rsid w:val="00DB31EE"/>
    <w:rsid w:val="00DB32BE"/>
    <w:rsid w:val="00DB32DE"/>
    <w:rsid w:val="00DB32E8"/>
    <w:rsid w:val="00DB3307"/>
    <w:rsid w:val="00DB330A"/>
    <w:rsid w:val="00DB333E"/>
    <w:rsid w:val="00DB336E"/>
    <w:rsid w:val="00DB33BE"/>
    <w:rsid w:val="00DB33C1"/>
    <w:rsid w:val="00DB3411"/>
    <w:rsid w:val="00DB346B"/>
    <w:rsid w:val="00DB3482"/>
    <w:rsid w:val="00DB34A2"/>
    <w:rsid w:val="00DB34E3"/>
    <w:rsid w:val="00DB3599"/>
    <w:rsid w:val="00DB35DC"/>
    <w:rsid w:val="00DB362F"/>
    <w:rsid w:val="00DB3630"/>
    <w:rsid w:val="00DB3694"/>
    <w:rsid w:val="00DB36B9"/>
    <w:rsid w:val="00DB36E7"/>
    <w:rsid w:val="00DB378C"/>
    <w:rsid w:val="00DB37EF"/>
    <w:rsid w:val="00DB380A"/>
    <w:rsid w:val="00DB38F7"/>
    <w:rsid w:val="00DB3903"/>
    <w:rsid w:val="00DB3926"/>
    <w:rsid w:val="00DB393D"/>
    <w:rsid w:val="00DB3961"/>
    <w:rsid w:val="00DB3963"/>
    <w:rsid w:val="00DB3ADC"/>
    <w:rsid w:val="00DB3B01"/>
    <w:rsid w:val="00DB3B2E"/>
    <w:rsid w:val="00DB3B40"/>
    <w:rsid w:val="00DB3B95"/>
    <w:rsid w:val="00DB3BF7"/>
    <w:rsid w:val="00DB3C1A"/>
    <w:rsid w:val="00DB3C3C"/>
    <w:rsid w:val="00DB3C49"/>
    <w:rsid w:val="00DB3C59"/>
    <w:rsid w:val="00DB3C6C"/>
    <w:rsid w:val="00DB3C76"/>
    <w:rsid w:val="00DB3CC2"/>
    <w:rsid w:val="00DB3CE4"/>
    <w:rsid w:val="00DB3D02"/>
    <w:rsid w:val="00DB3D19"/>
    <w:rsid w:val="00DB3D41"/>
    <w:rsid w:val="00DB3DE9"/>
    <w:rsid w:val="00DB3DEA"/>
    <w:rsid w:val="00DB3E1A"/>
    <w:rsid w:val="00DB3E89"/>
    <w:rsid w:val="00DB3EB9"/>
    <w:rsid w:val="00DB3EC9"/>
    <w:rsid w:val="00DB3EE3"/>
    <w:rsid w:val="00DB3F82"/>
    <w:rsid w:val="00DB3F9D"/>
    <w:rsid w:val="00DB3FB7"/>
    <w:rsid w:val="00DB3FB8"/>
    <w:rsid w:val="00DB3FBA"/>
    <w:rsid w:val="00DB4005"/>
    <w:rsid w:val="00DB409A"/>
    <w:rsid w:val="00DB40B4"/>
    <w:rsid w:val="00DB40CD"/>
    <w:rsid w:val="00DB40EF"/>
    <w:rsid w:val="00DB4155"/>
    <w:rsid w:val="00DB41B5"/>
    <w:rsid w:val="00DB41D3"/>
    <w:rsid w:val="00DB41E4"/>
    <w:rsid w:val="00DB4253"/>
    <w:rsid w:val="00DB42D2"/>
    <w:rsid w:val="00DB42F6"/>
    <w:rsid w:val="00DB4307"/>
    <w:rsid w:val="00DB4371"/>
    <w:rsid w:val="00DB4378"/>
    <w:rsid w:val="00DB437A"/>
    <w:rsid w:val="00DB43E5"/>
    <w:rsid w:val="00DB43FF"/>
    <w:rsid w:val="00DB4438"/>
    <w:rsid w:val="00DB444C"/>
    <w:rsid w:val="00DB4499"/>
    <w:rsid w:val="00DB44AA"/>
    <w:rsid w:val="00DB44AC"/>
    <w:rsid w:val="00DB4519"/>
    <w:rsid w:val="00DB4565"/>
    <w:rsid w:val="00DB45EA"/>
    <w:rsid w:val="00DB4675"/>
    <w:rsid w:val="00DB46CF"/>
    <w:rsid w:val="00DB46FB"/>
    <w:rsid w:val="00DB472D"/>
    <w:rsid w:val="00DB472E"/>
    <w:rsid w:val="00DB4735"/>
    <w:rsid w:val="00DB47AA"/>
    <w:rsid w:val="00DB47B8"/>
    <w:rsid w:val="00DB47DA"/>
    <w:rsid w:val="00DB47E0"/>
    <w:rsid w:val="00DB4898"/>
    <w:rsid w:val="00DB489C"/>
    <w:rsid w:val="00DB48A7"/>
    <w:rsid w:val="00DB48E2"/>
    <w:rsid w:val="00DB48EF"/>
    <w:rsid w:val="00DB48F4"/>
    <w:rsid w:val="00DB4909"/>
    <w:rsid w:val="00DB494F"/>
    <w:rsid w:val="00DB4992"/>
    <w:rsid w:val="00DB49C4"/>
    <w:rsid w:val="00DB4A12"/>
    <w:rsid w:val="00DB4A2A"/>
    <w:rsid w:val="00DB4A7E"/>
    <w:rsid w:val="00DB4A83"/>
    <w:rsid w:val="00DB4A93"/>
    <w:rsid w:val="00DB4AC4"/>
    <w:rsid w:val="00DB4AC8"/>
    <w:rsid w:val="00DB4AD2"/>
    <w:rsid w:val="00DB4AE1"/>
    <w:rsid w:val="00DB4B12"/>
    <w:rsid w:val="00DB4B52"/>
    <w:rsid w:val="00DB4B8D"/>
    <w:rsid w:val="00DB4BAC"/>
    <w:rsid w:val="00DB4BC2"/>
    <w:rsid w:val="00DB4C19"/>
    <w:rsid w:val="00DB4C4C"/>
    <w:rsid w:val="00DB4C52"/>
    <w:rsid w:val="00DB4C6E"/>
    <w:rsid w:val="00DB4CC8"/>
    <w:rsid w:val="00DB4CCD"/>
    <w:rsid w:val="00DB4CD7"/>
    <w:rsid w:val="00DB4CF6"/>
    <w:rsid w:val="00DB4D25"/>
    <w:rsid w:val="00DB4D63"/>
    <w:rsid w:val="00DB4DEC"/>
    <w:rsid w:val="00DB4E23"/>
    <w:rsid w:val="00DB4E90"/>
    <w:rsid w:val="00DB4EAF"/>
    <w:rsid w:val="00DB4ED4"/>
    <w:rsid w:val="00DB4EE3"/>
    <w:rsid w:val="00DB4F7B"/>
    <w:rsid w:val="00DB4F8F"/>
    <w:rsid w:val="00DB4FE3"/>
    <w:rsid w:val="00DB502B"/>
    <w:rsid w:val="00DB5053"/>
    <w:rsid w:val="00DB5054"/>
    <w:rsid w:val="00DB50FA"/>
    <w:rsid w:val="00DB5139"/>
    <w:rsid w:val="00DB5152"/>
    <w:rsid w:val="00DB51A7"/>
    <w:rsid w:val="00DB51BE"/>
    <w:rsid w:val="00DB5215"/>
    <w:rsid w:val="00DB523F"/>
    <w:rsid w:val="00DB5240"/>
    <w:rsid w:val="00DB52AB"/>
    <w:rsid w:val="00DB52F0"/>
    <w:rsid w:val="00DB532D"/>
    <w:rsid w:val="00DB536B"/>
    <w:rsid w:val="00DB5394"/>
    <w:rsid w:val="00DB53E6"/>
    <w:rsid w:val="00DB5461"/>
    <w:rsid w:val="00DB54FD"/>
    <w:rsid w:val="00DB5519"/>
    <w:rsid w:val="00DB55CE"/>
    <w:rsid w:val="00DB55EA"/>
    <w:rsid w:val="00DB55FA"/>
    <w:rsid w:val="00DB5607"/>
    <w:rsid w:val="00DB562F"/>
    <w:rsid w:val="00DB5674"/>
    <w:rsid w:val="00DB568B"/>
    <w:rsid w:val="00DB56D3"/>
    <w:rsid w:val="00DB56FB"/>
    <w:rsid w:val="00DB5711"/>
    <w:rsid w:val="00DB5736"/>
    <w:rsid w:val="00DB5747"/>
    <w:rsid w:val="00DB5799"/>
    <w:rsid w:val="00DB57A9"/>
    <w:rsid w:val="00DB57E2"/>
    <w:rsid w:val="00DB5829"/>
    <w:rsid w:val="00DB5869"/>
    <w:rsid w:val="00DB58B0"/>
    <w:rsid w:val="00DB58BC"/>
    <w:rsid w:val="00DB58BD"/>
    <w:rsid w:val="00DB58E4"/>
    <w:rsid w:val="00DB5923"/>
    <w:rsid w:val="00DB594C"/>
    <w:rsid w:val="00DB594D"/>
    <w:rsid w:val="00DB5955"/>
    <w:rsid w:val="00DB5964"/>
    <w:rsid w:val="00DB59B2"/>
    <w:rsid w:val="00DB5A30"/>
    <w:rsid w:val="00DB5A8A"/>
    <w:rsid w:val="00DB5AC3"/>
    <w:rsid w:val="00DB5AFF"/>
    <w:rsid w:val="00DB5B78"/>
    <w:rsid w:val="00DB5BA0"/>
    <w:rsid w:val="00DB5BC7"/>
    <w:rsid w:val="00DB5BD2"/>
    <w:rsid w:val="00DB5BF4"/>
    <w:rsid w:val="00DB5C06"/>
    <w:rsid w:val="00DB5C14"/>
    <w:rsid w:val="00DB5C24"/>
    <w:rsid w:val="00DB5C29"/>
    <w:rsid w:val="00DB5C30"/>
    <w:rsid w:val="00DB5C5D"/>
    <w:rsid w:val="00DB5C67"/>
    <w:rsid w:val="00DB5C75"/>
    <w:rsid w:val="00DB5C79"/>
    <w:rsid w:val="00DB5C86"/>
    <w:rsid w:val="00DB5CE7"/>
    <w:rsid w:val="00DB5D00"/>
    <w:rsid w:val="00DB5D3A"/>
    <w:rsid w:val="00DB5D8E"/>
    <w:rsid w:val="00DB5D97"/>
    <w:rsid w:val="00DB5DC2"/>
    <w:rsid w:val="00DB5DEA"/>
    <w:rsid w:val="00DB5E3D"/>
    <w:rsid w:val="00DB5E4E"/>
    <w:rsid w:val="00DB5EE8"/>
    <w:rsid w:val="00DB5EF8"/>
    <w:rsid w:val="00DB5F2B"/>
    <w:rsid w:val="00DB5F3D"/>
    <w:rsid w:val="00DB5FC9"/>
    <w:rsid w:val="00DB5FF5"/>
    <w:rsid w:val="00DB6010"/>
    <w:rsid w:val="00DB6128"/>
    <w:rsid w:val="00DB6190"/>
    <w:rsid w:val="00DB619B"/>
    <w:rsid w:val="00DB621D"/>
    <w:rsid w:val="00DB6235"/>
    <w:rsid w:val="00DB62B7"/>
    <w:rsid w:val="00DB62CD"/>
    <w:rsid w:val="00DB634E"/>
    <w:rsid w:val="00DB63BD"/>
    <w:rsid w:val="00DB641E"/>
    <w:rsid w:val="00DB6515"/>
    <w:rsid w:val="00DB6516"/>
    <w:rsid w:val="00DB6560"/>
    <w:rsid w:val="00DB6571"/>
    <w:rsid w:val="00DB6612"/>
    <w:rsid w:val="00DB6641"/>
    <w:rsid w:val="00DB668B"/>
    <w:rsid w:val="00DB66DE"/>
    <w:rsid w:val="00DB675B"/>
    <w:rsid w:val="00DB6787"/>
    <w:rsid w:val="00DB67C8"/>
    <w:rsid w:val="00DB682C"/>
    <w:rsid w:val="00DB683E"/>
    <w:rsid w:val="00DB6848"/>
    <w:rsid w:val="00DB6879"/>
    <w:rsid w:val="00DB688B"/>
    <w:rsid w:val="00DB689C"/>
    <w:rsid w:val="00DB68CF"/>
    <w:rsid w:val="00DB68E2"/>
    <w:rsid w:val="00DB68F5"/>
    <w:rsid w:val="00DB690F"/>
    <w:rsid w:val="00DB6930"/>
    <w:rsid w:val="00DB69D9"/>
    <w:rsid w:val="00DB6A22"/>
    <w:rsid w:val="00DB6A23"/>
    <w:rsid w:val="00DB6A27"/>
    <w:rsid w:val="00DB6A45"/>
    <w:rsid w:val="00DB6A6E"/>
    <w:rsid w:val="00DB6A8A"/>
    <w:rsid w:val="00DB6AB7"/>
    <w:rsid w:val="00DB6ACA"/>
    <w:rsid w:val="00DB6B53"/>
    <w:rsid w:val="00DB6B88"/>
    <w:rsid w:val="00DB6B8B"/>
    <w:rsid w:val="00DB6BBE"/>
    <w:rsid w:val="00DB6C3D"/>
    <w:rsid w:val="00DB6C65"/>
    <w:rsid w:val="00DB6C76"/>
    <w:rsid w:val="00DB6CA8"/>
    <w:rsid w:val="00DB6CC1"/>
    <w:rsid w:val="00DB6D18"/>
    <w:rsid w:val="00DB6D7D"/>
    <w:rsid w:val="00DB6D9D"/>
    <w:rsid w:val="00DB6DA9"/>
    <w:rsid w:val="00DB6DD2"/>
    <w:rsid w:val="00DB6E1A"/>
    <w:rsid w:val="00DB6E4E"/>
    <w:rsid w:val="00DB6E58"/>
    <w:rsid w:val="00DB6F37"/>
    <w:rsid w:val="00DB6F4B"/>
    <w:rsid w:val="00DB6F75"/>
    <w:rsid w:val="00DB7037"/>
    <w:rsid w:val="00DB707A"/>
    <w:rsid w:val="00DB70A3"/>
    <w:rsid w:val="00DB70CD"/>
    <w:rsid w:val="00DB70F7"/>
    <w:rsid w:val="00DB710D"/>
    <w:rsid w:val="00DB7126"/>
    <w:rsid w:val="00DB714D"/>
    <w:rsid w:val="00DB7188"/>
    <w:rsid w:val="00DB71A4"/>
    <w:rsid w:val="00DB71F3"/>
    <w:rsid w:val="00DB72A3"/>
    <w:rsid w:val="00DB72AC"/>
    <w:rsid w:val="00DB72B3"/>
    <w:rsid w:val="00DB72BD"/>
    <w:rsid w:val="00DB72DB"/>
    <w:rsid w:val="00DB730F"/>
    <w:rsid w:val="00DB7393"/>
    <w:rsid w:val="00DB73E2"/>
    <w:rsid w:val="00DB73E7"/>
    <w:rsid w:val="00DB7473"/>
    <w:rsid w:val="00DB7479"/>
    <w:rsid w:val="00DB7498"/>
    <w:rsid w:val="00DB74DE"/>
    <w:rsid w:val="00DB7515"/>
    <w:rsid w:val="00DB7517"/>
    <w:rsid w:val="00DB7530"/>
    <w:rsid w:val="00DB7553"/>
    <w:rsid w:val="00DB755A"/>
    <w:rsid w:val="00DB7580"/>
    <w:rsid w:val="00DB75E8"/>
    <w:rsid w:val="00DB76AF"/>
    <w:rsid w:val="00DB76E4"/>
    <w:rsid w:val="00DB76F0"/>
    <w:rsid w:val="00DB774D"/>
    <w:rsid w:val="00DB7774"/>
    <w:rsid w:val="00DB7784"/>
    <w:rsid w:val="00DB7790"/>
    <w:rsid w:val="00DB77C7"/>
    <w:rsid w:val="00DB77E1"/>
    <w:rsid w:val="00DB7848"/>
    <w:rsid w:val="00DB78E5"/>
    <w:rsid w:val="00DB7937"/>
    <w:rsid w:val="00DB797E"/>
    <w:rsid w:val="00DB7A6E"/>
    <w:rsid w:val="00DB7A78"/>
    <w:rsid w:val="00DB7AA5"/>
    <w:rsid w:val="00DB7ABA"/>
    <w:rsid w:val="00DB7ADB"/>
    <w:rsid w:val="00DB7B91"/>
    <w:rsid w:val="00DB7BB3"/>
    <w:rsid w:val="00DB7C57"/>
    <w:rsid w:val="00DB7C65"/>
    <w:rsid w:val="00DB7D0E"/>
    <w:rsid w:val="00DB7D1F"/>
    <w:rsid w:val="00DB7D3C"/>
    <w:rsid w:val="00DB7D96"/>
    <w:rsid w:val="00DB7DF3"/>
    <w:rsid w:val="00DB7E38"/>
    <w:rsid w:val="00DB7E3F"/>
    <w:rsid w:val="00DB7E89"/>
    <w:rsid w:val="00DB7EC5"/>
    <w:rsid w:val="00DB7FD4"/>
    <w:rsid w:val="00DB7FDE"/>
    <w:rsid w:val="00DC0061"/>
    <w:rsid w:val="00DC008D"/>
    <w:rsid w:val="00DC00E6"/>
    <w:rsid w:val="00DC010B"/>
    <w:rsid w:val="00DC0130"/>
    <w:rsid w:val="00DC0159"/>
    <w:rsid w:val="00DC015F"/>
    <w:rsid w:val="00DC0160"/>
    <w:rsid w:val="00DC019B"/>
    <w:rsid w:val="00DC0235"/>
    <w:rsid w:val="00DC0239"/>
    <w:rsid w:val="00DC0254"/>
    <w:rsid w:val="00DC02A8"/>
    <w:rsid w:val="00DC0316"/>
    <w:rsid w:val="00DC0344"/>
    <w:rsid w:val="00DC03D7"/>
    <w:rsid w:val="00DC03E9"/>
    <w:rsid w:val="00DC042A"/>
    <w:rsid w:val="00DC0464"/>
    <w:rsid w:val="00DC04B4"/>
    <w:rsid w:val="00DC04BA"/>
    <w:rsid w:val="00DC04BE"/>
    <w:rsid w:val="00DC04C7"/>
    <w:rsid w:val="00DC04E9"/>
    <w:rsid w:val="00DC0585"/>
    <w:rsid w:val="00DC05A7"/>
    <w:rsid w:val="00DC0619"/>
    <w:rsid w:val="00DC0635"/>
    <w:rsid w:val="00DC065B"/>
    <w:rsid w:val="00DC0665"/>
    <w:rsid w:val="00DC0681"/>
    <w:rsid w:val="00DC0700"/>
    <w:rsid w:val="00DC0740"/>
    <w:rsid w:val="00DC07C4"/>
    <w:rsid w:val="00DC088B"/>
    <w:rsid w:val="00DC089B"/>
    <w:rsid w:val="00DC091F"/>
    <w:rsid w:val="00DC0988"/>
    <w:rsid w:val="00DC0A4C"/>
    <w:rsid w:val="00DC0A4D"/>
    <w:rsid w:val="00DC0A90"/>
    <w:rsid w:val="00DC0A94"/>
    <w:rsid w:val="00DC0ABE"/>
    <w:rsid w:val="00DC0AC9"/>
    <w:rsid w:val="00DC0AF6"/>
    <w:rsid w:val="00DC0AFD"/>
    <w:rsid w:val="00DC0B20"/>
    <w:rsid w:val="00DC0B26"/>
    <w:rsid w:val="00DC0B75"/>
    <w:rsid w:val="00DC0B9B"/>
    <w:rsid w:val="00DC0C17"/>
    <w:rsid w:val="00DC0C36"/>
    <w:rsid w:val="00DC0C44"/>
    <w:rsid w:val="00DC0C62"/>
    <w:rsid w:val="00DC0C72"/>
    <w:rsid w:val="00DC0C7F"/>
    <w:rsid w:val="00DC0C9B"/>
    <w:rsid w:val="00DC0CAD"/>
    <w:rsid w:val="00DC0CDD"/>
    <w:rsid w:val="00DC0E45"/>
    <w:rsid w:val="00DC0E6A"/>
    <w:rsid w:val="00DC0E77"/>
    <w:rsid w:val="00DC0E88"/>
    <w:rsid w:val="00DC0F65"/>
    <w:rsid w:val="00DC0FB7"/>
    <w:rsid w:val="00DC0FBA"/>
    <w:rsid w:val="00DC0FF4"/>
    <w:rsid w:val="00DC1006"/>
    <w:rsid w:val="00DC104F"/>
    <w:rsid w:val="00DC105D"/>
    <w:rsid w:val="00DC109E"/>
    <w:rsid w:val="00DC112E"/>
    <w:rsid w:val="00DC118B"/>
    <w:rsid w:val="00DC11CF"/>
    <w:rsid w:val="00DC11E2"/>
    <w:rsid w:val="00DC11FA"/>
    <w:rsid w:val="00DC1255"/>
    <w:rsid w:val="00DC125F"/>
    <w:rsid w:val="00DC12CB"/>
    <w:rsid w:val="00DC1320"/>
    <w:rsid w:val="00DC1333"/>
    <w:rsid w:val="00DC1350"/>
    <w:rsid w:val="00DC1359"/>
    <w:rsid w:val="00DC139A"/>
    <w:rsid w:val="00DC13AD"/>
    <w:rsid w:val="00DC1461"/>
    <w:rsid w:val="00DC14AA"/>
    <w:rsid w:val="00DC14ED"/>
    <w:rsid w:val="00DC1500"/>
    <w:rsid w:val="00DC1505"/>
    <w:rsid w:val="00DC150B"/>
    <w:rsid w:val="00DC1562"/>
    <w:rsid w:val="00DC1628"/>
    <w:rsid w:val="00DC16B5"/>
    <w:rsid w:val="00DC16CD"/>
    <w:rsid w:val="00DC16E2"/>
    <w:rsid w:val="00DC175C"/>
    <w:rsid w:val="00DC178A"/>
    <w:rsid w:val="00DC17CE"/>
    <w:rsid w:val="00DC1806"/>
    <w:rsid w:val="00DC180C"/>
    <w:rsid w:val="00DC1824"/>
    <w:rsid w:val="00DC1834"/>
    <w:rsid w:val="00DC1845"/>
    <w:rsid w:val="00DC1915"/>
    <w:rsid w:val="00DC1935"/>
    <w:rsid w:val="00DC196B"/>
    <w:rsid w:val="00DC19A7"/>
    <w:rsid w:val="00DC1A3F"/>
    <w:rsid w:val="00DC1A45"/>
    <w:rsid w:val="00DC1A4C"/>
    <w:rsid w:val="00DC1AE0"/>
    <w:rsid w:val="00DC1B7B"/>
    <w:rsid w:val="00DC1C07"/>
    <w:rsid w:val="00DC1C0E"/>
    <w:rsid w:val="00DC1C67"/>
    <w:rsid w:val="00DC1C8F"/>
    <w:rsid w:val="00DC1C92"/>
    <w:rsid w:val="00DC1CD7"/>
    <w:rsid w:val="00DC1CDD"/>
    <w:rsid w:val="00DC1D2F"/>
    <w:rsid w:val="00DC1D6A"/>
    <w:rsid w:val="00DC1DBE"/>
    <w:rsid w:val="00DC1DCE"/>
    <w:rsid w:val="00DC1E2C"/>
    <w:rsid w:val="00DC1E69"/>
    <w:rsid w:val="00DC1F04"/>
    <w:rsid w:val="00DC1F47"/>
    <w:rsid w:val="00DC1F73"/>
    <w:rsid w:val="00DC1F75"/>
    <w:rsid w:val="00DC1FCE"/>
    <w:rsid w:val="00DC2045"/>
    <w:rsid w:val="00DC20C5"/>
    <w:rsid w:val="00DC20E9"/>
    <w:rsid w:val="00DC20FA"/>
    <w:rsid w:val="00DC2102"/>
    <w:rsid w:val="00DC2125"/>
    <w:rsid w:val="00DC21E2"/>
    <w:rsid w:val="00DC220A"/>
    <w:rsid w:val="00DC229D"/>
    <w:rsid w:val="00DC22CA"/>
    <w:rsid w:val="00DC2313"/>
    <w:rsid w:val="00DC2327"/>
    <w:rsid w:val="00DC2333"/>
    <w:rsid w:val="00DC235D"/>
    <w:rsid w:val="00DC2370"/>
    <w:rsid w:val="00DC2372"/>
    <w:rsid w:val="00DC23A8"/>
    <w:rsid w:val="00DC23CA"/>
    <w:rsid w:val="00DC23E9"/>
    <w:rsid w:val="00DC23F3"/>
    <w:rsid w:val="00DC23F7"/>
    <w:rsid w:val="00DC2460"/>
    <w:rsid w:val="00DC2468"/>
    <w:rsid w:val="00DC2480"/>
    <w:rsid w:val="00DC24F3"/>
    <w:rsid w:val="00DC24F6"/>
    <w:rsid w:val="00DC2507"/>
    <w:rsid w:val="00DC2518"/>
    <w:rsid w:val="00DC25E9"/>
    <w:rsid w:val="00DC25EB"/>
    <w:rsid w:val="00DC2671"/>
    <w:rsid w:val="00DC26E0"/>
    <w:rsid w:val="00DC271D"/>
    <w:rsid w:val="00DC273C"/>
    <w:rsid w:val="00DC276C"/>
    <w:rsid w:val="00DC278E"/>
    <w:rsid w:val="00DC2796"/>
    <w:rsid w:val="00DC27E6"/>
    <w:rsid w:val="00DC27F4"/>
    <w:rsid w:val="00DC2827"/>
    <w:rsid w:val="00DC2836"/>
    <w:rsid w:val="00DC2844"/>
    <w:rsid w:val="00DC284F"/>
    <w:rsid w:val="00DC28F0"/>
    <w:rsid w:val="00DC290C"/>
    <w:rsid w:val="00DC2911"/>
    <w:rsid w:val="00DC2913"/>
    <w:rsid w:val="00DC2922"/>
    <w:rsid w:val="00DC298D"/>
    <w:rsid w:val="00DC29DF"/>
    <w:rsid w:val="00DC2A5C"/>
    <w:rsid w:val="00DC2A5E"/>
    <w:rsid w:val="00DC2B61"/>
    <w:rsid w:val="00DC2B6F"/>
    <w:rsid w:val="00DC2BE3"/>
    <w:rsid w:val="00DC2C17"/>
    <w:rsid w:val="00DC2CA0"/>
    <w:rsid w:val="00DC2CAB"/>
    <w:rsid w:val="00DC2CCB"/>
    <w:rsid w:val="00DC2CD7"/>
    <w:rsid w:val="00DC2CEC"/>
    <w:rsid w:val="00DC2D2C"/>
    <w:rsid w:val="00DC2D3D"/>
    <w:rsid w:val="00DC2D5A"/>
    <w:rsid w:val="00DC2DA1"/>
    <w:rsid w:val="00DC2DA7"/>
    <w:rsid w:val="00DC2E40"/>
    <w:rsid w:val="00DC2E4A"/>
    <w:rsid w:val="00DC2E69"/>
    <w:rsid w:val="00DC2E79"/>
    <w:rsid w:val="00DC2E92"/>
    <w:rsid w:val="00DC2EB7"/>
    <w:rsid w:val="00DC2EC6"/>
    <w:rsid w:val="00DC2ED2"/>
    <w:rsid w:val="00DC2EFD"/>
    <w:rsid w:val="00DC2F01"/>
    <w:rsid w:val="00DC2F04"/>
    <w:rsid w:val="00DC2F69"/>
    <w:rsid w:val="00DC3045"/>
    <w:rsid w:val="00DC3076"/>
    <w:rsid w:val="00DC3091"/>
    <w:rsid w:val="00DC30CB"/>
    <w:rsid w:val="00DC30D8"/>
    <w:rsid w:val="00DC30E2"/>
    <w:rsid w:val="00DC3105"/>
    <w:rsid w:val="00DC3125"/>
    <w:rsid w:val="00DC315F"/>
    <w:rsid w:val="00DC3189"/>
    <w:rsid w:val="00DC31B5"/>
    <w:rsid w:val="00DC31C4"/>
    <w:rsid w:val="00DC31E8"/>
    <w:rsid w:val="00DC3244"/>
    <w:rsid w:val="00DC326D"/>
    <w:rsid w:val="00DC328E"/>
    <w:rsid w:val="00DC32A2"/>
    <w:rsid w:val="00DC333B"/>
    <w:rsid w:val="00DC33F3"/>
    <w:rsid w:val="00DC341E"/>
    <w:rsid w:val="00DC346F"/>
    <w:rsid w:val="00DC3490"/>
    <w:rsid w:val="00DC34BD"/>
    <w:rsid w:val="00DC34D7"/>
    <w:rsid w:val="00DC3511"/>
    <w:rsid w:val="00DC354E"/>
    <w:rsid w:val="00DC3593"/>
    <w:rsid w:val="00DC35B7"/>
    <w:rsid w:val="00DC35C5"/>
    <w:rsid w:val="00DC360E"/>
    <w:rsid w:val="00DC3684"/>
    <w:rsid w:val="00DC369A"/>
    <w:rsid w:val="00DC36A9"/>
    <w:rsid w:val="00DC3781"/>
    <w:rsid w:val="00DC3789"/>
    <w:rsid w:val="00DC381B"/>
    <w:rsid w:val="00DC3897"/>
    <w:rsid w:val="00DC38E3"/>
    <w:rsid w:val="00DC3912"/>
    <w:rsid w:val="00DC397A"/>
    <w:rsid w:val="00DC39B5"/>
    <w:rsid w:val="00DC39C8"/>
    <w:rsid w:val="00DC39F9"/>
    <w:rsid w:val="00DC3A14"/>
    <w:rsid w:val="00DC3A19"/>
    <w:rsid w:val="00DC3AA8"/>
    <w:rsid w:val="00DC3AE1"/>
    <w:rsid w:val="00DC3AE4"/>
    <w:rsid w:val="00DC3AF0"/>
    <w:rsid w:val="00DC3BBC"/>
    <w:rsid w:val="00DC3C46"/>
    <w:rsid w:val="00DC3C64"/>
    <w:rsid w:val="00DC3C79"/>
    <w:rsid w:val="00DC3C8A"/>
    <w:rsid w:val="00DC3CBC"/>
    <w:rsid w:val="00DC3D58"/>
    <w:rsid w:val="00DC3D92"/>
    <w:rsid w:val="00DC3DB5"/>
    <w:rsid w:val="00DC3DDC"/>
    <w:rsid w:val="00DC3DF2"/>
    <w:rsid w:val="00DC3E1E"/>
    <w:rsid w:val="00DC3E67"/>
    <w:rsid w:val="00DC3EA9"/>
    <w:rsid w:val="00DC3EED"/>
    <w:rsid w:val="00DC3F13"/>
    <w:rsid w:val="00DC3F73"/>
    <w:rsid w:val="00DC3F78"/>
    <w:rsid w:val="00DC3F8B"/>
    <w:rsid w:val="00DC3FB1"/>
    <w:rsid w:val="00DC4033"/>
    <w:rsid w:val="00DC4056"/>
    <w:rsid w:val="00DC4074"/>
    <w:rsid w:val="00DC40AF"/>
    <w:rsid w:val="00DC40C6"/>
    <w:rsid w:val="00DC4146"/>
    <w:rsid w:val="00DC4163"/>
    <w:rsid w:val="00DC41A9"/>
    <w:rsid w:val="00DC41AD"/>
    <w:rsid w:val="00DC41CF"/>
    <w:rsid w:val="00DC4214"/>
    <w:rsid w:val="00DC4221"/>
    <w:rsid w:val="00DC423B"/>
    <w:rsid w:val="00DC4250"/>
    <w:rsid w:val="00DC4287"/>
    <w:rsid w:val="00DC42D2"/>
    <w:rsid w:val="00DC42F0"/>
    <w:rsid w:val="00DC4339"/>
    <w:rsid w:val="00DC433E"/>
    <w:rsid w:val="00DC43D3"/>
    <w:rsid w:val="00DC43F1"/>
    <w:rsid w:val="00DC4493"/>
    <w:rsid w:val="00DC4499"/>
    <w:rsid w:val="00DC44C2"/>
    <w:rsid w:val="00DC44E4"/>
    <w:rsid w:val="00DC453C"/>
    <w:rsid w:val="00DC454A"/>
    <w:rsid w:val="00DC4550"/>
    <w:rsid w:val="00DC456B"/>
    <w:rsid w:val="00DC45A2"/>
    <w:rsid w:val="00DC45B9"/>
    <w:rsid w:val="00DC45E8"/>
    <w:rsid w:val="00DC45EC"/>
    <w:rsid w:val="00DC45F6"/>
    <w:rsid w:val="00DC4620"/>
    <w:rsid w:val="00DC463A"/>
    <w:rsid w:val="00DC4648"/>
    <w:rsid w:val="00DC4650"/>
    <w:rsid w:val="00DC46E0"/>
    <w:rsid w:val="00DC4718"/>
    <w:rsid w:val="00DC4737"/>
    <w:rsid w:val="00DC476E"/>
    <w:rsid w:val="00DC478D"/>
    <w:rsid w:val="00DC47A9"/>
    <w:rsid w:val="00DC47B1"/>
    <w:rsid w:val="00DC4895"/>
    <w:rsid w:val="00DC489F"/>
    <w:rsid w:val="00DC48B4"/>
    <w:rsid w:val="00DC4905"/>
    <w:rsid w:val="00DC491B"/>
    <w:rsid w:val="00DC4921"/>
    <w:rsid w:val="00DC4928"/>
    <w:rsid w:val="00DC4932"/>
    <w:rsid w:val="00DC49A2"/>
    <w:rsid w:val="00DC49B0"/>
    <w:rsid w:val="00DC4A14"/>
    <w:rsid w:val="00DC4A72"/>
    <w:rsid w:val="00DC4ADD"/>
    <w:rsid w:val="00DC4B3D"/>
    <w:rsid w:val="00DC4B8D"/>
    <w:rsid w:val="00DC4BDE"/>
    <w:rsid w:val="00DC4BE7"/>
    <w:rsid w:val="00DC4C20"/>
    <w:rsid w:val="00DC4C30"/>
    <w:rsid w:val="00DC4D1E"/>
    <w:rsid w:val="00DC4D2A"/>
    <w:rsid w:val="00DC4D5A"/>
    <w:rsid w:val="00DC4D7F"/>
    <w:rsid w:val="00DC4D80"/>
    <w:rsid w:val="00DC4DB4"/>
    <w:rsid w:val="00DC4DE9"/>
    <w:rsid w:val="00DC4E31"/>
    <w:rsid w:val="00DC4E92"/>
    <w:rsid w:val="00DC4EC8"/>
    <w:rsid w:val="00DC4EE5"/>
    <w:rsid w:val="00DC4F17"/>
    <w:rsid w:val="00DC4F25"/>
    <w:rsid w:val="00DC4F3E"/>
    <w:rsid w:val="00DC4F5A"/>
    <w:rsid w:val="00DC4F9B"/>
    <w:rsid w:val="00DC5079"/>
    <w:rsid w:val="00DC509E"/>
    <w:rsid w:val="00DC5101"/>
    <w:rsid w:val="00DC514D"/>
    <w:rsid w:val="00DC5154"/>
    <w:rsid w:val="00DC5254"/>
    <w:rsid w:val="00DC5258"/>
    <w:rsid w:val="00DC526D"/>
    <w:rsid w:val="00DC52CD"/>
    <w:rsid w:val="00DC5328"/>
    <w:rsid w:val="00DC5330"/>
    <w:rsid w:val="00DC5348"/>
    <w:rsid w:val="00DC534E"/>
    <w:rsid w:val="00DC53BE"/>
    <w:rsid w:val="00DC5480"/>
    <w:rsid w:val="00DC54C1"/>
    <w:rsid w:val="00DC5551"/>
    <w:rsid w:val="00DC557F"/>
    <w:rsid w:val="00DC55AE"/>
    <w:rsid w:val="00DC55CA"/>
    <w:rsid w:val="00DC5600"/>
    <w:rsid w:val="00DC5610"/>
    <w:rsid w:val="00DC5622"/>
    <w:rsid w:val="00DC5668"/>
    <w:rsid w:val="00DC56F1"/>
    <w:rsid w:val="00DC576A"/>
    <w:rsid w:val="00DC579C"/>
    <w:rsid w:val="00DC57A3"/>
    <w:rsid w:val="00DC587A"/>
    <w:rsid w:val="00DC58BC"/>
    <w:rsid w:val="00DC58F1"/>
    <w:rsid w:val="00DC5921"/>
    <w:rsid w:val="00DC595F"/>
    <w:rsid w:val="00DC59D5"/>
    <w:rsid w:val="00DC59E8"/>
    <w:rsid w:val="00DC59EB"/>
    <w:rsid w:val="00DC5A2F"/>
    <w:rsid w:val="00DC5AD4"/>
    <w:rsid w:val="00DC5B17"/>
    <w:rsid w:val="00DC5B2F"/>
    <w:rsid w:val="00DC5BD6"/>
    <w:rsid w:val="00DC5BD9"/>
    <w:rsid w:val="00DC5CA1"/>
    <w:rsid w:val="00DC5CCA"/>
    <w:rsid w:val="00DC5CEB"/>
    <w:rsid w:val="00DC5D3B"/>
    <w:rsid w:val="00DC5D71"/>
    <w:rsid w:val="00DC5D7B"/>
    <w:rsid w:val="00DC5E44"/>
    <w:rsid w:val="00DC5E57"/>
    <w:rsid w:val="00DC5E81"/>
    <w:rsid w:val="00DC5EDE"/>
    <w:rsid w:val="00DC5F12"/>
    <w:rsid w:val="00DC5F22"/>
    <w:rsid w:val="00DC5F5E"/>
    <w:rsid w:val="00DC5F8A"/>
    <w:rsid w:val="00DC5FB9"/>
    <w:rsid w:val="00DC5FBB"/>
    <w:rsid w:val="00DC5FCA"/>
    <w:rsid w:val="00DC60C4"/>
    <w:rsid w:val="00DC612E"/>
    <w:rsid w:val="00DC6143"/>
    <w:rsid w:val="00DC6148"/>
    <w:rsid w:val="00DC6180"/>
    <w:rsid w:val="00DC61BE"/>
    <w:rsid w:val="00DC61C7"/>
    <w:rsid w:val="00DC61DD"/>
    <w:rsid w:val="00DC61E9"/>
    <w:rsid w:val="00DC623B"/>
    <w:rsid w:val="00DC6245"/>
    <w:rsid w:val="00DC625F"/>
    <w:rsid w:val="00DC6274"/>
    <w:rsid w:val="00DC63B8"/>
    <w:rsid w:val="00DC63D5"/>
    <w:rsid w:val="00DC63F5"/>
    <w:rsid w:val="00DC640B"/>
    <w:rsid w:val="00DC6415"/>
    <w:rsid w:val="00DC64CC"/>
    <w:rsid w:val="00DC64DC"/>
    <w:rsid w:val="00DC6588"/>
    <w:rsid w:val="00DC6589"/>
    <w:rsid w:val="00DC65B0"/>
    <w:rsid w:val="00DC6610"/>
    <w:rsid w:val="00DC663F"/>
    <w:rsid w:val="00DC664B"/>
    <w:rsid w:val="00DC6693"/>
    <w:rsid w:val="00DC670A"/>
    <w:rsid w:val="00DC676E"/>
    <w:rsid w:val="00DC6780"/>
    <w:rsid w:val="00DC67D0"/>
    <w:rsid w:val="00DC67DA"/>
    <w:rsid w:val="00DC67E4"/>
    <w:rsid w:val="00DC680D"/>
    <w:rsid w:val="00DC685B"/>
    <w:rsid w:val="00DC6886"/>
    <w:rsid w:val="00DC6933"/>
    <w:rsid w:val="00DC6970"/>
    <w:rsid w:val="00DC6976"/>
    <w:rsid w:val="00DC6987"/>
    <w:rsid w:val="00DC6A5C"/>
    <w:rsid w:val="00DC6A88"/>
    <w:rsid w:val="00DC6A9A"/>
    <w:rsid w:val="00DC6A9E"/>
    <w:rsid w:val="00DC6ABB"/>
    <w:rsid w:val="00DC6B1C"/>
    <w:rsid w:val="00DC6B37"/>
    <w:rsid w:val="00DC6BB8"/>
    <w:rsid w:val="00DC6BD4"/>
    <w:rsid w:val="00DC6BD7"/>
    <w:rsid w:val="00DC6BF4"/>
    <w:rsid w:val="00DC6C39"/>
    <w:rsid w:val="00DC6C4A"/>
    <w:rsid w:val="00DC6C75"/>
    <w:rsid w:val="00DC6CAB"/>
    <w:rsid w:val="00DC6CB9"/>
    <w:rsid w:val="00DC6CBA"/>
    <w:rsid w:val="00DC6D0D"/>
    <w:rsid w:val="00DC6D88"/>
    <w:rsid w:val="00DC6E00"/>
    <w:rsid w:val="00DC6E14"/>
    <w:rsid w:val="00DC6E32"/>
    <w:rsid w:val="00DC6E46"/>
    <w:rsid w:val="00DC6F07"/>
    <w:rsid w:val="00DC6F8A"/>
    <w:rsid w:val="00DC7009"/>
    <w:rsid w:val="00DC700F"/>
    <w:rsid w:val="00DC7025"/>
    <w:rsid w:val="00DC7097"/>
    <w:rsid w:val="00DC70B3"/>
    <w:rsid w:val="00DC70B4"/>
    <w:rsid w:val="00DC70C5"/>
    <w:rsid w:val="00DC70D5"/>
    <w:rsid w:val="00DC70DE"/>
    <w:rsid w:val="00DC712A"/>
    <w:rsid w:val="00DC7162"/>
    <w:rsid w:val="00DC7167"/>
    <w:rsid w:val="00DC7220"/>
    <w:rsid w:val="00DC7226"/>
    <w:rsid w:val="00DC722D"/>
    <w:rsid w:val="00DC727F"/>
    <w:rsid w:val="00DC72B7"/>
    <w:rsid w:val="00DC72E7"/>
    <w:rsid w:val="00DC737F"/>
    <w:rsid w:val="00DC73F4"/>
    <w:rsid w:val="00DC7444"/>
    <w:rsid w:val="00DC7449"/>
    <w:rsid w:val="00DC7455"/>
    <w:rsid w:val="00DC746A"/>
    <w:rsid w:val="00DC7493"/>
    <w:rsid w:val="00DC74B4"/>
    <w:rsid w:val="00DC750B"/>
    <w:rsid w:val="00DC7578"/>
    <w:rsid w:val="00DC75A3"/>
    <w:rsid w:val="00DC75D0"/>
    <w:rsid w:val="00DC75FC"/>
    <w:rsid w:val="00DC764E"/>
    <w:rsid w:val="00DC76D4"/>
    <w:rsid w:val="00DC76FA"/>
    <w:rsid w:val="00DC775E"/>
    <w:rsid w:val="00DC7815"/>
    <w:rsid w:val="00DC7834"/>
    <w:rsid w:val="00DC78AA"/>
    <w:rsid w:val="00DC78FF"/>
    <w:rsid w:val="00DC7919"/>
    <w:rsid w:val="00DC7960"/>
    <w:rsid w:val="00DC79B2"/>
    <w:rsid w:val="00DC79B6"/>
    <w:rsid w:val="00DC79CE"/>
    <w:rsid w:val="00DC79F6"/>
    <w:rsid w:val="00DC7A15"/>
    <w:rsid w:val="00DC7A55"/>
    <w:rsid w:val="00DC7A93"/>
    <w:rsid w:val="00DC7A9B"/>
    <w:rsid w:val="00DC7ABD"/>
    <w:rsid w:val="00DC7ADE"/>
    <w:rsid w:val="00DC7AE2"/>
    <w:rsid w:val="00DC7B35"/>
    <w:rsid w:val="00DC7B87"/>
    <w:rsid w:val="00DC7BAC"/>
    <w:rsid w:val="00DC7C78"/>
    <w:rsid w:val="00DC7C7D"/>
    <w:rsid w:val="00DC7CAA"/>
    <w:rsid w:val="00DC7CBE"/>
    <w:rsid w:val="00DC7D00"/>
    <w:rsid w:val="00DC7D13"/>
    <w:rsid w:val="00DC7D39"/>
    <w:rsid w:val="00DC7D43"/>
    <w:rsid w:val="00DC7D57"/>
    <w:rsid w:val="00DC7D61"/>
    <w:rsid w:val="00DC7DB1"/>
    <w:rsid w:val="00DC7DEC"/>
    <w:rsid w:val="00DC7E0F"/>
    <w:rsid w:val="00DC7E13"/>
    <w:rsid w:val="00DC7E32"/>
    <w:rsid w:val="00DC7E42"/>
    <w:rsid w:val="00DC7EAE"/>
    <w:rsid w:val="00DC7EE2"/>
    <w:rsid w:val="00DC7F53"/>
    <w:rsid w:val="00DC7F8E"/>
    <w:rsid w:val="00DC7FA0"/>
    <w:rsid w:val="00DC7FE0"/>
    <w:rsid w:val="00DD005F"/>
    <w:rsid w:val="00DD009C"/>
    <w:rsid w:val="00DD0105"/>
    <w:rsid w:val="00DD012C"/>
    <w:rsid w:val="00DD01BF"/>
    <w:rsid w:val="00DD024C"/>
    <w:rsid w:val="00DD0304"/>
    <w:rsid w:val="00DD0309"/>
    <w:rsid w:val="00DD0315"/>
    <w:rsid w:val="00DD03BD"/>
    <w:rsid w:val="00DD03EB"/>
    <w:rsid w:val="00DD0408"/>
    <w:rsid w:val="00DD04B7"/>
    <w:rsid w:val="00DD0504"/>
    <w:rsid w:val="00DD05A3"/>
    <w:rsid w:val="00DD05D6"/>
    <w:rsid w:val="00DD05DB"/>
    <w:rsid w:val="00DD062B"/>
    <w:rsid w:val="00DD062F"/>
    <w:rsid w:val="00DD06A6"/>
    <w:rsid w:val="00DD06BA"/>
    <w:rsid w:val="00DD0772"/>
    <w:rsid w:val="00DD07BA"/>
    <w:rsid w:val="00DD0844"/>
    <w:rsid w:val="00DD088F"/>
    <w:rsid w:val="00DD0896"/>
    <w:rsid w:val="00DD08A8"/>
    <w:rsid w:val="00DD0A21"/>
    <w:rsid w:val="00DD0A28"/>
    <w:rsid w:val="00DD0A39"/>
    <w:rsid w:val="00DD0A5B"/>
    <w:rsid w:val="00DD0A64"/>
    <w:rsid w:val="00DD0B4A"/>
    <w:rsid w:val="00DD0B66"/>
    <w:rsid w:val="00DD0B84"/>
    <w:rsid w:val="00DD0BBA"/>
    <w:rsid w:val="00DD0BF0"/>
    <w:rsid w:val="00DD0C08"/>
    <w:rsid w:val="00DD0C4C"/>
    <w:rsid w:val="00DD0C53"/>
    <w:rsid w:val="00DD0C65"/>
    <w:rsid w:val="00DD0C8C"/>
    <w:rsid w:val="00DD0CA9"/>
    <w:rsid w:val="00DD0CE7"/>
    <w:rsid w:val="00DD0E12"/>
    <w:rsid w:val="00DD0E42"/>
    <w:rsid w:val="00DD0E7A"/>
    <w:rsid w:val="00DD0F1E"/>
    <w:rsid w:val="00DD0F33"/>
    <w:rsid w:val="00DD0F9B"/>
    <w:rsid w:val="00DD0FC9"/>
    <w:rsid w:val="00DD1022"/>
    <w:rsid w:val="00DD104E"/>
    <w:rsid w:val="00DD111B"/>
    <w:rsid w:val="00DD1183"/>
    <w:rsid w:val="00DD11B8"/>
    <w:rsid w:val="00DD12E7"/>
    <w:rsid w:val="00DD1311"/>
    <w:rsid w:val="00DD138E"/>
    <w:rsid w:val="00DD139B"/>
    <w:rsid w:val="00DD13DA"/>
    <w:rsid w:val="00DD14AA"/>
    <w:rsid w:val="00DD14D5"/>
    <w:rsid w:val="00DD14D9"/>
    <w:rsid w:val="00DD14DE"/>
    <w:rsid w:val="00DD15B2"/>
    <w:rsid w:val="00DD15BD"/>
    <w:rsid w:val="00DD15D3"/>
    <w:rsid w:val="00DD15E3"/>
    <w:rsid w:val="00DD15F2"/>
    <w:rsid w:val="00DD1688"/>
    <w:rsid w:val="00DD16B2"/>
    <w:rsid w:val="00DD170F"/>
    <w:rsid w:val="00DD172D"/>
    <w:rsid w:val="00DD175D"/>
    <w:rsid w:val="00DD178F"/>
    <w:rsid w:val="00DD17F0"/>
    <w:rsid w:val="00DD17F1"/>
    <w:rsid w:val="00DD1813"/>
    <w:rsid w:val="00DD182D"/>
    <w:rsid w:val="00DD1886"/>
    <w:rsid w:val="00DD1898"/>
    <w:rsid w:val="00DD18A1"/>
    <w:rsid w:val="00DD18E0"/>
    <w:rsid w:val="00DD1967"/>
    <w:rsid w:val="00DD1971"/>
    <w:rsid w:val="00DD1974"/>
    <w:rsid w:val="00DD1992"/>
    <w:rsid w:val="00DD19C0"/>
    <w:rsid w:val="00DD1A3E"/>
    <w:rsid w:val="00DD1A8D"/>
    <w:rsid w:val="00DD1AE3"/>
    <w:rsid w:val="00DD1B24"/>
    <w:rsid w:val="00DD1B68"/>
    <w:rsid w:val="00DD1B6E"/>
    <w:rsid w:val="00DD1B8B"/>
    <w:rsid w:val="00DD1BA0"/>
    <w:rsid w:val="00DD1BD4"/>
    <w:rsid w:val="00DD1C0F"/>
    <w:rsid w:val="00DD1C4E"/>
    <w:rsid w:val="00DD1CA9"/>
    <w:rsid w:val="00DD1CB2"/>
    <w:rsid w:val="00DD1D93"/>
    <w:rsid w:val="00DD1DB8"/>
    <w:rsid w:val="00DD1E1B"/>
    <w:rsid w:val="00DD1E35"/>
    <w:rsid w:val="00DD1E3A"/>
    <w:rsid w:val="00DD1E7E"/>
    <w:rsid w:val="00DD1E89"/>
    <w:rsid w:val="00DD1EA0"/>
    <w:rsid w:val="00DD1EAE"/>
    <w:rsid w:val="00DD1ECB"/>
    <w:rsid w:val="00DD1F63"/>
    <w:rsid w:val="00DD1F84"/>
    <w:rsid w:val="00DD1FB6"/>
    <w:rsid w:val="00DD1FB8"/>
    <w:rsid w:val="00DD1FE3"/>
    <w:rsid w:val="00DD2068"/>
    <w:rsid w:val="00DD209B"/>
    <w:rsid w:val="00DD20F3"/>
    <w:rsid w:val="00DD215C"/>
    <w:rsid w:val="00DD220A"/>
    <w:rsid w:val="00DD2250"/>
    <w:rsid w:val="00DD2254"/>
    <w:rsid w:val="00DD22A5"/>
    <w:rsid w:val="00DD2322"/>
    <w:rsid w:val="00DD232D"/>
    <w:rsid w:val="00DD2337"/>
    <w:rsid w:val="00DD235C"/>
    <w:rsid w:val="00DD23F5"/>
    <w:rsid w:val="00DD242E"/>
    <w:rsid w:val="00DD2495"/>
    <w:rsid w:val="00DD2571"/>
    <w:rsid w:val="00DD25E8"/>
    <w:rsid w:val="00DD25FC"/>
    <w:rsid w:val="00DD2612"/>
    <w:rsid w:val="00DD2629"/>
    <w:rsid w:val="00DD263B"/>
    <w:rsid w:val="00DD269A"/>
    <w:rsid w:val="00DD26B5"/>
    <w:rsid w:val="00DD26BB"/>
    <w:rsid w:val="00DD26C6"/>
    <w:rsid w:val="00DD2719"/>
    <w:rsid w:val="00DD2721"/>
    <w:rsid w:val="00DD2722"/>
    <w:rsid w:val="00DD2732"/>
    <w:rsid w:val="00DD2758"/>
    <w:rsid w:val="00DD27DB"/>
    <w:rsid w:val="00DD286D"/>
    <w:rsid w:val="00DD287E"/>
    <w:rsid w:val="00DD2881"/>
    <w:rsid w:val="00DD28C4"/>
    <w:rsid w:val="00DD28D0"/>
    <w:rsid w:val="00DD291F"/>
    <w:rsid w:val="00DD2954"/>
    <w:rsid w:val="00DD297B"/>
    <w:rsid w:val="00DD2983"/>
    <w:rsid w:val="00DD29B6"/>
    <w:rsid w:val="00DD29B8"/>
    <w:rsid w:val="00DD29F7"/>
    <w:rsid w:val="00DD2A17"/>
    <w:rsid w:val="00DD2A73"/>
    <w:rsid w:val="00DD2AD2"/>
    <w:rsid w:val="00DD2ADF"/>
    <w:rsid w:val="00DD2B55"/>
    <w:rsid w:val="00DD2B5B"/>
    <w:rsid w:val="00DD2BA4"/>
    <w:rsid w:val="00DD2C04"/>
    <w:rsid w:val="00DD2C84"/>
    <w:rsid w:val="00DD2CE2"/>
    <w:rsid w:val="00DD2CFC"/>
    <w:rsid w:val="00DD2D5B"/>
    <w:rsid w:val="00DD2D62"/>
    <w:rsid w:val="00DD2DB0"/>
    <w:rsid w:val="00DD2DB4"/>
    <w:rsid w:val="00DD2DCD"/>
    <w:rsid w:val="00DD2DD0"/>
    <w:rsid w:val="00DD2DD7"/>
    <w:rsid w:val="00DD2DF5"/>
    <w:rsid w:val="00DD2E33"/>
    <w:rsid w:val="00DD2E4D"/>
    <w:rsid w:val="00DD2EE9"/>
    <w:rsid w:val="00DD2F24"/>
    <w:rsid w:val="00DD2F6B"/>
    <w:rsid w:val="00DD2FA5"/>
    <w:rsid w:val="00DD30C8"/>
    <w:rsid w:val="00DD30F0"/>
    <w:rsid w:val="00DD30FE"/>
    <w:rsid w:val="00DD3110"/>
    <w:rsid w:val="00DD314C"/>
    <w:rsid w:val="00DD31C0"/>
    <w:rsid w:val="00DD31E3"/>
    <w:rsid w:val="00DD321C"/>
    <w:rsid w:val="00DD3240"/>
    <w:rsid w:val="00DD3286"/>
    <w:rsid w:val="00DD32F9"/>
    <w:rsid w:val="00DD3327"/>
    <w:rsid w:val="00DD333F"/>
    <w:rsid w:val="00DD33A2"/>
    <w:rsid w:val="00DD33FF"/>
    <w:rsid w:val="00DD3563"/>
    <w:rsid w:val="00DD356E"/>
    <w:rsid w:val="00DD35AB"/>
    <w:rsid w:val="00DD364A"/>
    <w:rsid w:val="00DD364F"/>
    <w:rsid w:val="00DD36F5"/>
    <w:rsid w:val="00DD3731"/>
    <w:rsid w:val="00DD3752"/>
    <w:rsid w:val="00DD3774"/>
    <w:rsid w:val="00DD37B2"/>
    <w:rsid w:val="00DD37C3"/>
    <w:rsid w:val="00DD37D9"/>
    <w:rsid w:val="00DD37E5"/>
    <w:rsid w:val="00DD3810"/>
    <w:rsid w:val="00DD384A"/>
    <w:rsid w:val="00DD38FE"/>
    <w:rsid w:val="00DD391C"/>
    <w:rsid w:val="00DD398F"/>
    <w:rsid w:val="00DD399F"/>
    <w:rsid w:val="00DD39CC"/>
    <w:rsid w:val="00DD39CF"/>
    <w:rsid w:val="00DD3A17"/>
    <w:rsid w:val="00DD3A3B"/>
    <w:rsid w:val="00DD3A61"/>
    <w:rsid w:val="00DD3A69"/>
    <w:rsid w:val="00DD3A82"/>
    <w:rsid w:val="00DD3A8B"/>
    <w:rsid w:val="00DD3ABB"/>
    <w:rsid w:val="00DD3ABE"/>
    <w:rsid w:val="00DD3AC4"/>
    <w:rsid w:val="00DD3B0F"/>
    <w:rsid w:val="00DD3BCC"/>
    <w:rsid w:val="00DD3C0C"/>
    <w:rsid w:val="00DD3C26"/>
    <w:rsid w:val="00DD3C32"/>
    <w:rsid w:val="00DD3C53"/>
    <w:rsid w:val="00DD3C67"/>
    <w:rsid w:val="00DD3C70"/>
    <w:rsid w:val="00DD3CE9"/>
    <w:rsid w:val="00DD3D54"/>
    <w:rsid w:val="00DD3D65"/>
    <w:rsid w:val="00DD3D77"/>
    <w:rsid w:val="00DD3D80"/>
    <w:rsid w:val="00DD3DB6"/>
    <w:rsid w:val="00DD3DDD"/>
    <w:rsid w:val="00DD3E66"/>
    <w:rsid w:val="00DD3F3A"/>
    <w:rsid w:val="00DD3FAB"/>
    <w:rsid w:val="00DD3FF2"/>
    <w:rsid w:val="00DD400B"/>
    <w:rsid w:val="00DD401E"/>
    <w:rsid w:val="00DD4030"/>
    <w:rsid w:val="00DD404B"/>
    <w:rsid w:val="00DD4189"/>
    <w:rsid w:val="00DD421A"/>
    <w:rsid w:val="00DD426D"/>
    <w:rsid w:val="00DD4282"/>
    <w:rsid w:val="00DD4392"/>
    <w:rsid w:val="00DD439B"/>
    <w:rsid w:val="00DD43F1"/>
    <w:rsid w:val="00DD4414"/>
    <w:rsid w:val="00DD44E5"/>
    <w:rsid w:val="00DD4538"/>
    <w:rsid w:val="00DD4542"/>
    <w:rsid w:val="00DD4545"/>
    <w:rsid w:val="00DD454C"/>
    <w:rsid w:val="00DD459E"/>
    <w:rsid w:val="00DD461B"/>
    <w:rsid w:val="00DD464B"/>
    <w:rsid w:val="00DD4681"/>
    <w:rsid w:val="00DD4697"/>
    <w:rsid w:val="00DD46B8"/>
    <w:rsid w:val="00DD46DC"/>
    <w:rsid w:val="00DD46E6"/>
    <w:rsid w:val="00DD46F4"/>
    <w:rsid w:val="00DD47B0"/>
    <w:rsid w:val="00DD47CD"/>
    <w:rsid w:val="00DD47FF"/>
    <w:rsid w:val="00DD481B"/>
    <w:rsid w:val="00DD4839"/>
    <w:rsid w:val="00DD4882"/>
    <w:rsid w:val="00DD4893"/>
    <w:rsid w:val="00DD48DD"/>
    <w:rsid w:val="00DD48E8"/>
    <w:rsid w:val="00DD48FB"/>
    <w:rsid w:val="00DD493C"/>
    <w:rsid w:val="00DD4970"/>
    <w:rsid w:val="00DD4974"/>
    <w:rsid w:val="00DD4995"/>
    <w:rsid w:val="00DD49C9"/>
    <w:rsid w:val="00DD49E5"/>
    <w:rsid w:val="00DD4A9B"/>
    <w:rsid w:val="00DD4ACC"/>
    <w:rsid w:val="00DD4AEB"/>
    <w:rsid w:val="00DD4BA7"/>
    <w:rsid w:val="00DD4BB5"/>
    <w:rsid w:val="00DD4BDD"/>
    <w:rsid w:val="00DD4BF4"/>
    <w:rsid w:val="00DD4BF5"/>
    <w:rsid w:val="00DD4C2C"/>
    <w:rsid w:val="00DD4C46"/>
    <w:rsid w:val="00DD4C60"/>
    <w:rsid w:val="00DD4C64"/>
    <w:rsid w:val="00DD4C9A"/>
    <w:rsid w:val="00DD4CB8"/>
    <w:rsid w:val="00DD4CC1"/>
    <w:rsid w:val="00DD4CD1"/>
    <w:rsid w:val="00DD4CD6"/>
    <w:rsid w:val="00DD4D10"/>
    <w:rsid w:val="00DD4D9F"/>
    <w:rsid w:val="00DD4DA8"/>
    <w:rsid w:val="00DD4E68"/>
    <w:rsid w:val="00DD4EF1"/>
    <w:rsid w:val="00DD4F3E"/>
    <w:rsid w:val="00DD4FB2"/>
    <w:rsid w:val="00DD4FB9"/>
    <w:rsid w:val="00DD4FFB"/>
    <w:rsid w:val="00DD4FFF"/>
    <w:rsid w:val="00DD50BA"/>
    <w:rsid w:val="00DD511E"/>
    <w:rsid w:val="00DD518B"/>
    <w:rsid w:val="00DD519A"/>
    <w:rsid w:val="00DD51CC"/>
    <w:rsid w:val="00DD51D5"/>
    <w:rsid w:val="00DD51E0"/>
    <w:rsid w:val="00DD51F2"/>
    <w:rsid w:val="00DD521D"/>
    <w:rsid w:val="00DD5288"/>
    <w:rsid w:val="00DD5290"/>
    <w:rsid w:val="00DD52AD"/>
    <w:rsid w:val="00DD52B5"/>
    <w:rsid w:val="00DD5314"/>
    <w:rsid w:val="00DD532B"/>
    <w:rsid w:val="00DD5375"/>
    <w:rsid w:val="00DD53E1"/>
    <w:rsid w:val="00DD542A"/>
    <w:rsid w:val="00DD5474"/>
    <w:rsid w:val="00DD54CB"/>
    <w:rsid w:val="00DD54E3"/>
    <w:rsid w:val="00DD5509"/>
    <w:rsid w:val="00DD551A"/>
    <w:rsid w:val="00DD553F"/>
    <w:rsid w:val="00DD556D"/>
    <w:rsid w:val="00DD55A7"/>
    <w:rsid w:val="00DD55CE"/>
    <w:rsid w:val="00DD564F"/>
    <w:rsid w:val="00DD5673"/>
    <w:rsid w:val="00DD56DB"/>
    <w:rsid w:val="00DD579A"/>
    <w:rsid w:val="00DD57AA"/>
    <w:rsid w:val="00DD57DA"/>
    <w:rsid w:val="00DD57F1"/>
    <w:rsid w:val="00DD5826"/>
    <w:rsid w:val="00DD5868"/>
    <w:rsid w:val="00DD5877"/>
    <w:rsid w:val="00DD58AD"/>
    <w:rsid w:val="00DD5905"/>
    <w:rsid w:val="00DD593C"/>
    <w:rsid w:val="00DD595A"/>
    <w:rsid w:val="00DD59E5"/>
    <w:rsid w:val="00DD5A4B"/>
    <w:rsid w:val="00DD5A73"/>
    <w:rsid w:val="00DD5ACD"/>
    <w:rsid w:val="00DD5AEF"/>
    <w:rsid w:val="00DD5B0C"/>
    <w:rsid w:val="00DD5B4D"/>
    <w:rsid w:val="00DD5C03"/>
    <w:rsid w:val="00DD5C41"/>
    <w:rsid w:val="00DD5C56"/>
    <w:rsid w:val="00DD5CB1"/>
    <w:rsid w:val="00DD5D59"/>
    <w:rsid w:val="00DD5D5D"/>
    <w:rsid w:val="00DD5D5E"/>
    <w:rsid w:val="00DD5D6E"/>
    <w:rsid w:val="00DD5E0D"/>
    <w:rsid w:val="00DD5E10"/>
    <w:rsid w:val="00DD5E29"/>
    <w:rsid w:val="00DD5EEE"/>
    <w:rsid w:val="00DD5F3E"/>
    <w:rsid w:val="00DD5F57"/>
    <w:rsid w:val="00DD5FA6"/>
    <w:rsid w:val="00DD6052"/>
    <w:rsid w:val="00DD6083"/>
    <w:rsid w:val="00DD611F"/>
    <w:rsid w:val="00DD6162"/>
    <w:rsid w:val="00DD61C7"/>
    <w:rsid w:val="00DD61D8"/>
    <w:rsid w:val="00DD61E6"/>
    <w:rsid w:val="00DD6221"/>
    <w:rsid w:val="00DD622C"/>
    <w:rsid w:val="00DD6244"/>
    <w:rsid w:val="00DD624B"/>
    <w:rsid w:val="00DD62AF"/>
    <w:rsid w:val="00DD62DE"/>
    <w:rsid w:val="00DD6311"/>
    <w:rsid w:val="00DD632A"/>
    <w:rsid w:val="00DD634E"/>
    <w:rsid w:val="00DD635C"/>
    <w:rsid w:val="00DD637E"/>
    <w:rsid w:val="00DD639C"/>
    <w:rsid w:val="00DD63FD"/>
    <w:rsid w:val="00DD6431"/>
    <w:rsid w:val="00DD6437"/>
    <w:rsid w:val="00DD6444"/>
    <w:rsid w:val="00DD6473"/>
    <w:rsid w:val="00DD64D3"/>
    <w:rsid w:val="00DD652D"/>
    <w:rsid w:val="00DD6535"/>
    <w:rsid w:val="00DD65CD"/>
    <w:rsid w:val="00DD65DD"/>
    <w:rsid w:val="00DD6647"/>
    <w:rsid w:val="00DD6681"/>
    <w:rsid w:val="00DD6687"/>
    <w:rsid w:val="00DD66BD"/>
    <w:rsid w:val="00DD66C7"/>
    <w:rsid w:val="00DD6757"/>
    <w:rsid w:val="00DD67E6"/>
    <w:rsid w:val="00DD67EF"/>
    <w:rsid w:val="00DD6855"/>
    <w:rsid w:val="00DD6886"/>
    <w:rsid w:val="00DD6896"/>
    <w:rsid w:val="00DD68C3"/>
    <w:rsid w:val="00DD692A"/>
    <w:rsid w:val="00DD6939"/>
    <w:rsid w:val="00DD6971"/>
    <w:rsid w:val="00DD69A3"/>
    <w:rsid w:val="00DD69DC"/>
    <w:rsid w:val="00DD6ACB"/>
    <w:rsid w:val="00DD6B12"/>
    <w:rsid w:val="00DD6B41"/>
    <w:rsid w:val="00DD6B45"/>
    <w:rsid w:val="00DD6B57"/>
    <w:rsid w:val="00DD6BD0"/>
    <w:rsid w:val="00DD6BE5"/>
    <w:rsid w:val="00DD6C28"/>
    <w:rsid w:val="00DD6C2E"/>
    <w:rsid w:val="00DD6CBD"/>
    <w:rsid w:val="00DD6CCD"/>
    <w:rsid w:val="00DD6CE7"/>
    <w:rsid w:val="00DD6CFE"/>
    <w:rsid w:val="00DD6D11"/>
    <w:rsid w:val="00DD6D1F"/>
    <w:rsid w:val="00DD6D69"/>
    <w:rsid w:val="00DD6DB7"/>
    <w:rsid w:val="00DD6DC6"/>
    <w:rsid w:val="00DD6E42"/>
    <w:rsid w:val="00DD6E59"/>
    <w:rsid w:val="00DD6E8F"/>
    <w:rsid w:val="00DD6F9F"/>
    <w:rsid w:val="00DD6FC8"/>
    <w:rsid w:val="00DD6FE0"/>
    <w:rsid w:val="00DD704E"/>
    <w:rsid w:val="00DD70CB"/>
    <w:rsid w:val="00DD7131"/>
    <w:rsid w:val="00DD71A6"/>
    <w:rsid w:val="00DD71CB"/>
    <w:rsid w:val="00DD71FC"/>
    <w:rsid w:val="00DD7214"/>
    <w:rsid w:val="00DD726F"/>
    <w:rsid w:val="00DD7387"/>
    <w:rsid w:val="00DD73EE"/>
    <w:rsid w:val="00DD7409"/>
    <w:rsid w:val="00DD7440"/>
    <w:rsid w:val="00DD745C"/>
    <w:rsid w:val="00DD7484"/>
    <w:rsid w:val="00DD748C"/>
    <w:rsid w:val="00DD74C9"/>
    <w:rsid w:val="00DD7522"/>
    <w:rsid w:val="00DD7536"/>
    <w:rsid w:val="00DD756E"/>
    <w:rsid w:val="00DD75DA"/>
    <w:rsid w:val="00DD761E"/>
    <w:rsid w:val="00DD766E"/>
    <w:rsid w:val="00DD7692"/>
    <w:rsid w:val="00DD76C8"/>
    <w:rsid w:val="00DD77C1"/>
    <w:rsid w:val="00DD77F7"/>
    <w:rsid w:val="00DD77FA"/>
    <w:rsid w:val="00DD7807"/>
    <w:rsid w:val="00DD7888"/>
    <w:rsid w:val="00DD78BE"/>
    <w:rsid w:val="00DD791A"/>
    <w:rsid w:val="00DD7923"/>
    <w:rsid w:val="00DD7930"/>
    <w:rsid w:val="00DD7972"/>
    <w:rsid w:val="00DD79BC"/>
    <w:rsid w:val="00DD79D4"/>
    <w:rsid w:val="00DD7A7D"/>
    <w:rsid w:val="00DD7AC2"/>
    <w:rsid w:val="00DD7AC7"/>
    <w:rsid w:val="00DD7AD2"/>
    <w:rsid w:val="00DD7AD8"/>
    <w:rsid w:val="00DD7B0B"/>
    <w:rsid w:val="00DD7B1B"/>
    <w:rsid w:val="00DD7B24"/>
    <w:rsid w:val="00DD7B42"/>
    <w:rsid w:val="00DD7B82"/>
    <w:rsid w:val="00DD7BD4"/>
    <w:rsid w:val="00DD7C0F"/>
    <w:rsid w:val="00DD7D37"/>
    <w:rsid w:val="00DD7D38"/>
    <w:rsid w:val="00DD7D5B"/>
    <w:rsid w:val="00DD7DA0"/>
    <w:rsid w:val="00DD7DAA"/>
    <w:rsid w:val="00DD7E00"/>
    <w:rsid w:val="00DD7E31"/>
    <w:rsid w:val="00DD7E4C"/>
    <w:rsid w:val="00DD7E6E"/>
    <w:rsid w:val="00DD7F71"/>
    <w:rsid w:val="00DD7F95"/>
    <w:rsid w:val="00DD7FBE"/>
    <w:rsid w:val="00DD7FF8"/>
    <w:rsid w:val="00DE0021"/>
    <w:rsid w:val="00DE0045"/>
    <w:rsid w:val="00DE0046"/>
    <w:rsid w:val="00DE0053"/>
    <w:rsid w:val="00DE0066"/>
    <w:rsid w:val="00DE0077"/>
    <w:rsid w:val="00DE0095"/>
    <w:rsid w:val="00DE00F9"/>
    <w:rsid w:val="00DE0105"/>
    <w:rsid w:val="00DE011D"/>
    <w:rsid w:val="00DE015D"/>
    <w:rsid w:val="00DE0184"/>
    <w:rsid w:val="00DE01A6"/>
    <w:rsid w:val="00DE01B4"/>
    <w:rsid w:val="00DE01D0"/>
    <w:rsid w:val="00DE01EF"/>
    <w:rsid w:val="00DE0290"/>
    <w:rsid w:val="00DE0335"/>
    <w:rsid w:val="00DE034C"/>
    <w:rsid w:val="00DE036D"/>
    <w:rsid w:val="00DE0375"/>
    <w:rsid w:val="00DE03DC"/>
    <w:rsid w:val="00DE03E0"/>
    <w:rsid w:val="00DE042F"/>
    <w:rsid w:val="00DE046B"/>
    <w:rsid w:val="00DE0476"/>
    <w:rsid w:val="00DE04C0"/>
    <w:rsid w:val="00DE04C9"/>
    <w:rsid w:val="00DE05B5"/>
    <w:rsid w:val="00DE05DC"/>
    <w:rsid w:val="00DE0603"/>
    <w:rsid w:val="00DE0625"/>
    <w:rsid w:val="00DE06B3"/>
    <w:rsid w:val="00DE07BB"/>
    <w:rsid w:val="00DE07BF"/>
    <w:rsid w:val="00DE07D6"/>
    <w:rsid w:val="00DE087B"/>
    <w:rsid w:val="00DE095D"/>
    <w:rsid w:val="00DE0969"/>
    <w:rsid w:val="00DE0A3C"/>
    <w:rsid w:val="00DE0A44"/>
    <w:rsid w:val="00DE0AB2"/>
    <w:rsid w:val="00DE0AB5"/>
    <w:rsid w:val="00DE0ACE"/>
    <w:rsid w:val="00DE0AF8"/>
    <w:rsid w:val="00DE0BEF"/>
    <w:rsid w:val="00DE0C5B"/>
    <w:rsid w:val="00DE0C7D"/>
    <w:rsid w:val="00DE0C8F"/>
    <w:rsid w:val="00DE0CBB"/>
    <w:rsid w:val="00DE0D1C"/>
    <w:rsid w:val="00DE0DE4"/>
    <w:rsid w:val="00DE0E4A"/>
    <w:rsid w:val="00DE0E55"/>
    <w:rsid w:val="00DE0E99"/>
    <w:rsid w:val="00DE0EBA"/>
    <w:rsid w:val="00DE0ED3"/>
    <w:rsid w:val="00DE0F18"/>
    <w:rsid w:val="00DE0F43"/>
    <w:rsid w:val="00DE0F59"/>
    <w:rsid w:val="00DE0FDF"/>
    <w:rsid w:val="00DE0FFE"/>
    <w:rsid w:val="00DE1072"/>
    <w:rsid w:val="00DE1096"/>
    <w:rsid w:val="00DE10C2"/>
    <w:rsid w:val="00DE111C"/>
    <w:rsid w:val="00DE1151"/>
    <w:rsid w:val="00DE116C"/>
    <w:rsid w:val="00DE11A6"/>
    <w:rsid w:val="00DE11C4"/>
    <w:rsid w:val="00DE11FC"/>
    <w:rsid w:val="00DE126A"/>
    <w:rsid w:val="00DE1284"/>
    <w:rsid w:val="00DE12EC"/>
    <w:rsid w:val="00DE133D"/>
    <w:rsid w:val="00DE136B"/>
    <w:rsid w:val="00DE138D"/>
    <w:rsid w:val="00DE1390"/>
    <w:rsid w:val="00DE1399"/>
    <w:rsid w:val="00DE13DE"/>
    <w:rsid w:val="00DE13FC"/>
    <w:rsid w:val="00DE1481"/>
    <w:rsid w:val="00DE158F"/>
    <w:rsid w:val="00DE15E8"/>
    <w:rsid w:val="00DE15F1"/>
    <w:rsid w:val="00DE15F6"/>
    <w:rsid w:val="00DE1637"/>
    <w:rsid w:val="00DE16C2"/>
    <w:rsid w:val="00DE1866"/>
    <w:rsid w:val="00DE186C"/>
    <w:rsid w:val="00DE188B"/>
    <w:rsid w:val="00DE189C"/>
    <w:rsid w:val="00DE18F2"/>
    <w:rsid w:val="00DE1902"/>
    <w:rsid w:val="00DE1989"/>
    <w:rsid w:val="00DE1A1D"/>
    <w:rsid w:val="00DE1A1F"/>
    <w:rsid w:val="00DE1A54"/>
    <w:rsid w:val="00DE1AD1"/>
    <w:rsid w:val="00DE1ADF"/>
    <w:rsid w:val="00DE1AF0"/>
    <w:rsid w:val="00DE1B0C"/>
    <w:rsid w:val="00DE1B3E"/>
    <w:rsid w:val="00DE1B64"/>
    <w:rsid w:val="00DE1BE4"/>
    <w:rsid w:val="00DE1C3B"/>
    <w:rsid w:val="00DE1C47"/>
    <w:rsid w:val="00DE1C4A"/>
    <w:rsid w:val="00DE1CAF"/>
    <w:rsid w:val="00DE1D26"/>
    <w:rsid w:val="00DE1D45"/>
    <w:rsid w:val="00DE1DBC"/>
    <w:rsid w:val="00DE1DD0"/>
    <w:rsid w:val="00DE1DF3"/>
    <w:rsid w:val="00DE1DF5"/>
    <w:rsid w:val="00DE1E7B"/>
    <w:rsid w:val="00DE1EA0"/>
    <w:rsid w:val="00DE1EB0"/>
    <w:rsid w:val="00DE1EBD"/>
    <w:rsid w:val="00DE1EE2"/>
    <w:rsid w:val="00DE1F33"/>
    <w:rsid w:val="00DE2081"/>
    <w:rsid w:val="00DE20A4"/>
    <w:rsid w:val="00DE20E7"/>
    <w:rsid w:val="00DE2123"/>
    <w:rsid w:val="00DE2132"/>
    <w:rsid w:val="00DE214D"/>
    <w:rsid w:val="00DE2285"/>
    <w:rsid w:val="00DE22C6"/>
    <w:rsid w:val="00DE2315"/>
    <w:rsid w:val="00DE2373"/>
    <w:rsid w:val="00DE2383"/>
    <w:rsid w:val="00DE23EE"/>
    <w:rsid w:val="00DE241A"/>
    <w:rsid w:val="00DE24CE"/>
    <w:rsid w:val="00DE24D1"/>
    <w:rsid w:val="00DE24E1"/>
    <w:rsid w:val="00DE252D"/>
    <w:rsid w:val="00DE2530"/>
    <w:rsid w:val="00DE2539"/>
    <w:rsid w:val="00DE2576"/>
    <w:rsid w:val="00DE25C4"/>
    <w:rsid w:val="00DE25F7"/>
    <w:rsid w:val="00DE2608"/>
    <w:rsid w:val="00DE261B"/>
    <w:rsid w:val="00DE265A"/>
    <w:rsid w:val="00DE265D"/>
    <w:rsid w:val="00DE26F7"/>
    <w:rsid w:val="00DE271D"/>
    <w:rsid w:val="00DE273C"/>
    <w:rsid w:val="00DE275D"/>
    <w:rsid w:val="00DE2770"/>
    <w:rsid w:val="00DE27CC"/>
    <w:rsid w:val="00DE280A"/>
    <w:rsid w:val="00DE2867"/>
    <w:rsid w:val="00DE28DD"/>
    <w:rsid w:val="00DE28E9"/>
    <w:rsid w:val="00DE2920"/>
    <w:rsid w:val="00DE2928"/>
    <w:rsid w:val="00DE2946"/>
    <w:rsid w:val="00DE2955"/>
    <w:rsid w:val="00DE2A49"/>
    <w:rsid w:val="00DE2A69"/>
    <w:rsid w:val="00DE2A99"/>
    <w:rsid w:val="00DE2AF3"/>
    <w:rsid w:val="00DE2B22"/>
    <w:rsid w:val="00DE2BB8"/>
    <w:rsid w:val="00DE2C56"/>
    <w:rsid w:val="00DE2CC5"/>
    <w:rsid w:val="00DE2D54"/>
    <w:rsid w:val="00DE2D7B"/>
    <w:rsid w:val="00DE2D89"/>
    <w:rsid w:val="00DE2DE3"/>
    <w:rsid w:val="00DE2E0B"/>
    <w:rsid w:val="00DE2E1C"/>
    <w:rsid w:val="00DE2E3F"/>
    <w:rsid w:val="00DE2E51"/>
    <w:rsid w:val="00DE2EB7"/>
    <w:rsid w:val="00DE2ECD"/>
    <w:rsid w:val="00DE2ED0"/>
    <w:rsid w:val="00DE2F61"/>
    <w:rsid w:val="00DE2F83"/>
    <w:rsid w:val="00DE2FC5"/>
    <w:rsid w:val="00DE2FE1"/>
    <w:rsid w:val="00DE307F"/>
    <w:rsid w:val="00DE30AE"/>
    <w:rsid w:val="00DE30C0"/>
    <w:rsid w:val="00DE30D2"/>
    <w:rsid w:val="00DE3104"/>
    <w:rsid w:val="00DE3113"/>
    <w:rsid w:val="00DE314E"/>
    <w:rsid w:val="00DE314F"/>
    <w:rsid w:val="00DE3161"/>
    <w:rsid w:val="00DE317D"/>
    <w:rsid w:val="00DE31A4"/>
    <w:rsid w:val="00DE31B3"/>
    <w:rsid w:val="00DE31B4"/>
    <w:rsid w:val="00DE3286"/>
    <w:rsid w:val="00DE3288"/>
    <w:rsid w:val="00DE32A5"/>
    <w:rsid w:val="00DE32BC"/>
    <w:rsid w:val="00DE3305"/>
    <w:rsid w:val="00DE3325"/>
    <w:rsid w:val="00DE3335"/>
    <w:rsid w:val="00DE339F"/>
    <w:rsid w:val="00DE3410"/>
    <w:rsid w:val="00DE34F6"/>
    <w:rsid w:val="00DE3519"/>
    <w:rsid w:val="00DE3586"/>
    <w:rsid w:val="00DE358F"/>
    <w:rsid w:val="00DE35D9"/>
    <w:rsid w:val="00DE35EC"/>
    <w:rsid w:val="00DE3602"/>
    <w:rsid w:val="00DE3689"/>
    <w:rsid w:val="00DE36C8"/>
    <w:rsid w:val="00DE36CE"/>
    <w:rsid w:val="00DE36F5"/>
    <w:rsid w:val="00DE36F9"/>
    <w:rsid w:val="00DE3704"/>
    <w:rsid w:val="00DE3717"/>
    <w:rsid w:val="00DE371B"/>
    <w:rsid w:val="00DE371C"/>
    <w:rsid w:val="00DE3778"/>
    <w:rsid w:val="00DE379E"/>
    <w:rsid w:val="00DE37B1"/>
    <w:rsid w:val="00DE37E2"/>
    <w:rsid w:val="00DE37EC"/>
    <w:rsid w:val="00DE37F8"/>
    <w:rsid w:val="00DE3804"/>
    <w:rsid w:val="00DE380D"/>
    <w:rsid w:val="00DE385F"/>
    <w:rsid w:val="00DE3869"/>
    <w:rsid w:val="00DE38EE"/>
    <w:rsid w:val="00DE3992"/>
    <w:rsid w:val="00DE39FA"/>
    <w:rsid w:val="00DE39FD"/>
    <w:rsid w:val="00DE3A3D"/>
    <w:rsid w:val="00DE3A62"/>
    <w:rsid w:val="00DE3ACB"/>
    <w:rsid w:val="00DE3AD8"/>
    <w:rsid w:val="00DE3B0F"/>
    <w:rsid w:val="00DE3B64"/>
    <w:rsid w:val="00DE3B92"/>
    <w:rsid w:val="00DE3BAF"/>
    <w:rsid w:val="00DE3BB3"/>
    <w:rsid w:val="00DE3C13"/>
    <w:rsid w:val="00DE3C84"/>
    <w:rsid w:val="00DE3CE4"/>
    <w:rsid w:val="00DE3D79"/>
    <w:rsid w:val="00DE3DBD"/>
    <w:rsid w:val="00DE3DED"/>
    <w:rsid w:val="00DE3E1D"/>
    <w:rsid w:val="00DE3E23"/>
    <w:rsid w:val="00DE3EA3"/>
    <w:rsid w:val="00DE3EF7"/>
    <w:rsid w:val="00DE3EFF"/>
    <w:rsid w:val="00DE3F00"/>
    <w:rsid w:val="00DE3F09"/>
    <w:rsid w:val="00DE3F4B"/>
    <w:rsid w:val="00DE3F55"/>
    <w:rsid w:val="00DE3FE3"/>
    <w:rsid w:val="00DE4002"/>
    <w:rsid w:val="00DE400C"/>
    <w:rsid w:val="00DE4098"/>
    <w:rsid w:val="00DE40AE"/>
    <w:rsid w:val="00DE412A"/>
    <w:rsid w:val="00DE4133"/>
    <w:rsid w:val="00DE419B"/>
    <w:rsid w:val="00DE42DB"/>
    <w:rsid w:val="00DE43CF"/>
    <w:rsid w:val="00DE43F9"/>
    <w:rsid w:val="00DE4409"/>
    <w:rsid w:val="00DE4449"/>
    <w:rsid w:val="00DE4496"/>
    <w:rsid w:val="00DE44DB"/>
    <w:rsid w:val="00DE4506"/>
    <w:rsid w:val="00DE452C"/>
    <w:rsid w:val="00DE4572"/>
    <w:rsid w:val="00DE45A7"/>
    <w:rsid w:val="00DE45AC"/>
    <w:rsid w:val="00DE463A"/>
    <w:rsid w:val="00DE4666"/>
    <w:rsid w:val="00DE46D7"/>
    <w:rsid w:val="00DE4748"/>
    <w:rsid w:val="00DE474F"/>
    <w:rsid w:val="00DE4796"/>
    <w:rsid w:val="00DE4877"/>
    <w:rsid w:val="00DE489C"/>
    <w:rsid w:val="00DE48A2"/>
    <w:rsid w:val="00DE48EA"/>
    <w:rsid w:val="00DE48EB"/>
    <w:rsid w:val="00DE48ED"/>
    <w:rsid w:val="00DE4926"/>
    <w:rsid w:val="00DE4975"/>
    <w:rsid w:val="00DE49A0"/>
    <w:rsid w:val="00DE49C4"/>
    <w:rsid w:val="00DE4A04"/>
    <w:rsid w:val="00DE4A37"/>
    <w:rsid w:val="00DE4A5E"/>
    <w:rsid w:val="00DE4AA7"/>
    <w:rsid w:val="00DE4ABD"/>
    <w:rsid w:val="00DE4BBF"/>
    <w:rsid w:val="00DE4BC2"/>
    <w:rsid w:val="00DE4BD5"/>
    <w:rsid w:val="00DE4C10"/>
    <w:rsid w:val="00DE4C3B"/>
    <w:rsid w:val="00DE4C62"/>
    <w:rsid w:val="00DE4C92"/>
    <w:rsid w:val="00DE4CD7"/>
    <w:rsid w:val="00DE4D27"/>
    <w:rsid w:val="00DE4D66"/>
    <w:rsid w:val="00DE4D6E"/>
    <w:rsid w:val="00DE4D80"/>
    <w:rsid w:val="00DE4D8D"/>
    <w:rsid w:val="00DE4DBD"/>
    <w:rsid w:val="00DE4DD3"/>
    <w:rsid w:val="00DE4DDC"/>
    <w:rsid w:val="00DE4DF8"/>
    <w:rsid w:val="00DE4E58"/>
    <w:rsid w:val="00DE4E78"/>
    <w:rsid w:val="00DE4F03"/>
    <w:rsid w:val="00DE503C"/>
    <w:rsid w:val="00DE503D"/>
    <w:rsid w:val="00DE510E"/>
    <w:rsid w:val="00DE518A"/>
    <w:rsid w:val="00DE51A6"/>
    <w:rsid w:val="00DE51D8"/>
    <w:rsid w:val="00DE5215"/>
    <w:rsid w:val="00DE5227"/>
    <w:rsid w:val="00DE5229"/>
    <w:rsid w:val="00DE5231"/>
    <w:rsid w:val="00DE525E"/>
    <w:rsid w:val="00DE5268"/>
    <w:rsid w:val="00DE5280"/>
    <w:rsid w:val="00DE52B3"/>
    <w:rsid w:val="00DE52E0"/>
    <w:rsid w:val="00DE52E3"/>
    <w:rsid w:val="00DE52F1"/>
    <w:rsid w:val="00DE52F9"/>
    <w:rsid w:val="00DE531F"/>
    <w:rsid w:val="00DE5368"/>
    <w:rsid w:val="00DE536D"/>
    <w:rsid w:val="00DE53E6"/>
    <w:rsid w:val="00DE5478"/>
    <w:rsid w:val="00DE547E"/>
    <w:rsid w:val="00DE54A5"/>
    <w:rsid w:val="00DE54CE"/>
    <w:rsid w:val="00DE54E5"/>
    <w:rsid w:val="00DE551D"/>
    <w:rsid w:val="00DE55E0"/>
    <w:rsid w:val="00DE561A"/>
    <w:rsid w:val="00DE5628"/>
    <w:rsid w:val="00DE56B2"/>
    <w:rsid w:val="00DE56C3"/>
    <w:rsid w:val="00DE56FC"/>
    <w:rsid w:val="00DE5720"/>
    <w:rsid w:val="00DE5774"/>
    <w:rsid w:val="00DE57A1"/>
    <w:rsid w:val="00DE57A4"/>
    <w:rsid w:val="00DE5866"/>
    <w:rsid w:val="00DE5888"/>
    <w:rsid w:val="00DE588E"/>
    <w:rsid w:val="00DE58EE"/>
    <w:rsid w:val="00DE595D"/>
    <w:rsid w:val="00DE5979"/>
    <w:rsid w:val="00DE59A5"/>
    <w:rsid w:val="00DE59BA"/>
    <w:rsid w:val="00DE59C7"/>
    <w:rsid w:val="00DE59D7"/>
    <w:rsid w:val="00DE59F2"/>
    <w:rsid w:val="00DE5A2B"/>
    <w:rsid w:val="00DE5A64"/>
    <w:rsid w:val="00DE5AC7"/>
    <w:rsid w:val="00DE5AD3"/>
    <w:rsid w:val="00DE5B10"/>
    <w:rsid w:val="00DE5BA0"/>
    <w:rsid w:val="00DE5BB6"/>
    <w:rsid w:val="00DE5BC4"/>
    <w:rsid w:val="00DE5BE1"/>
    <w:rsid w:val="00DE5C9F"/>
    <w:rsid w:val="00DE5CB7"/>
    <w:rsid w:val="00DE5D0B"/>
    <w:rsid w:val="00DE5D3F"/>
    <w:rsid w:val="00DE5DBD"/>
    <w:rsid w:val="00DE5DCA"/>
    <w:rsid w:val="00DE5DCE"/>
    <w:rsid w:val="00DE5DE1"/>
    <w:rsid w:val="00DE5E41"/>
    <w:rsid w:val="00DE5E62"/>
    <w:rsid w:val="00DE5EAC"/>
    <w:rsid w:val="00DE5EEF"/>
    <w:rsid w:val="00DE5F5D"/>
    <w:rsid w:val="00DE5F8C"/>
    <w:rsid w:val="00DE5FE8"/>
    <w:rsid w:val="00DE6003"/>
    <w:rsid w:val="00DE6024"/>
    <w:rsid w:val="00DE6076"/>
    <w:rsid w:val="00DE6093"/>
    <w:rsid w:val="00DE6178"/>
    <w:rsid w:val="00DE618C"/>
    <w:rsid w:val="00DE61BE"/>
    <w:rsid w:val="00DE62CD"/>
    <w:rsid w:val="00DE62F7"/>
    <w:rsid w:val="00DE634E"/>
    <w:rsid w:val="00DE6370"/>
    <w:rsid w:val="00DE6393"/>
    <w:rsid w:val="00DE63F1"/>
    <w:rsid w:val="00DE6428"/>
    <w:rsid w:val="00DE64C8"/>
    <w:rsid w:val="00DE656E"/>
    <w:rsid w:val="00DE65EA"/>
    <w:rsid w:val="00DE6602"/>
    <w:rsid w:val="00DE66D8"/>
    <w:rsid w:val="00DE66E9"/>
    <w:rsid w:val="00DE66F6"/>
    <w:rsid w:val="00DE6713"/>
    <w:rsid w:val="00DE675A"/>
    <w:rsid w:val="00DE6764"/>
    <w:rsid w:val="00DE6821"/>
    <w:rsid w:val="00DE6833"/>
    <w:rsid w:val="00DE6836"/>
    <w:rsid w:val="00DE68A2"/>
    <w:rsid w:val="00DE68E9"/>
    <w:rsid w:val="00DE68EA"/>
    <w:rsid w:val="00DE694D"/>
    <w:rsid w:val="00DE69AE"/>
    <w:rsid w:val="00DE69D1"/>
    <w:rsid w:val="00DE69D2"/>
    <w:rsid w:val="00DE69E1"/>
    <w:rsid w:val="00DE6A06"/>
    <w:rsid w:val="00DE6A52"/>
    <w:rsid w:val="00DE6B1B"/>
    <w:rsid w:val="00DE6B25"/>
    <w:rsid w:val="00DE6B3B"/>
    <w:rsid w:val="00DE6B4A"/>
    <w:rsid w:val="00DE6B6A"/>
    <w:rsid w:val="00DE6B6F"/>
    <w:rsid w:val="00DE6BEE"/>
    <w:rsid w:val="00DE6C1B"/>
    <w:rsid w:val="00DE6C59"/>
    <w:rsid w:val="00DE6CE8"/>
    <w:rsid w:val="00DE6CFB"/>
    <w:rsid w:val="00DE6D18"/>
    <w:rsid w:val="00DE6D43"/>
    <w:rsid w:val="00DE6D45"/>
    <w:rsid w:val="00DE6D67"/>
    <w:rsid w:val="00DE6D82"/>
    <w:rsid w:val="00DE6D9F"/>
    <w:rsid w:val="00DE6DE2"/>
    <w:rsid w:val="00DE6DF8"/>
    <w:rsid w:val="00DE6E26"/>
    <w:rsid w:val="00DE6E3D"/>
    <w:rsid w:val="00DE6E8E"/>
    <w:rsid w:val="00DE6EE3"/>
    <w:rsid w:val="00DE6F59"/>
    <w:rsid w:val="00DE6F73"/>
    <w:rsid w:val="00DE6F79"/>
    <w:rsid w:val="00DE7010"/>
    <w:rsid w:val="00DE7090"/>
    <w:rsid w:val="00DE7096"/>
    <w:rsid w:val="00DE70A9"/>
    <w:rsid w:val="00DE714E"/>
    <w:rsid w:val="00DE7156"/>
    <w:rsid w:val="00DE7167"/>
    <w:rsid w:val="00DE71A7"/>
    <w:rsid w:val="00DE71CE"/>
    <w:rsid w:val="00DE71FF"/>
    <w:rsid w:val="00DE7240"/>
    <w:rsid w:val="00DE724D"/>
    <w:rsid w:val="00DE7271"/>
    <w:rsid w:val="00DE7272"/>
    <w:rsid w:val="00DE728A"/>
    <w:rsid w:val="00DE72CC"/>
    <w:rsid w:val="00DE72DD"/>
    <w:rsid w:val="00DE72F0"/>
    <w:rsid w:val="00DE72F9"/>
    <w:rsid w:val="00DE72FD"/>
    <w:rsid w:val="00DE7355"/>
    <w:rsid w:val="00DE739F"/>
    <w:rsid w:val="00DE73B5"/>
    <w:rsid w:val="00DE7424"/>
    <w:rsid w:val="00DE74CF"/>
    <w:rsid w:val="00DE74EA"/>
    <w:rsid w:val="00DE757B"/>
    <w:rsid w:val="00DE7622"/>
    <w:rsid w:val="00DE7626"/>
    <w:rsid w:val="00DE7652"/>
    <w:rsid w:val="00DE76CD"/>
    <w:rsid w:val="00DE76F8"/>
    <w:rsid w:val="00DE771D"/>
    <w:rsid w:val="00DE771E"/>
    <w:rsid w:val="00DE777C"/>
    <w:rsid w:val="00DE77CE"/>
    <w:rsid w:val="00DE7828"/>
    <w:rsid w:val="00DE785A"/>
    <w:rsid w:val="00DE793A"/>
    <w:rsid w:val="00DE7971"/>
    <w:rsid w:val="00DE797A"/>
    <w:rsid w:val="00DE7996"/>
    <w:rsid w:val="00DE79CC"/>
    <w:rsid w:val="00DE7A04"/>
    <w:rsid w:val="00DE7A75"/>
    <w:rsid w:val="00DE7A83"/>
    <w:rsid w:val="00DE7A8A"/>
    <w:rsid w:val="00DE7AA3"/>
    <w:rsid w:val="00DE7AF9"/>
    <w:rsid w:val="00DE7B22"/>
    <w:rsid w:val="00DE7B48"/>
    <w:rsid w:val="00DE7BB6"/>
    <w:rsid w:val="00DE7BC7"/>
    <w:rsid w:val="00DE7C3C"/>
    <w:rsid w:val="00DE7C95"/>
    <w:rsid w:val="00DE7CAB"/>
    <w:rsid w:val="00DE7CBE"/>
    <w:rsid w:val="00DE7CD9"/>
    <w:rsid w:val="00DE7CED"/>
    <w:rsid w:val="00DE7D6C"/>
    <w:rsid w:val="00DE7D83"/>
    <w:rsid w:val="00DE7D91"/>
    <w:rsid w:val="00DE7DF9"/>
    <w:rsid w:val="00DE7DFF"/>
    <w:rsid w:val="00DE7E0F"/>
    <w:rsid w:val="00DE7E9C"/>
    <w:rsid w:val="00DE7EDA"/>
    <w:rsid w:val="00DE7EEB"/>
    <w:rsid w:val="00DE7F13"/>
    <w:rsid w:val="00DE7F55"/>
    <w:rsid w:val="00DE7F8D"/>
    <w:rsid w:val="00DE7FC9"/>
    <w:rsid w:val="00DE7FD3"/>
    <w:rsid w:val="00DE7FF1"/>
    <w:rsid w:val="00DE7FFC"/>
    <w:rsid w:val="00DF0060"/>
    <w:rsid w:val="00DF0079"/>
    <w:rsid w:val="00DF00AD"/>
    <w:rsid w:val="00DF0112"/>
    <w:rsid w:val="00DF012F"/>
    <w:rsid w:val="00DF0186"/>
    <w:rsid w:val="00DF0188"/>
    <w:rsid w:val="00DF0222"/>
    <w:rsid w:val="00DF0231"/>
    <w:rsid w:val="00DF028E"/>
    <w:rsid w:val="00DF02C4"/>
    <w:rsid w:val="00DF02C9"/>
    <w:rsid w:val="00DF034E"/>
    <w:rsid w:val="00DF0391"/>
    <w:rsid w:val="00DF03B0"/>
    <w:rsid w:val="00DF048C"/>
    <w:rsid w:val="00DF049D"/>
    <w:rsid w:val="00DF055E"/>
    <w:rsid w:val="00DF05E8"/>
    <w:rsid w:val="00DF05F4"/>
    <w:rsid w:val="00DF0601"/>
    <w:rsid w:val="00DF063A"/>
    <w:rsid w:val="00DF065F"/>
    <w:rsid w:val="00DF070A"/>
    <w:rsid w:val="00DF07B6"/>
    <w:rsid w:val="00DF07EE"/>
    <w:rsid w:val="00DF07F2"/>
    <w:rsid w:val="00DF0833"/>
    <w:rsid w:val="00DF085D"/>
    <w:rsid w:val="00DF08D1"/>
    <w:rsid w:val="00DF08E5"/>
    <w:rsid w:val="00DF08EF"/>
    <w:rsid w:val="00DF0991"/>
    <w:rsid w:val="00DF09A7"/>
    <w:rsid w:val="00DF0A5D"/>
    <w:rsid w:val="00DF0ACE"/>
    <w:rsid w:val="00DF0AD4"/>
    <w:rsid w:val="00DF0AFA"/>
    <w:rsid w:val="00DF0BB5"/>
    <w:rsid w:val="00DF0BCD"/>
    <w:rsid w:val="00DF0C02"/>
    <w:rsid w:val="00DF0C3D"/>
    <w:rsid w:val="00DF0C95"/>
    <w:rsid w:val="00DF0CA1"/>
    <w:rsid w:val="00DF0DAE"/>
    <w:rsid w:val="00DF0DF7"/>
    <w:rsid w:val="00DF0E19"/>
    <w:rsid w:val="00DF0E2A"/>
    <w:rsid w:val="00DF0E36"/>
    <w:rsid w:val="00DF0E41"/>
    <w:rsid w:val="00DF0F43"/>
    <w:rsid w:val="00DF0F52"/>
    <w:rsid w:val="00DF0F60"/>
    <w:rsid w:val="00DF0F69"/>
    <w:rsid w:val="00DF0FE1"/>
    <w:rsid w:val="00DF1001"/>
    <w:rsid w:val="00DF10D6"/>
    <w:rsid w:val="00DF10F7"/>
    <w:rsid w:val="00DF110F"/>
    <w:rsid w:val="00DF1149"/>
    <w:rsid w:val="00DF116E"/>
    <w:rsid w:val="00DF117C"/>
    <w:rsid w:val="00DF11E8"/>
    <w:rsid w:val="00DF11F1"/>
    <w:rsid w:val="00DF1200"/>
    <w:rsid w:val="00DF1218"/>
    <w:rsid w:val="00DF1228"/>
    <w:rsid w:val="00DF128B"/>
    <w:rsid w:val="00DF12B9"/>
    <w:rsid w:val="00DF12CF"/>
    <w:rsid w:val="00DF1326"/>
    <w:rsid w:val="00DF133D"/>
    <w:rsid w:val="00DF13BE"/>
    <w:rsid w:val="00DF1412"/>
    <w:rsid w:val="00DF142B"/>
    <w:rsid w:val="00DF1435"/>
    <w:rsid w:val="00DF1457"/>
    <w:rsid w:val="00DF1465"/>
    <w:rsid w:val="00DF1480"/>
    <w:rsid w:val="00DF149B"/>
    <w:rsid w:val="00DF14B7"/>
    <w:rsid w:val="00DF14BB"/>
    <w:rsid w:val="00DF155A"/>
    <w:rsid w:val="00DF157F"/>
    <w:rsid w:val="00DF159F"/>
    <w:rsid w:val="00DF15AD"/>
    <w:rsid w:val="00DF15DC"/>
    <w:rsid w:val="00DF1609"/>
    <w:rsid w:val="00DF1613"/>
    <w:rsid w:val="00DF1618"/>
    <w:rsid w:val="00DF163C"/>
    <w:rsid w:val="00DF1685"/>
    <w:rsid w:val="00DF1690"/>
    <w:rsid w:val="00DF1693"/>
    <w:rsid w:val="00DF1697"/>
    <w:rsid w:val="00DF16D4"/>
    <w:rsid w:val="00DF1754"/>
    <w:rsid w:val="00DF175B"/>
    <w:rsid w:val="00DF1762"/>
    <w:rsid w:val="00DF176B"/>
    <w:rsid w:val="00DF177A"/>
    <w:rsid w:val="00DF1782"/>
    <w:rsid w:val="00DF1786"/>
    <w:rsid w:val="00DF17BB"/>
    <w:rsid w:val="00DF17BD"/>
    <w:rsid w:val="00DF17F4"/>
    <w:rsid w:val="00DF1845"/>
    <w:rsid w:val="00DF1880"/>
    <w:rsid w:val="00DF188F"/>
    <w:rsid w:val="00DF18E3"/>
    <w:rsid w:val="00DF18E7"/>
    <w:rsid w:val="00DF191B"/>
    <w:rsid w:val="00DF1923"/>
    <w:rsid w:val="00DF192E"/>
    <w:rsid w:val="00DF194D"/>
    <w:rsid w:val="00DF198A"/>
    <w:rsid w:val="00DF1999"/>
    <w:rsid w:val="00DF19A7"/>
    <w:rsid w:val="00DF19C6"/>
    <w:rsid w:val="00DF19EC"/>
    <w:rsid w:val="00DF1A64"/>
    <w:rsid w:val="00DF1A84"/>
    <w:rsid w:val="00DF1A9E"/>
    <w:rsid w:val="00DF1AEE"/>
    <w:rsid w:val="00DF1B2D"/>
    <w:rsid w:val="00DF1B49"/>
    <w:rsid w:val="00DF1B52"/>
    <w:rsid w:val="00DF1B6C"/>
    <w:rsid w:val="00DF1BA3"/>
    <w:rsid w:val="00DF1BA9"/>
    <w:rsid w:val="00DF1BAE"/>
    <w:rsid w:val="00DF1BBF"/>
    <w:rsid w:val="00DF1BD1"/>
    <w:rsid w:val="00DF1C07"/>
    <w:rsid w:val="00DF1C9B"/>
    <w:rsid w:val="00DF1D00"/>
    <w:rsid w:val="00DF1D11"/>
    <w:rsid w:val="00DF1D4D"/>
    <w:rsid w:val="00DF1D4E"/>
    <w:rsid w:val="00DF1D52"/>
    <w:rsid w:val="00DF1D89"/>
    <w:rsid w:val="00DF1E56"/>
    <w:rsid w:val="00DF1F0D"/>
    <w:rsid w:val="00DF1F24"/>
    <w:rsid w:val="00DF1F2D"/>
    <w:rsid w:val="00DF1F2F"/>
    <w:rsid w:val="00DF1FB9"/>
    <w:rsid w:val="00DF2002"/>
    <w:rsid w:val="00DF2072"/>
    <w:rsid w:val="00DF2090"/>
    <w:rsid w:val="00DF20AE"/>
    <w:rsid w:val="00DF2156"/>
    <w:rsid w:val="00DF2165"/>
    <w:rsid w:val="00DF21A8"/>
    <w:rsid w:val="00DF2264"/>
    <w:rsid w:val="00DF2293"/>
    <w:rsid w:val="00DF22C1"/>
    <w:rsid w:val="00DF22CA"/>
    <w:rsid w:val="00DF2313"/>
    <w:rsid w:val="00DF239E"/>
    <w:rsid w:val="00DF23A1"/>
    <w:rsid w:val="00DF240E"/>
    <w:rsid w:val="00DF2442"/>
    <w:rsid w:val="00DF246C"/>
    <w:rsid w:val="00DF2482"/>
    <w:rsid w:val="00DF2496"/>
    <w:rsid w:val="00DF249E"/>
    <w:rsid w:val="00DF24FE"/>
    <w:rsid w:val="00DF2530"/>
    <w:rsid w:val="00DF2540"/>
    <w:rsid w:val="00DF2544"/>
    <w:rsid w:val="00DF2545"/>
    <w:rsid w:val="00DF257E"/>
    <w:rsid w:val="00DF2582"/>
    <w:rsid w:val="00DF25A8"/>
    <w:rsid w:val="00DF25AA"/>
    <w:rsid w:val="00DF25AC"/>
    <w:rsid w:val="00DF25C7"/>
    <w:rsid w:val="00DF2626"/>
    <w:rsid w:val="00DF2685"/>
    <w:rsid w:val="00DF26A8"/>
    <w:rsid w:val="00DF26BA"/>
    <w:rsid w:val="00DF26DB"/>
    <w:rsid w:val="00DF26F7"/>
    <w:rsid w:val="00DF27A7"/>
    <w:rsid w:val="00DF27CB"/>
    <w:rsid w:val="00DF27E6"/>
    <w:rsid w:val="00DF2843"/>
    <w:rsid w:val="00DF287C"/>
    <w:rsid w:val="00DF2958"/>
    <w:rsid w:val="00DF2996"/>
    <w:rsid w:val="00DF29D2"/>
    <w:rsid w:val="00DF2A38"/>
    <w:rsid w:val="00DF2A3D"/>
    <w:rsid w:val="00DF2A63"/>
    <w:rsid w:val="00DF2A8C"/>
    <w:rsid w:val="00DF2AC9"/>
    <w:rsid w:val="00DF2AEE"/>
    <w:rsid w:val="00DF2B3E"/>
    <w:rsid w:val="00DF2B48"/>
    <w:rsid w:val="00DF2B87"/>
    <w:rsid w:val="00DF2B89"/>
    <w:rsid w:val="00DF2CD5"/>
    <w:rsid w:val="00DF2D21"/>
    <w:rsid w:val="00DF2D3F"/>
    <w:rsid w:val="00DF2D59"/>
    <w:rsid w:val="00DF2D9C"/>
    <w:rsid w:val="00DF2DC1"/>
    <w:rsid w:val="00DF2DC8"/>
    <w:rsid w:val="00DF2DE2"/>
    <w:rsid w:val="00DF2DE9"/>
    <w:rsid w:val="00DF2E5E"/>
    <w:rsid w:val="00DF2EB7"/>
    <w:rsid w:val="00DF2EE5"/>
    <w:rsid w:val="00DF2EF4"/>
    <w:rsid w:val="00DF2F06"/>
    <w:rsid w:val="00DF300A"/>
    <w:rsid w:val="00DF3051"/>
    <w:rsid w:val="00DF3063"/>
    <w:rsid w:val="00DF3091"/>
    <w:rsid w:val="00DF30B1"/>
    <w:rsid w:val="00DF30B9"/>
    <w:rsid w:val="00DF30DF"/>
    <w:rsid w:val="00DF30F8"/>
    <w:rsid w:val="00DF3105"/>
    <w:rsid w:val="00DF3114"/>
    <w:rsid w:val="00DF312C"/>
    <w:rsid w:val="00DF3148"/>
    <w:rsid w:val="00DF318E"/>
    <w:rsid w:val="00DF31CC"/>
    <w:rsid w:val="00DF31EA"/>
    <w:rsid w:val="00DF31F5"/>
    <w:rsid w:val="00DF3220"/>
    <w:rsid w:val="00DF3247"/>
    <w:rsid w:val="00DF3254"/>
    <w:rsid w:val="00DF327F"/>
    <w:rsid w:val="00DF3283"/>
    <w:rsid w:val="00DF32A0"/>
    <w:rsid w:val="00DF32C4"/>
    <w:rsid w:val="00DF32E4"/>
    <w:rsid w:val="00DF32F1"/>
    <w:rsid w:val="00DF336A"/>
    <w:rsid w:val="00DF3375"/>
    <w:rsid w:val="00DF3379"/>
    <w:rsid w:val="00DF3396"/>
    <w:rsid w:val="00DF33F6"/>
    <w:rsid w:val="00DF3438"/>
    <w:rsid w:val="00DF346C"/>
    <w:rsid w:val="00DF34F5"/>
    <w:rsid w:val="00DF3510"/>
    <w:rsid w:val="00DF351A"/>
    <w:rsid w:val="00DF3549"/>
    <w:rsid w:val="00DF3580"/>
    <w:rsid w:val="00DF35CD"/>
    <w:rsid w:val="00DF3678"/>
    <w:rsid w:val="00DF3681"/>
    <w:rsid w:val="00DF3701"/>
    <w:rsid w:val="00DF3716"/>
    <w:rsid w:val="00DF377B"/>
    <w:rsid w:val="00DF3794"/>
    <w:rsid w:val="00DF3806"/>
    <w:rsid w:val="00DF3854"/>
    <w:rsid w:val="00DF385B"/>
    <w:rsid w:val="00DF38F5"/>
    <w:rsid w:val="00DF3916"/>
    <w:rsid w:val="00DF399C"/>
    <w:rsid w:val="00DF39DC"/>
    <w:rsid w:val="00DF39E6"/>
    <w:rsid w:val="00DF3A32"/>
    <w:rsid w:val="00DF3A4D"/>
    <w:rsid w:val="00DF3A62"/>
    <w:rsid w:val="00DF3A8D"/>
    <w:rsid w:val="00DF3A99"/>
    <w:rsid w:val="00DF3ABB"/>
    <w:rsid w:val="00DF3AD8"/>
    <w:rsid w:val="00DF3AF3"/>
    <w:rsid w:val="00DF3B0C"/>
    <w:rsid w:val="00DF3B48"/>
    <w:rsid w:val="00DF3B5A"/>
    <w:rsid w:val="00DF3B87"/>
    <w:rsid w:val="00DF3BA5"/>
    <w:rsid w:val="00DF3BBC"/>
    <w:rsid w:val="00DF3BE0"/>
    <w:rsid w:val="00DF3C1C"/>
    <w:rsid w:val="00DF3C71"/>
    <w:rsid w:val="00DF3C75"/>
    <w:rsid w:val="00DF3CF3"/>
    <w:rsid w:val="00DF3CFF"/>
    <w:rsid w:val="00DF3D7B"/>
    <w:rsid w:val="00DF3D83"/>
    <w:rsid w:val="00DF3DB2"/>
    <w:rsid w:val="00DF3DB6"/>
    <w:rsid w:val="00DF3DC4"/>
    <w:rsid w:val="00DF3DF4"/>
    <w:rsid w:val="00DF3DFA"/>
    <w:rsid w:val="00DF3E39"/>
    <w:rsid w:val="00DF3E60"/>
    <w:rsid w:val="00DF3E8C"/>
    <w:rsid w:val="00DF3EB1"/>
    <w:rsid w:val="00DF3ECA"/>
    <w:rsid w:val="00DF3F2E"/>
    <w:rsid w:val="00DF3F32"/>
    <w:rsid w:val="00DF3F4C"/>
    <w:rsid w:val="00DF3F9C"/>
    <w:rsid w:val="00DF3FA0"/>
    <w:rsid w:val="00DF3FA6"/>
    <w:rsid w:val="00DF3FB6"/>
    <w:rsid w:val="00DF3FF5"/>
    <w:rsid w:val="00DF4003"/>
    <w:rsid w:val="00DF4072"/>
    <w:rsid w:val="00DF4074"/>
    <w:rsid w:val="00DF4099"/>
    <w:rsid w:val="00DF40AE"/>
    <w:rsid w:val="00DF40D2"/>
    <w:rsid w:val="00DF415D"/>
    <w:rsid w:val="00DF4182"/>
    <w:rsid w:val="00DF41D6"/>
    <w:rsid w:val="00DF41F1"/>
    <w:rsid w:val="00DF4295"/>
    <w:rsid w:val="00DF42A1"/>
    <w:rsid w:val="00DF42D1"/>
    <w:rsid w:val="00DF42D4"/>
    <w:rsid w:val="00DF42DC"/>
    <w:rsid w:val="00DF4305"/>
    <w:rsid w:val="00DF4311"/>
    <w:rsid w:val="00DF432B"/>
    <w:rsid w:val="00DF4335"/>
    <w:rsid w:val="00DF4363"/>
    <w:rsid w:val="00DF437A"/>
    <w:rsid w:val="00DF4391"/>
    <w:rsid w:val="00DF442A"/>
    <w:rsid w:val="00DF4475"/>
    <w:rsid w:val="00DF44A0"/>
    <w:rsid w:val="00DF44BF"/>
    <w:rsid w:val="00DF451E"/>
    <w:rsid w:val="00DF4543"/>
    <w:rsid w:val="00DF4561"/>
    <w:rsid w:val="00DF4568"/>
    <w:rsid w:val="00DF45B2"/>
    <w:rsid w:val="00DF45E6"/>
    <w:rsid w:val="00DF45FD"/>
    <w:rsid w:val="00DF4601"/>
    <w:rsid w:val="00DF4604"/>
    <w:rsid w:val="00DF461C"/>
    <w:rsid w:val="00DF46A7"/>
    <w:rsid w:val="00DF4708"/>
    <w:rsid w:val="00DF4754"/>
    <w:rsid w:val="00DF47C4"/>
    <w:rsid w:val="00DF47DB"/>
    <w:rsid w:val="00DF4808"/>
    <w:rsid w:val="00DF480B"/>
    <w:rsid w:val="00DF4832"/>
    <w:rsid w:val="00DF483E"/>
    <w:rsid w:val="00DF4850"/>
    <w:rsid w:val="00DF487E"/>
    <w:rsid w:val="00DF4884"/>
    <w:rsid w:val="00DF48B9"/>
    <w:rsid w:val="00DF496A"/>
    <w:rsid w:val="00DF4970"/>
    <w:rsid w:val="00DF49D2"/>
    <w:rsid w:val="00DF4A11"/>
    <w:rsid w:val="00DF4A79"/>
    <w:rsid w:val="00DF4B0A"/>
    <w:rsid w:val="00DF4C79"/>
    <w:rsid w:val="00DF4C7A"/>
    <w:rsid w:val="00DF4CEE"/>
    <w:rsid w:val="00DF4CF9"/>
    <w:rsid w:val="00DF4D55"/>
    <w:rsid w:val="00DF4D67"/>
    <w:rsid w:val="00DF4D6D"/>
    <w:rsid w:val="00DF4D72"/>
    <w:rsid w:val="00DF4DA4"/>
    <w:rsid w:val="00DF4E0C"/>
    <w:rsid w:val="00DF4E49"/>
    <w:rsid w:val="00DF4E8E"/>
    <w:rsid w:val="00DF4EBA"/>
    <w:rsid w:val="00DF4ECF"/>
    <w:rsid w:val="00DF4EEA"/>
    <w:rsid w:val="00DF4EF2"/>
    <w:rsid w:val="00DF4F3E"/>
    <w:rsid w:val="00DF4F72"/>
    <w:rsid w:val="00DF4F73"/>
    <w:rsid w:val="00DF4F7E"/>
    <w:rsid w:val="00DF4F86"/>
    <w:rsid w:val="00DF4F8B"/>
    <w:rsid w:val="00DF4F93"/>
    <w:rsid w:val="00DF4FEB"/>
    <w:rsid w:val="00DF5050"/>
    <w:rsid w:val="00DF50CF"/>
    <w:rsid w:val="00DF50D9"/>
    <w:rsid w:val="00DF511D"/>
    <w:rsid w:val="00DF5135"/>
    <w:rsid w:val="00DF5142"/>
    <w:rsid w:val="00DF5157"/>
    <w:rsid w:val="00DF5174"/>
    <w:rsid w:val="00DF51DE"/>
    <w:rsid w:val="00DF5235"/>
    <w:rsid w:val="00DF524D"/>
    <w:rsid w:val="00DF5276"/>
    <w:rsid w:val="00DF5292"/>
    <w:rsid w:val="00DF52E7"/>
    <w:rsid w:val="00DF5306"/>
    <w:rsid w:val="00DF532F"/>
    <w:rsid w:val="00DF533A"/>
    <w:rsid w:val="00DF53A7"/>
    <w:rsid w:val="00DF5451"/>
    <w:rsid w:val="00DF5494"/>
    <w:rsid w:val="00DF54DA"/>
    <w:rsid w:val="00DF54DD"/>
    <w:rsid w:val="00DF54E2"/>
    <w:rsid w:val="00DF54EC"/>
    <w:rsid w:val="00DF5542"/>
    <w:rsid w:val="00DF5562"/>
    <w:rsid w:val="00DF5568"/>
    <w:rsid w:val="00DF5573"/>
    <w:rsid w:val="00DF5598"/>
    <w:rsid w:val="00DF55A6"/>
    <w:rsid w:val="00DF55D1"/>
    <w:rsid w:val="00DF55E2"/>
    <w:rsid w:val="00DF55FE"/>
    <w:rsid w:val="00DF5651"/>
    <w:rsid w:val="00DF5675"/>
    <w:rsid w:val="00DF5686"/>
    <w:rsid w:val="00DF5716"/>
    <w:rsid w:val="00DF574B"/>
    <w:rsid w:val="00DF57FD"/>
    <w:rsid w:val="00DF580C"/>
    <w:rsid w:val="00DF5830"/>
    <w:rsid w:val="00DF5837"/>
    <w:rsid w:val="00DF583F"/>
    <w:rsid w:val="00DF5898"/>
    <w:rsid w:val="00DF58AE"/>
    <w:rsid w:val="00DF5926"/>
    <w:rsid w:val="00DF5937"/>
    <w:rsid w:val="00DF5955"/>
    <w:rsid w:val="00DF59A8"/>
    <w:rsid w:val="00DF59B0"/>
    <w:rsid w:val="00DF59DF"/>
    <w:rsid w:val="00DF5A0B"/>
    <w:rsid w:val="00DF5B99"/>
    <w:rsid w:val="00DF5BE9"/>
    <w:rsid w:val="00DF5BED"/>
    <w:rsid w:val="00DF5C09"/>
    <w:rsid w:val="00DF5C6F"/>
    <w:rsid w:val="00DF5CD1"/>
    <w:rsid w:val="00DF5D39"/>
    <w:rsid w:val="00DF5D5C"/>
    <w:rsid w:val="00DF5DCD"/>
    <w:rsid w:val="00DF5DD0"/>
    <w:rsid w:val="00DF5DDB"/>
    <w:rsid w:val="00DF5E66"/>
    <w:rsid w:val="00DF5E6D"/>
    <w:rsid w:val="00DF5EA5"/>
    <w:rsid w:val="00DF5F21"/>
    <w:rsid w:val="00DF5F49"/>
    <w:rsid w:val="00DF5FC1"/>
    <w:rsid w:val="00DF6040"/>
    <w:rsid w:val="00DF604B"/>
    <w:rsid w:val="00DF6051"/>
    <w:rsid w:val="00DF60FC"/>
    <w:rsid w:val="00DF6115"/>
    <w:rsid w:val="00DF6160"/>
    <w:rsid w:val="00DF61B5"/>
    <w:rsid w:val="00DF61BF"/>
    <w:rsid w:val="00DF61F6"/>
    <w:rsid w:val="00DF61FA"/>
    <w:rsid w:val="00DF6200"/>
    <w:rsid w:val="00DF6210"/>
    <w:rsid w:val="00DF6219"/>
    <w:rsid w:val="00DF625A"/>
    <w:rsid w:val="00DF62B2"/>
    <w:rsid w:val="00DF62D7"/>
    <w:rsid w:val="00DF6331"/>
    <w:rsid w:val="00DF6375"/>
    <w:rsid w:val="00DF6393"/>
    <w:rsid w:val="00DF6395"/>
    <w:rsid w:val="00DF6473"/>
    <w:rsid w:val="00DF647E"/>
    <w:rsid w:val="00DF6496"/>
    <w:rsid w:val="00DF64A4"/>
    <w:rsid w:val="00DF653A"/>
    <w:rsid w:val="00DF6588"/>
    <w:rsid w:val="00DF658D"/>
    <w:rsid w:val="00DF65E8"/>
    <w:rsid w:val="00DF6627"/>
    <w:rsid w:val="00DF6628"/>
    <w:rsid w:val="00DF6658"/>
    <w:rsid w:val="00DF66AF"/>
    <w:rsid w:val="00DF676D"/>
    <w:rsid w:val="00DF6771"/>
    <w:rsid w:val="00DF6776"/>
    <w:rsid w:val="00DF67AC"/>
    <w:rsid w:val="00DF6806"/>
    <w:rsid w:val="00DF683E"/>
    <w:rsid w:val="00DF68F3"/>
    <w:rsid w:val="00DF690E"/>
    <w:rsid w:val="00DF6934"/>
    <w:rsid w:val="00DF6940"/>
    <w:rsid w:val="00DF695F"/>
    <w:rsid w:val="00DF6974"/>
    <w:rsid w:val="00DF6990"/>
    <w:rsid w:val="00DF69F6"/>
    <w:rsid w:val="00DF6AA0"/>
    <w:rsid w:val="00DF6AA5"/>
    <w:rsid w:val="00DF6B3D"/>
    <w:rsid w:val="00DF6B47"/>
    <w:rsid w:val="00DF6C04"/>
    <w:rsid w:val="00DF6C13"/>
    <w:rsid w:val="00DF6C28"/>
    <w:rsid w:val="00DF6C29"/>
    <w:rsid w:val="00DF6CCB"/>
    <w:rsid w:val="00DF6CE9"/>
    <w:rsid w:val="00DF6D29"/>
    <w:rsid w:val="00DF6D2D"/>
    <w:rsid w:val="00DF6D9E"/>
    <w:rsid w:val="00DF6DD0"/>
    <w:rsid w:val="00DF6DD3"/>
    <w:rsid w:val="00DF6E14"/>
    <w:rsid w:val="00DF6E61"/>
    <w:rsid w:val="00DF6EFD"/>
    <w:rsid w:val="00DF6F17"/>
    <w:rsid w:val="00DF6F19"/>
    <w:rsid w:val="00DF6FB8"/>
    <w:rsid w:val="00DF6FBD"/>
    <w:rsid w:val="00DF702D"/>
    <w:rsid w:val="00DF7058"/>
    <w:rsid w:val="00DF716A"/>
    <w:rsid w:val="00DF7177"/>
    <w:rsid w:val="00DF71A8"/>
    <w:rsid w:val="00DF71AB"/>
    <w:rsid w:val="00DF71E9"/>
    <w:rsid w:val="00DF71FF"/>
    <w:rsid w:val="00DF7215"/>
    <w:rsid w:val="00DF7239"/>
    <w:rsid w:val="00DF7259"/>
    <w:rsid w:val="00DF7286"/>
    <w:rsid w:val="00DF72AD"/>
    <w:rsid w:val="00DF72CC"/>
    <w:rsid w:val="00DF72DB"/>
    <w:rsid w:val="00DF7300"/>
    <w:rsid w:val="00DF7391"/>
    <w:rsid w:val="00DF7399"/>
    <w:rsid w:val="00DF73A6"/>
    <w:rsid w:val="00DF7423"/>
    <w:rsid w:val="00DF743D"/>
    <w:rsid w:val="00DF7470"/>
    <w:rsid w:val="00DF7482"/>
    <w:rsid w:val="00DF7494"/>
    <w:rsid w:val="00DF74B9"/>
    <w:rsid w:val="00DF74BA"/>
    <w:rsid w:val="00DF7570"/>
    <w:rsid w:val="00DF7596"/>
    <w:rsid w:val="00DF759D"/>
    <w:rsid w:val="00DF75A3"/>
    <w:rsid w:val="00DF75E2"/>
    <w:rsid w:val="00DF75FC"/>
    <w:rsid w:val="00DF7618"/>
    <w:rsid w:val="00DF763D"/>
    <w:rsid w:val="00DF7666"/>
    <w:rsid w:val="00DF7667"/>
    <w:rsid w:val="00DF7683"/>
    <w:rsid w:val="00DF769E"/>
    <w:rsid w:val="00DF76E1"/>
    <w:rsid w:val="00DF7735"/>
    <w:rsid w:val="00DF7787"/>
    <w:rsid w:val="00DF77A7"/>
    <w:rsid w:val="00DF77F7"/>
    <w:rsid w:val="00DF7821"/>
    <w:rsid w:val="00DF7847"/>
    <w:rsid w:val="00DF7875"/>
    <w:rsid w:val="00DF7889"/>
    <w:rsid w:val="00DF7987"/>
    <w:rsid w:val="00DF79B9"/>
    <w:rsid w:val="00DF79E2"/>
    <w:rsid w:val="00DF79EE"/>
    <w:rsid w:val="00DF7A11"/>
    <w:rsid w:val="00DF7A17"/>
    <w:rsid w:val="00DF7A69"/>
    <w:rsid w:val="00DF7A74"/>
    <w:rsid w:val="00DF7A8E"/>
    <w:rsid w:val="00DF7AB2"/>
    <w:rsid w:val="00DF7ABC"/>
    <w:rsid w:val="00DF7AFB"/>
    <w:rsid w:val="00DF7B0E"/>
    <w:rsid w:val="00DF7B6F"/>
    <w:rsid w:val="00DF7B94"/>
    <w:rsid w:val="00DF7C24"/>
    <w:rsid w:val="00DF7C33"/>
    <w:rsid w:val="00DF7C78"/>
    <w:rsid w:val="00DF7CC3"/>
    <w:rsid w:val="00DF7CE6"/>
    <w:rsid w:val="00DF7CFB"/>
    <w:rsid w:val="00DF7D91"/>
    <w:rsid w:val="00DF7DD5"/>
    <w:rsid w:val="00DF7E28"/>
    <w:rsid w:val="00DF7E2E"/>
    <w:rsid w:val="00DF7E31"/>
    <w:rsid w:val="00DF7E99"/>
    <w:rsid w:val="00DF7E9C"/>
    <w:rsid w:val="00DF7ECE"/>
    <w:rsid w:val="00DF7EE9"/>
    <w:rsid w:val="00DF7FB9"/>
    <w:rsid w:val="00DF7FDC"/>
    <w:rsid w:val="00E0000F"/>
    <w:rsid w:val="00E00011"/>
    <w:rsid w:val="00E00013"/>
    <w:rsid w:val="00E00014"/>
    <w:rsid w:val="00E00027"/>
    <w:rsid w:val="00E0002B"/>
    <w:rsid w:val="00E00075"/>
    <w:rsid w:val="00E00076"/>
    <w:rsid w:val="00E000D4"/>
    <w:rsid w:val="00E000F1"/>
    <w:rsid w:val="00E00104"/>
    <w:rsid w:val="00E00135"/>
    <w:rsid w:val="00E0017E"/>
    <w:rsid w:val="00E0020F"/>
    <w:rsid w:val="00E0023F"/>
    <w:rsid w:val="00E00243"/>
    <w:rsid w:val="00E0027F"/>
    <w:rsid w:val="00E00298"/>
    <w:rsid w:val="00E002BE"/>
    <w:rsid w:val="00E002E4"/>
    <w:rsid w:val="00E00311"/>
    <w:rsid w:val="00E0038D"/>
    <w:rsid w:val="00E003D7"/>
    <w:rsid w:val="00E003F4"/>
    <w:rsid w:val="00E0043D"/>
    <w:rsid w:val="00E0044C"/>
    <w:rsid w:val="00E004EA"/>
    <w:rsid w:val="00E00510"/>
    <w:rsid w:val="00E0052F"/>
    <w:rsid w:val="00E0053F"/>
    <w:rsid w:val="00E00550"/>
    <w:rsid w:val="00E005B5"/>
    <w:rsid w:val="00E005BA"/>
    <w:rsid w:val="00E005EA"/>
    <w:rsid w:val="00E00689"/>
    <w:rsid w:val="00E006FD"/>
    <w:rsid w:val="00E00791"/>
    <w:rsid w:val="00E007A4"/>
    <w:rsid w:val="00E007E9"/>
    <w:rsid w:val="00E00816"/>
    <w:rsid w:val="00E0083B"/>
    <w:rsid w:val="00E0085D"/>
    <w:rsid w:val="00E008BA"/>
    <w:rsid w:val="00E008BE"/>
    <w:rsid w:val="00E00951"/>
    <w:rsid w:val="00E00998"/>
    <w:rsid w:val="00E009C0"/>
    <w:rsid w:val="00E00A15"/>
    <w:rsid w:val="00E00A40"/>
    <w:rsid w:val="00E00A86"/>
    <w:rsid w:val="00E00AAB"/>
    <w:rsid w:val="00E00B2E"/>
    <w:rsid w:val="00E00B43"/>
    <w:rsid w:val="00E00BC8"/>
    <w:rsid w:val="00E00BD3"/>
    <w:rsid w:val="00E00BDB"/>
    <w:rsid w:val="00E00BE3"/>
    <w:rsid w:val="00E00BF0"/>
    <w:rsid w:val="00E00BF9"/>
    <w:rsid w:val="00E00CFB"/>
    <w:rsid w:val="00E00D22"/>
    <w:rsid w:val="00E00D43"/>
    <w:rsid w:val="00E00D7F"/>
    <w:rsid w:val="00E00D94"/>
    <w:rsid w:val="00E00DD6"/>
    <w:rsid w:val="00E00DE8"/>
    <w:rsid w:val="00E00E46"/>
    <w:rsid w:val="00E00E72"/>
    <w:rsid w:val="00E00E8C"/>
    <w:rsid w:val="00E00EBE"/>
    <w:rsid w:val="00E00EE5"/>
    <w:rsid w:val="00E00F60"/>
    <w:rsid w:val="00E00FF7"/>
    <w:rsid w:val="00E01008"/>
    <w:rsid w:val="00E01068"/>
    <w:rsid w:val="00E010BB"/>
    <w:rsid w:val="00E010D3"/>
    <w:rsid w:val="00E010E9"/>
    <w:rsid w:val="00E01244"/>
    <w:rsid w:val="00E012A1"/>
    <w:rsid w:val="00E012A8"/>
    <w:rsid w:val="00E012CF"/>
    <w:rsid w:val="00E012F0"/>
    <w:rsid w:val="00E01310"/>
    <w:rsid w:val="00E0132D"/>
    <w:rsid w:val="00E01340"/>
    <w:rsid w:val="00E013A2"/>
    <w:rsid w:val="00E013A8"/>
    <w:rsid w:val="00E013FF"/>
    <w:rsid w:val="00E0140C"/>
    <w:rsid w:val="00E01413"/>
    <w:rsid w:val="00E0144F"/>
    <w:rsid w:val="00E01450"/>
    <w:rsid w:val="00E0149B"/>
    <w:rsid w:val="00E014F6"/>
    <w:rsid w:val="00E014FB"/>
    <w:rsid w:val="00E014FD"/>
    <w:rsid w:val="00E014FF"/>
    <w:rsid w:val="00E0152B"/>
    <w:rsid w:val="00E01597"/>
    <w:rsid w:val="00E01599"/>
    <w:rsid w:val="00E0161A"/>
    <w:rsid w:val="00E01623"/>
    <w:rsid w:val="00E0164B"/>
    <w:rsid w:val="00E0172D"/>
    <w:rsid w:val="00E0173A"/>
    <w:rsid w:val="00E01752"/>
    <w:rsid w:val="00E01776"/>
    <w:rsid w:val="00E01799"/>
    <w:rsid w:val="00E01800"/>
    <w:rsid w:val="00E0181C"/>
    <w:rsid w:val="00E0184B"/>
    <w:rsid w:val="00E0185E"/>
    <w:rsid w:val="00E01867"/>
    <w:rsid w:val="00E018C0"/>
    <w:rsid w:val="00E019AD"/>
    <w:rsid w:val="00E019BD"/>
    <w:rsid w:val="00E019BF"/>
    <w:rsid w:val="00E019EF"/>
    <w:rsid w:val="00E01A3E"/>
    <w:rsid w:val="00E01A6E"/>
    <w:rsid w:val="00E01A78"/>
    <w:rsid w:val="00E01AA6"/>
    <w:rsid w:val="00E01ACD"/>
    <w:rsid w:val="00E01AD9"/>
    <w:rsid w:val="00E01ADE"/>
    <w:rsid w:val="00E01B06"/>
    <w:rsid w:val="00E01B0F"/>
    <w:rsid w:val="00E01B1F"/>
    <w:rsid w:val="00E01B4E"/>
    <w:rsid w:val="00E01BD3"/>
    <w:rsid w:val="00E01C43"/>
    <w:rsid w:val="00E01C68"/>
    <w:rsid w:val="00E01C92"/>
    <w:rsid w:val="00E01CEB"/>
    <w:rsid w:val="00E01D1E"/>
    <w:rsid w:val="00E01D2C"/>
    <w:rsid w:val="00E01D37"/>
    <w:rsid w:val="00E01D6B"/>
    <w:rsid w:val="00E01DE8"/>
    <w:rsid w:val="00E01DF2"/>
    <w:rsid w:val="00E01DF9"/>
    <w:rsid w:val="00E01E1C"/>
    <w:rsid w:val="00E01E5C"/>
    <w:rsid w:val="00E01E66"/>
    <w:rsid w:val="00E01E6D"/>
    <w:rsid w:val="00E01E7F"/>
    <w:rsid w:val="00E01E98"/>
    <w:rsid w:val="00E01EA9"/>
    <w:rsid w:val="00E01F3F"/>
    <w:rsid w:val="00E02004"/>
    <w:rsid w:val="00E02037"/>
    <w:rsid w:val="00E02053"/>
    <w:rsid w:val="00E0206D"/>
    <w:rsid w:val="00E0207C"/>
    <w:rsid w:val="00E020AB"/>
    <w:rsid w:val="00E020D3"/>
    <w:rsid w:val="00E020D9"/>
    <w:rsid w:val="00E020E6"/>
    <w:rsid w:val="00E02126"/>
    <w:rsid w:val="00E02127"/>
    <w:rsid w:val="00E0212A"/>
    <w:rsid w:val="00E021C6"/>
    <w:rsid w:val="00E02202"/>
    <w:rsid w:val="00E02230"/>
    <w:rsid w:val="00E02249"/>
    <w:rsid w:val="00E0227A"/>
    <w:rsid w:val="00E022A7"/>
    <w:rsid w:val="00E02305"/>
    <w:rsid w:val="00E02306"/>
    <w:rsid w:val="00E02331"/>
    <w:rsid w:val="00E023E8"/>
    <w:rsid w:val="00E023EE"/>
    <w:rsid w:val="00E02415"/>
    <w:rsid w:val="00E02447"/>
    <w:rsid w:val="00E0250C"/>
    <w:rsid w:val="00E02519"/>
    <w:rsid w:val="00E02540"/>
    <w:rsid w:val="00E025D4"/>
    <w:rsid w:val="00E0266B"/>
    <w:rsid w:val="00E026C6"/>
    <w:rsid w:val="00E026CD"/>
    <w:rsid w:val="00E02740"/>
    <w:rsid w:val="00E02750"/>
    <w:rsid w:val="00E02768"/>
    <w:rsid w:val="00E027A5"/>
    <w:rsid w:val="00E027DB"/>
    <w:rsid w:val="00E027DD"/>
    <w:rsid w:val="00E027F9"/>
    <w:rsid w:val="00E02829"/>
    <w:rsid w:val="00E02871"/>
    <w:rsid w:val="00E028D4"/>
    <w:rsid w:val="00E028F3"/>
    <w:rsid w:val="00E02960"/>
    <w:rsid w:val="00E0298F"/>
    <w:rsid w:val="00E029A2"/>
    <w:rsid w:val="00E029C3"/>
    <w:rsid w:val="00E029CA"/>
    <w:rsid w:val="00E029EF"/>
    <w:rsid w:val="00E02A43"/>
    <w:rsid w:val="00E02AAB"/>
    <w:rsid w:val="00E02ACF"/>
    <w:rsid w:val="00E02B1B"/>
    <w:rsid w:val="00E02C54"/>
    <w:rsid w:val="00E02C5B"/>
    <w:rsid w:val="00E02CD0"/>
    <w:rsid w:val="00E02CD1"/>
    <w:rsid w:val="00E02CF7"/>
    <w:rsid w:val="00E02D0B"/>
    <w:rsid w:val="00E02D6F"/>
    <w:rsid w:val="00E02D83"/>
    <w:rsid w:val="00E02E09"/>
    <w:rsid w:val="00E02E12"/>
    <w:rsid w:val="00E02EB9"/>
    <w:rsid w:val="00E02F24"/>
    <w:rsid w:val="00E02F77"/>
    <w:rsid w:val="00E02FC1"/>
    <w:rsid w:val="00E03020"/>
    <w:rsid w:val="00E03083"/>
    <w:rsid w:val="00E030AD"/>
    <w:rsid w:val="00E030F6"/>
    <w:rsid w:val="00E03124"/>
    <w:rsid w:val="00E03148"/>
    <w:rsid w:val="00E03167"/>
    <w:rsid w:val="00E031A5"/>
    <w:rsid w:val="00E03218"/>
    <w:rsid w:val="00E03262"/>
    <w:rsid w:val="00E03288"/>
    <w:rsid w:val="00E0329B"/>
    <w:rsid w:val="00E032AB"/>
    <w:rsid w:val="00E032D2"/>
    <w:rsid w:val="00E032E2"/>
    <w:rsid w:val="00E032EB"/>
    <w:rsid w:val="00E032F9"/>
    <w:rsid w:val="00E0330D"/>
    <w:rsid w:val="00E03312"/>
    <w:rsid w:val="00E0331B"/>
    <w:rsid w:val="00E03343"/>
    <w:rsid w:val="00E03344"/>
    <w:rsid w:val="00E033CC"/>
    <w:rsid w:val="00E03413"/>
    <w:rsid w:val="00E03434"/>
    <w:rsid w:val="00E0344A"/>
    <w:rsid w:val="00E03456"/>
    <w:rsid w:val="00E03473"/>
    <w:rsid w:val="00E034B9"/>
    <w:rsid w:val="00E034D1"/>
    <w:rsid w:val="00E034FC"/>
    <w:rsid w:val="00E034FF"/>
    <w:rsid w:val="00E0353B"/>
    <w:rsid w:val="00E03543"/>
    <w:rsid w:val="00E035D5"/>
    <w:rsid w:val="00E035F9"/>
    <w:rsid w:val="00E0360D"/>
    <w:rsid w:val="00E0363D"/>
    <w:rsid w:val="00E03687"/>
    <w:rsid w:val="00E0368B"/>
    <w:rsid w:val="00E03695"/>
    <w:rsid w:val="00E036AD"/>
    <w:rsid w:val="00E036B1"/>
    <w:rsid w:val="00E036C0"/>
    <w:rsid w:val="00E036D1"/>
    <w:rsid w:val="00E03710"/>
    <w:rsid w:val="00E0371C"/>
    <w:rsid w:val="00E03723"/>
    <w:rsid w:val="00E03727"/>
    <w:rsid w:val="00E03757"/>
    <w:rsid w:val="00E03758"/>
    <w:rsid w:val="00E0378E"/>
    <w:rsid w:val="00E037C4"/>
    <w:rsid w:val="00E03818"/>
    <w:rsid w:val="00E03868"/>
    <w:rsid w:val="00E038E0"/>
    <w:rsid w:val="00E0394E"/>
    <w:rsid w:val="00E0398F"/>
    <w:rsid w:val="00E039A6"/>
    <w:rsid w:val="00E039E2"/>
    <w:rsid w:val="00E039FD"/>
    <w:rsid w:val="00E03A53"/>
    <w:rsid w:val="00E03B6A"/>
    <w:rsid w:val="00E03BBA"/>
    <w:rsid w:val="00E03C01"/>
    <w:rsid w:val="00E03C3D"/>
    <w:rsid w:val="00E03C74"/>
    <w:rsid w:val="00E03C94"/>
    <w:rsid w:val="00E03C9F"/>
    <w:rsid w:val="00E03CBF"/>
    <w:rsid w:val="00E03D0A"/>
    <w:rsid w:val="00E03D71"/>
    <w:rsid w:val="00E03D73"/>
    <w:rsid w:val="00E03D75"/>
    <w:rsid w:val="00E03DAD"/>
    <w:rsid w:val="00E03E01"/>
    <w:rsid w:val="00E03E07"/>
    <w:rsid w:val="00E03E1E"/>
    <w:rsid w:val="00E03E36"/>
    <w:rsid w:val="00E03E57"/>
    <w:rsid w:val="00E03E66"/>
    <w:rsid w:val="00E03E90"/>
    <w:rsid w:val="00E03EB1"/>
    <w:rsid w:val="00E03ED9"/>
    <w:rsid w:val="00E03F43"/>
    <w:rsid w:val="00E03F4F"/>
    <w:rsid w:val="00E03F6B"/>
    <w:rsid w:val="00E03F8C"/>
    <w:rsid w:val="00E03F9C"/>
    <w:rsid w:val="00E03FD3"/>
    <w:rsid w:val="00E0401C"/>
    <w:rsid w:val="00E04035"/>
    <w:rsid w:val="00E04126"/>
    <w:rsid w:val="00E0416F"/>
    <w:rsid w:val="00E04179"/>
    <w:rsid w:val="00E041DF"/>
    <w:rsid w:val="00E041FB"/>
    <w:rsid w:val="00E04255"/>
    <w:rsid w:val="00E0426F"/>
    <w:rsid w:val="00E042E5"/>
    <w:rsid w:val="00E042EA"/>
    <w:rsid w:val="00E042ED"/>
    <w:rsid w:val="00E042F2"/>
    <w:rsid w:val="00E04396"/>
    <w:rsid w:val="00E043A6"/>
    <w:rsid w:val="00E043B4"/>
    <w:rsid w:val="00E043BA"/>
    <w:rsid w:val="00E043CC"/>
    <w:rsid w:val="00E043D1"/>
    <w:rsid w:val="00E044C3"/>
    <w:rsid w:val="00E04502"/>
    <w:rsid w:val="00E0455B"/>
    <w:rsid w:val="00E0459F"/>
    <w:rsid w:val="00E045F2"/>
    <w:rsid w:val="00E04673"/>
    <w:rsid w:val="00E046C1"/>
    <w:rsid w:val="00E0471F"/>
    <w:rsid w:val="00E04741"/>
    <w:rsid w:val="00E04743"/>
    <w:rsid w:val="00E04756"/>
    <w:rsid w:val="00E0476C"/>
    <w:rsid w:val="00E0478E"/>
    <w:rsid w:val="00E0479E"/>
    <w:rsid w:val="00E047B6"/>
    <w:rsid w:val="00E047D0"/>
    <w:rsid w:val="00E047D1"/>
    <w:rsid w:val="00E047EE"/>
    <w:rsid w:val="00E0482C"/>
    <w:rsid w:val="00E048B2"/>
    <w:rsid w:val="00E0497B"/>
    <w:rsid w:val="00E04985"/>
    <w:rsid w:val="00E0498E"/>
    <w:rsid w:val="00E049A9"/>
    <w:rsid w:val="00E049AA"/>
    <w:rsid w:val="00E049AE"/>
    <w:rsid w:val="00E049AF"/>
    <w:rsid w:val="00E049B4"/>
    <w:rsid w:val="00E049BF"/>
    <w:rsid w:val="00E049C4"/>
    <w:rsid w:val="00E049D2"/>
    <w:rsid w:val="00E049EB"/>
    <w:rsid w:val="00E04A9D"/>
    <w:rsid w:val="00E04AA4"/>
    <w:rsid w:val="00E04B27"/>
    <w:rsid w:val="00E04B77"/>
    <w:rsid w:val="00E04BCE"/>
    <w:rsid w:val="00E04BD7"/>
    <w:rsid w:val="00E04BDD"/>
    <w:rsid w:val="00E04C01"/>
    <w:rsid w:val="00E04CEF"/>
    <w:rsid w:val="00E04CF5"/>
    <w:rsid w:val="00E04D56"/>
    <w:rsid w:val="00E04D74"/>
    <w:rsid w:val="00E04DE3"/>
    <w:rsid w:val="00E04DFE"/>
    <w:rsid w:val="00E04E08"/>
    <w:rsid w:val="00E04E3B"/>
    <w:rsid w:val="00E04EB0"/>
    <w:rsid w:val="00E04EB4"/>
    <w:rsid w:val="00E04ED0"/>
    <w:rsid w:val="00E04EDB"/>
    <w:rsid w:val="00E04EED"/>
    <w:rsid w:val="00E04F05"/>
    <w:rsid w:val="00E04F07"/>
    <w:rsid w:val="00E04F3C"/>
    <w:rsid w:val="00E04F3D"/>
    <w:rsid w:val="00E04F92"/>
    <w:rsid w:val="00E04FBF"/>
    <w:rsid w:val="00E04FD2"/>
    <w:rsid w:val="00E04FD3"/>
    <w:rsid w:val="00E04FE0"/>
    <w:rsid w:val="00E05005"/>
    <w:rsid w:val="00E0505B"/>
    <w:rsid w:val="00E05067"/>
    <w:rsid w:val="00E05070"/>
    <w:rsid w:val="00E0507C"/>
    <w:rsid w:val="00E05082"/>
    <w:rsid w:val="00E050CE"/>
    <w:rsid w:val="00E05131"/>
    <w:rsid w:val="00E05168"/>
    <w:rsid w:val="00E051AA"/>
    <w:rsid w:val="00E051E6"/>
    <w:rsid w:val="00E05207"/>
    <w:rsid w:val="00E0528B"/>
    <w:rsid w:val="00E05310"/>
    <w:rsid w:val="00E05311"/>
    <w:rsid w:val="00E053B1"/>
    <w:rsid w:val="00E054A3"/>
    <w:rsid w:val="00E05553"/>
    <w:rsid w:val="00E0555D"/>
    <w:rsid w:val="00E0559F"/>
    <w:rsid w:val="00E0560F"/>
    <w:rsid w:val="00E05637"/>
    <w:rsid w:val="00E0564C"/>
    <w:rsid w:val="00E0566C"/>
    <w:rsid w:val="00E05672"/>
    <w:rsid w:val="00E05697"/>
    <w:rsid w:val="00E05784"/>
    <w:rsid w:val="00E057CE"/>
    <w:rsid w:val="00E057FC"/>
    <w:rsid w:val="00E05810"/>
    <w:rsid w:val="00E05812"/>
    <w:rsid w:val="00E05813"/>
    <w:rsid w:val="00E0581F"/>
    <w:rsid w:val="00E0583B"/>
    <w:rsid w:val="00E0584B"/>
    <w:rsid w:val="00E05904"/>
    <w:rsid w:val="00E05916"/>
    <w:rsid w:val="00E05928"/>
    <w:rsid w:val="00E0597C"/>
    <w:rsid w:val="00E05981"/>
    <w:rsid w:val="00E05A37"/>
    <w:rsid w:val="00E05A45"/>
    <w:rsid w:val="00E05A8B"/>
    <w:rsid w:val="00E05B66"/>
    <w:rsid w:val="00E05B9A"/>
    <w:rsid w:val="00E05BCF"/>
    <w:rsid w:val="00E05C7A"/>
    <w:rsid w:val="00E05C93"/>
    <w:rsid w:val="00E05CF0"/>
    <w:rsid w:val="00E05CFC"/>
    <w:rsid w:val="00E05D93"/>
    <w:rsid w:val="00E05DBF"/>
    <w:rsid w:val="00E05DCB"/>
    <w:rsid w:val="00E05DD3"/>
    <w:rsid w:val="00E05E28"/>
    <w:rsid w:val="00E05E3A"/>
    <w:rsid w:val="00E05F04"/>
    <w:rsid w:val="00E05F19"/>
    <w:rsid w:val="00E05F42"/>
    <w:rsid w:val="00E05F5F"/>
    <w:rsid w:val="00E05FC3"/>
    <w:rsid w:val="00E05FF1"/>
    <w:rsid w:val="00E06030"/>
    <w:rsid w:val="00E0604C"/>
    <w:rsid w:val="00E060F7"/>
    <w:rsid w:val="00E060FF"/>
    <w:rsid w:val="00E06124"/>
    <w:rsid w:val="00E06178"/>
    <w:rsid w:val="00E0617E"/>
    <w:rsid w:val="00E061A8"/>
    <w:rsid w:val="00E06219"/>
    <w:rsid w:val="00E06230"/>
    <w:rsid w:val="00E06249"/>
    <w:rsid w:val="00E06296"/>
    <w:rsid w:val="00E062C9"/>
    <w:rsid w:val="00E062D3"/>
    <w:rsid w:val="00E0630B"/>
    <w:rsid w:val="00E06337"/>
    <w:rsid w:val="00E06340"/>
    <w:rsid w:val="00E0635C"/>
    <w:rsid w:val="00E0638B"/>
    <w:rsid w:val="00E063AE"/>
    <w:rsid w:val="00E063B0"/>
    <w:rsid w:val="00E06440"/>
    <w:rsid w:val="00E06491"/>
    <w:rsid w:val="00E064A2"/>
    <w:rsid w:val="00E065FE"/>
    <w:rsid w:val="00E0663E"/>
    <w:rsid w:val="00E06664"/>
    <w:rsid w:val="00E0668B"/>
    <w:rsid w:val="00E066A9"/>
    <w:rsid w:val="00E066E9"/>
    <w:rsid w:val="00E06726"/>
    <w:rsid w:val="00E06741"/>
    <w:rsid w:val="00E06746"/>
    <w:rsid w:val="00E0674D"/>
    <w:rsid w:val="00E067B3"/>
    <w:rsid w:val="00E067FF"/>
    <w:rsid w:val="00E06828"/>
    <w:rsid w:val="00E0684D"/>
    <w:rsid w:val="00E06895"/>
    <w:rsid w:val="00E068B4"/>
    <w:rsid w:val="00E068EB"/>
    <w:rsid w:val="00E0692F"/>
    <w:rsid w:val="00E0693D"/>
    <w:rsid w:val="00E06948"/>
    <w:rsid w:val="00E0697D"/>
    <w:rsid w:val="00E069AE"/>
    <w:rsid w:val="00E069E4"/>
    <w:rsid w:val="00E06A3D"/>
    <w:rsid w:val="00E06A4D"/>
    <w:rsid w:val="00E06A6F"/>
    <w:rsid w:val="00E06AAA"/>
    <w:rsid w:val="00E06AF2"/>
    <w:rsid w:val="00E06AFF"/>
    <w:rsid w:val="00E06B17"/>
    <w:rsid w:val="00E06B8E"/>
    <w:rsid w:val="00E06BED"/>
    <w:rsid w:val="00E06BF6"/>
    <w:rsid w:val="00E06BF8"/>
    <w:rsid w:val="00E06C6A"/>
    <w:rsid w:val="00E06C87"/>
    <w:rsid w:val="00E06D01"/>
    <w:rsid w:val="00E06D1A"/>
    <w:rsid w:val="00E06DD0"/>
    <w:rsid w:val="00E06DDF"/>
    <w:rsid w:val="00E06E08"/>
    <w:rsid w:val="00E06E77"/>
    <w:rsid w:val="00E06ED9"/>
    <w:rsid w:val="00E06EE5"/>
    <w:rsid w:val="00E06F36"/>
    <w:rsid w:val="00E06F5E"/>
    <w:rsid w:val="00E06FED"/>
    <w:rsid w:val="00E06FF7"/>
    <w:rsid w:val="00E07034"/>
    <w:rsid w:val="00E07053"/>
    <w:rsid w:val="00E0707F"/>
    <w:rsid w:val="00E070B1"/>
    <w:rsid w:val="00E070BB"/>
    <w:rsid w:val="00E0710F"/>
    <w:rsid w:val="00E07142"/>
    <w:rsid w:val="00E07149"/>
    <w:rsid w:val="00E0715E"/>
    <w:rsid w:val="00E0718B"/>
    <w:rsid w:val="00E0718F"/>
    <w:rsid w:val="00E071C3"/>
    <w:rsid w:val="00E071F4"/>
    <w:rsid w:val="00E07207"/>
    <w:rsid w:val="00E07208"/>
    <w:rsid w:val="00E07267"/>
    <w:rsid w:val="00E0728E"/>
    <w:rsid w:val="00E072E7"/>
    <w:rsid w:val="00E07328"/>
    <w:rsid w:val="00E07348"/>
    <w:rsid w:val="00E073C5"/>
    <w:rsid w:val="00E07401"/>
    <w:rsid w:val="00E0740E"/>
    <w:rsid w:val="00E0749E"/>
    <w:rsid w:val="00E074D0"/>
    <w:rsid w:val="00E07500"/>
    <w:rsid w:val="00E07547"/>
    <w:rsid w:val="00E0759E"/>
    <w:rsid w:val="00E075B2"/>
    <w:rsid w:val="00E075FB"/>
    <w:rsid w:val="00E075FC"/>
    <w:rsid w:val="00E075FF"/>
    <w:rsid w:val="00E07625"/>
    <w:rsid w:val="00E0762B"/>
    <w:rsid w:val="00E0769A"/>
    <w:rsid w:val="00E076A7"/>
    <w:rsid w:val="00E077AA"/>
    <w:rsid w:val="00E077BC"/>
    <w:rsid w:val="00E077F5"/>
    <w:rsid w:val="00E0780E"/>
    <w:rsid w:val="00E0781A"/>
    <w:rsid w:val="00E07827"/>
    <w:rsid w:val="00E07859"/>
    <w:rsid w:val="00E0785E"/>
    <w:rsid w:val="00E07861"/>
    <w:rsid w:val="00E07864"/>
    <w:rsid w:val="00E07888"/>
    <w:rsid w:val="00E078D7"/>
    <w:rsid w:val="00E07940"/>
    <w:rsid w:val="00E07945"/>
    <w:rsid w:val="00E0797C"/>
    <w:rsid w:val="00E079A8"/>
    <w:rsid w:val="00E07A6B"/>
    <w:rsid w:val="00E07AEC"/>
    <w:rsid w:val="00E07AF9"/>
    <w:rsid w:val="00E07B59"/>
    <w:rsid w:val="00E07B92"/>
    <w:rsid w:val="00E07BC5"/>
    <w:rsid w:val="00E07C24"/>
    <w:rsid w:val="00E07C78"/>
    <w:rsid w:val="00E07CA4"/>
    <w:rsid w:val="00E07CD4"/>
    <w:rsid w:val="00E07CF4"/>
    <w:rsid w:val="00E07D5C"/>
    <w:rsid w:val="00E07D89"/>
    <w:rsid w:val="00E07DB1"/>
    <w:rsid w:val="00E07DB3"/>
    <w:rsid w:val="00E07E8D"/>
    <w:rsid w:val="00E07E9B"/>
    <w:rsid w:val="00E07EF3"/>
    <w:rsid w:val="00E07F74"/>
    <w:rsid w:val="00E07F80"/>
    <w:rsid w:val="00E07FA0"/>
    <w:rsid w:val="00E1002E"/>
    <w:rsid w:val="00E10081"/>
    <w:rsid w:val="00E10086"/>
    <w:rsid w:val="00E10087"/>
    <w:rsid w:val="00E10102"/>
    <w:rsid w:val="00E1015E"/>
    <w:rsid w:val="00E1018C"/>
    <w:rsid w:val="00E10197"/>
    <w:rsid w:val="00E10228"/>
    <w:rsid w:val="00E1026E"/>
    <w:rsid w:val="00E10282"/>
    <w:rsid w:val="00E1030A"/>
    <w:rsid w:val="00E10379"/>
    <w:rsid w:val="00E103A0"/>
    <w:rsid w:val="00E103D9"/>
    <w:rsid w:val="00E103F2"/>
    <w:rsid w:val="00E10416"/>
    <w:rsid w:val="00E1047A"/>
    <w:rsid w:val="00E104B9"/>
    <w:rsid w:val="00E104BC"/>
    <w:rsid w:val="00E104E3"/>
    <w:rsid w:val="00E104FF"/>
    <w:rsid w:val="00E10510"/>
    <w:rsid w:val="00E10512"/>
    <w:rsid w:val="00E10569"/>
    <w:rsid w:val="00E10638"/>
    <w:rsid w:val="00E10672"/>
    <w:rsid w:val="00E1068A"/>
    <w:rsid w:val="00E10693"/>
    <w:rsid w:val="00E106C4"/>
    <w:rsid w:val="00E106F2"/>
    <w:rsid w:val="00E10708"/>
    <w:rsid w:val="00E10733"/>
    <w:rsid w:val="00E10734"/>
    <w:rsid w:val="00E1073B"/>
    <w:rsid w:val="00E107AB"/>
    <w:rsid w:val="00E107C3"/>
    <w:rsid w:val="00E10858"/>
    <w:rsid w:val="00E108AA"/>
    <w:rsid w:val="00E108B7"/>
    <w:rsid w:val="00E108DA"/>
    <w:rsid w:val="00E108ED"/>
    <w:rsid w:val="00E10954"/>
    <w:rsid w:val="00E10983"/>
    <w:rsid w:val="00E109BA"/>
    <w:rsid w:val="00E10A6E"/>
    <w:rsid w:val="00E10A7D"/>
    <w:rsid w:val="00E10AEE"/>
    <w:rsid w:val="00E10B64"/>
    <w:rsid w:val="00E10B87"/>
    <w:rsid w:val="00E10B93"/>
    <w:rsid w:val="00E10B9D"/>
    <w:rsid w:val="00E10BA0"/>
    <w:rsid w:val="00E10BA9"/>
    <w:rsid w:val="00E10BC6"/>
    <w:rsid w:val="00E10BEA"/>
    <w:rsid w:val="00E10BF5"/>
    <w:rsid w:val="00E10C43"/>
    <w:rsid w:val="00E10C91"/>
    <w:rsid w:val="00E10C93"/>
    <w:rsid w:val="00E10CF0"/>
    <w:rsid w:val="00E10D87"/>
    <w:rsid w:val="00E10D94"/>
    <w:rsid w:val="00E10DCE"/>
    <w:rsid w:val="00E10E15"/>
    <w:rsid w:val="00E10E16"/>
    <w:rsid w:val="00E10E52"/>
    <w:rsid w:val="00E10E92"/>
    <w:rsid w:val="00E10F07"/>
    <w:rsid w:val="00E10FF5"/>
    <w:rsid w:val="00E1109E"/>
    <w:rsid w:val="00E110D8"/>
    <w:rsid w:val="00E110FC"/>
    <w:rsid w:val="00E11156"/>
    <w:rsid w:val="00E1119A"/>
    <w:rsid w:val="00E111BC"/>
    <w:rsid w:val="00E111EC"/>
    <w:rsid w:val="00E11217"/>
    <w:rsid w:val="00E1129C"/>
    <w:rsid w:val="00E112C4"/>
    <w:rsid w:val="00E11357"/>
    <w:rsid w:val="00E11359"/>
    <w:rsid w:val="00E11376"/>
    <w:rsid w:val="00E11377"/>
    <w:rsid w:val="00E11384"/>
    <w:rsid w:val="00E113BE"/>
    <w:rsid w:val="00E113D6"/>
    <w:rsid w:val="00E113F8"/>
    <w:rsid w:val="00E1149D"/>
    <w:rsid w:val="00E114D1"/>
    <w:rsid w:val="00E1153E"/>
    <w:rsid w:val="00E11586"/>
    <w:rsid w:val="00E1158E"/>
    <w:rsid w:val="00E11590"/>
    <w:rsid w:val="00E115B2"/>
    <w:rsid w:val="00E115F3"/>
    <w:rsid w:val="00E1162C"/>
    <w:rsid w:val="00E11660"/>
    <w:rsid w:val="00E1169E"/>
    <w:rsid w:val="00E116B2"/>
    <w:rsid w:val="00E116C1"/>
    <w:rsid w:val="00E1171F"/>
    <w:rsid w:val="00E117CF"/>
    <w:rsid w:val="00E11809"/>
    <w:rsid w:val="00E11850"/>
    <w:rsid w:val="00E11866"/>
    <w:rsid w:val="00E11873"/>
    <w:rsid w:val="00E1197C"/>
    <w:rsid w:val="00E1198A"/>
    <w:rsid w:val="00E119C7"/>
    <w:rsid w:val="00E11A6D"/>
    <w:rsid w:val="00E11AE2"/>
    <w:rsid w:val="00E11AE3"/>
    <w:rsid w:val="00E11AF5"/>
    <w:rsid w:val="00E11B0B"/>
    <w:rsid w:val="00E11B86"/>
    <w:rsid w:val="00E11B8D"/>
    <w:rsid w:val="00E11BEB"/>
    <w:rsid w:val="00E11BF6"/>
    <w:rsid w:val="00E11CBC"/>
    <w:rsid w:val="00E11D0E"/>
    <w:rsid w:val="00E11D10"/>
    <w:rsid w:val="00E11DCF"/>
    <w:rsid w:val="00E11DD6"/>
    <w:rsid w:val="00E11E03"/>
    <w:rsid w:val="00E11E24"/>
    <w:rsid w:val="00E11E4E"/>
    <w:rsid w:val="00E11E8B"/>
    <w:rsid w:val="00E11EA8"/>
    <w:rsid w:val="00E11EF3"/>
    <w:rsid w:val="00E11F01"/>
    <w:rsid w:val="00E11F4C"/>
    <w:rsid w:val="00E11F9D"/>
    <w:rsid w:val="00E11FA6"/>
    <w:rsid w:val="00E11FCD"/>
    <w:rsid w:val="00E11FFE"/>
    <w:rsid w:val="00E1201C"/>
    <w:rsid w:val="00E12071"/>
    <w:rsid w:val="00E120A1"/>
    <w:rsid w:val="00E1210B"/>
    <w:rsid w:val="00E12150"/>
    <w:rsid w:val="00E12174"/>
    <w:rsid w:val="00E121A9"/>
    <w:rsid w:val="00E121D6"/>
    <w:rsid w:val="00E121EB"/>
    <w:rsid w:val="00E121F2"/>
    <w:rsid w:val="00E1220B"/>
    <w:rsid w:val="00E12254"/>
    <w:rsid w:val="00E12280"/>
    <w:rsid w:val="00E12285"/>
    <w:rsid w:val="00E122A0"/>
    <w:rsid w:val="00E122FB"/>
    <w:rsid w:val="00E122FF"/>
    <w:rsid w:val="00E12338"/>
    <w:rsid w:val="00E1236E"/>
    <w:rsid w:val="00E1241B"/>
    <w:rsid w:val="00E12439"/>
    <w:rsid w:val="00E12440"/>
    <w:rsid w:val="00E12485"/>
    <w:rsid w:val="00E1248B"/>
    <w:rsid w:val="00E124E7"/>
    <w:rsid w:val="00E12532"/>
    <w:rsid w:val="00E1254D"/>
    <w:rsid w:val="00E12563"/>
    <w:rsid w:val="00E1258C"/>
    <w:rsid w:val="00E125B2"/>
    <w:rsid w:val="00E12745"/>
    <w:rsid w:val="00E127B2"/>
    <w:rsid w:val="00E127BC"/>
    <w:rsid w:val="00E127D0"/>
    <w:rsid w:val="00E127D6"/>
    <w:rsid w:val="00E12806"/>
    <w:rsid w:val="00E12839"/>
    <w:rsid w:val="00E1283B"/>
    <w:rsid w:val="00E128B7"/>
    <w:rsid w:val="00E12948"/>
    <w:rsid w:val="00E129AF"/>
    <w:rsid w:val="00E129EA"/>
    <w:rsid w:val="00E12A12"/>
    <w:rsid w:val="00E12A42"/>
    <w:rsid w:val="00E12A5B"/>
    <w:rsid w:val="00E12A7F"/>
    <w:rsid w:val="00E12AE6"/>
    <w:rsid w:val="00E12B01"/>
    <w:rsid w:val="00E12B4A"/>
    <w:rsid w:val="00E12BCC"/>
    <w:rsid w:val="00E12C53"/>
    <w:rsid w:val="00E12C54"/>
    <w:rsid w:val="00E12C84"/>
    <w:rsid w:val="00E12D1B"/>
    <w:rsid w:val="00E12D3B"/>
    <w:rsid w:val="00E12D6F"/>
    <w:rsid w:val="00E12D87"/>
    <w:rsid w:val="00E12D8F"/>
    <w:rsid w:val="00E12D9E"/>
    <w:rsid w:val="00E12DA9"/>
    <w:rsid w:val="00E12E03"/>
    <w:rsid w:val="00E12E58"/>
    <w:rsid w:val="00E12EF3"/>
    <w:rsid w:val="00E12EFC"/>
    <w:rsid w:val="00E12F5E"/>
    <w:rsid w:val="00E12F84"/>
    <w:rsid w:val="00E12F9F"/>
    <w:rsid w:val="00E12FA1"/>
    <w:rsid w:val="00E12FB6"/>
    <w:rsid w:val="00E12FF8"/>
    <w:rsid w:val="00E13032"/>
    <w:rsid w:val="00E130AB"/>
    <w:rsid w:val="00E130BF"/>
    <w:rsid w:val="00E13166"/>
    <w:rsid w:val="00E1317A"/>
    <w:rsid w:val="00E131C6"/>
    <w:rsid w:val="00E131F0"/>
    <w:rsid w:val="00E13211"/>
    <w:rsid w:val="00E13260"/>
    <w:rsid w:val="00E13261"/>
    <w:rsid w:val="00E132FE"/>
    <w:rsid w:val="00E13329"/>
    <w:rsid w:val="00E13334"/>
    <w:rsid w:val="00E13367"/>
    <w:rsid w:val="00E133A4"/>
    <w:rsid w:val="00E13415"/>
    <w:rsid w:val="00E1345A"/>
    <w:rsid w:val="00E1351C"/>
    <w:rsid w:val="00E1352F"/>
    <w:rsid w:val="00E1354F"/>
    <w:rsid w:val="00E13575"/>
    <w:rsid w:val="00E1359B"/>
    <w:rsid w:val="00E135C2"/>
    <w:rsid w:val="00E135FE"/>
    <w:rsid w:val="00E13629"/>
    <w:rsid w:val="00E1365A"/>
    <w:rsid w:val="00E136A2"/>
    <w:rsid w:val="00E136CD"/>
    <w:rsid w:val="00E136D7"/>
    <w:rsid w:val="00E136DA"/>
    <w:rsid w:val="00E1372E"/>
    <w:rsid w:val="00E13753"/>
    <w:rsid w:val="00E137BF"/>
    <w:rsid w:val="00E137F1"/>
    <w:rsid w:val="00E13825"/>
    <w:rsid w:val="00E13872"/>
    <w:rsid w:val="00E13890"/>
    <w:rsid w:val="00E138A6"/>
    <w:rsid w:val="00E138B3"/>
    <w:rsid w:val="00E138C1"/>
    <w:rsid w:val="00E1393E"/>
    <w:rsid w:val="00E139E5"/>
    <w:rsid w:val="00E13A42"/>
    <w:rsid w:val="00E13A69"/>
    <w:rsid w:val="00E13A89"/>
    <w:rsid w:val="00E13B2E"/>
    <w:rsid w:val="00E13BB4"/>
    <w:rsid w:val="00E13BDB"/>
    <w:rsid w:val="00E13BFA"/>
    <w:rsid w:val="00E13C8B"/>
    <w:rsid w:val="00E13C92"/>
    <w:rsid w:val="00E13DAF"/>
    <w:rsid w:val="00E13DBA"/>
    <w:rsid w:val="00E13DC9"/>
    <w:rsid w:val="00E13DEC"/>
    <w:rsid w:val="00E13E0D"/>
    <w:rsid w:val="00E13E17"/>
    <w:rsid w:val="00E13E20"/>
    <w:rsid w:val="00E13E74"/>
    <w:rsid w:val="00E13E91"/>
    <w:rsid w:val="00E13F00"/>
    <w:rsid w:val="00E13F18"/>
    <w:rsid w:val="00E13F1B"/>
    <w:rsid w:val="00E13F4E"/>
    <w:rsid w:val="00E13F91"/>
    <w:rsid w:val="00E13FA6"/>
    <w:rsid w:val="00E13FD0"/>
    <w:rsid w:val="00E1401A"/>
    <w:rsid w:val="00E1401E"/>
    <w:rsid w:val="00E1404E"/>
    <w:rsid w:val="00E14064"/>
    <w:rsid w:val="00E14075"/>
    <w:rsid w:val="00E1408D"/>
    <w:rsid w:val="00E1409A"/>
    <w:rsid w:val="00E140BA"/>
    <w:rsid w:val="00E140EE"/>
    <w:rsid w:val="00E14181"/>
    <w:rsid w:val="00E14199"/>
    <w:rsid w:val="00E14268"/>
    <w:rsid w:val="00E142D9"/>
    <w:rsid w:val="00E14320"/>
    <w:rsid w:val="00E143D3"/>
    <w:rsid w:val="00E143DF"/>
    <w:rsid w:val="00E1444E"/>
    <w:rsid w:val="00E14465"/>
    <w:rsid w:val="00E14469"/>
    <w:rsid w:val="00E144BF"/>
    <w:rsid w:val="00E144F0"/>
    <w:rsid w:val="00E144FA"/>
    <w:rsid w:val="00E1455F"/>
    <w:rsid w:val="00E1456C"/>
    <w:rsid w:val="00E14578"/>
    <w:rsid w:val="00E14596"/>
    <w:rsid w:val="00E14668"/>
    <w:rsid w:val="00E1466B"/>
    <w:rsid w:val="00E146C0"/>
    <w:rsid w:val="00E146CF"/>
    <w:rsid w:val="00E146E5"/>
    <w:rsid w:val="00E146F5"/>
    <w:rsid w:val="00E14703"/>
    <w:rsid w:val="00E14715"/>
    <w:rsid w:val="00E14718"/>
    <w:rsid w:val="00E14726"/>
    <w:rsid w:val="00E14753"/>
    <w:rsid w:val="00E147A1"/>
    <w:rsid w:val="00E147B7"/>
    <w:rsid w:val="00E147DF"/>
    <w:rsid w:val="00E147EA"/>
    <w:rsid w:val="00E1485A"/>
    <w:rsid w:val="00E14862"/>
    <w:rsid w:val="00E14866"/>
    <w:rsid w:val="00E1486F"/>
    <w:rsid w:val="00E14887"/>
    <w:rsid w:val="00E14912"/>
    <w:rsid w:val="00E149FB"/>
    <w:rsid w:val="00E14A16"/>
    <w:rsid w:val="00E14A8A"/>
    <w:rsid w:val="00E14ABE"/>
    <w:rsid w:val="00E14B25"/>
    <w:rsid w:val="00E14B4E"/>
    <w:rsid w:val="00E14BE9"/>
    <w:rsid w:val="00E14C70"/>
    <w:rsid w:val="00E14CD9"/>
    <w:rsid w:val="00E14CED"/>
    <w:rsid w:val="00E14CFB"/>
    <w:rsid w:val="00E14D28"/>
    <w:rsid w:val="00E14D8D"/>
    <w:rsid w:val="00E14DB5"/>
    <w:rsid w:val="00E14DCD"/>
    <w:rsid w:val="00E14E0E"/>
    <w:rsid w:val="00E14E11"/>
    <w:rsid w:val="00E14E3D"/>
    <w:rsid w:val="00E14E80"/>
    <w:rsid w:val="00E14ECD"/>
    <w:rsid w:val="00E14EDD"/>
    <w:rsid w:val="00E14F19"/>
    <w:rsid w:val="00E14F1E"/>
    <w:rsid w:val="00E14F7A"/>
    <w:rsid w:val="00E14F7F"/>
    <w:rsid w:val="00E14FAF"/>
    <w:rsid w:val="00E14FC2"/>
    <w:rsid w:val="00E14FE1"/>
    <w:rsid w:val="00E1506A"/>
    <w:rsid w:val="00E15077"/>
    <w:rsid w:val="00E1508A"/>
    <w:rsid w:val="00E150E7"/>
    <w:rsid w:val="00E15185"/>
    <w:rsid w:val="00E15190"/>
    <w:rsid w:val="00E15195"/>
    <w:rsid w:val="00E151BD"/>
    <w:rsid w:val="00E151C3"/>
    <w:rsid w:val="00E151E1"/>
    <w:rsid w:val="00E151FD"/>
    <w:rsid w:val="00E1520C"/>
    <w:rsid w:val="00E15250"/>
    <w:rsid w:val="00E15251"/>
    <w:rsid w:val="00E15255"/>
    <w:rsid w:val="00E152AB"/>
    <w:rsid w:val="00E15305"/>
    <w:rsid w:val="00E15373"/>
    <w:rsid w:val="00E15393"/>
    <w:rsid w:val="00E153A0"/>
    <w:rsid w:val="00E153C6"/>
    <w:rsid w:val="00E153EB"/>
    <w:rsid w:val="00E1541C"/>
    <w:rsid w:val="00E15429"/>
    <w:rsid w:val="00E1542F"/>
    <w:rsid w:val="00E15491"/>
    <w:rsid w:val="00E15496"/>
    <w:rsid w:val="00E154C4"/>
    <w:rsid w:val="00E154EA"/>
    <w:rsid w:val="00E15503"/>
    <w:rsid w:val="00E15524"/>
    <w:rsid w:val="00E15535"/>
    <w:rsid w:val="00E15560"/>
    <w:rsid w:val="00E155CB"/>
    <w:rsid w:val="00E155D1"/>
    <w:rsid w:val="00E155D4"/>
    <w:rsid w:val="00E155D6"/>
    <w:rsid w:val="00E155F1"/>
    <w:rsid w:val="00E15620"/>
    <w:rsid w:val="00E15652"/>
    <w:rsid w:val="00E15659"/>
    <w:rsid w:val="00E1567D"/>
    <w:rsid w:val="00E156AD"/>
    <w:rsid w:val="00E156E5"/>
    <w:rsid w:val="00E1574D"/>
    <w:rsid w:val="00E1576A"/>
    <w:rsid w:val="00E15776"/>
    <w:rsid w:val="00E157C6"/>
    <w:rsid w:val="00E15811"/>
    <w:rsid w:val="00E15879"/>
    <w:rsid w:val="00E15895"/>
    <w:rsid w:val="00E158ED"/>
    <w:rsid w:val="00E15908"/>
    <w:rsid w:val="00E15915"/>
    <w:rsid w:val="00E15918"/>
    <w:rsid w:val="00E15922"/>
    <w:rsid w:val="00E15996"/>
    <w:rsid w:val="00E159E8"/>
    <w:rsid w:val="00E159FD"/>
    <w:rsid w:val="00E15A7C"/>
    <w:rsid w:val="00E15A94"/>
    <w:rsid w:val="00E15A9A"/>
    <w:rsid w:val="00E15ADD"/>
    <w:rsid w:val="00E15B46"/>
    <w:rsid w:val="00E15B77"/>
    <w:rsid w:val="00E15B7E"/>
    <w:rsid w:val="00E15BBB"/>
    <w:rsid w:val="00E15BBC"/>
    <w:rsid w:val="00E15BE6"/>
    <w:rsid w:val="00E15C8A"/>
    <w:rsid w:val="00E15D3F"/>
    <w:rsid w:val="00E15D41"/>
    <w:rsid w:val="00E15DA2"/>
    <w:rsid w:val="00E15DC5"/>
    <w:rsid w:val="00E15E14"/>
    <w:rsid w:val="00E15E40"/>
    <w:rsid w:val="00E15EF6"/>
    <w:rsid w:val="00E15F19"/>
    <w:rsid w:val="00E15F1A"/>
    <w:rsid w:val="00E15F1E"/>
    <w:rsid w:val="00E15F4B"/>
    <w:rsid w:val="00E15F55"/>
    <w:rsid w:val="00E15F5E"/>
    <w:rsid w:val="00E15F66"/>
    <w:rsid w:val="00E15FBB"/>
    <w:rsid w:val="00E16005"/>
    <w:rsid w:val="00E1602D"/>
    <w:rsid w:val="00E16055"/>
    <w:rsid w:val="00E16097"/>
    <w:rsid w:val="00E160D4"/>
    <w:rsid w:val="00E1611B"/>
    <w:rsid w:val="00E1615B"/>
    <w:rsid w:val="00E16179"/>
    <w:rsid w:val="00E161C1"/>
    <w:rsid w:val="00E161CE"/>
    <w:rsid w:val="00E161E6"/>
    <w:rsid w:val="00E161FE"/>
    <w:rsid w:val="00E16221"/>
    <w:rsid w:val="00E16260"/>
    <w:rsid w:val="00E162C1"/>
    <w:rsid w:val="00E16301"/>
    <w:rsid w:val="00E16305"/>
    <w:rsid w:val="00E1633F"/>
    <w:rsid w:val="00E16361"/>
    <w:rsid w:val="00E16368"/>
    <w:rsid w:val="00E1638E"/>
    <w:rsid w:val="00E1639B"/>
    <w:rsid w:val="00E163C6"/>
    <w:rsid w:val="00E1640F"/>
    <w:rsid w:val="00E16434"/>
    <w:rsid w:val="00E16444"/>
    <w:rsid w:val="00E1644E"/>
    <w:rsid w:val="00E16480"/>
    <w:rsid w:val="00E164AE"/>
    <w:rsid w:val="00E164BA"/>
    <w:rsid w:val="00E16520"/>
    <w:rsid w:val="00E16521"/>
    <w:rsid w:val="00E1652A"/>
    <w:rsid w:val="00E165D9"/>
    <w:rsid w:val="00E165ED"/>
    <w:rsid w:val="00E166AF"/>
    <w:rsid w:val="00E1673D"/>
    <w:rsid w:val="00E16749"/>
    <w:rsid w:val="00E1674A"/>
    <w:rsid w:val="00E16799"/>
    <w:rsid w:val="00E167D9"/>
    <w:rsid w:val="00E16803"/>
    <w:rsid w:val="00E1685F"/>
    <w:rsid w:val="00E1686D"/>
    <w:rsid w:val="00E168B7"/>
    <w:rsid w:val="00E168C5"/>
    <w:rsid w:val="00E1694B"/>
    <w:rsid w:val="00E16960"/>
    <w:rsid w:val="00E169F3"/>
    <w:rsid w:val="00E16A3F"/>
    <w:rsid w:val="00E16A4D"/>
    <w:rsid w:val="00E16A4E"/>
    <w:rsid w:val="00E16A7C"/>
    <w:rsid w:val="00E16A8F"/>
    <w:rsid w:val="00E16AB0"/>
    <w:rsid w:val="00E16B1D"/>
    <w:rsid w:val="00E16B2E"/>
    <w:rsid w:val="00E16B36"/>
    <w:rsid w:val="00E16B82"/>
    <w:rsid w:val="00E16B9E"/>
    <w:rsid w:val="00E16BF4"/>
    <w:rsid w:val="00E16CF1"/>
    <w:rsid w:val="00E16D0A"/>
    <w:rsid w:val="00E16D63"/>
    <w:rsid w:val="00E16D88"/>
    <w:rsid w:val="00E16D8E"/>
    <w:rsid w:val="00E16D95"/>
    <w:rsid w:val="00E16DF6"/>
    <w:rsid w:val="00E16E72"/>
    <w:rsid w:val="00E16E80"/>
    <w:rsid w:val="00E16ED2"/>
    <w:rsid w:val="00E16EDB"/>
    <w:rsid w:val="00E16F51"/>
    <w:rsid w:val="00E16F64"/>
    <w:rsid w:val="00E16F6E"/>
    <w:rsid w:val="00E16FA7"/>
    <w:rsid w:val="00E16FC3"/>
    <w:rsid w:val="00E16FC6"/>
    <w:rsid w:val="00E17079"/>
    <w:rsid w:val="00E1707B"/>
    <w:rsid w:val="00E170E5"/>
    <w:rsid w:val="00E1711C"/>
    <w:rsid w:val="00E1713F"/>
    <w:rsid w:val="00E17151"/>
    <w:rsid w:val="00E17170"/>
    <w:rsid w:val="00E17175"/>
    <w:rsid w:val="00E171C3"/>
    <w:rsid w:val="00E171C6"/>
    <w:rsid w:val="00E17226"/>
    <w:rsid w:val="00E1725D"/>
    <w:rsid w:val="00E17261"/>
    <w:rsid w:val="00E1727D"/>
    <w:rsid w:val="00E17288"/>
    <w:rsid w:val="00E17297"/>
    <w:rsid w:val="00E1729C"/>
    <w:rsid w:val="00E17313"/>
    <w:rsid w:val="00E1736F"/>
    <w:rsid w:val="00E1737F"/>
    <w:rsid w:val="00E173A0"/>
    <w:rsid w:val="00E173A6"/>
    <w:rsid w:val="00E173A7"/>
    <w:rsid w:val="00E173C2"/>
    <w:rsid w:val="00E173C3"/>
    <w:rsid w:val="00E173DF"/>
    <w:rsid w:val="00E173EF"/>
    <w:rsid w:val="00E173FA"/>
    <w:rsid w:val="00E17468"/>
    <w:rsid w:val="00E17476"/>
    <w:rsid w:val="00E17480"/>
    <w:rsid w:val="00E174C4"/>
    <w:rsid w:val="00E1752F"/>
    <w:rsid w:val="00E1753F"/>
    <w:rsid w:val="00E17579"/>
    <w:rsid w:val="00E1767A"/>
    <w:rsid w:val="00E176C1"/>
    <w:rsid w:val="00E17722"/>
    <w:rsid w:val="00E1773A"/>
    <w:rsid w:val="00E17749"/>
    <w:rsid w:val="00E1774C"/>
    <w:rsid w:val="00E1779D"/>
    <w:rsid w:val="00E17865"/>
    <w:rsid w:val="00E178EC"/>
    <w:rsid w:val="00E179AE"/>
    <w:rsid w:val="00E179BA"/>
    <w:rsid w:val="00E179C7"/>
    <w:rsid w:val="00E179D1"/>
    <w:rsid w:val="00E179DD"/>
    <w:rsid w:val="00E179DE"/>
    <w:rsid w:val="00E17A2D"/>
    <w:rsid w:val="00E17A38"/>
    <w:rsid w:val="00E17A63"/>
    <w:rsid w:val="00E17A69"/>
    <w:rsid w:val="00E17AC5"/>
    <w:rsid w:val="00E17AE6"/>
    <w:rsid w:val="00E17B48"/>
    <w:rsid w:val="00E17B70"/>
    <w:rsid w:val="00E17BBA"/>
    <w:rsid w:val="00E17C9D"/>
    <w:rsid w:val="00E17CAF"/>
    <w:rsid w:val="00E17CF1"/>
    <w:rsid w:val="00E17D8C"/>
    <w:rsid w:val="00E17D93"/>
    <w:rsid w:val="00E17DAF"/>
    <w:rsid w:val="00E17DB7"/>
    <w:rsid w:val="00E17F0D"/>
    <w:rsid w:val="00E17F3B"/>
    <w:rsid w:val="00E17F88"/>
    <w:rsid w:val="00E17F89"/>
    <w:rsid w:val="00E20000"/>
    <w:rsid w:val="00E20014"/>
    <w:rsid w:val="00E20027"/>
    <w:rsid w:val="00E20033"/>
    <w:rsid w:val="00E20099"/>
    <w:rsid w:val="00E200B6"/>
    <w:rsid w:val="00E200C3"/>
    <w:rsid w:val="00E200E9"/>
    <w:rsid w:val="00E2014B"/>
    <w:rsid w:val="00E2016F"/>
    <w:rsid w:val="00E20172"/>
    <w:rsid w:val="00E20183"/>
    <w:rsid w:val="00E201C2"/>
    <w:rsid w:val="00E201DC"/>
    <w:rsid w:val="00E201F1"/>
    <w:rsid w:val="00E2023A"/>
    <w:rsid w:val="00E2023E"/>
    <w:rsid w:val="00E20271"/>
    <w:rsid w:val="00E202B5"/>
    <w:rsid w:val="00E202F2"/>
    <w:rsid w:val="00E20314"/>
    <w:rsid w:val="00E203D9"/>
    <w:rsid w:val="00E203DD"/>
    <w:rsid w:val="00E20468"/>
    <w:rsid w:val="00E2047F"/>
    <w:rsid w:val="00E20527"/>
    <w:rsid w:val="00E20564"/>
    <w:rsid w:val="00E20572"/>
    <w:rsid w:val="00E20588"/>
    <w:rsid w:val="00E205BB"/>
    <w:rsid w:val="00E205C9"/>
    <w:rsid w:val="00E20600"/>
    <w:rsid w:val="00E20692"/>
    <w:rsid w:val="00E20697"/>
    <w:rsid w:val="00E206A7"/>
    <w:rsid w:val="00E20804"/>
    <w:rsid w:val="00E20811"/>
    <w:rsid w:val="00E2082B"/>
    <w:rsid w:val="00E2082D"/>
    <w:rsid w:val="00E20893"/>
    <w:rsid w:val="00E20894"/>
    <w:rsid w:val="00E208C8"/>
    <w:rsid w:val="00E208DA"/>
    <w:rsid w:val="00E2090C"/>
    <w:rsid w:val="00E20925"/>
    <w:rsid w:val="00E20948"/>
    <w:rsid w:val="00E2095D"/>
    <w:rsid w:val="00E20970"/>
    <w:rsid w:val="00E209CA"/>
    <w:rsid w:val="00E20A58"/>
    <w:rsid w:val="00E20ABF"/>
    <w:rsid w:val="00E20B33"/>
    <w:rsid w:val="00E20C12"/>
    <w:rsid w:val="00E20C32"/>
    <w:rsid w:val="00E20CB0"/>
    <w:rsid w:val="00E20CBA"/>
    <w:rsid w:val="00E20D2B"/>
    <w:rsid w:val="00E20D99"/>
    <w:rsid w:val="00E20DA0"/>
    <w:rsid w:val="00E20DE3"/>
    <w:rsid w:val="00E20E4F"/>
    <w:rsid w:val="00E20F3E"/>
    <w:rsid w:val="00E20F61"/>
    <w:rsid w:val="00E20F9F"/>
    <w:rsid w:val="00E2100D"/>
    <w:rsid w:val="00E21028"/>
    <w:rsid w:val="00E21030"/>
    <w:rsid w:val="00E2103A"/>
    <w:rsid w:val="00E21067"/>
    <w:rsid w:val="00E21095"/>
    <w:rsid w:val="00E210A3"/>
    <w:rsid w:val="00E210D3"/>
    <w:rsid w:val="00E21110"/>
    <w:rsid w:val="00E21119"/>
    <w:rsid w:val="00E2112A"/>
    <w:rsid w:val="00E2117E"/>
    <w:rsid w:val="00E211DB"/>
    <w:rsid w:val="00E21228"/>
    <w:rsid w:val="00E21295"/>
    <w:rsid w:val="00E212E1"/>
    <w:rsid w:val="00E21354"/>
    <w:rsid w:val="00E213C9"/>
    <w:rsid w:val="00E21433"/>
    <w:rsid w:val="00E214B4"/>
    <w:rsid w:val="00E21533"/>
    <w:rsid w:val="00E2159C"/>
    <w:rsid w:val="00E215AA"/>
    <w:rsid w:val="00E215C7"/>
    <w:rsid w:val="00E216AF"/>
    <w:rsid w:val="00E216DB"/>
    <w:rsid w:val="00E216E0"/>
    <w:rsid w:val="00E216F5"/>
    <w:rsid w:val="00E2170C"/>
    <w:rsid w:val="00E2173E"/>
    <w:rsid w:val="00E217A9"/>
    <w:rsid w:val="00E217FF"/>
    <w:rsid w:val="00E21805"/>
    <w:rsid w:val="00E21807"/>
    <w:rsid w:val="00E2181D"/>
    <w:rsid w:val="00E21841"/>
    <w:rsid w:val="00E21861"/>
    <w:rsid w:val="00E218F0"/>
    <w:rsid w:val="00E21936"/>
    <w:rsid w:val="00E2199E"/>
    <w:rsid w:val="00E219B4"/>
    <w:rsid w:val="00E21A22"/>
    <w:rsid w:val="00E21A77"/>
    <w:rsid w:val="00E21AFF"/>
    <w:rsid w:val="00E21B1D"/>
    <w:rsid w:val="00E21B45"/>
    <w:rsid w:val="00E21BC5"/>
    <w:rsid w:val="00E21BDD"/>
    <w:rsid w:val="00E21C19"/>
    <w:rsid w:val="00E21C33"/>
    <w:rsid w:val="00E21C7D"/>
    <w:rsid w:val="00E21C80"/>
    <w:rsid w:val="00E21CB9"/>
    <w:rsid w:val="00E21CBD"/>
    <w:rsid w:val="00E21D61"/>
    <w:rsid w:val="00E21D63"/>
    <w:rsid w:val="00E21D97"/>
    <w:rsid w:val="00E21DAD"/>
    <w:rsid w:val="00E21DC7"/>
    <w:rsid w:val="00E21DF2"/>
    <w:rsid w:val="00E21EAD"/>
    <w:rsid w:val="00E21F3B"/>
    <w:rsid w:val="00E21F86"/>
    <w:rsid w:val="00E21FF4"/>
    <w:rsid w:val="00E22003"/>
    <w:rsid w:val="00E2206E"/>
    <w:rsid w:val="00E220B3"/>
    <w:rsid w:val="00E220C8"/>
    <w:rsid w:val="00E22144"/>
    <w:rsid w:val="00E221A9"/>
    <w:rsid w:val="00E22230"/>
    <w:rsid w:val="00E22239"/>
    <w:rsid w:val="00E2224B"/>
    <w:rsid w:val="00E22274"/>
    <w:rsid w:val="00E2227C"/>
    <w:rsid w:val="00E2227E"/>
    <w:rsid w:val="00E22288"/>
    <w:rsid w:val="00E222AA"/>
    <w:rsid w:val="00E222BD"/>
    <w:rsid w:val="00E222D2"/>
    <w:rsid w:val="00E22342"/>
    <w:rsid w:val="00E2234B"/>
    <w:rsid w:val="00E22394"/>
    <w:rsid w:val="00E2239E"/>
    <w:rsid w:val="00E223CE"/>
    <w:rsid w:val="00E223E5"/>
    <w:rsid w:val="00E223F5"/>
    <w:rsid w:val="00E22414"/>
    <w:rsid w:val="00E22424"/>
    <w:rsid w:val="00E22558"/>
    <w:rsid w:val="00E22607"/>
    <w:rsid w:val="00E2260F"/>
    <w:rsid w:val="00E2265C"/>
    <w:rsid w:val="00E226BE"/>
    <w:rsid w:val="00E22715"/>
    <w:rsid w:val="00E2277A"/>
    <w:rsid w:val="00E227AE"/>
    <w:rsid w:val="00E227C6"/>
    <w:rsid w:val="00E227FE"/>
    <w:rsid w:val="00E22849"/>
    <w:rsid w:val="00E22852"/>
    <w:rsid w:val="00E22897"/>
    <w:rsid w:val="00E228B9"/>
    <w:rsid w:val="00E228CB"/>
    <w:rsid w:val="00E228E1"/>
    <w:rsid w:val="00E228F3"/>
    <w:rsid w:val="00E22916"/>
    <w:rsid w:val="00E22947"/>
    <w:rsid w:val="00E2296E"/>
    <w:rsid w:val="00E2297D"/>
    <w:rsid w:val="00E22996"/>
    <w:rsid w:val="00E229DB"/>
    <w:rsid w:val="00E22A31"/>
    <w:rsid w:val="00E22A35"/>
    <w:rsid w:val="00E22A57"/>
    <w:rsid w:val="00E22B31"/>
    <w:rsid w:val="00E22B71"/>
    <w:rsid w:val="00E22BFF"/>
    <w:rsid w:val="00E22C36"/>
    <w:rsid w:val="00E22C77"/>
    <w:rsid w:val="00E22C96"/>
    <w:rsid w:val="00E22D19"/>
    <w:rsid w:val="00E22D3A"/>
    <w:rsid w:val="00E22D3E"/>
    <w:rsid w:val="00E22D55"/>
    <w:rsid w:val="00E22DA0"/>
    <w:rsid w:val="00E22DB0"/>
    <w:rsid w:val="00E22DC4"/>
    <w:rsid w:val="00E22DEC"/>
    <w:rsid w:val="00E22DED"/>
    <w:rsid w:val="00E22E1B"/>
    <w:rsid w:val="00E22E23"/>
    <w:rsid w:val="00E22E2A"/>
    <w:rsid w:val="00E22E44"/>
    <w:rsid w:val="00E22E50"/>
    <w:rsid w:val="00E22E92"/>
    <w:rsid w:val="00E22EBA"/>
    <w:rsid w:val="00E22ECD"/>
    <w:rsid w:val="00E22F09"/>
    <w:rsid w:val="00E22F19"/>
    <w:rsid w:val="00E22F58"/>
    <w:rsid w:val="00E22F76"/>
    <w:rsid w:val="00E22FE9"/>
    <w:rsid w:val="00E23006"/>
    <w:rsid w:val="00E2301C"/>
    <w:rsid w:val="00E230DC"/>
    <w:rsid w:val="00E230EC"/>
    <w:rsid w:val="00E23118"/>
    <w:rsid w:val="00E2311F"/>
    <w:rsid w:val="00E23123"/>
    <w:rsid w:val="00E2314E"/>
    <w:rsid w:val="00E23184"/>
    <w:rsid w:val="00E2319E"/>
    <w:rsid w:val="00E231AA"/>
    <w:rsid w:val="00E231D2"/>
    <w:rsid w:val="00E231E9"/>
    <w:rsid w:val="00E231ED"/>
    <w:rsid w:val="00E231F1"/>
    <w:rsid w:val="00E23207"/>
    <w:rsid w:val="00E2324B"/>
    <w:rsid w:val="00E2325F"/>
    <w:rsid w:val="00E2335A"/>
    <w:rsid w:val="00E23382"/>
    <w:rsid w:val="00E23394"/>
    <w:rsid w:val="00E233D6"/>
    <w:rsid w:val="00E233D7"/>
    <w:rsid w:val="00E233DA"/>
    <w:rsid w:val="00E233E2"/>
    <w:rsid w:val="00E23428"/>
    <w:rsid w:val="00E23437"/>
    <w:rsid w:val="00E2344B"/>
    <w:rsid w:val="00E23466"/>
    <w:rsid w:val="00E234A0"/>
    <w:rsid w:val="00E234A5"/>
    <w:rsid w:val="00E234B0"/>
    <w:rsid w:val="00E234C7"/>
    <w:rsid w:val="00E23552"/>
    <w:rsid w:val="00E23588"/>
    <w:rsid w:val="00E2359C"/>
    <w:rsid w:val="00E235F4"/>
    <w:rsid w:val="00E23637"/>
    <w:rsid w:val="00E23677"/>
    <w:rsid w:val="00E2367E"/>
    <w:rsid w:val="00E23685"/>
    <w:rsid w:val="00E236AF"/>
    <w:rsid w:val="00E236B1"/>
    <w:rsid w:val="00E23799"/>
    <w:rsid w:val="00E237DA"/>
    <w:rsid w:val="00E23803"/>
    <w:rsid w:val="00E23820"/>
    <w:rsid w:val="00E23887"/>
    <w:rsid w:val="00E238B0"/>
    <w:rsid w:val="00E238C6"/>
    <w:rsid w:val="00E238F4"/>
    <w:rsid w:val="00E23910"/>
    <w:rsid w:val="00E23947"/>
    <w:rsid w:val="00E239D0"/>
    <w:rsid w:val="00E239D5"/>
    <w:rsid w:val="00E23A40"/>
    <w:rsid w:val="00E23A6B"/>
    <w:rsid w:val="00E23A85"/>
    <w:rsid w:val="00E23AA5"/>
    <w:rsid w:val="00E23ADA"/>
    <w:rsid w:val="00E23AEE"/>
    <w:rsid w:val="00E23AF0"/>
    <w:rsid w:val="00E23AFD"/>
    <w:rsid w:val="00E23B04"/>
    <w:rsid w:val="00E23B71"/>
    <w:rsid w:val="00E23B8B"/>
    <w:rsid w:val="00E23C68"/>
    <w:rsid w:val="00E23C8B"/>
    <w:rsid w:val="00E23CE1"/>
    <w:rsid w:val="00E23CFD"/>
    <w:rsid w:val="00E23D78"/>
    <w:rsid w:val="00E23DCF"/>
    <w:rsid w:val="00E23DD5"/>
    <w:rsid w:val="00E23DE5"/>
    <w:rsid w:val="00E23E28"/>
    <w:rsid w:val="00E23E51"/>
    <w:rsid w:val="00E23E84"/>
    <w:rsid w:val="00E23E9B"/>
    <w:rsid w:val="00E23EC0"/>
    <w:rsid w:val="00E23EDD"/>
    <w:rsid w:val="00E23F0A"/>
    <w:rsid w:val="00E23F61"/>
    <w:rsid w:val="00E23FD4"/>
    <w:rsid w:val="00E23FDE"/>
    <w:rsid w:val="00E24008"/>
    <w:rsid w:val="00E2400F"/>
    <w:rsid w:val="00E240DC"/>
    <w:rsid w:val="00E240E6"/>
    <w:rsid w:val="00E240F5"/>
    <w:rsid w:val="00E24119"/>
    <w:rsid w:val="00E241C5"/>
    <w:rsid w:val="00E241D7"/>
    <w:rsid w:val="00E24211"/>
    <w:rsid w:val="00E24235"/>
    <w:rsid w:val="00E24248"/>
    <w:rsid w:val="00E24381"/>
    <w:rsid w:val="00E243E3"/>
    <w:rsid w:val="00E243EC"/>
    <w:rsid w:val="00E24437"/>
    <w:rsid w:val="00E24453"/>
    <w:rsid w:val="00E24460"/>
    <w:rsid w:val="00E24469"/>
    <w:rsid w:val="00E24483"/>
    <w:rsid w:val="00E244A9"/>
    <w:rsid w:val="00E244BF"/>
    <w:rsid w:val="00E24524"/>
    <w:rsid w:val="00E2459C"/>
    <w:rsid w:val="00E245F0"/>
    <w:rsid w:val="00E2463A"/>
    <w:rsid w:val="00E24679"/>
    <w:rsid w:val="00E2467D"/>
    <w:rsid w:val="00E246C5"/>
    <w:rsid w:val="00E24720"/>
    <w:rsid w:val="00E2477E"/>
    <w:rsid w:val="00E247F3"/>
    <w:rsid w:val="00E2485B"/>
    <w:rsid w:val="00E2488A"/>
    <w:rsid w:val="00E248B6"/>
    <w:rsid w:val="00E248C7"/>
    <w:rsid w:val="00E248D0"/>
    <w:rsid w:val="00E24908"/>
    <w:rsid w:val="00E24947"/>
    <w:rsid w:val="00E24956"/>
    <w:rsid w:val="00E24978"/>
    <w:rsid w:val="00E24A5D"/>
    <w:rsid w:val="00E24A68"/>
    <w:rsid w:val="00E24AC9"/>
    <w:rsid w:val="00E24AE7"/>
    <w:rsid w:val="00E24B03"/>
    <w:rsid w:val="00E24B42"/>
    <w:rsid w:val="00E24B83"/>
    <w:rsid w:val="00E24BAA"/>
    <w:rsid w:val="00E24C4B"/>
    <w:rsid w:val="00E24CB9"/>
    <w:rsid w:val="00E24D18"/>
    <w:rsid w:val="00E24D35"/>
    <w:rsid w:val="00E24D8D"/>
    <w:rsid w:val="00E24D90"/>
    <w:rsid w:val="00E24DE4"/>
    <w:rsid w:val="00E24E04"/>
    <w:rsid w:val="00E24E39"/>
    <w:rsid w:val="00E24E7F"/>
    <w:rsid w:val="00E24F0D"/>
    <w:rsid w:val="00E24F51"/>
    <w:rsid w:val="00E24FD3"/>
    <w:rsid w:val="00E24FF1"/>
    <w:rsid w:val="00E24FFE"/>
    <w:rsid w:val="00E2502D"/>
    <w:rsid w:val="00E25034"/>
    <w:rsid w:val="00E2503A"/>
    <w:rsid w:val="00E2508B"/>
    <w:rsid w:val="00E250B8"/>
    <w:rsid w:val="00E250D3"/>
    <w:rsid w:val="00E2511B"/>
    <w:rsid w:val="00E25146"/>
    <w:rsid w:val="00E2514C"/>
    <w:rsid w:val="00E25176"/>
    <w:rsid w:val="00E25180"/>
    <w:rsid w:val="00E2519E"/>
    <w:rsid w:val="00E25253"/>
    <w:rsid w:val="00E25311"/>
    <w:rsid w:val="00E2535D"/>
    <w:rsid w:val="00E25365"/>
    <w:rsid w:val="00E253B1"/>
    <w:rsid w:val="00E253F8"/>
    <w:rsid w:val="00E25457"/>
    <w:rsid w:val="00E25486"/>
    <w:rsid w:val="00E254B1"/>
    <w:rsid w:val="00E254C9"/>
    <w:rsid w:val="00E2557E"/>
    <w:rsid w:val="00E255B4"/>
    <w:rsid w:val="00E255BD"/>
    <w:rsid w:val="00E255D8"/>
    <w:rsid w:val="00E255E7"/>
    <w:rsid w:val="00E25662"/>
    <w:rsid w:val="00E256B0"/>
    <w:rsid w:val="00E256E8"/>
    <w:rsid w:val="00E25700"/>
    <w:rsid w:val="00E2571D"/>
    <w:rsid w:val="00E25737"/>
    <w:rsid w:val="00E25763"/>
    <w:rsid w:val="00E257C8"/>
    <w:rsid w:val="00E2589C"/>
    <w:rsid w:val="00E258A7"/>
    <w:rsid w:val="00E258BA"/>
    <w:rsid w:val="00E258CA"/>
    <w:rsid w:val="00E258DE"/>
    <w:rsid w:val="00E258F1"/>
    <w:rsid w:val="00E25970"/>
    <w:rsid w:val="00E259DF"/>
    <w:rsid w:val="00E25AB0"/>
    <w:rsid w:val="00E25B29"/>
    <w:rsid w:val="00E25B6D"/>
    <w:rsid w:val="00E25BDC"/>
    <w:rsid w:val="00E25C18"/>
    <w:rsid w:val="00E25C81"/>
    <w:rsid w:val="00E25C93"/>
    <w:rsid w:val="00E25CA1"/>
    <w:rsid w:val="00E25CEB"/>
    <w:rsid w:val="00E25D2A"/>
    <w:rsid w:val="00E25D55"/>
    <w:rsid w:val="00E25D58"/>
    <w:rsid w:val="00E25D81"/>
    <w:rsid w:val="00E25DF8"/>
    <w:rsid w:val="00E25E22"/>
    <w:rsid w:val="00E25E37"/>
    <w:rsid w:val="00E25E7B"/>
    <w:rsid w:val="00E25E7F"/>
    <w:rsid w:val="00E25ED3"/>
    <w:rsid w:val="00E25F07"/>
    <w:rsid w:val="00E25F1B"/>
    <w:rsid w:val="00E25FA7"/>
    <w:rsid w:val="00E25FD3"/>
    <w:rsid w:val="00E25FD8"/>
    <w:rsid w:val="00E26074"/>
    <w:rsid w:val="00E2608B"/>
    <w:rsid w:val="00E260B5"/>
    <w:rsid w:val="00E26175"/>
    <w:rsid w:val="00E2619E"/>
    <w:rsid w:val="00E261DD"/>
    <w:rsid w:val="00E26220"/>
    <w:rsid w:val="00E26266"/>
    <w:rsid w:val="00E26296"/>
    <w:rsid w:val="00E26310"/>
    <w:rsid w:val="00E2635E"/>
    <w:rsid w:val="00E26396"/>
    <w:rsid w:val="00E263AA"/>
    <w:rsid w:val="00E263B7"/>
    <w:rsid w:val="00E26418"/>
    <w:rsid w:val="00E2646B"/>
    <w:rsid w:val="00E26475"/>
    <w:rsid w:val="00E2648D"/>
    <w:rsid w:val="00E26498"/>
    <w:rsid w:val="00E26499"/>
    <w:rsid w:val="00E264DC"/>
    <w:rsid w:val="00E264E2"/>
    <w:rsid w:val="00E264FF"/>
    <w:rsid w:val="00E2653F"/>
    <w:rsid w:val="00E26558"/>
    <w:rsid w:val="00E265CB"/>
    <w:rsid w:val="00E265EB"/>
    <w:rsid w:val="00E265F2"/>
    <w:rsid w:val="00E26664"/>
    <w:rsid w:val="00E266A9"/>
    <w:rsid w:val="00E266F8"/>
    <w:rsid w:val="00E267AB"/>
    <w:rsid w:val="00E267E0"/>
    <w:rsid w:val="00E267EE"/>
    <w:rsid w:val="00E26842"/>
    <w:rsid w:val="00E26885"/>
    <w:rsid w:val="00E26886"/>
    <w:rsid w:val="00E2688A"/>
    <w:rsid w:val="00E2689E"/>
    <w:rsid w:val="00E2696B"/>
    <w:rsid w:val="00E2697A"/>
    <w:rsid w:val="00E26988"/>
    <w:rsid w:val="00E26997"/>
    <w:rsid w:val="00E2699E"/>
    <w:rsid w:val="00E269AD"/>
    <w:rsid w:val="00E26A78"/>
    <w:rsid w:val="00E26AE3"/>
    <w:rsid w:val="00E26B06"/>
    <w:rsid w:val="00E26B2D"/>
    <w:rsid w:val="00E26B31"/>
    <w:rsid w:val="00E26B3B"/>
    <w:rsid w:val="00E26B46"/>
    <w:rsid w:val="00E26B4D"/>
    <w:rsid w:val="00E26B70"/>
    <w:rsid w:val="00E26B71"/>
    <w:rsid w:val="00E26B82"/>
    <w:rsid w:val="00E26BA9"/>
    <w:rsid w:val="00E26BE0"/>
    <w:rsid w:val="00E26C11"/>
    <w:rsid w:val="00E26C39"/>
    <w:rsid w:val="00E26C59"/>
    <w:rsid w:val="00E26C63"/>
    <w:rsid w:val="00E26C77"/>
    <w:rsid w:val="00E26C8B"/>
    <w:rsid w:val="00E26C97"/>
    <w:rsid w:val="00E26D68"/>
    <w:rsid w:val="00E26D94"/>
    <w:rsid w:val="00E26DD4"/>
    <w:rsid w:val="00E26DFA"/>
    <w:rsid w:val="00E26E01"/>
    <w:rsid w:val="00E26FC4"/>
    <w:rsid w:val="00E26FCD"/>
    <w:rsid w:val="00E26FE1"/>
    <w:rsid w:val="00E26FEE"/>
    <w:rsid w:val="00E27027"/>
    <w:rsid w:val="00E27028"/>
    <w:rsid w:val="00E270CA"/>
    <w:rsid w:val="00E270DD"/>
    <w:rsid w:val="00E2710F"/>
    <w:rsid w:val="00E2713A"/>
    <w:rsid w:val="00E27163"/>
    <w:rsid w:val="00E271B7"/>
    <w:rsid w:val="00E2720E"/>
    <w:rsid w:val="00E2728D"/>
    <w:rsid w:val="00E2729B"/>
    <w:rsid w:val="00E272C1"/>
    <w:rsid w:val="00E272ED"/>
    <w:rsid w:val="00E27335"/>
    <w:rsid w:val="00E2734E"/>
    <w:rsid w:val="00E273BA"/>
    <w:rsid w:val="00E27412"/>
    <w:rsid w:val="00E27421"/>
    <w:rsid w:val="00E2742B"/>
    <w:rsid w:val="00E27471"/>
    <w:rsid w:val="00E274A0"/>
    <w:rsid w:val="00E274EA"/>
    <w:rsid w:val="00E274F5"/>
    <w:rsid w:val="00E27517"/>
    <w:rsid w:val="00E2751C"/>
    <w:rsid w:val="00E2753E"/>
    <w:rsid w:val="00E27695"/>
    <w:rsid w:val="00E276CF"/>
    <w:rsid w:val="00E276E1"/>
    <w:rsid w:val="00E276E6"/>
    <w:rsid w:val="00E27714"/>
    <w:rsid w:val="00E2771A"/>
    <w:rsid w:val="00E27798"/>
    <w:rsid w:val="00E277A2"/>
    <w:rsid w:val="00E277FD"/>
    <w:rsid w:val="00E2781C"/>
    <w:rsid w:val="00E2783A"/>
    <w:rsid w:val="00E2783E"/>
    <w:rsid w:val="00E27842"/>
    <w:rsid w:val="00E27874"/>
    <w:rsid w:val="00E27886"/>
    <w:rsid w:val="00E278AB"/>
    <w:rsid w:val="00E278BA"/>
    <w:rsid w:val="00E278C8"/>
    <w:rsid w:val="00E278D9"/>
    <w:rsid w:val="00E278E2"/>
    <w:rsid w:val="00E27952"/>
    <w:rsid w:val="00E279C9"/>
    <w:rsid w:val="00E279CA"/>
    <w:rsid w:val="00E279E5"/>
    <w:rsid w:val="00E279FA"/>
    <w:rsid w:val="00E27A49"/>
    <w:rsid w:val="00E27A4E"/>
    <w:rsid w:val="00E27AEC"/>
    <w:rsid w:val="00E27B2A"/>
    <w:rsid w:val="00E27B2B"/>
    <w:rsid w:val="00E27BA5"/>
    <w:rsid w:val="00E27BC6"/>
    <w:rsid w:val="00E27BDB"/>
    <w:rsid w:val="00E27BE5"/>
    <w:rsid w:val="00E27BF7"/>
    <w:rsid w:val="00E27BFA"/>
    <w:rsid w:val="00E27C7E"/>
    <w:rsid w:val="00E27D0F"/>
    <w:rsid w:val="00E27D13"/>
    <w:rsid w:val="00E27D25"/>
    <w:rsid w:val="00E27D86"/>
    <w:rsid w:val="00E27E0A"/>
    <w:rsid w:val="00E27E51"/>
    <w:rsid w:val="00E27E68"/>
    <w:rsid w:val="00E27E86"/>
    <w:rsid w:val="00E27EA0"/>
    <w:rsid w:val="00E27ECE"/>
    <w:rsid w:val="00E27F28"/>
    <w:rsid w:val="00E27F88"/>
    <w:rsid w:val="00E27FC3"/>
    <w:rsid w:val="00E27FF6"/>
    <w:rsid w:val="00E2D5E8"/>
    <w:rsid w:val="00E3000C"/>
    <w:rsid w:val="00E3003A"/>
    <w:rsid w:val="00E30055"/>
    <w:rsid w:val="00E300A6"/>
    <w:rsid w:val="00E300B0"/>
    <w:rsid w:val="00E30133"/>
    <w:rsid w:val="00E30145"/>
    <w:rsid w:val="00E3015C"/>
    <w:rsid w:val="00E3016A"/>
    <w:rsid w:val="00E3018D"/>
    <w:rsid w:val="00E30190"/>
    <w:rsid w:val="00E301B6"/>
    <w:rsid w:val="00E30228"/>
    <w:rsid w:val="00E30248"/>
    <w:rsid w:val="00E302B5"/>
    <w:rsid w:val="00E302DD"/>
    <w:rsid w:val="00E30350"/>
    <w:rsid w:val="00E30377"/>
    <w:rsid w:val="00E303E9"/>
    <w:rsid w:val="00E3043D"/>
    <w:rsid w:val="00E30587"/>
    <w:rsid w:val="00E305A5"/>
    <w:rsid w:val="00E305D4"/>
    <w:rsid w:val="00E30661"/>
    <w:rsid w:val="00E306C4"/>
    <w:rsid w:val="00E306EA"/>
    <w:rsid w:val="00E306F2"/>
    <w:rsid w:val="00E3073B"/>
    <w:rsid w:val="00E30740"/>
    <w:rsid w:val="00E30814"/>
    <w:rsid w:val="00E308A6"/>
    <w:rsid w:val="00E309EB"/>
    <w:rsid w:val="00E309FC"/>
    <w:rsid w:val="00E30A01"/>
    <w:rsid w:val="00E30A40"/>
    <w:rsid w:val="00E30A53"/>
    <w:rsid w:val="00E30AD0"/>
    <w:rsid w:val="00E30B49"/>
    <w:rsid w:val="00E30B53"/>
    <w:rsid w:val="00E30B76"/>
    <w:rsid w:val="00E30B7B"/>
    <w:rsid w:val="00E30B7D"/>
    <w:rsid w:val="00E30B82"/>
    <w:rsid w:val="00E30BC2"/>
    <w:rsid w:val="00E30C11"/>
    <w:rsid w:val="00E30CBC"/>
    <w:rsid w:val="00E30CEF"/>
    <w:rsid w:val="00E30D2C"/>
    <w:rsid w:val="00E30D35"/>
    <w:rsid w:val="00E30D3C"/>
    <w:rsid w:val="00E30D80"/>
    <w:rsid w:val="00E30EB4"/>
    <w:rsid w:val="00E30EC2"/>
    <w:rsid w:val="00E30ECF"/>
    <w:rsid w:val="00E30EFC"/>
    <w:rsid w:val="00E30F20"/>
    <w:rsid w:val="00E30F4E"/>
    <w:rsid w:val="00E30FA8"/>
    <w:rsid w:val="00E31017"/>
    <w:rsid w:val="00E3102E"/>
    <w:rsid w:val="00E31031"/>
    <w:rsid w:val="00E31039"/>
    <w:rsid w:val="00E31050"/>
    <w:rsid w:val="00E31078"/>
    <w:rsid w:val="00E31091"/>
    <w:rsid w:val="00E310CB"/>
    <w:rsid w:val="00E310CC"/>
    <w:rsid w:val="00E31112"/>
    <w:rsid w:val="00E31137"/>
    <w:rsid w:val="00E3118C"/>
    <w:rsid w:val="00E3119A"/>
    <w:rsid w:val="00E311A4"/>
    <w:rsid w:val="00E311E6"/>
    <w:rsid w:val="00E3121C"/>
    <w:rsid w:val="00E31261"/>
    <w:rsid w:val="00E312B5"/>
    <w:rsid w:val="00E31303"/>
    <w:rsid w:val="00E31304"/>
    <w:rsid w:val="00E31313"/>
    <w:rsid w:val="00E3139A"/>
    <w:rsid w:val="00E313B9"/>
    <w:rsid w:val="00E313F8"/>
    <w:rsid w:val="00E3144A"/>
    <w:rsid w:val="00E31495"/>
    <w:rsid w:val="00E31498"/>
    <w:rsid w:val="00E31537"/>
    <w:rsid w:val="00E3154C"/>
    <w:rsid w:val="00E315A5"/>
    <w:rsid w:val="00E3160C"/>
    <w:rsid w:val="00E3164D"/>
    <w:rsid w:val="00E316BB"/>
    <w:rsid w:val="00E3173F"/>
    <w:rsid w:val="00E31740"/>
    <w:rsid w:val="00E31766"/>
    <w:rsid w:val="00E317BF"/>
    <w:rsid w:val="00E317EC"/>
    <w:rsid w:val="00E31809"/>
    <w:rsid w:val="00E31893"/>
    <w:rsid w:val="00E318BB"/>
    <w:rsid w:val="00E318D4"/>
    <w:rsid w:val="00E31928"/>
    <w:rsid w:val="00E3194B"/>
    <w:rsid w:val="00E319BD"/>
    <w:rsid w:val="00E31A4B"/>
    <w:rsid w:val="00E31A63"/>
    <w:rsid w:val="00E31A66"/>
    <w:rsid w:val="00E31ACD"/>
    <w:rsid w:val="00E31AE2"/>
    <w:rsid w:val="00E31B08"/>
    <w:rsid w:val="00E31B0B"/>
    <w:rsid w:val="00E31B1B"/>
    <w:rsid w:val="00E31B1D"/>
    <w:rsid w:val="00E31B25"/>
    <w:rsid w:val="00E31B3D"/>
    <w:rsid w:val="00E31B4F"/>
    <w:rsid w:val="00E31B59"/>
    <w:rsid w:val="00E31B74"/>
    <w:rsid w:val="00E31B85"/>
    <w:rsid w:val="00E31B8A"/>
    <w:rsid w:val="00E31B98"/>
    <w:rsid w:val="00E31BBC"/>
    <w:rsid w:val="00E31BD7"/>
    <w:rsid w:val="00E31BE2"/>
    <w:rsid w:val="00E31C09"/>
    <w:rsid w:val="00E31C1B"/>
    <w:rsid w:val="00E31C26"/>
    <w:rsid w:val="00E31C4A"/>
    <w:rsid w:val="00E31C6A"/>
    <w:rsid w:val="00E31CDC"/>
    <w:rsid w:val="00E31CE3"/>
    <w:rsid w:val="00E31CFD"/>
    <w:rsid w:val="00E31D34"/>
    <w:rsid w:val="00E31D40"/>
    <w:rsid w:val="00E31D51"/>
    <w:rsid w:val="00E31D5C"/>
    <w:rsid w:val="00E31D9A"/>
    <w:rsid w:val="00E31D9C"/>
    <w:rsid w:val="00E31E30"/>
    <w:rsid w:val="00E31E8B"/>
    <w:rsid w:val="00E31E92"/>
    <w:rsid w:val="00E31E9E"/>
    <w:rsid w:val="00E31EB4"/>
    <w:rsid w:val="00E31EDE"/>
    <w:rsid w:val="00E31F1D"/>
    <w:rsid w:val="00E31F2D"/>
    <w:rsid w:val="00E31FA3"/>
    <w:rsid w:val="00E31FA9"/>
    <w:rsid w:val="00E31FCB"/>
    <w:rsid w:val="00E32002"/>
    <w:rsid w:val="00E3203B"/>
    <w:rsid w:val="00E3207A"/>
    <w:rsid w:val="00E320B9"/>
    <w:rsid w:val="00E320C6"/>
    <w:rsid w:val="00E3211F"/>
    <w:rsid w:val="00E3215C"/>
    <w:rsid w:val="00E32199"/>
    <w:rsid w:val="00E321FD"/>
    <w:rsid w:val="00E3221B"/>
    <w:rsid w:val="00E32310"/>
    <w:rsid w:val="00E32343"/>
    <w:rsid w:val="00E3234C"/>
    <w:rsid w:val="00E323CC"/>
    <w:rsid w:val="00E323FB"/>
    <w:rsid w:val="00E32412"/>
    <w:rsid w:val="00E32495"/>
    <w:rsid w:val="00E32498"/>
    <w:rsid w:val="00E324A5"/>
    <w:rsid w:val="00E324C2"/>
    <w:rsid w:val="00E324CE"/>
    <w:rsid w:val="00E3255E"/>
    <w:rsid w:val="00E32589"/>
    <w:rsid w:val="00E325A9"/>
    <w:rsid w:val="00E32643"/>
    <w:rsid w:val="00E326A5"/>
    <w:rsid w:val="00E326EE"/>
    <w:rsid w:val="00E32700"/>
    <w:rsid w:val="00E3270C"/>
    <w:rsid w:val="00E32714"/>
    <w:rsid w:val="00E327BB"/>
    <w:rsid w:val="00E3281B"/>
    <w:rsid w:val="00E3285C"/>
    <w:rsid w:val="00E3288D"/>
    <w:rsid w:val="00E328A7"/>
    <w:rsid w:val="00E328AA"/>
    <w:rsid w:val="00E328B3"/>
    <w:rsid w:val="00E328C7"/>
    <w:rsid w:val="00E32908"/>
    <w:rsid w:val="00E32913"/>
    <w:rsid w:val="00E329D0"/>
    <w:rsid w:val="00E32A11"/>
    <w:rsid w:val="00E32A17"/>
    <w:rsid w:val="00E32AB0"/>
    <w:rsid w:val="00E32AC1"/>
    <w:rsid w:val="00E32ADD"/>
    <w:rsid w:val="00E32B0A"/>
    <w:rsid w:val="00E32B35"/>
    <w:rsid w:val="00E32B51"/>
    <w:rsid w:val="00E32B94"/>
    <w:rsid w:val="00E32C0C"/>
    <w:rsid w:val="00E32C59"/>
    <w:rsid w:val="00E32C8F"/>
    <w:rsid w:val="00E32CD7"/>
    <w:rsid w:val="00E32D0A"/>
    <w:rsid w:val="00E32D10"/>
    <w:rsid w:val="00E32D13"/>
    <w:rsid w:val="00E32D20"/>
    <w:rsid w:val="00E32D5F"/>
    <w:rsid w:val="00E32DB9"/>
    <w:rsid w:val="00E32E3A"/>
    <w:rsid w:val="00E32E7F"/>
    <w:rsid w:val="00E32E9E"/>
    <w:rsid w:val="00E32EF7"/>
    <w:rsid w:val="00E32F47"/>
    <w:rsid w:val="00E32F75"/>
    <w:rsid w:val="00E32FA7"/>
    <w:rsid w:val="00E32FB5"/>
    <w:rsid w:val="00E32FCE"/>
    <w:rsid w:val="00E32FCF"/>
    <w:rsid w:val="00E32FED"/>
    <w:rsid w:val="00E33002"/>
    <w:rsid w:val="00E33015"/>
    <w:rsid w:val="00E3301E"/>
    <w:rsid w:val="00E33044"/>
    <w:rsid w:val="00E33061"/>
    <w:rsid w:val="00E33064"/>
    <w:rsid w:val="00E3309B"/>
    <w:rsid w:val="00E330C0"/>
    <w:rsid w:val="00E330EF"/>
    <w:rsid w:val="00E33127"/>
    <w:rsid w:val="00E3312F"/>
    <w:rsid w:val="00E33137"/>
    <w:rsid w:val="00E3316C"/>
    <w:rsid w:val="00E33186"/>
    <w:rsid w:val="00E331C3"/>
    <w:rsid w:val="00E331D0"/>
    <w:rsid w:val="00E332A2"/>
    <w:rsid w:val="00E33308"/>
    <w:rsid w:val="00E33326"/>
    <w:rsid w:val="00E33331"/>
    <w:rsid w:val="00E33376"/>
    <w:rsid w:val="00E33471"/>
    <w:rsid w:val="00E33487"/>
    <w:rsid w:val="00E334CF"/>
    <w:rsid w:val="00E33514"/>
    <w:rsid w:val="00E3355B"/>
    <w:rsid w:val="00E335DE"/>
    <w:rsid w:val="00E33764"/>
    <w:rsid w:val="00E3380B"/>
    <w:rsid w:val="00E33816"/>
    <w:rsid w:val="00E3388D"/>
    <w:rsid w:val="00E33937"/>
    <w:rsid w:val="00E33943"/>
    <w:rsid w:val="00E33985"/>
    <w:rsid w:val="00E3399A"/>
    <w:rsid w:val="00E339B2"/>
    <w:rsid w:val="00E339E0"/>
    <w:rsid w:val="00E339E3"/>
    <w:rsid w:val="00E33A2B"/>
    <w:rsid w:val="00E33A3A"/>
    <w:rsid w:val="00E33A5E"/>
    <w:rsid w:val="00E33A62"/>
    <w:rsid w:val="00E33A7B"/>
    <w:rsid w:val="00E33AA2"/>
    <w:rsid w:val="00E33B03"/>
    <w:rsid w:val="00E33B0B"/>
    <w:rsid w:val="00E33B67"/>
    <w:rsid w:val="00E33B81"/>
    <w:rsid w:val="00E33B88"/>
    <w:rsid w:val="00E33B8A"/>
    <w:rsid w:val="00E33B9A"/>
    <w:rsid w:val="00E33C08"/>
    <w:rsid w:val="00E33C27"/>
    <w:rsid w:val="00E33D50"/>
    <w:rsid w:val="00E33D59"/>
    <w:rsid w:val="00E33D61"/>
    <w:rsid w:val="00E33D95"/>
    <w:rsid w:val="00E33DB5"/>
    <w:rsid w:val="00E33DCA"/>
    <w:rsid w:val="00E33DCE"/>
    <w:rsid w:val="00E33DDF"/>
    <w:rsid w:val="00E33E23"/>
    <w:rsid w:val="00E33EC3"/>
    <w:rsid w:val="00E33EF4"/>
    <w:rsid w:val="00E33F24"/>
    <w:rsid w:val="00E33F35"/>
    <w:rsid w:val="00E33F38"/>
    <w:rsid w:val="00E33F57"/>
    <w:rsid w:val="00E33FD2"/>
    <w:rsid w:val="00E33FD3"/>
    <w:rsid w:val="00E33FF3"/>
    <w:rsid w:val="00E34063"/>
    <w:rsid w:val="00E3412C"/>
    <w:rsid w:val="00E341C9"/>
    <w:rsid w:val="00E341CC"/>
    <w:rsid w:val="00E3421B"/>
    <w:rsid w:val="00E34238"/>
    <w:rsid w:val="00E342A1"/>
    <w:rsid w:val="00E342BA"/>
    <w:rsid w:val="00E34306"/>
    <w:rsid w:val="00E3431A"/>
    <w:rsid w:val="00E343C8"/>
    <w:rsid w:val="00E343D0"/>
    <w:rsid w:val="00E34416"/>
    <w:rsid w:val="00E34427"/>
    <w:rsid w:val="00E34432"/>
    <w:rsid w:val="00E34473"/>
    <w:rsid w:val="00E344D5"/>
    <w:rsid w:val="00E34568"/>
    <w:rsid w:val="00E3456F"/>
    <w:rsid w:val="00E34577"/>
    <w:rsid w:val="00E34603"/>
    <w:rsid w:val="00E3465E"/>
    <w:rsid w:val="00E346C6"/>
    <w:rsid w:val="00E34742"/>
    <w:rsid w:val="00E34748"/>
    <w:rsid w:val="00E3481D"/>
    <w:rsid w:val="00E34853"/>
    <w:rsid w:val="00E348D1"/>
    <w:rsid w:val="00E348E6"/>
    <w:rsid w:val="00E34921"/>
    <w:rsid w:val="00E3496F"/>
    <w:rsid w:val="00E34973"/>
    <w:rsid w:val="00E34A1B"/>
    <w:rsid w:val="00E34A68"/>
    <w:rsid w:val="00E34A7F"/>
    <w:rsid w:val="00E34ABD"/>
    <w:rsid w:val="00E34B24"/>
    <w:rsid w:val="00E34B84"/>
    <w:rsid w:val="00E34BBD"/>
    <w:rsid w:val="00E34BE7"/>
    <w:rsid w:val="00E34BFF"/>
    <w:rsid w:val="00E34C39"/>
    <w:rsid w:val="00E34C3F"/>
    <w:rsid w:val="00E34C6A"/>
    <w:rsid w:val="00E34D0E"/>
    <w:rsid w:val="00E34D60"/>
    <w:rsid w:val="00E34D64"/>
    <w:rsid w:val="00E34D7A"/>
    <w:rsid w:val="00E34D81"/>
    <w:rsid w:val="00E34D96"/>
    <w:rsid w:val="00E34DB4"/>
    <w:rsid w:val="00E34DD1"/>
    <w:rsid w:val="00E34E6A"/>
    <w:rsid w:val="00E34E76"/>
    <w:rsid w:val="00E34ECE"/>
    <w:rsid w:val="00E34F5B"/>
    <w:rsid w:val="00E34FB5"/>
    <w:rsid w:val="00E34FCF"/>
    <w:rsid w:val="00E34FF9"/>
    <w:rsid w:val="00E35016"/>
    <w:rsid w:val="00E35024"/>
    <w:rsid w:val="00E3503F"/>
    <w:rsid w:val="00E3506F"/>
    <w:rsid w:val="00E350F1"/>
    <w:rsid w:val="00E35100"/>
    <w:rsid w:val="00E3513C"/>
    <w:rsid w:val="00E351C7"/>
    <w:rsid w:val="00E351EA"/>
    <w:rsid w:val="00E35234"/>
    <w:rsid w:val="00E35279"/>
    <w:rsid w:val="00E3530C"/>
    <w:rsid w:val="00E3531A"/>
    <w:rsid w:val="00E35324"/>
    <w:rsid w:val="00E3534B"/>
    <w:rsid w:val="00E3536E"/>
    <w:rsid w:val="00E3537E"/>
    <w:rsid w:val="00E353E2"/>
    <w:rsid w:val="00E35436"/>
    <w:rsid w:val="00E35450"/>
    <w:rsid w:val="00E354B0"/>
    <w:rsid w:val="00E354CA"/>
    <w:rsid w:val="00E354CD"/>
    <w:rsid w:val="00E354DF"/>
    <w:rsid w:val="00E3558C"/>
    <w:rsid w:val="00E355A9"/>
    <w:rsid w:val="00E3562F"/>
    <w:rsid w:val="00E3563D"/>
    <w:rsid w:val="00E3565A"/>
    <w:rsid w:val="00E3567F"/>
    <w:rsid w:val="00E35697"/>
    <w:rsid w:val="00E356E9"/>
    <w:rsid w:val="00E3575E"/>
    <w:rsid w:val="00E3579D"/>
    <w:rsid w:val="00E357B6"/>
    <w:rsid w:val="00E357F3"/>
    <w:rsid w:val="00E357FD"/>
    <w:rsid w:val="00E35919"/>
    <w:rsid w:val="00E35928"/>
    <w:rsid w:val="00E35987"/>
    <w:rsid w:val="00E35994"/>
    <w:rsid w:val="00E35A07"/>
    <w:rsid w:val="00E35A16"/>
    <w:rsid w:val="00E35A1A"/>
    <w:rsid w:val="00E35ACE"/>
    <w:rsid w:val="00E35B07"/>
    <w:rsid w:val="00E35B22"/>
    <w:rsid w:val="00E35B78"/>
    <w:rsid w:val="00E35B8C"/>
    <w:rsid w:val="00E35BAF"/>
    <w:rsid w:val="00E35BD3"/>
    <w:rsid w:val="00E35BE2"/>
    <w:rsid w:val="00E35C24"/>
    <w:rsid w:val="00E35C2B"/>
    <w:rsid w:val="00E35C58"/>
    <w:rsid w:val="00E35C9E"/>
    <w:rsid w:val="00E35D17"/>
    <w:rsid w:val="00E35D24"/>
    <w:rsid w:val="00E35D31"/>
    <w:rsid w:val="00E35D50"/>
    <w:rsid w:val="00E35D76"/>
    <w:rsid w:val="00E35DD4"/>
    <w:rsid w:val="00E35DE2"/>
    <w:rsid w:val="00E35DF7"/>
    <w:rsid w:val="00E35E32"/>
    <w:rsid w:val="00E35E74"/>
    <w:rsid w:val="00E35EB9"/>
    <w:rsid w:val="00E35EBF"/>
    <w:rsid w:val="00E35EFC"/>
    <w:rsid w:val="00E35F0D"/>
    <w:rsid w:val="00E35F30"/>
    <w:rsid w:val="00E35FA1"/>
    <w:rsid w:val="00E3606C"/>
    <w:rsid w:val="00E36087"/>
    <w:rsid w:val="00E3609E"/>
    <w:rsid w:val="00E36190"/>
    <w:rsid w:val="00E36194"/>
    <w:rsid w:val="00E361EA"/>
    <w:rsid w:val="00E36225"/>
    <w:rsid w:val="00E3637B"/>
    <w:rsid w:val="00E363BF"/>
    <w:rsid w:val="00E36430"/>
    <w:rsid w:val="00E3645E"/>
    <w:rsid w:val="00E3648C"/>
    <w:rsid w:val="00E364A2"/>
    <w:rsid w:val="00E364F3"/>
    <w:rsid w:val="00E36597"/>
    <w:rsid w:val="00E3661A"/>
    <w:rsid w:val="00E3662E"/>
    <w:rsid w:val="00E3669F"/>
    <w:rsid w:val="00E366BC"/>
    <w:rsid w:val="00E3671E"/>
    <w:rsid w:val="00E36723"/>
    <w:rsid w:val="00E3681F"/>
    <w:rsid w:val="00E3683E"/>
    <w:rsid w:val="00E36878"/>
    <w:rsid w:val="00E368A7"/>
    <w:rsid w:val="00E368B5"/>
    <w:rsid w:val="00E36966"/>
    <w:rsid w:val="00E3698E"/>
    <w:rsid w:val="00E369C8"/>
    <w:rsid w:val="00E369EC"/>
    <w:rsid w:val="00E36A77"/>
    <w:rsid w:val="00E36AC3"/>
    <w:rsid w:val="00E36ADA"/>
    <w:rsid w:val="00E36BB3"/>
    <w:rsid w:val="00E36BEA"/>
    <w:rsid w:val="00E36C09"/>
    <w:rsid w:val="00E36C8D"/>
    <w:rsid w:val="00E36CB2"/>
    <w:rsid w:val="00E36D4B"/>
    <w:rsid w:val="00E36D78"/>
    <w:rsid w:val="00E36DC9"/>
    <w:rsid w:val="00E36DD3"/>
    <w:rsid w:val="00E36EE3"/>
    <w:rsid w:val="00E36EF2"/>
    <w:rsid w:val="00E36F26"/>
    <w:rsid w:val="00E36F44"/>
    <w:rsid w:val="00E36F63"/>
    <w:rsid w:val="00E36F82"/>
    <w:rsid w:val="00E36FC5"/>
    <w:rsid w:val="00E37050"/>
    <w:rsid w:val="00E370D2"/>
    <w:rsid w:val="00E37117"/>
    <w:rsid w:val="00E371BD"/>
    <w:rsid w:val="00E371BE"/>
    <w:rsid w:val="00E371D5"/>
    <w:rsid w:val="00E371FE"/>
    <w:rsid w:val="00E37246"/>
    <w:rsid w:val="00E37292"/>
    <w:rsid w:val="00E372D5"/>
    <w:rsid w:val="00E3730D"/>
    <w:rsid w:val="00E3730E"/>
    <w:rsid w:val="00E37335"/>
    <w:rsid w:val="00E3734C"/>
    <w:rsid w:val="00E3738A"/>
    <w:rsid w:val="00E373DA"/>
    <w:rsid w:val="00E373F4"/>
    <w:rsid w:val="00E37431"/>
    <w:rsid w:val="00E3744B"/>
    <w:rsid w:val="00E37472"/>
    <w:rsid w:val="00E374A1"/>
    <w:rsid w:val="00E374B4"/>
    <w:rsid w:val="00E374D5"/>
    <w:rsid w:val="00E374FC"/>
    <w:rsid w:val="00E37557"/>
    <w:rsid w:val="00E37589"/>
    <w:rsid w:val="00E37604"/>
    <w:rsid w:val="00E37606"/>
    <w:rsid w:val="00E37665"/>
    <w:rsid w:val="00E37670"/>
    <w:rsid w:val="00E37673"/>
    <w:rsid w:val="00E376F1"/>
    <w:rsid w:val="00E376F6"/>
    <w:rsid w:val="00E376F9"/>
    <w:rsid w:val="00E376FD"/>
    <w:rsid w:val="00E37732"/>
    <w:rsid w:val="00E37751"/>
    <w:rsid w:val="00E3778B"/>
    <w:rsid w:val="00E37819"/>
    <w:rsid w:val="00E3784A"/>
    <w:rsid w:val="00E378B9"/>
    <w:rsid w:val="00E3797A"/>
    <w:rsid w:val="00E37A26"/>
    <w:rsid w:val="00E37AAA"/>
    <w:rsid w:val="00E37ABB"/>
    <w:rsid w:val="00E37B34"/>
    <w:rsid w:val="00E37B75"/>
    <w:rsid w:val="00E37BCE"/>
    <w:rsid w:val="00E37BD6"/>
    <w:rsid w:val="00E37BED"/>
    <w:rsid w:val="00E37BEF"/>
    <w:rsid w:val="00E37C04"/>
    <w:rsid w:val="00E37C35"/>
    <w:rsid w:val="00E37CBD"/>
    <w:rsid w:val="00E37DC2"/>
    <w:rsid w:val="00E37DDC"/>
    <w:rsid w:val="00E37E9F"/>
    <w:rsid w:val="00E37EA8"/>
    <w:rsid w:val="00E37EA9"/>
    <w:rsid w:val="00E37EC9"/>
    <w:rsid w:val="00E37ECA"/>
    <w:rsid w:val="00E37ED8"/>
    <w:rsid w:val="00E37F23"/>
    <w:rsid w:val="00E37FE7"/>
    <w:rsid w:val="00E40005"/>
    <w:rsid w:val="00E40034"/>
    <w:rsid w:val="00E40040"/>
    <w:rsid w:val="00E4008A"/>
    <w:rsid w:val="00E4014D"/>
    <w:rsid w:val="00E40182"/>
    <w:rsid w:val="00E401DB"/>
    <w:rsid w:val="00E40208"/>
    <w:rsid w:val="00E40256"/>
    <w:rsid w:val="00E402BB"/>
    <w:rsid w:val="00E402C2"/>
    <w:rsid w:val="00E4039D"/>
    <w:rsid w:val="00E403DB"/>
    <w:rsid w:val="00E4040B"/>
    <w:rsid w:val="00E40428"/>
    <w:rsid w:val="00E4044A"/>
    <w:rsid w:val="00E40459"/>
    <w:rsid w:val="00E404A2"/>
    <w:rsid w:val="00E404AB"/>
    <w:rsid w:val="00E404EC"/>
    <w:rsid w:val="00E40549"/>
    <w:rsid w:val="00E405AE"/>
    <w:rsid w:val="00E4061D"/>
    <w:rsid w:val="00E4062B"/>
    <w:rsid w:val="00E40659"/>
    <w:rsid w:val="00E4073D"/>
    <w:rsid w:val="00E40757"/>
    <w:rsid w:val="00E4081E"/>
    <w:rsid w:val="00E4085F"/>
    <w:rsid w:val="00E40919"/>
    <w:rsid w:val="00E4092E"/>
    <w:rsid w:val="00E4094B"/>
    <w:rsid w:val="00E40964"/>
    <w:rsid w:val="00E40A1C"/>
    <w:rsid w:val="00E40A34"/>
    <w:rsid w:val="00E40A7B"/>
    <w:rsid w:val="00E40A9D"/>
    <w:rsid w:val="00E40AC9"/>
    <w:rsid w:val="00E40AD0"/>
    <w:rsid w:val="00E40B2F"/>
    <w:rsid w:val="00E40B4F"/>
    <w:rsid w:val="00E40BCF"/>
    <w:rsid w:val="00E40C05"/>
    <w:rsid w:val="00E40C15"/>
    <w:rsid w:val="00E40C77"/>
    <w:rsid w:val="00E40CA2"/>
    <w:rsid w:val="00E40CB9"/>
    <w:rsid w:val="00E40CBA"/>
    <w:rsid w:val="00E40D41"/>
    <w:rsid w:val="00E40D8B"/>
    <w:rsid w:val="00E40DF1"/>
    <w:rsid w:val="00E40E15"/>
    <w:rsid w:val="00E40E34"/>
    <w:rsid w:val="00E40E8E"/>
    <w:rsid w:val="00E40EC8"/>
    <w:rsid w:val="00E40F08"/>
    <w:rsid w:val="00E40F49"/>
    <w:rsid w:val="00E40F78"/>
    <w:rsid w:val="00E40FC7"/>
    <w:rsid w:val="00E41130"/>
    <w:rsid w:val="00E411A1"/>
    <w:rsid w:val="00E41230"/>
    <w:rsid w:val="00E41272"/>
    <w:rsid w:val="00E4128F"/>
    <w:rsid w:val="00E4129F"/>
    <w:rsid w:val="00E412A5"/>
    <w:rsid w:val="00E412BD"/>
    <w:rsid w:val="00E412C6"/>
    <w:rsid w:val="00E41335"/>
    <w:rsid w:val="00E413B4"/>
    <w:rsid w:val="00E413C5"/>
    <w:rsid w:val="00E413F8"/>
    <w:rsid w:val="00E4146D"/>
    <w:rsid w:val="00E4148E"/>
    <w:rsid w:val="00E414A6"/>
    <w:rsid w:val="00E414B1"/>
    <w:rsid w:val="00E41511"/>
    <w:rsid w:val="00E41592"/>
    <w:rsid w:val="00E415F0"/>
    <w:rsid w:val="00E41677"/>
    <w:rsid w:val="00E416C9"/>
    <w:rsid w:val="00E41702"/>
    <w:rsid w:val="00E41712"/>
    <w:rsid w:val="00E4174B"/>
    <w:rsid w:val="00E41760"/>
    <w:rsid w:val="00E417C2"/>
    <w:rsid w:val="00E417CB"/>
    <w:rsid w:val="00E417DA"/>
    <w:rsid w:val="00E417FD"/>
    <w:rsid w:val="00E41825"/>
    <w:rsid w:val="00E418B2"/>
    <w:rsid w:val="00E418EC"/>
    <w:rsid w:val="00E41933"/>
    <w:rsid w:val="00E4196A"/>
    <w:rsid w:val="00E4196B"/>
    <w:rsid w:val="00E41974"/>
    <w:rsid w:val="00E41988"/>
    <w:rsid w:val="00E419AA"/>
    <w:rsid w:val="00E419C9"/>
    <w:rsid w:val="00E419E8"/>
    <w:rsid w:val="00E41A0D"/>
    <w:rsid w:val="00E41A32"/>
    <w:rsid w:val="00E41A6F"/>
    <w:rsid w:val="00E41A73"/>
    <w:rsid w:val="00E41B23"/>
    <w:rsid w:val="00E41B26"/>
    <w:rsid w:val="00E41B3D"/>
    <w:rsid w:val="00E41B6C"/>
    <w:rsid w:val="00E41B87"/>
    <w:rsid w:val="00E41BA8"/>
    <w:rsid w:val="00E41BE9"/>
    <w:rsid w:val="00E41C0C"/>
    <w:rsid w:val="00E41C96"/>
    <w:rsid w:val="00E41C9B"/>
    <w:rsid w:val="00E41CB1"/>
    <w:rsid w:val="00E41CFC"/>
    <w:rsid w:val="00E41D39"/>
    <w:rsid w:val="00E41DE9"/>
    <w:rsid w:val="00E41E27"/>
    <w:rsid w:val="00E41E52"/>
    <w:rsid w:val="00E41EB2"/>
    <w:rsid w:val="00E41F13"/>
    <w:rsid w:val="00E41F53"/>
    <w:rsid w:val="00E41FDB"/>
    <w:rsid w:val="00E42017"/>
    <w:rsid w:val="00E42057"/>
    <w:rsid w:val="00E4205B"/>
    <w:rsid w:val="00E42092"/>
    <w:rsid w:val="00E420E3"/>
    <w:rsid w:val="00E4219D"/>
    <w:rsid w:val="00E421D0"/>
    <w:rsid w:val="00E421F7"/>
    <w:rsid w:val="00E4224F"/>
    <w:rsid w:val="00E4225A"/>
    <w:rsid w:val="00E422BB"/>
    <w:rsid w:val="00E42306"/>
    <w:rsid w:val="00E42330"/>
    <w:rsid w:val="00E42374"/>
    <w:rsid w:val="00E4237B"/>
    <w:rsid w:val="00E42392"/>
    <w:rsid w:val="00E423D3"/>
    <w:rsid w:val="00E4241A"/>
    <w:rsid w:val="00E42427"/>
    <w:rsid w:val="00E42482"/>
    <w:rsid w:val="00E424BF"/>
    <w:rsid w:val="00E424EF"/>
    <w:rsid w:val="00E4252F"/>
    <w:rsid w:val="00E42534"/>
    <w:rsid w:val="00E4253D"/>
    <w:rsid w:val="00E42573"/>
    <w:rsid w:val="00E425EA"/>
    <w:rsid w:val="00E42609"/>
    <w:rsid w:val="00E4264D"/>
    <w:rsid w:val="00E42680"/>
    <w:rsid w:val="00E426E7"/>
    <w:rsid w:val="00E42724"/>
    <w:rsid w:val="00E42727"/>
    <w:rsid w:val="00E42748"/>
    <w:rsid w:val="00E42789"/>
    <w:rsid w:val="00E427E6"/>
    <w:rsid w:val="00E427F2"/>
    <w:rsid w:val="00E42885"/>
    <w:rsid w:val="00E4289F"/>
    <w:rsid w:val="00E428B6"/>
    <w:rsid w:val="00E428E5"/>
    <w:rsid w:val="00E42998"/>
    <w:rsid w:val="00E429A2"/>
    <w:rsid w:val="00E429E0"/>
    <w:rsid w:val="00E42A20"/>
    <w:rsid w:val="00E42AF3"/>
    <w:rsid w:val="00E42BA2"/>
    <w:rsid w:val="00E42BBC"/>
    <w:rsid w:val="00E42BE5"/>
    <w:rsid w:val="00E42C47"/>
    <w:rsid w:val="00E42C76"/>
    <w:rsid w:val="00E42C92"/>
    <w:rsid w:val="00E42C9A"/>
    <w:rsid w:val="00E42CA4"/>
    <w:rsid w:val="00E42CF2"/>
    <w:rsid w:val="00E42D12"/>
    <w:rsid w:val="00E42D56"/>
    <w:rsid w:val="00E42D88"/>
    <w:rsid w:val="00E42D91"/>
    <w:rsid w:val="00E42DC3"/>
    <w:rsid w:val="00E42DF6"/>
    <w:rsid w:val="00E42E1A"/>
    <w:rsid w:val="00E42E84"/>
    <w:rsid w:val="00E42F10"/>
    <w:rsid w:val="00E42FB2"/>
    <w:rsid w:val="00E42FC0"/>
    <w:rsid w:val="00E43007"/>
    <w:rsid w:val="00E43016"/>
    <w:rsid w:val="00E43053"/>
    <w:rsid w:val="00E43074"/>
    <w:rsid w:val="00E430AC"/>
    <w:rsid w:val="00E430F5"/>
    <w:rsid w:val="00E4312C"/>
    <w:rsid w:val="00E43184"/>
    <w:rsid w:val="00E4319C"/>
    <w:rsid w:val="00E431F4"/>
    <w:rsid w:val="00E431F5"/>
    <w:rsid w:val="00E4324D"/>
    <w:rsid w:val="00E43270"/>
    <w:rsid w:val="00E4327B"/>
    <w:rsid w:val="00E432B6"/>
    <w:rsid w:val="00E432C1"/>
    <w:rsid w:val="00E4330D"/>
    <w:rsid w:val="00E4331A"/>
    <w:rsid w:val="00E4332D"/>
    <w:rsid w:val="00E43332"/>
    <w:rsid w:val="00E4335D"/>
    <w:rsid w:val="00E4335E"/>
    <w:rsid w:val="00E43362"/>
    <w:rsid w:val="00E43386"/>
    <w:rsid w:val="00E43392"/>
    <w:rsid w:val="00E433EF"/>
    <w:rsid w:val="00E43422"/>
    <w:rsid w:val="00E4344D"/>
    <w:rsid w:val="00E43457"/>
    <w:rsid w:val="00E4348D"/>
    <w:rsid w:val="00E4348E"/>
    <w:rsid w:val="00E43490"/>
    <w:rsid w:val="00E43531"/>
    <w:rsid w:val="00E43592"/>
    <w:rsid w:val="00E435BD"/>
    <w:rsid w:val="00E435E5"/>
    <w:rsid w:val="00E435F0"/>
    <w:rsid w:val="00E4363B"/>
    <w:rsid w:val="00E43693"/>
    <w:rsid w:val="00E436A9"/>
    <w:rsid w:val="00E436C6"/>
    <w:rsid w:val="00E436C8"/>
    <w:rsid w:val="00E436D7"/>
    <w:rsid w:val="00E43700"/>
    <w:rsid w:val="00E43718"/>
    <w:rsid w:val="00E4371A"/>
    <w:rsid w:val="00E4371F"/>
    <w:rsid w:val="00E43777"/>
    <w:rsid w:val="00E43797"/>
    <w:rsid w:val="00E437D9"/>
    <w:rsid w:val="00E438B6"/>
    <w:rsid w:val="00E43905"/>
    <w:rsid w:val="00E43911"/>
    <w:rsid w:val="00E43912"/>
    <w:rsid w:val="00E43972"/>
    <w:rsid w:val="00E439DF"/>
    <w:rsid w:val="00E439E2"/>
    <w:rsid w:val="00E43A1C"/>
    <w:rsid w:val="00E43A5E"/>
    <w:rsid w:val="00E43B1A"/>
    <w:rsid w:val="00E43B53"/>
    <w:rsid w:val="00E43BD7"/>
    <w:rsid w:val="00E43C08"/>
    <w:rsid w:val="00E43C19"/>
    <w:rsid w:val="00E43CB5"/>
    <w:rsid w:val="00E43CBE"/>
    <w:rsid w:val="00E43CD1"/>
    <w:rsid w:val="00E43CD6"/>
    <w:rsid w:val="00E43CF6"/>
    <w:rsid w:val="00E43D14"/>
    <w:rsid w:val="00E43D26"/>
    <w:rsid w:val="00E43DA6"/>
    <w:rsid w:val="00E43DD0"/>
    <w:rsid w:val="00E43DE8"/>
    <w:rsid w:val="00E43E19"/>
    <w:rsid w:val="00E43EED"/>
    <w:rsid w:val="00E43F72"/>
    <w:rsid w:val="00E43F94"/>
    <w:rsid w:val="00E43FC5"/>
    <w:rsid w:val="00E43FCF"/>
    <w:rsid w:val="00E43FF0"/>
    <w:rsid w:val="00E43FF8"/>
    <w:rsid w:val="00E44015"/>
    <w:rsid w:val="00E4402D"/>
    <w:rsid w:val="00E44034"/>
    <w:rsid w:val="00E4406C"/>
    <w:rsid w:val="00E44117"/>
    <w:rsid w:val="00E44119"/>
    <w:rsid w:val="00E4412B"/>
    <w:rsid w:val="00E44136"/>
    <w:rsid w:val="00E4415E"/>
    <w:rsid w:val="00E44197"/>
    <w:rsid w:val="00E441C9"/>
    <w:rsid w:val="00E4421D"/>
    <w:rsid w:val="00E44221"/>
    <w:rsid w:val="00E44256"/>
    <w:rsid w:val="00E44272"/>
    <w:rsid w:val="00E442D5"/>
    <w:rsid w:val="00E442F6"/>
    <w:rsid w:val="00E44319"/>
    <w:rsid w:val="00E44392"/>
    <w:rsid w:val="00E443A0"/>
    <w:rsid w:val="00E443A8"/>
    <w:rsid w:val="00E443EB"/>
    <w:rsid w:val="00E44409"/>
    <w:rsid w:val="00E44499"/>
    <w:rsid w:val="00E444A6"/>
    <w:rsid w:val="00E444B7"/>
    <w:rsid w:val="00E444DF"/>
    <w:rsid w:val="00E4451C"/>
    <w:rsid w:val="00E4456D"/>
    <w:rsid w:val="00E445EA"/>
    <w:rsid w:val="00E4474A"/>
    <w:rsid w:val="00E44753"/>
    <w:rsid w:val="00E44769"/>
    <w:rsid w:val="00E44778"/>
    <w:rsid w:val="00E447EB"/>
    <w:rsid w:val="00E44842"/>
    <w:rsid w:val="00E448E9"/>
    <w:rsid w:val="00E44914"/>
    <w:rsid w:val="00E4491B"/>
    <w:rsid w:val="00E4492E"/>
    <w:rsid w:val="00E44968"/>
    <w:rsid w:val="00E449CB"/>
    <w:rsid w:val="00E449E6"/>
    <w:rsid w:val="00E449FF"/>
    <w:rsid w:val="00E44AE7"/>
    <w:rsid w:val="00E44AFD"/>
    <w:rsid w:val="00E44B2D"/>
    <w:rsid w:val="00E44B3F"/>
    <w:rsid w:val="00E44BAC"/>
    <w:rsid w:val="00E44BCF"/>
    <w:rsid w:val="00E44C17"/>
    <w:rsid w:val="00E44C26"/>
    <w:rsid w:val="00E44C2B"/>
    <w:rsid w:val="00E44C68"/>
    <w:rsid w:val="00E44CA1"/>
    <w:rsid w:val="00E44CB3"/>
    <w:rsid w:val="00E44CCB"/>
    <w:rsid w:val="00E44D0A"/>
    <w:rsid w:val="00E44D38"/>
    <w:rsid w:val="00E44D42"/>
    <w:rsid w:val="00E44E21"/>
    <w:rsid w:val="00E44E2F"/>
    <w:rsid w:val="00E44E42"/>
    <w:rsid w:val="00E44E7E"/>
    <w:rsid w:val="00E44E81"/>
    <w:rsid w:val="00E44E82"/>
    <w:rsid w:val="00E44EB0"/>
    <w:rsid w:val="00E44EBD"/>
    <w:rsid w:val="00E44EC7"/>
    <w:rsid w:val="00E44F16"/>
    <w:rsid w:val="00E44F28"/>
    <w:rsid w:val="00E44F2E"/>
    <w:rsid w:val="00E44F61"/>
    <w:rsid w:val="00E44FC4"/>
    <w:rsid w:val="00E44FCB"/>
    <w:rsid w:val="00E4500E"/>
    <w:rsid w:val="00E4505F"/>
    <w:rsid w:val="00E450E4"/>
    <w:rsid w:val="00E450FD"/>
    <w:rsid w:val="00E45153"/>
    <w:rsid w:val="00E45227"/>
    <w:rsid w:val="00E45229"/>
    <w:rsid w:val="00E45249"/>
    <w:rsid w:val="00E45264"/>
    <w:rsid w:val="00E45265"/>
    <w:rsid w:val="00E452C6"/>
    <w:rsid w:val="00E452F6"/>
    <w:rsid w:val="00E45390"/>
    <w:rsid w:val="00E4543B"/>
    <w:rsid w:val="00E4544E"/>
    <w:rsid w:val="00E45480"/>
    <w:rsid w:val="00E454CD"/>
    <w:rsid w:val="00E45508"/>
    <w:rsid w:val="00E4556F"/>
    <w:rsid w:val="00E45571"/>
    <w:rsid w:val="00E4562F"/>
    <w:rsid w:val="00E456DE"/>
    <w:rsid w:val="00E456F0"/>
    <w:rsid w:val="00E4573D"/>
    <w:rsid w:val="00E4578F"/>
    <w:rsid w:val="00E45797"/>
    <w:rsid w:val="00E457BE"/>
    <w:rsid w:val="00E457D5"/>
    <w:rsid w:val="00E45810"/>
    <w:rsid w:val="00E458CC"/>
    <w:rsid w:val="00E45903"/>
    <w:rsid w:val="00E4592C"/>
    <w:rsid w:val="00E45933"/>
    <w:rsid w:val="00E4595A"/>
    <w:rsid w:val="00E4596F"/>
    <w:rsid w:val="00E4597E"/>
    <w:rsid w:val="00E459D8"/>
    <w:rsid w:val="00E459EF"/>
    <w:rsid w:val="00E45A03"/>
    <w:rsid w:val="00E45A0F"/>
    <w:rsid w:val="00E45A52"/>
    <w:rsid w:val="00E45A6C"/>
    <w:rsid w:val="00E45A89"/>
    <w:rsid w:val="00E45A8C"/>
    <w:rsid w:val="00E45AA0"/>
    <w:rsid w:val="00E45AB0"/>
    <w:rsid w:val="00E45AB3"/>
    <w:rsid w:val="00E45AB4"/>
    <w:rsid w:val="00E45AD6"/>
    <w:rsid w:val="00E45B3D"/>
    <w:rsid w:val="00E45B8B"/>
    <w:rsid w:val="00E45BB3"/>
    <w:rsid w:val="00E45BF6"/>
    <w:rsid w:val="00E45C1E"/>
    <w:rsid w:val="00E45C25"/>
    <w:rsid w:val="00E45C2E"/>
    <w:rsid w:val="00E45C43"/>
    <w:rsid w:val="00E45C76"/>
    <w:rsid w:val="00E45CAB"/>
    <w:rsid w:val="00E45CE8"/>
    <w:rsid w:val="00E45D7E"/>
    <w:rsid w:val="00E45E46"/>
    <w:rsid w:val="00E45E4F"/>
    <w:rsid w:val="00E45EBC"/>
    <w:rsid w:val="00E45EF3"/>
    <w:rsid w:val="00E45EF9"/>
    <w:rsid w:val="00E45F53"/>
    <w:rsid w:val="00E45F67"/>
    <w:rsid w:val="00E45FA7"/>
    <w:rsid w:val="00E45FBC"/>
    <w:rsid w:val="00E45FD6"/>
    <w:rsid w:val="00E45FE6"/>
    <w:rsid w:val="00E46008"/>
    <w:rsid w:val="00E46092"/>
    <w:rsid w:val="00E460A0"/>
    <w:rsid w:val="00E460B5"/>
    <w:rsid w:val="00E460DF"/>
    <w:rsid w:val="00E46119"/>
    <w:rsid w:val="00E46127"/>
    <w:rsid w:val="00E46132"/>
    <w:rsid w:val="00E46136"/>
    <w:rsid w:val="00E461D1"/>
    <w:rsid w:val="00E461F8"/>
    <w:rsid w:val="00E46210"/>
    <w:rsid w:val="00E46216"/>
    <w:rsid w:val="00E46236"/>
    <w:rsid w:val="00E462A6"/>
    <w:rsid w:val="00E462DA"/>
    <w:rsid w:val="00E46305"/>
    <w:rsid w:val="00E46338"/>
    <w:rsid w:val="00E46352"/>
    <w:rsid w:val="00E46358"/>
    <w:rsid w:val="00E46379"/>
    <w:rsid w:val="00E463E8"/>
    <w:rsid w:val="00E4645A"/>
    <w:rsid w:val="00E4648C"/>
    <w:rsid w:val="00E4649A"/>
    <w:rsid w:val="00E464B9"/>
    <w:rsid w:val="00E4650D"/>
    <w:rsid w:val="00E46520"/>
    <w:rsid w:val="00E465C1"/>
    <w:rsid w:val="00E4663D"/>
    <w:rsid w:val="00E4664B"/>
    <w:rsid w:val="00E466CC"/>
    <w:rsid w:val="00E466E6"/>
    <w:rsid w:val="00E46734"/>
    <w:rsid w:val="00E4674B"/>
    <w:rsid w:val="00E4675A"/>
    <w:rsid w:val="00E46803"/>
    <w:rsid w:val="00E46887"/>
    <w:rsid w:val="00E468E9"/>
    <w:rsid w:val="00E46954"/>
    <w:rsid w:val="00E46987"/>
    <w:rsid w:val="00E469B5"/>
    <w:rsid w:val="00E469F1"/>
    <w:rsid w:val="00E469F3"/>
    <w:rsid w:val="00E46A29"/>
    <w:rsid w:val="00E46A55"/>
    <w:rsid w:val="00E46A56"/>
    <w:rsid w:val="00E46A8D"/>
    <w:rsid w:val="00E46A93"/>
    <w:rsid w:val="00E46AAF"/>
    <w:rsid w:val="00E46AC4"/>
    <w:rsid w:val="00E46B2B"/>
    <w:rsid w:val="00E46B6E"/>
    <w:rsid w:val="00E46B7D"/>
    <w:rsid w:val="00E46BCA"/>
    <w:rsid w:val="00E46C70"/>
    <w:rsid w:val="00E46C9E"/>
    <w:rsid w:val="00E46CFD"/>
    <w:rsid w:val="00E46D27"/>
    <w:rsid w:val="00E46D58"/>
    <w:rsid w:val="00E46D94"/>
    <w:rsid w:val="00E46DB0"/>
    <w:rsid w:val="00E46DEF"/>
    <w:rsid w:val="00E46DFC"/>
    <w:rsid w:val="00E46F86"/>
    <w:rsid w:val="00E46FA1"/>
    <w:rsid w:val="00E46FDB"/>
    <w:rsid w:val="00E4705D"/>
    <w:rsid w:val="00E4707E"/>
    <w:rsid w:val="00E4711E"/>
    <w:rsid w:val="00E4714D"/>
    <w:rsid w:val="00E4716F"/>
    <w:rsid w:val="00E47195"/>
    <w:rsid w:val="00E471AA"/>
    <w:rsid w:val="00E471AD"/>
    <w:rsid w:val="00E471C0"/>
    <w:rsid w:val="00E4720A"/>
    <w:rsid w:val="00E47244"/>
    <w:rsid w:val="00E47272"/>
    <w:rsid w:val="00E4727D"/>
    <w:rsid w:val="00E473A0"/>
    <w:rsid w:val="00E47431"/>
    <w:rsid w:val="00E47478"/>
    <w:rsid w:val="00E47496"/>
    <w:rsid w:val="00E47519"/>
    <w:rsid w:val="00E47554"/>
    <w:rsid w:val="00E47596"/>
    <w:rsid w:val="00E475E3"/>
    <w:rsid w:val="00E4760C"/>
    <w:rsid w:val="00E47630"/>
    <w:rsid w:val="00E47637"/>
    <w:rsid w:val="00E476BC"/>
    <w:rsid w:val="00E476D6"/>
    <w:rsid w:val="00E476D7"/>
    <w:rsid w:val="00E476DA"/>
    <w:rsid w:val="00E476DF"/>
    <w:rsid w:val="00E4770B"/>
    <w:rsid w:val="00E47737"/>
    <w:rsid w:val="00E477D0"/>
    <w:rsid w:val="00E47878"/>
    <w:rsid w:val="00E4787F"/>
    <w:rsid w:val="00E4789E"/>
    <w:rsid w:val="00E478D5"/>
    <w:rsid w:val="00E47902"/>
    <w:rsid w:val="00E4791D"/>
    <w:rsid w:val="00E4798E"/>
    <w:rsid w:val="00E479BF"/>
    <w:rsid w:val="00E47A2D"/>
    <w:rsid w:val="00E47AAA"/>
    <w:rsid w:val="00E47AC3"/>
    <w:rsid w:val="00E47B37"/>
    <w:rsid w:val="00E47B40"/>
    <w:rsid w:val="00E47CBD"/>
    <w:rsid w:val="00E47D28"/>
    <w:rsid w:val="00E47DD2"/>
    <w:rsid w:val="00E47DD9"/>
    <w:rsid w:val="00E47E25"/>
    <w:rsid w:val="00E47E46"/>
    <w:rsid w:val="00E47E50"/>
    <w:rsid w:val="00E47E79"/>
    <w:rsid w:val="00E47E80"/>
    <w:rsid w:val="00E47EB7"/>
    <w:rsid w:val="00E47ECC"/>
    <w:rsid w:val="00E47EDE"/>
    <w:rsid w:val="00E47EE9"/>
    <w:rsid w:val="00E47F7B"/>
    <w:rsid w:val="00E47F9D"/>
    <w:rsid w:val="00E5001C"/>
    <w:rsid w:val="00E5002D"/>
    <w:rsid w:val="00E5013C"/>
    <w:rsid w:val="00E50149"/>
    <w:rsid w:val="00E50190"/>
    <w:rsid w:val="00E501DC"/>
    <w:rsid w:val="00E50205"/>
    <w:rsid w:val="00E50233"/>
    <w:rsid w:val="00E5024D"/>
    <w:rsid w:val="00E50269"/>
    <w:rsid w:val="00E50277"/>
    <w:rsid w:val="00E502C6"/>
    <w:rsid w:val="00E502FE"/>
    <w:rsid w:val="00E50302"/>
    <w:rsid w:val="00E50319"/>
    <w:rsid w:val="00E5035D"/>
    <w:rsid w:val="00E50363"/>
    <w:rsid w:val="00E5048D"/>
    <w:rsid w:val="00E50560"/>
    <w:rsid w:val="00E50565"/>
    <w:rsid w:val="00E50605"/>
    <w:rsid w:val="00E50693"/>
    <w:rsid w:val="00E5069B"/>
    <w:rsid w:val="00E506A9"/>
    <w:rsid w:val="00E506D6"/>
    <w:rsid w:val="00E50743"/>
    <w:rsid w:val="00E50773"/>
    <w:rsid w:val="00E50774"/>
    <w:rsid w:val="00E5078A"/>
    <w:rsid w:val="00E507A8"/>
    <w:rsid w:val="00E507F1"/>
    <w:rsid w:val="00E508D0"/>
    <w:rsid w:val="00E508DE"/>
    <w:rsid w:val="00E508F7"/>
    <w:rsid w:val="00E508FF"/>
    <w:rsid w:val="00E5090E"/>
    <w:rsid w:val="00E50942"/>
    <w:rsid w:val="00E509E1"/>
    <w:rsid w:val="00E509F3"/>
    <w:rsid w:val="00E50A07"/>
    <w:rsid w:val="00E50A48"/>
    <w:rsid w:val="00E50A60"/>
    <w:rsid w:val="00E50ACB"/>
    <w:rsid w:val="00E50B03"/>
    <w:rsid w:val="00E50B23"/>
    <w:rsid w:val="00E50B9F"/>
    <w:rsid w:val="00E50BB8"/>
    <w:rsid w:val="00E50C0C"/>
    <w:rsid w:val="00E50CFB"/>
    <w:rsid w:val="00E50D29"/>
    <w:rsid w:val="00E50D43"/>
    <w:rsid w:val="00E50D50"/>
    <w:rsid w:val="00E50DC4"/>
    <w:rsid w:val="00E50E0D"/>
    <w:rsid w:val="00E50E51"/>
    <w:rsid w:val="00E50E99"/>
    <w:rsid w:val="00E50EE3"/>
    <w:rsid w:val="00E50F18"/>
    <w:rsid w:val="00E50F1D"/>
    <w:rsid w:val="00E50F29"/>
    <w:rsid w:val="00E50F52"/>
    <w:rsid w:val="00E50F58"/>
    <w:rsid w:val="00E50F87"/>
    <w:rsid w:val="00E50F95"/>
    <w:rsid w:val="00E50FF7"/>
    <w:rsid w:val="00E51027"/>
    <w:rsid w:val="00E51031"/>
    <w:rsid w:val="00E51033"/>
    <w:rsid w:val="00E51046"/>
    <w:rsid w:val="00E5104D"/>
    <w:rsid w:val="00E51073"/>
    <w:rsid w:val="00E51130"/>
    <w:rsid w:val="00E5113D"/>
    <w:rsid w:val="00E5114B"/>
    <w:rsid w:val="00E51165"/>
    <w:rsid w:val="00E51186"/>
    <w:rsid w:val="00E511A7"/>
    <w:rsid w:val="00E511DD"/>
    <w:rsid w:val="00E511F9"/>
    <w:rsid w:val="00E512C4"/>
    <w:rsid w:val="00E512F2"/>
    <w:rsid w:val="00E51312"/>
    <w:rsid w:val="00E51353"/>
    <w:rsid w:val="00E51381"/>
    <w:rsid w:val="00E513C2"/>
    <w:rsid w:val="00E513F9"/>
    <w:rsid w:val="00E5140C"/>
    <w:rsid w:val="00E514E2"/>
    <w:rsid w:val="00E51501"/>
    <w:rsid w:val="00E5150B"/>
    <w:rsid w:val="00E5151A"/>
    <w:rsid w:val="00E51527"/>
    <w:rsid w:val="00E5155B"/>
    <w:rsid w:val="00E5159A"/>
    <w:rsid w:val="00E5159C"/>
    <w:rsid w:val="00E515E9"/>
    <w:rsid w:val="00E5160E"/>
    <w:rsid w:val="00E5164D"/>
    <w:rsid w:val="00E51674"/>
    <w:rsid w:val="00E51675"/>
    <w:rsid w:val="00E516CF"/>
    <w:rsid w:val="00E51706"/>
    <w:rsid w:val="00E51718"/>
    <w:rsid w:val="00E51762"/>
    <w:rsid w:val="00E51767"/>
    <w:rsid w:val="00E5177A"/>
    <w:rsid w:val="00E5177F"/>
    <w:rsid w:val="00E517CD"/>
    <w:rsid w:val="00E517F9"/>
    <w:rsid w:val="00E51816"/>
    <w:rsid w:val="00E5187E"/>
    <w:rsid w:val="00E5190E"/>
    <w:rsid w:val="00E5193E"/>
    <w:rsid w:val="00E5194F"/>
    <w:rsid w:val="00E51960"/>
    <w:rsid w:val="00E51982"/>
    <w:rsid w:val="00E519EC"/>
    <w:rsid w:val="00E51A15"/>
    <w:rsid w:val="00E51A53"/>
    <w:rsid w:val="00E51A6A"/>
    <w:rsid w:val="00E51A8B"/>
    <w:rsid w:val="00E51AE3"/>
    <w:rsid w:val="00E51AF3"/>
    <w:rsid w:val="00E51AF7"/>
    <w:rsid w:val="00E51B28"/>
    <w:rsid w:val="00E51B2A"/>
    <w:rsid w:val="00E51B33"/>
    <w:rsid w:val="00E51BB7"/>
    <w:rsid w:val="00E51C20"/>
    <w:rsid w:val="00E51C62"/>
    <w:rsid w:val="00E51C93"/>
    <w:rsid w:val="00E51CBA"/>
    <w:rsid w:val="00E51CF2"/>
    <w:rsid w:val="00E51D47"/>
    <w:rsid w:val="00E51D6A"/>
    <w:rsid w:val="00E51DE1"/>
    <w:rsid w:val="00E51E04"/>
    <w:rsid w:val="00E51E1A"/>
    <w:rsid w:val="00E51E6B"/>
    <w:rsid w:val="00E51EB6"/>
    <w:rsid w:val="00E51ED5"/>
    <w:rsid w:val="00E51F04"/>
    <w:rsid w:val="00E51F62"/>
    <w:rsid w:val="00E51FD1"/>
    <w:rsid w:val="00E51FD9"/>
    <w:rsid w:val="00E51FF5"/>
    <w:rsid w:val="00E5203A"/>
    <w:rsid w:val="00E52041"/>
    <w:rsid w:val="00E520BD"/>
    <w:rsid w:val="00E520D5"/>
    <w:rsid w:val="00E5213A"/>
    <w:rsid w:val="00E52146"/>
    <w:rsid w:val="00E5217C"/>
    <w:rsid w:val="00E521A9"/>
    <w:rsid w:val="00E521B1"/>
    <w:rsid w:val="00E5222D"/>
    <w:rsid w:val="00E522CC"/>
    <w:rsid w:val="00E522FB"/>
    <w:rsid w:val="00E52379"/>
    <w:rsid w:val="00E52398"/>
    <w:rsid w:val="00E523C5"/>
    <w:rsid w:val="00E523D1"/>
    <w:rsid w:val="00E523DA"/>
    <w:rsid w:val="00E523EE"/>
    <w:rsid w:val="00E52453"/>
    <w:rsid w:val="00E52480"/>
    <w:rsid w:val="00E524AF"/>
    <w:rsid w:val="00E524D2"/>
    <w:rsid w:val="00E52527"/>
    <w:rsid w:val="00E52535"/>
    <w:rsid w:val="00E52537"/>
    <w:rsid w:val="00E52541"/>
    <w:rsid w:val="00E5257E"/>
    <w:rsid w:val="00E525DC"/>
    <w:rsid w:val="00E525EC"/>
    <w:rsid w:val="00E525F5"/>
    <w:rsid w:val="00E525FB"/>
    <w:rsid w:val="00E5269A"/>
    <w:rsid w:val="00E526B4"/>
    <w:rsid w:val="00E526D6"/>
    <w:rsid w:val="00E526DE"/>
    <w:rsid w:val="00E526EB"/>
    <w:rsid w:val="00E52730"/>
    <w:rsid w:val="00E52735"/>
    <w:rsid w:val="00E527A2"/>
    <w:rsid w:val="00E5280B"/>
    <w:rsid w:val="00E5286C"/>
    <w:rsid w:val="00E528F8"/>
    <w:rsid w:val="00E52957"/>
    <w:rsid w:val="00E529AA"/>
    <w:rsid w:val="00E529C6"/>
    <w:rsid w:val="00E52A05"/>
    <w:rsid w:val="00E52A0E"/>
    <w:rsid w:val="00E52A20"/>
    <w:rsid w:val="00E52AFE"/>
    <w:rsid w:val="00E52B34"/>
    <w:rsid w:val="00E52B5D"/>
    <w:rsid w:val="00E52B78"/>
    <w:rsid w:val="00E52C3C"/>
    <w:rsid w:val="00E52C87"/>
    <w:rsid w:val="00E52CBF"/>
    <w:rsid w:val="00E52CC4"/>
    <w:rsid w:val="00E52CE1"/>
    <w:rsid w:val="00E52D2F"/>
    <w:rsid w:val="00E52D45"/>
    <w:rsid w:val="00E52D53"/>
    <w:rsid w:val="00E52D60"/>
    <w:rsid w:val="00E52D9D"/>
    <w:rsid w:val="00E52DA2"/>
    <w:rsid w:val="00E52DA3"/>
    <w:rsid w:val="00E52DE5"/>
    <w:rsid w:val="00E52DE6"/>
    <w:rsid w:val="00E52E00"/>
    <w:rsid w:val="00E52E02"/>
    <w:rsid w:val="00E52E46"/>
    <w:rsid w:val="00E52E5D"/>
    <w:rsid w:val="00E52E7B"/>
    <w:rsid w:val="00E52ED8"/>
    <w:rsid w:val="00E52F22"/>
    <w:rsid w:val="00E52F7B"/>
    <w:rsid w:val="00E52FA7"/>
    <w:rsid w:val="00E530AD"/>
    <w:rsid w:val="00E530D1"/>
    <w:rsid w:val="00E530DE"/>
    <w:rsid w:val="00E530E3"/>
    <w:rsid w:val="00E53102"/>
    <w:rsid w:val="00E53146"/>
    <w:rsid w:val="00E53151"/>
    <w:rsid w:val="00E53152"/>
    <w:rsid w:val="00E53176"/>
    <w:rsid w:val="00E53178"/>
    <w:rsid w:val="00E53188"/>
    <w:rsid w:val="00E531B2"/>
    <w:rsid w:val="00E53202"/>
    <w:rsid w:val="00E5320E"/>
    <w:rsid w:val="00E5324B"/>
    <w:rsid w:val="00E53309"/>
    <w:rsid w:val="00E5330A"/>
    <w:rsid w:val="00E53344"/>
    <w:rsid w:val="00E53384"/>
    <w:rsid w:val="00E533AA"/>
    <w:rsid w:val="00E533B8"/>
    <w:rsid w:val="00E5340E"/>
    <w:rsid w:val="00E53459"/>
    <w:rsid w:val="00E5348E"/>
    <w:rsid w:val="00E5349D"/>
    <w:rsid w:val="00E53500"/>
    <w:rsid w:val="00E5356D"/>
    <w:rsid w:val="00E53581"/>
    <w:rsid w:val="00E5359D"/>
    <w:rsid w:val="00E53629"/>
    <w:rsid w:val="00E53678"/>
    <w:rsid w:val="00E53697"/>
    <w:rsid w:val="00E536A0"/>
    <w:rsid w:val="00E536BC"/>
    <w:rsid w:val="00E53702"/>
    <w:rsid w:val="00E53717"/>
    <w:rsid w:val="00E5372C"/>
    <w:rsid w:val="00E53762"/>
    <w:rsid w:val="00E537A3"/>
    <w:rsid w:val="00E537A8"/>
    <w:rsid w:val="00E537E5"/>
    <w:rsid w:val="00E53855"/>
    <w:rsid w:val="00E53877"/>
    <w:rsid w:val="00E5392E"/>
    <w:rsid w:val="00E53944"/>
    <w:rsid w:val="00E5399F"/>
    <w:rsid w:val="00E539C4"/>
    <w:rsid w:val="00E539CA"/>
    <w:rsid w:val="00E53A22"/>
    <w:rsid w:val="00E53A37"/>
    <w:rsid w:val="00E53A68"/>
    <w:rsid w:val="00E53AB3"/>
    <w:rsid w:val="00E53AD8"/>
    <w:rsid w:val="00E53ADE"/>
    <w:rsid w:val="00E53B1C"/>
    <w:rsid w:val="00E53B35"/>
    <w:rsid w:val="00E53B6B"/>
    <w:rsid w:val="00E53BD8"/>
    <w:rsid w:val="00E53BED"/>
    <w:rsid w:val="00E53BFF"/>
    <w:rsid w:val="00E53C01"/>
    <w:rsid w:val="00E53C0B"/>
    <w:rsid w:val="00E53C62"/>
    <w:rsid w:val="00E53C80"/>
    <w:rsid w:val="00E53CC4"/>
    <w:rsid w:val="00E53D03"/>
    <w:rsid w:val="00E53D0B"/>
    <w:rsid w:val="00E53D1A"/>
    <w:rsid w:val="00E53D1D"/>
    <w:rsid w:val="00E53D3F"/>
    <w:rsid w:val="00E53D90"/>
    <w:rsid w:val="00E53DED"/>
    <w:rsid w:val="00E53DF3"/>
    <w:rsid w:val="00E53E03"/>
    <w:rsid w:val="00E53E0A"/>
    <w:rsid w:val="00E53E1C"/>
    <w:rsid w:val="00E53E55"/>
    <w:rsid w:val="00E53E60"/>
    <w:rsid w:val="00E53EB5"/>
    <w:rsid w:val="00E53F7C"/>
    <w:rsid w:val="00E53F7E"/>
    <w:rsid w:val="00E53F8B"/>
    <w:rsid w:val="00E53F9E"/>
    <w:rsid w:val="00E53FDB"/>
    <w:rsid w:val="00E5401B"/>
    <w:rsid w:val="00E54081"/>
    <w:rsid w:val="00E540E8"/>
    <w:rsid w:val="00E540F5"/>
    <w:rsid w:val="00E5411C"/>
    <w:rsid w:val="00E5414D"/>
    <w:rsid w:val="00E5416F"/>
    <w:rsid w:val="00E541BF"/>
    <w:rsid w:val="00E541E2"/>
    <w:rsid w:val="00E541EC"/>
    <w:rsid w:val="00E54260"/>
    <w:rsid w:val="00E54295"/>
    <w:rsid w:val="00E542B3"/>
    <w:rsid w:val="00E54307"/>
    <w:rsid w:val="00E54312"/>
    <w:rsid w:val="00E5432E"/>
    <w:rsid w:val="00E54454"/>
    <w:rsid w:val="00E5445A"/>
    <w:rsid w:val="00E544C0"/>
    <w:rsid w:val="00E54539"/>
    <w:rsid w:val="00E5457D"/>
    <w:rsid w:val="00E546F2"/>
    <w:rsid w:val="00E546FB"/>
    <w:rsid w:val="00E5472F"/>
    <w:rsid w:val="00E5474F"/>
    <w:rsid w:val="00E5475B"/>
    <w:rsid w:val="00E5475C"/>
    <w:rsid w:val="00E54781"/>
    <w:rsid w:val="00E547A4"/>
    <w:rsid w:val="00E547EB"/>
    <w:rsid w:val="00E54875"/>
    <w:rsid w:val="00E548BA"/>
    <w:rsid w:val="00E54904"/>
    <w:rsid w:val="00E54911"/>
    <w:rsid w:val="00E54965"/>
    <w:rsid w:val="00E549A2"/>
    <w:rsid w:val="00E549C1"/>
    <w:rsid w:val="00E54A09"/>
    <w:rsid w:val="00E54A1E"/>
    <w:rsid w:val="00E54A48"/>
    <w:rsid w:val="00E54A92"/>
    <w:rsid w:val="00E54AE8"/>
    <w:rsid w:val="00E54AF6"/>
    <w:rsid w:val="00E54B32"/>
    <w:rsid w:val="00E54B33"/>
    <w:rsid w:val="00E54B44"/>
    <w:rsid w:val="00E54B46"/>
    <w:rsid w:val="00E54B5F"/>
    <w:rsid w:val="00E54B6F"/>
    <w:rsid w:val="00E54C5F"/>
    <w:rsid w:val="00E54C6C"/>
    <w:rsid w:val="00E54CB0"/>
    <w:rsid w:val="00E54CB1"/>
    <w:rsid w:val="00E54CDA"/>
    <w:rsid w:val="00E54D2D"/>
    <w:rsid w:val="00E54DC2"/>
    <w:rsid w:val="00E54E1C"/>
    <w:rsid w:val="00E54E6C"/>
    <w:rsid w:val="00E54EAF"/>
    <w:rsid w:val="00E54ED1"/>
    <w:rsid w:val="00E54EE3"/>
    <w:rsid w:val="00E54F19"/>
    <w:rsid w:val="00E54F6B"/>
    <w:rsid w:val="00E54F84"/>
    <w:rsid w:val="00E54FC5"/>
    <w:rsid w:val="00E55037"/>
    <w:rsid w:val="00E55051"/>
    <w:rsid w:val="00E550A9"/>
    <w:rsid w:val="00E550AA"/>
    <w:rsid w:val="00E5510E"/>
    <w:rsid w:val="00E55113"/>
    <w:rsid w:val="00E55145"/>
    <w:rsid w:val="00E55188"/>
    <w:rsid w:val="00E551C0"/>
    <w:rsid w:val="00E55212"/>
    <w:rsid w:val="00E5523B"/>
    <w:rsid w:val="00E55251"/>
    <w:rsid w:val="00E552A3"/>
    <w:rsid w:val="00E552A4"/>
    <w:rsid w:val="00E55324"/>
    <w:rsid w:val="00E55396"/>
    <w:rsid w:val="00E553F3"/>
    <w:rsid w:val="00E55415"/>
    <w:rsid w:val="00E5547C"/>
    <w:rsid w:val="00E55490"/>
    <w:rsid w:val="00E554AB"/>
    <w:rsid w:val="00E554C6"/>
    <w:rsid w:val="00E55521"/>
    <w:rsid w:val="00E55529"/>
    <w:rsid w:val="00E5559C"/>
    <w:rsid w:val="00E555B3"/>
    <w:rsid w:val="00E555C7"/>
    <w:rsid w:val="00E555F7"/>
    <w:rsid w:val="00E5563D"/>
    <w:rsid w:val="00E55673"/>
    <w:rsid w:val="00E55754"/>
    <w:rsid w:val="00E5579F"/>
    <w:rsid w:val="00E557B7"/>
    <w:rsid w:val="00E557D2"/>
    <w:rsid w:val="00E5585C"/>
    <w:rsid w:val="00E55879"/>
    <w:rsid w:val="00E558D9"/>
    <w:rsid w:val="00E5598E"/>
    <w:rsid w:val="00E559A0"/>
    <w:rsid w:val="00E55A38"/>
    <w:rsid w:val="00E55A46"/>
    <w:rsid w:val="00E55A7E"/>
    <w:rsid w:val="00E55ADF"/>
    <w:rsid w:val="00E55AEC"/>
    <w:rsid w:val="00E55AEF"/>
    <w:rsid w:val="00E55AF6"/>
    <w:rsid w:val="00E55B03"/>
    <w:rsid w:val="00E55B4C"/>
    <w:rsid w:val="00E55B70"/>
    <w:rsid w:val="00E55B7B"/>
    <w:rsid w:val="00E55BEB"/>
    <w:rsid w:val="00E55BF8"/>
    <w:rsid w:val="00E55C1D"/>
    <w:rsid w:val="00E55C53"/>
    <w:rsid w:val="00E55CE7"/>
    <w:rsid w:val="00E55D4D"/>
    <w:rsid w:val="00E55D82"/>
    <w:rsid w:val="00E55DB8"/>
    <w:rsid w:val="00E55E36"/>
    <w:rsid w:val="00E55E56"/>
    <w:rsid w:val="00E55E99"/>
    <w:rsid w:val="00E55F33"/>
    <w:rsid w:val="00E55F6C"/>
    <w:rsid w:val="00E55F70"/>
    <w:rsid w:val="00E55F9A"/>
    <w:rsid w:val="00E56018"/>
    <w:rsid w:val="00E56073"/>
    <w:rsid w:val="00E560C2"/>
    <w:rsid w:val="00E56153"/>
    <w:rsid w:val="00E56179"/>
    <w:rsid w:val="00E56190"/>
    <w:rsid w:val="00E561E6"/>
    <w:rsid w:val="00E56240"/>
    <w:rsid w:val="00E5626C"/>
    <w:rsid w:val="00E562E5"/>
    <w:rsid w:val="00E5631A"/>
    <w:rsid w:val="00E56385"/>
    <w:rsid w:val="00E563D3"/>
    <w:rsid w:val="00E56415"/>
    <w:rsid w:val="00E56450"/>
    <w:rsid w:val="00E56458"/>
    <w:rsid w:val="00E56462"/>
    <w:rsid w:val="00E56468"/>
    <w:rsid w:val="00E56482"/>
    <w:rsid w:val="00E56499"/>
    <w:rsid w:val="00E5656F"/>
    <w:rsid w:val="00E56586"/>
    <w:rsid w:val="00E565C8"/>
    <w:rsid w:val="00E565D0"/>
    <w:rsid w:val="00E56637"/>
    <w:rsid w:val="00E5664D"/>
    <w:rsid w:val="00E566F0"/>
    <w:rsid w:val="00E566FD"/>
    <w:rsid w:val="00E56702"/>
    <w:rsid w:val="00E56759"/>
    <w:rsid w:val="00E56836"/>
    <w:rsid w:val="00E568B0"/>
    <w:rsid w:val="00E568B8"/>
    <w:rsid w:val="00E5690A"/>
    <w:rsid w:val="00E56966"/>
    <w:rsid w:val="00E569B0"/>
    <w:rsid w:val="00E569C3"/>
    <w:rsid w:val="00E569CD"/>
    <w:rsid w:val="00E569F3"/>
    <w:rsid w:val="00E56A72"/>
    <w:rsid w:val="00E56A9D"/>
    <w:rsid w:val="00E56BFA"/>
    <w:rsid w:val="00E56C28"/>
    <w:rsid w:val="00E56CAA"/>
    <w:rsid w:val="00E56CEC"/>
    <w:rsid w:val="00E56D7F"/>
    <w:rsid w:val="00E56D82"/>
    <w:rsid w:val="00E56E28"/>
    <w:rsid w:val="00E56E41"/>
    <w:rsid w:val="00E56E8E"/>
    <w:rsid w:val="00E56E96"/>
    <w:rsid w:val="00E56EBA"/>
    <w:rsid w:val="00E56ECB"/>
    <w:rsid w:val="00E56ED8"/>
    <w:rsid w:val="00E56EF6"/>
    <w:rsid w:val="00E56FA8"/>
    <w:rsid w:val="00E56FB9"/>
    <w:rsid w:val="00E56FC3"/>
    <w:rsid w:val="00E56FE9"/>
    <w:rsid w:val="00E5709B"/>
    <w:rsid w:val="00E570E8"/>
    <w:rsid w:val="00E57108"/>
    <w:rsid w:val="00E57135"/>
    <w:rsid w:val="00E5714F"/>
    <w:rsid w:val="00E5717A"/>
    <w:rsid w:val="00E5719C"/>
    <w:rsid w:val="00E571DB"/>
    <w:rsid w:val="00E5725D"/>
    <w:rsid w:val="00E57264"/>
    <w:rsid w:val="00E57270"/>
    <w:rsid w:val="00E572C0"/>
    <w:rsid w:val="00E5730C"/>
    <w:rsid w:val="00E5732C"/>
    <w:rsid w:val="00E57357"/>
    <w:rsid w:val="00E57390"/>
    <w:rsid w:val="00E573A3"/>
    <w:rsid w:val="00E573FF"/>
    <w:rsid w:val="00E57413"/>
    <w:rsid w:val="00E5742D"/>
    <w:rsid w:val="00E57449"/>
    <w:rsid w:val="00E57494"/>
    <w:rsid w:val="00E574BE"/>
    <w:rsid w:val="00E574C9"/>
    <w:rsid w:val="00E574FE"/>
    <w:rsid w:val="00E5750C"/>
    <w:rsid w:val="00E57663"/>
    <w:rsid w:val="00E57667"/>
    <w:rsid w:val="00E57699"/>
    <w:rsid w:val="00E576A1"/>
    <w:rsid w:val="00E576C9"/>
    <w:rsid w:val="00E57796"/>
    <w:rsid w:val="00E577EF"/>
    <w:rsid w:val="00E577FA"/>
    <w:rsid w:val="00E5782F"/>
    <w:rsid w:val="00E5789E"/>
    <w:rsid w:val="00E578B7"/>
    <w:rsid w:val="00E578CE"/>
    <w:rsid w:val="00E57948"/>
    <w:rsid w:val="00E57996"/>
    <w:rsid w:val="00E579D9"/>
    <w:rsid w:val="00E57A72"/>
    <w:rsid w:val="00E57A76"/>
    <w:rsid w:val="00E57A88"/>
    <w:rsid w:val="00E57ABE"/>
    <w:rsid w:val="00E57ACB"/>
    <w:rsid w:val="00E57AD9"/>
    <w:rsid w:val="00E57AF6"/>
    <w:rsid w:val="00E57B3B"/>
    <w:rsid w:val="00E57B4D"/>
    <w:rsid w:val="00E57B4E"/>
    <w:rsid w:val="00E57B68"/>
    <w:rsid w:val="00E57BB8"/>
    <w:rsid w:val="00E57C2F"/>
    <w:rsid w:val="00E57C88"/>
    <w:rsid w:val="00E57C91"/>
    <w:rsid w:val="00E57C9D"/>
    <w:rsid w:val="00E57CAB"/>
    <w:rsid w:val="00E57D61"/>
    <w:rsid w:val="00E57D6B"/>
    <w:rsid w:val="00E57D7A"/>
    <w:rsid w:val="00E57DA1"/>
    <w:rsid w:val="00E57DA3"/>
    <w:rsid w:val="00E57DD7"/>
    <w:rsid w:val="00E57E00"/>
    <w:rsid w:val="00E57E63"/>
    <w:rsid w:val="00E57ECA"/>
    <w:rsid w:val="00E57EE2"/>
    <w:rsid w:val="00E57EEF"/>
    <w:rsid w:val="00E57F32"/>
    <w:rsid w:val="00E57F50"/>
    <w:rsid w:val="00E57F6A"/>
    <w:rsid w:val="00E57FAD"/>
    <w:rsid w:val="00E6003A"/>
    <w:rsid w:val="00E60061"/>
    <w:rsid w:val="00E60101"/>
    <w:rsid w:val="00E6010F"/>
    <w:rsid w:val="00E6011C"/>
    <w:rsid w:val="00E60168"/>
    <w:rsid w:val="00E601C7"/>
    <w:rsid w:val="00E601CA"/>
    <w:rsid w:val="00E601D0"/>
    <w:rsid w:val="00E6020E"/>
    <w:rsid w:val="00E602B3"/>
    <w:rsid w:val="00E602E3"/>
    <w:rsid w:val="00E602E5"/>
    <w:rsid w:val="00E602E9"/>
    <w:rsid w:val="00E602F3"/>
    <w:rsid w:val="00E60328"/>
    <w:rsid w:val="00E60383"/>
    <w:rsid w:val="00E60385"/>
    <w:rsid w:val="00E603DF"/>
    <w:rsid w:val="00E603FB"/>
    <w:rsid w:val="00E60400"/>
    <w:rsid w:val="00E604BC"/>
    <w:rsid w:val="00E6052D"/>
    <w:rsid w:val="00E60534"/>
    <w:rsid w:val="00E60550"/>
    <w:rsid w:val="00E605F4"/>
    <w:rsid w:val="00E6060F"/>
    <w:rsid w:val="00E60629"/>
    <w:rsid w:val="00E60637"/>
    <w:rsid w:val="00E60695"/>
    <w:rsid w:val="00E606CB"/>
    <w:rsid w:val="00E606D1"/>
    <w:rsid w:val="00E606DC"/>
    <w:rsid w:val="00E60825"/>
    <w:rsid w:val="00E60856"/>
    <w:rsid w:val="00E6085D"/>
    <w:rsid w:val="00E60889"/>
    <w:rsid w:val="00E608DA"/>
    <w:rsid w:val="00E60956"/>
    <w:rsid w:val="00E6095B"/>
    <w:rsid w:val="00E609EC"/>
    <w:rsid w:val="00E60A33"/>
    <w:rsid w:val="00E60A73"/>
    <w:rsid w:val="00E60A78"/>
    <w:rsid w:val="00E60A9A"/>
    <w:rsid w:val="00E60B02"/>
    <w:rsid w:val="00E60B79"/>
    <w:rsid w:val="00E60B81"/>
    <w:rsid w:val="00E60B8E"/>
    <w:rsid w:val="00E60B94"/>
    <w:rsid w:val="00E60B9B"/>
    <w:rsid w:val="00E60C08"/>
    <w:rsid w:val="00E60C98"/>
    <w:rsid w:val="00E60C9E"/>
    <w:rsid w:val="00E60CCB"/>
    <w:rsid w:val="00E60CD0"/>
    <w:rsid w:val="00E60D0E"/>
    <w:rsid w:val="00E60D26"/>
    <w:rsid w:val="00E60D6D"/>
    <w:rsid w:val="00E60DD6"/>
    <w:rsid w:val="00E60E0D"/>
    <w:rsid w:val="00E60E19"/>
    <w:rsid w:val="00E60E3A"/>
    <w:rsid w:val="00E60E4D"/>
    <w:rsid w:val="00E60E84"/>
    <w:rsid w:val="00E60F21"/>
    <w:rsid w:val="00E60F68"/>
    <w:rsid w:val="00E60F6D"/>
    <w:rsid w:val="00E60F81"/>
    <w:rsid w:val="00E60FE6"/>
    <w:rsid w:val="00E61039"/>
    <w:rsid w:val="00E6103E"/>
    <w:rsid w:val="00E61045"/>
    <w:rsid w:val="00E61058"/>
    <w:rsid w:val="00E6109F"/>
    <w:rsid w:val="00E6111E"/>
    <w:rsid w:val="00E61129"/>
    <w:rsid w:val="00E61178"/>
    <w:rsid w:val="00E6119B"/>
    <w:rsid w:val="00E611F8"/>
    <w:rsid w:val="00E61280"/>
    <w:rsid w:val="00E612BC"/>
    <w:rsid w:val="00E612C9"/>
    <w:rsid w:val="00E612E7"/>
    <w:rsid w:val="00E612FE"/>
    <w:rsid w:val="00E6130E"/>
    <w:rsid w:val="00E6132D"/>
    <w:rsid w:val="00E61361"/>
    <w:rsid w:val="00E61363"/>
    <w:rsid w:val="00E6138D"/>
    <w:rsid w:val="00E613BB"/>
    <w:rsid w:val="00E613DE"/>
    <w:rsid w:val="00E613ED"/>
    <w:rsid w:val="00E61485"/>
    <w:rsid w:val="00E614D8"/>
    <w:rsid w:val="00E61541"/>
    <w:rsid w:val="00E61572"/>
    <w:rsid w:val="00E61598"/>
    <w:rsid w:val="00E615ED"/>
    <w:rsid w:val="00E615F3"/>
    <w:rsid w:val="00E61677"/>
    <w:rsid w:val="00E61717"/>
    <w:rsid w:val="00E61759"/>
    <w:rsid w:val="00E61774"/>
    <w:rsid w:val="00E61786"/>
    <w:rsid w:val="00E617AE"/>
    <w:rsid w:val="00E617D7"/>
    <w:rsid w:val="00E61851"/>
    <w:rsid w:val="00E61855"/>
    <w:rsid w:val="00E61863"/>
    <w:rsid w:val="00E618DA"/>
    <w:rsid w:val="00E618FD"/>
    <w:rsid w:val="00E61923"/>
    <w:rsid w:val="00E61953"/>
    <w:rsid w:val="00E61A16"/>
    <w:rsid w:val="00E61A17"/>
    <w:rsid w:val="00E61AD1"/>
    <w:rsid w:val="00E61AEA"/>
    <w:rsid w:val="00E61B07"/>
    <w:rsid w:val="00E61B24"/>
    <w:rsid w:val="00E61B2F"/>
    <w:rsid w:val="00E61B4A"/>
    <w:rsid w:val="00E61B7F"/>
    <w:rsid w:val="00E61C49"/>
    <w:rsid w:val="00E61CAC"/>
    <w:rsid w:val="00E61D16"/>
    <w:rsid w:val="00E61D63"/>
    <w:rsid w:val="00E61D78"/>
    <w:rsid w:val="00E61D8B"/>
    <w:rsid w:val="00E61DCD"/>
    <w:rsid w:val="00E61DFF"/>
    <w:rsid w:val="00E61E2D"/>
    <w:rsid w:val="00E61E42"/>
    <w:rsid w:val="00E61E91"/>
    <w:rsid w:val="00E61EAA"/>
    <w:rsid w:val="00E61EDF"/>
    <w:rsid w:val="00E61EF8"/>
    <w:rsid w:val="00E61F80"/>
    <w:rsid w:val="00E61FC4"/>
    <w:rsid w:val="00E61FD5"/>
    <w:rsid w:val="00E61FD8"/>
    <w:rsid w:val="00E61FE7"/>
    <w:rsid w:val="00E62042"/>
    <w:rsid w:val="00E62055"/>
    <w:rsid w:val="00E6205B"/>
    <w:rsid w:val="00E6208C"/>
    <w:rsid w:val="00E62096"/>
    <w:rsid w:val="00E620C5"/>
    <w:rsid w:val="00E620EE"/>
    <w:rsid w:val="00E6210E"/>
    <w:rsid w:val="00E6217D"/>
    <w:rsid w:val="00E621C1"/>
    <w:rsid w:val="00E62255"/>
    <w:rsid w:val="00E62256"/>
    <w:rsid w:val="00E62257"/>
    <w:rsid w:val="00E622DB"/>
    <w:rsid w:val="00E6230B"/>
    <w:rsid w:val="00E62314"/>
    <w:rsid w:val="00E62330"/>
    <w:rsid w:val="00E62377"/>
    <w:rsid w:val="00E62382"/>
    <w:rsid w:val="00E6241A"/>
    <w:rsid w:val="00E6242F"/>
    <w:rsid w:val="00E6248B"/>
    <w:rsid w:val="00E624DA"/>
    <w:rsid w:val="00E624E2"/>
    <w:rsid w:val="00E624F8"/>
    <w:rsid w:val="00E62523"/>
    <w:rsid w:val="00E62534"/>
    <w:rsid w:val="00E62549"/>
    <w:rsid w:val="00E625B7"/>
    <w:rsid w:val="00E625D2"/>
    <w:rsid w:val="00E62684"/>
    <w:rsid w:val="00E6268C"/>
    <w:rsid w:val="00E626AA"/>
    <w:rsid w:val="00E626B0"/>
    <w:rsid w:val="00E62721"/>
    <w:rsid w:val="00E627B3"/>
    <w:rsid w:val="00E627C2"/>
    <w:rsid w:val="00E627CE"/>
    <w:rsid w:val="00E62854"/>
    <w:rsid w:val="00E62962"/>
    <w:rsid w:val="00E6297E"/>
    <w:rsid w:val="00E629A9"/>
    <w:rsid w:val="00E629BC"/>
    <w:rsid w:val="00E62A31"/>
    <w:rsid w:val="00E62A73"/>
    <w:rsid w:val="00E62AC8"/>
    <w:rsid w:val="00E62ADF"/>
    <w:rsid w:val="00E62AFD"/>
    <w:rsid w:val="00E62B38"/>
    <w:rsid w:val="00E62B43"/>
    <w:rsid w:val="00E62B5C"/>
    <w:rsid w:val="00E62B85"/>
    <w:rsid w:val="00E62B9F"/>
    <w:rsid w:val="00E62BF7"/>
    <w:rsid w:val="00E62C65"/>
    <w:rsid w:val="00E62C81"/>
    <w:rsid w:val="00E62CBD"/>
    <w:rsid w:val="00E62D2D"/>
    <w:rsid w:val="00E62E00"/>
    <w:rsid w:val="00E62E18"/>
    <w:rsid w:val="00E62E32"/>
    <w:rsid w:val="00E62E8A"/>
    <w:rsid w:val="00E62EEE"/>
    <w:rsid w:val="00E62F12"/>
    <w:rsid w:val="00E62F8E"/>
    <w:rsid w:val="00E62FDD"/>
    <w:rsid w:val="00E63046"/>
    <w:rsid w:val="00E6308C"/>
    <w:rsid w:val="00E6309A"/>
    <w:rsid w:val="00E630DD"/>
    <w:rsid w:val="00E630ED"/>
    <w:rsid w:val="00E6314C"/>
    <w:rsid w:val="00E63155"/>
    <w:rsid w:val="00E6318A"/>
    <w:rsid w:val="00E63303"/>
    <w:rsid w:val="00E6330B"/>
    <w:rsid w:val="00E63313"/>
    <w:rsid w:val="00E63356"/>
    <w:rsid w:val="00E633AB"/>
    <w:rsid w:val="00E63424"/>
    <w:rsid w:val="00E63448"/>
    <w:rsid w:val="00E63454"/>
    <w:rsid w:val="00E6345C"/>
    <w:rsid w:val="00E63484"/>
    <w:rsid w:val="00E634C9"/>
    <w:rsid w:val="00E6355F"/>
    <w:rsid w:val="00E63597"/>
    <w:rsid w:val="00E635DF"/>
    <w:rsid w:val="00E635F0"/>
    <w:rsid w:val="00E63620"/>
    <w:rsid w:val="00E63671"/>
    <w:rsid w:val="00E636F2"/>
    <w:rsid w:val="00E63732"/>
    <w:rsid w:val="00E63759"/>
    <w:rsid w:val="00E63811"/>
    <w:rsid w:val="00E63843"/>
    <w:rsid w:val="00E63894"/>
    <w:rsid w:val="00E638CE"/>
    <w:rsid w:val="00E638E2"/>
    <w:rsid w:val="00E6394B"/>
    <w:rsid w:val="00E6395B"/>
    <w:rsid w:val="00E63980"/>
    <w:rsid w:val="00E63A00"/>
    <w:rsid w:val="00E63A1A"/>
    <w:rsid w:val="00E63A1C"/>
    <w:rsid w:val="00E63A1F"/>
    <w:rsid w:val="00E63A31"/>
    <w:rsid w:val="00E63A61"/>
    <w:rsid w:val="00E63B1B"/>
    <w:rsid w:val="00E63B9C"/>
    <w:rsid w:val="00E63C01"/>
    <w:rsid w:val="00E63C27"/>
    <w:rsid w:val="00E63C48"/>
    <w:rsid w:val="00E63D46"/>
    <w:rsid w:val="00E63D6C"/>
    <w:rsid w:val="00E63D9D"/>
    <w:rsid w:val="00E63DC6"/>
    <w:rsid w:val="00E63DF0"/>
    <w:rsid w:val="00E63E50"/>
    <w:rsid w:val="00E63E5E"/>
    <w:rsid w:val="00E63EBC"/>
    <w:rsid w:val="00E63EBE"/>
    <w:rsid w:val="00E63ED6"/>
    <w:rsid w:val="00E63EF8"/>
    <w:rsid w:val="00E63F77"/>
    <w:rsid w:val="00E63FAF"/>
    <w:rsid w:val="00E63FB3"/>
    <w:rsid w:val="00E63FB4"/>
    <w:rsid w:val="00E64005"/>
    <w:rsid w:val="00E64098"/>
    <w:rsid w:val="00E640A3"/>
    <w:rsid w:val="00E640C9"/>
    <w:rsid w:val="00E64122"/>
    <w:rsid w:val="00E64195"/>
    <w:rsid w:val="00E641BB"/>
    <w:rsid w:val="00E641CE"/>
    <w:rsid w:val="00E641E7"/>
    <w:rsid w:val="00E6420B"/>
    <w:rsid w:val="00E64214"/>
    <w:rsid w:val="00E64243"/>
    <w:rsid w:val="00E642A1"/>
    <w:rsid w:val="00E643B3"/>
    <w:rsid w:val="00E643DF"/>
    <w:rsid w:val="00E64423"/>
    <w:rsid w:val="00E64435"/>
    <w:rsid w:val="00E64450"/>
    <w:rsid w:val="00E64473"/>
    <w:rsid w:val="00E6447D"/>
    <w:rsid w:val="00E6448F"/>
    <w:rsid w:val="00E644CC"/>
    <w:rsid w:val="00E644F4"/>
    <w:rsid w:val="00E64530"/>
    <w:rsid w:val="00E64567"/>
    <w:rsid w:val="00E64573"/>
    <w:rsid w:val="00E64589"/>
    <w:rsid w:val="00E64594"/>
    <w:rsid w:val="00E645A6"/>
    <w:rsid w:val="00E645CB"/>
    <w:rsid w:val="00E64600"/>
    <w:rsid w:val="00E64678"/>
    <w:rsid w:val="00E646A8"/>
    <w:rsid w:val="00E646FA"/>
    <w:rsid w:val="00E64717"/>
    <w:rsid w:val="00E64724"/>
    <w:rsid w:val="00E647C1"/>
    <w:rsid w:val="00E647E4"/>
    <w:rsid w:val="00E6480F"/>
    <w:rsid w:val="00E64866"/>
    <w:rsid w:val="00E64878"/>
    <w:rsid w:val="00E648CF"/>
    <w:rsid w:val="00E648E8"/>
    <w:rsid w:val="00E6490E"/>
    <w:rsid w:val="00E649A9"/>
    <w:rsid w:val="00E649D0"/>
    <w:rsid w:val="00E64A55"/>
    <w:rsid w:val="00E64A99"/>
    <w:rsid w:val="00E64A9C"/>
    <w:rsid w:val="00E64B23"/>
    <w:rsid w:val="00E64B77"/>
    <w:rsid w:val="00E64C27"/>
    <w:rsid w:val="00E64C2E"/>
    <w:rsid w:val="00E64CB0"/>
    <w:rsid w:val="00E64CF6"/>
    <w:rsid w:val="00E64D0F"/>
    <w:rsid w:val="00E64D30"/>
    <w:rsid w:val="00E64D44"/>
    <w:rsid w:val="00E64D54"/>
    <w:rsid w:val="00E64DB7"/>
    <w:rsid w:val="00E64DF3"/>
    <w:rsid w:val="00E64E9E"/>
    <w:rsid w:val="00E64ECA"/>
    <w:rsid w:val="00E64EE8"/>
    <w:rsid w:val="00E64F17"/>
    <w:rsid w:val="00E64FCD"/>
    <w:rsid w:val="00E65004"/>
    <w:rsid w:val="00E65090"/>
    <w:rsid w:val="00E650C4"/>
    <w:rsid w:val="00E650CA"/>
    <w:rsid w:val="00E650D6"/>
    <w:rsid w:val="00E6517C"/>
    <w:rsid w:val="00E65273"/>
    <w:rsid w:val="00E6528F"/>
    <w:rsid w:val="00E65372"/>
    <w:rsid w:val="00E6538B"/>
    <w:rsid w:val="00E653F8"/>
    <w:rsid w:val="00E65440"/>
    <w:rsid w:val="00E6547B"/>
    <w:rsid w:val="00E654F0"/>
    <w:rsid w:val="00E654F5"/>
    <w:rsid w:val="00E65514"/>
    <w:rsid w:val="00E65515"/>
    <w:rsid w:val="00E65545"/>
    <w:rsid w:val="00E65571"/>
    <w:rsid w:val="00E655AD"/>
    <w:rsid w:val="00E65653"/>
    <w:rsid w:val="00E6567E"/>
    <w:rsid w:val="00E6568E"/>
    <w:rsid w:val="00E656A5"/>
    <w:rsid w:val="00E656F1"/>
    <w:rsid w:val="00E65702"/>
    <w:rsid w:val="00E65721"/>
    <w:rsid w:val="00E65755"/>
    <w:rsid w:val="00E6575A"/>
    <w:rsid w:val="00E65768"/>
    <w:rsid w:val="00E6580D"/>
    <w:rsid w:val="00E65812"/>
    <w:rsid w:val="00E65815"/>
    <w:rsid w:val="00E6586E"/>
    <w:rsid w:val="00E65944"/>
    <w:rsid w:val="00E6596D"/>
    <w:rsid w:val="00E659E5"/>
    <w:rsid w:val="00E659EE"/>
    <w:rsid w:val="00E65A36"/>
    <w:rsid w:val="00E65B1A"/>
    <w:rsid w:val="00E65B61"/>
    <w:rsid w:val="00E65B72"/>
    <w:rsid w:val="00E65B92"/>
    <w:rsid w:val="00E65B97"/>
    <w:rsid w:val="00E65BE2"/>
    <w:rsid w:val="00E65C0B"/>
    <w:rsid w:val="00E65C1F"/>
    <w:rsid w:val="00E65C70"/>
    <w:rsid w:val="00E65CC2"/>
    <w:rsid w:val="00E65CD0"/>
    <w:rsid w:val="00E65D4B"/>
    <w:rsid w:val="00E65D61"/>
    <w:rsid w:val="00E65D6C"/>
    <w:rsid w:val="00E65DAC"/>
    <w:rsid w:val="00E65DFE"/>
    <w:rsid w:val="00E65E05"/>
    <w:rsid w:val="00E65E35"/>
    <w:rsid w:val="00E65E7F"/>
    <w:rsid w:val="00E65E8C"/>
    <w:rsid w:val="00E65F5D"/>
    <w:rsid w:val="00E65F68"/>
    <w:rsid w:val="00E66001"/>
    <w:rsid w:val="00E66023"/>
    <w:rsid w:val="00E6602C"/>
    <w:rsid w:val="00E6609E"/>
    <w:rsid w:val="00E660E8"/>
    <w:rsid w:val="00E66224"/>
    <w:rsid w:val="00E66239"/>
    <w:rsid w:val="00E662DB"/>
    <w:rsid w:val="00E662EB"/>
    <w:rsid w:val="00E664B7"/>
    <w:rsid w:val="00E6652E"/>
    <w:rsid w:val="00E66561"/>
    <w:rsid w:val="00E665E2"/>
    <w:rsid w:val="00E66642"/>
    <w:rsid w:val="00E6665C"/>
    <w:rsid w:val="00E66697"/>
    <w:rsid w:val="00E6669A"/>
    <w:rsid w:val="00E666AA"/>
    <w:rsid w:val="00E666EF"/>
    <w:rsid w:val="00E666F8"/>
    <w:rsid w:val="00E66740"/>
    <w:rsid w:val="00E66747"/>
    <w:rsid w:val="00E6674C"/>
    <w:rsid w:val="00E6674D"/>
    <w:rsid w:val="00E66769"/>
    <w:rsid w:val="00E667CA"/>
    <w:rsid w:val="00E667ED"/>
    <w:rsid w:val="00E66831"/>
    <w:rsid w:val="00E66869"/>
    <w:rsid w:val="00E668A1"/>
    <w:rsid w:val="00E668DD"/>
    <w:rsid w:val="00E668E7"/>
    <w:rsid w:val="00E669B8"/>
    <w:rsid w:val="00E669D8"/>
    <w:rsid w:val="00E66A3F"/>
    <w:rsid w:val="00E66A7B"/>
    <w:rsid w:val="00E66A89"/>
    <w:rsid w:val="00E66AFA"/>
    <w:rsid w:val="00E66B47"/>
    <w:rsid w:val="00E66BB1"/>
    <w:rsid w:val="00E66BD5"/>
    <w:rsid w:val="00E66C00"/>
    <w:rsid w:val="00E66C54"/>
    <w:rsid w:val="00E66C5F"/>
    <w:rsid w:val="00E66C79"/>
    <w:rsid w:val="00E66C92"/>
    <w:rsid w:val="00E66CA5"/>
    <w:rsid w:val="00E66CEA"/>
    <w:rsid w:val="00E66D25"/>
    <w:rsid w:val="00E66D54"/>
    <w:rsid w:val="00E66D5F"/>
    <w:rsid w:val="00E66DDC"/>
    <w:rsid w:val="00E66DF8"/>
    <w:rsid w:val="00E66DFF"/>
    <w:rsid w:val="00E66E1D"/>
    <w:rsid w:val="00E66EFD"/>
    <w:rsid w:val="00E66F57"/>
    <w:rsid w:val="00E66F82"/>
    <w:rsid w:val="00E66FA9"/>
    <w:rsid w:val="00E6703C"/>
    <w:rsid w:val="00E67061"/>
    <w:rsid w:val="00E67074"/>
    <w:rsid w:val="00E670C4"/>
    <w:rsid w:val="00E670EF"/>
    <w:rsid w:val="00E670FD"/>
    <w:rsid w:val="00E6710F"/>
    <w:rsid w:val="00E671A8"/>
    <w:rsid w:val="00E672C1"/>
    <w:rsid w:val="00E672D4"/>
    <w:rsid w:val="00E672FB"/>
    <w:rsid w:val="00E67348"/>
    <w:rsid w:val="00E6737B"/>
    <w:rsid w:val="00E673B5"/>
    <w:rsid w:val="00E673DA"/>
    <w:rsid w:val="00E673F5"/>
    <w:rsid w:val="00E6743D"/>
    <w:rsid w:val="00E67452"/>
    <w:rsid w:val="00E67471"/>
    <w:rsid w:val="00E67496"/>
    <w:rsid w:val="00E674AB"/>
    <w:rsid w:val="00E674CA"/>
    <w:rsid w:val="00E67512"/>
    <w:rsid w:val="00E6753A"/>
    <w:rsid w:val="00E6754A"/>
    <w:rsid w:val="00E67558"/>
    <w:rsid w:val="00E67589"/>
    <w:rsid w:val="00E675A5"/>
    <w:rsid w:val="00E675C3"/>
    <w:rsid w:val="00E675FA"/>
    <w:rsid w:val="00E67607"/>
    <w:rsid w:val="00E67673"/>
    <w:rsid w:val="00E67690"/>
    <w:rsid w:val="00E676AD"/>
    <w:rsid w:val="00E676D7"/>
    <w:rsid w:val="00E676DE"/>
    <w:rsid w:val="00E67754"/>
    <w:rsid w:val="00E67757"/>
    <w:rsid w:val="00E67803"/>
    <w:rsid w:val="00E678A9"/>
    <w:rsid w:val="00E678B8"/>
    <w:rsid w:val="00E678CB"/>
    <w:rsid w:val="00E678DA"/>
    <w:rsid w:val="00E67913"/>
    <w:rsid w:val="00E679AD"/>
    <w:rsid w:val="00E679D2"/>
    <w:rsid w:val="00E67A1B"/>
    <w:rsid w:val="00E67A1F"/>
    <w:rsid w:val="00E67A6F"/>
    <w:rsid w:val="00E67A78"/>
    <w:rsid w:val="00E67ABB"/>
    <w:rsid w:val="00E67AC3"/>
    <w:rsid w:val="00E67AE0"/>
    <w:rsid w:val="00E67AF9"/>
    <w:rsid w:val="00E67B5A"/>
    <w:rsid w:val="00E67BF6"/>
    <w:rsid w:val="00E67C11"/>
    <w:rsid w:val="00E67C39"/>
    <w:rsid w:val="00E67C9D"/>
    <w:rsid w:val="00E67CBB"/>
    <w:rsid w:val="00E67CC6"/>
    <w:rsid w:val="00E67CE4"/>
    <w:rsid w:val="00E67D69"/>
    <w:rsid w:val="00E67D6F"/>
    <w:rsid w:val="00E67D83"/>
    <w:rsid w:val="00E67DB8"/>
    <w:rsid w:val="00E67DE3"/>
    <w:rsid w:val="00E67E31"/>
    <w:rsid w:val="00E67E90"/>
    <w:rsid w:val="00E67F10"/>
    <w:rsid w:val="00E67F4F"/>
    <w:rsid w:val="00E67F77"/>
    <w:rsid w:val="00E67F89"/>
    <w:rsid w:val="00E67FD8"/>
    <w:rsid w:val="00E67FD9"/>
    <w:rsid w:val="00E67FF3"/>
    <w:rsid w:val="00E7000E"/>
    <w:rsid w:val="00E70011"/>
    <w:rsid w:val="00E700C3"/>
    <w:rsid w:val="00E700DE"/>
    <w:rsid w:val="00E700E0"/>
    <w:rsid w:val="00E7010D"/>
    <w:rsid w:val="00E70113"/>
    <w:rsid w:val="00E7011E"/>
    <w:rsid w:val="00E70130"/>
    <w:rsid w:val="00E70144"/>
    <w:rsid w:val="00E70196"/>
    <w:rsid w:val="00E7019F"/>
    <w:rsid w:val="00E701AA"/>
    <w:rsid w:val="00E701B2"/>
    <w:rsid w:val="00E701DF"/>
    <w:rsid w:val="00E70216"/>
    <w:rsid w:val="00E7021A"/>
    <w:rsid w:val="00E70284"/>
    <w:rsid w:val="00E7033B"/>
    <w:rsid w:val="00E7033D"/>
    <w:rsid w:val="00E7035E"/>
    <w:rsid w:val="00E70373"/>
    <w:rsid w:val="00E703C0"/>
    <w:rsid w:val="00E70490"/>
    <w:rsid w:val="00E704A3"/>
    <w:rsid w:val="00E704AB"/>
    <w:rsid w:val="00E70549"/>
    <w:rsid w:val="00E70558"/>
    <w:rsid w:val="00E7057E"/>
    <w:rsid w:val="00E705C7"/>
    <w:rsid w:val="00E705E9"/>
    <w:rsid w:val="00E70601"/>
    <w:rsid w:val="00E7061A"/>
    <w:rsid w:val="00E70674"/>
    <w:rsid w:val="00E70677"/>
    <w:rsid w:val="00E706C4"/>
    <w:rsid w:val="00E706C5"/>
    <w:rsid w:val="00E707D2"/>
    <w:rsid w:val="00E7081C"/>
    <w:rsid w:val="00E70856"/>
    <w:rsid w:val="00E7087D"/>
    <w:rsid w:val="00E7088C"/>
    <w:rsid w:val="00E708C1"/>
    <w:rsid w:val="00E708E8"/>
    <w:rsid w:val="00E70917"/>
    <w:rsid w:val="00E70959"/>
    <w:rsid w:val="00E70996"/>
    <w:rsid w:val="00E709A5"/>
    <w:rsid w:val="00E709BC"/>
    <w:rsid w:val="00E709E1"/>
    <w:rsid w:val="00E70A6F"/>
    <w:rsid w:val="00E70B44"/>
    <w:rsid w:val="00E70B5B"/>
    <w:rsid w:val="00E70B80"/>
    <w:rsid w:val="00E70B8D"/>
    <w:rsid w:val="00E70BC3"/>
    <w:rsid w:val="00E70C34"/>
    <w:rsid w:val="00E70D0F"/>
    <w:rsid w:val="00E70D34"/>
    <w:rsid w:val="00E70D46"/>
    <w:rsid w:val="00E70D4D"/>
    <w:rsid w:val="00E70D6B"/>
    <w:rsid w:val="00E70DE7"/>
    <w:rsid w:val="00E70E03"/>
    <w:rsid w:val="00E70E48"/>
    <w:rsid w:val="00E70E66"/>
    <w:rsid w:val="00E70F15"/>
    <w:rsid w:val="00E70F67"/>
    <w:rsid w:val="00E70F85"/>
    <w:rsid w:val="00E70FA4"/>
    <w:rsid w:val="00E70FC0"/>
    <w:rsid w:val="00E70FD6"/>
    <w:rsid w:val="00E70FF8"/>
    <w:rsid w:val="00E7104C"/>
    <w:rsid w:val="00E7104D"/>
    <w:rsid w:val="00E710CD"/>
    <w:rsid w:val="00E710E4"/>
    <w:rsid w:val="00E71162"/>
    <w:rsid w:val="00E71224"/>
    <w:rsid w:val="00E71252"/>
    <w:rsid w:val="00E7128A"/>
    <w:rsid w:val="00E712AE"/>
    <w:rsid w:val="00E7136F"/>
    <w:rsid w:val="00E7146A"/>
    <w:rsid w:val="00E71492"/>
    <w:rsid w:val="00E71496"/>
    <w:rsid w:val="00E714A2"/>
    <w:rsid w:val="00E714D4"/>
    <w:rsid w:val="00E71509"/>
    <w:rsid w:val="00E71523"/>
    <w:rsid w:val="00E715E8"/>
    <w:rsid w:val="00E71619"/>
    <w:rsid w:val="00E71625"/>
    <w:rsid w:val="00E7168A"/>
    <w:rsid w:val="00E716A5"/>
    <w:rsid w:val="00E716D0"/>
    <w:rsid w:val="00E716FB"/>
    <w:rsid w:val="00E71720"/>
    <w:rsid w:val="00E71742"/>
    <w:rsid w:val="00E7176F"/>
    <w:rsid w:val="00E7184F"/>
    <w:rsid w:val="00E71858"/>
    <w:rsid w:val="00E718A9"/>
    <w:rsid w:val="00E718AF"/>
    <w:rsid w:val="00E718B0"/>
    <w:rsid w:val="00E718C8"/>
    <w:rsid w:val="00E718EF"/>
    <w:rsid w:val="00E7190F"/>
    <w:rsid w:val="00E71914"/>
    <w:rsid w:val="00E71943"/>
    <w:rsid w:val="00E71945"/>
    <w:rsid w:val="00E71995"/>
    <w:rsid w:val="00E719A0"/>
    <w:rsid w:val="00E719BA"/>
    <w:rsid w:val="00E719C9"/>
    <w:rsid w:val="00E71A08"/>
    <w:rsid w:val="00E71A23"/>
    <w:rsid w:val="00E71A98"/>
    <w:rsid w:val="00E71AC3"/>
    <w:rsid w:val="00E71B1C"/>
    <w:rsid w:val="00E71BA7"/>
    <w:rsid w:val="00E71BF1"/>
    <w:rsid w:val="00E71C0D"/>
    <w:rsid w:val="00E71C11"/>
    <w:rsid w:val="00E71C32"/>
    <w:rsid w:val="00E71C39"/>
    <w:rsid w:val="00E71D34"/>
    <w:rsid w:val="00E71D3C"/>
    <w:rsid w:val="00E71D5E"/>
    <w:rsid w:val="00E71D8C"/>
    <w:rsid w:val="00E71DC9"/>
    <w:rsid w:val="00E71E04"/>
    <w:rsid w:val="00E71E06"/>
    <w:rsid w:val="00E71E60"/>
    <w:rsid w:val="00E71E83"/>
    <w:rsid w:val="00E71F76"/>
    <w:rsid w:val="00E71F91"/>
    <w:rsid w:val="00E71F9D"/>
    <w:rsid w:val="00E71FBD"/>
    <w:rsid w:val="00E71FF9"/>
    <w:rsid w:val="00E72011"/>
    <w:rsid w:val="00E72034"/>
    <w:rsid w:val="00E7206B"/>
    <w:rsid w:val="00E72094"/>
    <w:rsid w:val="00E72146"/>
    <w:rsid w:val="00E721B1"/>
    <w:rsid w:val="00E7222E"/>
    <w:rsid w:val="00E7222F"/>
    <w:rsid w:val="00E72239"/>
    <w:rsid w:val="00E72270"/>
    <w:rsid w:val="00E7228A"/>
    <w:rsid w:val="00E7229E"/>
    <w:rsid w:val="00E722B6"/>
    <w:rsid w:val="00E722D7"/>
    <w:rsid w:val="00E72312"/>
    <w:rsid w:val="00E7238A"/>
    <w:rsid w:val="00E723D9"/>
    <w:rsid w:val="00E723F5"/>
    <w:rsid w:val="00E72426"/>
    <w:rsid w:val="00E7243C"/>
    <w:rsid w:val="00E72492"/>
    <w:rsid w:val="00E724B9"/>
    <w:rsid w:val="00E72556"/>
    <w:rsid w:val="00E72590"/>
    <w:rsid w:val="00E725B1"/>
    <w:rsid w:val="00E7260E"/>
    <w:rsid w:val="00E7266C"/>
    <w:rsid w:val="00E726AF"/>
    <w:rsid w:val="00E726CF"/>
    <w:rsid w:val="00E726D7"/>
    <w:rsid w:val="00E726F7"/>
    <w:rsid w:val="00E72751"/>
    <w:rsid w:val="00E72767"/>
    <w:rsid w:val="00E72775"/>
    <w:rsid w:val="00E727ED"/>
    <w:rsid w:val="00E72836"/>
    <w:rsid w:val="00E7286C"/>
    <w:rsid w:val="00E72908"/>
    <w:rsid w:val="00E72911"/>
    <w:rsid w:val="00E7291A"/>
    <w:rsid w:val="00E72930"/>
    <w:rsid w:val="00E72954"/>
    <w:rsid w:val="00E729AA"/>
    <w:rsid w:val="00E72A03"/>
    <w:rsid w:val="00E72A18"/>
    <w:rsid w:val="00E72A50"/>
    <w:rsid w:val="00E72AA4"/>
    <w:rsid w:val="00E72AAF"/>
    <w:rsid w:val="00E72AF0"/>
    <w:rsid w:val="00E72B05"/>
    <w:rsid w:val="00E72B48"/>
    <w:rsid w:val="00E72B54"/>
    <w:rsid w:val="00E72B9E"/>
    <w:rsid w:val="00E72BA2"/>
    <w:rsid w:val="00E72C56"/>
    <w:rsid w:val="00E72C69"/>
    <w:rsid w:val="00E72C81"/>
    <w:rsid w:val="00E72CF5"/>
    <w:rsid w:val="00E72D5D"/>
    <w:rsid w:val="00E72D5F"/>
    <w:rsid w:val="00E72D7C"/>
    <w:rsid w:val="00E72D86"/>
    <w:rsid w:val="00E72DA6"/>
    <w:rsid w:val="00E72E17"/>
    <w:rsid w:val="00E72E22"/>
    <w:rsid w:val="00E72E98"/>
    <w:rsid w:val="00E72EBD"/>
    <w:rsid w:val="00E72F09"/>
    <w:rsid w:val="00E72F0E"/>
    <w:rsid w:val="00E72F55"/>
    <w:rsid w:val="00E72FAD"/>
    <w:rsid w:val="00E73095"/>
    <w:rsid w:val="00E73164"/>
    <w:rsid w:val="00E7316E"/>
    <w:rsid w:val="00E7317B"/>
    <w:rsid w:val="00E731B4"/>
    <w:rsid w:val="00E731E4"/>
    <w:rsid w:val="00E731F0"/>
    <w:rsid w:val="00E731FE"/>
    <w:rsid w:val="00E73207"/>
    <w:rsid w:val="00E73292"/>
    <w:rsid w:val="00E732A7"/>
    <w:rsid w:val="00E732B2"/>
    <w:rsid w:val="00E732D1"/>
    <w:rsid w:val="00E732D5"/>
    <w:rsid w:val="00E732E7"/>
    <w:rsid w:val="00E73328"/>
    <w:rsid w:val="00E7332D"/>
    <w:rsid w:val="00E733C5"/>
    <w:rsid w:val="00E733E4"/>
    <w:rsid w:val="00E73414"/>
    <w:rsid w:val="00E7343D"/>
    <w:rsid w:val="00E7345F"/>
    <w:rsid w:val="00E73466"/>
    <w:rsid w:val="00E73494"/>
    <w:rsid w:val="00E734D2"/>
    <w:rsid w:val="00E734F8"/>
    <w:rsid w:val="00E73504"/>
    <w:rsid w:val="00E73516"/>
    <w:rsid w:val="00E735EE"/>
    <w:rsid w:val="00E7361A"/>
    <w:rsid w:val="00E7361B"/>
    <w:rsid w:val="00E73632"/>
    <w:rsid w:val="00E73641"/>
    <w:rsid w:val="00E736E5"/>
    <w:rsid w:val="00E73707"/>
    <w:rsid w:val="00E73789"/>
    <w:rsid w:val="00E737F8"/>
    <w:rsid w:val="00E737FC"/>
    <w:rsid w:val="00E7381F"/>
    <w:rsid w:val="00E7382A"/>
    <w:rsid w:val="00E73842"/>
    <w:rsid w:val="00E7385B"/>
    <w:rsid w:val="00E738AB"/>
    <w:rsid w:val="00E738AF"/>
    <w:rsid w:val="00E738B9"/>
    <w:rsid w:val="00E738F0"/>
    <w:rsid w:val="00E738FA"/>
    <w:rsid w:val="00E738FB"/>
    <w:rsid w:val="00E73905"/>
    <w:rsid w:val="00E73938"/>
    <w:rsid w:val="00E73976"/>
    <w:rsid w:val="00E73982"/>
    <w:rsid w:val="00E73984"/>
    <w:rsid w:val="00E73988"/>
    <w:rsid w:val="00E739D5"/>
    <w:rsid w:val="00E73A03"/>
    <w:rsid w:val="00E73A5B"/>
    <w:rsid w:val="00E73AA3"/>
    <w:rsid w:val="00E73ACD"/>
    <w:rsid w:val="00E73AF8"/>
    <w:rsid w:val="00E73AFB"/>
    <w:rsid w:val="00E73B1A"/>
    <w:rsid w:val="00E73B1D"/>
    <w:rsid w:val="00E73B31"/>
    <w:rsid w:val="00E73B32"/>
    <w:rsid w:val="00E73B35"/>
    <w:rsid w:val="00E73B40"/>
    <w:rsid w:val="00E73B41"/>
    <w:rsid w:val="00E73B7B"/>
    <w:rsid w:val="00E73B96"/>
    <w:rsid w:val="00E73C31"/>
    <w:rsid w:val="00E73C77"/>
    <w:rsid w:val="00E73CBC"/>
    <w:rsid w:val="00E73DBE"/>
    <w:rsid w:val="00E73E1E"/>
    <w:rsid w:val="00E73E4C"/>
    <w:rsid w:val="00E73E71"/>
    <w:rsid w:val="00E73ECD"/>
    <w:rsid w:val="00E73EF4"/>
    <w:rsid w:val="00E73EF6"/>
    <w:rsid w:val="00E73F4B"/>
    <w:rsid w:val="00E73FB7"/>
    <w:rsid w:val="00E73FE2"/>
    <w:rsid w:val="00E73FEC"/>
    <w:rsid w:val="00E74029"/>
    <w:rsid w:val="00E7406F"/>
    <w:rsid w:val="00E74071"/>
    <w:rsid w:val="00E740B4"/>
    <w:rsid w:val="00E74108"/>
    <w:rsid w:val="00E7412F"/>
    <w:rsid w:val="00E74148"/>
    <w:rsid w:val="00E74159"/>
    <w:rsid w:val="00E741A4"/>
    <w:rsid w:val="00E741D3"/>
    <w:rsid w:val="00E74253"/>
    <w:rsid w:val="00E7427F"/>
    <w:rsid w:val="00E742CC"/>
    <w:rsid w:val="00E742F4"/>
    <w:rsid w:val="00E742FE"/>
    <w:rsid w:val="00E7435C"/>
    <w:rsid w:val="00E74381"/>
    <w:rsid w:val="00E7439D"/>
    <w:rsid w:val="00E743B7"/>
    <w:rsid w:val="00E743B8"/>
    <w:rsid w:val="00E743C8"/>
    <w:rsid w:val="00E743D9"/>
    <w:rsid w:val="00E743ED"/>
    <w:rsid w:val="00E74466"/>
    <w:rsid w:val="00E7446F"/>
    <w:rsid w:val="00E74487"/>
    <w:rsid w:val="00E744C9"/>
    <w:rsid w:val="00E74576"/>
    <w:rsid w:val="00E745D4"/>
    <w:rsid w:val="00E746B5"/>
    <w:rsid w:val="00E74725"/>
    <w:rsid w:val="00E74751"/>
    <w:rsid w:val="00E74792"/>
    <w:rsid w:val="00E747CF"/>
    <w:rsid w:val="00E74839"/>
    <w:rsid w:val="00E74856"/>
    <w:rsid w:val="00E74867"/>
    <w:rsid w:val="00E74A0D"/>
    <w:rsid w:val="00E74A54"/>
    <w:rsid w:val="00E74A66"/>
    <w:rsid w:val="00E74B5B"/>
    <w:rsid w:val="00E74B71"/>
    <w:rsid w:val="00E74B85"/>
    <w:rsid w:val="00E74BC5"/>
    <w:rsid w:val="00E74BFB"/>
    <w:rsid w:val="00E74C15"/>
    <w:rsid w:val="00E74C5B"/>
    <w:rsid w:val="00E74C67"/>
    <w:rsid w:val="00E74CA2"/>
    <w:rsid w:val="00E74CE5"/>
    <w:rsid w:val="00E74D17"/>
    <w:rsid w:val="00E74D50"/>
    <w:rsid w:val="00E74DA4"/>
    <w:rsid w:val="00E74DC9"/>
    <w:rsid w:val="00E74DFB"/>
    <w:rsid w:val="00E74E01"/>
    <w:rsid w:val="00E74E16"/>
    <w:rsid w:val="00E74E4A"/>
    <w:rsid w:val="00E74E5F"/>
    <w:rsid w:val="00E74E72"/>
    <w:rsid w:val="00E74E81"/>
    <w:rsid w:val="00E74EAB"/>
    <w:rsid w:val="00E74F40"/>
    <w:rsid w:val="00E74F56"/>
    <w:rsid w:val="00E74F58"/>
    <w:rsid w:val="00E74F6C"/>
    <w:rsid w:val="00E74F91"/>
    <w:rsid w:val="00E74F93"/>
    <w:rsid w:val="00E75020"/>
    <w:rsid w:val="00E75033"/>
    <w:rsid w:val="00E75075"/>
    <w:rsid w:val="00E750AA"/>
    <w:rsid w:val="00E75103"/>
    <w:rsid w:val="00E75116"/>
    <w:rsid w:val="00E7515D"/>
    <w:rsid w:val="00E7519E"/>
    <w:rsid w:val="00E751B9"/>
    <w:rsid w:val="00E751EB"/>
    <w:rsid w:val="00E751FD"/>
    <w:rsid w:val="00E7526E"/>
    <w:rsid w:val="00E752CF"/>
    <w:rsid w:val="00E752EF"/>
    <w:rsid w:val="00E75322"/>
    <w:rsid w:val="00E7533E"/>
    <w:rsid w:val="00E7538E"/>
    <w:rsid w:val="00E753DB"/>
    <w:rsid w:val="00E753F2"/>
    <w:rsid w:val="00E753F5"/>
    <w:rsid w:val="00E75414"/>
    <w:rsid w:val="00E7542F"/>
    <w:rsid w:val="00E7543C"/>
    <w:rsid w:val="00E75457"/>
    <w:rsid w:val="00E75458"/>
    <w:rsid w:val="00E754A6"/>
    <w:rsid w:val="00E75512"/>
    <w:rsid w:val="00E75558"/>
    <w:rsid w:val="00E755A8"/>
    <w:rsid w:val="00E755E5"/>
    <w:rsid w:val="00E755FF"/>
    <w:rsid w:val="00E7562E"/>
    <w:rsid w:val="00E7566A"/>
    <w:rsid w:val="00E7569F"/>
    <w:rsid w:val="00E756D1"/>
    <w:rsid w:val="00E756E2"/>
    <w:rsid w:val="00E756EF"/>
    <w:rsid w:val="00E75781"/>
    <w:rsid w:val="00E75855"/>
    <w:rsid w:val="00E75886"/>
    <w:rsid w:val="00E75889"/>
    <w:rsid w:val="00E75897"/>
    <w:rsid w:val="00E758A0"/>
    <w:rsid w:val="00E758A4"/>
    <w:rsid w:val="00E758EC"/>
    <w:rsid w:val="00E75902"/>
    <w:rsid w:val="00E7590A"/>
    <w:rsid w:val="00E75959"/>
    <w:rsid w:val="00E7596B"/>
    <w:rsid w:val="00E75975"/>
    <w:rsid w:val="00E759BF"/>
    <w:rsid w:val="00E759EB"/>
    <w:rsid w:val="00E75A17"/>
    <w:rsid w:val="00E75A1D"/>
    <w:rsid w:val="00E75A34"/>
    <w:rsid w:val="00E75A42"/>
    <w:rsid w:val="00E75A78"/>
    <w:rsid w:val="00E75A9B"/>
    <w:rsid w:val="00E75A9F"/>
    <w:rsid w:val="00E75AA0"/>
    <w:rsid w:val="00E75AB2"/>
    <w:rsid w:val="00E75AD5"/>
    <w:rsid w:val="00E75B3B"/>
    <w:rsid w:val="00E75B47"/>
    <w:rsid w:val="00E75B70"/>
    <w:rsid w:val="00E75B78"/>
    <w:rsid w:val="00E75BDB"/>
    <w:rsid w:val="00E75C0F"/>
    <w:rsid w:val="00E75C1B"/>
    <w:rsid w:val="00E75C8E"/>
    <w:rsid w:val="00E75D39"/>
    <w:rsid w:val="00E75D44"/>
    <w:rsid w:val="00E75D63"/>
    <w:rsid w:val="00E75D6A"/>
    <w:rsid w:val="00E75D7D"/>
    <w:rsid w:val="00E75DA3"/>
    <w:rsid w:val="00E75DF6"/>
    <w:rsid w:val="00E75EA9"/>
    <w:rsid w:val="00E75EB1"/>
    <w:rsid w:val="00E75F01"/>
    <w:rsid w:val="00E75F41"/>
    <w:rsid w:val="00E75F65"/>
    <w:rsid w:val="00E75FD0"/>
    <w:rsid w:val="00E75FEE"/>
    <w:rsid w:val="00E76064"/>
    <w:rsid w:val="00E76068"/>
    <w:rsid w:val="00E7607D"/>
    <w:rsid w:val="00E7608D"/>
    <w:rsid w:val="00E760BF"/>
    <w:rsid w:val="00E760DE"/>
    <w:rsid w:val="00E760E3"/>
    <w:rsid w:val="00E760FE"/>
    <w:rsid w:val="00E76165"/>
    <w:rsid w:val="00E7616E"/>
    <w:rsid w:val="00E761D7"/>
    <w:rsid w:val="00E761F5"/>
    <w:rsid w:val="00E7627D"/>
    <w:rsid w:val="00E762A5"/>
    <w:rsid w:val="00E762EF"/>
    <w:rsid w:val="00E762FB"/>
    <w:rsid w:val="00E76304"/>
    <w:rsid w:val="00E76311"/>
    <w:rsid w:val="00E76321"/>
    <w:rsid w:val="00E76358"/>
    <w:rsid w:val="00E76361"/>
    <w:rsid w:val="00E7637A"/>
    <w:rsid w:val="00E76399"/>
    <w:rsid w:val="00E763E0"/>
    <w:rsid w:val="00E7648C"/>
    <w:rsid w:val="00E764A6"/>
    <w:rsid w:val="00E764AD"/>
    <w:rsid w:val="00E764C4"/>
    <w:rsid w:val="00E764DE"/>
    <w:rsid w:val="00E7650C"/>
    <w:rsid w:val="00E76568"/>
    <w:rsid w:val="00E76571"/>
    <w:rsid w:val="00E765AA"/>
    <w:rsid w:val="00E765B2"/>
    <w:rsid w:val="00E765E4"/>
    <w:rsid w:val="00E765E8"/>
    <w:rsid w:val="00E76603"/>
    <w:rsid w:val="00E7663B"/>
    <w:rsid w:val="00E76686"/>
    <w:rsid w:val="00E7668A"/>
    <w:rsid w:val="00E7669F"/>
    <w:rsid w:val="00E766D1"/>
    <w:rsid w:val="00E766D3"/>
    <w:rsid w:val="00E767AA"/>
    <w:rsid w:val="00E767BB"/>
    <w:rsid w:val="00E767F4"/>
    <w:rsid w:val="00E7683A"/>
    <w:rsid w:val="00E768F6"/>
    <w:rsid w:val="00E76910"/>
    <w:rsid w:val="00E76948"/>
    <w:rsid w:val="00E7695A"/>
    <w:rsid w:val="00E7699E"/>
    <w:rsid w:val="00E769AD"/>
    <w:rsid w:val="00E769B1"/>
    <w:rsid w:val="00E76A04"/>
    <w:rsid w:val="00E76A3A"/>
    <w:rsid w:val="00E76A3C"/>
    <w:rsid w:val="00E76A5A"/>
    <w:rsid w:val="00E76AC2"/>
    <w:rsid w:val="00E76AEE"/>
    <w:rsid w:val="00E76B06"/>
    <w:rsid w:val="00E76B62"/>
    <w:rsid w:val="00E76B63"/>
    <w:rsid w:val="00E76BC6"/>
    <w:rsid w:val="00E76C03"/>
    <w:rsid w:val="00E76C3A"/>
    <w:rsid w:val="00E76C77"/>
    <w:rsid w:val="00E76D4A"/>
    <w:rsid w:val="00E76DE3"/>
    <w:rsid w:val="00E76DF5"/>
    <w:rsid w:val="00E76DFB"/>
    <w:rsid w:val="00E76E05"/>
    <w:rsid w:val="00E76E3B"/>
    <w:rsid w:val="00E76E43"/>
    <w:rsid w:val="00E76E84"/>
    <w:rsid w:val="00E76ECE"/>
    <w:rsid w:val="00E76EE2"/>
    <w:rsid w:val="00E76F7E"/>
    <w:rsid w:val="00E76FB6"/>
    <w:rsid w:val="00E76FBC"/>
    <w:rsid w:val="00E77000"/>
    <w:rsid w:val="00E77059"/>
    <w:rsid w:val="00E770B4"/>
    <w:rsid w:val="00E770C2"/>
    <w:rsid w:val="00E770FB"/>
    <w:rsid w:val="00E77128"/>
    <w:rsid w:val="00E77194"/>
    <w:rsid w:val="00E7719D"/>
    <w:rsid w:val="00E771CA"/>
    <w:rsid w:val="00E771CD"/>
    <w:rsid w:val="00E771DF"/>
    <w:rsid w:val="00E7727D"/>
    <w:rsid w:val="00E77297"/>
    <w:rsid w:val="00E7729F"/>
    <w:rsid w:val="00E772AD"/>
    <w:rsid w:val="00E772DC"/>
    <w:rsid w:val="00E77346"/>
    <w:rsid w:val="00E773BA"/>
    <w:rsid w:val="00E773D1"/>
    <w:rsid w:val="00E773F8"/>
    <w:rsid w:val="00E77429"/>
    <w:rsid w:val="00E7749C"/>
    <w:rsid w:val="00E774AC"/>
    <w:rsid w:val="00E774E3"/>
    <w:rsid w:val="00E7750B"/>
    <w:rsid w:val="00E7761F"/>
    <w:rsid w:val="00E7768B"/>
    <w:rsid w:val="00E77690"/>
    <w:rsid w:val="00E7769D"/>
    <w:rsid w:val="00E776DB"/>
    <w:rsid w:val="00E776F6"/>
    <w:rsid w:val="00E776FC"/>
    <w:rsid w:val="00E77701"/>
    <w:rsid w:val="00E77743"/>
    <w:rsid w:val="00E77762"/>
    <w:rsid w:val="00E777C8"/>
    <w:rsid w:val="00E77897"/>
    <w:rsid w:val="00E778E4"/>
    <w:rsid w:val="00E77967"/>
    <w:rsid w:val="00E77969"/>
    <w:rsid w:val="00E779AF"/>
    <w:rsid w:val="00E77A50"/>
    <w:rsid w:val="00E77A60"/>
    <w:rsid w:val="00E77AAC"/>
    <w:rsid w:val="00E77AC7"/>
    <w:rsid w:val="00E77B27"/>
    <w:rsid w:val="00E77B37"/>
    <w:rsid w:val="00E77BA3"/>
    <w:rsid w:val="00E77BD3"/>
    <w:rsid w:val="00E77C04"/>
    <w:rsid w:val="00E77C15"/>
    <w:rsid w:val="00E77C1D"/>
    <w:rsid w:val="00E77C7C"/>
    <w:rsid w:val="00E77D19"/>
    <w:rsid w:val="00E77D60"/>
    <w:rsid w:val="00E77DC2"/>
    <w:rsid w:val="00E77DC9"/>
    <w:rsid w:val="00E77DF6"/>
    <w:rsid w:val="00E77E0D"/>
    <w:rsid w:val="00E77E64"/>
    <w:rsid w:val="00E77E9E"/>
    <w:rsid w:val="00E77ED1"/>
    <w:rsid w:val="00E77EDA"/>
    <w:rsid w:val="00E77EE8"/>
    <w:rsid w:val="00E77F21"/>
    <w:rsid w:val="00E77F6E"/>
    <w:rsid w:val="00E77FAF"/>
    <w:rsid w:val="00E77FD8"/>
    <w:rsid w:val="00E8010E"/>
    <w:rsid w:val="00E80160"/>
    <w:rsid w:val="00E80169"/>
    <w:rsid w:val="00E80182"/>
    <w:rsid w:val="00E80189"/>
    <w:rsid w:val="00E80352"/>
    <w:rsid w:val="00E8038D"/>
    <w:rsid w:val="00E8039B"/>
    <w:rsid w:val="00E803F1"/>
    <w:rsid w:val="00E80436"/>
    <w:rsid w:val="00E804E4"/>
    <w:rsid w:val="00E804ED"/>
    <w:rsid w:val="00E804FD"/>
    <w:rsid w:val="00E8051E"/>
    <w:rsid w:val="00E80594"/>
    <w:rsid w:val="00E8059E"/>
    <w:rsid w:val="00E805D1"/>
    <w:rsid w:val="00E80600"/>
    <w:rsid w:val="00E80626"/>
    <w:rsid w:val="00E8063B"/>
    <w:rsid w:val="00E8064D"/>
    <w:rsid w:val="00E8068D"/>
    <w:rsid w:val="00E806DA"/>
    <w:rsid w:val="00E806E0"/>
    <w:rsid w:val="00E80715"/>
    <w:rsid w:val="00E80763"/>
    <w:rsid w:val="00E807C1"/>
    <w:rsid w:val="00E807D9"/>
    <w:rsid w:val="00E807FF"/>
    <w:rsid w:val="00E8080F"/>
    <w:rsid w:val="00E8083F"/>
    <w:rsid w:val="00E8087D"/>
    <w:rsid w:val="00E808D5"/>
    <w:rsid w:val="00E80927"/>
    <w:rsid w:val="00E80931"/>
    <w:rsid w:val="00E8095A"/>
    <w:rsid w:val="00E809EA"/>
    <w:rsid w:val="00E80A14"/>
    <w:rsid w:val="00E80A35"/>
    <w:rsid w:val="00E80A46"/>
    <w:rsid w:val="00E80A6E"/>
    <w:rsid w:val="00E80AE3"/>
    <w:rsid w:val="00E80B11"/>
    <w:rsid w:val="00E80B1C"/>
    <w:rsid w:val="00E80BDB"/>
    <w:rsid w:val="00E80BE8"/>
    <w:rsid w:val="00E80C25"/>
    <w:rsid w:val="00E80C66"/>
    <w:rsid w:val="00E80CC0"/>
    <w:rsid w:val="00E80D31"/>
    <w:rsid w:val="00E80D8D"/>
    <w:rsid w:val="00E80DD3"/>
    <w:rsid w:val="00E80E30"/>
    <w:rsid w:val="00E80F01"/>
    <w:rsid w:val="00E80F1F"/>
    <w:rsid w:val="00E80F2D"/>
    <w:rsid w:val="00E80F9F"/>
    <w:rsid w:val="00E80FC3"/>
    <w:rsid w:val="00E80FE0"/>
    <w:rsid w:val="00E81024"/>
    <w:rsid w:val="00E8103F"/>
    <w:rsid w:val="00E81063"/>
    <w:rsid w:val="00E81068"/>
    <w:rsid w:val="00E810B6"/>
    <w:rsid w:val="00E810D8"/>
    <w:rsid w:val="00E8110E"/>
    <w:rsid w:val="00E81148"/>
    <w:rsid w:val="00E81149"/>
    <w:rsid w:val="00E8119C"/>
    <w:rsid w:val="00E811E8"/>
    <w:rsid w:val="00E811F6"/>
    <w:rsid w:val="00E8126C"/>
    <w:rsid w:val="00E81270"/>
    <w:rsid w:val="00E812AC"/>
    <w:rsid w:val="00E812C2"/>
    <w:rsid w:val="00E812D3"/>
    <w:rsid w:val="00E8132C"/>
    <w:rsid w:val="00E81354"/>
    <w:rsid w:val="00E81428"/>
    <w:rsid w:val="00E8145E"/>
    <w:rsid w:val="00E81479"/>
    <w:rsid w:val="00E8147B"/>
    <w:rsid w:val="00E81481"/>
    <w:rsid w:val="00E814E1"/>
    <w:rsid w:val="00E81510"/>
    <w:rsid w:val="00E81511"/>
    <w:rsid w:val="00E81522"/>
    <w:rsid w:val="00E81591"/>
    <w:rsid w:val="00E81593"/>
    <w:rsid w:val="00E815F9"/>
    <w:rsid w:val="00E81603"/>
    <w:rsid w:val="00E81643"/>
    <w:rsid w:val="00E8166B"/>
    <w:rsid w:val="00E81682"/>
    <w:rsid w:val="00E816C9"/>
    <w:rsid w:val="00E817CE"/>
    <w:rsid w:val="00E8181E"/>
    <w:rsid w:val="00E8186E"/>
    <w:rsid w:val="00E8188C"/>
    <w:rsid w:val="00E818F3"/>
    <w:rsid w:val="00E818F6"/>
    <w:rsid w:val="00E81909"/>
    <w:rsid w:val="00E81917"/>
    <w:rsid w:val="00E8193D"/>
    <w:rsid w:val="00E81943"/>
    <w:rsid w:val="00E8195E"/>
    <w:rsid w:val="00E81962"/>
    <w:rsid w:val="00E81968"/>
    <w:rsid w:val="00E8197E"/>
    <w:rsid w:val="00E81990"/>
    <w:rsid w:val="00E819F1"/>
    <w:rsid w:val="00E81A11"/>
    <w:rsid w:val="00E81A35"/>
    <w:rsid w:val="00E81ABA"/>
    <w:rsid w:val="00E81ABF"/>
    <w:rsid w:val="00E81AC2"/>
    <w:rsid w:val="00E81B1F"/>
    <w:rsid w:val="00E81B4F"/>
    <w:rsid w:val="00E81B8B"/>
    <w:rsid w:val="00E81BE2"/>
    <w:rsid w:val="00E81C02"/>
    <w:rsid w:val="00E81C20"/>
    <w:rsid w:val="00E81C9E"/>
    <w:rsid w:val="00E81D93"/>
    <w:rsid w:val="00E81DF0"/>
    <w:rsid w:val="00E81E3F"/>
    <w:rsid w:val="00E81E51"/>
    <w:rsid w:val="00E81E53"/>
    <w:rsid w:val="00E81E67"/>
    <w:rsid w:val="00E81F11"/>
    <w:rsid w:val="00E82002"/>
    <w:rsid w:val="00E8201F"/>
    <w:rsid w:val="00E82090"/>
    <w:rsid w:val="00E82105"/>
    <w:rsid w:val="00E82142"/>
    <w:rsid w:val="00E82181"/>
    <w:rsid w:val="00E821BE"/>
    <w:rsid w:val="00E8223A"/>
    <w:rsid w:val="00E82251"/>
    <w:rsid w:val="00E82290"/>
    <w:rsid w:val="00E822AD"/>
    <w:rsid w:val="00E822CD"/>
    <w:rsid w:val="00E822D3"/>
    <w:rsid w:val="00E82311"/>
    <w:rsid w:val="00E8234F"/>
    <w:rsid w:val="00E823A8"/>
    <w:rsid w:val="00E823DC"/>
    <w:rsid w:val="00E823E7"/>
    <w:rsid w:val="00E823EC"/>
    <w:rsid w:val="00E82435"/>
    <w:rsid w:val="00E8248C"/>
    <w:rsid w:val="00E8249C"/>
    <w:rsid w:val="00E825EA"/>
    <w:rsid w:val="00E8262E"/>
    <w:rsid w:val="00E82638"/>
    <w:rsid w:val="00E82641"/>
    <w:rsid w:val="00E82656"/>
    <w:rsid w:val="00E82674"/>
    <w:rsid w:val="00E82699"/>
    <w:rsid w:val="00E826D5"/>
    <w:rsid w:val="00E826DC"/>
    <w:rsid w:val="00E8274C"/>
    <w:rsid w:val="00E8277A"/>
    <w:rsid w:val="00E827DE"/>
    <w:rsid w:val="00E82810"/>
    <w:rsid w:val="00E82858"/>
    <w:rsid w:val="00E82861"/>
    <w:rsid w:val="00E82862"/>
    <w:rsid w:val="00E828DA"/>
    <w:rsid w:val="00E828EC"/>
    <w:rsid w:val="00E828F8"/>
    <w:rsid w:val="00E829C2"/>
    <w:rsid w:val="00E829C4"/>
    <w:rsid w:val="00E82A1F"/>
    <w:rsid w:val="00E82A3C"/>
    <w:rsid w:val="00E82A52"/>
    <w:rsid w:val="00E82A5B"/>
    <w:rsid w:val="00E82A95"/>
    <w:rsid w:val="00E82A9A"/>
    <w:rsid w:val="00E82B83"/>
    <w:rsid w:val="00E82C09"/>
    <w:rsid w:val="00E82C57"/>
    <w:rsid w:val="00E82C5C"/>
    <w:rsid w:val="00E82C70"/>
    <w:rsid w:val="00E82CF9"/>
    <w:rsid w:val="00E82D6D"/>
    <w:rsid w:val="00E82DB5"/>
    <w:rsid w:val="00E82E2A"/>
    <w:rsid w:val="00E82EEF"/>
    <w:rsid w:val="00E82EF1"/>
    <w:rsid w:val="00E82F0C"/>
    <w:rsid w:val="00E82F29"/>
    <w:rsid w:val="00E82FA5"/>
    <w:rsid w:val="00E82FB7"/>
    <w:rsid w:val="00E83009"/>
    <w:rsid w:val="00E830BA"/>
    <w:rsid w:val="00E8313A"/>
    <w:rsid w:val="00E83149"/>
    <w:rsid w:val="00E831AC"/>
    <w:rsid w:val="00E831BA"/>
    <w:rsid w:val="00E831EF"/>
    <w:rsid w:val="00E83225"/>
    <w:rsid w:val="00E83259"/>
    <w:rsid w:val="00E8326D"/>
    <w:rsid w:val="00E83297"/>
    <w:rsid w:val="00E832A2"/>
    <w:rsid w:val="00E832CA"/>
    <w:rsid w:val="00E8334B"/>
    <w:rsid w:val="00E83361"/>
    <w:rsid w:val="00E83396"/>
    <w:rsid w:val="00E8341A"/>
    <w:rsid w:val="00E8345A"/>
    <w:rsid w:val="00E83467"/>
    <w:rsid w:val="00E83477"/>
    <w:rsid w:val="00E834E5"/>
    <w:rsid w:val="00E834EE"/>
    <w:rsid w:val="00E8354E"/>
    <w:rsid w:val="00E83565"/>
    <w:rsid w:val="00E835E4"/>
    <w:rsid w:val="00E8361F"/>
    <w:rsid w:val="00E836E1"/>
    <w:rsid w:val="00E83725"/>
    <w:rsid w:val="00E83730"/>
    <w:rsid w:val="00E83785"/>
    <w:rsid w:val="00E83804"/>
    <w:rsid w:val="00E83809"/>
    <w:rsid w:val="00E8381F"/>
    <w:rsid w:val="00E838B9"/>
    <w:rsid w:val="00E838E9"/>
    <w:rsid w:val="00E8391B"/>
    <w:rsid w:val="00E83926"/>
    <w:rsid w:val="00E8392C"/>
    <w:rsid w:val="00E8392D"/>
    <w:rsid w:val="00E83949"/>
    <w:rsid w:val="00E8394B"/>
    <w:rsid w:val="00E839E7"/>
    <w:rsid w:val="00E83A5B"/>
    <w:rsid w:val="00E83AA9"/>
    <w:rsid w:val="00E83AB9"/>
    <w:rsid w:val="00E83ABA"/>
    <w:rsid w:val="00E83B21"/>
    <w:rsid w:val="00E83B3D"/>
    <w:rsid w:val="00E83B57"/>
    <w:rsid w:val="00E83B5A"/>
    <w:rsid w:val="00E83C55"/>
    <w:rsid w:val="00E83CEB"/>
    <w:rsid w:val="00E83D0A"/>
    <w:rsid w:val="00E83D99"/>
    <w:rsid w:val="00E83D9A"/>
    <w:rsid w:val="00E83DE1"/>
    <w:rsid w:val="00E83DE5"/>
    <w:rsid w:val="00E83DF9"/>
    <w:rsid w:val="00E83E09"/>
    <w:rsid w:val="00E83E11"/>
    <w:rsid w:val="00E83F31"/>
    <w:rsid w:val="00E83F37"/>
    <w:rsid w:val="00E83F3E"/>
    <w:rsid w:val="00E83F49"/>
    <w:rsid w:val="00E83FAD"/>
    <w:rsid w:val="00E83FB9"/>
    <w:rsid w:val="00E83FEF"/>
    <w:rsid w:val="00E84046"/>
    <w:rsid w:val="00E840B3"/>
    <w:rsid w:val="00E84153"/>
    <w:rsid w:val="00E8415C"/>
    <w:rsid w:val="00E84181"/>
    <w:rsid w:val="00E84250"/>
    <w:rsid w:val="00E84254"/>
    <w:rsid w:val="00E84276"/>
    <w:rsid w:val="00E84285"/>
    <w:rsid w:val="00E842AC"/>
    <w:rsid w:val="00E842FA"/>
    <w:rsid w:val="00E84322"/>
    <w:rsid w:val="00E84420"/>
    <w:rsid w:val="00E84433"/>
    <w:rsid w:val="00E84434"/>
    <w:rsid w:val="00E84442"/>
    <w:rsid w:val="00E84449"/>
    <w:rsid w:val="00E8445E"/>
    <w:rsid w:val="00E844C7"/>
    <w:rsid w:val="00E84500"/>
    <w:rsid w:val="00E8452C"/>
    <w:rsid w:val="00E845D2"/>
    <w:rsid w:val="00E84637"/>
    <w:rsid w:val="00E84639"/>
    <w:rsid w:val="00E8465A"/>
    <w:rsid w:val="00E846C6"/>
    <w:rsid w:val="00E846F9"/>
    <w:rsid w:val="00E84727"/>
    <w:rsid w:val="00E8474E"/>
    <w:rsid w:val="00E84753"/>
    <w:rsid w:val="00E84755"/>
    <w:rsid w:val="00E84769"/>
    <w:rsid w:val="00E84779"/>
    <w:rsid w:val="00E8479A"/>
    <w:rsid w:val="00E847BD"/>
    <w:rsid w:val="00E8481E"/>
    <w:rsid w:val="00E8484A"/>
    <w:rsid w:val="00E84862"/>
    <w:rsid w:val="00E848CF"/>
    <w:rsid w:val="00E848D0"/>
    <w:rsid w:val="00E8494B"/>
    <w:rsid w:val="00E84972"/>
    <w:rsid w:val="00E84978"/>
    <w:rsid w:val="00E84995"/>
    <w:rsid w:val="00E849D5"/>
    <w:rsid w:val="00E849FA"/>
    <w:rsid w:val="00E84A1C"/>
    <w:rsid w:val="00E84A5B"/>
    <w:rsid w:val="00E84A9F"/>
    <w:rsid w:val="00E84AD3"/>
    <w:rsid w:val="00E84B5B"/>
    <w:rsid w:val="00E84BDA"/>
    <w:rsid w:val="00E84C05"/>
    <w:rsid w:val="00E84C13"/>
    <w:rsid w:val="00E84C44"/>
    <w:rsid w:val="00E84C8D"/>
    <w:rsid w:val="00E84CBE"/>
    <w:rsid w:val="00E84CD2"/>
    <w:rsid w:val="00E84CF8"/>
    <w:rsid w:val="00E84D25"/>
    <w:rsid w:val="00E84DE1"/>
    <w:rsid w:val="00E84E00"/>
    <w:rsid w:val="00E84E6D"/>
    <w:rsid w:val="00E84E96"/>
    <w:rsid w:val="00E84EF8"/>
    <w:rsid w:val="00E84F22"/>
    <w:rsid w:val="00E84F3F"/>
    <w:rsid w:val="00E84F50"/>
    <w:rsid w:val="00E84F6A"/>
    <w:rsid w:val="00E84F90"/>
    <w:rsid w:val="00E84F95"/>
    <w:rsid w:val="00E85002"/>
    <w:rsid w:val="00E85014"/>
    <w:rsid w:val="00E8502F"/>
    <w:rsid w:val="00E8506E"/>
    <w:rsid w:val="00E85087"/>
    <w:rsid w:val="00E85158"/>
    <w:rsid w:val="00E851AD"/>
    <w:rsid w:val="00E851C8"/>
    <w:rsid w:val="00E85241"/>
    <w:rsid w:val="00E8526A"/>
    <w:rsid w:val="00E852B8"/>
    <w:rsid w:val="00E852DA"/>
    <w:rsid w:val="00E852DD"/>
    <w:rsid w:val="00E852F5"/>
    <w:rsid w:val="00E8530A"/>
    <w:rsid w:val="00E8543A"/>
    <w:rsid w:val="00E85441"/>
    <w:rsid w:val="00E854E3"/>
    <w:rsid w:val="00E854E6"/>
    <w:rsid w:val="00E854EA"/>
    <w:rsid w:val="00E8552D"/>
    <w:rsid w:val="00E85533"/>
    <w:rsid w:val="00E85561"/>
    <w:rsid w:val="00E8556A"/>
    <w:rsid w:val="00E85590"/>
    <w:rsid w:val="00E85594"/>
    <w:rsid w:val="00E85598"/>
    <w:rsid w:val="00E855EA"/>
    <w:rsid w:val="00E85660"/>
    <w:rsid w:val="00E85664"/>
    <w:rsid w:val="00E8566B"/>
    <w:rsid w:val="00E856BF"/>
    <w:rsid w:val="00E85747"/>
    <w:rsid w:val="00E85806"/>
    <w:rsid w:val="00E8581C"/>
    <w:rsid w:val="00E85857"/>
    <w:rsid w:val="00E858B7"/>
    <w:rsid w:val="00E858ED"/>
    <w:rsid w:val="00E858FE"/>
    <w:rsid w:val="00E858FF"/>
    <w:rsid w:val="00E85997"/>
    <w:rsid w:val="00E859D5"/>
    <w:rsid w:val="00E859E4"/>
    <w:rsid w:val="00E859EA"/>
    <w:rsid w:val="00E85A20"/>
    <w:rsid w:val="00E85AD1"/>
    <w:rsid w:val="00E85B03"/>
    <w:rsid w:val="00E85B57"/>
    <w:rsid w:val="00E85B5B"/>
    <w:rsid w:val="00E85BDD"/>
    <w:rsid w:val="00E85C30"/>
    <w:rsid w:val="00E85C39"/>
    <w:rsid w:val="00E85C4C"/>
    <w:rsid w:val="00E85C6A"/>
    <w:rsid w:val="00E85C92"/>
    <w:rsid w:val="00E85CC7"/>
    <w:rsid w:val="00E85CD1"/>
    <w:rsid w:val="00E85D2A"/>
    <w:rsid w:val="00E85DAD"/>
    <w:rsid w:val="00E85E9A"/>
    <w:rsid w:val="00E85ECE"/>
    <w:rsid w:val="00E85EDE"/>
    <w:rsid w:val="00E85F17"/>
    <w:rsid w:val="00E85F20"/>
    <w:rsid w:val="00E85F70"/>
    <w:rsid w:val="00E85F89"/>
    <w:rsid w:val="00E85F9A"/>
    <w:rsid w:val="00E85FC2"/>
    <w:rsid w:val="00E85FC7"/>
    <w:rsid w:val="00E85FD0"/>
    <w:rsid w:val="00E85FE2"/>
    <w:rsid w:val="00E86006"/>
    <w:rsid w:val="00E8600F"/>
    <w:rsid w:val="00E86073"/>
    <w:rsid w:val="00E86094"/>
    <w:rsid w:val="00E8609B"/>
    <w:rsid w:val="00E86134"/>
    <w:rsid w:val="00E86148"/>
    <w:rsid w:val="00E8614A"/>
    <w:rsid w:val="00E8615A"/>
    <w:rsid w:val="00E861EA"/>
    <w:rsid w:val="00E86228"/>
    <w:rsid w:val="00E862B7"/>
    <w:rsid w:val="00E862B9"/>
    <w:rsid w:val="00E862D2"/>
    <w:rsid w:val="00E862D9"/>
    <w:rsid w:val="00E8630F"/>
    <w:rsid w:val="00E8631A"/>
    <w:rsid w:val="00E8638A"/>
    <w:rsid w:val="00E8638D"/>
    <w:rsid w:val="00E863A0"/>
    <w:rsid w:val="00E863D5"/>
    <w:rsid w:val="00E863DD"/>
    <w:rsid w:val="00E863F2"/>
    <w:rsid w:val="00E86429"/>
    <w:rsid w:val="00E86431"/>
    <w:rsid w:val="00E8644E"/>
    <w:rsid w:val="00E86454"/>
    <w:rsid w:val="00E86473"/>
    <w:rsid w:val="00E8647A"/>
    <w:rsid w:val="00E86490"/>
    <w:rsid w:val="00E864CA"/>
    <w:rsid w:val="00E864DF"/>
    <w:rsid w:val="00E86528"/>
    <w:rsid w:val="00E86541"/>
    <w:rsid w:val="00E8656D"/>
    <w:rsid w:val="00E86574"/>
    <w:rsid w:val="00E86575"/>
    <w:rsid w:val="00E86636"/>
    <w:rsid w:val="00E8664E"/>
    <w:rsid w:val="00E86650"/>
    <w:rsid w:val="00E8665E"/>
    <w:rsid w:val="00E86688"/>
    <w:rsid w:val="00E86697"/>
    <w:rsid w:val="00E866BC"/>
    <w:rsid w:val="00E866CC"/>
    <w:rsid w:val="00E866DF"/>
    <w:rsid w:val="00E866E4"/>
    <w:rsid w:val="00E86731"/>
    <w:rsid w:val="00E8673B"/>
    <w:rsid w:val="00E8673F"/>
    <w:rsid w:val="00E867C3"/>
    <w:rsid w:val="00E867D5"/>
    <w:rsid w:val="00E86825"/>
    <w:rsid w:val="00E8683A"/>
    <w:rsid w:val="00E868A2"/>
    <w:rsid w:val="00E868EA"/>
    <w:rsid w:val="00E868FE"/>
    <w:rsid w:val="00E8693A"/>
    <w:rsid w:val="00E869A5"/>
    <w:rsid w:val="00E869A9"/>
    <w:rsid w:val="00E869AC"/>
    <w:rsid w:val="00E869AD"/>
    <w:rsid w:val="00E869FF"/>
    <w:rsid w:val="00E86A61"/>
    <w:rsid w:val="00E86A6A"/>
    <w:rsid w:val="00E86A74"/>
    <w:rsid w:val="00E86AA2"/>
    <w:rsid w:val="00E86AEE"/>
    <w:rsid w:val="00E86B90"/>
    <w:rsid w:val="00E86B99"/>
    <w:rsid w:val="00E86BA7"/>
    <w:rsid w:val="00E86BAF"/>
    <w:rsid w:val="00E86BE1"/>
    <w:rsid w:val="00E86C45"/>
    <w:rsid w:val="00E86C97"/>
    <w:rsid w:val="00E86CB6"/>
    <w:rsid w:val="00E86D37"/>
    <w:rsid w:val="00E86D7E"/>
    <w:rsid w:val="00E86D87"/>
    <w:rsid w:val="00E86DB0"/>
    <w:rsid w:val="00E86E05"/>
    <w:rsid w:val="00E86E0E"/>
    <w:rsid w:val="00E86E1C"/>
    <w:rsid w:val="00E86E4B"/>
    <w:rsid w:val="00E86E61"/>
    <w:rsid w:val="00E86E6F"/>
    <w:rsid w:val="00E86F73"/>
    <w:rsid w:val="00E87049"/>
    <w:rsid w:val="00E87056"/>
    <w:rsid w:val="00E8705E"/>
    <w:rsid w:val="00E870AE"/>
    <w:rsid w:val="00E870E6"/>
    <w:rsid w:val="00E87119"/>
    <w:rsid w:val="00E87182"/>
    <w:rsid w:val="00E871A6"/>
    <w:rsid w:val="00E871B4"/>
    <w:rsid w:val="00E871DD"/>
    <w:rsid w:val="00E871F1"/>
    <w:rsid w:val="00E871F9"/>
    <w:rsid w:val="00E871FF"/>
    <w:rsid w:val="00E87212"/>
    <w:rsid w:val="00E87231"/>
    <w:rsid w:val="00E87252"/>
    <w:rsid w:val="00E87277"/>
    <w:rsid w:val="00E87307"/>
    <w:rsid w:val="00E87359"/>
    <w:rsid w:val="00E873A6"/>
    <w:rsid w:val="00E87409"/>
    <w:rsid w:val="00E87469"/>
    <w:rsid w:val="00E8747A"/>
    <w:rsid w:val="00E87486"/>
    <w:rsid w:val="00E874D0"/>
    <w:rsid w:val="00E87500"/>
    <w:rsid w:val="00E87527"/>
    <w:rsid w:val="00E875A8"/>
    <w:rsid w:val="00E87648"/>
    <w:rsid w:val="00E87675"/>
    <w:rsid w:val="00E876F7"/>
    <w:rsid w:val="00E87707"/>
    <w:rsid w:val="00E8771C"/>
    <w:rsid w:val="00E877FA"/>
    <w:rsid w:val="00E8781E"/>
    <w:rsid w:val="00E8781F"/>
    <w:rsid w:val="00E8784B"/>
    <w:rsid w:val="00E878C3"/>
    <w:rsid w:val="00E878FD"/>
    <w:rsid w:val="00E87980"/>
    <w:rsid w:val="00E8799B"/>
    <w:rsid w:val="00E879A1"/>
    <w:rsid w:val="00E879CB"/>
    <w:rsid w:val="00E87A28"/>
    <w:rsid w:val="00E87AB6"/>
    <w:rsid w:val="00E87ABA"/>
    <w:rsid w:val="00E87B3E"/>
    <w:rsid w:val="00E87C56"/>
    <w:rsid w:val="00E87D0A"/>
    <w:rsid w:val="00E87D2D"/>
    <w:rsid w:val="00E87DB4"/>
    <w:rsid w:val="00E87DB7"/>
    <w:rsid w:val="00E87E41"/>
    <w:rsid w:val="00E87E5C"/>
    <w:rsid w:val="00E87E8F"/>
    <w:rsid w:val="00E87EE7"/>
    <w:rsid w:val="00E87F01"/>
    <w:rsid w:val="00E87F2F"/>
    <w:rsid w:val="00E87F79"/>
    <w:rsid w:val="00E87F93"/>
    <w:rsid w:val="00E87FA6"/>
    <w:rsid w:val="00E900AD"/>
    <w:rsid w:val="00E900BB"/>
    <w:rsid w:val="00E900F6"/>
    <w:rsid w:val="00E90146"/>
    <w:rsid w:val="00E9016B"/>
    <w:rsid w:val="00E90176"/>
    <w:rsid w:val="00E901AF"/>
    <w:rsid w:val="00E90225"/>
    <w:rsid w:val="00E90269"/>
    <w:rsid w:val="00E90317"/>
    <w:rsid w:val="00E90328"/>
    <w:rsid w:val="00E9035A"/>
    <w:rsid w:val="00E903BD"/>
    <w:rsid w:val="00E903FF"/>
    <w:rsid w:val="00E9043E"/>
    <w:rsid w:val="00E904E7"/>
    <w:rsid w:val="00E904EF"/>
    <w:rsid w:val="00E90513"/>
    <w:rsid w:val="00E90518"/>
    <w:rsid w:val="00E905A1"/>
    <w:rsid w:val="00E905A8"/>
    <w:rsid w:val="00E90619"/>
    <w:rsid w:val="00E90634"/>
    <w:rsid w:val="00E90648"/>
    <w:rsid w:val="00E9065C"/>
    <w:rsid w:val="00E906E8"/>
    <w:rsid w:val="00E90707"/>
    <w:rsid w:val="00E90712"/>
    <w:rsid w:val="00E907C9"/>
    <w:rsid w:val="00E907CD"/>
    <w:rsid w:val="00E907D3"/>
    <w:rsid w:val="00E90825"/>
    <w:rsid w:val="00E90887"/>
    <w:rsid w:val="00E90898"/>
    <w:rsid w:val="00E908B0"/>
    <w:rsid w:val="00E90915"/>
    <w:rsid w:val="00E90A3A"/>
    <w:rsid w:val="00E90ACB"/>
    <w:rsid w:val="00E90B22"/>
    <w:rsid w:val="00E90B26"/>
    <w:rsid w:val="00E90B67"/>
    <w:rsid w:val="00E90BB8"/>
    <w:rsid w:val="00E90C0E"/>
    <w:rsid w:val="00E90C1F"/>
    <w:rsid w:val="00E90C8B"/>
    <w:rsid w:val="00E90CEC"/>
    <w:rsid w:val="00E90D54"/>
    <w:rsid w:val="00E90D93"/>
    <w:rsid w:val="00E90DB8"/>
    <w:rsid w:val="00E90E09"/>
    <w:rsid w:val="00E90E26"/>
    <w:rsid w:val="00E90E3E"/>
    <w:rsid w:val="00E90E4F"/>
    <w:rsid w:val="00E90E6E"/>
    <w:rsid w:val="00E90E93"/>
    <w:rsid w:val="00E90EC5"/>
    <w:rsid w:val="00E90EE3"/>
    <w:rsid w:val="00E90EE4"/>
    <w:rsid w:val="00E90EEF"/>
    <w:rsid w:val="00E90F70"/>
    <w:rsid w:val="00E90F98"/>
    <w:rsid w:val="00E90FAD"/>
    <w:rsid w:val="00E90FBE"/>
    <w:rsid w:val="00E9109E"/>
    <w:rsid w:val="00E910DF"/>
    <w:rsid w:val="00E9112D"/>
    <w:rsid w:val="00E91195"/>
    <w:rsid w:val="00E911C8"/>
    <w:rsid w:val="00E9129A"/>
    <w:rsid w:val="00E912DE"/>
    <w:rsid w:val="00E912EB"/>
    <w:rsid w:val="00E912FF"/>
    <w:rsid w:val="00E91324"/>
    <w:rsid w:val="00E9134A"/>
    <w:rsid w:val="00E9136A"/>
    <w:rsid w:val="00E913D7"/>
    <w:rsid w:val="00E913D8"/>
    <w:rsid w:val="00E913E3"/>
    <w:rsid w:val="00E91437"/>
    <w:rsid w:val="00E91441"/>
    <w:rsid w:val="00E91458"/>
    <w:rsid w:val="00E9145A"/>
    <w:rsid w:val="00E9148D"/>
    <w:rsid w:val="00E91518"/>
    <w:rsid w:val="00E91525"/>
    <w:rsid w:val="00E91539"/>
    <w:rsid w:val="00E9154F"/>
    <w:rsid w:val="00E9159E"/>
    <w:rsid w:val="00E915CF"/>
    <w:rsid w:val="00E9164B"/>
    <w:rsid w:val="00E91729"/>
    <w:rsid w:val="00E91734"/>
    <w:rsid w:val="00E917EF"/>
    <w:rsid w:val="00E9185D"/>
    <w:rsid w:val="00E91895"/>
    <w:rsid w:val="00E91898"/>
    <w:rsid w:val="00E918A3"/>
    <w:rsid w:val="00E918AF"/>
    <w:rsid w:val="00E918B9"/>
    <w:rsid w:val="00E918BD"/>
    <w:rsid w:val="00E918CA"/>
    <w:rsid w:val="00E918CE"/>
    <w:rsid w:val="00E9191E"/>
    <w:rsid w:val="00E919EC"/>
    <w:rsid w:val="00E91A70"/>
    <w:rsid w:val="00E91A89"/>
    <w:rsid w:val="00E91AAA"/>
    <w:rsid w:val="00E91AEF"/>
    <w:rsid w:val="00E91B2C"/>
    <w:rsid w:val="00E91B81"/>
    <w:rsid w:val="00E91BEC"/>
    <w:rsid w:val="00E91C02"/>
    <w:rsid w:val="00E91C16"/>
    <w:rsid w:val="00E91C51"/>
    <w:rsid w:val="00E91CA3"/>
    <w:rsid w:val="00E91CDB"/>
    <w:rsid w:val="00E91D05"/>
    <w:rsid w:val="00E91D1F"/>
    <w:rsid w:val="00E91D27"/>
    <w:rsid w:val="00E91D58"/>
    <w:rsid w:val="00E91D67"/>
    <w:rsid w:val="00E91DA6"/>
    <w:rsid w:val="00E91DF4"/>
    <w:rsid w:val="00E91E33"/>
    <w:rsid w:val="00E91E48"/>
    <w:rsid w:val="00E91E60"/>
    <w:rsid w:val="00E91E65"/>
    <w:rsid w:val="00E91E76"/>
    <w:rsid w:val="00E91E8C"/>
    <w:rsid w:val="00E91EBF"/>
    <w:rsid w:val="00E91F30"/>
    <w:rsid w:val="00E91F9A"/>
    <w:rsid w:val="00E91F9D"/>
    <w:rsid w:val="00E91FA0"/>
    <w:rsid w:val="00E91FA9"/>
    <w:rsid w:val="00E91FC2"/>
    <w:rsid w:val="00E9204C"/>
    <w:rsid w:val="00E920A0"/>
    <w:rsid w:val="00E92154"/>
    <w:rsid w:val="00E921AF"/>
    <w:rsid w:val="00E921E3"/>
    <w:rsid w:val="00E921F6"/>
    <w:rsid w:val="00E9225A"/>
    <w:rsid w:val="00E92266"/>
    <w:rsid w:val="00E922B6"/>
    <w:rsid w:val="00E9230B"/>
    <w:rsid w:val="00E9235C"/>
    <w:rsid w:val="00E92406"/>
    <w:rsid w:val="00E9241A"/>
    <w:rsid w:val="00E92438"/>
    <w:rsid w:val="00E92449"/>
    <w:rsid w:val="00E924B1"/>
    <w:rsid w:val="00E9250F"/>
    <w:rsid w:val="00E92515"/>
    <w:rsid w:val="00E9256A"/>
    <w:rsid w:val="00E925A2"/>
    <w:rsid w:val="00E925DE"/>
    <w:rsid w:val="00E9260B"/>
    <w:rsid w:val="00E9268A"/>
    <w:rsid w:val="00E926C4"/>
    <w:rsid w:val="00E9279D"/>
    <w:rsid w:val="00E9279E"/>
    <w:rsid w:val="00E92860"/>
    <w:rsid w:val="00E92862"/>
    <w:rsid w:val="00E9287A"/>
    <w:rsid w:val="00E9288B"/>
    <w:rsid w:val="00E928D3"/>
    <w:rsid w:val="00E92904"/>
    <w:rsid w:val="00E9291B"/>
    <w:rsid w:val="00E9295E"/>
    <w:rsid w:val="00E92974"/>
    <w:rsid w:val="00E92982"/>
    <w:rsid w:val="00E929C6"/>
    <w:rsid w:val="00E92A15"/>
    <w:rsid w:val="00E92A39"/>
    <w:rsid w:val="00E92A66"/>
    <w:rsid w:val="00E92A82"/>
    <w:rsid w:val="00E92AA9"/>
    <w:rsid w:val="00E92ACF"/>
    <w:rsid w:val="00E92B6C"/>
    <w:rsid w:val="00E92BCE"/>
    <w:rsid w:val="00E92C12"/>
    <w:rsid w:val="00E92C29"/>
    <w:rsid w:val="00E92C3C"/>
    <w:rsid w:val="00E92C44"/>
    <w:rsid w:val="00E92C5B"/>
    <w:rsid w:val="00E92CF4"/>
    <w:rsid w:val="00E92D5E"/>
    <w:rsid w:val="00E92DA6"/>
    <w:rsid w:val="00E92DED"/>
    <w:rsid w:val="00E92EAB"/>
    <w:rsid w:val="00E92EBC"/>
    <w:rsid w:val="00E92ECF"/>
    <w:rsid w:val="00E92F49"/>
    <w:rsid w:val="00E92F4A"/>
    <w:rsid w:val="00E92F5B"/>
    <w:rsid w:val="00E92F80"/>
    <w:rsid w:val="00E92FCE"/>
    <w:rsid w:val="00E93000"/>
    <w:rsid w:val="00E93028"/>
    <w:rsid w:val="00E93083"/>
    <w:rsid w:val="00E93086"/>
    <w:rsid w:val="00E930A0"/>
    <w:rsid w:val="00E930E8"/>
    <w:rsid w:val="00E9310D"/>
    <w:rsid w:val="00E93133"/>
    <w:rsid w:val="00E9313C"/>
    <w:rsid w:val="00E931CB"/>
    <w:rsid w:val="00E931DC"/>
    <w:rsid w:val="00E93276"/>
    <w:rsid w:val="00E9328C"/>
    <w:rsid w:val="00E932D1"/>
    <w:rsid w:val="00E932EB"/>
    <w:rsid w:val="00E932FF"/>
    <w:rsid w:val="00E93334"/>
    <w:rsid w:val="00E9337F"/>
    <w:rsid w:val="00E93382"/>
    <w:rsid w:val="00E933CB"/>
    <w:rsid w:val="00E93421"/>
    <w:rsid w:val="00E9353C"/>
    <w:rsid w:val="00E9359F"/>
    <w:rsid w:val="00E935AB"/>
    <w:rsid w:val="00E935BB"/>
    <w:rsid w:val="00E935C7"/>
    <w:rsid w:val="00E935DC"/>
    <w:rsid w:val="00E93619"/>
    <w:rsid w:val="00E93620"/>
    <w:rsid w:val="00E9362F"/>
    <w:rsid w:val="00E93659"/>
    <w:rsid w:val="00E936B2"/>
    <w:rsid w:val="00E936D1"/>
    <w:rsid w:val="00E93703"/>
    <w:rsid w:val="00E938EF"/>
    <w:rsid w:val="00E93902"/>
    <w:rsid w:val="00E93903"/>
    <w:rsid w:val="00E9390C"/>
    <w:rsid w:val="00E939A2"/>
    <w:rsid w:val="00E93A34"/>
    <w:rsid w:val="00E93A8B"/>
    <w:rsid w:val="00E93A9E"/>
    <w:rsid w:val="00E93AC0"/>
    <w:rsid w:val="00E93AF2"/>
    <w:rsid w:val="00E93B20"/>
    <w:rsid w:val="00E93B2D"/>
    <w:rsid w:val="00E93B5C"/>
    <w:rsid w:val="00E93B84"/>
    <w:rsid w:val="00E93BB1"/>
    <w:rsid w:val="00E93BC7"/>
    <w:rsid w:val="00E93BE1"/>
    <w:rsid w:val="00E93C6E"/>
    <w:rsid w:val="00E93CA2"/>
    <w:rsid w:val="00E93CAA"/>
    <w:rsid w:val="00E93D38"/>
    <w:rsid w:val="00E93D6A"/>
    <w:rsid w:val="00E93D9C"/>
    <w:rsid w:val="00E93DBF"/>
    <w:rsid w:val="00E93DF2"/>
    <w:rsid w:val="00E93E07"/>
    <w:rsid w:val="00E93E54"/>
    <w:rsid w:val="00E93EEF"/>
    <w:rsid w:val="00E93F27"/>
    <w:rsid w:val="00E93F5C"/>
    <w:rsid w:val="00E93F60"/>
    <w:rsid w:val="00E93FB1"/>
    <w:rsid w:val="00E93FB7"/>
    <w:rsid w:val="00E94099"/>
    <w:rsid w:val="00E9409F"/>
    <w:rsid w:val="00E940A3"/>
    <w:rsid w:val="00E940C2"/>
    <w:rsid w:val="00E94170"/>
    <w:rsid w:val="00E94173"/>
    <w:rsid w:val="00E941C8"/>
    <w:rsid w:val="00E941F2"/>
    <w:rsid w:val="00E941FD"/>
    <w:rsid w:val="00E942A3"/>
    <w:rsid w:val="00E942CB"/>
    <w:rsid w:val="00E94391"/>
    <w:rsid w:val="00E943E7"/>
    <w:rsid w:val="00E94407"/>
    <w:rsid w:val="00E94418"/>
    <w:rsid w:val="00E9443D"/>
    <w:rsid w:val="00E9443F"/>
    <w:rsid w:val="00E94464"/>
    <w:rsid w:val="00E9446B"/>
    <w:rsid w:val="00E944C6"/>
    <w:rsid w:val="00E944F4"/>
    <w:rsid w:val="00E94507"/>
    <w:rsid w:val="00E9456E"/>
    <w:rsid w:val="00E94584"/>
    <w:rsid w:val="00E945C9"/>
    <w:rsid w:val="00E9464F"/>
    <w:rsid w:val="00E94659"/>
    <w:rsid w:val="00E94677"/>
    <w:rsid w:val="00E94698"/>
    <w:rsid w:val="00E946C7"/>
    <w:rsid w:val="00E94745"/>
    <w:rsid w:val="00E9476A"/>
    <w:rsid w:val="00E9476D"/>
    <w:rsid w:val="00E947BA"/>
    <w:rsid w:val="00E94820"/>
    <w:rsid w:val="00E94832"/>
    <w:rsid w:val="00E94875"/>
    <w:rsid w:val="00E9487A"/>
    <w:rsid w:val="00E94898"/>
    <w:rsid w:val="00E948E4"/>
    <w:rsid w:val="00E94965"/>
    <w:rsid w:val="00E94A02"/>
    <w:rsid w:val="00E94A3B"/>
    <w:rsid w:val="00E94A44"/>
    <w:rsid w:val="00E94AA5"/>
    <w:rsid w:val="00E94AEB"/>
    <w:rsid w:val="00E94AED"/>
    <w:rsid w:val="00E94B00"/>
    <w:rsid w:val="00E94B9A"/>
    <w:rsid w:val="00E94BB7"/>
    <w:rsid w:val="00E94BDC"/>
    <w:rsid w:val="00E94C5E"/>
    <w:rsid w:val="00E94CD8"/>
    <w:rsid w:val="00E94D11"/>
    <w:rsid w:val="00E94D54"/>
    <w:rsid w:val="00E94DC2"/>
    <w:rsid w:val="00E94DE5"/>
    <w:rsid w:val="00E94E1F"/>
    <w:rsid w:val="00E94E5E"/>
    <w:rsid w:val="00E94EE7"/>
    <w:rsid w:val="00E94F22"/>
    <w:rsid w:val="00E94F4B"/>
    <w:rsid w:val="00E94FA9"/>
    <w:rsid w:val="00E9503C"/>
    <w:rsid w:val="00E9504D"/>
    <w:rsid w:val="00E95059"/>
    <w:rsid w:val="00E950E5"/>
    <w:rsid w:val="00E95158"/>
    <w:rsid w:val="00E95198"/>
    <w:rsid w:val="00E9519F"/>
    <w:rsid w:val="00E951A2"/>
    <w:rsid w:val="00E951BF"/>
    <w:rsid w:val="00E951E9"/>
    <w:rsid w:val="00E9520E"/>
    <w:rsid w:val="00E95221"/>
    <w:rsid w:val="00E95293"/>
    <w:rsid w:val="00E952C5"/>
    <w:rsid w:val="00E952DF"/>
    <w:rsid w:val="00E952E4"/>
    <w:rsid w:val="00E95300"/>
    <w:rsid w:val="00E9530D"/>
    <w:rsid w:val="00E9532E"/>
    <w:rsid w:val="00E95341"/>
    <w:rsid w:val="00E9535C"/>
    <w:rsid w:val="00E95391"/>
    <w:rsid w:val="00E95399"/>
    <w:rsid w:val="00E953CC"/>
    <w:rsid w:val="00E953F6"/>
    <w:rsid w:val="00E953F8"/>
    <w:rsid w:val="00E95408"/>
    <w:rsid w:val="00E95427"/>
    <w:rsid w:val="00E9544C"/>
    <w:rsid w:val="00E95476"/>
    <w:rsid w:val="00E95492"/>
    <w:rsid w:val="00E954A8"/>
    <w:rsid w:val="00E955A9"/>
    <w:rsid w:val="00E955C6"/>
    <w:rsid w:val="00E955D0"/>
    <w:rsid w:val="00E9561F"/>
    <w:rsid w:val="00E9566B"/>
    <w:rsid w:val="00E95751"/>
    <w:rsid w:val="00E95770"/>
    <w:rsid w:val="00E95773"/>
    <w:rsid w:val="00E957CE"/>
    <w:rsid w:val="00E9582E"/>
    <w:rsid w:val="00E95849"/>
    <w:rsid w:val="00E95884"/>
    <w:rsid w:val="00E9589E"/>
    <w:rsid w:val="00E958B3"/>
    <w:rsid w:val="00E958E5"/>
    <w:rsid w:val="00E958EB"/>
    <w:rsid w:val="00E95912"/>
    <w:rsid w:val="00E9593B"/>
    <w:rsid w:val="00E95996"/>
    <w:rsid w:val="00E959D6"/>
    <w:rsid w:val="00E959D9"/>
    <w:rsid w:val="00E95A05"/>
    <w:rsid w:val="00E95A18"/>
    <w:rsid w:val="00E95A1A"/>
    <w:rsid w:val="00E95A39"/>
    <w:rsid w:val="00E95A44"/>
    <w:rsid w:val="00E95A7A"/>
    <w:rsid w:val="00E95B92"/>
    <w:rsid w:val="00E95BD9"/>
    <w:rsid w:val="00E95C07"/>
    <w:rsid w:val="00E95C5C"/>
    <w:rsid w:val="00E95C5F"/>
    <w:rsid w:val="00E95C7B"/>
    <w:rsid w:val="00E95CF7"/>
    <w:rsid w:val="00E95D6A"/>
    <w:rsid w:val="00E95D98"/>
    <w:rsid w:val="00E95DD5"/>
    <w:rsid w:val="00E95E22"/>
    <w:rsid w:val="00E95E67"/>
    <w:rsid w:val="00E95E6F"/>
    <w:rsid w:val="00E95EC2"/>
    <w:rsid w:val="00E95F18"/>
    <w:rsid w:val="00E95F2A"/>
    <w:rsid w:val="00E95F37"/>
    <w:rsid w:val="00E95F48"/>
    <w:rsid w:val="00E95F4B"/>
    <w:rsid w:val="00E95F85"/>
    <w:rsid w:val="00E95F94"/>
    <w:rsid w:val="00E95FA7"/>
    <w:rsid w:val="00E95FF8"/>
    <w:rsid w:val="00E9603A"/>
    <w:rsid w:val="00E9608A"/>
    <w:rsid w:val="00E960AB"/>
    <w:rsid w:val="00E96169"/>
    <w:rsid w:val="00E9617F"/>
    <w:rsid w:val="00E961AB"/>
    <w:rsid w:val="00E961F7"/>
    <w:rsid w:val="00E96248"/>
    <w:rsid w:val="00E96250"/>
    <w:rsid w:val="00E9626C"/>
    <w:rsid w:val="00E96288"/>
    <w:rsid w:val="00E962B6"/>
    <w:rsid w:val="00E96301"/>
    <w:rsid w:val="00E963A9"/>
    <w:rsid w:val="00E9642B"/>
    <w:rsid w:val="00E96456"/>
    <w:rsid w:val="00E96477"/>
    <w:rsid w:val="00E96504"/>
    <w:rsid w:val="00E96589"/>
    <w:rsid w:val="00E9658D"/>
    <w:rsid w:val="00E965FD"/>
    <w:rsid w:val="00E96647"/>
    <w:rsid w:val="00E96722"/>
    <w:rsid w:val="00E9675A"/>
    <w:rsid w:val="00E967DD"/>
    <w:rsid w:val="00E96843"/>
    <w:rsid w:val="00E96859"/>
    <w:rsid w:val="00E96884"/>
    <w:rsid w:val="00E968CB"/>
    <w:rsid w:val="00E968DC"/>
    <w:rsid w:val="00E96906"/>
    <w:rsid w:val="00E9690E"/>
    <w:rsid w:val="00E9690F"/>
    <w:rsid w:val="00E96939"/>
    <w:rsid w:val="00E9694B"/>
    <w:rsid w:val="00E96962"/>
    <w:rsid w:val="00E969C5"/>
    <w:rsid w:val="00E96A07"/>
    <w:rsid w:val="00E96A8C"/>
    <w:rsid w:val="00E96A93"/>
    <w:rsid w:val="00E96B28"/>
    <w:rsid w:val="00E96B35"/>
    <w:rsid w:val="00E96B8B"/>
    <w:rsid w:val="00E96B98"/>
    <w:rsid w:val="00E96BCB"/>
    <w:rsid w:val="00E96C4A"/>
    <w:rsid w:val="00E96C74"/>
    <w:rsid w:val="00E96C89"/>
    <w:rsid w:val="00E96CA2"/>
    <w:rsid w:val="00E96CBA"/>
    <w:rsid w:val="00E96CEC"/>
    <w:rsid w:val="00E96CFE"/>
    <w:rsid w:val="00E96D0B"/>
    <w:rsid w:val="00E96D1D"/>
    <w:rsid w:val="00E96E02"/>
    <w:rsid w:val="00E96E4A"/>
    <w:rsid w:val="00E96E73"/>
    <w:rsid w:val="00E96E8F"/>
    <w:rsid w:val="00E96EAD"/>
    <w:rsid w:val="00E96EAF"/>
    <w:rsid w:val="00E96EBC"/>
    <w:rsid w:val="00E96F0B"/>
    <w:rsid w:val="00E96F12"/>
    <w:rsid w:val="00E96F32"/>
    <w:rsid w:val="00E96FCA"/>
    <w:rsid w:val="00E96FD2"/>
    <w:rsid w:val="00E97002"/>
    <w:rsid w:val="00E97021"/>
    <w:rsid w:val="00E970CA"/>
    <w:rsid w:val="00E970D6"/>
    <w:rsid w:val="00E970F4"/>
    <w:rsid w:val="00E97124"/>
    <w:rsid w:val="00E97139"/>
    <w:rsid w:val="00E9713D"/>
    <w:rsid w:val="00E97161"/>
    <w:rsid w:val="00E9716E"/>
    <w:rsid w:val="00E9716F"/>
    <w:rsid w:val="00E97191"/>
    <w:rsid w:val="00E971D1"/>
    <w:rsid w:val="00E972DD"/>
    <w:rsid w:val="00E972FF"/>
    <w:rsid w:val="00E9735B"/>
    <w:rsid w:val="00E973C4"/>
    <w:rsid w:val="00E97434"/>
    <w:rsid w:val="00E97439"/>
    <w:rsid w:val="00E9746A"/>
    <w:rsid w:val="00E974F2"/>
    <w:rsid w:val="00E97556"/>
    <w:rsid w:val="00E9759A"/>
    <w:rsid w:val="00E975B6"/>
    <w:rsid w:val="00E975FC"/>
    <w:rsid w:val="00E97602"/>
    <w:rsid w:val="00E97612"/>
    <w:rsid w:val="00E9762D"/>
    <w:rsid w:val="00E97639"/>
    <w:rsid w:val="00E976CA"/>
    <w:rsid w:val="00E97717"/>
    <w:rsid w:val="00E9771C"/>
    <w:rsid w:val="00E97726"/>
    <w:rsid w:val="00E97735"/>
    <w:rsid w:val="00E9775D"/>
    <w:rsid w:val="00E977C6"/>
    <w:rsid w:val="00E97836"/>
    <w:rsid w:val="00E9783C"/>
    <w:rsid w:val="00E97882"/>
    <w:rsid w:val="00E978CC"/>
    <w:rsid w:val="00E978CF"/>
    <w:rsid w:val="00E97918"/>
    <w:rsid w:val="00E97938"/>
    <w:rsid w:val="00E97945"/>
    <w:rsid w:val="00E97988"/>
    <w:rsid w:val="00E9798B"/>
    <w:rsid w:val="00E979F3"/>
    <w:rsid w:val="00E97A72"/>
    <w:rsid w:val="00E97A96"/>
    <w:rsid w:val="00E97AA4"/>
    <w:rsid w:val="00E97B4F"/>
    <w:rsid w:val="00E97B67"/>
    <w:rsid w:val="00E97B78"/>
    <w:rsid w:val="00E97BA3"/>
    <w:rsid w:val="00E97BD9"/>
    <w:rsid w:val="00E97CC4"/>
    <w:rsid w:val="00E97CF2"/>
    <w:rsid w:val="00E97CFF"/>
    <w:rsid w:val="00E97D25"/>
    <w:rsid w:val="00E97DB5"/>
    <w:rsid w:val="00E97DBB"/>
    <w:rsid w:val="00E97DC3"/>
    <w:rsid w:val="00E97DC7"/>
    <w:rsid w:val="00E97E53"/>
    <w:rsid w:val="00E97EA3"/>
    <w:rsid w:val="00E97EB6"/>
    <w:rsid w:val="00E97EE8"/>
    <w:rsid w:val="00E97F52"/>
    <w:rsid w:val="00EA0017"/>
    <w:rsid w:val="00EA006E"/>
    <w:rsid w:val="00EA0090"/>
    <w:rsid w:val="00EA009E"/>
    <w:rsid w:val="00EA00F0"/>
    <w:rsid w:val="00EA00FD"/>
    <w:rsid w:val="00EA0150"/>
    <w:rsid w:val="00EA0168"/>
    <w:rsid w:val="00EA01D0"/>
    <w:rsid w:val="00EA020A"/>
    <w:rsid w:val="00EA0216"/>
    <w:rsid w:val="00EA0239"/>
    <w:rsid w:val="00EA028D"/>
    <w:rsid w:val="00EA02C1"/>
    <w:rsid w:val="00EA02FD"/>
    <w:rsid w:val="00EA031D"/>
    <w:rsid w:val="00EA03B0"/>
    <w:rsid w:val="00EA03B1"/>
    <w:rsid w:val="00EA0440"/>
    <w:rsid w:val="00EA0448"/>
    <w:rsid w:val="00EA04CE"/>
    <w:rsid w:val="00EA050E"/>
    <w:rsid w:val="00EA0537"/>
    <w:rsid w:val="00EA0548"/>
    <w:rsid w:val="00EA05A9"/>
    <w:rsid w:val="00EA05AF"/>
    <w:rsid w:val="00EA05B1"/>
    <w:rsid w:val="00EA05FB"/>
    <w:rsid w:val="00EA0621"/>
    <w:rsid w:val="00EA06E8"/>
    <w:rsid w:val="00EA071D"/>
    <w:rsid w:val="00EA0750"/>
    <w:rsid w:val="00EA0763"/>
    <w:rsid w:val="00EA076D"/>
    <w:rsid w:val="00EA07CD"/>
    <w:rsid w:val="00EA0832"/>
    <w:rsid w:val="00EA088A"/>
    <w:rsid w:val="00EA08EE"/>
    <w:rsid w:val="00EA093E"/>
    <w:rsid w:val="00EA0941"/>
    <w:rsid w:val="00EA09C9"/>
    <w:rsid w:val="00EA09DC"/>
    <w:rsid w:val="00EA0A2A"/>
    <w:rsid w:val="00EA0A33"/>
    <w:rsid w:val="00EA0A9C"/>
    <w:rsid w:val="00EA0ADB"/>
    <w:rsid w:val="00EA0B05"/>
    <w:rsid w:val="00EA0BB5"/>
    <w:rsid w:val="00EA0BD8"/>
    <w:rsid w:val="00EA0BEE"/>
    <w:rsid w:val="00EA0C8C"/>
    <w:rsid w:val="00EA0CC4"/>
    <w:rsid w:val="00EA0D39"/>
    <w:rsid w:val="00EA0D5B"/>
    <w:rsid w:val="00EA0D60"/>
    <w:rsid w:val="00EA0DB1"/>
    <w:rsid w:val="00EA0DDF"/>
    <w:rsid w:val="00EA0E16"/>
    <w:rsid w:val="00EA0F40"/>
    <w:rsid w:val="00EA0F84"/>
    <w:rsid w:val="00EA0FF3"/>
    <w:rsid w:val="00EA1020"/>
    <w:rsid w:val="00EA1098"/>
    <w:rsid w:val="00EA10A0"/>
    <w:rsid w:val="00EA10C4"/>
    <w:rsid w:val="00EA10CA"/>
    <w:rsid w:val="00EA10E0"/>
    <w:rsid w:val="00EA118F"/>
    <w:rsid w:val="00EA1281"/>
    <w:rsid w:val="00EA1311"/>
    <w:rsid w:val="00EA1380"/>
    <w:rsid w:val="00EA1394"/>
    <w:rsid w:val="00EA13A1"/>
    <w:rsid w:val="00EA1407"/>
    <w:rsid w:val="00EA1438"/>
    <w:rsid w:val="00EA14B5"/>
    <w:rsid w:val="00EA14DC"/>
    <w:rsid w:val="00EA14F6"/>
    <w:rsid w:val="00EA153D"/>
    <w:rsid w:val="00EA1572"/>
    <w:rsid w:val="00EA158C"/>
    <w:rsid w:val="00EA158E"/>
    <w:rsid w:val="00EA15A8"/>
    <w:rsid w:val="00EA161A"/>
    <w:rsid w:val="00EA1681"/>
    <w:rsid w:val="00EA173D"/>
    <w:rsid w:val="00EA1771"/>
    <w:rsid w:val="00EA1780"/>
    <w:rsid w:val="00EA1785"/>
    <w:rsid w:val="00EA1792"/>
    <w:rsid w:val="00EA1808"/>
    <w:rsid w:val="00EA18A9"/>
    <w:rsid w:val="00EA1900"/>
    <w:rsid w:val="00EA19AF"/>
    <w:rsid w:val="00EA1A2F"/>
    <w:rsid w:val="00EA1A79"/>
    <w:rsid w:val="00EA1A7E"/>
    <w:rsid w:val="00EA1A86"/>
    <w:rsid w:val="00EA1ABA"/>
    <w:rsid w:val="00EA1AC4"/>
    <w:rsid w:val="00EA1B65"/>
    <w:rsid w:val="00EA1B83"/>
    <w:rsid w:val="00EA1BBD"/>
    <w:rsid w:val="00EA1C3B"/>
    <w:rsid w:val="00EA1C84"/>
    <w:rsid w:val="00EA1C90"/>
    <w:rsid w:val="00EA1CC7"/>
    <w:rsid w:val="00EA1CCE"/>
    <w:rsid w:val="00EA1D41"/>
    <w:rsid w:val="00EA1D73"/>
    <w:rsid w:val="00EA1DD5"/>
    <w:rsid w:val="00EA1E05"/>
    <w:rsid w:val="00EA1E1F"/>
    <w:rsid w:val="00EA1E62"/>
    <w:rsid w:val="00EA1E73"/>
    <w:rsid w:val="00EA1E9C"/>
    <w:rsid w:val="00EA1EAC"/>
    <w:rsid w:val="00EA1EC2"/>
    <w:rsid w:val="00EA1EC3"/>
    <w:rsid w:val="00EA1EDD"/>
    <w:rsid w:val="00EA1F73"/>
    <w:rsid w:val="00EA1F75"/>
    <w:rsid w:val="00EA1F79"/>
    <w:rsid w:val="00EA1FB2"/>
    <w:rsid w:val="00EA1FE2"/>
    <w:rsid w:val="00EA205E"/>
    <w:rsid w:val="00EA2061"/>
    <w:rsid w:val="00EA2080"/>
    <w:rsid w:val="00EA210B"/>
    <w:rsid w:val="00EA2167"/>
    <w:rsid w:val="00EA216C"/>
    <w:rsid w:val="00EA2171"/>
    <w:rsid w:val="00EA217C"/>
    <w:rsid w:val="00EA2193"/>
    <w:rsid w:val="00EA21C1"/>
    <w:rsid w:val="00EA21E7"/>
    <w:rsid w:val="00EA21E8"/>
    <w:rsid w:val="00EA2214"/>
    <w:rsid w:val="00EA228F"/>
    <w:rsid w:val="00EA22A6"/>
    <w:rsid w:val="00EA22A8"/>
    <w:rsid w:val="00EA22F1"/>
    <w:rsid w:val="00EA2323"/>
    <w:rsid w:val="00EA232C"/>
    <w:rsid w:val="00EA2379"/>
    <w:rsid w:val="00EA2400"/>
    <w:rsid w:val="00EA2422"/>
    <w:rsid w:val="00EA2448"/>
    <w:rsid w:val="00EA2463"/>
    <w:rsid w:val="00EA248D"/>
    <w:rsid w:val="00EA24D7"/>
    <w:rsid w:val="00EA2521"/>
    <w:rsid w:val="00EA254B"/>
    <w:rsid w:val="00EA2580"/>
    <w:rsid w:val="00EA2591"/>
    <w:rsid w:val="00EA25BC"/>
    <w:rsid w:val="00EA2621"/>
    <w:rsid w:val="00EA2665"/>
    <w:rsid w:val="00EA268F"/>
    <w:rsid w:val="00EA2703"/>
    <w:rsid w:val="00EA2787"/>
    <w:rsid w:val="00EA27B3"/>
    <w:rsid w:val="00EA27B8"/>
    <w:rsid w:val="00EA27EA"/>
    <w:rsid w:val="00EA27F9"/>
    <w:rsid w:val="00EA2861"/>
    <w:rsid w:val="00EA28B4"/>
    <w:rsid w:val="00EA28F4"/>
    <w:rsid w:val="00EA28FB"/>
    <w:rsid w:val="00EA296C"/>
    <w:rsid w:val="00EA29D9"/>
    <w:rsid w:val="00EA29E0"/>
    <w:rsid w:val="00EA2A6E"/>
    <w:rsid w:val="00EA2A84"/>
    <w:rsid w:val="00EA2ACA"/>
    <w:rsid w:val="00EA2B28"/>
    <w:rsid w:val="00EA2B43"/>
    <w:rsid w:val="00EA2B5F"/>
    <w:rsid w:val="00EA2B77"/>
    <w:rsid w:val="00EA2B81"/>
    <w:rsid w:val="00EA2BD9"/>
    <w:rsid w:val="00EA2C00"/>
    <w:rsid w:val="00EA2C45"/>
    <w:rsid w:val="00EA2C93"/>
    <w:rsid w:val="00EA2CA9"/>
    <w:rsid w:val="00EA2D16"/>
    <w:rsid w:val="00EA2D2B"/>
    <w:rsid w:val="00EA2D4A"/>
    <w:rsid w:val="00EA2D7C"/>
    <w:rsid w:val="00EA2D93"/>
    <w:rsid w:val="00EA2D9C"/>
    <w:rsid w:val="00EA2DE8"/>
    <w:rsid w:val="00EA2E09"/>
    <w:rsid w:val="00EA2E0B"/>
    <w:rsid w:val="00EA2E21"/>
    <w:rsid w:val="00EA2E31"/>
    <w:rsid w:val="00EA2E34"/>
    <w:rsid w:val="00EA2E4E"/>
    <w:rsid w:val="00EA2E59"/>
    <w:rsid w:val="00EA2EA5"/>
    <w:rsid w:val="00EA2EC3"/>
    <w:rsid w:val="00EA2ECF"/>
    <w:rsid w:val="00EA2F5E"/>
    <w:rsid w:val="00EA2F6B"/>
    <w:rsid w:val="00EA2F93"/>
    <w:rsid w:val="00EA301C"/>
    <w:rsid w:val="00EA3077"/>
    <w:rsid w:val="00EA3089"/>
    <w:rsid w:val="00EA3096"/>
    <w:rsid w:val="00EA30B2"/>
    <w:rsid w:val="00EA30B7"/>
    <w:rsid w:val="00EA30D3"/>
    <w:rsid w:val="00EA310D"/>
    <w:rsid w:val="00EA316A"/>
    <w:rsid w:val="00EA3267"/>
    <w:rsid w:val="00EA3337"/>
    <w:rsid w:val="00EA337C"/>
    <w:rsid w:val="00EA33CD"/>
    <w:rsid w:val="00EA33D9"/>
    <w:rsid w:val="00EA33DE"/>
    <w:rsid w:val="00EA3451"/>
    <w:rsid w:val="00EA345D"/>
    <w:rsid w:val="00EA3467"/>
    <w:rsid w:val="00EA3499"/>
    <w:rsid w:val="00EA34BE"/>
    <w:rsid w:val="00EA34DB"/>
    <w:rsid w:val="00EA3529"/>
    <w:rsid w:val="00EA359A"/>
    <w:rsid w:val="00EA365B"/>
    <w:rsid w:val="00EA36B8"/>
    <w:rsid w:val="00EA36DC"/>
    <w:rsid w:val="00EA36F6"/>
    <w:rsid w:val="00EA373C"/>
    <w:rsid w:val="00EA3777"/>
    <w:rsid w:val="00EA37CB"/>
    <w:rsid w:val="00EA3805"/>
    <w:rsid w:val="00EA380D"/>
    <w:rsid w:val="00EA38AF"/>
    <w:rsid w:val="00EA38D1"/>
    <w:rsid w:val="00EA3913"/>
    <w:rsid w:val="00EA392E"/>
    <w:rsid w:val="00EA399D"/>
    <w:rsid w:val="00EA3A62"/>
    <w:rsid w:val="00EA3A8A"/>
    <w:rsid w:val="00EA3BB4"/>
    <w:rsid w:val="00EA3C03"/>
    <w:rsid w:val="00EA3C0C"/>
    <w:rsid w:val="00EA3C0E"/>
    <w:rsid w:val="00EA3C25"/>
    <w:rsid w:val="00EA3C7F"/>
    <w:rsid w:val="00EA3C84"/>
    <w:rsid w:val="00EA3C95"/>
    <w:rsid w:val="00EA3CBB"/>
    <w:rsid w:val="00EA3CF1"/>
    <w:rsid w:val="00EA3D6D"/>
    <w:rsid w:val="00EA3D91"/>
    <w:rsid w:val="00EA3D97"/>
    <w:rsid w:val="00EA3DA1"/>
    <w:rsid w:val="00EA3E0A"/>
    <w:rsid w:val="00EA3E62"/>
    <w:rsid w:val="00EA3E90"/>
    <w:rsid w:val="00EA3EA4"/>
    <w:rsid w:val="00EA3EC6"/>
    <w:rsid w:val="00EA3EE7"/>
    <w:rsid w:val="00EA3F1E"/>
    <w:rsid w:val="00EA3F24"/>
    <w:rsid w:val="00EA3F4F"/>
    <w:rsid w:val="00EA3F74"/>
    <w:rsid w:val="00EA3F7B"/>
    <w:rsid w:val="00EA3F90"/>
    <w:rsid w:val="00EA3FA9"/>
    <w:rsid w:val="00EA3FAE"/>
    <w:rsid w:val="00EA3FC1"/>
    <w:rsid w:val="00EA4056"/>
    <w:rsid w:val="00EA40F1"/>
    <w:rsid w:val="00EA40FC"/>
    <w:rsid w:val="00EA4101"/>
    <w:rsid w:val="00EA4128"/>
    <w:rsid w:val="00EA4146"/>
    <w:rsid w:val="00EA4156"/>
    <w:rsid w:val="00EA4157"/>
    <w:rsid w:val="00EA4181"/>
    <w:rsid w:val="00EA41B2"/>
    <w:rsid w:val="00EA427E"/>
    <w:rsid w:val="00EA42BB"/>
    <w:rsid w:val="00EA43A7"/>
    <w:rsid w:val="00EA43D1"/>
    <w:rsid w:val="00EA43F9"/>
    <w:rsid w:val="00EA4434"/>
    <w:rsid w:val="00EA4457"/>
    <w:rsid w:val="00EA4477"/>
    <w:rsid w:val="00EA447E"/>
    <w:rsid w:val="00EA4480"/>
    <w:rsid w:val="00EA4488"/>
    <w:rsid w:val="00EA44A7"/>
    <w:rsid w:val="00EA44CD"/>
    <w:rsid w:val="00EA44FA"/>
    <w:rsid w:val="00EA451B"/>
    <w:rsid w:val="00EA457B"/>
    <w:rsid w:val="00EA45D4"/>
    <w:rsid w:val="00EA45F8"/>
    <w:rsid w:val="00EA4602"/>
    <w:rsid w:val="00EA461A"/>
    <w:rsid w:val="00EA46B6"/>
    <w:rsid w:val="00EA46CB"/>
    <w:rsid w:val="00EA4713"/>
    <w:rsid w:val="00EA4764"/>
    <w:rsid w:val="00EA4774"/>
    <w:rsid w:val="00EA47BC"/>
    <w:rsid w:val="00EA486B"/>
    <w:rsid w:val="00EA486E"/>
    <w:rsid w:val="00EA489F"/>
    <w:rsid w:val="00EA48BF"/>
    <w:rsid w:val="00EA495A"/>
    <w:rsid w:val="00EA49A4"/>
    <w:rsid w:val="00EA49EA"/>
    <w:rsid w:val="00EA4A40"/>
    <w:rsid w:val="00EA4A6C"/>
    <w:rsid w:val="00EA4AB4"/>
    <w:rsid w:val="00EA4AE1"/>
    <w:rsid w:val="00EA4B2C"/>
    <w:rsid w:val="00EA4B35"/>
    <w:rsid w:val="00EA4B98"/>
    <w:rsid w:val="00EA4BCF"/>
    <w:rsid w:val="00EA4BDF"/>
    <w:rsid w:val="00EA4BF6"/>
    <w:rsid w:val="00EA4C16"/>
    <w:rsid w:val="00EA4C74"/>
    <w:rsid w:val="00EA4D96"/>
    <w:rsid w:val="00EA4DAF"/>
    <w:rsid w:val="00EA4DD0"/>
    <w:rsid w:val="00EA4E40"/>
    <w:rsid w:val="00EA4E7F"/>
    <w:rsid w:val="00EA4F38"/>
    <w:rsid w:val="00EA4FCA"/>
    <w:rsid w:val="00EA4FD4"/>
    <w:rsid w:val="00EA4FD8"/>
    <w:rsid w:val="00EA4FE1"/>
    <w:rsid w:val="00EA4FEC"/>
    <w:rsid w:val="00EA509B"/>
    <w:rsid w:val="00EA514A"/>
    <w:rsid w:val="00EA5178"/>
    <w:rsid w:val="00EA5185"/>
    <w:rsid w:val="00EA51C5"/>
    <w:rsid w:val="00EA525E"/>
    <w:rsid w:val="00EA52B2"/>
    <w:rsid w:val="00EA52BB"/>
    <w:rsid w:val="00EA52C3"/>
    <w:rsid w:val="00EA52FD"/>
    <w:rsid w:val="00EA532F"/>
    <w:rsid w:val="00EA5338"/>
    <w:rsid w:val="00EA533A"/>
    <w:rsid w:val="00EA5353"/>
    <w:rsid w:val="00EA536A"/>
    <w:rsid w:val="00EA537C"/>
    <w:rsid w:val="00EA53A3"/>
    <w:rsid w:val="00EA53BE"/>
    <w:rsid w:val="00EA5470"/>
    <w:rsid w:val="00EA548B"/>
    <w:rsid w:val="00EA54CD"/>
    <w:rsid w:val="00EA54EE"/>
    <w:rsid w:val="00EA5516"/>
    <w:rsid w:val="00EA553B"/>
    <w:rsid w:val="00EA5629"/>
    <w:rsid w:val="00EA567F"/>
    <w:rsid w:val="00EA56EB"/>
    <w:rsid w:val="00EA5714"/>
    <w:rsid w:val="00EA5769"/>
    <w:rsid w:val="00EA579B"/>
    <w:rsid w:val="00EA579F"/>
    <w:rsid w:val="00EA57B1"/>
    <w:rsid w:val="00EA57C4"/>
    <w:rsid w:val="00EA5886"/>
    <w:rsid w:val="00EA5890"/>
    <w:rsid w:val="00EA58F9"/>
    <w:rsid w:val="00EA596C"/>
    <w:rsid w:val="00EA597E"/>
    <w:rsid w:val="00EA5A31"/>
    <w:rsid w:val="00EA5AF5"/>
    <w:rsid w:val="00EA5B84"/>
    <w:rsid w:val="00EA5C16"/>
    <w:rsid w:val="00EA5C45"/>
    <w:rsid w:val="00EA5C66"/>
    <w:rsid w:val="00EA5C8F"/>
    <w:rsid w:val="00EA5D19"/>
    <w:rsid w:val="00EA5D75"/>
    <w:rsid w:val="00EA5D7E"/>
    <w:rsid w:val="00EA5D8E"/>
    <w:rsid w:val="00EA5D8F"/>
    <w:rsid w:val="00EA5DDB"/>
    <w:rsid w:val="00EA5E22"/>
    <w:rsid w:val="00EA5E35"/>
    <w:rsid w:val="00EA5E49"/>
    <w:rsid w:val="00EA5EA2"/>
    <w:rsid w:val="00EA5EC3"/>
    <w:rsid w:val="00EA5ECD"/>
    <w:rsid w:val="00EA5F32"/>
    <w:rsid w:val="00EA5FAD"/>
    <w:rsid w:val="00EA5FC0"/>
    <w:rsid w:val="00EA601D"/>
    <w:rsid w:val="00EA6063"/>
    <w:rsid w:val="00EA609D"/>
    <w:rsid w:val="00EA60BF"/>
    <w:rsid w:val="00EA60EF"/>
    <w:rsid w:val="00EA6150"/>
    <w:rsid w:val="00EA6164"/>
    <w:rsid w:val="00EA617A"/>
    <w:rsid w:val="00EA61C5"/>
    <w:rsid w:val="00EA6282"/>
    <w:rsid w:val="00EA6285"/>
    <w:rsid w:val="00EA628D"/>
    <w:rsid w:val="00EA62A2"/>
    <w:rsid w:val="00EA62CA"/>
    <w:rsid w:val="00EA62F0"/>
    <w:rsid w:val="00EA62FE"/>
    <w:rsid w:val="00EA6323"/>
    <w:rsid w:val="00EA636D"/>
    <w:rsid w:val="00EA6391"/>
    <w:rsid w:val="00EA63A2"/>
    <w:rsid w:val="00EA63B3"/>
    <w:rsid w:val="00EA63B6"/>
    <w:rsid w:val="00EA6455"/>
    <w:rsid w:val="00EA649E"/>
    <w:rsid w:val="00EA64F1"/>
    <w:rsid w:val="00EA6508"/>
    <w:rsid w:val="00EA6641"/>
    <w:rsid w:val="00EA668F"/>
    <w:rsid w:val="00EA66DE"/>
    <w:rsid w:val="00EA6728"/>
    <w:rsid w:val="00EA677F"/>
    <w:rsid w:val="00EA6842"/>
    <w:rsid w:val="00EA6893"/>
    <w:rsid w:val="00EA68A7"/>
    <w:rsid w:val="00EA6933"/>
    <w:rsid w:val="00EA6A05"/>
    <w:rsid w:val="00EA6A11"/>
    <w:rsid w:val="00EA6A19"/>
    <w:rsid w:val="00EA6A6D"/>
    <w:rsid w:val="00EA6AC4"/>
    <w:rsid w:val="00EA6B33"/>
    <w:rsid w:val="00EA6B34"/>
    <w:rsid w:val="00EA6BA9"/>
    <w:rsid w:val="00EA6C70"/>
    <w:rsid w:val="00EA6C89"/>
    <w:rsid w:val="00EA6CD5"/>
    <w:rsid w:val="00EA6D98"/>
    <w:rsid w:val="00EA6DCE"/>
    <w:rsid w:val="00EA6E04"/>
    <w:rsid w:val="00EA6E6E"/>
    <w:rsid w:val="00EA6EA1"/>
    <w:rsid w:val="00EA6EC6"/>
    <w:rsid w:val="00EA6ECD"/>
    <w:rsid w:val="00EA6EF7"/>
    <w:rsid w:val="00EA6F01"/>
    <w:rsid w:val="00EA6FBF"/>
    <w:rsid w:val="00EA6FFD"/>
    <w:rsid w:val="00EA7000"/>
    <w:rsid w:val="00EA703D"/>
    <w:rsid w:val="00EA704A"/>
    <w:rsid w:val="00EA70AB"/>
    <w:rsid w:val="00EA70F1"/>
    <w:rsid w:val="00EA7182"/>
    <w:rsid w:val="00EA722B"/>
    <w:rsid w:val="00EA72E9"/>
    <w:rsid w:val="00EA7326"/>
    <w:rsid w:val="00EA733C"/>
    <w:rsid w:val="00EA7380"/>
    <w:rsid w:val="00EA7381"/>
    <w:rsid w:val="00EA73A3"/>
    <w:rsid w:val="00EA73C3"/>
    <w:rsid w:val="00EA741C"/>
    <w:rsid w:val="00EA7427"/>
    <w:rsid w:val="00EA7496"/>
    <w:rsid w:val="00EA752D"/>
    <w:rsid w:val="00EA7548"/>
    <w:rsid w:val="00EA7549"/>
    <w:rsid w:val="00EA754C"/>
    <w:rsid w:val="00EA76C3"/>
    <w:rsid w:val="00EA76F9"/>
    <w:rsid w:val="00EA775F"/>
    <w:rsid w:val="00EA7824"/>
    <w:rsid w:val="00EA7829"/>
    <w:rsid w:val="00EA7839"/>
    <w:rsid w:val="00EA7841"/>
    <w:rsid w:val="00EA78A5"/>
    <w:rsid w:val="00EA78CB"/>
    <w:rsid w:val="00EA78D3"/>
    <w:rsid w:val="00EA78E3"/>
    <w:rsid w:val="00EA7908"/>
    <w:rsid w:val="00EA7911"/>
    <w:rsid w:val="00EA792F"/>
    <w:rsid w:val="00EA7930"/>
    <w:rsid w:val="00EA7933"/>
    <w:rsid w:val="00EA7949"/>
    <w:rsid w:val="00EA7959"/>
    <w:rsid w:val="00EA7983"/>
    <w:rsid w:val="00EA798E"/>
    <w:rsid w:val="00EA7A02"/>
    <w:rsid w:val="00EA7A14"/>
    <w:rsid w:val="00EA7A95"/>
    <w:rsid w:val="00EA7B25"/>
    <w:rsid w:val="00EA7B29"/>
    <w:rsid w:val="00EA7B66"/>
    <w:rsid w:val="00EA7B84"/>
    <w:rsid w:val="00EA7B8D"/>
    <w:rsid w:val="00EA7BCA"/>
    <w:rsid w:val="00EA7C09"/>
    <w:rsid w:val="00EA7C23"/>
    <w:rsid w:val="00EA7C24"/>
    <w:rsid w:val="00EA7C74"/>
    <w:rsid w:val="00EA7CBE"/>
    <w:rsid w:val="00EA7CC2"/>
    <w:rsid w:val="00EA7CDA"/>
    <w:rsid w:val="00EA7CFE"/>
    <w:rsid w:val="00EA7D2E"/>
    <w:rsid w:val="00EA7D2F"/>
    <w:rsid w:val="00EA7D93"/>
    <w:rsid w:val="00EA7DF6"/>
    <w:rsid w:val="00EA7E17"/>
    <w:rsid w:val="00EA7EA0"/>
    <w:rsid w:val="00EA7EA6"/>
    <w:rsid w:val="00EA7EED"/>
    <w:rsid w:val="00EA7EF4"/>
    <w:rsid w:val="00EA7F0D"/>
    <w:rsid w:val="00EA7F22"/>
    <w:rsid w:val="00EA7F68"/>
    <w:rsid w:val="00EA7FCB"/>
    <w:rsid w:val="00EB0002"/>
    <w:rsid w:val="00EB0095"/>
    <w:rsid w:val="00EB00F3"/>
    <w:rsid w:val="00EB0125"/>
    <w:rsid w:val="00EB018A"/>
    <w:rsid w:val="00EB01AB"/>
    <w:rsid w:val="00EB023D"/>
    <w:rsid w:val="00EB0266"/>
    <w:rsid w:val="00EB02EC"/>
    <w:rsid w:val="00EB02FF"/>
    <w:rsid w:val="00EB0341"/>
    <w:rsid w:val="00EB034C"/>
    <w:rsid w:val="00EB0360"/>
    <w:rsid w:val="00EB0362"/>
    <w:rsid w:val="00EB039E"/>
    <w:rsid w:val="00EB03A0"/>
    <w:rsid w:val="00EB03B4"/>
    <w:rsid w:val="00EB03DE"/>
    <w:rsid w:val="00EB0431"/>
    <w:rsid w:val="00EB0490"/>
    <w:rsid w:val="00EB04B9"/>
    <w:rsid w:val="00EB04D0"/>
    <w:rsid w:val="00EB0508"/>
    <w:rsid w:val="00EB0524"/>
    <w:rsid w:val="00EB0598"/>
    <w:rsid w:val="00EB05B8"/>
    <w:rsid w:val="00EB05BE"/>
    <w:rsid w:val="00EB0618"/>
    <w:rsid w:val="00EB061C"/>
    <w:rsid w:val="00EB0643"/>
    <w:rsid w:val="00EB06B7"/>
    <w:rsid w:val="00EB071E"/>
    <w:rsid w:val="00EB0742"/>
    <w:rsid w:val="00EB0744"/>
    <w:rsid w:val="00EB0757"/>
    <w:rsid w:val="00EB07B7"/>
    <w:rsid w:val="00EB07CA"/>
    <w:rsid w:val="00EB07FE"/>
    <w:rsid w:val="00EB0801"/>
    <w:rsid w:val="00EB086B"/>
    <w:rsid w:val="00EB086F"/>
    <w:rsid w:val="00EB0937"/>
    <w:rsid w:val="00EB094D"/>
    <w:rsid w:val="00EB0952"/>
    <w:rsid w:val="00EB097A"/>
    <w:rsid w:val="00EB097B"/>
    <w:rsid w:val="00EB09BB"/>
    <w:rsid w:val="00EB09CC"/>
    <w:rsid w:val="00EB0A30"/>
    <w:rsid w:val="00EB0A38"/>
    <w:rsid w:val="00EB0A91"/>
    <w:rsid w:val="00EB0AB9"/>
    <w:rsid w:val="00EB0B0F"/>
    <w:rsid w:val="00EB0B3F"/>
    <w:rsid w:val="00EB0B5A"/>
    <w:rsid w:val="00EB0BE8"/>
    <w:rsid w:val="00EB0C39"/>
    <w:rsid w:val="00EB0CA0"/>
    <w:rsid w:val="00EB0D44"/>
    <w:rsid w:val="00EB0DC7"/>
    <w:rsid w:val="00EB0DFE"/>
    <w:rsid w:val="00EB0E2A"/>
    <w:rsid w:val="00EB0E80"/>
    <w:rsid w:val="00EB0E9B"/>
    <w:rsid w:val="00EB0E9E"/>
    <w:rsid w:val="00EB0EBA"/>
    <w:rsid w:val="00EB0ED0"/>
    <w:rsid w:val="00EB0EE7"/>
    <w:rsid w:val="00EB0F0B"/>
    <w:rsid w:val="00EB0F36"/>
    <w:rsid w:val="00EB0F4B"/>
    <w:rsid w:val="00EB1004"/>
    <w:rsid w:val="00EB1013"/>
    <w:rsid w:val="00EB1043"/>
    <w:rsid w:val="00EB1071"/>
    <w:rsid w:val="00EB1083"/>
    <w:rsid w:val="00EB10C6"/>
    <w:rsid w:val="00EB10E2"/>
    <w:rsid w:val="00EB110C"/>
    <w:rsid w:val="00EB1120"/>
    <w:rsid w:val="00EB112B"/>
    <w:rsid w:val="00EB115C"/>
    <w:rsid w:val="00EB11EA"/>
    <w:rsid w:val="00EB121C"/>
    <w:rsid w:val="00EB122F"/>
    <w:rsid w:val="00EB123C"/>
    <w:rsid w:val="00EB1279"/>
    <w:rsid w:val="00EB127D"/>
    <w:rsid w:val="00EB12B1"/>
    <w:rsid w:val="00EB12BE"/>
    <w:rsid w:val="00EB12C0"/>
    <w:rsid w:val="00EB12C5"/>
    <w:rsid w:val="00EB12E7"/>
    <w:rsid w:val="00EB12EB"/>
    <w:rsid w:val="00EB12FF"/>
    <w:rsid w:val="00EB13B7"/>
    <w:rsid w:val="00EB14CB"/>
    <w:rsid w:val="00EB14ED"/>
    <w:rsid w:val="00EB154A"/>
    <w:rsid w:val="00EB1553"/>
    <w:rsid w:val="00EB15E8"/>
    <w:rsid w:val="00EB168E"/>
    <w:rsid w:val="00EB16D6"/>
    <w:rsid w:val="00EB170E"/>
    <w:rsid w:val="00EB1739"/>
    <w:rsid w:val="00EB1744"/>
    <w:rsid w:val="00EB180F"/>
    <w:rsid w:val="00EB1828"/>
    <w:rsid w:val="00EB1833"/>
    <w:rsid w:val="00EB184C"/>
    <w:rsid w:val="00EB1882"/>
    <w:rsid w:val="00EB1901"/>
    <w:rsid w:val="00EB197E"/>
    <w:rsid w:val="00EB1988"/>
    <w:rsid w:val="00EB19A4"/>
    <w:rsid w:val="00EB19AE"/>
    <w:rsid w:val="00EB19EB"/>
    <w:rsid w:val="00EB1A41"/>
    <w:rsid w:val="00EB1A66"/>
    <w:rsid w:val="00EB1A9B"/>
    <w:rsid w:val="00EB1B21"/>
    <w:rsid w:val="00EB1B2E"/>
    <w:rsid w:val="00EB1B38"/>
    <w:rsid w:val="00EB1B49"/>
    <w:rsid w:val="00EB1B93"/>
    <w:rsid w:val="00EB1BBE"/>
    <w:rsid w:val="00EB1BD4"/>
    <w:rsid w:val="00EB1BF0"/>
    <w:rsid w:val="00EB1BF5"/>
    <w:rsid w:val="00EB1BF9"/>
    <w:rsid w:val="00EB1C62"/>
    <w:rsid w:val="00EB1C8D"/>
    <w:rsid w:val="00EB1CCF"/>
    <w:rsid w:val="00EB1D50"/>
    <w:rsid w:val="00EB1D63"/>
    <w:rsid w:val="00EB1D86"/>
    <w:rsid w:val="00EB1DAA"/>
    <w:rsid w:val="00EB1DCC"/>
    <w:rsid w:val="00EB1E03"/>
    <w:rsid w:val="00EB1E55"/>
    <w:rsid w:val="00EB1E7C"/>
    <w:rsid w:val="00EB1ED5"/>
    <w:rsid w:val="00EB1EDA"/>
    <w:rsid w:val="00EB1F3C"/>
    <w:rsid w:val="00EB1F3F"/>
    <w:rsid w:val="00EB1F51"/>
    <w:rsid w:val="00EB1F56"/>
    <w:rsid w:val="00EB1F5D"/>
    <w:rsid w:val="00EB1F9C"/>
    <w:rsid w:val="00EB1FF4"/>
    <w:rsid w:val="00EB202F"/>
    <w:rsid w:val="00EB2037"/>
    <w:rsid w:val="00EB203E"/>
    <w:rsid w:val="00EB2041"/>
    <w:rsid w:val="00EB2055"/>
    <w:rsid w:val="00EB2065"/>
    <w:rsid w:val="00EB20B2"/>
    <w:rsid w:val="00EB20BB"/>
    <w:rsid w:val="00EB20F0"/>
    <w:rsid w:val="00EB2111"/>
    <w:rsid w:val="00EB211D"/>
    <w:rsid w:val="00EB218F"/>
    <w:rsid w:val="00EB21A9"/>
    <w:rsid w:val="00EB21B1"/>
    <w:rsid w:val="00EB21EF"/>
    <w:rsid w:val="00EB226E"/>
    <w:rsid w:val="00EB22F4"/>
    <w:rsid w:val="00EB2340"/>
    <w:rsid w:val="00EB2352"/>
    <w:rsid w:val="00EB243F"/>
    <w:rsid w:val="00EB2458"/>
    <w:rsid w:val="00EB246D"/>
    <w:rsid w:val="00EB248A"/>
    <w:rsid w:val="00EB2552"/>
    <w:rsid w:val="00EB25E2"/>
    <w:rsid w:val="00EB2687"/>
    <w:rsid w:val="00EB26C0"/>
    <w:rsid w:val="00EB26C6"/>
    <w:rsid w:val="00EB271A"/>
    <w:rsid w:val="00EB2745"/>
    <w:rsid w:val="00EB274C"/>
    <w:rsid w:val="00EB2751"/>
    <w:rsid w:val="00EB2790"/>
    <w:rsid w:val="00EB2862"/>
    <w:rsid w:val="00EB286E"/>
    <w:rsid w:val="00EB287B"/>
    <w:rsid w:val="00EB2890"/>
    <w:rsid w:val="00EB28C3"/>
    <w:rsid w:val="00EB2908"/>
    <w:rsid w:val="00EB2923"/>
    <w:rsid w:val="00EB2926"/>
    <w:rsid w:val="00EB2927"/>
    <w:rsid w:val="00EB296D"/>
    <w:rsid w:val="00EB29AE"/>
    <w:rsid w:val="00EB29C7"/>
    <w:rsid w:val="00EB29DB"/>
    <w:rsid w:val="00EB2A4E"/>
    <w:rsid w:val="00EB2A51"/>
    <w:rsid w:val="00EB2AA5"/>
    <w:rsid w:val="00EB2AC7"/>
    <w:rsid w:val="00EB2B10"/>
    <w:rsid w:val="00EB2B4B"/>
    <w:rsid w:val="00EB2B92"/>
    <w:rsid w:val="00EB2BED"/>
    <w:rsid w:val="00EB2C45"/>
    <w:rsid w:val="00EB2C52"/>
    <w:rsid w:val="00EB2C6E"/>
    <w:rsid w:val="00EB2CCA"/>
    <w:rsid w:val="00EB2DBE"/>
    <w:rsid w:val="00EB2E15"/>
    <w:rsid w:val="00EB2E4D"/>
    <w:rsid w:val="00EB2E7E"/>
    <w:rsid w:val="00EB2E7F"/>
    <w:rsid w:val="00EB2ECD"/>
    <w:rsid w:val="00EB2EF9"/>
    <w:rsid w:val="00EB2F09"/>
    <w:rsid w:val="00EB2F36"/>
    <w:rsid w:val="00EB2F40"/>
    <w:rsid w:val="00EB2F67"/>
    <w:rsid w:val="00EB2FC1"/>
    <w:rsid w:val="00EB3004"/>
    <w:rsid w:val="00EB3087"/>
    <w:rsid w:val="00EB3094"/>
    <w:rsid w:val="00EB30A8"/>
    <w:rsid w:val="00EB30E6"/>
    <w:rsid w:val="00EB312C"/>
    <w:rsid w:val="00EB3152"/>
    <w:rsid w:val="00EB31A5"/>
    <w:rsid w:val="00EB31BB"/>
    <w:rsid w:val="00EB31E0"/>
    <w:rsid w:val="00EB321E"/>
    <w:rsid w:val="00EB326E"/>
    <w:rsid w:val="00EB327D"/>
    <w:rsid w:val="00EB32D2"/>
    <w:rsid w:val="00EB3323"/>
    <w:rsid w:val="00EB3372"/>
    <w:rsid w:val="00EB3379"/>
    <w:rsid w:val="00EB337D"/>
    <w:rsid w:val="00EB339F"/>
    <w:rsid w:val="00EB33B3"/>
    <w:rsid w:val="00EB33CB"/>
    <w:rsid w:val="00EB33DE"/>
    <w:rsid w:val="00EB33F1"/>
    <w:rsid w:val="00EB33F3"/>
    <w:rsid w:val="00EB3413"/>
    <w:rsid w:val="00EB3442"/>
    <w:rsid w:val="00EB345C"/>
    <w:rsid w:val="00EB34B0"/>
    <w:rsid w:val="00EB34C3"/>
    <w:rsid w:val="00EB34EB"/>
    <w:rsid w:val="00EB34EF"/>
    <w:rsid w:val="00EB3539"/>
    <w:rsid w:val="00EB3559"/>
    <w:rsid w:val="00EB3564"/>
    <w:rsid w:val="00EB359E"/>
    <w:rsid w:val="00EB35AA"/>
    <w:rsid w:val="00EB35C9"/>
    <w:rsid w:val="00EB360F"/>
    <w:rsid w:val="00EB3615"/>
    <w:rsid w:val="00EB3649"/>
    <w:rsid w:val="00EB3668"/>
    <w:rsid w:val="00EB3690"/>
    <w:rsid w:val="00EB369C"/>
    <w:rsid w:val="00EB36A8"/>
    <w:rsid w:val="00EB36F0"/>
    <w:rsid w:val="00EB3787"/>
    <w:rsid w:val="00EB3790"/>
    <w:rsid w:val="00EB3793"/>
    <w:rsid w:val="00EB37A4"/>
    <w:rsid w:val="00EB37AC"/>
    <w:rsid w:val="00EB3841"/>
    <w:rsid w:val="00EB38C7"/>
    <w:rsid w:val="00EB3939"/>
    <w:rsid w:val="00EB39CB"/>
    <w:rsid w:val="00EB3A15"/>
    <w:rsid w:val="00EB3A79"/>
    <w:rsid w:val="00EB3A83"/>
    <w:rsid w:val="00EB3AB7"/>
    <w:rsid w:val="00EB3B25"/>
    <w:rsid w:val="00EB3B40"/>
    <w:rsid w:val="00EB3B50"/>
    <w:rsid w:val="00EB3B5E"/>
    <w:rsid w:val="00EB3BA1"/>
    <w:rsid w:val="00EB3BC8"/>
    <w:rsid w:val="00EB3C36"/>
    <w:rsid w:val="00EB3CAE"/>
    <w:rsid w:val="00EB3D47"/>
    <w:rsid w:val="00EB3DC9"/>
    <w:rsid w:val="00EB3DFA"/>
    <w:rsid w:val="00EB3ECD"/>
    <w:rsid w:val="00EB3F6C"/>
    <w:rsid w:val="00EB3F93"/>
    <w:rsid w:val="00EB3F9B"/>
    <w:rsid w:val="00EB3FAD"/>
    <w:rsid w:val="00EB3FC8"/>
    <w:rsid w:val="00EB4057"/>
    <w:rsid w:val="00EB4136"/>
    <w:rsid w:val="00EB4167"/>
    <w:rsid w:val="00EB417A"/>
    <w:rsid w:val="00EB4180"/>
    <w:rsid w:val="00EB4181"/>
    <w:rsid w:val="00EB4189"/>
    <w:rsid w:val="00EB419A"/>
    <w:rsid w:val="00EB41D0"/>
    <w:rsid w:val="00EB4221"/>
    <w:rsid w:val="00EB4239"/>
    <w:rsid w:val="00EB4244"/>
    <w:rsid w:val="00EB428C"/>
    <w:rsid w:val="00EB429C"/>
    <w:rsid w:val="00EB4350"/>
    <w:rsid w:val="00EB4383"/>
    <w:rsid w:val="00EB4395"/>
    <w:rsid w:val="00EB43A7"/>
    <w:rsid w:val="00EB4469"/>
    <w:rsid w:val="00EB4472"/>
    <w:rsid w:val="00EB4492"/>
    <w:rsid w:val="00EB4567"/>
    <w:rsid w:val="00EB4619"/>
    <w:rsid w:val="00EB4672"/>
    <w:rsid w:val="00EB4673"/>
    <w:rsid w:val="00EB474A"/>
    <w:rsid w:val="00EB47E4"/>
    <w:rsid w:val="00EB4848"/>
    <w:rsid w:val="00EB4875"/>
    <w:rsid w:val="00EB48AA"/>
    <w:rsid w:val="00EB48B2"/>
    <w:rsid w:val="00EB48BF"/>
    <w:rsid w:val="00EB48D8"/>
    <w:rsid w:val="00EB48D9"/>
    <w:rsid w:val="00EB48F9"/>
    <w:rsid w:val="00EB4941"/>
    <w:rsid w:val="00EB495A"/>
    <w:rsid w:val="00EB49B1"/>
    <w:rsid w:val="00EB49D5"/>
    <w:rsid w:val="00EB49F3"/>
    <w:rsid w:val="00EB4A23"/>
    <w:rsid w:val="00EB4A3F"/>
    <w:rsid w:val="00EB4A43"/>
    <w:rsid w:val="00EB4A8C"/>
    <w:rsid w:val="00EB4AA3"/>
    <w:rsid w:val="00EB4B52"/>
    <w:rsid w:val="00EB4B8A"/>
    <w:rsid w:val="00EB4B95"/>
    <w:rsid w:val="00EB4BB7"/>
    <w:rsid w:val="00EB4BD1"/>
    <w:rsid w:val="00EB4BF0"/>
    <w:rsid w:val="00EB4C16"/>
    <w:rsid w:val="00EB4C37"/>
    <w:rsid w:val="00EB4C64"/>
    <w:rsid w:val="00EB4C88"/>
    <w:rsid w:val="00EB4D2F"/>
    <w:rsid w:val="00EB4E10"/>
    <w:rsid w:val="00EB4EAF"/>
    <w:rsid w:val="00EB4F23"/>
    <w:rsid w:val="00EB4F9E"/>
    <w:rsid w:val="00EB5030"/>
    <w:rsid w:val="00EB5034"/>
    <w:rsid w:val="00EB5048"/>
    <w:rsid w:val="00EB5162"/>
    <w:rsid w:val="00EB5188"/>
    <w:rsid w:val="00EB51A8"/>
    <w:rsid w:val="00EB51B2"/>
    <w:rsid w:val="00EB51CC"/>
    <w:rsid w:val="00EB5224"/>
    <w:rsid w:val="00EB5237"/>
    <w:rsid w:val="00EB5275"/>
    <w:rsid w:val="00EB5289"/>
    <w:rsid w:val="00EB5294"/>
    <w:rsid w:val="00EB5302"/>
    <w:rsid w:val="00EB5313"/>
    <w:rsid w:val="00EB531A"/>
    <w:rsid w:val="00EB537E"/>
    <w:rsid w:val="00EB5389"/>
    <w:rsid w:val="00EB53AE"/>
    <w:rsid w:val="00EB5435"/>
    <w:rsid w:val="00EB5475"/>
    <w:rsid w:val="00EB54FC"/>
    <w:rsid w:val="00EB5622"/>
    <w:rsid w:val="00EB5637"/>
    <w:rsid w:val="00EB5643"/>
    <w:rsid w:val="00EB5644"/>
    <w:rsid w:val="00EB56CA"/>
    <w:rsid w:val="00EB56F3"/>
    <w:rsid w:val="00EB5748"/>
    <w:rsid w:val="00EB57A4"/>
    <w:rsid w:val="00EB57A7"/>
    <w:rsid w:val="00EB5803"/>
    <w:rsid w:val="00EB5826"/>
    <w:rsid w:val="00EB585E"/>
    <w:rsid w:val="00EB5866"/>
    <w:rsid w:val="00EB58AE"/>
    <w:rsid w:val="00EB58D5"/>
    <w:rsid w:val="00EB5906"/>
    <w:rsid w:val="00EB594B"/>
    <w:rsid w:val="00EB596B"/>
    <w:rsid w:val="00EB5980"/>
    <w:rsid w:val="00EB59A8"/>
    <w:rsid w:val="00EB59CE"/>
    <w:rsid w:val="00EB5A11"/>
    <w:rsid w:val="00EB5B85"/>
    <w:rsid w:val="00EB5B90"/>
    <w:rsid w:val="00EB5C2A"/>
    <w:rsid w:val="00EB5C30"/>
    <w:rsid w:val="00EB5C3E"/>
    <w:rsid w:val="00EB5CC1"/>
    <w:rsid w:val="00EB5CF4"/>
    <w:rsid w:val="00EB5D1C"/>
    <w:rsid w:val="00EB5D68"/>
    <w:rsid w:val="00EB5D88"/>
    <w:rsid w:val="00EB5DE4"/>
    <w:rsid w:val="00EB5E1F"/>
    <w:rsid w:val="00EB5EFD"/>
    <w:rsid w:val="00EB5F42"/>
    <w:rsid w:val="00EB5F6F"/>
    <w:rsid w:val="00EB5FA3"/>
    <w:rsid w:val="00EB5FDA"/>
    <w:rsid w:val="00EB5FE1"/>
    <w:rsid w:val="00EB5FFF"/>
    <w:rsid w:val="00EB6018"/>
    <w:rsid w:val="00EB6028"/>
    <w:rsid w:val="00EB605D"/>
    <w:rsid w:val="00EB608E"/>
    <w:rsid w:val="00EB60AA"/>
    <w:rsid w:val="00EB60ED"/>
    <w:rsid w:val="00EB60F2"/>
    <w:rsid w:val="00EB6134"/>
    <w:rsid w:val="00EB61BF"/>
    <w:rsid w:val="00EB6246"/>
    <w:rsid w:val="00EB6284"/>
    <w:rsid w:val="00EB62B3"/>
    <w:rsid w:val="00EB62CD"/>
    <w:rsid w:val="00EB63E3"/>
    <w:rsid w:val="00EB63EB"/>
    <w:rsid w:val="00EB6446"/>
    <w:rsid w:val="00EB646D"/>
    <w:rsid w:val="00EB647D"/>
    <w:rsid w:val="00EB647E"/>
    <w:rsid w:val="00EB648F"/>
    <w:rsid w:val="00EB64D5"/>
    <w:rsid w:val="00EB64E1"/>
    <w:rsid w:val="00EB64F0"/>
    <w:rsid w:val="00EB64FE"/>
    <w:rsid w:val="00EB653F"/>
    <w:rsid w:val="00EB654E"/>
    <w:rsid w:val="00EB6563"/>
    <w:rsid w:val="00EB65AC"/>
    <w:rsid w:val="00EB662F"/>
    <w:rsid w:val="00EB6635"/>
    <w:rsid w:val="00EB6678"/>
    <w:rsid w:val="00EB66B4"/>
    <w:rsid w:val="00EB66C8"/>
    <w:rsid w:val="00EB66EC"/>
    <w:rsid w:val="00EB671D"/>
    <w:rsid w:val="00EB674E"/>
    <w:rsid w:val="00EB678F"/>
    <w:rsid w:val="00EB6794"/>
    <w:rsid w:val="00EB6847"/>
    <w:rsid w:val="00EB684F"/>
    <w:rsid w:val="00EB6851"/>
    <w:rsid w:val="00EB68FA"/>
    <w:rsid w:val="00EB69A8"/>
    <w:rsid w:val="00EB69B0"/>
    <w:rsid w:val="00EB69D1"/>
    <w:rsid w:val="00EB69DA"/>
    <w:rsid w:val="00EB69F4"/>
    <w:rsid w:val="00EB69F5"/>
    <w:rsid w:val="00EB6A38"/>
    <w:rsid w:val="00EB6A98"/>
    <w:rsid w:val="00EB6B2E"/>
    <w:rsid w:val="00EB6BBD"/>
    <w:rsid w:val="00EB6C18"/>
    <w:rsid w:val="00EB6C48"/>
    <w:rsid w:val="00EB6C93"/>
    <w:rsid w:val="00EB6CE0"/>
    <w:rsid w:val="00EB6D51"/>
    <w:rsid w:val="00EB6D9A"/>
    <w:rsid w:val="00EB6DE4"/>
    <w:rsid w:val="00EB6DE7"/>
    <w:rsid w:val="00EB6E04"/>
    <w:rsid w:val="00EB6E68"/>
    <w:rsid w:val="00EB6E85"/>
    <w:rsid w:val="00EB6E87"/>
    <w:rsid w:val="00EB6E8E"/>
    <w:rsid w:val="00EB6EAD"/>
    <w:rsid w:val="00EB6EC8"/>
    <w:rsid w:val="00EB6ECE"/>
    <w:rsid w:val="00EB6F35"/>
    <w:rsid w:val="00EB6F37"/>
    <w:rsid w:val="00EB6F4C"/>
    <w:rsid w:val="00EB6F59"/>
    <w:rsid w:val="00EB6FB4"/>
    <w:rsid w:val="00EB7054"/>
    <w:rsid w:val="00EB7057"/>
    <w:rsid w:val="00EB70BD"/>
    <w:rsid w:val="00EB7139"/>
    <w:rsid w:val="00EB7147"/>
    <w:rsid w:val="00EB714B"/>
    <w:rsid w:val="00EB715B"/>
    <w:rsid w:val="00EB716A"/>
    <w:rsid w:val="00EB7225"/>
    <w:rsid w:val="00EB7236"/>
    <w:rsid w:val="00EB72FD"/>
    <w:rsid w:val="00EB7334"/>
    <w:rsid w:val="00EB733E"/>
    <w:rsid w:val="00EB7359"/>
    <w:rsid w:val="00EB7375"/>
    <w:rsid w:val="00EB7388"/>
    <w:rsid w:val="00EB73BE"/>
    <w:rsid w:val="00EB73DE"/>
    <w:rsid w:val="00EB7435"/>
    <w:rsid w:val="00EB74B8"/>
    <w:rsid w:val="00EB7541"/>
    <w:rsid w:val="00EB75EB"/>
    <w:rsid w:val="00EB7675"/>
    <w:rsid w:val="00EB767C"/>
    <w:rsid w:val="00EB7688"/>
    <w:rsid w:val="00EB76B1"/>
    <w:rsid w:val="00EB76D8"/>
    <w:rsid w:val="00EB772B"/>
    <w:rsid w:val="00EB7732"/>
    <w:rsid w:val="00EB77A2"/>
    <w:rsid w:val="00EB77CE"/>
    <w:rsid w:val="00EB7800"/>
    <w:rsid w:val="00EB78D2"/>
    <w:rsid w:val="00EB7963"/>
    <w:rsid w:val="00EB7976"/>
    <w:rsid w:val="00EB798B"/>
    <w:rsid w:val="00EB79CE"/>
    <w:rsid w:val="00EB7A14"/>
    <w:rsid w:val="00EB7A32"/>
    <w:rsid w:val="00EB7A3E"/>
    <w:rsid w:val="00EB7AFE"/>
    <w:rsid w:val="00EB7B1A"/>
    <w:rsid w:val="00EB7B4D"/>
    <w:rsid w:val="00EB7B7B"/>
    <w:rsid w:val="00EB7BC0"/>
    <w:rsid w:val="00EB7BEA"/>
    <w:rsid w:val="00EB7BEF"/>
    <w:rsid w:val="00EB7C0B"/>
    <w:rsid w:val="00EB7C2B"/>
    <w:rsid w:val="00EB7C82"/>
    <w:rsid w:val="00EB7CA5"/>
    <w:rsid w:val="00EB7CB9"/>
    <w:rsid w:val="00EB7CCF"/>
    <w:rsid w:val="00EB7CEE"/>
    <w:rsid w:val="00EB7D14"/>
    <w:rsid w:val="00EB7D1B"/>
    <w:rsid w:val="00EB7D56"/>
    <w:rsid w:val="00EB7D79"/>
    <w:rsid w:val="00EB7DEF"/>
    <w:rsid w:val="00EB7E01"/>
    <w:rsid w:val="00EB7E1C"/>
    <w:rsid w:val="00EB7E1F"/>
    <w:rsid w:val="00EB7E51"/>
    <w:rsid w:val="00EB7E54"/>
    <w:rsid w:val="00EB7EE7"/>
    <w:rsid w:val="00EC0008"/>
    <w:rsid w:val="00EC0010"/>
    <w:rsid w:val="00EC00A6"/>
    <w:rsid w:val="00EC0104"/>
    <w:rsid w:val="00EC0108"/>
    <w:rsid w:val="00EC0129"/>
    <w:rsid w:val="00EC0181"/>
    <w:rsid w:val="00EC01C4"/>
    <w:rsid w:val="00EC01C7"/>
    <w:rsid w:val="00EC02B9"/>
    <w:rsid w:val="00EC031B"/>
    <w:rsid w:val="00EC0386"/>
    <w:rsid w:val="00EC039A"/>
    <w:rsid w:val="00EC03A2"/>
    <w:rsid w:val="00EC03A3"/>
    <w:rsid w:val="00EC03E8"/>
    <w:rsid w:val="00EC0449"/>
    <w:rsid w:val="00EC045A"/>
    <w:rsid w:val="00EC04DF"/>
    <w:rsid w:val="00EC054C"/>
    <w:rsid w:val="00EC05EF"/>
    <w:rsid w:val="00EC05F0"/>
    <w:rsid w:val="00EC0610"/>
    <w:rsid w:val="00EC063F"/>
    <w:rsid w:val="00EC0677"/>
    <w:rsid w:val="00EC0687"/>
    <w:rsid w:val="00EC0786"/>
    <w:rsid w:val="00EC07C6"/>
    <w:rsid w:val="00EC0803"/>
    <w:rsid w:val="00EC0814"/>
    <w:rsid w:val="00EC081A"/>
    <w:rsid w:val="00EC0847"/>
    <w:rsid w:val="00EC0887"/>
    <w:rsid w:val="00EC088E"/>
    <w:rsid w:val="00EC08B0"/>
    <w:rsid w:val="00EC094A"/>
    <w:rsid w:val="00EC0959"/>
    <w:rsid w:val="00EC095A"/>
    <w:rsid w:val="00EC0968"/>
    <w:rsid w:val="00EC09A0"/>
    <w:rsid w:val="00EC09D4"/>
    <w:rsid w:val="00EC09E8"/>
    <w:rsid w:val="00EC0A74"/>
    <w:rsid w:val="00EC0AA9"/>
    <w:rsid w:val="00EC0AC6"/>
    <w:rsid w:val="00EC0AF7"/>
    <w:rsid w:val="00EC0B44"/>
    <w:rsid w:val="00EC0B4F"/>
    <w:rsid w:val="00EC0BA1"/>
    <w:rsid w:val="00EC0C33"/>
    <w:rsid w:val="00EC0C36"/>
    <w:rsid w:val="00EC0C39"/>
    <w:rsid w:val="00EC0C64"/>
    <w:rsid w:val="00EC0D0C"/>
    <w:rsid w:val="00EC0D1F"/>
    <w:rsid w:val="00EC0D35"/>
    <w:rsid w:val="00EC0D49"/>
    <w:rsid w:val="00EC0D99"/>
    <w:rsid w:val="00EC0DDD"/>
    <w:rsid w:val="00EC0E0D"/>
    <w:rsid w:val="00EC0E1D"/>
    <w:rsid w:val="00EC0E1E"/>
    <w:rsid w:val="00EC0E52"/>
    <w:rsid w:val="00EC0E7C"/>
    <w:rsid w:val="00EC0E92"/>
    <w:rsid w:val="00EC0E94"/>
    <w:rsid w:val="00EC0EB3"/>
    <w:rsid w:val="00EC0EC6"/>
    <w:rsid w:val="00EC0F19"/>
    <w:rsid w:val="00EC0FFF"/>
    <w:rsid w:val="00EC1000"/>
    <w:rsid w:val="00EC1025"/>
    <w:rsid w:val="00EC102B"/>
    <w:rsid w:val="00EC102C"/>
    <w:rsid w:val="00EC1060"/>
    <w:rsid w:val="00EC1063"/>
    <w:rsid w:val="00EC10A0"/>
    <w:rsid w:val="00EC10A3"/>
    <w:rsid w:val="00EC1142"/>
    <w:rsid w:val="00EC115E"/>
    <w:rsid w:val="00EC11B6"/>
    <w:rsid w:val="00EC11B8"/>
    <w:rsid w:val="00EC1211"/>
    <w:rsid w:val="00EC1244"/>
    <w:rsid w:val="00EC12C2"/>
    <w:rsid w:val="00EC1338"/>
    <w:rsid w:val="00EC134E"/>
    <w:rsid w:val="00EC1353"/>
    <w:rsid w:val="00EC135C"/>
    <w:rsid w:val="00EC1361"/>
    <w:rsid w:val="00EC1398"/>
    <w:rsid w:val="00EC13B2"/>
    <w:rsid w:val="00EC13C3"/>
    <w:rsid w:val="00EC13F6"/>
    <w:rsid w:val="00EC1423"/>
    <w:rsid w:val="00EC143A"/>
    <w:rsid w:val="00EC143F"/>
    <w:rsid w:val="00EC1466"/>
    <w:rsid w:val="00EC1482"/>
    <w:rsid w:val="00EC14AD"/>
    <w:rsid w:val="00EC14AF"/>
    <w:rsid w:val="00EC153C"/>
    <w:rsid w:val="00EC155A"/>
    <w:rsid w:val="00EC15E5"/>
    <w:rsid w:val="00EC162B"/>
    <w:rsid w:val="00EC162D"/>
    <w:rsid w:val="00EC164B"/>
    <w:rsid w:val="00EC165D"/>
    <w:rsid w:val="00EC1667"/>
    <w:rsid w:val="00EC1672"/>
    <w:rsid w:val="00EC16A4"/>
    <w:rsid w:val="00EC16A5"/>
    <w:rsid w:val="00EC16B2"/>
    <w:rsid w:val="00EC175A"/>
    <w:rsid w:val="00EC1760"/>
    <w:rsid w:val="00EC17A7"/>
    <w:rsid w:val="00EC17D9"/>
    <w:rsid w:val="00EC1805"/>
    <w:rsid w:val="00EC1870"/>
    <w:rsid w:val="00EC189C"/>
    <w:rsid w:val="00EC18B0"/>
    <w:rsid w:val="00EC18C0"/>
    <w:rsid w:val="00EC18C2"/>
    <w:rsid w:val="00EC18CD"/>
    <w:rsid w:val="00EC18FD"/>
    <w:rsid w:val="00EC1956"/>
    <w:rsid w:val="00EC199B"/>
    <w:rsid w:val="00EC19AD"/>
    <w:rsid w:val="00EC19B2"/>
    <w:rsid w:val="00EC19EB"/>
    <w:rsid w:val="00EC1A25"/>
    <w:rsid w:val="00EC1A3F"/>
    <w:rsid w:val="00EC1A6A"/>
    <w:rsid w:val="00EC1AA2"/>
    <w:rsid w:val="00EC1ACC"/>
    <w:rsid w:val="00EC1AD7"/>
    <w:rsid w:val="00EC1AF7"/>
    <w:rsid w:val="00EC1B6C"/>
    <w:rsid w:val="00EC1B8B"/>
    <w:rsid w:val="00EC1BDD"/>
    <w:rsid w:val="00EC1C5E"/>
    <w:rsid w:val="00EC1D06"/>
    <w:rsid w:val="00EC1D50"/>
    <w:rsid w:val="00EC1DC4"/>
    <w:rsid w:val="00EC1DD8"/>
    <w:rsid w:val="00EC1E7E"/>
    <w:rsid w:val="00EC1E92"/>
    <w:rsid w:val="00EC1EEE"/>
    <w:rsid w:val="00EC1EFE"/>
    <w:rsid w:val="00EC1F0F"/>
    <w:rsid w:val="00EC1F2C"/>
    <w:rsid w:val="00EC1F56"/>
    <w:rsid w:val="00EC1F63"/>
    <w:rsid w:val="00EC1F8C"/>
    <w:rsid w:val="00EC1FAD"/>
    <w:rsid w:val="00EC1FDE"/>
    <w:rsid w:val="00EC203D"/>
    <w:rsid w:val="00EC20AC"/>
    <w:rsid w:val="00EC20FE"/>
    <w:rsid w:val="00EC211D"/>
    <w:rsid w:val="00EC2159"/>
    <w:rsid w:val="00EC2226"/>
    <w:rsid w:val="00EC227B"/>
    <w:rsid w:val="00EC2291"/>
    <w:rsid w:val="00EC22FA"/>
    <w:rsid w:val="00EC2328"/>
    <w:rsid w:val="00EC23A6"/>
    <w:rsid w:val="00EC23B4"/>
    <w:rsid w:val="00EC23E8"/>
    <w:rsid w:val="00EC242E"/>
    <w:rsid w:val="00EC24CB"/>
    <w:rsid w:val="00EC251C"/>
    <w:rsid w:val="00EC2553"/>
    <w:rsid w:val="00EC2570"/>
    <w:rsid w:val="00EC2572"/>
    <w:rsid w:val="00EC25D5"/>
    <w:rsid w:val="00EC25EB"/>
    <w:rsid w:val="00EC261F"/>
    <w:rsid w:val="00EC2624"/>
    <w:rsid w:val="00EC2647"/>
    <w:rsid w:val="00EC268D"/>
    <w:rsid w:val="00EC2730"/>
    <w:rsid w:val="00EC27BC"/>
    <w:rsid w:val="00EC27D8"/>
    <w:rsid w:val="00EC27E8"/>
    <w:rsid w:val="00EC280A"/>
    <w:rsid w:val="00EC2823"/>
    <w:rsid w:val="00EC2840"/>
    <w:rsid w:val="00EC2843"/>
    <w:rsid w:val="00EC2889"/>
    <w:rsid w:val="00EC2891"/>
    <w:rsid w:val="00EC2917"/>
    <w:rsid w:val="00EC29D1"/>
    <w:rsid w:val="00EC29E8"/>
    <w:rsid w:val="00EC29F8"/>
    <w:rsid w:val="00EC2A04"/>
    <w:rsid w:val="00EC2A65"/>
    <w:rsid w:val="00EC2A69"/>
    <w:rsid w:val="00EC2A76"/>
    <w:rsid w:val="00EC2AB0"/>
    <w:rsid w:val="00EC2B2B"/>
    <w:rsid w:val="00EC2B47"/>
    <w:rsid w:val="00EC2B53"/>
    <w:rsid w:val="00EC2B6A"/>
    <w:rsid w:val="00EC2B74"/>
    <w:rsid w:val="00EC2BE8"/>
    <w:rsid w:val="00EC2C0D"/>
    <w:rsid w:val="00EC2C3B"/>
    <w:rsid w:val="00EC2C99"/>
    <w:rsid w:val="00EC2C9B"/>
    <w:rsid w:val="00EC2D5D"/>
    <w:rsid w:val="00EC2D5E"/>
    <w:rsid w:val="00EC2D9A"/>
    <w:rsid w:val="00EC2DB4"/>
    <w:rsid w:val="00EC2DC7"/>
    <w:rsid w:val="00EC2DCE"/>
    <w:rsid w:val="00EC2DE1"/>
    <w:rsid w:val="00EC2E23"/>
    <w:rsid w:val="00EC2E2F"/>
    <w:rsid w:val="00EC2E78"/>
    <w:rsid w:val="00EC2EA4"/>
    <w:rsid w:val="00EC2EA6"/>
    <w:rsid w:val="00EC2EB8"/>
    <w:rsid w:val="00EC2EC9"/>
    <w:rsid w:val="00EC2ED7"/>
    <w:rsid w:val="00EC2EE6"/>
    <w:rsid w:val="00EC2F27"/>
    <w:rsid w:val="00EC2F2D"/>
    <w:rsid w:val="00EC2F85"/>
    <w:rsid w:val="00EC3037"/>
    <w:rsid w:val="00EC3069"/>
    <w:rsid w:val="00EC3093"/>
    <w:rsid w:val="00EC30D0"/>
    <w:rsid w:val="00EC30D6"/>
    <w:rsid w:val="00EC31ED"/>
    <w:rsid w:val="00EC32FB"/>
    <w:rsid w:val="00EC334E"/>
    <w:rsid w:val="00EC3361"/>
    <w:rsid w:val="00EC336A"/>
    <w:rsid w:val="00EC33B2"/>
    <w:rsid w:val="00EC33CE"/>
    <w:rsid w:val="00EC33EC"/>
    <w:rsid w:val="00EC3410"/>
    <w:rsid w:val="00EC343E"/>
    <w:rsid w:val="00EC3476"/>
    <w:rsid w:val="00EC34F1"/>
    <w:rsid w:val="00EC351F"/>
    <w:rsid w:val="00EC3526"/>
    <w:rsid w:val="00EC356E"/>
    <w:rsid w:val="00EC3623"/>
    <w:rsid w:val="00EC3641"/>
    <w:rsid w:val="00EC3643"/>
    <w:rsid w:val="00EC3670"/>
    <w:rsid w:val="00EC368C"/>
    <w:rsid w:val="00EC36C4"/>
    <w:rsid w:val="00EC371A"/>
    <w:rsid w:val="00EC373D"/>
    <w:rsid w:val="00EC37FD"/>
    <w:rsid w:val="00EC3800"/>
    <w:rsid w:val="00EC3845"/>
    <w:rsid w:val="00EC38AD"/>
    <w:rsid w:val="00EC38FB"/>
    <w:rsid w:val="00EC3902"/>
    <w:rsid w:val="00EC3909"/>
    <w:rsid w:val="00EC390E"/>
    <w:rsid w:val="00EC3953"/>
    <w:rsid w:val="00EC396D"/>
    <w:rsid w:val="00EC3970"/>
    <w:rsid w:val="00EC3A13"/>
    <w:rsid w:val="00EC3A37"/>
    <w:rsid w:val="00EC3A63"/>
    <w:rsid w:val="00EC3A70"/>
    <w:rsid w:val="00EC3A8D"/>
    <w:rsid w:val="00EC3AF3"/>
    <w:rsid w:val="00EC3AF4"/>
    <w:rsid w:val="00EC3B86"/>
    <w:rsid w:val="00EC3BA6"/>
    <w:rsid w:val="00EC3BEF"/>
    <w:rsid w:val="00EC3C0A"/>
    <w:rsid w:val="00EC3C0F"/>
    <w:rsid w:val="00EC3C16"/>
    <w:rsid w:val="00EC3CD5"/>
    <w:rsid w:val="00EC3D23"/>
    <w:rsid w:val="00EC3D3E"/>
    <w:rsid w:val="00EC3D87"/>
    <w:rsid w:val="00EC3E04"/>
    <w:rsid w:val="00EC3EE5"/>
    <w:rsid w:val="00EC3F24"/>
    <w:rsid w:val="00EC3FC7"/>
    <w:rsid w:val="00EC3FEB"/>
    <w:rsid w:val="00EC4057"/>
    <w:rsid w:val="00EC4058"/>
    <w:rsid w:val="00EC406E"/>
    <w:rsid w:val="00EC40AB"/>
    <w:rsid w:val="00EC410C"/>
    <w:rsid w:val="00EC411A"/>
    <w:rsid w:val="00EC412D"/>
    <w:rsid w:val="00EC4165"/>
    <w:rsid w:val="00EC41A1"/>
    <w:rsid w:val="00EC42A5"/>
    <w:rsid w:val="00EC42B7"/>
    <w:rsid w:val="00EC4318"/>
    <w:rsid w:val="00EC437B"/>
    <w:rsid w:val="00EC43FE"/>
    <w:rsid w:val="00EC444D"/>
    <w:rsid w:val="00EC4496"/>
    <w:rsid w:val="00EC4584"/>
    <w:rsid w:val="00EC45BA"/>
    <w:rsid w:val="00EC45CD"/>
    <w:rsid w:val="00EC45D1"/>
    <w:rsid w:val="00EC461B"/>
    <w:rsid w:val="00EC464D"/>
    <w:rsid w:val="00EC46C3"/>
    <w:rsid w:val="00EC46CE"/>
    <w:rsid w:val="00EC471B"/>
    <w:rsid w:val="00EC4772"/>
    <w:rsid w:val="00EC4853"/>
    <w:rsid w:val="00EC4885"/>
    <w:rsid w:val="00EC492B"/>
    <w:rsid w:val="00EC4987"/>
    <w:rsid w:val="00EC49F8"/>
    <w:rsid w:val="00EC4A85"/>
    <w:rsid w:val="00EC4A87"/>
    <w:rsid w:val="00EC4A93"/>
    <w:rsid w:val="00EC4AAB"/>
    <w:rsid w:val="00EC4AAC"/>
    <w:rsid w:val="00EC4B59"/>
    <w:rsid w:val="00EC4BB8"/>
    <w:rsid w:val="00EC4C2E"/>
    <w:rsid w:val="00EC4C41"/>
    <w:rsid w:val="00EC4C44"/>
    <w:rsid w:val="00EC4C5A"/>
    <w:rsid w:val="00EC4C5E"/>
    <w:rsid w:val="00EC4CFF"/>
    <w:rsid w:val="00EC4D49"/>
    <w:rsid w:val="00EC4DD6"/>
    <w:rsid w:val="00EC4E13"/>
    <w:rsid w:val="00EC4E4F"/>
    <w:rsid w:val="00EC4EB8"/>
    <w:rsid w:val="00EC4ED7"/>
    <w:rsid w:val="00EC4ED8"/>
    <w:rsid w:val="00EC4EE0"/>
    <w:rsid w:val="00EC4EFE"/>
    <w:rsid w:val="00EC4F21"/>
    <w:rsid w:val="00EC4F3A"/>
    <w:rsid w:val="00EC4F48"/>
    <w:rsid w:val="00EC4F59"/>
    <w:rsid w:val="00EC4F7D"/>
    <w:rsid w:val="00EC4FA9"/>
    <w:rsid w:val="00EC4FEC"/>
    <w:rsid w:val="00EC505B"/>
    <w:rsid w:val="00EC5096"/>
    <w:rsid w:val="00EC50D6"/>
    <w:rsid w:val="00EC50F3"/>
    <w:rsid w:val="00EC5174"/>
    <w:rsid w:val="00EC51CF"/>
    <w:rsid w:val="00EC51EC"/>
    <w:rsid w:val="00EC520F"/>
    <w:rsid w:val="00EC5270"/>
    <w:rsid w:val="00EC527C"/>
    <w:rsid w:val="00EC5285"/>
    <w:rsid w:val="00EC5288"/>
    <w:rsid w:val="00EC529F"/>
    <w:rsid w:val="00EC52B2"/>
    <w:rsid w:val="00EC52F6"/>
    <w:rsid w:val="00EC52FC"/>
    <w:rsid w:val="00EC5308"/>
    <w:rsid w:val="00EC535E"/>
    <w:rsid w:val="00EC5375"/>
    <w:rsid w:val="00EC5392"/>
    <w:rsid w:val="00EC53B7"/>
    <w:rsid w:val="00EC5409"/>
    <w:rsid w:val="00EC543C"/>
    <w:rsid w:val="00EC549B"/>
    <w:rsid w:val="00EC54E3"/>
    <w:rsid w:val="00EC54F0"/>
    <w:rsid w:val="00EC551E"/>
    <w:rsid w:val="00EC5579"/>
    <w:rsid w:val="00EC55BE"/>
    <w:rsid w:val="00EC55DD"/>
    <w:rsid w:val="00EC5628"/>
    <w:rsid w:val="00EC563B"/>
    <w:rsid w:val="00EC567B"/>
    <w:rsid w:val="00EC56C7"/>
    <w:rsid w:val="00EC56F5"/>
    <w:rsid w:val="00EC5704"/>
    <w:rsid w:val="00EC5735"/>
    <w:rsid w:val="00EC5747"/>
    <w:rsid w:val="00EC5762"/>
    <w:rsid w:val="00EC576A"/>
    <w:rsid w:val="00EC5771"/>
    <w:rsid w:val="00EC57A7"/>
    <w:rsid w:val="00EC57DC"/>
    <w:rsid w:val="00EC57E4"/>
    <w:rsid w:val="00EC57F6"/>
    <w:rsid w:val="00EC5830"/>
    <w:rsid w:val="00EC583A"/>
    <w:rsid w:val="00EC584B"/>
    <w:rsid w:val="00EC58C2"/>
    <w:rsid w:val="00EC58D4"/>
    <w:rsid w:val="00EC595B"/>
    <w:rsid w:val="00EC5972"/>
    <w:rsid w:val="00EC59AF"/>
    <w:rsid w:val="00EC59E5"/>
    <w:rsid w:val="00EC59E8"/>
    <w:rsid w:val="00EC5A0A"/>
    <w:rsid w:val="00EC5A11"/>
    <w:rsid w:val="00EC5AA4"/>
    <w:rsid w:val="00EC5B09"/>
    <w:rsid w:val="00EC5B10"/>
    <w:rsid w:val="00EC5B85"/>
    <w:rsid w:val="00EC5BA5"/>
    <w:rsid w:val="00EC5BC8"/>
    <w:rsid w:val="00EC5BCA"/>
    <w:rsid w:val="00EC5C1F"/>
    <w:rsid w:val="00EC5C6F"/>
    <w:rsid w:val="00EC5C81"/>
    <w:rsid w:val="00EC5D9B"/>
    <w:rsid w:val="00EC5DBC"/>
    <w:rsid w:val="00EC5DDC"/>
    <w:rsid w:val="00EC5DF8"/>
    <w:rsid w:val="00EC5E39"/>
    <w:rsid w:val="00EC5E7A"/>
    <w:rsid w:val="00EC5ED6"/>
    <w:rsid w:val="00EC5EED"/>
    <w:rsid w:val="00EC5F4D"/>
    <w:rsid w:val="00EC5F5F"/>
    <w:rsid w:val="00EC5FB0"/>
    <w:rsid w:val="00EC5FBD"/>
    <w:rsid w:val="00EC5FFD"/>
    <w:rsid w:val="00EC6062"/>
    <w:rsid w:val="00EC6130"/>
    <w:rsid w:val="00EC6143"/>
    <w:rsid w:val="00EC6169"/>
    <w:rsid w:val="00EC619E"/>
    <w:rsid w:val="00EC61A2"/>
    <w:rsid w:val="00EC6221"/>
    <w:rsid w:val="00EC6265"/>
    <w:rsid w:val="00EC6287"/>
    <w:rsid w:val="00EC628D"/>
    <w:rsid w:val="00EC62B1"/>
    <w:rsid w:val="00EC62D4"/>
    <w:rsid w:val="00EC6315"/>
    <w:rsid w:val="00EC6344"/>
    <w:rsid w:val="00EC63AB"/>
    <w:rsid w:val="00EC6471"/>
    <w:rsid w:val="00EC648C"/>
    <w:rsid w:val="00EC6499"/>
    <w:rsid w:val="00EC64F5"/>
    <w:rsid w:val="00EC65E5"/>
    <w:rsid w:val="00EC65F8"/>
    <w:rsid w:val="00EC6615"/>
    <w:rsid w:val="00EC66B1"/>
    <w:rsid w:val="00EC66C9"/>
    <w:rsid w:val="00EC66E9"/>
    <w:rsid w:val="00EC66F4"/>
    <w:rsid w:val="00EC6710"/>
    <w:rsid w:val="00EC6780"/>
    <w:rsid w:val="00EC67AE"/>
    <w:rsid w:val="00EC67F6"/>
    <w:rsid w:val="00EC688D"/>
    <w:rsid w:val="00EC68ED"/>
    <w:rsid w:val="00EC6954"/>
    <w:rsid w:val="00EC69A9"/>
    <w:rsid w:val="00EC69DE"/>
    <w:rsid w:val="00EC6A9D"/>
    <w:rsid w:val="00EC6A9F"/>
    <w:rsid w:val="00EC6AAA"/>
    <w:rsid w:val="00EC6AB5"/>
    <w:rsid w:val="00EC6AD1"/>
    <w:rsid w:val="00EC6AF4"/>
    <w:rsid w:val="00EC6B34"/>
    <w:rsid w:val="00EC6B6E"/>
    <w:rsid w:val="00EC6BCA"/>
    <w:rsid w:val="00EC6BF4"/>
    <w:rsid w:val="00EC6C14"/>
    <w:rsid w:val="00EC6C17"/>
    <w:rsid w:val="00EC6C1E"/>
    <w:rsid w:val="00EC6C93"/>
    <w:rsid w:val="00EC6C98"/>
    <w:rsid w:val="00EC6C9D"/>
    <w:rsid w:val="00EC6CC7"/>
    <w:rsid w:val="00EC6D88"/>
    <w:rsid w:val="00EC6DD4"/>
    <w:rsid w:val="00EC6DE5"/>
    <w:rsid w:val="00EC6E1A"/>
    <w:rsid w:val="00EC6E1C"/>
    <w:rsid w:val="00EC6E27"/>
    <w:rsid w:val="00EC6EF2"/>
    <w:rsid w:val="00EC6EF9"/>
    <w:rsid w:val="00EC6F17"/>
    <w:rsid w:val="00EC6F1B"/>
    <w:rsid w:val="00EC6FF3"/>
    <w:rsid w:val="00EC6FFB"/>
    <w:rsid w:val="00EC703B"/>
    <w:rsid w:val="00EC7097"/>
    <w:rsid w:val="00EC70CA"/>
    <w:rsid w:val="00EC70FC"/>
    <w:rsid w:val="00EC712E"/>
    <w:rsid w:val="00EC7149"/>
    <w:rsid w:val="00EC7168"/>
    <w:rsid w:val="00EC716B"/>
    <w:rsid w:val="00EC717F"/>
    <w:rsid w:val="00EC71CA"/>
    <w:rsid w:val="00EC71D0"/>
    <w:rsid w:val="00EC71DA"/>
    <w:rsid w:val="00EC7219"/>
    <w:rsid w:val="00EC7232"/>
    <w:rsid w:val="00EC72A6"/>
    <w:rsid w:val="00EC72AD"/>
    <w:rsid w:val="00EC7375"/>
    <w:rsid w:val="00EC73D9"/>
    <w:rsid w:val="00EC745F"/>
    <w:rsid w:val="00EC7486"/>
    <w:rsid w:val="00EC7495"/>
    <w:rsid w:val="00EC74BA"/>
    <w:rsid w:val="00EC74DD"/>
    <w:rsid w:val="00EC74EE"/>
    <w:rsid w:val="00EC7513"/>
    <w:rsid w:val="00EC7550"/>
    <w:rsid w:val="00EC758B"/>
    <w:rsid w:val="00EC7598"/>
    <w:rsid w:val="00EC75B6"/>
    <w:rsid w:val="00EC75B7"/>
    <w:rsid w:val="00EC75BD"/>
    <w:rsid w:val="00EC7607"/>
    <w:rsid w:val="00EC760E"/>
    <w:rsid w:val="00EC769B"/>
    <w:rsid w:val="00EC76C0"/>
    <w:rsid w:val="00EC76E4"/>
    <w:rsid w:val="00EC7711"/>
    <w:rsid w:val="00EC7727"/>
    <w:rsid w:val="00EC7742"/>
    <w:rsid w:val="00EC7794"/>
    <w:rsid w:val="00EC77F7"/>
    <w:rsid w:val="00EC7848"/>
    <w:rsid w:val="00EC78A1"/>
    <w:rsid w:val="00EC78AF"/>
    <w:rsid w:val="00EC78C1"/>
    <w:rsid w:val="00EC7920"/>
    <w:rsid w:val="00EC7953"/>
    <w:rsid w:val="00EC79A6"/>
    <w:rsid w:val="00EC79B3"/>
    <w:rsid w:val="00EC79DC"/>
    <w:rsid w:val="00EC79EC"/>
    <w:rsid w:val="00EC7A1C"/>
    <w:rsid w:val="00EC7A2E"/>
    <w:rsid w:val="00EC7A94"/>
    <w:rsid w:val="00EC7ABB"/>
    <w:rsid w:val="00EC7AC7"/>
    <w:rsid w:val="00EC7ADF"/>
    <w:rsid w:val="00EC7B75"/>
    <w:rsid w:val="00EC7C06"/>
    <w:rsid w:val="00EC7C35"/>
    <w:rsid w:val="00EC7C5D"/>
    <w:rsid w:val="00EC7C77"/>
    <w:rsid w:val="00EC7C7E"/>
    <w:rsid w:val="00EC7C85"/>
    <w:rsid w:val="00EC7C99"/>
    <w:rsid w:val="00EC7C9E"/>
    <w:rsid w:val="00EC7CA4"/>
    <w:rsid w:val="00EC7CE0"/>
    <w:rsid w:val="00EC7DEA"/>
    <w:rsid w:val="00EC7E40"/>
    <w:rsid w:val="00EC7EFC"/>
    <w:rsid w:val="00EC7F1F"/>
    <w:rsid w:val="00EC7F81"/>
    <w:rsid w:val="00EC7FA2"/>
    <w:rsid w:val="00ED0083"/>
    <w:rsid w:val="00ED0179"/>
    <w:rsid w:val="00ED0188"/>
    <w:rsid w:val="00ED01BF"/>
    <w:rsid w:val="00ED01EA"/>
    <w:rsid w:val="00ED020F"/>
    <w:rsid w:val="00ED0211"/>
    <w:rsid w:val="00ED0230"/>
    <w:rsid w:val="00ED0239"/>
    <w:rsid w:val="00ED023F"/>
    <w:rsid w:val="00ED0262"/>
    <w:rsid w:val="00ED0263"/>
    <w:rsid w:val="00ED0264"/>
    <w:rsid w:val="00ED0279"/>
    <w:rsid w:val="00ED027B"/>
    <w:rsid w:val="00ED0286"/>
    <w:rsid w:val="00ED02E3"/>
    <w:rsid w:val="00ED02E9"/>
    <w:rsid w:val="00ED0336"/>
    <w:rsid w:val="00ED0347"/>
    <w:rsid w:val="00ED0351"/>
    <w:rsid w:val="00ED039E"/>
    <w:rsid w:val="00ED03CC"/>
    <w:rsid w:val="00ED03FE"/>
    <w:rsid w:val="00ED0414"/>
    <w:rsid w:val="00ED042F"/>
    <w:rsid w:val="00ED0433"/>
    <w:rsid w:val="00ED04E5"/>
    <w:rsid w:val="00ED0558"/>
    <w:rsid w:val="00ED058C"/>
    <w:rsid w:val="00ED061E"/>
    <w:rsid w:val="00ED067C"/>
    <w:rsid w:val="00ED06C7"/>
    <w:rsid w:val="00ED071A"/>
    <w:rsid w:val="00ED074A"/>
    <w:rsid w:val="00ED0796"/>
    <w:rsid w:val="00ED07A1"/>
    <w:rsid w:val="00ED07BB"/>
    <w:rsid w:val="00ED0857"/>
    <w:rsid w:val="00ED0884"/>
    <w:rsid w:val="00ED08C7"/>
    <w:rsid w:val="00ED08CA"/>
    <w:rsid w:val="00ED08F7"/>
    <w:rsid w:val="00ED0940"/>
    <w:rsid w:val="00ED0976"/>
    <w:rsid w:val="00ED0985"/>
    <w:rsid w:val="00ED0992"/>
    <w:rsid w:val="00ED09B3"/>
    <w:rsid w:val="00ED09E3"/>
    <w:rsid w:val="00ED0A18"/>
    <w:rsid w:val="00ED0A20"/>
    <w:rsid w:val="00ED0A44"/>
    <w:rsid w:val="00ED0AAD"/>
    <w:rsid w:val="00ED0AB9"/>
    <w:rsid w:val="00ED0AC5"/>
    <w:rsid w:val="00ED0B34"/>
    <w:rsid w:val="00ED0B35"/>
    <w:rsid w:val="00ED0BD4"/>
    <w:rsid w:val="00ED0BD6"/>
    <w:rsid w:val="00ED0BEB"/>
    <w:rsid w:val="00ED0BF5"/>
    <w:rsid w:val="00ED0C36"/>
    <w:rsid w:val="00ED0CDA"/>
    <w:rsid w:val="00ED0CDC"/>
    <w:rsid w:val="00ED0D70"/>
    <w:rsid w:val="00ED0D93"/>
    <w:rsid w:val="00ED0DE5"/>
    <w:rsid w:val="00ED0E14"/>
    <w:rsid w:val="00ED0E9A"/>
    <w:rsid w:val="00ED0EC8"/>
    <w:rsid w:val="00ED0F13"/>
    <w:rsid w:val="00ED0F3D"/>
    <w:rsid w:val="00ED0FBA"/>
    <w:rsid w:val="00ED0FC8"/>
    <w:rsid w:val="00ED102E"/>
    <w:rsid w:val="00ED1038"/>
    <w:rsid w:val="00ED103A"/>
    <w:rsid w:val="00ED1066"/>
    <w:rsid w:val="00ED1097"/>
    <w:rsid w:val="00ED1198"/>
    <w:rsid w:val="00ED11BD"/>
    <w:rsid w:val="00ED11DE"/>
    <w:rsid w:val="00ED11EB"/>
    <w:rsid w:val="00ED121D"/>
    <w:rsid w:val="00ED1237"/>
    <w:rsid w:val="00ED12AD"/>
    <w:rsid w:val="00ED12C7"/>
    <w:rsid w:val="00ED12DC"/>
    <w:rsid w:val="00ED1323"/>
    <w:rsid w:val="00ED134C"/>
    <w:rsid w:val="00ED1360"/>
    <w:rsid w:val="00ED1374"/>
    <w:rsid w:val="00ED1381"/>
    <w:rsid w:val="00ED1391"/>
    <w:rsid w:val="00ED142C"/>
    <w:rsid w:val="00ED1468"/>
    <w:rsid w:val="00ED1482"/>
    <w:rsid w:val="00ED1492"/>
    <w:rsid w:val="00ED14A7"/>
    <w:rsid w:val="00ED14AC"/>
    <w:rsid w:val="00ED14C2"/>
    <w:rsid w:val="00ED14C8"/>
    <w:rsid w:val="00ED1520"/>
    <w:rsid w:val="00ED1545"/>
    <w:rsid w:val="00ED15A8"/>
    <w:rsid w:val="00ED15AE"/>
    <w:rsid w:val="00ED15E0"/>
    <w:rsid w:val="00ED1651"/>
    <w:rsid w:val="00ED166C"/>
    <w:rsid w:val="00ED16A3"/>
    <w:rsid w:val="00ED16E3"/>
    <w:rsid w:val="00ED16E6"/>
    <w:rsid w:val="00ED16EC"/>
    <w:rsid w:val="00ED1729"/>
    <w:rsid w:val="00ED17BB"/>
    <w:rsid w:val="00ED17E3"/>
    <w:rsid w:val="00ED17FA"/>
    <w:rsid w:val="00ED1811"/>
    <w:rsid w:val="00ED1899"/>
    <w:rsid w:val="00ED18D0"/>
    <w:rsid w:val="00ED18E2"/>
    <w:rsid w:val="00ED196E"/>
    <w:rsid w:val="00ED19F1"/>
    <w:rsid w:val="00ED1A52"/>
    <w:rsid w:val="00ED1A5B"/>
    <w:rsid w:val="00ED1AAC"/>
    <w:rsid w:val="00ED1AC4"/>
    <w:rsid w:val="00ED1AFF"/>
    <w:rsid w:val="00ED1B1B"/>
    <w:rsid w:val="00ED1B28"/>
    <w:rsid w:val="00ED1B87"/>
    <w:rsid w:val="00ED1B97"/>
    <w:rsid w:val="00ED1BF5"/>
    <w:rsid w:val="00ED1C0C"/>
    <w:rsid w:val="00ED1C14"/>
    <w:rsid w:val="00ED1C5E"/>
    <w:rsid w:val="00ED1C72"/>
    <w:rsid w:val="00ED1D11"/>
    <w:rsid w:val="00ED1DF5"/>
    <w:rsid w:val="00ED1DFC"/>
    <w:rsid w:val="00ED1E3D"/>
    <w:rsid w:val="00ED1E63"/>
    <w:rsid w:val="00ED1E9D"/>
    <w:rsid w:val="00ED1EDA"/>
    <w:rsid w:val="00ED1F4D"/>
    <w:rsid w:val="00ED1FD5"/>
    <w:rsid w:val="00ED1FFB"/>
    <w:rsid w:val="00ED2000"/>
    <w:rsid w:val="00ED207F"/>
    <w:rsid w:val="00ED2094"/>
    <w:rsid w:val="00ED20B2"/>
    <w:rsid w:val="00ED20B9"/>
    <w:rsid w:val="00ED20CB"/>
    <w:rsid w:val="00ED20E3"/>
    <w:rsid w:val="00ED20F4"/>
    <w:rsid w:val="00ED215E"/>
    <w:rsid w:val="00ED216A"/>
    <w:rsid w:val="00ED21A8"/>
    <w:rsid w:val="00ED21C4"/>
    <w:rsid w:val="00ED21ED"/>
    <w:rsid w:val="00ED21F1"/>
    <w:rsid w:val="00ED220B"/>
    <w:rsid w:val="00ED2222"/>
    <w:rsid w:val="00ED225C"/>
    <w:rsid w:val="00ED2264"/>
    <w:rsid w:val="00ED226C"/>
    <w:rsid w:val="00ED232B"/>
    <w:rsid w:val="00ED2332"/>
    <w:rsid w:val="00ED234B"/>
    <w:rsid w:val="00ED2360"/>
    <w:rsid w:val="00ED2362"/>
    <w:rsid w:val="00ED236D"/>
    <w:rsid w:val="00ED238F"/>
    <w:rsid w:val="00ED23BD"/>
    <w:rsid w:val="00ED2403"/>
    <w:rsid w:val="00ED240F"/>
    <w:rsid w:val="00ED243D"/>
    <w:rsid w:val="00ED244D"/>
    <w:rsid w:val="00ED2497"/>
    <w:rsid w:val="00ED24CD"/>
    <w:rsid w:val="00ED251C"/>
    <w:rsid w:val="00ED25D9"/>
    <w:rsid w:val="00ED25ED"/>
    <w:rsid w:val="00ED260E"/>
    <w:rsid w:val="00ED263B"/>
    <w:rsid w:val="00ED2641"/>
    <w:rsid w:val="00ED269A"/>
    <w:rsid w:val="00ED26BA"/>
    <w:rsid w:val="00ED26D6"/>
    <w:rsid w:val="00ED2709"/>
    <w:rsid w:val="00ED272C"/>
    <w:rsid w:val="00ED2782"/>
    <w:rsid w:val="00ED27C6"/>
    <w:rsid w:val="00ED27FA"/>
    <w:rsid w:val="00ED281C"/>
    <w:rsid w:val="00ED282F"/>
    <w:rsid w:val="00ED2A66"/>
    <w:rsid w:val="00ED2A88"/>
    <w:rsid w:val="00ED2A92"/>
    <w:rsid w:val="00ED2A9B"/>
    <w:rsid w:val="00ED2AB8"/>
    <w:rsid w:val="00ED2B51"/>
    <w:rsid w:val="00ED2B57"/>
    <w:rsid w:val="00ED2B68"/>
    <w:rsid w:val="00ED2B9B"/>
    <w:rsid w:val="00ED2BE3"/>
    <w:rsid w:val="00ED2C1D"/>
    <w:rsid w:val="00ED2C3B"/>
    <w:rsid w:val="00ED2CB1"/>
    <w:rsid w:val="00ED2CBD"/>
    <w:rsid w:val="00ED2CD6"/>
    <w:rsid w:val="00ED2D17"/>
    <w:rsid w:val="00ED2D3D"/>
    <w:rsid w:val="00ED2D44"/>
    <w:rsid w:val="00ED2D6E"/>
    <w:rsid w:val="00ED2D77"/>
    <w:rsid w:val="00ED2D7D"/>
    <w:rsid w:val="00ED2D89"/>
    <w:rsid w:val="00ED2D93"/>
    <w:rsid w:val="00ED2D9C"/>
    <w:rsid w:val="00ED2DAE"/>
    <w:rsid w:val="00ED2DF9"/>
    <w:rsid w:val="00ED2DFD"/>
    <w:rsid w:val="00ED2E17"/>
    <w:rsid w:val="00ED2E28"/>
    <w:rsid w:val="00ED2E75"/>
    <w:rsid w:val="00ED2E8A"/>
    <w:rsid w:val="00ED2EE3"/>
    <w:rsid w:val="00ED2F0A"/>
    <w:rsid w:val="00ED2F1F"/>
    <w:rsid w:val="00ED2F27"/>
    <w:rsid w:val="00ED2F51"/>
    <w:rsid w:val="00ED2F59"/>
    <w:rsid w:val="00ED2F7C"/>
    <w:rsid w:val="00ED2FFF"/>
    <w:rsid w:val="00ED306E"/>
    <w:rsid w:val="00ED30D1"/>
    <w:rsid w:val="00ED3109"/>
    <w:rsid w:val="00ED3124"/>
    <w:rsid w:val="00ED3131"/>
    <w:rsid w:val="00ED319B"/>
    <w:rsid w:val="00ED3207"/>
    <w:rsid w:val="00ED3247"/>
    <w:rsid w:val="00ED329B"/>
    <w:rsid w:val="00ED32C7"/>
    <w:rsid w:val="00ED3331"/>
    <w:rsid w:val="00ED3371"/>
    <w:rsid w:val="00ED338B"/>
    <w:rsid w:val="00ED33A4"/>
    <w:rsid w:val="00ED3473"/>
    <w:rsid w:val="00ED349F"/>
    <w:rsid w:val="00ED34BA"/>
    <w:rsid w:val="00ED3571"/>
    <w:rsid w:val="00ED368F"/>
    <w:rsid w:val="00ED36DD"/>
    <w:rsid w:val="00ED3721"/>
    <w:rsid w:val="00ED386D"/>
    <w:rsid w:val="00ED3881"/>
    <w:rsid w:val="00ED38C0"/>
    <w:rsid w:val="00ED39C2"/>
    <w:rsid w:val="00ED39D7"/>
    <w:rsid w:val="00ED39DF"/>
    <w:rsid w:val="00ED3A68"/>
    <w:rsid w:val="00ED3A90"/>
    <w:rsid w:val="00ED3AAA"/>
    <w:rsid w:val="00ED3AF7"/>
    <w:rsid w:val="00ED3B04"/>
    <w:rsid w:val="00ED3B0B"/>
    <w:rsid w:val="00ED3B11"/>
    <w:rsid w:val="00ED3B30"/>
    <w:rsid w:val="00ED3B77"/>
    <w:rsid w:val="00ED3BA5"/>
    <w:rsid w:val="00ED3C29"/>
    <w:rsid w:val="00ED3C2D"/>
    <w:rsid w:val="00ED3C2F"/>
    <w:rsid w:val="00ED3C46"/>
    <w:rsid w:val="00ED3C52"/>
    <w:rsid w:val="00ED3C54"/>
    <w:rsid w:val="00ED3CE0"/>
    <w:rsid w:val="00ED3D11"/>
    <w:rsid w:val="00ED3D30"/>
    <w:rsid w:val="00ED3DC0"/>
    <w:rsid w:val="00ED3E2F"/>
    <w:rsid w:val="00ED3E6C"/>
    <w:rsid w:val="00ED3E80"/>
    <w:rsid w:val="00ED3EF4"/>
    <w:rsid w:val="00ED3EF7"/>
    <w:rsid w:val="00ED3F2D"/>
    <w:rsid w:val="00ED3F5B"/>
    <w:rsid w:val="00ED3F5D"/>
    <w:rsid w:val="00ED3FDD"/>
    <w:rsid w:val="00ED402C"/>
    <w:rsid w:val="00ED4080"/>
    <w:rsid w:val="00ED4093"/>
    <w:rsid w:val="00ED40B1"/>
    <w:rsid w:val="00ED40B8"/>
    <w:rsid w:val="00ED40BB"/>
    <w:rsid w:val="00ED40EE"/>
    <w:rsid w:val="00ED410C"/>
    <w:rsid w:val="00ED410F"/>
    <w:rsid w:val="00ED417C"/>
    <w:rsid w:val="00ED418B"/>
    <w:rsid w:val="00ED41B0"/>
    <w:rsid w:val="00ED41DA"/>
    <w:rsid w:val="00ED41FC"/>
    <w:rsid w:val="00ED4255"/>
    <w:rsid w:val="00ED4318"/>
    <w:rsid w:val="00ED431B"/>
    <w:rsid w:val="00ED4336"/>
    <w:rsid w:val="00ED435C"/>
    <w:rsid w:val="00ED435D"/>
    <w:rsid w:val="00ED447B"/>
    <w:rsid w:val="00ED44AF"/>
    <w:rsid w:val="00ED44DE"/>
    <w:rsid w:val="00ED44EF"/>
    <w:rsid w:val="00ED4527"/>
    <w:rsid w:val="00ED4571"/>
    <w:rsid w:val="00ED4584"/>
    <w:rsid w:val="00ED45C3"/>
    <w:rsid w:val="00ED4657"/>
    <w:rsid w:val="00ED46FD"/>
    <w:rsid w:val="00ED471B"/>
    <w:rsid w:val="00ED477E"/>
    <w:rsid w:val="00ED4810"/>
    <w:rsid w:val="00ED482B"/>
    <w:rsid w:val="00ED4882"/>
    <w:rsid w:val="00ED4892"/>
    <w:rsid w:val="00ED48C7"/>
    <w:rsid w:val="00ED48D2"/>
    <w:rsid w:val="00ED492A"/>
    <w:rsid w:val="00ED4987"/>
    <w:rsid w:val="00ED498B"/>
    <w:rsid w:val="00ED49BB"/>
    <w:rsid w:val="00ED49CC"/>
    <w:rsid w:val="00ED49DB"/>
    <w:rsid w:val="00ED4A4A"/>
    <w:rsid w:val="00ED4A54"/>
    <w:rsid w:val="00ED4A64"/>
    <w:rsid w:val="00ED4A83"/>
    <w:rsid w:val="00ED4AA1"/>
    <w:rsid w:val="00ED4AD5"/>
    <w:rsid w:val="00ED4B6A"/>
    <w:rsid w:val="00ED4BDB"/>
    <w:rsid w:val="00ED4C41"/>
    <w:rsid w:val="00ED4C8A"/>
    <w:rsid w:val="00ED4D75"/>
    <w:rsid w:val="00ED4DB0"/>
    <w:rsid w:val="00ED4E31"/>
    <w:rsid w:val="00ED4ECE"/>
    <w:rsid w:val="00ED4F03"/>
    <w:rsid w:val="00ED4F0A"/>
    <w:rsid w:val="00ED4F5F"/>
    <w:rsid w:val="00ED4F73"/>
    <w:rsid w:val="00ED4F85"/>
    <w:rsid w:val="00ED5046"/>
    <w:rsid w:val="00ED504B"/>
    <w:rsid w:val="00ED5050"/>
    <w:rsid w:val="00ED507E"/>
    <w:rsid w:val="00ED508D"/>
    <w:rsid w:val="00ED509B"/>
    <w:rsid w:val="00ED5151"/>
    <w:rsid w:val="00ED51DD"/>
    <w:rsid w:val="00ED51F9"/>
    <w:rsid w:val="00ED521F"/>
    <w:rsid w:val="00ED525C"/>
    <w:rsid w:val="00ED5270"/>
    <w:rsid w:val="00ED5297"/>
    <w:rsid w:val="00ED52B4"/>
    <w:rsid w:val="00ED52BB"/>
    <w:rsid w:val="00ED52D0"/>
    <w:rsid w:val="00ED52D4"/>
    <w:rsid w:val="00ED5392"/>
    <w:rsid w:val="00ED53A5"/>
    <w:rsid w:val="00ED53B1"/>
    <w:rsid w:val="00ED53D7"/>
    <w:rsid w:val="00ED53F4"/>
    <w:rsid w:val="00ED5404"/>
    <w:rsid w:val="00ED5422"/>
    <w:rsid w:val="00ED542F"/>
    <w:rsid w:val="00ED543A"/>
    <w:rsid w:val="00ED5444"/>
    <w:rsid w:val="00ED548B"/>
    <w:rsid w:val="00ED54C6"/>
    <w:rsid w:val="00ED5571"/>
    <w:rsid w:val="00ED557E"/>
    <w:rsid w:val="00ED55CF"/>
    <w:rsid w:val="00ED5684"/>
    <w:rsid w:val="00ED56CA"/>
    <w:rsid w:val="00ED570D"/>
    <w:rsid w:val="00ED5745"/>
    <w:rsid w:val="00ED5755"/>
    <w:rsid w:val="00ED576C"/>
    <w:rsid w:val="00ED5776"/>
    <w:rsid w:val="00ED57EB"/>
    <w:rsid w:val="00ED589B"/>
    <w:rsid w:val="00ED5927"/>
    <w:rsid w:val="00ED59B0"/>
    <w:rsid w:val="00ED59C0"/>
    <w:rsid w:val="00ED5A29"/>
    <w:rsid w:val="00ED5A65"/>
    <w:rsid w:val="00ED5A66"/>
    <w:rsid w:val="00ED5AFA"/>
    <w:rsid w:val="00ED5B87"/>
    <w:rsid w:val="00ED5BB8"/>
    <w:rsid w:val="00ED5BC4"/>
    <w:rsid w:val="00ED5C25"/>
    <w:rsid w:val="00ED5C52"/>
    <w:rsid w:val="00ED5C8C"/>
    <w:rsid w:val="00ED5C9D"/>
    <w:rsid w:val="00ED5CDA"/>
    <w:rsid w:val="00ED5D16"/>
    <w:rsid w:val="00ED5D1A"/>
    <w:rsid w:val="00ED5D1C"/>
    <w:rsid w:val="00ED5D3B"/>
    <w:rsid w:val="00ED5D75"/>
    <w:rsid w:val="00ED5DB8"/>
    <w:rsid w:val="00ED5DD3"/>
    <w:rsid w:val="00ED5E4E"/>
    <w:rsid w:val="00ED5EBD"/>
    <w:rsid w:val="00ED5F04"/>
    <w:rsid w:val="00ED5F0D"/>
    <w:rsid w:val="00ED5F0E"/>
    <w:rsid w:val="00ED5F41"/>
    <w:rsid w:val="00ED5F58"/>
    <w:rsid w:val="00ED6070"/>
    <w:rsid w:val="00ED6080"/>
    <w:rsid w:val="00ED608E"/>
    <w:rsid w:val="00ED610D"/>
    <w:rsid w:val="00ED6169"/>
    <w:rsid w:val="00ED616A"/>
    <w:rsid w:val="00ED616D"/>
    <w:rsid w:val="00ED61AB"/>
    <w:rsid w:val="00ED6250"/>
    <w:rsid w:val="00ED6263"/>
    <w:rsid w:val="00ED6269"/>
    <w:rsid w:val="00ED62A7"/>
    <w:rsid w:val="00ED6319"/>
    <w:rsid w:val="00ED6379"/>
    <w:rsid w:val="00ED63B4"/>
    <w:rsid w:val="00ED63C1"/>
    <w:rsid w:val="00ED63D3"/>
    <w:rsid w:val="00ED642A"/>
    <w:rsid w:val="00ED6440"/>
    <w:rsid w:val="00ED6468"/>
    <w:rsid w:val="00ED646A"/>
    <w:rsid w:val="00ED6476"/>
    <w:rsid w:val="00ED6497"/>
    <w:rsid w:val="00ED6540"/>
    <w:rsid w:val="00ED65D8"/>
    <w:rsid w:val="00ED6608"/>
    <w:rsid w:val="00ED66EF"/>
    <w:rsid w:val="00ED67E7"/>
    <w:rsid w:val="00ED6803"/>
    <w:rsid w:val="00ED6812"/>
    <w:rsid w:val="00ED683E"/>
    <w:rsid w:val="00ED685E"/>
    <w:rsid w:val="00ED6877"/>
    <w:rsid w:val="00ED6906"/>
    <w:rsid w:val="00ED69C1"/>
    <w:rsid w:val="00ED69FF"/>
    <w:rsid w:val="00ED6A8D"/>
    <w:rsid w:val="00ED6AAB"/>
    <w:rsid w:val="00ED6AF9"/>
    <w:rsid w:val="00ED6B34"/>
    <w:rsid w:val="00ED6B70"/>
    <w:rsid w:val="00ED6C0A"/>
    <w:rsid w:val="00ED6C20"/>
    <w:rsid w:val="00ED6C2A"/>
    <w:rsid w:val="00ED6C58"/>
    <w:rsid w:val="00ED6C72"/>
    <w:rsid w:val="00ED6CBE"/>
    <w:rsid w:val="00ED6CD6"/>
    <w:rsid w:val="00ED6CEB"/>
    <w:rsid w:val="00ED6D02"/>
    <w:rsid w:val="00ED6D1D"/>
    <w:rsid w:val="00ED6D7A"/>
    <w:rsid w:val="00ED6DEE"/>
    <w:rsid w:val="00ED6E25"/>
    <w:rsid w:val="00ED6F17"/>
    <w:rsid w:val="00ED6F19"/>
    <w:rsid w:val="00ED6F42"/>
    <w:rsid w:val="00ED6F52"/>
    <w:rsid w:val="00ED6F6C"/>
    <w:rsid w:val="00ED6FEE"/>
    <w:rsid w:val="00ED6FFB"/>
    <w:rsid w:val="00ED700F"/>
    <w:rsid w:val="00ED703C"/>
    <w:rsid w:val="00ED703D"/>
    <w:rsid w:val="00ED7047"/>
    <w:rsid w:val="00ED70B9"/>
    <w:rsid w:val="00ED70D5"/>
    <w:rsid w:val="00ED70D9"/>
    <w:rsid w:val="00ED70EF"/>
    <w:rsid w:val="00ED7147"/>
    <w:rsid w:val="00ED714A"/>
    <w:rsid w:val="00ED7187"/>
    <w:rsid w:val="00ED71F6"/>
    <w:rsid w:val="00ED71F7"/>
    <w:rsid w:val="00ED7206"/>
    <w:rsid w:val="00ED7241"/>
    <w:rsid w:val="00ED724A"/>
    <w:rsid w:val="00ED726E"/>
    <w:rsid w:val="00ED7288"/>
    <w:rsid w:val="00ED730E"/>
    <w:rsid w:val="00ED731B"/>
    <w:rsid w:val="00ED733F"/>
    <w:rsid w:val="00ED7367"/>
    <w:rsid w:val="00ED7373"/>
    <w:rsid w:val="00ED737B"/>
    <w:rsid w:val="00ED7385"/>
    <w:rsid w:val="00ED73D5"/>
    <w:rsid w:val="00ED73D8"/>
    <w:rsid w:val="00ED7431"/>
    <w:rsid w:val="00ED746B"/>
    <w:rsid w:val="00ED74BE"/>
    <w:rsid w:val="00ED74C4"/>
    <w:rsid w:val="00ED74CD"/>
    <w:rsid w:val="00ED75B5"/>
    <w:rsid w:val="00ED75BC"/>
    <w:rsid w:val="00ED75E8"/>
    <w:rsid w:val="00ED75EA"/>
    <w:rsid w:val="00ED762D"/>
    <w:rsid w:val="00ED7647"/>
    <w:rsid w:val="00ED7679"/>
    <w:rsid w:val="00ED76B5"/>
    <w:rsid w:val="00ED76C0"/>
    <w:rsid w:val="00ED7738"/>
    <w:rsid w:val="00ED778D"/>
    <w:rsid w:val="00ED7822"/>
    <w:rsid w:val="00ED78D1"/>
    <w:rsid w:val="00ED7906"/>
    <w:rsid w:val="00ED791B"/>
    <w:rsid w:val="00ED79B5"/>
    <w:rsid w:val="00ED79E6"/>
    <w:rsid w:val="00ED7A47"/>
    <w:rsid w:val="00ED7A81"/>
    <w:rsid w:val="00ED7AA5"/>
    <w:rsid w:val="00ED7AAD"/>
    <w:rsid w:val="00ED7AFD"/>
    <w:rsid w:val="00ED7B35"/>
    <w:rsid w:val="00ED7B50"/>
    <w:rsid w:val="00ED7B5F"/>
    <w:rsid w:val="00ED7B82"/>
    <w:rsid w:val="00ED7C35"/>
    <w:rsid w:val="00ED7CDC"/>
    <w:rsid w:val="00ED7D0B"/>
    <w:rsid w:val="00ED7D58"/>
    <w:rsid w:val="00ED7DA7"/>
    <w:rsid w:val="00ED7E50"/>
    <w:rsid w:val="00ED7EC6"/>
    <w:rsid w:val="00ED7F09"/>
    <w:rsid w:val="00ED7F0C"/>
    <w:rsid w:val="00ED7F27"/>
    <w:rsid w:val="00ED7F86"/>
    <w:rsid w:val="00ED7F9B"/>
    <w:rsid w:val="00ED7FC5"/>
    <w:rsid w:val="00ED7FCD"/>
    <w:rsid w:val="00EE00AF"/>
    <w:rsid w:val="00EE0125"/>
    <w:rsid w:val="00EE012D"/>
    <w:rsid w:val="00EE0146"/>
    <w:rsid w:val="00EE017A"/>
    <w:rsid w:val="00EE019A"/>
    <w:rsid w:val="00EE01A8"/>
    <w:rsid w:val="00EE01F3"/>
    <w:rsid w:val="00EE0236"/>
    <w:rsid w:val="00EE0248"/>
    <w:rsid w:val="00EE02D5"/>
    <w:rsid w:val="00EE02E1"/>
    <w:rsid w:val="00EE030A"/>
    <w:rsid w:val="00EE0323"/>
    <w:rsid w:val="00EE039D"/>
    <w:rsid w:val="00EE03B3"/>
    <w:rsid w:val="00EE03E8"/>
    <w:rsid w:val="00EE0495"/>
    <w:rsid w:val="00EE04C8"/>
    <w:rsid w:val="00EE04E5"/>
    <w:rsid w:val="00EE04EB"/>
    <w:rsid w:val="00EE04EF"/>
    <w:rsid w:val="00EE056E"/>
    <w:rsid w:val="00EE0572"/>
    <w:rsid w:val="00EE065C"/>
    <w:rsid w:val="00EE066F"/>
    <w:rsid w:val="00EE06A7"/>
    <w:rsid w:val="00EE06D9"/>
    <w:rsid w:val="00EE0714"/>
    <w:rsid w:val="00EE0764"/>
    <w:rsid w:val="00EE07D6"/>
    <w:rsid w:val="00EE07EB"/>
    <w:rsid w:val="00EE07F4"/>
    <w:rsid w:val="00EE0809"/>
    <w:rsid w:val="00EE080E"/>
    <w:rsid w:val="00EE0816"/>
    <w:rsid w:val="00EE089F"/>
    <w:rsid w:val="00EE08C0"/>
    <w:rsid w:val="00EE0904"/>
    <w:rsid w:val="00EE0979"/>
    <w:rsid w:val="00EE0983"/>
    <w:rsid w:val="00EE0A43"/>
    <w:rsid w:val="00EE0A8A"/>
    <w:rsid w:val="00EE0A9F"/>
    <w:rsid w:val="00EE0AB8"/>
    <w:rsid w:val="00EE0B08"/>
    <w:rsid w:val="00EE0B0B"/>
    <w:rsid w:val="00EE0B0F"/>
    <w:rsid w:val="00EE0B15"/>
    <w:rsid w:val="00EE0B53"/>
    <w:rsid w:val="00EE0BCE"/>
    <w:rsid w:val="00EE0C29"/>
    <w:rsid w:val="00EE0C3A"/>
    <w:rsid w:val="00EE0C40"/>
    <w:rsid w:val="00EE0C4D"/>
    <w:rsid w:val="00EE0C86"/>
    <w:rsid w:val="00EE0C93"/>
    <w:rsid w:val="00EE0CA7"/>
    <w:rsid w:val="00EE0CF0"/>
    <w:rsid w:val="00EE0D19"/>
    <w:rsid w:val="00EE0D36"/>
    <w:rsid w:val="00EE0D44"/>
    <w:rsid w:val="00EE0DE7"/>
    <w:rsid w:val="00EE0E50"/>
    <w:rsid w:val="00EE0EB5"/>
    <w:rsid w:val="00EE0EC8"/>
    <w:rsid w:val="00EE0F2C"/>
    <w:rsid w:val="00EE0F41"/>
    <w:rsid w:val="00EE0F73"/>
    <w:rsid w:val="00EE0F79"/>
    <w:rsid w:val="00EE0F9E"/>
    <w:rsid w:val="00EE0FAB"/>
    <w:rsid w:val="00EE1004"/>
    <w:rsid w:val="00EE1033"/>
    <w:rsid w:val="00EE104D"/>
    <w:rsid w:val="00EE1056"/>
    <w:rsid w:val="00EE10BA"/>
    <w:rsid w:val="00EE10DD"/>
    <w:rsid w:val="00EE1129"/>
    <w:rsid w:val="00EE1160"/>
    <w:rsid w:val="00EE116C"/>
    <w:rsid w:val="00EE117D"/>
    <w:rsid w:val="00EE1246"/>
    <w:rsid w:val="00EE127F"/>
    <w:rsid w:val="00EE12F6"/>
    <w:rsid w:val="00EE1305"/>
    <w:rsid w:val="00EE133C"/>
    <w:rsid w:val="00EE139D"/>
    <w:rsid w:val="00EE13D5"/>
    <w:rsid w:val="00EE13F0"/>
    <w:rsid w:val="00EE13F7"/>
    <w:rsid w:val="00EE1408"/>
    <w:rsid w:val="00EE1431"/>
    <w:rsid w:val="00EE146D"/>
    <w:rsid w:val="00EE1470"/>
    <w:rsid w:val="00EE14CA"/>
    <w:rsid w:val="00EE14DF"/>
    <w:rsid w:val="00EE14F9"/>
    <w:rsid w:val="00EE1525"/>
    <w:rsid w:val="00EE1561"/>
    <w:rsid w:val="00EE15B4"/>
    <w:rsid w:val="00EE15BA"/>
    <w:rsid w:val="00EE15CA"/>
    <w:rsid w:val="00EE15CB"/>
    <w:rsid w:val="00EE1633"/>
    <w:rsid w:val="00EE1658"/>
    <w:rsid w:val="00EE16BD"/>
    <w:rsid w:val="00EE16C3"/>
    <w:rsid w:val="00EE174F"/>
    <w:rsid w:val="00EE175C"/>
    <w:rsid w:val="00EE1784"/>
    <w:rsid w:val="00EE17A4"/>
    <w:rsid w:val="00EE17BB"/>
    <w:rsid w:val="00EE1803"/>
    <w:rsid w:val="00EE1884"/>
    <w:rsid w:val="00EE188E"/>
    <w:rsid w:val="00EE18D3"/>
    <w:rsid w:val="00EE18D7"/>
    <w:rsid w:val="00EE18F6"/>
    <w:rsid w:val="00EE190A"/>
    <w:rsid w:val="00EE192F"/>
    <w:rsid w:val="00EE1956"/>
    <w:rsid w:val="00EE19B4"/>
    <w:rsid w:val="00EE19CE"/>
    <w:rsid w:val="00EE1A01"/>
    <w:rsid w:val="00EE1A2C"/>
    <w:rsid w:val="00EE1A51"/>
    <w:rsid w:val="00EE1B1F"/>
    <w:rsid w:val="00EE1B89"/>
    <w:rsid w:val="00EE1BA8"/>
    <w:rsid w:val="00EE1C02"/>
    <w:rsid w:val="00EE1C3D"/>
    <w:rsid w:val="00EE1C5B"/>
    <w:rsid w:val="00EE1CDD"/>
    <w:rsid w:val="00EE1CEE"/>
    <w:rsid w:val="00EE1CF7"/>
    <w:rsid w:val="00EE1D0E"/>
    <w:rsid w:val="00EE1D13"/>
    <w:rsid w:val="00EE1D41"/>
    <w:rsid w:val="00EE1D42"/>
    <w:rsid w:val="00EE1DDC"/>
    <w:rsid w:val="00EE1E29"/>
    <w:rsid w:val="00EE1E35"/>
    <w:rsid w:val="00EE1E5D"/>
    <w:rsid w:val="00EE1EAA"/>
    <w:rsid w:val="00EE1F24"/>
    <w:rsid w:val="00EE1F33"/>
    <w:rsid w:val="00EE1F63"/>
    <w:rsid w:val="00EE1FE8"/>
    <w:rsid w:val="00EE1FF4"/>
    <w:rsid w:val="00EE2003"/>
    <w:rsid w:val="00EE2007"/>
    <w:rsid w:val="00EE2011"/>
    <w:rsid w:val="00EE2041"/>
    <w:rsid w:val="00EE2079"/>
    <w:rsid w:val="00EE20BC"/>
    <w:rsid w:val="00EE20E5"/>
    <w:rsid w:val="00EE2128"/>
    <w:rsid w:val="00EE2141"/>
    <w:rsid w:val="00EE2165"/>
    <w:rsid w:val="00EE21B1"/>
    <w:rsid w:val="00EE21DC"/>
    <w:rsid w:val="00EE2244"/>
    <w:rsid w:val="00EE2268"/>
    <w:rsid w:val="00EE2281"/>
    <w:rsid w:val="00EE2291"/>
    <w:rsid w:val="00EE22E8"/>
    <w:rsid w:val="00EE233B"/>
    <w:rsid w:val="00EE2388"/>
    <w:rsid w:val="00EE23F9"/>
    <w:rsid w:val="00EE2408"/>
    <w:rsid w:val="00EE2448"/>
    <w:rsid w:val="00EE2462"/>
    <w:rsid w:val="00EE24B6"/>
    <w:rsid w:val="00EE24E7"/>
    <w:rsid w:val="00EE24EC"/>
    <w:rsid w:val="00EE254E"/>
    <w:rsid w:val="00EE2594"/>
    <w:rsid w:val="00EE25D3"/>
    <w:rsid w:val="00EE2612"/>
    <w:rsid w:val="00EE261F"/>
    <w:rsid w:val="00EE2638"/>
    <w:rsid w:val="00EE26B4"/>
    <w:rsid w:val="00EE26D3"/>
    <w:rsid w:val="00EE2715"/>
    <w:rsid w:val="00EE271F"/>
    <w:rsid w:val="00EE2739"/>
    <w:rsid w:val="00EE274E"/>
    <w:rsid w:val="00EE279C"/>
    <w:rsid w:val="00EE27D4"/>
    <w:rsid w:val="00EE27E5"/>
    <w:rsid w:val="00EE27ED"/>
    <w:rsid w:val="00EE27F5"/>
    <w:rsid w:val="00EE281D"/>
    <w:rsid w:val="00EE2879"/>
    <w:rsid w:val="00EE2883"/>
    <w:rsid w:val="00EE28A5"/>
    <w:rsid w:val="00EE28FF"/>
    <w:rsid w:val="00EE2923"/>
    <w:rsid w:val="00EE29C9"/>
    <w:rsid w:val="00EE29D4"/>
    <w:rsid w:val="00EE29E0"/>
    <w:rsid w:val="00EE29FD"/>
    <w:rsid w:val="00EE2A11"/>
    <w:rsid w:val="00EE2A1E"/>
    <w:rsid w:val="00EE2A9D"/>
    <w:rsid w:val="00EE2B51"/>
    <w:rsid w:val="00EE2B5C"/>
    <w:rsid w:val="00EE2B83"/>
    <w:rsid w:val="00EE2B84"/>
    <w:rsid w:val="00EE2B8B"/>
    <w:rsid w:val="00EE2BB9"/>
    <w:rsid w:val="00EE2BDD"/>
    <w:rsid w:val="00EE2D04"/>
    <w:rsid w:val="00EE2D21"/>
    <w:rsid w:val="00EE2D2B"/>
    <w:rsid w:val="00EE2DA3"/>
    <w:rsid w:val="00EE2E26"/>
    <w:rsid w:val="00EE2E2D"/>
    <w:rsid w:val="00EE2E43"/>
    <w:rsid w:val="00EE2E55"/>
    <w:rsid w:val="00EE2E5D"/>
    <w:rsid w:val="00EE2E61"/>
    <w:rsid w:val="00EE2E78"/>
    <w:rsid w:val="00EE2E87"/>
    <w:rsid w:val="00EE2EB3"/>
    <w:rsid w:val="00EE2EEF"/>
    <w:rsid w:val="00EE2EF1"/>
    <w:rsid w:val="00EE2EFC"/>
    <w:rsid w:val="00EE2F0D"/>
    <w:rsid w:val="00EE2F20"/>
    <w:rsid w:val="00EE2F36"/>
    <w:rsid w:val="00EE2F76"/>
    <w:rsid w:val="00EE2F89"/>
    <w:rsid w:val="00EE2F8E"/>
    <w:rsid w:val="00EE304A"/>
    <w:rsid w:val="00EE305C"/>
    <w:rsid w:val="00EE30CA"/>
    <w:rsid w:val="00EE30E4"/>
    <w:rsid w:val="00EE31AA"/>
    <w:rsid w:val="00EE323B"/>
    <w:rsid w:val="00EE3262"/>
    <w:rsid w:val="00EE3287"/>
    <w:rsid w:val="00EE3289"/>
    <w:rsid w:val="00EE32B8"/>
    <w:rsid w:val="00EE3349"/>
    <w:rsid w:val="00EE3366"/>
    <w:rsid w:val="00EE337F"/>
    <w:rsid w:val="00EE33B0"/>
    <w:rsid w:val="00EE33E4"/>
    <w:rsid w:val="00EE3407"/>
    <w:rsid w:val="00EE3464"/>
    <w:rsid w:val="00EE346E"/>
    <w:rsid w:val="00EE349E"/>
    <w:rsid w:val="00EE352B"/>
    <w:rsid w:val="00EE3587"/>
    <w:rsid w:val="00EE3589"/>
    <w:rsid w:val="00EE35BB"/>
    <w:rsid w:val="00EE35DF"/>
    <w:rsid w:val="00EE3637"/>
    <w:rsid w:val="00EE3673"/>
    <w:rsid w:val="00EE36AF"/>
    <w:rsid w:val="00EE36B5"/>
    <w:rsid w:val="00EE3736"/>
    <w:rsid w:val="00EE3791"/>
    <w:rsid w:val="00EE380D"/>
    <w:rsid w:val="00EE384C"/>
    <w:rsid w:val="00EE3860"/>
    <w:rsid w:val="00EE3871"/>
    <w:rsid w:val="00EE387E"/>
    <w:rsid w:val="00EE38BD"/>
    <w:rsid w:val="00EE38D2"/>
    <w:rsid w:val="00EE3946"/>
    <w:rsid w:val="00EE39CE"/>
    <w:rsid w:val="00EE39E8"/>
    <w:rsid w:val="00EE3A12"/>
    <w:rsid w:val="00EE3AFA"/>
    <w:rsid w:val="00EE3B1B"/>
    <w:rsid w:val="00EE3B70"/>
    <w:rsid w:val="00EE3B7A"/>
    <w:rsid w:val="00EE3B95"/>
    <w:rsid w:val="00EE3BBA"/>
    <w:rsid w:val="00EE3BE3"/>
    <w:rsid w:val="00EE3BE4"/>
    <w:rsid w:val="00EE3C1F"/>
    <w:rsid w:val="00EE3C2A"/>
    <w:rsid w:val="00EE3C73"/>
    <w:rsid w:val="00EE3CBC"/>
    <w:rsid w:val="00EE3CBE"/>
    <w:rsid w:val="00EE3CC0"/>
    <w:rsid w:val="00EE3D1D"/>
    <w:rsid w:val="00EE3D89"/>
    <w:rsid w:val="00EE3DA7"/>
    <w:rsid w:val="00EE3DB2"/>
    <w:rsid w:val="00EE3DF3"/>
    <w:rsid w:val="00EE3E3D"/>
    <w:rsid w:val="00EE3E78"/>
    <w:rsid w:val="00EE3EB6"/>
    <w:rsid w:val="00EE3EFA"/>
    <w:rsid w:val="00EE3EFD"/>
    <w:rsid w:val="00EE3F73"/>
    <w:rsid w:val="00EE3FDA"/>
    <w:rsid w:val="00EE4027"/>
    <w:rsid w:val="00EE4062"/>
    <w:rsid w:val="00EE4076"/>
    <w:rsid w:val="00EE409A"/>
    <w:rsid w:val="00EE40F7"/>
    <w:rsid w:val="00EE4103"/>
    <w:rsid w:val="00EE41B1"/>
    <w:rsid w:val="00EE41B7"/>
    <w:rsid w:val="00EE41D2"/>
    <w:rsid w:val="00EE4229"/>
    <w:rsid w:val="00EE4240"/>
    <w:rsid w:val="00EE425C"/>
    <w:rsid w:val="00EE42AC"/>
    <w:rsid w:val="00EE42B7"/>
    <w:rsid w:val="00EE42BB"/>
    <w:rsid w:val="00EE42F6"/>
    <w:rsid w:val="00EE4322"/>
    <w:rsid w:val="00EE43BD"/>
    <w:rsid w:val="00EE449C"/>
    <w:rsid w:val="00EE44CB"/>
    <w:rsid w:val="00EE44D7"/>
    <w:rsid w:val="00EE44F5"/>
    <w:rsid w:val="00EE44FE"/>
    <w:rsid w:val="00EE450D"/>
    <w:rsid w:val="00EE4564"/>
    <w:rsid w:val="00EE45DA"/>
    <w:rsid w:val="00EE460D"/>
    <w:rsid w:val="00EE461D"/>
    <w:rsid w:val="00EE462B"/>
    <w:rsid w:val="00EE46CE"/>
    <w:rsid w:val="00EE46F8"/>
    <w:rsid w:val="00EE4728"/>
    <w:rsid w:val="00EE47DD"/>
    <w:rsid w:val="00EE47FB"/>
    <w:rsid w:val="00EE4821"/>
    <w:rsid w:val="00EE4825"/>
    <w:rsid w:val="00EE4830"/>
    <w:rsid w:val="00EE488A"/>
    <w:rsid w:val="00EE489F"/>
    <w:rsid w:val="00EE48A2"/>
    <w:rsid w:val="00EE48AA"/>
    <w:rsid w:val="00EE48B8"/>
    <w:rsid w:val="00EE48CA"/>
    <w:rsid w:val="00EE48CD"/>
    <w:rsid w:val="00EE48D8"/>
    <w:rsid w:val="00EE4905"/>
    <w:rsid w:val="00EE493F"/>
    <w:rsid w:val="00EE4974"/>
    <w:rsid w:val="00EE49DA"/>
    <w:rsid w:val="00EE4AA5"/>
    <w:rsid w:val="00EE4B0A"/>
    <w:rsid w:val="00EE4B17"/>
    <w:rsid w:val="00EE4B43"/>
    <w:rsid w:val="00EE4B72"/>
    <w:rsid w:val="00EE4C1E"/>
    <w:rsid w:val="00EE4CAA"/>
    <w:rsid w:val="00EE4D25"/>
    <w:rsid w:val="00EE4DF3"/>
    <w:rsid w:val="00EE4E51"/>
    <w:rsid w:val="00EE4E90"/>
    <w:rsid w:val="00EE4ECE"/>
    <w:rsid w:val="00EE4EFA"/>
    <w:rsid w:val="00EE4F4F"/>
    <w:rsid w:val="00EE4F69"/>
    <w:rsid w:val="00EE4F77"/>
    <w:rsid w:val="00EE4FD3"/>
    <w:rsid w:val="00EE4FE0"/>
    <w:rsid w:val="00EE4FF4"/>
    <w:rsid w:val="00EE4FFD"/>
    <w:rsid w:val="00EE501D"/>
    <w:rsid w:val="00EE5055"/>
    <w:rsid w:val="00EE5065"/>
    <w:rsid w:val="00EE5073"/>
    <w:rsid w:val="00EE5089"/>
    <w:rsid w:val="00EE50BF"/>
    <w:rsid w:val="00EE50CE"/>
    <w:rsid w:val="00EE513D"/>
    <w:rsid w:val="00EE5150"/>
    <w:rsid w:val="00EE51FC"/>
    <w:rsid w:val="00EE52AE"/>
    <w:rsid w:val="00EE52B9"/>
    <w:rsid w:val="00EE536B"/>
    <w:rsid w:val="00EE536E"/>
    <w:rsid w:val="00EE53DA"/>
    <w:rsid w:val="00EE540B"/>
    <w:rsid w:val="00EE5414"/>
    <w:rsid w:val="00EE54A9"/>
    <w:rsid w:val="00EE54E4"/>
    <w:rsid w:val="00EE54F5"/>
    <w:rsid w:val="00EE5507"/>
    <w:rsid w:val="00EE552B"/>
    <w:rsid w:val="00EE55A2"/>
    <w:rsid w:val="00EE5651"/>
    <w:rsid w:val="00EE5699"/>
    <w:rsid w:val="00EE5708"/>
    <w:rsid w:val="00EE5710"/>
    <w:rsid w:val="00EE5772"/>
    <w:rsid w:val="00EE57A2"/>
    <w:rsid w:val="00EE57E4"/>
    <w:rsid w:val="00EE5834"/>
    <w:rsid w:val="00EE5861"/>
    <w:rsid w:val="00EE58AD"/>
    <w:rsid w:val="00EE58EB"/>
    <w:rsid w:val="00EE59D2"/>
    <w:rsid w:val="00EE59E9"/>
    <w:rsid w:val="00EE59F3"/>
    <w:rsid w:val="00EE5A02"/>
    <w:rsid w:val="00EE5A06"/>
    <w:rsid w:val="00EE5A32"/>
    <w:rsid w:val="00EE5AC2"/>
    <w:rsid w:val="00EE5AF6"/>
    <w:rsid w:val="00EE5B4E"/>
    <w:rsid w:val="00EE5B58"/>
    <w:rsid w:val="00EE5B66"/>
    <w:rsid w:val="00EE5BB5"/>
    <w:rsid w:val="00EE5C1E"/>
    <w:rsid w:val="00EE5C2B"/>
    <w:rsid w:val="00EE5C3A"/>
    <w:rsid w:val="00EE5D0C"/>
    <w:rsid w:val="00EE5D2A"/>
    <w:rsid w:val="00EE5D7C"/>
    <w:rsid w:val="00EE5DE1"/>
    <w:rsid w:val="00EE5E05"/>
    <w:rsid w:val="00EE5E57"/>
    <w:rsid w:val="00EE5E7A"/>
    <w:rsid w:val="00EE5E89"/>
    <w:rsid w:val="00EE5E8E"/>
    <w:rsid w:val="00EE5ED9"/>
    <w:rsid w:val="00EE5F19"/>
    <w:rsid w:val="00EE5F67"/>
    <w:rsid w:val="00EE5F6C"/>
    <w:rsid w:val="00EE5F87"/>
    <w:rsid w:val="00EE5F8E"/>
    <w:rsid w:val="00EE6063"/>
    <w:rsid w:val="00EE608E"/>
    <w:rsid w:val="00EE6102"/>
    <w:rsid w:val="00EE6104"/>
    <w:rsid w:val="00EE6138"/>
    <w:rsid w:val="00EE619D"/>
    <w:rsid w:val="00EE61EA"/>
    <w:rsid w:val="00EE622F"/>
    <w:rsid w:val="00EE6294"/>
    <w:rsid w:val="00EE62C0"/>
    <w:rsid w:val="00EE62DF"/>
    <w:rsid w:val="00EE632C"/>
    <w:rsid w:val="00EE6369"/>
    <w:rsid w:val="00EE63AE"/>
    <w:rsid w:val="00EE63B3"/>
    <w:rsid w:val="00EE63EB"/>
    <w:rsid w:val="00EE6444"/>
    <w:rsid w:val="00EE648D"/>
    <w:rsid w:val="00EE64D3"/>
    <w:rsid w:val="00EE64EA"/>
    <w:rsid w:val="00EE6530"/>
    <w:rsid w:val="00EE65C0"/>
    <w:rsid w:val="00EE660F"/>
    <w:rsid w:val="00EE662B"/>
    <w:rsid w:val="00EE665D"/>
    <w:rsid w:val="00EE6694"/>
    <w:rsid w:val="00EE670C"/>
    <w:rsid w:val="00EE67A4"/>
    <w:rsid w:val="00EE67AA"/>
    <w:rsid w:val="00EE683B"/>
    <w:rsid w:val="00EE6859"/>
    <w:rsid w:val="00EE6879"/>
    <w:rsid w:val="00EE697D"/>
    <w:rsid w:val="00EE6985"/>
    <w:rsid w:val="00EE69CC"/>
    <w:rsid w:val="00EE69E9"/>
    <w:rsid w:val="00EE6A04"/>
    <w:rsid w:val="00EE6A2B"/>
    <w:rsid w:val="00EE6A94"/>
    <w:rsid w:val="00EE6AA0"/>
    <w:rsid w:val="00EE6AAC"/>
    <w:rsid w:val="00EE6B1B"/>
    <w:rsid w:val="00EE6B2A"/>
    <w:rsid w:val="00EE6B2F"/>
    <w:rsid w:val="00EE6B3C"/>
    <w:rsid w:val="00EE6BB5"/>
    <w:rsid w:val="00EE6BE6"/>
    <w:rsid w:val="00EE6C24"/>
    <w:rsid w:val="00EE6C80"/>
    <w:rsid w:val="00EE6CD8"/>
    <w:rsid w:val="00EE6D2F"/>
    <w:rsid w:val="00EE6D3B"/>
    <w:rsid w:val="00EE6D71"/>
    <w:rsid w:val="00EE6D97"/>
    <w:rsid w:val="00EE6DED"/>
    <w:rsid w:val="00EE6E94"/>
    <w:rsid w:val="00EE6E9E"/>
    <w:rsid w:val="00EE6F2B"/>
    <w:rsid w:val="00EE6F5A"/>
    <w:rsid w:val="00EE6F5F"/>
    <w:rsid w:val="00EE6F96"/>
    <w:rsid w:val="00EE6FF3"/>
    <w:rsid w:val="00EE70FF"/>
    <w:rsid w:val="00EE7115"/>
    <w:rsid w:val="00EE7156"/>
    <w:rsid w:val="00EE716C"/>
    <w:rsid w:val="00EE718C"/>
    <w:rsid w:val="00EE71FF"/>
    <w:rsid w:val="00EE7243"/>
    <w:rsid w:val="00EE72E4"/>
    <w:rsid w:val="00EE7364"/>
    <w:rsid w:val="00EE73AE"/>
    <w:rsid w:val="00EE73B3"/>
    <w:rsid w:val="00EE7444"/>
    <w:rsid w:val="00EE748D"/>
    <w:rsid w:val="00EE74AB"/>
    <w:rsid w:val="00EE74AC"/>
    <w:rsid w:val="00EE74AF"/>
    <w:rsid w:val="00EE74BB"/>
    <w:rsid w:val="00EE74C5"/>
    <w:rsid w:val="00EE74E6"/>
    <w:rsid w:val="00EE754A"/>
    <w:rsid w:val="00EE7599"/>
    <w:rsid w:val="00EE75D0"/>
    <w:rsid w:val="00EE75D6"/>
    <w:rsid w:val="00EE7615"/>
    <w:rsid w:val="00EE7645"/>
    <w:rsid w:val="00EE765A"/>
    <w:rsid w:val="00EE769C"/>
    <w:rsid w:val="00EE7728"/>
    <w:rsid w:val="00EE775B"/>
    <w:rsid w:val="00EE775E"/>
    <w:rsid w:val="00EE7772"/>
    <w:rsid w:val="00EE778E"/>
    <w:rsid w:val="00EE77D6"/>
    <w:rsid w:val="00EE7817"/>
    <w:rsid w:val="00EE7883"/>
    <w:rsid w:val="00EE788F"/>
    <w:rsid w:val="00EE789D"/>
    <w:rsid w:val="00EE789E"/>
    <w:rsid w:val="00EE7905"/>
    <w:rsid w:val="00EE791A"/>
    <w:rsid w:val="00EE79DF"/>
    <w:rsid w:val="00EE7A46"/>
    <w:rsid w:val="00EE7A77"/>
    <w:rsid w:val="00EE7AAF"/>
    <w:rsid w:val="00EE7B19"/>
    <w:rsid w:val="00EE7B3E"/>
    <w:rsid w:val="00EE7B49"/>
    <w:rsid w:val="00EE7B74"/>
    <w:rsid w:val="00EE7BD0"/>
    <w:rsid w:val="00EE7BE0"/>
    <w:rsid w:val="00EE7BF4"/>
    <w:rsid w:val="00EE7C20"/>
    <w:rsid w:val="00EE7C38"/>
    <w:rsid w:val="00EE7C55"/>
    <w:rsid w:val="00EE7C8B"/>
    <w:rsid w:val="00EE7C98"/>
    <w:rsid w:val="00EE7CE6"/>
    <w:rsid w:val="00EE7DC2"/>
    <w:rsid w:val="00EE7E0A"/>
    <w:rsid w:val="00EE7E0E"/>
    <w:rsid w:val="00EE7E84"/>
    <w:rsid w:val="00EE7EEE"/>
    <w:rsid w:val="00EE7F1C"/>
    <w:rsid w:val="00EE7F28"/>
    <w:rsid w:val="00EE7F4A"/>
    <w:rsid w:val="00EE7F4E"/>
    <w:rsid w:val="00EE7FB4"/>
    <w:rsid w:val="00EE7FD7"/>
    <w:rsid w:val="00EE7FD9"/>
    <w:rsid w:val="00EF007C"/>
    <w:rsid w:val="00EF00BE"/>
    <w:rsid w:val="00EF00D7"/>
    <w:rsid w:val="00EF0100"/>
    <w:rsid w:val="00EF012D"/>
    <w:rsid w:val="00EF0134"/>
    <w:rsid w:val="00EF0157"/>
    <w:rsid w:val="00EF015B"/>
    <w:rsid w:val="00EF0193"/>
    <w:rsid w:val="00EF0203"/>
    <w:rsid w:val="00EF0273"/>
    <w:rsid w:val="00EF02A5"/>
    <w:rsid w:val="00EF02FD"/>
    <w:rsid w:val="00EF0351"/>
    <w:rsid w:val="00EF03B1"/>
    <w:rsid w:val="00EF03B3"/>
    <w:rsid w:val="00EF0402"/>
    <w:rsid w:val="00EF04FE"/>
    <w:rsid w:val="00EF0514"/>
    <w:rsid w:val="00EF052C"/>
    <w:rsid w:val="00EF0530"/>
    <w:rsid w:val="00EF0574"/>
    <w:rsid w:val="00EF058A"/>
    <w:rsid w:val="00EF05D6"/>
    <w:rsid w:val="00EF05E9"/>
    <w:rsid w:val="00EF0646"/>
    <w:rsid w:val="00EF06AC"/>
    <w:rsid w:val="00EF0700"/>
    <w:rsid w:val="00EF0714"/>
    <w:rsid w:val="00EF0768"/>
    <w:rsid w:val="00EF07B4"/>
    <w:rsid w:val="00EF07FD"/>
    <w:rsid w:val="00EF0858"/>
    <w:rsid w:val="00EF08AB"/>
    <w:rsid w:val="00EF08F8"/>
    <w:rsid w:val="00EF08F9"/>
    <w:rsid w:val="00EF091A"/>
    <w:rsid w:val="00EF0973"/>
    <w:rsid w:val="00EF0979"/>
    <w:rsid w:val="00EF09CB"/>
    <w:rsid w:val="00EF09D2"/>
    <w:rsid w:val="00EF09F1"/>
    <w:rsid w:val="00EF0A0D"/>
    <w:rsid w:val="00EF0A15"/>
    <w:rsid w:val="00EF0A8F"/>
    <w:rsid w:val="00EF0AE7"/>
    <w:rsid w:val="00EF0B1E"/>
    <w:rsid w:val="00EF0B3B"/>
    <w:rsid w:val="00EF0BD1"/>
    <w:rsid w:val="00EF0BDB"/>
    <w:rsid w:val="00EF0BF0"/>
    <w:rsid w:val="00EF0C0C"/>
    <w:rsid w:val="00EF0C24"/>
    <w:rsid w:val="00EF0C3C"/>
    <w:rsid w:val="00EF0C5B"/>
    <w:rsid w:val="00EF0C6B"/>
    <w:rsid w:val="00EF0C7C"/>
    <w:rsid w:val="00EF0CFE"/>
    <w:rsid w:val="00EF0D24"/>
    <w:rsid w:val="00EF0D3D"/>
    <w:rsid w:val="00EF0E2F"/>
    <w:rsid w:val="00EF0EC2"/>
    <w:rsid w:val="00EF0FBE"/>
    <w:rsid w:val="00EF10C0"/>
    <w:rsid w:val="00EF111B"/>
    <w:rsid w:val="00EF1151"/>
    <w:rsid w:val="00EF11B8"/>
    <w:rsid w:val="00EF1233"/>
    <w:rsid w:val="00EF1255"/>
    <w:rsid w:val="00EF129E"/>
    <w:rsid w:val="00EF12AA"/>
    <w:rsid w:val="00EF1308"/>
    <w:rsid w:val="00EF13C8"/>
    <w:rsid w:val="00EF13E0"/>
    <w:rsid w:val="00EF1449"/>
    <w:rsid w:val="00EF14AE"/>
    <w:rsid w:val="00EF1559"/>
    <w:rsid w:val="00EF1579"/>
    <w:rsid w:val="00EF1600"/>
    <w:rsid w:val="00EF1689"/>
    <w:rsid w:val="00EF16AB"/>
    <w:rsid w:val="00EF16CF"/>
    <w:rsid w:val="00EF16E6"/>
    <w:rsid w:val="00EF1706"/>
    <w:rsid w:val="00EF172E"/>
    <w:rsid w:val="00EF17A5"/>
    <w:rsid w:val="00EF17B6"/>
    <w:rsid w:val="00EF1803"/>
    <w:rsid w:val="00EF181B"/>
    <w:rsid w:val="00EF18B8"/>
    <w:rsid w:val="00EF18F9"/>
    <w:rsid w:val="00EF1915"/>
    <w:rsid w:val="00EF191D"/>
    <w:rsid w:val="00EF19BF"/>
    <w:rsid w:val="00EF19C0"/>
    <w:rsid w:val="00EF1A6A"/>
    <w:rsid w:val="00EF1ABE"/>
    <w:rsid w:val="00EF1B13"/>
    <w:rsid w:val="00EF1BF9"/>
    <w:rsid w:val="00EF1C30"/>
    <w:rsid w:val="00EF1C41"/>
    <w:rsid w:val="00EF1CA4"/>
    <w:rsid w:val="00EF1CB0"/>
    <w:rsid w:val="00EF1D23"/>
    <w:rsid w:val="00EF1D6D"/>
    <w:rsid w:val="00EF1DA5"/>
    <w:rsid w:val="00EF1DB4"/>
    <w:rsid w:val="00EF1DC6"/>
    <w:rsid w:val="00EF1E39"/>
    <w:rsid w:val="00EF1E42"/>
    <w:rsid w:val="00EF1F27"/>
    <w:rsid w:val="00EF1F30"/>
    <w:rsid w:val="00EF1F5D"/>
    <w:rsid w:val="00EF1F97"/>
    <w:rsid w:val="00EF1F9A"/>
    <w:rsid w:val="00EF1FBA"/>
    <w:rsid w:val="00EF2017"/>
    <w:rsid w:val="00EF20A1"/>
    <w:rsid w:val="00EF20AF"/>
    <w:rsid w:val="00EF20BA"/>
    <w:rsid w:val="00EF2141"/>
    <w:rsid w:val="00EF214D"/>
    <w:rsid w:val="00EF21BD"/>
    <w:rsid w:val="00EF21C1"/>
    <w:rsid w:val="00EF2266"/>
    <w:rsid w:val="00EF2298"/>
    <w:rsid w:val="00EF22CF"/>
    <w:rsid w:val="00EF236F"/>
    <w:rsid w:val="00EF2383"/>
    <w:rsid w:val="00EF23B6"/>
    <w:rsid w:val="00EF2487"/>
    <w:rsid w:val="00EF24DA"/>
    <w:rsid w:val="00EF250E"/>
    <w:rsid w:val="00EF25CC"/>
    <w:rsid w:val="00EF2602"/>
    <w:rsid w:val="00EF2647"/>
    <w:rsid w:val="00EF2650"/>
    <w:rsid w:val="00EF2652"/>
    <w:rsid w:val="00EF265D"/>
    <w:rsid w:val="00EF26D7"/>
    <w:rsid w:val="00EF26FE"/>
    <w:rsid w:val="00EF272E"/>
    <w:rsid w:val="00EF272F"/>
    <w:rsid w:val="00EF2743"/>
    <w:rsid w:val="00EF2788"/>
    <w:rsid w:val="00EF27C6"/>
    <w:rsid w:val="00EF27DF"/>
    <w:rsid w:val="00EF282C"/>
    <w:rsid w:val="00EF2840"/>
    <w:rsid w:val="00EF286E"/>
    <w:rsid w:val="00EF29DF"/>
    <w:rsid w:val="00EF29EC"/>
    <w:rsid w:val="00EF29F4"/>
    <w:rsid w:val="00EF29F7"/>
    <w:rsid w:val="00EF2A3F"/>
    <w:rsid w:val="00EF2B42"/>
    <w:rsid w:val="00EF2B43"/>
    <w:rsid w:val="00EF2B8B"/>
    <w:rsid w:val="00EF2B94"/>
    <w:rsid w:val="00EF2BDB"/>
    <w:rsid w:val="00EF2BE4"/>
    <w:rsid w:val="00EF2C29"/>
    <w:rsid w:val="00EF2CB2"/>
    <w:rsid w:val="00EF2D25"/>
    <w:rsid w:val="00EF2D34"/>
    <w:rsid w:val="00EF2D49"/>
    <w:rsid w:val="00EF2D63"/>
    <w:rsid w:val="00EF2D92"/>
    <w:rsid w:val="00EF2DC7"/>
    <w:rsid w:val="00EF2DE9"/>
    <w:rsid w:val="00EF2E7D"/>
    <w:rsid w:val="00EF2ED1"/>
    <w:rsid w:val="00EF2F00"/>
    <w:rsid w:val="00EF2F71"/>
    <w:rsid w:val="00EF2FC3"/>
    <w:rsid w:val="00EF2FD9"/>
    <w:rsid w:val="00EF3000"/>
    <w:rsid w:val="00EF3039"/>
    <w:rsid w:val="00EF303B"/>
    <w:rsid w:val="00EF304D"/>
    <w:rsid w:val="00EF3059"/>
    <w:rsid w:val="00EF307C"/>
    <w:rsid w:val="00EF30AB"/>
    <w:rsid w:val="00EF30FF"/>
    <w:rsid w:val="00EF3122"/>
    <w:rsid w:val="00EF3129"/>
    <w:rsid w:val="00EF3162"/>
    <w:rsid w:val="00EF31F4"/>
    <w:rsid w:val="00EF320C"/>
    <w:rsid w:val="00EF3266"/>
    <w:rsid w:val="00EF328D"/>
    <w:rsid w:val="00EF32D5"/>
    <w:rsid w:val="00EF32FE"/>
    <w:rsid w:val="00EF3301"/>
    <w:rsid w:val="00EF3334"/>
    <w:rsid w:val="00EF3390"/>
    <w:rsid w:val="00EF3436"/>
    <w:rsid w:val="00EF3437"/>
    <w:rsid w:val="00EF3486"/>
    <w:rsid w:val="00EF3487"/>
    <w:rsid w:val="00EF34F3"/>
    <w:rsid w:val="00EF3500"/>
    <w:rsid w:val="00EF352E"/>
    <w:rsid w:val="00EF35F5"/>
    <w:rsid w:val="00EF3625"/>
    <w:rsid w:val="00EF3682"/>
    <w:rsid w:val="00EF36A6"/>
    <w:rsid w:val="00EF36BE"/>
    <w:rsid w:val="00EF3717"/>
    <w:rsid w:val="00EF3753"/>
    <w:rsid w:val="00EF3774"/>
    <w:rsid w:val="00EF3776"/>
    <w:rsid w:val="00EF377A"/>
    <w:rsid w:val="00EF378B"/>
    <w:rsid w:val="00EF379F"/>
    <w:rsid w:val="00EF37CE"/>
    <w:rsid w:val="00EF37ED"/>
    <w:rsid w:val="00EF37F2"/>
    <w:rsid w:val="00EF3809"/>
    <w:rsid w:val="00EF3839"/>
    <w:rsid w:val="00EF3895"/>
    <w:rsid w:val="00EF3929"/>
    <w:rsid w:val="00EF397F"/>
    <w:rsid w:val="00EF39A7"/>
    <w:rsid w:val="00EF39AE"/>
    <w:rsid w:val="00EF39C4"/>
    <w:rsid w:val="00EF3A10"/>
    <w:rsid w:val="00EF3A38"/>
    <w:rsid w:val="00EF3AA1"/>
    <w:rsid w:val="00EF3B23"/>
    <w:rsid w:val="00EF3B25"/>
    <w:rsid w:val="00EF3B5B"/>
    <w:rsid w:val="00EF3B95"/>
    <w:rsid w:val="00EF3C0C"/>
    <w:rsid w:val="00EF3C38"/>
    <w:rsid w:val="00EF3C5C"/>
    <w:rsid w:val="00EF3C73"/>
    <w:rsid w:val="00EF3CD6"/>
    <w:rsid w:val="00EF3D82"/>
    <w:rsid w:val="00EF3D8A"/>
    <w:rsid w:val="00EF3DB4"/>
    <w:rsid w:val="00EF3DCE"/>
    <w:rsid w:val="00EF3E42"/>
    <w:rsid w:val="00EF3ECA"/>
    <w:rsid w:val="00EF3ED4"/>
    <w:rsid w:val="00EF3F6A"/>
    <w:rsid w:val="00EF3FBD"/>
    <w:rsid w:val="00EF3FD3"/>
    <w:rsid w:val="00EF3FD4"/>
    <w:rsid w:val="00EF3FE6"/>
    <w:rsid w:val="00EF4015"/>
    <w:rsid w:val="00EF4047"/>
    <w:rsid w:val="00EF406C"/>
    <w:rsid w:val="00EF408F"/>
    <w:rsid w:val="00EF409B"/>
    <w:rsid w:val="00EF40B0"/>
    <w:rsid w:val="00EF4157"/>
    <w:rsid w:val="00EF41BB"/>
    <w:rsid w:val="00EF41E2"/>
    <w:rsid w:val="00EF428F"/>
    <w:rsid w:val="00EF42A4"/>
    <w:rsid w:val="00EF4314"/>
    <w:rsid w:val="00EF43B3"/>
    <w:rsid w:val="00EF43CF"/>
    <w:rsid w:val="00EF443D"/>
    <w:rsid w:val="00EF444E"/>
    <w:rsid w:val="00EF446A"/>
    <w:rsid w:val="00EF44F0"/>
    <w:rsid w:val="00EF4510"/>
    <w:rsid w:val="00EF4538"/>
    <w:rsid w:val="00EF454C"/>
    <w:rsid w:val="00EF4551"/>
    <w:rsid w:val="00EF456D"/>
    <w:rsid w:val="00EF45A0"/>
    <w:rsid w:val="00EF45A6"/>
    <w:rsid w:val="00EF45BC"/>
    <w:rsid w:val="00EF45CB"/>
    <w:rsid w:val="00EF45E8"/>
    <w:rsid w:val="00EF4667"/>
    <w:rsid w:val="00EF467C"/>
    <w:rsid w:val="00EF4694"/>
    <w:rsid w:val="00EF46AE"/>
    <w:rsid w:val="00EF4739"/>
    <w:rsid w:val="00EF473A"/>
    <w:rsid w:val="00EF4755"/>
    <w:rsid w:val="00EF4757"/>
    <w:rsid w:val="00EF4771"/>
    <w:rsid w:val="00EF4773"/>
    <w:rsid w:val="00EF47B0"/>
    <w:rsid w:val="00EF47D3"/>
    <w:rsid w:val="00EF482F"/>
    <w:rsid w:val="00EF4898"/>
    <w:rsid w:val="00EF489E"/>
    <w:rsid w:val="00EF491C"/>
    <w:rsid w:val="00EF493F"/>
    <w:rsid w:val="00EF4957"/>
    <w:rsid w:val="00EF49FB"/>
    <w:rsid w:val="00EF4A4E"/>
    <w:rsid w:val="00EF4A61"/>
    <w:rsid w:val="00EF4AC1"/>
    <w:rsid w:val="00EF4B04"/>
    <w:rsid w:val="00EF4B0B"/>
    <w:rsid w:val="00EF4B1A"/>
    <w:rsid w:val="00EF4BB7"/>
    <w:rsid w:val="00EF4BDD"/>
    <w:rsid w:val="00EF4C11"/>
    <w:rsid w:val="00EF4C6B"/>
    <w:rsid w:val="00EF4CB7"/>
    <w:rsid w:val="00EF4CD9"/>
    <w:rsid w:val="00EF4D5F"/>
    <w:rsid w:val="00EF4D9C"/>
    <w:rsid w:val="00EF4DA1"/>
    <w:rsid w:val="00EF4DA9"/>
    <w:rsid w:val="00EF4DD1"/>
    <w:rsid w:val="00EF4DEC"/>
    <w:rsid w:val="00EF4E2B"/>
    <w:rsid w:val="00EF4E47"/>
    <w:rsid w:val="00EF4EA3"/>
    <w:rsid w:val="00EF4EF7"/>
    <w:rsid w:val="00EF4F36"/>
    <w:rsid w:val="00EF4F37"/>
    <w:rsid w:val="00EF4FF7"/>
    <w:rsid w:val="00EF5007"/>
    <w:rsid w:val="00EF5069"/>
    <w:rsid w:val="00EF507B"/>
    <w:rsid w:val="00EF509B"/>
    <w:rsid w:val="00EF509D"/>
    <w:rsid w:val="00EF509F"/>
    <w:rsid w:val="00EF50A5"/>
    <w:rsid w:val="00EF5116"/>
    <w:rsid w:val="00EF511A"/>
    <w:rsid w:val="00EF5148"/>
    <w:rsid w:val="00EF519C"/>
    <w:rsid w:val="00EF51C9"/>
    <w:rsid w:val="00EF5244"/>
    <w:rsid w:val="00EF52A3"/>
    <w:rsid w:val="00EF52DE"/>
    <w:rsid w:val="00EF52E5"/>
    <w:rsid w:val="00EF5310"/>
    <w:rsid w:val="00EF5330"/>
    <w:rsid w:val="00EF533E"/>
    <w:rsid w:val="00EF5374"/>
    <w:rsid w:val="00EF53B7"/>
    <w:rsid w:val="00EF53B8"/>
    <w:rsid w:val="00EF53C4"/>
    <w:rsid w:val="00EF53CC"/>
    <w:rsid w:val="00EF53CD"/>
    <w:rsid w:val="00EF543D"/>
    <w:rsid w:val="00EF54A3"/>
    <w:rsid w:val="00EF54D4"/>
    <w:rsid w:val="00EF54EF"/>
    <w:rsid w:val="00EF5503"/>
    <w:rsid w:val="00EF5570"/>
    <w:rsid w:val="00EF557E"/>
    <w:rsid w:val="00EF559F"/>
    <w:rsid w:val="00EF55AB"/>
    <w:rsid w:val="00EF55EC"/>
    <w:rsid w:val="00EF55EE"/>
    <w:rsid w:val="00EF5604"/>
    <w:rsid w:val="00EF5650"/>
    <w:rsid w:val="00EF5660"/>
    <w:rsid w:val="00EF568E"/>
    <w:rsid w:val="00EF5693"/>
    <w:rsid w:val="00EF56A4"/>
    <w:rsid w:val="00EF56DF"/>
    <w:rsid w:val="00EF5764"/>
    <w:rsid w:val="00EF5775"/>
    <w:rsid w:val="00EF5787"/>
    <w:rsid w:val="00EF579C"/>
    <w:rsid w:val="00EF5897"/>
    <w:rsid w:val="00EF58EA"/>
    <w:rsid w:val="00EF5909"/>
    <w:rsid w:val="00EF5947"/>
    <w:rsid w:val="00EF5953"/>
    <w:rsid w:val="00EF5958"/>
    <w:rsid w:val="00EF59BD"/>
    <w:rsid w:val="00EF59EF"/>
    <w:rsid w:val="00EF5A21"/>
    <w:rsid w:val="00EF5A89"/>
    <w:rsid w:val="00EF5AB9"/>
    <w:rsid w:val="00EF5ACB"/>
    <w:rsid w:val="00EF5AEA"/>
    <w:rsid w:val="00EF5AF2"/>
    <w:rsid w:val="00EF5B3C"/>
    <w:rsid w:val="00EF5B6E"/>
    <w:rsid w:val="00EF5B7D"/>
    <w:rsid w:val="00EF5C1D"/>
    <w:rsid w:val="00EF5C20"/>
    <w:rsid w:val="00EF5C61"/>
    <w:rsid w:val="00EF5D62"/>
    <w:rsid w:val="00EF5DB1"/>
    <w:rsid w:val="00EF5DBD"/>
    <w:rsid w:val="00EF5DE9"/>
    <w:rsid w:val="00EF5E42"/>
    <w:rsid w:val="00EF5EFA"/>
    <w:rsid w:val="00EF5F42"/>
    <w:rsid w:val="00EF5F77"/>
    <w:rsid w:val="00EF6044"/>
    <w:rsid w:val="00EF608E"/>
    <w:rsid w:val="00EF6139"/>
    <w:rsid w:val="00EF6141"/>
    <w:rsid w:val="00EF617A"/>
    <w:rsid w:val="00EF618E"/>
    <w:rsid w:val="00EF6190"/>
    <w:rsid w:val="00EF61F4"/>
    <w:rsid w:val="00EF61F5"/>
    <w:rsid w:val="00EF6218"/>
    <w:rsid w:val="00EF621F"/>
    <w:rsid w:val="00EF6231"/>
    <w:rsid w:val="00EF626F"/>
    <w:rsid w:val="00EF6278"/>
    <w:rsid w:val="00EF62D2"/>
    <w:rsid w:val="00EF62F1"/>
    <w:rsid w:val="00EF63B0"/>
    <w:rsid w:val="00EF63E9"/>
    <w:rsid w:val="00EF63EC"/>
    <w:rsid w:val="00EF6423"/>
    <w:rsid w:val="00EF645E"/>
    <w:rsid w:val="00EF64B1"/>
    <w:rsid w:val="00EF64B2"/>
    <w:rsid w:val="00EF64BF"/>
    <w:rsid w:val="00EF65C8"/>
    <w:rsid w:val="00EF65CD"/>
    <w:rsid w:val="00EF65E5"/>
    <w:rsid w:val="00EF6602"/>
    <w:rsid w:val="00EF660D"/>
    <w:rsid w:val="00EF660F"/>
    <w:rsid w:val="00EF6637"/>
    <w:rsid w:val="00EF663E"/>
    <w:rsid w:val="00EF667A"/>
    <w:rsid w:val="00EF66EB"/>
    <w:rsid w:val="00EF66EF"/>
    <w:rsid w:val="00EF6703"/>
    <w:rsid w:val="00EF6718"/>
    <w:rsid w:val="00EF6777"/>
    <w:rsid w:val="00EF6783"/>
    <w:rsid w:val="00EF67B1"/>
    <w:rsid w:val="00EF67F1"/>
    <w:rsid w:val="00EF680B"/>
    <w:rsid w:val="00EF684A"/>
    <w:rsid w:val="00EF6863"/>
    <w:rsid w:val="00EF68A7"/>
    <w:rsid w:val="00EF691B"/>
    <w:rsid w:val="00EF6939"/>
    <w:rsid w:val="00EF6941"/>
    <w:rsid w:val="00EF695F"/>
    <w:rsid w:val="00EF6984"/>
    <w:rsid w:val="00EF69EA"/>
    <w:rsid w:val="00EF6A26"/>
    <w:rsid w:val="00EF6A8D"/>
    <w:rsid w:val="00EF6AAA"/>
    <w:rsid w:val="00EF6AB2"/>
    <w:rsid w:val="00EF6B3D"/>
    <w:rsid w:val="00EF6BC0"/>
    <w:rsid w:val="00EF6BD8"/>
    <w:rsid w:val="00EF6BF2"/>
    <w:rsid w:val="00EF6CE1"/>
    <w:rsid w:val="00EF6CF2"/>
    <w:rsid w:val="00EF6D16"/>
    <w:rsid w:val="00EF6D39"/>
    <w:rsid w:val="00EF6D40"/>
    <w:rsid w:val="00EF6D7E"/>
    <w:rsid w:val="00EF6DA9"/>
    <w:rsid w:val="00EF6DAD"/>
    <w:rsid w:val="00EF6DF8"/>
    <w:rsid w:val="00EF6E7D"/>
    <w:rsid w:val="00EF6EB1"/>
    <w:rsid w:val="00EF6EBF"/>
    <w:rsid w:val="00EF6EE1"/>
    <w:rsid w:val="00EF6F4A"/>
    <w:rsid w:val="00EF6F4C"/>
    <w:rsid w:val="00EF6FCF"/>
    <w:rsid w:val="00EF7005"/>
    <w:rsid w:val="00EF702D"/>
    <w:rsid w:val="00EF7043"/>
    <w:rsid w:val="00EF7071"/>
    <w:rsid w:val="00EF707F"/>
    <w:rsid w:val="00EF70B1"/>
    <w:rsid w:val="00EF70CB"/>
    <w:rsid w:val="00EF710F"/>
    <w:rsid w:val="00EF7113"/>
    <w:rsid w:val="00EF7119"/>
    <w:rsid w:val="00EF7137"/>
    <w:rsid w:val="00EF7196"/>
    <w:rsid w:val="00EF71C1"/>
    <w:rsid w:val="00EF7207"/>
    <w:rsid w:val="00EF722D"/>
    <w:rsid w:val="00EF7234"/>
    <w:rsid w:val="00EF7235"/>
    <w:rsid w:val="00EF7281"/>
    <w:rsid w:val="00EF729A"/>
    <w:rsid w:val="00EF72EF"/>
    <w:rsid w:val="00EF7329"/>
    <w:rsid w:val="00EF73AC"/>
    <w:rsid w:val="00EF7469"/>
    <w:rsid w:val="00EF7488"/>
    <w:rsid w:val="00EF7499"/>
    <w:rsid w:val="00EF74DB"/>
    <w:rsid w:val="00EF74EF"/>
    <w:rsid w:val="00EF7534"/>
    <w:rsid w:val="00EF7541"/>
    <w:rsid w:val="00EF7544"/>
    <w:rsid w:val="00EF7560"/>
    <w:rsid w:val="00EF75C5"/>
    <w:rsid w:val="00EF762E"/>
    <w:rsid w:val="00EF76CA"/>
    <w:rsid w:val="00EF7706"/>
    <w:rsid w:val="00EF7711"/>
    <w:rsid w:val="00EF773B"/>
    <w:rsid w:val="00EF77B6"/>
    <w:rsid w:val="00EF77FE"/>
    <w:rsid w:val="00EF780E"/>
    <w:rsid w:val="00EF7811"/>
    <w:rsid w:val="00EF7880"/>
    <w:rsid w:val="00EF795C"/>
    <w:rsid w:val="00EF798A"/>
    <w:rsid w:val="00EF79B5"/>
    <w:rsid w:val="00EF7A10"/>
    <w:rsid w:val="00EF7A61"/>
    <w:rsid w:val="00EF7A64"/>
    <w:rsid w:val="00EF7A65"/>
    <w:rsid w:val="00EF7A89"/>
    <w:rsid w:val="00EF7B95"/>
    <w:rsid w:val="00EF7B9B"/>
    <w:rsid w:val="00EF7BE2"/>
    <w:rsid w:val="00EF7C3F"/>
    <w:rsid w:val="00EF7CC1"/>
    <w:rsid w:val="00EF7CE3"/>
    <w:rsid w:val="00EF7CE5"/>
    <w:rsid w:val="00EF7D94"/>
    <w:rsid w:val="00EF7DD5"/>
    <w:rsid w:val="00EF7E21"/>
    <w:rsid w:val="00EF7EB4"/>
    <w:rsid w:val="00EF7ED1"/>
    <w:rsid w:val="00EF7EFA"/>
    <w:rsid w:val="00EF7F16"/>
    <w:rsid w:val="00EF7F3B"/>
    <w:rsid w:val="00EF7F75"/>
    <w:rsid w:val="00EF7F88"/>
    <w:rsid w:val="00EF7F8B"/>
    <w:rsid w:val="00EF7F9D"/>
    <w:rsid w:val="00F0006C"/>
    <w:rsid w:val="00F000ED"/>
    <w:rsid w:val="00F000F0"/>
    <w:rsid w:val="00F000F7"/>
    <w:rsid w:val="00F00129"/>
    <w:rsid w:val="00F00130"/>
    <w:rsid w:val="00F00150"/>
    <w:rsid w:val="00F0018A"/>
    <w:rsid w:val="00F001AE"/>
    <w:rsid w:val="00F00209"/>
    <w:rsid w:val="00F00210"/>
    <w:rsid w:val="00F00222"/>
    <w:rsid w:val="00F00232"/>
    <w:rsid w:val="00F0023A"/>
    <w:rsid w:val="00F0026A"/>
    <w:rsid w:val="00F002A0"/>
    <w:rsid w:val="00F002A3"/>
    <w:rsid w:val="00F002FD"/>
    <w:rsid w:val="00F0032B"/>
    <w:rsid w:val="00F0032F"/>
    <w:rsid w:val="00F00370"/>
    <w:rsid w:val="00F00375"/>
    <w:rsid w:val="00F00383"/>
    <w:rsid w:val="00F00386"/>
    <w:rsid w:val="00F0041F"/>
    <w:rsid w:val="00F00482"/>
    <w:rsid w:val="00F004A6"/>
    <w:rsid w:val="00F00513"/>
    <w:rsid w:val="00F00522"/>
    <w:rsid w:val="00F0052D"/>
    <w:rsid w:val="00F00553"/>
    <w:rsid w:val="00F00565"/>
    <w:rsid w:val="00F005AB"/>
    <w:rsid w:val="00F005EE"/>
    <w:rsid w:val="00F00625"/>
    <w:rsid w:val="00F0064B"/>
    <w:rsid w:val="00F00688"/>
    <w:rsid w:val="00F006AC"/>
    <w:rsid w:val="00F00708"/>
    <w:rsid w:val="00F00790"/>
    <w:rsid w:val="00F007EF"/>
    <w:rsid w:val="00F00801"/>
    <w:rsid w:val="00F00889"/>
    <w:rsid w:val="00F008A4"/>
    <w:rsid w:val="00F00950"/>
    <w:rsid w:val="00F0098A"/>
    <w:rsid w:val="00F009B9"/>
    <w:rsid w:val="00F009BC"/>
    <w:rsid w:val="00F009F0"/>
    <w:rsid w:val="00F00A13"/>
    <w:rsid w:val="00F00A1C"/>
    <w:rsid w:val="00F00A60"/>
    <w:rsid w:val="00F00A78"/>
    <w:rsid w:val="00F00AB3"/>
    <w:rsid w:val="00F00AC6"/>
    <w:rsid w:val="00F00AFA"/>
    <w:rsid w:val="00F00B10"/>
    <w:rsid w:val="00F00BDF"/>
    <w:rsid w:val="00F00C0E"/>
    <w:rsid w:val="00F00C97"/>
    <w:rsid w:val="00F00CA4"/>
    <w:rsid w:val="00F00D05"/>
    <w:rsid w:val="00F00D26"/>
    <w:rsid w:val="00F00D35"/>
    <w:rsid w:val="00F00D83"/>
    <w:rsid w:val="00F00D8B"/>
    <w:rsid w:val="00F00D9F"/>
    <w:rsid w:val="00F00DB7"/>
    <w:rsid w:val="00F00DE4"/>
    <w:rsid w:val="00F00E15"/>
    <w:rsid w:val="00F00E33"/>
    <w:rsid w:val="00F00E3A"/>
    <w:rsid w:val="00F00E42"/>
    <w:rsid w:val="00F00E44"/>
    <w:rsid w:val="00F00EC2"/>
    <w:rsid w:val="00F00EEC"/>
    <w:rsid w:val="00F00F03"/>
    <w:rsid w:val="00F00F09"/>
    <w:rsid w:val="00F00F66"/>
    <w:rsid w:val="00F00F80"/>
    <w:rsid w:val="00F00F81"/>
    <w:rsid w:val="00F00FE5"/>
    <w:rsid w:val="00F00FF0"/>
    <w:rsid w:val="00F00FF7"/>
    <w:rsid w:val="00F01004"/>
    <w:rsid w:val="00F0101E"/>
    <w:rsid w:val="00F01081"/>
    <w:rsid w:val="00F01085"/>
    <w:rsid w:val="00F010B0"/>
    <w:rsid w:val="00F010B3"/>
    <w:rsid w:val="00F010EF"/>
    <w:rsid w:val="00F010F6"/>
    <w:rsid w:val="00F01151"/>
    <w:rsid w:val="00F0115A"/>
    <w:rsid w:val="00F0116F"/>
    <w:rsid w:val="00F01194"/>
    <w:rsid w:val="00F011C8"/>
    <w:rsid w:val="00F0120D"/>
    <w:rsid w:val="00F01216"/>
    <w:rsid w:val="00F0128A"/>
    <w:rsid w:val="00F012A2"/>
    <w:rsid w:val="00F012FC"/>
    <w:rsid w:val="00F01302"/>
    <w:rsid w:val="00F0130F"/>
    <w:rsid w:val="00F0131A"/>
    <w:rsid w:val="00F01337"/>
    <w:rsid w:val="00F0135D"/>
    <w:rsid w:val="00F01384"/>
    <w:rsid w:val="00F013A1"/>
    <w:rsid w:val="00F013F1"/>
    <w:rsid w:val="00F0140C"/>
    <w:rsid w:val="00F0142B"/>
    <w:rsid w:val="00F01436"/>
    <w:rsid w:val="00F01457"/>
    <w:rsid w:val="00F01467"/>
    <w:rsid w:val="00F014BF"/>
    <w:rsid w:val="00F014D0"/>
    <w:rsid w:val="00F014D5"/>
    <w:rsid w:val="00F014F1"/>
    <w:rsid w:val="00F01535"/>
    <w:rsid w:val="00F01583"/>
    <w:rsid w:val="00F015EE"/>
    <w:rsid w:val="00F01679"/>
    <w:rsid w:val="00F0167A"/>
    <w:rsid w:val="00F0167C"/>
    <w:rsid w:val="00F016AA"/>
    <w:rsid w:val="00F016AC"/>
    <w:rsid w:val="00F016B7"/>
    <w:rsid w:val="00F01732"/>
    <w:rsid w:val="00F01749"/>
    <w:rsid w:val="00F0184D"/>
    <w:rsid w:val="00F0188A"/>
    <w:rsid w:val="00F01890"/>
    <w:rsid w:val="00F018AE"/>
    <w:rsid w:val="00F01953"/>
    <w:rsid w:val="00F01976"/>
    <w:rsid w:val="00F0199A"/>
    <w:rsid w:val="00F019D6"/>
    <w:rsid w:val="00F019F2"/>
    <w:rsid w:val="00F01A23"/>
    <w:rsid w:val="00F01A95"/>
    <w:rsid w:val="00F01ABE"/>
    <w:rsid w:val="00F01AD8"/>
    <w:rsid w:val="00F01B6C"/>
    <w:rsid w:val="00F01BAC"/>
    <w:rsid w:val="00F01BD4"/>
    <w:rsid w:val="00F01BEA"/>
    <w:rsid w:val="00F01C1B"/>
    <w:rsid w:val="00F01C8D"/>
    <w:rsid w:val="00F01CCD"/>
    <w:rsid w:val="00F01CE0"/>
    <w:rsid w:val="00F01CEB"/>
    <w:rsid w:val="00F01D66"/>
    <w:rsid w:val="00F01DA4"/>
    <w:rsid w:val="00F01DE4"/>
    <w:rsid w:val="00F01DEE"/>
    <w:rsid w:val="00F01DF7"/>
    <w:rsid w:val="00F01E4C"/>
    <w:rsid w:val="00F01EC2"/>
    <w:rsid w:val="00F01ED2"/>
    <w:rsid w:val="00F01EE4"/>
    <w:rsid w:val="00F01F0A"/>
    <w:rsid w:val="00F01F4A"/>
    <w:rsid w:val="00F01F57"/>
    <w:rsid w:val="00F01F67"/>
    <w:rsid w:val="00F01F6E"/>
    <w:rsid w:val="00F01F8A"/>
    <w:rsid w:val="00F01FAB"/>
    <w:rsid w:val="00F01FEF"/>
    <w:rsid w:val="00F02023"/>
    <w:rsid w:val="00F0202C"/>
    <w:rsid w:val="00F02035"/>
    <w:rsid w:val="00F0203C"/>
    <w:rsid w:val="00F02059"/>
    <w:rsid w:val="00F02069"/>
    <w:rsid w:val="00F0213F"/>
    <w:rsid w:val="00F02184"/>
    <w:rsid w:val="00F021B8"/>
    <w:rsid w:val="00F021BB"/>
    <w:rsid w:val="00F021CB"/>
    <w:rsid w:val="00F021DF"/>
    <w:rsid w:val="00F021E7"/>
    <w:rsid w:val="00F02200"/>
    <w:rsid w:val="00F02205"/>
    <w:rsid w:val="00F02261"/>
    <w:rsid w:val="00F0229E"/>
    <w:rsid w:val="00F022BB"/>
    <w:rsid w:val="00F02351"/>
    <w:rsid w:val="00F02378"/>
    <w:rsid w:val="00F02389"/>
    <w:rsid w:val="00F023BE"/>
    <w:rsid w:val="00F024A1"/>
    <w:rsid w:val="00F024A8"/>
    <w:rsid w:val="00F024AC"/>
    <w:rsid w:val="00F024B8"/>
    <w:rsid w:val="00F024BB"/>
    <w:rsid w:val="00F024C3"/>
    <w:rsid w:val="00F024CB"/>
    <w:rsid w:val="00F024D8"/>
    <w:rsid w:val="00F02503"/>
    <w:rsid w:val="00F0251A"/>
    <w:rsid w:val="00F02544"/>
    <w:rsid w:val="00F02546"/>
    <w:rsid w:val="00F025B5"/>
    <w:rsid w:val="00F025B8"/>
    <w:rsid w:val="00F025D3"/>
    <w:rsid w:val="00F02629"/>
    <w:rsid w:val="00F02635"/>
    <w:rsid w:val="00F026F8"/>
    <w:rsid w:val="00F02737"/>
    <w:rsid w:val="00F02753"/>
    <w:rsid w:val="00F0276A"/>
    <w:rsid w:val="00F0276D"/>
    <w:rsid w:val="00F02772"/>
    <w:rsid w:val="00F027AE"/>
    <w:rsid w:val="00F027E8"/>
    <w:rsid w:val="00F02870"/>
    <w:rsid w:val="00F02897"/>
    <w:rsid w:val="00F02900"/>
    <w:rsid w:val="00F02966"/>
    <w:rsid w:val="00F029AF"/>
    <w:rsid w:val="00F029BA"/>
    <w:rsid w:val="00F029F2"/>
    <w:rsid w:val="00F02A36"/>
    <w:rsid w:val="00F02A60"/>
    <w:rsid w:val="00F02A7B"/>
    <w:rsid w:val="00F02AC6"/>
    <w:rsid w:val="00F02B59"/>
    <w:rsid w:val="00F02B6E"/>
    <w:rsid w:val="00F02B7E"/>
    <w:rsid w:val="00F02B88"/>
    <w:rsid w:val="00F02BE8"/>
    <w:rsid w:val="00F02C4E"/>
    <w:rsid w:val="00F02CE7"/>
    <w:rsid w:val="00F02D8A"/>
    <w:rsid w:val="00F02D98"/>
    <w:rsid w:val="00F02DC1"/>
    <w:rsid w:val="00F02DCC"/>
    <w:rsid w:val="00F02E0B"/>
    <w:rsid w:val="00F02E18"/>
    <w:rsid w:val="00F02E5E"/>
    <w:rsid w:val="00F02E8C"/>
    <w:rsid w:val="00F02ECA"/>
    <w:rsid w:val="00F02EDD"/>
    <w:rsid w:val="00F02EF4"/>
    <w:rsid w:val="00F02F1B"/>
    <w:rsid w:val="00F02F64"/>
    <w:rsid w:val="00F02F93"/>
    <w:rsid w:val="00F02F94"/>
    <w:rsid w:val="00F02FB0"/>
    <w:rsid w:val="00F02FF8"/>
    <w:rsid w:val="00F0301A"/>
    <w:rsid w:val="00F030C7"/>
    <w:rsid w:val="00F030E8"/>
    <w:rsid w:val="00F0311B"/>
    <w:rsid w:val="00F0312C"/>
    <w:rsid w:val="00F031D4"/>
    <w:rsid w:val="00F031F2"/>
    <w:rsid w:val="00F03208"/>
    <w:rsid w:val="00F03236"/>
    <w:rsid w:val="00F03265"/>
    <w:rsid w:val="00F0328B"/>
    <w:rsid w:val="00F0333E"/>
    <w:rsid w:val="00F03365"/>
    <w:rsid w:val="00F03377"/>
    <w:rsid w:val="00F033A3"/>
    <w:rsid w:val="00F0343D"/>
    <w:rsid w:val="00F034A5"/>
    <w:rsid w:val="00F0351C"/>
    <w:rsid w:val="00F0357B"/>
    <w:rsid w:val="00F035A7"/>
    <w:rsid w:val="00F035C1"/>
    <w:rsid w:val="00F035EB"/>
    <w:rsid w:val="00F0367A"/>
    <w:rsid w:val="00F036DA"/>
    <w:rsid w:val="00F036DF"/>
    <w:rsid w:val="00F036E5"/>
    <w:rsid w:val="00F03706"/>
    <w:rsid w:val="00F037E5"/>
    <w:rsid w:val="00F038B7"/>
    <w:rsid w:val="00F038DA"/>
    <w:rsid w:val="00F038E2"/>
    <w:rsid w:val="00F0390B"/>
    <w:rsid w:val="00F0390C"/>
    <w:rsid w:val="00F0391C"/>
    <w:rsid w:val="00F03938"/>
    <w:rsid w:val="00F03940"/>
    <w:rsid w:val="00F03955"/>
    <w:rsid w:val="00F039F9"/>
    <w:rsid w:val="00F03A3E"/>
    <w:rsid w:val="00F03A57"/>
    <w:rsid w:val="00F03A7E"/>
    <w:rsid w:val="00F03A91"/>
    <w:rsid w:val="00F03ABA"/>
    <w:rsid w:val="00F03B60"/>
    <w:rsid w:val="00F03B68"/>
    <w:rsid w:val="00F03BC3"/>
    <w:rsid w:val="00F03C10"/>
    <w:rsid w:val="00F03C58"/>
    <w:rsid w:val="00F03C62"/>
    <w:rsid w:val="00F03C7B"/>
    <w:rsid w:val="00F03DA5"/>
    <w:rsid w:val="00F03DB7"/>
    <w:rsid w:val="00F03E01"/>
    <w:rsid w:val="00F03E26"/>
    <w:rsid w:val="00F03E2E"/>
    <w:rsid w:val="00F03E34"/>
    <w:rsid w:val="00F03E6F"/>
    <w:rsid w:val="00F03E96"/>
    <w:rsid w:val="00F03EBB"/>
    <w:rsid w:val="00F03F12"/>
    <w:rsid w:val="00F03F15"/>
    <w:rsid w:val="00F03F17"/>
    <w:rsid w:val="00F03F43"/>
    <w:rsid w:val="00F03F55"/>
    <w:rsid w:val="00F03F72"/>
    <w:rsid w:val="00F03F86"/>
    <w:rsid w:val="00F03FAF"/>
    <w:rsid w:val="00F04006"/>
    <w:rsid w:val="00F04056"/>
    <w:rsid w:val="00F0405F"/>
    <w:rsid w:val="00F040AE"/>
    <w:rsid w:val="00F040B8"/>
    <w:rsid w:val="00F04115"/>
    <w:rsid w:val="00F04130"/>
    <w:rsid w:val="00F04132"/>
    <w:rsid w:val="00F0414A"/>
    <w:rsid w:val="00F04169"/>
    <w:rsid w:val="00F04179"/>
    <w:rsid w:val="00F041EE"/>
    <w:rsid w:val="00F041FE"/>
    <w:rsid w:val="00F0422D"/>
    <w:rsid w:val="00F04283"/>
    <w:rsid w:val="00F042CD"/>
    <w:rsid w:val="00F042D5"/>
    <w:rsid w:val="00F042E2"/>
    <w:rsid w:val="00F04315"/>
    <w:rsid w:val="00F04370"/>
    <w:rsid w:val="00F0438E"/>
    <w:rsid w:val="00F04399"/>
    <w:rsid w:val="00F043A9"/>
    <w:rsid w:val="00F043BE"/>
    <w:rsid w:val="00F04436"/>
    <w:rsid w:val="00F0448A"/>
    <w:rsid w:val="00F0449C"/>
    <w:rsid w:val="00F044A0"/>
    <w:rsid w:val="00F044BD"/>
    <w:rsid w:val="00F044E1"/>
    <w:rsid w:val="00F044F6"/>
    <w:rsid w:val="00F04518"/>
    <w:rsid w:val="00F04538"/>
    <w:rsid w:val="00F04548"/>
    <w:rsid w:val="00F0454F"/>
    <w:rsid w:val="00F04576"/>
    <w:rsid w:val="00F045A3"/>
    <w:rsid w:val="00F045B7"/>
    <w:rsid w:val="00F045EB"/>
    <w:rsid w:val="00F04774"/>
    <w:rsid w:val="00F047B5"/>
    <w:rsid w:val="00F047C3"/>
    <w:rsid w:val="00F047D2"/>
    <w:rsid w:val="00F0480B"/>
    <w:rsid w:val="00F0488C"/>
    <w:rsid w:val="00F048AD"/>
    <w:rsid w:val="00F048B3"/>
    <w:rsid w:val="00F048BE"/>
    <w:rsid w:val="00F04909"/>
    <w:rsid w:val="00F0498C"/>
    <w:rsid w:val="00F049F2"/>
    <w:rsid w:val="00F049F4"/>
    <w:rsid w:val="00F049F5"/>
    <w:rsid w:val="00F04A7B"/>
    <w:rsid w:val="00F04A92"/>
    <w:rsid w:val="00F04ABA"/>
    <w:rsid w:val="00F04AC6"/>
    <w:rsid w:val="00F04BC6"/>
    <w:rsid w:val="00F04C39"/>
    <w:rsid w:val="00F04C4C"/>
    <w:rsid w:val="00F04C8C"/>
    <w:rsid w:val="00F04C95"/>
    <w:rsid w:val="00F04C9F"/>
    <w:rsid w:val="00F04CAD"/>
    <w:rsid w:val="00F04CBB"/>
    <w:rsid w:val="00F04CFA"/>
    <w:rsid w:val="00F04D28"/>
    <w:rsid w:val="00F04D3D"/>
    <w:rsid w:val="00F04D53"/>
    <w:rsid w:val="00F04D94"/>
    <w:rsid w:val="00F04DA9"/>
    <w:rsid w:val="00F04E03"/>
    <w:rsid w:val="00F04E39"/>
    <w:rsid w:val="00F04E97"/>
    <w:rsid w:val="00F04EAE"/>
    <w:rsid w:val="00F04EC0"/>
    <w:rsid w:val="00F04EFB"/>
    <w:rsid w:val="00F04F2C"/>
    <w:rsid w:val="00F04F53"/>
    <w:rsid w:val="00F04F6C"/>
    <w:rsid w:val="00F04F72"/>
    <w:rsid w:val="00F04FD9"/>
    <w:rsid w:val="00F05076"/>
    <w:rsid w:val="00F05088"/>
    <w:rsid w:val="00F050B0"/>
    <w:rsid w:val="00F050B1"/>
    <w:rsid w:val="00F050E7"/>
    <w:rsid w:val="00F050EB"/>
    <w:rsid w:val="00F050EC"/>
    <w:rsid w:val="00F05106"/>
    <w:rsid w:val="00F051A4"/>
    <w:rsid w:val="00F051C4"/>
    <w:rsid w:val="00F051CB"/>
    <w:rsid w:val="00F051D6"/>
    <w:rsid w:val="00F051E6"/>
    <w:rsid w:val="00F05267"/>
    <w:rsid w:val="00F05284"/>
    <w:rsid w:val="00F052B8"/>
    <w:rsid w:val="00F05354"/>
    <w:rsid w:val="00F05357"/>
    <w:rsid w:val="00F053D8"/>
    <w:rsid w:val="00F053E5"/>
    <w:rsid w:val="00F053F2"/>
    <w:rsid w:val="00F0541B"/>
    <w:rsid w:val="00F05422"/>
    <w:rsid w:val="00F05454"/>
    <w:rsid w:val="00F054E0"/>
    <w:rsid w:val="00F054FD"/>
    <w:rsid w:val="00F05533"/>
    <w:rsid w:val="00F0553D"/>
    <w:rsid w:val="00F05566"/>
    <w:rsid w:val="00F055B7"/>
    <w:rsid w:val="00F05682"/>
    <w:rsid w:val="00F0568E"/>
    <w:rsid w:val="00F05695"/>
    <w:rsid w:val="00F056A3"/>
    <w:rsid w:val="00F05738"/>
    <w:rsid w:val="00F05741"/>
    <w:rsid w:val="00F05763"/>
    <w:rsid w:val="00F05833"/>
    <w:rsid w:val="00F05835"/>
    <w:rsid w:val="00F0588E"/>
    <w:rsid w:val="00F058F5"/>
    <w:rsid w:val="00F05904"/>
    <w:rsid w:val="00F05942"/>
    <w:rsid w:val="00F05955"/>
    <w:rsid w:val="00F059A8"/>
    <w:rsid w:val="00F05A4D"/>
    <w:rsid w:val="00F05A54"/>
    <w:rsid w:val="00F05A63"/>
    <w:rsid w:val="00F05A64"/>
    <w:rsid w:val="00F05A7B"/>
    <w:rsid w:val="00F05ACA"/>
    <w:rsid w:val="00F05AD1"/>
    <w:rsid w:val="00F05B14"/>
    <w:rsid w:val="00F05B42"/>
    <w:rsid w:val="00F05B49"/>
    <w:rsid w:val="00F05C29"/>
    <w:rsid w:val="00F05C5C"/>
    <w:rsid w:val="00F05C67"/>
    <w:rsid w:val="00F05C85"/>
    <w:rsid w:val="00F05C92"/>
    <w:rsid w:val="00F05D07"/>
    <w:rsid w:val="00F05D65"/>
    <w:rsid w:val="00F05D90"/>
    <w:rsid w:val="00F05DA9"/>
    <w:rsid w:val="00F05DD2"/>
    <w:rsid w:val="00F05DDD"/>
    <w:rsid w:val="00F05E08"/>
    <w:rsid w:val="00F05EF1"/>
    <w:rsid w:val="00F05F25"/>
    <w:rsid w:val="00F05FAF"/>
    <w:rsid w:val="00F05FB9"/>
    <w:rsid w:val="00F05FC9"/>
    <w:rsid w:val="00F0601D"/>
    <w:rsid w:val="00F0603C"/>
    <w:rsid w:val="00F0606D"/>
    <w:rsid w:val="00F06070"/>
    <w:rsid w:val="00F0609D"/>
    <w:rsid w:val="00F060BA"/>
    <w:rsid w:val="00F060F5"/>
    <w:rsid w:val="00F06113"/>
    <w:rsid w:val="00F0612B"/>
    <w:rsid w:val="00F06149"/>
    <w:rsid w:val="00F061B2"/>
    <w:rsid w:val="00F061CF"/>
    <w:rsid w:val="00F061E4"/>
    <w:rsid w:val="00F0621C"/>
    <w:rsid w:val="00F06241"/>
    <w:rsid w:val="00F062D5"/>
    <w:rsid w:val="00F063B5"/>
    <w:rsid w:val="00F064C4"/>
    <w:rsid w:val="00F0653C"/>
    <w:rsid w:val="00F0657D"/>
    <w:rsid w:val="00F06599"/>
    <w:rsid w:val="00F065A7"/>
    <w:rsid w:val="00F065FD"/>
    <w:rsid w:val="00F06665"/>
    <w:rsid w:val="00F0666B"/>
    <w:rsid w:val="00F06678"/>
    <w:rsid w:val="00F06680"/>
    <w:rsid w:val="00F0669E"/>
    <w:rsid w:val="00F066C9"/>
    <w:rsid w:val="00F06728"/>
    <w:rsid w:val="00F06734"/>
    <w:rsid w:val="00F067BC"/>
    <w:rsid w:val="00F067C0"/>
    <w:rsid w:val="00F067C4"/>
    <w:rsid w:val="00F0681B"/>
    <w:rsid w:val="00F0683C"/>
    <w:rsid w:val="00F06851"/>
    <w:rsid w:val="00F06861"/>
    <w:rsid w:val="00F068BE"/>
    <w:rsid w:val="00F068CC"/>
    <w:rsid w:val="00F068DE"/>
    <w:rsid w:val="00F06942"/>
    <w:rsid w:val="00F06958"/>
    <w:rsid w:val="00F069EF"/>
    <w:rsid w:val="00F069F8"/>
    <w:rsid w:val="00F06A4F"/>
    <w:rsid w:val="00F06A69"/>
    <w:rsid w:val="00F06B05"/>
    <w:rsid w:val="00F06BC3"/>
    <w:rsid w:val="00F06C10"/>
    <w:rsid w:val="00F06C39"/>
    <w:rsid w:val="00F06C47"/>
    <w:rsid w:val="00F06C54"/>
    <w:rsid w:val="00F06C78"/>
    <w:rsid w:val="00F06CAB"/>
    <w:rsid w:val="00F06CB2"/>
    <w:rsid w:val="00F06CB5"/>
    <w:rsid w:val="00F06CE4"/>
    <w:rsid w:val="00F06D1F"/>
    <w:rsid w:val="00F06D3B"/>
    <w:rsid w:val="00F06DDC"/>
    <w:rsid w:val="00F06E04"/>
    <w:rsid w:val="00F06E11"/>
    <w:rsid w:val="00F06E49"/>
    <w:rsid w:val="00F06F8F"/>
    <w:rsid w:val="00F06FDC"/>
    <w:rsid w:val="00F07029"/>
    <w:rsid w:val="00F07041"/>
    <w:rsid w:val="00F0707D"/>
    <w:rsid w:val="00F07121"/>
    <w:rsid w:val="00F07171"/>
    <w:rsid w:val="00F07177"/>
    <w:rsid w:val="00F071AB"/>
    <w:rsid w:val="00F071AE"/>
    <w:rsid w:val="00F071EA"/>
    <w:rsid w:val="00F0722A"/>
    <w:rsid w:val="00F07233"/>
    <w:rsid w:val="00F07269"/>
    <w:rsid w:val="00F072D1"/>
    <w:rsid w:val="00F07358"/>
    <w:rsid w:val="00F0738D"/>
    <w:rsid w:val="00F073A3"/>
    <w:rsid w:val="00F073A9"/>
    <w:rsid w:val="00F073DA"/>
    <w:rsid w:val="00F073ED"/>
    <w:rsid w:val="00F073FE"/>
    <w:rsid w:val="00F07402"/>
    <w:rsid w:val="00F07411"/>
    <w:rsid w:val="00F074C3"/>
    <w:rsid w:val="00F07550"/>
    <w:rsid w:val="00F07555"/>
    <w:rsid w:val="00F0760D"/>
    <w:rsid w:val="00F07649"/>
    <w:rsid w:val="00F07682"/>
    <w:rsid w:val="00F076B3"/>
    <w:rsid w:val="00F076D9"/>
    <w:rsid w:val="00F0771C"/>
    <w:rsid w:val="00F07753"/>
    <w:rsid w:val="00F077CD"/>
    <w:rsid w:val="00F0782D"/>
    <w:rsid w:val="00F07883"/>
    <w:rsid w:val="00F0788E"/>
    <w:rsid w:val="00F0789E"/>
    <w:rsid w:val="00F078A2"/>
    <w:rsid w:val="00F078C1"/>
    <w:rsid w:val="00F0790B"/>
    <w:rsid w:val="00F07910"/>
    <w:rsid w:val="00F0793B"/>
    <w:rsid w:val="00F07974"/>
    <w:rsid w:val="00F07983"/>
    <w:rsid w:val="00F07999"/>
    <w:rsid w:val="00F079AD"/>
    <w:rsid w:val="00F079DD"/>
    <w:rsid w:val="00F07A87"/>
    <w:rsid w:val="00F07A9E"/>
    <w:rsid w:val="00F07ACA"/>
    <w:rsid w:val="00F07AF9"/>
    <w:rsid w:val="00F07AFF"/>
    <w:rsid w:val="00F07B1A"/>
    <w:rsid w:val="00F07BEF"/>
    <w:rsid w:val="00F07BFF"/>
    <w:rsid w:val="00F07C4D"/>
    <w:rsid w:val="00F07C6F"/>
    <w:rsid w:val="00F07C72"/>
    <w:rsid w:val="00F07CBB"/>
    <w:rsid w:val="00F07CCC"/>
    <w:rsid w:val="00F07CD7"/>
    <w:rsid w:val="00F07D22"/>
    <w:rsid w:val="00F07D41"/>
    <w:rsid w:val="00F07D4D"/>
    <w:rsid w:val="00F07D72"/>
    <w:rsid w:val="00F07E08"/>
    <w:rsid w:val="00F07E6C"/>
    <w:rsid w:val="00F07E99"/>
    <w:rsid w:val="00F07EB7"/>
    <w:rsid w:val="00F07EE8"/>
    <w:rsid w:val="00F07F31"/>
    <w:rsid w:val="00F07F70"/>
    <w:rsid w:val="00F07F77"/>
    <w:rsid w:val="00F07FA7"/>
    <w:rsid w:val="00F07FD7"/>
    <w:rsid w:val="00F10000"/>
    <w:rsid w:val="00F1000B"/>
    <w:rsid w:val="00F10043"/>
    <w:rsid w:val="00F100A7"/>
    <w:rsid w:val="00F100C4"/>
    <w:rsid w:val="00F100CA"/>
    <w:rsid w:val="00F101CA"/>
    <w:rsid w:val="00F1020B"/>
    <w:rsid w:val="00F1022E"/>
    <w:rsid w:val="00F10259"/>
    <w:rsid w:val="00F10280"/>
    <w:rsid w:val="00F10297"/>
    <w:rsid w:val="00F102F8"/>
    <w:rsid w:val="00F10392"/>
    <w:rsid w:val="00F103D2"/>
    <w:rsid w:val="00F103E3"/>
    <w:rsid w:val="00F103FE"/>
    <w:rsid w:val="00F10404"/>
    <w:rsid w:val="00F10445"/>
    <w:rsid w:val="00F1044C"/>
    <w:rsid w:val="00F104A7"/>
    <w:rsid w:val="00F104CE"/>
    <w:rsid w:val="00F104DA"/>
    <w:rsid w:val="00F104F4"/>
    <w:rsid w:val="00F105BF"/>
    <w:rsid w:val="00F105CA"/>
    <w:rsid w:val="00F106A5"/>
    <w:rsid w:val="00F10708"/>
    <w:rsid w:val="00F1073A"/>
    <w:rsid w:val="00F10746"/>
    <w:rsid w:val="00F1075E"/>
    <w:rsid w:val="00F10763"/>
    <w:rsid w:val="00F107A1"/>
    <w:rsid w:val="00F108AD"/>
    <w:rsid w:val="00F1091C"/>
    <w:rsid w:val="00F1097E"/>
    <w:rsid w:val="00F10A07"/>
    <w:rsid w:val="00F10A1F"/>
    <w:rsid w:val="00F10A66"/>
    <w:rsid w:val="00F10A75"/>
    <w:rsid w:val="00F10A9F"/>
    <w:rsid w:val="00F10AF3"/>
    <w:rsid w:val="00F10AFC"/>
    <w:rsid w:val="00F10AFF"/>
    <w:rsid w:val="00F10B43"/>
    <w:rsid w:val="00F10B6E"/>
    <w:rsid w:val="00F10C13"/>
    <w:rsid w:val="00F10C1A"/>
    <w:rsid w:val="00F10C1D"/>
    <w:rsid w:val="00F10C22"/>
    <w:rsid w:val="00F10C37"/>
    <w:rsid w:val="00F10C3C"/>
    <w:rsid w:val="00F10C79"/>
    <w:rsid w:val="00F10C8C"/>
    <w:rsid w:val="00F10CC0"/>
    <w:rsid w:val="00F10CD9"/>
    <w:rsid w:val="00F10CF0"/>
    <w:rsid w:val="00F10CF7"/>
    <w:rsid w:val="00F10DB0"/>
    <w:rsid w:val="00F10DB2"/>
    <w:rsid w:val="00F10DBA"/>
    <w:rsid w:val="00F10DF0"/>
    <w:rsid w:val="00F10DF8"/>
    <w:rsid w:val="00F10E4D"/>
    <w:rsid w:val="00F10E80"/>
    <w:rsid w:val="00F10F21"/>
    <w:rsid w:val="00F10F80"/>
    <w:rsid w:val="00F10FA5"/>
    <w:rsid w:val="00F10FB7"/>
    <w:rsid w:val="00F10FEF"/>
    <w:rsid w:val="00F10FF7"/>
    <w:rsid w:val="00F11011"/>
    <w:rsid w:val="00F11013"/>
    <w:rsid w:val="00F11020"/>
    <w:rsid w:val="00F1106D"/>
    <w:rsid w:val="00F110A6"/>
    <w:rsid w:val="00F110C9"/>
    <w:rsid w:val="00F110F1"/>
    <w:rsid w:val="00F11117"/>
    <w:rsid w:val="00F1112D"/>
    <w:rsid w:val="00F11148"/>
    <w:rsid w:val="00F11181"/>
    <w:rsid w:val="00F111FA"/>
    <w:rsid w:val="00F111FB"/>
    <w:rsid w:val="00F11209"/>
    <w:rsid w:val="00F11229"/>
    <w:rsid w:val="00F11271"/>
    <w:rsid w:val="00F11273"/>
    <w:rsid w:val="00F112C3"/>
    <w:rsid w:val="00F11375"/>
    <w:rsid w:val="00F11390"/>
    <w:rsid w:val="00F1140C"/>
    <w:rsid w:val="00F1140E"/>
    <w:rsid w:val="00F1145A"/>
    <w:rsid w:val="00F11462"/>
    <w:rsid w:val="00F1148F"/>
    <w:rsid w:val="00F114B1"/>
    <w:rsid w:val="00F114F4"/>
    <w:rsid w:val="00F1150C"/>
    <w:rsid w:val="00F11536"/>
    <w:rsid w:val="00F11553"/>
    <w:rsid w:val="00F11591"/>
    <w:rsid w:val="00F11595"/>
    <w:rsid w:val="00F115AA"/>
    <w:rsid w:val="00F115B1"/>
    <w:rsid w:val="00F115DD"/>
    <w:rsid w:val="00F1169E"/>
    <w:rsid w:val="00F11756"/>
    <w:rsid w:val="00F11789"/>
    <w:rsid w:val="00F117A9"/>
    <w:rsid w:val="00F117D3"/>
    <w:rsid w:val="00F117E5"/>
    <w:rsid w:val="00F11800"/>
    <w:rsid w:val="00F11829"/>
    <w:rsid w:val="00F118E3"/>
    <w:rsid w:val="00F11906"/>
    <w:rsid w:val="00F1193F"/>
    <w:rsid w:val="00F11945"/>
    <w:rsid w:val="00F119A4"/>
    <w:rsid w:val="00F119F1"/>
    <w:rsid w:val="00F11A02"/>
    <w:rsid w:val="00F11A33"/>
    <w:rsid w:val="00F11A58"/>
    <w:rsid w:val="00F11AAF"/>
    <w:rsid w:val="00F11AB0"/>
    <w:rsid w:val="00F11AB6"/>
    <w:rsid w:val="00F11B1F"/>
    <w:rsid w:val="00F11B61"/>
    <w:rsid w:val="00F11B6A"/>
    <w:rsid w:val="00F11B6E"/>
    <w:rsid w:val="00F11B7D"/>
    <w:rsid w:val="00F11BAF"/>
    <w:rsid w:val="00F11BB6"/>
    <w:rsid w:val="00F11BF8"/>
    <w:rsid w:val="00F11C0C"/>
    <w:rsid w:val="00F11C73"/>
    <w:rsid w:val="00F11CBA"/>
    <w:rsid w:val="00F11CC0"/>
    <w:rsid w:val="00F11CC6"/>
    <w:rsid w:val="00F11E5E"/>
    <w:rsid w:val="00F11E6D"/>
    <w:rsid w:val="00F11EC8"/>
    <w:rsid w:val="00F11ED1"/>
    <w:rsid w:val="00F11EE8"/>
    <w:rsid w:val="00F11EFF"/>
    <w:rsid w:val="00F11F05"/>
    <w:rsid w:val="00F11F3D"/>
    <w:rsid w:val="00F11F9E"/>
    <w:rsid w:val="00F11FEE"/>
    <w:rsid w:val="00F12013"/>
    <w:rsid w:val="00F1202D"/>
    <w:rsid w:val="00F12047"/>
    <w:rsid w:val="00F120C1"/>
    <w:rsid w:val="00F120F2"/>
    <w:rsid w:val="00F1211E"/>
    <w:rsid w:val="00F12171"/>
    <w:rsid w:val="00F121E1"/>
    <w:rsid w:val="00F121E8"/>
    <w:rsid w:val="00F12236"/>
    <w:rsid w:val="00F1224D"/>
    <w:rsid w:val="00F1224E"/>
    <w:rsid w:val="00F12279"/>
    <w:rsid w:val="00F122E1"/>
    <w:rsid w:val="00F1231F"/>
    <w:rsid w:val="00F12367"/>
    <w:rsid w:val="00F123CF"/>
    <w:rsid w:val="00F123E4"/>
    <w:rsid w:val="00F123EE"/>
    <w:rsid w:val="00F12403"/>
    <w:rsid w:val="00F12417"/>
    <w:rsid w:val="00F12425"/>
    <w:rsid w:val="00F12566"/>
    <w:rsid w:val="00F12576"/>
    <w:rsid w:val="00F12607"/>
    <w:rsid w:val="00F12635"/>
    <w:rsid w:val="00F12643"/>
    <w:rsid w:val="00F12673"/>
    <w:rsid w:val="00F126F3"/>
    <w:rsid w:val="00F126FF"/>
    <w:rsid w:val="00F12769"/>
    <w:rsid w:val="00F12775"/>
    <w:rsid w:val="00F1277C"/>
    <w:rsid w:val="00F12782"/>
    <w:rsid w:val="00F127A0"/>
    <w:rsid w:val="00F127AC"/>
    <w:rsid w:val="00F127BC"/>
    <w:rsid w:val="00F127D4"/>
    <w:rsid w:val="00F127F2"/>
    <w:rsid w:val="00F1280E"/>
    <w:rsid w:val="00F12810"/>
    <w:rsid w:val="00F128A1"/>
    <w:rsid w:val="00F128A8"/>
    <w:rsid w:val="00F128B6"/>
    <w:rsid w:val="00F128F2"/>
    <w:rsid w:val="00F128F4"/>
    <w:rsid w:val="00F12934"/>
    <w:rsid w:val="00F1295A"/>
    <w:rsid w:val="00F12993"/>
    <w:rsid w:val="00F129FF"/>
    <w:rsid w:val="00F12AD0"/>
    <w:rsid w:val="00F12AF4"/>
    <w:rsid w:val="00F12B11"/>
    <w:rsid w:val="00F12B64"/>
    <w:rsid w:val="00F12B81"/>
    <w:rsid w:val="00F12B82"/>
    <w:rsid w:val="00F12C1B"/>
    <w:rsid w:val="00F12C2C"/>
    <w:rsid w:val="00F12CC0"/>
    <w:rsid w:val="00F12CFC"/>
    <w:rsid w:val="00F12D5C"/>
    <w:rsid w:val="00F12D6A"/>
    <w:rsid w:val="00F12D96"/>
    <w:rsid w:val="00F12DA3"/>
    <w:rsid w:val="00F12DA5"/>
    <w:rsid w:val="00F12DD1"/>
    <w:rsid w:val="00F12DF1"/>
    <w:rsid w:val="00F12DF4"/>
    <w:rsid w:val="00F12E10"/>
    <w:rsid w:val="00F12E72"/>
    <w:rsid w:val="00F12E9D"/>
    <w:rsid w:val="00F12EA9"/>
    <w:rsid w:val="00F12EBF"/>
    <w:rsid w:val="00F12EE7"/>
    <w:rsid w:val="00F12F8F"/>
    <w:rsid w:val="00F13070"/>
    <w:rsid w:val="00F130C7"/>
    <w:rsid w:val="00F130CB"/>
    <w:rsid w:val="00F130FF"/>
    <w:rsid w:val="00F13126"/>
    <w:rsid w:val="00F13154"/>
    <w:rsid w:val="00F131D7"/>
    <w:rsid w:val="00F131DA"/>
    <w:rsid w:val="00F13200"/>
    <w:rsid w:val="00F13206"/>
    <w:rsid w:val="00F13212"/>
    <w:rsid w:val="00F13226"/>
    <w:rsid w:val="00F13266"/>
    <w:rsid w:val="00F1326F"/>
    <w:rsid w:val="00F132C6"/>
    <w:rsid w:val="00F132CA"/>
    <w:rsid w:val="00F13325"/>
    <w:rsid w:val="00F13331"/>
    <w:rsid w:val="00F13346"/>
    <w:rsid w:val="00F13414"/>
    <w:rsid w:val="00F1346C"/>
    <w:rsid w:val="00F134E1"/>
    <w:rsid w:val="00F134F0"/>
    <w:rsid w:val="00F1354F"/>
    <w:rsid w:val="00F13645"/>
    <w:rsid w:val="00F136DE"/>
    <w:rsid w:val="00F136F9"/>
    <w:rsid w:val="00F1378C"/>
    <w:rsid w:val="00F137B6"/>
    <w:rsid w:val="00F1381A"/>
    <w:rsid w:val="00F1383A"/>
    <w:rsid w:val="00F1384D"/>
    <w:rsid w:val="00F13866"/>
    <w:rsid w:val="00F13868"/>
    <w:rsid w:val="00F138D2"/>
    <w:rsid w:val="00F13960"/>
    <w:rsid w:val="00F139A3"/>
    <w:rsid w:val="00F139A5"/>
    <w:rsid w:val="00F139B3"/>
    <w:rsid w:val="00F139DE"/>
    <w:rsid w:val="00F139FB"/>
    <w:rsid w:val="00F13A77"/>
    <w:rsid w:val="00F13A8A"/>
    <w:rsid w:val="00F13AC1"/>
    <w:rsid w:val="00F13AC7"/>
    <w:rsid w:val="00F13AE6"/>
    <w:rsid w:val="00F13AE8"/>
    <w:rsid w:val="00F13B07"/>
    <w:rsid w:val="00F13B27"/>
    <w:rsid w:val="00F13B46"/>
    <w:rsid w:val="00F13B70"/>
    <w:rsid w:val="00F13B7C"/>
    <w:rsid w:val="00F13BA5"/>
    <w:rsid w:val="00F13BCB"/>
    <w:rsid w:val="00F13BDE"/>
    <w:rsid w:val="00F13C3E"/>
    <w:rsid w:val="00F13C68"/>
    <w:rsid w:val="00F13C83"/>
    <w:rsid w:val="00F13CA2"/>
    <w:rsid w:val="00F13CE2"/>
    <w:rsid w:val="00F13D0F"/>
    <w:rsid w:val="00F13D2B"/>
    <w:rsid w:val="00F13D62"/>
    <w:rsid w:val="00F13D87"/>
    <w:rsid w:val="00F13DE1"/>
    <w:rsid w:val="00F13E1E"/>
    <w:rsid w:val="00F13E38"/>
    <w:rsid w:val="00F13E43"/>
    <w:rsid w:val="00F13E6D"/>
    <w:rsid w:val="00F13E9C"/>
    <w:rsid w:val="00F13EC0"/>
    <w:rsid w:val="00F13EDC"/>
    <w:rsid w:val="00F13EED"/>
    <w:rsid w:val="00F13F4D"/>
    <w:rsid w:val="00F13F83"/>
    <w:rsid w:val="00F14001"/>
    <w:rsid w:val="00F1401D"/>
    <w:rsid w:val="00F1409C"/>
    <w:rsid w:val="00F140A2"/>
    <w:rsid w:val="00F140EE"/>
    <w:rsid w:val="00F1410B"/>
    <w:rsid w:val="00F1410C"/>
    <w:rsid w:val="00F14147"/>
    <w:rsid w:val="00F14153"/>
    <w:rsid w:val="00F14176"/>
    <w:rsid w:val="00F14283"/>
    <w:rsid w:val="00F14352"/>
    <w:rsid w:val="00F14360"/>
    <w:rsid w:val="00F1440F"/>
    <w:rsid w:val="00F14423"/>
    <w:rsid w:val="00F14543"/>
    <w:rsid w:val="00F14563"/>
    <w:rsid w:val="00F145CB"/>
    <w:rsid w:val="00F145D1"/>
    <w:rsid w:val="00F145E4"/>
    <w:rsid w:val="00F1465F"/>
    <w:rsid w:val="00F1466E"/>
    <w:rsid w:val="00F1467C"/>
    <w:rsid w:val="00F146DC"/>
    <w:rsid w:val="00F146E5"/>
    <w:rsid w:val="00F14710"/>
    <w:rsid w:val="00F14799"/>
    <w:rsid w:val="00F147AC"/>
    <w:rsid w:val="00F147B2"/>
    <w:rsid w:val="00F147C6"/>
    <w:rsid w:val="00F147FF"/>
    <w:rsid w:val="00F1483F"/>
    <w:rsid w:val="00F14882"/>
    <w:rsid w:val="00F148B9"/>
    <w:rsid w:val="00F148D1"/>
    <w:rsid w:val="00F148F5"/>
    <w:rsid w:val="00F14997"/>
    <w:rsid w:val="00F149C1"/>
    <w:rsid w:val="00F149D1"/>
    <w:rsid w:val="00F149E9"/>
    <w:rsid w:val="00F149F2"/>
    <w:rsid w:val="00F14A14"/>
    <w:rsid w:val="00F14A27"/>
    <w:rsid w:val="00F14AAA"/>
    <w:rsid w:val="00F14AB2"/>
    <w:rsid w:val="00F14AB3"/>
    <w:rsid w:val="00F14AE4"/>
    <w:rsid w:val="00F14B2F"/>
    <w:rsid w:val="00F14B4B"/>
    <w:rsid w:val="00F14B85"/>
    <w:rsid w:val="00F14B8C"/>
    <w:rsid w:val="00F14BA6"/>
    <w:rsid w:val="00F14BAF"/>
    <w:rsid w:val="00F14BB2"/>
    <w:rsid w:val="00F14C16"/>
    <w:rsid w:val="00F14C3F"/>
    <w:rsid w:val="00F14C4E"/>
    <w:rsid w:val="00F14C64"/>
    <w:rsid w:val="00F14CCE"/>
    <w:rsid w:val="00F14D0B"/>
    <w:rsid w:val="00F14D10"/>
    <w:rsid w:val="00F14D1A"/>
    <w:rsid w:val="00F14D24"/>
    <w:rsid w:val="00F14D72"/>
    <w:rsid w:val="00F14D7C"/>
    <w:rsid w:val="00F14DA7"/>
    <w:rsid w:val="00F14DE0"/>
    <w:rsid w:val="00F14E0A"/>
    <w:rsid w:val="00F14E7F"/>
    <w:rsid w:val="00F14E87"/>
    <w:rsid w:val="00F14EC2"/>
    <w:rsid w:val="00F14EDC"/>
    <w:rsid w:val="00F14EEA"/>
    <w:rsid w:val="00F14F2B"/>
    <w:rsid w:val="00F14F51"/>
    <w:rsid w:val="00F14F59"/>
    <w:rsid w:val="00F14F5D"/>
    <w:rsid w:val="00F14F6F"/>
    <w:rsid w:val="00F14F77"/>
    <w:rsid w:val="00F14F9E"/>
    <w:rsid w:val="00F15037"/>
    <w:rsid w:val="00F15065"/>
    <w:rsid w:val="00F150B1"/>
    <w:rsid w:val="00F1510D"/>
    <w:rsid w:val="00F1518B"/>
    <w:rsid w:val="00F151DF"/>
    <w:rsid w:val="00F151FC"/>
    <w:rsid w:val="00F15229"/>
    <w:rsid w:val="00F15359"/>
    <w:rsid w:val="00F1535B"/>
    <w:rsid w:val="00F153D0"/>
    <w:rsid w:val="00F153DA"/>
    <w:rsid w:val="00F153E4"/>
    <w:rsid w:val="00F1540E"/>
    <w:rsid w:val="00F15469"/>
    <w:rsid w:val="00F1546E"/>
    <w:rsid w:val="00F15485"/>
    <w:rsid w:val="00F154C3"/>
    <w:rsid w:val="00F15549"/>
    <w:rsid w:val="00F155A3"/>
    <w:rsid w:val="00F1560C"/>
    <w:rsid w:val="00F15627"/>
    <w:rsid w:val="00F156F0"/>
    <w:rsid w:val="00F156F7"/>
    <w:rsid w:val="00F1571F"/>
    <w:rsid w:val="00F1572C"/>
    <w:rsid w:val="00F15762"/>
    <w:rsid w:val="00F15774"/>
    <w:rsid w:val="00F157DA"/>
    <w:rsid w:val="00F157EC"/>
    <w:rsid w:val="00F15808"/>
    <w:rsid w:val="00F15823"/>
    <w:rsid w:val="00F15849"/>
    <w:rsid w:val="00F1584C"/>
    <w:rsid w:val="00F15893"/>
    <w:rsid w:val="00F158A9"/>
    <w:rsid w:val="00F158B4"/>
    <w:rsid w:val="00F158FF"/>
    <w:rsid w:val="00F15927"/>
    <w:rsid w:val="00F1593C"/>
    <w:rsid w:val="00F1595A"/>
    <w:rsid w:val="00F159F2"/>
    <w:rsid w:val="00F15A01"/>
    <w:rsid w:val="00F15A08"/>
    <w:rsid w:val="00F15A30"/>
    <w:rsid w:val="00F15ADA"/>
    <w:rsid w:val="00F15AE1"/>
    <w:rsid w:val="00F15B22"/>
    <w:rsid w:val="00F15B2C"/>
    <w:rsid w:val="00F15B59"/>
    <w:rsid w:val="00F15C0B"/>
    <w:rsid w:val="00F15C27"/>
    <w:rsid w:val="00F15C5F"/>
    <w:rsid w:val="00F15C98"/>
    <w:rsid w:val="00F15CCA"/>
    <w:rsid w:val="00F15D24"/>
    <w:rsid w:val="00F15E03"/>
    <w:rsid w:val="00F15E14"/>
    <w:rsid w:val="00F15E19"/>
    <w:rsid w:val="00F15E1D"/>
    <w:rsid w:val="00F15E2E"/>
    <w:rsid w:val="00F15E70"/>
    <w:rsid w:val="00F15EAE"/>
    <w:rsid w:val="00F15ECB"/>
    <w:rsid w:val="00F15EFB"/>
    <w:rsid w:val="00F15F1A"/>
    <w:rsid w:val="00F15F3F"/>
    <w:rsid w:val="00F15F54"/>
    <w:rsid w:val="00F15F59"/>
    <w:rsid w:val="00F15F60"/>
    <w:rsid w:val="00F15F76"/>
    <w:rsid w:val="00F15F7F"/>
    <w:rsid w:val="00F15FA8"/>
    <w:rsid w:val="00F15FB5"/>
    <w:rsid w:val="00F15FBD"/>
    <w:rsid w:val="00F15FC3"/>
    <w:rsid w:val="00F15FC8"/>
    <w:rsid w:val="00F1601D"/>
    <w:rsid w:val="00F1604B"/>
    <w:rsid w:val="00F160B8"/>
    <w:rsid w:val="00F160BC"/>
    <w:rsid w:val="00F160D2"/>
    <w:rsid w:val="00F1611C"/>
    <w:rsid w:val="00F1618E"/>
    <w:rsid w:val="00F161CA"/>
    <w:rsid w:val="00F161D7"/>
    <w:rsid w:val="00F161E8"/>
    <w:rsid w:val="00F161F8"/>
    <w:rsid w:val="00F162B1"/>
    <w:rsid w:val="00F162F1"/>
    <w:rsid w:val="00F16337"/>
    <w:rsid w:val="00F163D6"/>
    <w:rsid w:val="00F163E8"/>
    <w:rsid w:val="00F1640D"/>
    <w:rsid w:val="00F16422"/>
    <w:rsid w:val="00F16496"/>
    <w:rsid w:val="00F164A2"/>
    <w:rsid w:val="00F164AC"/>
    <w:rsid w:val="00F164B0"/>
    <w:rsid w:val="00F1653E"/>
    <w:rsid w:val="00F1656D"/>
    <w:rsid w:val="00F165EC"/>
    <w:rsid w:val="00F1660D"/>
    <w:rsid w:val="00F1662E"/>
    <w:rsid w:val="00F16664"/>
    <w:rsid w:val="00F166C8"/>
    <w:rsid w:val="00F166FE"/>
    <w:rsid w:val="00F16700"/>
    <w:rsid w:val="00F16703"/>
    <w:rsid w:val="00F1672F"/>
    <w:rsid w:val="00F167DE"/>
    <w:rsid w:val="00F16801"/>
    <w:rsid w:val="00F1683D"/>
    <w:rsid w:val="00F16883"/>
    <w:rsid w:val="00F1691C"/>
    <w:rsid w:val="00F1694A"/>
    <w:rsid w:val="00F1694D"/>
    <w:rsid w:val="00F169A2"/>
    <w:rsid w:val="00F16A12"/>
    <w:rsid w:val="00F16A64"/>
    <w:rsid w:val="00F16A6A"/>
    <w:rsid w:val="00F16AE6"/>
    <w:rsid w:val="00F16B49"/>
    <w:rsid w:val="00F16B55"/>
    <w:rsid w:val="00F16B8A"/>
    <w:rsid w:val="00F16BBE"/>
    <w:rsid w:val="00F16C18"/>
    <w:rsid w:val="00F16C2F"/>
    <w:rsid w:val="00F16C5B"/>
    <w:rsid w:val="00F16CE1"/>
    <w:rsid w:val="00F16CFE"/>
    <w:rsid w:val="00F16D2F"/>
    <w:rsid w:val="00F16D81"/>
    <w:rsid w:val="00F16D8E"/>
    <w:rsid w:val="00F16D9B"/>
    <w:rsid w:val="00F16E84"/>
    <w:rsid w:val="00F16ECA"/>
    <w:rsid w:val="00F16F97"/>
    <w:rsid w:val="00F16F98"/>
    <w:rsid w:val="00F170C6"/>
    <w:rsid w:val="00F170EC"/>
    <w:rsid w:val="00F17120"/>
    <w:rsid w:val="00F17127"/>
    <w:rsid w:val="00F171C1"/>
    <w:rsid w:val="00F1720F"/>
    <w:rsid w:val="00F17276"/>
    <w:rsid w:val="00F172D9"/>
    <w:rsid w:val="00F1731B"/>
    <w:rsid w:val="00F17320"/>
    <w:rsid w:val="00F1736B"/>
    <w:rsid w:val="00F1737D"/>
    <w:rsid w:val="00F173A4"/>
    <w:rsid w:val="00F173AE"/>
    <w:rsid w:val="00F173D6"/>
    <w:rsid w:val="00F173DF"/>
    <w:rsid w:val="00F173F4"/>
    <w:rsid w:val="00F1742A"/>
    <w:rsid w:val="00F1747A"/>
    <w:rsid w:val="00F17480"/>
    <w:rsid w:val="00F1752D"/>
    <w:rsid w:val="00F1758F"/>
    <w:rsid w:val="00F175C0"/>
    <w:rsid w:val="00F175F5"/>
    <w:rsid w:val="00F17607"/>
    <w:rsid w:val="00F17612"/>
    <w:rsid w:val="00F17626"/>
    <w:rsid w:val="00F17630"/>
    <w:rsid w:val="00F1765E"/>
    <w:rsid w:val="00F1771F"/>
    <w:rsid w:val="00F17732"/>
    <w:rsid w:val="00F17777"/>
    <w:rsid w:val="00F177D9"/>
    <w:rsid w:val="00F1787A"/>
    <w:rsid w:val="00F1787C"/>
    <w:rsid w:val="00F17887"/>
    <w:rsid w:val="00F178BA"/>
    <w:rsid w:val="00F1794A"/>
    <w:rsid w:val="00F17961"/>
    <w:rsid w:val="00F1797B"/>
    <w:rsid w:val="00F17A61"/>
    <w:rsid w:val="00F17AA8"/>
    <w:rsid w:val="00F17AB7"/>
    <w:rsid w:val="00F17AD6"/>
    <w:rsid w:val="00F17AEC"/>
    <w:rsid w:val="00F17B83"/>
    <w:rsid w:val="00F17BE6"/>
    <w:rsid w:val="00F17C1B"/>
    <w:rsid w:val="00F17C38"/>
    <w:rsid w:val="00F17CF5"/>
    <w:rsid w:val="00F17D12"/>
    <w:rsid w:val="00F17D7A"/>
    <w:rsid w:val="00F17E0E"/>
    <w:rsid w:val="00F17E40"/>
    <w:rsid w:val="00F17E55"/>
    <w:rsid w:val="00F17EA3"/>
    <w:rsid w:val="00F17EE2"/>
    <w:rsid w:val="00F17EED"/>
    <w:rsid w:val="00F17F23"/>
    <w:rsid w:val="00F17F96"/>
    <w:rsid w:val="00F17FD2"/>
    <w:rsid w:val="00F17FD5"/>
    <w:rsid w:val="00F17FD6"/>
    <w:rsid w:val="00F17FFC"/>
    <w:rsid w:val="00F2002D"/>
    <w:rsid w:val="00F20073"/>
    <w:rsid w:val="00F200DB"/>
    <w:rsid w:val="00F20106"/>
    <w:rsid w:val="00F2014B"/>
    <w:rsid w:val="00F2018E"/>
    <w:rsid w:val="00F20199"/>
    <w:rsid w:val="00F201F1"/>
    <w:rsid w:val="00F201FF"/>
    <w:rsid w:val="00F202C0"/>
    <w:rsid w:val="00F202EE"/>
    <w:rsid w:val="00F20311"/>
    <w:rsid w:val="00F20313"/>
    <w:rsid w:val="00F2037E"/>
    <w:rsid w:val="00F203DA"/>
    <w:rsid w:val="00F203E7"/>
    <w:rsid w:val="00F20414"/>
    <w:rsid w:val="00F20448"/>
    <w:rsid w:val="00F20453"/>
    <w:rsid w:val="00F20470"/>
    <w:rsid w:val="00F204AF"/>
    <w:rsid w:val="00F204F9"/>
    <w:rsid w:val="00F20550"/>
    <w:rsid w:val="00F20558"/>
    <w:rsid w:val="00F2057D"/>
    <w:rsid w:val="00F205DD"/>
    <w:rsid w:val="00F205E7"/>
    <w:rsid w:val="00F20616"/>
    <w:rsid w:val="00F2068B"/>
    <w:rsid w:val="00F206FD"/>
    <w:rsid w:val="00F20711"/>
    <w:rsid w:val="00F2075A"/>
    <w:rsid w:val="00F20794"/>
    <w:rsid w:val="00F20831"/>
    <w:rsid w:val="00F2084E"/>
    <w:rsid w:val="00F20857"/>
    <w:rsid w:val="00F20861"/>
    <w:rsid w:val="00F2086A"/>
    <w:rsid w:val="00F208C2"/>
    <w:rsid w:val="00F20980"/>
    <w:rsid w:val="00F20A7C"/>
    <w:rsid w:val="00F20AC4"/>
    <w:rsid w:val="00F20AC6"/>
    <w:rsid w:val="00F20B38"/>
    <w:rsid w:val="00F20CC1"/>
    <w:rsid w:val="00F20CC9"/>
    <w:rsid w:val="00F20D0A"/>
    <w:rsid w:val="00F20D33"/>
    <w:rsid w:val="00F20D68"/>
    <w:rsid w:val="00F20D6D"/>
    <w:rsid w:val="00F20E13"/>
    <w:rsid w:val="00F20E4D"/>
    <w:rsid w:val="00F20EEF"/>
    <w:rsid w:val="00F20F37"/>
    <w:rsid w:val="00F20F4F"/>
    <w:rsid w:val="00F20F5C"/>
    <w:rsid w:val="00F20FA7"/>
    <w:rsid w:val="00F20FC4"/>
    <w:rsid w:val="00F20FCD"/>
    <w:rsid w:val="00F2100E"/>
    <w:rsid w:val="00F2103A"/>
    <w:rsid w:val="00F21095"/>
    <w:rsid w:val="00F210B9"/>
    <w:rsid w:val="00F210C3"/>
    <w:rsid w:val="00F210C8"/>
    <w:rsid w:val="00F210CC"/>
    <w:rsid w:val="00F210F4"/>
    <w:rsid w:val="00F21110"/>
    <w:rsid w:val="00F2111F"/>
    <w:rsid w:val="00F2113B"/>
    <w:rsid w:val="00F211BC"/>
    <w:rsid w:val="00F211C7"/>
    <w:rsid w:val="00F211D6"/>
    <w:rsid w:val="00F21246"/>
    <w:rsid w:val="00F2127A"/>
    <w:rsid w:val="00F21281"/>
    <w:rsid w:val="00F212DF"/>
    <w:rsid w:val="00F21314"/>
    <w:rsid w:val="00F2134C"/>
    <w:rsid w:val="00F213D7"/>
    <w:rsid w:val="00F21417"/>
    <w:rsid w:val="00F2143A"/>
    <w:rsid w:val="00F2146A"/>
    <w:rsid w:val="00F21475"/>
    <w:rsid w:val="00F21479"/>
    <w:rsid w:val="00F21503"/>
    <w:rsid w:val="00F2154C"/>
    <w:rsid w:val="00F2155D"/>
    <w:rsid w:val="00F2157F"/>
    <w:rsid w:val="00F21599"/>
    <w:rsid w:val="00F215A6"/>
    <w:rsid w:val="00F216A7"/>
    <w:rsid w:val="00F216DF"/>
    <w:rsid w:val="00F216FF"/>
    <w:rsid w:val="00F2170F"/>
    <w:rsid w:val="00F2182E"/>
    <w:rsid w:val="00F2183A"/>
    <w:rsid w:val="00F2188A"/>
    <w:rsid w:val="00F2189D"/>
    <w:rsid w:val="00F218A8"/>
    <w:rsid w:val="00F218CE"/>
    <w:rsid w:val="00F21949"/>
    <w:rsid w:val="00F2194E"/>
    <w:rsid w:val="00F21978"/>
    <w:rsid w:val="00F219FC"/>
    <w:rsid w:val="00F21A2C"/>
    <w:rsid w:val="00F21A44"/>
    <w:rsid w:val="00F21A93"/>
    <w:rsid w:val="00F21ABC"/>
    <w:rsid w:val="00F21AC6"/>
    <w:rsid w:val="00F21AC9"/>
    <w:rsid w:val="00F21AF7"/>
    <w:rsid w:val="00F21B09"/>
    <w:rsid w:val="00F21B73"/>
    <w:rsid w:val="00F21BB2"/>
    <w:rsid w:val="00F21BCD"/>
    <w:rsid w:val="00F21C17"/>
    <w:rsid w:val="00F21C4E"/>
    <w:rsid w:val="00F21D13"/>
    <w:rsid w:val="00F21D74"/>
    <w:rsid w:val="00F21DB7"/>
    <w:rsid w:val="00F21DBE"/>
    <w:rsid w:val="00F21DFD"/>
    <w:rsid w:val="00F21E03"/>
    <w:rsid w:val="00F21E3A"/>
    <w:rsid w:val="00F21E64"/>
    <w:rsid w:val="00F21E8D"/>
    <w:rsid w:val="00F21EBE"/>
    <w:rsid w:val="00F21ED2"/>
    <w:rsid w:val="00F21F2C"/>
    <w:rsid w:val="00F21F9E"/>
    <w:rsid w:val="00F21FA4"/>
    <w:rsid w:val="00F21FC6"/>
    <w:rsid w:val="00F22044"/>
    <w:rsid w:val="00F22094"/>
    <w:rsid w:val="00F2210E"/>
    <w:rsid w:val="00F22150"/>
    <w:rsid w:val="00F22195"/>
    <w:rsid w:val="00F22197"/>
    <w:rsid w:val="00F22198"/>
    <w:rsid w:val="00F221D8"/>
    <w:rsid w:val="00F221F7"/>
    <w:rsid w:val="00F22269"/>
    <w:rsid w:val="00F22270"/>
    <w:rsid w:val="00F2227B"/>
    <w:rsid w:val="00F2227E"/>
    <w:rsid w:val="00F222AE"/>
    <w:rsid w:val="00F222D0"/>
    <w:rsid w:val="00F222E9"/>
    <w:rsid w:val="00F22367"/>
    <w:rsid w:val="00F223D6"/>
    <w:rsid w:val="00F2240D"/>
    <w:rsid w:val="00F22489"/>
    <w:rsid w:val="00F224C7"/>
    <w:rsid w:val="00F22503"/>
    <w:rsid w:val="00F2252B"/>
    <w:rsid w:val="00F225A0"/>
    <w:rsid w:val="00F225B3"/>
    <w:rsid w:val="00F22633"/>
    <w:rsid w:val="00F22664"/>
    <w:rsid w:val="00F2266F"/>
    <w:rsid w:val="00F226AB"/>
    <w:rsid w:val="00F226CA"/>
    <w:rsid w:val="00F226CC"/>
    <w:rsid w:val="00F22774"/>
    <w:rsid w:val="00F227AE"/>
    <w:rsid w:val="00F227B5"/>
    <w:rsid w:val="00F227CC"/>
    <w:rsid w:val="00F227ED"/>
    <w:rsid w:val="00F22813"/>
    <w:rsid w:val="00F22819"/>
    <w:rsid w:val="00F2282F"/>
    <w:rsid w:val="00F22835"/>
    <w:rsid w:val="00F2284E"/>
    <w:rsid w:val="00F22881"/>
    <w:rsid w:val="00F2289C"/>
    <w:rsid w:val="00F228AF"/>
    <w:rsid w:val="00F228CC"/>
    <w:rsid w:val="00F228F3"/>
    <w:rsid w:val="00F2291A"/>
    <w:rsid w:val="00F22965"/>
    <w:rsid w:val="00F229FD"/>
    <w:rsid w:val="00F229FE"/>
    <w:rsid w:val="00F22A1A"/>
    <w:rsid w:val="00F22A6D"/>
    <w:rsid w:val="00F22AEA"/>
    <w:rsid w:val="00F22B00"/>
    <w:rsid w:val="00F22B0A"/>
    <w:rsid w:val="00F22B2E"/>
    <w:rsid w:val="00F22B66"/>
    <w:rsid w:val="00F22BCA"/>
    <w:rsid w:val="00F22BDB"/>
    <w:rsid w:val="00F22C2D"/>
    <w:rsid w:val="00F22C36"/>
    <w:rsid w:val="00F22C59"/>
    <w:rsid w:val="00F22CCB"/>
    <w:rsid w:val="00F22D0E"/>
    <w:rsid w:val="00F22D53"/>
    <w:rsid w:val="00F22D66"/>
    <w:rsid w:val="00F22DC0"/>
    <w:rsid w:val="00F22DF3"/>
    <w:rsid w:val="00F22E10"/>
    <w:rsid w:val="00F22F85"/>
    <w:rsid w:val="00F22FAE"/>
    <w:rsid w:val="00F22FE0"/>
    <w:rsid w:val="00F22FFE"/>
    <w:rsid w:val="00F23021"/>
    <w:rsid w:val="00F230B6"/>
    <w:rsid w:val="00F230C7"/>
    <w:rsid w:val="00F230C9"/>
    <w:rsid w:val="00F2312B"/>
    <w:rsid w:val="00F23133"/>
    <w:rsid w:val="00F2313D"/>
    <w:rsid w:val="00F23179"/>
    <w:rsid w:val="00F231C3"/>
    <w:rsid w:val="00F231CF"/>
    <w:rsid w:val="00F23209"/>
    <w:rsid w:val="00F2328E"/>
    <w:rsid w:val="00F232C8"/>
    <w:rsid w:val="00F232D0"/>
    <w:rsid w:val="00F232D8"/>
    <w:rsid w:val="00F232D9"/>
    <w:rsid w:val="00F23309"/>
    <w:rsid w:val="00F23322"/>
    <w:rsid w:val="00F23382"/>
    <w:rsid w:val="00F233C4"/>
    <w:rsid w:val="00F233EF"/>
    <w:rsid w:val="00F2349D"/>
    <w:rsid w:val="00F234EC"/>
    <w:rsid w:val="00F234ED"/>
    <w:rsid w:val="00F23525"/>
    <w:rsid w:val="00F2355D"/>
    <w:rsid w:val="00F23575"/>
    <w:rsid w:val="00F235FA"/>
    <w:rsid w:val="00F2361C"/>
    <w:rsid w:val="00F2361E"/>
    <w:rsid w:val="00F23667"/>
    <w:rsid w:val="00F236E3"/>
    <w:rsid w:val="00F236EB"/>
    <w:rsid w:val="00F23770"/>
    <w:rsid w:val="00F23792"/>
    <w:rsid w:val="00F237AB"/>
    <w:rsid w:val="00F23846"/>
    <w:rsid w:val="00F2384B"/>
    <w:rsid w:val="00F23874"/>
    <w:rsid w:val="00F23884"/>
    <w:rsid w:val="00F23885"/>
    <w:rsid w:val="00F238A1"/>
    <w:rsid w:val="00F2395C"/>
    <w:rsid w:val="00F23964"/>
    <w:rsid w:val="00F23992"/>
    <w:rsid w:val="00F239D4"/>
    <w:rsid w:val="00F239E5"/>
    <w:rsid w:val="00F23A01"/>
    <w:rsid w:val="00F23A08"/>
    <w:rsid w:val="00F23A4A"/>
    <w:rsid w:val="00F23A57"/>
    <w:rsid w:val="00F23B21"/>
    <w:rsid w:val="00F23B8B"/>
    <w:rsid w:val="00F23BB3"/>
    <w:rsid w:val="00F23BE0"/>
    <w:rsid w:val="00F23BE9"/>
    <w:rsid w:val="00F23BF9"/>
    <w:rsid w:val="00F23C81"/>
    <w:rsid w:val="00F23CD8"/>
    <w:rsid w:val="00F23CE1"/>
    <w:rsid w:val="00F23CE3"/>
    <w:rsid w:val="00F23D07"/>
    <w:rsid w:val="00F23D2D"/>
    <w:rsid w:val="00F23D87"/>
    <w:rsid w:val="00F23D93"/>
    <w:rsid w:val="00F23E50"/>
    <w:rsid w:val="00F23E5A"/>
    <w:rsid w:val="00F23F36"/>
    <w:rsid w:val="00F23F59"/>
    <w:rsid w:val="00F23F70"/>
    <w:rsid w:val="00F23F80"/>
    <w:rsid w:val="00F23F98"/>
    <w:rsid w:val="00F23F9D"/>
    <w:rsid w:val="00F24009"/>
    <w:rsid w:val="00F24071"/>
    <w:rsid w:val="00F24083"/>
    <w:rsid w:val="00F24098"/>
    <w:rsid w:val="00F240A6"/>
    <w:rsid w:val="00F240B9"/>
    <w:rsid w:val="00F24189"/>
    <w:rsid w:val="00F241D3"/>
    <w:rsid w:val="00F24284"/>
    <w:rsid w:val="00F2432F"/>
    <w:rsid w:val="00F243A8"/>
    <w:rsid w:val="00F243AD"/>
    <w:rsid w:val="00F243B3"/>
    <w:rsid w:val="00F243B4"/>
    <w:rsid w:val="00F2440D"/>
    <w:rsid w:val="00F2440F"/>
    <w:rsid w:val="00F24460"/>
    <w:rsid w:val="00F244BF"/>
    <w:rsid w:val="00F244FD"/>
    <w:rsid w:val="00F24500"/>
    <w:rsid w:val="00F24540"/>
    <w:rsid w:val="00F24570"/>
    <w:rsid w:val="00F245BA"/>
    <w:rsid w:val="00F24679"/>
    <w:rsid w:val="00F24689"/>
    <w:rsid w:val="00F246B8"/>
    <w:rsid w:val="00F246DB"/>
    <w:rsid w:val="00F2470A"/>
    <w:rsid w:val="00F24731"/>
    <w:rsid w:val="00F247CC"/>
    <w:rsid w:val="00F247E2"/>
    <w:rsid w:val="00F247E9"/>
    <w:rsid w:val="00F24852"/>
    <w:rsid w:val="00F2487B"/>
    <w:rsid w:val="00F24887"/>
    <w:rsid w:val="00F2489B"/>
    <w:rsid w:val="00F24984"/>
    <w:rsid w:val="00F249BC"/>
    <w:rsid w:val="00F24A3B"/>
    <w:rsid w:val="00F24A4A"/>
    <w:rsid w:val="00F24AC1"/>
    <w:rsid w:val="00F24ACA"/>
    <w:rsid w:val="00F24AE4"/>
    <w:rsid w:val="00F24AE8"/>
    <w:rsid w:val="00F24AF7"/>
    <w:rsid w:val="00F24B10"/>
    <w:rsid w:val="00F24B86"/>
    <w:rsid w:val="00F24BD7"/>
    <w:rsid w:val="00F24BEF"/>
    <w:rsid w:val="00F24C60"/>
    <w:rsid w:val="00F24C62"/>
    <w:rsid w:val="00F24C69"/>
    <w:rsid w:val="00F24C72"/>
    <w:rsid w:val="00F24C73"/>
    <w:rsid w:val="00F24C80"/>
    <w:rsid w:val="00F24CF9"/>
    <w:rsid w:val="00F24D0E"/>
    <w:rsid w:val="00F24D87"/>
    <w:rsid w:val="00F24D8D"/>
    <w:rsid w:val="00F24DA6"/>
    <w:rsid w:val="00F24DC6"/>
    <w:rsid w:val="00F24DD0"/>
    <w:rsid w:val="00F24DE8"/>
    <w:rsid w:val="00F24E27"/>
    <w:rsid w:val="00F24E2E"/>
    <w:rsid w:val="00F24E54"/>
    <w:rsid w:val="00F24E9C"/>
    <w:rsid w:val="00F24EF5"/>
    <w:rsid w:val="00F24F24"/>
    <w:rsid w:val="00F24F42"/>
    <w:rsid w:val="00F25031"/>
    <w:rsid w:val="00F25039"/>
    <w:rsid w:val="00F25074"/>
    <w:rsid w:val="00F2510E"/>
    <w:rsid w:val="00F2512D"/>
    <w:rsid w:val="00F2518B"/>
    <w:rsid w:val="00F251A1"/>
    <w:rsid w:val="00F251AB"/>
    <w:rsid w:val="00F251D6"/>
    <w:rsid w:val="00F251EF"/>
    <w:rsid w:val="00F2520E"/>
    <w:rsid w:val="00F25238"/>
    <w:rsid w:val="00F2526B"/>
    <w:rsid w:val="00F252FF"/>
    <w:rsid w:val="00F25312"/>
    <w:rsid w:val="00F25314"/>
    <w:rsid w:val="00F2537D"/>
    <w:rsid w:val="00F25380"/>
    <w:rsid w:val="00F253D7"/>
    <w:rsid w:val="00F25408"/>
    <w:rsid w:val="00F2548E"/>
    <w:rsid w:val="00F25544"/>
    <w:rsid w:val="00F2556D"/>
    <w:rsid w:val="00F255E7"/>
    <w:rsid w:val="00F255E8"/>
    <w:rsid w:val="00F25623"/>
    <w:rsid w:val="00F2562A"/>
    <w:rsid w:val="00F25677"/>
    <w:rsid w:val="00F25695"/>
    <w:rsid w:val="00F256BB"/>
    <w:rsid w:val="00F256D3"/>
    <w:rsid w:val="00F256FC"/>
    <w:rsid w:val="00F256FE"/>
    <w:rsid w:val="00F2571E"/>
    <w:rsid w:val="00F25755"/>
    <w:rsid w:val="00F2575B"/>
    <w:rsid w:val="00F2575E"/>
    <w:rsid w:val="00F25775"/>
    <w:rsid w:val="00F2577D"/>
    <w:rsid w:val="00F25781"/>
    <w:rsid w:val="00F257D7"/>
    <w:rsid w:val="00F258CB"/>
    <w:rsid w:val="00F25912"/>
    <w:rsid w:val="00F25960"/>
    <w:rsid w:val="00F2596D"/>
    <w:rsid w:val="00F25A38"/>
    <w:rsid w:val="00F25B3C"/>
    <w:rsid w:val="00F25B69"/>
    <w:rsid w:val="00F25B92"/>
    <w:rsid w:val="00F25C13"/>
    <w:rsid w:val="00F25C65"/>
    <w:rsid w:val="00F25D2D"/>
    <w:rsid w:val="00F25D52"/>
    <w:rsid w:val="00F25D6D"/>
    <w:rsid w:val="00F25DA9"/>
    <w:rsid w:val="00F25DC2"/>
    <w:rsid w:val="00F25E14"/>
    <w:rsid w:val="00F25E1B"/>
    <w:rsid w:val="00F25E74"/>
    <w:rsid w:val="00F25ECC"/>
    <w:rsid w:val="00F25ED4"/>
    <w:rsid w:val="00F25F0E"/>
    <w:rsid w:val="00F25F62"/>
    <w:rsid w:val="00F25F6C"/>
    <w:rsid w:val="00F25F8A"/>
    <w:rsid w:val="00F25FB7"/>
    <w:rsid w:val="00F25FC0"/>
    <w:rsid w:val="00F2600A"/>
    <w:rsid w:val="00F2601F"/>
    <w:rsid w:val="00F26053"/>
    <w:rsid w:val="00F26054"/>
    <w:rsid w:val="00F260B9"/>
    <w:rsid w:val="00F260BB"/>
    <w:rsid w:val="00F261B7"/>
    <w:rsid w:val="00F261D2"/>
    <w:rsid w:val="00F261ED"/>
    <w:rsid w:val="00F261F8"/>
    <w:rsid w:val="00F2620F"/>
    <w:rsid w:val="00F262BD"/>
    <w:rsid w:val="00F262D4"/>
    <w:rsid w:val="00F26365"/>
    <w:rsid w:val="00F263BA"/>
    <w:rsid w:val="00F26421"/>
    <w:rsid w:val="00F26456"/>
    <w:rsid w:val="00F26480"/>
    <w:rsid w:val="00F26515"/>
    <w:rsid w:val="00F26527"/>
    <w:rsid w:val="00F2658F"/>
    <w:rsid w:val="00F2662A"/>
    <w:rsid w:val="00F26630"/>
    <w:rsid w:val="00F26643"/>
    <w:rsid w:val="00F26699"/>
    <w:rsid w:val="00F266B9"/>
    <w:rsid w:val="00F266E6"/>
    <w:rsid w:val="00F2670D"/>
    <w:rsid w:val="00F26775"/>
    <w:rsid w:val="00F26781"/>
    <w:rsid w:val="00F267CD"/>
    <w:rsid w:val="00F267EB"/>
    <w:rsid w:val="00F26829"/>
    <w:rsid w:val="00F268C6"/>
    <w:rsid w:val="00F268E4"/>
    <w:rsid w:val="00F2690D"/>
    <w:rsid w:val="00F269C0"/>
    <w:rsid w:val="00F269DE"/>
    <w:rsid w:val="00F269F5"/>
    <w:rsid w:val="00F26A07"/>
    <w:rsid w:val="00F26A10"/>
    <w:rsid w:val="00F26A20"/>
    <w:rsid w:val="00F26A59"/>
    <w:rsid w:val="00F26AFC"/>
    <w:rsid w:val="00F26B09"/>
    <w:rsid w:val="00F26B59"/>
    <w:rsid w:val="00F26BED"/>
    <w:rsid w:val="00F26BF2"/>
    <w:rsid w:val="00F26C18"/>
    <w:rsid w:val="00F26C28"/>
    <w:rsid w:val="00F26C41"/>
    <w:rsid w:val="00F26D4F"/>
    <w:rsid w:val="00F26D55"/>
    <w:rsid w:val="00F26DD3"/>
    <w:rsid w:val="00F26DD4"/>
    <w:rsid w:val="00F26DDC"/>
    <w:rsid w:val="00F26DEF"/>
    <w:rsid w:val="00F26E5B"/>
    <w:rsid w:val="00F26E83"/>
    <w:rsid w:val="00F26EC6"/>
    <w:rsid w:val="00F26EEF"/>
    <w:rsid w:val="00F26F34"/>
    <w:rsid w:val="00F26F62"/>
    <w:rsid w:val="00F26F6A"/>
    <w:rsid w:val="00F26FBA"/>
    <w:rsid w:val="00F27004"/>
    <w:rsid w:val="00F27055"/>
    <w:rsid w:val="00F270BA"/>
    <w:rsid w:val="00F270D2"/>
    <w:rsid w:val="00F270DB"/>
    <w:rsid w:val="00F270F3"/>
    <w:rsid w:val="00F2710A"/>
    <w:rsid w:val="00F2719B"/>
    <w:rsid w:val="00F271EA"/>
    <w:rsid w:val="00F27266"/>
    <w:rsid w:val="00F2727E"/>
    <w:rsid w:val="00F27306"/>
    <w:rsid w:val="00F27339"/>
    <w:rsid w:val="00F2734A"/>
    <w:rsid w:val="00F2738A"/>
    <w:rsid w:val="00F2738D"/>
    <w:rsid w:val="00F27401"/>
    <w:rsid w:val="00F2741D"/>
    <w:rsid w:val="00F2749B"/>
    <w:rsid w:val="00F274AE"/>
    <w:rsid w:val="00F27534"/>
    <w:rsid w:val="00F27536"/>
    <w:rsid w:val="00F27560"/>
    <w:rsid w:val="00F275CD"/>
    <w:rsid w:val="00F27630"/>
    <w:rsid w:val="00F276E6"/>
    <w:rsid w:val="00F27748"/>
    <w:rsid w:val="00F27765"/>
    <w:rsid w:val="00F277AC"/>
    <w:rsid w:val="00F277DD"/>
    <w:rsid w:val="00F2783C"/>
    <w:rsid w:val="00F2783D"/>
    <w:rsid w:val="00F2785D"/>
    <w:rsid w:val="00F27974"/>
    <w:rsid w:val="00F2797F"/>
    <w:rsid w:val="00F279A3"/>
    <w:rsid w:val="00F279F6"/>
    <w:rsid w:val="00F27A2F"/>
    <w:rsid w:val="00F27A30"/>
    <w:rsid w:val="00F27A6D"/>
    <w:rsid w:val="00F27A7F"/>
    <w:rsid w:val="00F27B15"/>
    <w:rsid w:val="00F27B3D"/>
    <w:rsid w:val="00F27B40"/>
    <w:rsid w:val="00F27BAB"/>
    <w:rsid w:val="00F27C3D"/>
    <w:rsid w:val="00F27C40"/>
    <w:rsid w:val="00F27C5E"/>
    <w:rsid w:val="00F27C6B"/>
    <w:rsid w:val="00F27CA1"/>
    <w:rsid w:val="00F27D9E"/>
    <w:rsid w:val="00F27DC4"/>
    <w:rsid w:val="00F27EE0"/>
    <w:rsid w:val="00F27EE3"/>
    <w:rsid w:val="00F27F05"/>
    <w:rsid w:val="00F27F80"/>
    <w:rsid w:val="00F27FAA"/>
    <w:rsid w:val="00F27FAE"/>
    <w:rsid w:val="00F27FC6"/>
    <w:rsid w:val="00F27FEC"/>
    <w:rsid w:val="00F27FF9"/>
    <w:rsid w:val="00F3000A"/>
    <w:rsid w:val="00F3000C"/>
    <w:rsid w:val="00F30039"/>
    <w:rsid w:val="00F300A0"/>
    <w:rsid w:val="00F30120"/>
    <w:rsid w:val="00F3013F"/>
    <w:rsid w:val="00F3015A"/>
    <w:rsid w:val="00F3015C"/>
    <w:rsid w:val="00F3017B"/>
    <w:rsid w:val="00F30206"/>
    <w:rsid w:val="00F3021B"/>
    <w:rsid w:val="00F3021F"/>
    <w:rsid w:val="00F30287"/>
    <w:rsid w:val="00F302DF"/>
    <w:rsid w:val="00F30320"/>
    <w:rsid w:val="00F303CD"/>
    <w:rsid w:val="00F303E4"/>
    <w:rsid w:val="00F30407"/>
    <w:rsid w:val="00F30445"/>
    <w:rsid w:val="00F30480"/>
    <w:rsid w:val="00F30483"/>
    <w:rsid w:val="00F304D9"/>
    <w:rsid w:val="00F3051A"/>
    <w:rsid w:val="00F30522"/>
    <w:rsid w:val="00F30548"/>
    <w:rsid w:val="00F30587"/>
    <w:rsid w:val="00F3058B"/>
    <w:rsid w:val="00F305DB"/>
    <w:rsid w:val="00F3062D"/>
    <w:rsid w:val="00F3062F"/>
    <w:rsid w:val="00F30645"/>
    <w:rsid w:val="00F30647"/>
    <w:rsid w:val="00F30652"/>
    <w:rsid w:val="00F30699"/>
    <w:rsid w:val="00F3069C"/>
    <w:rsid w:val="00F306C0"/>
    <w:rsid w:val="00F30702"/>
    <w:rsid w:val="00F30726"/>
    <w:rsid w:val="00F30738"/>
    <w:rsid w:val="00F30770"/>
    <w:rsid w:val="00F3078E"/>
    <w:rsid w:val="00F30798"/>
    <w:rsid w:val="00F30808"/>
    <w:rsid w:val="00F30829"/>
    <w:rsid w:val="00F3084C"/>
    <w:rsid w:val="00F3085D"/>
    <w:rsid w:val="00F3091D"/>
    <w:rsid w:val="00F30961"/>
    <w:rsid w:val="00F3096D"/>
    <w:rsid w:val="00F30A5D"/>
    <w:rsid w:val="00F30AC2"/>
    <w:rsid w:val="00F30AD3"/>
    <w:rsid w:val="00F30AEF"/>
    <w:rsid w:val="00F30B59"/>
    <w:rsid w:val="00F30B68"/>
    <w:rsid w:val="00F30B8B"/>
    <w:rsid w:val="00F30BB2"/>
    <w:rsid w:val="00F30BB3"/>
    <w:rsid w:val="00F30C06"/>
    <w:rsid w:val="00F30C70"/>
    <w:rsid w:val="00F30C75"/>
    <w:rsid w:val="00F30C9D"/>
    <w:rsid w:val="00F30CFC"/>
    <w:rsid w:val="00F30D0D"/>
    <w:rsid w:val="00F30DAA"/>
    <w:rsid w:val="00F30DBD"/>
    <w:rsid w:val="00F30DC9"/>
    <w:rsid w:val="00F30DF7"/>
    <w:rsid w:val="00F30DFC"/>
    <w:rsid w:val="00F30E43"/>
    <w:rsid w:val="00F30E75"/>
    <w:rsid w:val="00F30EC8"/>
    <w:rsid w:val="00F30EE0"/>
    <w:rsid w:val="00F30F1F"/>
    <w:rsid w:val="00F30FA0"/>
    <w:rsid w:val="00F30FB3"/>
    <w:rsid w:val="00F30FDB"/>
    <w:rsid w:val="00F30FF4"/>
    <w:rsid w:val="00F3102E"/>
    <w:rsid w:val="00F3105D"/>
    <w:rsid w:val="00F3115E"/>
    <w:rsid w:val="00F31169"/>
    <w:rsid w:val="00F311D2"/>
    <w:rsid w:val="00F31249"/>
    <w:rsid w:val="00F312EC"/>
    <w:rsid w:val="00F31303"/>
    <w:rsid w:val="00F313B9"/>
    <w:rsid w:val="00F313D5"/>
    <w:rsid w:val="00F314A1"/>
    <w:rsid w:val="00F314FF"/>
    <w:rsid w:val="00F31511"/>
    <w:rsid w:val="00F31519"/>
    <w:rsid w:val="00F31523"/>
    <w:rsid w:val="00F3153E"/>
    <w:rsid w:val="00F315A5"/>
    <w:rsid w:val="00F315DB"/>
    <w:rsid w:val="00F3160A"/>
    <w:rsid w:val="00F31645"/>
    <w:rsid w:val="00F31660"/>
    <w:rsid w:val="00F316A1"/>
    <w:rsid w:val="00F316D3"/>
    <w:rsid w:val="00F3170F"/>
    <w:rsid w:val="00F3173D"/>
    <w:rsid w:val="00F3173F"/>
    <w:rsid w:val="00F31755"/>
    <w:rsid w:val="00F317F7"/>
    <w:rsid w:val="00F3181F"/>
    <w:rsid w:val="00F3185D"/>
    <w:rsid w:val="00F31877"/>
    <w:rsid w:val="00F3189B"/>
    <w:rsid w:val="00F318AE"/>
    <w:rsid w:val="00F318B2"/>
    <w:rsid w:val="00F318BA"/>
    <w:rsid w:val="00F318FF"/>
    <w:rsid w:val="00F31914"/>
    <w:rsid w:val="00F31932"/>
    <w:rsid w:val="00F31962"/>
    <w:rsid w:val="00F31979"/>
    <w:rsid w:val="00F3197F"/>
    <w:rsid w:val="00F31A4B"/>
    <w:rsid w:val="00F31A8C"/>
    <w:rsid w:val="00F31AC6"/>
    <w:rsid w:val="00F31B7B"/>
    <w:rsid w:val="00F31B97"/>
    <w:rsid w:val="00F31BB3"/>
    <w:rsid w:val="00F31C70"/>
    <w:rsid w:val="00F31C87"/>
    <w:rsid w:val="00F31CDF"/>
    <w:rsid w:val="00F31D26"/>
    <w:rsid w:val="00F31D98"/>
    <w:rsid w:val="00F31DC7"/>
    <w:rsid w:val="00F31DCB"/>
    <w:rsid w:val="00F31E01"/>
    <w:rsid w:val="00F31E5D"/>
    <w:rsid w:val="00F31E7D"/>
    <w:rsid w:val="00F31EB7"/>
    <w:rsid w:val="00F31EBB"/>
    <w:rsid w:val="00F31ED4"/>
    <w:rsid w:val="00F31EE6"/>
    <w:rsid w:val="00F31F27"/>
    <w:rsid w:val="00F31F76"/>
    <w:rsid w:val="00F31F93"/>
    <w:rsid w:val="00F32055"/>
    <w:rsid w:val="00F3207E"/>
    <w:rsid w:val="00F32098"/>
    <w:rsid w:val="00F320BA"/>
    <w:rsid w:val="00F320C2"/>
    <w:rsid w:val="00F320F6"/>
    <w:rsid w:val="00F3211B"/>
    <w:rsid w:val="00F32149"/>
    <w:rsid w:val="00F3216C"/>
    <w:rsid w:val="00F3217A"/>
    <w:rsid w:val="00F321F1"/>
    <w:rsid w:val="00F32231"/>
    <w:rsid w:val="00F3225A"/>
    <w:rsid w:val="00F3225C"/>
    <w:rsid w:val="00F322BA"/>
    <w:rsid w:val="00F322D5"/>
    <w:rsid w:val="00F323C1"/>
    <w:rsid w:val="00F323DC"/>
    <w:rsid w:val="00F323FA"/>
    <w:rsid w:val="00F32408"/>
    <w:rsid w:val="00F32424"/>
    <w:rsid w:val="00F32453"/>
    <w:rsid w:val="00F32479"/>
    <w:rsid w:val="00F324F8"/>
    <w:rsid w:val="00F32515"/>
    <w:rsid w:val="00F32535"/>
    <w:rsid w:val="00F3258B"/>
    <w:rsid w:val="00F325D0"/>
    <w:rsid w:val="00F32609"/>
    <w:rsid w:val="00F3260D"/>
    <w:rsid w:val="00F326B0"/>
    <w:rsid w:val="00F3271B"/>
    <w:rsid w:val="00F3271E"/>
    <w:rsid w:val="00F327A3"/>
    <w:rsid w:val="00F32893"/>
    <w:rsid w:val="00F32954"/>
    <w:rsid w:val="00F32960"/>
    <w:rsid w:val="00F32993"/>
    <w:rsid w:val="00F329F4"/>
    <w:rsid w:val="00F32A2C"/>
    <w:rsid w:val="00F32A50"/>
    <w:rsid w:val="00F32A6E"/>
    <w:rsid w:val="00F32A85"/>
    <w:rsid w:val="00F32AC2"/>
    <w:rsid w:val="00F32ADD"/>
    <w:rsid w:val="00F32B00"/>
    <w:rsid w:val="00F32B93"/>
    <w:rsid w:val="00F32BAD"/>
    <w:rsid w:val="00F32BBD"/>
    <w:rsid w:val="00F32BC9"/>
    <w:rsid w:val="00F32C14"/>
    <w:rsid w:val="00F32C55"/>
    <w:rsid w:val="00F32C5C"/>
    <w:rsid w:val="00F32C90"/>
    <w:rsid w:val="00F32C9F"/>
    <w:rsid w:val="00F32CBF"/>
    <w:rsid w:val="00F32CC7"/>
    <w:rsid w:val="00F32D17"/>
    <w:rsid w:val="00F32D43"/>
    <w:rsid w:val="00F32D88"/>
    <w:rsid w:val="00F32DE1"/>
    <w:rsid w:val="00F32DEE"/>
    <w:rsid w:val="00F32E03"/>
    <w:rsid w:val="00F32EAF"/>
    <w:rsid w:val="00F32F11"/>
    <w:rsid w:val="00F32F57"/>
    <w:rsid w:val="00F32F7D"/>
    <w:rsid w:val="00F32FA6"/>
    <w:rsid w:val="00F32FB9"/>
    <w:rsid w:val="00F33014"/>
    <w:rsid w:val="00F33037"/>
    <w:rsid w:val="00F33067"/>
    <w:rsid w:val="00F33086"/>
    <w:rsid w:val="00F330B3"/>
    <w:rsid w:val="00F330D1"/>
    <w:rsid w:val="00F33163"/>
    <w:rsid w:val="00F33170"/>
    <w:rsid w:val="00F331A6"/>
    <w:rsid w:val="00F331C3"/>
    <w:rsid w:val="00F33215"/>
    <w:rsid w:val="00F3321B"/>
    <w:rsid w:val="00F33250"/>
    <w:rsid w:val="00F3325E"/>
    <w:rsid w:val="00F332B3"/>
    <w:rsid w:val="00F332F7"/>
    <w:rsid w:val="00F3330E"/>
    <w:rsid w:val="00F3331E"/>
    <w:rsid w:val="00F33341"/>
    <w:rsid w:val="00F3334B"/>
    <w:rsid w:val="00F333AF"/>
    <w:rsid w:val="00F333C2"/>
    <w:rsid w:val="00F333CC"/>
    <w:rsid w:val="00F33496"/>
    <w:rsid w:val="00F334AF"/>
    <w:rsid w:val="00F334B4"/>
    <w:rsid w:val="00F33517"/>
    <w:rsid w:val="00F33573"/>
    <w:rsid w:val="00F33579"/>
    <w:rsid w:val="00F3357D"/>
    <w:rsid w:val="00F33583"/>
    <w:rsid w:val="00F33592"/>
    <w:rsid w:val="00F335E7"/>
    <w:rsid w:val="00F335F2"/>
    <w:rsid w:val="00F3368A"/>
    <w:rsid w:val="00F33697"/>
    <w:rsid w:val="00F33715"/>
    <w:rsid w:val="00F337DD"/>
    <w:rsid w:val="00F33802"/>
    <w:rsid w:val="00F33865"/>
    <w:rsid w:val="00F33868"/>
    <w:rsid w:val="00F338A5"/>
    <w:rsid w:val="00F338AC"/>
    <w:rsid w:val="00F338B9"/>
    <w:rsid w:val="00F338BF"/>
    <w:rsid w:val="00F338CD"/>
    <w:rsid w:val="00F33961"/>
    <w:rsid w:val="00F3396F"/>
    <w:rsid w:val="00F339CD"/>
    <w:rsid w:val="00F339D0"/>
    <w:rsid w:val="00F33A21"/>
    <w:rsid w:val="00F33A42"/>
    <w:rsid w:val="00F33A4C"/>
    <w:rsid w:val="00F33A56"/>
    <w:rsid w:val="00F33AB4"/>
    <w:rsid w:val="00F33AFB"/>
    <w:rsid w:val="00F33B40"/>
    <w:rsid w:val="00F33BBB"/>
    <w:rsid w:val="00F33C5C"/>
    <w:rsid w:val="00F33CD1"/>
    <w:rsid w:val="00F33CDE"/>
    <w:rsid w:val="00F33D79"/>
    <w:rsid w:val="00F33D94"/>
    <w:rsid w:val="00F33DB1"/>
    <w:rsid w:val="00F33E00"/>
    <w:rsid w:val="00F33E21"/>
    <w:rsid w:val="00F33E7D"/>
    <w:rsid w:val="00F33E97"/>
    <w:rsid w:val="00F33EF1"/>
    <w:rsid w:val="00F33EFB"/>
    <w:rsid w:val="00F33F60"/>
    <w:rsid w:val="00F33F93"/>
    <w:rsid w:val="00F33FA6"/>
    <w:rsid w:val="00F33FAE"/>
    <w:rsid w:val="00F34040"/>
    <w:rsid w:val="00F340B4"/>
    <w:rsid w:val="00F341F0"/>
    <w:rsid w:val="00F34266"/>
    <w:rsid w:val="00F34290"/>
    <w:rsid w:val="00F342A8"/>
    <w:rsid w:val="00F342B4"/>
    <w:rsid w:val="00F34333"/>
    <w:rsid w:val="00F3435E"/>
    <w:rsid w:val="00F343EC"/>
    <w:rsid w:val="00F34408"/>
    <w:rsid w:val="00F34422"/>
    <w:rsid w:val="00F34489"/>
    <w:rsid w:val="00F3448A"/>
    <w:rsid w:val="00F344E9"/>
    <w:rsid w:val="00F34526"/>
    <w:rsid w:val="00F3458C"/>
    <w:rsid w:val="00F34599"/>
    <w:rsid w:val="00F34636"/>
    <w:rsid w:val="00F34640"/>
    <w:rsid w:val="00F3469E"/>
    <w:rsid w:val="00F34703"/>
    <w:rsid w:val="00F3473E"/>
    <w:rsid w:val="00F34746"/>
    <w:rsid w:val="00F347E8"/>
    <w:rsid w:val="00F347EE"/>
    <w:rsid w:val="00F347F4"/>
    <w:rsid w:val="00F347FE"/>
    <w:rsid w:val="00F34819"/>
    <w:rsid w:val="00F3485A"/>
    <w:rsid w:val="00F3486B"/>
    <w:rsid w:val="00F34871"/>
    <w:rsid w:val="00F348B7"/>
    <w:rsid w:val="00F348D1"/>
    <w:rsid w:val="00F348D5"/>
    <w:rsid w:val="00F34912"/>
    <w:rsid w:val="00F34953"/>
    <w:rsid w:val="00F34985"/>
    <w:rsid w:val="00F34995"/>
    <w:rsid w:val="00F3499A"/>
    <w:rsid w:val="00F34A45"/>
    <w:rsid w:val="00F34A6D"/>
    <w:rsid w:val="00F34A83"/>
    <w:rsid w:val="00F34ABC"/>
    <w:rsid w:val="00F34B58"/>
    <w:rsid w:val="00F34C2E"/>
    <w:rsid w:val="00F34C7D"/>
    <w:rsid w:val="00F34C81"/>
    <w:rsid w:val="00F34D00"/>
    <w:rsid w:val="00F34D05"/>
    <w:rsid w:val="00F34D0F"/>
    <w:rsid w:val="00F34D4A"/>
    <w:rsid w:val="00F34D7D"/>
    <w:rsid w:val="00F34DE1"/>
    <w:rsid w:val="00F34DFB"/>
    <w:rsid w:val="00F34E2A"/>
    <w:rsid w:val="00F34E61"/>
    <w:rsid w:val="00F34E68"/>
    <w:rsid w:val="00F34E69"/>
    <w:rsid w:val="00F34F27"/>
    <w:rsid w:val="00F34F5C"/>
    <w:rsid w:val="00F34FB4"/>
    <w:rsid w:val="00F34FC5"/>
    <w:rsid w:val="00F35019"/>
    <w:rsid w:val="00F350ED"/>
    <w:rsid w:val="00F351C2"/>
    <w:rsid w:val="00F351CE"/>
    <w:rsid w:val="00F35227"/>
    <w:rsid w:val="00F35257"/>
    <w:rsid w:val="00F352A3"/>
    <w:rsid w:val="00F352AF"/>
    <w:rsid w:val="00F352B7"/>
    <w:rsid w:val="00F352BC"/>
    <w:rsid w:val="00F352E2"/>
    <w:rsid w:val="00F35304"/>
    <w:rsid w:val="00F35329"/>
    <w:rsid w:val="00F35362"/>
    <w:rsid w:val="00F3537B"/>
    <w:rsid w:val="00F353B8"/>
    <w:rsid w:val="00F353BD"/>
    <w:rsid w:val="00F353C4"/>
    <w:rsid w:val="00F35457"/>
    <w:rsid w:val="00F35461"/>
    <w:rsid w:val="00F35463"/>
    <w:rsid w:val="00F35472"/>
    <w:rsid w:val="00F35490"/>
    <w:rsid w:val="00F35548"/>
    <w:rsid w:val="00F35563"/>
    <w:rsid w:val="00F3556C"/>
    <w:rsid w:val="00F3558A"/>
    <w:rsid w:val="00F3559D"/>
    <w:rsid w:val="00F355D9"/>
    <w:rsid w:val="00F3560B"/>
    <w:rsid w:val="00F3560D"/>
    <w:rsid w:val="00F35652"/>
    <w:rsid w:val="00F3566A"/>
    <w:rsid w:val="00F35671"/>
    <w:rsid w:val="00F356AA"/>
    <w:rsid w:val="00F356DB"/>
    <w:rsid w:val="00F356DD"/>
    <w:rsid w:val="00F356F1"/>
    <w:rsid w:val="00F3570A"/>
    <w:rsid w:val="00F35728"/>
    <w:rsid w:val="00F35732"/>
    <w:rsid w:val="00F3573A"/>
    <w:rsid w:val="00F35749"/>
    <w:rsid w:val="00F3577C"/>
    <w:rsid w:val="00F357A3"/>
    <w:rsid w:val="00F357B5"/>
    <w:rsid w:val="00F357F5"/>
    <w:rsid w:val="00F3580E"/>
    <w:rsid w:val="00F35838"/>
    <w:rsid w:val="00F35844"/>
    <w:rsid w:val="00F35847"/>
    <w:rsid w:val="00F35862"/>
    <w:rsid w:val="00F3586A"/>
    <w:rsid w:val="00F358D2"/>
    <w:rsid w:val="00F35937"/>
    <w:rsid w:val="00F35975"/>
    <w:rsid w:val="00F359C8"/>
    <w:rsid w:val="00F35A23"/>
    <w:rsid w:val="00F35A2A"/>
    <w:rsid w:val="00F35A66"/>
    <w:rsid w:val="00F35A7D"/>
    <w:rsid w:val="00F35A93"/>
    <w:rsid w:val="00F35AFA"/>
    <w:rsid w:val="00F35B14"/>
    <w:rsid w:val="00F35B1C"/>
    <w:rsid w:val="00F35B31"/>
    <w:rsid w:val="00F35B69"/>
    <w:rsid w:val="00F35B9C"/>
    <w:rsid w:val="00F35BEF"/>
    <w:rsid w:val="00F35C04"/>
    <w:rsid w:val="00F35C23"/>
    <w:rsid w:val="00F35CF2"/>
    <w:rsid w:val="00F35CFC"/>
    <w:rsid w:val="00F35D81"/>
    <w:rsid w:val="00F35DEE"/>
    <w:rsid w:val="00F35DF1"/>
    <w:rsid w:val="00F35E19"/>
    <w:rsid w:val="00F35E61"/>
    <w:rsid w:val="00F35EE9"/>
    <w:rsid w:val="00F35EEA"/>
    <w:rsid w:val="00F35F78"/>
    <w:rsid w:val="00F35F8C"/>
    <w:rsid w:val="00F35FA2"/>
    <w:rsid w:val="00F35FB3"/>
    <w:rsid w:val="00F3604E"/>
    <w:rsid w:val="00F360AE"/>
    <w:rsid w:val="00F360F4"/>
    <w:rsid w:val="00F36111"/>
    <w:rsid w:val="00F36197"/>
    <w:rsid w:val="00F36222"/>
    <w:rsid w:val="00F36248"/>
    <w:rsid w:val="00F3625C"/>
    <w:rsid w:val="00F3625E"/>
    <w:rsid w:val="00F3629B"/>
    <w:rsid w:val="00F362B4"/>
    <w:rsid w:val="00F362B6"/>
    <w:rsid w:val="00F362E6"/>
    <w:rsid w:val="00F36367"/>
    <w:rsid w:val="00F3636B"/>
    <w:rsid w:val="00F3637D"/>
    <w:rsid w:val="00F36383"/>
    <w:rsid w:val="00F363B6"/>
    <w:rsid w:val="00F36420"/>
    <w:rsid w:val="00F3649C"/>
    <w:rsid w:val="00F364DB"/>
    <w:rsid w:val="00F364E0"/>
    <w:rsid w:val="00F3657E"/>
    <w:rsid w:val="00F365CA"/>
    <w:rsid w:val="00F3662A"/>
    <w:rsid w:val="00F36692"/>
    <w:rsid w:val="00F366B8"/>
    <w:rsid w:val="00F366F0"/>
    <w:rsid w:val="00F36773"/>
    <w:rsid w:val="00F36789"/>
    <w:rsid w:val="00F36796"/>
    <w:rsid w:val="00F36809"/>
    <w:rsid w:val="00F3680B"/>
    <w:rsid w:val="00F3681E"/>
    <w:rsid w:val="00F3682E"/>
    <w:rsid w:val="00F36834"/>
    <w:rsid w:val="00F3687B"/>
    <w:rsid w:val="00F3689A"/>
    <w:rsid w:val="00F3689B"/>
    <w:rsid w:val="00F368D1"/>
    <w:rsid w:val="00F368E4"/>
    <w:rsid w:val="00F368EB"/>
    <w:rsid w:val="00F3694F"/>
    <w:rsid w:val="00F36979"/>
    <w:rsid w:val="00F369C2"/>
    <w:rsid w:val="00F369CD"/>
    <w:rsid w:val="00F369EA"/>
    <w:rsid w:val="00F36A16"/>
    <w:rsid w:val="00F36A25"/>
    <w:rsid w:val="00F36A6C"/>
    <w:rsid w:val="00F36ABB"/>
    <w:rsid w:val="00F36AC9"/>
    <w:rsid w:val="00F36B9B"/>
    <w:rsid w:val="00F36BCA"/>
    <w:rsid w:val="00F36BFF"/>
    <w:rsid w:val="00F36C06"/>
    <w:rsid w:val="00F36C07"/>
    <w:rsid w:val="00F36C6E"/>
    <w:rsid w:val="00F36D4A"/>
    <w:rsid w:val="00F36D4E"/>
    <w:rsid w:val="00F36D5A"/>
    <w:rsid w:val="00F36D8A"/>
    <w:rsid w:val="00F36D96"/>
    <w:rsid w:val="00F36DAB"/>
    <w:rsid w:val="00F36DC6"/>
    <w:rsid w:val="00F36DCE"/>
    <w:rsid w:val="00F36E47"/>
    <w:rsid w:val="00F36E65"/>
    <w:rsid w:val="00F36E67"/>
    <w:rsid w:val="00F36E9E"/>
    <w:rsid w:val="00F36EB7"/>
    <w:rsid w:val="00F36F0A"/>
    <w:rsid w:val="00F36F10"/>
    <w:rsid w:val="00F36F3B"/>
    <w:rsid w:val="00F36FE4"/>
    <w:rsid w:val="00F37034"/>
    <w:rsid w:val="00F37061"/>
    <w:rsid w:val="00F37091"/>
    <w:rsid w:val="00F370A7"/>
    <w:rsid w:val="00F3718E"/>
    <w:rsid w:val="00F37191"/>
    <w:rsid w:val="00F37192"/>
    <w:rsid w:val="00F371A1"/>
    <w:rsid w:val="00F37233"/>
    <w:rsid w:val="00F3724F"/>
    <w:rsid w:val="00F372C1"/>
    <w:rsid w:val="00F372F1"/>
    <w:rsid w:val="00F372F4"/>
    <w:rsid w:val="00F372F7"/>
    <w:rsid w:val="00F37312"/>
    <w:rsid w:val="00F37351"/>
    <w:rsid w:val="00F37392"/>
    <w:rsid w:val="00F373B4"/>
    <w:rsid w:val="00F373C5"/>
    <w:rsid w:val="00F374C4"/>
    <w:rsid w:val="00F37508"/>
    <w:rsid w:val="00F37515"/>
    <w:rsid w:val="00F37519"/>
    <w:rsid w:val="00F37534"/>
    <w:rsid w:val="00F3756D"/>
    <w:rsid w:val="00F3758F"/>
    <w:rsid w:val="00F375AD"/>
    <w:rsid w:val="00F3760E"/>
    <w:rsid w:val="00F37639"/>
    <w:rsid w:val="00F37666"/>
    <w:rsid w:val="00F376A4"/>
    <w:rsid w:val="00F376B9"/>
    <w:rsid w:val="00F377C4"/>
    <w:rsid w:val="00F3783A"/>
    <w:rsid w:val="00F3784C"/>
    <w:rsid w:val="00F3788D"/>
    <w:rsid w:val="00F378B5"/>
    <w:rsid w:val="00F378B6"/>
    <w:rsid w:val="00F378EF"/>
    <w:rsid w:val="00F378F2"/>
    <w:rsid w:val="00F3790B"/>
    <w:rsid w:val="00F37921"/>
    <w:rsid w:val="00F37959"/>
    <w:rsid w:val="00F37984"/>
    <w:rsid w:val="00F379AE"/>
    <w:rsid w:val="00F379B1"/>
    <w:rsid w:val="00F379E1"/>
    <w:rsid w:val="00F379EA"/>
    <w:rsid w:val="00F37A0D"/>
    <w:rsid w:val="00F37A18"/>
    <w:rsid w:val="00F37A37"/>
    <w:rsid w:val="00F37A8A"/>
    <w:rsid w:val="00F37AAD"/>
    <w:rsid w:val="00F37ACC"/>
    <w:rsid w:val="00F37AD7"/>
    <w:rsid w:val="00F37AE9"/>
    <w:rsid w:val="00F37AFE"/>
    <w:rsid w:val="00F37B16"/>
    <w:rsid w:val="00F37B28"/>
    <w:rsid w:val="00F37B49"/>
    <w:rsid w:val="00F37C11"/>
    <w:rsid w:val="00F37C2E"/>
    <w:rsid w:val="00F37CAB"/>
    <w:rsid w:val="00F37CAC"/>
    <w:rsid w:val="00F37CD9"/>
    <w:rsid w:val="00F37D02"/>
    <w:rsid w:val="00F37D17"/>
    <w:rsid w:val="00F37D34"/>
    <w:rsid w:val="00F37D6C"/>
    <w:rsid w:val="00F37DDF"/>
    <w:rsid w:val="00F37EC6"/>
    <w:rsid w:val="00F37F2B"/>
    <w:rsid w:val="00F37F86"/>
    <w:rsid w:val="00F37F89"/>
    <w:rsid w:val="00F37FA6"/>
    <w:rsid w:val="00F37FDC"/>
    <w:rsid w:val="00F37FE1"/>
    <w:rsid w:val="00F40013"/>
    <w:rsid w:val="00F400BD"/>
    <w:rsid w:val="00F400E2"/>
    <w:rsid w:val="00F40105"/>
    <w:rsid w:val="00F4016B"/>
    <w:rsid w:val="00F401CC"/>
    <w:rsid w:val="00F401F2"/>
    <w:rsid w:val="00F40204"/>
    <w:rsid w:val="00F40211"/>
    <w:rsid w:val="00F40250"/>
    <w:rsid w:val="00F402AA"/>
    <w:rsid w:val="00F402F9"/>
    <w:rsid w:val="00F402FE"/>
    <w:rsid w:val="00F40321"/>
    <w:rsid w:val="00F40329"/>
    <w:rsid w:val="00F40341"/>
    <w:rsid w:val="00F4037B"/>
    <w:rsid w:val="00F40380"/>
    <w:rsid w:val="00F403FE"/>
    <w:rsid w:val="00F40401"/>
    <w:rsid w:val="00F4043D"/>
    <w:rsid w:val="00F40463"/>
    <w:rsid w:val="00F4046F"/>
    <w:rsid w:val="00F40486"/>
    <w:rsid w:val="00F404AB"/>
    <w:rsid w:val="00F404D7"/>
    <w:rsid w:val="00F404DE"/>
    <w:rsid w:val="00F405BC"/>
    <w:rsid w:val="00F405F1"/>
    <w:rsid w:val="00F4061F"/>
    <w:rsid w:val="00F4064A"/>
    <w:rsid w:val="00F406AD"/>
    <w:rsid w:val="00F406C7"/>
    <w:rsid w:val="00F406CB"/>
    <w:rsid w:val="00F406F9"/>
    <w:rsid w:val="00F40701"/>
    <w:rsid w:val="00F40794"/>
    <w:rsid w:val="00F40798"/>
    <w:rsid w:val="00F407FB"/>
    <w:rsid w:val="00F40843"/>
    <w:rsid w:val="00F40886"/>
    <w:rsid w:val="00F40898"/>
    <w:rsid w:val="00F409F6"/>
    <w:rsid w:val="00F40A03"/>
    <w:rsid w:val="00F40A23"/>
    <w:rsid w:val="00F40A47"/>
    <w:rsid w:val="00F40A57"/>
    <w:rsid w:val="00F40AD1"/>
    <w:rsid w:val="00F40B09"/>
    <w:rsid w:val="00F40B3B"/>
    <w:rsid w:val="00F40B75"/>
    <w:rsid w:val="00F40BA6"/>
    <w:rsid w:val="00F40BBC"/>
    <w:rsid w:val="00F40BD4"/>
    <w:rsid w:val="00F40BE5"/>
    <w:rsid w:val="00F40C27"/>
    <w:rsid w:val="00F40C9B"/>
    <w:rsid w:val="00F40CD9"/>
    <w:rsid w:val="00F40D38"/>
    <w:rsid w:val="00F40D5A"/>
    <w:rsid w:val="00F40D7D"/>
    <w:rsid w:val="00F40D95"/>
    <w:rsid w:val="00F40D9E"/>
    <w:rsid w:val="00F40DA8"/>
    <w:rsid w:val="00F40DFD"/>
    <w:rsid w:val="00F40E03"/>
    <w:rsid w:val="00F40E5B"/>
    <w:rsid w:val="00F40E6D"/>
    <w:rsid w:val="00F40ED1"/>
    <w:rsid w:val="00F40EE8"/>
    <w:rsid w:val="00F40EEE"/>
    <w:rsid w:val="00F40F07"/>
    <w:rsid w:val="00F40F61"/>
    <w:rsid w:val="00F40F7E"/>
    <w:rsid w:val="00F40F9C"/>
    <w:rsid w:val="00F40FFC"/>
    <w:rsid w:val="00F41005"/>
    <w:rsid w:val="00F4100E"/>
    <w:rsid w:val="00F4104A"/>
    <w:rsid w:val="00F41079"/>
    <w:rsid w:val="00F4109D"/>
    <w:rsid w:val="00F410B1"/>
    <w:rsid w:val="00F410CD"/>
    <w:rsid w:val="00F410DA"/>
    <w:rsid w:val="00F411BA"/>
    <w:rsid w:val="00F411CA"/>
    <w:rsid w:val="00F411E2"/>
    <w:rsid w:val="00F41214"/>
    <w:rsid w:val="00F4121E"/>
    <w:rsid w:val="00F4125A"/>
    <w:rsid w:val="00F4126C"/>
    <w:rsid w:val="00F41270"/>
    <w:rsid w:val="00F412AE"/>
    <w:rsid w:val="00F412E9"/>
    <w:rsid w:val="00F41311"/>
    <w:rsid w:val="00F41312"/>
    <w:rsid w:val="00F4131F"/>
    <w:rsid w:val="00F41349"/>
    <w:rsid w:val="00F41377"/>
    <w:rsid w:val="00F41386"/>
    <w:rsid w:val="00F4138F"/>
    <w:rsid w:val="00F4139C"/>
    <w:rsid w:val="00F4141A"/>
    <w:rsid w:val="00F4141D"/>
    <w:rsid w:val="00F4142C"/>
    <w:rsid w:val="00F414B8"/>
    <w:rsid w:val="00F4150C"/>
    <w:rsid w:val="00F41553"/>
    <w:rsid w:val="00F41606"/>
    <w:rsid w:val="00F41615"/>
    <w:rsid w:val="00F41629"/>
    <w:rsid w:val="00F4166B"/>
    <w:rsid w:val="00F41727"/>
    <w:rsid w:val="00F41744"/>
    <w:rsid w:val="00F4176D"/>
    <w:rsid w:val="00F417A0"/>
    <w:rsid w:val="00F417C2"/>
    <w:rsid w:val="00F41802"/>
    <w:rsid w:val="00F41888"/>
    <w:rsid w:val="00F418E2"/>
    <w:rsid w:val="00F418F7"/>
    <w:rsid w:val="00F41904"/>
    <w:rsid w:val="00F41920"/>
    <w:rsid w:val="00F419C7"/>
    <w:rsid w:val="00F41A25"/>
    <w:rsid w:val="00F41A2B"/>
    <w:rsid w:val="00F41A3C"/>
    <w:rsid w:val="00F41AB9"/>
    <w:rsid w:val="00F41ABD"/>
    <w:rsid w:val="00F41AC8"/>
    <w:rsid w:val="00F41AEC"/>
    <w:rsid w:val="00F41B78"/>
    <w:rsid w:val="00F41B85"/>
    <w:rsid w:val="00F41B88"/>
    <w:rsid w:val="00F41BAA"/>
    <w:rsid w:val="00F41BD8"/>
    <w:rsid w:val="00F41C48"/>
    <w:rsid w:val="00F41C59"/>
    <w:rsid w:val="00F41C95"/>
    <w:rsid w:val="00F41CFE"/>
    <w:rsid w:val="00F41D5C"/>
    <w:rsid w:val="00F41D90"/>
    <w:rsid w:val="00F41DD3"/>
    <w:rsid w:val="00F41E02"/>
    <w:rsid w:val="00F41E08"/>
    <w:rsid w:val="00F41EED"/>
    <w:rsid w:val="00F41F25"/>
    <w:rsid w:val="00F41F3D"/>
    <w:rsid w:val="00F41FD8"/>
    <w:rsid w:val="00F41FE7"/>
    <w:rsid w:val="00F41FFD"/>
    <w:rsid w:val="00F42054"/>
    <w:rsid w:val="00F42059"/>
    <w:rsid w:val="00F42102"/>
    <w:rsid w:val="00F4210C"/>
    <w:rsid w:val="00F42120"/>
    <w:rsid w:val="00F42168"/>
    <w:rsid w:val="00F42169"/>
    <w:rsid w:val="00F4219C"/>
    <w:rsid w:val="00F421DE"/>
    <w:rsid w:val="00F42254"/>
    <w:rsid w:val="00F422C7"/>
    <w:rsid w:val="00F422D4"/>
    <w:rsid w:val="00F422DC"/>
    <w:rsid w:val="00F4235F"/>
    <w:rsid w:val="00F42375"/>
    <w:rsid w:val="00F42381"/>
    <w:rsid w:val="00F4239A"/>
    <w:rsid w:val="00F423E0"/>
    <w:rsid w:val="00F423FB"/>
    <w:rsid w:val="00F4241B"/>
    <w:rsid w:val="00F42447"/>
    <w:rsid w:val="00F42463"/>
    <w:rsid w:val="00F4246E"/>
    <w:rsid w:val="00F42487"/>
    <w:rsid w:val="00F424A8"/>
    <w:rsid w:val="00F424CA"/>
    <w:rsid w:val="00F4253E"/>
    <w:rsid w:val="00F42569"/>
    <w:rsid w:val="00F425D2"/>
    <w:rsid w:val="00F42619"/>
    <w:rsid w:val="00F4263E"/>
    <w:rsid w:val="00F4268E"/>
    <w:rsid w:val="00F426A7"/>
    <w:rsid w:val="00F426B2"/>
    <w:rsid w:val="00F426B9"/>
    <w:rsid w:val="00F42710"/>
    <w:rsid w:val="00F42757"/>
    <w:rsid w:val="00F4277E"/>
    <w:rsid w:val="00F427AF"/>
    <w:rsid w:val="00F427CF"/>
    <w:rsid w:val="00F427D7"/>
    <w:rsid w:val="00F427E1"/>
    <w:rsid w:val="00F42812"/>
    <w:rsid w:val="00F42818"/>
    <w:rsid w:val="00F428B1"/>
    <w:rsid w:val="00F428E8"/>
    <w:rsid w:val="00F42910"/>
    <w:rsid w:val="00F4292A"/>
    <w:rsid w:val="00F42981"/>
    <w:rsid w:val="00F4298E"/>
    <w:rsid w:val="00F429F1"/>
    <w:rsid w:val="00F42A67"/>
    <w:rsid w:val="00F42B70"/>
    <w:rsid w:val="00F42BFB"/>
    <w:rsid w:val="00F42C2D"/>
    <w:rsid w:val="00F42C95"/>
    <w:rsid w:val="00F42CA8"/>
    <w:rsid w:val="00F42CB4"/>
    <w:rsid w:val="00F42D02"/>
    <w:rsid w:val="00F42D5E"/>
    <w:rsid w:val="00F42DC4"/>
    <w:rsid w:val="00F42DE1"/>
    <w:rsid w:val="00F42E61"/>
    <w:rsid w:val="00F42E84"/>
    <w:rsid w:val="00F42EF9"/>
    <w:rsid w:val="00F42F24"/>
    <w:rsid w:val="00F4309B"/>
    <w:rsid w:val="00F430A5"/>
    <w:rsid w:val="00F430CA"/>
    <w:rsid w:val="00F430DF"/>
    <w:rsid w:val="00F430E7"/>
    <w:rsid w:val="00F430EA"/>
    <w:rsid w:val="00F43148"/>
    <w:rsid w:val="00F431E2"/>
    <w:rsid w:val="00F431EC"/>
    <w:rsid w:val="00F43207"/>
    <w:rsid w:val="00F4323D"/>
    <w:rsid w:val="00F432AF"/>
    <w:rsid w:val="00F432CD"/>
    <w:rsid w:val="00F43367"/>
    <w:rsid w:val="00F4336B"/>
    <w:rsid w:val="00F433F0"/>
    <w:rsid w:val="00F43441"/>
    <w:rsid w:val="00F43445"/>
    <w:rsid w:val="00F43464"/>
    <w:rsid w:val="00F43470"/>
    <w:rsid w:val="00F43474"/>
    <w:rsid w:val="00F434D1"/>
    <w:rsid w:val="00F435C3"/>
    <w:rsid w:val="00F4360E"/>
    <w:rsid w:val="00F43624"/>
    <w:rsid w:val="00F43635"/>
    <w:rsid w:val="00F43674"/>
    <w:rsid w:val="00F436AA"/>
    <w:rsid w:val="00F436BC"/>
    <w:rsid w:val="00F436D1"/>
    <w:rsid w:val="00F43731"/>
    <w:rsid w:val="00F4373C"/>
    <w:rsid w:val="00F4374B"/>
    <w:rsid w:val="00F437E9"/>
    <w:rsid w:val="00F4380A"/>
    <w:rsid w:val="00F43858"/>
    <w:rsid w:val="00F43891"/>
    <w:rsid w:val="00F43959"/>
    <w:rsid w:val="00F43962"/>
    <w:rsid w:val="00F439A2"/>
    <w:rsid w:val="00F439B6"/>
    <w:rsid w:val="00F43A38"/>
    <w:rsid w:val="00F43A4B"/>
    <w:rsid w:val="00F43AED"/>
    <w:rsid w:val="00F43AEE"/>
    <w:rsid w:val="00F43AFC"/>
    <w:rsid w:val="00F43B05"/>
    <w:rsid w:val="00F43B1B"/>
    <w:rsid w:val="00F43B1C"/>
    <w:rsid w:val="00F43B1D"/>
    <w:rsid w:val="00F43B95"/>
    <w:rsid w:val="00F43BD8"/>
    <w:rsid w:val="00F43BE3"/>
    <w:rsid w:val="00F43C08"/>
    <w:rsid w:val="00F43C3E"/>
    <w:rsid w:val="00F43CE3"/>
    <w:rsid w:val="00F43D0D"/>
    <w:rsid w:val="00F43D10"/>
    <w:rsid w:val="00F43D31"/>
    <w:rsid w:val="00F43D57"/>
    <w:rsid w:val="00F43DDC"/>
    <w:rsid w:val="00F43E4F"/>
    <w:rsid w:val="00F43E61"/>
    <w:rsid w:val="00F43EEE"/>
    <w:rsid w:val="00F43F3E"/>
    <w:rsid w:val="00F43F51"/>
    <w:rsid w:val="00F43F52"/>
    <w:rsid w:val="00F43F84"/>
    <w:rsid w:val="00F43FDD"/>
    <w:rsid w:val="00F44022"/>
    <w:rsid w:val="00F4404C"/>
    <w:rsid w:val="00F440AA"/>
    <w:rsid w:val="00F44138"/>
    <w:rsid w:val="00F44199"/>
    <w:rsid w:val="00F441B6"/>
    <w:rsid w:val="00F441F3"/>
    <w:rsid w:val="00F44271"/>
    <w:rsid w:val="00F4429B"/>
    <w:rsid w:val="00F442A4"/>
    <w:rsid w:val="00F442B8"/>
    <w:rsid w:val="00F442F6"/>
    <w:rsid w:val="00F44337"/>
    <w:rsid w:val="00F4434D"/>
    <w:rsid w:val="00F443A8"/>
    <w:rsid w:val="00F443E3"/>
    <w:rsid w:val="00F443EE"/>
    <w:rsid w:val="00F44416"/>
    <w:rsid w:val="00F44435"/>
    <w:rsid w:val="00F4445B"/>
    <w:rsid w:val="00F44512"/>
    <w:rsid w:val="00F4452E"/>
    <w:rsid w:val="00F4454F"/>
    <w:rsid w:val="00F44554"/>
    <w:rsid w:val="00F445CE"/>
    <w:rsid w:val="00F445D5"/>
    <w:rsid w:val="00F445F1"/>
    <w:rsid w:val="00F44613"/>
    <w:rsid w:val="00F44623"/>
    <w:rsid w:val="00F44696"/>
    <w:rsid w:val="00F446DB"/>
    <w:rsid w:val="00F44719"/>
    <w:rsid w:val="00F44738"/>
    <w:rsid w:val="00F4475F"/>
    <w:rsid w:val="00F447DA"/>
    <w:rsid w:val="00F447E0"/>
    <w:rsid w:val="00F4480A"/>
    <w:rsid w:val="00F44825"/>
    <w:rsid w:val="00F4482F"/>
    <w:rsid w:val="00F4485A"/>
    <w:rsid w:val="00F44918"/>
    <w:rsid w:val="00F4492E"/>
    <w:rsid w:val="00F449A9"/>
    <w:rsid w:val="00F449F8"/>
    <w:rsid w:val="00F44A0C"/>
    <w:rsid w:val="00F44A56"/>
    <w:rsid w:val="00F44B87"/>
    <w:rsid w:val="00F44BA4"/>
    <w:rsid w:val="00F44C20"/>
    <w:rsid w:val="00F44C3D"/>
    <w:rsid w:val="00F44C4A"/>
    <w:rsid w:val="00F44C93"/>
    <w:rsid w:val="00F44CAC"/>
    <w:rsid w:val="00F44CB2"/>
    <w:rsid w:val="00F44CB3"/>
    <w:rsid w:val="00F44CBD"/>
    <w:rsid w:val="00F44D0D"/>
    <w:rsid w:val="00F44DC3"/>
    <w:rsid w:val="00F44DDC"/>
    <w:rsid w:val="00F44DE6"/>
    <w:rsid w:val="00F44E3C"/>
    <w:rsid w:val="00F44E97"/>
    <w:rsid w:val="00F44EB3"/>
    <w:rsid w:val="00F44EC8"/>
    <w:rsid w:val="00F44ECD"/>
    <w:rsid w:val="00F44EDC"/>
    <w:rsid w:val="00F44F18"/>
    <w:rsid w:val="00F44F29"/>
    <w:rsid w:val="00F44F77"/>
    <w:rsid w:val="00F44F7A"/>
    <w:rsid w:val="00F44F82"/>
    <w:rsid w:val="00F4505B"/>
    <w:rsid w:val="00F45086"/>
    <w:rsid w:val="00F450CC"/>
    <w:rsid w:val="00F4510A"/>
    <w:rsid w:val="00F4511E"/>
    <w:rsid w:val="00F4512C"/>
    <w:rsid w:val="00F4514A"/>
    <w:rsid w:val="00F4516F"/>
    <w:rsid w:val="00F45193"/>
    <w:rsid w:val="00F451A6"/>
    <w:rsid w:val="00F451C7"/>
    <w:rsid w:val="00F451EB"/>
    <w:rsid w:val="00F451F9"/>
    <w:rsid w:val="00F45203"/>
    <w:rsid w:val="00F45207"/>
    <w:rsid w:val="00F45234"/>
    <w:rsid w:val="00F4523F"/>
    <w:rsid w:val="00F4524D"/>
    <w:rsid w:val="00F45282"/>
    <w:rsid w:val="00F4529C"/>
    <w:rsid w:val="00F452F9"/>
    <w:rsid w:val="00F45345"/>
    <w:rsid w:val="00F453AE"/>
    <w:rsid w:val="00F45434"/>
    <w:rsid w:val="00F454FB"/>
    <w:rsid w:val="00F45501"/>
    <w:rsid w:val="00F45517"/>
    <w:rsid w:val="00F45519"/>
    <w:rsid w:val="00F4552A"/>
    <w:rsid w:val="00F45564"/>
    <w:rsid w:val="00F45565"/>
    <w:rsid w:val="00F4556C"/>
    <w:rsid w:val="00F455F0"/>
    <w:rsid w:val="00F45609"/>
    <w:rsid w:val="00F4560A"/>
    <w:rsid w:val="00F45621"/>
    <w:rsid w:val="00F45639"/>
    <w:rsid w:val="00F4563E"/>
    <w:rsid w:val="00F456C9"/>
    <w:rsid w:val="00F456CF"/>
    <w:rsid w:val="00F456D4"/>
    <w:rsid w:val="00F456E6"/>
    <w:rsid w:val="00F456FA"/>
    <w:rsid w:val="00F45781"/>
    <w:rsid w:val="00F4580E"/>
    <w:rsid w:val="00F4583B"/>
    <w:rsid w:val="00F458BB"/>
    <w:rsid w:val="00F4593B"/>
    <w:rsid w:val="00F4597B"/>
    <w:rsid w:val="00F459C1"/>
    <w:rsid w:val="00F459C3"/>
    <w:rsid w:val="00F459D1"/>
    <w:rsid w:val="00F459DD"/>
    <w:rsid w:val="00F45A57"/>
    <w:rsid w:val="00F45A9E"/>
    <w:rsid w:val="00F45AE4"/>
    <w:rsid w:val="00F45AF2"/>
    <w:rsid w:val="00F45B31"/>
    <w:rsid w:val="00F45B47"/>
    <w:rsid w:val="00F45B7D"/>
    <w:rsid w:val="00F45B82"/>
    <w:rsid w:val="00F45BDA"/>
    <w:rsid w:val="00F45BE4"/>
    <w:rsid w:val="00F45CAD"/>
    <w:rsid w:val="00F45CD2"/>
    <w:rsid w:val="00F45CDC"/>
    <w:rsid w:val="00F45D15"/>
    <w:rsid w:val="00F45D17"/>
    <w:rsid w:val="00F45D45"/>
    <w:rsid w:val="00F45E57"/>
    <w:rsid w:val="00F45E64"/>
    <w:rsid w:val="00F45E80"/>
    <w:rsid w:val="00F45EB7"/>
    <w:rsid w:val="00F45ED9"/>
    <w:rsid w:val="00F45F3B"/>
    <w:rsid w:val="00F45F41"/>
    <w:rsid w:val="00F45F4D"/>
    <w:rsid w:val="00F45F82"/>
    <w:rsid w:val="00F45F87"/>
    <w:rsid w:val="00F45FCD"/>
    <w:rsid w:val="00F45FF9"/>
    <w:rsid w:val="00F46083"/>
    <w:rsid w:val="00F460AC"/>
    <w:rsid w:val="00F460F2"/>
    <w:rsid w:val="00F460F3"/>
    <w:rsid w:val="00F461E7"/>
    <w:rsid w:val="00F46266"/>
    <w:rsid w:val="00F462ED"/>
    <w:rsid w:val="00F462FB"/>
    <w:rsid w:val="00F462FF"/>
    <w:rsid w:val="00F4633D"/>
    <w:rsid w:val="00F463A2"/>
    <w:rsid w:val="00F463A6"/>
    <w:rsid w:val="00F463CC"/>
    <w:rsid w:val="00F463F6"/>
    <w:rsid w:val="00F464A9"/>
    <w:rsid w:val="00F464F3"/>
    <w:rsid w:val="00F46568"/>
    <w:rsid w:val="00F4657F"/>
    <w:rsid w:val="00F46581"/>
    <w:rsid w:val="00F46595"/>
    <w:rsid w:val="00F465A5"/>
    <w:rsid w:val="00F465F9"/>
    <w:rsid w:val="00F4661D"/>
    <w:rsid w:val="00F4663E"/>
    <w:rsid w:val="00F4670F"/>
    <w:rsid w:val="00F46746"/>
    <w:rsid w:val="00F4674D"/>
    <w:rsid w:val="00F46791"/>
    <w:rsid w:val="00F467A0"/>
    <w:rsid w:val="00F467BD"/>
    <w:rsid w:val="00F467D0"/>
    <w:rsid w:val="00F4684E"/>
    <w:rsid w:val="00F468A6"/>
    <w:rsid w:val="00F468BF"/>
    <w:rsid w:val="00F468DD"/>
    <w:rsid w:val="00F46907"/>
    <w:rsid w:val="00F46977"/>
    <w:rsid w:val="00F46988"/>
    <w:rsid w:val="00F469F4"/>
    <w:rsid w:val="00F46AE4"/>
    <w:rsid w:val="00F46C3F"/>
    <w:rsid w:val="00F46C42"/>
    <w:rsid w:val="00F46CA5"/>
    <w:rsid w:val="00F46D4D"/>
    <w:rsid w:val="00F46D52"/>
    <w:rsid w:val="00F46D91"/>
    <w:rsid w:val="00F46DFE"/>
    <w:rsid w:val="00F46E33"/>
    <w:rsid w:val="00F46E39"/>
    <w:rsid w:val="00F46E52"/>
    <w:rsid w:val="00F46E7F"/>
    <w:rsid w:val="00F46E9D"/>
    <w:rsid w:val="00F46ECF"/>
    <w:rsid w:val="00F46ED3"/>
    <w:rsid w:val="00F46EFE"/>
    <w:rsid w:val="00F46F20"/>
    <w:rsid w:val="00F46FB0"/>
    <w:rsid w:val="00F46FBE"/>
    <w:rsid w:val="00F46FC9"/>
    <w:rsid w:val="00F46FE5"/>
    <w:rsid w:val="00F46FE8"/>
    <w:rsid w:val="00F47008"/>
    <w:rsid w:val="00F47028"/>
    <w:rsid w:val="00F4704F"/>
    <w:rsid w:val="00F47114"/>
    <w:rsid w:val="00F47126"/>
    <w:rsid w:val="00F47175"/>
    <w:rsid w:val="00F471C9"/>
    <w:rsid w:val="00F4721A"/>
    <w:rsid w:val="00F4729B"/>
    <w:rsid w:val="00F472D6"/>
    <w:rsid w:val="00F472D9"/>
    <w:rsid w:val="00F472FB"/>
    <w:rsid w:val="00F47342"/>
    <w:rsid w:val="00F47457"/>
    <w:rsid w:val="00F47465"/>
    <w:rsid w:val="00F4746D"/>
    <w:rsid w:val="00F4749E"/>
    <w:rsid w:val="00F474FD"/>
    <w:rsid w:val="00F47501"/>
    <w:rsid w:val="00F47516"/>
    <w:rsid w:val="00F4751B"/>
    <w:rsid w:val="00F4753D"/>
    <w:rsid w:val="00F47542"/>
    <w:rsid w:val="00F47547"/>
    <w:rsid w:val="00F4754C"/>
    <w:rsid w:val="00F475BB"/>
    <w:rsid w:val="00F4761B"/>
    <w:rsid w:val="00F47630"/>
    <w:rsid w:val="00F4764C"/>
    <w:rsid w:val="00F4765F"/>
    <w:rsid w:val="00F47686"/>
    <w:rsid w:val="00F47693"/>
    <w:rsid w:val="00F476A1"/>
    <w:rsid w:val="00F4775E"/>
    <w:rsid w:val="00F47794"/>
    <w:rsid w:val="00F477DD"/>
    <w:rsid w:val="00F477E3"/>
    <w:rsid w:val="00F477FB"/>
    <w:rsid w:val="00F478CD"/>
    <w:rsid w:val="00F47911"/>
    <w:rsid w:val="00F47920"/>
    <w:rsid w:val="00F47923"/>
    <w:rsid w:val="00F47958"/>
    <w:rsid w:val="00F4796C"/>
    <w:rsid w:val="00F47991"/>
    <w:rsid w:val="00F47995"/>
    <w:rsid w:val="00F479B7"/>
    <w:rsid w:val="00F479F6"/>
    <w:rsid w:val="00F47A17"/>
    <w:rsid w:val="00F47ABF"/>
    <w:rsid w:val="00F47AC8"/>
    <w:rsid w:val="00F47C00"/>
    <w:rsid w:val="00F47C1D"/>
    <w:rsid w:val="00F47C2F"/>
    <w:rsid w:val="00F47C8A"/>
    <w:rsid w:val="00F47C9F"/>
    <w:rsid w:val="00F47CA0"/>
    <w:rsid w:val="00F47CDF"/>
    <w:rsid w:val="00F47CFC"/>
    <w:rsid w:val="00F47D47"/>
    <w:rsid w:val="00F47D57"/>
    <w:rsid w:val="00F47DA4"/>
    <w:rsid w:val="00F47E2C"/>
    <w:rsid w:val="00F47E44"/>
    <w:rsid w:val="00F47F0E"/>
    <w:rsid w:val="00F47F39"/>
    <w:rsid w:val="00F47F6B"/>
    <w:rsid w:val="00F47F71"/>
    <w:rsid w:val="00F500A3"/>
    <w:rsid w:val="00F500A7"/>
    <w:rsid w:val="00F500AC"/>
    <w:rsid w:val="00F500D6"/>
    <w:rsid w:val="00F500D8"/>
    <w:rsid w:val="00F50102"/>
    <w:rsid w:val="00F5011A"/>
    <w:rsid w:val="00F50146"/>
    <w:rsid w:val="00F50156"/>
    <w:rsid w:val="00F5015C"/>
    <w:rsid w:val="00F50186"/>
    <w:rsid w:val="00F5020A"/>
    <w:rsid w:val="00F5023A"/>
    <w:rsid w:val="00F50264"/>
    <w:rsid w:val="00F50293"/>
    <w:rsid w:val="00F502A8"/>
    <w:rsid w:val="00F502C5"/>
    <w:rsid w:val="00F502E0"/>
    <w:rsid w:val="00F502F9"/>
    <w:rsid w:val="00F50327"/>
    <w:rsid w:val="00F5032C"/>
    <w:rsid w:val="00F5032E"/>
    <w:rsid w:val="00F50352"/>
    <w:rsid w:val="00F50378"/>
    <w:rsid w:val="00F503CF"/>
    <w:rsid w:val="00F503DF"/>
    <w:rsid w:val="00F503F4"/>
    <w:rsid w:val="00F50481"/>
    <w:rsid w:val="00F504F8"/>
    <w:rsid w:val="00F5050E"/>
    <w:rsid w:val="00F5051E"/>
    <w:rsid w:val="00F5059C"/>
    <w:rsid w:val="00F50614"/>
    <w:rsid w:val="00F506A9"/>
    <w:rsid w:val="00F506C6"/>
    <w:rsid w:val="00F506D3"/>
    <w:rsid w:val="00F506EA"/>
    <w:rsid w:val="00F506EB"/>
    <w:rsid w:val="00F5070F"/>
    <w:rsid w:val="00F50737"/>
    <w:rsid w:val="00F507AC"/>
    <w:rsid w:val="00F507E6"/>
    <w:rsid w:val="00F507FF"/>
    <w:rsid w:val="00F5083D"/>
    <w:rsid w:val="00F50840"/>
    <w:rsid w:val="00F508F7"/>
    <w:rsid w:val="00F5091C"/>
    <w:rsid w:val="00F50994"/>
    <w:rsid w:val="00F509B7"/>
    <w:rsid w:val="00F509CF"/>
    <w:rsid w:val="00F50A3A"/>
    <w:rsid w:val="00F50A82"/>
    <w:rsid w:val="00F50B1E"/>
    <w:rsid w:val="00F50B26"/>
    <w:rsid w:val="00F50B4E"/>
    <w:rsid w:val="00F50B90"/>
    <w:rsid w:val="00F50BD0"/>
    <w:rsid w:val="00F50BDA"/>
    <w:rsid w:val="00F50BE5"/>
    <w:rsid w:val="00F50C10"/>
    <w:rsid w:val="00F50C5E"/>
    <w:rsid w:val="00F50C97"/>
    <w:rsid w:val="00F50CAF"/>
    <w:rsid w:val="00F50CB9"/>
    <w:rsid w:val="00F50CE8"/>
    <w:rsid w:val="00F50D1E"/>
    <w:rsid w:val="00F50D7B"/>
    <w:rsid w:val="00F50D91"/>
    <w:rsid w:val="00F50DDB"/>
    <w:rsid w:val="00F50E06"/>
    <w:rsid w:val="00F50EAF"/>
    <w:rsid w:val="00F50ED1"/>
    <w:rsid w:val="00F50F85"/>
    <w:rsid w:val="00F50F8B"/>
    <w:rsid w:val="00F50FA7"/>
    <w:rsid w:val="00F50FB0"/>
    <w:rsid w:val="00F50FCB"/>
    <w:rsid w:val="00F51002"/>
    <w:rsid w:val="00F5103B"/>
    <w:rsid w:val="00F510C0"/>
    <w:rsid w:val="00F510F7"/>
    <w:rsid w:val="00F51111"/>
    <w:rsid w:val="00F51134"/>
    <w:rsid w:val="00F51152"/>
    <w:rsid w:val="00F51166"/>
    <w:rsid w:val="00F51169"/>
    <w:rsid w:val="00F511A6"/>
    <w:rsid w:val="00F511B3"/>
    <w:rsid w:val="00F511C7"/>
    <w:rsid w:val="00F51256"/>
    <w:rsid w:val="00F51268"/>
    <w:rsid w:val="00F512CC"/>
    <w:rsid w:val="00F51325"/>
    <w:rsid w:val="00F51377"/>
    <w:rsid w:val="00F513CC"/>
    <w:rsid w:val="00F513D1"/>
    <w:rsid w:val="00F513ED"/>
    <w:rsid w:val="00F51430"/>
    <w:rsid w:val="00F51475"/>
    <w:rsid w:val="00F51494"/>
    <w:rsid w:val="00F514C4"/>
    <w:rsid w:val="00F514EF"/>
    <w:rsid w:val="00F51503"/>
    <w:rsid w:val="00F5157A"/>
    <w:rsid w:val="00F51584"/>
    <w:rsid w:val="00F515C0"/>
    <w:rsid w:val="00F5162C"/>
    <w:rsid w:val="00F51632"/>
    <w:rsid w:val="00F51634"/>
    <w:rsid w:val="00F51642"/>
    <w:rsid w:val="00F51652"/>
    <w:rsid w:val="00F51680"/>
    <w:rsid w:val="00F516A9"/>
    <w:rsid w:val="00F516AF"/>
    <w:rsid w:val="00F516B3"/>
    <w:rsid w:val="00F516C8"/>
    <w:rsid w:val="00F5170A"/>
    <w:rsid w:val="00F5170C"/>
    <w:rsid w:val="00F5171A"/>
    <w:rsid w:val="00F5171C"/>
    <w:rsid w:val="00F51731"/>
    <w:rsid w:val="00F51743"/>
    <w:rsid w:val="00F5177E"/>
    <w:rsid w:val="00F51797"/>
    <w:rsid w:val="00F51871"/>
    <w:rsid w:val="00F518E5"/>
    <w:rsid w:val="00F518E6"/>
    <w:rsid w:val="00F5192F"/>
    <w:rsid w:val="00F5198C"/>
    <w:rsid w:val="00F519E3"/>
    <w:rsid w:val="00F519E4"/>
    <w:rsid w:val="00F51A19"/>
    <w:rsid w:val="00F51B0C"/>
    <w:rsid w:val="00F51B29"/>
    <w:rsid w:val="00F51B84"/>
    <w:rsid w:val="00F51BD1"/>
    <w:rsid w:val="00F51C29"/>
    <w:rsid w:val="00F51C2A"/>
    <w:rsid w:val="00F51C94"/>
    <w:rsid w:val="00F51CA2"/>
    <w:rsid w:val="00F51D1D"/>
    <w:rsid w:val="00F51D1F"/>
    <w:rsid w:val="00F51D3D"/>
    <w:rsid w:val="00F51D4B"/>
    <w:rsid w:val="00F51DB5"/>
    <w:rsid w:val="00F51DCD"/>
    <w:rsid w:val="00F51DEE"/>
    <w:rsid w:val="00F51E2B"/>
    <w:rsid w:val="00F51ECB"/>
    <w:rsid w:val="00F51EEC"/>
    <w:rsid w:val="00F51F6D"/>
    <w:rsid w:val="00F51FA2"/>
    <w:rsid w:val="00F51FC6"/>
    <w:rsid w:val="00F51FCB"/>
    <w:rsid w:val="00F52047"/>
    <w:rsid w:val="00F52059"/>
    <w:rsid w:val="00F5210A"/>
    <w:rsid w:val="00F52195"/>
    <w:rsid w:val="00F521A1"/>
    <w:rsid w:val="00F521AD"/>
    <w:rsid w:val="00F52242"/>
    <w:rsid w:val="00F522C5"/>
    <w:rsid w:val="00F522EF"/>
    <w:rsid w:val="00F52387"/>
    <w:rsid w:val="00F523CA"/>
    <w:rsid w:val="00F52401"/>
    <w:rsid w:val="00F52423"/>
    <w:rsid w:val="00F52523"/>
    <w:rsid w:val="00F525D7"/>
    <w:rsid w:val="00F525E2"/>
    <w:rsid w:val="00F52600"/>
    <w:rsid w:val="00F52611"/>
    <w:rsid w:val="00F5267B"/>
    <w:rsid w:val="00F526E6"/>
    <w:rsid w:val="00F52733"/>
    <w:rsid w:val="00F52770"/>
    <w:rsid w:val="00F52795"/>
    <w:rsid w:val="00F527D4"/>
    <w:rsid w:val="00F52804"/>
    <w:rsid w:val="00F52835"/>
    <w:rsid w:val="00F5284B"/>
    <w:rsid w:val="00F5285A"/>
    <w:rsid w:val="00F52860"/>
    <w:rsid w:val="00F528CF"/>
    <w:rsid w:val="00F52923"/>
    <w:rsid w:val="00F52984"/>
    <w:rsid w:val="00F52989"/>
    <w:rsid w:val="00F52B08"/>
    <w:rsid w:val="00F52B0D"/>
    <w:rsid w:val="00F52B50"/>
    <w:rsid w:val="00F52BB0"/>
    <w:rsid w:val="00F52BB5"/>
    <w:rsid w:val="00F52BD4"/>
    <w:rsid w:val="00F52BDB"/>
    <w:rsid w:val="00F52C17"/>
    <w:rsid w:val="00F52C34"/>
    <w:rsid w:val="00F52C76"/>
    <w:rsid w:val="00F52C7C"/>
    <w:rsid w:val="00F52D17"/>
    <w:rsid w:val="00F52D1F"/>
    <w:rsid w:val="00F52E18"/>
    <w:rsid w:val="00F52E34"/>
    <w:rsid w:val="00F52E60"/>
    <w:rsid w:val="00F52E74"/>
    <w:rsid w:val="00F52EDC"/>
    <w:rsid w:val="00F52F3F"/>
    <w:rsid w:val="00F52F4F"/>
    <w:rsid w:val="00F52F89"/>
    <w:rsid w:val="00F52FF4"/>
    <w:rsid w:val="00F53017"/>
    <w:rsid w:val="00F5302C"/>
    <w:rsid w:val="00F53040"/>
    <w:rsid w:val="00F53071"/>
    <w:rsid w:val="00F530F4"/>
    <w:rsid w:val="00F53184"/>
    <w:rsid w:val="00F5318A"/>
    <w:rsid w:val="00F531AB"/>
    <w:rsid w:val="00F531C5"/>
    <w:rsid w:val="00F531CF"/>
    <w:rsid w:val="00F531F3"/>
    <w:rsid w:val="00F53221"/>
    <w:rsid w:val="00F53229"/>
    <w:rsid w:val="00F5322F"/>
    <w:rsid w:val="00F53233"/>
    <w:rsid w:val="00F5323B"/>
    <w:rsid w:val="00F53291"/>
    <w:rsid w:val="00F53309"/>
    <w:rsid w:val="00F53397"/>
    <w:rsid w:val="00F53472"/>
    <w:rsid w:val="00F534FC"/>
    <w:rsid w:val="00F53594"/>
    <w:rsid w:val="00F535D5"/>
    <w:rsid w:val="00F535F1"/>
    <w:rsid w:val="00F535F9"/>
    <w:rsid w:val="00F5362A"/>
    <w:rsid w:val="00F53642"/>
    <w:rsid w:val="00F53655"/>
    <w:rsid w:val="00F53662"/>
    <w:rsid w:val="00F5368B"/>
    <w:rsid w:val="00F5368D"/>
    <w:rsid w:val="00F536A8"/>
    <w:rsid w:val="00F536B3"/>
    <w:rsid w:val="00F5377E"/>
    <w:rsid w:val="00F53790"/>
    <w:rsid w:val="00F5379D"/>
    <w:rsid w:val="00F537A8"/>
    <w:rsid w:val="00F537AE"/>
    <w:rsid w:val="00F537BB"/>
    <w:rsid w:val="00F537BF"/>
    <w:rsid w:val="00F53817"/>
    <w:rsid w:val="00F53861"/>
    <w:rsid w:val="00F538CE"/>
    <w:rsid w:val="00F5391F"/>
    <w:rsid w:val="00F53932"/>
    <w:rsid w:val="00F5393A"/>
    <w:rsid w:val="00F53985"/>
    <w:rsid w:val="00F539CE"/>
    <w:rsid w:val="00F539EE"/>
    <w:rsid w:val="00F53A58"/>
    <w:rsid w:val="00F53AB8"/>
    <w:rsid w:val="00F53B4D"/>
    <w:rsid w:val="00F53BB3"/>
    <w:rsid w:val="00F53C4F"/>
    <w:rsid w:val="00F53CE0"/>
    <w:rsid w:val="00F53D43"/>
    <w:rsid w:val="00F53DA5"/>
    <w:rsid w:val="00F53DF5"/>
    <w:rsid w:val="00F53E5D"/>
    <w:rsid w:val="00F53E7B"/>
    <w:rsid w:val="00F53E92"/>
    <w:rsid w:val="00F53EA4"/>
    <w:rsid w:val="00F53EB5"/>
    <w:rsid w:val="00F53ED5"/>
    <w:rsid w:val="00F53F66"/>
    <w:rsid w:val="00F53F85"/>
    <w:rsid w:val="00F53FA4"/>
    <w:rsid w:val="00F53FCD"/>
    <w:rsid w:val="00F53FFE"/>
    <w:rsid w:val="00F54008"/>
    <w:rsid w:val="00F540C2"/>
    <w:rsid w:val="00F54129"/>
    <w:rsid w:val="00F54180"/>
    <w:rsid w:val="00F54197"/>
    <w:rsid w:val="00F541A9"/>
    <w:rsid w:val="00F541B5"/>
    <w:rsid w:val="00F541D3"/>
    <w:rsid w:val="00F5420E"/>
    <w:rsid w:val="00F5421F"/>
    <w:rsid w:val="00F54234"/>
    <w:rsid w:val="00F542C0"/>
    <w:rsid w:val="00F542F1"/>
    <w:rsid w:val="00F54301"/>
    <w:rsid w:val="00F5430E"/>
    <w:rsid w:val="00F5434C"/>
    <w:rsid w:val="00F5436E"/>
    <w:rsid w:val="00F543A6"/>
    <w:rsid w:val="00F54456"/>
    <w:rsid w:val="00F54472"/>
    <w:rsid w:val="00F54484"/>
    <w:rsid w:val="00F54485"/>
    <w:rsid w:val="00F544FE"/>
    <w:rsid w:val="00F54500"/>
    <w:rsid w:val="00F5450A"/>
    <w:rsid w:val="00F54545"/>
    <w:rsid w:val="00F54554"/>
    <w:rsid w:val="00F5456C"/>
    <w:rsid w:val="00F54678"/>
    <w:rsid w:val="00F546BE"/>
    <w:rsid w:val="00F54714"/>
    <w:rsid w:val="00F54782"/>
    <w:rsid w:val="00F547B2"/>
    <w:rsid w:val="00F547C3"/>
    <w:rsid w:val="00F547D0"/>
    <w:rsid w:val="00F547FE"/>
    <w:rsid w:val="00F5485C"/>
    <w:rsid w:val="00F54877"/>
    <w:rsid w:val="00F5489F"/>
    <w:rsid w:val="00F548A2"/>
    <w:rsid w:val="00F5490E"/>
    <w:rsid w:val="00F5497D"/>
    <w:rsid w:val="00F549A6"/>
    <w:rsid w:val="00F54A54"/>
    <w:rsid w:val="00F54A57"/>
    <w:rsid w:val="00F54A5F"/>
    <w:rsid w:val="00F54A60"/>
    <w:rsid w:val="00F54A6E"/>
    <w:rsid w:val="00F54AB5"/>
    <w:rsid w:val="00F54B07"/>
    <w:rsid w:val="00F54B0B"/>
    <w:rsid w:val="00F54B79"/>
    <w:rsid w:val="00F54BBA"/>
    <w:rsid w:val="00F54BFD"/>
    <w:rsid w:val="00F54C03"/>
    <w:rsid w:val="00F54CF4"/>
    <w:rsid w:val="00F54CFF"/>
    <w:rsid w:val="00F54D02"/>
    <w:rsid w:val="00F54D6B"/>
    <w:rsid w:val="00F54D8D"/>
    <w:rsid w:val="00F54DC9"/>
    <w:rsid w:val="00F54E18"/>
    <w:rsid w:val="00F54E54"/>
    <w:rsid w:val="00F54E87"/>
    <w:rsid w:val="00F54E90"/>
    <w:rsid w:val="00F54E96"/>
    <w:rsid w:val="00F54EA0"/>
    <w:rsid w:val="00F54ECA"/>
    <w:rsid w:val="00F54ECD"/>
    <w:rsid w:val="00F54EFA"/>
    <w:rsid w:val="00F54EFF"/>
    <w:rsid w:val="00F54F1E"/>
    <w:rsid w:val="00F54F53"/>
    <w:rsid w:val="00F55044"/>
    <w:rsid w:val="00F550B7"/>
    <w:rsid w:val="00F550CB"/>
    <w:rsid w:val="00F550FA"/>
    <w:rsid w:val="00F550FF"/>
    <w:rsid w:val="00F5513A"/>
    <w:rsid w:val="00F551D0"/>
    <w:rsid w:val="00F551F6"/>
    <w:rsid w:val="00F55275"/>
    <w:rsid w:val="00F552B2"/>
    <w:rsid w:val="00F552C3"/>
    <w:rsid w:val="00F55306"/>
    <w:rsid w:val="00F5537D"/>
    <w:rsid w:val="00F5538E"/>
    <w:rsid w:val="00F55435"/>
    <w:rsid w:val="00F5543D"/>
    <w:rsid w:val="00F55442"/>
    <w:rsid w:val="00F5549C"/>
    <w:rsid w:val="00F554FE"/>
    <w:rsid w:val="00F55504"/>
    <w:rsid w:val="00F5552C"/>
    <w:rsid w:val="00F5562F"/>
    <w:rsid w:val="00F5564E"/>
    <w:rsid w:val="00F55680"/>
    <w:rsid w:val="00F55681"/>
    <w:rsid w:val="00F55695"/>
    <w:rsid w:val="00F556BE"/>
    <w:rsid w:val="00F556DF"/>
    <w:rsid w:val="00F55713"/>
    <w:rsid w:val="00F55746"/>
    <w:rsid w:val="00F55780"/>
    <w:rsid w:val="00F55792"/>
    <w:rsid w:val="00F5579C"/>
    <w:rsid w:val="00F557B7"/>
    <w:rsid w:val="00F55808"/>
    <w:rsid w:val="00F559C9"/>
    <w:rsid w:val="00F559FA"/>
    <w:rsid w:val="00F55A28"/>
    <w:rsid w:val="00F55A4B"/>
    <w:rsid w:val="00F55A85"/>
    <w:rsid w:val="00F55AB0"/>
    <w:rsid w:val="00F55AD6"/>
    <w:rsid w:val="00F55AED"/>
    <w:rsid w:val="00F55B98"/>
    <w:rsid w:val="00F55BAA"/>
    <w:rsid w:val="00F55BB4"/>
    <w:rsid w:val="00F55BBB"/>
    <w:rsid w:val="00F55BBD"/>
    <w:rsid w:val="00F55BE0"/>
    <w:rsid w:val="00F55C1F"/>
    <w:rsid w:val="00F55C56"/>
    <w:rsid w:val="00F55C91"/>
    <w:rsid w:val="00F55C9A"/>
    <w:rsid w:val="00F55CA9"/>
    <w:rsid w:val="00F55CB9"/>
    <w:rsid w:val="00F55CC7"/>
    <w:rsid w:val="00F55CE3"/>
    <w:rsid w:val="00F55D5F"/>
    <w:rsid w:val="00F55D60"/>
    <w:rsid w:val="00F55D79"/>
    <w:rsid w:val="00F55DCD"/>
    <w:rsid w:val="00F55E08"/>
    <w:rsid w:val="00F55E13"/>
    <w:rsid w:val="00F55E3E"/>
    <w:rsid w:val="00F55E6C"/>
    <w:rsid w:val="00F55E9E"/>
    <w:rsid w:val="00F55EB0"/>
    <w:rsid w:val="00F55F31"/>
    <w:rsid w:val="00F55F3A"/>
    <w:rsid w:val="00F55F7E"/>
    <w:rsid w:val="00F56069"/>
    <w:rsid w:val="00F5606B"/>
    <w:rsid w:val="00F560BA"/>
    <w:rsid w:val="00F561D2"/>
    <w:rsid w:val="00F561D6"/>
    <w:rsid w:val="00F561E3"/>
    <w:rsid w:val="00F561EC"/>
    <w:rsid w:val="00F56202"/>
    <w:rsid w:val="00F56244"/>
    <w:rsid w:val="00F5624E"/>
    <w:rsid w:val="00F56256"/>
    <w:rsid w:val="00F562E8"/>
    <w:rsid w:val="00F562EA"/>
    <w:rsid w:val="00F56308"/>
    <w:rsid w:val="00F56318"/>
    <w:rsid w:val="00F56327"/>
    <w:rsid w:val="00F56339"/>
    <w:rsid w:val="00F56376"/>
    <w:rsid w:val="00F563A5"/>
    <w:rsid w:val="00F563B9"/>
    <w:rsid w:val="00F56419"/>
    <w:rsid w:val="00F56484"/>
    <w:rsid w:val="00F564E2"/>
    <w:rsid w:val="00F56537"/>
    <w:rsid w:val="00F5657D"/>
    <w:rsid w:val="00F56583"/>
    <w:rsid w:val="00F565CF"/>
    <w:rsid w:val="00F565D7"/>
    <w:rsid w:val="00F565DA"/>
    <w:rsid w:val="00F565EE"/>
    <w:rsid w:val="00F566F9"/>
    <w:rsid w:val="00F5676B"/>
    <w:rsid w:val="00F56770"/>
    <w:rsid w:val="00F56774"/>
    <w:rsid w:val="00F5679C"/>
    <w:rsid w:val="00F5680C"/>
    <w:rsid w:val="00F5694D"/>
    <w:rsid w:val="00F56958"/>
    <w:rsid w:val="00F56961"/>
    <w:rsid w:val="00F56965"/>
    <w:rsid w:val="00F5696B"/>
    <w:rsid w:val="00F5698B"/>
    <w:rsid w:val="00F569E0"/>
    <w:rsid w:val="00F569ED"/>
    <w:rsid w:val="00F56A6B"/>
    <w:rsid w:val="00F56A78"/>
    <w:rsid w:val="00F56AAB"/>
    <w:rsid w:val="00F56B09"/>
    <w:rsid w:val="00F56B0B"/>
    <w:rsid w:val="00F56B66"/>
    <w:rsid w:val="00F56B73"/>
    <w:rsid w:val="00F56BCD"/>
    <w:rsid w:val="00F56BD7"/>
    <w:rsid w:val="00F56C02"/>
    <w:rsid w:val="00F56C08"/>
    <w:rsid w:val="00F56C28"/>
    <w:rsid w:val="00F56C3B"/>
    <w:rsid w:val="00F56C58"/>
    <w:rsid w:val="00F56CA4"/>
    <w:rsid w:val="00F56CF5"/>
    <w:rsid w:val="00F56D71"/>
    <w:rsid w:val="00F56DA9"/>
    <w:rsid w:val="00F56DD4"/>
    <w:rsid w:val="00F56DFB"/>
    <w:rsid w:val="00F56DFF"/>
    <w:rsid w:val="00F56E77"/>
    <w:rsid w:val="00F56E84"/>
    <w:rsid w:val="00F56E86"/>
    <w:rsid w:val="00F56F01"/>
    <w:rsid w:val="00F56F05"/>
    <w:rsid w:val="00F56F07"/>
    <w:rsid w:val="00F56F6B"/>
    <w:rsid w:val="00F56F72"/>
    <w:rsid w:val="00F56F81"/>
    <w:rsid w:val="00F56FBE"/>
    <w:rsid w:val="00F57078"/>
    <w:rsid w:val="00F57097"/>
    <w:rsid w:val="00F570A3"/>
    <w:rsid w:val="00F570B1"/>
    <w:rsid w:val="00F5711D"/>
    <w:rsid w:val="00F57122"/>
    <w:rsid w:val="00F5715E"/>
    <w:rsid w:val="00F5716B"/>
    <w:rsid w:val="00F571A1"/>
    <w:rsid w:val="00F571EC"/>
    <w:rsid w:val="00F57209"/>
    <w:rsid w:val="00F57272"/>
    <w:rsid w:val="00F57274"/>
    <w:rsid w:val="00F57296"/>
    <w:rsid w:val="00F5729B"/>
    <w:rsid w:val="00F572B4"/>
    <w:rsid w:val="00F572C0"/>
    <w:rsid w:val="00F572E6"/>
    <w:rsid w:val="00F5730A"/>
    <w:rsid w:val="00F57319"/>
    <w:rsid w:val="00F57334"/>
    <w:rsid w:val="00F57355"/>
    <w:rsid w:val="00F573FA"/>
    <w:rsid w:val="00F573FD"/>
    <w:rsid w:val="00F57415"/>
    <w:rsid w:val="00F57420"/>
    <w:rsid w:val="00F57455"/>
    <w:rsid w:val="00F574B1"/>
    <w:rsid w:val="00F57503"/>
    <w:rsid w:val="00F5756A"/>
    <w:rsid w:val="00F5758E"/>
    <w:rsid w:val="00F575B4"/>
    <w:rsid w:val="00F575C9"/>
    <w:rsid w:val="00F57629"/>
    <w:rsid w:val="00F5762E"/>
    <w:rsid w:val="00F57682"/>
    <w:rsid w:val="00F576B8"/>
    <w:rsid w:val="00F576CD"/>
    <w:rsid w:val="00F576F1"/>
    <w:rsid w:val="00F577A7"/>
    <w:rsid w:val="00F577AB"/>
    <w:rsid w:val="00F577E0"/>
    <w:rsid w:val="00F577EB"/>
    <w:rsid w:val="00F5782E"/>
    <w:rsid w:val="00F5782F"/>
    <w:rsid w:val="00F578F0"/>
    <w:rsid w:val="00F57922"/>
    <w:rsid w:val="00F57978"/>
    <w:rsid w:val="00F579C2"/>
    <w:rsid w:val="00F579DF"/>
    <w:rsid w:val="00F579EE"/>
    <w:rsid w:val="00F57A2F"/>
    <w:rsid w:val="00F57AC7"/>
    <w:rsid w:val="00F57B07"/>
    <w:rsid w:val="00F57B11"/>
    <w:rsid w:val="00F57B71"/>
    <w:rsid w:val="00F57B75"/>
    <w:rsid w:val="00F57C1E"/>
    <w:rsid w:val="00F57C73"/>
    <w:rsid w:val="00F57CC9"/>
    <w:rsid w:val="00F57CD9"/>
    <w:rsid w:val="00F57CED"/>
    <w:rsid w:val="00F57D29"/>
    <w:rsid w:val="00F57DFC"/>
    <w:rsid w:val="00F57E2D"/>
    <w:rsid w:val="00F57E3E"/>
    <w:rsid w:val="00F57E89"/>
    <w:rsid w:val="00F57E8A"/>
    <w:rsid w:val="00F57E9E"/>
    <w:rsid w:val="00F57EBE"/>
    <w:rsid w:val="00F57ED9"/>
    <w:rsid w:val="00F57F0B"/>
    <w:rsid w:val="00F57F40"/>
    <w:rsid w:val="00F57F99"/>
    <w:rsid w:val="00F57FAD"/>
    <w:rsid w:val="00F57FFE"/>
    <w:rsid w:val="00F6004A"/>
    <w:rsid w:val="00F600B1"/>
    <w:rsid w:val="00F600E5"/>
    <w:rsid w:val="00F6010B"/>
    <w:rsid w:val="00F60130"/>
    <w:rsid w:val="00F60142"/>
    <w:rsid w:val="00F60175"/>
    <w:rsid w:val="00F60221"/>
    <w:rsid w:val="00F60228"/>
    <w:rsid w:val="00F6023B"/>
    <w:rsid w:val="00F60246"/>
    <w:rsid w:val="00F60267"/>
    <w:rsid w:val="00F602B6"/>
    <w:rsid w:val="00F602C7"/>
    <w:rsid w:val="00F60311"/>
    <w:rsid w:val="00F60315"/>
    <w:rsid w:val="00F60323"/>
    <w:rsid w:val="00F6037B"/>
    <w:rsid w:val="00F603C6"/>
    <w:rsid w:val="00F60419"/>
    <w:rsid w:val="00F60431"/>
    <w:rsid w:val="00F60435"/>
    <w:rsid w:val="00F6045F"/>
    <w:rsid w:val="00F60461"/>
    <w:rsid w:val="00F604D7"/>
    <w:rsid w:val="00F6051D"/>
    <w:rsid w:val="00F6052F"/>
    <w:rsid w:val="00F60569"/>
    <w:rsid w:val="00F6059C"/>
    <w:rsid w:val="00F605D4"/>
    <w:rsid w:val="00F6061D"/>
    <w:rsid w:val="00F606BC"/>
    <w:rsid w:val="00F606DA"/>
    <w:rsid w:val="00F60753"/>
    <w:rsid w:val="00F60775"/>
    <w:rsid w:val="00F607A4"/>
    <w:rsid w:val="00F607A8"/>
    <w:rsid w:val="00F607B5"/>
    <w:rsid w:val="00F607C2"/>
    <w:rsid w:val="00F607C8"/>
    <w:rsid w:val="00F607CA"/>
    <w:rsid w:val="00F607F0"/>
    <w:rsid w:val="00F60807"/>
    <w:rsid w:val="00F60879"/>
    <w:rsid w:val="00F6088C"/>
    <w:rsid w:val="00F608A3"/>
    <w:rsid w:val="00F608C9"/>
    <w:rsid w:val="00F608D4"/>
    <w:rsid w:val="00F60904"/>
    <w:rsid w:val="00F60930"/>
    <w:rsid w:val="00F60943"/>
    <w:rsid w:val="00F60973"/>
    <w:rsid w:val="00F609CD"/>
    <w:rsid w:val="00F60A12"/>
    <w:rsid w:val="00F60A34"/>
    <w:rsid w:val="00F60A99"/>
    <w:rsid w:val="00F60AA7"/>
    <w:rsid w:val="00F60AEF"/>
    <w:rsid w:val="00F60BA3"/>
    <w:rsid w:val="00F60BC7"/>
    <w:rsid w:val="00F60C48"/>
    <w:rsid w:val="00F60C6F"/>
    <w:rsid w:val="00F60D17"/>
    <w:rsid w:val="00F60D4E"/>
    <w:rsid w:val="00F60D73"/>
    <w:rsid w:val="00F60D7F"/>
    <w:rsid w:val="00F60D98"/>
    <w:rsid w:val="00F60E04"/>
    <w:rsid w:val="00F60E50"/>
    <w:rsid w:val="00F60E71"/>
    <w:rsid w:val="00F60E9E"/>
    <w:rsid w:val="00F60EAC"/>
    <w:rsid w:val="00F60EF9"/>
    <w:rsid w:val="00F60F09"/>
    <w:rsid w:val="00F60F41"/>
    <w:rsid w:val="00F60F7E"/>
    <w:rsid w:val="00F60FC5"/>
    <w:rsid w:val="00F60FEB"/>
    <w:rsid w:val="00F60FF4"/>
    <w:rsid w:val="00F60FF7"/>
    <w:rsid w:val="00F6104F"/>
    <w:rsid w:val="00F6105D"/>
    <w:rsid w:val="00F61070"/>
    <w:rsid w:val="00F6107F"/>
    <w:rsid w:val="00F6108D"/>
    <w:rsid w:val="00F610BE"/>
    <w:rsid w:val="00F61109"/>
    <w:rsid w:val="00F6111C"/>
    <w:rsid w:val="00F6112C"/>
    <w:rsid w:val="00F61133"/>
    <w:rsid w:val="00F6116C"/>
    <w:rsid w:val="00F61177"/>
    <w:rsid w:val="00F6118A"/>
    <w:rsid w:val="00F611CE"/>
    <w:rsid w:val="00F611E0"/>
    <w:rsid w:val="00F611ED"/>
    <w:rsid w:val="00F61206"/>
    <w:rsid w:val="00F61221"/>
    <w:rsid w:val="00F61234"/>
    <w:rsid w:val="00F6123D"/>
    <w:rsid w:val="00F6123F"/>
    <w:rsid w:val="00F61298"/>
    <w:rsid w:val="00F612A9"/>
    <w:rsid w:val="00F61308"/>
    <w:rsid w:val="00F6130B"/>
    <w:rsid w:val="00F6131F"/>
    <w:rsid w:val="00F61331"/>
    <w:rsid w:val="00F6134F"/>
    <w:rsid w:val="00F61351"/>
    <w:rsid w:val="00F61360"/>
    <w:rsid w:val="00F61396"/>
    <w:rsid w:val="00F613A9"/>
    <w:rsid w:val="00F613B2"/>
    <w:rsid w:val="00F613D2"/>
    <w:rsid w:val="00F613E3"/>
    <w:rsid w:val="00F61486"/>
    <w:rsid w:val="00F614CA"/>
    <w:rsid w:val="00F61534"/>
    <w:rsid w:val="00F61564"/>
    <w:rsid w:val="00F6156E"/>
    <w:rsid w:val="00F61595"/>
    <w:rsid w:val="00F615B2"/>
    <w:rsid w:val="00F615B8"/>
    <w:rsid w:val="00F6160A"/>
    <w:rsid w:val="00F6171A"/>
    <w:rsid w:val="00F61722"/>
    <w:rsid w:val="00F61736"/>
    <w:rsid w:val="00F617C8"/>
    <w:rsid w:val="00F617CD"/>
    <w:rsid w:val="00F617D6"/>
    <w:rsid w:val="00F617FD"/>
    <w:rsid w:val="00F617FE"/>
    <w:rsid w:val="00F618D2"/>
    <w:rsid w:val="00F6192A"/>
    <w:rsid w:val="00F61978"/>
    <w:rsid w:val="00F619AC"/>
    <w:rsid w:val="00F619C9"/>
    <w:rsid w:val="00F619E1"/>
    <w:rsid w:val="00F619FD"/>
    <w:rsid w:val="00F61A27"/>
    <w:rsid w:val="00F61A35"/>
    <w:rsid w:val="00F61A48"/>
    <w:rsid w:val="00F61A6B"/>
    <w:rsid w:val="00F61ABA"/>
    <w:rsid w:val="00F61ABC"/>
    <w:rsid w:val="00F61ACE"/>
    <w:rsid w:val="00F61B12"/>
    <w:rsid w:val="00F61B46"/>
    <w:rsid w:val="00F61B7B"/>
    <w:rsid w:val="00F61BB0"/>
    <w:rsid w:val="00F61BBF"/>
    <w:rsid w:val="00F61BCD"/>
    <w:rsid w:val="00F61C02"/>
    <w:rsid w:val="00F61C16"/>
    <w:rsid w:val="00F61C49"/>
    <w:rsid w:val="00F61C58"/>
    <w:rsid w:val="00F61C76"/>
    <w:rsid w:val="00F61CBD"/>
    <w:rsid w:val="00F61CE7"/>
    <w:rsid w:val="00F61D55"/>
    <w:rsid w:val="00F61D58"/>
    <w:rsid w:val="00F61D5B"/>
    <w:rsid w:val="00F61DA7"/>
    <w:rsid w:val="00F61E0B"/>
    <w:rsid w:val="00F61F2A"/>
    <w:rsid w:val="00F61F47"/>
    <w:rsid w:val="00F61FE8"/>
    <w:rsid w:val="00F6204B"/>
    <w:rsid w:val="00F62050"/>
    <w:rsid w:val="00F62094"/>
    <w:rsid w:val="00F620C7"/>
    <w:rsid w:val="00F62117"/>
    <w:rsid w:val="00F62158"/>
    <w:rsid w:val="00F621FA"/>
    <w:rsid w:val="00F6222F"/>
    <w:rsid w:val="00F62263"/>
    <w:rsid w:val="00F622B1"/>
    <w:rsid w:val="00F622CF"/>
    <w:rsid w:val="00F6232A"/>
    <w:rsid w:val="00F62354"/>
    <w:rsid w:val="00F6237E"/>
    <w:rsid w:val="00F623CE"/>
    <w:rsid w:val="00F6241B"/>
    <w:rsid w:val="00F624A2"/>
    <w:rsid w:val="00F624C5"/>
    <w:rsid w:val="00F62569"/>
    <w:rsid w:val="00F625C1"/>
    <w:rsid w:val="00F625F2"/>
    <w:rsid w:val="00F625F4"/>
    <w:rsid w:val="00F626CF"/>
    <w:rsid w:val="00F62718"/>
    <w:rsid w:val="00F6272C"/>
    <w:rsid w:val="00F62784"/>
    <w:rsid w:val="00F6278F"/>
    <w:rsid w:val="00F6279F"/>
    <w:rsid w:val="00F6284A"/>
    <w:rsid w:val="00F6287C"/>
    <w:rsid w:val="00F62884"/>
    <w:rsid w:val="00F628AA"/>
    <w:rsid w:val="00F628C7"/>
    <w:rsid w:val="00F628D8"/>
    <w:rsid w:val="00F628ED"/>
    <w:rsid w:val="00F628FB"/>
    <w:rsid w:val="00F62930"/>
    <w:rsid w:val="00F62986"/>
    <w:rsid w:val="00F6299E"/>
    <w:rsid w:val="00F62A1A"/>
    <w:rsid w:val="00F62A97"/>
    <w:rsid w:val="00F62AA9"/>
    <w:rsid w:val="00F62AB5"/>
    <w:rsid w:val="00F62ABB"/>
    <w:rsid w:val="00F62AF9"/>
    <w:rsid w:val="00F62B01"/>
    <w:rsid w:val="00F62B27"/>
    <w:rsid w:val="00F62B35"/>
    <w:rsid w:val="00F62BE2"/>
    <w:rsid w:val="00F62BF1"/>
    <w:rsid w:val="00F62C26"/>
    <w:rsid w:val="00F62C46"/>
    <w:rsid w:val="00F62C83"/>
    <w:rsid w:val="00F62CCA"/>
    <w:rsid w:val="00F62CE0"/>
    <w:rsid w:val="00F62D03"/>
    <w:rsid w:val="00F62D0F"/>
    <w:rsid w:val="00F62D35"/>
    <w:rsid w:val="00F62D49"/>
    <w:rsid w:val="00F62D76"/>
    <w:rsid w:val="00F62D81"/>
    <w:rsid w:val="00F62DBF"/>
    <w:rsid w:val="00F62E3A"/>
    <w:rsid w:val="00F62E41"/>
    <w:rsid w:val="00F62E8E"/>
    <w:rsid w:val="00F62EF4"/>
    <w:rsid w:val="00F62F31"/>
    <w:rsid w:val="00F62F37"/>
    <w:rsid w:val="00F62F43"/>
    <w:rsid w:val="00F62FEF"/>
    <w:rsid w:val="00F6307C"/>
    <w:rsid w:val="00F63099"/>
    <w:rsid w:val="00F630C2"/>
    <w:rsid w:val="00F630C8"/>
    <w:rsid w:val="00F6311E"/>
    <w:rsid w:val="00F63141"/>
    <w:rsid w:val="00F63207"/>
    <w:rsid w:val="00F63227"/>
    <w:rsid w:val="00F6324E"/>
    <w:rsid w:val="00F63273"/>
    <w:rsid w:val="00F632AB"/>
    <w:rsid w:val="00F632D0"/>
    <w:rsid w:val="00F632FE"/>
    <w:rsid w:val="00F63381"/>
    <w:rsid w:val="00F633B9"/>
    <w:rsid w:val="00F633C7"/>
    <w:rsid w:val="00F63400"/>
    <w:rsid w:val="00F6340E"/>
    <w:rsid w:val="00F63419"/>
    <w:rsid w:val="00F634B2"/>
    <w:rsid w:val="00F634BE"/>
    <w:rsid w:val="00F634D0"/>
    <w:rsid w:val="00F634EA"/>
    <w:rsid w:val="00F63500"/>
    <w:rsid w:val="00F63531"/>
    <w:rsid w:val="00F6353E"/>
    <w:rsid w:val="00F63559"/>
    <w:rsid w:val="00F6356B"/>
    <w:rsid w:val="00F63575"/>
    <w:rsid w:val="00F635E9"/>
    <w:rsid w:val="00F63609"/>
    <w:rsid w:val="00F6367D"/>
    <w:rsid w:val="00F636F5"/>
    <w:rsid w:val="00F63785"/>
    <w:rsid w:val="00F637A5"/>
    <w:rsid w:val="00F637E1"/>
    <w:rsid w:val="00F63881"/>
    <w:rsid w:val="00F63896"/>
    <w:rsid w:val="00F638C6"/>
    <w:rsid w:val="00F638CF"/>
    <w:rsid w:val="00F638D5"/>
    <w:rsid w:val="00F6390F"/>
    <w:rsid w:val="00F639C3"/>
    <w:rsid w:val="00F639E7"/>
    <w:rsid w:val="00F63A6F"/>
    <w:rsid w:val="00F63A77"/>
    <w:rsid w:val="00F63ACE"/>
    <w:rsid w:val="00F63AEC"/>
    <w:rsid w:val="00F63AFB"/>
    <w:rsid w:val="00F63B33"/>
    <w:rsid w:val="00F63B77"/>
    <w:rsid w:val="00F63B84"/>
    <w:rsid w:val="00F63B87"/>
    <w:rsid w:val="00F63BB7"/>
    <w:rsid w:val="00F63BEF"/>
    <w:rsid w:val="00F63C20"/>
    <w:rsid w:val="00F63CA2"/>
    <w:rsid w:val="00F63D0D"/>
    <w:rsid w:val="00F63D30"/>
    <w:rsid w:val="00F63D9C"/>
    <w:rsid w:val="00F63D9F"/>
    <w:rsid w:val="00F63DD4"/>
    <w:rsid w:val="00F63E4A"/>
    <w:rsid w:val="00F63ECA"/>
    <w:rsid w:val="00F63EDF"/>
    <w:rsid w:val="00F63EF7"/>
    <w:rsid w:val="00F63F85"/>
    <w:rsid w:val="00F63F8D"/>
    <w:rsid w:val="00F63F9F"/>
    <w:rsid w:val="00F63FA1"/>
    <w:rsid w:val="00F63FB1"/>
    <w:rsid w:val="00F63FB9"/>
    <w:rsid w:val="00F63FBF"/>
    <w:rsid w:val="00F63FD7"/>
    <w:rsid w:val="00F63FF3"/>
    <w:rsid w:val="00F6410C"/>
    <w:rsid w:val="00F64113"/>
    <w:rsid w:val="00F64197"/>
    <w:rsid w:val="00F641D7"/>
    <w:rsid w:val="00F641E8"/>
    <w:rsid w:val="00F641F1"/>
    <w:rsid w:val="00F64237"/>
    <w:rsid w:val="00F642A2"/>
    <w:rsid w:val="00F642A3"/>
    <w:rsid w:val="00F642B8"/>
    <w:rsid w:val="00F64342"/>
    <w:rsid w:val="00F643CF"/>
    <w:rsid w:val="00F643F0"/>
    <w:rsid w:val="00F6441D"/>
    <w:rsid w:val="00F64469"/>
    <w:rsid w:val="00F64495"/>
    <w:rsid w:val="00F64498"/>
    <w:rsid w:val="00F64510"/>
    <w:rsid w:val="00F64516"/>
    <w:rsid w:val="00F64526"/>
    <w:rsid w:val="00F6457B"/>
    <w:rsid w:val="00F645C8"/>
    <w:rsid w:val="00F64614"/>
    <w:rsid w:val="00F6466D"/>
    <w:rsid w:val="00F646C3"/>
    <w:rsid w:val="00F64780"/>
    <w:rsid w:val="00F6483B"/>
    <w:rsid w:val="00F64851"/>
    <w:rsid w:val="00F648A2"/>
    <w:rsid w:val="00F648AC"/>
    <w:rsid w:val="00F648B2"/>
    <w:rsid w:val="00F648EC"/>
    <w:rsid w:val="00F648FB"/>
    <w:rsid w:val="00F6496B"/>
    <w:rsid w:val="00F64976"/>
    <w:rsid w:val="00F64979"/>
    <w:rsid w:val="00F64B73"/>
    <w:rsid w:val="00F64B76"/>
    <w:rsid w:val="00F64B8D"/>
    <w:rsid w:val="00F64BD2"/>
    <w:rsid w:val="00F64C13"/>
    <w:rsid w:val="00F64C23"/>
    <w:rsid w:val="00F64C29"/>
    <w:rsid w:val="00F64C4E"/>
    <w:rsid w:val="00F64C7B"/>
    <w:rsid w:val="00F64D3F"/>
    <w:rsid w:val="00F64DBC"/>
    <w:rsid w:val="00F64DD2"/>
    <w:rsid w:val="00F64DFC"/>
    <w:rsid w:val="00F64E2C"/>
    <w:rsid w:val="00F64E51"/>
    <w:rsid w:val="00F64E58"/>
    <w:rsid w:val="00F64ED6"/>
    <w:rsid w:val="00F64EDD"/>
    <w:rsid w:val="00F64EEE"/>
    <w:rsid w:val="00F64FAC"/>
    <w:rsid w:val="00F64FC6"/>
    <w:rsid w:val="00F64FDB"/>
    <w:rsid w:val="00F6500E"/>
    <w:rsid w:val="00F6501A"/>
    <w:rsid w:val="00F65032"/>
    <w:rsid w:val="00F6505F"/>
    <w:rsid w:val="00F651AD"/>
    <w:rsid w:val="00F65211"/>
    <w:rsid w:val="00F6524D"/>
    <w:rsid w:val="00F65270"/>
    <w:rsid w:val="00F6528F"/>
    <w:rsid w:val="00F652A2"/>
    <w:rsid w:val="00F652C0"/>
    <w:rsid w:val="00F652CD"/>
    <w:rsid w:val="00F652D7"/>
    <w:rsid w:val="00F6531E"/>
    <w:rsid w:val="00F65379"/>
    <w:rsid w:val="00F65393"/>
    <w:rsid w:val="00F65429"/>
    <w:rsid w:val="00F65454"/>
    <w:rsid w:val="00F6549E"/>
    <w:rsid w:val="00F6551D"/>
    <w:rsid w:val="00F65521"/>
    <w:rsid w:val="00F6559E"/>
    <w:rsid w:val="00F6562C"/>
    <w:rsid w:val="00F656A6"/>
    <w:rsid w:val="00F656D0"/>
    <w:rsid w:val="00F65705"/>
    <w:rsid w:val="00F65740"/>
    <w:rsid w:val="00F65741"/>
    <w:rsid w:val="00F6575C"/>
    <w:rsid w:val="00F65787"/>
    <w:rsid w:val="00F657A0"/>
    <w:rsid w:val="00F657AF"/>
    <w:rsid w:val="00F657B5"/>
    <w:rsid w:val="00F657C5"/>
    <w:rsid w:val="00F65823"/>
    <w:rsid w:val="00F65841"/>
    <w:rsid w:val="00F6588F"/>
    <w:rsid w:val="00F658A2"/>
    <w:rsid w:val="00F659BD"/>
    <w:rsid w:val="00F65A5C"/>
    <w:rsid w:val="00F65A9D"/>
    <w:rsid w:val="00F65AFA"/>
    <w:rsid w:val="00F65B13"/>
    <w:rsid w:val="00F65B3D"/>
    <w:rsid w:val="00F65B4F"/>
    <w:rsid w:val="00F65BE4"/>
    <w:rsid w:val="00F65C37"/>
    <w:rsid w:val="00F65C56"/>
    <w:rsid w:val="00F65C5E"/>
    <w:rsid w:val="00F65CF9"/>
    <w:rsid w:val="00F65D82"/>
    <w:rsid w:val="00F65D9A"/>
    <w:rsid w:val="00F65E06"/>
    <w:rsid w:val="00F65E3A"/>
    <w:rsid w:val="00F65E65"/>
    <w:rsid w:val="00F65EE8"/>
    <w:rsid w:val="00F65F25"/>
    <w:rsid w:val="00F65FA8"/>
    <w:rsid w:val="00F65FCD"/>
    <w:rsid w:val="00F66042"/>
    <w:rsid w:val="00F6608F"/>
    <w:rsid w:val="00F660DA"/>
    <w:rsid w:val="00F660EF"/>
    <w:rsid w:val="00F66106"/>
    <w:rsid w:val="00F661E7"/>
    <w:rsid w:val="00F661E9"/>
    <w:rsid w:val="00F66284"/>
    <w:rsid w:val="00F6629E"/>
    <w:rsid w:val="00F662A8"/>
    <w:rsid w:val="00F66311"/>
    <w:rsid w:val="00F66322"/>
    <w:rsid w:val="00F66346"/>
    <w:rsid w:val="00F6635C"/>
    <w:rsid w:val="00F6639B"/>
    <w:rsid w:val="00F663B6"/>
    <w:rsid w:val="00F663BD"/>
    <w:rsid w:val="00F663E1"/>
    <w:rsid w:val="00F66448"/>
    <w:rsid w:val="00F6653C"/>
    <w:rsid w:val="00F6657A"/>
    <w:rsid w:val="00F66582"/>
    <w:rsid w:val="00F665B6"/>
    <w:rsid w:val="00F665CA"/>
    <w:rsid w:val="00F665FC"/>
    <w:rsid w:val="00F665FD"/>
    <w:rsid w:val="00F6669B"/>
    <w:rsid w:val="00F666FA"/>
    <w:rsid w:val="00F6673E"/>
    <w:rsid w:val="00F66758"/>
    <w:rsid w:val="00F66779"/>
    <w:rsid w:val="00F6682E"/>
    <w:rsid w:val="00F66896"/>
    <w:rsid w:val="00F6697E"/>
    <w:rsid w:val="00F66989"/>
    <w:rsid w:val="00F6699F"/>
    <w:rsid w:val="00F669E0"/>
    <w:rsid w:val="00F66A75"/>
    <w:rsid w:val="00F66AF1"/>
    <w:rsid w:val="00F66B15"/>
    <w:rsid w:val="00F66B79"/>
    <w:rsid w:val="00F66B8A"/>
    <w:rsid w:val="00F66B8C"/>
    <w:rsid w:val="00F66BC4"/>
    <w:rsid w:val="00F66BE4"/>
    <w:rsid w:val="00F66C3A"/>
    <w:rsid w:val="00F66C6F"/>
    <w:rsid w:val="00F66C8B"/>
    <w:rsid w:val="00F66CF0"/>
    <w:rsid w:val="00F66D63"/>
    <w:rsid w:val="00F66D9D"/>
    <w:rsid w:val="00F66DB2"/>
    <w:rsid w:val="00F66DB6"/>
    <w:rsid w:val="00F66E1C"/>
    <w:rsid w:val="00F66E70"/>
    <w:rsid w:val="00F66EC6"/>
    <w:rsid w:val="00F66EF6"/>
    <w:rsid w:val="00F66F12"/>
    <w:rsid w:val="00F66F35"/>
    <w:rsid w:val="00F66F46"/>
    <w:rsid w:val="00F66F4A"/>
    <w:rsid w:val="00F66F5F"/>
    <w:rsid w:val="00F66F82"/>
    <w:rsid w:val="00F66F92"/>
    <w:rsid w:val="00F66FB1"/>
    <w:rsid w:val="00F66FDD"/>
    <w:rsid w:val="00F6701A"/>
    <w:rsid w:val="00F6701D"/>
    <w:rsid w:val="00F6707D"/>
    <w:rsid w:val="00F67092"/>
    <w:rsid w:val="00F67097"/>
    <w:rsid w:val="00F670AA"/>
    <w:rsid w:val="00F671BE"/>
    <w:rsid w:val="00F67274"/>
    <w:rsid w:val="00F672B9"/>
    <w:rsid w:val="00F672D3"/>
    <w:rsid w:val="00F6731C"/>
    <w:rsid w:val="00F67361"/>
    <w:rsid w:val="00F67386"/>
    <w:rsid w:val="00F6738D"/>
    <w:rsid w:val="00F67397"/>
    <w:rsid w:val="00F673DB"/>
    <w:rsid w:val="00F6741F"/>
    <w:rsid w:val="00F67429"/>
    <w:rsid w:val="00F67445"/>
    <w:rsid w:val="00F6745D"/>
    <w:rsid w:val="00F674BA"/>
    <w:rsid w:val="00F674D7"/>
    <w:rsid w:val="00F67504"/>
    <w:rsid w:val="00F6751E"/>
    <w:rsid w:val="00F67539"/>
    <w:rsid w:val="00F67546"/>
    <w:rsid w:val="00F675F4"/>
    <w:rsid w:val="00F67609"/>
    <w:rsid w:val="00F67671"/>
    <w:rsid w:val="00F67672"/>
    <w:rsid w:val="00F67675"/>
    <w:rsid w:val="00F67677"/>
    <w:rsid w:val="00F67699"/>
    <w:rsid w:val="00F676AF"/>
    <w:rsid w:val="00F676B5"/>
    <w:rsid w:val="00F676D7"/>
    <w:rsid w:val="00F676DD"/>
    <w:rsid w:val="00F67731"/>
    <w:rsid w:val="00F67739"/>
    <w:rsid w:val="00F67794"/>
    <w:rsid w:val="00F677B2"/>
    <w:rsid w:val="00F67809"/>
    <w:rsid w:val="00F67833"/>
    <w:rsid w:val="00F6785F"/>
    <w:rsid w:val="00F67890"/>
    <w:rsid w:val="00F67A09"/>
    <w:rsid w:val="00F67A20"/>
    <w:rsid w:val="00F67A2A"/>
    <w:rsid w:val="00F67A34"/>
    <w:rsid w:val="00F67A59"/>
    <w:rsid w:val="00F67A64"/>
    <w:rsid w:val="00F67A84"/>
    <w:rsid w:val="00F67A9E"/>
    <w:rsid w:val="00F67ADB"/>
    <w:rsid w:val="00F67AE1"/>
    <w:rsid w:val="00F67B50"/>
    <w:rsid w:val="00F67B60"/>
    <w:rsid w:val="00F67B68"/>
    <w:rsid w:val="00F67BAE"/>
    <w:rsid w:val="00F67C53"/>
    <w:rsid w:val="00F67C61"/>
    <w:rsid w:val="00F67CA0"/>
    <w:rsid w:val="00F67CC4"/>
    <w:rsid w:val="00F67CD7"/>
    <w:rsid w:val="00F67D1F"/>
    <w:rsid w:val="00F67D24"/>
    <w:rsid w:val="00F67D27"/>
    <w:rsid w:val="00F67D2C"/>
    <w:rsid w:val="00F67D66"/>
    <w:rsid w:val="00F67D7D"/>
    <w:rsid w:val="00F67DB4"/>
    <w:rsid w:val="00F67DDF"/>
    <w:rsid w:val="00F67DE9"/>
    <w:rsid w:val="00F67DF3"/>
    <w:rsid w:val="00F67E15"/>
    <w:rsid w:val="00F67E28"/>
    <w:rsid w:val="00F67EB3"/>
    <w:rsid w:val="00F67EB8"/>
    <w:rsid w:val="00F67EDB"/>
    <w:rsid w:val="00F67EDD"/>
    <w:rsid w:val="00F67F32"/>
    <w:rsid w:val="00F67F38"/>
    <w:rsid w:val="00F67F44"/>
    <w:rsid w:val="00F67F5F"/>
    <w:rsid w:val="00F67F69"/>
    <w:rsid w:val="00F67F75"/>
    <w:rsid w:val="00F67F83"/>
    <w:rsid w:val="00F67FA7"/>
    <w:rsid w:val="00F67FB1"/>
    <w:rsid w:val="00F67FE2"/>
    <w:rsid w:val="00F70019"/>
    <w:rsid w:val="00F70116"/>
    <w:rsid w:val="00F70121"/>
    <w:rsid w:val="00F70159"/>
    <w:rsid w:val="00F7019A"/>
    <w:rsid w:val="00F701D5"/>
    <w:rsid w:val="00F701F0"/>
    <w:rsid w:val="00F70232"/>
    <w:rsid w:val="00F7024B"/>
    <w:rsid w:val="00F702AD"/>
    <w:rsid w:val="00F702D2"/>
    <w:rsid w:val="00F702FF"/>
    <w:rsid w:val="00F70306"/>
    <w:rsid w:val="00F70314"/>
    <w:rsid w:val="00F703B3"/>
    <w:rsid w:val="00F703DC"/>
    <w:rsid w:val="00F7046F"/>
    <w:rsid w:val="00F704AF"/>
    <w:rsid w:val="00F704BF"/>
    <w:rsid w:val="00F70537"/>
    <w:rsid w:val="00F70549"/>
    <w:rsid w:val="00F7056B"/>
    <w:rsid w:val="00F705C4"/>
    <w:rsid w:val="00F705CF"/>
    <w:rsid w:val="00F705D9"/>
    <w:rsid w:val="00F70610"/>
    <w:rsid w:val="00F70630"/>
    <w:rsid w:val="00F70632"/>
    <w:rsid w:val="00F70648"/>
    <w:rsid w:val="00F70650"/>
    <w:rsid w:val="00F7065E"/>
    <w:rsid w:val="00F70667"/>
    <w:rsid w:val="00F70785"/>
    <w:rsid w:val="00F7080A"/>
    <w:rsid w:val="00F70848"/>
    <w:rsid w:val="00F7084D"/>
    <w:rsid w:val="00F708B1"/>
    <w:rsid w:val="00F70935"/>
    <w:rsid w:val="00F70963"/>
    <w:rsid w:val="00F70998"/>
    <w:rsid w:val="00F709B9"/>
    <w:rsid w:val="00F709DF"/>
    <w:rsid w:val="00F70A58"/>
    <w:rsid w:val="00F70A62"/>
    <w:rsid w:val="00F70A63"/>
    <w:rsid w:val="00F70A72"/>
    <w:rsid w:val="00F70AA5"/>
    <w:rsid w:val="00F70AA6"/>
    <w:rsid w:val="00F70AC9"/>
    <w:rsid w:val="00F70B61"/>
    <w:rsid w:val="00F70BA6"/>
    <w:rsid w:val="00F70C0D"/>
    <w:rsid w:val="00F70C15"/>
    <w:rsid w:val="00F70D45"/>
    <w:rsid w:val="00F70D89"/>
    <w:rsid w:val="00F70D9E"/>
    <w:rsid w:val="00F70DB0"/>
    <w:rsid w:val="00F70DF9"/>
    <w:rsid w:val="00F70E50"/>
    <w:rsid w:val="00F70E63"/>
    <w:rsid w:val="00F70E64"/>
    <w:rsid w:val="00F70EAC"/>
    <w:rsid w:val="00F70EDE"/>
    <w:rsid w:val="00F70F0E"/>
    <w:rsid w:val="00F7103F"/>
    <w:rsid w:val="00F710EA"/>
    <w:rsid w:val="00F71107"/>
    <w:rsid w:val="00F7115D"/>
    <w:rsid w:val="00F711C8"/>
    <w:rsid w:val="00F711CC"/>
    <w:rsid w:val="00F71241"/>
    <w:rsid w:val="00F71243"/>
    <w:rsid w:val="00F71287"/>
    <w:rsid w:val="00F71308"/>
    <w:rsid w:val="00F713AE"/>
    <w:rsid w:val="00F713B0"/>
    <w:rsid w:val="00F713C5"/>
    <w:rsid w:val="00F7140D"/>
    <w:rsid w:val="00F71428"/>
    <w:rsid w:val="00F71436"/>
    <w:rsid w:val="00F7145A"/>
    <w:rsid w:val="00F714D0"/>
    <w:rsid w:val="00F714E9"/>
    <w:rsid w:val="00F714EB"/>
    <w:rsid w:val="00F714F3"/>
    <w:rsid w:val="00F7150A"/>
    <w:rsid w:val="00F71522"/>
    <w:rsid w:val="00F7154A"/>
    <w:rsid w:val="00F715BC"/>
    <w:rsid w:val="00F7165B"/>
    <w:rsid w:val="00F716E9"/>
    <w:rsid w:val="00F716F4"/>
    <w:rsid w:val="00F71747"/>
    <w:rsid w:val="00F71758"/>
    <w:rsid w:val="00F71762"/>
    <w:rsid w:val="00F717A0"/>
    <w:rsid w:val="00F717A9"/>
    <w:rsid w:val="00F7187A"/>
    <w:rsid w:val="00F718E0"/>
    <w:rsid w:val="00F71937"/>
    <w:rsid w:val="00F71A4E"/>
    <w:rsid w:val="00F71A54"/>
    <w:rsid w:val="00F71AB1"/>
    <w:rsid w:val="00F71AEB"/>
    <w:rsid w:val="00F71B20"/>
    <w:rsid w:val="00F71B59"/>
    <w:rsid w:val="00F71B71"/>
    <w:rsid w:val="00F71B8D"/>
    <w:rsid w:val="00F71BE5"/>
    <w:rsid w:val="00F71C26"/>
    <w:rsid w:val="00F71C4D"/>
    <w:rsid w:val="00F71CD0"/>
    <w:rsid w:val="00F71D04"/>
    <w:rsid w:val="00F71D57"/>
    <w:rsid w:val="00F71D77"/>
    <w:rsid w:val="00F71D88"/>
    <w:rsid w:val="00F71E0E"/>
    <w:rsid w:val="00F71FDC"/>
    <w:rsid w:val="00F72015"/>
    <w:rsid w:val="00F720CA"/>
    <w:rsid w:val="00F72193"/>
    <w:rsid w:val="00F721C8"/>
    <w:rsid w:val="00F721D1"/>
    <w:rsid w:val="00F721E9"/>
    <w:rsid w:val="00F7221A"/>
    <w:rsid w:val="00F7221F"/>
    <w:rsid w:val="00F72262"/>
    <w:rsid w:val="00F7227C"/>
    <w:rsid w:val="00F722C9"/>
    <w:rsid w:val="00F722D1"/>
    <w:rsid w:val="00F722DB"/>
    <w:rsid w:val="00F7230A"/>
    <w:rsid w:val="00F723A8"/>
    <w:rsid w:val="00F723D2"/>
    <w:rsid w:val="00F723F4"/>
    <w:rsid w:val="00F72408"/>
    <w:rsid w:val="00F7240A"/>
    <w:rsid w:val="00F72426"/>
    <w:rsid w:val="00F7242C"/>
    <w:rsid w:val="00F72432"/>
    <w:rsid w:val="00F724EE"/>
    <w:rsid w:val="00F724F7"/>
    <w:rsid w:val="00F7257A"/>
    <w:rsid w:val="00F725EF"/>
    <w:rsid w:val="00F72603"/>
    <w:rsid w:val="00F72613"/>
    <w:rsid w:val="00F7263D"/>
    <w:rsid w:val="00F72694"/>
    <w:rsid w:val="00F72761"/>
    <w:rsid w:val="00F7276F"/>
    <w:rsid w:val="00F7277C"/>
    <w:rsid w:val="00F72785"/>
    <w:rsid w:val="00F727B1"/>
    <w:rsid w:val="00F727DA"/>
    <w:rsid w:val="00F727DD"/>
    <w:rsid w:val="00F72826"/>
    <w:rsid w:val="00F72834"/>
    <w:rsid w:val="00F728C3"/>
    <w:rsid w:val="00F7290F"/>
    <w:rsid w:val="00F7292D"/>
    <w:rsid w:val="00F7293C"/>
    <w:rsid w:val="00F72960"/>
    <w:rsid w:val="00F729C4"/>
    <w:rsid w:val="00F72A5E"/>
    <w:rsid w:val="00F72A6E"/>
    <w:rsid w:val="00F72A7B"/>
    <w:rsid w:val="00F72AFA"/>
    <w:rsid w:val="00F72B45"/>
    <w:rsid w:val="00F72B49"/>
    <w:rsid w:val="00F72B59"/>
    <w:rsid w:val="00F72B5F"/>
    <w:rsid w:val="00F72B8A"/>
    <w:rsid w:val="00F72C32"/>
    <w:rsid w:val="00F72D5E"/>
    <w:rsid w:val="00F72D9D"/>
    <w:rsid w:val="00F72DE3"/>
    <w:rsid w:val="00F72E17"/>
    <w:rsid w:val="00F72E43"/>
    <w:rsid w:val="00F72E7C"/>
    <w:rsid w:val="00F72F01"/>
    <w:rsid w:val="00F72F1D"/>
    <w:rsid w:val="00F72F79"/>
    <w:rsid w:val="00F72FB5"/>
    <w:rsid w:val="00F72FC5"/>
    <w:rsid w:val="00F72FF0"/>
    <w:rsid w:val="00F72FFA"/>
    <w:rsid w:val="00F73014"/>
    <w:rsid w:val="00F73031"/>
    <w:rsid w:val="00F73037"/>
    <w:rsid w:val="00F73071"/>
    <w:rsid w:val="00F73081"/>
    <w:rsid w:val="00F73084"/>
    <w:rsid w:val="00F7308F"/>
    <w:rsid w:val="00F73096"/>
    <w:rsid w:val="00F7311A"/>
    <w:rsid w:val="00F73120"/>
    <w:rsid w:val="00F73143"/>
    <w:rsid w:val="00F731E4"/>
    <w:rsid w:val="00F73201"/>
    <w:rsid w:val="00F73220"/>
    <w:rsid w:val="00F73253"/>
    <w:rsid w:val="00F73256"/>
    <w:rsid w:val="00F732EB"/>
    <w:rsid w:val="00F732F1"/>
    <w:rsid w:val="00F7331A"/>
    <w:rsid w:val="00F73332"/>
    <w:rsid w:val="00F733F3"/>
    <w:rsid w:val="00F73422"/>
    <w:rsid w:val="00F73482"/>
    <w:rsid w:val="00F73490"/>
    <w:rsid w:val="00F73507"/>
    <w:rsid w:val="00F73532"/>
    <w:rsid w:val="00F7360E"/>
    <w:rsid w:val="00F7361B"/>
    <w:rsid w:val="00F7363F"/>
    <w:rsid w:val="00F73688"/>
    <w:rsid w:val="00F736F4"/>
    <w:rsid w:val="00F7376C"/>
    <w:rsid w:val="00F73789"/>
    <w:rsid w:val="00F737F2"/>
    <w:rsid w:val="00F73802"/>
    <w:rsid w:val="00F73845"/>
    <w:rsid w:val="00F73888"/>
    <w:rsid w:val="00F73921"/>
    <w:rsid w:val="00F73941"/>
    <w:rsid w:val="00F73983"/>
    <w:rsid w:val="00F7398E"/>
    <w:rsid w:val="00F739BF"/>
    <w:rsid w:val="00F739E6"/>
    <w:rsid w:val="00F739F2"/>
    <w:rsid w:val="00F73A58"/>
    <w:rsid w:val="00F73A66"/>
    <w:rsid w:val="00F73AF0"/>
    <w:rsid w:val="00F73AFE"/>
    <w:rsid w:val="00F73B12"/>
    <w:rsid w:val="00F73B20"/>
    <w:rsid w:val="00F73B36"/>
    <w:rsid w:val="00F73B67"/>
    <w:rsid w:val="00F73B72"/>
    <w:rsid w:val="00F73BB2"/>
    <w:rsid w:val="00F73BBA"/>
    <w:rsid w:val="00F73C3D"/>
    <w:rsid w:val="00F73C75"/>
    <w:rsid w:val="00F73CA0"/>
    <w:rsid w:val="00F73CDC"/>
    <w:rsid w:val="00F73D99"/>
    <w:rsid w:val="00F73DB0"/>
    <w:rsid w:val="00F73DDF"/>
    <w:rsid w:val="00F73DFC"/>
    <w:rsid w:val="00F73E2E"/>
    <w:rsid w:val="00F73E32"/>
    <w:rsid w:val="00F73E6A"/>
    <w:rsid w:val="00F73E6E"/>
    <w:rsid w:val="00F73E7D"/>
    <w:rsid w:val="00F73E87"/>
    <w:rsid w:val="00F73ED3"/>
    <w:rsid w:val="00F73F14"/>
    <w:rsid w:val="00F73F3C"/>
    <w:rsid w:val="00F73F4B"/>
    <w:rsid w:val="00F73F71"/>
    <w:rsid w:val="00F73FD8"/>
    <w:rsid w:val="00F74000"/>
    <w:rsid w:val="00F7402B"/>
    <w:rsid w:val="00F74070"/>
    <w:rsid w:val="00F74088"/>
    <w:rsid w:val="00F74094"/>
    <w:rsid w:val="00F740C2"/>
    <w:rsid w:val="00F740D4"/>
    <w:rsid w:val="00F74111"/>
    <w:rsid w:val="00F7413D"/>
    <w:rsid w:val="00F74140"/>
    <w:rsid w:val="00F74148"/>
    <w:rsid w:val="00F7419F"/>
    <w:rsid w:val="00F741D0"/>
    <w:rsid w:val="00F741EE"/>
    <w:rsid w:val="00F74237"/>
    <w:rsid w:val="00F742BF"/>
    <w:rsid w:val="00F7434B"/>
    <w:rsid w:val="00F74391"/>
    <w:rsid w:val="00F743A9"/>
    <w:rsid w:val="00F743BA"/>
    <w:rsid w:val="00F74466"/>
    <w:rsid w:val="00F74475"/>
    <w:rsid w:val="00F74491"/>
    <w:rsid w:val="00F74494"/>
    <w:rsid w:val="00F7458F"/>
    <w:rsid w:val="00F745CF"/>
    <w:rsid w:val="00F745D6"/>
    <w:rsid w:val="00F745D7"/>
    <w:rsid w:val="00F745DA"/>
    <w:rsid w:val="00F745DF"/>
    <w:rsid w:val="00F745E6"/>
    <w:rsid w:val="00F74620"/>
    <w:rsid w:val="00F74664"/>
    <w:rsid w:val="00F74690"/>
    <w:rsid w:val="00F7474B"/>
    <w:rsid w:val="00F747AB"/>
    <w:rsid w:val="00F747AE"/>
    <w:rsid w:val="00F747F2"/>
    <w:rsid w:val="00F7486D"/>
    <w:rsid w:val="00F7487F"/>
    <w:rsid w:val="00F7489E"/>
    <w:rsid w:val="00F748D5"/>
    <w:rsid w:val="00F74970"/>
    <w:rsid w:val="00F74985"/>
    <w:rsid w:val="00F74AAE"/>
    <w:rsid w:val="00F74AE8"/>
    <w:rsid w:val="00F74AEC"/>
    <w:rsid w:val="00F74B39"/>
    <w:rsid w:val="00F74B55"/>
    <w:rsid w:val="00F74B71"/>
    <w:rsid w:val="00F74BF1"/>
    <w:rsid w:val="00F74BF2"/>
    <w:rsid w:val="00F74BF8"/>
    <w:rsid w:val="00F74C5F"/>
    <w:rsid w:val="00F74DBD"/>
    <w:rsid w:val="00F74DC6"/>
    <w:rsid w:val="00F74DD2"/>
    <w:rsid w:val="00F74DF1"/>
    <w:rsid w:val="00F74DFD"/>
    <w:rsid w:val="00F74E53"/>
    <w:rsid w:val="00F74EFA"/>
    <w:rsid w:val="00F74F01"/>
    <w:rsid w:val="00F74F31"/>
    <w:rsid w:val="00F74F44"/>
    <w:rsid w:val="00F74F76"/>
    <w:rsid w:val="00F74F9C"/>
    <w:rsid w:val="00F74FA1"/>
    <w:rsid w:val="00F75033"/>
    <w:rsid w:val="00F750CE"/>
    <w:rsid w:val="00F750D6"/>
    <w:rsid w:val="00F75156"/>
    <w:rsid w:val="00F75180"/>
    <w:rsid w:val="00F751BA"/>
    <w:rsid w:val="00F751E7"/>
    <w:rsid w:val="00F75209"/>
    <w:rsid w:val="00F75213"/>
    <w:rsid w:val="00F75227"/>
    <w:rsid w:val="00F75236"/>
    <w:rsid w:val="00F75312"/>
    <w:rsid w:val="00F75319"/>
    <w:rsid w:val="00F75325"/>
    <w:rsid w:val="00F7533D"/>
    <w:rsid w:val="00F75390"/>
    <w:rsid w:val="00F753F6"/>
    <w:rsid w:val="00F753F9"/>
    <w:rsid w:val="00F75402"/>
    <w:rsid w:val="00F75406"/>
    <w:rsid w:val="00F7540A"/>
    <w:rsid w:val="00F75497"/>
    <w:rsid w:val="00F754AC"/>
    <w:rsid w:val="00F75512"/>
    <w:rsid w:val="00F7552F"/>
    <w:rsid w:val="00F7553E"/>
    <w:rsid w:val="00F755DB"/>
    <w:rsid w:val="00F75604"/>
    <w:rsid w:val="00F75681"/>
    <w:rsid w:val="00F756C5"/>
    <w:rsid w:val="00F75707"/>
    <w:rsid w:val="00F75716"/>
    <w:rsid w:val="00F757B8"/>
    <w:rsid w:val="00F75841"/>
    <w:rsid w:val="00F75853"/>
    <w:rsid w:val="00F7586A"/>
    <w:rsid w:val="00F75870"/>
    <w:rsid w:val="00F758BB"/>
    <w:rsid w:val="00F75920"/>
    <w:rsid w:val="00F7594F"/>
    <w:rsid w:val="00F759AC"/>
    <w:rsid w:val="00F75A24"/>
    <w:rsid w:val="00F75A6B"/>
    <w:rsid w:val="00F75A75"/>
    <w:rsid w:val="00F75A98"/>
    <w:rsid w:val="00F75B9A"/>
    <w:rsid w:val="00F75BCB"/>
    <w:rsid w:val="00F75C2D"/>
    <w:rsid w:val="00F75C76"/>
    <w:rsid w:val="00F75C7B"/>
    <w:rsid w:val="00F75C83"/>
    <w:rsid w:val="00F75CBD"/>
    <w:rsid w:val="00F75CEB"/>
    <w:rsid w:val="00F75CF6"/>
    <w:rsid w:val="00F75D2D"/>
    <w:rsid w:val="00F75D52"/>
    <w:rsid w:val="00F75D9C"/>
    <w:rsid w:val="00F75DC8"/>
    <w:rsid w:val="00F75DDE"/>
    <w:rsid w:val="00F75E04"/>
    <w:rsid w:val="00F75E10"/>
    <w:rsid w:val="00F75E52"/>
    <w:rsid w:val="00F75E5C"/>
    <w:rsid w:val="00F75E67"/>
    <w:rsid w:val="00F75F23"/>
    <w:rsid w:val="00F75F58"/>
    <w:rsid w:val="00F75FC1"/>
    <w:rsid w:val="00F75FC6"/>
    <w:rsid w:val="00F75FFB"/>
    <w:rsid w:val="00F76016"/>
    <w:rsid w:val="00F76076"/>
    <w:rsid w:val="00F76095"/>
    <w:rsid w:val="00F760A2"/>
    <w:rsid w:val="00F760A7"/>
    <w:rsid w:val="00F760B4"/>
    <w:rsid w:val="00F760E2"/>
    <w:rsid w:val="00F760F6"/>
    <w:rsid w:val="00F760FC"/>
    <w:rsid w:val="00F7612B"/>
    <w:rsid w:val="00F7614C"/>
    <w:rsid w:val="00F76171"/>
    <w:rsid w:val="00F7617A"/>
    <w:rsid w:val="00F76183"/>
    <w:rsid w:val="00F7618C"/>
    <w:rsid w:val="00F761C0"/>
    <w:rsid w:val="00F761D7"/>
    <w:rsid w:val="00F76214"/>
    <w:rsid w:val="00F7622F"/>
    <w:rsid w:val="00F76240"/>
    <w:rsid w:val="00F7625E"/>
    <w:rsid w:val="00F7627E"/>
    <w:rsid w:val="00F762B7"/>
    <w:rsid w:val="00F762D3"/>
    <w:rsid w:val="00F762E9"/>
    <w:rsid w:val="00F762F9"/>
    <w:rsid w:val="00F76387"/>
    <w:rsid w:val="00F763F0"/>
    <w:rsid w:val="00F76426"/>
    <w:rsid w:val="00F76433"/>
    <w:rsid w:val="00F764CE"/>
    <w:rsid w:val="00F764F7"/>
    <w:rsid w:val="00F76505"/>
    <w:rsid w:val="00F7651C"/>
    <w:rsid w:val="00F76607"/>
    <w:rsid w:val="00F76638"/>
    <w:rsid w:val="00F76639"/>
    <w:rsid w:val="00F7666C"/>
    <w:rsid w:val="00F76686"/>
    <w:rsid w:val="00F76695"/>
    <w:rsid w:val="00F76709"/>
    <w:rsid w:val="00F76756"/>
    <w:rsid w:val="00F767B1"/>
    <w:rsid w:val="00F767FA"/>
    <w:rsid w:val="00F7684B"/>
    <w:rsid w:val="00F76864"/>
    <w:rsid w:val="00F768A4"/>
    <w:rsid w:val="00F768CE"/>
    <w:rsid w:val="00F7697C"/>
    <w:rsid w:val="00F7698B"/>
    <w:rsid w:val="00F769B7"/>
    <w:rsid w:val="00F769C6"/>
    <w:rsid w:val="00F769D6"/>
    <w:rsid w:val="00F76A1F"/>
    <w:rsid w:val="00F76A35"/>
    <w:rsid w:val="00F76A52"/>
    <w:rsid w:val="00F76AA3"/>
    <w:rsid w:val="00F76AA9"/>
    <w:rsid w:val="00F76AC2"/>
    <w:rsid w:val="00F76C03"/>
    <w:rsid w:val="00F76CB0"/>
    <w:rsid w:val="00F76CDC"/>
    <w:rsid w:val="00F76D41"/>
    <w:rsid w:val="00F76D8C"/>
    <w:rsid w:val="00F76D8F"/>
    <w:rsid w:val="00F76DA0"/>
    <w:rsid w:val="00F76DA9"/>
    <w:rsid w:val="00F76DBE"/>
    <w:rsid w:val="00F76DD9"/>
    <w:rsid w:val="00F76E41"/>
    <w:rsid w:val="00F76E64"/>
    <w:rsid w:val="00F76E66"/>
    <w:rsid w:val="00F76E8B"/>
    <w:rsid w:val="00F76E95"/>
    <w:rsid w:val="00F76EB8"/>
    <w:rsid w:val="00F76F11"/>
    <w:rsid w:val="00F76F18"/>
    <w:rsid w:val="00F76F37"/>
    <w:rsid w:val="00F7700E"/>
    <w:rsid w:val="00F77039"/>
    <w:rsid w:val="00F7705F"/>
    <w:rsid w:val="00F77068"/>
    <w:rsid w:val="00F77092"/>
    <w:rsid w:val="00F770CA"/>
    <w:rsid w:val="00F770F9"/>
    <w:rsid w:val="00F77125"/>
    <w:rsid w:val="00F77157"/>
    <w:rsid w:val="00F77189"/>
    <w:rsid w:val="00F771E6"/>
    <w:rsid w:val="00F771F1"/>
    <w:rsid w:val="00F771FB"/>
    <w:rsid w:val="00F7725E"/>
    <w:rsid w:val="00F772EE"/>
    <w:rsid w:val="00F772FA"/>
    <w:rsid w:val="00F77350"/>
    <w:rsid w:val="00F77372"/>
    <w:rsid w:val="00F773B2"/>
    <w:rsid w:val="00F774BB"/>
    <w:rsid w:val="00F77551"/>
    <w:rsid w:val="00F77596"/>
    <w:rsid w:val="00F775F0"/>
    <w:rsid w:val="00F77657"/>
    <w:rsid w:val="00F7766A"/>
    <w:rsid w:val="00F77678"/>
    <w:rsid w:val="00F7769B"/>
    <w:rsid w:val="00F776CF"/>
    <w:rsid w:val="00F77710"/>
    <w:rsid w:val="00F7771A"/>
    <w:rsid w:val="00F7774B"/>
    <w:rsid w:val="00F77759"/>
    <w:rsid w:val="00F77817"/>
    <w:rsid w:val="00F77838"/>
    <w:rsid w:val="00F77870"/>
    <w:rsid w:val="00F77886"/>
    <w:rsid w:val="00F778B8"/>
    <w:rsid w:val="00F778D6"/>
    <w:rsid w:val="00F778F5"/>
    <w:rsid w:val="00F778F7"/>
    <w:rsid w:val="00F778F9"/>
    <w:rsid w:val="00F7790B"/>
    <w:rsid w:val="00F7791C"/>
    <w:rsid w:val="00F7793B"/>
    <w:rsid w:val="00F7793F"/>
    <w:rsid w:val="00F7796B"/>
    <w:rsid w:val="00F779EA"/>
    <w:rsid w:val="00F77A56"/>
    <w:rsid w:val="00F77A6D"/>
    <w:rsid w:val="00F77AC3"/>
    <w:rsid w:val="00F77ADA"/>
    <w:rsid w:val="00F77B04"/>
    <w:rsid w:val="00F77B07"/>
    <w:rsid w:val="00F77B13"/>
    <w:rsid w:val="00F77B5A"/>
    <w:rsid w:val="00F77B5C"/>
    <w:rsid w:val="00F77B72"/>
    <w:rsid w:val="00F77B99"/>
    <w:rsid w:val="00F77BDF"/>
    <w:rsid w:val="00F77C32"/>
    <w:rsid w:val="00F77D15"/>
    <w:rsid w:val="00F77D32"/>
    <w:rsid w:val="00F77D93"/>
    <w:rsid w:val="00F77DA8"/>
    <w:rsid w:val="00F77DE9"/>
    <w:rsid w:val="00F77DEE"/>
    <w:rsid w:val="00F77DF1"/>
    <w:rsid w:val="00F77E0B"/>
    <w:rsid w:val="00F77ED0"/>
    <w:rsid w:val="00F77ED6"/>
    <w:rsid w:val="00F77EE3"/>
    <w:rsid w:val="00F77F0C"/>
    <w:rsid w:val="00F77F9B"/>
    <w:rsid w:val="00F77FAF"/>
    <w:rsid w:val="00F77FC4"/>
    <w:rsid w:val="00F80019"/>
    <w:rsid w:val="00F80039"/>
    <w:rsid w:val="00F80049"/>
    <w:rsid w:val="00F800C3"/>
    <w:rsid w:val="00F800C9"/>
    <w:rsid w:val="00F80105"/>
    <w:rsid w:val="00F8018B"/>
    <w:rsid w:val="00F80196"/>
    <w:rsid w:val="00F8026B"/>
    <w:rsid w:val="00F80274"/>
    <w:rsid w:val="00F80375"/>
    <w:rsid w:val="00F8038A"/>
    <w:rsid w:val="00F803A5"/>
    <w:rsid w:val="00F803AD"/>
    <w:rsid w:val="00F803EF"/>
    <w:rsid w:val="00F80456"/>
    <w:rsid w:val="00F80492"/>
    <w:rsid w:val="00F804AD"/>
    <w:rsid w:val="00F804C0"/>
    <w:rsid w:val="00F804CA"/>
    <w:rsid w:val="00F8051C"/>
    <w:rsid w:val="00F8053B"/>
    <w:rsid w:val="00F80588"/>
    <w:rsid w:val="00F80595"/>
    <w:rsid w:val="00F805A7"/>
    <w:rsid w:val="00F80609"/>
    <w:rsid w:val="00F806D6"/>
    <w:rsid w:val="00F80712"/>
    <w:rsid w:val="00F80749"/>
    <w:rsid w:val="00F8079B"/>
    <w:rsid w:val="00F807BF"/>
    <w:rsid w:val="00F807E3"/>
    <w:rsid w:val="00F8086B"/>
    <w:rsid w:val="00F8087F"/>
    <w:rsid w:val="00F808AC"/>
    <w:rsid w:val="00F80911"/>
    <w:rsid w:val="00F80920"/>
    <w:rsid w:val="00F80942"/>
    <w:rsid w:val="00F80946"/>
    <w:rsid w:val="00F80947"/>
    <w:rsid w:val="00F80975"/>
    <w:rsid w:val="00F809A6"/>
    <w:rsid w:val="00F80A31"/>
    <w:rsid w:val="00F80A75"/>
    <w:rsid w:val="00F80A76"/>
    <w:rsid w:val="00F80A80"/>
    <w:rsid w:val="00F80AA3"/>
    <w:rsid w:val="00F80AE4"/>
    <w:rsid w:val="00F80AF1"/>
    <w:rsid w:val="00F80AF7"/>
    <w:rsid w:val="00F80B26"/>
    <w:rsid w:val="00F80B3D"/>
    <w:rsid w:val="00F80B45"/>
    <w:rsid w:val="00F80BE4"/>
    <w:rsid w:val="00F80BF8"/>
    <w:rsid w:val="00F80BF9"/>
    <w:rsid w:val="00F80C1E"/>
    <w:rsid w:val="00F80C43"/>
    <w:rsid w:val="00F80D1C"/>
    <w:rsid w:val="00F80D1F"/>
    <w:rsid w:val="00F80DDC"/>
    <w:rsid w:val="00F80DE0"/>
    <w:rsid w:val="00F80E3C"/>
    <w:rsid w:val="00F80E82"/>
    <w:rsid w:val="00F80E87"/>
    <w:rsid w:val="00F80E94"/>
    <w:rsid w:val="00F80EDE"/>
    <w:rsid w:val="00F80FA3"/>
    <w:rsid w:val="00F80FC3"/>
    <w:rsid w:val="00F80FCB"/>
    <w:rsid w:val="00F81002"/>
    <w:rsid w:val="00F81058"/>
    <w:rsid w:val="00F81060"/>
    <w:rsid w:val="00F81095"/>
    <w:rsid w:val="00F810E5"/>
    <w:rsid w:val="00F81101"/>
    <w:rsid w:val="00F81152"/>
    <w:rsid w:val="00F8115F"/>
    <w:rsid w:val="00F811B7"/>
    <w:rsid w:val="00F811CB"/>
    <w:rsid w:val="00F8122C"/>
    <w:rsid w:val="00F81230"/>
    <w:rsid w:val="00F812B3"/>
    <w:rsid w:val="00F812B7"/>
    <w:rsid w:val="00F812BC"/>
    <w:rsid w:val="00F81304"/>
    <w:rsid w:val="00F8131B"/>
    <w:rsid w:val="00F8131D"/>
    <w:rsid w:val="00F81371"/>
    <w:rsid w:val="00F81374"/>
    <w:rsid w:val="00F813F9"/>
    <w:rsid w:val="00F81409"/>
    <w:rsid w:val="00F8141D"/>
    <w:rsid w:val="00F81442"/>
    <w:rsid w:val="00F81447"/>
    <w:rsid w:val="00F81453"/>
    <w:rsid w:val="00F81459"/>
    <w:rsid w:val="00F81499"/>
    <w:rsid w:val="00F814BB"/>
    <w:rsid w:val="00F814D2"/>
    <w:rsid w:val="00F814D9"/>
    <w:rsid w:val="00F81620"/>
    <w:rsid w:val="00F81635"/>
    <w:rsid w:val="00F8164D"/>
    <w:rsid w:val="00F81699"/>
    <w:rsid w:val="00F816A0"/>
    <w:rsid w:val="00F816CE"/>
    <w:rsid w:val="00F816F3"/>
    <w:rsid w:val="00F81716"/>
    <w:rsid w:val="00F81746"/>
    <w:rsid w:val="00F817A7"/>
    <w:rsid w:val="00F817B4"/>
    <w:rsid w:val="00F817F4"/>
    <w:rsid w:val="00F817F6"/>
    <w:rsid w:val="00F817FE"/>
    <w:rsid w:val="00F8180F"/>
    <w:rsid w:val="00F81816"/>
    <w:rsid w:val="00F81834"/>
    <w:rsid w:val="00F81885"/>
    <w:rsid w:val="00F81951"/>
    <w:rsid w:val="00F8196F"/>
    <w:rsid w:val="00F819C9"/>
    <w:rsid w:val="00F81A12"/>
    <w:rsid w:val="00F81A1D"/>
    <w:rsid w:val="00F81A49"/>
    <w:rsid w:val="00F81A50"/>
    <w:rsid w:val="00F81A7E"/>
    <w:rsid w:val="00F81AAC"/>
    <w:rsid w:val="00F81AE7"/>
    <w:rsid w:val="00F81B22"/>
    <w:rsid w:val="00F81B77"/>
    <w:rsid w:val="00F81BEC"/>
    <w:rsid w:val="00F81BFF"/>
    <w:rsid w:val="00F81C6B"/>
    <w:rsid w:val="00F81C94"/>
    <w:rsid w:val="00F81D0E"/>
    <w:rsid w:val="00F81D34"/>
    <w:rsid w:val="00F81D5E"/>
    <w:rsid w:val="00F81D87"/>
    <w:rsid w:val="00F81DA2"/>
    <w:rsid w:val="00F81DC9"/>
    <w:rsid w:val="00F81DEB"/>
    <w:rsid w:val="00F81E3E"/>
    <w:rsid w:val="00F81EAF"/>
    <w:rsid w:val="00F81F51"/>
    <w:rsid w:val="00F81F59"/>
    <w:rsid w:val="00F81F77"/>
    <w:rsid w:val="00F81F95"/>
    <w:rsid w:val="00F81FD7"/>
    <w:rsid w:val="00F82063"/>
    <w:rsid w:val="00F8206B"/>
    <w:rsid w:val="00F8207E"/>
    <w:rsid w:val="00F820C0"/>
    <w:rsid w:val="00F82123"/>
    <w:rsid w:val="00F82143"/>
    <w:rsid w:val="00F82179"/>
    <w:rsid w:val="00F821C4"/>
    <w:rsid w:val="00F8223B"/>
    <w:rsid w:val="00F82259"/>
    <w:rsid w:val="00F822A1"/>
    <w:rsid w:val="00F822BE"/>
    <w:rsid w:val="00F822DC"/>
    <w:rsid w:val="00F8230B"/>
    <w:rsid w:val="00F82406"/>
    <w:rsid w:val="00F82422"/>
    <w:rsid w:val="00F82457"/>
    <w:rsid w:val="00F82460"/>
    <w:rsid w:val="00F824E6"/>
    <w:rsid w:val="00F8250C"/>
    <w:rsid w:val="00F82551"/>
    <w:rsid w:val="00F825B2"/>
    <w:rsid w:val="00F825F2"/>
    <w:rsid w:val="00F82629"/>
    <w:rsid w:val="00F82670"/>
    <w:rsid w:val="00F826BD"/>
    <w:rsid w:val="00F826F5"/>
    <w:rsid w:val="00F82745"/>
    <w:rsid w:val="00F8274F"/>
    <w:rsid w:val="00F82755"/>
    <w:rsid w:val="00F82772"/>
    <w:rsid w:val="00F827B0"/>
    <w:rsid w:val="00F8282E"/>
    <w:rsid w:val="00F828C6"/>
    <w:rsid w:val="00F8290F"/>
    <w:rsid w:val="00F82957"/>
    <w:rsid w:val="00F82970"/>
    <w:rsid w:val="00F829C1"/>
    <w:rsid w:val="00F829EB"/>
    <w:rsid w:val="00F82A0B"/>
    <w:rsid w:val="00F82A0C"/>
    <w:rsid w:val="00F82A51"/>
    <w:rsid w:val="00F82A7E"/>
    <w:rsid w:val="00F82A82"/>
    <w:rsid w:val="00F82A92"/>
    <w:rsid w:val="00F82ACE"/>
    <w:rsid w:val="00F82B05"/>
    <w:rsid w:val="00F82B27"/>
    <w:rsid w:val="00F82B4D"/>
    <w:rsid w:val="00F82B50"/>
    <w:rsid w:val="00F82B75"/>
    <w:rsid w:val="00F82B84"/>
    <w:rsid w:val="00F82B91"/>
    <w:rsid w:val="00F82B94"/>
    <w:rsid w:val="00F82BDD"/>
    <w:rsid w:val="00F82C48"/>
    <w:rsid w:val="00F82C84"/>
    <w:rsid w:val="00F82CBA"/>
    <w:rsid w:val="00F82D0B"/>
    <w:rsid w:val="00F82D23"/>
    <w:rsid w:val="00F82DA0"/>
    <w:rsid w:val="00F82DC7"/>
    <w:rsid w:val="00F82DCF"/>
    <w:rsid w:val="00F82DD8"/>
    <w:rsid w:val="00F82DF8"/>
    <w:rsid w:val="00F82E21"/>
    <w:rsid w:val="00F82E83"/>
    <w:rsid w:val="00F82EC9"/>
    <w:rsid w:val="00F82EDF"/>
    <w:rsid w:val="00F82F07"/>
    <w:rsid w:val="00F82F10"/>
    <w:rsid w:val="00F82F5C"/>
    <w:rsid w:val="00F82FA5"/>
    <w:rsid w:val="00F83036"/>
    <w:rsid w:val="00F83039"/>
    <w:rsid w:val="00F8304C"/>
    <w:rsid w:val="00F8305F"/>
    <w:rsid w:val="00F8307F"/>
    <w:rsid w:val="00F83085"/>
    <w:rsid w:val="00F83094"/>
    <w:rsid w:val="00F83095"/>
    <w:rsid w:val="00F8312B"/>
    <w:rsid w:val="00F8314B"/>
    <w:rsid w:val="00F8315A"/>
    <w:rsid w:val="00F8316D"/>
    <w:rsid w:val="00F83180"/>
    <w:rsid w:val="00F83181"/>
    <w:rsid w:val="00F83183"/>
    <w:rsid w:val="00F831E7"/>
    <w:rsid w:val="00F831F0"/>
    <w:rsid w:val="00F8321D"/>
    <w:rsid w:val="00F83239"/>
    <w:rsid w:val="00F83245"/>
    <w:rsid w:val="00F83257"/>
    <w:rsid w:val="00F83266"/>
    <w:rsid w:val="00F83280"/>
    <w:rsid w:val="00F8328E"/>
    <w:rsid w:val="00F832C2"/>
    <w:rsid w:val="00F832DA"/>
    <w:rsid w:val="00F83390"/>
    <w:rsid w:val="00F83398"/>
    <w:rsid w:val="00F833CC"/>
    <w:rsid w:val="00F83470"/>
    <w:rsid w:val="00F83499"/>
    <w:rsid w:val="00F834AC"/>
    <w:rsid w:val="00F83518"/>
    <w:rsid w:val="00F83523"/>
    <w:rsid w:val="00F83552"/>
    <w:rsid w:val="00F8356B"/>
    <w:rsid w:val="00F835B2"/>
    <w:rsid w:val="00F835C7"/>
    <w:rsid w:val="00F835F5"/>
    <w:rsid w:val="00F83608"/>
    <w:rsid w:val="00F83612"/>
    <w:rsid w:val="00F83669"/>
    <w:rsid w:val="00F8368F"/>
    <w:rsid w:val="00F83691"/>
    <w:rsid w:val="00F836C9"/>
    <w:rsid w:val="00F836FF"/>
    <w:rsid w:val="00F8373B"/>
    <w:rsid w:val="00F8376D"/>
    <w:rsid w:val="00F83779"/>
    <w:rsid w:val="00F83788"/>
    <w:rsid w:val="00F837B5"/>
    <w:rsid w:val="00F83813"/>
    <w:rsid w:val="00F8383B"/>
    <w:rsid w:val="00F8385F"/>
    <w:rsid w:val="00F838CF"/>
    <w:rsid w:val="00F8390B"/>
    <w:rsid w:val="00F83962"/>
    <w:rsid w:val="00F839ED"/>
    <w:rsid w:val="00F83A48"/>
    <w:rsid w:val="00F83A4F"/>
    <w:rsid w:val="00F83A5F"/>
    <w:rsid w:val="00F83A97"/>
    <w:rsid w:val="00F83AAA"/>
    <w:rsid w:val="00F83B3D"/>
    <w:rsid w:val="00F83B43"/>
    <w:rsid w:val="00F83B6B"/>
    <w:rsid w:val="00F83C34"/>
    <w:rsid w:val="00F83C63"/>
    <w:rsid w:val="00F83C8F"/>
    <w:rsid w:val="00F83CC6"/>
    <w:rsid w:val="00F83CCF"/>
    <w:rsid w:val="00F83CDE"/>
    <w:rsid w:val="00F83CF2"/>
    <w:rsid w:val="00F83D4C"/>
    <w:rsid w:val="00F83D6D"/>
    <w:rsid w:val="00F83DB0"/>
    <w:rsid w:val="00F83DB6"/>
    <w:rsid w:val="00F83DF2"/>
    <w:rsid w:val="00F83DFD"/>
    <w:rsid w:val="00F83E29"/>
    <w:rsid w:val="00F83E3A"/>
    <w:rsid w:val="00F83EB9"/>
    <w:rsid w:val="00F83F37"/>
    <w:rsid w:val="00F83F44"/>
    <w:rsid w:val="00F83F9B"/>
    <w:rsid w:val="00F83FC1"/>
    <w:rsid w:val="00F83FE5"/>
    <w:rsid w:val="00F84061"/>
    <w:rsid w:val="00F8407D"/>
    <w:rsid w:val="00F840E1"/>
    <w:rsid w:val="00F841AD"/>
    <w:rsid w:val="00F841FF"/>
    <w:rsid w:val="00F84238"/>
    <w:rsid w:val="00F8423E"/>
    <w:rsid w:val="00F84256"/>
    <w:rsid w:val="00F842B5"/>
    <w:rsid w:val="00F842B6"/>
    <w:rsid w:val="00F842B9"/>
    <w:rsid w:val="00F8437C"/>
    <w:rsid w:val="00F843C0"/>
    <w:rsid w:val="00F843C6"/>
    <w:rsid w:val="00F8441F"/>
    <w:rsid w:val="00F84464"/>
    <w:rsid w:val="00F84497"/>
    <w:rsid w:val="00F844AB"/>
    <w:rsid w:val="00F844BF"/>
    <w:rsid w:val="00F84574"/>
    <w:rsid w:val="00F84592"/>
    <w:rsid w:val="00F84598"/>
    <w:rsid w:val="00F845C1"/>
    <w:rsid w:val="00F845E0"/>
    <w:rsid w:val="00F84604"/>
    <w:rsid w:val="00F84668"/>
    <w:rsid w:val="00F84702"/>
    <w:rsid w:val="00F847A4"/>
    <w:rsid w:val="00F847EA"/>
    <w:rsid w:val="00F84800"/>
    <w:rsid w:val="00F8484B"/>
    <w:rsid w:val="00F848C4"/>
    <w:rsid w:val="00F848CB"/>
    <w:rsid w:val="00F84905"/>
    <w:rsid w:val="00F84958"/>
    <w:rsid w:val="00F84A0A"/>
    <w:rsid w:val="00F84A0F"/>
    <w:rsid w:val="00F84A21"/>
    <w:rsid w:val="00F84A4F"/>
    <w:rsid w:val="00F84A52"/>
    <w:rsid w:val="00F84A58"/>
    <w:rsid w:val="00F84A9B"/>
    <w:rsid w:val="00F84AC8"/>
    <w:rsid w:val="00F84ACC"/>
    <w:rsid w:val="00F84B09"/>
    <w:rsid w:val="00F84B12"/>
    <w:rsid w:val="00F84BFF"/>
    <w:rsid w:val="00F84C60"/>
    <w:rsid w:val="00F84C75"/>
    <w:rsid w:val="00F84C9F"/>
    <w:rsid w:val="00F84CFA"/>
    <w:rsid w:val="00F84D9D"/>
    <w:rsid w:val="00F84DA0"/>
    <w:rsid w:val="00F84E01"/>
    <w:rsid w:val="00F84E55"/>
    <w:rsid w:val="00F84E60"/>
    <w:rsid w:val="00F84EF5"/>
    <w:rsid w:val="00F84F0B"/>
    <w:rsid w:val="00F84F0C"/>
    <w:rsid w:val="00F84FA0"/>
    <w:rsid w:val="00F84FA7"/>
    <w:rsid w:val="00F84FBF"/>
    <w:rsid w:val="00F850AB"/>
    <w:rsid w:val="00F850D3"/>
    <w:rsid w:val="00F8510A"/>
    <w:rsid w:val="00F8513F"/>
    <w:rsid w:val="00F851A3"/>
    <w:rsid w:val="00F851EE"/>
    <w:rsid w:val="00F8526B"/>
    <w:rsid w:val="00F852C4"/>
    <w:rsid w:val="00F852DB"/>
    <w:rsid w:val="00F852EB"/>
    <w:rsid w:val="00F852F4"/>
    <w:rsid w:val="00F8536A"/>
    <w:rsid w:val="00F85385"/>
    <w:rsid w:val="00F85474"/>
    <w:rsid w:val="00F854A1"/>
    <w:rsid w:val="00F855EE"/>
    <w:rsid w:val="00F855F9"/>
    <w:rsid w:val="00F8568C"/>
    <w:rsid w:val="00F856C6"/>
    <w:rsid w:val="00F85718"/>
    <w:rsid w:val="00F8571C"/>
    <w:rsid w:val="00F85731"/>
    <w:rsid w:val="00F85742"/>
    <w:rsid w:val="00F85773"/>
    <w:rsid w:val="00F85784"/>
    <w:rsid w:val="00F85799"/>
    <w:rsid w:val="00F857AD"/>
    <w:rsid w:val="00F857C2"/>
    <w:rsid w:val="00F857C9"/>
    <w:rsid w:val="00F857D6"/>
    <w:rsid w:val="00F85874"/>
    <w:rsid w:val="00F85890"/>
    <w:rsid w:val="00F858B6"/>
    <w:rsid w:val="00F8594D"/>
    <w:rsid w:val="00F85A21"/>
    <w:rsid w:val="00F85A29"/>
    <w:rsid w:val="00F85A34"/>
    <w:rsid w:val="00F85A55"/>
    <w:rsid w:val="00F85A74"/>
    <w:rsid w:val="00F85B40"/>
    <w:rsid w:val="00F85B9D"/>
    <w:rsid w:val="00F85BDA"/>
    <w:rsid w:val="00F85BE0"/>
    <w:rsid w:val="00F85C55"/>
    <w:rsid w:val="00F85C85"/>
    <w:rsid w:val="00F85C97"/>
    <w:rsid w:val="00F85CCB"/>
    <w:rsid w:val="00F85D5D"/>
    <w:rsid w:val="00F85DBD"/>
    <w:rsid w:val="00F85DC9"/>
    <w:rsid w:val="00F85DD9"/>
    <w:rsid w:val="00F85E3C"/>
    <w:rsid w:val="00F85E6D"/>
    <w:rsid w:val="00F85EE1"/>
    <w:rsid w:val="00F85EE6"/>
    <w:rsid w:val="00F85EEC"/>
    <w:rsid w:val="00F85EFC"/>
    <w:rsid w:val="00F85F39"/>
    <w:rsid w:val="00F85F6C"/>
    <w:rsid w:val="00F85F86"/>
    <w:rsid w:val="00F85FD2"/>
    <w:rsid w:val="00F86012"/>
    <w:rsid w:val="00F8607C"/>
    <w:rsid w:val="00F86093"/>
    <w:rsid w:val="00F860AA"/>
    <w:rsid w:val="00F8615E"/>
    <w:rsid w:val="00F861C6"/>
    <w:rsid w:val="00F861EB"/>
    <w:rsid w:val="00F86250"/>
    <w:rsid w:val="00F862AE"/>
    <w:rsid w:val="00F86307"/>
    <w:rsid w:val="00F86346"/>
    <w:rsid w:val="00F863D1"/>
    <w:rsid w:val="00F863E4"/>
    <w:rsid w:val="00F863F1"/>
    <w:rsid w:val="00F86414"/>
    <w:rsid w:val="00F8645D"/>
    <w:rsid w:val="00F8650F"/>
    <w:rsid w:val="00F8655B"/>
    <w:rsid w:val="00F8657C"/>
    <w:rsid w:val="00F865BF"/>
    <w:rsid w:val="00F865C7"/>
    <w:rsid w:val="00F865E6"/>
    <w:rsid w:val="00F865F3"/>
    <w:rsid w:val="00F86637"/>
    <w:rsid w:val="00F8665C"/>
    <w:rsid w:val="00F866C4"/>
    <w:rsid w:val="00F866D0"/>
    <w:rsid w:val="00F86722"/>
    <w:rsid w:val="00F86724"/>
    <w:rsid w:val="00F86752"/>
    <w:rsid w:val="00F867B4"/>
    <w:rsid w:val="00F867CF"/>
    <w:rsid w:val="00F8684B"/>
    <w:rsid w:val="00F86881"/>
    <w:rsid w:val="00F86891"/>
    <w:rsid w:val="00F868A3"/>
    <w:rsid w:val="00F868F9"/>
    <w:rsid w:val="00F868FC"/>
    <w:rsid w:val="00F8691B"/>
    <w:rsid w:val="00F8698C"/>
    <w:rsid w:val="00F869DF"/>
    <w:rsid w:val="00F869F8"/>
    <w:rsid w:val="00F86A17"/>
    <w:rsid w:val="00F86A66"/>
    <w:rsid w:val="00F86A82"/>
    <w:rsid w:val="00F86A97"/>
    <w:rsid w:val="00F86AA1"/>
    <w:rsid w:val="00F86B5D"/>
    <w:rsid w:val="00F86B74"/>
    <w:rsid w:val="00F86C0C"/>
    <w:rsid w:val="00F86CC0"/>
    <w:rsid w:val="00F86CDC"/>
    <w:rsid w:val="00F86D07"/>
    <w:rsid w:val="00F86D18"/>
    <w:rsid w:val="00F86D20"/>
    <w:rsid w:val="00F86D8B"/>
    <w:rsid w:val="00F86DC9"/>
    <w:rsid w:val="00F86E0B"/>
    <w:rsid w:val="00F86E54"/>
    <w:rsid w:val="00F86E74"/>
    <w:rsid w:val="00F86ECD"/>
    <w:rsid w:val="00F86F1E"/>
    <w:rsid w:val="00F86F35"/>
    <w:rsid w:val="00F86FBC"/>
    <w:rsid w:val="00F87070"/>
    <w:rsid w:val="00F87073"/>
    <w:rsid w:val="00F87094"/>
    <w:rsid w:val="00F870D2"/>
    <w:rsid w:val="00F87127"/>
    <w:rsid w:val="00F871AE"/>
    <w:rsid w:val="00F871C7"/>
    <w:rsid w:val="00F871DD"/>
    <w:rsid w:val="00F871F2"/>
    <w:rsid w:val="00F8722D"/>
    <w:rsid w:val="00F87289"/>
    <w:rsid w:val="00F873AD"/>
    <w:rsid w:val="00F873E5"/>
    <w:rsid w:val="00F87407"/>
    <w:rsid w:val="00F874C8"/>
    <w:rsid w:val="00F874DC"/>
    <w:rsid w:val="00F8750B"/>
    <w:rsid w:val="00F8750D"/>
    <w:rsid w:val="00F87558"/>
    <w:rsid w:val="00F8755B"/>
    <w:rsid w:val="00F8757B"/>
    <w:rsid w:val="00F87607"/>
    <w:rsid w:val="00F87620"/>
    <w:rsid w:val="00F87656"/>
    <w:rsid w:val="00F876AE"/>
    <w:rsid w:val="00F876E6"/>
    <w:rsid w:val="00F87724"/>
    <w:rsid w:val="00F87726"/>
    <w:rsid w:val="00F8776A"/>
    <w:rsid w:val="00F8777E"/>
    <w:rsid w:val="00F8785E"/>
    <w:rsid w:val="00F87861"/>
    <w:rsid w:val="00F87876"/>
    <w:rsid w:val="00F878C0"/>
    <w:rsid w:val="00F878D2"/>
    <w:rsid w:val="00F878DA"/>
    <w:rsid w:val="00F8792D"/>
    <w:rsid w:val="00F87930"/>
    <w:rsid w:val="00F87962"/>
    <w:rsid w:val="00F879C2"/>
    <w:rsid w:val="00F87A34"/>
    <w:rsid w:val="00F87A43"/>
    <w:rsid w:val="00F87A63"/>
    <w:rsid w:val="00F87A7A"/>
    <w:rsid w:val="00F87A96"/>
    <w:rsid w:val="00F87B3C"/>
    <w:rsid w:val="00F87B4A"/>
    <w:rsid w:val="00F87BA2"/>
    <w:rsid w:val="00F87BDF"/>
    <w:rsid w:val="00F87BE6"/>
    <w:rsid w:val="00F87C1B"/>
    <w:rsid w:val="00F87C1C"/>
    <w:rsid w:val="00F87C32"/>
    <w:rsid w:val="00F87C99"/>
    <w:rsid w:val="00F87CE1"/>
    <w:rsid w:val="00F87D46"/>
    <w:rsid w:val="00F87D54"/>
    <w:rsid w:val="00F87D59"/>
    <w:rsid w:val="00F87D61"/>
    <w:rsid w:val="00F87DE2"/>
    <w:rsid w:val="00F87E22"/>
    <w:rsid w:val="00F87E2B"/>
    <w:rsid w:val="00F87E62"/>
    <w:rsid w:val="00F87E92"/>
    <w:rsid w:val="00F87EBF"/>
    <w:rsid w:val="00F87EE7"/>
    <w:rsid w:val="00F87F26"/>
    <w:rsid w:val="00F87F2D"/>
    <w:rsid w:val="00F87F3D"/>
    <w:rsid w:val="00F87F74"/>
    <w:rsid w:val="00F90041"/>
    <w:rsid w:val="00F900AE"/>
    <w:rsid w:val="00F90129"/>
    <w:rsid w:val="00F90208"/>
    <w:rsid w:val="00F9028F"/>
    <w:rsid w:val="00F902AC"/>
    <w:rsid w:val="00F902F7"/>
    <w:rsid w:val="00F90337"/>
    <w:rsid w:val="00F9037C"/>
    <w:rsid w:val="00F90433"/>
    <w:rsid w:val="00F90437"/>
    <w:rsid w:val="00F9047D"/>
    <w:rsid w:val="00F90482"/>
    <w:rsid w:val="00F9048A"/>
    <w:rsid w:val="00F904EF"/>
    <w:rsid w:val="00F90525"/>
    <w:rsid w:val="00F90565"/>
    <w:rsid w:val="00F90571"/>
    <w:rsid w:val="00F90586"/>
    <w:rsid w:val="00F905BD"/>
    <w:rsid w:val="00F905D7"/>
    <w:rsid w:val="00F90616"/>
    <w:rsid w:val="00F9065A"/>
    <w:rsid w:val="00F9065F"/>
    <w:rsid w:val="00F906B4"/>
    <w:rsid w:val="00F90738"/>
    <w:rsid w:val="00F90791"/>
    <w:rsid w:val="00F907B1"/>
    <w:rsid w:val="00F907E9"/>
    <w:rsid w:val="00F907EC"/>
    <w:rsid w:val="00F90822"/>
    <w:rsid w:val="00F90849"/>
    <w:rsid w:val="00F90877"/>
    <w:rsid w:val="00F90885"/>
    <w:rsid w:val="00F908C0"/>
    <w:rsid w:val="00F90937"/>
    <w:rsid w:val="00F90947"/>
    <w:rsid w:val="00F90982"/>
    <w:rsid w:val="00F909A4"/>
    <w:rsid w:val="00F909BF"/>
    <w:rsid w:val="00F909D7"/>
    <w:rsid w:val="00F90A27"/>
    <w:rsid w:val="00F90B00"/>
    <w:rsid w:val="00F90B1C"/>
    <w:rsid w:val="00F90BCD"/>
    <w:rsid w:val="00F90C0E"/>
    <w:rsid w:val="00F90CD5"/>
    <w:rsid w:val="00F90D02"/>
    <w:rsid w:val="00F90D25"/>
    <w:rsid w:val="00F90D2D"/>
    <w:rsid w:val="00F90D70"/>
    <w:rsid w:val="00F90DC3"/>
    <w:rsid w:val="00F90DD2"/>
    <w:rsid w:val="00F90DE5"/>
    <w:rsid w:val="00F90DF1"/>
    <w:rsid w:val="00F90DFF"/>
    <w:rsid w:val="00F90E31"/>
    <w:rsid w:val="00F90F32"/>
    <w:rsid w:val="00F90F57"/>
    <w:rsid w:val="00F90F59"/>
    <w:rsid w:val="00F90F9E"/>
    <w:rsid w:val="00F90FB0"/>
    <w:rsid w:val="00F91067"/>
    <w:rsid w:val="00F91079"/>
    <w:rsid w:val="00F910E9"/>
    <w:rsid w:val="00F91162"/>
    <w:rsid w:val="00F911CE"/>
    <w:rsid w:val="00F91215"/>
    <w:rsid w:val="00F9129F"/>
    <w:rsid w:val="00F912FD"/>
    <w:rsid w:val="00F91349"/>
    <w:rsid w:val="00F9134E"/>
    <w:rsid w:val="00F9136F"/>
    <w:rsid w:val="00F9138C"/>
    <w:rsid w:val="00F913B3"/>
    <w:rsid w:val="00F91426"/>
    <w:rsid w:val="00F91460"/>
    <w:rsid w:val="00F914C1"/>
    <w:rsid w:val="00F914DD"/>
    <w:rsid w:val="00F91501"/>
    <w:rsid w:val="00F91512"/>
    <w:rsid w:val="00F91579"/>
    <w:rsid w:val="00F91581"/>
    <w:rsid w:val="00F9159F"/>
    <w:rsid w:val="00F915D6"/>
    <w:rsid w:val="00F91647"/>
    <w:rsid w:val="00F91699"/>
    <w:rsid w:val="00F916C0"/>
    <w:rsid w:val="00F917DD"/>
    <w:rsid w:val="00F91812"/>
    <w:rsid w:val="00F91859"/>
    <w:rsid w:val="00F91875"/>
    <w:rsid w:val="00F918E6"/>
    <w:rsid w:val="00F91911"/>
    <w:rsid w:val="00F9194E"/>
    <w:rsid w:val="00F91963"/>
    <w:rsid w:val="00F9199F"/>
    <w:rsid w:val="00F91A0D"/>
    <w:rsid w:val="00F91A38"/>
    <w:rsid w:val="00F91A47"/>
    <w:rsid w:val="00F91ADE"/>
    <w:rsid w:val="00F91AEC"/>
    <w:rsid w:val="00F91B38"/>
    <w:rsid w:val="00F91B93"/>
    <w:rsid w:val="00F91C58"/>
    <w:rsid w:val="00F91C68"/>
    <w:rsid w:val="00F91C96"/>
    <w:rsid w:val="00F91CC3"/>
    <w:rsid w:val="00F91CDF"/>
    <w:rsid w:val="00F91D09"/>
    <w:rsid w:val="00F91D43"/>
    <w:rsid w:val="00F91D9B"/>
    <w:rsid w:val="00F91E01"/>
    <w:rsid w:val="00F91E08"/>
    <w:rsid w:val="00F91E4B"/>
    <w:rsid w:val="00F91E67"/>
    <w:rsid w:val="00F91EC5"/>
    <w:rsid w:val="00F91F46"/>
    <w:rsid w:val="00F91F7C"/>
    <w:rsid w:val="00F91F8F"/>
    <w:rsid w:val="00F91FA6"/>
    <w:rsid w:val="00F92002"/>
    <w:rsid w:val="00F92006"/>
    <w:rsid w:val="00F9208E"/>
    <w:rsid w:val="00F92096"/>
    <w:rsid w:val="00F920C9"/>
    <w:rsid w:val="00F9212A"/>
    <w:rsid w:val="00F92165"/>
    <w:rsid w:val="00F921A8"/>
    <w:rsid w:val="00F92212"/>
    <w:rsid w:val="00F9221D"/>
    <w:rsid w:val="00F9223E"/>
    <w:rsid w:val="00F9228F"/>
    <w:rsid w:val="00F92294"/>
    <w:rsid w:val="00F922A1"/>
    <w:rsid w:val="00F922B7"/>
    <w:rsid w:val="00F922C8"/>
    <w:rsid w:val="00F92344"/>
    <w:rsid w:val="00F92371"/>
    <w:rsid w:val="00F9237F"/>
    <w:rsid w:val="00F92404"/>
    <w:rsid w:val="00F9240A"/>
    <w:rsid w:val="00F924CD"/>
    <w:rsid w:val="00F924E1"/>
    <w:rsid w:val="00F925A6"/>
    <w:rsid w:val="00F925E0"/>
    <w:rsid w:val="00F92643"/>
    <w:rsid w:val="00F92663"/>
    <w:rsid w:val="00F92671"/>
    <w:rsid w:val="00F926EB"/>
    <w:rsid w:val="00F92719"/>
    <w:rsid w:val="00F9276A"/>
    <w:rsid w:val="00F9277C"/>
    <w:rsid w:val="00F9278B"/>
    <w:rsid w:val="00F92885"/>
    <w:rsid w:val="00F9289A"/>
    <w:rsid w:val="00F928F9"/>
    <w:rsid w:val="00F92910"/>
    <w:rsid w:val="00F92961"/>
    <w:rsid w:val="00F9297C"/>
    <w:rsid w:val="00F929A1"/>
    <w:rsid w:val="00F92A0F"/>
    <w:rsid w:val="00F92A7D"/>
    <w:rsid w:val="00F92A95"/>
    <w:rsid w:val="00F92AAF"/>
    <w:rsid w:val="00F92ABA"/>
    <w:rsid w:val="00F92B17"/>
    <w:rsid w:val="00F92B24"/>
    <w:rsid w:val="00F92B2D"/>
    <w:rsid w:val="00F92B38"/>
    <w:rsid w:val="00F92B4B"/>
    <w:rsid w:val="00F92B63"/>
    <w:rsid w:val="00F92B8D"/>
    <w:rsid w:val="00F92BEE"/>
    <w:rsid w:val="00F92BFB"/>
    <w:rsid w:val="00F92C1C"/>
    <w:rsid w:val="00F92C4F"/>
    <w:rsid w:val="00F92C77"/>
    <w:rsid w:val="00F92D26"/>
    <w:rsid w:val="00F92D36"/>
    <w:rsid w:val="00F92D68"/>
    <w:rsid w:val="00F92DA9"/>
    <w:rsid w:val="00F92DEA"/>
    <w:rsid w:val="00F92DFF"/>
    <w:rsid w:val="00F92E2F"/>
    <w:rsid w:val="00F92E90"/>
    <w:rsid w:val="00F92EA0"/>
    <w:rsid w:val="00F92EA7"/>
    <w:rsid w:val="00F92EAE"/>
    <w:rsid w:val="00F92EBB"/>
    <w:rsid w:val="00F92EC7"/>
    <w:rsid w:val="00F92EC8"/>
    <w:rsid w:val="00F92FD1"/>
    <w:rsid w:val="00F92FE0"/>
    <w:rsid w:val="00F93070"/>
    <w:rsid w:val="00F930F3"/>
    <w:rsid w:val="00F93154"/>
    <w:rsid w:val="00F931D1"/>
    <w:rsid w:val="00F931D7"/>
    <w:rsid w:val="00F931FD"/>
    <w:rsid w:val="00F93209"/>
    <w:rsid w:val="00F93267"/>
    <w:rsid w:val="00F93286"/>
    <w:rsid w:val="00F93290"/>
    <w:rsid w:val="00F932F2"/>
    <w:rsid w:val="00F9330C"/>
    <w:rsid w:val="00F93337"/>
    <w:rsid w:val="00F9333A"/>
    <w:rsid w:val="00F933AD"/>
    <w:rsid w:val="00F9343A"/>
    <w:rsid w:val="00F934AA"/>
    <w:rsid w:val="00F934C5"/>
    <w:rsid w:val="00F93563"/>
    <w:rsid w:val="00F93567"/>
    <w:rsid w:val="00F93569"/>
    <w:rsid w:val="00F93575"/>
    <w:rsid w:val="00F93580"/>
    <w:rsid w:val="00F9358C"/>
    <w:rsid w:val="00F93628"/>
    <w:rsid w:val="00F936A0"/>
    <w:rsid w:val="00F936A1"/>
    <w:rsid w:val="00F9374D"/>
    <w:rsid w:val="00F93758"/>
    <w:rsid w:val="00F937BD"/>
    <w:rsid w:val="00F937C2"/>
    <w:rsid w:val="00F937D1"/>
    <w:rsid w:val="00F937E5"/>
    <w:rsid w:val="00F9383E"/>
    <w:rsid w:val="00F93841"/>
    <w:rsid w:val="00F93849"/>
    <w:rsid w:val="00F9387D"/>
    <w:rsid w:val="00F938D5"/>
    <w:rsid w:val="00F9391A"/>
    <w:rsid w:val="00F9392A"/>
    <w:rsid w:val="00F9395C"/>
    <w:rsid w:val="00F93987"/>
    <w:rsid w:val="00F93A00"/>
    <w:rsid w:val="00F93A4E"/>
    <w:rsid w:val="00F93A98"/>
    <w:rsid w:val="00F93AF5"/>
    <w:rsid w:val="00F93AFA"/>
    <w:rsid w:val="00F93B30"/>
    <w:rsid w:val="00F93B40"/>
    <w:rsid w:val="00F93BA2"/>
    <w:rsid w:val="00F93BE6"/>
    <w:rsid w:val="00F93C5F"/>
    <w:rsid w:val="00F93CAF"/>
    <w:rsid w:val="00F93CD8"/>
    <w:rsid w:val="00F93CED"/>
    <w:rsid w:val="00F93D9F"/>
    <w:rsid w:val="00F93DA3"/>
    <w:rsid w:val="00F93DD8"/>
    <w:rsid w:val="00F93E19"/>
    <w:rsid w:val="00F93E20"/>
    <w:rsid w:val="00F93E24"/>
    <w:rsid w:val="00F93E60"/>
    <w:rsid w:val="00F93E78"/>
    <w:rsid w:val="00F93E88"/>
    <w:rsid w:val="00F93E8E"/>
    <w:rsid w:val="00F93EA2"/>
    <w:rsid w:val="00F93ECC"/>
    <w:rsid w:val="00F93ECE"/>
    <w:rsid w:val="00F93EEE"/>
    <w:rsid w:val="00F93EF5"/>
    <w:rsid w:val="00F93F25"/>
    <w:rsid w:val="00F93F2D"/>
    <w:rsid w:val="00F93F73"/>
    <w:rsid w:val="00F93FA8"/>
    <w:rsid w:val="00F940A0"/>
    <w:rsid w:val="00F940B2"/>
    <w:rsid w:val="00F94115"/>
    <w:rsid w:val="00F9411F"/>
    <w:rsid w:val="00F9420D"/>
    <w:rsid w:val="00F9423D"/>
    <w:rsid w:val="00F94261"/>
    <w:rsid w:val="00F9427A"/>
    <w:rsid w:val="00F94284"/>
    <w:rsid w:val="00F94289"/>
    <w:rsid w:val="00F94298"/>
    <w:rsid w:val="00F942D1"/>
    <w:rsid w:val="00F943CD"/>
    <w:rsid w:val="00F943D1"/>
    <w:rsid w:val="00F943E0"/>
    <w:rsid w:val="00F9441C"/>
    <w:rsid w:val="00F94435"/>
    <w:rsid w:val="00F9445E"/>
    <w:rsid w:val="00F9447B"/>
    <w:rsid w:val="00F944B0"/>
    <w:rsid w:val="00F944B5"/>
    <w:rsid w:val="00F944E7"/>
    <w:rsid w:val="00F944F5"/>
    <w:rsid w:val="00F94517"/>
    <w:rsid w:val="00F9452A"/>
    <w:rsid w:val="00F9452C"/>
    <w:rsid w:val="00F9466A"/>
    <w:rsid w:val="00F9469F"/>
    <w:rsid w:val="00F94787"/>
    <w:rsid w:val="00F94799"/>
    <w:rsid w:val="00F947BE"/>
    <w:rsid w:val="00F947F6"/>
    <w:rsid w:val="00F94813"/>
    <w:rsid w:val="00F94850"/>
    <w:rsid w:val="00F948B0"/>
    <w:rsid w:val="00F9492E"/>
    <w:rsid w:val="00F94943"/>
    <w:rsid w:val="00F9495B"/>
    <w:rsid w:val="00F94964"/>
    <w:rsid w:val="00F94968"/>
    <w:rsid w:val="00F94979"/>
    <w:rsid w:val="00F94993"/>
    <w:rsid w:val="00F949C3"/>
    <w:rsid w:val="00F949F3"/>
    <w:rsid w:val="00F94A11"/>
    <w:rsid w:val="00F94A67"/>
    <w:rsid w:val="00F94AB2"/>
    <w:rsid w:val="00F94AD6"/>
    <w:rsid w:val="00F94AE9"/>
    <w:rsid w:val="00F94AFC"/>
    <w:rsid w:val="00F94B43"/>
    <w:rsid w:val="00F94B52"/>
    <w:rsid w:val="00F94B56"/>
    <w:rsid w:val="00F94B5A"/>
    <w:rsid w:val="00F94B92"/>
    <w:rsid w:val="00F94B99"/>
    <w:rsid w:val="00F94BAE"/>
    <w:rsid w:val="00F94BDF"/>
    <w:rsid w:val="00F94C23"/>
    <w:rsid w:val="00F94C51"/>
    <w:rsid w:val="00F94D18"/>
    <w:rsid w:val="00F94D57"/>
    <w:rsid w:val="00F94DC0"/>
    <w:rsid w:val="00F94E31"/>
    <w:rsid w:val="00F94E89"/>
    <w:rsid w:val="00F94E90"/>
    <w:rsid w:val="00F94EE5"/>
    <w:rsid w:val="00F94F4E"/>
    <w:rsid w:val="00F94F50"/>
    <w:rsid w:val="00F94F6A"/>
    <w:rsid w:val="00F94F81"/>
    <w:rsid w:val="00F94F83"/>
    <w:rsid w:val="00F94F94"/>
    <w:rsid w:val="00F94FC0"/>
    <w:rsid w:val="00F9505B"/>
    <w:rsid w:val="00F95061"/>
    <w:rsid w:val="00F95080"/>
    <w:rsid w:val="00F95162"/>
    <w:rsid w:val="00F951DB"/>
    <w:rsid w:val="00F95200"/>
    <w:rsid w:val="00F95230"/>
    <w:rsid w:val="00F95269"/>
    <w:rsid w:val="00F95278"/>
    <w:rsid w:val="00F9528F"/>
    <w:rsid w:val="00F9530E"/>
    <w:rsid w:val="00F95327"/>
    <w:rsid w:val="00F9536E"/>
    <w:rsid w:val="00F95374"/>
    <w:rsid w:val="00F9539D"/>
    <w:rsid w:val="00F953B5"/>
    <w:rsid w:val="00F953CB"/>
    <w:rsid w:val="00F953D0"/>
    <w:rsid w:val="00F95414"/>
    <w:rsid w:val="00F95434"/>
    <w:rsid w:val="00F9545B"/>
    <w:rsid w:val="00F95583"/>
    <w:rsid w:val="00F9558B"/>
    <w:rsid w:val="00F955F2"/>
    <w:rsid w:val="00F955F5"/>
    <w:rsid w:val="00F95639"/>
    <w:rsid w:val="00F95649"/>
    <w:rsid w:val="00F95657"/>
    <w:rsid w:val="00F95659"/>
    <w:rsid w:val="00F95677"/>
    <w:rsid w:val="00F956FC"/>
    <w:rsid w:val="00F957B1"/>
    <w:rsid w:val="00F957D7"/>
    <w:rsid w:val="00F957E3"/>
    <w:rsid w:val="00F957EB"/>
    <w:rsid w:val="00F95839"/>
    <w:rsid w:val="00F95845"/>
    <w:rsid w:val="00F9585A"/>
    <w:rsid w:val="00F95875"/>
    <w:rsid w:val="00F958AD"/>
    <w:rsid w:val="00F958D8"/>
    <w:rsid w:val="00F95916"/>
    <w:rsid w:val="00F9591A"/>
    <w:rsid w:val="00F95986"/>
    <w:rsid w:val="00F9598A"/>
    <w:rsid w:val="00F959FE"/>
    <w:rsid w:val="00F95A17"/>
    <w:rsid w:val="00F95A1B"/>
    <w:rsid w:val="00F95A44"/>
    <w:rsid w:val="00F95A71"/>
    <w:rsid w:val="00F95A79"/>
    <w:rsid w:val="00F95AE3"/>
    <w:rsid w:val="00F95C75"/>
    <w:rsid w:val="00F95C89"/>
    <w:rsid w:val="00F95C9C"/>
    <w:rsid w:val="00F95D06"/>
    <w:rsid w:val="00F95D25"/>
    <w:rsid w:val="00F95D38"/>
    <w:rsid w:val="00F95D51"/>
    <w:rsid w:val="00F95D56"/>
    <w:rsid w:val="00F95D7F"/>
    <w:rsid w:val="00F95D98"/>
    <w:rsid w:val="00F95E0E"/>
    <w:rsid w:val="00F95E1D"/>
    <w:rsid w:val="00F95E31"/>
    <w:rsid w:val="00F95E96"/>
    <w:rsid w:val="00F95ECC"/>
    <w:rsid w:val="00F95ED3"/>
    <w:rsid w:val="00F95F20"/>
    <w:rsid w:val="00F95F4B"/>
    <w:rsid w:val="00F95F60"/>
    <w:rsid w:val="00F95F76"/>
    <w:rsid w:val="00F95F8B"/>
    <w:rsid w:val="00F95FAE"/>
    <w:rsid w:val="00F961E7"/>
    <w:rsid w:val="00F961EB"/>
    <w:rsid w:val="00F9623A"/>
    <w:rsid w:val="00F96290"/>
    <w:rsid w:val="00F962E0"/>
    <w:rsid w:val="00F96353"/>
    <w:rsid w:val="00F963CD"/>
    <w:rsid w:val="00F963E7"/>
    <w:rsid w:val="00F96404"/>
    <w:rsid w:val="00F964A5"/>
    <w:rsid w:val="00F964D4"/>
    <w:rsid w:val="00F9656D"/>
    <w:rsid w:val="00F965AC"/>
    <w:rsid w:val="00F9663C"/>
    <w:rsid w:val="00F96664"/>
    <w:rsid w:val="00F966BE"/>
    <w:rsid w:val="00F966EC"/>
    <w:rsid w:val="00F96700"/>
    <w:rsid w:val="00F9675D"/>
    <w:rsid w:val="00F967D9"/>
    <w:rsid w:val="00F9688E"/>
    <w:rsid w:val="00F96891"/>
    <w:rsid w:val="00F968A9"/>
    <w:rsid w:val="00F96922"/>
    <w:rsid w:val="00F9694A"/>
    <w:rsid w:val="00F96968"/>
    <w:rsid w:val="00F969A9"/>
    <w:rsid w:val="00F96A4B"/>
    <w:rsid w:val="00F96A74"/>
    <w:rsid w:val="00F96AD2"/>
    <w:rsid w:val="00F96B8E"/>
    <w:rsid w:val="00F96C3C"/>
    <w:rsid w:val="00F96C4A"/>
    <w:rsid w:val="00F96C74"/>
    <w:rsid w:val="00F96CB4"/>
    <w:rsid w:val="00F96CDD"/>
    <w:rsid w:val="00F96CF9"/>
    <w:rsid w:val="00F96D50"/>
    <w:rsid w:val="00F96D67"/>
    <w:rsid w:val="00F96D77"/>
    <w:rsid w:val="00F96D98"/>
    <w:rsid w:val="00F96DD8"/>
    <w:rsid w:val="00F96DF2"/>
    <w:rsid w:val="00F96DFA"/>
    <w:rsid w:val="00F96E61"/>
    <w:rsid w:val="00F96E65"/>
    <w:rsid w:val="00F96E69"/>
    <w:rsid w:val="00F96ED0"/>
    <w:rsid w:val="00F96ED8"/>
    <w:rsid w:val="00F96F5A"/>
    <w:rsid w:val="00F96F89"/>
    <w:rsid w:val="00F96FA3"/>
    <w:rsid w:val="00F96FB9"/>
    <w:rsid w:val="00F97058"/>
    <w:rsid w:val="00F97067"/>
    <w:rsid w:val="00F970E5"/>
    <w:rsid w:val="00F970F1"/>
    <w:rsid w:val="00F97120"/>
    <w:rsid w:val="00F9714C"/>
    <w:rsid w:val="00F97156"/>
    <w:rsid w:val="00F97180"/>
    <w:rsid w:val="00F97187"/>
    <w:rsid w:val="00F971CA"/>
    <w:rsid w:val="00F97230"/>
    <w:rsid w:val="00F97236"/>
    <w:rsid w:val="00F9728E"/>
    <w:rsid w:val="00F972D3"/>
    <w:rsid w:val="00F9730B"/>
    <w:rsid w:val="00F9732D"/>
    <w:rsid w:val="00F97360"/>
    <w:rsid w:val="00F9737A"/>
    <w:rsid w:val="00F9737C"/>
    <w:rsid w:val="00F9739E"/>
    <w:rsid w:val="00F9739F"/>
    <w:rsid w:val="00F973E3"/>
    <w:rsid w:val="00F97406"/>
    <w:rsid w:val="00F9742B"/>
    <w:rsid w:val="00F9745B"/>
    <w:rsid w:val="00F97477"/>
    <w:rsid w:val="00F974DC"/>
    <w:rsid w:val="00F974FD"/>
    <w:rsid w:val="00F9752E"/>
    <w:rsid w:val="00F975CF"/>
    <w:rsid w:val="00F975FC"/>
    <w:rsid w:val="00F9761A"/>
    <w:rsid w:val="00F97640"/>
    <w:rsid w:val="00F97666"/>
    <w:rsid w:val="00F9768B"/>
    <w:rsid w:val="00F976A7"/>
    <w:rsid w:val="00F976EA"/>
    <w:rsid w:val="00F976EB"/>
    <w:rsid w:val="00F9796A"/>
    <w:rsid w:val="00F979B5"/>
    <w:rsid w:val="00F979EE"/>
    <w:rsid w:val="00F97A41"/>
    <w:rsid w:val="00F97A4F"/>
    <w:rsid w:val="00F97AB1"/>
    <w:rsid w:val="00F97AD3"/>
    <w:rsid w:val="00F97B11"/>
    <w:rsid w:val="00F97B69"/>
    <w:rsid w:val="00F97B79"/>
    <w:rsid w:val="00F97B94"/>
    <w:rsid w:val="00F97BEA"/>
    <w:rsid w:val="00F97BFF"/>
    <w:rsid w:val="00F97C04"/>
    <w:rsid w:val="00F97C06"/>
    <w:rsid w:val="00F97C2B"/>
    <w:rsid w:val="00F97CB7"/>
    <w:rsid w:val="00F97CE3"/>
    <w:rsid w:val="00F97CF2"/>
    <w:rsid w:val="00F97D36"/>
    <w:rsid w:val="00F97D41"/>
    <w:rsid w:val="00F97D6F"/>
    <w:rsid w:val="00F97DBA"/>
    <w:rsid w:val="00F97DBB"/>
    <w:rsid w:val="00F97E13"/>
    <w:rsid w:val="00F97E1F"/>
    <w:rsid w:val="00F97E3C"/>
    <w:rsid w:val="00F97F05"/>
    <w:rsid w:val="00F97F29"/>
    <w:rsid w:val="00F97F49"/>
    <w:rsid w:val="00F97FBA"/>
    <w:rsid w:val="00F97FC9"/>
    <w:rsid w:val="00F97FD9"/>
    <w:rsid w:val="00F97FE5"/>
    <w:rsid w:val="00FA002A"/>
    <w:rsid w:val="00FA0082"/>
    <w:rsid w:val="00FA00C9"/>
    <w:rsid w:val="00FA00E5"/>
    <w:rsid w:val="00FA00FA"/>
    <w:rsid w:val="00FA011F"/>
    <w:rsid w:val="00FA0125"/>
    <w:rsid w:val="00FA015F"/>
    <w:rsid w:val="00FA0244"/>
    <w:rsid w:val="00FA024F"/>
    <w:rsid w:val="00FA0295"/>
    <w:rsid w:val="00FA02D4"/>
    <w:rsid w:val="00FA02D5"/>
    <w:rsid w:val="00FA0311"/>
    <w:rsid w:val="00FA03A3"/>
    <w:rsid w:val="00FA0440"/>
    <w:rsid w:val="00FA044B"/>
    <w:rsid w:val="00FA04D0"/>
    <w:rsid w:val="00FA0561"/>
    <w:rsid w:val="00FA0563"/>
    <w:rsid w:val="00FA0565"/>
    <w:rsid w:val="00FA0579"/>
    <w:rsid w:val="00FA05E2"/>
    <w:rsid w:val="00FA060E"/>
    <w:rsid w:val="00FA062A"/>
    <w:rsid w:val="00FA0634"/>
    <w:rsid w:val="00FA0656"/>
    <w:rsid w:val="00FA069C"/>
    <w:rsid w:val="00FA06C9"/>
    <w:rsid w:val="00FA0712"/>
    <w:rsid w:val="00FA0729"/>
    <w:rsid w:val="00FA0784"/>
    <w:rsid w:val="00FA078E"/>
    <w:rsid w:val="00FA07B2"/>
    <w:rsid w:val="00FA080E"/>
    <w:rsid w:val="00FA086A"/>
    <w:rsid w:val="00FA08B7"/>
    <w:rsid w:val="00FA08BA"/>
    <w:rsid w:val="00FA08F6"/>
    <w:rsid w:val="00FA08FD"/>
    <w:rsid w:val="00FA0954"/>
    <w:rsid w:val="00FA0967"/>
    <w:rsid w:val="00FA0996"/>
    <w:rsid w:val="00FA09AB"/>
    <w:rsid w:val="00FA09D1"/>
    <w:rsid w:val="00FA0A66"/>
    <w:rsid w:val="00FA0A8C"/>
    <w:rsid w:val="00FA0AC4"/>
    <w:rsid w:val="00FA0AD0"/>
    <w:rsid w:val="00FA0AE5"/>
    <w:rsid w:val="00FA0AED"/>
    <w:rsid w:val="00FA0B30"/>
    <w:rsid w:val="00FA0B43"/>
    <w:rsid w:val="00FA0BD9"/>
    <w:rsid w:val="00FA0C1B"/>
    <w:rsid w:val="00FA0C70"/>
    <w:rsid w:val="00FA0C72"/>
    <w:rsid w:val="00FA0CCF"/>
    <w:rsid w:val="00FA0D08"/>
    <w:rsid w:val="00FA0D7E"/>
    <w:rsid w:val="00FA0D90"/>
    <w:rsid w:val="00FA0DF7"/>
    <w:rsid w:val="00FA0E77"/>
    <w:rsid w:val="00FA0EE5"/>
    <w:rsid w:val="00FA0F11"/>
    <w:rsid w:val="00FA104F"/>
    <w:rsid w:val="00FA1096"/>
    <w:rsid w:val="00FA10AB"/>
    <w:rsid w:val="00FA10E1"/>
    <w:rsid w:val="00FA1105"/>
    <w:rsid w:val="00FA113D"/>
    <w:rsid w:val="00FA1174"/>
    <w:rsid w:val="00FA1193"/>
    <w:rsid w:val="00FA119A"/>
    <w:rsid w:val="00FA11C1"/>
    <w:rsid w:val="00FA1233"/>
    <w:rsid w:val="00FA123B"/>
    <w:rsid w:val="00FA1249"/>
    <w:rsid w:val="00FA126C"/>
    <w:rsid w:val="00FA1273"/>
    <w:rsid w:val="00FA129C"/>
    <w:rsid w:val="00FA12BD"/>
    <w:rsid w:val="00FA1347"/>
    <w:rsid w:val="00FA13EF"/>
    <w:rsid w:val="00FA14A6"/>
    <w:rsid w:val="00FA14B1"/>
    <w:rsid w:val="00FA14C2"/>
    <w:rsid w:val="00FA14D8"/>
    <w:rsid w:val="00FA14F0"/>
    <w:rsid w:val="00FA151D"/>
    <w:rsid w:val="00FA156C"/>
    <w:rsid w:val="00FA156D"/>
    <w:rsid w:val="00FA1592"/>
    <w:rsid w:val="00FA15B5"/>
    <w:rsid w:val="00FA15C9"/>
    <w:rsid w:val="00FA1653"/>
    <w:rsid w:val="00FA1674"/>
    <w:rsid w:val="00FA1693"/>
    <w:rsid w:val="00FA16C0"/>
    <w:rsid w:val="00FA16F2"/>
    <w:rsid w:val="00FA1716"/>
    <w:rsid w:val="00FA1777"/>
    <w:rsid w:val="00FA177C"/>
    <w:rsid w:val="00FA178D"/>
    <w:rsid w:val="00FA1794"/>
    <w:rsid w:val="00FA17A1"/>
    <w:rsid w:val="00FA17A7"/>
    <w:rsid w:val="00FA17AA"/>
    <w:rsid w:val="00FA17C9"/>
    <w:rsid w:val="00FA17CF"/>
    <w:rsid w:val="00FA186C"/>
    <w:rsid w:val="00FA18A7"/>
    <w:rsid w:val="00FA18F4"/>
    <w:rsid w:val="00FA1929"/>
    <w:rsid w:val="00FA192F"/>
    <w:rsid w:val="00FA1961"/>
    <w:rsid w:val="00FA19A2"/>
    <w:rsid w:val="00FA19AB"/>
    <w:rsid w:val="00FA19CB"/>
    <w:rsid w:val="00FA19D5"/>
    <w:rsid w:val="00FA1A22"/>
    <w:rsid w:val="00FA1AA5"/>
    <w:rsid w:val="00FA1ADF"/>
    <w:rsid w:val="00FA1B01"/>
    <w:rsid w:val="00FA1BAB"/>
    <w:rsid w:val="00FA1BB7"/>
    <w:rsid w:val="00FA1BC3"/>
    <w:rsid w:val="00FA1C95"/>
    <w:rsid w:val="00FA1CC7"/>
    <w:rsid w:val="00FA1D47"/>
    <w:rsid w:val="00FA1D4D"/>
    <w:rsid w:val="00FA1D79"/>
    <w:rsid w:val="00FA1DA3"/>
    <w:rsid w:val="00FA1DB4"/>
    <w:rsid w:val="00FA1DC8"/>
    <w:rsid w:val="00FA1DDA"/>
    <w:rsid w:val="00FA1E0D"/>
    <w:rsid w:val="00FA1E17"/>
    <w:rsid w:val="00FA1EBA"/>
    <w:rsid w:val="00FA1EE6"/>
    <w:rsid w:val="00FA1F67"/>
    <w:rsid w:val="00FA1FAF"/>
    <w:rsid w:val="00FA1FE7"/>
    <w:rsid w:val="00FA2024"/>
    <w:rsid w:val="00FA206F"/>
    <w:rsid w:val="00FA20A2"/>
    <w:rsid w:val="00FA20B7"/>
    <w:rsid w:val="00FA20D6"/>
    <w:rsid w:val="00FA210C"/>
    <w:rsid w:val="00FA2159"/>
    <w:rsid w:val="00FA2163"/>
    <w:rsid w:val="00FA2166"/>
    <w:rsid w:val="00FA219E"/>
    <w:rsid w:val="00FA21A7"/>
    <w:rsid w:val="00FA21B6"/>
    <w:rsid w:val="00FA21FB"/>
    <w:rsid w:val="00FA2258"/>
    <w:rsid w:val="00FA22EE"/>
    <w:rsid w:val="00FA2300"/>
    <w:rsid w:val="00FA2306"/>
    <w:rsid w:val="00FA2310"/>
    <w:rsid w:val="00FA236E"/>
    <w:rsid w:val="00FA239D"/>
    <w:rsid w:val="00FA23FB"/>
    <w:rsid w:val="00FA242E"/>
    <w:rsid w:val="00FA24E2"/>
    <w:rsid w:val="00FA24F0"/>
    <w:rsid w:val="00FA2565"/>
    <w:rsid w:val="00FA2589"/>
    <w:rsid w:val="00FA25A1"/>
    <w:rsid w:val="00FA25A2"/>
    <w:rsid w:val="00FA25D6"/>
    <w:rsid w:val="00FA2600"/>
    <w:rsid w:val="00FA2602"/>
    <w:rsid w:val="00FA2634"/>
    <w:rsid w:val="00FA2675"/>
    <w:rsid w:val="00FA268A"/>
    <w:rsid w:val="00FA2695"/>
    <w:rsid w:val="00FA26DB"/>
    <w:rsid w:val="00FA2715"/>
    <w:rsid w:val="00FA2751"/>
    <w:rsid w:val="00FA278D"/>
    <w:rsid w:val="00FA27C4"/>
    <w:rsid w:val="00FA2823"/>
    <w:rsid w:val="00FA2834"/>
    <w:rsid w:val="00FA2847"/>
    <w:rsid w:val="00FA286A"/>
    <w:rsid w:val="00FA287B"/>
    <w:rsid w:val="00FA28C8"/>
    <w:rsid w:val="00FA28DD"/>
    <w:rsid w:val="00FA293A"/>
    <w:rsid w:val="00FA2941"/>
    <w:rsid w:val="00FA2947"/>
    <w:rsid w:val="00FA294B"/>
    <w:rsid w:val="00FA294C"/>
    <w:rsid w:val="00FA2986"/>
    <w:rsid w:val="00FA2990"/>
    <w:rsid w:val="00FA29DA"/>
    <w:rsid w:val="00FA2A2A"/>
    <w:rsid w:val="00FA2A34"/>
    <w:rsid w:val="00FA2AD1"/>
    <w:rsid w:val="00FA2B04"/>
    <w:rsid w:val="00FA2B2E"/>
    <w:rsid w:val="00FA2B8C"/>
    <w:rsid w:val="00FA2BCE"/>
    <w:rsid w:val="00FA2C2E"/>
    <w:rsid w:val="00FA2C37"/>
    <w:rsid w:val="00FA2CEC"/>
    <w:rsid w:val="00FA2D74"/>
    <w:rsid w:val="00FA2DA0"/>
    <w:rsid w:val="00FA2DBA"/>
    <w:rsid w:val="00FA2DCA"/>
    <w:rsid w:val="00FA2DE8"/>
    <w:rsid w:val="00FA2DF2"/>
    <w:rsid w:val="00FA2DF3"/>
    <w:rsid w:val="00FA2DFC"/>
    <w:rsid w:val="00FA2E34"/>
    <w:rsid w:val="00FA2E6C"/>
    <w:rsid w:val="00FA2E90"/>
    <w:rsid w:val="00FA2E98"/>
    <w:rsid w:val="00FA2EAB"/>
    <w:rsid w:val="00FA2F11"/>
    <w:rsid w:val="00FA2F24"/>
    <w:rsid w:val="00FA2F62"/>
    <w:rsid w:val="00FA2F68"/>
    <w:rsid w:val="00FA2F69"/>
    <w:rsid w:val="00FA2F71"/>
    <w:rsid w:val="00FA2F82"/>
    <w:rsid w:val="00FA2FF9"/>
    <w:rsid w:val="00FA2FFE"/>
    <w:rsid w:val="00FA3002"/>
    <w:rsid w:val="00FA300C"/>
    <w:rsid w:val="00FA3011"/>
    <w:rsid w:val="00FA306C"/>
    <w:rsid w:val="00FA30D6"/>
    <w:rsid w:val="00FA30EB"/>
    <w:rsid w:val="00FA3144"/>
    <w:rsid w:val="00FA315F"/>
    <w:rsid w:val="00FA31EA"/>
    <w:rsid w:val="00FA325D"/>
    <w:rsid w:val="00FA32D6"/>
    <w:rsid w:val="00FA3324"/>
    <w:rsid w:val="00FA3327"/>
    <w:rsid w:val="00FA3358"/>
    <w:rsid w:val="00FA340D"/>
    <w:rsid w:val="00FA3451"/>
    <w:rsid w:val="00FA346A"/>
    <w:rsid w:val="00FA3483"/>
    <w:rsid w:val="00FA3584"/>
    <w:rsid w:val="00FA3592"/>
    <w:rsid w:val="00FA35D3"/>
    <w:rsid w:val="00FA35E4"/>
    <w:rsid w:val="00FA3615"/>
    <w:rsid w:val="00FA361B"/>
    <w:rsid w:val="00FA3653"/>
    <w:rsid w:val="00FA3693"/>
    <w:rsid w:val="00FA36B5"/>
    <w:rsid w:val="00FA36C6"/>
    <w:rsid w:val="00FA36CB"/>
    <w:rsid w:val="00FA3704"/>
    <w:rsid w:val="00FA3821"/>
    <w:rsid w:val="00FA388E"/>
    <w:rsid w:val="00FA38B7"/>
    <w:rsid w:val="00FA3987"/>
    <w:rsid w:val="00FA399E"/>
    <w:rsid w:val="00FA39C9"/>
    <w:rsid w:val="00FA3AB8"/>
    <w:rsid w:val="00FA3B2C"/>
    <w:rsid w:val="00FA3B3B"/>
    <w:rsid w:val="00FA3B70"/>
    <w:rsid w:val="00FA3B73"/>
    <w:rsid w:val="00FA3BD0"/>
    <w:rsid w:val="00FA3C0D"/>
    <w:rsid w:val="00FA3C21"/>
    <w:rsid w:val="00FA3C70"/>
    <w:rsid w:val="00FA3C74"/>
    <w:rsid w:val="00FA3CC3"/>
    <w:rsid w:val="00FA3D9F"/>
    <w:rsid w:val="00FA3DC1"/>
    <w:rsid w:val="00FA3E3A"/>
    <w:rsid w:val="00FA3E56"/>
    <w:rsid w:val="00FA3E8A"/>
    <w:rsid w:val="00FA3ED7"/>
    <w:rsid w:val="00FA3F78"/>
    <w:rsid w:val="00FA3FCE"/>
    <w:rsid w:val="00FA3FD5"/>
    <w:rsid w:val="00FA3FE8"/>
    <w:rsid w:val="00FA4028"/>
    <w:rsid w:val="00FA4036"/>
    <w:rsid w:val="00FA4096"/>
    <w:rsid w:val="00FA40C7"/>
    <w:rsid w:val="00FA4137"/>
    <w:rsid w:val="00FA416F"/>
    <w:rsid w:val="00FA4180"/>
    <w:rsid w:val="00FA41A7"/>
    <w:rsid w:val="00FA41D3"/>
    <w:rsid w:val="00FA4203"/>
    <w:rsid w:val="00FA426B"/>
    <w:rsid w:val="00FA42A3"/>
    <w:rsid w:val="00FA4308"/>
    <w:rsid w:val="00FA4317"/>
    <w:rsid w:val="00FA4382"/>
    <w:rsid w:val="00FA43FC"/>
    <w:rsid w:val="00FA44FE"/>
    <w:rsid w:val="00FA456B"/>
    <w:rsid w:val="00FA4576"/>
    <w:rsid w:val="00FA457E"/>
    <w:rsid w:val="00FA4614"/>
    <w:rsid w:val="00FA464B"/>
    <w:rsid w:val="00FA464F"/>
    <w:rsid w:val="00FA4675"/>
    <w:rsid w:val="00FA4694"/>
    <w:rsid w:val="00FA469D"/>
    <w:rsid w:val="00FA46C2"/>
    <w:rsid w:val="00FA4710"/>
    <w:rsid w:val="00FA4752"/>
    <w:rsid w:val="00FA47CD"/>
    <w:rsid w:val="00FA47FA"/>
    <w:rsid w:val="00FA485C"/>
    <w:rsid w:val="00FA4923"/>
    <w:rsid w:val="00FA492A"/>
    <w:rsid w:val="00FA4936"/>
    <w:rsid w:val="00FA49D4"/>
    <w:rsid w:val="00FA4A38"/>
    <w:rsid w:val="00FA4A5C"/>
    <w:rsid w:val="00FA4A65"/>
    <w:rsid w:val="00FA4A93"/>
    <w:rsid w:val="00FA4AB3"/>
    <w:rsid w:val="00FA4AC4"/>
    <w:rsid w:val="00FA4ACA"/>
    <w:rsid w:val="00FA4B2B"/>
    <w:rsid w:val="00FA4BE3"/>
    <w:rsid w:val="00FA4BF0"/>
    <w:rsid w:val="00FA4BFA"/>
    <w:rsid w:val="00FA4CA7"/>
    <w:rsid w:val="00FA4CC2"/>
    <w:rsid w:val="00FA4CED"/>
    <w:rsid w:val="00FA4D59"/>
    <w:rsid w:val="00FA4DBC"/>
    <w:rsid w:val="00FA4DC7"/>
    <w:rsid w:val="00FA4DCD"/>
    <w:rsid w:val="00FA4DCF"/>
    <w:rsid w:val="00FA4E5D"/>
    <w:rsid w:val="00FA4E6D"/>
    <w:rsid w:val="00FA4F6B"/>
    <w:rsid w:val="00FA4FF0"/>
    <w:rsid w:val="00FA5008"/>
    <w:rsid w:val="00FA5037"/>
    <w:rsid w:val="00FA5067"/>
    <w:rsid w:val="00FA5074"/>
    <w:rsid w:val="00FA50D0"/>
    <w:rsid w:val="00FA50DE"/>
    <w:rsid w:val="00FA50F8"/>
    <w:rsid w:val="00FA51BB"/>
    <w:rsid w:val="00FA51E1"/>
    <w:rsid w:val="00FA5242"/>
    <w:rsid w:val="00FA526F"/>
    <w:rsid w:val="00FA52C2"/>
    <w:rsid w:val="00FA52F6"/>
    <w:rsid w:val="00FA531A"/>
    <w:rsid w:val="00FA531D"/>
    <w:rsid w:val="00FA5332"/>
    <w:rsid w:val="00FA5340"/>
    <w:rsid w:val="00FA5379"/>
    <w:rsid w:val="00FA539C"/>
    <w:rsid w:val="00FA53F2"/>
    <w:rsid w:val="00FA5416"/>
    <w:rsid w:val="00FA5454"/>
    <w:rsid w:val="00FA546D"/>
    <w:rsid w:val="00FA5491"/>
    <w:rsid w:val="00FA555C"/>
    <w:rsid w:val="00FA559C"/>
    <w:rsid w:val="00FA55A5"/>
    <w:rsid w:val="00FA55E4"/>
    <w:rsid w:val="00FA55FF"/>
    <w:rsid w:val="00FA564E"/>
    <w:rsid w:val="00FA567D"/>
    <w:rsid w:val="00FA56C9"/>
    <w:rsid w:val="00FA56E5"/>
    <w:rsid w:val="00FA5706"/>
    <w:rsid w:val="00FA5707"/>
    <w:rsid w:val="00FA5712"/>
    <w:rsid w:val="00FA57ED"/>
    <w:rsid w:val="00FA57EE"/>
    <w:rsid w:val="00FA5811"/>
    <w:rsid w:val="00FA5822"/>
    <w:rsid w:val="00FA5830"/>
    <w:rsid w:val="00FA583C"/>
    <w:rsid w:val="00FA5853"/>
    <w:rsid w:val="00FA58B4"/>
    <w:rsid w:val="00FA58D0"/>
    <w:rsid w:val="00FA5910"/>
    <w:rsid w:val="00FA5980"/>
    <w:rsid w:val="00FA599A"/>
    <w:rsid w:val="00FA59CE"/>
    <w:rsid w:val="00FA59E0"/>
    <w:rsid w:val="00FA59F5"/>
    <w:rsid w:val="00FA5A9A"/>
    <w:rsid w:val="00FA5AB3"/>
    <w:rsid w:val="00FA5B5C"/>
    <w:rsid w:val="00FA5BEF"/>
    <w:rsid w:val="00FA5BF6"/>
    <w:rsid w:val="00FA5C10"/>
    <w:rsid w:val="00FA5C2C"/>
    <w:rsid w:val="00FA5C6B"/>
    <w:rsid w:val="00FA5CE9"/>
    <w:rsid w:val="00FA5CF5"/>
    <w:rsid w:val="00FA5CFC"/>
    <w:rsid w:val="00FA5D01"/>
    <w:rsid w:val="00FA5D72"/>
    <w:rsid w:val="00FA5D76"/>
    <w:rsid w:val="00FA5D9A"/>
    <w:rsid w:val="00FA5E0D"/>
    <w:rsid w:val="00FA5E5C"/>
    <w:rsid w:val="00FA5E96"/>
    <w:rsid w:val="00FA5EE0"/>
    <w:rsid w:val="00FA5EFD"/>
    <w:rsid w:val="00FA5F40"/>
    <w:rsid w:val="00FA5F61"/>
    <w:rsid w:val="00FA5FB6"/>
    <w:rsid w:val="00FA6036"/>
    <w:rsid w:val="00FA60A4"/>
    <w:rsid w:val="00FA6121"/>
    <w:rsid w:val="00FA6156"/>
    <w:rsid w:val="00FA618C"/>
    <w:rsid w:val="00FA6216"/>
    <w:rsid w:val="00FA625A"/>
    <w:rsid w:val="00FA6275"/>
    <w:rsid w:val="00FA63A0"/>
    <w:rsid w:val="00FA63CD"/>
    <w:rsid w:val="00FA6418"/>
    <w:rsid w:val="00FA64A7"/>
    <w:rsid w:val="00FA64C5"/>
    <w:rsid w:val="00FA64DB"/>
    <w:rsid w:val="00FA64EC"/>
    <w:rsid w:val="00FA652D"/>
    <w:rsid w:val="00FA6559"/>
    <w:rsid w:val="00FA6560"/>
    <w:rsid w:val="00FA6567"/>
    <w:rsid w:val="00FA65BB"/>
    <w:rsid w:val="00FA65D9"/>
    <w:rsid w:val="00FA6641"/>
    <w:rsid w:val="00FA666A"/>
    <w:rsid w:val="00FA66F4"/>
    <w:rsid w:val="00FA6738"/>
    <w:rsid w:val="00FA673D"/>
    <w:rsid w:val="00FA675E"/>
    <w:rsid w:val="00FA6767"/>
    <w:rsid w:val="00FA678B"/>
    <w:rsid w:val="00FA67AD"/>
    <w:rsid w:val="00FA67D7"/>
    <w:rsid w:val="00FA6806"/>
    <w:rsid w:val="00FA6835"/>
    <w:rsid w:val="00FA683C"/>
    <w:rsid w:val="00FA6842"/>
    <w:rsid w:val="00FA684C"/>
    <w:rsid w:val="00FA685C"/>
    <w:rsid w:val="00FA68AF"/>
    <w:rsid w:val="00FA699C"/>
    <w:rsid w:val="00FA69B9"/>
    <w:rsid w:val="00FA6A05"/>
    <w:rsid w:val="00FA6A27"/>
    <w:rsid w:val="00FA6A68"/>
    <w:rsid w:val="00FA6A75"/>
    <w:rsid w:val="00FA6ABC"/>
    <w:rsid w:val="00FA6AD1"/>
    <w:rsid w:val="00FA6AF4"/>
    <w:rsid w:val="00FA6AFC"/>
    <w:rsid w:val="00FA6B11"/>
    <w:rsid w:val="00FA6B4C"/>
    <w:rsid w:val="00FA6B94"/>
    <w:rsid w:val="00FA6BB2"/>
    <w:rsid w:val="00FA6BBE"/>
    <w:rsid w:val="00FA6C0D"/>
    <w:rsid w:val="00FA6C5C"/>
    <w:rsid w:val="00FA6C8A"/>
    <w:rsid w:val="00FA6CA2"/>
    <w:rsid w:val="00FA6CD4"/>
    <w:rsid w:val="00FA6D5E"/>
    <w:rsid w:val="00FA6D92"/>
    <w:rsid w:val="00FA6DD0"/>
    <w:rsid w:val="00FA6DE1"/>
    <w:rsid w:val="00FA6ED4"/>
    <w:rsid w:val="00FA6ED9"/>
    <w:rsid w:val="00FA6F30"/>
    <w:rsid w:val="00FA6F38"/>
    <w:rsid w:val="00FA6F56"/>
    <w:rsid w:val="00FA6FF0"/>
    <w:rsid w:val="00FA6FFD"/>
    <w:rsid w:val="00FA7088"/>
    <w:rsid w:val="00FA709D"/>
    <w:rsid w:val="00FA70A6"/>
    <w:rsid w:val="00FA70D1"/>
    <w:rsid w:val="00FA7157"/>
    <w:rsid w:val="00FA71D9"/>
    <w:rsid w:val="00FA7224"/>
    <w:rsid w:val="00FA7225"/>
    <w:rsid w:val="00FA7248"/>
    <w:rsid w:val="00FA7272"/>
    <w:rsid w:val="00FA7302"/>
    <w:rsid w:val="00FA7344"/>
    <w:rsid w:val="00FA7349"/>
    <w:rsid w:val="00FA734C"/>
    <w:rsid w:val="00FA7362"/>
    <w:rsid w:val="00FA7383"/>
    <w:rsid w:val="00FA7392"/>
    <w:rsid w:val="00FA73AF"/>
    <w:rsid w:val="00FA73B2"/>
    <w:rsid w:val="00FA73CB"/>
    <w:rsid w:val="00FA748B"/>
    <w:rsid w:val="00FA74AC"/>
    <w:rsid w:val="00FA7541"/>
    <w:rsid w:val="00FA7574"/>
    <w:rsid w:val="00FA75D0"/>
    <w:rsid w:val="00FA75E3"/>
    <w:rsid w:val="00FA75FA"/>
    <w:rsid w:val="00FA7603"/>
    <w:rsid w:val="00FA7639"/>
    <w:rsid w:val="00FA76AC"/>
    <w:rsid w:val="00FA76B6"/>
    <w:rsid w:val="00FA76DD"/>
    <w:rsid w:val="00FA7701"/>
    <w:rsid w:val="00FA7763"/>
    <w:rsid w:val="00FA7779"/>
    <w:rsid w:val="00FA779F"/>
    <w:rsid w:val="00FA77BF"/>
    <w:rsid w:val="00FA77D5"/>
    <w:rsid w:val="00FA7808"/>
    <w:rsid w:val="00FA783E"/>
    <w:rsid w:val="00FA7925"/>
    <w:rsid w:val="00FA794F"/>
    <w:rsid w:val="00FA7A09"/>
    <w:rsid w:val="00FA7A4C"/>
    <w:rsid w:val="00FA7B0F"/>
    <w:rsid w:val="00FA7B1B"/>
    <w:rsid w:val="00FA7B56"/>
    <w:rsid w:val="00FA7B83"/>
    <w:rsid w:val="00FA7BC2"/>
    <w:rsid w:val="00FA7BE8"/>
    <w:rsid w:val="00FA7BE9"/>
    <w:rsid w:val="00FA7C2A"/>
    <w:rsid w:val="00FA7C5B"/>
    <w:rsid w:val="00FA7CA2"/>
    <w:rsid w:val="00FA7CAD"/>
    <w:rsid w:val="00FA7D38"/>
    <w:rsid w:val="00FA7D77"/>
    <w:rsid w:val="00FA7DBC"/>
    <w:rsid w:val="00FA7E13"/>
    <w:rsid w:val="00FA7E35"/>
    <w:rsid w:val="00FA7E4B"/>
    <w:rsid w:val="00FA7EBD"/>
    <w:rsid w:val="00FA7F40"/>
    <w:rsid w:val="00FA7F50"/>
    <w:rsid w:val="00FA7F51"/>
    <w:rsid w:val="00FA7F52"/>
    <w:rsid w:val="00FA7F5B"/>
    <w:rsid w:val="00FA7F83"/>
    <w:rsid w:val="00FA7F95"/>
    <w:rsid w:val="00FA7FC1"/>
    <w:rsid w:val="00FB0022"/>
    <w:rsid w:val="00FB0093"/>
    <w:rsid w:val="00FB0132"/>
    <w:rsid w:val="00FB0196"/>
    <w:rsid w:val="00FB01B7"/>
    <w:rsid w:val="00FB01EE"/>
    <w:rsid w:val="00FB0204"/>
    <w:rsid w:val="00FB020E"/>
    <w:rsid w:val="00FB0228"/>
    <w:rsid w:val="00FB02B1"/>
    <w:rsid w:val="00FB02BF"/>
    <w:rsid w:val="00FB02CC"/>
    <w:rsid w:val="00FB030F"/>
    <w:rsid w:val="00FB0324"/>
    <w:rsid w:val="00FB0380"/>
    <w:rsid w:val="00FB038C"/>
    <w:rsid w:val="00FB03C5"/>
    <w:rsid w:val="00FB03DE"/>
    <w:rsid w:val="00FB03F7"/>
    <w:rsid w:val="00FB0426"/>
    <w:rsid w:val="00FB0449"/>
    <w:rsid w:val="00FB045F"/>
    <w:rsid w:val="00FB04CB"/>
    <w:rsid w:val="00FB05D6"/>
    <w:rsid w:val="00FB05FA"/>
    <w:rsid w:val="00FB0604"/>
    <w:rsid w:val="00FB061B"/>
    <w:rsid w:val="00FB061C"/>
    <w:rsid w:val="00FB0633"/>
    <w:rsid w:val="00FB0638"/>
    <w:rsid w:val="00FB063F"/>
    <w:rsid w:val="00FB0647"/>
    <w:rsid w:val="00FB0664"/>
    <w:rsid w:val="00FB066F"/>
    <w:rsid w:val="00FB0671"/>
    <w:rsid w:val="00FB06D5"/>
    <w:rsid w:val="00FB06E1"/>
    <w:rsid w:val="00FB0757"/>
    <w:rsid w:val="00FB078C"/>
    <w:rsid w:val="00FB07EC"/>
    <w:rsid w:val="00FB07F3"/>
    <w:rsid w:val="00FB080A"/>
    <w:rsid w:val="00FB0828"/>
    <w:rsid w:val="00FB0832"/>
    <w:rsid w:val="00FB08C7"/>
    <w:rsid w:val="00FB08F3"/>
    <w:rsid w:val="00FB08FA"/>
    <w:rsid w:val="00FB0955"/>
    <w:rsid w:val="00FB095A"/>
    <w:rsid w:val="00FB09A2"/>
    <w:rsid w:val="00FB09CB"/>
    <w:rsid w:val="00FB09F7"/>
    <w:rsid w:val="00FB0A94"/>
    <w:rsid w:val="00FB0A96"/>
    <w:rsid w:val="00FB0AAF"/>
    <w:rsid w:val="00FB0ABA"/>
    <w:rsid w:val="00FB0AE4"/>
    <w:rsid w:val="00FB0B2C"/>
    <w:rsid w:val="00FB0B4F"/>
    <w:rsid w:val="00FB0B58"/>
    <w:rsid w:val="00FB0B5C"/>
    <w:rsid w:val="00FB0B5E"/>
    <w:rsid w:val="00FB0B6F"/>
    <w:rsid w:val="00FB0B91"/>
    <w:rsid w:val="00FB0BB4"/>
    <w:rsid w:val="00FB0BCF"/>
    <w:rsid w:val="00FB0C24"/>
    <w:rsid w:val="00FB0C7E"/>
    <w:rsid w:val="00FB0CE0"/>
    <w:rsid w:val="00FB0CF7"/>
    <w:rsid w:val="00FB0D14"/>
    <w:rsid w:val="00FB0D1C"/>
    <w:rsid w:val="00FB0D42"/>
    <w:rsid w:val="00FB0D73"/>
    <w:rsid w:val="00FB0DD0"/>
    <w:rsid w:val="00FB0DDC"/>
    <w:rsid w:val="00FB0DE2"/>
    <w:rsid w:val="00FB0E0B"/>
    <w:rsid w:val="00FB0E35"/>
    <w:rsid w:val="00FB0E67"/>
    <w:rsid w:val="00FB0E77"/>
    <w:rsid w:val="00FB0EC2"/>
    <w:rsid w:val="00FB0F1A"/>
    <w:rsid w:val="00FB0F24"/>
    <w:rsid w:val="00FB0FD5"/>
    <w:rsid w:val="00FB0FE3"/>
    <w:rsid w:val="00FB1008"/>
    <w:rsid w:val="00FB1071"/>
    <w:rsid w:val="00FB107E"/>
    <w:rsid w:val="00FB1082"/>
    <w:rsid w:val="00FB1087"/>
    <w:rsid w:val="00FB108C"/>
    <w:rsid w:val="00FB10C8"/>
    <w:rsid w:val="00FB10CF"/>
    <w:rsid w:val="00FB10E5"/>
    <w:rsid w:val="00FB10F0"/>
    <w:rsid w:val="00FB1147"/>
    <w:rsid w:val="00FB11F7"/>
    <w:rsid w:val="00FB1246"/>
    <w:rsid w:val="00FB128D"/>
    <w:rsid w:val="00FB12BC"/>
    <w:rsid w:val="00FB12CE"/>
    <w:rsid w:val="00FB1308"/>
    <w:rsid w:val="00FB133D"/>
    <w:rsid w:val="00FB1340"/>
    <w:rsid w:val="00FB1363"/>
    <w:rsid w:val="00FB138C"/>
    <w:rsid w:val="00FB13D8"/>
    <w:rsid w:val="00FB1419"/>
    <w:rsid w:val="00FB1446"/>
    <w:rsid w:val="00FB144F"/>
    <w:rsid w:val="00FB1458"/>
    <w:rsid w:val="00FB145A"/>
    <w:rsid w:val="00FB1485"/>
    <w:rsid w:val="00FB1490"/>
    <w:rsid w:val="00FB14E6"/>
    <w:rsid w:val="00FB14EA"/>
    <w:rsid w:val="00FB1500"/>
    <w:rsid w:val="00FB1526"/>
    <w:rsid w:val="00FB1536"/>
    <w:rsid w:val="00FB15E2"/>
    <w:rsid w:val="00FB15EB"/>
    <w:rsid w:val="00FB16B4"/>
    <w:rsid w:val="00FB171A"/>
    <w:rsid w:val="00FB1728"/>
    <w:rsid w:val="00FB1737"/>
    <w:rsid w:val="00FB17BC"/>
    <w:rsid w:val="00FB17CC"/>
    <w:rsid w:val="00FB1849"/>
    <w:rsid w:val="00FB18E1"/>
    <w:rsid w:val="00FB18FF"/>
    <w:rsid w:val="00FB190D"/>
    <w:rsid w:val="00FB1930"/>
    <w:rsid w:val="00FB193E"/>
    <w:rsid w:val="00FB196F"/>
    <w:rsid w:val="00FB19D1"/>
    <w:rsid w:val="00FB1A36"/>
    <w:rsid w:val="00FB1A3A"/>
    <w:rsid w:val="00FB1A8C"/>
    <w:rsid w:val="00FB1A92"/>
    <w:rsid w:val="00FB1AD2"/>
    <w:rsid w:val="00FB1AD6"/>
    <w:rsid w:val="00FB1AF7"/>
    <w:rsid w:val="00FB1B4B"/>
    <w:rsid w:val="00FB1B4D"/>
    <w:rsid w:val="00FB1BA5"/>
    <w:rsid w:val="00FB1C5D"/>
    <w:rsid w:val="00FB1CF7"/>
    <w:rsid w:val="00FB1D06"/>
    <w:rsid w:val="00FB1D57"/>
    <w:rsid w:val="00FB1DDA"/>
    <w:rsid w:val="00FB1E5D"/>
    <w:rsid w:val="00FB1E74"/>
    <w:rsid w:val="00FB1EF6"/>
    <w:rsid w:val="00FB1F63"/>
    <w:rsid w:val="00FB1FAA"/>
    <w:rsid w:val="00FB1FAC"/>
    <w:rsid w:val="00FB1FBF"/>
    <w:rsid w:val="00FB1FE7"/>
    <w:rsid w:val="00FB2009"/>
    <w:rsid w:val="00FB2011"/>
    <w:rsid w:val="00FB201C"/>
    <w:rsid w:val="00FB20F9"/>
    <w:rsid w:val="00FB210F"/>
    <w:rsid w:val="00FB2198"/>
    <w:rsid w:val="00FB21F2"/>
    <w:rsid w:val="00FB21F6"/>
    <w:rsid w:val="00FB226D"/>
    <w:rsid w:val="00FB22AD"/>
    <w:rsid w:val="00FB22C9"/>
    <w:rsid w:val="00FB22CF"/>
    <w:rsid w:val="00FB233E"/>
    <w:rsid w:val="00FB2357"/>
    <w:rsid w:val="00FB235E"/>
    <w:rsid w:val="00FB2385"/>
    <w:rsid w:val="00FB23A3"/>
    <w:rsid w:val="00FB23EA"/>
    <w:rsid w:val="00FB243E"/>
    <w:rsid w:val="00FB247E"/>
    <w:rsid w:val="00FB2484"/>
    <w:rsid w:val="00FB24A2"/>
    <w:rsid w:val="00FB24D6"/>
    <w:rsid w:val="00FB2532"/>
    <w:rsid w:val="00FB255B"/>
    <w:rsid w:val="00FB2572"/>
    <w:rsid w:val="00FB25AE"/>
    <w:rsid w:val="00FB25F4"/>
    <w:rsid w:val="00FB261B"/>
    <w:rsid w:val="00FB2625"/>
    <w:rsid w:val="00FB2634"/>
    <w:rsid w:val="00FB267F"/>
    <w:rsid w:val="00FB2680"/>
    <w:rsid w:val="00FB268D"/>
    <w:rsid w:val="00FB26C0"/>
    <w:rsid w:val="00FB272C"/>
    <w:rsid w:val="00FB2785"/>
    <w:rsid w:val="00FB2814"/>
    <w:rsid w:val="00FB2867"/>
    <w:rsid w:val="00FB28A9"/>
    <w:rsid w:val="00FB2912"/>
    <w:rsid w:val="00FB295A"/>
    <w:rsid w:val="00FB29CD"/>
    <w:rsid w:val="00FB2AC0"/>
    <w:rsid w:val="00FB2B29"/>
    <w:rsid w:val="00FB2B3E"/>
    <w:rsid w:val="00FB2B43"/>
    <w:rsid w:val="00FB2B68"/>
    <w:rsid w:val="00FB2B6E"/>
    <w:rsid w:val="00FB2B9B"/>
    <w:rsid w:val="00FB2C1D"/>
    <w:rsid w:val="00FB2C41"/>
    <w:rsid w:val="00FB2CD0"/>
    <w:rsid w:val="00FB2CEF"/>
    <w:rsid w:val="00FB2D94"/>
    <w:rsid w:val="00FB2DE4"/>
    <w:rsid w:val="00FB2DE8"/>
    <w:rsid w:val="00FB2E2B"/>
    <w:rsid w:val="00FB2E39"/>
    <w:rsid w:val="00FB2EE9"/>
    <w:rsid w:val="00FB2EEF"/>
    <w:rsid w:val="00FB2EFA"/>
    <w:rsid w:val="00FB2F11"/>
    <w:rsid w:val="00FB2F43"/>
    <w:rsid w:val="00FB2F80"/>
    <w:rsid w:val="00FB30A2"/>
    <w:rsid w:val="00FB312A"/>
    <w:rsid w:val="00FB315B"/>
    <w:rsid w:val="00FB31A5"/>
    <w:rsid w:val="00FB31A9"/>
    <w:rsid w:val="00FB31FD"/>
    <w:rsid w:val="00FB3228"/>
    <w:rsid w:val="00FB32D0"/>
    <w:rsid w:val="00FB32D6"/>
    <w:rsid w:val="00FB337F"/>
    <w:rsid w:val="00FB33B3"/>
    <w:rsid w:val="00FB33C5"/>
    <w:rsid w:val="00FB33DF"/>
    <w:rsid w:val="00FB3402"/>
    <w:rsid w:val="00FB340D"/>
    <w:rsid w:val="00FB3416"/>
    <w:rsid w:val="00FB3490"/>
    <w:rsid w:val="00FB34A5"/>
    <w:rsid w:val="00FB3513"/>
    <w:rsid w:val="00FB3546"/>
    <w:rsid w:val="00FB359E"/>
    <w:rsid w:val="00FB35D4"/>
    <w:rsid w:val="00FB35DA"/>
    <w:rsid w:val="00FB35F8"/>
    <w:rsid w:val="00FB3605"/>
    <w:rsid w:val="00FB361C"/>
    <w:rsid w:val="00FB362E"/>
    <w:rsid w:val="00FB3667"/>
    <w:rsid w:val="00FB3672"/>
    <w:rsid w:val="00FB367D"/>
    <w:rsid w:val="00FB36B3"/>
    <w:rsid w:val="00FB3706"/>
    <w:rsid w:val="00FB373A"/>
    <w:rsid w:val="00FB375A"/>
    <w:rsid w:val="00FB37ED"/>
    <w:rsid w:val="00FB3824"/>
    <w:rsid w:val="00FB3851"/>
    <w:rsid w:val="00FB3862"/>
    <w:rsid w:val="00FB38CE"/>
    <w:rsid w:val="00FB393D"/>
    <w:rsid w:val="00FB397A"/>
    <w:rsid w:val="00FB39B8"/>
    <w:rsid w:val="00FB39E5"/>
    <w:rsid w:val="00FB39F6"/>
    <w:rsid w:val="00FB3A34"/>
    <w:rsid w:val="00FB3A44"/>
    <w:rsid w:val="00FB3A65"/>
    <w:rsid w:val="00FB3A8E"/>
    <w:rsid w:val="00FB3A97"/>
    <w:rsid w:val="00FB3AC6"/>
    <w:rsid w:val="00FB3AD3"/>
    <w:rsid w:val="00FB3B5D"/>
    <w:rsid w:val="00FB3B87"/>
    <w:rsid w:val="00FB3B89"/>
    <w:rsid w:val="00FB3BCA"/>
    <w:rsid w:val="00FB3C30"/>
    <w:rsid w:val="00FB3C3A"/>
    <w:rsid w:val="00FB3C4A"/>
    <w:rsid w:val="00FB3C4F"/>
    <w:rsid w:val="00FB3C5B"/>
    <w:rsid w:val="00FB3C6D"/>
    <w:rsid w:val="00FB3C76"/>
    <w:rsid w:val="00FB3C93"/>
    <w:rsid w:val="00FB3C9A"/>
    <w:rsid w:val="00FB3CB7"/>
    <w:rsid w:val="00FB3CC9"/>
    <w:rsid w:val="00FB3CCB"/>
    <w:rsid w:val="00FB3D0D"/>
    <w:rsid w:val="00FB3D45"/>
    <w:rsid w:val="00FB3E50"/>
    <w:rsid w:val="00FB3EAA"/>
    <w:rsid w:val="00FB3EE4"/>
    <w:rsid w:val="00FB3EE5"/>
    <w:rsid w:val="00FB3EF1"/>
    <w:rsid w:val="00FB3EF9"/>
    <w:rsid w:val="00FB3EFF"/>
    <w:rsid w:val="00FB3F39"/>
    <w:rsid w:val="00FB3F7F"/>
    <w:rsid w:val="00FB3FB9"/>
    <w:rsid w:val="00FB3FD9"/>
    <w:rsid w:val="00FB4058"/>
    <w:rsid w:val="00FB40A9"/>
    <w:rsid w:val="00FB40D4"/>
    <w:rsid w:val="00FB40D5"/>
    <w:rsid w:val="00FB4177"/>
    <w:rsid w:val="00FB41B9"/>
    <w:rsid w:val="00FB41E6"/>
    <w:rsid w:val="00FB41EE"/>
    <w:rsid w:val="00FB4246"/>
    <w:rsid w:val="00FB42AC"/>
    <w:rsid w:val="00FB433C"/>
    <w:rsid w:val="00FB438E"/>
    <w:rsid w:val="00FB43CB"/>
    <w:rsid w:val="00FB43DC"/>
    <w:rsid w:val="00FB4410"/>
    <w:rsid w:val="00FB4414"/>
    <w:rsid w:val="00FB4472"/>
    <w:rsid w:val="00FB449D"/>
    <w:rsid w:val="00FB45A0"/>
    <w:rsid w:val="00FB461F"/>
    <w:rsid w:val="00FB462B"/>
    <w:rsid w:val="00FB4711"/>
    <w:rsid w:val="00FB4723"/>
    <w:rsid w:val="00FB4729"/>
    <w:rsid w:val="00FB4764"/>
    <w:rsid w:val="00FB47FA"/>
    <w:rsid w:val="00FB4831"/>
    <w:rsid w:val="00FB48AB"/>
    <w:rsid w:val="00FB48B0"/>
    <w:rsid w:val="00FB48F9"/>
    <w:rsid w:val="00FB4995"/>
    <w:rsid w:val="00FB499A"/>
    <w:rsid w:val="00FB49A8"/>
    <w:rsid w:val="00FB49AC"/>
    <w:rsid w:val="00FB49CA"/>
    <w:rsid w:val="00FB4A0A"/>
    <w:rsid w:val="00FB4A16"/>
    <w:rsid w:val="00FB4A2B"/>
    <w:rsid w:val="00FB4AC8"/>
    <w:rsid w:val="00FB4ADC"/>
    <w:rsid w:val="00FB4AFE"/>
    <w:rsid w:val="00FB4BC0"/>
    <w:rsid w:val="00FB4D4E"/>
    <w:rsid w:val="00FB4D6A"/>
    <w:rsid w:val="00FB4DCB"/>
    <w:rsid w:val="00FB4DF2"/>
    <w:rsid w:val="00FB4E06"/>
    <w:rsid w:val="00FB4E78"/>
    <w:rsid w:val="00FB4EA0"/>
    <w:rsid w:val="00FB4EA8"/>
    <w:rsid w:val="00FB4EEF"/>
    <w:rsid w:val="00FB4EFE"/>
    <w:rsid w:val="00FB4F6B"/>
    <w:rsid w:val="00FB4FC0"/>
    <w:rsid w:val="00FB4FFA"/>
    <w:rsid w:val="00FB5016"/>
    <w:rsid w:val="00FB501D"/>
    <w:rsid w:val="00FB50F6"/>
    <w:rsid w:val="00FB510F"/>
    <w:rsid w:val="00FB512A"/>
    <w:rsid w:val="00FB5166"/>
    <w:rsid w:val="00FB51A2"/>
    <w:rsid w:val="00FB51B6"/>
    <w:rsid w:val="00FB51BD"/>
    <w:rsid w:val="00FB521E"/>
    <w:rsid w:val="00FB5251"/>
    <w:rsid w:val="00FB530B"/>
    <w:rsid w:val="00FB530F"/>
    <w:rsid w:val="00FB53CF"/>
    <w:rsid w:val="00FB53E4"/>
    <w:rsid w:val="00FB5437"/>
    <w:rsid w:val="00FB548E"/>
    <w:rsid w:val="00FB552B"/>
    <w:rsid w:val="00FB5531"/>
    <w:rsid w:val="00FB55A5"/>
    <w:rsid w:val="00FB55B2"/>
    <w:rsid w:val="00FB5643"/>
    <w:rsid w:val="00FB5672"/>
    <w:rsid w:val="00FB568D"/>
    <w:rsid w:val="00FB56B6"/>
    <w:rsid w:val="00FB56C3"/>
    <w:rsid w:val="00FB56E2"/>
    <w:rsid w:val="00FB57A4"/>
    <w:rsid w:val="00FB57A9"/>
    <w:rsid w:val="00FB57C2"/>
    <w:rsid w:val="00FB5816"/>
    <w:rsid w:val="00FB5820"/>
    <w:rsid w:val="00FB5864"/>
    <w:rsid w:val="00FB5879"/>
    <w:rsid w:val="00FB5886"/>
    <w:rsid w:val="00FB58F2"/>
    <w:rsid w:val="00FB5919"/>
    <w:rsid w:val="00FB5925"/>
    <w:rsid w:val="00FB5968"/>
    <w:rsid w:val="00FB5AA9"/>
    <w:rsid w:val="00FB5B55"/>
    <w:rsid w:val="00FB5B8A"/>
    <w:rsid w:val="00FB5B99"/>
    <w:rsid w:val="00FB5C24"/>
    <w:rsid w:val="00FB5C31"/>
    <w:rsid w:val="00FB5C42"/>
    <w:rsid w:val="00FB5D6C"/>
    <w:rsid w:val="00FB5D9F"/>
    <w:rsid w:val="00FB5E44"/>
    <w:rsid w:val="00FB5E47"/>
    <w:rsid w:val="00FB5E5A"/>
    <w:rsid w:val="00FB5E69"/>
    <w:rsid w:val="00FB5E7C"/>
    <w:rsid w:val="00FB5E7F"/>
    <w:rsid w:val="00FB5E81"/>
    <w:rsid w:val="00FB5E88"/>
    <w:rsid w:val="00FB5E9A"/>
    <w:rsid w:val="00FB5EC8"/>
    <w:rsid w:val="00FB5ED3"/>
    <w:rsid w:val="00FB5EFB"/>
    <w:rsid w:val="00FB5F4D"/>
    <w:rsid w:val="00FB5F9E"/>
    <w:rsid w:val="00FB5FFC"/>
    <w:rsid w:val="00FB6015"/>
    <w:rsid w:val="00FB604C"/>
    <w:rsid w:val="00FB604F"/>
    <w:rsid w:val="00FB6065"/>
    <w:rsid w:val="00FB6066"/>
    <w:rsid w:val="00FB6085"/>
    <w:rsid w:val="00FB6156"/>
    <w:rsid w:val="00FB619B"/>
    <w:rsid w:val="00FB61DD"/>
    <w:rsid w:val="00FB61E9"/>
    <w:rsid w:val="00FB629B"/>
    <w:rsid w:val="00FB62DC"/>
    <w:rsid w:val="00FB6300"/>
    <w:rsid w:val="00FB6318"/>
    <w:rsid w:val="00FB631A"/>
    <w:rsid w:val="00FB637A"/>
    <w:rsid w:val="00FB6393"/>
    <w:rsid w:val="00FB63DE"/>
    <w:rsid w:val="00FB64F9"/>
    <w:rsid w:val="00FB6582"/>
    <w:rsid w:val="00FB6630"/>
    <w:rsid w:val="00FB663A"/>
    <w:rsid w:val="00FB6660"/>
    <w:rsid w:val="00FB6688"/>
    <w:rsid w:val="00FB66C1"/>
    <w:rsid w:val="00FB66FD"/>
    <w:rsid w:val="00FB6783"/>
    <w:rsid w:val="00FB681D"/>
    <w:rsid w:val="00FB6820"/>
    <w:rsid w:val="00FB6900"/>
    <w:rsid w:val="00FB690F"/>
    <w:rsid w:val="00FB6963"/>
    <w:rsid w:val="00FB6998"/>
    <w:rsid w:val="00FB69C7"/>
    <w:rsid w:val="00FB69C8"/>
    <w:rsid w:val="00FB69ED"/>
    <w:rsid w:val="00FB6A4A"/>
    <w:rsid w:val="00FB6A4E"/>
    <w:rsid w:val="00FB6A5A"/>
    <w:rsid w:val="00FB6A74"/>
    <w:rsid w:val="00FB6AD7"/>
    <w:rsid w:val="00FB6B66"/>
    <w:rsid w:val="00FB6B77"/>
    <w:rsid w:val="00FB6BAD"/>
    <w:rsid w:val="00FB6BBF"/>
    <w:rsid w:val="00FB6BE3"/>
    <w:rsid w:val="00FB6BF0"/>
    <w:rsid w:val="00FB6C82"/>
    <w:rsid w:val="00FB6D25"/>
    <w:rsid w:val="00FB6D44"/>
    <w:rsid w:val="00FB6D4A"/>
    <w:rsid w:val="00FB6D56"/>
    <w:rsid w:val="00FB6D81"/>
    <w:rsid w:val="00FB6D83"/>
    <w:rsid w:val="00FB6DB6"/>
    <w:rsid w:val="00FB6DFA"/>
    <w:rsid w:val="00FB6E31"/>
    <w:rsid w:val="00FB6E5D"/>
    <w:rsid w:val="00FB6EB3"/>
    <w:rsid w:val="00FB6EB8"/>
    <w:rsid w:val="00FB6EDB"/>
    <w:rsid w:val="00FB6F19"/>
    <w:rsid w:val="00FB6F1F"/>
    <w:rsid w:val="00FB6F28"/>
    <w:rsid w:val="00FB6F6F"/>
    <w:rsid w:val="00FB6F7D"/>
    <w:rsid w:val="00FB6FA7"/>
    <w:rsid w:val="00FB6FBD"/>
    <w:rsid w:val="00FB7052"/>
    <w:rsid w:val="00FB705C"/>
    <w:rsid w:val="00FB708F"/>
    <w:rsid w:val="00FB70B2"/>
    <w:rsid w:val="00FB711B"/>
    <w:rsid w:val="00FB7151"/>
    <w:rsid w:val="00FB7152"/>
    <w:rsid w:val="00FB7185"/>
    <w:rsid w:val="00FB718E"/>
    <w:rsid w:val="00FB71CC"/>
    <w:rsid w:val="00FB71D0"/>
    <w:rsid w:val="00FB71E4"/>
    <w:rsid w:val="00FB71F4"/>
    <w:rsid w:val="00FB7244"/>
    <w:rsid w:val="00FB7259"/>
    <w:rsid w:val="00FB7277"/>
    <w:rsid w:val="00FB729B"/>
    <w:rsid w:val="00FB7334"/>
    <w:rsid w:val="00FB7354"/>
    <w:rsid w:val="00FB7368"/>
    <w:rsid w:val="00FB7382"/>
    <w:rsid w:val="00FB7394"/>
    <w:rsid w:val="00FB739F"/>
    <w:rsid w:val="00FB73E7"/>
    <w:rsid w:val="00FB7429"/>
    <w:rsid w:val="00FB7436"/>
    <w:rsid w:val="00FB746C"/>
    <w:rsid w:val="00FB74AB"/>
    <w:rsid w:val="00FB74D7"/>
    <w:rsid w:val="00FB7535"/>
    <w:rsid w:val="00FB758B"/>
    <w:rsid w:val="00FB75E0"/>
    <w:rsid w:val="00FB7619"/>
    <w:rsid w:val="00FB7654"/>
    <w:rsid w:val="00FB7682"/>
    <w:rsid w:val="00FB76E5"/>
    <w:rsid w:val="00FB76E6"/>
    <w:rsid w:val="00FB7781"/>
    <w:rsid w:val="00FB77FD"/>
    <w:rsid w:val="00FB7850"/>
    <w:rsid w:val="00FB789C"/>
    <w:rsid w:val="00FB789E"/>
    <w:rsid w:val="00FB78CA"/>
    <w:rsid w:val="00FB78F4"/>
    <w:rsid w:val="00FB7965"/>
    <w:rsid w:val="00FB7A2A"/>
    <w:rsid w:val="00FB7A64"/>
    <w:rsid w:val="00FB7A7B"/>
    <w:rsid w:val="00FB7ACD"/>
    <w:rsid w:val="00FB7B99"/>
    <w:rsid w:val="00FB7C6A"/>
    <w:rsid w:val="00FB7D8E"/>
    <w:rsid w:val="00FB7DBA"/>
    <w:rsid w:val="00FB7DDD"/>
    <w:rsid w:val="00FB7DEC"/>
    <w:rsid w:val="00FB7DEF"/>
    <w:rsid w:val="00FB7E85"/>
    <w:rsid w:val="00FB7E8B"/>
    <w:rsid w:val="00FB7E9E"/>
    <w:rsid w:val="00FB7ED0"/>
    <w:rsid w:val="00FB7EDA"/>
    <w:rsid w:val="00FB7EE5"/>
    <w:rsid w:val="00FB7EE6"/>
    <w:rsid w:val="00FB7F03"/>
    <w:rsid w:val="00FB7F5B"/>
    <w:rsid w:val="00FB7F6A"/>
    <w:rsid w:val="00FB7F78"/>
    <w:rsid w:val="00FB7F8A"/>
    <w:rsid w:val="00FB7F95"/>
    <w:rsid w:val="00FC016D"/>
    <w:rsid w:val="00FC019F"/>
    <w:rsid w:val="00FC0221"/>
    <w:rsid w:val="00FC0271"/>
    <w:rsid w:val="00FC02B8"/>
    <w:rsid w:val="00FC02BB"/>
    <w:rsid w:val="00FC02FE"/>
    <w:rsid w:val="00FC030A"/>
    <w:rsid w:val="00FC0315"/>
    <w:rsid w:val="00FC035B"/>
    <w:rsid w:val="00FC0396"/>
    <w:rsid w:val="00FC042B"/>
    <w:rsid w:val="00FC044B"/>
    <w:rsid w:val="00FC0474"/>
    <w:rsid w:val="00FC05D9"/>
    <w:rsid w:val="00FC070F"/>
    <w:rsid w:val="00FC071C"/>
    <w:rsid w:val="00FC0745"/>
    <w:rsid w:val="00FC086D"/>
    <w:rsid w:val="00FC0876"/>
    <w:rsid w:val="00FC08A0"/>
    <w:rsid w:val="00FC092B"/>
    <w:rsid w:val="00FC092E"/>
    <w:rsid w:val="00FC093D"/>
    <w:rsid w:val="00FC0940"/>
    <w:rsid w:val="00FC0997"/>
    <w:rsid w:val="00FC09D1"/>
    <w:rsid w:val="00FC0A33"/>
    <w:rsid w:val="00FC0AB4"/>
    <w:rsid w:val="00FC0AD5"/>
    <w:rsid w:val="00FC0AF6"/>
    <w:rsid w:val="00FC0B2F"/>
    <w:rsid w:val="00FC0B69"/>
    <w:rsid w:val="00FC0B87"/>
    <w:rsid w:val="00FC0BB3"/>
    <w:rsid w:val="00FC0BB6"/>
    <w:rsid w:val="00FC0BCB"/>
    <w:rsid w:val="00FC0C13"/>
    <w:rsid w:val="00FC0C32"/>
    <w:rsid w:val="00FC0D1D"/>
    <w:rsid w:val="00FC0D28"/>
    <w:rsid w:val="00FC0D34"/>
    <w:rsid w:val="00FC0D6F"/>
    <w:rsid w:val="00FC0D7C"/>
    <w:rsid w:val="00FC0D8D"/>
    <w:rsid w:val="00FC0DA2"/>
    <w:rsid w:val="00FC0E32"/>
    <w:rsid w:val="00FC0F16"/>
    <w:rsid w:val="00FC0F3C"/>
    <w:rsid w:val="00FC0F45"/>
    <w:rsid w:val="00FC0F51"/>
    <w:rsid w:val="00FC0F66"/>
    <w:rsid w:val="00FC0FD0"/>
    <w:rsid w:val="00FC0FE3"/>
    <w:rsid w:val="00FC0FEA"/>
    <w:rsid w:val="00FC1029"/>
    <w:rsid w:val="00FC102A"/>
    <w:rsid w:val="00FC102C"/>
    <w:rsid w:val="00FC10F5"/>
    <w:rsid w:val="00FC111D"/>
    <w:rsid w:val="00FC1149"/>
    <w:rsid w:val="00FC1197"/>
    <w:rsid w:val="00FC11C0"/>
    <w:rsid w:val="00FC1251"/>
    <w:rsid w:val="00FC1278"/>
    <w:rsid w:val="00FC128C"/>
    <w:rsid w:val="00FC12C5"/>
    <w:rsid w:val="00FC12CE"/>
    <w:rsid w:val="00FC12E1"/>
    <w:rsid w:val="00FC12E6"/>
    <w:rsid w:val="00FC13A2"/>
    <w:rsid w:val="00FC13B9"/>
    <w:rsid w:val="00FC13C5"/>
    <w:rsid w:val="00FC13CC"/>
    <w:rsid w:val="00FC13CE"/>
    <w:rsid w:val="00FC13D0"/>
    <w:rsid w:val="00FC13FE"/>
    <w:rsid w:val="00FC1409"/>
    <w:rsid w:val="00FC1433"/>
    <w:rsid w:val="00FC1456"/>
    <w:rsid w:val="00FC1482"/>
    <w:rsid w:val="00FC14AA"/>
    <w:rsid w:val="00FC14B4"/>
    <w:rsid w:val="00FC150F"/>
    <w:rsid w:val="00FC154F"/>
    <w:rsid w:val="00FC1560"/>
    <w:rsid w:val="00FC1573"/>
    <w:rsid w:val="00FC15C7"/>
    <w:rsid w:val="00FC15CB"/>
    <w:rsid w:val="00FC15D6"/>
    <w:rsid w:val="00FC1637"/>
    <w:rsid w:val="00FC16CD"/>
    <w:rsid w:val="00FC16E3"/>
    <w:rsid w:val="00FC16FE"/>
    <w:rsid w:val="00FC1714"/>
    <w:rsid w:val="00FC171A"/>
    <w:rsid w:val="00FC177C"/>
    <w:rsid w:val="00FC1786"/>
    <w:rsid w:val="00FC17BB"/>
    <w:rsid w:val="00FC17BF"/>
    <w:rsid w:val="00FC17E1"/>
    <w:rsid w:val="00FC1853"/>
    <w:rsid w:val="00FC18B3"/>
    <w:rsid w:val="00FC18E0"/>
    <w:rsid w:val="00FC18E5"/>
    <w:rsid w:val="00FC18EF"/>
    <w:rsid w:val="00FC1946"/>
    <w:rsid w:val="00FC1984"/>
    <w:rsid w:val="00FC1989"/>
    <w:rsid w:val="00FC19B3"/>
    <w:rsid w:val="00FC19BF"/>
    <w:rsid w:val="00FC1A68"/>
    <w:rsid w:val="00FC1B15"/>
    <w:rsid w:val="00FC1B2D"/>
    <w:rsid w:val="00FC1BBA"/>
    <w:rsid w:val="00FC1BF1"/>
    <w:rsid w:val="00FC1BF8"/>
    <w:rsid w:val="00FC1C35"/>
    <w:rsid w:val="00FC1C3C"/>
    <w:rsid w:val="00FC1C66"/>
    <w:rsid w:val="00FC1C76"/>
    <w:rsid w:val="00FC1C82"/>
    <w:rsid w:val="00FC1CD3"/>
    <w:rsid w:val="00FC1CD7"/>
    <w:rsid w:val="00FC1CEF"/>
    <w:rsid w:val="00FC1D77"/>
    <w:rsid w:val="00FC1D9A"/>
    <w:rsid w:val="00FC1DEC"/>
    <w:rsid w:val="00FC1E71"/>
    <w:rsid w:val="00FC1F23"/>
    <w:rsid w:val="00FC1FBD"/>
    <w:rsid w:val="00FC2005"/>
    <w:rsid w:val="00FC2019"/>
    <w:rsid w:val="00FC2082"/>
    <w:rsid w:val="00FC20A1"/>
    <w:rsid w:val="00FC20DC"/>
    <w:rsid w:val="00FC224E"/>
    <w:rsid w:val="00FC2286"/>
    <w:rsid w:val="00FC228C"/>
    <w:rsid w:val="00FC22EE"/>
    <w:rsid w:val="00FC2305"/>
    <w:rsid w:val="00FC235B"/>
    <w:rsid w:val="00FC237A"/>
    <w:rsid w:val="00FC237D"/>
    <w:rsid w:val="00FC23E8"/>
    <w:rsid w:val="00FC2409"/>
    <w:rsid w:val="00FC240C"/>
    <w:rsid w:val="00FC2415"/>
    <w:rsid w:val="00FC2422"/>
    <w:rsid w:val="00FC243F"/>
    <w:rsid w:val="00FC2468"/>
    <w:rsid w:val="00FC24A8"/>
    <w:rsid w:val="00FC24D5"/>
    <w:rsid w:val="00FC24DE"/>
    <w:rsid w:val="00FC2503"/>
    <w:rsid w:val="00FC2542"/>
    <w:rsid w:val="00FC255B"/>
    <w:rsid w:val="00FC25AB"/>
    <w:rsid w:val="00FC260F"/>
    <w:rsid w:val="00FC2654"/>
    <w:rsid w:val="00FC267A"/>
    <w:rsid w:val="00FC26BA"/>
    <w:rsid w:val="00FC2717"/>
    <w:rsid w:val="00FC2748"/>
    <w:rsid w:val="00FC274A"/>
    <w:rsid w:val="00FC278B"/>
    <w:rsid w:val="00FC2795"/>
    <w:rsid w:val="00FC279A"/>
    <w:rsid w:val="00FC27F2"/>
    <w:rsid w:val="00FC2820"/>
    <w:rsid w:val="00FC2844"/>
    <w:rsid w:val="00FC2857"/>
    <w:rsid w:val="00FC285F"/>
    <w:rsid w:val="00FC2892"/>
    <w:rsid w:val="00FC28B8"/>
    <w:rsid w:val="00FC28BA"/>
    <w:rsid w:val="00FC28F0"/>
    <w:rsid w:val="00FC2905"/>
    <w:rsid w:val="00FC2941"/>
    <w:rsid w:val="00FC2989"/>
    <w:rsid w:val="00FC299D"/>
    <w:rsid w:val="00FC29B5"/>
    <w:rsid w:val="00FC29C2"/>
    <w:rsid w:val="00FC2A03"/>
    <w:rsid w:val="00FC2A42"/>
    <w:rsid w:val="00FC2A75"/>
    <w:rsid w:val="00FC2A90"/>
    <w:rsid w:val="00FC2AD8"/>
    <w:rsid w:val="00FC2B27"/>
    <w:rsid w:val="00FC2B60"/>
    <w:rsid w:val="00FC2B63"/>
    <w:rsid w:val="00FC2B9F"/>
    <w:rsid w:val="00FC2BE4"/>
    <w:rsid w:val="00FC2BE8"/>
    <w:rsid w:val="00FC2BFD"/>
    <w:rsid w:val="00FC2C2F"/>
    <w:rsid w:val="00FC2C46"/>
    <w:rsid w:val="00FC2C60"/>
    <w:rsid w:val="00FC2C70"/>
    <w:rsid w:val="00FC2C8A"/>
    <w:rsid w:val="00FC2CE2"/>
    <w:rsid w:val="00FC2D9F"/>
    <w:rsid w:val="00FC2DC5"/>
    <w:rsid w:val="00FC2DEF"/>
    <w:rsid w:val="00FC2E26"/>
    <w:rsid w:val="00FC2E27"/>
    <w:rsid w:val="00FC2F08"/>
    <w:rsid w:val="00FC2F88"/>
    <w:rsid w:val="00FC2F9A"/>
    <w:rsid w:val="00FC2FD9"/>
    <w:rsid w:val="00FC300E"/>
    <w:rsid w:val="00FC3094"/>
    <w:rsid w:val="00FC3097"/>
    <w:rsid w:val="00FC30AD"/>
    <w:rsid w:val="00FC30BD"/>
    <w:rsid w:val="00FC30D1"/>
    <w:rsid w:val="00FC30F2"/>
    <w:rsid w:val="00FC3101"/>
    <w:rsid w:val="00FC3136"/>
    <w:rsid w:val="00FC3162"/>
    <w:rsid w:val="00FC31BF"/>
    <w:rsid w:val="00FC31D5"/>
    <w:rsid w:val="00FC3216"/>
    <w:rsid w:val="00FC3248"/>
    <w:rsid w:val="00FC325D"/>
    <w:rsid w:val="00FC3268"/>
    <w:rsid w:val="00FC327C"/>
    <w:rsid w:val="00FC3306"/>
    <w:rsid w:val="00FC3385"/>
    <w:rsid w:val="00FC33AC"/>
    <w:rsid w:val="00FC3453"/>
    <w:rsid w:val="00FC3460"/>
    <w:rsid w:val="00FC34A7"/>
    <w:rsid w:val="00FC34AD"/>
    <w:rsid w:val="00FC351A"/>
    <w:rsid w:val="00FC3578"/>
    <w:rsid w:val="00FC358B"/>
    <w:rsid w:val="00FC35BE"/>
    <w:rsid w:val="00FC367B"/>
    <w:rsid w:val="00FC36C3"/>
    <w:rsid w:val="00FC3748"/>
    <w:rsid w:val="00FC3799"/>
    <w:rsid w:val="00FC379A"/>
    <w:rsid w:val="00FC37B8"/>
    <w:rsid w:val="00FC37C6"/>
    <w:rsid w:val="00FC3861"/>
    <w:rsid w:val="00FC394E"/>
    <w:rsid w:val="00FC3984"/>
    <w:rsid w:val="00FC39B3"/>
    <w:rsid w:val="00FC39F6"/>
    <w:rsid w:val="00FC3A15"/>
    <w:rsid w:val="00FC3A27"/>
    <w:rsid w:val="00FC3A60"/>
    <w:rsid w:val="00FC3A97"/>
    <w:rsid w:val="00FC3AF3"/>
    <w:rsid w:val="00FC3B51"/>
    <w:rsid w:val="00FC3B63"/>
    <w:rsid w:val="00FC3B66"/>
    <w:rsid w:val="00FC3B7C"/>
    <w:rsid w:val="00FC3B89"/>
    <w:rsid w:val="00FC3BC1"/>
    <w:rsid w:val="00FC3C4A"/>
    <w:rsid w:val="00FC3C4E"/>
    <w:rsid w:val="00FC3CFB"/>
    <w:rsid w:val="00FC3D21"/>
    <w:rsid w:val="00FC3E27"/>
    <w:rsid w:val="00FC3EC5"/>
    <w:rsid w:val="00FC3F5E"/>
    <w:rsid w:val="00FC3F68"/>
    <w:rsid w:val="00FC3FB6"/>
    <w:rsid w:val="00FC3FE1"/>
    <w:rsid w:val="00FC400E"/>
    <w:rsid w:val="00FC4081"/>
    <w:rsid w:val="00FC40DC"/>
    <w:rsid w:val="00FC40F6"/>
    <w:rsid w:val="00FC410D"/>
    <w:rsid w:val="00FC41B9"/>
    <w:rsid w:val="00FC41BF"/>
    <w:rsid w:val="00FC41CE"/>
    <w:rsid w:val="00FC423D"/>
    <w:rsid w:val="00FC4303"/>
    <w:rsid w:val="00FC4339"/>
    <w:rsid w:val="00FC43AF"/>
    <w:rsid w:val="00FC43CC"/>
    <w:rsid w:val="00FC43DF"/>
    <w:rsid w:val="00FC4411"/>
    <w:rsid w:val="00FC4457"/>
    <w:rsid w:val="00FC4488"/>
    <w:rsid w:val="00FC449F"/>
    <w:rsid w:val="00FC44A4"/>
    <w:rsid w:val="00FC44AF"/>
    <w:rsid w:val="00FC44E4"/>
    <w:rsid w:val="00FC458E"/>
    <w:rsid w:val="00FC4598"/>
    <w:rsid w:val="00FC45AE"/>
    <w:rsid w:val="00FC45F0"/>
    <w:rsid w:val="00FC45F4"/>
    <w:rsid w:val="00FC460A"/>
    <w:rsid w:val="00FC461A"/>
    <w:rsid w:val="00FC464C"/>
    <w:rsid w:val="00FC467F"/>
    <w:rsid w:val="00FC46DC"/>
    <w:rsid w:val="00FC4701"/>
    <w:rsid w:val="00FC471B"/>
    <w:rsid w:val="00FC4756"/>
    <w:rsid w:val="00FC47A7"/>
    <w:rsid w:val="00FC47F4"/>
    <w:rsid w:val="00FC48E8"/>
    <w:rsid w:val="00FC4910"/>
    <w:rsid w:val="00FC4957"/>
    <w:rsid w:val="00FC4A1F"/>
    <w:rsid w:val="00FC4A57"/>
    <w:rsid w:val="00FC4AA8"/>
    <w:rsid w:val="00FC4AE3"/>
    <w:rsid w:val="00FC4AEF"/>
    <w:rsid w:val="00FC4B2C"/>
    <w:rsid w:val="00FC4B47"/>
    <w:rsid w:val="00FC4B66"/>
    <w:rsid w:val="00FC4B7E"/>
    <w:rsid w:val="00FC4B80"/>
    <w:rsid w:val="00FC4B90"/>
    <w:rsid w:val="00FC4BA7"/>
    <w:rsid w:val="00FC4BF9"/>
    <w:rsid w:val="00FC4BFF"/>
    <w:rsid w:val="00FC4C4A"/>
    <w:rsid w:val="00FC4C4B"/>
    <w:rsid w:val="00FC4C99"/>
    <w:rsid w:val="00FC4CBA"/>
    <w:rsid w:val="00FC4D12"/>
    <w:rsid w:val="00FC4D13"/>
    <w:rsid w:val="00FC4DEE"/>
    <w:rsid w:val="00FC4DF0"/>
    <w:rsid w:val="00FC4E13"/>
    <w:rsid w:val="00FC4E27"/>
    <w:rsid w:val="00FC4E32"/>
    <w:rsid w:val="00FC4E4F"/>
    <w:rsid w:val="00FC4E5E"/>
    <w:rsid w:val="00FC4E85"/>
    <w:rsid w:val="00FC4EB9"/>
    <w:rsid w:val="00FC4ECA"/>
    <w:rsid w:val="00FC4F05"/>
    <w:rsid w:val="00FC4F30"/>
    <w:rsid w:val="00FC4F49"/>
    <w:rsid w:val="00FC4F67"/>
    <w:rsid w:val="00FC4F8B"/>
    <w:rsid w:val="00FC4FCF"/>
    <w:rsid w:val="00FC5002"/>
    <w:rsid w:val="00FC5041"/>
    <w:rsid w:val="00FC5055"/>
    <w:rsid w:val="00FC5075"/>
    <w:rsid w:val="00FC50D7"/>
    <w:rsid w:val="00FC50DC"/>
    <w:rsid w:val="00FC51EA"/>
    <w:rsid w:val="00FC52A3"/>
    <w:rsid w:val="00FC52A5"/>
    <w:rsid w:val="00FC52C9"/>
    <w:rsid w:val="00FC52D4"/>
    <w:rsid w:val="00FC52DE"/>
    <w:rsid w:val="00FC530E"/>
    <w:rsid w:val="00FC533A"/>
    <w:rsid w:val="00FC5364"/>
    <w:rsid w:val="00FC53DD"/>
    <w:rsid w:val="00FC549B"/>
    <w:rsid w:val="00FC54C0"/>
    <w:rsid w:val="00FC5505"/>
    <w:rsid w:val="00FC5515"/>
    <w:rsid w:val="00FC554D"/>
    <w:rsid w:val="00FC5573"/>
    <w:rsid w:val="00FC55C4"/>
    <w:rsid w:val="00FC5619"/>
    <w:rsid w:val="00FC5666"/>
    <w:rsid w:val="00FC567C"/>
    <w:rsid w:val="00FC569B"/>
    <w:rsid w:val="00FC56E8"/>
    <w:rsid w:val="00FC5702"/>
    <w:rsid w:val="00FC5757"/>
    <w:rsid w:val="00FC5780"/>
    <w:rsid w:val="00FC5787"/>
    <w:rsid w:val="00FC5794"/>
    <w:rsid w:val="00FC57C2"/>
    <w:rsid w:val="00FC57D0"/>
    <w:rsid w:val="00FC57F2"/>
    <w:rsid w:val="00FC5829"/>
    <w:rsid w:val="00FC583B"/>
    <w:rsid w:val="00FC583C"/>
    <w:rsid w:val="00FC5870"/>
    <w:rsid w:val="00FC587F"/>
    <w:rsid w:val="00FC58C7"/>
    <w:rsid w:val="00FC58D3"/>
    <w:rsid w:val="00FC58DE"/>
    <w:rsid w:val="00FC58F2"/>
    <w:rsid w:val="00FC5903"/>
    <w:rsid w:val="00FC593F"/>
    <w:rsid w:val="00FC5996"/>
    <w:rsid w:val="00FC5A3E"/>
    <w:rsid w:val="00FC5A4C"/>
    <w:rsid w:val="00FC5AD2"/>
    <w:rsid w:val="00FC5AFF"/>
    <w:rsid w:val="00FC5B0C"/>
    <w:rsid w:val="00FC5B29"/>
    <w:rsid w:val="00FC5B32"/>
    <w:rsid w:val="00FC5B7D"/>
    <w:rsid w:val="00FC5BAB"/>
    <w:rsid w:val="00FC5BCD"/>
    <w:rsid w:val="00FC5C25"/>
    <w:rsid w:val="00FC5C63"/>
    <w:rsid w:val="00FC5D22"/>
    <w:rsid w:val="00FC5D57"/>
    <w:rsid w:val="00FC5D75"/>
    <w:rsid w:val="00FC5DBD"/>
    <w:rsid w:val="00FC5DC7"/>
    <w:rsid w:val="00FC5DFD"/>
    <w:rsid w:val="00FC5E3B"/>
    <w:rsid w:val="00FC5E58"/>
    <w:rsid w:val="00FC5EC9"/>
    <w:rsid w:val="00FC5EFE"/>
    <w:rsid w:val="00FC5F41"/>
    <w:rsid w:val="00FC5F95"/>
    <w:rsid w:val="00FC6049"/>
    <w:rsid w:val="00FC60A3"/>
    <w:rsid w:val="00FC610A"/>
    <w:rsid w:val="00FC612B"/>
    <w:rsid w:val="00FC613E"/>
    <w:rsid w:val="00FC6189"/>
    <w:rsid w:val="00FC6192"/>
    <w:rsid w:val="00FC61A9"/>
    <w:rsid w:val="00FC61CA"/>
    <w:rsid w:val="00FC61FA"/>
    <w:rsid w:val="00FC62A5"/>
    <w:rsid w:val="00FC62C5"/>
    <w:rsid w:val="00FC6363"/>
    <w:rsid w:val="00FC63B4"/>
    <w:rsid w:val="00FC63F8"/>
    <w:rsid w:val="00FC6436"/>
    <w:rsid w:val="00FC64C5"/>
    <w:rsid w:val="00FC6506"/>
    <w:rsid w:val="00FC6599"/>
    <w:rsid w:val="00FC6622"/>
    <w:rsid w:val="00FC6664"/>
    <w:rsid w:val="00FC667E"/>
    <w:rsid w:val="00FC668C"/>
    <w:rsid w:val="00FC66B1"/>
    <w:rsid w:val="00FC66F6"/>
    <w:rsid w:val="00FC670B"/>
    <w:rsid w:val="00FC672F"/>
    <w:rsid w:val="00FC6733"/>
    <w:rsid w:val="00FC67CD"/>
    <w:rsid w:val="00FC67DF"/>
    <w:rsid w:val="00FC680B"/>
    <w:rsid w:val="00FC681A"/>
    <w:rsid w:val="00FC68BE"/>
    <w:rsid w:val="00FC691B"/>
    <w:rsid w:val="00FC692C"/>
    <w:rsid w:val="00FC692E"/>
    <w:rsid w:val="00FC69F5"/>
    <w:rsid w:val="00FC6A0E"/>
    <w:rsid w:val="00FC6A17"/>
    <w:rsid w:val="00FC6A4F"/>
    <w:rsid w:val="00FC6A67"/>
    <w:rsid w:val="00FC6B02"/>
    <w:rsid w:val="00FC6BBD"/>
    <w:rsid w:val="00FC6BC9"/>
    <w:rsid w:val="00FC6C08"/>
    <w:rsid w:val="00FC6C6F"/>
    <w:rsid w:val="00FC6C73"/>
    <w:rsid w:val="00FC6CC5"/>
    <w:rsid w:val="00FC6CEF"/>
    <w:rsid w:val="00FC6D6D"/>
    <w:rsid w:val="00FC6D7C"/>
    <w:rsid w:val="00FC6DA0"/>
    <w:rsid w:val="00FC6DC4"/>
    <w:rsid w:val="00FC6E24"/>
    <w:rsid w:val="00FC6E7A"/>
    <w:rsid w:val="00FC6EA6"/>
    <w:rsid w:val="00FC6F2E"/>
    <w:rsid w:val="00FC6F5C"/>
    <w:rsid w:val="00FC6FE9"/>
    <w:rsid w:val="00FC700C"/>
    <w:rsid w:val="00FC7022"/>
    <w:rsid w:val="00FC707D"/>
    <w:rsid w:val="00FC70A6"/>
    <w:rsid w:val="00FC7130"/>
    <w:rsid w:val="00FC71AE"/>
    <w:rsid w:val="00FC721D"/>
    <w:rsid w:val="00FC722F"/>
    <w:rsid w:val="00FC7231"/>
    <w:rsid w:val="00FC7239"/>
    <w:rsid w:val="00FC726E"/>
    <w:rsid w:val="00FC7327"/>
    <w:rsid w:val="00FC732C"/>
    <w:rsid w:val="00FC734B"/>
    <w:rsid w:val="00FC7351"/>
    <w:rsid w:val="00FC737F"/>
    <w:rsid w:val="00FC7380"/>
    <w:rsid w:val="00FC7385"/>
    <w:rsid w:val="00FC73AA"/>
    <w:rsid w:val="00FC73C1"/>
    <w:rsid w:val="00FC73E3"/>
    <w:rsid w:val="00FC740C"/>
    <w:rsid w:val="00FC748B"/>
    <w:rsid w:val="00FC74A8"/>
    <w:rsid w:val="00FC74BC"/>
    <w:rsid w:val="00FC74D5"/>
    <w:rsid w:val="00FC7547"/>
    <w:rsid w:val="00FC7577"/>
    <w:rsid w:val="00FC75BF"/>
    <w:rsid w:val="00FC7650"/>
    <w:rsid w:val="00FC766B"/>
    <w:rsid w:val="00FC76A0"/>
    <w:rsid w:val="00FC76A7"/>
    <w:rsid w:val="00FC76FD"/>
    <w:rsid w:val="00FC7740"/>
    <w:rsid w:val="00FC775E"/>
    <w:rsid w:val="00FC7778"/>
    <w:rsid w:val="00FC7779"/>
    <w:rsid w:val="00FC77DD"/>
    <w:rsid w:val="00FC77F3"/>
    <w:rsid w:val="00FC7824"/>
    <w:rsid w:val="00FC7897"/>
    <w:rsid w:val="00FC78AD"/>
    <w:rsid w:val="00FC78EA"/>
    <w:rsid w:val="00FC790D"/>
    <w:rsid w:val="00FC7A02"/>
    <w:rsid w:val="00FC7A27"/>
    <w:rsid w:val="00FC7A40"/>
    <w:rsid w:val="00FC7A6B"/>
    <w:rsid w:val="00FC7A98"/>
    <w:rsid w:val="00FC7AB3"/>
    <w:rsid w:val="00FC7ABA"/>
    <w:rsid w:val="00FC7ACF"/>
    <w:rsid w:val="00FC7B5A"/>
    <w:rsid w:val="00FC7B6F"/>
    <w:rsid w:val="00FC7BAF"/>
    <w:rsid w:val="00FC7BD5"/>
    <w:rsid w:val="00FC7BDA"/>
    <w:rsid w:val="00FC7C0B"/>
    <w:rsid w:val="00FC7C59"/>
    <w:rsid w:val="00FC7C63"/>
    <w:rsid w:val="00FC7C7C"/>
    <w:rsid w:val="00FC7CCC"/>
    <w:rsid w:val="00FC7E02"/>
    <w:rsid w:val="00FC7E3C"/>
    <w:rsid w:val="00FC7E58"/>
    <w:rsid w:val="00FC7E7E"/>
    <w:rsid w:val="00FC7E98"/>
    <w:rsid w:val="00FC7EC4"/>
    <w:rsid w:val="00FC7ED1"/>
    <w:rsid w:val="00FC7F0D"/>
    <w:rsid w:val="00FC7F2D"/>
    <w:rsid w:val="00FC7F57"/>
    <w:rsid w:val="00FC7F77"/>
    <w:rsid w:val="00FC7F7A"/>
    <w:rsid w:val="00FC7F91"/>
    <w:rsid w:val="00FC7FB7"/>
    <w:rsid w:val="00FC7FD9"/>
    <w:rsid w:val="00FC7FF8"/>
    <w:rsid w:val="00FD004A"/>
    <w:rsid w:val="00FD0095"/>
    <w:rsid w:val="00FD00C4"/>
    <w:rsid w:val="00FD00D0"/>
    <w:rsid w:val="00FD017C"/>
    <w:rsid w:val="00FD01AD"/>
    <w:rsid w:val="00FD01B8"/>
    <w:rsid w:val="00FD01E2"/>
    <w:rsid w:val="00FD02B7"/>
    <w:rsid w:val="00FD02C2"/>
    <w:rsid w:val="00FD02C3"/>
    <w:rsid w:val="00FD02C7"/>
    <w:rsid w:val="00FD0324"/>
    <w:rsid w:val="00FD0326"/>
    <w:rsid w:val="00FD0370"/>
    <w:rsid w:val="00FD03DE"/>
    <w:rsid w:val="00FD0408"/>
    <w:rsid w:val="00FD0449"/>
    <w:rsid w:val="00FD04B5"/>
    <w:rsid w:val="00FD04BD"/>
    <w:rsid w:val="00FD051D"/>
    <w:rsid w:val="00FD0576"/>
    <w:rsid w:val="00FD058D"/>
    <w:rsid w:val="00FD05FB"/>
    <w:rsid w:val="00FD061C"/>
    <w:rsid w:val="00FD0672"/>
    <w:rsid w:val="00FD06D6"/>
    <w:rsid w:val="00FD0736"/>
    <w:rsid w:val="00FD073A"/>
    <w:rsid w:val="00FD07C4"/>
    <w:rsid w:val="00FD07D2"/>
    <w:rsid w:val="00FD07EA"/>
    <w:rsid w:val="00FD0815"/>
    <w:rsid w:val="00FD0866"/>
    <w:rsid w:val="00FD086D"/>
    <w:rsid w:val="00FD08FB"/>
    <w:rsid w:val="00FD0932"/>
    <w:rsid w:val="00FD0964"/>
    <w:rsid w:val="00FD0994"/>
    <w:rsid w:val="00FD09A9"/>
    <w:rsid w:val="00FD0A0D"/>
    <w:rsid w:val="00FD0A52"/>
    <w:rsid w:val="00FD0A59"/>
    <w:rsid w:val="00FD0A65"/>
    <w:rsid w:val="00FD0B50"/>
    <w:rsid w:val="00FD0B61"/>
    <w:rsid w:val="00FD0B76"/>
    <w:rsid w:val="00FD0C17"/>
    <w:rsid w:val="00FD0CAD"/>
    <w:rsid w:val="00FD0D0A"/>
    <w:rsid w:val="00FD0D25"/>
    <w:rsid w:val="00FD0D49"/>
    <w:rsid w:val="00FD0D6A"/>
    <w:rsid w:val="00FD0D79"/>
    <w:rsid w:val="00FD0D8F"/>
    <w:rsid w:val="00FD0DCB"/>
    <w:rsid w:val="00FD0DCF"/>
    <w:rsid w:val="00FD0DF0"/>
    <w:rsid w:val="00FD0E0C"/>
    <w:rsid w:val="00FD0E5E"/>
    <w:rsid w:val="00FD0EEB"/>
    <w:rsid w:val="00FD0EF2"/>
    <w:rsid w:val="00FD0EF6"/>
    <w:rsid w:val="00FD0F13"/>
    <w:rsid w:val="00FD1005"/>
    <w:rsid w:val="00FD100F"/>
    <w:rsid w:val="00FD1026"/>
    <w:rsid w:val="00FD105E"/>
    <w:rsid w:val="00FD1064"/>
    <w:rsid w:val="00FD1078"/>
    <w:rsid w:val="00FD114B"/>
    <w:rsid w:val="00FD11AD"/>
    <w:rsid w:val="00FD11D9"/>
    <w:rsid w:val="00FD121A"/>
    <w:rsid w:val="00FD1248"/>
    <w:rsid w:val="00FD124C"/>
    <w:rsid w:val="00FD12AD"/>
    <w:rsid w:val="00FD12BE"/>
    <w:rsid w:val="00FD12D7"/>
    <w:rsid w:val="00FD1386"/>
    <w:rsid w:val="00FD13E2"/>
    <w:rsid w:val="00FD1425"/>
    <w:rsid w:val="00FD1471"/>
    <w:rsid w:val="00FD149E"/>
    <w:rsid w:val="00FD14FD"/>
    <w:rsid w:val="00FD151D"/>
    <w:rsid w:val="00FD1565"/>
    <w:rsid w:val="00FD1572"/>
    <w:rsid w:val="00FD15F7"/>
    <w:rsid w:val="00FD15F8"/>
    <w:rsid w:val="00FD1603"/>
    <w:rsid w:val="00FD1635"/>
    <w:rsid w:val="00FD16AE"/>
    <w:rsid w:val="00FD1732"/>
    <w:rsid w:val="00FD1733"/>
    <w:rsid w:val="00FD174D"/>
    <w:rsid w:val="00FD178F"/>
    <w:rsid w:val="00FD1806"/>
    <w:rsid w:val="00FD1828"/>
    <w:rsid w:val="00FD182D"/>
    <w:rsid w:val="00FD189D"/>
    <w:rsid w:val="00FD18A2"/>
    <w:rsid w:val="00FD18B5"/>
    <w:rsid w:val="00FD1900"/>
    <w:rsid w:val="00FD1993"/>
    <w:rsid w:val="00FD19E8"/>
    <w:rsid w:val="00FD19EA"/>
    <w:rsid w:val="00FD1A42"/>
    <w:rsid w:val="00FD1A83"/>
    <w:rsid w:val="00FD1A9A"/>
    <w:rsid w:val="00FD1AC2"/>
    <w:rsid w:val="00FD1AD8"/>
    <w:rsid w:val="00FD1B0A"/>
    <w:rsid w:val="00FD1B59"/>
    <w:rsid w:val="00FD1BA1"/>
    <w:rsid w:val="00FD1BD7"/>
    <w:rsid w:val="00FD1C4E"/>
    <w:rsid w:val="00FD1CB7"/>
    <w:rsid w:val="00FD1CCC"/>
    <w:rsid w:val="00FD1CDD"/>
    <w:rsid w:val="00FD1CE1"/>
    <w:rsid w:val="00FD1D09"/>
    <w:rsid w:val="00FD1D39"/>
    <w:rsid w:val="00FD1D50"/>
    <w:rsid w:val="00FD1D77"/>
    <w:rsid w:val="00FD1D9C"/>
    <w:rsid w:val="00FD1DA0"/>
    <w:rsid w:val="00FD1DCA"/>
    <w:rsid w:val="00FD1DEE"/>
    <w:rsid w:val="00FD1DF6"/>
    <w:rsid w:val="00FD1E70"/>
    <w:rsid w:val="00FD1EB3"/>
    <w:rsid w:val="00FD1ED6"/>
    <w:rsid w:val="00FD1F1D"/>
    <w:rsid w:val="00FD1F53"/>
    <w:rsid w:val="00FD1F84"/>
    <w:rsid w:val="00FD1FAC"/>
    <w:rsid w:val="00FD1FCE"/>
    <w:rsid w:val="00FD1FF4"/>
    <w:rsid w:val="00FD1FF5"/>
    <w:rsid w:val="00FD2087"/>
    <w:rsid w:val="00FD20A0"/>
    <w:rsid w:val="00FD20B0"/>
    <w:rsid w:val="00FD20C6"/>
    <w:rsid w:val="00FD21CC"/>
    <w:rsid w:val="00FD21E1"/>
    <w:rsid w:val="00FD2206"/>
    <w:rsid w:val="00FD2240"/>
    <w:rsid w:val="00FD2269"/>
    <w:rsid w:val="00FD228E"/>
    <w:rsid w:val="00FD2294"/>
    <w:rsid w:val="00FD22B4"/>
    <w:rsid w:val="00FD231D"/>
    <w:rsid w:val="00FD2374"/>
    <w:rsid w:val="00FD23A8"/>
    <w:rsid w:val="00FD23BC"/>
    <w:rsid w:val="00FD23F5"/>
    <w:rsid w:val="00FD242F"/>
    <w:rsid w:val="00FD24A2"/>
    <w:rsid w:val="00FD2512"/>
    <w:rsid w:val="00FD2527"/>
    <w:rsid w:val="00FD2530"/>
    <w:rsid w:val="00FD2541"/>
    <w:rsid w:val="00FD2581"/>
    <w:rsid w:val="00FD25C4"/>
    <w:rsid w:val="00FD2617"/>
    <w:rsid w:val="00FD26CE"/>
    <w:rsid w:val="00FD26DE"/>
    <w:rsid w:val="00FD26E9"/>
    <w:rsid w:val="00FD26FD"/>
    <w:rsid w:val="00FD2703"/>
    <w:rsid w:val="00FD2758"/>
    <w:rsid w:val="00FD279A"/>
    <w:rsid w:val="00FD27C5"/>
    <w:rsid w:val="00FD2818"/>
    <w:rsid w:val="00FD282E"/>
    <w:rsid w:val="00FD2846"/>
    <w:rsid w:val="00FD28C4"/>
    <w:rsid w:val="00FD28CC"/>
    <w:rsid w:val="00FD28D2"/>
    <w:rsid w:val="00FD2928"/>
    <w:rsid w:val="00FD2975"/>
    <w:rsid w:val="00FD2990"/>
    <w:rsid w:val="00FD29A5"/>
    <w:rsid w:val="00FD29AE"/>
    <w:rsid w:val="00FD29CF"/>
    <w:rsid w:val="00FD2A26"/>
    <w:rsid w:val="00FD2A8F"/>
    <w:rsid w:val="00FD2B3D"/>
    <w:rsid w:val="00FD2B9B"/>
    <w:rsid w:val="00FD2BC7"/>
    <w:rsid w:val="00FD2BD2"/>
    <w:rsid w:val="00FD2C23"/>
    <w:rsid w:val="00FD2C4A"/>
    <w:rsid w:val="00FD2CF3"/>
    <w:rsid w:val="00FD2D16"/>
    <w:rsid w:val="00FD2DC6"/>
    <w:rsid w:val="00FD2DFF"/>
    <w:rsid w:val="00FD2E2E"/>
    <w:rsid w:val="00FD2E5F"/>
    <w:rsid w:val="00FD2E66"/>
    <w:rsid w:val="00FD2E6B"/>
    <w:rsid w:val="00FD2E92"/>
    <w:rsid w:val="00FD2ECB"/>
    <w:rsid w:val="00FD2EE3"/>
    <w:rsid w:val="00FD2EE4"/>
    <w:rsid w:val="00FD2F56"/>
    <w:rsid w:val="00FD2F5A"/>
    <w:rsid w:val="00FD2F66"/>
    <w:rsid w:val="00FD2F7B"/>
    <w:rsid w:val="00FD2F8A"/>
    <w:rsid w:val="00FD2FC7"/>
    <w:rsid w:val="00FD2FF0"/>
    <w:rsid w:val="00FD30AE"/>
    <w:rsid w:val="00FD30B0"/>
    <w:rsid w:val="00FD310F"/>
    <w:rsid w:val="00FD3120"/>
    <w:rsid w:val="00FD3207"/>
    <w:rsid w:val="00FD3230"/>
    <w:rsid w:val="00FD3236"/>
    <w:rsid w:val="00FD324E"/>
    <w:rsid w:val="00FD328B"/>
    <w:rsid w:val="00FD32DD"/>
    <w:rsid w:val="00FD32F2"/>
    <w:rsid w:val="00FD3348"/>
    <w:rsid w:val="00FD3349"/>
    <w:rsid w:val="00FD33B4"/>
    <w:rsid w:val="00FD33D5"/>
    <w:rsid w:val="00FD33E4"/>
    <w:rsid w:val="00FD343C"/>
    <w:rsid w:val="00FD344F"/>
    <w:rsid w:val="00FD345E"/>
    <w:rsid w:val="00FD3480"/>
    <w:rsid w:val="00FD34E2"/>
    <w:rsid w:val="00FD350B"/>
    <w:rsid w:val="00FD352D"/>
    <w:rsid w:val="00FD355D"/>
    <w:rsid w:val="00FD3583"/>
    <w:rsid w:val="00FD35A5"/>
    <w:rsid w:val="00FD35F0"/>
    <w:rsid w:val="00FD36A0"/>
    <w:rsid w:val="00FD36C8"/>
    <w:rsid w:val="00FD36DD"/>
    <w:rsid w:val="00FD3702"/>
    <w:rsid w:val="00FD3706"/>
    <w:rsid w:val="00FD3719"/>
    <w:rsid w:val="00FD371C"/>
    <w:rsid w:val="00FD372D"/>
    <w:rsid w:val="00FD3769"/>
    <w:rsid w:val="00FD376F"/>
    <w:rsid w:val="00FD37BD"/>
    <w:rsid w:val="00FD381B"/>
    <w:rsid w:val="00FD3828"/>
    <w:rsid w:val="00FD384C"/>
    <w:rsid w:val="00FD38A9"/>
    <w:rsid w:val="00FD38C2"/>
    <w:rsid w:val="00FD38D9"/>
    <w:rsid w:val="00FD394F"/>
    <w:rsid w:val="00FD396C"/>
    <w:rsid w:val="00FD3A06"/>
    <w:rsid w:val="00FD3A10"/>
    <w:rsid w:val="00FD3AE8"/>
    <w:rsid w:val="00FD3B57"/>
    <w:rsid w:val="00FD3B61"/>
    <w:rsid w:val="00FD3B6D"/>
    <w:rsid w:val="00FD3C02"/>
    <w:rsid w:val="00FD3C21"/>
    <w:rsid w:val="00FD3C22"/>
    <w:rsid w:val="00FD3C5F"/>
    <w:rsid w:val="00FD3CFE"/>
    <w:rsid w:val="00FD3D66"/>
    <w:rsid w:val="00FD3D6D"/>
    <w:rsid w:val="00FD3DC9"/>
    <w:rsid w:val="00FD3E15"/>
    <w:rsid w:val="00FD3E3A"/>
    <w:rsid w:val="00FD3E8E"/>
    <w:rsid w:val="00FD3ED2"/>
    <w:rsid w:val="00FD3EDF"/>
    <w:rsid w:val="00FD3EEE"/>
    <w:rsid w:val="00FD3F43"/>
    <w:rsid w:val="00FD3F4E"/>
    <w:rsid w:val="00FD3F5A"/>
    <w:rsid w:val="00FD3F6B"/>
    <w:rsid w:val="00FD4024"/>
    <w:rsid w:val="00FD4027"/>
    <w:rsid w:val="00FD402E"/>
    <w:rsid w:val="00FD4030"/>
    <w:rsid w:val="00FD4240"/>
    <w:rsid w:val="00FD4241"/>
    <w:rsid w:val="00FD4246"/>
    <w:rsid w:val="00FD4249"/>
    <w:rsid w:val="00FD42A3"/>
    <w:rsid w:val="00FD42B3"/>
    <w:rsid w:val="00FD42CE"/>
    <w:rsid w:val="00FD432A"/>
    <w:rsid w:val="00FD433D"/>
    <w:rsid w:val="00FD4398"/>
    <w:rsid w:val="00FD43A4"/>
    <w:rsid w:val="00FD43BA"/>
    <w:rsid w:val="00FD43F0"/>
    <w:rsid w:val="00FD43F2"/>
    <w:rsid w:val="00FD4462"/>
    <w:rsid w:val="00FD4511"/>
    <w:rsid w:val="00FD4537"/>
    <w:rsid w:val="00FD4546"/>
    <w:rsid w:val="00FD45AE"/>
    <w:rsid w:val="00FD465C"/>
    <w:rsid w:val="00FD4733"/>
    <w:rsid w:val="00FD4735"/>
    <w:rsid w:val="00FD4765"/>
    <w:rsid w:val="00FD476B"/>
    <w:rsid w:val="00FD4802"/>
    <w:rsid w:val="00FD4825"/>
    <w:rsid w:val="00FD4841"/>
    <w:rsid w:val="00FD484E"/>
    <w:rsid w:val="00FD48AB"/>
    <w:rsid w:val="00FD48F6"/>
    <w:rsid w:val="00FD48F9"/>
    <w:rsid w:val="00FD4930"/>
    <w:rsid w:val="00FD496A"/>
    <w:rsid w:val="00FD49CE"/>
    <w:rsid w:val="00FD49F1"/>
    <w:rsid w:val="00FD4A43"/>
    <w:rsid w:val="00FD4A6F"/>
    <w:rsid w:val="00FD4A93"/>
    <w:rsid w:val="00FD4AAD"/>
    <w:rsid w:val="00FD4ACE"/>
    <w:rsid w:val="00FD4B20"/>
    <w:rsid w:val="00FD4BB0"/>
    <w:rsid w:val="00FD4BDC"/>
    <w:rsid w:val="00FD4C6B"/>
    <w:rsid w:val="00FD4C98"/>
    <w:rsid w:val="00FD4CB0"/>
    <w:rsid w:val="00FD4D4B"/>
    <w:rsid w:val="00FD4D50"/>
    <w:rsid w:val="00FD4D63"/>
    <w:rsid w:val="00FD4DBA"/>
    <w:rsid w:val="00FD4E31"/>
    <w:rsid w:val="00FD4E5D"/>
    <w:rsid w:val="00FD4E63"/>
    <w:rsid w:val="00FD4E7D"/>
    <w:rsid w:val="00FD4EC8"/>
    <w:rsid w:val="00FD4EDB"/>
    <w:rsid w:val="00FD4EE4"/>
    <w:rsid w:val="00FD4F0C"/>
    <w:rsid w:val="00FD4FB4"/>
    <w:rsid w:val="00FD5051"/>
    <w:rsid w:val="00FD5059"/>
    <w:rsid w:val="00FD507E"/>
    <w:rsid w:val="00FD50DB"/>
    <w:rsid w:val="00FD5149"/>
    <w:rsid w:val="00FD5152"/>
    <w:rsid w:val="00FD5178"/>
    <w:rsid w:val="00FD5182"/>
    <w:rsid w:val="00FD51F1"/>
    <w:rsid w:val="00FD526D"/>
    <w:rsid w:val="00FD52EE"/>
    <w:rsid w:val="00FD52F1"/>
    <w:rsid w:val="00FD5312"/>
    <w:rsid w:val="00FD5397"/>
    <w:rsid w:val="00FD5446"/>
    <w:rsid w:val="00FD5478"/>
    <w:rsid w:val="00FD548B"/>
    <w:rsid w:val="00FD54DB"/>
    <w:rsid w:val="00FD5520"/>
    <w:rsid w:val="00FD557E"/>
    <w:rsid w:val="00FD5593"/>
    <w:rsid w:val="00FD55A8"/>
    <w:rsid w:val="00FD55FA"/>
    <w:rsid w:val="00FD5635"/>
    <w:rsid w:val="00FD5662"/>
    <w:rsid w:val="00FD568F"/>
    <w:rsid w:val="00FD5695"/>
    <w:rsid w:val="00FD56B8"/>
    <w:rsid w:val="00FD56D3"/>
    <w:rsid w:val="00FD5710"/>
    <w:rsid w:val="00FD572D"/>
    <w:rsid w:val="00FD57D6"/>
    <w:rsid w:val="00FD57EE"/>
    <w:rsid w:val="00FD57F3"/>
    <w:rsid w:val="00FD580A"/>
    <w:rsid w:val="00FD586B"/>
    <w:rsid w:val="00FD5871"/>
    <w:rsid w:val="00FD589B"/>
    <w:rsid w:val="00FD58D6"/>
    <w:rsid w:val="00FD5933"/>
    <w:rsid w:val="00FD5989"/>
    <w:rsid w:val="00FD59A2"/>
    <w:rsid w:val="00FD59B8"/>
    <w:rsid w:val="00FD59C9"/>
    <w:rsid w:val="00FD59FA"/>
    <w:rsid w:val="00FD5A47"/>
    <w:rsid w:val="00FD5A70"/>
    <w:rsid w:val="00FD5B18"/>
    <w:rsid w:val="00FD5B2E"/>
    <w:rsid w:val="00FD5B49"/>
    <w:rsid w:val="00FD5B71"/>
    <w:rsid w:val="00FD5BF0"/>
    <w:rsid w:val="00FD5C01"/>
    <w:rsid w:val="00FD5C6A"/>
    <w:rsid w:val="00FD5CB7"/>
    <w:rsid w:val="00FD5CB9"/>
    <w:rsid w:val="00FD5CF4"/>
    <w:rsid w:val="00FD5D35"/>
    <w:rsid w:val="00FD5D44"/>
    <w:rsid w:val="00FD5D64"/>
    <w:rsid w:val="00FD5D8D"/>
    <w:rsid w:val="00FD5DC5"/>
    <w:rsid w:val="00FD5E38"/>
    <w:rsid w:val="00FD5E68"/>
    <w:rsid w:val="00FD5E84"/>
    <w:rsid w:val="00FD5E9E"/>
    <w:rsid w:val="00FD5EB5"/>
    <w:rsid w:val="00FD5EC0"/>
    <w:rsid w:val="00FD5EE6"/>
    <w:rsid w:val="00FD5EEC"/>
    <w:rsid w:val="00FD5F21"/>
    <w:rsid w:val="00FD5F56"/>
    <w:rsid w:val="00FD5F72"/>
    <w:rsid w:val="00FD5F77"/>
    <w:rsid w:val="00FD5F7A"/>
    <w:rsid w:val="00FD600A"/>
    <w:rsid w:val="00FD6041"/>
    <w:rsid w:val="00FD6046"/>
    <w:rsid w:val="00FD6051"/>
    <w:rsid w:val="00FD607B"/>
    <w:rsid w:val="00FD60D0"/>
    <w:rsid w:val="00FD61ED"/>
    <w:rsid w:val="00FD6202"/>
    <w:rsid w:val="00FD6204"/>
    <w:rsid w:val="00FD6253"/>
    <w:rsid w:val="00FD627A"/>
    <w:rsid w:val="00FD62A2"/>
    <w:rsid w:val="00FD62C0"/>
    <w:rsid w:val="00FD62C2"/>
    <w:rsid w:val="00FD633D"/>
    <w:rsid w:val="00FD6345"/>
    <w:rsid w:val="00FD6364"/>
    <w:rsid w:val="00FD6386"/>
    <w:rsid w:val="00FD63E9"/>
    <w:rsid w:val="00FD6405"/>
    <w:rsid w:val="00FD6444"/>
    <w:rsid w:val="00FD647D"/>
    <w:rsid w:val="00FD64AC"/>
    <w:rsid w:val="00FD64FA"/>
    <w:rsid w:val="00FD652F"/>
    <w:rsid w:val="00FD653A"/>
    <w:rsid w:val="00FD658A"/>
    <w:rsid w:val="00FD6591"/>
    <w:rsid w:val="00FD65DA"/>
    <w:rsid w:val="00FD65DD"/>
    <w:rsid w:val="00FD65F8"/>
    <w:rsid w:val="00FD66B8"/>
    <w:rsid w:val="00FD66D8"/>
    <w:rsid w:val="00FD66E4"/>
    <w:rsid w:val="00FD6708"/>
    <w:rsid w:val="00FD6710"/>
    <w:rsid w:val="00FD671B"/>
    <w:rsid w:val="00FD672E"/>
    <w:rsid w:val="00FD6731"/>
    <w:rsid w:val="00FD6734"/>
    <w:rsid w:val="00FD68EC"/>
    <w:rsid w:val="00FD6917"/>
    <w:rsid w:val="00FD6959"/>
    <w:rsid w:val="00FD69AE"/>
    <w:rsid w:val="00FD69B9"/>
    <w:rsid w:val="00FD69DD"/>
    <w:rsid w:val="00FD69FC"/>
    <w:rsid w:val="00FD6A0C"/>
    <w:rsid w:val="00FD6A10"/>
    <w:rsid w:val="00FD6A92"/>
    <w:rsid w:val="00FD6ABB"/>
    <w:rsid w:val="00FD6B2D"/>
    <w:rsid w:val="00FD6B4B"/>
    <w:rsid w:val="00FD6C13"/>
    <w:rsid w:val="00FD6C20"/>
    <w:rsid w:val="00FD6C4B"/>
    <w:rsid w:val="00FD6C6C"/>
    <w:rsid w:val="00FD6C93"/>
    <w:rsid w:val="00FD6C94"/>
    <w:rsid w:val="00FD6CE6"/>
    <w:rsid w:val="00FD6CE8"/>
    <w:rsid w:val="00FD6CE9"/>
    <w:rsid w:val="00FD6D96"/>
    <w:rsid w:val="00FD6E62"/>
    <w:rsid w:val="00FD6EB2"/>
    <w:rsid w:val="00FD6EC4"/>
    <w:rsid w:val="00FD6F0E"/>
    <w:rsid w:val="00FD6F33"/>
    <w:rsid w:val="00FD6F34"/>
    <w:rsid w:val="00FD6F67"/>
    <w:rsid w:val="00FD6FB3"/>
    <w:rsid w:val="00FD6FB6"/>
    <w:rsid w:val="00FD6FEF"/>
    <w:rsid w:val="00FD7018"/>
    <w:rsid w:val="00FD7031"/>
    <w:rsid w:val="00FD7032"/>
    <w:rsid w:val="00FD705B"/>
    <w:rsid w:val="00FD70D7"/>
    <w:rsid w:val="00FD70FA"/>
    <w:rsid w:val="00FD712F"/>
    <w:rsid w:val="00FD7181"/>
    <w:rsid w:val="00FD71A3"/>
    <w:rsid w:val="00FD71DD"/>
    <w:rsid w:val="00FD71ED"/>
    <w:rsid w:val="00FD71F9"/>
    <w:rsid w:val="00FD7214"/>
    <w:rsid w:val="00FD723B"/>
    <w:rsid w:val="00FD727D"/>
    <w:rsid w:val="00FD72A6"/>
    <w:rsid w:val="00FD72E5"/>
    <w:rsid w:val="00FD72F1"/>
    <w:rsid w:val="00FD72F9"/>
    <w:rsid w:val="00FD731F"/>
    <w:rsid w:val="00FD7321"/>
    <w:rsid w:val="00FD7347"/>
    <w:rsid w:val="00FD737C"/>
    <w:rsid w:val="00FD737D"/>
    <w:rsid w:val="00FD73AD"/>
    <w:rsid w:val="00FD73F5"/>
    <w:rsid w:val="00FD74C0"/>
    <w:rsid w:val="00FD75AD"/>
    <w:rsid w:val="00FD75DB"/>
    <w:rsid w:val="00FD75DD"/>
    <w:rsid w:val="00FD75FF"/>
    <w:rsid w:val="00FD7621"/>
    <w:rsid w:val="00FD7683"/>
    <w:rsid w:val="00FD7692"/>
    <w:rsid w:val="00FD76A6"/>
    <w:rsid w:val="00FD76C5"/>
    <w:rsid w:val="00FD76E8"/>
    <w:rsid w:val="00FD76F1"/>
    <w:rsid w:val="00FD7712"/>
    <w:rsid w:val="00FD773E"/>
    <w:rsid w:val="00FD77E6"/>
    <w:rsid w:val="00FD77EA"/>
    <w:rsid w:val="00FD7821"/>
    <w:rsid w:val="00FD7824"/>
    <w:rsid w:val="00FD7829"/>
    <w:rsid w:val="00FD783C"/>
    <w:rsid w:val="00FD789C"/>
    <w:rsid w:val="00FD78C4"/>
    <w:rsid w:val="00FD7940"/>
    <w:rsid w:val="00FD796F"/>
    <w:rsid w:val="00FD7A11"/>
    <w:rsid w:val="00FD7A61"/>
    <w:rsid w:val="00FD7B11"/>
    <w:rsid w:val="00FD7B16"/>
    <w:rsid w:val="00FD7B1B"/>
    <w:rsid w:val="00FD7B1E"/>
    <w:rsid w:val="00FD7B51"/>
    <w:rsid w:val="00FD7B62"/>
    <w:rsid w:val="00FD7BB2"/>
    <w:rsid w:val="00FD7C02"/>
    <w:rsid w:val="00FD7C1C"/>
    <w:rsid w:val="00FD7C61"/>
    <w:rsid w:val="00FD7CCF"/>
    <w:rsid w:val="00FD7CD7"/>
    <w:rsid w:val="00FD7DC7"/>
    <w:rsid w:val="00FD7E24"/>
    <w:rsid w:val="00FD7EC9"/>
    <w:rsid w:val="00FD7F10"/>
    <w:rsid w:val="00FD7F27"/>
    <w:rsid w:val="00FD7FB9"/>
    <w:rsid w:val="00FD7FCB"/>
    <w:rsid w:val="00FD7FE1"/>
    <w:rsid w:val="00FE0011"/>
    <w:rsid w:val="00FE0050"/>
    <w:rsid w:val="00FE0056"/>
    <w:rsid w:val="00FE0083"/>
    <w:rsid w:val="00FE0089"/>
    <w:rsid w:val="00FE00AC"/>
    <w:rsid w:val="00FE00BF"/>
    <w:rsid w:val="00FE00ED"/>
    <w:rsid w:val="00FE00F7"/>
    <w:rsid w:val="00FE0111"/>
    <w:rsid w:val="00FE0124"/>
    <w:rsid w:val="00FE014B"/>
    <w:rsid w:val="00FE014D"/>
    <w:rsid w:val="00FE0158"/>
    <w:rsid w:val="00FE0175"/>
    <w:rsid w:val="00FE018C"/>
    <w:rsid w:val="00FE01E7"/>
    <w:rsid w:val="00FE0236"/>
    <w:rsid w:val="00FE024A"/>
    <w:rsid w:val="00FE0265"/>
    <w:rsid w:val="00FE0278"/>
    <w:rsid w:val="00FE02D6"/>
    <w:rsid w:val="00FE0338"/>
    <w:rsid w:val="00FE03A2"/>
    <w:rsid w:val="00FE03CA"/>
    <w:rsid w:val="00FE03CD"/>
    <w:rsid w:val="00FE0418"/>
    <w:rsid w:val="00FE0434"/>
    <w:rsid w:val="00FE0452"/>
    <w:rsid w:val="00FE050D"/>
    <w:rsid w:val="00FE052F"/>
    <w:rsid w:val="00FE0556"/>
    <w:rsid w:val="00FE05AC"/>
    <w:rsid w:val="00FE05F8"/>
    <w:rsid w:val="00FE05FB"/>
    <w:rsid w:val="00FE062D"/>
    <w:rsid w:val="00FE0648"/>
    <w:rsid w:val="00FE066B"/>
    <w:rsid w:val="00FE06AD"/>
    <w:rsid w:val="00FE070B"/>
    <w:rsid w:val="00FE0723"/>
    <w:rsid w:val="00FE072A"/>
    <w:rsid w:val="00FE0736"/>
    <w:rsid w:val="00FE0760"/>
    <w:rsid w:val="00FE081C"/>
    <w:rsid w:val="00FE086F"/>
    <w:rsid w:val="00FE087B"/>
    <w:rsid w:val="00FE0885"/>
    <w:rsid w:val="00FE08BB"/>
    <w:rsid w:val="00FE097E"/>
    <w:rsid w:val="00FE09F3"/>
    <w:rsid w:val="00FE0A1B"/>
    <w:rsid w:val="00FE0A58"/>
    <w:rsid w:val="00FE0AA7"/>
    <w:rsid w:val="00FE0ACA"/>
    <w:rsid w:val="00FE0B1A"/>
    <w:rsid w:val="00FE0B4F"/>
    <w:rsid w:val="00FE0B7B"/>
    <w:rsid w:val="00FE0BF6"/>
    <w:rsid w:val="00FE0C1E"/>
    <w:rsid w:val="00FE0C24"/>
    <w:rsid w:val="00FE0C4F"/>
    <w:rsid w:val="00FE0C5F"/>
    <w:rsid w:val="00FE0C82"/>
    <w:rsid w:val="00FE0CC7"/>
    <w:rsid w:val="00FE0D37"/>
    <w:rsid w:val="00FE0DE3"/>
    <w:rsid w:val="00FE0DE7"/>
    <w:rsid w:val="00FE0E5E"/>
    <w:rsid w:val="00FE0F0C"/>
    <w:rsid w:val="00FE0F0D"/>
    <w:rsid w:val="00FE0F48"/>
    <w:rsid w:val="00FE0F58"/>
    <w:rsid w:val="00FE0F5F"/>
    <w:rsid w:val="00FE0F87"/>
    <w:rsid w:val="00FE0F8B"/>
    <w:rsid w:val="00FE100D"/>
    <w:rsid w:val="00FE1032"/>
    <w:rsid w:val="00FE108F"/>
    <w:rsid w:val="00FE10FD"/>
    <w:rsid w:val="00FE1125"/>
    <w:rsid w:val="00FE112B"/>
    <w:rsid w:val="00FE117F"/>
    <w:rsid w:val="00FE11D7"/>
    <w:rsid w:val="00FE1214"/>
    <w:rsid w:val="00FE1297"/>
    <w:rsid w:val="00FE129D"/>
    <w:rsid w:val="00FE13D8"/>
    <w:rsid w:val="00FE13EB"/>
    <w:rsid w:val="00FE13EE"/>
    <w:rsid w:val="00FE13F9"/>
    <w:rsid w:val="00FE144C"/>
    <w:rsid w:val="00FE146A"/>
    <w:rsid w:val="00FE14A5"/>
    <w:rsid w:val="00FE14BE"/>
    <w:rsid w:val="00FE14D0"/>
    <w:rsid w:val="00FE1515"/>
    <w:rsid w:val="00FE1566"/>
    <w:rsid w:val="00FE157C"/>
    <w:rsid w:val="00FE15C6"/>
    <w:rsid w:val="00FE1605"/>
    <w:rsid w:val="00FE1610"/>
    <w:rsid w:val="00FE1619"/>
    <w:rsid w:val="00FE1677"/>
    <w:rsid w:val="00FE167F"/>
    <w:rsid w:val="00FE1681"/>
    <w:rsid w:val="00FE16BC"/>
    <w:rsid w:val="00FE16C5"/>
    <w:rsid w:val="00FE172C"/>
    <w:rsid w:val="00FE1737"/>
    <w:rsid w:val="00FE1741"/>
    <w:rsid w:val="00FE176F"/>
    <w:rsid w:val="00FE1843"/>
    <w:rsid w:val="00FE1879"/>
    <w:rsid w:val="00FE1887"/>
    <w:rsid w:val="00FE1890"/>
    <w:rsid w:val="00FE18A3"/>
    <w:rsid w:val="00FE18DC"/>
    <w:rsid w:val="00FE1936"/>
    <w:rsid w:val="00FE1957"/>
    <w:rsid w:val="00FE195E"/>
    <w:rsid w:val="00FE1969"/>
    <w:rsid w:val="00FE198E"/>
    <w:rsid w:val="00FE199E"/>
    <w:rsid w:val="00FE19DE"/>
    <w:rsid w:val="00FE19E3"/>
    <w:rsid w:val="00FE19FE"/>
    <w:rsid w:val="00FE1A0A"/>
    <w:rsid w:val="00FE1A78"/>
    <w:rsid w:val="00FE1ABE"/>
    <w:rsid w:val="00FE1B41"/>
    <w:rsid w:val="00FE1BBD"/>
    <w:rsid w:val="00FE1BF5"/>
    <w:rsid w:val="00FE1C22"/>
    <w:rsid w:val="00FE1C51"/>
    <w:rsid w:val="00FE1C6C"/>
    <w:rsid w:val="00FE1C74"/>
    <w:rsid w:val="00FE1CE9"/>
    <w:rsid w:val="00FE1CEB"/>
    <w:rsid w:val="00FE1E0A"/>
    <w:rsid w:val="00FE1E5A"/>
    <w:rsid w:val="00FE1E6C"/>
    <w:rsid w:val="00FE1E93"/>
    <w:rsid w:val="00FE1E9B"/>
    <w:rsid w:val="00FE1EB2"/>
    <w:rsid w:val="00FE1EB3"/>
    <w:rsid w:val="00FE1ED7"/>
    <w:rsid w:val="00FE1EDE"/>
    <w:rsid w:val="00FE1F43"/>
    <w:rsid w:val="00FE1F4D"/>
    <w:rsid w:val="00FE1F59"/>
    <w:rsid w:val="00FE1F60"/>
    <w:rsid w:val="00FE200D"/>
    <w:rsid w:val="00FE208C"/>
    <w:rsid w:val="00FE2091"/>
    <w:rsid w:val="00FE20D3"/>
    <w:rsid w:val="00FE20D7"/>
    <w:rsid w:val="00FE20E0"/>
    <w:rsid w:val="00FE20EB"/>
    <w:rsid w:val="00FE2106"/>
    <w:rsid w:val="00FE212E"/>
    <w:rsid w:val="00FE212F"/>
    <w:rsid w:val="00FE2137"/>
    <w:rsid w:val="00FE219D"/>
    <w:rsid w:val="00FE21C2"/>
    <w:rsid w:val="00FE21CF"/>
    <w:rsid w:val="00FE21F2"/>
    <w:rsid w:val="00FE21FA"/>
    <w:rsid w:val="00FE221F"/>
    <w:rsid w:val="00FE2225"/>
    <w:rsid w:val="00FE2261"/>
    <w:rsid w:val="00FE22C8"/>
    <w:rsid w:val="00FE2354"/>
    <w:rsid w:val="00FE238E"/>
    <w:rsid w:val="00FE23BC"/>
    <w:rsid w:val="00FE23BF"/>
    <w:rsid w:val="00FE2441"/>
    <w:rsid w:val="00FE2456"/>
    <w:rsid w:val="00FE2467"/>
    <w:rsid w:val="00FE2514"/>
    <w:rsid w:val="00FE2539"/>
    <w:rsid w:val="00FE258C"/>
    <w:rsid w:val="00FE2649"/>
    <w:rsid w:val="00FE2693"/>
    <w:rsid w:val="00FE26C7"/>
    <w:rsid w:val="00FE2734"/>
    <w:rsid w:val="00FE2739"/>
    <w:rsid w:val="00FE27A2"/>
    <w:rsid w:val="00FE285A"/>
    <w:rsid w:val="00FE2877"/>
    <w:rsid w:val="00FE28C0"/>
    <w:rsid w:val="00FE2902"/>
    <w:rsid w:val="00FE2920"/>
    <w:rsid w:val="00FE2941"/>
    <w:rsid w:val="00FE29AF"/>
    <w:rsid w:val="00FE29B6"/>
    <w:rsid w:val="00FE2A03"/>
    <w:rsid w:val="00FE2A71"/>
    <w:rsid w:val="00FE2A86"/>
    <w:rsid w:val="00FE2AC5"/>
    <w:rsid w:val="00FE2ADD"/>
    <w:rsid w:val="00FE2AE6"/>
    <w:rsid w:val="00FE2B03"/>
    <w:rsid w:val="00FE2B1B"/>
    <w:rsid w:val="00FE2B3A"/>
    <w:rsid w:val="00FE2B3D"/>
    <w:rsid w:val="00FE2B55"/>
    <w:rsid w:val="00FE2C14"/>
    <w:rsid w:val="00FE2D25"/>
    <w:rsid w:val="00FE2D45"/>
    <w:rsid w:val="00FE2D4F"/>
    <w:rsid w:val="00FE2D7C"/>
    <w:rsid w:val="00FE2DA8"/>
    <w:rsid w:val="00FE2DB9"/>
    <w:rsid w:val="00FE2DD5"/>
    <w:rsid w:val="00FE2E10"/>
    <w:rsid w:val="00FE2E3B"/>
    <w:rsid w:val="00FE2EA4"/>
    <w:rsid w:val="00FE2EC5"/>
    <w:rsid w:val="00FE2F02"/>
    <w:rsid w:val="00FE2F3F"/>
    <w:rsid w:val="00FE2FA3"/>
    <w:rsid w:val="00FE2FCE"/>
    <w:rsid w:val="00FE2FE8"/>
    <w:rsid w:val="00FE304F"/>
    <w:rsid w:val="00FE30B2"/>
    <w:rsid w:val="00FE30B7"/>
    <w:rsid w:val="00FE3118"/>
    <w:rsid w:val="00FE312D"/>
    <w:rsid w:val="00FE3157"/>
    <w:rsid w:val="00FE318F"/>
    <w:rsid w:val="00FE3216"/>
    <w:rsid w:val="00FE3247"/>
    <w:rsid w:val="00FE3292"/>
    <w:rsid w:val="00FE331E"/>
    <w:rsid w:val="00FE3356"/>
    <w:rsid w:val="00FE33C1"/>
    <w:rsid w:val="00FE34CE"/>
    <w:rsid w:val="00FE3551"/>
    <w:rsid w:val="00FE3564"/>
    <w:rsid w:val="00FE3595"/>
    <w:rsid w:val="00FE35D6"/>
    <w:rsid w:val="00FE3675"/>
    <w:rsid w:val="00FE36B5"/>
    <w:rsid w:val="00FE36C7"/>
    <w:rsid w:val="00FE3786"/>
    <w:rsid w:val="00FE3802"/>
    <w:rsid w:val="00FE3829"/>
    <w:rsid w:val="00FE3845"/>
    <w:rsid w:val="00FE3901"/>
    <w:rsid w:val="00FE393F"/>
    <w:rsid w:val="00FE3940"/>
    <w:rsid w:val="00FE39B1"/>
    <w:rsid w:val="00FE39E5"/>
    <w:rsid w:val="00FE39F4"/>
    <w:rsid w:val="00FE3A05"/>
    <w:rsid w:val="00FE3A23"/>
    <w:rsid w:val="00FE3A74"/>
    <w:rsid w:val="00FE3A7B"/>
    <w:rsid w:val="00FE3AA9"/>
    <w:rsid w:val="00FE3AD9"/>
    <w:rsid w:val="00FE3AE9"/>
    <w:rsid w:val="00FE3AF0"/>
    <w:rsid w:val="00FE3AF2"/>
    <w:rsid w:val="00FE3B30"/>
    <w:rsid w:val="00FE3B54"/>
    <w:rsid w:val="00FE3B86"/>
    <w:rsid w:val="00FE3B8B"/>
    <w:rsid w:val="00FE3BB5"/>
    <w:rsid w:val="00FE3BE0"/>
    <w:rsid w:val="00FE3BE6"/>
    <w:rsid w:val="00FE3C10"/>
    <w:rsid w:val="00FE3C2A"/>
    <w:rsid w:val="00FE3CA1"/>
    <w:rsid w:val="00FE3CD6"/>
    <w:rsid w:val="00FE3D1B"/>
    <w:rsid w:val="00FE3D88"/>
    <w:rsid w:val="00FE3DAB"/>
    <w:rsid w:val="00FE3DFC"/>
    <w:rsid w:val="00FE3E18"/>
    <w:rsid w:val="00FE3E3F"/>
    <w:rsid w:val="00FE3E53"/>
    <w:rsid w:val="00FE3EA3"/>
    <w:rsid w:val="00FE3ED6"/>
    <w:rsid w:val="00FE3EE4"/>
    <w:rsid w:val="00FE3EF2"/>
    <w:rsid w:val="00FE3F8F"/>
    <w:rsid w:val="00FE3FA1"/>
    <w:rsid w:val="00FE3FF2"/>
    <w:rsid w:val="00FE4040"/>
    <w:rsid w:val="00FE40AE"/>
    <w:rsid w:val="00FE40D2"/>
    <w:rsid w:val="00FE40E6"/>
    <w:rsid w:val="00FE40FF"/>
    <w:rsid w:val="00FE4129"/>
    <w:rsid w:val="00FE4164"/>
    <w:rsid w:val="00FE4183"/>
    <w:rsid w:val="00FE41A7"/>
    <w:rsid w:val="00FE41A8"/>
    <w:rsid w:val="00FE41DF"/>
    <w:rsid w:val="00FE422D"/>
    <w:rsid w:val="00FE426F"/>
    <w:rsid w:val="00FE42E7"/>
    <w:rsid w:val="00FE431D"/>
    <w:rsid w:val="00FE433A"/>
    <w:rsid w:val="00FE4394"/>
    <w:rsid w:val="00FE4395"/>
    <w:rsid w:val="00FE439A"/>
    <w:rsid w:val="00FE43B0"/>
    <w:rsid w:val="00FE4442"/>
    <w:rsid w:val="00FE445E"/>
    <w:rsid w:val="00FE4470"/>
    <w:rsid w:val="00FE44FC"/>
    <w:rsid w:val="00FE4535"/>
    <w:rsid w:val="00FE4591"/>
    <w:rsid w:val="00FE45B3"/>
    <w:rsid w:val="00FE4605"/>
    <w:rsid w:val="00FE4670"/>
    <w:rsid w:val="00FE470E"/>
    <w:rsid w:val="00FE4718"/>
    <w:rsid w:val="00FE474F"/>
    <w:rsid w:val="00FE476B"/>
    <w:rsid w:val="00FE4798"/>
    <w:rsid w:val="00FE47FF"/>
    <w:rsid w:val="00FE485C"/>
    <w:rsid w:val="00FE4893"/>
    <w:rsid w:val="00FE48DE"/>
    <w:rsid w:val="00FE48E9"/>
    <w:rsid w:val="00FE4900"/>
    <w:rsid w:val="00FE4902"/>
    <w:rsid w:val="00FE4911"/>
    <w:rsid w:val="00FE493B"/>
    <w:rsid w:val="00FE499D"/>
    <w:rsid w:val="00FE4A6E"/>
    <w:rsid w:val="00FE4B04"/>
    <w:rsid w:val="00FE4B74"/>
    <w:rsid w:val="00FE4BB8"/>
    <w:rsid w:val="00FE4BD7"/>
    <w:rsid w:val="00FE4BD8"/>
    <w:rsid w:val="00FE4C06"/>
    <w:rsid w:val="00FE4C3E"/>
    <w:rsid w:val="00FE4C71"/>
    <w:rsid w:val="00FE4CCC"/>
    <w:rsid w:val="00FE4CE2"/>
    <w:rsid w:val="00FE4D08"/>
    <w:rsid w:val="00FE4D1A"/>
    <w:rsid w:val="00FE4D34"/>
    <w:rsid w:val="00FE4D55"/>
    <w:rsid w:val="00FE4D97"/>
    <w:rsid w:val="00FE4D9C"/>
    <w:rsid w:val="00FE4DA5"/>
    <w:rsid w:val="00FE4DA7"/>
    <w:rsid w:val="00FE4DC5"/>
    <w:rsid w:val="00FE4DC9"/>
    <w:rsid w:val="00FE4DE7"/>
    <w:rsid w:val="00FE4DEE"/>
    <w:rsid w:val="00FE4E3C"/>
    <w:rsid w:val="00FE4E43"/>
    <w:rsid w:val="00FE4E66"/>
    <w:rsid w:val="00FE4E98"/>
    <w:rsid w:val="00FE4FA5"/>
    <w:rsid w:val="00FE4FF9"/>
    <w:rsid w:val="00FE503F"/>
    <w:rsid w:val="00FE5054"/>
    <w:rsid w:val="00FE507B"/>
    <w:rsid w:val="00FE5092"/>
    <w:rsid w:val="00FE50C0"/>
    <w:rsid w:val="00FE50D2"/>
    <w:rsid w:val="00FE50F5"/>
    <w:rsid w:val="00FE5191"/>
    <w:rsid w:val="00FE51A6"/>
    <w:rsid w:val="00FE51AC"/>
    <w:rsid w:val="00FE51E3"/>
    <w:rsid w:val="00FE51F0"/>
    <w:rsid w:val="00FE5201"/>
    <w:rsid w:val="00FE5213"/>
    <w:rsid w:val="00FE5260"/>
    <w:rsid w:val="00FE5318"/>
    <w:rsid w:val="00FE5325"/>
    <w:rsid w:val="00FE5331"/>
    <w:rsid w:val="00FE5370"/>
    <w:rsid w:val="00FE548D"/>
    <w:rsid w:val="00FE5491"/>
    <w:rsid w:val="00FE54CE"/>
    <w:rsid w:val="00FE54DB"/>
    <w:rsid w:val="00FE5532"/>
    <w:rsid w:val="00FE553E"/>
    <w:rsid w:val="00FE557B"/>
    <w:rsid w:val="00FE55B5"/>
    <w:rsid w:val="00FE55C8"/>
    <w:rsid w:val="00FE55CD"/>
    <w:rsid w:val="00FE55FC"/>
    <w:rsid w:val="00FE5655"/>
    <w:rsid w:val="00FE5757"/>
    <w:rsid w:val="00FE5781"/>
    <w:rsid w:val="00FE5830"/>
    <w:rsid w:val="00FE5846"/>
    <w:rsid w:val="00FE587B"/>
    <w:rsid w:val="00FE588D"/>
    <w:rsid w:val="00FE58D4"/>
    <w:rsid w:val="00FE58FA"/>
    <w:rsid w:val="00FE5907"/>
    <w:rsid w:val="00FE5917"/>
    <w:rsid w:val="00FE5935"/>
    <w:rsid w:val="00FE596D"/>
    <w:rsid w:val="00FE59BF"/>
    <w:rsid w:val="00FE59C9"/>
    <w:rsid w:val="00FE59D2"/>
    <w:rsid w:val="00FE5A40"/>
    <w:rsid w:val="00FE5A53"/>
    <w:rsid w:val="00FE5A5D"/>
    <w:rsid w:val="00FE5A7F"/>
    <w:rsid w:val="00FE5AD1"/>
    <w:rsid w:val="00FE5B4B"/>
    <w:rsid w:val="00FE5BBA"/>
    <w:rsid w:val="00FE5BF5"/>
    <w:rsid w:val="00FE5C20"/>
    <w:rsid w:val="00FE5C52"/>
    <w:rsid w:val="00FE5C9D"/>
    <w:rsid w:val="00FE5D0A"/>
    <w:rsid w:val="00FE5D41"/>
    <w:rsid w:val="00FE5D74"/>
    <w:rsid w:val="00FE5D87"/>
    <w:rsid w:val="00FE5D9C"/>
    <w:rsid w:val="00FE5D9F"/>
    <w:rsid w:val="00FE5DC2"/>
    <w:rsid w:val="00FE5DC4"/>
    <w:rsid w:val="00FE5DD5"/>
    <w:rsid w:val="00FE5E33"/>
    <w:rsid w:val="00FE5E50"/>
    <w:rsid w:val="00FE5E67"/>
    <w:rsid w:val="00FE5E6D"/>
    <w:rsid w:val="00FE5E7B"/>
    <w:rsid w:val="00FE5E81"/>
    <w:rsid w:val="00FE5E9D"/>
    <w:rsid w:val="00FE5EC5"/>
    <w:rsid w:val="00FE5ED5"/>
    <w:rsid w:val="00FE5EDA"/>
    <w:rsid w:val="00FE5F0F"/>
    <w:rsid w:val="00FE5F87"/>
    <w:rsid w:val="00FE6005"/>
    <w:rsid w:val="00FE604B"/>
    <w:rsid w:val="00FE6103"/>
    <w:rsid w:val="00FE613D"/>
    <w:rsid w:val="00FE619F"/>
    <w:rsid w:val="00FE61BA"/>
    <w:rsid w:val="00FE6247"/>
    <w:rsid w:val="00FE6267"/>
    <w:rsid w:val="00FE62B6"/>
    <w:rsid w:val="00FE62F1"/>
    <w:rsid w:val="00FE635E"/>
    <w:rsid w:val="00FE6404"/>
    <w:rsid w:val="00FE640B"/>
    <w:rsid w:val="00FE640D"/>
    <w:rsid w:val="00FE6429"/>
    <w:rsid w:val="00FE6448"/>
    <w:rsid w:val="00FE6452"/>
    <w:rsid w:val="00FE6479"/>
    <w:rsid w:val="00FE651E"/>
    <w:rsid w:val="00FE6559"/>
    <w:rsid w:val="00FE65D3"/>
    <w:rsid w:val="00FE65D7"/>
    <w:rsid w:val="00FE65F1"/>
    <w:rsid w:val="00FE65FF"/>
    <w:rsid w:val="00FE6659"/>
    <w:rsid w:val="00FE66A6"/>
    <w:rsid w:val="00FE66E1"/>
    <w:rsid w:val="00FE66E4"/>
    <w:rsid w:val="00FE6711"/>
    <w:rsid w:val="00FE6718"/>
    <w:rsid w:val="00FE671D"/>
    <w:rsid w:val="00FE6727"/>
    <w:rsid w:val="00FE673B"/>
    <w:rsid w:val="00FE67AC"/>
    <w:rsid w:val="00FE67B7"/>
    <w:rsid w:val="00FE6812"/>
    <w:rsid w:val="00FE686B"/>
    <w:rsid w:val="00FE68A1"/>
    <w:rsid w:val="00FE68E0"/>
    <w:rsid w:val="00FE692B"/>
    <w:rsid w:val="00FE6945"/>
    <w:rsid w:val="00FE6966"/>
    <w:rsid w:val="00FE697D"/>
    <w:rsid w:val="00FE6984"/>
    <w:rsid w:val="00FE69BE"/>
    <w:rsid w:val="00FE69D5"/>
    <w:rsid w:val="00FE69E0"/>
    <w:rsid w:val="00FE69E4"/>
    <w:rsid w:val="00FE6AEF"/>
    <w:rsid w:val="00FE6B3C"/>
    <w:rsid w:val="00FE6BC1"/>
    <w:rsid w:val="00FE6BFB"/>
    <w:rsid w:val="00FE6CAB"/>
    <w:rsid w:val="00FE6CC2"/>
    <w:rsid w:val="00FE6CF7"/>
    <w:rsid w:val="00FE6D4C"/>
    <w:rsid w:val="00FE6D6E"/>
    <w:rsid w:val="00FE6E06"/>
    <w:rsid w:val="00FE6E19"/>
    <w:rsid w:val="00FE6E1B"/>
    <w:rsid w:val="00FE6E89"/>
    <w:rsid w:val="00FE6ECC"/>
    <w:rsid w:val="00FE6F05"/>
    <w:rsid w:val="00FE6F1B"/>
    <w:rsid w:val="00FE6FF3"/>
    <w:rsid w:val="00FE700B"/>
    <w:rsid w:val="00FE70CA"/>
    <w:rsid w:val="00FE7127"/>
    <w:rsid w:val="00FE714B"/>
    <w:rsid w:val="00FE7171"/>
    <w:rsid w:val="00FE7183"/>
    <w:rsid w:val="00FE71B9"/>
    <w:rsid w:val="00FE71C8"/>
    <w:rsid w:val="00FE71CC"/>
    <w:rsid w:val="00FE71F5"/>
    <w:rsid w:val="00FE7290"/>
    <w:rsid w:val="00FE72A4"/>
    <w:rsid w:val="00FE72E4"/>
    <w:rsid w:val="00FE7317"/>
    <w:rsid w:val="00FE7332"/>
    <w:rsid w:val="00FE734F"/>
    <w:rsid w:val="00FE7353"/>
    <w:rsid w:val="00FE73AB"/>
    <w:rsid w:val="00FE73B1"/>
    <w:rsid w:val="00FE73D3"/>
    <w:rsid w:val="00FE750E"/>
    <w:rsid w:val="00FE7570"/>
    <w:rsid w:val="00FE7630"/>
    <w:rsid w:val="00FE7667"/>
    <w:rsid w:val="00FE7692"/>
    <w:rsid w:val="00FE76ED"/>
    <w:rsid w:val="00FE772A"/>
    <w:rsid w:val="00FE7731"/>
    <w:rsid w:val="00FE7797"/>
    <w:rsid w:val="00FE77E2"/>
    <w:rsid w:val="00FE7857"/>
    <w:rsid w:val="00FE7893"/>
    <w:rsid w:val="00FE7896"/>
    <w:rsid w:val="00FE78B0"/>
    <w:rsid w:val="00FE78D9"/>
    <w:rsid w:val="00FE78DC"/>
    <w:rsid w:val="00FE7941"/>
    <w:rsid w:val="00FE7949"/>
    <w:rsid w:val="00FE7986"/>
    <w:rsid w:val="00FE7989"/>
    <w:rsid w:val="00FE7997"/>
    <w:rsid w:val="00FE79E4"/>
    <w:rsid w:val="00FE79F9"/>
    <w:rsid w:val="00FE7A05"/>
    <w:rsid w:val="00FE7A3D"/>
    <w:rsid w:val="00FE7AA5"/>
    <w:rsid w:val="00FE7AFE"/>
    <w:rsid w:val="00FE7B40"/>
    <w:rsid w:val="00FE7BCE"/>
    <w:rsid w:val="00FE7BD9"/>
    <w:rsid w:val="00FE7BFF"/>
    <w:rsid w:val="00FE7C1C"/>
    <w:rsid w:val="00FE7C8E"/>
    <w:rsid w:val="00FE7CB1"/>
    <w:rsid w:val="00FE7CC4"/>
    <w:rsid w:val="00FE7CD3"/>
    <w:rsid w:val="00FE7D37"/>
    <w:rsid w:val="00FE7DA2"/>
    <w:rsid w:val="00FE7DF3"/>
    <w:rsid w:val="00FE7DFB"/>
    <w:rsid w:val="00FE7E4C"/>
    <w:rsid w:val="00FE7E59"/>
    <w:rsid w:val="00FE7E73"/>
    <w:rsid w:val="00FE7E89"/>
    <w:rsid w:val="00FE7E8C"/>
    <w:rsid w:val="00FE7EB5"/>
    <w:rsid w:val="00FE7EDF"/>
    <w:rsid w:val="00FE7F08"/>
    <w:rsid w:val="00FE7F8E"/>
    <w:rsid w:val="00FE7F90"/>
    <w:rsid w:val="00FE7F94"/>
    <w:rsid w:val="00FE7FAE"/>
    <w:rsid w:val="00FE7FF1"/>
    <w:rsid w:val="00FF000A"/>
    <w:rsid w:val="00FF0018"/>
    <w:rsid w:val="00FF0097"/>
    <w:rsid w:val="00FF011A"/>
    <w:rsid w:val="00FF0134"/>
    <w:rsid w:val="00FF0166"/>
    <w:rsid w:val="00FF0179"/>
    <w:rsid w:val="00FF01AA"/>
    <w:rsid w:val="00FF01C3"/>
    <w:rsid w:val="00FF01D4"/>
    <w:rsid w:val="00FF0220"/>
    <w:rsid w:val="00FF0224"/>
    <w:rsid w:val="00FF0269"/>
    <w:rsid w:val="00FF028B"/>
    <w:rsid w:val="00FF02EA"/>
    <w:rsid w:val="00FF0322"/>
    <w:rsid w:val="00FF04DA"/>
    <w:rsid w:val="00FF0534"/>
    <w:rsid w:val="00FF0578"/>
    <w:rsid w:val="00FF059E"/>
    <w:rsid w:val="00FF05C0"/>
    <w:rsid w:val="00FF05C1"/>
    <w:rsid w:val="00FF05D3"/>
    <w:rsid w:val="00FF05DE"/>
    <w:rsid w:val="00FF05E7"/>
    <w:rsid w:val="00FF061A"/>
    <w:rsid w:val="00FF06DC"/>
    <w:rsid w:val="00FF0729"/>
    <w:rsid w:val="00FF076E"/>
    <w:rsid w:val="00FF079A"/>
    <w:rsid w:val="00FF07D7"/>
    <w:rsid w:val="00FF080C"/>
    <w:rsid w:val="00FF082D"/>
    <w:rsid w:val="00FF086A"/>
    <w:rsid w:val="00FF08D9"/>
    <w:rsid w:val="00FF08E2"/>
    <w:rsid w:val="00FF08F3"/>
    <w:rsid w:val="00FF097F"/>
    <w:rsid w:val="00FF0986"/>
    <w:rsid w:val="00FF09B8"/>
    <w:rsid w:val="00FF09DC"/>
    <w:rsid w:val="00FF09E0"/>
    <w:rsid w:val="00FF0A4A"/>
    <w:rsid w:val="00FF0A4E"/>
    <w:rsid w:val="00FF0AA4"/>
    <w:rsid w:val="00FF0BA4"/>
    <w:rsid w:val="00FF0BF2"/>
    <w:rsid w:val="00FF0C49"/>
    <w:rsid w:val="00FF0C4A"/>
    <w:rsid w:val="00FF0CD7"/>
    <w:rsid w:val="00FF0CED"/>
    <w:rsid w:val="00FF0D03"/>
    <w:rsid w:val="00FF0D5D"/>
    <w:rsid w:val="00FF0DCB"/>
    <w:rsid w:val="00FF0E1D"/>
    <w:rsid w:val="00FF0E57"/>
    <w:rsid w:val="00FF0EC2"/>
    <w:rsid w:val="00FF0F35"/>
    <w:rsid w:val="00FF0F55"/>
    <w:rsid w:val="00FF0F98"/>
    <w:rsid w:val="00FF0FEF"/>
    <w:rsid w:val="00FF1003"/>
    <w:rsid w:val="00FF1007"/>
    <w:rsid w:val="00FF105E"/>
    <w:rsid w:val="00FF1060"/>
    <w:rsid w:val="00FF10C2"/>
    <w:rsid w:val="00FF1113"/>
    <w:rsid w:val="00FF1127"/>
    <w:rsid w:val="00FF1144"/>
    <w:rsid w:val="00FF1153"/>
    <w:rsid w:val="00FF1154"/>
    <w:rsid w:val="00FF1160"/>
    <w:rsid w:val="00FF1256"/>
    <w:rsid w:val="00FF125D"/>
    <w:rsid w:val="00FF12B0"/>
    <w:rsid w:val="00FF12D2"/>
    <w:rsid w:val="00FF12D7"/>
    <w:rsid w:val="00FF12F5"/>
    <w:rsid w:val="00FF1342"/>
    <w:rsid w:val="00FF1346"/>
    <w:rsid w:val="00FF1414"/>
    <w:rsid w:val="00FF14C9"/>
    <w:rsid w:val="00FF14D2"/>
    <w:rsid w:val="00FF1523"/>
    <w:rsid w:val="00FF158F"/>
    <w:rsid w:val="00FF15AD"/>
    <w:rsid w:val="00FF15D8"/>
    <w:rsid w:val="00FF1617"/>
    <w:rsid w:val="00FF1696"/>
    <w:rsid w:val="00FF16C5"/>
    <w:rsid w:val="00FF16ED"/>
    <w:rsid w:val="00FF1783"/>
    <w:rsid w:val="00FF17BA"/>
    <w:rsid w:val="00FF1828"/>
    <w:rsid w:val="00FF185B"/>
    <w:rsid w:val="00FF186C"/>
    <w:rsid w:val="00FF1870"/>
    <w:rsid w:val="00FF18C4"/>
    <w:rsid w:val="00FF18FD"/>
    <w:rsid w:val="00FF1901"/>
    <w:rsid w:val="00FF1961"/>
    <w:rsid w:val="00FF199C"/>
    <w:rsid w:val="00FF199E"/>
    <w:rsid w:val="00FF1A19"/>
    <w:rsid w:val="00FF1A26"/>
    <w:rsid w:val="00FF1A42"/>
    <w:rsid w:val="00FF1AE0"/>
    <w:rsid w:val="00FF1B37"/>
    <w:rsid w:val="00FF1B81"/>
    <w:rsid w:val="00FF1B96"/>
    <w:rsid w:val="00FF1B9C"/>
    <w:rsid w:val="00FF1BBA"/>
    <w:rsid w:val="00FF1BBB"/>
    <w:rsid w:val="00FF1C35"/>
    <w:rsid w:val="00FF1C7E"/>
    <w:rsid w:val="00FF1C98"/>
    <w:rsid w:val="00FF1C99"/>
    <w:rsid w:val="00FF1CD2"/>
    <w:rsid w:val="00FF1CDF"/>
    <w:rsid w:val="00FF1CFC"/>
    <w:rsid w:val="00FF1D1A"/>
    <w:rsid w:val="00FF1D1C"/>
    <w:rsid w:val="00FF1D31"/>
    <w:rsid w:val="00FF1DDE"/>
    <w:rsid w:val="00FF1DE9"/>
    <w:rsid w:val="00FF1E2A"/>
    <w:rsid w:val="00FF1E6F"/>
    <w:rsid w:val="00FF1EC8"/>
    <w:rsid w:val="00FF1F05"/>
    <w:rsid w:val="00FF1F5F"/>
    <w:rsid w:val="00FF2039"/>
    <w:rsid w:val="00FF20D8"/>
    <w:rsid w:val="00FF2108"/>
    <w:rsid w:val="00FF215C"/>
    <w:rsid w:val="00FF215D"/>
    <w:rsid w:val="00FF218A"/>
    <w:rsid w:val="00FF21A3"/>
    <w:rsid w:val="00FF21D5"/>
    <w:rsid w:val="00FF2258"/>
    <w:rsid w:val="00FF225E"/>
    <w:rsid w:val="00FF2271"/>
    <w:rsid w:val="00FF227C"/>
    <w:rsid w:val="00FF229C"/>
    <w:rsid w:val="00FF22E6"/>
    <w:rsid w:val="00FF2316"/>
    <w:rsid w:val="00FF231A"/>
    <w:rsid w:val="00FF232E"/>
    <w:rsid w:val="00FF2343"/>
    <w:rsid w:val="00FF2344"/>
    <w:rsid w:val="00FF2366"/>
    <w:rsid w:val="00FF23AB"/>
    <w:rsid w:val="00FF23CA"/>
    <w:rsid w:val="00FF2427"/>
    <w:rsid w:val="00FF24BF"/>
    <w:rsid w:val="00FF24E6"/>
    <w:rsid w:val="00FF2553"/>
    <w:rsid w:val="00FF2568"/>
    <w:rsid w:val="00FF2578"/>
    <w:rsid w:val="00FF259D"/>
    <w:rsid w:val="00FF25AF"/>
    <w:rsid w:val="00FF25C2"/>
    <w:rsid w:val="00FF25DF"/>
    <w:rsid w:val="00FF2613"/>
    <w:rsid w:val="00FF261E"/>
    <w:rsid w:val="00FF264B"/>
    <w:rsid w:val="00FF2668"/>
    <w:rsid w:val="00FF2711"/>
    <w:rsid w:val="00FF2715"/>
    <w:rsid w:val="00FF277C"/>
    <w:rsid w:val="00FF2788"/>
    <w:rsid w:val="00FF27AD"/>
    <w:rsid w:val="00FF27B5"/>
    <w:rsid w:val="00FF27C2"/>
    <w:rsid w:val="00FF2885"/>
    <w:rsid w:val="00FF2898"/>
    <w:rsid w:val="00FF28DE"/>
    <w:rsid w:val="00FF296F"/>
    <w:rsid w:val="00FF2999"/>
    <w:rsid w:val="00FF29AB"/>
    <w:rsid w:val="00FF29B2"/>
    <w:rsid w:val="00FF29C2"/>
    <w:rsid w:val="00FF29C6"/>
    <w:rsid w:val="00FF29F2"/>
    <w:rsid w:val="00FF2A23"/>
    <w:rsid w:val="00FF2A77"/>
    <w:rsid w:val="00FF2A80"/>
    <w:rsid w:val="00FF2B1B"/>
    <w:rsid w:val="00FF2B3D"/>
    <w:rsid w:val="00FF2B58"/>
    <w:rsid w:val="00FF2BA9"/>
    <w:rsid w:val="00FF2BD2"/>
    <w:rsid w:val="00FF2BD3"/>
    <w:rsid w:val="00FF2CEC"/>
    <w:rsid w:val="00FF2D8C"/>
    <w:rsid w:val="00FF2DD2"/>
    <w:rsid w:val="00FF2E22"/>
    <w:rsid w:val="00FF2E51"/>
    <w:rsid w:val="00FF2E54"/>
    <w:rsid w:val="00FF2E85"/>
    <w:rsid w:val="00FF2EC1"/>
    <w:rsid w:val="00FF2EC2"/>
    <w:rsid w:val="00FF2F2F"/>
    <w:rsid w:val="00FF2F5B"/>
    <w:rsid w:val="00FF2F5D"/>
    <w:rsid w:val="00FF30C3"/>
    <w:rsid w:val="00FF318E"/>
    <w:rsid w:val="00FF31C4"/>
    <w:rsid w:val="00FF31EE"/>
    <w:rsid w:val="00FF3223"/>
    <w:rsid w:val="00FF32BA"/>
    <w:rsid w:val="00FF32BD"/>
    <w:rsid w:val="00FF32EC"/>
    <w:rsid w:val="00FF32F1"/>
    <w:rsid w:val="00FF330F"/>
    <w:rsid w:val="00FF338A"/>
    <w:rsid w:val="00FF33BD"/>
    <w:rsid w:val="00FF3401"/>
    <w:rsid w:val="00FF3436"/>
    <w:rsid w:val="00FF3437"/>
    <w:rsid w:val="00FF3481"/>
    <w:rsid w:val="00FF348F"/>
    <w:rsid w:val="00FF3516"/>
    <w:rsid w:val="00FF352E"/>
    <w:rsid w:val="00FF3542"/>
    <w:rsid w:val="00FF356F"/>
    <w:rsid w:val="00FF35B4"/>
    <w:rsid w:val="00FF35C3"/>
    <w:rsid w:val="00FF35D1"/>
    <w:rsid w:val="00FF35D4"/>
    <w:rsid w:val="00FF3636"/>
    <w:rsid w:val="00FF366C"/>
    <w:rsid w:val="00FF36B8"/>
    <w:rsid w:val="00FF36D0"/>
    <w:rsid w:val="00FF36F4"/>
    <w:rsid w:val="00FF3706"/>
    <w:rsid w:val="00FF37A5"/>
    <w:rsid w:val="00FF37B2"/>
    <w:rsid w:val="00FF37B6"/>
    <w:rsid w:val="00FF380C"/>
    <w:rsid w:val="00FF383A"/>
    <w:rsid w:val="00FF3895"/>
    <w:rsid w:val="00FF3920"/>
    <w:rsid w:val="00FF39B8"/>
    <w:rsid w:val="00FF39E8"/>
    <w:rsid w:val="00FF3A1A"/>
    <w:rsid w:val="00FF3A7F"/>
    <w:rsid w:val="00FF3AAB"/>
    <w:rsid w:val="00FF3AC7"/>
    <w:rsid w:val="00FF3AD6"/>
    <w:rsid w:val="00FF3B18"/>
    <w:rsid w:val="00FF3B8F"/>
    <w:rsid w:val="00FF3BA7"/>
    <w:rsid w:val="00FF3BC4"/>
    <w:rsid w:val="00FF3BCA"/>
    <w:rsid w:val="00FF3BDC"/>
    <w:rsid w:val="00FF3BFE"/>
    <w:rsid w:val="00FF3C12"/>
    <w:rsid w:val="00FF3C29"/>
    <w:rsid w:val="00FF3C2A"/>
    <w:rsid w:val="00FF3C2F"/>
    <w:rsid w:val="00FF3C6F"/>
    <w:rsid w:val="00FF3C88"/>
    <w:rsid w:val="00FF3CB9"/>
    <w:rsid w:val="00FF3CC1"/>
    <w:rsid w:val="00FF3CE9"/>
    <w:rsid w:val="00FF3CF5"/>
    <w:rsid w:val="00FF3D3F"/>
    <w:rsid w:val="00FF3E1A"/>
    <w:rsid w:val="00FF3E4F"/>
    <w:rsid w:val="00FF3E9A"/>
    <w:rsid w:val="00FF3EAC"/>
    <w:rsid w:val="00FF3EDF"/>
    <w:rsid w:val="00FF3F18"/>
    <w:rsid w:val="00FF3F39"/>
    <w:rsid w:val="00FF3F46"/>
    <w:rsid w:val="00FF3F51"/>
    <w:rsid w:val="00FF3F97"/>
    <w:rsid w:val="00FF3FD3"/>
    <w:rsid w:val="00FF3FDF"/>
    <w:rsid w:val="00FF3FE6"/>
    <w:rsid w:val="00FF405E"/>
    <w:rsid w:val="00FF4085"/>
    <w:rsid w:val="00FF40F5"/>
    <w:rsid w:val="00FF4148"/>
    <w:rsid w:val="00FF4161"/>
    <w:rsid w:val="00FF418C"/>
    <w:rsid w:val="00FF4192"/>
    <w:rsid w:val="00FF41BF"/>
    <w:rsid w:val="00FF41F2"/>
    <w:rsid w:val="00FF4205"/>
    <w:rsid w:val="00FF4217"/>
    <w:rsid w:val="00FF423A"/>
    <w:rsid w:val="00FF423E"/>
    <w:rsid w:val="00FF4310"/>
    <w:rsid w:val="00FF43B5"/>
    <w:rsid w:val="00FF43E7"/>
    <w:rsid w:val="00FF43FC"/>
    <w:rsid w:val="00FF441E"/>
    <w:rsid w:val="00FF445E"/>
    <w:rsid w:val="00FF44A5"/>
    <w:rsid w:val="00FF44CA"/>
    <w:rsid w:val="00FF45EE"/>
    <w:rsid w:val="00FF460D"/>
    <w:rsid w:val="00FF4635"/>
    <w:rsid w:val="00FF4686"/>
    <w:rsid w:val="00FF468C"/>
    <w:rsid w:val="00FF4721"/>
    <w:rsid w:val="00FF4731"/>
    <w:rsid w:val="00FF4766"/>
    <w:rsid w:val="00FF4769"/>
    <w:rsid w:val="00FF47A9"/>
    <w:rsid w:val="00FF4888"/>
    <w:rsid w:val="00FF48E0"/>
    <w:rsid w:val="00FF495F"/>
    <w:rsid w:val="00FF49D8"/>
    <w:rsid w:val="00FF4A6D"/>
    <w:rsid w:val="00FF4A76"/>
    <w:rsid w:val="00FF4A78"/>
    <w:rsid w:val="00FF4AAA"/>
    <w:rsid w:val="00FF4AB7"/>
    <w:rsid w:val="00FF4AC0"/>
    <w:rsid w:val="00FF4AD2"/>
    <w:rsid w:val="00FF4AE9"/>
    <w:rsid w:val="00FF4B14"/>
    <w:rsid w:val="00FF4B3A"/>
    <w:rsid w:val="00FF4B90"/>
    <w:rsid w:val="00FF4B96"/>
    <w:rsid w:val="00FF4C43"/>
    <w:rsid w:val="00FF4C58"/>
    <w:rsid w:val="00FF4CD9"/>
    <w:rsid w:val="00FF4D02"/>
    <w:rsid w:val="00FF4D1E"/>
    <w:rsid w:val="00FF4D57"/>
    <w:rsid w:val="00FF4D61"/>
    <w:rsid w:val="00FF4DB6"/>
    <w:rsid w:val="00FF4DBA"/>
    <w:rsid w:val="00FF4DC3"/>
    <w:rsid w:val="00FF4DFC"/>
    <w:rsid w:val="00FF4E0C"/>
    <w:rsid w:val="00FF4E10"/>
    <w:rsid w:val="00FF4E37"/>
    <w:rsid w:val="00FF4E52"/>
    <w:rsid w:val="00FF4E8B"/>
    <w:rsid w:val="00FF4F1D"/>
    <w:rsid w:val="00FF4F31"/>
    <w:rsid w:val="00FF4F38"/>
    <w:rsid w:val="00FF4F49"/>
    <w:rsid w:val="00FF4F53"/>
    <w:rsid w:val="00FF4FD6"/>
    <w:rsid w:val="00FF4FF9"/>
    <w:rsid w:val="00FF4FFB"/>
    <w:rsid w:val="00FF4FFC"/>
    <w:rsid w:val="00FF5092"/>
    <w:rsid w:val="00FF509F"/>
    <w:rsid w:val="00FF50AF"/>
    <w:rsid w:val="00FF50F3"/>
    <w:rsid w:val="00FF5115"/>
    <w:rsid w:val="00FF5121"/>
    <w:rsid w:val="00FF5122"/>
    <w:rsid w:val="00FF516F"/>
    <w:rsid w:val="00FF519A"/>
    <w:rsid w:val="00FF51EE"/>
    <w:rsid w:val="00FF5217"/>
    <w:rsid w:val="00FF5227"/>
    <w:rsid w:val="00FF525B"/>
    <w:rsid w:val="00FF528B"/>
    <w:rsid w:val="00FF52FF"/>
    <w:rsid w:val="00FF5335"/>
    <w:rsid w:val="00FF5371"/>
    <w:rsid w:val="00FF5391"/>
    <w:rsid w:val="00FF5398"/>
    <w:rsid w:val="00FF5399"/>
    <w:rsid w:val="00FF53A7"/>
    <w:rsid w:val="00FF53B0"/>
    <w:rsid w:val="00FF53B1"/>
    <w:rsid w:val="00FF53BD"/>
    <w:rsid w:val="00FF5431"/>
    <w:rsid w:val="00FF5450"/>
    <w:rsid w:val="00FF5472"/>
    <w:rsid w:val="00FF5475"/>
    <w:rsid w:val="00FF5483"/>
    <w:rsid w:val="00FF54AA"/>
    <w:rsid w:val="00FF54DD"/>
    <w:rsid w:val="00FF54ED"/>
    <w:rsid w:val="00FF550F"/>
    <w:rsid w:val="00FF5538"/>
    <w:rsid w:val="00FF55C4"/>
    <w:rsid w:val="00FF5604"/>
    <w:rsid w:val="00FF569F"/>
    <w:rsid w:val="00FF56A7"/>
    <w:rsid w:val="00FF56D9"/>
    <w:rsid w:val="00FF5729"/>
    <w:rsid w:val="00FF5766"/>
    <w:rsid w:val="00FF5860"/>
    <w:rsid w:val="00FF5864"/>
    <w:rsid w:val="00FF5883"/>
    <w:rsid w:val="00FF5885"/>
    <w:rsid w:val="00FF58C3"/>
    <w:rsid w:val="00FF58E7"/>
    <w:rsid w:val="00FF594D"/>
    <w:rsid w:val="00FF5985"/>
    <w:rsid w:val="00FF5992"/>
    <w:rsid w:val="00FF59CD"/>
    <w:rsid w:val="00FF59CF"/>
    <w:rsid w:val="00FF59FA"/>
    <w:rsid w:val="00FF5A13"/>
    <w:rsid w:val="00FF5A3F"/>
    <w:rsid w:val="00FF5A7F"/>
    <w:rsid w:val="00FF5A98"/>
    <w:rsid w:val="00FF5B0E"/>
    <w:rsid w:val="00FF5B1F"/>
    <w:rsid w:val="00FF5B34"/>
    <w:rsid w:val="00FF5B4B"/>
    <w:rsid w:val="00FF5B53"/>
    <w:rsid w:val="00FF5B76"/>
    <w:rsid w:val="00FF5BFE"/>
    <w:rsid w:val="00FF5C92"/>
    <w:rsid w:val="00FF5CBA"/>
    <w:rsid w:val="00FF5D18"/>
    <w:rsid w:val="00FF5D20"/>
    <w:rsid w:val="00FF5E0B"/>
    <w:rsid w:val="00FF5E24"/>
    <w:rsid w:val="00FF5E42"/>
    <w:rsid w:val="00FF5EF2"/>
    <w:rsid w:val="00FF5EF5"/>
    <w:rsid w:val="00FF5F9B"/>
    <w:rsid w:val="00FF5FD9"/>
    <w:rsid w:val="00FF605C"/>
    <w:rsid w:val="00FF607A"/>
    <w:rsid w:val="00FF60AC"/>
    <w:rsid w:val="00FF614E"/>
    <w:rsid w:val="00FF6158"/>
    <w:rsid w:val="00FF6163"/>
    <w:rsid w:val="00FF61A9"/>
    <w:rsid w:val="00FF6211"/>
    <w:rsid w:val="00FF622C"/>
    <w:rsid w:val="00FF629F"/>
    <w:rsid w:val="00FF6323"/>
    <w:rsid w:val="00FF6332"/>
    <w:rsid w:val="00FF6345"/>
    <w:rsid w:val="00FF6362"/>
    <w:rsid w:val="00FF6376"/>
    <w:rsid w:val="00FF6380"/>
    <w:rsid w:val="00FF63B0"/>
    <w:rsid w:val="00FF63C3"/>
    <w:rsid w:val="00FF6430"/>
    <w:rsid w:val="00FF6479"/>
    <w:rsid w:val="00FF6485"/>
    <w:rsid w:val="00FF6489"/>
    <w:rsid w:val="00FF64BE"/>
    <w:rsid w:val="00FF64C1"/>
    <w:rsid w:val="00FF64C8"/>
    <w:rsid w:val="00FF64FA"/>
    <w:rsid w:val="00FF6505"/>
    <w:rsid w:val="00FF650B"/>
    <w:rsid w:val="00FF65C9"/>
    <w:rsid w:val="00FF65F7"/>
    <w:rsid w:val="00FF6603"/>
    <w:rsid w:val="00FF663C"/>
    <w:rsid w:val="00FF668E"/>
    <w:rsid w:val="00FF669D"/>
    <w:rsid w:val="00FF6701"/>
    <w:rsid w:val="00FF6813"/>
    <w:rsid w:val="00FF683C"/>
    <w:rsid w:val="00FF684A"/>
    <w:rsid w:val="00FF685A"/>
    <w:rsid w:val="00FF6950"/>
    <w:rsid w:val="00FF695A"/>
    <w:rsid w:val="00FF69E7"/>
    <w:rsid w:val="00FF6A04"/>
    <w:rsid w:val="00FF6A14"/>
    <w:rsid w:val="00FF6A36"/>
    <w:rsid w:val="00FF6A99"/>
    <w:rsid w:val="00FF6B23"/>
    <w:rsid w:val="00FF6BE5"/>
    <w:rsid w:val="00FF6C0C"/>
    <w:rsid w:val="00FF6C1D"/>
    <w:rsid w:val="00FF6C56"/>
    <w:rsid w:val="00FF6C6D"/>
    <w:rsid w:val="00FF6C99"/>
    <w:rsid w:val="00FF6C9E"/>
    <w:rsid w:val="00FF6CF8"/>
    <w:rsid w:val="00FF6CFD"/>
    <w:rsid w:val="00FF6D03"/>
    <w:rsid w:val="00FF6D13"/>
    <w:rsid w:val="00FF6D56"/>
    <w:rsid w:val="00FF6DB2"/>
    <w:rsid w:val="00FF6DC6"/>
    <w:rsid w:val="00FF6DE7"/>
    <w:rsid w:val="00FF6DF5"/>
    <w:rsid w:val="00FF6E0C"/>
    <w:rsid w:val="00FF6E31"/>
    <w:rsid w:val="00FF6E77"/>
    <w:rsid w:val="00FF6ED4"/>
    <w:rsid w:val="00FF702D"/>
    <w:rsid w:val="00FF7036"/>
    <w:rsid w:val="00FF7049"/>
    <w:rsid w:val="00FF704F"/>
    <w:rsid w:val="00FF7061"/>
    <w:rsid w:val="00FF7064"/>
    <w:rsid w:val="00FF70AE"/>
    <w:rsid w:val="00FF70B1"/>
    <w:rsid w:val="00FF70BC"/>
    <w:rsid w:val="00FF70E9"/>
    <w:rsid w:val="00FF7134"/>
    <w:rsid w:val="00FF713B"/>
    <w:rsid w:val="00FF713E"/>
    <w:rsid w:val="00FF717B"/>
    <w:rsid w:val="00FF7232"/>
    <w:rsid w:val="00FF725D"/>
    <w:rsid w:val="00FF728F"/>
    <w:rsid w:val="00FF7299"/>
    <w:rsid w:val="00FF72A2"/>
    <w:rsid w:val="00FF72BE"/>
    <w:rsid w:val="00FF72D4"/>
    <w:rsid w:val="00FF72F3"/>
    <w:rsid w:val="00FF7308"/>
    <w:rsid w:val="00FF7422"/>
    <w:rsid w:val="00FF7517"/>
    <w:rsid w:val="00FF7558"/>
    <w:rsid w:val="00FF756A"/>
    <w:rsid w:val="00FF7575"/>
    <w:rsid w:val="00FF7621"/>
    <w:rsid w:val="00FF7660"/>
    <w:rsid w:val="00FF7677"/>
    <w:rsid w:val="00FF76D6"/>
    <w:rsid w:val="00FF7762"/>
    <w:rsid w:val="00FF776D"/>
    <w:rsid w:val="00FF7770"/>
    <w:rsid w:val="00FF77B6"/>
    <w:rsid w:val="00FF77C1"/>
    <w:rsid w:val="00FF77C2"/>
    <w:rsid w:val="00FF77CC"/>
    <w:rsid w:val="00FF77EF"/>
    <w:rsid w:val="00FF7809"/>
    <w:rsid w:val="00FF783E"/>
    <w:rsid w:val="00FF7870"/>
    <w:rsid w:val="00FF7888"/>
    <w:rsid w:val="00FF78BF"/>
    <w:rsid w:val="00FF78CB"/>
    <w:rsid w:val="00FF78DB"/>
    <w:rsid w:val="00FF7944"/>
    <w:rsid w:val="00FF79C8"/>
    <w:rsid w:val="00FF79E1"/>
    <w:rsid w:val="00FF7A2C"/>
    <w:rsid w:val="00FF7A9E"/>
    <w:rsid w:val="00FF7AAF"/>
    <w:rsid w:val="00FF7B1E"/>
    <w:rsid w:val="00FF7B3D"/>
    <w:rsid w:val="00FF7B97"/>
    <w:rsid w:val="00FF7BE0"/>
    <w:rsid w:val="00FF7C2F"/>
    <w:rsid w:val="00FF7CCD"/>
    <w:rsid w:val="00FF7CFC"/>
    <w:rsid w:val="00FF7D06"/>
    <w:rsid w:val="00FF7D7D"/>
    <w:rsid w:val="00FF7DA5"/>
    <w:rsid w:val="00FF7DA7"/>
    <w:rsid w:val="00FF7DF8"/>
    <w:rsid w:val="00FF7E01"/>
    <w:rsid w:val="00FF7E1F"/>
    <w:rsid w:val="00FF7E46"/>
    <w:rsid w:val="00FF7E5F"/>
    <w:rsid w:val="00FF7E67"/>
    <w:rsid w:val="00FF7E9E"/>
    <w:rsid w:val="00FF7F14"/>
    <w:rsid w:val="00FF7F5D"/>
    <w:rsid w:val="00FF7FC3"/>
    <w:rsid w:val="01132E93"/>
    <w:rsid w:val="01185CA0"/>
    <w:rsid w:val="011C60F4"/>
    <w:rsid w:val="011FF167"/>
    <w:rsid w:val="012A6877"/>
    <w:rsid w:val="012AB68D"/>
    <w:rsid w:val="012C6409"/>
    <w:rsid w:val="012DFF8D"/>
    <w:rsid w:val="0132C7A4"/>
    <w:rsid w:val="013766C4"/>
    <w:rsid w:val="013E0EE8"/>
    <w:rsid w:val="013F9209"/>
    <w:rsid w:val="0169DA9C"/>
    <w:rsid w:val="016CF36C"/>
    <w:rsid w:val="016FD5C0"/>
    <w:rsid w:val="017695D3"/>
    <w:rsid w:val="017E5014"/>
    <w:rsid w:val="0188FE63"/>
    <w:rsid w:val="0195C487"/>
    <w:rsid w:val="019C073B"/>
    <w:rsid w:val="01A15C8F"/>
    <w:rsid w:val="01AB8A3F"/>
    <w:rsid w:val="01B5EADE"/>
    <w:rsid w:val="01BAF267"/>
    <w:rsid w:val="01D97F38"/>
    <w:rsid w:val="01EDE2A0"/>
    <w:rsid w:val="01FDB274"/>
    <w:rsid w:val="020F758D"/>
    <w:rsid w:val="021898B4"/>
    <w:rsid w:val="021C97A8"/>
    <w:rsid w:val="022583A9"/>
    <w:rsid w:val="023125B7"/>
    <w:rsid w:val="024F452F"/>
    <w:rsid w:val="02591F68"/>
    <w:rsid w:val="0259EDC1"/>
    <w:rsid w:val="025FB98F"/>
    <w:rsid w:val="02610E81"/>
    <w:rsid w:val="02688D45"/>
    <w:rsid w:val="0283A0B9"/>
    <w:rsid w:val="028BDD50"/>
    <w:rsid w:val="028EA2E1"/>
    <w:rsid w:val="0292CC43"/>
    <w:rsid w:val="029DAA34"/>
    <w:rsid w:val="02A083E6"/>
    <w:rsid w:val="02A54855"/>
    <w:rsid w:val="02AFD56D"/>
    <w:rsid w:val="02B5D44A"/>
    <w:rsid w:val="02BD8A3B"/>
    <w:rsid w:val="02BF7E7A"/>
    <w:rsid w:val="02C042EB"/>
    <w:rsid w:val="02C48252"/>
    <w:rsid w:val="02D12780"/>
    <w:rsid w:val="02EF905D"/>
    <w:rsid w:val="02FCDBD7"/>
    <w:rsid w:val="0306BA05"/>
    <w:rsid w:val="03115AAC"/>
    <w:rsid w:val="033D9ED3"/>
    <w:rsid w:val="03425CDF"/>
    <w:rsid w:val="035D5D7A"/>
    <w:rsid w:val="03647CD9"/>
    <w:rsid w:val="036615A1"/>
    <w:rsid w:val="0366D5FA"/>
    <w:rsid w:val="0368D068"/>
    <w:rsid w:val="03708041"/>
    <w:rsid w:val="0373918E"/>
    <w:rsid w:val="037808C8"/>
    <w:rsid w:val="0378D061"/>
    <w:rsid w:val="037B4D11"/>
    <w:rsid w:val="037BFF8D"/>
    <w:rsid w:val="037E9A93"/>
    <w:rsid w:val="03823E0B"/>
    <w:rsid w:val="0383695D"/>
    <w:rsid w:val="03843C0D"/>
    <w:rsid w:val="038D3516"/>
    <w:rsid w:val="0390FDD0"/>
    <w:rsid w:val="0394F62C"/>
    <w:rsid w:val="0398D809"/>
    <w:rsid w:val="039B6729"/>
    <w:rsid w:val="03A9C1EB"/>
    <w:rsid w:val="03AE2493"/>
    <w:rsid w:val="03B6BAF5"/>
    <w:rsid w:val="03C4D6D6"/>
    <w:rsid w:val="03DC41BA"/>
    <w:rsid w:val="03E08E9B"/>
    <w:rsid w:val="03FFD3FB"/>
    <w:rsid w:val="041459C5"/>
    <w:rsid w:val="0416E4C8"/>
    <w:rsid w:val="041AB411"/>
    <w:rsid w:val="041B8750"/>
    <w:rsid w:val="041F5853"/>
    <w:rsid w:val="0423828B"/>
    <w:rsid w:val="0425A361"/>
    <w:rsid w:val="0426353E"/>
    <w:rsid w:val="0429A360"/>
    <w:rsid w:val="042FE606"/>
    <w:rsid w:val="0439682E"/>
    <w:rsid w:val="0439D515"/>
    <w:rsid w:val="0440D7A5"/>
    <w:rsid w:val="04503053"/>
    <w:rsid w:val="04689943"/>
    <w:rsid w:val="047396BF"/>
    <w:rsid w:val="047B78A6"/>
    <w:rsid w:val="047FB652"/>
    <w:rsid w:val="0483BF95"/>
    <w:rsid w:val="04894968"/>
    <w:rsid w:val="048DC1C1"/>
    <w:rsid w:val="049409B8"/>
    <w:rsid w:val="049AC2EA"/>
    <w:rsid w:val="04A59055"/>
    <w:rsid w:val="04AB4954"/>
    <w:rsid w:val="04BD0C25"/>
    <w:rsid w:val="04BF8D65"/>
    <w:rsid w:val="04C9360D"/>
    <w:rsid w:val="04D87ACB"/>
    <w:rsid w:val="04E429EF"/>
    <w:rsid w:val="04E9FF32"/>
    <w:rsid w:val="04FC6155"/>
    <w:rsid w:val="050328B2"/>
    <w:rsid w:val="05038046"/>
    <w:rsid w:val="050CC85B"/>
    <w:rsid w:val="05168126"/>
    <w:rsid w:val="05250D05"/>
    <w:rsid w:val="05328653"/>
    <w:rsid w:val="054D2248"/>
    <w:rsid w:val="0551A2C3"/>
    <w:rsid w:val="0554538B"/>
    <w:rsid w:val="05545B1A"/>
    <w:rsid w:val="0555BAFE"/>
    <w:rsid w:val="05565580"/>
    <w:rsid w:val="055E1287"/>
    <w:rsid w:val="0562442D"/>
    <w:rsid w:val="056247BB"/>
    <w:rsid w:val="0569FEC6"/>
    <w:rsid w:val="0588991A"/>
    <w:rsid w:val="058C8D77"/>
    <w:rsid w:val="05A5830B"/>
    <w:rsid w:val="05BB5991"/>
    <w:rsid w:val="05BB8C09"/>
    <w:rsid w:val="05C863C8"/>
    <w:rsid w:val="05F76CD2"/>
    <w:rsid w:val="0601C856"/>
    <w:rsid w:val="0606C955"/>
    <w:rsid w:val="06087D58"/>
    <w:rsid w:val="0609E7D3"/>
    <w:rsid w:val="060D7671"/>
    <w:rsid w:val="061587EB"/>
    <w:rsid w:val="061ABE18"/>
    <w:rsid w:val="0621FFD7"/>
    <w:rsid w:val="062C130D"/>
    <w:rsid w:val="062D99FD"/>
    <w:rsid w:val="0635A627"/>
    <w:rsid w:val="064591B7"/>
    <w:rsid w:val="0648CE2B"/>
    <w:rsid w:val="0657379B"/>
    <w:rsid w:val="065D190F"/>
    <w:rsid w:val="066A92D1"/>
    <w:rsid w:val="066C365F"/>
    <w:rsid w:val="0678A782"/>
    <w:rsid w:val="0680CCDE"/>
    <w:rsid w:val="06887402"/>
    <w:rsid w:val="06A3CFA8"/>
    <w:rsid w:val="06AB0F32"/>
    <w:rsid w:val="06AE71B2"/>
    <w:rsid w:val="06C3BE44"/>
    <w:rsid w:val="06C75AAA"/>
    <w:rsid w:val="06CDB7E3"/>
    <w:rsid w:val="06CEA903"/>
    <w:rsid w:val="06EAE08B"/>
    <w:rsid w:val="06F61FDA"/>
    <w:rsid w:val="070368AB"/>
    <w:rsid w:val="0713E4D5"/>
    <w:rsid w:val="071E973A"/>
    <w:rsid w:val="071E9A19"/>
    <w:rsid w:val="072CF038"/>
    <w:rsid w:val="072E666E"/>
    <w:rsid w:val="072F47E9"/>
    <w:rsid w:val="0733B9D0"/>
    <w:rsid w:val="07407DE4"/>
    <w:rsid w:val="0740AEB4"/>
    <w:rsid w:val="0741E604"/>
    <w:rsid w:val="07488FFE"/>
    <w:rsid w:val="074A24B1"/>
    <w:rsid w:val="0751C735"/>
    <w:rsid w:val="0754BFB3"/>
    <w:rsid w:val="07641D89"/>
    <w:rsid w:val="076B1B3F"/>
    <w:rsid w:val="0770564C"/>
    <w:rsid w:val="07754FB1"/>
    <w:rsid w:val="07818A7F"/>
    <w:rsid w:val="0786DD0F"/>
    <w:rsid w:val="07A0BB20"/>
    <w:rsid w:val="07A56D60"/>
    <w:rsid w:val="07B55DD8"/>
    <w:rsid w:val="07B6F146"/>
    <w:rsid w:val="07BD22ED"/>
    <w:rsid w:val="07BDB0A9"/>
    <w:rsid w:val="07CED9DD"/>
    <w:rsid w:val="07D62345"/>
    <w:rsid w:val="07E15F79"/>
    <w:rsid w:val="07E7487A"/>
    <w:rsid w:val="07EA967F"/>
    <w:rsid w:val="07EB8E09"/>
    <w:rsid w:val="07F85BF6"/>
    <w:rsid w:val="07FB9C6A"/>
    <w:rsid w:val="080E4C55"/>
    <w:rsid w:val="08474A84"/>
    <w:rsid w:val="08527D62"/>
    <w:rsid w:val="0866D782"/>
    <w:rsid w:val="087C670A"/>
    <w:rsid w:val="0883B3FB"/>
    <w:rsid w:val="0884DCB4"/>
    <w:rsid w:val="088FC1E4"/>
    <w:rsid w:val="089BEA46"/>
    <w:rsid w:val="08A49FE2"/>
    <w:rsid w:val="08A4A26C"/>
    <w:rsid w:val="08ACB763"/>
    <w:rsid w:val="08B0382B"/>
    <w:rsid w:val="08B68404"/>
    <w:rsid w:val="08C12D6F"/>
    <w:rsid w:val="08C45EEE"/>
    <w:rsid w:val="08F2500C"/>
    <w:rsid w:val="0900DD28"/>
    <w:rsid w:val="0907FD3A"/>
    <w:rsid w:val="0913D7FA"/>
    <w:rsid w:val="092079C8"/>
    <w:rsid w:val="092344C9"/>
    <w:rsid w:val="092706F6"/>
    <w:rsid w:val="0931B922"/>
    <w:rsid w:val="0931F142"/>
    <w:rsid w:val="0938B6A2"/>
    <w:rsid w:val="09440AC3"/>
    <w:rsid w:val="096C0F9E"/>
    <w:rsid w:val="096ED156"/>
    <w:rsid w:val="097522A9"/>
    <w:rsid w:val="097A5366"/>
    <w:rsid w:val="0983C826"/>
    <w:rsid w:val="098B5A14"/>
    <w:rsid w:val="098CC1FF"/>
    <w:rsid w:val="098FA70F"/>
    <w:rsid w:val="09A6D6B3"/>
    <w:rsid w:val="09AC79B8"/>
    <w:rsid w:val="09AE37B3"/>
    <w:rsid w:val="09D0006A"/>
    <w:rsid w:val="09D1CB8D"/>
    <w:rsid w:val="09D272EC"/>
    <w:rsid w:val="09DE6A8B"/>
    <w:rsid w:val="09E0BBDC"/>
    <w:rsid w:val="09E0D344"/>
    <w:rsid w:val="09FB5D01"/>
    <w:rsid w:val="0A12AAD0"/>
    <w:rsid w:val="0A166C15"/>
    <w:rsid w:val="0A1C5472"/>
    <w:rsid w:val="0A1D33A1"/>
    <w:rsid w:val="0A1D911C"/>
    <w:rsid w:val="0A1EDC26"/>
    <w:rsid w:val="0A1F9577"/>
    <w:rsid w:val="0A22F8FD"/>
    <w:rsid w:val="0A299658"/>
    <w:rsid w:val="0A2A49EB"/>
    <w:rsid w:val="0A2FDE53"/>
    <w:rsid w:val="0A30F209"/>
    <w:rsid w:val="0A384E12"/>
    <w:rsid w:val="0A3AB8E7"/>
    <w:rsid w:val="0A3CAD00"/>
    <w:rsid w:val="0A3F8076"/>
    <w:rsid w:val="0A3FF6AE"/>
    <w:rsid w:val="0A5AC1DA"/>
    <w:rsid w:val="0A5D982A"/>
    <w:rsid w:val="0A6081A4"/>
    <w:rsid w:val="0A6566E3"/>
    <w:rsid w:val="0A66487F"/>
    <w:rsid w:val="0A6E9550"/>
    <w:rsid w:val="0A70FF73"/>
    <w:rsid w:val="0A73B456"/>
    <w:rsid w:val="0A7C27C6"/>
    <w:rsid w:val="0A81C23A"/>
    <w:rsid w:val="0A82F138"/>
    <w:rsid w:val="0A89A12C"/>
    <w:rsid w:val="0A8E64C6"/>
    <w:rsid w:val="0A91CBE1"/>
    <w:rsid w:val="0A9299D2"/>
    <w:rsid w:val="0AAD6CE6"/>
    <w:rsid w:val="0AADB986"/>
    <w:rsid w:val="0AAFC222"/>
    <w:rsid w:val="0AB69192"/>
    <w:rsid w:val="0AC71CB1"/>
    <w:rsid w:val="0AC8E00E"/>
    <w:rsid w:val="0ACBAB41"/>
    <w:rsid w:val="0ACDCA3F"/>
    <w:rsid w:val="0AD4A90E"/>
    <w:rsid w:val="0ADBE638"/>
    <w:rsid w:val="0AEC686B"/>
    <w:rsid w:val="0AF9EE49"/>
    <w:rsid w:val="0AFD55BE"/>
    <w:rsid w:val="0AFFC25E"/>
    <w:rsid w:val="0B01A22E"/>
    <w:rsid w:val="0B0B0257"/>
    <w:rsid w:val="0B0C0895"/>
    <w:rsid w:val="0B17CFB3"/>
    <w:rsid w:val="0B1C53FA"/>
    <w:rsid w:val="0B1E7204"/>
    <w:rsid w:val="0B20BF64"/>
    <w:rsid w:val="0B36B424"/>
    <w:rsid w:val="0B404656"/>
    <w:rsid w:val="0B431CA4"/>
    <w:rsid w:val="0B46D2ED"/>
    <w:rsid w:val="0B48CA50"/>
    <w:rsid w:val="0B619138"/>
    <w:rsid w:val="0B6A42F1"/>
    <w:rsid w:val="0B77C382"/>
    <w:rsid w:val="0B784C7E"/>
    <w:rsid w:val="0B890B22"/>
    <w:rsid w:val="0B9748AF"/>
    <w:rsid w:val="0B97CFF0"/>
    <w:rsid w:val="0B9FD894"/>
    <w:rsid w:val="0BA19213"/>
    <w:rsid w:val="0BA5515E"/>
    <w:rsid w:val="0BC4B4D5"/>
    <w:rsid w:val="0BED725A"/>
    <w:rsid w:val="0BF79A9C"/>
    <w:rsid w:val="0BF98CE5"/>
    <w:rsid w:val="0C1D9BE0"/>
    <w:rsid w:val="0C1F037A"/>
    <w:rsid w:val="0C291AF2"/>
    <w:rsid w:val="0C2A91A1"/>
    <w:rsid w:val="0C3090D6"/>
    <w:rsid w:val="0C33DFE9"/>
    <w:rsid w:val="0C35518B"/>
    <w:rsid w:val="0C40AB90"/>
    <w:rsid w:val="0C40F03E"/>
    <w:rsid w:val="0C5296EC"/>
    <w:rsid w:val="0C559423"/>
    <w:rsid w:val="0C5839FF"/>
    <w:rsid w:val="0C58D5D1"/>
    <w:rsid w:val="0C5C3879"/>
    <w:rsid w:val="0C5F8352"/>
    <w:rsid w:val="0C622176"/>
    <w:rsid w:val="0C633B4B"/>
    <w:rsid w:val="0C6A919F"/>
    <w:rsid w:val="0C7F2519"/>
    <w:rsid w:val="0C84E29D"/>
    <w:rsid w:val="0C8BD7C8"/>
    <w:rsid w:val="0C90C5D8"/>
    <w:rsid w:val="0CA20A3F"/>
    <w:rsid w:val="0CB0C613"/>
    <w:rsid w:val="0CB12CAD"/>
    <w:rsid w:val="0CB214C1"/>
    <w:rsid w:val="0CB3EADA"/>
    <w:rsid w:val="0CB5977C"/>
    <w:rsid w:val="0CB6DBF8"/>
    <w:rsid w:val="0CBC307B"/>
    <w:rsid w:val="0CCDAB0E"/>
    <w:rsid w:val="0CD165E8"/>
    <w:rsid w:val="0CD1CC30"/>
    <w:rsid w:val="0CD2994A"/>
    <w:rsid w:val="0CD97D43"/>
    <w:rsid w:val="0CDE0BD7"/>
    <w:rsid w:val="0CDE9737"/>
    <w:rsid w:val="0CE09965"/>
    <w:rsid w:val="0CF3CBBE"/>
    <w:rsid w:val="0CF72539"/>
    <w:rsid w:val="0CF91F07"/>
    <w:rsid w:val="0D05BC67"/>
    <w:rsid w:val="0D0B47E1"/>
    <w:rsid w:val="0D0FED6C"/>
    <w:rsid w:val="0D1167F6"/>
    <w:rsid w:val="0D15EF7C"/>
    <w:rsid w:val="0D173C70"/>
    <w:rsid w:val="0D29ECE5"/>
    <w:rsid w:val="0D2AA09E"/>
    <w:rsid w:val="0D2FE441"/>
    <w:rsid w:val="0D45CD7A"/>
    <w:rsid w:val="0D480AB7"/>
    <w:rsid w:val="0D73A908"/>
    <w:rsid w:val="0D748AFD"/>
    <w:rsid w:val="0D75CFF2"/>
    <w:rsid w:val="0D7FC9BC"/>
    <w:rsid w:val="0D808835"/>
    <w:rsid w:val="0D8E90B0"/>
    <w:rsid w:val="0D9A83A2"/>
    <w:rsid w:val="0D9CFA2C"/>
    <w:rsid w:val="0D9E07AC"/>
    <w:rsid w:val="0DA5B225"/>
    <w:rsid w:val="0DBDD9E8"/>
    <w:rsid w:val="0DC4D32C"/>
    <w:rsid w:val="0DD2C6F8"/>
    <w:rsid w:val="0DDDF43C"/>
    <w:rsid w:val="0DE0AFF0"/>
    <w:rsid w:val="0DE484ED"/>
    <w:rsid w:val="0DE68A4D"/>
    <w:rsid w:val="0DE7ACAE"/>
    <w:rsid w:val="0DEAF6F0"/>
    <w:rsid w:val="0DF253AF"/>
    <w:rsid w:val="0DF2B615"/>
    <w:rsid w:val="0DFD7A8D"/>
    <w:rsid w:val="0E11ACCA"/>
    <w:rsid w:val="0E13D74E"/>
    <w:rsid w:val="0E284AFA"/>
    <w:rsid w:val="0E2A4ED1"/>
    <w:rsid w:val="0E41989B"/>
    <w:rsid w:val="0E50C512"/>
    <w:rsid w:val="0E547BB6"/>
    <w:rsid w:val="0E55BEEC"/>
    <w:rsid w:val="0E71A1EB"/>
    <w:rsid w:val="0E76DAD8"/>
    <w:rsid w:val="0E93D54B"/>
    <w:rsid w:val="0E963CE1"/>
    <w:rsid w:val="0E9A9BF9"/>
    <w:rsid w:val="0E9B2755"/>
    <w:rsid w:val="0EAEB762"/>
    <w:rsid w:val="0EB555B4"/>
    <w:rsid w:val="0EBB06DD"/>
    <w:rsid w:val="0EBE9A15"/>
    <w:rsid w:val="0ECA0F35"/>
    <w:rsid w:val="0ECBDD12"/>
    <w:rsid w:val="0ED15F34"/>
    <w:rsid w:val="0ED437F8"/>
    <w:rsid w:val="0ED8C5E7"/>
    <w:rsid w:val="0EDBEEDC"/>
    <w:rsid w:val="0EE7F6A8"/>
    <w:rsid w:val="0EE852CC"/>
    <w:rsid w:val="0EE89658"/>
    <w:rsid w:val="0EFA45EC"/>
    <w:rsid w:val="0F099A24"/>
    <w:rsid w:val="0F16F5CC"/>
    <w:rsid w:val="0F1A0E86"/>
    <w:rsid w:val="0F1AF674"/>
    <w:rsid w:val="0F28C34D"/>
    <w:rsid w:val="0F2BA419"/>
    <w:rsid w:val="0F33D4A0"/>
    <w:rsid w:val="0F3A93E8"/>
    <w:rsid w:val="0F3D4870"/>
    <w:rsid w:val="0F40B531"/>
    <w:rsid w:val="0F5F7C55"/>
    <w:rsid w:val="0F6536DE"/>
    <w:rsid w:val="0F8270A5"/>
    <w:rsid w:val="0F898BCD"/>
    <w:rsid w:val="0F9333AA"/>
    <w:rsid w:val="0FA63A50"/>
    <w:rsid w:val="0FADCC63"/>
    <w:rsid w:val="0FB3DCAF"/>
    <w:rsid w:val="0FB84C35"/>
    <w:rsid w:val="0FBF6DF2"/>
    <w:rsid w:val="0FCAB35F"/>
    <w:rsid w:val="0FCD76EC"/>
    <w:rsid w:val="0FD93529"/>
    <w:rsid w:val="0FE112E5"/>
    <w:rsid w:val="100A4DE4"/>
    <w:rsid w:val="10268A71"/>
    <w:rsid w:val="103886BF"/>
    <w:rsid w:val="10392CFD"/>
    <w:rsid w:val="10460BC6"/>
    <w:rsid w:val="10537966"/>
    <w:rsid w:val="10659BB5"/>
    <w:rsid w:val="10804794"/>
    <w:rsid w:val="1083A447"/>
    <w:rsid w:val="109F87D6"/>
    <w:rsid w:val="10A6D836"/>
    <w:rsid w:val="10AA4768"/>
    <w:rsid w:val="10B8C1A3"/>
    <w:rsid w:val="10C0618E"/>
    <w:rsid w:val="10CD991F"/>
    <w:rsid w:val="10D04FAC"/>
    <w:rsid w:val="10D320EF"/>
    <w:rsid w:val="10DB0D11"/>
    <w:rsid w:val="10E13A59"/>
    <w:rsid w:val="10EC7BCF"/>
    <w:rsid w:val="10FE341A"/>
    <w:rsid w:val="110882B5"/>
    <w:rsid w:val="111415CA"/>
    <w:rsid w:val="1119B68F"/>
    <w:rsid w:val="11224931"/>
    <w:rsid w:val="1126B60A"/>
    <w:rsid w:val="112D9043"/>
    <w:rsid w:val="1141E826"/>
    <w:rsid w:val="11431453"/>
    <w:rsid w:val="114E9B84"/>
    <w:rsid w:val="115FD325"/>
    <w:rsid w:val="1160CF28"/>
    <w:rsid w:val="11669E1A"/>
    <w:rsid w:val="116B1DE9"/>
    <w:rsid w:val="116EC363"/>
    <w:rsid w:val="117CED1A"/>
    <w:rsid w:val="1186B2F2"/>
    <w:rsid w:val="1186CCFB"/>
    <w:rsid w:val="119113C0"/>
    <w:rsid w:val="11920BFD"/>
    <w:rsid w:val="11A092D7"/>
    <w:rsid w:val="11A79715"/>
    <w:rsid w:val="11A84AE0"/>
    <w:rsid w:val="11A9DE7E"/>
    <w:rsid w:val="11AE518A"/>
    <w:rsid w:val="11B39A3C"/>
    <w:rsid w:val="11BA1EFA"/>
    <w:rsid w:val="11C25295"/>
    <w:rsid w:val="11C59630"/>
    <w:rsid w:val="11C5B2F4"/>
    <w:rsid w:val="11CD4954"/>
    <w:rsid w:val="11D1B475"/>
    <w:rsid w:val="11D568E6"/>
    <w:rsid w:val="11D784AD"/>
    <w:rsid w:val="11EF81FF"/>
    <w:rsid w:val="12030107"/>
    <w:rsid w:val="121648A3"/>
    <w:rsid w:val="12236698"/>
    <w:rsid w:val="12268DF9"/>
    <w:rsid w:val="12296010"/>
    <w:rsid w:val="122AC7B6"/>
    <w:rsid w:val="1230D890"/>
    <w:rsid w:val="123956C0"/>
    <w:rsid w:val="124596FF"/>
    <w:rsid w:val="1248ABEC"/>
    <w:rsid w:val="124E46C9"/>
    <w:rsid w:val="1271DF08"/>
    <w:rsid w:val="127733E3"/>
    <w:rsid w:val="128F576A"/>
    <w:rsid w:val="129E7A45"/>
    <w:rsid w:val="12A2D8C5"/>
    <w:rsid w:val="12AB4371"/>
    <w:rsid w:val="12B5BE7B"/>
    <w:rsid w:val="12C557D9"/>
    <w:rsid w:val="12C6837D"/>
    <w:rsid w:val="12CA5F8A"/>
    <w:rsid w:val="12D1D15C"/>
    <w:rsid w:val="12D6A4A0"/>
    <w:rsid w:val="12E2D55E"/>
    <w:rsid w:val="12F928E3"/>
    <w:rsid w:val="12FE2A22"/>
    <w:rsid w:val="13032F01"/>
    <w:rsid w:val="13078E0F"/>
    <w:rsid w:val="130D9AE9"/>
    <w:rsid w:val="130E0E27"/>
    <w:rsid w:val="1310A70A"/>
    <w:rsid w:val="131150B4"/>
    <w:rsid w:val="1317B958"/>
    <w:rsid w:val="1320F6EF"/>
    <w:rsid w:val="132261D2"/>
    <w:rsid w:val="1322ECEB"/>
    <w:rsid w:val="13324903"/>
    <w:rsid w:val="13347C4F"/>
    <w:rsid w:val="133625B7"/>
    <w:rsid w:val="133B7511"/>
    <w:rsid w:val="1340967F"/>
    <w:rsid w:val="13494CA9"/>
    <w:rsid w:val="1358B88D"/>
    <w:rsid w:val="135F957E"/>
    <w:rsid w:val="13624845"/>
    <w:rsid w:val="13703869"/>
    <w:rsid w:val="137720A3"/>
    <w:rsid w:val="1382FBD5"/>
    <w:rsid w:val="1386A3AC"/>
    <w:rsid w:val="13935416"/>
    <w:rsid w:val="1396BC1D"/>
    <w:rsid w:val="139829A9"/>
    <w:rsid w:val="139955B8"/>
    <w:rsid w:val="13A7E6F4"/>
    <w:rsid w:val="13A7F79B"/>
    <w:rsid w:val="13A8686D"/>
    <w:rsid w:val="13D44219"/>
    <w:rsid w:val="13E5FE80"/>
    <w:rsid w:val="13F3F2A1"/>
    <w:rsid w:val="13FD6892"/>
    <w:rsid w:val="1421DFFB"/>
    <w:rsid w:val="1424785D"/>
    <w:rsid w:val="1427F2E6"/>
    <w:rsid w:val="142FC433"/>
    <w:rsid w:val="1437D0A6"/>
    <w:rsid w:val="14392A0A"/>
    <w:rsid w:val="143A5CE2"/>
    <w:rsid w:val="143B75A3"/>
    <w:rsid w:val="143FBDA1"/>
    <w:rsid w:val="1440283F"/>
    <w:rsid w:val="144DCD44"/>
    <w:rsid w:val="144F5532"/>
    <w:rsid w:val="145D8103"/>
    <w:rsid w:val="145FB000"/>
    <w:rsid w:val="148B3366"/>
    <w:rsid w:val="148D3E2D"/>
    <w:rsid w:val="14B11370"/>
    <w:rsid w:val="14B3EA49"/>
    <w:rsid w:val="14C8959D"/>
    <w:rsid w:val="14D52DCE"/>
    <w:rsid w:val="14DBC9CF"/>
    <w:rsid w:val="14DEA65C"/>
    <w:rsid w:val="14E4311B"/>
    <w:rsid w:val="14E90018"/>
    <w:rsid w:val="150C646F"/>
    <w:rsid w:val="151412CF"/>
    <w:rsid w:val="1525F922"/>
    <w:rsid w:val="152AD6CE"/>
    <w:rsid w:val="153C73A9"/>
    <w:rsid w:val="154A418A"/>
    <w:rsid w:val="155B8346"/>
    <w:rsid w:val="1571F6E7"/>
    <w:rsid w:val="15827DD7"/>
    <w:rsid w:val="1582F28A"/>
    <w:rsid w:val="1583EF7A"/>
    <w:rsid w:val="1585AFC6"/>
    <w:rsid w:val="1586EA30"/>
    <w:rsid w:val="158AB3CF"/>
    <w:rsid w:val="1594E01E"/>
    <w:rsid w:val="15A49A1F"/>
    <w:rsid w:val="15AFC824"/>
    <w:rsid w:val="15BF52E4"/>
    <w:rsid w:val="15C10A81"/>
    <w:rsid w:val="15C31F10"/>
    <w:rsid w:val="15C5ED31"/>
    <w:rsid w:val="15DC19A2"/>
    <w:rsid w:val="15E26E95"/>
    <w:rsid w:val="15FB2A5A"/>
    <w:rsid w:val="16050FEE"/>
    <w:rsid w:val="16056211"/>
    <w:rsid w:val="16198908"/>
    <w:rsid w:val="1629A455"/>
    <w:rsid w:val="163FE33C"/>
    <w:rsid w:val="1643E526"/>
    <w:rsid w:val="1646DBFB"/>
    <w:rsid w:val="164FFD5E"/>
    <w:rsid w:val="1652F5ED"/>
    <w:rsid w:val="1654DBF4"/>
    <w:rsid w:val="166B0A2C"/>
    <w:rsid w:val="16749EAA"/>
    <w:rsid w:val="1681E5B7"/>
    <w:rsid w:val="16857929"/>
    <w:rsid w:val="16985D3F"/>
    <w:rsid w:val="16AF0B16"/>
    <w:rsid w:val="16B1CF97"/>
    <w:rsid w:val="16C00237"/>
    <w:rsid w:val="16C7183E"/>
    <w:rsid w:val="16CCAB90"/>
    <w:rsid w:val="16CD6733"/>
    <w:rsid w:val="16D3BB11"/>
    <w:rsid w:val="16DD6D7A"/>
    <w:rsid w:val="16E237B4"/>
    <w:rsid w:val="16E4D45A"/>
    <w:rsid w:val="16E7F96F"/>
    <w:rsid w:val="16EAAA4D"/>
    <w:rsid w:val="16F0249C"/>
    <w:rsid w:val="16FF00CF"/>
    <w:rsid w:val="17008EF5"/>
    <w:rsid w:val="170699F2"/>
    <w:rsid w:val="17202782"/>
    <w:rsid w:val="1723B703"/>
    <w:rsid w:val="17345E86"/>
    <w:rsid w:val="17409972"/>
    <w:rsid w:val="174975A3"/>
    <w:rsid w:val="17526C81"/>
    <w:rsid w:val="1755307C"/>
    <w:rsid w:val="176006ED"/>
    <w:rsid w:val="176319D5"/>
    <w:rsid w:val="176F47F0"/>
    <w:rsid w:val="177432A4"/>
    <w:rsid w:val="177E1FE6"/>
    <w:rsid w:val="17800414"/>
    <w:rsid w:val="179F86DD"/>
    <w:rsid w:val="17B55026"/>
    <w:rsid w:val="17B8760B"/>
    <w:rsid w:val="17EECACB"/>
    <w:rsid w:val="17F5FCFA"/>
    <w:rsid w:val="17F9BC3A"/>
    <w:rsid w:val="17FC301B"/>
    <w:rsid w:val="1801D5F8"/>
    <w:rsid w:val="18129E4E"/>
    <w:rsid w:val="18185C00"/>
    <w:rsid w:val="1819E7BE"/>
    <w:rsid w:val="1825C153"/>
    <w:rsid w:val="18281C4B"/>
    <w:rsid w:val="18349C77"/>
    <w:rsid w:val="183D6DFA"/>
    <w:rsid w:val="183F0DBB"/>
    <w:rsid w:val="184EB57C"/>
    <w:rsid w:val="1850E88C"/>
    <w:rsid w:val="18522FFD"/>
    <w:rsid w:val="186183E5"/>
    <w:rsid w:val="18618CF8"/>
    <w:rsid w:val="1880D677"/>
    <w:rsid w:val="188BC12A"/>
    <w:rsid w:val="18931400"/>
    <w:rsid w:val="18968956"/>
    <w:rsid w:val="189D2DF6"/>
    <w:rsid w:val="189DE8E7"/>
    <w:rsid w:val="18A2757D"/>
    <w:rsid w:val="18A6E919"/>
    <w:rsid w:val="18ABC5ED"/>
    <w:rsid w:val="18B3409D"/>
    <w:rsid w:val="18B45C6A"/>
    <w:rsid w:val="18B71680"/>
    <w:rsid w:val="18BC1DBA"/>
    <w:rsid w:val="18BD61A0"/>
    <w:rsid w:val="18BF356F"/>
    <w:rsid w:val="18CC5F9E"/>
    <w:rsid w:val="18CD7CF0"/>
    <w:rsid w:val="18D27880"/>
    <w:rsid w:val="18D390B5"/>
    <w:rsid w:val="18D75B68"/>
    <w:rsid w:val="18E6F4CA"/>
    <w:rsid w:val="18EC7A07"/>
    <w:rsid w:val="18F09444"/>
    <w:rsid w:val="18F61FA6"/>
    <w:rsid w:val="18FF5725"/>
    <w:rsid w:val="19031608"/>
    <w:rsid w:val="19137BED"/>
    <w:rsid w:val="191385C2"/>
    <w:rsid w:val="19175ABD"/>
    <w:rsid w:val="19243363"/>
    <w:rsid w:val="1936957B"/>
    <w:rsid w:val="193A9A85"/>
    <w:rsid w:val="193E02E6"/>
    <w:rsid w:val="1953F27B"/>
    <w:rsid w:val="19607855"/>
    <w:rsid w:val="19654753"/>
    <w:rsid w:val="1967E77B"/>
    <w:rsid w:val="19689403"/>
    <w:rsid w:val="197144CD"/>
    <w:rsid w:val="1975A18C"/>
    <w:rsid w:val="1984D8C6"/>
    <w:rsid w:val="198FA90B"/>
    <w:rsid w:val="1997BBC7"/>
    <w:rsid w:val="199812C2"/>
    <w:rsid w:val="1998846A"/>
    <w:rsid w:val="19A3CCD6"/>
    <w:rsid w:val="19AA3954"/>
    <w:rsid w:val="19AF8840"/>
    <w:rsid w:val="19B13C4F"/>
    <w:rsid w:val="19BAB74E"/>
    <w:rsid w:val="19C147C7"/>
    <w:rsid w:val="19C40BD6"/>
    <w:rsid w:val="19C46035"/>
    <w:rsid w:val="19C6608F"/>
    <w:rsid w:val="19D2DF9D"/>
    <w:rsid w:val="19D4BA0C"/>
    <w:rsid w:val="19D744F2"/>
    <w:rsid w:val="19D8309E"/>
    <w:rsid w:val="19D91B84"/>
    <w:rsid w:val="19EA1097"/>
    <w:rsid w:val="19ED395F"/>
    <w:rsid w:val="1A00163A"/>
    <w:rsid w:val="1A0D39AE"/>
    <w:rsid w:val="1A3614FB"/>
    <w:rsid w:val="1A3B5E30"/>
    <w:rsid w:val="1A3C32B9"/>
    <w:rsid w:val="1A3E9ABF"/>
    <w:rsid w:val="1A435EC8"/>
    <w:rsid w:val="1A510FBD"/>
    <w:rsid w:val="1A53E70E"/>
    <w:rsid w:val="1A565F68"/>
    <w:rsid w:val="1A6098DD"/>
    <w:rsid w:val="1A710B2F"/>
    <w:rsid w:val="1A722E03"/>
    <w:rsid w:val="1A7311F3"/>
    <w:rsid w:val="1A750A9A"/>
    <w:rsid w:val="1A7ABA11"/>
    <w:rsid w:val="1A888C2B"/>
    <w:rsid w:val="1A962D07"/>
    <w:rsid w:val="1AA18EE9"/>
    <w:rsid w:val="1AA8EC01"/>
    <w:rsid w:val="1AA98038"/>
    <w:rsid w:val="1AAC56D5"/>
    <w:rsid w:val="1AAD193B"/>
    <w:rsid w:val="1ACA3E12"/>
    <w:rsid w:val="1ACABAAD"/>
    <w:rsid w:val="1ACE6577"/>
    <w:rsid w:val="1ADA1237"/>
    <w:rsid w:val="1AE095AC"/>
    <w:rsid w:val="1AE83E6C"/>
    <w:rsid w:val="1AEA6C7B"/>
    <w:rsid w:val="1AF2C154"/>
    <w:rsid w:val="1AFBBCF3"/>
    <w:rsid w:val="1B0D74BA"/>
    <w:rsid w:val="1B137166"/>
    <w:rsid w:val="1B17FAF1"/>
    <w:rsid w:val="1B19E40F"/>
    <w:rsid w:val="1B19F617"/>
    <w:rsid w:val="1B24943F"/>
    <w:rsid w:val="1B257583"/>
    <w:rsid w:val="1B26CDBA"/>
    <w:rsid w:val="1B39EE81"/>
    <w:rsid w:val="1B3A05A3"/>
    <w:rsid w:val="1B40AC31"/>
    <w:rsid w:val="1B4D31C4"/>
    <w:rsid w:val="1B4E1625"/>
    <w:rsid w:val="1B5B4210"/>
    <w:rsid w:val="1B5CC6B4"/>
    <w:rsid w:val="1B5F6D88"/>
    <w:rsid w:val="1B6C19EF"/>
    <w:rsid w:val="1B74412E"/>
    <w:rsid w:val="1B79C9BB"/>
    <w:rsid w:val="1B8AC32B"/>
    <w:rsid w:val="1B95B7F1"/>
    <w:rsid w:val="1B97668D"/>
    <w:rsid w:val="1B9DAFF1"/>
    <w:rsid w:val="1BC70013"/>
    <w:rsid w:val="1BCAA61F"/>
    <w:rsid w:val="1BCC86A0"/>
    <w:rsid w:val="1BD41129"/>
    <w:rsid w:val="1BDA873B"/>
    <w:rsid w:val="1BE44001"/>
    <w:rsid w:val="1BFB71E2"/>
    <w:rsid w:val="1C02E52B"/>
    <w:rsid w:val="1C1DBD23"/>
    <w:rsid w:val="1C1F1357"/>
    <w:rsid w:val="1C23D6C8"/>
    <w:rsid w:val="1C2A30F0"/>
    <w:rsid w:val="1C2D9E8D"/>
    <w:rsid w:val="1C343B6B"/>
    <w:rsid w:val="1C3ED8E6"/>
    <w:rsid w:val="1C401ADA"/>
    <w:rsid w:val="1C53F653"/>
    <w:rsid w:val="1C5AEE3C"/>
    <w:rsid w:val="1C5D5A90"/>
    <w:rsid w:val="1C66B709"/>
    <w:rsid w:val="1C780987"/>
    <w:rsid w:val="1C78C5B3"/>
    <w:rsid w:val="1C8327F8"/>
    <w:rsid w:val="1C9252CD"/>
    <w:rsid w:val="1C929003"/>
    <w:rsid w:val="1C9B431C"/>
    <w:rsid w:val="1CA23928"/>
    <w:rsid w:val="1CAAB57F"/>
    <w:rsid w:val="1CAE5B6B"/>
    <w:rsid w:val="1CB26991"/>
    <w:rsid w:val="1CBB14EA"/>
    <w:rsid w:val="1CBD4CA1"/>
    <w:rsid w:val="1CC0CD3A"/>
    <w:rsid w:val="1CC4261A"/>
    <w:rsid w:val="1CC8DD13"/>
    <w:rsid w:val="1D0A1273"/>
    <w:rsid w:val="1D0E743E"/>
    <w:rsid w:val="1D0FD2C9"/>
    <w:rsid w:val="1D119438"/>
    <w:rsid w:val="1D1E08DB"/>
    <w:rsid w:val="1D236956"/>
    <w:rsid w:val="1D259650"/>
    <w:rsid w:val="1D2DD77D"/>
    <w:rsid w:val="1D2EFD76"/>
    <w:rsid w:val="1D3CF2BD"/>
    <w:rsid w:val="1D3FA73C"/>
    <w:rsid w:val="1D4122D6"/>
    <w:rsid w:val="1D46571A"/>
    <w:rsid w:val="1D48D4BA"/>
    <w:rsid w:val="1D4EE78D"/>
    <w:rsid w:val="1D4FBAA1"/>
    <w:rsid w:val="1D50BDB8"/>
    <w:rsid w:val="1D5305DB"/>
    <w:rsid w:val="1D59CDF6"/>
    <w:rsid w:val="1D6226C0"/>
    <w:rsid w:val="1D6AE634"/>
    <w:rsid w:val="1D6C356B"/>
    <w:rsid w:val="1D7D2324"/>
    <w:rsid w:val="1D800BEB"/>
    <w:rsid w:val="1D86042D"/>
    <w:rsid w:val="1D868D20"/>
    <w:rsid w:val="1D935313"/>
    <w:rsid w:val="1DA1134A"/>
    <w:rsid w:val="1DA2019E"/>
    <w:rsid w:val="1DA25502"/>
    <w:rsid w:val="1DB1254B"/>
    <w:rsid w:val="1DB90671"/>
    <w:rsid w:val="1DBA91FE"/>
    <w:rsid w:val="1DD5C5FC"/>
    <w:rsid w:val="1DD9CF92"/>
    <w:rsid w:val="1DDA14DD"/>
    <w:rsid w:val="1DDCC7BF"/>
    <w:rsid w:val="1DE8D480"/>
    <w:rsid w:val="1E00B3DC"/>
    <w:rsid w:val="1E00C364"/>
    <w:rsid w:val="1E055FB3"/>
    <w:rsid w:val="1E0E978C"/>
    <w:rsid w:val="1E13B859"/>
    <w:rsid w:val="1E22D6D1"/>
    <w:rsid w:val="1E316A70"/>
    <w:rsid w:val="1E3C0041"/>
    <w:rsid w:val="1E50FF17"/>
    <w:rsid w:val="1E5550EB"/>
    <w:rsid w:val="1E557844"/>
    <w:rsid w:val="1E5CFE4F"/>
    <w:rsid w:val="1E640EC8"/>
    <w:rsid w:val="1E66B5A8"/>
    <w:rsid w:val="1E753728"/>
    <w:rsid w:val="1E8787DF"/>
    <w:rsid w:val="1E96382C"/>
    <w:rsid w:val="1EAB7DE8"/>
    <w:rsid w:val="1EABBEE6"/>
    <w:rsid w:val="1EBE1983"/>
    <w:rsid w:val="1EBE9DBF"/>
    <w:rsid w:val="1ED8407F"/>
    <w:rsid w:val="1EE15768"/>
    <w:rsid w:val="1EE715D8"/>
    <w:rsid w:val="1EFE96CA"/>
    <w:rsid w:val="1F05C511"/>
    <w:rsid w:val="1F071E6F"/>
    <w:rsid w:val="1F1373C0"/>
    <w:rsid w:val="1F1B0D2D"/>
    <w:rsid w:val="1F286D7D"/>
    <w:rsid w:val="1F2D3245"/>
    <w:rsid w:val="1F385D19"/>
    <w:rsid w:val="1F3CDADD"/>
    <w:rsid w:val="1F4914FB"/>
    <w:rsid w:val="1F54DCE7"/>
    <w:rsid w:val="1F56D45F"/>
    <w:rsid w:val="1F649D76"/>
    <w:rsid w:val="1F67546B"/>
    <w:rsid w:val="1F72EE67"/>
    <w:rsid w:val="1F803370"/>
    <w:rsid w:val="1F8136EF"/>
    <w:rsid w:val="1F817EFD"/>
    <w:rsid w:val="1F8BACC3"/>
    <w:rsid w:val="1F99C81D"/>
    <w:rsid w:val="1FA0CF07"/>
    <w:rsid w:val="1FAC6513"/>
    <w:rsid w:val="1FB98744"/>
    <w:rsid w:val="1FC0ED89"/>
    <w:rsid w:val="1FCD7F7A"/>
    <w:rsid w:val="1FD2DB5E"/>
    <w:rsid w:val="1FD62745"/>
    <w:rsid w:val="1FD84D8B"/>
    <w:rsid w:val="1FE342AA"/>
    <w:rsid w:val="1FEB4A95"/>
    <w:rsid w:val="1FECE176"/>
    <w:rsid w:val="1FFABC33"/>
    <w:rsid w:val="1FFDC8CC"/>
    <w:rsid w:val="201F6A16"/>
    <w:rsid w:val="2027E8DE"/>
    <w:rsid w:val="2029EFDB"/>
    <w:rsid w:val="202A1317"/>
    <w:rsid w:val="20351D9D"/>
    <w:rsid w:val="203B9219"/>
    <w:rsid w:val="203C4910"/>
    <w:rsid w:val="203D011F"/>
    <w:rsid w:val="2042306B"/>
    <w:rsid w:val="204570B2"/>
    <w:rsid w:val="2047B1D2"/>
    <w:rsid w:val="204B1D56"/>
    <w:rsid w:val="204D9665"/>
    <w:rsid w:val="20576CC5"/>
    <w:rsid w:val="206129BF"/>
    <w:rsid w:val="206F48CA"/>
    <w:rsid w:val="20829460"/>
    <w:rsid w:val="208918EA"/>
    <w:rsid w:val="20913F16"/>
    <w:rsid w:val="20938ACE"/>
    <w:rsid w:val="20963585"/>
    <w:rsid w:val="20996DCD"/>
    <w:rsid w:val="20B81D5E"/>
    <w:rsid w:val="20D5CFCB"/>
    <w:rsid w:val="20D91A6B"/>
    <w:rsid w:val="20DB29F4"/>
    <w:rsid w:val="20DBA44D"/>
    <w:rsid w:val="20EADC47"/>
    <w:rsid w:val="2101E5D1"/>
    <w:rsid w:val="2101F09D"/>
    <w:rsid w:val="21091EA3"/>
    <w:rsid w:val="210961F5"/>
    <w:rsid w:val="21106757"/>
    <w:rsid w:val="2115FBE7"/>
    <w:rsid w:val="211F554B"/>
    <w:rsid w:val="21307BF9"/>
    <w:rsid w:val="21324E81"/>
    <w:rsid w:val="21331F2E"/>
    <w:rsid w:val="213A615A"/>
    <w:rsid w:val="213DF868"/>
    <w:rsid w:val="21470D28"/>
    <w:rsid w:val="21518AF5"/>
    <w:rsid w:val="21540BD0"/>
    <w:rsid w:val="215EB646"/>
    <w:rsid w:val="2162EDED"/>
    <w:rsid w:val="2163FCDA"/>
    <w:rsid w:val="2164CECC"/>
    <w:rsid w:val="2169A31F"/>
    <w:rsid w:val="216C0DDC"/>
    <w:rsid w:val="217131ED"/>
    <w:rsid w:val="2173ECA3"/>
    <w:rsid w:val="21823B18"/>
    <w:rsid w:val="2182C038"/>
    <w:rsid w:val="2187FF18"/>
    <w:rsid w:val="218A1282"/>
    <w:rsid w:val="218FA824"/>
    <w:rsid w:val="21A26ECE"/>
    <w:rsid w:val="21A368B4"/>
    <w:rsid w:val="21A79A82"/>
    <w:rsid w:val="21ADA9E2"/>
    <w:rsid w:val="21B3747A"/>
    <w:rsid w:val="21B594C6"/>
    <w:rsid w:val="21C1F2F1"/>
    <w:rsid w:val="21D2C949"/>
    <w:rsid w:val="21E094EA"/>
    <w:rsid w:val="21ED8CFA"/>
    <w:rsid w:val="21FB9267"/>
    <w:rsid w:val="2209726A"/>
    <w:rsid w:val="221860AF"/>
    <w:rsid w:val="22203B78"/>
    <w:rsid w:val="2225F910"/>
    <w:rsid w:val="22289508"/>
    <w:rsid w:val="222AA306"/>
    <w:rsid w:val="222C8EF3"/>
    <w:rsid w:val="22344D71"/>
    <w:rsid w:val="2236F527"/>
    <w:rsid w:val="223AEB54"/>
    <w:rsid w:val="223ECCF8"/>
    <w:rsid w:val="224102D5"/>
    <w:rsid w:val="2242BBDD"/>
    <w:rsid w:val="224B53B8"/>
    <w:rsid w:val="22553CA5"/>
    <w:rsid w:val="22595BAB"/>
    <w:rsid w:val="2260BA8E"/>
    <w:rsid w:val="22A576A5"/>
    <w:rsid w:val="22B0E6E0"/>
    <w:rsid w:val="22B10879"/>
    <w:rsid w:val="22B9FA80"/>
    <w:rsid w:val="22BDF741"/>
    <w:rsid w:val="22C13C3D"/>
    <w:rsid w:val="22C67DEA"/>
    <w:rsid w:val="22C91AA2"/>
    <w:rsid w:val="22CCE464"/>
    <w:rsid w:val="22D1D3EE"/>
    <w:rsid w:val="22DADA8D"/>
    <w:rsid w:val="22DE5EBE"/>
    <w:rsid w:val="22E1557E"/>
    <w:rsid w:val="22E494DB"/>
    <w:rsid w:val="22E5F541"/>
    <w:rsid w:val="22F88680"/>
    <w:rsid w:val="230203D1"/>
    <w:rsid w:val="230245F4"/>
    <w:rsid w:val="23032F1A"/>
    <w:rsid w:val="23119235"/>
    <w:rsid w:val="2313B8D6"/>
    <w:rsid w:val="2317F114"/>
    <w:rsid w:val="23214AFD"/>
    <w:rsid w:val="232DC30E"/>
    <w:rsid w:val="2333A1FA"/>
    <w:rsid w:val="233A99FE"/>
    <w:rsid w:val="2348DBED"/>
    <w:rsid w:val="234EE986"/>
    <w:rsid w:val="2356FF2E"/>
    <w:rsid w:val="235DF733"/>
    <w:rsid w:val="236A0B14"/>
    <w:rsid w:val="236C2337"/>
    <w:rsid w:val="236F18A8"/>
    <w:rsid w:val="236FE5E3"/>
    <w:rsid w:val="2377A262"/>
    <w:rsid w:val="237829E3"/>
    <w:rsid w:val="237EB029"/>
    <w:rsid w:val="238796B9"/>
    <w:rsid w:val="238DBADC"/>
    <w:rsid w:val="238E63DA"/>
    <w:rsid w:val="2394C218"/>
    <w:rsid w:val="23A1A6D4"/>
    <w:rsid w:val="23A9B35F"/>
    <w:rsid w:val="23B9F249"/>
    <w:rsid w:val="23BF5DA7"/>
    <w:rsid w:val="23CF0B8C"/>
    <w:rsid w:val="23D5D982"/>
    <w:rsid w:val="23DE327A"/>
    <w:rsid w:val="23DEF920"/>
    <w:rsid w:val="23DF9C6E"/>
    <w:rsid w:val="23EBD79A"/>
    <w:rsid w:val="23EF3866"/>
    <w:rsid w:val="23F07B61"/>
    <w:rsid w:val="2405270F"/>
    <w:rsid w:val="240EBE35"/>
    <w:rsid w:val="24198399"/>
    <w:rsid w:val="24240EAB"/>
    <w:rsid w:val="242E0EE0"/>
    <w:rsid w:val="2438FCA0"/>
    <w:rsid w:val="2439235B"/>
    <w:rsid w:val="243AC81D"/>
    <w:rsid w:val="243DA1AE"/>
    <w:rsid w:val="244A16E2"/>
    <w:rsid w:val="244C040A"/>
    <w:rsid w:val="245142C0"/>
    <w:rsid w:val="246073FF"/>
    <w:rsid w:val="2474DD45"/>
    <w:rsid w:val="2475AE10"/>
    <w:rsid w:val="24766BEF"/>
    <w:rsid w:val="2486F94A"/>
    <w:rsid w:val="248B7DD6"/>
    <w:rsid w:val="248E4BAB"/>
    <w:rsid w:val="249466BF"/>
    <w:rsid w:val="249A133D"/>
    <w:rsid w:val="24C41487"/>
    <w:rsid w:val="24D07F7A"/>
    <w:rsid w:val="24E94FAA"/>
    <w:rsid w:val="24E9CA42"/>
    <w:rsid w:val="24F398B1"/>
    <w:rsid w:val="24F40510"/>
    <w:rsid w:val="24FFCA23"/>
    <w:rsid w:val="250BB0A3"/>
    <w:rsid w:val="250F6DF7"/>
    <w:rsid w:val="25166E0D"/>
    <w:rsid w:val="2523AA69"/>
    <w:rsid w:val="2541A834"/>
    <w:rsid w:val="254B5194"/>
    <w:rsid w:val="254D2983"/>
    <w:rsid w:val="25600D20"/>
    <w:rsid w:val="256A948A"/>
    <w:rsid w:val="25776214"/>
    <w:rsid w:val="257A3577"/>
    <w:rsid w:val="259E4948"/>
    <w:rsid w:val="25B2D44E"/>
    <w:rsid w:val="25B79FFA"/>
    <w:rsid w:val="25B97083"/>
    <w:rsid w:val="25B9FC2E"/>
    <w:rsid w:val="25CB85EF"/>
    <w:rsid w:val="25CEA8C3"/>
    <w:rsid w:val="25F42731"/>
    <w:rsid w:val="25F5013D"/>
    <w:rsid w:val="25F63C8A"/>
    <w:rsid w:val="25F6DFC5"/>
    <w:rsid w:val="260FF76C"/>
    <w:rsid w:val="26160AE7"/>
    <w:rsid w:val="261754C6"/>
    <w:rsid w:val="2618A48C"/>
    <w:rsid w:val="261CDC3D"/>
    <w:rsid w:val="262403EC"/>
    <w:rsid w:val="263020DB"/>
    <w:rsid w:val="26307A98"/>
    <w:rsid w:val="2637842C"/>
    <w:rsid w:val="26388AEA"/>
    <w:rsid w:val="263A0338"/>
    <w:rsid w:val="263A6F40"/>
    <w:rsid w:val="264A6D94"/>
    <w:rsid w:val="26571618"/>
    <w:rsid w:val="265D9D11"/>
    <w:rsid w:val="265E2FF5"/>
    <w:rsid w:val="2666302A"/>
    <w:rsid w:val="266E96DB"/>
    <w:rsid w:val="266FF119"/>
    <w:rsid w:val="26700DC2"/>
    <w:rsid w:val="2671D236"/>
    <w:rsid w:val="267BADA1"/>
    <w:rsid w:val="26842E32"/>
    <w:rsid w:val="26859B9D"/>
    <w:rsid w:val="2698B231"/>
    <w:rsid w:val="26A50087"/>
    <w:rsid w:val="26C77DFC"/>
    <w:rsid w:val="26CA6E23"/>
    <w:rsid w:val="26CBC129"/>
    <w:rsid w:val="26E83C16"/>
    <w:rsid w:val="26EADC18"/>
    <w:rsid w:val="26F438AD"/>
    <w:rsid w:val="2700E121"/>
    <w:rsid w:val="27057C24"/>
    <w:rsid w:val="27099E8A"/>
    <w:rsid w:val="270A835C"/>
    <w:rsid w:val="27151082"/>
    <w:rsid w:val="272B4A7A"/>
    <w:rsid w:val="273093B1"/>
    <w:rsid w:val="2734D778"/>
    <w:rsid w:val="273B6C53"/>
    <w:rsid w:val="273E6E59"/>
    <w:rsid w:val="27407FD0"/>
    <w:rsid w:val="274855A8"/>
    <w:rsid w:val="27608277"/>
    <w:rsid w:val="2766B2C3"/>
    <w:rsid w:val="276E9A0C"/>
    <w:rsid w:val="277FF058"/>
    <w:rsid w:val="278B0EE1"/>
    <w:rsid w:val="278EEF47"/>
    <w:rsid w:val="27AB3D74"/>
    <w:rsid w:val="27B729CD"/>
    <w:rsid w:val="27BD53B7"/>
    <w:rsid w:val="27C75377"/>
    <w:rsid w:val="27D16BE7"/>
    <w:rsid w:val="27D5A4D8"/>
    <w:rsid w:val="27DA1513"/>
    <w:rsid w:val="27DC7B65"/>
    <w:rsid w:val="27DF8EA6"/>
    <w:rsid w:val="27E68287"/>
    <w:rsid w:val="27F64EBD"/>
    <w:rsid w:val="2813EDAF"/>
    <w:rsid w:val="28186CD1"/>
    <w:rsid w:val="281B77B8"/>
    <w:rsid w:val="281D3179"/>
    <w:rsid w:val="2820254A"/>
    <w:rsid w:val="2828B008"/>
    <w:rsid w:val="2835CCB9"/>
    <w:rsid w:val="28546CA6"/>
    <w:rsid w:val="28592BDA"/>
    <w:rsid w:val="285FB45C"/>
    <w:rsid w:val="286A7A7B"/>
    <w:rsid w:val="28870E68"/>
    <w:rsid w:val="288EB3B3"/>
    <w:rsid w:val="289838FE"/>
    <w:rsid w:val="28ABD2A8"/>
    <w:rsid w:val="28B5BEBD"/>
    <w:rsid w:val="28B9D629"/>
    <w:rsid w:val="28BB5867"/>
    <w:rsid w:val="28C53FB2"/>
    <w:rsid w:val="28C7E560"/>
    <w:rsid w:val="28CC5A34"/>
    <w:rsid w:val="28D36563"/>
    <w:rsid w:val="28DFF0E8"/>
    <w:rsid w:val="2903BDF6"/>
    <w:rsid w:val="2906D852"/>
    <w:rsid w:val="2910D7BE"/>
    <w:rsid w:val="291CD9E2"/>
    <w:rsid w:val="291EC0C0"/>
    <w:rsid w:val="292339D4"/>
    <w:rsid w:val="292EB888"/>
    <w:rsid w:val="293092B5"/>
    <w:rsid w:val="294051D7"/>
    <w:rsid w:val="2946FA43"/>
    <w:rsid w:val="294727E5"/>
    <w:rsid w:val="2948EB59"/>
    <w:rsid w:val="295D5335"/>
    <w:rsid w:val="2960D5A5"/>
    <w:rsid w:val="29700679"/>
    <w:rsid w:val="29730165"/>
    <w:rsid w:val="297389A4"/>
    <w:rsid w:val="2973CD14"/>
    <w:rsid w:val="297709CF"/>
    <w:rsid w:val="29811005"/>
    <w:rsid w:val="2981E278"/>
    <w:rsid w:val="29857966"/>
    <w:rsid w:val="298BED0F"/>
    <w:rsid w:val="298DEBE1"/>
    <w:rsid w:val="29908777"/>
    <w:rsid w:val="29A4135E"/>
    <w:rsid w:val="29A46704"/>
    <w:rsid w:val="29A8D9BA"/>
    <w:rsid w:val="29BB285A"/>
    <w:rsid w:val="29BC2C97"/>
    <w:rsid w:val="29C4326D"/>
    <w:rsid w:val="29D8EA4F"/>
    <w:rsid w:val="29D9F4C9"/>
    <w:rsid w:val="29DAD526"/>
    <w:rsid w:val="29E57F03"/>
    <w:rsid w:val="29ECE525"/>
    <w:rsid w:val="29F295F1"/>
    <w:rsid w:val="29F600E8"/>
    <w:rsid w:val="2A016D6B"/>
    <w:rsid w:val="2A09F4DD"/>
    <w:rsid w:val="2A0A1A87"/>
    <w:rsid w:val="2A11F074"/>
    <w:rsid w:val="2A16374D"/>
    <w:rsid w:val="2A1B7273"/>
    <w:rsid w:val="2A1E6CB9"/>
    <w:rsid w:val="2A31DA5E"/>
    <w:rsid w:val="2A3A26F8"/>
    <w:rsid w:val="2A3D008D"/>
    <w:rsid w:val="2A3D29DC"/>
    <w:rsid w:val="2A3E9753"/>
    <w:rsid w:val="2A491428"/>
    <w:rsid w:val="2A4E082A"/>
    <w:rsid w:val="2A607851"/>
    <w:rsid w:val="2A616BBA"/>
    <w:rsid w:val="2A66A197"/>
    <w:rsid w:val="2A6908CF"/>
    <w:rsid w:val="2A8ECC24"/>
    <w:rsid w:val="2AAB48A8"/>
    <w:rsid w:val="2AB16CEE"/>
    <w:rsid w:val="2AD37E58"/>
    <w:rsid w:val="2AD68FC3"/>
    <w:rsid w:val="2AED1325"/>
    <w:rsid w:val="2AEDAA4B"/>
    <w:rsid w:val="2AEE9AA5"/>
    <w:rsid w:val="2AF0E1D5"/>
    <w:rsid w:val="2AF3FE2C"/>
    <w:rsid w:val="2B04C94B"/>
    <w:rsid w:val="2B119A5C"/>
    <w:rsid w:val="2B1331F3"/>
    <w:rsid w:val="2B19DEC0"/>
    <w:rsid w:val="2B1A7CB1"/>
    <w:rsid w:val="2B2A879B"/>
    <w:rsid w:val="2B353C41"/>
    <w:rsid w:val="2B412D3B"/>
    <w:rsid w:val="2B4A5C5E"/>
    <w:rsid w:val="2B67F7DF"/>
    <w:rsid w:val="2B786B25"/>
    <w:rsid w:val="2B7D8284"/>
    <w:rsid w:val="2B9BF63C"/>
    <w:rsid w:val="2B9F5D48"/>
    <w:rsid w:val="2BAEDAF7"/>
    <w:rsid w:val="2BB0D491"/>
    <w:rsid w:val="2BB8AFD8"/>
    <w:rsid w:val="2BD7C595"/>
    <w:rsid w:val="2BD9DEFC"/>
    <w:rsid w:val="2BDCB37A"/>
    <w:rsid w:val="2BE487F0"/>
    <w:rsid w:val="2BE6BAED"/>
    <w:rsid w:val="2BEBE2A9"/>
    <w:rsid w:val="2BEE6E5F"/>
    <w:rsid w:val="2BFD3EB1"/>
    <w:rsid w:val="2C00F7FC"/>
    <w:rsid w:val="2C0AAD2D"/>
    <w:rsid w:val="2C1557A8"/>
    <w:rsid w:val="2C2F20C2"/>
    <w:rsid w:val="2C34A695"/>
    <w:rsid w:val="2C3CF29B"/>
    <w:rsid w:val="2C3D3DF5"/>
    <w:rsid w:val="2C47E44D"/>
    <w:rsid w:val="2C4F3CF4"/>
    <w:rsid w:val="2C5BAC2D"/>
    <w:rsid w:val="2C611F1D"/>
    <w:rsid w:val="2C68EA12"/>
    <w:rsid w:val="2C6AB11D"/>
    <w:rsid w:val="2C700BEE"/>
    <w:rsid w:val="2C73D60D"/>
    <w:rsid w:val="2C77341E"/>
    <w:rsid w:val="2C7CDA62"/>
    <w:rsid w:val="2C82CFBB"/>
    <w:rsid w:val="2CA2B7C1"/>
    <w:rsid w:val="2CA88F76"/>
    <w:rsid w:val="2CAB8577"/>
    <w:rsid w:val="2CAC1D51"/>
    <w:rsid w:val="2CB60926"/>
    <w:rsid w:val="2CB7889B"/>
    <w:rsid w:val="2CBF9B81"/>
    <w:rsid w:val="2CE1F09F"/>
    <w:rsid w:val="2D0718A6"/>
    <w:rsid w:val="2D076FB8"/>
    <w:rsid w:val="2D23A42F"/>
    <w:rsid w:val="2D26038C"/>
    <w:rsid w:val="2D263635"/>
    <w:rsid w:val="2D3E7A46"/>
    <w:rsid w:val="2D469495"/>
    <w:rsid w:val="2D4CD327"/>
    <w:rsid w:val="2D4CF050"/>
    <w:rsid w:val="2D4E815B"/>
    <w:rsid w:val="2D4EF6FC"/>
    <w:rsid w:val="2D5BCC65"/>
    <w:rsid w:val="2D7363C5"/>
    <w:rsid w:val="2D74851A"/>
    <w:rsid w:val="2D7ADBC5"/>
    <w:rsid w:val="2D7C8493"/>
    <w:rsid w:val="2D7F3072"/>
    <w:rsid w:val="2D85980E"/>
    <w:rsid w:val="2D8C98CB"/>
    <w:rsid w:val="2D90549E"/>
    <w:rsid w:val="2D97B29D"/>
    <w:rsid w:val="2DAAAD9F"/>
    <w:rsid w:val="2DABB8C2"/>
    <w:rsid w:val="2DB0B29E"/>
    <w:rsid w:val="2DB30740"/>
    <w:rsid w:val="2DBCB432"/>
    <w:rsid w:val="2DBCE1D5"/>
    <w:rsid w:val="2DBDB0C8"/>
    <w:rsid w:val="2DD46BCD"/>
    <w:rsid w:val="2DD4B8E7"/>
    <w:rsid w:val="2DDA1925"/>
    <w:rsid w:val="2DDFC1CA"/>
    <w:rsid w:val="2DF06DD5"/>
    <w:rsid w:val="2E060028"/>
    <w:rsid w:val="2E079B4C"/>
    <w:rsid w:val="2E0A3F41"/>
    <w:rsid w:val="2E114999"/>
    <w:rsid w:val="2E16BC37"/>
    <w:rsid w:val="2E18860A"/>
    <w:rsid w:val="2E1EF798"/>
    <w:rsid w:val="2E2875EA"/>
    <w:rsid w:val="2E32E8E4"/>
    <w:rsid w:val="2E3FA90F"/>
    <w:rsid w:val="2E423FAD"/>
    <w:rsid w:val="2E490F75"/>
    <w:rsid w:val="2E5491E8"/>
    <w:rsid w:val="2E68F075"/>
    <w:rsid w:val="2E7136F5"/>
    <w:rsid w:val="2E720E2F"/>
    <w:rsid w:val="2E736377"/>
    <w:rsid w:val="2E76A7ED"/>
    <w:rsid w:val="2E8E41A9"/>
    <w:rsid w:val="2E945ECD"/>
    <w:rsid w:val="2E97B2EC"/>
    <w:rsid w:val="2E97B47C"/>
    <w:rsid w:val="2EA1ED0E"/>
    <w:rsid w:val="2EA20A84"/>
    <w:rsid w:val="2EA9D0F0"/>
    <w:rsid w:val="2EB8E48B"/>
    <w:rsid w:val="2EBFEC17"/>
    <w:rsid w:val="2EDAA4EB"/>
    <w:rsid w:val="2EE1EE0F"/>
    <w:rsid w:val="2EE27A66"/>
    <w:rsid w:val="2EE664D4"/>
    <w:rsid w:val="2EE9EACB"/>
    <w:rsid w:val="2EE9EC95"/>
    <w:rsid w:val="2EECA511"/>
    <w:rsid w:val="2EF5E59D"/>
    <w:rsid w:val="2F00BCA0"/>
    <w:rsid w:val="2F033010"/>
    <w:rsid w:val="2F09A003"/>
    <w:rsid w:val="2F09F7B5"/>
    <w:rsid w:val="2F127FAF"/>
    <w:rsid w:val="2F18AE9F"/>
    <w:rsid w:val="2F19B193"/>
    <w:rsid w:val="2F1B5D6E"/>
    <w:rsid w:val="2F23D011"/>
    <w:rsid w:val="2F2AA4F8"/>
    <w:rsid w:val="2F355948"/>
    <w:rsid w:val="2F42CA69"/>
    <w:rsid w:val="2F4874FA"/>
    <w:rsid w:val="2F4A8A4A"/>
    <w:rsid w:val="2F4DC475"/>
    <w:rsid w:val="2F56CB5C"/>
    <w:rsid w:val="2F5945FC"/>
    <w:rsid w:val="2F6420D4"/>
    <w:rsid w:val="2F6531C0"/>
    <w:rsid w:val="2F72EB30"/>
    <w:rsid w:val="2F7B2B22"/>
    <w:rsid w:val="2F8F2695"/>
    <w:rsid w:val="2F8FB83C"/>
    <w:rsid w:val="2F901C57"/>
    <w:rsid w:val="2F9AF9B5"/>
    <w:rsid w:val="2FB151AB"/>
    <w:rsid w:val="2FC30BB1"/>
    <w:rsid w:val="2FE1E142"/>
    <w:rsid w:val="2FE8CC7F"/>
    <w:rsid w:val="2FE95417"/>
    <w:rsid w:val="2FEC66BB"/>
    <w:rsid w:val="2FF30679"/>
    <w:rsid w:val="2FF92047"/>
    <w:rsid w:val="30117BC3"/>
    <w:rsid w:val="303ED220"/>
    <w:rsid w:val="30463F8C"/>
    <w:rsid w:val="3057B7BB"/>
    <w:rsid w:val="305B12F2"/>
    <w:rsid w:val="3064436A"/>
    <w:rsid w:val="306519E0"/>
    <w:rsid w:val="306B8A7C"/>
    <w:rsid w:val="307C4A81"/>
    <w:rsid w:val="307D99F4"/>
    <w:rsid w:val="30842CD8"/>
    <w:rsid w:val="3089C961"/>
    <w:rsid w:val="309761D9"/>
    <w:rsid w:val="30A79C54"/>
    <w:rsid w:val="30A9FFC9"/>
    <w:rsid w:val="30AA0545"/>
    <w:rsid w:val="30AED38E"/>
    <w:rsid w:val="30C29F9C"/>
    <w:rsid w:val="30C39258"/>
    <w:rsid w:val="30CA966B"/>
    <w:rsid w:val="30CEBD2E"/>
    <w:rsid w:val="30DA405F"/>
    <w:rsid w:val="30DAA4D8"/>
    <w:rsid w:val="30DE1F41"/>
    <w:rsid w:val="30DF335C"/>
    <w:rsid w:val="30E1A4AD"/>
    <w:rsid w:val="30E4EE71"/>
    <w:rsid w:val="30E64890"/>
    <w:rsid w:val="30E943B4"/>
    <w:rsid w:val="30FBFEB6"/>
    <w:rsid w:val="30FFE5F7"/>
    <w:rsid w:val="3101F88D"/>
    <w:rsid w:val="3105B466"/>
    <w:rsid w:val="3108AF22"/>
    <w:rsid w:val="310996A9"/>
    <w:rsid w:val="31174BB0"/>
    <w:rsid w:val="3121BDF4"/>
    <w:rsid w:val="31245E13"/>
    <w:rsid w:val="312A689A"/>
    <w:rsid w:val="3134668C"/>
    <w:rsid w:val="313B51A6"/>
    <w:rsid w:val="3140642C"/>
    <w:rsid w:val="3149E27F"/>
    <w:rsid w:val="316C7673"/>
    <w:rsid w:val="316E405F"/>
    <w:rsid w:val="3170B0DB"/>
    <w:rsid w:val="31791CAE"/>
    <w:rsid w:val="3179C389"/>
    <w:rsid w:val="317A3617"/>
    <w:rsid w:val="3185A7F3"/>
    <w:rsid w:val="31910C2E"/>
    <w:rsid w:val="31941212"/>
    <w:rsid w:val="319756E3"/>
    <w:rsid w:val="3197C420"/>
    <w:rsid w:val="3197CD32"/>
    <w:rsid w:val="319A88BF"/>
    <w:rsid w:val="319ACA36"/>
    <w:rsid w:val="31A58D8E"/>
    <w:rsid w:val="31A680A0"/>
    <w:rsid w:val="31AEEE22"/>
    <w:rsid w:val="31B51A81"/>
    <w:rsid w:val="31B93D63"/>
    <w:rsid w:val="31C445A2"/>
    <w:rsid w:val="31CA6A70"/>
    <w:rsid w:val="31CB4207"/>
    <w:rsid w:val="31CCC3EA"/>
    <w:rsid w:val="31D24F22"/>
    <w:rsid w:val="31EAFF65"/>
    <w:rsid w:val="32032A46"/>
    <w:rsid w:val="3206FA5C"/>
    <w:rsid w:val="320A1CBA"/>
    <w:rsid w:val="3214BB5E"/>
    <w:rsid w:val="3217659E"/>
    <w:rsid w:val="3223E88E"/>
    <w:rsid w:val="32365290"/>
    <w:rsid w:val="323A13FF"/>
    <w:rsid w:val="3244ECF6"/>
    <w:rsid w:val="3247445A"/>
    <w:rsid w:val="32521A6B"/>
    <w:rsid w:val="3256F585"/>
    <w:rsid w:val="3262FFCF"/>
    <w:rsid w:val="327BDBC8"/>
    <w:rsid w:val="3284504E"/>
    <w:rsid w:val="32876C81"/>
    <w:rsid w:val="3290088B"/>
    <w:rsid w:val="329F2148"/>
    <w:rsid w:val="32ACF64C"/>
    <w:rsid w:val="32AFD0A3"/>
    <w:rsid w:val="32B63BE4"/>
    <w:rsid w:val="32B6F1A3"/>
    <w:rsid w:val="32C69D6E"/>
    <w:rsid w:val="32D7781D"/>
    <w:rsid w:val="32D9DE55"/>
    <w:rsid w:val="32E380A9"/>
    <w:rsid w:val="32EF0EBA"/>
    <w:rsid w:val="32F86F28"/>
    <w:rsid w:val="32F98809"/>
    <w:rsid w:val="331C079D"/>
    <w:rsid w:val="332A68C3"/>
    <w:rsid w:val="3330DEBF"/>
    <w:rsid w:val="333121F6"/>
    <w:rsid w:val="3340DC47"/>
    <w:rsid w:val="33580434"/>
    <w:rsid w:val="3367B1AA"/>
    <w:rsid w:val="336BA703"/>
    <w:rsid w:val="3377581D"/>
    <w:rsid w:val="337F301C"/>
    <w:rsid w:val="3383F9C7"/>
    <w:rsid w:val="339EA50A"/>
    <w:rsid w:val="33A46320"/>
    <w:rsid w:val="33A899C4"/>
    <w:rsid w:val="33B51DE3"/>
    <w:rsid w:val="33CFED8E"/>
    <w:rsid w:val="33D3843C"/>
    <w:rsid w:val="33D39C57"/>
    <w:rsid w:val="33D67389"/>
    <w:rsid w:val="33E98D64"/>
    <w:rsid w:val="33EE86F7"/>
    <w:rsid w:val="3403AA36"/>
    <w:rsid w:val="3404DE20"/>
    <w:rsid w:val="34050DA3"/>
    <w:rsid w:val="3411622A"/>
    <w:rsid w:val="34119458"/>
    <w:rsid w:val="3433B002"/>
    <w:rsid w:val="34360469"/>
    <w:rsid w:val="343CA587"/>
    <w:rsid w:val="34497DC7"/>
    <w:rsid w:val="344F04B6"/>
    <w:rsid w:val="344F7184"/>
    <w:rsid w:val="3452C30D"/>
    <w:rsid w:val="345C206B"/>
    <w:rsid w:val="347A2EBE"/>
    <w:rsid w:val="348D57AC"/>
    <w:rsid w:val="349B7E3E"/>
    <w:rsid w:val="34AB1755"/>
    <w:rsid w:val="34ACBE42"/>
    <w:rsid w:val="34C03213"/>
    <w:rsid w:val="34C143EB"/>
    <w:rsid w:val="34C38401"/>
    <w:rsid w:val="34CD3678"/>
    <w:rsid w:val="34D177BC"/>
    <w:rsid w:val="34D74531"/>
    <w:rsid w:val="34E1FBEF"/>
    <w:rsid w:val="34EEA8F6"/>
    <w:rsid w:val="35045D2E"/>
    <w:rsid w:val="3505DE55"/>
    <w:rsid w:val="350915EB"/>
    <w:rsid w:val="350E371E"/>
    <w:rsid w:val="353546A6"/>
    <w:rsid w:val="3538E23C"/>
    <w:rsid w:val="353924C6"/>
    <w:rsid w:val="354188B3"/>
    <w:rsid w:val="354241C7"/>
    <w:rsid w:val="354C2B50"/>
    <w:rsid w:val="356CB46A"/>
    <w:rsid w:val="35898415"/>
    <w:rsid w:val="3589A4CD"/>
    <w:rsid w:val="358F6D7F"/>
    <w:rsid w:val="3593B4EA"/>
    <w:rsid w:val="359B7325"/>
    <w:rsid w:val="359D03D3"/>
    <w:rsid w:val="359FB2BF"/>
    <w:rsid w:val="35A03C16"/>
    <w:rsid w:val="35A0F139"/>
    <w:rsid w:val="35A39DF2"/>
    <w:rsid w:val="35A4160B"/>
    <w:rsid w:val="35A4B6CD"/>
    <w:rsid w:val="35BF807B"/>
    <w:rsid w:val="35C0C928"/>
    <w:rsid w:val="35D544C4"/>
    <w:rsid w:val="35E444E9"/>
    <w:rsid w:val="35EA8C28"/>
    <w:rsid w:val="35FA54A2"/>
    <w:rsid w:val="35FC297B"/>
    <w:rsid w:val="35FE452A"/>
    <w:rsid w:val="35FF38AA"/>
    <w:rsid w:val="3601E753"/>
    <w:rsid w:val="3603B3AC"/>
    <w:rsid w:val="360B4627"/>
    <w:rsid w:val="360D5042"/>
    <w:rsid w:val="36107A9F"/>
    <w:rsid w:val="3617F2E9"/>
    <w:rsid w:val="362D7529"/>
    <w:rsid w:val="3641E6A0"/>
    <w:rsid w:val="3642AD03"/>
    <w:rsid w:val="3642F4FD"/>
    <w:rsid w:val="36491059"/>
    <w:rsid w:val="367859D9"/>
    <w:rsid w:val="368816C8"/>
    <w:rsid w:val="368CCE23"/>
    <w:rsid w:val="369922AB"/>
    <w:rsid w:val="369EEC36"/>
    <w:rsid w:val="36A09CD0"/>
    <w:rsid w:val="36A26748"/>
    <w:rsid w:val="36BA9C13"/>
    <w:rsid w:val="36BADDEC"/>
    <w:rsid w:val="36CD45CE"/>
    <w:rsid w:val="36D5C015"/>
    <w:rsid w:val="36DA4A65"/>
    <w:rsid w:val="36E0E01E"/>
    <w:rsid w:val="36E5410A"/>
    <w:rsid w:val="36F1707C"/>
    <w:rsid w:val="36F1F514"/>
    <w:rsid w:val="36F72E32"/>
    <w:rsid w:val="36FD2C5A"/>
    <w:rsid w:val="36FDEEA5"/>
    <w:rsid w:val="36FDFF96"/>
    <w:rsid w:val="371057FF"/>
    <w:rsid w:val="37194E74"/>
    <w:rsid w:val="371F265F"/>
    <w:rsid w:val="372D1436"/>
    <w:rsid w:val="372F9585"/>
    <w:rsid w:val="37305776"/>
    <w:rsid w:val="37375852"/>
    <w:rsid w:val="3743E360"/>
    <w:rsid w:val="37481D57"/>
    <w:rsid w:val="3755DFB1"/>
    <w:rsid w:val="375844DB"/>
    <w:rsid w:val="37617C96"/>
    <w:rsid w:val="37655900"/>
    <w:rsid w:val="3765C1C4"/>
    <w:rsid w:val="37666636"/>
    <w:rsid w:val="3766E585"/>
    <w:rsid w:val="3767CDB6"/>
    <w:rsid w:val="3767E67E"/>
    <w:rsid w:val="376BAB4A"/>
    <w:rsid w:val="3775F968"/>
    <w:rsid w:val="37856421"/>
    <w:rsid w:val="37863C2F"/>
    <w:rsid w:val="37866365"/>
    <w:rsid w:val="378A5B98"/>
    <w:rsid w:val="37930521"/>
    <w:rsid w:val="37979AF1"/>
    <w:rsid w:val="379BCF3A"/>
    <w:rsid w:val="37B34030"/>
    <w:rsid w:val="37C699DD"/>
    <w:rsid w:val="37C775B9"/>
    <w:rsid w:val="37CE05B2"/>
    <w:rsid w:val="37D1BDDA"/>
    <w:rsid w:val="37E4123B"/>
    <w:rsid w:val="37E9AC3F"/>
    <w:rsid w:val="380144FB"/>
    <w:rsid w:val="3813BF68"/>
    <w:rsid w:val="3815EABF"/>
    <w:rsid w:val="38165E77"/>
    <w:rsid w:val="381797F8"/>
    <w:rsid w:val="3819E75E"/>
    <w:rsid w:val="381A29DC"/>
    <w:rsid w:val="3826DF29"/>
    <w:rsid w:val="38299F6F"/>
    <w:rsid w:val="382A77ED"/>
    <w:rsid w:val="382CF814"/>
    <w:rsid w:val="38306176"/>
    <w:rsid w:val="38323CC0"/>
    <w:rsid w:val="38324355"/>
    <w:rsid w:val="3843FDA0"/>
    <w:rsid w:val="3847A285"/>
    <w:rsid w:val="3849F8DB"/>
    <w:rsid w:val="38506627"/>
    <w:rsid w:val="385935D5"/>
    <w:rsid w:val="385CFD0B"/>
    <w:rsid w:val="38601A49"/>
    <w:rsid w:val="3863A3B7"/>
    <w:rsid w:val="38666152"/>
    <w:rsid w:val="38745D0D"/>
    <w:rsid w:val="3883B467"/>
    <w:rsid w:val="38863A48"/>
    <w:rsid w:val="388816CC"/>
    <w:rsid w:val="3892E192"/>
    <w:rsid w:val="389B525D"/>
    <w:rsid w:val="38A2065C"/>
    <w:rsid w:val="38B0909C"/>
    <w:rsid w:val="38BC8097"/>
    <w:rsid w:val="38BE6E52"/>
    <w:rsid w:val="38C36B73"/>
    <w:rsid w:val="38C4057B"/>
    <w:rsid w:val="38C405DC"/>
    <w:rsid w:val="38DDC2D1"/>
    <w:rsid w:val="38E2E0F8"/>
    <w:rsid w:val="38E30567"/>
    <w:rsid w:val="38E9C944"/>
    <w:rsid w:val="38EA88E9"/>
    <w:rsid w:val="38F490C8"/>
    <w:rsid w:val="38FDB95B"/>
    <w:rsid w:val="3902BC65"/>
    <w:rsid w:val="3905251E"/>
    <w:rsid w:val="3906C089"/>
    <w:rsid w:val="391EDC5A"/>
    <w:rsid w:val="392B3CD7"/>
    <w:rsid w:val="392E616C"/>
    <w:rsid w:val="39316582"/>
    <w:rsid w:val="3931D429"/>
    <w:rsid w:val="395CB5CC"/>
    <w:rsid w:val="396005A8"/>
    <w:rsid w:val="39644BFB"/>
    <w:rsid w:val="39685252"/>
    <w:rsid w:val="396D3D86"/>
    <w:rsid w:val="3973D354"/>
    <w:rsid w:val="3988118E"/>
    <w:rsid w:val="398E14E1"/>
    <w:rsid w:val="398FCEA9"/>
    <w:rsid w:val="398FF691"/>
    <w:rsid w:val="3991960F"/>
    <w:rsid w:val="39922A1F"/>
    <w:rsid w:val="399C273A"/>
    <w:rsid w:val="399F5A7D"/>
    <w:rsid w:val="39AAE066"/>
    <w:rsid w:val="39BC623F"/>
    <w:rsid w:val="39BC7BDE"/>
    <w:rsid w:val="39BFE3BA"/>
    <w:rsid w:val="39C091D1"/>
    <w:rsid w:val="39C117BE"/>
    <w:rsid w:val="39C4B00B"/>
    <w:rsid w:val="39C775D2"/>
    <w:rsid w:val="39D66F94"/>
    <w:rsid w:val="39EA1F69"/>
    <w:rsid w:val="39F35964"/>
    <w:rsid w:val="39F4C8C6"/>
    <w:rsid w:val="39FCD70C"/>
    <w:rsid w:val="39FD2E62"/>
    <w:rsid w:val="3A16C15F"/>
    <w:rsid w:val="3A1A5C75"/>
    <w:rsid w:val="3A1CBFCD"/>
    <w:rsid w:val="3A289791"/>
    <w:rsid w:val="3A343AF3"/>
    <w:rsid w:val="3A424EAE"/>
    <w:rsid w:val="3A43915A"/>
    <w:rsid w:val="3A48214E"/>
    <w:rsid w:val="3A60FFDD"/>
    <w:rsid w:val="3A65B00C"/>
    <w:rsid w:val="3A6659B2"/>
    <w:rsid w:val="3A6B1834"/>
    <w:rsid w:val="3A6CE623"/>
    <w:rsid w:val="3A6F6B27"/>
    <w:rsid w:val="3A7178E8"/>
    <w:rsid w:val="3A72C2AF"/>
    <w:rsid w:val="3A7838D5"/>
    <w:rsid w:val="3A79E868"/>
    <w:rsid w:val="3A90238D"/>
    <w:rsid w:val="3AA33582"/>
    <w:rsid w:val="3AA83537"/>
    <w:rsid w:val="3ABBD819"/>
    <w:rsid w:val="3ABC77B1"/>
    <w:rsid w:val="3ABE1DCB"/>
    <w:rsid w:val="3AC340CA"/>
    <w:rsid w:val="3AC86B08"/>
    <w:rsid w:val="3ACD0F35"/>
    <w:rsid w:val="3ADB3033"/>
    <w:rsid w:val="3AE0FAC2"/>
    <w:rsid w:val="3AECDEAC"/>
    <w:rsid w:val="3AECE02F"/>
    <w:rsid w:val="3AF2B37E"/>
    <w:rsid w:val="3AF784CC"/>
    <w:rsid w:val="3AFA356F"/>
    <w:rsid w:val="3AFA4C18"/>
    <w:rsid w:val="3B02583D"/>
    <w:rsid w:val="3B10066E"/>
    <w:rsid w:val="3B10992F"/>
    <w:rsid w:val="3B121292"/>
    <w:rsid w:val="3B138D4C"/>
    <w:rsid w:val="3B14DBA3"/>
    <w:rsid w:val="3B219C52"/>
    <w:rsid w:val="3B29EA90"/>
    <w:rsid w:val="3B2CB5FA"/>
    <w:rsid w:val="3B348EDD"/>
    <w:rsid w:val="3B35394C"/>
    <w:rsid w:val="3B509048"/>
    <w:rsid w:val="3B56A05E"/>
    <w:rsid w:val="3B6DE901"/>
    <w:rsid w:val="3B71A4F2"/>
    <w:rsid w:val="3B7B880C"/>
    <w:rsid w:val="3B847542"/>
    <w:rsid w:val="3B84B6BE"/>
    <w:rsid w:val="3B871835"/>
    <w:rsid w:val="3B96B7FC"/>
    <w:rsid w:val="3B97DE4B"/>
    <w:rsid w:val="3B9A2106"/>
    <w:rsid w:val="3B9BFADC"/>
    <w:rsid w:val="3B9DEDE4"/>
    <w:rsid w:val="3BB6FD27"/>
    <w:rsid w:val="3BB7D971"/>
    <w:rsid w:val="3BC0B085"/>
    <w:rsid w:val="3BC4041D"/>
    <w:rsid w:val="3BC59D25"/>
    <w:rsid w:val="3BD397E0"/>
    <w:rsid w:val="3BE59ECA"/>
    <w:rsid w:val="3BE7CFB8"/>
    <w:rsid w:val="3BE89313"/>
    <w:rsid w:val="3BEE0DB9"/>
    <w:rsid w:val="3BEE4343"/>
    <w:rsid w:val="3BF039BA"/>
    <w:rsid w:val="3BF38357"/>
    <w:rsid w:val="3BF5481C"/>
    <w:rsid w:val="3C085B87"/>
    <w:rsid w:val="3C0A6A34"/>
    <w:rsid w:val="3C127597"/>
    <w:rsid w:val="3C16DD7F"/>
    <w:rsid w:val="3C178FE2"/>
    <w:rsid w:val="3C2F9A12"/>
    <w:rsid w:val="3C381907"/>
    <w:rsid w:val="3C396CD2"/>
    <w:rsid w:val="3C3AAFE1"/>
    <w:rsid w:val="3C50701B"/>
    <w:rsid w:val="3C563D5F"/>
    <w:rsid w:val="3C78ECBE"/>
    <w:rsid w:val="3C83E67F"/>
    <w:rsid w:val="3C88AF50"/>
    <w:rsid w:val="3C8A6838"/>
    <w:rsid w:val="3C8C252D"/>
    <w:rsid w:val="3C952101"/>
    <w:rsid w:val="3CA240E0"/>
    <w:rsid w:val="3CA286BF"/>
    <w:rsid w:val="3CAD1CAF"/>
    <w:rsid w:val="3CAD7EA1"/>
    <w:rsid w:val="3CB47903"/>
    <w:rsid w:val="3CBAE1E7"/>
    <w:rsid w:val="3CC28D74"/>
    <w:rsid w:val="3CD9B56E"/>
    <w:rsid w:val="3CDCC59F"/>
    <w:rsid w:val="3CE15D22"/>
    <w:rsid w:val="3CEA0460"/>
    <w:rsid w:val="3CF58483"/>
    <w:rsid w:val="3CF8FEEA"/>
    <w:rsid w:val="3D109FF3"/>
    <w:rsid w:val="3D123BF1"/>
    <w:rsid w:val="3D227044"/>
    <w:rsid w:val="3D312833"/>
    <w:rsid w:val="3D3E3D2C"/>
    <w:rsid w:val="3D433DB8"/>
    <w:rsid w:val="3D440534"/>
    <w:rsid w:val="3D63B8DB"/>
    <w:rsid w:val="3D678112"/>
    <w:rsid w:val="3D6C72EF"/>
    <w:rsid w:val="3D7D7150"/>
    <w:rsid w:val="3D7FBA0B"/>
    <w:rsid w:val="3D83C58C"/>
    <w:rsid w:val="3D879D96"/>
    <w:rsid w:val="3D8CD86A"/>
    <w:rsid w:val="3D95D7EF"/>
    <w:rsid w:val="3D9B87A0"/>
    <w:rsid w:val="3DB155C9"/>
    <w:rsid w:val="3DB49ACF"/>
    <w:rsid w:val="3DBEE908"/>
    <w:rsid w:val="3DDA812E"/>
    <w:rsid w:val="3DE41982"/>
    <w:rsid w:val="3DE8B449"/>
    <w:rsid w:val="3DEDA659"/>
    <w:rsid w:val="3DEE1CA3"/>
    <w:rsid w:val="3DFCFBB5"/>
    <w:rsid w:val="3E08BE08"/>
    <w:rsid w:val="3E2A56F1"/>
    <w:rsid w:val="3E368A1C"/>
    <w:rsid w:val="3E4FE771"/>
    <w:rsid w:val="3E5A7437"/>
    <w:rsid w:val="3E60F9FA"/>
    <w:rsid w:val="3E64176C"/>
    <w:rsid w:val="3E6807F7"/>
    <w:rsid w:val="3E6B4926"/>
    <w:rsid w:val="3E7673D0"/>
    <w:rsid w:val="3E77339A"/>
    <w:rsid w:val="3E7970FD"/>
    <w:rsid w:val="3E7FF44E"/>
    <w:rsid w:val="3EA0D5AD"/>
    <w:rsid w:val="3EA71B82"/>
    <w:rsid w:val="3EA83278"/>
    <w:rsid w:val="3EAAFBB9"/>
    <w:rsid w:val="3EB188E1"/>
    <w:rsid w:val="3EB3DF2A"/>
    <w:rsid w:val="3ECE39B3"/>
    <w:rsid w:val="3ED34E1D"/>
    <w:rsid w:val="3EE16D76"/>
    <w:rsid w:val="3EE325C2"/>
    <w:rsid w:val="3EF07426"/>
    <w:rsid w:val="3EF691D2"/>
    <w:rsid w:val="3EFD3822"/>
    <w:rsid w:val="3EFE1535"/>
    <w:rsid w:val="3EFF4575"/>
    <w:rsid w:val="3F0EB7B8"/>
    <w:rsid w:val="3F1BC8E0"/>
    <w:rsid w:val="3F24F857"/>
    <w:rsid w:val="3F28E10A"/>
    <w:rsid w:val="3F33E4D5"/>
    <w:rsid w:val="3F396056"/>
    <w:rsid w:val="3F420CB5"/>
    <w:rsid w:val="3F4FB7C2"/>
    <w:rsid w:val="3F531AA8"/>
    <w:rsid w:val="3F59C669"/>
    <w:rsid w:val="3F5DDF48"/>
    <w:rsid w:val="3F6205D0"/>
    <w:rsid w:val="3F624CF1"/>
    <w:rsid w:val="3F669C23"/>
    <w:rsid w:val="3F70BCC2"/>
    <w:rsid w:val="3F7227CA"/>
    <w:rsid w:val="3F73DE49"/>
    <w:rsid w:val="3F746EC6"/>
    <w:rsid w:val="3F78BA93"/>
    <w:rsid w:val="3F7F1280"/>
    <w:rsid w:val="3F8128C5"/>
    <w:rsid w:val="3F86DDC3"/>
    <w:rsid w:val="3F877B4B"/>
    <w:rsid w:val="3F8B2784"/>
    <w:rsid w:val="3F9472C0"/>
    <w:rsid w:val="3F9B5914"/>
    <w:rsid w:val="3FBC0253"/>
    <w:rsid w:val="3FC4CEA9"/>
    <w:rsid w:val="3FC95524"/>
    <w:rsid w:val="3FCD05C5"/>
    <w:rsid w:val="3FD11FAF"/>
    <w:rsid w:val="3FDC5BD6"/>
    <w:rsid w:val="3FDD4F89"/>
    <w:rsid w:val="3FDDD30C"/>
    <w:rsid w:val="3FF7BC01"/>
    <w:rsid w:val="40093823"/>
    <w:rsid w:val="40154601"/>
    <w:rsid w:val="401D4971"/>
    <w:rsid w:val="40274C17"/>
    <w:rsid w:val="403042B4"/>
    <w:rsid w:val="4030C468"/>
    <w:rsid w:val="403D5F48"/>
    <w:rsid w:val="404CC302"/>
    <w:rsid w:val="404F5B86"/>
    <w:rsid w:val="4063A076"/>
    <w:rsid w:val="406E714D"/>
    <w:rsid w:val="4073141E"/>
    <w:rsid w:val="4080978D"/>
    <w:rsid w:val="408899D3"/>
    <w:rsid w:val="409D52FD"/>
    <w:rsid w:val="409F9A5F"/>
    <w:rsid w:val="40A13E88"/>
    <w:rsid w:val="40A27BEF"/>
    <w:rsid w:val="40A484F7"/>
    <w:rsid w:val="40B30B93"/>
    <w:rsid w:val="40BE96FF"/>
    <w:rsid w:val="40C3C204"/>
    <w:rsid w:val="40CD7DB0"/>
    <w:rsid w:val="40CE7911"/>
    <w:rsid w:val="40E5EF52"/>
    <w:rsid w:val="40EBFAF9"/>
    <w:rsid w:val="40EEEF63"/>
    <w:rsid w:val="40F55BF2"/>
    <w:rsid w:val="40F60C36"/>
    <w:rsid w:val="410ADE94"/>
    <w:rsid w:val="410F5CFB"/>
    <w:rsid w:val="41117353"/>
    <w:rsid w:val="41232519"/>
    <w:rsid w:val="4123B893"/>
    <w:rsid w:val="41297E05"/>
    <w:rsid w:val="413FFC63"/>
    <w:rsid w:val="4149618A"/>
    <w:rsid w:val="414A727D"/>
    <w:rsid w:val="4168118E"/>
    <w:rsid w:val="416A7F0C"/>
    <w:rsid w:val="416BEA7F"/>
    <w:rsid w:val="4174B3E3"/>
    <w:rsid w:val="417F69CD"/>
    <w:rsid w:val="41AE796F"/>
    <w:rsid w:val="41B1CD90"/>
    <w:rsid w:val="41B736B6"/>
    <w:rsid w:val="41BAD6CB"/>
    <w:rsid w:val="41CD0506"/>
    <w:rsid w:val="41DE5BC8"/>
    <w:rsid w:val="41E9FA91"/>
    <w:rsid w:val="41F062CE"/>
    <w:rsid w:val="41FBF29D"/>
    <w:rsid w:val="41FD455E"/>
    <w:rsid w:val="4201E18D"/>
    <w:rsid w:val="42149AE6"/>
    <w:rsid w:val="42199A49"/>
    <w:rsid w:val="421DA34A"/>
    <w:rsid w:val="42236E01"/>
    <w:rsid w:val="4228E96A"/>
    <w:rsid w:val="423FB18C"/>
    <w:rsid w:val="424EF7D9"/>
    <w:rsid w:val="42548FC7"/>
    <w:rsid w:val="425DE845"/>
    <w:rsid w:val="4272C872"/>
    <w:rsid w:val="427534CD"/>
    <w:rsid w:val="427AEF8C"/>
    <w:rsid w:val="4281BEF7"/>
    <w:rsid w:val="4282959C"/>
    <w:rsid w:val="4282B82D"/>
    <w:rsid w:val="428CBB11"/>
    <w:rsid w:val="429093F7"/>
    <w:rsid w:val="4297506C"/>
    <w:rsid w:val="429D0293"/>
    <w:rsid w:val="429FF399"/>
    <w:rsid w:val="42A6AD00"/>
    <w:rsid w:val="42BDF48D"/>
    <w:rsid w:val="42C1BCF0"/>
    <w:rsid w:val="42C912E8"/>
    <w:rsid w:val="42CF0216"/>
    <w:rsid w:val="42D00296"/>
    <w:rsid w:val="42D482CA"/>
    <w:rsid w:val="42D54AF3"/>
    <w:rsid w:val="42E2B84E"/>
    <w:rsid w:val="42EA4E9F"/>
    <w:rsid w:val="42F47587"/>
    <w:rsid w:val="4301CE1F"/>
    <w:rsid w:val="43078CD6"/>
    <w:rsid w:val="430E865A"/>
    <w:rsid w:val="430FC6DF"/>
    <w:rsid w:val="43172867"/>
    <w:rsid w:val="431C3EF9"/>
    <w:rsid w:val="43213092"/>
    <w:rsid w:val="4329F8C3"/>
    <w:rsid w:val="432D3044"/>
    <w:rsid w:val="4338C946"/>
    <w:rsid w:val="4343A946"/>
    <w:rsid w:val="43665956"/>
    <w:rsid w:val="43700E48"/>
    <w:rsid w:val="43705462"/>
    <w:rsid w:val="4373786C"/>
    <w:rsid w:val="43742614"/>
    <w:rsid w:val="437F12C1"/>
    <w:rsid w:val="438F10FF"/>
    <w:rsid w:val="439150D7"/>
    <w:rsid w:val="43A7EAC5"/>
    <w:rsid w:val="43AB7AA8"/>
    <w:rsid w:val="43B36B7E"/>
    <w:rsid w:val="43B75DB0"/>
    <w:rsid w:val="43BBA9A2"/>
    <w:rsid w:val="43CAAA42"/>
    <w:rsid w:val="43CE036F"/>
    <w:rsid w:val="43E23106"/>
    <w:rsid w:val="43EE69EA"/>
    <w:rsid w:val="43F29235"/>
    <w:rsid w:val="4407EF8D"/>
    <w:rsid w:val="440935A1"/>
    <w:rsid w:val="44123477"/>
    <w:rsid w:val="44142CF8"/>
    <w:rsid w:val="44156A73"/>
    <w:rsid w:val="4416E958"/>
    <w:rsid w:val="44178112"/>
    <w:rsid w:val="4436907D"/>
    <w:rsid w:val="443EF02A"/>
    <w:rsid w:val="4442A33B"/>
    <w:rsid w:val="444F5134"/>
    <w:rsid w:val="44594697"/>
    <w:rsid w:val="446783AE"/>
    <w:rsid w:val="447256B4"/>
    <w:rsid w:val="447E94DF"/>
    <w:rsid w:val="4484EF24"/>
    <w:rsid w:val="4486CB98"/>
    <w:rsid w:val="44873289"/>
    <w:rsid w:val="448BE905"/>
    <w:rsid w:val="448F0336"/>
    <w:rsid w:val="4498B6EC"/>
    <w:rsid w:val="44A88018"/>
    <w:rsid w:val="44BD13B9"/>
    <w:rsid w:val="44D8B1CD"/>
    <w:rsid w:val="44E2ACB3"/>
    <w:rsid w:val="44F4816E"/>
    <w:rsid w:val="4507D971"/>
    <w:rsid w:val="4511E31B"/>
    <w:rsid w:val="4522A4C7"/>
    <w:rsid w:val="45351A22"/>
    <w:rsid w:val="4539E289"/>
    <w:rsid w:val="453DAA8A"/>
    <w:rsid w:val="453FFC44"/>
    <w:rsid w:val="45489F96"/>
    <w:rsid w:val="45527D6D"/>
    <w:rsid w:val="4564352E"/>
    <w:rsid w:val="4567F508"/>
    <w:rsid w:val="4569B1E3"/>
    <w:rsid w:val="456B78D4"/>
    <w:rsid w:val="45756C95"/>
    <w:rsid w:val="457689F7"/>
    <w:rsid w:val="457A72EA"/>
    <w:rsid w:val="457E85A0"/>
    <w:rsid w:val="458B657E"/>
    <w:rsid w:val="459093FC"/>
    <w:rsid w:val="45ABDD93"/>
    <w:rsid w:val="45AD0467"/>
    <w:rsid w:val="45AD5E44"/>
    <w:rsid w:val="45B63582"/>
    <w:rsid w:val="45BF24FD"/>
    <w:rsid w:val="45C4DE98"/>
    <w:rsid w:val="45D2AFFE"/>
    <w:rsid w:val="45D4F68B"/>
    <w:rsid w:val="45D70844"/>
    <w:rsid w:val="45DB8113"/>
    <w:rsid w:val="45DB9873"/>
    <w:rsid w:val="45DED418"/>
    <w:rsid w:val="45E20EC4"/>
    <w:rsid w:val="45E69FB9"/>
    <w:rsid w:val="45E8E4D2"/>
    <w:rsid w:val="45F18E2D"/>
    <w:rsid w:val="45F744FB"/>
    <w:rsid w:val="45FAC4CE"/>
    <w:rsid w:val="460D99E5"/>
    <w:rsid w:val="460ED7AD"/>
    <w:rsid w:val="4615C83D"/>
    <w:rsid w:val="461C643D"/>
    <w:rsid w:val="461C86E2"/>
    <w:rsid w:val="4622654B"/>
    <w:rsid w:val="46265B93"/>
    <w:rsid w:val="463AD40A"/>
    <w:rsid w:val="4640A2F0"/>
    <w:rsid w:val="46450D38"/>
    <w:rsid w:val="464A98E5"/>
    <w:rsid w:val="4666C17B"/>
    <w:rsid w:val="466D9C2D"/>
    <w:rsid w:val="46715375"/>
    <w:rsid w:val="4675C8DF"/>
    <w:rsid w:val="4676973A"/>
    <w:rsid w:val="46807083"/>
    <w:rsid w:val="4687DE16"/>
    <w:rsid w:val="4689A6A1"/>
    <w:rsid w:val="46AA94BC"/>
    <w:rsid w:val="46BF8C3A"/>
    <w:rsid w:val="46CA5B2F"/>
    <w:rsid w:val="46D5945D"/>
    <w:rsid w:val="46DB9096"/>
    <w:rsid w:val="46FEDF01"/>
    <w:rsid w:val="470F1912"/>
    <w:rsid w:val="471CB1BD"/>
    <w:rsid w:val="472516C9"/>
    <w:rsid w:val="47252BFF"/>
    <w:rsid w:val="4728461A"/>
    <w:rsid w:val="472B66E5"/>
    <w:rsid w:val="473A31B7"/>
    <w:rsid w:val="473FB4B1"/>
    <w:rsid w:val="47401237"/>
    <w:rsid w:val="4745E77F"/>
    <w:rsid w:val="475190F6"/>
    <w:rsid w:val="475CFA61"/>
    <w:rsid w:val="47619802"/>
    <w:rsid w:val="47691278"/>
    <w:rsid w:val="476A05A8"/>
    <w:rsid w:val="47790703"/>
    <w:rsid w:val="477C2ABD"/>
    <w:rsid w:val="477DB29F"/>
    <w:rsid w:val="47879F70"/>
    <w:rsid w:val="4787E7A7"/>
    <w:rsid w:val="478C53F7"/>
    <w:rsid w:val="4790D060"/>
    <w:rsid w:val="47AADEB8"/>
    <w:rsid w:val="47AEDA13"/>
    <w:rsid w:val="47AF1352"/>
    <w:rsid w:val="47B0800B"/>
    <w:rsid w:val="47B4085B"/>
    <w:rsid w:val="47CE2EAE"/>
    <w:rsid w:val="47D9041F"/>
    <w:rsid w:val="47DF242C"/>
    <w:rsid w:val="47DFF14B"/>
    <w:rsid w:val="47E5D828"/>
    <w:rsid w:val="47FA8A73"/>
    <w:rsid w:val="480658F4"/>
    <w:rsid w:val="480B19E0"/>
    <w:rsid w:val="481EE9E9"/>
    <w:rsid w:val="482BEB41"/>
    <w:rsid w:val="48398439"/>
    <w:rsid w:val="4839E9A0"/>
    <w:rsid w:val="484AA1DF"/>
    <w:rsid w:val="4868E92A"/>
    <w:rsid w:val="487002B1"/>
    <w:rsid w:val="487D20AC"/>
    <w:rsid w:val="487E2778"/>
    <w:rsid w:val="4889FF83"/>
    <w:rsid w:val="4894DEFE"/>
    <w:rsid w:val="489E5797"/>
    <w:rsid w:val="48B32478"/>
    <w:rsid w:val="48B5B625"/>
    <w:rsid w:val="48B5C86B"/>
    <w:rsid w:val="48C01878"/>
    <w:rsid w:val="48D4748B"/>
    <w:rsid w:val="48D55A85"/>
    <w:rsid w:val="48D98412"/>
    <w:rsid w:val="48DAA4F1"/>
    <w:rsid w:val="48DCDEF6"/>
    <w:rsid w:val="48DEB80B"/>
    <w:rsid w:val="48E3F742"/>
    <w:rsid w:val="48E4DC12"/>
    <w:rsid w:val="48EBEE82"/>
    <w:rsid w:val="48F2ED0E"/>
    <w:rsid w:val="48FBA4A5"/>
    <w:rsid w:val="4901C004"/>
    <w:rsid w:val="490566DF"/>
    <w:rsid w:val="4912A477"/>
    <w:rsid w:val="491826BB"/>
    <w:rsid w:val="4923C908"/>
    <w:rsid w:val="492514D5"/>
    <w:rsid w:val="492B2339"/>
    <w:rsid w:val="492D4DDB"/>
    <w:rsid w:val="493A561B"/>
    <w:rsid w:val="495B7826"/>
    <w:rsid w:val="495CEF35"/>
    <w:rsid w:val="495F1E23"/>
    <w:rsid w:val="49676F09"/>
    <w:rsid w:val="4973515C"/>
    <w:rsid w:val="49830112"/>
    <w:rsid w:val="4987B452"/>
    <w:rsid w:val="4987E7D7"/>
    <w:rsid w:val="49896CE4"/>
    <w:rsid w:val="498E4382"/>
    <w:rsid w:val="498FF1FB"/>
    <w:rsid w:val="49976D56"/>
    <w:rsid w:val="499B274A"/>
    <w:rsid w:val="49A4A762"/>
    <w:rsid w:val="49AC704E"/>
    <w:rsid w:val="49B0A466"/>
    <w:rsid w:val="49B9C356"/>
    <w:rsid w:val="49C540B6"/>
    <w:rsid w:val="49C8D99F"/>
    <w:rsid w:val="49CC1720"/>
    <w:rsid w:val="49D1677E"/>
    <w:rsid w:val="49DAEEAB"/>
    <w:rsid w:val="49E7E169"/>
    <w:rsid w:val="49EAA066"/>
    <w:rsid w:val="49EF7836"/>
    <w:rsid w:val="4A0A95BD"/>
    <w:rsid w:val="4A0E96AC"/>
    <w:rsid w:val="4A1C67F5"/>
    <w:rsid w:val="4A2A4C20"/>
    <w:rsid w:val="4A2BB6ED"/>
    <w:rsid w:val="4A2EBA8C"/>
    <w:rsid w:val="4A31EA68"/>
    <w:rsid w:val="4A3474A9"/>
    <w:rsid w:val="4A3B9495"/>
    <w:rsid w:val="4A5AFACF"/>
    <w:rsid w:val="4A5B0AEC"/>
    <w:rsid w:val="4A6446E7"/>
    <w:rsid w:val="4A679E9D"/>
    <w:rsid w:val="4A68D49B"/>
    <w:rsid w:val="4A7A4792"/>
    <w:rsid w:val="4A830ABD"/>
    <w:rsid w:val="4A908EB3"/>
    <w:rsid w:val="4A9638A2"/>
    <w:rsid w:val="4AA2CDF7"/>
    <w:rsid w:val="4AAA3476"/>
    <w:rsid w:val="4AC66DA0"/>
    <w:rsid w:val="4AC74902"/>
    <w:rsid w:val="4AC7EA5C"/>
    <w:rsid w:val="4ACAA478"/>
    <w:rsid w:val="4AD42DCB"/>
    <w:rsid w:val="4AD47978"/>
    <w:rsid w:val="4AE12217"/>
    <w:rsid w:val="4AE7AC35"/>
    <w:rsid w:val="4AE91DFD"/>
    <w:rsid w:val="4AFB187E"/>
    <w:rsid w:val="4AFB33CA"/>
    <w:rsid w:val="4AFC9442"/>
    <w:rsid w:val="4B146F6C"/>
    <w:rsid w:val="4B14B1EA"/>
    <w:rsid w:val="4B1BF054"/>
    <w:rsid w:val="4B248CA6"/>
    <w:rsid w:val="4B24C32E"/>
    <w:rsid w:val="4B2E9D72"/>
    <w:rsid w:val="4B407EE3"/>
    <w:rsid w:val="4B491703"/>
    <w:rsid w:val="4B5FA3D6"/>
    <w:rsid w:val="4B6A324E"/>
    <w:rsid w:val="4B79B0CC"/>
    <w:rsid w:val="4B79D1D3"/>
    <w:rsid w:val="4B7F9888"/>
    <w:rsid w:val="4B890390"/>
    <w:rsid w:val="4B91C6FC"/>
    <w:rsid w:val="4B92CA5A"/>
    <w:rsid w:val="4BAD9C1A"/>
    <w:rsid w:val="4BB31C0D"/>
    <w:rsid w:val="4BCE0CC5"/>
    <w:rsid w:val="4BD5AD99"/>
    <w:rsid w:val="4BD7668B"/>
    <w:rsid w:val="4BE47A72"/>
    <w:rsid w:val="4BE7E32A"/>
    <w:rsid w:val="4BE9C391"/>
    <w:rsid w:val="4C042763"/>
    <w:rsid w:val="4C200C2F"/>
    <w:rsid w:val="4C2ADDB8"/>
    <w:rsid w:val="4C2E2547"/>
    <w:rsid w:val="4C381F66"/>
    <w:rsid w:val="4C3FC943"/>
    <w:rsid w:val="4C43C742"/>
    <w:rsid w:val="4C4B4733"/>
    <w:rsid w:val="4C4E82C5"/>
    <w:rsid w:val="4C55FC95"/>
    <w:rsid w:val="4C58EDD4"/>
    <w:rsid w:val="4C5C5D14"/>
    <w:rsid w:val="4C762AA5"/>
    <w:rsid w:val="4C7E5A31"/>
    <w:rsid w:val="4C85DDA5"/>
    <w:rsid w:val="4C8A96E4"/>
    <w:rsid w:val="4C9C30F8"/>
    <w:rsid w:val="4CA2B836"/>
    <w:rsid w:val="4CA771B2"/>
    <w:rsid w:val="4CB60A31"/>
    <w:rsid w:val="4CC06EE8"/>
    <w:rsid w:val="4CC09C97"/>
    <w:rsid w:val="4CC5C6A8"/>
    <w:rsid w:val="4CCD2BC0"/>
    <w:rsid w:val="4CDC428C"/>
    <w:rsid w:val="4CE5D387"/>
    <w:rsid w:val="4CF0445A"/>
    <w:rsid w:val="4D0CD512"/>
    <w:rsid w:val="4D0D153F"/>
    <w:rsid w:val="4D206E00"/>
    <w:rsid w:val="4D28C655"/>
    <w:rsid w:val="4D290B68"/>
    <w:rsid w:val="4D2EC319"/>
    <w:rsid w:val="4D40516B"/>
    <w:rsid w:val="4D63D838"/>
    <w:rsid w:val="4D6CDD37"/>
    <w:rsid w:val="4D711D2B"/>
    <w:rsid w:val="4D87605F"/>
    <w:rsid w:val="4D91ED17"/>
    <w:rsid w:val="4D9EB601"/>
    <w:rsid w:val="4DA9D73A"/>
    <w:rsid w:val="4DAC4F4C"/>
    <w:rsid w:val="4DC6876D"/>
    <w:rsid w:val="4DCE02F5"/>
    <w:rsid w:val="4DF85CCD"/>
    <w:rsid w:val="4DFA4DD0"/>
    <w:rsid w:val="4DFECAB7"/>
    <w:rsid w:val="4E1F1D84"/>
    <w:rsid w:val="4E20421A"/>
    <w:rsid w:val="4E2811CE"/>
    <w:rsid w:val="4E317DCB"/>
    <w:rsid w:val="4E39008A"/>
    <w:rsid w:val="4E3AE46B"/>
    <w:rsid w:val="4E3B9E01"/>
    <w:rsid w:val="4E3F5084"/>
    <w:rsid w:val="4E418BC9"/>
    <w:rsid w:val="4E42C1CE"/>
    <w:rsid w:val="4E43683C"/>
    <w:rsid w:val="4E479AED"/>
    <w:rsid w:val="4E49D521"/>
    <w:rsid w:val="4E4F7E61"/>
    <w:rsid w:val="4E563F62"/>
    <w:rsid w:val="4E56A03E"/>
    <w:rsid w:val="4E5A25CD"/>
    <w:rsid w:val="4E5B9514"/>
    <w:rsid w:val="4E61311C"/>
    <w:rsid w:val="4E6658CC"/>
    <w:rsid w:val="4E79C32A"/>
    <w:rsid w:val="4E825C25"/>
    <w:rsid w:val="4E83AE86"/>
    <w:rsid w:val="4E92C317"/>
    <w:rsid w:val="4EA171E5"/>
    <w:rsid w:val="4EA17B16"/>
    <w:rsid w:val="4EA4A142"/>
    <w:rsid w:val="4EB05A34"/>
    <w:rsid w:val="4EB8E085"/>
    <w:rsid w:val="4EC0522F"/>
    <w:rsid w:val="4EC3AEBE"/>
    <w:rsid w:val="4EF530D4"/>
    <w:rsid w:val="4EF875E6"/>
    <w:rsid w:val="4F0650BB"/>
    <w:rsid w:val="4F1F113C"/>
    <w:rsid w:val="4F214F56"/>
    <w:rsid w:val="4F249946"/>
    <w:rsid w:val="4F29B082"/>
    <w:rsid w:val="4F2BCA29"/>
    <w:rsid w:val="4F2FA325"/>
    <w:rsid w:val="4F3115EA"/>
    <w:rsid w:val="4F3963E2"/>
    <w:rsid w:val="4F3A8B34"/>
    <w:rsid w:val="4F3EC841"/>
    <w:rsid w:val="4F6A3CAE"/>
    <w:rsid w:val="4F6B72D2"/>
    <w:rsid w:val="4F787080"/>
    <w:rsid w:val="4F7C5224"/>
    <w:rsid w:val="4F847A49"/>
    <w:rsid w:val="4F8FF3FC"/>
    <w:rsid w:val="4FA54995"/>
    <w:rsid w:val="4FBFCBA0"/>
    <w:rsid w:val="4FDD03F8"/>
    <w:rsid w:val="4FE1A74B"/>
    <w:rsid w:val="4FE532BA"/>
    <w:rsid w:val="4FEBE74A"/>
    <w:rsid w:val="4FEC7F5F"/>
    <w:rsid w:val="4FEF4623"/>
    <w:rsid w:val="4FF5FE19"/>
    <w:rsid w:val="4FF94711"/>
    <w:rsid w:val="50070C45"/>
    <w:rsid w:val="50148095"/>
    <w:rsid w:val="50211568"/>
    <w:rsid w:val="50271C81"/>
    <w:rsid w:val="502B3883"/>
    <w:rsid w:val="50377E05"/>
    <w:rsid w:val="50425140"/>
    <w:rsid w:val="5043A9EA"/>
    <w:rsid w:val="504FD0F4"/>
    <w:rsid w:val="5055E525"/>
    <w:rsid w:val="5066C421"/>
    <w:rsid w:val="506B5C04"/>
    <w:rsid w:val="507454DC"/>
    <w:rsid w:val="50766FB2"/>
    <w:rsid w:val="507CD7D6"/>
    <w:rsid w:val="507E2B03"/>
    <w:rsid w:val="5089DBE9"/>
    <w:rsid w:val="508B3B02"/>
    <w:rsid w:val="508C9FB2"/>
    <w:rsid w:val="508DF560"/>
    <w:rsid w:val="50A20D00"/>
    <w:rsid w:val="50B9BD33"/>
    <w:rsid w:val="50BCE167"/>
    <w:rsid w:val="50CA6E0F"/>
    <w:rsid w:val="50D95433"/>
    <w:rsid w:val="50E2B26D"/>
    <w:rsid w:val="50EEB954"/>
    <w:rsid w:val="5100018D"/>
    <w:rsid w:val="510A6034"/>
    <w:rsid w:val="510FB463"/>
    <w:rsid w:val="51158558"/>
    <w:rsid w:val="5119E2E7"/>
    <w:rsid w:val="511CB6FC"/>
    <w:rsid w:val="512A6480"/>
    <w:rsid w:val="51331D65"/>
    <w:rsid w:val="513B55C9"/>
    <w:rsid w:val="513EF0EC"/>
    <w:rsid w:val="51430981"/>
    <w:rsid w:val="514AFF94"/>
    <w:rsid w:val="514BBB32"/>
    <w:rsid w:val="514D342B"/>
    <w:rsid w:val="515E5EF3"/>
    <w:rsid w:val="5164F639"/>
    <w:rsid w:val="516A1728"/>
    <w:rsid w:val="51782CC7"/>
    <w:rsid w:val="517E3267"/>
    <w:rsid w:val="518259E0"/>
    <w:rsid w:val="51907C06"/>
    <w:rsid w:val="51A4CFA1"/>
    <w:rsid w:val="51A83105"/>
    <w:rsid w:val="51AC796B"/>
    <w:rsid w:val="51B198AF"/>
    <w:rsid w:val="51BCCB0B"/>
    <w:rsid w:val="51CE3779"/>
    <w:rsid w:val="51D05E77"/>
    <w:rsid w:val="51D0D50D"/>
    <w:rsid w:val="51D7FCF5"/>
    <w:rsid w:val="51DF161A"/>
    <w:rsid w:val="51E60A87"/>
    <w:rsid w:val="51E63643"/>
    <w:rsid w:val="51EF7319"/>
    <w:rsid w:val="51F2B99B"/>
    <w:rsid w:val="51F3855C"/>
    <w:rsid w:val="51F8F5FF"/>
    <w:rsid w:val="51FD869D"/>
    <w:rsid w:val="52094C8A"/>
    <w:rsid w:val="520B6301"/>
    <w:rsid w:val="52120277"/>
    <w:rsid w:val="52168A14"/>
    <w:rsid w:val="52178723"/>
    <w:rsid w:val="5236BB6D"/>
    <w:rsid w:val="523E5832"/>
    <w:rsid w:val="52406E08"/>
    <w:rsid w:val="5248C539"/>
    <w:rsid w:val="524C5B81"/>
    <w:rsid w:val="525058A0"/>
    <w:rsid w:val="52559271"/>
    <w:rsid w:val="525C199C"/>
    <w:rsid w:val="525E5F4C"/>
    <w:rsid w:val="526969BA"/>
    <w:rsid w:val="526974CC"/>
    <w:rsid w:val="5275B86C"/>
    <w:rsid w:val="527BAD3E"/>
    <w:rsid w:val="527C990E"/>
    <w:rsid w:val="527DE159"/>
    <w:rsid w:val="5288C017"/>
    <w:rsid w:val="528CDBBB"/>
    <w:rsid w:val="5290FD3E"/>
    <w:rsid w:val="529C9E5A"/>
    <w:rsid w:val="52B13571"/>
    <w:rsid w:val="52B2BB49"/>
    <w:rsid w:val="52BBD43B"/>
    <w:rsid w:val="52BEE0E3"/>
    <w:rsid w:val="52D058E9"/>
    <w:rsid w:val="52DC63A0"/>
    <w:rsid w:val="52DFC037"/>
    <w:rsid w:val="52E0263D"/>
    <w:rsid w:val="52E20DB7"/>
    <w:rsid w:val="52F2B08C"/>
    <w:rsid w:val="52F49D9C"/>
    <w:rsid w:val="52FAAAE7"/>
    <w:rsid w:val="5309AA08"/>
    <w:rsid w:val="5311F9D5"/>
    <w:rsid w:val="532140BB"/>
    <w:rsid w:val="5327B827"/>
    <w:rsid w:val="532FA076"/>
    <w:rsid w:val="533517C6"/>
    <w:rsid w:val="53499280"/>
    <w:rsid w:val="534BCDD6"/>
    <w:rsid w:val="535C5D8C"/>
    <w:rsid w:val="536B7CF1"/>
    <w:rsid w:val="536D86F7"/>
    <w:rsid w:val="5370AFEB"/>
    <w:rsid w:val="537D6B7B"/>
    <w:rsid w:val="5382263D"/>
    <w:rsid w:val="539664D4"/>
    <w:rsid w:val="539ECB86"/>
    <w:rsid w:val="53A25F08"/>
    <w:rsid w:val="53AE0941"/>
    <w:rsid w:val="53AFFABB"/>
    <w:rsid w:val="53BD1C9E"/>
    <w:rsid w:val="53BD3A3B"/>
    <w:rsid w:val="53CF5B04"/>
    <w:rsid w:val="53DB1152"/>
    <w:rsid w:val="53DC20F0"/>
    <w:rsid w:val="53DD0808"/>
    <w:rsid w:val="53DDDAE5"/>
    <w:rsid w:val="53E6E374"/>
    <w:rsid w:val="53FC43EC"/>
    <w:rsid w:val="540C6228"/>
    <w:rsid w:val="540E2AB3"/>
    <w:rsid w:val="54112629"/>
    <w:rsid w:val="5425DEFB"/>
    <w:rsid w:val="543165D3"/>
    <w:rsid w:val="5438F8AD"/>
    <w:rsid w:val="543B14E9"/>
    <w:rsid w:val="54431B81"/>
    <w:rsid w:val="5444B569"/>
    <w:rsid w:val="544B1A4A"/>
    <w:rsid w:val="544F0925"/>
    <w:rsid w:val="545B62B7"/>
    <w:rsid w:val="545D1ACF"/>
    <w:rsid w:val="545DCBD6"/>
    <w:rsid w:val="5464FE4E"/>
    <w:rsid w:val="5473719B"/>
    <w:rsid w:val="549F0C40"/>
    <w:rsid w:val="54A10B78"/>
    <w:rsid w:val="54AFC3AD"/>
    <w:rsid w:val="54B7F860"/>
    <w:rsid w:val="54BB92F7"/>
    <w:rsid w:val="54D8306F"/>
    <w:rsid w:val="54DB793C"/>
    <w:rsid w:val="54EA5CA4"/>
    <w:rsid w:val="54EC5E2F"/>
    <w:rsid w:val="54FA235A"/>
    <w:rsid w:val="54FA7C45"/>
    <w:rsid w:val="54FCDAF3"/>
    <w:rsid w:val="55061B2C"/>
    <w:rsid w:val="5507AF17"/>
    <w:rsid w:val="550BCE03"/>
    <w:rsid w:val="5523CB26"/>
    <w:rsid w:val="55255063"/>
    <w:rsid w:val="552A0B38"/>
    <w:rsid w:val="55304B34"/>
    <w:rsid w:val="5533C5EC"/>
    <w:rsid w:val="55542FB5"/>
    <w:rsid w:val="555D6617"/>
    <w:rsid w:val="55676313"/>
    <w:rsid w:val="556C2AC8"/>
    <w:rsid w:val="55721A99"/>
    <w:rsid w:val="5577D639"/>
    <w:rsid w:val="55843CFD"/>
    <w:rsid w:val="558FB828"/>
    <w:rsid w:val="55981E2B"/>
    <w:rsid w:val="55A02D2A"/>
    <w:rsid w:val="55B0EBE8"/>
    <w:rsid w:val="55CCD2B3"/>
    <w:rsid w:val="55DD9829"/>
    <w:rsid w:val="55DEF267"/>
    <w:rsid w:val="55E0A6C4"/>
    <w:rsid w:val="55E67D77"/>
    <w:rsid w:val="55EC808E"/>
    <w:rsid w:val="55F4DC33"/>
    <w:rsid w:val="56051141"/>
    <w:rsid w:val="5606B3EB"/>
    <w:rsid w:val="560BDD36"/>
    <w:rsid w:val="56140F4F"/>
    <w:rsid w:val="561B7C96"/>
    <w:rsid w:val="562B6CE5"/>
    <w:rsid w:val="562F7CFD"/>
    <w:rsid w:val="563B5D49"/>
    <w:rsid w:val="56539355"/>
    <w:rsid w:val="5654411F"/>
    <w:rsid w:val="5658DCA2"/>
    <w:rsid w:val="5674C6A9"/>
    <w:rsid w:val="5684DF1E"/>
    <w:rsid w:val="56894738"/>
    <w:rsid w:val="569470DC"/>
    <w:rsid w:val="56951EE1"/>
    <w:rsid w:val="569B9492"/>
    <w:rsid w:val="569DBB75"/>
    <w:rsid w:val="56A07BC0"/>
    <w:rsid w:val="56A70F4C"/>
    <w:rsid w:val="56B2E525"/>
    <w:rsid w:val="56C7645D"/>
    <w:rsid w:val="56D387E0"/>
    <w:rsid w:val="56D5B604"/>
    <w:rsid w:val="56DCD23D"/>
    <w:rsid w:val="56E3E232"/>
    <w:rsid w:val="56EC3EFE"/>
    <w:rsid w:val="56F1D244"/>
    <w:rsid w:val="56FF7938"/>
    <w:rsid w:val="57055FE6"/>
    <w:rsid w:val="570A00DC"/>
    <w:rsid w:val="570C2663"/>
    <w:rsid w:val="57104E4C"/>
    <w:rsid w:val="57183F7B"/>
    <w:rsid w:val="571BF8DB"/>
    <w:rsid w:val="57341037"/>
    <w:rsid w:val="573CDCAD"/>
    <w:rsid w:val="57480F35"/>
    <w:rsid w:val="575CAE16"/>
    <w:rsid w:val="575E168D"/>
    <w:rsid w:val="57660D06"/>
    <w:rsid w:val="5767119F"/>
    <w:rsid w:val="57694799"/>
    <w:rsid w:val="577534EE"/>
    <w:rsid w:val="577F0858"/>
    <w:rsid w:val="5780C64B"/>
    <w:rsid w:val="5787633C"/>
    <w:rsid w:val="5787C7D2"/>
    <w:rsid w:val="578A038B"/>
    <w:rsid w:val="578A1FC0"/>
    <w:rsid w:val="5798598C"/>
    <w:rsid w:val="57A11A34"/>
    <w:rsid w:val="57A36476"/>
    <w:rsid w:val="57B05989"/>
    <w:rsid w:val="57B1831E"/>
    <w:rsid w:val="57B3046F"/>
    <w:rsid w:val="57B5F794"/>
    <w:rsid w:val="57C4F1C9"/>
    <w:rsid w:val="57DA750B"/>
    <w:rsid w:val="57DEB6E0"/>
    <w:rsid w:val="57E48E39"/>
    <w:rsid w:val="57ECE712"/>
    <w:rsid w:val="57F11BAB"/>
    <w:rsid w:val="5805BFE1"/>
    <w:rsid w:val="58163C39"/>
    <w:rsid w:val="58185E11"/>
    <w:rsid w:val="58258DB8"/>
    <w:rsid w:val="582842F6"/>
    <w:rsid w:val="583ADA89"/>
    <w:rsid w:val="583CDA65"/>
    <w:rsid w:val="5840937D"/>
    <w:rsid w:val="5842CFF5"/>
    <w:rsid w:val="58433A6B"/>
    <w:rsid w:val="5843C8E8"/>
    <w:rsid w:val="58538772"/>
    <w:rsid w:val="585B1FC1"/>
    <w:rsid w:val="586E6E43"/>
    <w:rsid w:val="5871DD5D"/>
    <w:rsid w:val="5880951D"/>
    <w:rsid w:val="5880B29F"/>
    <w:rsid w:val="5894AB28"/>
    <w:rsid w:val="58B0D271"/>
    <w:rsid w:val="58B2F31E"/>
    <w:rsid w:val="58B39365"/>
    <w:rsid w:val="58BB9B36"/>
    <w:rsid w:val="58CAB39E"/>
    <w:rsid w:val="58D16610"/>
    <w:rsid w:val="58D40DA6"/>
    <w:rsid w:val="58FCDC51"/>
    <w:rsid w:val="5906FE83"/>
    <w:rsid w:val="590928C0"/>
    <w:rsid w:val="59248F2C"/>
    <w:rsid w:val="593401D9"/>
    <w:rsid w:val="5939FAAD"/>
    <w:rsid w:val="59470995"/>
    <w:rsid w:val="5958E6F1"/>
    <w:rsid w:val="595C8385"/>
    <w:rsid w:val="59617D44"/>
    <w:rsid w:val="596749CE"/>
    <w:rsid w:val="59726C5C"/>
    <w:rsid w:val="597E103E"/>
    <w:rsid w:val="5980E5ED"/>
    <w:rsid w:val="59900BED"/>
    <w:rsid w:val="59908F6E"/>
    <w:rsid w:val="599199D6"/>
    <w:rsid w:val="59919ADF"/>
    <w:rsid w:val="599D496D"/>
    <w:rsid w:val="59A02E5A"/>
    <w:rsid w:val="59A1C20B"/>
    <w:rsid w:val="59A9567D"/>
    <w:rsid w:val="59AF358D"/>
    <w:rsid w:val="59B11F2A"/>
    <w:rsid w:val="59B6FAFF"/>
    <w:rsid w:val="59B7C4D0"/>
    <w:rsid w:val="59C557D1"/>
    <w:rsid w:val="59CD71C4"/>
    <w:rsid w:val="59D359AD"/>
    <w:rsid w:val="59DFFDAD"/>
    <w:rsid w:val="59F98229"/>
    <w:rsid w:val="5A0EF2F6"/>
    <w:rsid w:val="5A10993D"/>
    <w:rsid w:val="5A17BD22"/>
    <w:rsid w:val="5A19F0C8"/>
    <w:rsid w:val="5A1C2577"/>
    <w:rsid w:val="5A26289A"/>
    <w:rsid w:val="5A2EEB48"/>
    <w:rsid w:val="5A2F652C"/>
    <w:rsid w:val="5A39880C"/>
    <w:rsid w:val="5A457978"/>
    <w:rsid w:val="5A46509B"/>
    <w:rsid w:val="5A56FFC0"/>
    <w:rsid w:val="5A571FA4"/>
    <w:rsid w:val="5A5D9D5A"/>
    <w:rsid w:val="5A6AB79E"/>
    <w:rsid w:val="5A6E60C3"/>
    <w:rsid w:val="5A770C5A"/>
    <w:rsid w:val="5A8BBCAB"/>
    <w:rsid w:val="5A8E3B25"/>
    <w:rsid w:val="5A902D90"/>
    <w:rsid w:val="5A928C29"/>
    <w:rsid w:val="5A96B771"/>
    <w:rsid w:val="5A9C2BF1"/>
    <w:rsid w:val="5AA0DBD5"/>
    <w:rsid w:val="5AA3EEEF"/>
    <w:rsid w:val="5AB582A0"/>
    <w:rsid w:val="5AB675FD"/>
    <w:rsid w:val="5AB7AE76"/>
    <w:rsid w:val="5AC795F3"/>
    <w:rsid w:val="5AD95A95"/>
    <w:rsid w:val="5ADB8534"/>
    <w:rsid w:val="5AE47D45"/>
    <w:rsid w:val="5AF3B677"/>
    <w:rsid w:val="5AFE7B6A"/>
    <w:rsid w:val="5B06017D"/>
    <w:rsid w:val="5B097FBE"/>
    <w:rsid w:val="5B107FBE"/>
    <w:rsid w:val="5B12532D"/>
    <w:rsid w:val="5B1B3DBB"/>
    <w:rsid w:val="5B23EFA7"/>
    <w:rsid w:val="5B3AE18B"/>
    <w:rsid w:val="5B408559"/>
    <w:rsid w:val="5B511A70"/>
    <w:rsid w:val="5B5E8F5B"/>
    <w:rsid w:val="5B631A42"/>
    <w:rsid w:val="5B6742D3"/>
    <w:rsid w:val="5B6CB906"/>
    <w:rsid w:val="5B79772D"/>
    <w:rsid w:val="5B7BE81A"/>
    <w:rsid w:val="5B7C5CCF"/>
    <w:rsid w:val="5B7D1354"/>
    <w:rsid w:val="5B7E33CD"/>
    <w:rsid w:val="5B8513D5"/>
    <w:rsid w:val="5B8A51E1"/>
    <w:rsid w:val="5B8CB7AB"/>
    <w:rsid w:val="5B8D5ED9"/>
    <w:rsid w:val="5B8EA46F"/>
    <w:rsid w:val="5B9F83A2"/>
    <w:rsid w:val="5BAA1D26"/>
    <w:rsid w:val="5BAE1C34"/>
    <w:rsid w:val="5BB0BDBC"/>
    <w:rsid w:val="5BB146F0"/>
    <w:rsid w:val="5BB2BFC6"/>
    <w:rsid w:val="5BB9E8B5"/>
    <w:rsid w:val="5BC21DCE"/>
    <w:rsid w:val="5BCFEA6C"/>
    <w:rsid w:val="5BD3827F"/>
    <w:rsid w:val="5BDFBE20"/>
    <w:rsid w:val="5BE1B229"/>
    <w:rsid w:val="5BEAC57D"/>
    <w:rsid w:val="5BEC5741"/>
    <w:rsid w:val="5BEEA7A9"/>
    <w:rsid w:val="5BEF0324"/>
    <w:rsid w:val="5BF1EFF2"/>
    <w:rsid w:val="5BF309D3"/>
    <w:rsid w:val="5BFA8582"/>
    <w:rsid w:val="5C041EA2"/>
    <w:rsid w:val="5C10EED1"/>
    <w:rsid w:val="5C16BFB1"/>
    <w:rsid w:val="5C1E6C58"/>
    <w:rsid w:val="5C1E9508"/>
    <w:rsid w:val="5C2512F9"/>
    <w:rsid w:val="5C2513D9"/>
    <w:rsid w:val="5C338A0C"/>
    <w:rsid w:val="5C35DD69"/>
    <w:rsid w:val="5C4036B8"/>
    <w:rsid w:val="5C448E76"/>
    <w:rsid w:val="5C5A6788"/>
    <w:rsid w:val="5C694C5C"/>
    <w:rsid w:val="5C811157"/>
    <w:rsid w:val="5C90B3F6"/>
    <w:rsid w:val="5C910F18"/>
    <w:rsid w:val="5C93AE84"/>
    <w:rsid w:val="5C9B7F10"/>
    <w:rsid w:val="5CA48CD4"/>
    <w:rsid w:val="5CA5E584"/>
    <w:rsid w:val="5CA76628"/>
    <w:rsid w:val="5CAAA77F"/>
    <w:rsid w:val="5CABB6AA"/>
    <w:rsid w:val="5CB77558"/>
    <w:rsid w:val="5CC18AB0"/>
    <w:rsid w:val="5CE42F4D"/>
    <w:rsid w:val="5CE65CB5"/>
    <w:rsid w:val="5CEB76BF"/>
    <w:rsid w:val="5CECA1F3"/>
    <w:rsid w:val="5CF85EB6"/>
    <w:rsid w:val="5D0037BD"/>
    <w:rsid w:val="5D072A0A"/>
    <w:rsid w:val="5D1B4EAD"/>
    <w:rsid w:val="5D1BF17E"/>
    <w:rsid w:val="5D1FD160"/>
    <w:rsid w:val="5D2BFAC2"/>
    <w:rsid w:val="5D461CF3"/>
    <w:rsid w:val="5D4DCC42"/>
    <w:rsid w:val="5D5C17B3"/>
    <w:rsid w:val="5D5DA18A"/>
    <w:rsid w:val="5D5F0479"/>
    <w:rsid w:val="5D67129D"/>
    <w:rsid w:val="5D6AA485"/>
    <w:rsid w:val="5D6DBE0F"/>
    <w:rsid w:val="5D73679E"/>
    <w:rsid w:val="5D74679F"/>
    <w:rsid w:val="5D774B4A"/>
    <w:rsid w:val="5D781CFB"/>
    <w:rsid w:val="5D804BB8"/>
    <w:rsid w:val="5D829106"/>
    <w:rsid w:val="5D858A22"/>
    <w:rsid w:val="5D8641CE"/>
    <w:rsid w:val="5D8A913C"/>
    <w:rsid w:val="5D9197BE"/>
    <w:rsid w:val="5D930502"/>
    <w:rsid w:val="5D9F0B59"/>
    <w:rsid w:val="5DA5376B"/>
    <w:rsid w:val="5DACB45B"/>
    <w:rsid w:val="5DB237D3"/>
    <w:rsid w:val="5DB2BEF1"/>
    <w:rsid w:val="5DB71822"/>
    <w:rsid w:val="5DC108D4"/>
    <w:rsid w:val="5DC2564B"/>
    <w:rsid w:val="5DC312AF"/>
    <w:rsid w:val="5DCC55BF"/>
    <w:rsid w:val="5DD30BC2"/>
    <w:rsid w:val="5DD7B02A"/>
    <w:rsid w:val="5DE70E51"/>
    <w:rsid w:val="5DEBAED3"/>
    <w:rsid w:val="5DF442B7"/>
    <w:rsid w:val="5DF711EC"/>
    <w:rsid w:val="5E14E7E4"/>
    <w:rsid w:val="5E184D5E"/>
    <w:rsid w:val="5E1B3051"/>
    <w:rsid w:val="5E2BF1FF"/>
    <w:rsid w:val="5E2DE4F0"/>
    <w:rsid w:val="5E3164B4"/>
    <w:rsid w:val="5E3582EE"/>
    <w:rsid w:val="5E395637"/>
    <w:rsid w:val="5E46849C"/>
    <w:rsid w:val="5E476ACF"/>
    <w:rsid w:val="5E4A5CD6"/>
    <w:rsid w:val="5E55F909"/>
    <w:rsid w:val="5E5FED6E"/>
    <w:rsid w:val="5E65887F"/>
    <w:rsid w:val="5E67B935"/>
    <w:rsid w:val="5E681EFF"/>
    <w:rsid w:val="5E7B5FEA"/>
    <w:rsid w:val="5E86D1EA"/>
    <w:rsid w:val="5E872E58"/>
    <w:rsid w:val="5E8CF748"/>
    <w:rsid w:val="5E941FB9"/>
    <w:rsid w:val="5E9951A3"/>
    <w:rsid w:val="5E998E01"/>
    <w:rsid w:val="5EA64A0F"/>
    <w:rsid w:val="5EB63E93"/>
    <w:rsid w:val="5EC02F92"/>
    <w:rsid w:val="5EC589B2"/>
    <w:rsid w:val="5EC5E305"/>
    <w:rsid w:val="5EC86D3E"/>
    <w:rsid w:val="5EC9C206"/>
    <w:rsid w:val="5EDB7E9C"/>
    <w:rsid w:val="5EE847E3"/>
    <w:rsid w:val="5EFF034F"/>
    <w:rsid w:val="5F05EED6"/>
    <w:rsid w:val="5F0AF347"/>
    <w:rsid w:val="5F0EC1F9"/>
    <w:rsid w:val="5F0F6AE5"/>
    <w:rsid w:val="5F202412"/>
    <w:rsid w:val="5F40DCDB"/>
    <w:rsid w:val="5F4A94C6"/>
    <w:rsid w:val="5F56461A"/>
    <w:rsid w:val="5F5C6393"/>
    <w:rsid w:val="5F7EC89A"/>
    <w:rsid w:val="5F8BEF42"/>
    <w:rsid w:val="5F8F49CE"/>
    <w:rsid w:val="5FA38E9A"/>
    <w:rsid w:val="5FA5CCE2"/>
    <w:rsid w:val="5FA920CA"/>
    <w:rsid w:val="5FAA684B"/>
    <w:rsid w:val="5FB50329"/>
    <w:rsid w:val="5FB7E1BE"/>
    <w:rsid w:val="5FC1DAB1"/>
    <w:rsid w:val="5FC40E7B"/>
    <w:rsid w:val="5FC7169A"/>
    <w:rsid w:val="5FD8EBCB"/>
    <w:rsid w:val="5FDC8F98"/>
    <w:rsid w:val="5FE25276"/>
    <w:rsid w:val="5FE6F287"/>
    <w:rsid w:val="5FE90CB5"/>
    <w:rsid w:val="6000BA37"/>
    <w:rsid w:val="6002F602"/>
    <w:rsid w:val="60061BCA"/>
    <w:rsid w:val="6027DD2D"/>
    <w:rsid w:val="6031ADD0"/>
    <w:rsid w:val="60356F49"/>
    <w:rsid w:val="603FC502"/>
    <w:rsid w:val="6044DF5A"/>
    <w:rsid w:val="604CD615"/>
    <w:rsid w:val="605E7161"/>
    <w:rsid w:val="6067AAA5"/>
    <w:rsid w:val="606C47DC"/>
    <w:rsid w:val="60797777"/>
    <w:rsid w:val="6095BAFF"/>
    <w:rsid w:val="609BF387"/>
    <w:rsid w:val="60A13661"/>
    <w:rsid w:val="60A68ADA"/>
    <w:rsid w:val="60B47345"/>
    <w:rsid w:val="60B5638D"/>
    <w:rsid w:val="60BBD710"/>
    <w:rsid w:val="60BCFE74"/>
    <w:rsid w:val="60C2F581"/>
    <w:rsid w:val="60CA90AD"/>
    <w:rsid w:val="60D4CFBB"/>
    <w:rsid w:val="60D676D7"/>
    <w:rsid w:val="60D8B08B"/>
    <w:rsid w:val="60E117D5"/>
    <w:rsid w:val="60F4F895"/>
    <w:rsid w:val="60F59006"/>
    <w:rsid w:val="6121E3DF"/>
    <w:rsid w:val="614AE084"/>
    <w:rsid w:val="614DB294"/>
    <w:rsid w:val="614ED629"/>
    <w:rsid w:val="617D9F7A"/>
    <w:rsid w:val="617E5636"/>
    <w:rsid w:val="617F3488"/>
    <w:rsid w:val="61850ECE"/>
    <w:rsid w:val="6190E815"/>
    <w:rsid w:val="6193B3C0"/>
    <w:rsid w:val="61985128"/>
    <w:rsid w:val="61B300A6"/>
    <w:rsid w:val="61B3549F"/>
    <w:rsid w:val="61B70FB4"/>
    <w:rsid w:val="61CC364F"/>
    <w:rsid w:val="61D594EA"/>
    <w:rsid w:val="61DC2FA1"/>
    <w:rsid w:val="61DCF698"/>
    <w:rsid w:val="61DE6753"/>
    <w:rsid w:val="61E71B93"/>
    <w:rsid w:val="61E7FD50"/>
    <w:rsid w:val="61F26967"/>
    <w:rsid w:val="61F2B9B7"/>
    <w:rsid w:val="61F73A2B"/>
    <w:rsid w:val="61FB15C4"/>
    <w:rsid w:val="61FDAD42"/>
    <w:rsid w:val="62047257"/>
    <w:rsid w:val="620A7302"/>
    <w:rsid w:val="6211E5E5"/>
    <w:rsid w:val="62159A64"/>
    <w:rsid w:val="621B9588"/>
    <w:rsid w:val="621BB6D6"/>
    <w:rsid w:val="6227973B"/>
    <w:rsid w:val="622D7A6D"/>
    <w:rsid w:val="6231E2EC"/>
    <w:rsid w:val="62433EAA"/>
    <w:rsid w:val="6244BBAD"/>
    <w:rsid w:val="624E072B"/>
    <w:rsid w:val="6251D3A0"/>
    <w:rsid w:val="625675AD"/>
    <w:rsid w:val="6275EA42"/>
    <w:rsid w:val="6279EDE7"/>
    <w:rsid w:val="628BA540"/>
    <w:rsid w:val="6292882F"/>
    <w:rsid w:val="62A00BCF"/>
    <w:rsid w:val="62A8DA39"/>
    <w:rsid w:val="62B6D1FA"/>
    <w:rsid w:val="62BCDA21"/>
    <w:rsid w:val="62CDE0D3"/>
    <w:rsid w:val="62D1AC71"/>
    <w:rsid w:val="62D43627"/>
    <w:rsid w:val="62DCEF49"/>
    <w:rsid w:val="62EB371C"/>
    <w:rsid w:val="62FE738E"/>
    <w:rsid w:val="630CB3A5"/>
    <w:rsid w:val="630F2E06"/>
    <w:rsid w:val="6312573A"/>
    <w:rsid w:val="6312ECA7"/>
    <w:rsid w:val="631BD44D"/>
    <w:rsid w:val="63258EC0"/>
    <w:rsid w:val="632AB1FE"/>
    <w:rsid w:val="632BDC24"/>
    <w:rsid w:val="63301B43"/>
    <w:rsid w:val="6332BBED"/>
    <w:rsid w:val="63461602"/>
    <w:rsid w:val="6348A596"/>
    <w:rsid w:val="63533184"/>
    <w:rsid w:val="635EF066"/>
    <w:rsid w:val="6363EA9D"/>
    <w:rsid w:val="63641B62"/>
    <w:rsid w:val="63642033"/>
    <w:rsid w:val="6364D7E0"/>
    <w:rsid w:val="636A8FCE"/>
    <w:rsid w:val="637536B5"/>
    <w:rsid w:val="6392D685"/>
    <w:rsid w:val="639980BE"/>
    <w:rsid w:val="639BAE9A"/>
    <w:rsid w:val="63A127C7"/>
    <w:rsid w:val="63A94DF6"/>
    <w:rsid w:val="63AB5075"/>
    <w:rsid w:val="63B1D437"/>
    <w:rsid w:val="63B60043"/>
    <w:rsid w:val="63B7EEE4"/>
    <w:rsid w:val="63C76EBF"/>
    <w:rsid w:val="63D4E649"/>
    <w:rsid w:val="63D52981"/>
    <w:rsid w:val="63DEABEA"/>
    <w:rsid w:val="63F9CFE8"/>
    <w:rsid w:val="640C5ACA"/>
    <w:rsid w:val="640F1FEC"/>
    <w:rsid w:val="641730F9"/>
    <w:rsid w:val="641E045C"/>
    <w:rsid w:val="6458BD8D"/>
    <w:rsid w:val="645B9E9D"/>
    <w:rsid w:val="645FE594"/>
    <w:rsid w:val="646E16C4"/>
    <w:rsid w:val="646FF3CD"/>
    <w:rsid w:val="6474EEA8"/>
    <w:rsid w:val="64801353"/>
    <w:rsid w:val="6490BC8F"/>
    <w:rsid w:val="64996F7C"/>
    <w:rsid w:val="64ABC7D8"/>
    <w:rsid w:val="64B16D2E"/>
    <w:rsid w:val="64B34831"/>
    <w:rsid w:val="64BFDE49"/>
    <w:rsid w:val="64CF8FB9"/>
    <w:rsid w:val="64D49B04"/>
    <w:rsid w:val="64DD4DCC"/>
    <w:rsid w:val="64E24116"/>
    <w:rsid w:val="64E69BB2"/>
    <w:rsid w:val="64F1AB0E"/>
    <w:rsid w:val="64F45D7C"/>
    <w:rsid w:val="6505BDCA"/>
    <w:rsid w:val="65105AD0"/>
    <w:rsid w:val="651C9C2E"/>
    <w:rsid w:val="6528A00D"/>
    <w:rsid w:val="652A63E1"/>
    <w:rsid w:val="652C7E20"/>
    <w:rsid w:val="652CBE5B"/>
    <w:rsid w:val="6534FDCC"/>
    <w:rsid w:val="65355679"/>
    <w:rsid w:val="65396AE8"/>
    <w:rsid w:val="65400FAB"/>
    <w:rsid w:val="6549B067"/>
    <w:rsid w:val="6550D43C"/>
    <w:rsid w:val="65526E85"/>
    <w:rsid w:val="6556E1C9"/>
    <w:rsid w:val="6558F9E4"/>
    <w:rsid w:val="655D4D43"/>
    <w:rsid w:val="655FB64C"/>
    <w:rsid w:val="656109DC"/>
    <w:rsid w:val="656452E8"/>
    <w:rsid w:val="656BD1F1"/>
    <w:rsid w:val="6584479F"/>
    <w:rsid w:val="6589028F"/>
    <w:rsid w:val="65907523"/>
    <w:rsid w:val="65A92D51"/>
    <w:rsid w:val="65B5539E"/>
    <w:rsid w:val="65B85140"/>
    <w:rsid w:val="65C5477A"/>
    <w:rsid w:val="65CBDA29"/>
    <w:rsid w:val="65CDE780"/>
    <w:rsid w:val="65CDE927"/>
    <w:rsid w:val="65EA1168"/>
    <w:rsid w:val="65F7EB8E"/>
    <w:rsid w:val="6600AAE8"/>
    <w:rsid w:val="66082651"/>
    <w:rsid w:val="6613DDAC"/>
    <w:rsid w:val="6613FF0F"/>
    <w:rsid w:val="66151884"/>
    <w:rsid w:val="661CBBE0"/>
    <w:rsid w:val="661D17F7"/>
    <w:rsid w:val="66347025"/>
    <w:rsid w:val="6649A4E1"/>
    <w:rsid w:val="664EF270"/>
    <w:rsid w:val="66501AE3"/>
    <w:rsid w:val="6656B10C"/>
    <w:rsid w:val="66596965"/>
    <w:rsid w:val="665B1416"/>
    <w:rsid w:val="665EF3B4"/>
    <w:rsid w:val="6667A22F"/>
    <w:rsid w:val="666B9F01"/>
    <w:rsid w:val="666CF7E4"/>
    <w:rsid w:val="66711264"/>
    <w:rsid w:val="6675576A"/>
    <w:rsid w:val="66A1BF66"/>
    <w:rsid w:val="66ABB21D"/>
    <w:rsid w:val="66ADC808"/>
    <w:rsid w:val="66B479C2"/>
    <w:rsid w:val="66B66888"/>
    <w:rsid w:val="66B7B403"/>
    <w:rsid w:val="66BCA854"/>
    <w:rsid w:val="66C2EE6C"/>
    <w:rsid w:val="66CEB731"/>
    <w:rsid w:val="66D22332"/>
    <w:rsid w:val="66D435D2"/>
    <w:rsid w:val="66E514EB"/>
    <w:rsid w:val="66E69EDE"/>
    <w:rsid w:val="66E86365"/>
    <w:rsid w:val="66EF9D2D"/>
    <w:rsid w:val="66F8CCAB"/>
    <w:rsid w:val="66F94124"/>
    <w:rsid w:val="66FC18DA"/>
    <w:rsid w:val="6708732C"/>
    <w:rsid w:val="670FF35C"/>
    <w:rsid w:val="671857B1"/>
    <w:rsid w:val="671B2A38"/>
    <w:rsid w:val="6735EC42"/>
    <w:rsid w:val="674CF7CA"/>
    <w:rsid w:val="674F9624"/>
    <w:rsid w:val="67545A13"/>
    <w:rsid w:val="67636283"/>
    <w:rsid w:val="676603BD"/>
    <w:rsid w:val="6780A8A0"/>
    <w:rsid w:val="679743DF"/>
    <w:rsid w:val="67998CE2"/>
    <w:rsid w:val="679E9677"/>
    <w:rsid w:val="67A230B9"/>
    <w:rsid w:val="67CBCC13"/>
    <w:rsid w:val="67CECC07"/>
    <w:rsid w:val="67D23D35"/>
    <w:rsid w:val="67D27099"/>
    <w:rsid w:val="67D40C81"/>
    <w:rsid w:val="67DF276B"/>
    <w:rsid w:val="67E75009"/>
    <w:rsid w:val="67ED8AFD"/>
    <w:rsid w:val="67F0FE8A"/>
    <w:rsid w:val="67F89AB8"/>
    <w:rsid w:val="67F95094"/>
    <w:rsid w:val="6804DCE2"/>
    <w:rsid w:val="680DD3B0"/>
    <w:rsid w:val="681078E7"/>
    <w:rsid w:val="681B8440"/>
    <w:rsid w:val="68477CCF"/>
    <w:rsid w:val="6855DD69"/>
    <w:rsid w:val="685A5028"/>
    <w:rsid w:val="68659499"/>
    <w:rsid w:val="6867D202"/>
    <w:rsid w:val="686FDA71"/>
    <w:rsid w:val="6881194B"/>
    <w:rsid w:val="6883E2FE"/>
    <w:rsid w:val="68854217"/>
    <w:rsid w:val="68AA14A7"/>
    <w:rsid w:val="68ACCEC9"/>
    <w:rsid w:val="68B1AB8F"/>
    <w:rsid w:val="68B48009"/>
    <w:rsid w:val="68BCA30A"/>
    <w:rsid w:val="68C4A1E7"/>
    <w:rsid w:val="68C7F11B"/>
    <w:rsid w:val="68CB57FB"/>
    <w:rsid w:val="68EFFD60"/>
    <w:rsid w:val="68F46539"/>
    <w:rsid w:val="68FC85A7"/>
    <w:rsid w:val="69003796"/>
    <w:rsid w:val="6906D49A"/>
    <w:rsid w:val="69114DA3"/>
    <w:rsid w:val="691ADF8F"/>
    <w:rsid w:val="691AFC5C"/>
    <w:rsid w:val="6937F6A7"/>
    <w:rsid w:val="696C8E8E"/>
    <w:rsid w:val="697A40A1"/>
    <w:rsid w:val="698A63CD"/>
    <w:rsid w:val="69916473"/>
    <w:rsid w:val="69974110"/>
    <w:rsid w:val="69AE7A0C"/>
    <w:rsid w:val="69B6ED94"/>
    <w:rsid w:val="69C9C738"/>
    <w:rsid w:val="69CC934B"/>
    <w:rsid w:val="69CD09C8"/>
    <w:rsid w:val="69D650D0"/>
    <w:rsid w:val="69DFD3F6"/>
    <w:rsid w:val="69E58F49"/>
    <w:rsid w:val="69E907AA"/>
    <w:rsid w:val="69EB9D02"/>
    <w:rsid w:val="69FF9698"/>
    <w:rsid w:val="6A059EE2"/>
    <w:rsid w:val="6A0853AF"/>
    <w:rsid w:val="6A09BB4D"/>
    <w:rsid w:val="6A3DC05A"/>
    <w:rsid w:val="6A3DFD08"/>
    <w:rsid w:val="6A5B4D41"/>
    <w:rsid w:val="6A6ACC7F"/>
    <w:rsid w:val="6A80488D"/>
    <w:rsid w:val="6A85C0A8"/>
    <w:rsid w:val="6A8B7E6B"/>
    <w:rsid w:val="6A8E8BB0"/>
    <w:rsid w:val="6A95E475"/>
    <w:rsid w:val="6A98D049"/>
    <w:rsid w:val="6A9AD1AC"/>
    <w:rsid w:val="6AA1F85A"/>
    <w:rsid w:val="6AB1586C"/>
    <w:rsid w:val="6AB9D078"/>
    <w:rsid w:val="6ABD917B"/>
    <w:rsid w:val="6AC1BF91"/>
    <w:rsid w:val="6AC6220D"/>
    <w:rsid w:val="6AC6B9D9"/>
    <w:rsid w:val="6AD2981F"/>
    <w:rsid w:val="6AD481FE"/>
    <w:rsid w:val="6AED17BC"/>
    <w:rsid w:val="6AF22B58"/>
    <w:rsid w:val="6AF3AC3F"/>
    <w:rsid w:val="6AF777B6"/>
    <w:rsid w:val="6AF88AD0"/>
    <w:rsid w:val="6B0705FE"/>
    <w:rsid w:val="6B0FDDC2"/>
    <w:rsid w:val="6B0FF18B"/>
    <w:rsid w:val="6B1F3B8F"/>
    <w:rsid w:val="6B2E9F9E"/>
    <w:rsid w:val="6B33E5AC"/>
    <w:rsid w:val="6B3A12C9"/>
    <w:rsid w:val="6B3C9F73"/>
    <w:rsid w:val="6B49B08B"/>
    <w:rsid w:val="6B5DE07B"/>
    <w:rsid w:val="6B69F961"/>
    <w:rsid w:val="6B6A5CD5"/>
    <w:rsid w:val="6B6C5EBB"/>
    <w:rsid w:val="6B77A5F5"/>
    <w:rsid w:val="6B80E9E7"/>
    <w:rsid w:val="6B95654F"/>
    <w:rsid w:val="6B967BF2"/>
    <w:rsid w:val="6B96B53A"/>
    <w:rsid w:val="6B99D866"/>
    <w:rsid w:val="6BA0043E"/>
    <w:rsid w:val="6BA90778"/>
    <w:rsid w:val="6BAD911A"/>
    <w:rsid w:val="6BB472A7"/>
    <w:rsid w:val="6BC133B3"/>
    <w:rsid w:val="6BC41FCB"/>
    <w:rsid w:val="6BC84681"/>
    <w:rsid w:val="6BD01DB6"/>
    <w:rsid w:val="6BDA66F4"/>
    <w:rsid w:val="6BE04E33"/>
    <w:rsid w:val="6BE1DA04"/>
    <w:rsid w:val="6BE32958"/>
    <w:rsid w:val="6BE55094"/>
    <w:rsid w:val="6BE81350"/>
    <w:rsid w:val="6BE9626D"/>
    <w:rsid w:val="6BEC6584"/>
    <w:rsid w:val="6BF672CD"/>
    <w:rsid w:val="6C048EA8"/>
    <w:rsid w:val="6C052F6B"/>
    <w:rsid w:val="6C0B9BBE"/>
    <w:rsid w:val="6C0FA0F1"/>
    <w:rsid w:val="6C1145F6"/>
    <w:rsid w:val="6C1D5A84"/>
    <w:rsid w:val="6C32523E"/>
    <w:rsid w:val="6C3D0C85"/>
    <w:rsid w:val="6C44822A"/>
    <w:rsid w:val="6C535769"/>
    <w:rsid w:val="6C6BEE57"/>
    <w:rsid w:val="6C6F83E3"/>
    <w:rsid w:val="6C6FDB3B"/>
    <w:rsid w:val="6C713A3B"/>
    <w:rsid w:val="6C717477"/>
    <w:rsid w:val="6CADB022"/>
    <w:rsid w:val="6CB02E13"/>
    <w:rsid w:val="6CBC62E9"/>
    <w:rsid w:val="6CC04DF5"/>
    <w:rsid w:val="6CD88F6B"/>
    <w:rsid w:val="6CD9CFB9"/>
    <w:rsid w:val="6CE3F5A7"/>
    <w:rsid w:val="6CE88C57"/>
    <w:rsid w:val="6CE9AAC3"/>
    <w:rsid w:val="6CF00D8A"/>
    <w:rsid w:val="6CF432B3"/>
    <w:rsid w:val="6D015498"/>
    <w:rsid w:val="6D236FCE"/>
    <w:rsid w:val="6D246F24"/>
    <w:rsid w:val="6D28114C"/>
    <w:rsid w:val="6D413A0D"/>
    <w:rsid w:val="6D45DDCB"/>
    <w:rsid w:val="6D45F488"/>
    <w:rsid w:val="6D71761D"/>
    <w:rsid w:val="6D73179A"/>
    <w:rsid w:val="6D754FA7"/>
    <w:rsid w:val="6D75C438"/>
    <w:rsid w:val="6D9A0060"/>
    <w:rsid w:val="6DA66F8B"/>
    <w:rsid w:val="6DAC5AC0"/>
    <w:rsid w:val="6DB0489E"/>
    <w:rsid w:val="6DB73EE8"/>
    <w:rsid w:val="6DBC091B"/>
    <w:rsid w:val="6DC68E94"/>
    <w:rsid w:val="6DD46DDE"/>
    <w:rsid w:val="6DE5F8FA"/>
    <w:rsid w:val="6DEB27A8"/>
    <w:rsid w:val="6DEEE29E"/>
    <w:rsid w:val="6DF443D9"/>
    <w:rsid w:val="6E0A76D1"/>
    <w:rsid w:val="6E0B8B63"/>
    <w:rsid w:val="6E15833A"/>
    <w:rsid w:val="6E1B1E88"/>
    <w:rsid w:val="6E2A89FB"/>
    <w:rsid w:val="6E36720D"/>
    <w:rsid w:val="6E47AC95"/>
    <w:rsid w:val="6E58859C"/>
    <w:rsid w:val="6E6204D1"/>
    <w:rsid w:val="6E68E045"/>
    <w:rsid w:val="6E6E322E"/>
    <w:rsid w:val="6E72B33E"/>
    <w:rsid w:val="6E7D12A6"/>
    <w:rsid w:val="6E84D248"/>
    <w:rsid w:val="6E85A841"/>
    <w:rsid w:val="6E8645DB"/>
    <w:rsid w:val="6E8D914D"/>
    <w:rsid w:val="6E9992F7"/>
    <w:rsid w:val="6E9D85EC"/>
    <w:rsid w:val="6E9E8270"/>
    <w:rsid w:val="6EA201D4"/>
    <w:rsid w:val="6EA63509"/>
    <w:rsid w:val="6EB9FAB9"/>
    <w:rsid w:val="6ED0266F"/>
    <w:rsid w:val="6ED38320"/>
    <w:rsid w:val="6ED57A4E"/>
    <w:rsid w:val="6ED5DF83"/>
    <w:rsid w:val="6EDB33BB"/>
    <w:rsid w:val="6EF6552C"/>
    <w:rsid w:val="6EFA51F9"/>
    <w:rsid w:val="6EFBE141"/>
    <w:rsid w:val="6F1D4A9B"/>
    <w:rsid w:val="6F1E5D70"/>
    <w:rsid w:val="6F2A745D"/>
    <w:rsid w:val="6F2EDC68"/>
    <w:rsid w:val="6F3A9DA5"/>
    <w:rsid w:val="6F3B3C6D"/>
    <w:rsid w:val="6F604A11"/>
    <w:rsid w:val="6F65C765"/>
    <w:rsid w:val="6F7CBFB9"/>
    <w:rsid w:val="6F8115F8"/>
    <w:rsid w:val="6F8125E7"/>
    <w:rsid w:val="6F83D6FC"/>
    <w:rsid w:val="6F841948"/>
    <w:rsid w:val="6F88BD11"/>
    <w:rsid w:val="6F8E79B0"/>
    <w:rsid w:val="6F92900D"/>
    <w:rsid w:val="6F94024D"/>
    <w:rsid w:val="6F9FF755"/>
    <w:rsid w:val="6FA1D9BD"/>
    <w:rsid w:val="6FA48561"/>
    <w:rsid w:val="6FA6C57E"/>
    <w:rsid w:val="6FA73B0A"/>
    <w:rsid w:val="6FBD38F6"/>
    <w:rsid w:val="6FC11E25"/>
    <w:rsid w:val="6FC5BDAB"/>
    <w:rsid w:val="6FC948EB"/>
    <w:rsid w:val="6FCA7735"/>
    <w:rsid w:val="6FDA7701"/>
    <w:rsid w:val="6FDACA2C"/>
    <w:rsid w:val="6FE3FB22"/>
    <w:rsid w:val="6FE5B626"/>
    <w:rsid w:val="6FE8953E"/>
    <w:rsid w:val="6FFB2EDD"/>
    <w:rsid w:val="700C777D"/>
    <w:rsid w:val="700EE40A"/>
    <w:rsid w:val="7010854F"/>
    <w:rsid w:val="7017CA81"/>
    <w:rsid w:val="701AE793"/>
    <w:rsid w:val="7052A051"/>
    <w:rsid w:val="70552C79"/>
    <w:rsid w:val="705A9BE7"/>
    <w:rsid w:val="705D351D"/>
    <w:rsid w:val="706E14ED"/>
    <w:rsid w:val="7074030F"/>
    <w:rsid w:val="707AA53A"/>
    <w:rsid w:val="7082422A"/>
    <w:rsid w:val="70852CFC"/>
    <w:rsid w:val="7085E499"/>
    <w:rsid w:val="7091DF01"/>
    <w:rsid w:val="7094698C"/>
    <w:rsid w:val="709F47A5"/>
    <w:rsid w:val="70A2FE2F"/>
    <w:rsid w:val="70B296F9"/>
    <w:rsid w:val="70B38A19"/>
    <w:rsid w:val="70BDDFA1"/>
    <w:rsid w:val="70C02065"/>
    <w:rsid w:val="70C1E79C"/>
    <w:rsid w:val="70C3BA88"/>
    <w:rsid w:val="70C6496A"/>
    <w:rsid w:val="70D0A02B"/>
    <w:rsid w:val="70D31C6A"/>
    <w:rsid w:val="70DFB352"/>
    <w:rsid w:val="70E16DCD"/>
    <w:rsid w:val="70E69DBD"/>
    <w:rsid w:val="70E8F15A"/>
    <w:rsid w:val="70EC5FAD"/>
    <w:rsid w:val="70F88ED6"/>
    <w:rsid w:val="7102BAA3"/>
    <w:rsid w:val="710A7E18"/>
    <w:rsid w:val="711793A1"/>
    <w:rsid w:val="71216520"/>
    <w:rsid w:val="71237602"/>
    <w:rsid w:val="71248EF1"/>
    <w:rsid w:val="712DF95D"/>
    <w:rsid w:val="71569862"/>
    <w:rsid w:val="715E36ED"/>
    <w:rsid w:val="715E78DA"/>
    <w:rsid w:val="715F4B2C"/>
    <w:rsid w:val="7162A2B2"/>
    <w:rsid w:val="716CDE95"/>
    <w:rsid w:val="716E5AC4"/>
    <w:rsid w:val="7176219A"/>
    <w:rsid w:val="71791E10"/>
    <w:rsid w:val="717E5530"/>
    <w:rsid w:val="717FFFFC"/>
    <w:rsid w:val="718476D1"/>
    <w:rsid w:val="71894A99"/>
    <w:rsid w:val="718D26B1"/>
    <w:rsid w:val="718FBE4F"/>
    <w:rsid w:val="7192B609"/>
    <w:rsid w:val="7194B653"/>
    <w:rsid w:val="7195F7B4"/>
    <w:rsid w:val="719738DE"/>
    <w:rsid w:val="7199C198"/>
    <w:rsid w:val="71A59903"/>
    <w:rsid w:val="71B4EFA6"/>
    <w:rsid w:val="71C021E7"/>
    <w:rsid w:val="71C66308"/>
    <w:rsid w:val="71CE577E"/>
    <w:rsid w:val="71D36913"/>
    <w:rsid w:val="71E1863F"/>
    <w:rsid w:val="71E216EA"/>
    <w:rsid w:val="71E6517C"/>
    <w:rsid w:val="71E909EE"/>
    <w:rsid w:val="71EBF26C"/>
    <w:rsid w:val="71ED9FE1"/>
    <w:rsid w:val="71FC47FF"/>
    <w:rsid w:val="71FE3562"/>
    <w:rsid w:val="71FF65A4"/>
    <w:rsid w:val="72097746"/>
    <w:rsid w:val="7209C793"/>
    <w:rsid w:val="721671BF"/>
    <w:rsid w:val="72180FC7"/>
    <w:rsid w:val="72250686"/>
    <w:rsid w:val="72289234"/>
    <w:rsid w:val="7233DD1D"/>
    <w:rsid w:val="723AA501"/>
    <w:rsid w:val="723CF4B2"/>
    <w:rsid w:val="724D6F48"/>
    <w:rsid w:val="72641FAC"/>
    <w:rsid w:val="7270A3E4"/>
    <w:rsid w:val="728CD01C"/>
    <w:rsid w:val="728FA589"/>
    <w:rsid w:val="729355AF"/>
    <w:rsid w:val="72B71C2C"/>
    <w:rsid w:val="72C16D6E"/>
    <w:rsid w:val="72C58FC3"/>
    <w:rsid w:val="72CA0232"/>
    <w:rsid w:val="72D66F18"/>
    <w:rsid w:val="72D7BC66"/>
    <w:rsid w:val="72E74033"/>
    <w:rsid w:val="72F4DEFB"/>
    <w:rsid w:val="72FE376E"/>
    <w:rsid w:val="7303FB3E"/>
    <w:rsid w:val="731F9542"/>
    <w:rsid w:val="732B9B3C"/>
    <w:rsid w:val="73345881"/>
    <w:rsid w:val="73365D4A"/>
    <w:rsid w:val="7344332E"/>
    <w:rsid w:val="73479638"/>
    <w:rsid w:val="735B739E"/>
    <w:rsid w:val="73606707"/>
    <w:rsid w:val="736AFFD3"/>
    <w:rsid w:val="737D027A"/>
    <w:rsid w:val="73871367"/>
    <w:rsid w:val="7388BD4F"/>
    <w:rsid w:val="738A505D"/>
    <w:rsid w:val="738C7687"/>
    <w:rsid w:val="7393CF9F"/>
    <w:rsid w:val="73A28B78"/>
    <w:rsid w:val="73B17FE0"/>
    <w:rsid w:val="73B650A3"/>
    <w:rsid w:val="73BC1ABC"/>
    <w:rsid w:val="73BC920C"/>
    <w:rsid w:val="73BF947B"/>
    <w:rsid w:val="73C2F7C3"/>
    <w:rsid w:val="73D84975"/>
    <w:rsid w:val="73E193A1"/>
    <w:rsid w:val="73EAD50C"/>
    <w:rsid w:val="73F030C8"/>
    <w:rsid w:val="73F3548B"/>
    <w:rsid w:val="73F93C01"/>
    <w:rsid w:val="74002337"/>
    <w:rsid w:val="7402394A"/>
    <w:rsid w:val="740E4CEB"/>
    <w:rsid w:val="740F55C4"/>
    <w:rsid w:val="7411E2E1"/>
    <w:rsid w:val="7413A404"/>
    <w:rsid w:val="74382F79"/>
    <w:rsid w:val="743DF8FC"/>
    <w:rsid w:val="74439E7B"/>
    <w:rsid w:val="7446BC81"/>
    <w:rsid w:val="744B19BD"/>
    <w:rsid w:val="744C4A56"/>
    <w:rsid w:val="744EEDB0"/>
    <w:rsid w:val="74709072"/>
    <w:rsid w:val="7471A2AC"/>
    <w:rsid w:val="748E0231"/>
    <w:rsid w:val="748F98A3"/>
    <w:rsid w:val="748FA0E6"/>
    <w:rsid w:val="748FA9B2"/>
    <w:rsid w:val="749E0858"/>
    <w:rsid w:val="74A82DFB"/>
    <w:rsid w:val="74ABAEF1"/>
    <w:rsid w:val="74BE89CC"/>
    <w:rsid w:val="74C53849"/>
    <w:rsid w:val="74E3048D"/>
    <w:rsid w:val="74EFA754"/>
    <w:rsid w:val="74F2775F"/>
    <w:rsid w:val="74FF5151"/>
    <w:rsid w:val="75009A0E"/>
    <w:rsid w:val="7504B0CB"/>
    <w:rsid w:val="7508776D"/>
    <w:rsid w:val="7509D4EB"/>
    <w:rsid w:val="750AF25A"/>
    <w:rsid w:val="75116EAD"/>
    <w:rsid w:val="7513EF21"/>
    <w:rsid w:val="75211FC1"/>
    <w:rsid w:val="7521DB3B"/>
    <w:rsid w:val="7538450F"/>
    <w:rsid w:val="75465C23"/>
    <w:rsid w:val="754AF7AD"/>
    <w:rsid w:val="754D3B54"/>
    <w:rsid w:val="7558BF13"/>
    <w:rsid w:val="7559917E"/>
    <w:rsid w:val="755AE7F9"/>
    <w:rsid w:val="75707A7A"/>
    <w:rsid w:val="757A842A"/>
    <w:rsid w:val="757BA654"/>
    <w:rsid w:val="758B4C3D"/>
    <w:rsid w:val="758C05AE"/>
    <w:rsid w:val="75A33F25"/>
    <w:rsid w:val="75A75FA9"/>
    <w:rsid w:val="75A7A9FE"/>
    <w:rsid w:val="75ED6611"/>
    <w:rsid w:val="75F225FA"/>
    <w:rsid w:val="75F5FE0B"/>
    <w:rsid w:val="75F9C715"/>
    <w:rsid w:val="7602D4F7"/>
    <w:rsid w:val="76135126"/>
    <w:rsid w:val="7613D5D2"/>
    <w:rsid w:val="76254553"/>
    <w:rsid w:val="76298B60"/>
    <w:rsid w:val="763696DB"/>
    <w:rsid w:val="7642C5F7"/>
    <w:rsid w:val="764899C0"/>
    <w:rsid w:val="76559034"/>
    <w:rsid w:val="76642959"/>
    <w:rsid w:val="7668E7DA"/>
    <w:rsid w:val="766BFD78"/>
    <w:rsid w:val="7670EEEA"/>
    <w:rsid w:val="7684607E"/>
    <w:rsid w:val="768856B0"/>
    <w:rsid w:val="7694375A"/>
    <w:rsid w:val="769B6F26"/>
    <w:rsid w:val="76A32E6F"/>
    <w:rsid w:val="76A6DE45"/>
    <w:rsid w:val="76A9F2A9"/>
    <w:rsid w:val="76B25222"/>
    <w:rsid w:val="76B2FF73"/>
    <w:rsid w:val="76B3618B"/>
    <w:rsid w:val="76B49A2C"/>
    <w:rsid w:val="76C74501"/>
    <w:rsid w:val="76CDF225"/>
    <w:rsid w:val="76D31EF2"/>
    <w:rsid w:val="76DB9D4B"/>
    <w:rsid w:val="76EA2595"/>
    <w:rsid w:val="76ECCB4E"/>
    <w:rsid w:val="76EF3534"/>
    <w:rsid w:val="76F1BC13"/>
    <w:rsid w:val="76F929AB"/>
    <w:rsid w:val="77030195"/>
    <w:rsid w:val="7705F72F"/>
    <w:rsid w:val="771049D5"/>
    <w:rsid w:val="7711ECA0"/>
    <w:rsid w:val="771DF3EC"/>
    <w:rsid w:val="77222CCB"/>
    <w:rsid w:val="7723AD56"/>
    <w:rsid w:val="7724C983"/>
    <w:rsid w:val="77274B2D"/>
    <w:rsid w:val="7732349D"/>
    <w:rsid w:val="7733B5C1"/>
    <w:rsid w:val="77373D0B"/>
    <w:rsid w:val="7743423D"/>
    <w:rsid w:val="77446A0D"/>
    <w:rsid w:val="7745E1C8"/>
    <w:rsid w:val="77496680"/>
    <w:rsid w:val="774CC361"/>
    <w:rsid w:val="774F542D"/>
    <w:rsid w:val="777B10AB"/>
    <w:rsid w:val="77974CBA"/>
    <w:rsid w:val="77A04B73"/>
    <w:rsid w:val="77AAF492"/>
    <w:rsid w:val="77C2024D"/>
    <w:rsid w:val="77CECA62"/>
    <w:rsid w:val="77D1770B"/>
    <w:rsid w:val="77DCEEDF"/>
    <w:rsid w:val="77F5780B"/>
    <w:rsid w:val="77F97FFF"/>
    <w:rsid w:val="78002614"/>
    <w:rsid w:val="781777D1"/>
    <w:rsid w:val="78190550"/>
    <w:rsid w:val="783186AA"/>
    <w:rsid w:val="78491F09"/>
    <w:rsid w:val="784E11B9"/>
    <w:rsid w:val="785857C5"/>
    <w:rsid w:val="785A04F9"/>
    <w:rsid w:val="786B2E63"/>
    <w:rsid w:val="786C1B1E"/>
    <w:rsid w:val="787A9E58"/>
    <w:rsid w:val="787CD552"/>
    <w:rsid w:val="788D7092"/>
    <w:rsid w:val="789A6EC9"/>
    <w:rsid w:val="78A15881"/>
    <w:rsid w:val="78A86B2B"/>
    <w:rsid w:val="78D1280B"/>
    <w:rsid w:val="78D47FD8"/>
    <w:rsid w:val="78D5AFC1"/>
    <w:rsid w:val="78E592B8"/>
    <w:rsid w:val="78E5AC88"/>
    <w:rsid w:val="78EAD1B3"/>
    <w:rsid w:val="78F1DA8B"/>
    <w:rsid w:val="7900D461"/>
    <w:rsid w:val="7911745D"/>
    <w:rsid w:val="79149CA1"/>
    <w:rsid w:val="7914B4F1"/>
    <w:rsid w:val="791585EB"/>
    <w:rsid w:val="791C8941"/>
    <w:rsid w:val="794A0E8F"/>
    <w:rsid w:val="795B0071"/>
    <w:rsid w:val="795F03CF"/>
    <w:rsid w:val="796045A3"/>
    <w:rsid w:val="797717F3"/>
    <w:rsid w:val="79782A80"/>
    <w:rsid w:val="797C9058"/>
    <w:rsid w:val="797F952C"/>
    <w:rsid w:val="7980F0EC"/>
    <w:rsid w:val="7981C95C"/>
    <w:rsid w:val="79993097"/>
    <w:rsid w:val="799F7A7B"/>
    <w:rsid w:val="79B5C643"/>
    <w:rsid w:val="79BBCC85"/>
    <w:rsid w:val="79CC1A44"/>
    <w:rsid w:val="79D3A2AE"/>
    <w:rsid w:val="79DF68F4"/>
    <w:rsid w:val="79E03116"/>
    <w:rsid w:val="79E6033A"/>
    <w:rsid w:val="79EF8609"/>
    <w:rsid w:val="79F7BE5C"/>
    <w:rsid w:val="79FCA046"/>
    <w:rsid w:val="7A15AD16"/>
    <w:rsid w:val="7A15B202"/>
    <w:rsid w:val="7A16E98F"/>
    <w:rsid w:val="7A2D204D"/>
    <w:rsid w:val="7A316021"/>
    <w:rsid w:val="7A364141"/>
    <w:rsid w:val="7A37ABA1"/>
    <w:rsid w:val="7A3B80CC"/>
    <w:rsid w:val="7A42A7EF"/>
    <w:rsid w:val="7A449E9E"/>
    <w:rsid w:val="7A488E6D"/>
    <w:rsid w:val="7A4B2D0E"/>
    <w:rsid w:val="7A4CE0DD"/>
    <w:rsid w:val="7A56770F"/>
    <w:rsid w:val="7A569477"/>
    <w:rsid w:val="7A574153"/>
    <w:rsid w:val="7A5B3E89"/>
    <w:rsid w:val="7A62CD0B"/>
    <w:rsid w:val="7A634265"/>
    <w:rsid w:val="7A657C61"/>
    <w:rsid w:val="7A6A2E21"/>
    <w:rsid w:val="7A6B7BA3"/>
    <w:rsid w:val="7A6E4EF8"/>
    <w:rsid w:val="7A6E8BAC"/>
    <w:rsid w:val="7A80BAE1"/>
    <w:rsid w:val="7A8CF451"/>
    <w:rsid w:val="7A8E7756"/>
    <w:rsid w:val="7A956A9C"/>
    <w:rsid w:val="7A97B3BD"/>
    <w:rsid w:val="7A9DDD95"/>
    <w:rsid w:val="7AA00E0A"/>
    <w:rsid w:val="7AA11E6C"/>
    <w:rsid w:val="7AA338E4"/>
    <w:rsid w:val="7AA3B4B7"/>
    <w:rsid w:val="7AA52014"/>
    <w:rsid w:val="7AA80A5B"/>
    <w:rsid w:val="7AAAC17E"/>
    <w:rsid w:val="7AB2C7EE"/>
    <w:rsid w:val="7ABB75FB"/>
    <w:rsid w:val="7AC8BF3F"/>
    <w:rsid w:val="7AD64272"/>
    <w:rsid w:val="7ADB2A9F"/>
    <w:rsid w:val="7AF3492C"/>
    <w:rsid w:val="7AF568A9"/>
    <w:rsid w:val="7AFAE089"/>
    <w:rsid w:val="7AFB6E33"/>
    <w:rsid w:val="7B0BCE23"/>
    <w:rsid w:val="7B189893"/>
    <w:rsid w:val="7B2691D6"/>
    <w:rsid w:val="7B2B7084"/>
    <w:rsid w:val="7B30C3D5"/>
    <w:rsid w:val="7B3B4B9D"/>
    <w:rsid w:val="7B4384DE"/>
    <w:rsid w:val="7B4A8528"/>
    <w:rsid w:val="7B4B30D3"/>
    <w:rsid w:val="7B4C96D8"/>
    <w:rsid w:val="7B4EB51C"/>
    <w:rsid w:val="7B6884F4"/>
    <w:rsid w:val="7B69CE91"/>
    <w:rsid w:val="7B79DC32"/>
    <w:rsid w:val="7B7BDE18"/>
    <w:rsid w:val="7B9B7854"/>
    <w:rsid w:val="7BC1D56D"/>
    <w:rsid w:val="7BC2C4C1"/>
    <w:rsid w:val="7BDC4865"/>
    <w:rsid w:val="7BDD9D6F"/>
    <w:rsid w:val="7BFAC867"/>
    <w:rsid w:val="7BFCB69F"/>
    <w:rsid w:val="7C249937"/>
    <w:rsid w:val="7C2882B2"/>
    <w:rsid w:val="7C357934"/>
    <w:rsid w:val="7C53A992"/>
    <w:rsid w:val="7C58ACD1"/>
    <w:rsid w:val="7C592057"/>
    <w:rsid w:val="7C61F095"/>
    <w:rsid w:val="7C6E0E38"/>
    <w:rsid w:val="7C7F18B4"/>
    <w:rsid w:val="7C841B17"/>
    <w:rsid w:val="7C868F43"/>
    <w:rsid w:val="7C88CDAE"/>
    <w:rsid w:val="7C94377D"/>
    <w:rsid w:val="7C9B7126"/>
    <w:rsid w:val="7CA07B84"/>
    <w:rsid w:val="7CA33DB5"/>
    <w:rsid w:val="7CA9607B"/>
    <w:rsid w:val="7CB6B4F6"/>
    <w:rsid w:val="7CBB29B9"/>
    <w:rsid w:val="7CBB4F2C"/>
    <w:rsid w:val="7CC13039"/>
    <w:rsid w:val="7CDC8631"/>
    <w:rsid w:val="7CEED8FD"/>
    <w:rsid w:val="7CF853B1"/>
    <w:rsid w:val="7D070154"/>
    <w:rsid w:val="7D0BA49D"/>
    <w:rsid w:val="7D1CEAF5"/>
    <w:rsid w:val="7D29C783"/>
    <w:rsid w:val="7D362B93"/>
    <w:rsid w:val="7D42AC14"/>
    <w:rsid w:val="7D5D980E"/>
    <w:rsid w:val="7D73240F"/>
    <w:rsid w:val="7D81988C"/>
    <w:rsid w:val="7D83AF9B"/>
    <w:rsid w:val="7DAB2259"/>
    <w:rsid w:val="7DBCCA6C"/>
    <w:rsid w:val="7DC34B89"/>
    <w:rsid w:val="7DCF703E"/>
    <w:rsid w:val="7DD43240"/>
    <w:rsid w:val="7DD828F7"/>
    <w:rsid w:val="7DDA68A9"/>
    <w:rsid w:val="7DE1CE18"/>
    <w:rsid w:val="7DE57775"/>
    <w:rsid w:val="7DEFE991"/>
    <w:rsid w:val="7DFF19D5"/>
    <w:rsid w:val="7E2C16B1"/>
    <w:rsid w:val="7E383E1B"/>
    <w:rsid w:val="7E3C7519"/>
    <w:rsid w:val="7E40B46B"/>
    <w:rsid w:val="7E732BA7"/>
    <w:rsid w:val="7E8C1EBD"/>
    <w:rsid w:val="7E9213AC"/>
    <w:rsid w:val="7E96FA22"/>
    <w:rsid w:val="7E9717D9"/>
    <w:rsid w:val="7E9800DF"/>
    <w:rsid w:val="7EA754FF"/>
    <w:rsid w:val="7EA8A68A"/>
    <w:rsid w:val="7EAD9CCF"/>
    <w:rsid w:val="7EAEE24F"/>
    <w:rsid w:val="7EBE56AD"/>
    <w:rsid w:val="7EC3D9D8"/>
    <w:rsid w:val="7EC9BFFE"/>
    <w:rsid w:val="7ED7752E"/>
    <w:rsid w:val="7ED8FBFB"/>
    <w:rsid w:val="7EEA22E6"/>
    <w:rsid w:val="7EEDCA74"/>
    <w:rsid w:val="7EF6595E"/>
    <w:rsid w:val="7EF9581B"/>
    <w:rsid w:val="7EFBA987"/>
    <w:rsid w:val="7F024BDE"/>
    <w:rsid w:val="7F040783"/>
    <w:rsid w:val="7F044D2B"/>
    <w:rsid w:val="7F0D2B1C"/>
    <w:rsid w:val="7F0E5E83"/>
    <w:rsid w:val="7F11DE77"/>
    <w:rsid w:val="7F14244D"/>
    <w:rsid w:val="7F22F0EF"/>
    <w:rsid w:val="7F26DBC9"/>
    <w:rsid w:val="7F2A17CB"/>
    <w:rsid w:val="7F2AA088"/>
    <w:rsid w:val="7F327264"/>
    <w:rsid w:val="7F4CEDAD"/>
    <w:rsid w:val="7F54C7E0"/>
    <w:rsid w:val="7F5B17E8"/>
    <w:rsid w:val="7F5CAE98"/>
    <w:rsid w:val="7F694A78"/>
    <w:rsid w:val="7F6B6AD2"/>
    <w:rsid w:val="7F6C3FD6"/>
    <w:rsid w:val="7F6E5804"/>
    <w:rsid w:val="7F72866C"/>
    <w:rsid w:val="7F74A6A0"/>
    <w:rsid w:val="7F777BEE"/>
    <w:rsid w:val="7F805DDB"/>
    <w:rsid w:val="7F8396C8"/>
    <w:rsid w:val="7F83CEA1"/>
    <w:rsid w:val="7F84259E"/>
    <w:rsid w:val="7F9A8DC3"/>
    <w:rsid w:val="7FA17410"/>
    <w:rsid w:val="7FA3FDBF"/>
    <w:rsid w:val="7FB16556"/>
    <w:rsid w:val="7FBCEB8C"/>
    <w:rsid w:val="7FC741AB"/>
    <w:rsid w:val="7FCFB6F9"/>
    <w:rsid w:val="7FCFCBD9"/>
    <w:rsid w:val="7FE62314"/>
    <w:rsid w:val="7FE9B665"/>
    <w:rsid w:val="7FEC47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outlineLvl w:val="1"/>
    </w:pPr>
    <w:rPr>
      <w:rFonts w:eastAsia="Times New Roman"/>
      <w:b/>
      <w:szCs w:val="20"/>
    </w:rPr>
  </w:style>
  <w:style w:type="paragraph" w:styleId="Heading3">
    <w:name w:val="heading 3"/>
    <w:basedOn w:val="Normal"/>
    <w:next w:val="Normal"/>
    <w:link w:val="Heading3Char"/>
    <w:qFormat/>
    <w:rsid w:val="006B087E"/>
    <w:pPr>
      <w:keepNext/>
      <w:outlineLvl w:val="2"/>
    </w:pPr>
    <w:rPr>
      <w:rFonts w:eastAsia="Times New Roman"/>
      <w:i/>
      <w:szCs w:val="20"/>
    </w:rPr>
  </w:style>
  <w:style w:type="paragraph" w:styleId="Heading4">
    <w:name w:val="heading 4"/>
    <w:basedOn w:val="Normal"/>
    <w:next w:val="Normal"/>
    <w:link w:val="Heading4Char"/>
    <w:qFormat/>
    <w:rsid w:val="00AC06BE"/>
    <w:pPr>
      <w:keepNext/>
      <w:tabs>
        <w:tab w:val="num" w:pos="7099"/>
      </w:tabs>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6F5C69"/>
    <w:pPr>
      <w:spacing w:after="200"/>
    </w:pPr>
    <w:rPr>
      <w:i/>
      <w:iCs/>
      <w:color w:val="1F497D" w:themeColor="text2"/>
      <w:sz w:val="18"/>
      <w:szCs w:val="18"/>
    </w:rPr>
  </w:style>
  <w:style w:type="paragraph" w:styleId="NormalWeb">
    <w:name w:val="Normal (Web)"/>
    <w:basedOn w:val="Normal"/>
    <w:uiPriority w:val="99"/>
    <w:semiHidden/>
    <w:unhideWhenUsed/>
    <w:rsid w:val="00903B5A"/>
  </w:style>
  <w:style w:type="character" w:customStyle="1" w:styleId="Mention1">
    <w:name w:val="Mention1"/>
    <w:basedOn w:val="DefaultParagraphFont"/>
    <w:uiPriority w:val="99"/>
    <w:unhideWhenUsed/>
    <w:rsid w:val="00C82FED"/>
    <w:rPr>
      <w:color w:val="2B579A"/>
      <w:shd w:val="clear" w:color="auto" w:fill="E1DFDD"/>
    </w:rPr>
  </w:style>
  <w:style w:type="paragraph" w:customStyle="1" w:styleId="Footnote">
    <w:name w:val="Footnote"/>
    <w:basedOn w:val="FootnoteText"/>
    <w:link w:val="FootnoteChar"/>
    <w:qFormat/>
    <w:rsid w:val="008D2D67"/>
    <w:rPr>
      <w:rFonts w:ascii="Avenir Next LT Pro" w:eastAsiaTheme="minorHAnsi" w:hAnsi="Avenir Next LT Pro" w:cstheme="minorBidi"/>
      <w:sz w:val="18"/>
      <w:szCs w:val="16"/>
      <w:lang w:val="en-IE"/>
    </w:rPr>
  </w:style>
  <w:style w:type="character" w:customStyle="1" w:styleId="FootnoteChar">
    <w:name w:val="Footnote Char"/>
    <w:basedOn w:val="DefaultParagraphFont"/>
    <w:link w:val="Footnote"/>
    <w:rsid w:val="008D2D67"/>
    <w:rPr>
      <w:rFonts w:ascii="Avenir Next LT Pro" w:hAnsi="Avenir Next LT Pro"/>
      <w:sz w:val="18"/>
      <w:szCs w:val="16"/>
      <w:lang w:val="en-I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rsid w:val="008D2D67"/>
    <w:pPr>
      <w:spacing w:after="160" w:line="240" w:lineRule="exact"/>
      <w:jc w:val="left"/>
    </w:pPr>
    <w:rPr>
      <w:rFonts w:asciiTheme="minorHAnsi" w:hAnsiTheme="minorHAnsi" w:cstheme="minorBidi"/>
      <w:sz w:val="22"/>
      <w:szCs w:val="22"/>
      <w:vertAlign w:val="superscript"/>
      <w:lang w:val="en-US"/>
    </w:rPr>
  </w:style>
  <w:style w:type="character" w:styleId="SubtleEmphasis">
    <w:name w:val="Subtle Emphasis"/>
    <w:basedOn w:val="DefaultParagraphFont"/>
    <w:uiPriority w:val="19"/>
    <w:qFormat/>
    <w:rsid w:val="00D4573D"/>
    <w:rPr>
      <w:i/>
      <w:iCs/>
      <w:color w:val="404040" w:themeColor="text1" w:themeTint="BF"/>
    </w:rPr>
  </w:style>
  <w:style w:type="paragraph" w:styleId="Subtitle">
    <w:name w:val="Subtitle"/>
    <w:basedOn w:val="Normal"/>
    <w:next w:val="Normal"/>
    <w:link w:val="SubtitleChar"/>
    <w:uiPriority w:val="11"/>
    <w:qFormat/>
    <w:rsid w:val="00937A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37A0C"/>
    <w:rPr>
      <w:rFonts w:eastAsiaTheme="minorEastAsia"/>
      <w:color w:val="5A5A5A" w:themeColor="text1" w:themeTint="A5"/>
      <w:spacing w:val="15"/>
    </w:rPr>
  </w:style>
  <w:style w:type="character" w:styleId="Strong">
    <w:name w:val="Strong"/>
    <w:basedOn w:val="DefaultParagraphFont"/>
    <w:uiPriority w:val="22"/>
    <w:qFormat/>
    <w:rsid w:val="00F61234"/>
    <w:rPr>
      <w:b/>
      <w:bCs/>
    </w:rPr>
  </w:style>
  <w:style w:type="character" w:customStyle="1" w:styleId="whitespace-normal">
    <w:name w:val="whitespace-normal"/>
    <w:basedOn w:val="DefaultParagraphFont"/>
    <w:rsid w:val="00F61234"/>
  </w:style>
  <w:style w:type="character" w:customStyle="1" w:styleId="katex-mathml">
    <w:name w:val="katex-mathml"/>
    <w:basedOn w:val="DefaultParagraphFont"/>
    <w:rsid w:val="00F61234"/>
  </w:style>
  <w:style w:type="character" w:customStyle="1" w:styleId="mord">
    <w:name w:val="mord"/>
    <w:basedOn w:val="DefaultParagraphFont"/>
    <w:rsid w:val="00F61234"/>
  </w:style>
  <w:style w:type="character" w:customStyle="1" w:styleId="mbin">
    <w:name w:val="mbin"/>
    <w:basedOn w:val="DefaultParagraphFont"/>
    <w:rsid w:val="00F61234"/>
  </w:style>
  <w:style w:type="character" w:customStyle="1" w:styleId="mopen">
    <w:name w:val="mopen"/>
    <w:basedOn w:val="DefaultParagraphFont"/>
    <w:rsid w:val="00F61234"/>
  </w:style>
  <w:style w:type="character" w:customStyle="1" w:styleId="mclose">
    <w:name w:val="mclose"/>
    <w:basedOn w:val="DefaultParagraphFont"/>
    <w:rsid w:val="00F61234"/>
  </w:style>
  <w:style w:type="paragraph" w:customStyle="1" w:styleId="LegalNumPar">
    <w:name w:val="LegalNumPar"/>
    <w:basedOn w:val="Normal"/>
    <w:rsid w:val="00A54434"/>
    <w:pPr>
      <w:numPr>
        <w:numId w:val="15"/>
      </w:numPr>
      <w:spacing w:line="360" w:lineRule="auto"/>
    </w:pPr>
  </w:style>
  <w:style w:type="paragraph" w:customStyle="1" w:styleId="LegalNumPar2">
    <w:name w:val="LegalNumPar2"/>
    <w:basedOn w:val="Normal"/>
    <w:rsid w:val="004322BD"/>
    <w:pPr>
      <w:numPr>
        <w:ilvl w:val="1"/>
        <w:numId w:val="16"/>
      </w:numPr>
      <w:spacing w:line="360" w:lineRule="auto"/>
    </w:pPr>
  </w:style>
  <w:style w:type="paragraph" w:customStyle="1" w:styleId="LegalNumPar3">
    <w:name w:val="LegalNumPar3"/>
    <w:basedOn w:val="Normal"/>
    <w:rsid w:val="004322BD"/>
    <w:pPr>
      <w:numPr>
        <w:ilvl w:val="2"/>
        <w:numId w:val="16"/>
      </w:numPr>
      <w:spacing w:line="360" w:lineRule="auto"/>
    </w:pPr>
  </w:style>
  <w:style w:type="paragraph" w:styleId="EndnoteText">
    <w:name w:val="endnote text"/>
    <w:basedOn w:val="Normal"/>
    <w:link w:val="EndnoteTextChar"/>
    <w:uiPriority w:val="99"/>
    <w:semiHidden/>
    <w:unhideWhenUsed/>
    <w:rsid w:val="00D140C4"/>
    <w:pPr>
      <w:spacing w:after="0"/>
    </w:pPr>
    <w:rPr>
      <w:sz w:val="20"/>
      <w:szCs w:val="20"/>
    </w:rPr>
  </w:style>
  <w:style w:type="character" w:customStyle="1" w:styleId="EndnoteTextChar">
    <w:name w:val="Endnote Text Char"/>
    <w:basedOn w:val="DefaultParagraphFont"/>
    <w:link w:val="EndnoteText"/>
    <w:uiPriority w:val="99"/>
    <w:semiHidden/>
    <w:rsid w:val="00D140C4"/>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D140C4"/>
    <w:rPr>
      <w:vertAlign w:val="superscript"/>
    </w:rPr>
  </w:style>
  <w:style w:type="character" w:styleId="Emphasis">
    <w:name w:val="Emphasis"/>
    <w:basedOn w:val="DefaultParagraphFont"/>
    <w:uiPriority w:val="20"/>
    <w:qFormat/>
    <w:rsid w:val="00FC128C"/>
    <w:rPr>
      <w:i/>
      <w:iCs/>
    </w:rPr>
  </w:style>
  <w:style w:type="paragraph" w:styleId="TOC3">
    <w:name w:val="toc 3"/>
    <w:basedOn w:val="Normal"/>
    <w:next w:val="Normal"/>
    <w:autoRedefine/>
    <w:uiPriority w:val="39"/>
    <w:unhideWhenUsed/>
    <w:rsid w:val="00EC368C"/>
    <w:pPr>
      <w:spacing w:after="100"/>
      <w:ind w:left="480"/>
    </w:pPr>
  </w:style>
  <w:style w:type="paragraph" w:styleId="TOC4">
    <w:name w:val="toc 4"/>
    <w:basedOn w:val="Normal"/>
    <w:next w:val="Normal"/>
    <w:autoRedefine/>
    <w:uiPriority w:val="39"/>
    <w:unhideWhenUsed/>
    <w:rsid w:val="00EC368C"/>
    <w:pPr>
      <w:spacing w:after="100" w:line="278" w:lineRule="auto"/>
      <w:ind w:left="720"/>
      <w:jc w:val="left"/>
    </w:pPr>
    <w:rPr>
      <w:rFonts w:asciiTheme="minorHAnsi" w:eastAsiaTheme="minorEastAsia" w:hAnsiTheme="minorHAnsi" w:cstheme="minorBidi"/>
      <w:kern w:val="2"/>
      <w:lang w:val="en-IE" w:eastAsia="en-IE"/>
    </w:rPr>
  </w:style>
  <w:style w:type="paragraph" w:styleId="TOC5">
    <w:name w:val="toc 5"/>
    <w:basedOn w:val="Normal"/>
    <w:next w:val="Normal"/>
    <w:autoRedefine/>
    <w:uiPriority w:val="39"/>
    <w:unhideWhenUsed/>
    <w:rsid w:val="00EC368C"/>
    <w:pPr>
      <w:spacing w:after="100" w:line="278" w:lineRule="auto"/>
      <w:ind w:left="960"/>
      <w:jc w:val="left"/>
    </w:pPr>
    <w:rPr>
      <w:rFonts w:asciiTheme="minorHAnsi" w:eastAsiaTheme="minorEastAsia" w:hAnsiTheme="minorHAnsi" w:cstheme="minorBidi"/>
      <w:kern w:val="2"/>
      <w:lang w:val="en-IE" w:eastAsia="en-IE"/>
    </w:rPr>
  </w:style>
  <w:style w:type="paragraph" w:styleId="TOC6">
    <w:name w:val="toc 6"/>
    <w:basedOn w:val="Normal"/>
    <w:next w:val="Normal"/>
    <w:autoRedefine/>
    <w:uiPriority w:val="39"/>
    <w:unhideWhenUsed/>
    <w:rsid w:val="00EC368C"/>
    <w:pPr>
      <w:spacing w:after="100" w:line="278" w:lineRule="auto"/>
      <w:ind w:left="1200"/>
      <w:jc w:val="left"/>
    </w:pPr>
    <w:rPr>
      <w:rFonts w:asciiTheme="minorHAnsi" w:eastAsiaTheme="minorEastAsia" w:hAnsiTheme="minorHAnsi" w:cstheme="minorBidi"/>
      <w:kern w:val="2"/>
      <w:lang w:val="en-IE" w:eastAsia="en-IE"/>
    </w:rPr>
  </w:style>
  <w:style w:type="paragraph" w:styleId="TOC7">
    <w:name w:val="toc 7"/>
    <w:basedOn w:val="Normal"/>
    <w:next w:val="Normal"/>
    <w:autoRedefine/>
    <w:uiPriority w:val="39"/>
    <w:unhideWhenUsed/>
    <w:rsid w:val="00EC368C"/>
    <w:pPr>
      <w:spacing w:after="100" w:line="278" w:lineRule="auto"/>
      <w:ind w:left="1440"/>
      <w:jc w:val="left"/>
    </w:pPr>
    <w:rPr>
      <w:rFonts w:asciiTheme="minorHAnsi" w:eastAsiaTheme="minorEastAsia" w:hAnsiTheme="minorHAnsi" w:cstheme="minorBidi"/>
      <w:kern w:val="2"/>
      <w:lang w:val="en-IE" w:eastAsia="en-IE"/>
    </w:rPr>
  </w:style>
  <w:style w:type="paragraph" w:styleId="TOC8">
    <w:name w:val="toc 8"/>
    <w:basedOn w:val="Normal"/>
    <w:next w:val="Normal"/>
    <w:autoRedefine/>
    <w:uiPriority w:val="39"/>
    <w:unhideWhenUsed/>
    <w:rsid w:val="00EC368C"/>
    <w:pPr>
      <w:spacing w:after="100" w:line="278" w:lineRule="auto"/>
      <w:ind w:left="1680"/>
      <w:jc w:val="left"/>
    </w:pPr>
    <w:rPr>
      <w:rFonts w:asciiTheme="minorHAnsi" w:eastAsiaTheme="minorEastAsia" w:hAnsiTheme="minorHAnsi" w:cstheme="minorBidi"/>
      <w:kern w:val="2"/>
      <w:lang w:val="en-IE" w:eastAsia="en-IE"/>
    </w:rPr>
  </w:style>
  <w:style w:type="paragraph" w:styleId="TOC9">
    <w:name w:val="toc 9"/>
    <w:basedOn w:val="Normal"/>
    <w:next w:val="Normal"/>
    <w:autoRedefine/>
    <w:uiPriority w:val="39"/>
    <w:unhideWhenUsed/>
    <w:rsid w:val="00EC368C"/>
    <w:pPr>
      <w:spacing w:after="100" w:line="278" w:lineRule="auto"/>
      <w:ind w:left="1920"/>
      <w:jc w:val="left"/>
    </w:pPr>
    <w:rPr>
      <w:rFonts w:asciiTheme="minorHAnsi" w:eastAsiaTheme="minorEastAsia" w:hAnsiTheme="minorHAnsi" w:cstheme="minorBidi"/>
      <w:kern w:val="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3522">
      <w:bodyDiv w:val="1"/>
      <w:marLeft w:val="0"/>
      <w:marRight w:val="0"/>
      <w:marTop w:val="0"/>
      <w:marBottom w:val="0"/>
      <w:divBdr>
        <w:top w:val="none" w:sz="0" w:space="0" w:color="auto"/>
        <w:left w:val="none" w:sz="0" w:space="0" w:color="auto"/>
        <w:bottom w:val="none" w:sz="0" w:space="0" w:color="auto"/>
        <w:right w:val="none" w:sz="0" w:space="0" w:color="auto"/>
      </w:divBdr>
      <w:divsChild>
        <w:div w:id="1728142673">
          <w:marLeft w:val="0"/>
          <w:marRight w:val="0"/>
          <w:marTop w:val="0"/>
          <w:marBottom w:val="0"/>
          <w:divBdr>
            <w:top w:val="none" w:sz="0" w:space="0" w:color="auto"/>
            <w:left w:val="none" w:sz="0" w:space="0" w:color="auto"/>
            <w:bottom w:val="none" w:sz="0" w:space="0" w:color="auto"/>
            <w:right w:val="none" w:sz="0" w:space="0" w:color="auto"/>
          </w:divBdr>
          <w:divsChild>
            <w:div w:id="886794864">
              <w:marLeft w:val="0"/>
              <w:marRight w:val="0"/>
              <w:marTop w:val="0"/>
              <w:marBottom w:val="0"/>
              <w:divBdr>
                <w:top w:val="none" w:sz="0" w:space="0" w:color="auto"/>
                <w:left w:val="none" w:sz="0" w:space="0" w:color="auto"/>
                <w:bottom w:val="none" w:sz="0" w:space="0" w:color="auto"/>
                <w:right w:val="none" w:sz="0" w:space="0" w:color="auto"/>
              </w:divBdr>
              <w:divsChild>
                <w:div w:id="161127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5819">
      <w:bodyDiv w:val="1"/>
      <w:marLeft w:val="0"/>
      <w:marRight w:val="0"/>
      <w:marTop w:val="0"/>
      <w:marBottom w:val="0"/>
      <w:divBdr>
        <w:top w:val="none" w:sz="0" w:space="0" w:color="auto"/>
        <w:left w:val="none" w:sz="0" w:space="0" w:color="auto"/>
        <w:bottom w:val="none" w:sz="0" w:space="0" w:color="auto"/>
        <w:right w:val="none" w:sz="0" w:space="0" w:color="auto"/>
      </w:divBdr>
    </w:div>
    <w:div w:id="18749143">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2115685">
      <w:bodyDiv w:val="1"/>
      <w:marLeft w:val="0"/>
      <w:marRight w:val="0"/>
      <w:marTop w:val="0"/>
      <w:marBottom w:val="0"/>
      <w:divBdr>
        <w:top w:val="none" w:sz="0" w:space="0" w:color="auto"/>
        <w:left w:val="none" w:sz="0" w:space="0" w:color="auto"/>
        <w:bottom w:val="none" w:sz="0" w:space="0" w:color="auto"/>
        <w:right w:val="none" w:sz="0" w:space="0" w:color="auto"/>
      </w:divBdr>
    </w:div>
    <w:div w:id="32653822">
      <w:bodyDiv w:val="1"/>
      <w:marLeft w:val="0"/>
      <w:marRight w:val="0"/>
      <w:marTop w:val="0"/>
      <w:marBottom w:val="0"/>
      <w:divBdr>
        <w:top w:val="none" w:sz="0" w:space="0" w:color="auto"/>
        <w:left w:val="none" w:sz="0" w:space="0" w:color="auto"/>
        <w:bottom w:val="none" w:sz="0" w:space="0" w:color="auto"/>
        <w:right w:val="none" w:sz="0" w:space="0" w:color="auto"/>
      </w:divBdr>
    </w:div>
    <w:div w:id="36131108">
      <w:bodyDiv w:val="1"/>
      <w:marLeft w:val="0"/>
      <w:marRight w:val="0"/>
      <w:marTop w:val="0"/>
      <w:marBottom w:val="0"/>
      <w:divBdr>
        <w:top w:val="none" w:sz="0" w:space="0" w:color="auto"/>
        <w:left w:val="none" w:sz="0" w:space="0" w:color="auto"/>
        <w:bottom w:val="none" w:sz="0" w:space="0" w:color="auto"/>
        <w:right w:val="none" w:sz="0" w:space="0" w:color="auto"/>
      </w:divBdr>
    </w:div>
    <w:div w:id="67502479">
      <w:bodyDiv w:val="1"/>
      <w:marLeft w:val="0"/>
      <w:marRight w:val="0"/>
      <w:marTop w:val="0"/>
      <w:marBottom w:val="0"/>
      <w:divBdr>
        <w:top w:val="none" w:sz="0" w:space="0" w:color="auto"/>
        <w:left w:val="none" w:sz="0" w:space="0" w:color="auto"/>
        <w:bottom w:val="none" w:sz="0" w:space="0" w:color="auto"/>
        <w:right w:val="none" w:sz="0" w:space="0" w:color="auto"/>
      </w:divBdr>
    </w:div>
    <w:div w:id="83846021">
      <w:bodyDiv w:val="1"/>
      <w:marLeft w:val="0"/>
      <w:marRight w:val="0"/>
      <w:marTop w:val="0"/>
      <w:marBottom w:val="0"/>
      <w:divBdr>
        <w:top w:val="none" w:sz="0" w:space="0" w:color="auto"/>
        <w:left w:val="none" w:sz="0" w:space="0" w:color="auto"/>
        <w:bottom w:val="none" w:sz="0" w:space="0" w:color="auto"/>
        <w:right w:val="none" w:sz="0" w:space="0" w:color="auto"/>
      </w:divBdr>
    </w:div>
    <w:div w:id="99760643">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2624410">
      <w:bodyDiv w:val="1"/>
      <w:marLeft w:val="0"/>
      <w:marRight w:val="0"/>
      <w:marTop w:val="0"/>
      <w:marBottom w:val="0"/>
      <w:divBdr>
        <w:top w:val="none" w:sz="0" w:space="0" w:color="auto"/>
        <w:left w:val="none" w:sz="0" w:space="0" w:color="auto"/>
        <w:bottom w:val="none" w:sz="0" w:space="0" w:color="auto"/>
        <w:right w:val="none" w:sz="0" w:space="0" w:color="auto"/>
      </w:divBdr>
    </w:div>
    <w:div w:id="124082807">
      <w:bodyDiv w:val="1"/>
      <w:marLeft w:val="0"/>
      <w:marRight w:val="0"/>
      <w:marTop w:val="0"/>
      <w:marBottom w:val="0"/>
      <w:divBdr>
        <w:top w:val="none" w:sz="0" w:space="0" w:color="auto"/>
        <w:left w:val="none" w:sz="0" w:space="0" w:color="auto"/>
        <w:bottom w:val="none" w:sz="0" w:space="0" w:color="auto"/>
        <w:right w:val="none" w:sz="0" w:space="0" w:color="auto"/>
      </w:divBdr>
    </w:div>
    <w:div w:id="129396433">
      <w:bodyDiv w:val="1"/>
      <w:marLeft w:val="0"/>
      <w:marRight w:val="0"/>
      <w:marTop w:val="0"/>
      <w:marBottom w:val="0"/>
      <w:divBdr>
        <w:top w:val="none" w:sz="0" w:space="0" w:color="auto"/>
        <w:left w:val="none" w:sz="0" w:space="0" w:color="auto"/>
        <w:bottom w:val="none" w:sz="0" w:space="0" w:color="auto"/>
        <w:right w:val="none" w:sz="0" w:space="0" w:color="auto"/>
      </w:divBdr>
      <w:divsChild>
        <w:div w:id="545800837">
          <w:marLeft w:val="0"/>
          <w:marRight w:val="0"/>
          <w:marTop w:val="0"/>
          <w:marBottom w:val="0"/>
          <w:divBdr>
            <w:top w:val="none" w:sz="0" w:space="0" w:color="auto"/>
            <w:left w:val="none" w:sz="0" w:space="0" w:color="auto"/>
            <w:bottom w:val="none" w:sz="0" w:space="0" w:color="auto"/>
            <w:right w:val="none" w:sz="0" w:space="0" w:color="auto"/>
          </w:divBdr>
          <w:divsChild>
            <w:div w:id="71003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8071">
      <w:bodyDiv w:val="1"/>
      <w:marLeft w:val="0"/>
      <w:marRight w:val="0"/>
      <w:marTop w:val="0"/>
      <w:marBottom w:val="0"/>
      <w:divBdr>
        <w:top w:val="none" w:sz="0" w:space="0" w:color="auto"/>
        <w:left w:val="none" w:sz="0" w:space="0" w:color="auto"/>
        <w:bottom w:val="none" w:sz="0" w:space="0" w:color="auto"/>
        <w:right w:val="none" w:sz="0" w:space="0" w:color="auto"/>
      </w:divBdr>
    </w:div>
    <w:div w:id="253321853">
      <w:bodyDiv w:val="1"/>
      <w:marLeft w:val="0"/>
      <w:marRight w:val="0"/>
      <w:marTop w:val="0"/>
      <w:marBottom w:val="0"/>
      <w:divBdr>
        <w:top w:val="none" w:sz="0" w:space="0" w:color="auto"/>
        <w:left w:val="none" w:sz="0" w:space="0" w:color="auto"/>
        <w:bottom w:val="none" w:sz="0" w:space="0" w:color="auto"/>
        <w:right w:val="none" w:sz="0" w:space="0" w:color="auto"/>
      </w:divBdr>
    </w:div>
    <w:div w:id="265041502">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0362162">
      <w:bodyDiv w:val="1"/>
      <w:marLeft w:val="0"/>
      <w:marRight w:val="0"/>
      <w:marTop w:val="0"/>
      <w:marBottom w:val="0"/>
      <w:divBdr>
        <w:top w:val="none" w:sz="0" w:space="0" w:color="auto"/>
        <w:left w:val="none" w:sz="0" w:space="0" w:color="auto"/>
        <w:bottom w:val="none" w:sz="0" w:space="0" w:color="auto"/>
        <w:right w:val="none" w:sz="0" w:space="0" w:color="auto"/>
      </w:divBdr>
      <w:divsChild>
        <w:div w:id="358049786">
          <w:marLeft w:val="0"/>
          <w:marRight w:val="0"/>
          <w:marTop w:val="0"/>
          <w:marBottom w:val="0"/>
          <w:divBdr>
            <w:top w:val="none" w:sz="0" w:space="0" w:color="auto"/>
            <w:left w:val="none" w:sz="0" w:space="0" w:color="auto"/>
            <w:bottom w:val="none" w:sz="0" w:space="0" w:color="auto"/>
            <w:right w:val="none" w:sz="0" w:space="0" w:color="auto"/>
          </w:divBdr>
          <w:divsChild>
            <w:div w:id="885605431">
              <w:marLeft w:val="0"/>
              <w:marRight w:val="0"/>
              <w:marTop w:val="0"/>
              <w:marBottom w:val="0"/>
              <w:divBdr>
                <w:top w:val="none" w:sz="0" w:space="0" w:color="auto"/>
                <w:left w:val="none" w:sz="0" w:space="0" w:color="auto"/>
                <w:bottom w:val="none" w:sz="0" w:space="0" w:color="auto"/>
                <w:right w:val="none" w:sz="0" w:space="0" w:color="auto"/>
              </w:divBdr>
              <w:divsChild>
                <w:div w:id="10715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164145">
      <w:bodyDiv w:val="1"/>
      <w:marLeft w:val="0"/>
      <w:marRight w:val="0"/>
      <w:marTop w:val="0"/>
      <w:marBottom w:val="0"/>
      <w:divBdr>
        <w:top w:val="none" w:sz="0" w:space="0" w:color="auto"/>
        <w:left w:val="none" w:sz="0" w:space="0" w:color="auto"/>
        <w:bottom w:val="none" w:sz="0" w:space="0" w:color="auto"/>
        <w:right w:val="none" w:sz="0" w:space="0" w:color="auto"/>
      </w:divBdr>
    </w:div>
    <w:div w:id="292177072">
      <w:bodyDiv w:val="1"/>
      <w:marLeft w:val="0"/>
      <w:marRight w:val="0"/>
      <w:marTop w:val="0"/>
      <w:marBottom w:val="0"/>
      <w:divBdr>
        <w:top w:val="none" w:sz="0" w:space="0" w:color="auto"/>
        <w:left w:val="none" w:sz="0" w:space="0" w:color="auto"/>
        <w:bottom w:val="none" w:sz="0" w:space="0" w:color="auto"/>
        <w:right w:val="none" w:sz="0" w:space="0" w:color="auto"/>
      </w:divBdr>
    </w:div>
    <w:div w:id="310062192">
      <w:bodyDiv w:val="1"/>
      <w:marLeft w:val="0"/>
      <w:marRight w:val="0"/>
      <w:marTop w:val="0"/>
      <w:marBottom w:val="0"/>
      <w:divBdr>
        <w:top w:val="none" w:sz="0" w:space="0" w:color="auto"/>
        <w:left w:val="none" w:sz="0" w:space="0" w:color="auto"/>
        <w:bottom w:val="none" w:sz="0" w:space="0" w:color="auto"/>
        <w:right w:val="none" w:sz="0" w:space="0" w:color="auto"/>
      </w:divBdr>
    </w:div>
    <w:div w:id="312224784">
      <w:bodyDiv w:val="1"/>
      <w:marLeft w:val="0"/>
      <w:marRight w:val="0"/>
      <w:marTop w:val="0"/>
      <w:marBottom w:val="0"/>
      <w:divBdr>
        <w:top w:val="none" w:sz="0" w:space="0" w:color="auto"/>
        <w:left w:val="none" w:sz="0" w:space="0" w:color="auto"/>
        <w:bottom w:val="none" w:sz="0" w:space="0" w:color="auto"/>
        <w:right w:val="none" w:sz="0" w:space="0" w:color="auto"/>
      </w:divBdr>
    </w:div>
    <w:div w:id="318775480">
      <w:bodyDiv w:val="1"/>
      <w:marLeft w:val="0"/>
      <w:marRight w:val="0"/>
      <w:marTop w:val="0"/>
      <w:marBottom w:val="0"/>
      <w:divBdr>
        <w:top w:val="none" w:sz="0" w:space="0" w:color="auto"/>
        <w:left w:val="none" w:sz="0" w:space="0" w:color="auto"/>
        <w:bottom w:val="none" w:sz="0" w:space="0" w:color="auto"/>
        <w:right w:val="none" w:sz="0" w:space="0" w:color="auto"/>
      </w:divBdr>
    </w:div>
    <w:div w:id="350497967">
      <w:bodyDiv w:val="1"/>
      <w:marLeft w:val="0"/>
      <w:marRight w:val="0"/>
      <w:marTop w:val="0"/>
      <w:marBottom w:val="0"/>
      <w:divBdr>
        <w:top w:val="none" w:sz="0" w:space="0" w:color="auto"/>
        <w:left w:val="none" w:sz="0" w:space="0" w:color="auto"/>
        <w:bottom w:val="none" w:sz="0" w:space="0" w:color="auto"/>
        <w:right w:val="none" w:sz="0" w:space="0" w:color="auto"/>
      </w:divBdr>
    </w:div>
    <w:div w:id="356276046">
      <w:bodyDiv w:val="1"/>
      <w:marLeft w:val="0"/>
      <w:marRight w:val="0"/>
      <w:marTop w:val="0"/>
      <w:marBottom w:val="0"/>
      <w:divBdr>
        <w:top w:val="none" w:sz="0" w:space="0" w:color="auto"/>
        <w:left w:val="none" w:sz="0" w:space="0" w:color="auto"/>
        <w:bottom w:val="none" w:sz="0" w:space="0" w:color="auto"/>
        <w:right w:val="none" w:sz="0" w:space="0" w:color="auto"/>
      </w:divBdr>
      <w:divsChild>
        <w:div w:id="922685587">
          <w:marLeft w:val="0"/>
          <w:marRight w:val="0"/>
          <w:marTop w:val="0"/>
          <w:marBottom w:val="0"/>
          <w:divBdr>
            <w:top w:val="none" w:sz="0" w:space="0" w:color="auto"/>
            <w:left w:val="none" w:sz="0" w:space="0" w:color="auto"/>
            <w:bottom w:val="none" w:sz="0" w:space="0" w:color="auto"/>
            <w:right w:val="none" w:sz="0" w:space="0" w:color="auto"/>
          </w:divBdr>
          <w:divsChild>
            <w:div w:id="902259523">
              <w:marLeft w:val="0"/>
              <w:marRight w:val="0"/>
              <w:marTop w:val="0"/>
              <w:marBottom w:val="0"/>
              <w:divBdr>
                <w:top w:val="none" w:sz="0" w:space="0" w:color="auto"/>
                <w:left w:val="none" w:sz="0" w:space="0" w:color="auto"/>
                <w:bottom w:val="none" w:sz="0" w:space="0" w:color="auto"/>
                <w:right w:val="none" w:sz="0" w:space="0" w:color="auto"/>
              </w:divBdr>
              <w:divsChild>
                <w:div w:id="126627101">
                  <w:marLeft w:val="0"/>
                  <w:marRight w:val="0"/>
                  <w:marTop w:val="0"/>
                  <w:marBottom w:val="0"/>
                  <w:divBdr>
                    <w:top w:val="none" w:sz="0" w:space="0" w:color="auto"/>
                    <w:left w:val="none" w:sz="0" w:space="0" w:color="auto"/>
                    <w:bottom w:val="none" w:sz="0" w:space="0" w:color="auto"/>
                    <w:right w:val="none" w:sz="0" w:space="0" w:color="auto"/>
                  </w:divBdr>
                  <w:divsChild>
                    <w:div w:id="157123607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94400190">
          <w:marLeft w:val="0"/>
          <w:marRight w:val="0"/>
          <w:marTop w:val="0"/>
          <w:marBottom w:val="0"/>
          <w:divBdr>
            <w:top w:val="none" w:sz="0" w:space="0" w:color="auto"/>
            <w:left w:val="none" w:sz="0" w:space="0" w:color="auto"/>
            <w:bottom w:val="none" w:sz="0" w:space="0" w:color="auto"/>
            <w:right w:val="none" w:sz="0" w:space="0" w:color="auto"/>
          </w:divBdr>
          <w:divsChild>
            <w:div w:id="136992830">
              <w:marLeft w:val="0"/>
              <w:marRight w:val="0"/>
              <w:marTop w:val="0"/>
              <w:marBottom w:val="0"/>
              <w:divBdr>
                <w:top w:val="none" w:sz="0" w:space="0" w:color="auto"/>
                <w:left w:val="none" w:sz="0" w:space="0" w:color="auto"/>
                <w:bottom w:val="none" w:sz="0" w:space="0" w:color="auto"/>
                <w:right w:val="none" w:sz="0" w:space="0" w:color="auto"/>
              </w:divBdr>
              <w:divsChild>
                <w:div w:id="1058437606">
                  <w:marLeft w:val="0"/>
                  <w:marRight w:val="0"/>
                  <w:marTop w:val="0"/>
                  <w:marBottom w:val="0"/>
                  <w:divBdr>
                    <w:top w:val="none" w:sz="0" w:space="0" w:color="auto"/>
                    <w:left w:val="none" w:sz="0" w:space="0" w:color="auto"/>
                    <w:bottom w:val="none" w:sz="0" w:space="0" w:color="auto"/>
                    <w:right w:val="none" w:sz="0" w:space="0" w:color="auto"/>
                  </w:divBdr>
                  <w:divsChild>
                    <w:div w:id="276955635">
                      <w:marLeft w:val="0"/>
                      <w:marRight w:val="0"/>
                      <w:marTop w:val="0"/>
                      <w:marBottom w:val="0"/>
                      <w:divBdr>
                        <w:top w:val="none" w:sz="0" w:space="0" w:color="auto"/>
                        <w:left w:val="none" w:sz="0" w:space="0" w:color="auto"/>
                        <w:bottom w:val="none" w:sz="0" w:space="0" w:color="auto"/>
                        <w:right w:val="none" w:sz="0" w:space="0" w:color="auto"/>
                      </w:divBdr>
                      <w:divsChild>
                        <w:div w:id="584805124">
                          <w:marLeft w:val="0"/>
                          <w:marRight w:val="0"/>
                          <w:marTop w:val="0"/>
                          <w:marBottom w:val="0"/>
                          <w:divBdr>
                            <w:top w:val="none" w:sz="0" w:space="0" w:color="auto"/>
                            <w:left w:val="none" w:sz="0" w:space="0" w:color="auto"/>
                            <w:bottom w:val="none" w:sz="0" w:space="0" w:color="auto"/>
                            <w:right w:val="none" w:sz="0" w:space="0" w:color="auto"/>
                          </w:divBdr>
                          <w:divsChild>
                            <w:div w:id="449788376">
                              <w:marLeft w:val="0"/>
                              <w:marRight w:val="0"/>
                              <w:marTop w:val="0"/>
                              <w:marBottom w:val="0"/>
                              <w:divBdr>
                                <w:top w:val="none" w:sz="0" w:space="0" w:color="auto"/>
                                <w:left w:val="none" w:sz="0" w:space="0" w:color="auto"/>
                                <w:bottom w:val="none" w:sz="0" w:space="0" w:color="auto"/>
                                <w:right w:val="none" w:sz="0" w:space="0" w:color="auto"/>
                              </w:divBdr>
                              <w:divsChild>
                                <w:div w:id="701321813">
                                  <w:marLeft w:val="0"/>
                                  <w:marRight w:val="0"/>
                                  <w:marTop w:val="0"/>
                                  <w:marBottom w:val="0"/>
                                  <w:divBdr>
                                    <w:top w:val="none" w:sz="0" w:space="0" w:color="auto"/>
                                    <w:left w:val="none" w:sz="0" w:space="0" w:color="auto"/>
                                    <w:bottom w:val="none" w:sz="0" w:space="0" w:color="auto"/>
                                    <w:right w:val="none" w:sz="0" w:space="0" w:color="auto"/>
                                  </w:divBdr>
                                  <w:divsChild>
                                    <w:div w:id="415127062">
                                      <w:marLeft w:val="0"/>
                                      <w:marRight w:val="0"/>
                                      <w:marTop w:val="0"/>
                                      <w:marBottom w:val="0"/>
                                      <w:divBdr>
                                        <w:top w:val="none" w:sz="0" w:space="0" w:color="auto"/>
                                        <w:left w:val="none" w:sz="0" w:space="0" w:color="auto"/>
                                        <w:bottom w:val="none" w:sz="0" w:space="0" w:color="auto"/>
                                        <w:right w:val="none" w:sz="0" w:space="0" w:color="auto"/>
                                      </w:divBdr>
                                      <w:divsChild>
                                        <w:div w:id="1510832527">
                                          <w:marLeft w:val="0"/>
                                          <w:marRight w:val="0"/>
                                          <w:marTop w:val="0"/>
                                          <w:marBottom w:val="0"/>
                                          <w:divBdr>
                                            <w:top w:val="none" w:sz="0" w:space="0" w:color="auto"/>
                                            <w:left w:val="none" w:sz="0" w:space="0" w:color="auto"/>
                                            <w:bottom w:val="none" w:sz="0" w:space="0" w:color="auto"/>
                                            <w:right w:val="none" w:sz="0" w:space="0" w:color="auto"/>
                                          </w:divBdr>
                                          <w:divsChild>
                                            <w:div w:id="881988922">
                                              <w:marLeft w:val="0"/>
                                              <w:marRight w:val="0"/>
                                              <w:marTop w:val="0"/>
                                              <w:marBottom w:val="0"/>
                                              <w:divBdr>
                                                <w:top w:val="none" w:sz="0" w:space="0" w:color="auto"/>
                                                <w:left w:val="none" w:sz="0" w:space="0" w:color="auto"/>
                                                <w:bottom w:val="none" w:sz="0" w:space="0" w:color="auto"/>
                                                <w:right w:val="none" w:sz="0" w:space="0" w:color="auto"/>
                                              </w:divBdr>
                                              <w:divsChild>
                                                <w:div w:id="16010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1325181">
      <w:bodyDiv w:val="1"/>
      <w:marLeft w:val="0"/>
      <w:marRight w:val="0"/>
      <w:marTop w:val="0"/>
      <w:marBottom w:val="0"/>
      <w:divBdr>
        <w:top w:val="none" w:sz="0" w:space="0" w:color="auto"/>
        <w:left w:val="none" w:sz="0" w:space="0" w:color="auto"/>
        <w:bottom w:val="none" w:sz="0" w:space="0" w:color="auto"/>
        <w:right w:val="none" w:sz="0" w:space="0" w:color="auto"/>
      </w:divBdr>
    </w:div>
    <w:div w:id="366300241">
      <w:bodyDiv w:val="1"/>
      <w:marLeft w:val="0"/>
      <w:marRight w:val="0"/>
      <w:marTop w:val="0"/>
      <w:marBottom w:val="0"/>
      <w:divBdr>
        <w:top w:val="none" w:sz="0" w:space="0" w:color="auto"/>
        <w:left w:val="none" w:sz="0" w:space="0" w:color="auto"/>
        <w:bottom w:val="none" w:sz="0" w:space="0" w:color="auto"/>
        <w:right w:val="none" w:sz="0" w:space="0" w:color="auto"/>
      </w:divBdr>
      <w:divsChild>
        <w:div w:id="2117939858">
          <w:marLeft w:val="0"/>
          <w:marRight w:val="0"/>
          <w:marTop w:val="0"/>
          <w:marBottom w:val="0"/>
          <w:divBdr>
            <w:top w:val="none" w:sz="0" w:space="0" w:color="auto"/>
            <w:left w:val="none" w:sz="0" w:space="0" w:color="auto"/>
            <w:bottom w:val="none" w:sz="0" w:space="0" w:color="auto"/>
            <w:right w:val="none" w:sz="0" w:space="0" w:color="auto"/>
          </w:divBdr>
          <w:divsChild>
            <w:div w:id="19565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02402">
      <w:bodyDiv w:val="1"/>
      <w:marLeft w:val="0"/>
      <w:marRight w:val="0"/>
      <w:marTop w:val="0"/>
      <w:marBottom w:val="0"/>
      <w:divBdr>
        <w:top w:val="none" w:sz="0" w:space="0" w:color="auto"/>
        <w:left w:val="none" w:sz="0" w:space="0" w:color="auto"/>
        <w:bottom w:val="none" w:sz="0" w:space="0" w:color="auto"/>
        <w:right w:val="none" w:sz="0" w:space="0" w:color="auto"/>
      </w:divBdr>
    </w:div>
    <w:div w:id="392579078">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00715913">
      <w:bodyDiv w:val="1"/>
      <w:marLeft w:val="0"/>
      <w:marRight w:val="0"/>
      <w:marTop w:val="0"/>
      <w:marBottom w:val="0"/>
      <w:divBdr>
        <w:top w:val="none" w:sz="0" w:space="0" w:color="auto"/>
        <w:left w:val="none" w:sz="0" w:space="0" w:color="auto"/>
        <w:bottom w:val="none" w:sz="0" w:space="0" w:color="auto"/>
        <w:right w:val="none" w:sz="0" w:space="0" w:color="auto"/>
      </w:divBdr>
    </w:div>
    <w:div w:id="418209767">
      <w:bodyDiv w:val="1"/>
      <w:marLeft w:val="0"/>
      <w:marRight w:val="0"/>
      <w:marTop w:val="0"/>
      <w:marBottom w:val="0"/>
      <w:divBdr>
        <w:top w:val="none" w:sz="0" w:space="0" w:color="auto"/>
        <w:left w:val="none" w:sz="0" w:space="0" w:color="auto"/>
        <w:bottom w:val="none" w:sz="0" w:space="0" w:color="auto"/>
        <w:right w:val="none" w:sz="0" w:space="0" w:color="auto"/>
      </w:divBdr>
      <w:divsChild>
        <w:div w:id="415908312">
          <w:marLeft w:val="0"/>
          <w:marRight w:val="0"/>
          <w:marTop w:val="0"/>
          <w:marBottom w:val="0"/>
          <w:divBdr>
            <w:top w:val="none" w:sz="0" w:space="0" w:color="auto"/>
            <w:left w:val="none" w:sz="0" w:space="0" w:color="auto"/>
            <w:bottom w:val="none" w:sz="0" w:space="0" w:color="auto"/>
            <w:right w:val="none" w:sz="0" w:space="0" w:color="auto"/>
          </w:divBdr>
          <w:divsChild>
            <w:div w:id="2111927458">
              <w:marLeft w:val="0"/>
              <w:marRight w:val="0"/>
              <w:marTop w:val="0"/>
              <w:marBottom w:val="0"/>
              <w:divBdr>
                <w:top w:val="none" w:sz="0" w:space="0" w:color="auto"/>
                <w:left w:val="none" w:sz="0" w:space="0" w:color="auto"/>
                <w:bottom w:val="none" w:sz="0" w:space="0" w:color="auto"/>
                <w:right w:val="none" w:sz="0" w:space="0" w:color="auto"/>
              </w:divBdr>
              <w:divsChild>
                <w:div w:id="151001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32358545">
      <w:bodyDiv w:val="1"/>
      <w:marLeft w:val="0"/>
      <w:marRight w:val="0"/>
      <w:marTop w:val="0"/>
      <w:marBottom w:val="0"/>
      <w:divBdr>
        <w:top w:val="none" w:sz="0" w:space="0" w:color="auto"/>
        <w:left w:val="none" w:sz="0" w:space="0" w:color="auto"/>
        <w:bottom w:val="none" w:sz="0" w:space="0" w:color="auto"/>
        <w:right w:val="none" w:sz="0" w:space="0" w:color="auto"/>
      </w:divBdr>
    </w:div>
    <w:div w:id="441071230">
      <w:bodyDiv w:val="1"/>
      <w:marLeft w:val="0"/>
      <w:marRight w:val="0"/>
      <w:marTop w:val="0"/>
      <w:marBottom w:val="0"/>
      <w:divBdr>
        <w:top w:val="none" w:sz="0" w:space="0" w:color="auto"/>
        <w:left w:val="none" w:sz="0" w:space="0" w:color="auto"/>
        <w:bottom w:val="none" w:sz="0" w:space="0" w:color="auto"/>
        <w:right w:val="none" w:sz="0" w:space="0" w:color="auto"/>
      </w:divBdr>
      <w:divsChild>
        <w:div w:id="1022823776">
          <w:marLeft w:val="0"/>
          <w:marRight w:val="0"/>
          <w:marTop w:val="0"/>
          <w:marBottom w:val="0"/>
          <w:divBdr>
            <w:top w:val="none" w:sz="0" w:space="0" w:color="auto"/>
            <w:left w:val="none" w:sz="0" w:space="0" w:color="auto"/>
            <w:bottom w:val="none" w:sz="0" w:space="0" w:color="auto"/>
            <w:right w:val="none" w:sz="0" w:space="0" w:color="auto"/>
          </w:divBdr>
          <w:divsChild>
            <w:div w:id="127802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88162">
      <w:bodyDiv w:val="1"/>
      <w:marLeft w:val="0"/>
      <w:marRight w:val="0"/>
      <w:marTop w:val="0"/>
      <w:marBottom w:val="0"/>
      <w:divBdr>
        <w:top w:val="none" w:sz="0" w:space="0" w:color="auto"/>
        <w:left w:val="none" w:sz="0" w:space="0" w:color="auto"/>
        <w:bottom w:val="none" w:sz="0" w:space="0" w:color="auto"/>
        <w:right w:val="none" w:sz="0" w:space="0" w:color="auto"/>
      </w:divBdr>
    </w:div>
    <w:div w:id="474027567">
      <w:bodyDiv w:val="1"/>
      <w:marLeft w:val="0"/>
      <w:marRight w:val="0"/>
      <w:marTop w:val="0"/>
      <w:marBottom w:val="0"/>
      <w:divBdr>
        <w:top w:val="none" w:sz="0" w:space="0" w:color="auto"/>
        <w:left w:val="none" w:sz="0" w:space="0" w:color="auto"/>
        <w:bottom w:val="none" w:sz="0" w:space="0" w:color="auto"/>
        <w:right w:val="none" w:sz="0" w:space="0" w:color="auto"/>
      </w:divBdr>
    </w:div>
    <w:div w:id="488205776">
      <w:bodyDiv w:val="1"/>
      <w:marLeft w:val="0"/>
      <w:marRight w:val="0"/>
      <w:marTop w:val="0"/>
      <w:marBottom w:val="0"/>
      <w:divBdr>
        <w:top w:val="none" w:sz="0" w:space="0" w:color="auto"/>
        <w:left w:val="none" w:sz="0" w:space="0" w:color="auto"/>
        <w:bottom w:val="none" w:sz="0" w:space="0" w:color="auto"/>
        <w:right w:val="none" w:sz="0" w:space="0" w:color="auto"/>
      </w:divBdr>
    </w:div>
    <w:div w:id="491725562">
      <w:bodyDiv w:val="1"/>
      <w:marLeft w:val="0"/>
      <w:marRight w:val="0"/>
      <w:marTop w:val="0"/>
      <w:marBottom w:val="0"/>
      <w:divBdr>
        <w:top w:val="none" w:sz="0" w:space="0" w:color="auto"/>
        <w:left w:val="none" w:sz="0" w:space="0" w:color="auto"/>
        <w:bottom w:val="none" w:sz="0" w:space="0" w:color="auto"/>
        <w:right w:val="none" w:sz="0" w:space="0" w:color="auto"/>
      </w:divBdr>
    </w:div>
    <w:div w:id="504975582">
      <w:bodyDiv w:val="1"/>
      <w:marLeft w:val="0"/>
      <w:marRight w:val="0"/>
      <w:marTop w:val="0"/>
      <w:marBottom w:val="0"/>
      <w:divBdr>
        <w:top w:val="none" w:sz="0" w:space="0" w:color="auto"/>
        <w:left w:val="none" w:sz="0" w:space="0" w:color="auto"/>
        <w:bottom w:val="none" w:sz="0" w:space="0" w:color="auto"/>
        <w:right w:val="none" w:sz="0" w:space="0" w:color="auto"/>
      </w:divBdr>
    </w:div>
    <w:div w:id="518470047">
      <w:bodyDiv w:val="1"/>
      <w:marLeft w:val="0"/>
      <w:marRight w:val="0"/>
      <w:marTop w:val="0"/>
      <w:marBottom w:val="0"/>
      <w:divBdr>
        <w:top w:val="none" w:sz="0" w:space="0" w:color="auto"/>
        <w:left w:val="none" w:sz="0" w:space="0" w:color="auto"/>
        <w:bottom w:val="none" w:sz="0" w:space="0" w:color="auto"/>
        <w:right w:val="none" w:sz="0" w:space="0" w:color="auto"/>
      </w:divBdr>
    </w:div>
    <w:div w:id="532302201">
      <w:bodyDiv w:val="1"/>
      <w:marLeft w:val="0"/>
      <w:marRight w:val="0"/>
      <w:marTop w:val="0"/>
      <w:marBottom w:val="0"/>
      <w:divBdr>
        <w:top w:val="none" w:sz="0" w:space="0" w:color="auto"/>
        <w:left w:val="none" w:sz="0" w:space="0" w:color="auto"/>
        <w:bottom w:val="none" w:sz="0" w:space="0" w:color="auto"/>
        <w:right w:val="none" w:sz="0" w:space="0" w:color="auto"/>
      </w:divBdr>
    </w:div>
    <w:div w:id="532349309">
      <w:bodyDiv w:val="1"/>
      <w:marLeft w:val="0"/>
      <w:marRight w:val="0"/>
      <w:marTop w:val="0"/>
      <w:marBottom w:val="0"/>
      <w:divBdr>
        <w:top w:val="none" w:sz="0" w:space="0" w:color="auto"/>
        <w:left w:val="none" w:sz="0" w:space="0" w:color="auto"/>
        <w:bottom w:val="none" w:sz="0" w:space="0" w:color="auto"/>
        <w:right w:val="none" w:sz="0" w:space="0" w:color="auto"/>
      </w:divBdr>
    </w:div>
    <w:div w:id="539129753">
      <w:bodyDiv w:val="1"/>
      <w:marLeft w:val="0"/>
      <w:marRight w:val="0"/>
      <w:marTop w:val="0"/>
      <w:marBottom w:val="0"/>
      <w:divBdr>
        <w:top w:val="none" w:sz="0" w:space="0" w:color="auto"/>
        <w:left w:val="none" w:sz="0" w:space="0" w:color="auto"/>
        <w:bottom w:val="none" w:sz="0" w:space="0" w:color="auto"/>
        <w:right w:val="none" w:sz="0" w:space="0" w:color="auto"/>
      </w:divBdr>
    </w:div>
    <w:div w:id="548959314">
      <w:bodyDiv w:val="1"/>
      <w:marLeft w:val="0"/>
      <w:marRight w:val="0"/>
      <w:marTop w:val="0"/>
      <w:marBottom w:val="0"/>
      <w:divBdr>
        <w:top w:val="none" w:sz="0" w:space="0" w:color="auto"/>
        <w:left w:val="none" w:sz="0" w:space="0" w:color="auto"/>
        <w:bottom w:val="none" w:sz="0" w:space="0" w:color="auto"/>
        <w:right w:val="none" w:sz="0" w:space="0" w:color="auto"/>
      </w:divBdr>
    </w:div>
    <w:div w:id="570819505">
      <w:bodyDiv w:val="1"/>
      <w:marLeft w:val="0"/>
      <w:marRight w:val="0"/>
      <w:marTop w:val="0"/>
      <w:marBottom w:val="0"/>
      <w:divBdr>
        <w:top w:val="none" w:sz="0" w:space="0" w:color="auto"/>
        <w:left w:val="none" w:sz="0" w:space="0" w:color="auto"/>
        <w:bottom w:val="none" w:sz="0" w:space="0" w:color="auto"/>
        <w:right w:val="none" w:sz="0" w:space="0" w:color="auto"/>
      </w:divBdr>
    </w:div>
    <w:div w:id="593831196">
      <w:bodyDiv w:val="1"/>
      <w:marLeft w:val="0"/>
      <w:marRight w:val="0"/>
      <w:marTop w:val="0"/>
      <w:marBottom w:val="0"/>
      <w:divBdr>
        <w:top w:val="none" w:sz="0" w:space="0" w:color="auto"/>
        <w:left w:val="none" w:sz="0" w:space="0" w:color="auto"/>
        <w:bottom w:val="none" w:sz="0" w:space="0" w:color="auto"/>
        <w:right w:val="none" w:sz="0" w:space="0" w:color="auto"/>
      </w:divBdr>
    </w:div>
    <w:div w:id="598877942">
      <w:bodyDiv w:val="1"/>
      <w:marLeft w:val="0"/>
      <w:marRight w:val="0"/>
      <w:marTop w:val="0"/>
      <w:marBottom w:val="0"/>
      <w:divBdr>
        <w:top w:val="none" w:sz="0" w:space="0" w:color="auto"/>
        <w:left w:val="none" w:sz="0" w:space="0" w:color="auto"/>
        <w:bottom w:val="none" w:sz="0" w:space="0" w:color="auto"/>
        <w:right w:val="none" w:sz="0" w:space="0" w:color="auto"/>
      </w:divBdr>
    </w:div>
    <w:div w:id="607077745">
      <w:bodyDiv w:val="1"/>
      <w:marLeft w:val="0"/>
      <w:marRight w:val="0"/>
      <w:marTop w:val="0"/>
      <w:marBottom w:val="0"/>
      <w:divBdr>
        <w:top w:val="none" w:sz="0" w:space="0" w:color="auto"/>
        <w:left w:val="none" w:sz="0" w:space="0" w:color="auto"/>
        <w:bottom w:val="none" w:sz="0" w:space="0" w:color="auto"/>
        <w:right w:val="none" w:sz="0" w:space="0" w:color="auto"/>
      </w:divBdr>
    </w:div>
    <w:div w:id="618803770">
      <w:bodyDiv w:val="1"/>
      <w:marLeft w:val="0"/>
      <w:marRight w:val="0"/>
      <w:marTop w:val="0"/>
      <w:marBottom w:val="0"/>
      <w:divBdr>
        <w:top w:val="none" w:sz="0" w:space="0" w:color="auto"/>
        <w:left w:val="none" w:sz="0" w:space="0" w:color="auto"/>
        <w:bottom w:val="none" w:sz="0" w:space="0" w:color="auto"/>
        <w:right w:val="none" w:sz="0" w:space="0" w:color="auto"/>
      </w:divBdr>
      <w:divsChild>
        <w:div w:id="156073844">
          <w:marLeft w:val="0"/>
          <w:marRight w:val="0"/>
          <w:marTop w:val="0"/>
          <w:marBottom w:val="0"/>
          <w:divBdr>
            <w:top w:val="none" w:sz="0" w:space="0" w:color="auto"/>
            <w:left w:val="none" w:sz="0" w:space="0" w:color="auto"/>
            <w:bottom w:val="none" w:sz="0" w:space="0" w:color="auto"/>
            <w:right w:val="none" w:sz="0" w:space="0" w:color="auto"/>
          </w:divBdr>
        </w:div>
      </w:divsChild>
    </w:div>
    <w:div w:id="645209521">
      <w:bodyDiv w:val="1"/>
      <w:marLeft w:val="0"/>
      <w:marRight w:val="0"/>
      <w:marTop w:val="0"/>
      <w:marBottom w:val="0"/>
      <w:divBdr>
        <w:top w:val="none" w:sz="0" w:space="0" w:color="auto"/>
        <w:left w:val="none" w:sz="0" w:space="0" w:color="auto"/>
        <w:bottom w:val="none" w:sz="0" w:space="0" w:color="auto"/>
        <w:right w:val="none" w:sz="0" w:space="0" w:color="auto"/>
      </w:divBdr>
    </w:div>
    <w:div w:id="648750924">
      <w:bodyDiv w:val="1"/>
      <w:marLeft w:val="0"/>
      <w:marRight w:val="0"/>
      <w:marTop w:val="0"/>
      <w:marBottom w:val="0"/>
      <w:divBdr>
        <w:top w:val="none" w:sz="0" w:space="0" w:color="auto"/>
        <w:left w:val="none" w:sz="0" w:space="0" w:color="auto"/>
        <w:bottom w:val="none" w:sz="0" w:space="0" w:color="auto"/>
        <w:right w:val="none" w:sz="0" w:space="0" w:color="auto"/>
      </w:divBdr>
    </w:div>
    <w:div w:id="667367908">
      <w:bodyDiv w:val="1"/>
      <w:marLeft w:val="0"/>
      <w:marRight w:val="0"/>
      <w:marTop w:val="0"/>
      <w:marBottom w:val="0"/>
      <w:divBdr>
        <w:top w:val="none" w:sz="0" w:space="0" w:color="auto"/>
        <w:left w:val="none" w:sz="0" w:space="0" w:color="auto"/>
        <w:bottom w:val="none" w:sz="0" w:space="0" w:color="auto"/>
        <w:right w:val="none" w:sz="0" w:space="0" w:color="auto"/>
      </w:divBdr>
    </w:div>
    <w:div w:id="683555122">
      <w:bodyDiv w:val="1"/>
      <w:marLeft w:val="0"/>
      <w:marRight w:val="0"/>
      <w:marTop w:val="0"/>
      <w:marBottom w:val="0"/>
      <w:divBdr>
        <w:top w:val="none" w:sz="0" w:space="0" w:color="auto"/>
        <w:left w:val="none" w:sz="0" w:space="0" w:color="auto"/>
        <w:bottom w:val="none" w:sz="0" w:space="0" w:color="auto"/>
        <w:right w:val="none" w:sz="0" w:space="0" w:color="auto"/>
      </w:divBdr>
    </w:div>
    <w:div w:id="703675093">
      <w:bodyDiv w:val="1"/>
      <w:marLeft w:val="0"/>
      <w:marRight w:val="0"/>
      <w:marTop w:val="0"/>
      <w:marBottom w:val="0"/>
      <w:divBdr>
        <w:top w:val="none" w:sz="0" w:space="0" w:color="auto"/>
        <w:left w:val="none" w:sz="0" w:space="0" w:color="auto"/>
        <w:bottom w:val="none" w:sz="0" w:space="0" w:color="auto"/>
        <w:right w:val="none" w:sz="0" w:space="0" w:color="auto"/>
      </w:divBdr>
    </w:div>
    <w:div w:id="748114930">
      <w:bodyDiv w:val="1"/>
      <w:marLeft w:val="0"/>
      <w:marRight w:val="0"/>
      <w:marTop w:val="0"/>
      <w:marBottom w:val="0"/>
      <w:divBdr>
        <w:top w:val="none" w:sz="0" w:space="0" w:color="auto"/>
        <w:left w:val="none" w:sz="0" w:space="0" w:color="auto"/>
        <w:bottom w:val="none" w:sz="0" w:space="0" w:color="auto"/>
        <w:right w:val="none" w:sz="0" w:space="0" w:color="auto"/>
      </w:divBdr>
      <w:divsChild>
        <w:div w:id="2003507953">
          <w:marLeft w:val="0"/>
          <w:marRight w:val="0"/>
          <w:marTop w:val="0"/>
          <w:marBottom w:val="0"/>
          <w:divBdr>
            <w:top w:val="none" w:sz="0" w:space="0" w:color="auto"/>
            <w:left w:val="none" w:sz="0" w:space="0" w:color="auto"/>
            <w:bottom w:val="none" w:sz="0" w:space="0" w:color="auto"/>
            <w:right w:val="none" w:sz="0" w:space="0" w:color="auto"/>
          </w:divBdr>
          <w:divsChild>
            <w:div w:id="433786711">
              <w:marLeft w:val="0"/>
              <w:marRight w:val="0"/>
              <w:marTop w:val="0"/>
              <w:marBottom w:val="0"/>
              <w:divBdr>
                <w:top w:val="none" w:sz="0" w:space="0" w:color="auto"/>
                <w:left w:val="none" w:sz="0" w:space="0" w:color="auto"/>
                <w:bottom w:val="none" w:sz="0" w:space="0" w:color="auto"/>
                <w:right w:val="none" w:sz="0" w:space="0" w:color="auto"/>
              </w:divBdr>
              <w:divsChild>
                <w:div w:id="16778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422826">
      <w:bodyDiv w:val="1"/>
      <w:marLeft w:val="0"/>
      <w:marRight w:val="0"/>
      <w:marTop w:val="0"/>
      <w:marBottom w:val="0"/>
      <w:divBdr>
        <w:top w:val="none" w:sz="0" w:space="0" w:color="auto"/>
        <w:left w:val="none" w:sz="0" w:space="0" w:color="auto"/>
        <w:bottom w:val="none" w:sz="0" w:space="0" w:color="auto"/>
        <w:right w:val="none" w:sz="0" w:space="0" w:color="auto"/>
      </w:divBdr>
    </w:div>
    <w:div w:id="777481627">
      <w:bodyDiv w:val="1"/>
      <w:marLeft w:val="0"/>
      <w:marRight w:val="0"/>
      <w:marTop w:val="0"/>
      <w:marBottom w:val="0"/>
      <w:divBdr>
        <w:top w:val="none" w:sz="0" w:space="0" w:color="auto"/>
        <w:left w:val="none" w:sz="0" w:space="0" w:color="auto"/>
        <w:bottom w:val="none" w:sz="0" w:space="0" w:color="auto"/>
        <w:right w:val="none" w:sz="0" w:space="0" w:color="auto"/>
      </w:divBdr>
    </w:div>
    <w:div w:id="778110301">
      <w:bodyDiv w:val="1"/>
      <w:marLeft w:val="0"/>
      <w:marRight w:val="0"/>
      <w:marTop w:val="0"/>
      <w:marBottom w:val="0"/>
      <w:divBdr>
        <w:top w:val="none" w:sz="0" w:space="0" w:color="auto"/>
        <w:left w:val="none" w:sz="0" w:space="0" w:color="auto"/>
        <w:bottom w:val="none" w:sz="0" w:space="0" w:color="auto"/>
        <w:right w:val="none" w:sz="0" w:space="0" w:color="auto"/>
      </w:divBdr>
    </w:div>
    <w:div w:id="786855269">
      <w:bodyDiv w:val="1"/>
      <w:marLeft w:val="0"/>
      <w:marRight w:val="0"/>
      <w:marTop w:val="0"/>
      <w:marBottom w:val="0"/>
      <w:divBdr>
        <w:top w:val="none" w:sz="0" w:space="0" w:color="auto"/>
        <w:left w:val="none" w:sz="0" w:space="0" w:color="auto"/>
        <w:bottom w:val="none" w:sz="0" w:space="0" w:color="auto"/>
        <w:right w:val="none" w:sz="0" w:space="0" w:color="auto"/>
      </w:divBdr>
    </w:div>
    <w:div w:id="821509123">
      <w:bodyDiv w:val="1"/>
      <w:marLeft w:val="0"/>
      <w:marRight w:val="0"/>
      <w:marTop w:val="0"/>
      <w:marBottom w:val="0"/>
      <w:divBdr>
        <w:top w:val="none" w:sz="0" w:space="0" w:color="auto"/>
        <w:left w:val="none" w:sz="0" w:space="0" w:color="auto"/>
        <w:bottom w:val="none" w:sz="0" w:space="0" w:color="auto"/>
        <w:right w:val="none" w:sz="0" w:space="0" w:color="auto"/>
      </w:divBdr>
    </w:div>
    <w:div w:id="826432755">
      <w:bodyDiv w:val="1"/>
      <w:marLeft w:val="0"/>
      <w:marRight w:val="0"/>
      <w:marTop w:val="0"/>
      <w:marBottom w:val="0"/>
      <w:divBdr>
        <w:top w:val="none" w:sz="0" w:space="0" w:color="auto"/>
        <w:left w:val="none" w:sz="0" w:space="0" w:color="auto"/>
        <w:bottom w:val="none" w:sz="0" w:space="0" w:color="auto"/>
        <w:right w:val="none" w:sz="0" w:space="0" w:color="auto"/>
      </w:divBdr>
    </w:div>
    <w:div w:id="847477799">
      <w:bodyDiv w:val="1"/>
      <w:marLeft w:val="0"/>
      <w:marRight w:val="0"/>
      <w:marTop w:val="0"/>
      <w:marBottom w:val="0"/>
      <w:divBdr>
        <w:top w:val="none" w:sz="0" w:space="0" w:color="auto"/>
        <w:left w:val="none" w:sz="0" w:space="0" w:color="auto"/>
        <w:bottom w:val="none" w:sz="0" w:space="0" w:color="auto"/>
        <w:right w:val="none" w:sz="0" w:space="0" w:color="auto"/>
      </w:divBdr>
      <w:divsChild>
        <w:div w:id="1221021950">
          <w:marLeft w:val="0"/>
          <w:marRight w:val="0"/>
          <w:marTop w:val="0"/>
          <w:marBottom w:val="0"/>
          <w:divBdr>
            <w:top w:val="none" w:sz="0" w:space="0" w:color="auto"/>
            <w:left w:val="none" w:sz="0" w:space="0" w:color="auto"/>
            <w:bottom w:val="none" w:sz="0" w:space="0" w:color="auto"/>
            <w:right w:val="none" w:sz="0" w:space="0" w:color="auto"/>
          </w:divBdr>
          <w:divsChild>
            <w:div w:id="1658221351">
              <w:marLeft w:val="0"/>
              <w:marRight w:val="0"/>
              <w:marTop w:val="0"/>
              <w:marBottom w:val="0"/>
              <w:divBdr>
                <w:top w:val="none" w:sz="0" w:space="0" w:color="auto"/>
                <w:left w:val="none" w:sz="0" w:space="0" w:color="auto"/>
                <w:bottom w:val="none" w:sz="0" w:space="0" w:color="auto"/>
                <w:right w:val="none" w:sz="0" w:space="0" w:color="auto"/>
              </w:divBdr>
              <w:divsChild>
                <w:div w:id="53781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183298">
      <w:bodyDiv w:val="1"/>
      <w:marLeft w:val="0"/>
      <w:marRight w:val="0"/>
      <w:marTop w:val="0"/>
      <w:marBottom w:val="0"/>
      <w:divBdr>
        <w:top w:val="none" w:sz="0" w:space="0" w:color="auto"/>
        <w:left w:val="none" w:sz="0" w:space="0" w:color="auto"/>
        <w:bottom w:val="none" w:sz="0" w:space="0" w:color="auto"/>
        <w:right w:val="none" w:sz="0" w:space="0" w:color="auto"/>
      </w:divBdr>
    </w:div>
    <w:div w:id="869298104">
      <w:bodyDiv w:val="1"/>
      <w:marLeft w:val="0"/>
      <w:marRight w:val="0"/>
      <w:marTop w:val="0"/>
      <w:marBottom w:val="0"/>
      <w:divBdr>
        <w:top w:val="none" w:sz="0" w:space="0" w:color="auto"/>
        <w:left w:val="none" w:sz="0" w:space="0" w:color="auto"/>
        <w:bottom w:val="none" w:sz="0" w:space="0" w:color="auto"/>
        <w:right w:val="none" w:sz="0" w:space="0" w:color="auto"/>
      </w:divBdr>
    </w:div>
    <w:div w:id="889656597">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12547353">
      <w:bodyDiv w:val="1"/>
      <w:marLeft w:val="0"/>
      <w:marRight w:val="0"/>
      <w:marTop w:val="0"/>
      <w:marBottom w:val="0"/>
      <w:divBdr>
        <w:top w:val="none" w:sz="0" w:space="0" w:color="auto"/>
        <w:left w:val="none" w:sz="0" w:space="0" w:color="auto"/>
        <w:bottom w:val="none" w:sz="0" w:space="0" w:color="auto"/>
        <w:right w:val="none" w:sz="0" w:space="0" w:color="auto"/>
      </w:divBdr>
    </w:div>
    <w:div w:id="925041934">
      <w:bodyDiv w:val="1"/>
      <w:marLeft w:val="0"/>
      <w:marRight w:val="0"/>
      <w:marTop w:val="0"/>
      <w:marBottom w:val="0"/>
      <w:divBdr>
        <w:top w:val="none" w:sz="0" w:space="0" w:color="auto"/>
        <w:left w:val="none" w:sz="0" w:space="0" w:color="auto"/>
        <w:bottom w:val="none" w:sz="0" w:space="0" w:color="auto"/>
        <w:right w:val="none" w:sz="0" w:space="0" w:color="auto"/>
      </w:divBdr>
    </w:div>
    <w:div w:id="933787947">
      <w:bodyDiv w:val="1"/>
      <w:marLeft w:val="0"/>
      <w:marRight w:val="0"/>
      <w:marTop w:val="0"/>
      <w:marBottom w:val="0"/>
      <w:divBdr>
        <w:top w:val="none" w:sz="0" w:space="0" w:color="auto"/>
        <w:left w:val="none" w:sz="0" w:space="0" w:color="auto"/>
        <w:bottom w:val="none" w:sz="0" w:space="0" w:color="auto"/>
        <w:right w:val="none" w:sz="0" w:space="0" w:color="auto"/>
      </w:divBdr>
    </w:div>
    <w:div w:id="935207447">
      <w:bodyDiv w:val="1"/>
      <w:marLeft w:val="0"/>
      <w:marRight w:val="0"/>
      <w:marTop w:val="0"/>
      <w:marBottom w:val="0"/>
      <w:divBdr>
        <w:top w:val="none" w:sz="0" w:space="0" w:color="auto"/>
        <w:left w:val="none" w:sz="0" w:space="0" w:color="auto"/>
        <w:bottom w:val="none" w:sz="0" w:space="0" w:color="auto"/>
        <w:right w:val="none" w:sz="0" w:space="0" w:color="auto"/>
      </w:divBdr>
      <w:divsChild>
        <w:div w:id="945886337">
          <w:marLeft w:val="0"/>
          <w:marRight w:val="0"/>
          <w:marTop w:val="0"/>
          <w:marBottom w:val="0"/>
          <w:divBdr>
            <w:top w:val="none" w:sz="0" w:space="0" w:color="auto"/>
            <w:left w:val="none" w:sz="0" w:space="0" w:color="auto"/>
            <w:bottom w:val="none" w:sz="0" w:space="0" w:color="auto"/>
            <w:right w:val="none" w:sz="0" w:space="0" w:color="auto"/>
          </w:divBdr>
          <w:divsChild>
            <w:div w:id="1399398717">
              <w:marLeft w:val="0"/>
              <w:marRight w:val="0"/>
              <w:marTop w:val="0"/>
              <w:marBottom w:val="0"/>
              <w:divBdr>
                <w:top w:val="none" w:sz="0" w:space="0" w:color="auto"/>
                <w:left w:val="none" w:sz="0" w:space="0" w:color="auto"/>
                <w:bottom w:val="none" w:sz="0" w:space="0" w:color="auto"/>
                <w:right w:val="none" w:sz="0" w:space="0" w:color="auto"/>
              </w:divBdr>
              <w:divsChild>
                <w:div w:id="7081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06156">
      <w:bodyDiv w:val="1"/>
      <w:marLeft w:val="0"/>
      <w:marRight w:val="0"/>
      <w:marTop w:val="0"/>
      <w:marBottom w:val="0"/>
      <w:divBdr>
        <w:top w:val="none" w:sz="0" w:space="0" w:color="auto"/>
        <w:left w:val="none" w:sz="0" w:space="0" w:color="auto"/>
        <w:bottom w:val="none" w:sz="0" w:space="0" w:color="auto"/>
        <w:right w:val="none" w:sz="0" w:space="0" w:color="auto"/>
      </w:divBdr>
    </w:div>
    <w:div w:id="1009143292">
      <w:bodyDiv w:val="1"/>
      <w:marLeft w:val="0"/>
      <w:marRight w:val="0"/>
      <w:marTop w:val="0"/>
      <w:marBottom w:val="0"/>
      <w:divBdr>
        <w:top w:val="none" w:sz="0" w:space="0" w:color="auto"/>
        <w:left w:val="none" w:sz="0" w:space="0" w:color="auto"/>
        <w:bottom w:val="none" w:sz="0" w:space="0" w:color="auto"/>
        <w:right w:val="none" w:sz="0" w:space="0" w:color="auto"/>
      </w:divBdr>
    </w:div>
    <w:div w:id="1012030515">
      <w:bodyDiv w:val="1"/>
      <w:marLeft w:val="0"/>
      <w:marRight w:val="0"/>
      <w:marTop w:val="0"/>
      <w:marBottom w:val="0"/>
      <w:divBdr>
        <w:top w:val="none" w:sz="0" w:space="0" w:color="auto"/>
        <w:left w:val="none" w:sz="0" w:space="0" w:color="auto"/>
        <w:bottom w:val="none" w:sz="0" w:space="0" w:color="auto"/>
        <w:right w:val="none" w:sz="0" w:space="0" w:color="auto"/>
      </w:divBdr>
    </w:div>
    <w:div w:id="1022978986">
      <w:bodyDiv w:val="1"/>
      <w:marLeft w:val="0"/>
      <w:marRight w:val="0"/>
      <w:marTop w:val="0"/>
      <w:marBottom w:val="0"/>
      <w:divBdr>
        <w:top w:val="none" w:sz="0" w:space="0" w:color="auto"/>
        <w:left w:val="none" w:sz="0" w:space="0" w:color="auto"/>
        <w:bottom w:val="none" w:sz="0" w:space="0" w:color="auto"/>
        <w:right w:val="none" w:sz="0" w:space="0" w:color="auto"/>
      </w:divBdr>
    </w:div>
    <w:div w:id="1031340540">
      <w:bodyDiv w:val="1"/>
      <w:marLeft w:val="0"/>
      <w:marRight w:val="0"/>
      <w:marTop w:val="0"/>
      <w:marBottom w:val="0"/>
      <w:divBdr>
        <w:top w:val="none" w:sz="0" w:space="0" w:color="auto"/>
        <w:left w:val="none" w:sz="0" w:space="0" w:color="auto"/>
        <w:bottom w:val="none" w:sz="0" w:space="0" w:color="auto"/>
        <w:right w:val="none" w:sz="0" w:space="0" w:color="auto"/>
      </w:divBdr>
    </w:div>
    <w:div w:id="1052532968">
      <w:bodyDiv w:val="1"/>
      <w:marLeft w:val="0"/>
      <w:marRight w:val="0"/>
      <w:marTop w:val="0"/>
      <w:marBottom w:val="0"/>
      <w:divBdr>
        <w:top w:val="none" w:sz="0" w:space="0" w:color="auto"/>
        <w:left w:val="none" w:sz="0" w:space="0" w:color="auto"/>
        <w:bottom w:val="none" w:sz="0" w:space="0" w:color="auto"/>
        <w:right w:val="none" w:sz="0" w:space="0" w:color="auto"/>
      </w:divBdr>
    </w:div>
    <w:div w:id="1076318879">
      <w:bodyDiv w:val="1"/>
      <w:marLeft w:val="0"/>
      <w:marRight w:val="0"/>
      <w:marTop w:val="0"/>
      <w:marBottom w:val="0"/>
      <w:divBdr>
        <w:top w:val="none" w:sz="0" w:space="0" w:color="auto"/>
        <w:left w:val="none" w:sz="0" w:space="0" w:color="auto"/>
        <w:bottom w:val="none" w:sz="0" w:space="0" w:color="auto"/>
        <w:right w:val="none" w:sz="0" w:space="0" w:color="auto"/>
      </w:divBdr>
    </w:div>
    <w:div w:id="1084570097">
      <w:bodyDiv w:val="1"/>
      <w:marLeft w:val="0"/>
      <w:marRight w:val="0"/>
      <w:marTop w:val="0"/>
      <w:marBottom w:val="0"/>
      <w:divBdr>
        <w:top w:val="none" w:sz="0" w:space="0" w:color="auto"/>
        <w:left w:val="none" w:sz="0" w:space="0" w:color="auto"/>
        <w:bottom w:val="none" w:sz="0" w:space="0" w:color="auto"/>
        <w:right w:val="none" w:sz="0" w:space="0" w:color="auto"/>
      </w:divBdr>
    </w:div>
    <w:div w:id="1087385510">
      <w:bodyDiv w:val="1"/>
      <w:marLeft w:val="0"/>
      <w:marRight w:val="0"/>
      <w:marTop w:val="0"/>
      <w:marBottom w:val="0"/>
      <w:divBdr>
        <w:top w:val="none" w:sz="0" w:space="0" w:color="auto"/>
        <w:left w:val="none" w:sz="0" w:space="0" w:color="auto"/>
        <w:bottom w:val="none" w:sz="0" w:space="0" w:color="auto"/>
        <w:right w:val="none" w:sz="0" w:space="0" w:color="auto"/>
      </w:divBdr>
    </w:div>
    <w:div w:id="1104568507">
      <w:bodyDiv w:val="1"/>
      <w:marLeft w:val="0"/>
      <w:marRight w:val="0"/>
      <w:marTop w:val="0"/>
      <w:marBottom w:val="0"/>
      <w:divBdr>
        <w:top w:val="none" w:sz="0" w:space="0" w:color="auto"/>
        <w:left w:val="none" w:sz="0" w:space="0" w:color="auto"/>
        <w:bottom w:val="none" w:sz="0" w:space="0" w:color="auto"/>
        <w:right w:val="none" w:sz="0" w:space="0" w:color="auto"/>
      </w:divBdr>
    </w:div>
    <w:div w:id="1119688212">
      <w:bodyDiv w:val="1"/>
      <w:marLeft w:val="0"/>
      <w:marRight w:val="0"/>
      <w:marTop w:val="0"/>
      <w:marBottom w:val="0"/>
      <w:divBdr>
        <w:top w:val="none" w:sz="0" w:space="0" w:color="auto"/>
        <w:left w:val="none" w:sz="0" w:space="0" w:color="auto"/>
        <w:bottom w:val="none" w:sz="0" w:space="0" w:color="auto"/>
        <w:right w:val="none" w:sz="0" w:space="0" w:color="auto"/>
      </w:divBdr>
    </w:div>
    <w:div w:id="1129014813">
      <w:bodyDiv w:val="1"/>
      <w:marLeft w:val="0"/>
      <w:marRight w:val="0"/>
      <w:marTop w:val="0"/>
      <w:marBottom w:val="0"/>
      <w:divBdr>
        <w:top w:val="none" w:sz="0" w:space="0" w:color="auto"/>
        <w:left w:val="none" w:sz="0" w:space="0" w:color="auto"/>
        <w:bottom w:val="none" w:sz="0" w:space="0" w:color="auto"/>
        <w:right w:val="none" w:sz="0" w:space="0" w:color="auto"/>
      </w:divBdr>
    </w:div>
    <w:div w:id="1141775380">
      <w:bodyDiv w:val="1"/>
      <w:marLeft w:val="0"/>
      <w:marRight w:val="0"/>
      <w:marTop w:val="0"/>
      <w:marBottom w:val="0"/>
      <w:divBdr>
        <w:top w:val="none" w:sz="0" w:space="0" w:color="auto"/>
        <w:left w:val="none" w:sz="0" w:space="0" w:color="auto"/>
        <w:bottom w:val="none" w:sz="0" w:space="0" w:color="auto"/>
        <w:right w:val="none" w:sz="0" w:space="0" w:color="auto"/>
      </w:divBdr>
    </w:div>
    <w:div w:id="1145587897">
      <w:bodyDiv w:val="1"/>
      <w:marLeft w:val="0"/>
      <w:marRight w:val="0"/>
      <w:marTop w:val="0"/>
      <w:marBottom w:val="0"/>
      <w:divBdr>
        <w:top w:val="none" w:sz="0" w:space="0" w:color="auto"/>
        <w:left w:val="none" w:sz="0" w:space="0" w:color="auto"/>
        <w:bottom w:val="none" w:sz="0" w:space="0" w:color="auto"/>
        <w:right w:val="none" w:sz="0" w:space="0" w:color="auto"/>
      </w:divBdr>
      <w:divsChild>
        <w:div w:id="379866750">
          <w:marLeft w:val="0"/>
          <w:marRight w:val="0"/>
          <w:marTop w:val="0"/>
          <w:marBottom w:val="0"/>
          <w:divBdr>
            <w:top w:val="none" w:sz="0" w:space="0" w:color="auto"/>
            <w:left w:val="none" w:sz="0" w:space="0" w:color="auto"/>
            <w:bottom w:val="none" w:sz="0" w:space="0" w:color="auto"/>
            <w:right w:val="none" w:sz="0" w:space="0" w:color="auto"/>
          </w:divBdr>
          <w:divsChild>
            <w:div w:id="427237162">
              <w:marLeft w:val="0"/>
              <w:marRight w:val="0"/>
              <w:marTop w:val="0"/>
              <w:marBottom w:val="0"/>
              <w:divBdr>
                <w:top w:val="none" w:sz="0" w:space="0" w:color="auto"/>
                <w:left w:val="none" w:sz="0" w:space="0" w:color="auto"/>
                <w:bottom w:val="none" w:sz="0" w:space="0" w:color="auto"/>
                <w:right w:val="none" w:sz="0" w:space="0" w:color="auto"/>
              </w:divBdr>
              <w:divsChild>
                <w:div w:id="20633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2817815">
      <w:bodyDiv w:val="1"/>
      <w:marLeft w:val="0"/>
      <w:marRight w:val="0"/>
      <w:marTop w:val="0"/>
      <w:marBottom w:val="0"/>
      <w:divBdr>
        <w:top w:val="none" w:sz="0" w:space="0" w:color="auto"/>
        <w:left w:val="none" w:sz="0" w:space="0" w:color="auto"/>
        <w:bottom w:val="none" w:sz="0" w:space="0" w:color="auto"/>
        <w:right w:val="none" w:sz="0" w:space="0" w:color="auto"/>
      </w:divBdr>
    </w:div>
    <w:div w:id="1187060828">
      <w:bodyDiv w:val="1"/>
      <w:marLeft w:val="0"/>
      <w:marRight w:val="0"/>
      <w:marTop w:val="0"/>
      <w:marBottom w:val="0"/>
      <w:divBdr>
        <w:top w:val="none" w:sz="0" w:space="0" w:color="auto"/>
        <w:left w:val="none" w:sz="0" w:space="0" w:color="auto"/>
        <w:bottom w:val="none" w:sz="0" w:space="0" w:color="auto"/>
        <w:right w:val="none" w:sz="0" w:space="0" w:color="auto"/>
      </w:divBdr>
    </w:div>
    <w:div w:id="1222450284">
      <w:bodyDiv w:val="1"/>
      <w:marLeft w:val="0"/>
      <w:marRight w:val="0"/>
      <w:marTop w:val="0"/>
      <w:marBottom w:val="0"/>
      <w:divBdr>
        <w:top w:val="none" w:sz="0" w:space="0" w:color="auto"/>
        <w:left w:val="none" w:sz="0" w:space="0" w:color="auto"/>
        <w:bottom w:val="none" w:sz="0" w:space="0" w:color="auto"/>
        <w:right w:val="none" w:sz="0" w:space="0" w:color="auto"/>
      </w:divBdr>
      <w:divsChild>
        <w:div w:id="1386611234">
          <w:marLeft w:val="0"/>
          <w:marRight w:val="0"/>
          <w:marTop w:val="0"/>
          <w:marBottom w:val="0"/>
          <w:divBdr>
            <w:top w:val="none" w:sz="0" w:space="0" w:color="auto"/>
            <w:left w:val="none" w:sz="0" w:space="0" w:color="auto"/>
            <w:bottom w:val="none" w:sz="0" w:space="0" w:color="auto"/>
            <w:right w:val="none" w:sz="0" w:space="0" w:color="auto"/>
          </w:divBdr>
        </w:div>
      </w:divsChild>
    </w:div>
    <w:div w:id="1240865894">
      <w:bodyDiv w:val="1"/>
      <w:marLeft w:val="0"/>
      <w:marRight w:val="0"/>
      <w:marTop w:val="0"/>
      <w:marBottom w:val="0"/>
      <w:divBdr>
        <w:top w:val="none" w:sz="0" w:space="0" w:color="auto"/>
        <w:left w:val="none" w:sz="0" w:space="0" w:color="auto"/>
        <w:bottom w:val="none" w:sz="0" w:space="0" w:color="auto"/>
        <w:right w:val="none" w:sz="0" w:space="0" w:color="auto"/>
      </w:divBdr>
    </w:div>
    <w:div w:id="1265260329">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110057">
      <w:bodyDiv w:val="1"/>
      <w:marLeft w:val="0"/>
      <w:marRight w:val="0"/>
      <w:marTop w:val="0"/>
      <w:marBottom w:val="0"/>
      <w:divBdr>
        <w:top w:val="none" w:sz="0" w:space="0" w:color="auto"/>
        <w:left w:val="none" w:sz="0" w:space="0" w:color="auto"/>
        <w:bottom w:val="none" w:sz="0" w:space="0" w:color="auto"/>
        <w:right w:val="none" w:sz="0" w:space="0" w:color="auto"/>
      </w:divBdr>
      <w:divsChild>
        <w:div w:id="984506313">
          <w:marLeft w:val="0"/>
          <w:marRight w:val="0"/>
          <w:marTop w:val="0"/>
          <w:marBottom w:val="0"/>
          <w:divBdr>
            <w:top w:val="none" w:sz="0" w:space="0" w:color="auto"/>
            <w:left w:val="none" w:sz="0" w:space="0" w:color="auto"/>
            <w:bottom w:val="none" w:sz="0" w:space="0" w:color="auto"/>
            <w:right w:val="none" w:sz="0" w:space="0" w:color="auto"/>
          </w:divBdr>
          <w:divsChild>
            <w:div w:id="1279027699">
              <w:marLeft w:val="0"/>
              <w:marRight w:val="0"/>
              <w:marTop w:val="0"/>
              <w:marBottom w:val="0"/>
              <w:divBdr>
                <w:top w:val="none" w:sz="0" w:space="0" w:color="auto"/>
                <w:left w:val="none" w:sz="0" w:space="0" w:color="auto"/>
                <w:bottom w:val="none" w:sz="0" w:space="0" w:color="auto"/>
                <w:right w:val="none" w:sz="0" w:space="0" w:color="auto"/>
              </w:divBdr>
            </w:div>
          </w:divsChild>
        </w:div>
        <w:div w:id="1404523454">
          <w:marLeft w:val="0"/>
          <w:marRight w:val="0"/>
          <w:marTop w:val="0"/>
          <w:marBottom w:val="0"/>
          <w:divBdr>
            <w:top w:val="none" w:sz="0" w:space="0" w:color="auto"/>
            <w:left w:val="none" w:sz="0" w:space="0" w:color="auto"/>
            <w:bottom w:val="none" w:sz="0" w:space="0" w:color="auto"/>
            <w:right w:val="none" w:sz="0" w:space="0" w:color="auto"/>
          </w:divBdr>
          <w:divsChild>
            <w:div w:id="1215383586">
              <w:marLeft w:val="0"/>
              <w:marRight w:val="0"/>
              <w:marTop w:val="0"/>
              <w:marBottom w:val="0"/>
              <w:divBdr>
                <w:top w:val="none" w:sz="0" w:space="0" w:color="auto"/>
                <w:left w:val="none" w:sz="0" w:space="0" w:color="auto"/>
                <w:bottom w:val="none" w:sz="0" w:space="0" w:color="auto"/>
                <w:right w:val="none" w:sz="0" w:space="0" w:color="auto"/>
              </w:divBdr>
              <w:divsChild>
                <w:div w:id="25875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10527">
      <w:bodyDiv w:val="1"/>
      <w:marLeft w:val="0"/>
      <w:marRight w:val="0"/>
      <w:marTop w:val="0"/>
      <w:marBottom w:val="0"/>
      <w:divBdr>
        <w:top w:val="none" w:sz="0" w:space="0" w:color="auto"/>
        <w:left w:val="none" w:sz="0" w:space="0" w:color="auto"/>
        <w:bottom w:val="none" w:sz="0" w:space="0" w:color="auto"/>
        <w:right w:val="none" w:sz="0" w:space="0" w:color="auto"/>
      </w:divBdr>
    </w:div>
    <w:div w:id="1334142467">
      <w:bodyDiv w:val="1"/>
      <w:marLeft w:val="0"/>
      <w:marRight w:val="0"/>
      <w:marTop w:val="0"/>
      <w:marBottom w:val="0"/>
      <w:divBdr>
        <w:top w:val="none" w:sz="0" w:space="0" w:color="auto"/>
        <w:left w:val="none" w:sz="0" w:space="0" w:color="auto"/>
        <w:bottom w:val="none" w:sz="0" w:space="0" w:color="auto"/>
        <w:right w:val="none" w:sz="0" w:space="0" w:color="auto"/>
      </w:divBdr>
    </w:div>
    <w:div w:id="1365252490">
      <w:bodyDiv w:val="1"/>
      <w:marLeft w:val="0"/>
      <w:marRight w:val="0"/>
      <w:marTop w:val="0"/>
      <w:marBottom w:val="0"/>
      <w:divBdr>
        <w:top w:val="none" w:sz="0" w:space="0" w:color="auto"/>
        <w:left w:val="none" w:sz="0" w:space="0" w:color="auto"/>
        <w:bottom w:val="none" w:sz="0" w:space="0" w:color="auto"/>
        <w:right w:val="none" w:sz="0" w:space="0" w:color="auto"/>
      </w:divBdr>
    </w:div>
    <w:div w:id="1375151377">
      <w:bodyDiv w:val="1"/>
      <w:marLeft w:val="0"/>
      <w:marRight w:val="0"/>
      <w:marTop w:val="0"/>
      <w:marBottom w:val="0"/>
      <w:divBdr>
        <w:top w:val="none" w:sz="0" w:space="0" w:color="auto"/>
        <w:left w:val="none" w:sz="0" w:space="0" w:color="auto"/>
        <w:bottom w:val="none" w:sz="0" w:space="0" w:color="auto"/>
        <w:right w:val="none" w:sz="0" w:space="0" w:color="auto"/>
      </w:divBdr>
    </w:div>
    <w:div w:id="1399012415">
      <w:bodyDiv w:val="1"/>
      <w:marLeft w:val="0"/>
      <w:marRight w:val="0"/>
      <w:marTop w:val="0"/>
      <w:marBottom w:val="0"/>
      <w:divBdr>
        <w:top w:val="none" w:sz="0" w:space="0" w:color="auto"/>
        <w:left w:val="none" w:sz="0" w:space="0" w:color="auto"/>
        <w:bottom w:val="none" w:sz="0" w:space="0" w:color="auto"/>
        <w:right w:val="none" w:sz="0" w:space="0" w:color="auto"/>
      </w:divBdr>
    </w:div>
    <w:div w:id="1435857866">
      <w:bodyDiv w:val="1"/>
      <w:marLeft w:val="0"/>
      <w:marRight w:val="0"/>
      <w:marTop w:val="0"/>
      <w:marBottom w:val="0"/>
      <w:divBdr>
        <w:top w:val="none" w:sz="0" w:space="0" w:color="auto"/>
        <w:left w:val="none" w:sz="0" w:space="0" w:color="auto"/>
        <w:bottom w:val="none" w:sz="0" w:space="0" w:color="auto"/>
        <w:right w:val="none" w:sz="0" w:space="0" w:color="auto"/>
      </w:divBdr>
    </w:div>
    <w:div w:id="1436025500">
      <w:bodyDiv w:val="1"/>
      <w:marLeft w:val="0"/>
      <w:marRight w:val="0"/>
      <w:marTop w:val="0"/>
      <w:marBottom w:val="0"/>
      <w:divBdr>
        <w:top w:val="none" w:sz="0" w:space="0" w:color="auto"/>
        <w:left w:val="none" w:sz="0" w:space="0" w:color="auto"/>
        <w:bottom w:val="none" w:sz="0" w:space="0" w:color="auto"/>
        <w:right w:val="none" w:sz="0" w:space="0" w:color="auto"/>
      </w:divBdr>
    </w:div>
    <w:div w:id="1510289184">
      <w:bodyDiv w:val="1"/>
      <w:marLeft w:val="0"/>
      <w:marRight w:val="0"/>
      <w:marTop w:val="0"/>
      <w:marBottom w:val="0"/>
      <w:divBdr>
        <w:top w:val="none" w:sz="0" w:space="0" w:color="auto"/>
        <w:left w:val="none" w:sz="0" w:space="0" w:color="auto"/>
        <w:bottom w:val="none" w:sz="0" w:space="0" w:color="auto"/>
        <w:right w:val="none" w:sz="0" w:space="0" w:color="auto"/>
      </w:divBdr>
    </w:div>
    <w:div w:id="1511722864">
      <w:bodyDiv w:val="1"/>
      <w:marLeft w:val="0"/>
      <w:marRight w:val="0"/>
      <w:marTop w:val="0"/>
      <w:marBottom w:val="0"/>
      <w:divBdr>
        <w:top w:val="none" w:sz="0" w:space="0" w:color="auto"/>
        <w:left w:val="none" w:sz="0" w:space="0" w:color="auto"/>
        <w:bottom w:val="none" w:sz="0" w:space="0" w:color="auto"/>
        <w:right w:val="none" w:sz="0" w:space="0" w:color="auto"/>
      </w:divBdr>
    </w:div>
    <w:div w:id="1535649754">
      <w:bodyDiv w:val="1"/>
      <w:marLeft w:val="0"/>
      <w:marRight w:val="0"/>
      <w:marTop w:val="0"/>
      <w:marBottom w:val="0"/>
      <w:divBdr>
        <w:top w:val="none" w:sz="0" w:space="0" w:color="auto"/>
        <w:left w:val="none" w:sz="0" w:space="0" w:color="auto"/>
        <w:bottom w:val="none" w:sz="0" w:space="0" w:color="auto"/>
        <w:right w:val="none" w:sz="0" w:space="0" w:color="auto"/>
      </w:divBdr>
    </w:div>
    <w:div w:id="1541238337">
      <w:bodyDiv w:val="1"/>
      <w:marLeft w:val="0"/>
      <w:marRight w:val="0"/>
      <w:marTop w:val="0"/>
      <w:marBottom w:val="0"/>
      <w:divBdr>
        <w:top w:val="none" w:sz="0" w:space="0" w:color="auto"/>
        <w:left w:val="none" w:sz="0" w:space="0" w:color="auto"/>
        <w:bottom w:val="none" w:sz="0" w:space="0" w:color="auto"/>
        <w:right w:val="none" w:sz="0" w:space="0" w:color="auto"/>
      </w:divBdr>
    </w:div>
    <w:div w:id="1542208781">
      <w:bodyDiv w:val="1"/>
      <w:marLeft w:val="0"/>
      <w:marRight w:val="0"/>
      <w:marTop w:val="0"/>
      <w:marBottom w:val="0"/>
      <w:divBdr>
        <w:top w:val="none" w:sz="0" w:space="0" w:color="auto"/>
        <w:left w:val="none" w:sz="0" w:space="0" w:color="auto"/>
        <w:bottom w:val="none" w:sz="0" w:space="0" w:color="auto"/>
        <w:right w:val="none" w:sz="0" w:space="0" w:color="auto"/>
      </w:divBdr>
    </w:div>
    <w:div w:id="1555462165">
      <w:bodyDiv w:val="1"/>
      <w:marLeft w:val="0"/>
      <w:marRight w:val="0"/>
      <w:marTop w:val="0"/>
      <w:marBottom w:val="0"/>
      <w:divBdr>
        <w:top w:val="none" w:sz="0" w:space="0" w:color="auto"/>
        <w:left w:val="none" w:sz="0" w:space="0" w:color="auto"/>
        <w:bottom w:val="none" w:sz="0" w:space="0" w:color="auto"/>
        <w:right w:val="none" w:sz="0" w:space="0" w:color="auto"/>
      </w:divBdr>
    </w:div>
    <w:div w:id="1565607022">
      <w:bodyDiv w:val="1"/>
      <w:marLeft w:val="0"/>
      <w:marRight w:val="0"/>
      <w:marTop w:val="0"/>
      <w:marBottom w:val="0"/>
      <w:divBdr>
        <w:top w:val="none" w:sz="0" w:space="0" w:color="auto"/>
        <w:left w:val="none" w:sz="0" w:space="0" w:color="auto"/>
        <w:bottom w:val="none" w:sz="0" w:space="0" w:color="auto"/>
        <w:right w:val="none" w:sz="0" w:space="0" w:color="auto"/>
      </w:divBdr>
    </w:div>
    <w:div w:id="1612585197">
      <w:bodyDiv w:val="1"/>
      <w:marLeft w:val="0"/>
      <w:marRight w:val="0"/>
      <w:marTop w:val="0"/>
      <w:marBottom w:val="0"/>
      <w:divBdr>
        <w:top w:val="none" w:sz="0" w:space="0" w:color="auto"/>
        <w:left w:val="none" w:sz="0" w:space="0" w:color="auto"/>
        <w:bottom w:val="none" w:sz="0" w:space="0" w:color="auto"/>
        <w:right w:val="none" w:sz="0" w:space="0" w:color="auto"/>
      </w:divBdr>
    </w:div>
    <w:div w:id="1622766051">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872718">
      <w:bodyDiv w:val="1"/>
      <w:marLeft w:val="0"/>
      <w:marRight w:val="0"/>
      <w:marTop w:val="0"/>
      <w:marBottom w:val="0"/>
      <w:divBdr>
        <w:top w:val="none" w:sz="0" w:space="0" w:color="auto"/>
        <w:left w:val="none" w:sz="0" w:space="0" w:color="auto"/>
        <w:bottom w:val="none" w:sz="0" w:space="0" w:color="auto"/>
        <w:right w:val="none" w:sz="0" w:space="0" w:color="auto"/>
      </w:divBdr>
    </w:div>
    <w:div w:id="1713917841">
      <w:bodyDiv w:val="1"/>
      <w:marLeft w:val="0"/>
      <w:marRight w:val="0"/>
      <w:marTop w:val="0"/>
      <w:marBottom w:val="0"/>
      <w:divBdr>
        <w:top w:val="none" w:sz="0" w:space="0" w:color="auto"/>
        <w:left w:val="none" w:sz="0" w:space="0" w:color="auto"/>
        <w:bottom w:val="none" w:sz="0" w:space="0" w:color="auto"/>
        <w:right w:val="none" w:sz="0" w:space="0" w:color="auto"/>
      </w:divBdr>
    </w:div>
    <w:div w:id="1735664674">
      <w:bodyDiv w:val="1"/>
      <w:marLeft w:val="0"/>
      <w:marRight w:val="0"/>
      <w:marTop w:val="0"/>
      <w:marBottom w:val="0"/>
      <w:divBdr>
        <w:top w:val="none" w:sz="0" w:space="0" w:color="auto"/>
        <w:left w:val="none" w:sz="0" w:space="0" w:color="auto"/>
        <w:bottom w:val="none" w:sz="0" w:space="0" w:color="auto"/>
        <w:right w:val="none" w:sz="0" w:space="0" w:color="auto"/>
      </w:divBdr>
    </w:div>
    <w:div w:id="1738674521">
      <w:bodyDiv w:val="1"/>
      <w:marLeft w:val="0"/>
      <w:marRight w:val="0"/>
      <w:marTop w:val="0"/>
      <w:marBottom w:val="0"/>
      <w:divBdr>
        <w:top w:val="none" w:sz="0" w:space="0" w:color="auto"/>
        <w:left w:val="none" w:sz="0" w:space="0" w:color="auto"/>
        <w:bottom w:val="none" w:sz="0" w:space="0" w:color="auto"/>
        <w:right w:val="none" w:sz="0" w:space="0" w:color="auto"/>
      </w:divBdr>
    </w:div>
    <w:div w:id="1740712981">
      <w:bodyDiv w:val="1"/>
      <w:marLeft w:val="0"/>
      <w:marRight w:val="0"/>
      <w:marTop w:val="0"/>
      <w:marBottom w:val="0"/>
      <w:divBdr>
        <w:top w:val="none" w:sz="0" w:space="0" w:color="auto"/>
        <w:left w:val="none" w:sz="0" w:space="0" w:color="auto"/>
        <w:bottom w:val="none" w:sz="0" w:space="0" w:color="auto"/>
        <w:right w:val="none" w:sz="0" w:space="0" w:color="auto"/>
      </w:divBdr>
      <w:divsChild>
        <w:div w:id="732851954">
          <w:marLeft w:val="0"/>
          <w:marRight w:val="0"/>
          <w:marTop w:val="0"/>
          <w:marBottom w:val="0"/>
          <w:divBdr>
            <w:top w:val="none" w:sz="0" w:space="0" w:color="auto"/>
            <w:left w:val="none" w:sz="0" w:space="0" w:color="auto"/>
            <w:bottom w:val="none" w:sz="0" w:space="0" w:color="auto"/>
            <w:right w:val="none" w:sz="0" w:space="0" w:color="auto"/>
          </w:divBdr>
          <w:divsChild>
            <w:div w:id="1078090896">
              <w:marLeft w:val="0"/>
              <w:marRight w:val="0"/>
              <w:marTop w:val="0"/>
              <w:marBottom w:val="0"/>
              <w:divBdr>
                <w:top w:val="none" w:sz="0" w:space="0" w:color="auto"/>
                <w:left w:val="none" w:sz="0" w:space="0" w:color="auto"/>
                <w:bottom w:val="none" w:sz="0" w:space="0" w:color="auto"/>
                <w:right w:val="none" w:sz="0" w:space="0" w:color="auto"/>
              </w:divBdr>
              <w:divsChild>
                <w:div w:id="11786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68572044">
      <w:bodyDiv w:val="1"/>
      <w:marLeft w:val="0"/>
      <w:marRight w:val="0"/>
      <w:marTop w:val="0"/>
      <w:marBottom w:val="0"/>
      <w:divBdr>
        <w:top w:val="none" w:sz="0" w:space="0" w:color="auto"/>
        <w:left w:val="none" w:sz="0" w:space="0" w:color="auto"/>
        <w:bottom w:val="none" w:sz="0" w:space="0" w:color="auto"/>
        <w:right w:val="none" w:sz="0" w:space="0" w:color="auto"/>
      </w:divBdr>
    </w:div>
    <w:div w:id="1769428903">
      <w:bodyDiv w:val="1"/>
      <w:marLeft w:val="0"/>
      <w:marRight w:val="0"/>
      <w:marTop w:val="0"/>
      <w:marBottom w:val="0"/>
      <w:divBdr>
        <w:top w:val="none" w:sz="0" w:space="0" w:color="auto"/>
        <w:left w:val="none" w:sz="0" w:space="0" w:color="auto"/>
        <w:bottom w:val="none" w:sz="0" w:space="0" w:color="auto"/>
        <w:right w:val="none" w:sz="0" w:space="0" w:color="auto"/>
      </w:divBdr>
    </w:div>
    <w:div w:id="1773937648">
      <w:bodyDiv w:val="1"/>
      <w:marLeft w:val="0"/>
      <w:marRight w:val="0"/>
      <w:marTop w:val="0"/>
      <w:marBottom w:val="0"/>
      <w:divBdr>
        <w:top w:val="none" w:sz="0" w:space="0" w:color="auto"/>
        <w:left w:val="none" w:sz="0" w:space="0" w:color="auto"/>
        <w:bottom w:val="none" w:sz="0" w:space="0" w:color="auto"/>
        <w:right w:val="none" w:sz="0" w:space="0" w:color="auto"/>
      </w:divBdr>
    </w:div>
    <w:div w:id="1832410343">
      <w:bodyDiv w:val="1"/>
      <w:marLeft w:val="0"/>
      <w:marRight w:val="0"/>
      <w:marTop w:val="0"/>
      <w:marBottom w:val="0"/>
      <w:divBdr>
        <w:top w:val="none" w:sz="0" w:space="0" w:color="auto"/>
        <w:left w:val="none" w:sz="0" w:space="0" w:color="auto"/>
        <w:bottom w:val="none" w:sz="0" w:space="0" w:color="auto"/>
        <w:right w:val="none" w:sz="0" w:space="0" w:color="auto"/>
      </w:divBdr>
    </w:div>
    <w:div w:id="1837454349">
      <w:bodyDiv w:val="1"/>
      <w:marLeft w:val="0"/>
      <w:marRight w:val="0"/>
      <w:marTop w:val="0"/>
      <w:marBottom w:val="0"/>
      <w:divBdr>
        <w:top w:val="none" w:sz="0" w:space="0" w:color="auto"/>
        <w:left w:val="none" w:sz="0" w:space="0" w:color="auto"/>
        <w:bottom w:val="none" w:sz="0" w:space="0" w:color="auto"/>
        <w:right w:val="none" w:sz="0" w:space="0" w:color="auto"/>
      </w:divBdr>
    </w:div>
    <w:div w:id="1860778737">
      <w:bodyDiv w:val="1"/>
      <w:marLeft w:val="0"/>
      <w:marRight w:val="0"/>
      <w:marTop w:val="0"/>
      <w:marBottom w:val="0"/>
      <w:divBdr>
        <w:top w:val="none" w:sz="0" w:space="0" w:color="auto"/>
        <w:left w:val="none" w:sz="0" w:space="0" w:color="auto"/>
        <w:bottom w:val="none" w:sz="0" w:space="0" w:color="auto"/>
        <w:right w:val="none" w:sz="0" w:space="0" w:color="auto"/>
      </w:divBdr>
      <w:divsChild>
        <w:div w:id="1958022074">
          <w:marLeft w:val="0"/>
          <w:marRight w:val="0"/>
          <w:marTop w:val="0"/>
          <w:marBottom w:val="0"/>
          <w:divBdr>
            <w:top w:val="none" w:sz="0" w:space="0" w:color="auto"/>
            <w:left w:val="none" w:sz="0" w:space="0" w:color="auto"/>
            <w:bottom w:val="single" w:sz="4" w:space="0" w:color="B0C6FF"/>
            <w:right w:val="none" w:sz="0" w:space="0" w:color="auto"/>
          </w:divBdr>
          <w:divsChild>
            <w:div w:id="926423839">
              <w:marLeft w:val="0"/>
              <w:marRight w:val="0"/>
              <w:marTop w:val="0"/>
              <w:marBottom w:val="0"/>
              <w:divBdr>
                <w:top w:val="none" w:sz="0" w:space="0" w:color="auto"/>
                <w:left w:val="none" w:sz="0" w:space="0" w:color="auto"/>
                <w:bottom w:val="none" w:sz="0" w:space="0" w:color="auto"/>
                <w:right w:val="none" w:sz="0" w:space="0" w:color="auto"/>
              </w:divBdr>
              <w:divsChild>
                <w:div w:id="73670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932700">
      <w:bodyDiv w:val="1"/>
      <w:marLeft w:val="0"/>
      <w:marRight w:val="0"/>
      <w:marTop w:val="0"/>
      <w:marBottom w:val="0"/>
      <w:divBdr>
        <w:top w:val="none" w:sz="0" w:space="0" w:color="auto"/>
        <w:left w:val="none" w:sz="0" w:space="0" w:color="auto"/>
        <w:bottom w:val="none" w:sz="0" w:space="0" w:color="auto"/>
        <w:right w:val="none" w:sz="0" w:space="0" w:color="auto"/>
      </w:divBdr>
      <w:divsChild>
        <w:div w:id="337849073">
          <w:marLeft w:val="0"/>
          <w:marRight w:val="0"/>
          <w:marTop w:val="0"/>
          <w:marBottom w:val="0"/>
          <w:divBdr>
            <w:top w:val="none" w:sz="0" w:space="0" w:color="auto"/>
            <w:left w:val="none" w:sz="0" w:space="0" w:color="auto"/>
            <w:bottom w:val="none" w:sz="0" w:space="0" w:color="auto"/>
            <w:right w:val="none" w:sz="0" w:space="0" w:color="auto"/>
          </w:divBdr>
          <w:divsChild>
            <w:div w:id="447044288">
              <w:marLeft w:val="0"/>
              <w:marRight w:val="0"/>
              <w:marTop w:val="0"/>
              <w:marBottom w:val="0"/>
              <w:divBdr>
                <w:top w:val="none" w:sz="0" w:space="0" w:color="auto"/>
                <w:left w:val="none" w:sz="0" w:space="0" w:color="auto"/>
                <w:bottom w:val="none" w:sz="0" w:space="0" w:color="auto"/>
                <w:right w:val="none" w:sz="0" w:space="0" w:color="auto"/>
              </w:divBdr>
              <w:divsChild>
                <w:div w:id="25082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232095">
      <w:bodyDiv w:val="1"/>
      <w:marLeft w:val="0"/>
      <w:marRight w:val="0"/>
      <w:marTop w:val="0"/>
      <w:marBottom w:val="0"/>
      <w:divBdr>
        <w:top w:val="none" w:sz="0" w:space="0" w:color="auto"/>
        <w:left w:val="none" w:sz="0" w:space="0" w:color="auto"/>
        <w:bottom w:val="none" w:sz="0" w:space="0" w:color="auto"/>
        <w:right w:val="none" w:sz="0" w:space="0" w:color="auto"/>
      </w:divBdr>
    </w:div>
    <w:div w:id="1914465135">
      <w:bodyDiv w:val="1"/>
      <w:marLeft w:val="0"/>
      <w:marRight w:val="0"/>
      <w:marTop w:val="0"/>
      <w:marBottom w:val="0"/>
      <w:divBdr>
        <w:top w:val="none" w:sz="0" w:space="0" w:color="auto"/>
        <w:left w:val="none" w:sz="0" w:space="0" w:color="auto"/>
        <w:bottom w:val="none" w:sz="0" w:space="0" w:color="auto"/>
        <w:right w:val="none" w:sz="0" w:space="0" w:color="auto"/>
      </w:divBdr>
    </w:div>
    <w:div w:id="1915970189">
      <w:bodyDiv w:val="1"/>
      <w:marLeft w:val="0"/>
      <w:marRight w:val="0"/>
      <w:marTop w:val="0"/>
      <w:marBottom w:val="0"/>
      <w:divBdr>
        <w:top w:val="none" w:sz="0" w:space="0" w:color="auto"/>
        <w:left w:val="none" w:sz="0" w:space="0" w:color="auto"/>
        <w:bottom w:val="none" w:sz="0" w:space="0" w:color="auto"/>
        <w:right w:val="none" w:sz="0" w:space="0" w:color="auto"/>
      </w:divBdr>
    </w:div>
    <w:div w:id="1936669463">
      <w:bodyDiv w:val="1"/>
      <w:marLeft w:val="0"/>
      <w:marRight w:val="0"/>
      <w:marTop w:val="0"/>
      <w:marBottom w:val="0"/>
      <w:divBdr>
        <w:top w:val="none" w:sz="0" w:space="0" w:color="auto"/>
        <w:left w:val="none" w:sz="0" w:space="0" w:color="auto"/>
        <w:bottom w:val="none" w:sz="0" w:space="0" w:color="auto"/>
        <w:right w:val="none" w:sz="0" w:space="0" w:color="auto"/>
      </w:divBdr>
      <w:divsChild>
        <w:div w:id="986471393">
          <w:marLeft w:val="0"/>
          <w:marRight w:val="0"/>
          <w:marTop w:val="0"/>
          <w:marBottom w:val="0"/>
          <w:divBdr>
            <w:top w:val="none" w:sz="0" w:space="0" w:color="auto"/>
            <w:left w:val="none" w:sz="0" w:space="0" w:color="auto"/>
            <w:bottom w:val="single" w:sz="4" w:space="0" w:color="B0C6FF"/>
            <w:right w:val="none" w:sz="0" w:space="0" w:color="auto"/>
          </w:divBdr>
          <w:divsChild>
            <w:div w:id="311106470">
              <w:marLeft w:val="0"/>
              <w:marRight w:val="0"/>
              <w:marTop w:val="0"/>
              <w:marBottom w:val="0"/>
              <w:divBdr>
                <w:top w:val="none" w:sz="0" w:space="0" w:color="auto"/>
                <w:left w:val="none" w:sz="0" w:space="0" w:color="auto"/>
                <w:bottom w:val="none" w:sz="0" w:space="0" w:color="auto"/>
                <w:right w:val="none" w:sz="0" w:space="0" w:color="auto"/>
              </w:divBdr>
              <w:divsChild>
                <w:div w:id="3285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8522">
      <w:bodyDiv w:val="1"/>
      <w:marLeft w:val="0"/>
      <w:marRight w:val="0"/>
      <w:marTop w:val="0"/>
      <w:marBottom w:val="0"/>
      <w:divBdr>
        <w:top w:val="none" w:sz="0" w:space="0" w:color="auto"/>
        <w:left w:val="none" w:sz="0" w:space="0" w:color="auto"/>
        <w:bottom w:val="none" w:sz="0" w:space="0" w:color="auto"/>
        <w:right w:val="none" w:sz="0" w:space="0" w:color="auto"/>
      </w:divBdr>
      <w:divsChild>
        <w:div w:id="682977976">
          <w:marLeft w:val="0"/>
          <w:marRight w:val="0"/>
          <w:marTop w:val="0"/>
          <w:marBottom w:val="0"/>
          <w:divBdr>
            <w:top w:val="none" w:sz="0" w:space="0" w:color="auto"/>
            <w:left w:val="none" w:sz="0" w:space="0" w:color="auto"/>
            <w:bottom w:val="none" w:sz="0" w:space="0" w:color="auto"/>
            <w:right w:val="none" w:sz="0" w:space="0" w:color="auto"/>
          </w:divBdr>
          <w:divsChild>
            <w:div w:id="4003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1838">
      <w:bodyDiv w:val="1"/>
      <w:marLeft w:val="0"/>
      <w:marRight w:val="0"/>
      <w:marTop w:val="0"/>
      <w:marBottom w:val="0"/>
      <w:divBdr>
        <w:top w:val="none" w:sz="0" w:space="0" w:color="auto"/>
        <w:left w:val="none" w:sz="0" w:space="0" w:color="auto"/>
        <w:bottom w:val="none" w:sz="0" w:space="0" w:color="auto"/>
        <w:right w:val="none" w:sz="0" w:space="0" w:color="auto"/>
      </w:divBdr>
    </w:div>
    <w:div w:id="2024014931">
      <w:bodyDiv w:val="1"/>
      <w:marLeft w:val="0"/>
      <w:marRight w:val="0"/>
      <w:marTop w:val="0"/>
      <w:marBottom w:val="0"/>
      <w:divBdr>
        <w:top w:val="none" w:sz="0" w:space="0" w:color="auto"/>
        <w:left w:val="none" w:sz="0" w:space="0" w:color="auto"/>
        <w:bottom w:val="none" w:sz="0" w:space="0" w:color="auto"/>
        <w:right w:val="none" w:sz="0" w:space="0" w:color="auto"/>
      </w:divBdr>
      <w:divsChild>
        <w:div w:id="874197298">
          <w:marLeft w:val="0"/>
          <w:marRight w:val="0"/>
          <w:marTop w:val="0"/>
          <w:marBottom w:val="0"/>
          <w:divBdr>
            <w:top w:val="none" w:sz="0" w:space="0" w:color="auto"/>
            <w:left w:val="none" w:sz="0" w:space="0" w:color="auto"/>
            <w:bottom w:val="none" w:sz="0" w:space="0" w:color="auto"/>
            <w:right w:val="none" w:sz="0" w:space="0" w:color="auto"/>
          </w:divBdr>
          <w:divsChild>
            <w:div w:id="1122773697">
              <w:marLeft w:val="0"/>
              <w:marRight w:val="0"/>
              <w:marTop w:val="0"/>
              <w:marBottom w:val="0"/>
              <w:divBdr>
                <w:top w:val="none" w:sz="0" w:space="0" w:color="auto"/>
                <w:left w:val="none" w:sz="0" w:space="0" w:color="auto"/>
                <w:bottom w:val="none" w:sz="0" w:space="0" w:color="auto"/>
                <w:right w:val="none" w:sz="0" w:space="0" w:color="auto"/>
              </w:divBdr>
              <w:divsChild>
                <w:div w:id="16431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55988">
          <w:marLeft w:val="0"/>
          <w:marRight w:val="0"/>
          <w:marTop w:val="0"/>
          <w:marBottom w:val="0"/>
          <w:divBdr>
            <w:top w:val="none" w:sz="0" w:space="0" w:color="auto"/>
            <w:left w:val="none" w:sz="0" w:space="0" w:color="auto"/>
            <w:bottom w:val="none" w:sz="0" w:space="0" w:color="auto"/>
            <w:right w:val="none" w:sz="0" w:space="0" w:color="auto"/>
          </w:divBdr>
          <w:divsChild>
            <w:div w:id="162079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87288">
      <w:bodyDiv w:val="1"/>
      <w:marLeft w:val="0"/>
      <w:marRight w:val="0"/>
      <w:marTop w:val="0"/>
      <w:marBottom w:val="0"/>
      <w:divBdr>
        <w:top w:val="none" w:sz="0" w:space="0" w:color="auto"/>
        <w:left w:val="none" w:sz="0" w:space="0" w:color="auto"/>
        <w:bottom w:val="none" w:sz="0" w:space="0" w:color="auto"/>
        <w:right w:val="none" w:sz="0" w:space="0" w:color="auto"/>
      </w:divBdr>
    </w:div>
    <w:div w:id="2077169304">
      <w:bodyDiv w:val="1"/>
      <w:marLeft w:val="0"/>
      <w:marRight w:val="0"/>
      <w:marTop w:val="0"/>
      <w:marBottom w:val="0"/>
      <w:divBdr>
        <w:top w:val="none" w:sz="0" w:space="0" w:color="auto"/>
        <w:left w:val="none" w:sz="0" w:space="0" w:color="auto"/>
        <w:bottom w:val="none" w:sz="0" w:space="0" w:color="auto"/>
        <w:right w:val="none" w:sz="0" w:space="0" w:color="auto"/>
      </w:divBdr>
      <w:divsChild>
        <w:div w:id="1460102928">
          <w:marLeft w:val="0"/>
          <w:marRight w:val="0"/>
          <w:marTop w:val="0"/>
          <w:marBottom w:val="0"/>
          <w:divBdr>
            <w:top w:val="none" w:sz="0" w:space="0" w:color="auto"/>
            <w:left w:val="none" w:sz="0" w:space="0" w:color="auto"/>
            <w:bottom w:val="none" w:sz="0" w:space="0" w:color="auto"/>
            <w:right w:val="none" w:sz="0" w:space="0" w:color="auto"/>
          </w:divBdr>
        </w:div>
      </w:divsChild>
    </w:div>
    <w:div w:id="2087259694">
      <w:bodyDiv w:val="1"/>
      <w:marLeft w:val="0"/>
      <w:marRight w:val="0"/>
      <w:marTop w:val="0"/>
      <w:marBottom w:val="0"/>
      <w:divBdr>
        <w:top w:val="none" w:sz="0" w:space="0" w:color="auto"/>
        <w:left w:val="none" w:sz="0" w:space="0" w:color="auto"/>
        <w:bottom w:val="none" w:sz="0" w:space="0" w:color="auto"/>
        <w:right w:val="none" w:sz="0" w:space="0" w:color="auto"/>
      </w:divBdr>
    </w:div>
    <w:div w:id="2089382420">
      <w:bodyDiv w:val="1"/>
      <w:marLeft w:val="0"/>
      <w:marRight w:val="0"/>
      <w:marTop w:val="0"/>
      <w:marBottom w:val="0"/>
      <w:divBdr>
        <w:top w:val="none" w:sz="0" w:space="0" w:color="auto"/>
        <w:left w:val="none" w:sz="0" w:space="0" w:color="auto"/>
        <w:bottom w:val="none" w:sz="0" w:space="0" w:color="auto"/>
        <w:right w:val="none" w:sz="0" w:space="0" w:color="auto"/>
      </w:divBdr>
    </w:div>
    <w:div w:id="2091661286">
      <w:bodyDiv w:val="1"/>
      <w:marLeft w:val="0"/>
      <w:marRight w:val="0"/>
      <w:marTop w:val="0"/>
      <w:marBottom w:val="0"/>
      <w:divBdr>
        <w:top w:val="none" w:sz="0" w:space="0" w:color="auto"/>
        <w:left w:val="none" w:sz="0" w:space="0" w:color="auto"/>
        <w:bottom w:val="none" w:sz="0" w:space="0" w:color="auto"/>
        <w:right w:val="none" w:sz="0" w:space="0" w:color="auto"/>
      </w:divBdr>
    </w:div>
    <w:div w:id="2103649153">
      <w:bodyDiv w:val="1"/>
      <w:marLeft w:val="0"/>
      <w:marRight w:val="0"/>
      <w:marTop w:val="0"/>
      <w:marBottom w:val="0"/>
      <w:divBdr>
        <w:top w:val="none" w:sz="0" w:space="0" w:color="auto"/>
        <w:left w:val="none" w:sz="0" w:space="0" w:color="auto"/>
        <w:bottom w:val="none" w:sz="0" w:space="0" w:color="auto"/>
        <w:right w:val="none" w:sz="0" w:space="0" w:color="auto"/>
      </w:divBdr>
    </w:div>
    <w:div w:id="2103718838">
      <w:bodyDiv w:val="1"/>
      <w:marLeft w:val="0"/>
      <w:marRight w:val="0"/>
      <w:marTop w:val="0"/>
      <w:marBottom w:val="0"/>
      <w:divBdr>
        <w:top w:val="none" w:sz="0" w:space="0" w:color="auto"/>
        <w:left w:val="none" w:sz="0" w:space="0" w:color="auto"/>
        <w:bottom w:val="none" w:sz="0" w:space="0" w:color="auto"/>
        <w:right w:val="none" w:sz="0" w:space="0" w:color="auto"/>
      </w:divBdr>
    </w:div>
    <w:div w:id="2125684066">
      <w:bodyDiv w:val="1"/>
      <w:marLeft w:val="0"/>
      <w:marRight w:val="0"/>
      <w:marTop w:val="0"/>
      <w:marBottom w:val="0"/>
      <w:divBdr>
        <w:top w:val="none" w:sz="0" w:space="0" w:color="auto"/>
        <w:left w:val="none" w:sz="0" w:space="0" w:color="auto"/>
        <w:bottom w:val="none" w:sz="0" w:space="0" w:color="auto"/>
        <w:right w:val="none" w:sz="0" w:space="0" w:color="auto"/>
      </w:divBdr>
    </w:div>
    <w:div w:id="2128617791">
      <w:bodyDiv w:val="1"/>
      <w:marLeft w:val="0"/>
      <w:marRight w:val="0"/>
      <w:marTop w:val="0"/>
      <w:marBottom w:val="0"/>
      <w:divBdr>
        <w:top w:val="none" w:sz="0" w:space="0" w:color="auto"/>
        <w:left w:val="none" w:sz="0" w:space="0" w:color="auto"/>
        <w:bottom w:val="none" w:sz="0" w:space="0" w:color="auto"/>
        <w:right w:val="none" w:sz="0" w:space="0" w:color="auto"/>
      </w:divBdr>
      <w:divsChild>
        <w:div w:id="1986351203">
          <w:marLeft w:val="0"/>
          <w:marRight w:val="0"/>
          <w:marTop w:val="0"/>
          <w:marBottom w:val="0"/>
          <w:divBdr>
            <w:top w:val="none" w:sz="0" w:space="0" w:color="auto"/>
            <w:left w:val="none" w:sz="0" w:space="0" w:color="auto"/>
            <w:bottom w:val="none" w:sz="0" w:space="0" w:color="auto"/>
            <w:right w:val="none" w:sz="0" w:space="0" w:color="auto"/>
          </w:divBdr>
          <w:divsChild>
            <w:div w:id="436750945">
              <w:marLeft w:val="0"/>
              <w:marRight w:val="0"/>
              <w:marTop w:val="0"/>
              <w:marBottom w:val="0"/>
              <w:divBdr>
                <w:top w:val="none" w:sz="0" w:space="0" w:color="auto"/>
                <w:left w:val="none" w:sz="0" w:space="0" w:color="auto"/>
                <w:bottom w:val="none" w:sz="0" w:space="0" w:color="auto"/>
                <w:right w:val="none" w:sz="0" w:space="0" w:color="auto"/>
              </w:divBdr>
              <w:divsChild>
                <w:div w:id="118556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974998">
      <w:bodyDiv w:val="1"/>
      <w:marLeft w:val="0"/>
      <w:marRight w:val="0"/>
      <w:marTop w:val="0"/>
      <w:marBottom w:val="0"/>
      <w:divBdr>
        <w:top w:val="none" w:sz="0" w:space="0" w:color="auto"/>
        <w:left w:val="none" w:sz="0" w:space="0" w:color="auto"/>
        <w:bottom w:val="none" w:sz="0" w:space="0" w:color="auto"/>
        <w:right w:val="none" w:sz="0" w:space="0" w:color="auto"/>
      </w:divBdr>
    </w:div>
    <w:div w:id="2136828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image" Target="media/image16.emf"/><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image" Target="media/image19.emf"/><Relationship Id="rId47" Type="http://schemas.openxmlformats.org/officeDocument/2006/relationships/header" Target="header9.xml"/><Relationship Id="rId50" Type="http://schemas.openxmlformats.org/officeDocument/2006/relationships/footer" Target="footer10.xml"/><Relationship Id="rId55" Type="http://schemas.openxmlformats.org/officeDocument/2006/relationships/footer" Target="footer12.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footer" Target="footer7.xml"/><Relationship Id="rId38" Type="http://schemas.openxmlformats.org/officeDocument/2006/relationships/image" Target="media/image15.emf"/><Relationship Id="rId46" Type="http://schemas.openxmlformats.org/officeDocument/2006/relationships/image" Target="media/image23.e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image" Target="media/image11.emf"/><Relationship Id="rId41" Type="http://schemas.openxmlformats.org/officeDocument/2006/relationships/image" Target="media/image18.emf"/><Relationship Id="rId54"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7.xml"/><Relationship Id="rId37" Type="http://schemas.openxmlformats.org/officeDocument/2006/relationships/hyperlink" Target="https://ec.europa.eu/info/law/better-regulation/have-your-say/initiatives/16912-Simplifying-EU-rules-on-direct-taxation-omnibus/feedback_en?p_id=22324" TargetMode="External"/><Relationship Id="rId40" Type="http://schemas.openxmlformats.org/officeDocument/2006/relationships/image" Target="media/image17.emf"/><Relationship Id="rId45" Type="http://schemas.openxmlformats.org/officeDocument/2006/relationships/image" Target="media/image22.emf"/><Relationship Id="rId53"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4.png"/><Relationship Id="rId49" Type="http://schemas.openxmlformats.org/officeDocument/2006/relationships/header" Target="header10.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emf"/><Relationship Id="rId44" Type="http://schemas.openxmlformats.org/officeDocument/2006/relationships/image" Target="media/image21.emf"/><Relationship Id="rId52"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emf"/><Relationship Id="rId35" Type="http://schemas.openxmlformats.org/officeDocument/2006/relationships/footer" Target="footer8.xml"/><Relationship Id="rId43" Type="http://schemas.openxmlformats.org/officeDocument/2006/relationships/image" Target="media/image20.emf"/><Relationship Id="rId48" Type="http://schemas.openxmlformats.org/officeDocument/2006/relationships/footer" Target="footer9.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24.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6912-Simplifying-EU-rules-on-direct-taxation-omnibus_en" TargetMode="External"/><Relationship Id="rId18" Type="http://schemas.openxmlformats.org/officeDocument/2006/relationships/hyperlink" Target="https://ec.europa.eu/info/law/better-regulation/have-your-say/initiatives/16912-Simplifying-EU-rules-on-direct-taxation-omnibus_en" TargetMode="External"/><Relationship Id="rId26" Type="http://schemas.openxmlformats.org/officeDocument/2006/relationships/hyperlink" Target="https://www.oecd.org/en/data/insights/statistical-releases/2026/03/oecd-overall-rd-growth-stable-government-rd-budgets-decline-and-reorient-towards-defence.html" TargetMode="External"/><Relationship Id="rId39" Type="http://schemas.openxmlformats.org/officeDocument/2006/relationships/hyperlink" Target="https://joint-research-centre.ec.europa.eu/projects-and-activities/fiscal-policy-analysis/corporate-taxation/cortax_en" TargetMode="External"/><Relationship Id="rId21" Type="http://schemas.openxmlformats.org/officeDocument/2006/relationships/hyperlink" Target="https://www.europarl.europa.eu/RegData/etudes/STUD/2022/733964/IPOL_STU(2022)733964_EN.pdf" TargetMode="External"/><Relationship Id="rId34" Type="http://schemas.openxmlformats.org/officeDocument/2006/relationships/hyperlink" Target="https://taxation-customs.ec.europa.eu/system/files/2022-12/221208%20DG%20GROW%20report%20-%202022%20Tax%20Compliance%20Costs%20SMEs.pdf" TargetMode="External"/><Relationship Id="rId42" Type="http://schemas.openxmlformats.org/officeDocument/2006/relationships/hyperlink" Target="https://research.wu.ac.at/en/publications/tax-complexity-and-foreign-direct-investment/" TargetMode="External"/><Relationship Id="rId47" Type="http://schemas.openxmlformats.org/officeDocument/2006/relationships/hyperlink" Target="https://www.imf.org/en/news/articles/2024/11/18/sp111424-scaling-up-the-single-market-to-boost-productivity" TargetMode="External"/><Relationship Id="rId50" Type="http://schemas.openxmlformats.org/officeDocument/2006/relationships/hyperlink" Target="https://taxation-customs.ec.europa.eu/system/files/2022-12/221208%20DG%20GROW%20report%20-%202022%20Tax%20Compliance%20Costs%20SMEs.pdf" TargetMode="External"/><Relationship Id="rId55" Type="http://schemas.openxmlformats.org/officeDocument/2006/relationships/hyperlink" Target="https://www.jstor.org/stable/1882847?seq=1" TargetMode="External"/><Relationship Id="rId63" Type="http://schemas.openxmlformats.org/officeDocument/2006/relationships/hyperlink" Target="https://www.oecd.org/en/topics/sub-issues/foreign-direct-investment-qualities-and-impact.html" TargetMode="External"/><Relationship Id="rId68" Type="http://schemas.openxmlformats.org/officeDocument/2006/relationships/hyperlink" Target="https://taxation-customs.ec.europa.eu/system/files/2022-12/221208%20DG%20GROW%20report%20-%202022%20Tax%20Compliance%20Costs%20SMEs.pdf" TargetMode="External"/><Relationship Id="rId76" Type="http://schemas.openxmlformats.org/officeDocument/2006/relationships/hyperlink" Target="https://joint-research-centre.ec.europa.eu/projects-and-activities/fiscal-policy-analysis/corporate-taxation/corporate-tax-microsimulation-model-direct_en" TargetMode="External"/><Relationship Id="rId7" Type="http://schemas.openxmlformats.org/officeDocument/2006/relationships/hyperlink" Target="https://commission.europa.eu/strategy-and-policy/strategy-documents/commission-work-programme/commission-work-programme-2026_en" TargetMode="External"/><Relationship Id="rId71" Type="http://schemas.openxmlformats.org/officeDocument/2006/relationships/hyperlink" Target="https://taxation-customs.ec.europa.eu/system/files/2016-09/study_fisco.pdf" TargetMode="External"/><Relationship Id="rId2" Type="http://schemas.openxmlformats.org/officeDocument/2006/relationships/hyperlink" Target="https://commission.europa.eu/law/law-making-process/better-regulation/simplification-and-implementation/simplification_en" TargetMode="External"/><Relationship Id="rId16" Type="http://schemas.openxmlformats.org/officeDocument/2006/relationships/hyperlink" Target="https://www.oecd.org/en/topics/policy-issues/base-erosion-and-profit-shifting-beps.html" TargetMode="External"/><Relationship Id="rId29" Type="http://schemas.openxmlformats.org/officeDocument/2006/relationships/hyperlink" Target="https://www.europarl.europa.eu/RegData/etudes/ATAG/2024/762428/EPRS_ATA(2024)762428_EN.pdf" TargetMode="External"/><Relationship Id="rId11" Type="http://schemas.openxmlformats.org/officeDocument/2006/relationships/hyperlink" Target="https://taxation-customs.ec.europa.eu/system/files/2022-12/221208%20DG%20GROW%20report%20-%202022%20Tax%20Compliance%20Costs%20SMEs.pdf" TargetMode="External"/><Relationship Id="rId24" Type="http://schemas.openxmlformats.org/officeDocument/2006/relationships/hyperlink" Target="https://www.europarl.europa.eu/RegData/etudes/STUD/2022/733964/IPOL_STU(2022)733964_EN.pdf" TargetMode="External"/><Relationship Id="rId32" Type="http://schemas.openxmlformats.org/officeDocument/2006/relationships/hyperlink" Target="https://ec.europa.eu/info/law/better-regulation/have-your-say/initiatives/16912-Simplifying-EU-rules-on-direct-taxation-omnibus_en" TargetMode="External"/><Relationship Id="rId37" Type="http://schemas.openxmlformats.org/officeDocument/2006/relationships/hyperlink" Target="https://data.consilium.europa.eu/doc/document/ST-13501-2025-INIT/en/pdf" TargetMode="External"/><Relationship Id="rId40" Type="http://schemas.openxmlformats.org/officeDocument/2006/relationships/hyperlink" Target="https://ec.europa.eu/eurostat/statistics-explained/index.php?title=Glossary:List_of_offshore_financial_centres" TargetMode="External"/><Relationship Id="rId45" Type="http://schemas.openxmlformats.org/officeDocument/2006/relationships/hyperlink" Target="https://www.europarl.europa.eu/RegData/etudes/STUD/2022/733964/IPOL_STU(2022)733964_EN.pdf" TargetMode="External"/><Relationship Id="rId53" Type="http://schemas.openxmlformats.org/officeDocument/2006/relationships/hyperlink" Target="https://taxation-customs.ec.europa.eu/system/files/2022-12/221208%20DG%20GROW%20report%20-%202022%20Tax%20Compliance%20Costs%20SMEs.pdf" TargetMode="External"/><Relationship Id="rId58" Type="http://schemas.openxmlformats.org/officeDocument/2006/relationships/hyperlink" Target="https://www.sciencedirect.com/science/article/pii/S1544612323012205" TargetMode="External"/><Relationship Id="rId66" Type="http://schemas.openxmlformats.org/officeDocument/2006/relationships/hyperlink" Target="https://link.springer.com/article/10.1007/s11142-025-09890-8" TargetMode="External"/><Relationship Id="rId74" Type="http://schemas.openxmlformats.org/officeDocument/2006/relationships/hyperlink" Target="https://www.zew.de/fileadmin/FTP/gutachten/Volkswirtschaftliche_Bedeutung_Familienunternehmen_Deutschland_Italien_2023.pdf" TargetMode="External"/><Relationship Id="rId79" Type="http://schemas.openxmlformats.org/officeDocument/2006/relationships/hyperlink" Target="https://www.oecd.org/en/publications/limiting-base-erosion-involving-interest-deductions-and-other-financial-payments-action-4-2015-final-report_9789264241176-en.html" TargetMode="External"/><Relationship Id="rId5" Type="http://schemas.openxmlformats.org/officeDocument/2006/relationships/hyperlink" Target="https://commission.europa.eu/strategy-and-policy/strategy-documents/commission-work-programme/commission-work-programme-2026_en" TargetMode="External"/><Relationship Id="rId61" Type="http://schemas.openxmlformats.org/officeDocument/2006/relationships/hyperlink" Target="https://www.europarl.europa.eu/RegData/etudes/STUD/2023/642353/IPOL_STU(2023)642353_EN.pdf" TargetMode="External"/><Relationship Id="rId82" Type="http://schemas.openxmlformats.org/officeDocument/2006/relationships/hyperlink" Target="https://www.nber.org/papers/w9715" TargetMode="External"/><Relationship Id="rId10" Type="http://schemas.openxmlformats.org/officeDocument/2006/relationships/hyperlink" Target="https://www.europarl.europa.eu/RegData/etudes/STUD/2022/733964/IPOL_STU(2022)733964_EN.pdf" TargetMode="External"/><Relationship Id="rId19" Type="http://schemas.openxmlformats.org/officeDocument/2006/relationships/hyperlink" Target="https://ec.europa.eu/info/law/better-regulation/have-your-say/initiatives/16912-Simplifying-EU-rules-on-direct-taxation-omnibus_en" TargetMode="External"/><Relationship Id="rId31" Type="http://schemas.openxmlformats.org/officeDocument/2006/relationships/hyperlink" Target="https://ec.europa.eu/info/law/better-regulation/have-your-say/initiatives/16912-Simplifying-EU-rules-on-direct-taxation-omnibus_en" TargetMode="External"/><Relationship Id="rId44" Type="http://schemas.openxmlformats.org/officeDocument/2006/relationships/hyperlink" Target="https://research.wu.ac.at/en/publications/tax-complexity-and-foreign-direct-investment/" TargetMode="External"/><Relationship Id="rId52" Type="http://schemas.openxmlformats.org/officeDocument/2006/relationships/hyperlink" Target="https://eur-lex.europa.eu/legal-content/EN/TXT/PDF/?uri=CELEX:52023SC0308" TargetMode="External"/><Relationship Id="rId60" Type="http://schemas.openxmlformats.org/officeDocument/2006/relationships/hyperlink" Target="https://ec.europa.eu/eurostat/web/products-eurostat-news/w/ddn-20250430-1" TargetMode="External"/><Relationship Id="rId65" Type="http://schemas.openxmlformats.org/officeDocument/2006/relationships/hyperlink" Target="https://data.ecb.europa.eu/data/datasets/MIR/MIR.M.U2.B.A2I.AM.R.A.2240.EUR.N" TargetMode="External"/><Relationship Id="rId73" Type="http://schemas.openxmlformats.org/officeDocument/2006/relationships/hyperlink" Target="https://www.imf.org/external/np/sta/pi/cpisgd.pdf?utm_source=chatgpt.com" TargetMode="External"/><Relationship Id="rId78" Type="http://schemas.openxmlformats.org/officeDocument/2006/relationships/hyperlink" Target="https://www.oecd.org/content/dam/oecd/en/publications/reports/2020/05/coverage-and-representativeness-of-orbis-data_9628c322/c7bdaa03-en.pdf" TargetMode="External"/><Relationship Id="rId81" Type="http://schemas.openxmlformats.org/officeDocument/2006/relationships/hyperlink" Target="https://www.econstor.eu/bitstream/10419/26004/1/538093242.PDF" TargetMode="External"/><Relationship Id="rId4" Type="http://schemas.openxmlformats.org/officeDocument/2006/relationships/hyperlink" Target="https://commission.europa.eu/strategy-and-policy/strategy-documents/commission-work-programme/commission-work-programme-2026_en" TargetMode="External"/><Relationship Id="rId9" Type="http://schemas.openxmlformats.org/officeDocument/2006/relationships/hyperlink" Target="https://www.europarl.europa.eu/RegData/etudes/ATAG/2024/762428/EPRS_ATA(2024)762428_EN.pdf" TargetMode="External"/><Relationship Id="rId14" Type="http://schemas.openxmlformats.org/officeDocument/2006/relationships/hyperlink" Target="https://madoc.bib.uni-mannheim.de/71449/1/dp25053.pdf" TargetMode="External"/><Relationship Id="rId22" Type="http://schemas.openxmlformats.org/officeDocument/2006/relationships/hyperlink" Target="https://www.taxcomplexity.org/" TargetMode="External"/><Relationship Id="rId27" Type="http://schemas.openxmlformats.org/officeDocument/2006/relationships/hyperlink" Target="https://op.europa.eu/en/publication-detail/-/publication/c683268c-3cdc-11ef-ab8f-01aa75ed71a1/language-en" TargetMode="External"/><Relationship Id="rId30" Type="http://schemas.openxmlformats.org/officeDocument/2006/relationships/hyperlink" Target="https://www.europarl.europa.eu/RegData/etudes/STUD/2022/733964/IPOL_STU(2022)733964_EN.pdf" TargetMode="External"/><Relationship Id="rId35" Type="http://schemas.openxmlformats.org/officeDocument/2006/relationships/hyperlink" Target="https://ec.europa.eu/info/law/better-regulation/have-your-say/initiatives/16912-Simplifying-EU-rules-on-direct-taxation-omnibus_en" TargetMode="External"/><Relationship Id="rId43" Type="http://schemas.openxmlformats.org/officeDocument/2006/relationships/hyperlink" Target="https://research.wu.ac.at/en/publications/tax-complexity-and-firm-value" TargetMode="External"/><Relationship Id="rId48" Type="http://schemas.openxmlformats.org/officeDocument/2006/relationships/hyperlink" Target="https://www.ecb.europa.eu/press/economic-bulletin/articles/2026/html/ecb.ebart202508_01~2e71d52829.en.html" TargetMode="External"/><Relationship Id="rId56" Type="http://schemas.openxmlformats.org/officeDocument/2006/relationships/hyperlink" Target="https://eur-lex.europa.eu/legal-content/EN/TXT/PDF/?uri=CELEX:52023SC0308" TargetMode="External"/><Relationship Id="rId64" Type="http://schemas.openxmlformats.org/officeDocument/2006/relationships/hyperlink" Target="https://www.econstor.eu/bitstream/10419/273017/1/1820731960.pdf" TargetMode="External"/><Relationship Id="rId69" Type="http://schemas.openxmlformats.org/officeDocument/2006/relationships/hyperlink" Target="https://ec.europa.eu/info/law/better-regulation/have-your-say/initiatives/16912-Simplifying-EU-rules-on-direct-taxation-omnibus_en" TargetMode="External"/><Relationship Id="rId77" Type="http://schemas.openxmlformats.org/officeDocument/2006/relationships/hyperlink" Target="https://pubs.aeaweb.org/doi/pdfplus/10.1257/mac.20220036" TargetMode="External"/><Relationship Id="rId8" Type="http://schemas.openxmlformats.org/officeDocument/2006/relationships/hyperlink" Target="https://www.consilium.europa.eu/en/press/press-releases/2025/03/11/taxation-council-sets-tax-decluttering-and-simplification-agenda/" TargetMode="External"/><Relationship Id="rId51" Type="http://schemas.openxmlformats.org/officeDocument/2006/relationships/hyperlink" Target="https://www.europarl.europa.eu/factsheets/en/sheet/63/small-and-medium-sized-enterprises" TargetMode="External"/><Relationship Id="rId72" Type="http://schemas.openxmlformats.org/officeDocument/2006/relationships/hyperlink" Target="https://eur-lex.europa.eu/legal-content/EN/TXT/?uri=celex:52023SC0216" TargetMode="External"/><Relationship Id="rId80" Type="http://schemas.openxmlformats.org/officeDocument/2006/relationships/hyperlink" Target="https://www.oecd.org/en/publications/limiting-base-erosion-involving-interest-deductions-and-other-financial-payments-action-4-2015-final-report_9789264241176-en.html" TargetMode="External"/><Relationship Id="rId3" Type="http://schemas.openxmlformats.org/officeDocument/2006/relationships/hyperlink" Target="https://commissioners.ec.europa.eu/system/files/2023-09/Mission-letter-Wopke-Hoekstra.pdf" TargetMode="External"/><Relationship Id="rId12" Type="http://schemas.openxmlformats.org/officeDocument/2006/relationships/hyperlink" Target="https://eur-lex.europa.eu/legal-content/EN/TXT/PDF/?uri=CELEX%3A52023SC0308" TargetMode="External"/><Relationship Id="rId17" Type="http://schemas.openxmlformats.org/officeDocument/2006/relationships/hyperlink" Target="https://ec.europa.eu/info/law/better-regulation/have-your-say/initiatives/16912-Simplifying-EU-rules-on-direct-taxation-omnibus_en" TargetMode="External"/><Relationship Id="rId25" Type="http://schemas.openxmlformats.org/officeDocument/2006/relationships/hyperlink" Target="https://research-and-innovation.ec.europa.eu/document/download/8f899486-6e4e-48df-8633-9582375f41eb_en" TargetMode="External"/><Relationship Id="rId33" Type="http://schemas.openxmlformats.org/officeDocument/2006/relationships/hyperlink" Target="https://commission.europa.eu/topics/competitiveness/draghi-report_en" TargetMode="External"/><Relationship Id="rId38" Type="http://schemas.openxmlformats.org/officeDocument/2006/relationships/hyperlink" Target="https://doi.org/10.1787/9789264268333-en" TargetMode="External"/><Relationship Id="rId46" Type="http://schemas.openxmlformats.org/officeDocument/2006/relationships/hyperlink" Target="https://aei.pitt.edu/3813/1/3813.pdf" TargetMode="External"/><Relationship Id="rId59" Type="http://schemas.openxmlformats.org/officeDocument/2006/relationships/hyperlink" Target="https://taxation-customs.ec.europa.eu/system/files/2022-12/221208%20DG%20GROW%20report%20-%202022%20Tax%20Compliance%20Costs%20SMEs.pdf" TargetMode="External"/><Relationship Id="rId67" Type="http://schemas.openxmlformats.org/officeDocument/2006/relationships/hyperlink" Target="https://www.ecgi.global/publications/blog/ma-under-pressure-how-interest-limitation-rules-are-shaping-corporate-dealmaking" TargetMode="External"/><Relationship Id="rId20" Type="http://schemas.openxmlformats.org/officeDocument/2006/relationships/hyperlink" Target="https://www.europarl.europa.eu/RegData/etudes/ATAG/2024/762428/EPRS_ATA(2024)762428_EN.pdf" TargetMode="External"/><Relationship Id="rId41" Type="http://schemas.openxmlformats.org/officeDocument/2006/relationships/hyperlink" Target="https://www.tandfonline.com/doi/full/10.1080/00036846.2021.1922587" TargetMode="External"/><Relationship Id="rId54" Type="http://schemas.openxmlformats.org/officeDocument/2006/relationships/hyperlink" Target="https://ec.europa.eu/eurostat/statistics-explained/index.php?title=SMEs_-_independent_and_in_enterprise_groups" TargetMode="External"/><Relationship Id="rId62" Type="http://schemas.openxmlformats.org/officeDocument/2006/relationships/hyperlink" Target="https://taxation-customs.ec.europa.eu/system/files/2022-12/221208%20DG%20GROW%20report%20-%202022%20Tax%20Compliance%20Costs%20SMEs.pdf" TargetMode="External"/><Relationship Id="rId70" Type="http://schemas.openxmlformats.org/officeDocument/2006/relationships/hyperlink" Target="https://eur-lex.europa.eu/legal-content/EN/TXT/?uri=celex:52023SC0216" TargetMode="External"/><Relationship Id="rId75" Type="http://schemas.openxmlformats.org/officeDocument/2006/relationships/hyperlink" Target="https://www.deloitte.com/global/en/services/tax/perspectives/atad-survey.html" TargetMode="External"/><Relationship Id="rId1" Type="http://schemas.openxmlformats.org/officeDocument/2006/relationships/hyperlink" Target="file:///C:/Users/kellyad/AppData/Local/Microsoft/Windows/INetCache/Content.Outlook/ZPJGQZ1I/e6cd4328-673c-4e7a-8683-f63ffb2cf648_en" TargetMode="External"/><Relationship Id="rId6" Type="http://schemas.openxmlformats.org/officeDocument/2006/relationships/hyperlink" Target="https://commission.europa.eu/strategy-and-policy/strategy-documents/commission-work-programme/commission-work-programme-2026_en" TargetMode="External"/><Relationship Id="rId15" Type="http://schemas.openxmlformats.org/officeDocument/2006/relationships/hyperlink" Target="https://ec.europa.eu/info/law/better-regulation/have-your-say/initiatives/16912-Simplifying-EU-rules-on-direct-taxation-omnibus_en" TargetMode="External"/><Relationship Id="rId23" Type="http://schemas.openxmlformats.org/officeDocument/2006/relationships/hyperlink" Target="https://ec.europa.eu/info/law/better-regulation/have-your-say/initiatives/16912-Simplifying-EU-rules-on-direct-taxation-omnibus_en" TargetMode="External"/><Relationship Id="rId28" Type="http://schemas.openxmlformats.org/officeDocument/2006/relationships/hyperlink" Target="https://ec.europa.eu/info/law/better-regulation/have-your-say/initiatives/16912-Simplifying-EU-rules-on-direct-taxation-omnibus_en" TargetMode="External"/><Relationship Id="rId36" Type="http://schemas.openxmlformats.org/officeDocument/2006/relationships/hyperlink" Target="https://www.deloitte.com/be/en/services/tax/blogs/belgium-government-submits-law-proposal-to-introduce-model-a-cfc-rules-18-december-2023.html" TargetMode="External"/><Relationship Id="rId49" Type="http://schemas.openxmlformats.org/officeDocument/2006/relationships/hyperlink" Target="https://iro.uiowa.edu/esploro/outputs/journalArticle/Corporate-Tax-System-Complexity-and-Investment/9985132183802771" TargetMode="External"/><Relationship Id="rId57" Type="http://schemas.openxmlformats.org/officeDocument/2006/relationships/hyperlink" Target="https://taxation-customs.ec.europa.eu/system/files/2022-12/221208%20DG%20GROW%20report%20-%202022%20Tax%20Compliance%20Costs%20SM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44391</Words>
  <Characters>253032</Characters>
  <Application>Microsoft Office Word</Application>
  <DocSecurity>0</DocSecurity>
  <Lines>2108</Lines>
  <Paragraphs>593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296830</CharactersWithSpaces>
  <SharedDoc>false</SharedDoc>
  <HLinks>
    <vt:vector size="672" baseType="variant">
      <vt:variant>
        <vt:i4>196665</vt:i4>
      </vt:variant>
      <vt:variant>
        <vt:i4>333</vt:i4>
      </vt:variant>
      <vt:variant>
        <vt:i4>0</vt:i4>
      </vt:variant>
      <vt:variant>
        <vt:i4>5</vt:i4>
      </vt:variant>
      <vt:variant>
        <vt:lpwstr/>
      </vt:variant>
      <vt:variant>
        <vt:lpwstr>_Why_simplifying_taxation</vt:lpwstr>
      </vt:variant>
      <vt:variant>
        <vt:i4>4456535</vt:i4>
      </vt:variant>
      <vt:variant>
        <vt:i4>324</vt:i4>
      </vt:variant>
      <vt:variant>
        <vt:i4>0</vt:i4>
      </vt:variant>
      <vt:variant>
        <vt:i4>5</vt:i4>
      </vt:variant>
      <vt:variant>
        <vt:lpwstr>https://ec.europa.eu/info/law/better-regulation/have-your-say/initiatives/16912-Simplifying-EU-rules-on-direct-taxation-omnibus/feedback_en?p_id=22324</vt:lpwstr>
      </vt:variant>
      <vt:variant>
        <vt:lpwstr/>
      </vt:variant>
      <vt:variant>
        <vt:i4>1376288</vt:i4>
      </vt:variant>
      <vt:variant>
        <vt:i4>303</vt:i4>
      </vt:variant>
      <vt:variant>
        <vt:i4>0</vt:i4>
      </vt:variant>
      <vt:variant>
        <vt:i4>5</vt:i4>
      </vt:variant>
      <vt:variant>
        <vt:lpwstr/>
      </vt:variant>
      <vt:variant>
        <vt:lpwstr>_Option_2a:_</vt:lpwstr>
      </vt:variant>
      <vt:variant>
        <vt:i4>6553683</vt:i4>
      </vt:variant>
      <vt:variant>
        <vt:i4>264</vt:i4>
      </vt:variant>
      <vt:variant>
        <vt:i4>0</vt:i4>
      </vt:variant>
      <vt:variant>
        <vt:i4>5</vt:i4>
      </vt:variant>
      <vt:variant>
        <vt:lpwstr/>
      </vt:variant>
      <vt:variant>
        <vt:lpwstr>_Option_4:_Reduce</vt:lpwstr>
      </vt:variant>
      <vt:variant>
        <vt:i4>196665</vt:i4>
      </vt:variant>
      <vt:variant>
        <vt:i4>258</vt:i4>
      </vt:variant>
      <vt:variant>
        <vt:i4>0</vt:i4>
      </vt:variant>
      <vt:variant>
        <vt:i4>5</vt:i4>
      </vt:variant>
      <vt:variant>
        <vt:lpwstr/>
      </vt:variant>
      <vt:variant>
        <vt:lpwstr>_Why_simplifying_taxation</vt:lpwstr>
      </vt:variant>
      <vt:variant>
        <vt:i4>6684748</vt:i4>
      </vt:variant>
      <vt:variant>
        <vt:i4>252</vt:i4>
      </vt:variant>
      <vt:variant>
        <vt:i4>0</vt:i4>
      </vt:variant>
      <vt:variant>
        <vt:i4>5</vt:i4>
      </vt:variant>
      <vt:variant>
        <vt:lpwstr/>
      </vt:variant>
      <vt:variant>
        <vt:lpwstr>_Option_5:_Exemption</vt:lpwstr>
      </vt:variant>
      <vt:variant>
        <vt:i4>655421</vt:i4>
      </vt:variant>
      <vt:variant>
        <vt:i4>246</vt:i4>
      </vt:variant>
      <vt:variant>
        <vt:i4>0</vt:i4>
      </vt:variant>
      <vt:variant>
        <vt:i4>5</vt:i4>
      </vt:variant>
      <vt:variant>
        <vt:lpwstr/>
      </vt:variant>
      <vt:variant>
        <vt:lpwstr>_Option_3:_Reducing</vt:lpwstr>
      </vt:variant>
      <vt:variant>
        <vt:i4>6619206</vt:i4>
      </vt:variant>
      <vt:variant>
        <vt:i4>240</vt:i4>
      </vt:variant>
      <vt:variant>
        <vt:i4>0</vt:i4>
      </vt:variant>
      <vt:variant>
        <vt:i4>5</vt:i4>
      </vt:variant>
      <vt:variant>
        <vt:lpwstr/>
      </vt:variant>
      <vt:variant>
        <vt:lpwstr>_Option_2:_Mandatory</vt:lpwstr>
      </vt:variant>
      <vt:variant>
        <vt:i4>7471206</vt:i4>
      </vt:variant>
      <vt:variant>
        <vt:i4>231</vt:i4>
      </vt:variant>
      <vt:variant>
        <vt:i4>0</vt:i4>
      </vt:variant>
      <vt:variant>
        <vt:i4>5</vt:i4>
      </vt:variant>
      <vt:variant>
        <vt:lpwstr/>
      </vt:variant>
      <vt:variant>
        <vt:lpwstr>_Other_options</vt:lpwstr>
      </vt:variant>
      <vt:variant>
        <vt:i4>7471206</vt:i4>
      </vt:variant>
      <vt:variant>
        <vt:i4>225</vt:i4>
      </vt:variant>
      <vt:variant>
        <vt:i4>0</vt:i4>
      </vt:variant>
      <vt:variant>
        <vt:i4>5</vt:i4>
      </vt:variant>
      <vt:variant>
        <vt:lpwstr/>
      </vt:variant>
      <vt:variant>
        <vt:lpwstr>_Other_options</vt:lpwstr>
      </vt:variant>
      <vt:variant>
        <vt:i4>7471206</vt:i4>
      </vt:variant>
      <vt:variant>
        <vt:i4>219</vt:i4>
      </vt:variant>
      <vt:variant>
        <vt:i4>0</vt:i4>
      </vt:variant>
      <vt:variant>
        <vt:i4>5</vt:i4>
      </vt:variant>
      <vt:variant>
        <vt:lpwstr/>
      </vt:variant>
      <vt:variant>
        <vt:lpwstr>_Other_options</vt:lpwstr>
      </vt:variant>
      <vt:variant>
        <vt:i4>7471206</vt:i4>
      </vt:variant>
      <vt:variant>
        <vt:i4>213</vt:i4>
      </vt:variant>
      <vt:variant>
        <vt:i4>0</vt:i4>
      </vt:variant>
      <vt:variant>
        <vt:i4>5</vt:i4>
      </vt:variant>
      <vt:variant>
        <vt:lpwstr/>
      </vt:variant>
      <vt:variant>
        <vt:lpwstr>_Other_options</vt:lpwstr>
      </vt:variant>
      <vt:variant>
        <vt:i4>196665</vt:i4>
      </vt:variant>
      <vt:variant>
        <vt:i4>204</vt:i4>
      </vt:variant>
      <vt:variant>
        <vt:i4>0</vt:i4>
      </vt:variant>
      <vt:variant>
        <vt:i4>5</vt:i4>
      </vt:variant>
      <vt:variant>
        <vt:lpwstr/>
      </vt:variant>
      <vt:variant>
        <vt:lpwstr>_Why_simplifying_taxation</vt:lpwstr>
      </vt:variant>
      <vt:variant>
        <vt:i4>786473</vt:i4>
      </vt:variant>
      <vt:variant>
        <vt:i4>198</vt:i4>
      </vt:variant>
      <vt:variant>
        <vt:i4>0</vt:i4>
      </vt:variant>
      <vt:variant>
        <vt:i4>5</vt:i4>
      </vt:variant>
      <vt:variant>
        <vt:lpwstr/>
      </vt:variant>
      <vt:variant>
        <vt:lpwstr>_Option_1A:_Full</vt:lpwstr>
      </vt:variant>
      <vt:variant>
        <vt:i4>1441847</vt:i4>
      </vt:variant>
      <vt:variant>
        <vt:i4>92</vt:i4>
      </vt:variant>
      <vt:variant>
        <vt:i4>0</vt:i4>
      </vt:variant>
      <vt:variant>
        <vt:i4>5</vt:i4>
      </vt:variant>
      <vt:variant>
        <vt:lpwstr/>
      </vt:variant>
      <vt:variant>
        <vt:lpwstr>_Toc230258087</vt:lpwstr>
      </vt:variant>
      <vt:variant>
        <vt:i4>1441847</vt:i4>
      </vt:variant>
      <vt:variant>
        <vt:i4>86</vt:i4>
      </vt:variant>
      <vt:variant>
        <vt:i4>0</vt:i4>
      </vt:variant>
      <vt:variant>
        <vt:i4>5</vt:i4>
      </vt:variant>
      <vt:variant>
        <vt:lpwstr/>
      </vt:variant>
      <vt:variant>
        <vt:lpwstr>_Toc230258086</vt:lpwstr>
      </vt:variant>
      <vt:variant>
        <vt:i4>1441847</vt:i4>
      </vt:variant>
      <vt:variant>
        <vt:i4>80</vt:i4>
      </vt:variant>
      <vt:variant>
        <vt:i4>0</vt:i4>
      </vt:variant>
      <vt:variant>
        <vt:i4>5</vt:i4>
      </vt:variant>
      <vt:variant>
        <vt:lpwstr/>
      </vt:variant>
      <vt:variant>
        <vt:lpwstr>_Toc230258085</vt:lpwstr>
      </vt:variant>
      <vt:variant>
        <vt:i4>1441847</vt:i4>
      </vt:variant>
      <vt:variant>
        <vt:i4>74</vt:i4>
      </vt:variant>
      <vt:variant>
        <vt:i4>0</vt:i4>
      </vt:variant>
      <vt:variant>
        <vt:i4>5</vt:i4>
      </vt:variant>
      <vt:variant>
        <vt:lpwstr/>
      </vt:variant>
      <vt:variant>
        <vt:lpwstr>_Toc230258084</vt:lpwstr>
      </vt:variant>
      <vt:variant>
        <vt:i4>1441847</vt:i4>
      </vt:variant>
      <vt:variant>
        <vt:i4>68</vt:i4>
      </vt:variant>
      <vt:variant>
        <vt:i4>0</vt:i4>
      </vt:variant>
      <vt:variant>
        <vt:i4>5</vt:i4>
      </vt:variant>
      <vt:variant>
        <vt:lpwstr/>
      </vt:variant>
      <vt:variant>
        <vt:lpwstr>_Toc230258083</vt:lpwstr>
      </vt:variant>
      <vt:variant>
        <vt:i4>1441847</vt:i4>
      </vt:variant>
      <vt:variant>
        <vt:i4>62</vt:i4>
      </vt:variant>
      <vt:variant>
        <vt:i4>0</vt:i4>
      </vt:variant>
      <vt:variant>
        <vt:i4>5</vt:i4>
      </vt:variant>
      <vt:variant>
        <vt:lpwstr/>
      </vt:variant>
      <vt:variant>
        <vt:lpwstr>_Toc230258082</vt:lpwstr>
      </vt:variant>
      <vt:variant>
        <vt:i4>1441847</vt:i4>
      </vt:variant>
      <vt:variant>
        <vt:i4>56</vt:i4>
      </vt:variant>
      <vt:variant>
        <vt:i4>0</vt:i4>
      </vt:variant>
      <vt:variant>
        <vt:i4>5</vt:i4>
      </vt:variant>
      <vt:variant>
        <vt:lpwstr/>
      </vt:variant>
      <vt:variant>
        <vt:lpwstr>_Toc230258081</vt:lpwstr>
      </vt:variant>
      <vt:variant>
        <vt:i4>1441847</vt:i4>
      </vt:variant>
      <vt:variant>
        <vt:i4>50</vt:i4>
      </vt:variant>
      <vt:variant>
        <vt:i4>0</vt:i4>
      </vt:variant>
      <vt:variant>
        <vt:i4>5</vt:i4>
      </vt:variant>
      <vt:variant>
        <vt:lpwstr/>
      </vt:variant>
      <vt:variant>
        <vt:lpwstr>_Toc230258080</vt:lpwstr>
      </vt:variant>
      <vt:variant>
        <vt:i4>1638455</vt:i4>
      </vt:variant>
      <vt:variant>
        <vt:i4>44</vt:i4>
      </vt:variant>
      <vt:variant>
        <vt:i4>0</vt:i4>
      </vt:variant>
      <vt:variant>
        <vt:i4>5</vt:i4>
      </vt:variant>
      <vt:variant>
        <vt:lpwstr/>
      </vt:variant>
      <vt:variant>
        <vt:lpwstr>_Toc230258079</vt:lpwstr>
      </vt:variant>
      <vt:variant>
        <vt:i4>1703991</vt:i4>
      </vt:variant>
      <vt:variant>
        <vt:i4>38</vt:i4>
      </vt:variant>
      <vt:variant>
        <vt:i4>0</vt:i4>
      </vt:variant>
      <vt:variant>
        <vt:i4>5</vt:i4>
      </vt:variant>
      <vt:variant>
        <vt:lpwstr/>
      </vt:variant>
      <vt:variant>
        <vt:lpwstr>_Toc230258047</vt:lpwstr>
      </vt:variant>
      <vt:variant>
        <vt:i4>1703991</vt:i4>
      </vt:variant>
      <vt:variant>
        <vt:i4>32</vt:i4>
      </vt:variant>
      <vt:variant>
        <vt:i4>0</vt:i4>
      </vt:variant>
      <vt:variant>
        <vt:i4>5</vt:i4>
      </vt:variant>
      <vt:variant>
        <vt:lpwstr/>
      </vt:variant>
      <vt:variant>
        <vt:lpwstr>_Toc230258046</vt:lpwstr>
      </vt:variant>
      <vt:variant>
        <vt:i4>1703991</vt:i4>
      </vt:variant>
      <vt:variant>
        <vt:i4>26</vt:i4>
      </vt:variant>
      <vt:variant>
        <vt:i4>0</vt:i4>
      </vt:variant>
      <vt:variant>
        <vt:i4>5</vt:i4>
      </vt:variant>
      <vt:variant>
        <vt:lpwstr/>
      </vt:variant>
      <vt:variant>
        <vt:lpwstr>_Toc230258045</vt:lpwstr>
      </vt:variant>
      <vt:variant>
        <vt:i4>1703991</vt:i4>
      </vt:variant>
      <vt:variant>
        <vt:i4>20</vt:i4>
      </vt:variant>
      <vt:variant>
        <vt:i4>0</vt:i4>
      </vt:variant>
      <vt:variant>
        <vt:i4>5</vt:i4>
      </vt:variant>
      <vt:variant>
        <vt:lpwstr/>
      </vt:variant>
      <vt:variant>
        <vt:lpwstr>_Toc230258043</vt:lpwstr>
      </vt:variant>
      <vt:variant>
        <vt:i4>1703991</vt:i4>
      </vt:variant>
      <vt:variant>
        <vt:i4>14</vt:i4>
      </vt:variant>
      <vt:variant>
        <vt:i4>0</vt:i4>
      </vt:variant>
      <vt:variant>
        <vt:i4>5</vt:i4>
      </vt:variant>
      <vt:variant>
        <vt:lpwstr/>
      </vt:variant>
      <vt:variant>
        <vt:lpwstr>_Toc230258042</vt:lpwstr>
      </vt:variant>
      <vt:variant>
        <vt:i4>1703991</vt:i4>
      </vt:variant>
      <vt:variant>
        <vt:i4>8</vt:i4>
      </vt:variant>
      <vt:variant>
        <vt:i4>0</vt:i4>
      </vt:variant>
      <vt:variant>
        <vt:i4>5</vt:i4>
      </vt:variant>
      <vt:variant>
        <vt:lpwstr/>
      </vt:variant>
      <vt:variant>
        <vt:lpwstr>_Toc230258041</vt:lpwstr>
      </vt:variant>
      <vt:variant>
        <vt:i4>1703991</vt:i4>
      </vt:variant>
      <vt:variant>
        <vt:i4>2</vt:i4>
      </vt:variant>
      <vt:variant>
        <vt:i4>0</vt:i4>
      </vt:variant>
      <vt:variant>
        <vt:i4>5</vt:i4>
      </vt:variant>
      <vt:variant>
        <vt:lpwstr/>
      </vt:variant>
      <vt:variant>
        <vt:lpwstr>_Toc230258040</vt:lpwstr>
      </vt:variant>
      <vt:variant>
        <vt:i4>327695</vt:i4>
      </vt:variant>
      <vt:variant>
        <vt:i4>243</vt:i4>
      </vt:variant>
      <vt:variant>
        <vt:i4>0</vt:i4>
      </vt:variant>
      <vt:variant>
        <vt:i4>5</vt:i4>
      </vt:variant>
      <vt:variant>
        <vt:lpwstr>https://www.nber.org/papers/w9715</vt:lpwstr>
      </vt:variant>
      <vt:variant>
        <vt:lpwstr/>
      </vt:variant>
      <vt:variant>
        <vt:i4>4784152</vt:i4>
      </vt:variant>
      <vt:variant>
        <vt:i4>240</vt:i4>
      </vt:variant>
      <vt:variant>
        <vt:i4>0</vt:i4>
      </vt:variant>
      <vt:variant>
        <vt:i4>5</vt:i4>
      </vt:variant>
      <vt:variant>
        <vt:lpwstr>https://www.econstor.eu/bitstream/10419/26004/1/538093242.PDF</vt:lpwstr>
      </vt:variant>
      <vt:variant>
        <vt:lpwstr/>
      </vt:variant>
      <vt:variant>
        <vt:i4>7733314</vt:i4>
      </vt:variant>
      <vt:variant>
        <vt:i4>237</vt:i4>
      </vt:variant>
      <vt:variant>
        <vt:i4>0</vt:i4>
      </vt:variant>
      <vt:variant>
        <vt:i4>5</vt:i4>
      </vt:variant>
      <vt:variant>
        <vt:lpwstr>https://www.oecd.org/en/publications/limiting-base-erosion-involving-interest-deductions-and-other-financial-payments-action-4-2015-final-report_9789264241176-en.html</vt:lpwstr>
      </vt:variant>
      <vt:variant>
        <vt:lpwstr/>
      </vt:variant>
      <vt:variant>
        <vt:i4>7733314</vt:i4>
      </vt:variant>
      <vt:variant>
        <vt:i4>234</vt:i4>
      </vt:variant>
      <vt:variant>
        <vt:i4>0</vt:i4>
      </vt:variant>
      <vt:variant>
        <vt:i4>5</vt:i4>
      </vt:variant>
      <vt:variant>
        <vt:lpwstr>https://www.oecd.org/en/publications/limiting-base-erosion-involving-interest-deductions-and-other-financial-payments-action-4-2015-final-report_9789264241176-en.html</vt:lpwstr>
      </vt:variant>
      <vt:variant>
        <vt:lpwstr/>
      </vt:variant>
      <vt:variant>
        <vt:i4>7798875</vt:i4>
      </vt:variant>
      <vt:variant>
        <vt:i4>231</vt:i4>
      </vt:variant>
      <vt:variant>
        <vt:i4>0</vt:i4>
      </vt:variant>
      <vt:variant>
        <vt:i4>5</vt:i4>
      </vt:variant>
      <vt:variant>
        <vt:lpwstr>https://www.oecd.org/content/dam/oecd/en/publications/reports/2020/05/coverage-and-representativeness-of-orbis-data_9628c322/c7bdaa03-en.pdf</vt:lpwstr>
      </vt:variant>
      <vt:variant>
        <vt:lpwstr/>
      </vt:variant>
      <vt:variant>
        <vt:i4>6225943</vt:i4>
      </vt:variant>
      <vt:variant>
        <vt:i4>228</vt:i4>
      </vt:variant>
      <vt:variant>
        <vt:i4>0</vt:i4>
      </vt:variant>
      <vt:variant>
        <vt:i4>5</vt:i4>
      </vt:variant>
      <vt:variant>
        <vt:lpwstr>https://pubs.aeaweb.org/doi/pdfplus/10.1257/mac.20220036</vt:lpwstr>
      </vt:variant>
      <vt:variant>
        <vt:lpwstr/>
      </vt:variant>
      <vt:variant>
        <vt:i4>5636142</vt:i4>
      </vt:variant>
      <vt:variant>
        <vt:i4>225</vt:i4>
      </vt:variant>
      <vt:variant>
        <vt:i4>0</vt:i4>
      </vt:variant>
      <vt:variant>
        <vt:i4>5</vt:i4>
      </vt:variant>
      <vt:variant>
        <vt:lpwstr>https://joint-research-centre.ec.europa.eu/projects-and-activities/fiscal-policy-analysis/corporate-taxation/corporate-tax-microsimulation-model-direct_en</vt:lpwstr>
      </vt:variant>
      <vt:variant>
        <vt:lpwstr/>
      </vt:variant>
      <vt:variant>
        <vt:i4>4784128</vt:i4>
      </vt:variant>
      <vt:variant>
        <vt:i4>222</vt:i4>
      </vt:variant>
      <vt:variant>
        <vt:i4>0</vt:i4>
      </vt:variant>
      <vt:variant>
        <vt:i4>5</vt:i4>
      </vt:variant>
      <vt:variant>
        <vt:lpwstr>https://www.deloitte.com/global/en/services/tax/perspectives/atad-survey.html</vt:lpwstr>
      </vt:variant>
      <vt:variant>
        <vt:lpwstr/>
      </vt:variant>
      <vt:variant>
        <vt:i4>4915311</vt:i4>
      </vt:variant>
      <vt:variant>
        <vt:i4>219</vt:i4>
      </vt:variant>
      <vt:variant>
        <vt:i4>0</vt:i4>
      </vt:variant>
      <vt:variant>
        <vt:i4>5</vt:i4>
      </vt:variant>
      <vt:variant>
        <vt:lpwstr>https://www.zew.de/fileadmin/FTP/gutachten/Volkswirtschaftliche_Bedeutung_Familienunternehmen_Deutschland_Italien_2023.pdf</vt:lpwstr>
      </vt:variant>
      <vt:variant>
        <vt:lpwstr/>
      </vt:variant>
      <vt:variant>
        <vt:i4>7209035</vt:i4>
      </vt:variant>
      <vt:variant>
        <vt:i4>216</vt:i4>
      </vt:variant>
      <vt:variant>
        <vt:i4>0</vt:i4>
      </vt:variant>
      <vt:variant>
        <vt:i4>5</vt:i4>
      </vt:variant>
      <vt:variant>
        <vt:lpwstr>https://www.imf.org/external/np/sta/pi/cpisgd.pdf?utm_source=chatgpt.com</vt:lpwstr>
      </vt:variant>
      <vt:variant>
        <vt:lpwstr/>
      </vt:variant>
      <vt:variant>
        <vt:i4>1441813</vt:i4>
      </vt:variant>
      <vt:variant>
        <vt:i4>213</vt:i4>
      </vt:variant>
      <vt:variant>
        <vt:i4>0</vt:i4>
      </vt:variant>
      <vt:variant>
        <vt:i4>5</vt:i4>
      </vt:variant>
      <vt:variant>
        <vt:lpwstr>https://eur-lex.europa.eu/legal-content/EN/TXT/?uri=celex:52023SC0216</vt:lpwstr>
      </vt:variant>
      <vt:variant>
        <vt:lpwstr/>
      </vt:variant>
      <vt:variant>
        <vt:i4>8192024</vt:i4>
      </vt:variant>
      <vt:variant>
        <vt:i4>210</vt:i4>
      </vt:variant>
      <vt:variant>
        <vt:i4>0</vt:i4>
      </vt:variant>
      <vt:variant>
        <vt:i4>5</vt:i4>
      </vt:variant>
      <vt:variant>
        <vt:lpwstr>https://taxation-customs.ec.europa.eu/system/files/2016-09/study_fisco.pdf</vt:lpwstr>
      </vt:variant>
      <vt:variant>
        <vt:lpwstr/>
      </vt:variant>
      <vt:variant>
        <vt:i4>1441813</vt:i4>
      </vt:variant>
      <vt:variant>
        <vt:i4>207</vt:i4>
      </vt:variant>
      <vt:variant>
        <vt:i4>0</vt:i4>
      </vt:variant>
      <vt:variant>
        <vt:i4>5</vt:i4>
      </vt:variant>
      <vt:variant>
        <vt:lpwstr>https://eur-lex.europa.eu/legal-content/EN/TXT/?uri=celex:52023SC0216</vt:lpwstr>
      </vt:variant>
      <vt:variant>
        <vt:lpwstr/>
      </vt:variant>
      <vt:variant>
        <vt:i4>327717</vt:i4>
      </vt:variant>
      <vt:variant>
        <vt:i4>204</vt:i4>
      </vt:variant>
      <vt:variant>
        <vt:i4>0</vt:i4>
      </vt:variant>
      <vt:variant>
        <vt:i4>5</vt:i4>
      </vt:variant>
      <vt:variant>
        <vt:lpwstr>https://ec.europa.eu/info/law/better-regulation/have-your-say/initiatives/16912-Simplifying-EU-rules-on-direct-taxation-omnibus_en</vt:lpwstr>
      </vt:variant>
      <vt:variant>
        <vt:lpwstr/>
      </vt:variant>
      <vt:variant>
        <vt:i4>4849664</vt:i4>
      </vt:variant>
      <vt:variant>
        <vt:i4>201</vt:i4>
      </vt:variant>
      <vt:variant>
        <vt:i4>0</vt:i4>
      </vt:variant>
      <vt:variant>
        <vt:i4>5</vt:i4>
      </vt:variant>
      <vt:variant>
        <vt:lpwstr>https://taxation-customs.ec.europa.eu/system/files/2022-12/221208 DG GROW report - 2022 Tax Compliance Costs SMEs.pdf</vt:lpwstr>
      </vt:variant>
      <vt:variant>
        <vt:lpwstr/>
      </vt:variant>
      <vt:variant>
        <vt:i4>8323178</vt:i4>
      </vt:variant>
      <vt:variant>
        <vt:i4>198</vt:i4>
      </vt:variant>
      <vt:variant>
        <vt:i4>0</vt:i4>
      </vt:variant>
      <vt:variant>
        <vt:i4>5</vt:i4>
      </vt:variant>
      <vt:variant>
        <vt:lpwstr>https://www.ecgi.global/publications/blog/ma-under-pressure-how-interest-limitation-rules-are-shaping-corporate-dealmaking</vt:lpwstr>
      </vt:variant>
      <vt:variant>
        <vt:lpwstr/>
      </vt:variant>
      <vt:variant>
        <vt:i4>393228</vt:i4>
      </vt:variant>
      <vt:variant>
        <vt:i4>195</vt:i4>
      </vt:variant>
      <vt:variant>
        <vt:i4>0</vt:i4>
      </vt:variant>
      <vt:variant>
        <vt:i4>5</vt:i4>
      </vt:variant>
      <vt:variant>
        <vt:lpwstr>https://link.springer.com/article/10.1007/s11142-025-09890-8</vt:lpwstr>
      </vt:variant>
      <vt:variant>
        <vt:lpwstr/>
      </vt:variant>
      <vt:variant>
        <vt:i4>655383</vt:i4>
      </vt:variant>
      <vt:variant>
        <vt:i4>192</vt:i4>
      </vt:variant>
      <vt:variant>
        <vt:i4>0</vt:i4>
      </vt:variant>
      <vt:variant>
        <vt:i4>5</vt:i4>
      </vt:variant>
      <vt:variant>
        <vt:lpwstr>https://data.ecb.europa.eu/data/datasets/MIR/MIR.M.U2.B.A2I.AM.R.A.2240.EUR.N</vt:lpwstr>
      </vt:variant>
      <vt:variant>
        <vt:lpwstr/>
      </vt:variant>
      <vt:variant>
        <vt:i4>7929897</vt:i4>
      </vt:variant>
      <vt:variant>
        <vt:i4>189</vt:i4>
      </vt:variant>
      <vt:variant>
        <vt:i4>0</vt:i4>
      </vt:variant>
      <vt:variant>
        <vt:i4>5</vt:i4>
      </vt:variant>
      <vt:variant>
        <vt:lpwstr>https://www.econstor.eu/bitstream/10419/273017/1/1820731960.pdf</vt:lpwstr>
      </vt:variant>
      <vt:variant>
        <vt:lpwstr/>
      </vt:variant>
      <vt:variant>
        <vt:i4>6160471</vt:i4>
      </vt:variant>
      <vt:variant>
        <vt:i4>186</vt:i4>
      </vt:variant>
      <vt:variant>
        <vt:i4>0</vt:i4>
      </vt:variant>
      <vt:variant>
        <vt:i4>5</vt:i4>
      </vt:variant>
      <vt:variant>
        <vt:lpwstr>https://www.oecd.org/en/topics/sub-issues/foreign-direct-investment-qualities-and-impact.html</vt:lpwstr>
      </vt:variant>
      <vt:variant>
        <vt:lpwstr/>
      </vt:variant>
      <vt:variant>
        <vt:i4>4849664</vt:i4>
      </vt:variant>
      <vt:variant>
        <vt:i4>183</vt:i4>
      </vt:variant>
      <vt:variant>
        <vt:i4>0</vt:i4>
      </vt:variant>
      <vt:variant>
        <vt:i4>5</vt:i4>
      </vt:variant>
      <vt:variant>
        <vt:lpwstr>https://taxation-customs.ec.europa.eu/system/files/2022-12/221208 DG GROW report - 2022 Tax Compliance Costs SMEs.pdf</vt:lpwstr>
      </vt:variant>
      <vt:variant>
        <vt:lpwstr/>
      </vt:variant>
      <vt:variant>
        <vt:i4>3604591</vt:i4>
      </vt:variant>
      <vt:variant>
        <vt:i4>180</vt:i4>
      </vt:variant>
      <vt:variant>
        <vt:i4>0</vt:i4>
      </vt:variant>
      <vt:variant>
        <vt:i4>5</vt:i4>
      </vt:variant>
      <vt:variant>
        <vt:lpwstr>https://www.europarl.europa.eu/RegData/etudes/STUD/2023/642353/IPOL_STU(2023)642353_EN.pdf</vt:lpwstr>
      </vt:variant>
      <vt:variant>
        <vt:lpwstr/>
      </vt:variant>
      <vt:variant>
        <vt:i4>4522061</vt:i4>
      </vt:variant>
      <vt:variant>
        <vt:i4>177</vt:i4>
      </vt:variant>
      <vt:variant>
        <vt:i4>0</vt:i4>
      </vt:variant>
      <vt:variant>
        <vt:i4>5</vt:i4>
      </vt:variant>
      <vt:variant>
        <vt:lpwstr>https://ec.europa.eu/eurostat/web/products-eurostat-news/w/ddn-20250430-1</vt:lpwstr>
      </vt:variant>
      <vt:variant>
        <vt:lpwstr/>
      </vt:variant>
      <vt:variant>
        <vt:i4>4849664</vt:i4>
      </vt:variant>
      <vt:variant>
        <vt:i4>174</vt:i4>
      </vt:variant>
      <vt:variant>
        <vt:i4>0</vt:i4>
      </vt:variant>
      <vt:variant>
        <vt:i4>5</vt:i4>
      </vt:variant>
      <vt:variant>
        <vt:lpwstr>https://taxation-customs.ec.europa.eu/system/files/2022-12/221208 DG GROW report - 2022 Tax Compliance Costs SMEs.pdf</vt:lpwstr>
      </vt:variant>
      <vt:variant>
        <vt:lpwstr/>
      </vt:variant>
      <vt:variant>
        <vt:i4>6488188</vt:i4>
      </vt:variant>
      <vt:variant>
        <vt:i4>171</vt:i4>
      </vt:variant>
      <vt:variant>
        <vt:i4>0</vt:i4>
      </vt:variant>
      <vt:variant>
        <vt:i4>5</vt:i4>
      </vt:variant>
      <vt:variant>
        <vt:lpwstr>https://www.sciencedirect.com/science/article/pii/S1544612323012205</vt:lpwstr>
      </vt:variant>
      <vt:variant>
        <vt:lpwstr/>
      </vt:variant>
      <vt:variant>
        <vt:i4>4849664</vt:i4>
      </vt:variant>
      <vt:variant>
        <vt:i4>168</vt:i4>
      </vt:variant>
      <vt:variant>
        <vt:i4>0</vt:i4>
      </vt:variant>
      <vt:variant>
        <vt:i4>5</vt:i4>
      </vt:variant>
      <vt:variant>
        <vt:lpwstr>https://taxation-customs.ec.europa.eu/system/files/2022-12/221208 DG GROW report - 2022 Tax Compliance Costs SMEs.pdf</vt:lpwstr>
      </vt:variant>
      <vt:variant>
        <vt:lpwstr/>
      </vt:variant>
      <vt:variant>
        <vt:i4>65631</vt:i4>
      </vt:variant>
      <vt:variant>
        <vt:i4>165</vt:i4>
      </vt:variant>
      <vt:variant>
        <vt:i4>0</vt:i4>
      </vt:variant>
      <vt:variant>
        <vt:i4>5</vt:i4>
      </vt:variant>
      <vt:variant>
        <vt:lpwstr>https://eur-lex.europa.eu/legal-content/EN/TXT/PDF/?uri=CELEX:52023SC0308</vt:lpwstr>
      </vt:variant>
      <vt:variant>
        <vt:lpwstr/>
      </vt:variant>
      <vt:variant>
        <vt:i4>6357036</vt:i4>
      </vt:variant>
      <vt:variant>
        <vt:i4>162</vt:i4>
      </vt:variant>
      <vt:variant>
        <vt:i4>0</vt:i4>
      </vt:variant>
      <vt:variant>
        <vt:i4>5</vt:i4>
      </vt:variant>
      <vt:variant>
        <vt:lpwstr>https://www.jstor.org/stable/1882847?seq=1</vt:lpwstr>
      </vt:variant>
      <vt:variant>
        <vt:lpwstr/>
      </vt:variant>
      <vt:variant>
        <vt:i4>5767185</vt:i4>
      </vt:variant>
      <vt:variant>
        <vt:i4>159</vt:i4>
      </vt:variant>
      <vt:variant>
        <vt:i4>0</vt:i4>
      </vt:variant>
      <vt:variant>
        <vt:i4>5</vt:i4>
      </vt:variant>
      <vt:variant>
        <vt:lpwstr>https://ec.europa.eu/eurostat/statistics-explained/index.php?title=SMEs_-_independent_and_in_enterprise_groups</vt:lpwstr>
      </vt:variant>
      <vt:variant>
        <vt:lpwstr/>
      </vt:variant>
      <vt:variant>
        <vt:i4>4849664</vt:i4>
      </vt:variant>
      <vt:variant>
        <vt:i4>156</vt:i4>
      </vt:variant>
      <vt:variant>
        <vt:i4>0</vt:i4>
      </vt:variant>
      <vt:variant>
        <vt:i4>5</vt:i4>
      </vt:variant>
      <vt:variant>
        <vt:lpwstr>https://taxation-customs.ec.europa.eu/system/files/2022-12/221208 DG GROW report - 2022 Tax Compliance Costs SMEs.pdf</vt:lpwstr>
      </vt:variant>
      <vt:variant>
        <vt:lpwstr/>
      </vt:variant>
      <vt:variant>
        <vt:i4>65631</vt:i4>
      </vt:variant>
      <vt:variant>
        <vt:i4>153</vt:i4>
      </vt:variant>
      <vt:variant>
        <vt:i4>0</vt:i4>
      </vt:variant>
      <vt:variant>
        <vt:i4>5</vt:i4>
      </vt:variant>
      <vt:variant>
        <vt:lpwstr>https://eur-lex.europa.eu/legal-content/EN/TXT/PDF/?uri=CELEX:52023SC0308</vt:lpwstr>
      </vt:variant>
      <vt:variant>
        <vt:lpwstr/>
      </vt:variant>
      <vt:variant>
        <vt:i4>4980742</vt:i4>
      </vt:variant>
      <vt:variant>
        <vt:i4>150</vt:i4>
      </vt:variant>
      <vt:variant>
        <vt:i4>0</vt:i4>
      </vt:variant>
      <vt:variant>
        <vt:i4>5</vt:i4>
      </vt:variant>
      <vt:variant>
        <vt:lpwstr>https://www.europarl.europa.eu/factsheets/en/sheet/63/small-and-medium-sized-enterprises</vt:lpwstr>
      </vt:variant>
      <vt:variant>
        <vt:lpwstr/>
      </vt:variant>
      <vt:variant>
        <vt:i4>4849664</vt:i4>
      </vt:variant>
      <vt:variant>
        <vt:i4>147</vt:i4>
      </vt:variant>
      <vt:variant>
        <vt:i4>0</vt:i4>
      </vt:variant>
      <vt:variant>
        <vt:i4>5</vt:i4>
      </vt:variant>
      <vt:variant>
        <vt:lpwstr>https://taxation-customs.ec.europa.eu/system/files/2022-12/221208 DG GROW report - 2022 Tax Compliance Costs SMEs.pdf</vt:lpwstr>
      </vt:variant>
      <vt:variant>
        <vt:lpwstr/>
      </vt:variant>
      <vt:variant>
        <vt:i4>6225937</vt:i4>
      </vt:variant>
      <vt:variant>
        <vt:i4>144</vt:i4>
      </vt:variant>
      <vt:variant>
        <vt:i4>0</vt:i4>
      </vt:variant>
      <vt:variant>
        <vt:i4>5</vt:i4>
      </vt:variant>
      <vt:variant>
        <vt:lpwstr>https://iro.uiowa.edu/esploro/outputs/journalArticle/Corporate-Tax-System-Complexity-and-Investment/9985132183802771</vt:lpwstr>
      </vt:variant>
      <vt:variant>
        <vt:lpwstr/>
      </vt:variant>
      <vt:variant>
        <vt:i4>3145736</vt:i4>
      </vt:variant>
      <vt:variant>
        <vt:i4>141</vt:i4>
      </vt:variant>
      <vt:variant>
        <vt:i4>0</vt:i4>
      </vt:variant>
      <vt:variant>
        <vt:i4>5</vt:i4>
      </vt:variant>
      <vt:variant>
        <vt:lpwstr>https://www.ecb.europa.eu/press/economic-bulletin/articles/2026/html/ecb.ebart202508_01~2e71d52829.en.html</vt:lpwstr>
      </vt:variant>
      <vt:variant>
        <vt:lpwstr/>
      </vt:variant>
      <vt:variant>
        <vt:i4>8126587</vt:i4>
      </vt:variant>
      <vt:variant>
        <vt:i4>138</vt:i4>
      </vt:variant>
      <vt:variant>
        <vt:i4>0</vt:i4>
      </vt:variant>
      <vt:variant>
        <vt:i4>5</vt:i4>
      </vt:variant>
      <vt:variant>
        <vt:lpwstr>https://www.imf.org/en/news/articles/2024/11/18/sp111424-scaling-up-the-single-market-to-boost-productivity</vt:lpwstr>
      </vt:variant>
      <vt:variant>
        <vt:lpwstr/>
      </vt:variant>
      <vt:variant>
        <vt:i4>4718683</vt:i4>
      </vt:variant>
      <vt:variant>
        <vt:i4>135</vt:i4>
      </vt:variant>
      <vt:variant>
        <vt:i4>0</vt:i4>
      </vt:variant>
      <vt:variant>
        <vt:i4>5</vt:i4>
      </vt:variant>
      <vt:variant>
        <vt:lpwstr>https://aei.pitt.edu/3813/1/3813.pdf</vt:lpwstr>
      </vt:variant>
      <vt:variant>
        <vt:lpwstr/>
      </vt:variant>
      <vt:variant>
        <vt:i4>4128871</vt:i4>
      </vt:variant>
      <vt:variant>
        <vt:i4>132</vt:i4>
      </vt:variant>
      <vt:variant>
        <vt:i4>0</vt:i4>
      </vt:variant>
      <vt:variant>
        <vt:i4>5</vt:i4>
      </vt:variant>
      <vt:variant>
        <vt:lpwstr>https://www.europarl.europa.eu/RegData/etudes/STUD/2022/733964/IPOL_STU(2022)733964_EN.pdf</vt:lpwstr>
      </vt:variant>
      <vt:variant>
        <vt:lpwstr/>
      </vt:variant>
      <vt:variant>
        <vt:i4>2424864</vt:i4>
      </vt:variant>
      <vt:variant>
        <vt:i4>129</vt:i4>
      </vt:variant>
      <vt:variant>
        <vt:i4>0</vt:i4>
      </vt:variant>
      <vt:variant>
        <vt:i4>5</vt:i4>
      </vt:variant>
      <vt:variant>
        <vt:lpwstr>https://research.wu.ac.at/en/publications/tax-complexity-and-foreign-direct-investment/</vt:lpwstr>
      </vt:variant>
      <vt:variant>
        <vt:lpwstr/>
      </vt:variant>
      <vt:variant>
        <vt:i4>2949225</vt:i4>
      </vt:variant>
      <vt:variant>
        <vt:i4>126</vt:i4>
      </vt:variant>
      <vt:variant>
        <vt:i4>0</vt:i4>
      </vt:variant>
      <vt:variant>
        <vt:i4>5</vt:i4>
      </vt:variant>
      <vt:variant>
        <vt:lpwstr>https://research.wu.ac.at/en/publications/tax-complexity-and-firm-value</vt:lpwstr>
      </vt:variant>
      <vt:variant>
        <vt:lpwstr/>
      </vt:variant>
      <vt:variant>
        <vt:i4>2424864</vt:i4>
      </vt:variant>
      <vt:variant>
        <vt:i4>123</vt:i4>
      </vt:variant>
      <vt:variant>
        <vt:i4>0</vt:i4>
      </vt:variant>
      <vt:variant>
        <vt:i4>5</vt:i4>
      </vt:variant>
      <vt:variant>
        <vt:lpwstr>https://research.wu.ac.at/en/publications/tax-complexity-and-foreign-direct-investment/</vt:lpwstr>
      </vt:variant>
      <vt:variant>
        <vt:lpwstr/>
      </vt:variant>
      <vt:variant>
        <vt:i4>2359422</vt:i4>
      </vt:variant>
      <vt:variant>
        <vt:i4>120</vt:i4>
      </vt:variant>
      <vt:variant>
        <vt:i4>0</vt:i4>
      </vt:variant>
      <vt:variant>
        <vt:i4>5</vt:i4>
      </vt:variant>
      <vt:variant>
        <vt:lpwstr>https://www.tandfonline.com/doi/full/10.1080/00036846.2021.1922587</vt:lpwstr>
      </vt:variant>
      <vt:variant>
        <vt:lpwstr/>
      </vt:variant>
      <vt:variant>
        <vt:i4>1245207</vt:i4>
      </vt:variant>
      <vt:variant>
        <vt:i4>117</vt:i4>
      </vt:variant>
      <vt:variant>
        <vt:i4>0</vt:i4>
      </vt:variant>
      <vt:variant>
        <vt:i4>5</vt:i4>
      </vt:variant>
      <vt:variant>
        <vt:lpwstr>https://ec.europa.eu/eurostat/statistics-explained/index.php?title=Glossary:List_of_offshore_financial_centres</vt:lpwstr>
      </vt:variant>
      <vt:variant>
        <vt:lpwstr>:~:text=Print%20this%20page%20pdf,(U.S.),%20Vanuatu,%20Samoa</vt:lpwstr>
      </vt:variant>
      <vt:variant>
        <vt:i4>5963829</vt:i4>
      </vt:variant>
      <vt:variant>
        <vt:i4>114</vt:i4>
      </vt:variant>
      <vt:variant>
        <vt:i4>0</vt:i4>
      </vt:variant>
      <vt:variant>
        <vt:i4>5</vt:i4>
      </vt:variant>
      <vt:variant>
        <vt:lpwstr>https://joint-research-centre.ec.europa.eu/projects-and-activities/fiscal-policy-analysis/corporate-taxation/cortax_en</vt:lpwstr>
      </vt:variant>
      <vt:variant>
        <vt:lpwstr/>
      </vt:variant>
      <vt:variant>
        <vt:i4>5832718</vt:i4>
      </vt:variant>
      <vt:variant>
        <vt:i4>111</vt:i4>
      </vt:variant>
      <vt:variant>
        <vt:i4>0</vt:i4>
      </vt:variant>
      <vt:variant>
        <vt:i4>5</vt:i4>
      </vt:variant>
      <vt:variant>
        <vt:lpwstr>https://doi.org/10.1787/9789264268333-en</vt:lpwstr>
      </vt:variant>
      <vt:variant>
        <vt:lpwstr/>
      </vt:variant>
      <vt:variant>
        <vt:i4>3735659</vt:i4>
      </vt:variant>
      <vt:variant>
        <vt:i4>108</vt:i4>
      </vt:variant>
      <vt:variant>
        <vt:i4>0</vt:i4>
      </vt:variant>
      <vt:variant>
        <vt:i4>5</vt:i4>
      </vt:variant>
      <vt:variant>
        <vt:lpwstr>https://data.consilium.europa.eu/doc/document/ST-13501-2025-INIT/en/pdf</vt:lpwstr>
      </vt:variant>
      <vt:variant>
        <vt:lpwstr/>
      </vt:variant>
      <vt:variant>
        <vt:i4>7012413</vt:i4>
      </vt:variant>
      <vt:variant>
        <vt:i4>105</vt:i4>
      </vt:variant>
      <vt:variant>
        <vt:i4>0</vt:i4>
      </vt:variant>
      <vt:variant>
        <vt:i4>5</vt:i4>
      </vt:variant>
      <vt:variant>
        <vt:lpwstr>https://www.deloitte.com/be/en/services/tax/blogs/belgium-government-submits-law-proposal-to-introduce-model-a-cfc-rules-18-december-2023.html</vt:lpwstr>
      </vt:variant>
      <vt:variant>
        <vt:lpwstr/>
      </vt:variant>
      <vt:variant>
        <vt:i4>327717</vt:i4>
      </vt:variant>
      <vt:variant>
        <vt:i4>102</vt:i4>
      </vt:variant>
      <vt:variant>
        <vt:i4>0</vt:i4>
      </vt:variant>
      <vt:variant>
        <vt:i4>5</vt:i4>
      </vt:variant>
      <vt:variant>
        <vt:lpwstr>https://ec.europa.eu/info/law/better-regulation/have-your-say/initiatives/16912-Simplifying-EU-rules-on-direct-taxation-omnibus_en</vt:lpwstr>
      </vt:variant>
      <vt:variant>
        <vt:lpwstr/>
      </vt:variant>
      <vt:variant>
        <vt:i4>4849664</vt:i4>
      </vt:variant>
      <vt:variant>
        <vt:i4>99</vt:i4>
      </vt:variant>
      <vt:variant>
        <vt:i4>0</vt:i4>
      </vt:variant>
      <vt:variant>
        <vt:i4>5</vt:i4>
      </vt:variant>
      <vt:variant>
        <vt:lpwstr>https://taxation-customs.ec.europa.eu/system/files/2022-12/221208 DG GROW report - 2022 Tax Compliance Costs SMEs.pdf</vt:lpwstr>
      </vt:variant>
      <vt:variant>
        <vt:lpwstr/>
      </vt:variant>
      <vt:variant>
        <vt:i4>7667730</vt:i4>
      </vt:variant>
      <vt:variant>
        <vt:i4>96</vt:i4>
      </vt:variant>
      <vt:variant>
        <vt:i4>0</vt:i4>
      </vt:variant>
      <vt:variant>
        <vt:i4>5</vt:i4>
      </vt:variant>
      <vt:variant>
        <vt:lpwstr>https://commission.europa.eu/topics/competitiveness/draghi-report_en</vt:lpwstr>
      </vt:variant>
      <vt:variant>
        <vt:lpwstr/>
      </vt:variant>
      <vt:variant>
        <vt:i4>327717</vt:i4>
      </vt:variant>
      <vt:variant>
        <vt:i4>93</vt:i4>
      </vt:variant>
      <vt:variant>
        <vt:i4>0</vt:i4>
      </vt:variant>
      <vt:variant>
        <vt:i4>5</vt:i4>
      </vt:variant>
      <vt:variant>
        <vt:lpwstr>https://ec.europa.eu/info/law/better-regulation/have-your-say/initiatives/16912-Simplifying-EU-rules-on-direct-taxation-omnibus_en</vt:lpwstr>
      </vt:variant>
      <vt:variant>
        <vt:lpwstr/>
      </vt:variant>
      <vt:variant>
        <vt:i4>327717</vt:i4>
      </vt:variant>
      <vt:variant>
        <vt:i4>90</vt:i4>
      </vt:variant>
      <vt:variant>
        <vt:i4>0</vt:i4>
      </vt:variant>
      <vt:variant>
        <vt:i4>5</vt:i4>
      </vt:variant>
      <vt:variant>
        <vt:lpwstr>https://ec.europa.eu/info/law/better-regulation/have-your-say/initiatives/16912-Simplifying-EU-rules-on-direct-taxation-omnibus_en</vt:lpwstr>
      </vt:variant>
      <vt:variant>
        <vt:lpwstr/>
      </vt:variant>
      <vt:variant>
        <vt:i4>4128871</vt:i4>
      </vt:variant>
      <vt:variant>
        <vt:i4>87</vt:i4>
      </vt:variant>
      <vt:variant>
        <vt:i4>0</vt:i4>
      </vt:variant>
      <vt:variant>
        <vt:i4>5</vt:i4>
      </vt:variant>
      <vt:variant>
        <vt:lpwstr>https://www.europarl.europa.eu/RegData/etudes/STUD/2022/733964/IPOL_STU(2022)733964_EN.pdf</vt:lpwstr>
      </vt:variant>
      <vt:variant>
        <vt:lpwstr/>
      </vt:variant>
      <vt:variant>
        <vt:i4>2752639</vt:i4>
      </vt:variant>
      <vt:variant>
        <vt:i4>84</vt:i4>
      </vt:variant>
      <vt:variant>
        <vt:i4>0</vt:i4>
      </vt:variant>
      <vt:variant>
        <vt:i4>5</vt:i4>
      </vt:variant>
      <vt:variant>
        <vt:lpwstr>https://www.europarl.europa.eu/RegData/etudes/ATAG/2024/762428/EPRS_ATA(2024)762428_EN.pdf</vt:lpwstr>
      </vt:variant>
      <vt:variant>
        <vt:lpwstr/>
      </vt:variant>
      <vt:variant>
        <vt:i4>327717</vt:i4>
      </vt:variant>
      <vt:variant>
        <vt:i4>81</vt:i4>
      </vt:variant>
      <vt:variant>
        <vt:i4>0</vt:i4>
      </vt:variant>
      <vt:variant>
        <vt:i4>5</vt:i4>
      </vt:variant>
      <vt:variant>
        <vt:lpwstr>https://ec.europa.eu/info/law/better-regulation/have-your-say/initiatives/16912-Simplifying-EU-rules-on-direct-taxation-omnibus_en</vt:lpwstr>
      </vt:variant>
      <vt:variant>
        <vt:lpwstr/>
      </vt:variant>
      <vt:variant>
        <vt:i4>2031681</vt:i4>
      </vt:variant>
      <vt:variant>
        <vt:i4>78</vt:i4>
      </vt:variant>
      <vt:variant>
        <vt:i4>0</vt:i4>
      </vt:variant>
      <vt:variant>
        <vt:i4>5</vt:i4>
      </vt:variant>
      <vt:variant>
        <vt:lpwstr>https://op.europa.eu/en/publication-detail/-/publication/c683268c-3cdc-11ef-ab8f-01aa75ed71a1/language-en</vt:lpwstr>
      </vt:variant>
      <vt:variant>
        <vt:lpwstr/>
      </vt:variant>
      <vt:variant>
        <vt:i4>5701721</vt:i4>
      </vt:variant>
      <vt:variant>
        <vt:i4>75</vt:i4>
      </vt:variant>
      <vt:variant>
        <vt:i4>0</vt:i4>
      </vt:variant>
      <vt:variant>
        <vt:i4>5</vt:i4>
      </vt:variant>
      <vt:variant>
        <vt:lpwstr>https://www.oecd.org/en/data/insights/statistical-releases/2026/03/oecd-overall-rd-growth-stable-government-rd-budgets-decline-and-reorient-towards-defence.html</vt:lpwstr>
      </vt:variant>
      <vt:variant>
        <vt:lpwstr/>
      </vt:variant>
      <vt:variant>
        <vt:i4>458848</vt:i4>
      </vt:variant>
      <vt:variant>
        <vt:i4>72</vt:i4>
      </vt:variant>
      <vt:variant>
        <vt:i4>0</vt:i4>
      </vt:variant>
      <vt:variant>
        <vt:i4>5</vt:i4>
      </vt:variant>
      <vt:variant>
        <vt:lpwstr>https://research-and-innovation.ec.europa.eu/document/download/8f899486-6e4e-48df-8633-9582375f41eb_en</vt:lpwstr>
      </vt:variant>
      <vt:variant>
        <vt:lpwstr/>
      </vt:variant>
      <vt:variant>
        <vt:i4>4128871</vt:i4>
      </vt:variant>
      <vt:variant>
        <vt:i4>69</vt:i4>
      </vt:variant>
      <vt:variant>
        <vt:i4>0</vt:i4>
      </vt:variant>
      <vt:variant>
        <vt:i4>5</vt:i4>
      </vt:variant>
      <vt:variant>
        <vt:lpwstr>https://www.europarl.europa.eu/RegData/etudes/STUD/2022/733964/IPOL_STU(2022)733964_EN.pdf</vt:lpwstr>
      </vt:variant>
      <vt:variant>
        <vt:lpwstr/>
      </vt:variant>
      <vt:variant>
        <vt:i4>327717</vt:i4>
      </vt:variant>
      <vt:variant>
        <vt:i4>66</vt:i4>
      </vt:variant>
      <vt:variant>
        <vt:i4>0</vt:i4>
      </vt:variant>
      <vt:variant>
        <vt:i4>5</vt:i4>
      </vt:variant>
      <vt:variant>
        <vt:lpwstr>https://ec.europa.eu/info/law/better-regulation/have-your-say/initiatives/16912-Simplifying-EU-rules-on-direct-taxation-omnibus_en</vt:lpwstr>
      </vt:variant>
      <vt:variant>
        <vt:lpwstr/>
      </vt:variant>
      <vt:variant>
        <vt:i4>3407918</vt:i4>
      </vt:variant>
      <vt:variant>
        <vt:i4>63</vt:i4>
      </vt:variant>
      <vt:variant>
        <vt:i4>0</vt:i4>
      </vt:variant>
      <vt:variant>
        <vt:i4>5</vt:i4>
      </vt:variant>
      <vt:variant>
        <vt:lpwstr>https://www.taxcomplexity.org/</vt:lpwstr>
      </vt:variant>
      <vt:variant>
        <vt:lpwstr/>
      </vt:variant>
      <vt:variant>
        <vt:i4>4128871</vt:i4>
      </vt:variant>
      <vt:variant>
        <vt:i4>60</vt:i4>
      </vt:variant>
      <vt:variant>
        <vt:i4>0</vt:i4>
      </vt:variant>
      <vt:variant>
        <vt:i4>5</vt:i4>
      </vt:variant>
      <vt:variant>
        <vt:lpwstr>https://www.europarl.europa.eu/RegData/etudes/STUD/2022/733964/IPOL_STU(2022)733964_EN.pdf</vt:lpwstr>
      </vt:variant>
      <vt:variant>
        <vt:lpwstr/>
      </vt:variant>
      <vt:variant>
        <vt:i4>2752639</vt:i4>
      </vt:variant>
      <vt:variant>
        <vt:i4>57</vt:i4>
      </vt:variant>
      <vt:variant>
        <vt:i4>0</vt:i4>
      </vt:variant>
      <vt:variant>
        <vt:i4>5</vt:i4>
      </vt:variant>
      <vt:variant>
        <vt:lpwstr>https://www.europarl.europa.eu/RegData/etudes/ATAG/2024/762428/EPRS_ATA(2024)762428_EN.pdf</vt:lpwstr>
      </vt:variant>
      <vt:variant>
        <vt:lpwstr/>
      </vt:variant>
      <vt:variant>
        <vt:i4>327717</vt:i4>
      </vt:variant>
      <vt:variant>
        <vt:i4>54</vt:i4>
      </vt:variant>
      <vt:variant>
        <vt:i4>0</vt:i4>
      </vt:variant>
      <vt:variant>
        <vt:i4>5</vt:i4>
      </vt:variant>
      <vt:variant>
        <vt:lpwstr>https://ec.europa.eu/info/law/better-regulation/have-your-say/initiatives/16912-Simplifying-EU-rules-on-direct-taxation-omnibus_en</vt:lpwstr>
      </vt:variant>
      <vt:variant>
        <vt:lpwstr/>
      </vt:variant>
      <vt:variant>
        <vt:i4>327717</vt:i4>
      </vt:variant>
      <vt:variant>
        <vt:i4>51</vt:i4>
      </vt:variant>
      <vt:variant>
        <vt:i4>0</vt:i4>
      </vt:variant>
      <vt:variant>
        <vt:i4>5</vt:i4>
      </vt:variant>
      <vt:variant>
        <vt:lpwstr>https://ec.europa.eu/info/law/better-regulation/have-your-say/initiatives/16912-Simplifying-EU-rules-on-direct-taxation-omnibus_en</vt:lpwstr>
      </vt:variant>
      <vt:variant>
        <vt:lpwstr/>
      </vt:variant>
      <vt:variant>
        <vt:i4>327717</vt:i4>
      </vt:variant>
      <vt:variant>
        <vt:i4>48</vt:i4>
      </vt:variant>
      <vt:variant>
        <vt:i4>0</vt:i4>
      </vt:variant>
      <vt:variant>
        <vt:i4>5</vt:i4>
      </vt:variant>
      <vt:variant>
        <vt:lpwstr>https://ec.europa.eu/info/law/better-regulation/have-your-say/initiatives/16912-Simplifying-EU-rules-on-direct-taxation-omnibus_en</vt:lpwstr>
      </vt:variant>
      <vt:variant>
        <vt:lpwstr/>
      </vt:variant>
      <vt:variant>
        <vt:i4>3866665</vt:i4>
      </vt:variant>
      <vt:variant>
        <vt:i4>45</vt:i4>
      </vt:variant>
      <vt:variant>
        <vt:i4>0</vt:i4>
      </vt:variant>
      <vt:variant>
        <vt:i4>5</vt:i4>
      </vt:variant>
      <vt:variant>
        <vt:lpwstr>https://www.oecd.org/en/topics/policy-issues/base-erosion-and-profit-shifting-beps.html</vt:lpwstr>
      </vt:variant>
      <vt:variant>
        <vt:lpwstr/>
      </vt:variant>
      <vt:variant>
        <vt:i4>327717</vt:i4>
      </vt:variant>
      <vt:variant>
        <vt:i4>42</vt:i4>
      </vt:variant>
      <vt:variant>
        <vt:i4>0</vt:i4>
      </vt:variant>
      <vt:variant>
        <vt:i4>5</vt:i4>
      </vt:variant>
      <vt:variant>
        <vt:lpwstr>https://ec.europa.eu/info/law/better-regulation/have-your-say/initiatives/16912-Simplifying-EU-rules-on-direct-taxation-omnibus_en</vt:lpwstr>
      </vt:variant>
      <vt:variant>
        <vt:lpwstr/>
      </vt:variant>
      <vt:variant>
        <vt:i4>4587601</vt:i4>
      </vt:variant>
      <vt:variant>
        <vt:i4>39</vt:i4>
      </vt:variant>
      <vt:variant>
        <vt:i4>0</vt:i4>
      </vt:variant>
      <vt:variant>
        <vt:i4>5</vt:i4>
      </vt:variant>
      <vt:variant>
        <vt:lpwstr>https://madoc.bib.uni-mannheim.de/71449/1/dp25053.pdf</vt:lpwstr>
      </vt:variant>
      <vt:variant>
        <vt:lpwstr/>
      </vt:variant>
      <vt:variant>
        <vt:i4>327717</vt:i4>
      </vt:variant>
      <vt:variant>
        <vt:i4>36</vt:i4>
      </vt:variant>
      <vt:variant>
        <vt:i4>0</vt:i4>
      </vt:variant>
      <vt:variant>
        <vt:i4>5</vt:i4>
      </vt:variant>
      <vt:variant>
        <vt:lpwstr>https://ec.europa.eu/info/law/better-regulation/have-your-say/initiatives/16912-Simplifying-EU-rules-on-direct-taxation-omnibus_en</vt:lpwstr>
      </vt:variant>
      <vt:variant>
        <vt:lpwstr/>
      </vt:variant>
      <vt:variant>
        <vt:i4>8323180</vt:i4>
      </vt:variant>
      <vt:variant>
        <vt:i4>33</vt:i4>
      </vt:variant>
      <vt:variant>
        <vt:i4>0</vt:i4>
      </vt:variant>
      <vt:variant>
        <vt:i4>5</vt:i4>
      </vt:variant>
      <vt:variant>
        <vt:lpwstr>https://eur-lex.europa.eu/legal-content/EN/TXT/PDF/?uri=CELEX%3A52023SC0308</vt:lpwstr>
      </vt:variant>
      <vt:variant>
        <vt:lpwstr/>
      </vt:variant>
      <vt:variant>
        <vt:i4>4849664</vt:i4>
      </vt:variant>
      <vt:variant>
        <vt:i4>30</vt:i4>
      </vt:variant>
      <vt:variant>
        <vt:i4>0</vt:i4>
      </vt:variant>
      <vt:variant>
        <vt:i4>5</vt:i4>
      </vt:variant>
      <vt:variant>
        <vt:lpwstr>https://taxation-customs.ec.europa.eu/system/files/2022-12/221208 DG GROW report - 2022 Tax Compliance Costs SMEs.pdf</vt:lpwstr>
      </vt:variant>
      <vt:variant>
        <vt:lpwstr/>
      </vt:variant>
      <vt:variant>
        <vt:i4>4128871</vt:i4>
      </vt:variant>
      <vt:variant>
        <vt:i4>27</vt:i4>
      </vt:variant>
      <vt:variant>
        <vt:i4>0</vt:i4>
      </vt:variant>
      <vt:variant>
        <vt:i4>5</vt:i4>
      </vt:variant>
      <vt:variant>
        <vt:lpwstr>https://www.europarl.europa.eu/RegData/etudes/STUD/2022/733964/IPOL_STU(2022)733964_EN.pdf</vt:lpwstr>
      </vt:variant>
      <vt:variant>
        <vt:lpwstr/>
      </vt:variant>
      <vt:variant>
        <vt:i4>2752639</vt:i4>
      </vt:variant>
      <vt:variant>
        <vt:i4>24</vt:i4>
      </vt:variant>
      <vt:variant>
        <vt:i4>0</vt:i4>
      </vt:variant>
      <vt:variant>
        <vt:i4>5</vt:i4>
      </vt:variant>
      <vt:variant>
        <vt:lpwstr>https://www.europarl.europa.eu/RegData/etudes/ATAG/2024/762428/EPRS_ATA(2024)762428_EN.pdf</vt:lpwstr>
      </vt:variant>
      <vt:variant>
        <vt:lpwstr/>
      </vt:variant>
      <vt:variant>
        <vt:i4>196628</vt:i4>
      </vt:variant>
      <vt:variant>
        <vt:i4>21</vt:i4>
      </vt:variant>
      <vt:variant>
        <vt:i4>0</vt:i4>
      </vt:variant>
      <vt:variant>
        <vt:i4>5</vt:i4>
      </vt:variant>
      <vt:variant>
        <vt:lpwstr>https://www.consilium.europa.eu/en/press/press-releases/2025/03/11/taxation-council-sets-tax-decluttering-and-simplification-agenda/</vt:lpwstr>
      </vt:variant>
      <vt:variant>
        <vt:lpwstr/>
      </vt:variant>
      <vt:variant>
        <vt:i4>2228313</vt:i4>
      </vt:variant>
      <vt:variant>
        <vt:i4>16</vt:i4>
      </vt:variant>
      <vt:variant>
        <vt:i4>0</vt:i4>
      </vt:variant>
      <vt:variant>
        <vt:i4>5</vt:i4>
      </vt:variant>
      <vt:variant>
        <vt:lpwstr>https://commission.europa.eu/strategy-and-policy/strategy-documents/commission-work-programme/commission-work-programme-2026_en</vt:lpwstr>
      </vt:variant>
      <vt:variant>
        <vt:lpwstr/>
      </vt:variant>
      <vt:variant>
        <vt:i4>2228313</vt:i4>
      </vt:variant>
      <vt:variant>
        <vt:i4>14</vt:i4>
      </vt:variant>
      <vt:variant>
        <vt:i4>0</vt:i4>
      </vt:variant>
      <vt:variant>
        <vt:i4>5</vt:i4>
      </vt:variant>
      <vt:variant>
        <vt:lpwstr>https://commission.europa.eu/strategy-and-policy/strategy-documents/commission-work-programme/commission-work-programme-2026_en</vt:lpwstr>
      </vt:variant>
      <vt:variant>
        <vt:lpwstr/>
      </vt:variant>
      <vt:variant>
        <vt:i4>2228313</vt:i4>
      </vt:variant>
      <vt:variant>
        <vt:i4>11</vt:i4>
      </vt:variant>
      <vt:variant>
        <vt:i4>0</vt:i4>
      </vt:variant>
      <vt:variant>
        <vt:i4>5</vt:i4>
      </vt:variant>
      <vt:variant>
        <vt:lpwstr>https://commission.europa.eu/strategy-and-policy/strategy-documents/commission-work-programme/commission-work-programme-2026_en</vt:lpwstr>
      </vt:variant>
      <vt:variant>
        <vt:lpwstr/>
      </vt:variant>
      <vt:variant>
        <vt:i4>2228313</vt:i4>
      </vt:variant>
      <vt:variant>
        <vt:i4>9</vt:i4>
      </vt:variant>
      <vt:variant>
        <vt:i4>0</vt:i4>
      </vt:variant>
      <vt:variant>
        <vt:i4>5</vt:i4>
      </vt:variant>
      <vt:variant>
        <vt:lpwstr>https://commission.europa.eu/strategy-and-policy/strategy-documents/commission-work-programme/commission-work-programme-2026_en</vt:lpwstr>
      </vt:variant>
      <vt:variant>
        <vt:lpwstr/>
      </vt:variant>
      <vt:variant>
        <vt:i4>917595</vt:i4>
      </vt:variant>
      <vt:variant>
        <vt:i4>6</vt:i4>
      </vt:variant>
      <vt:variant>
        <vt:i4>0</vt:i4>
      </vt:variant>
      <vt:variant>
        <vt:i4>5</vt:i4>
      </vt:variant>
      <vt:variant>
        <vt:lpwstr>https://commissioners.ec.europa.eu/system/files/2023-09/Mission-letter-Wopke-Hoekstra.pdf</vt:lpwstr>
      </vt:variant>
      <vt:variant>
        <vt:lpwstr/>
      </vt:variant>
      <vt:variant>
        <vt:i4>4456509</vt:i4>
      </vt:variant>
      <vt:variant>
        <vt:i4>3</vt:i4>
      </vt:variant>
      <vt:variant>
        <vt:i4>0</vt:i4>
      </vt:variant>
      <vt:variant>
        <vt:i4>5</vt:i4>
      </vt:variant>
      <vt:variant>
        <vt:lpwstr>https://commission.europa.eu/law/law-making-process/better-regulation/simplification-and-implementation/simplification_en</vt:lpwstr>
      </vt:variant>
      <vt:variant>
        <vt:lpwstr/>
      </vt:variant>
      <vt:variant>
        <vt:i4>4849704</vt:i4>
      </vt:variant>
      <vt:variant>
        <vt:i4>0</vt:i4>
      </vt:variant>
      <vt:variant>
        <vt:i4>0</vt:i4>
      </vt:variant>
      <vt:variant>
        <vt:i4>5</vt:i4>
      </vt:variant>
      <vt:variant>
        <vt:lpwstr>C:\Users\kellyad\AppData\Local\Microsoft\Windows\INetCache\Content.Outlook\ZPJGQZ1I\e6cd4328-673c-4e7a-8683-f63ffb2cf648_en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2026-06-21T16:48:00Z</dcterms:created>
  <dcterms:modified xsi:type="dcterms:W3CDTF">2026-06-23T06:10:00Z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2026-06-21T14:39:32Z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18d881c5-e597-46cf-ae4b-d283c6f85f45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CP-026</vt:lpwstr>
  </property>
</Properties>
</file>