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09A073B" w14:textId="6C26B436" w:rsidR="00A75721" w:rsidRPr="00820591" w:rsidRDefault="00E42E92" w:rsidP="00E42E92">
      <w:pPr>
        <w:pStyle w:val="Pagedecouverture"/>
        <w:rPr>
          <w:noProof/>
        </w:rPr>
      </w:pPr>
      <w:bookmarkStart w:id="0" w:name="LW_BM_COVERPAGE"/>
      <w:r>
        <w:rPr>
          <w:noProof/>
        </w:rPr>
        <w:pict w14:anchorId="34BBE4E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DABEA1F3-6AC7-4991-8B02-ECE38440235D" style="width:455.25pt;height:402.75pt">
            <v:imagedata r:id="rId7" o:title=""/>
          </v:shape>
        </w:pict>
      </w:r>
    </w:p>
    <w:bookmarkEnd w:id="0"/>
    <w:p w14:paraId="0298F2B1" w14:textId="45A44AFB" w:rsidR="003B7AF9" w:rsidRPr="003B7AF9" w:rsidRDefault="003B7AF9" w:rsidP="003B7AF9">
      <w:pPr>
        <w:tabs>
          <w:tab w:val="center" w:pos="4536"/>
        </w:tabs>
        <w:rPr>
          <w:noProof/>
        </w:rPr>
        <w:sectPr w:rsidR="003B7AF9" w:rsidRPr="003B7AF9" w:rsidSect="00E42E92">
          <w:headerReference w:type="even" r:id="rId8"/>
          <w:headerReference w:type="default" r:id="rId9"/>
          <w:footerReference w:type="even" r:id="rId10"/>
          <w:footerReference w:type="default" r:id="rId11"/>
          <w:headerReference w:type="first" r:id="rId12"/>
          <w:footerReference w:type="first" r:id="rId13"/>
          <w:pgSz w:w="11906" w:h="16838"/>
          <w:pgMar w:top="1134" w:right="1417" w:bottom="1134" w:left="1417" w:header="709" w:footer="709" w:gutter="0"/>
          <w:pgNumType w:start="0"/>
          <w:cols w:space="720"/>
          <w:docGrid w:linePitch="360"/>
        </w:sectPr>
      </w:pPr>
    </w:p>
    <w:tbl>
      <w:tblPr>
        <w:tblStyle w:val="TableGrid"/>
        <w:tblW w:w="0" w:type="auto"/>
        <w:tblInd w:w="720" w:type="dxa"/>
        <w:tblLook w:val="04A0" w:firstRow="1" w:lastRow="0" w:firstColumn="1" w:lastColumn="0" w:noHBand="0" w:noVBand="1"/>
      </w:tblPr>
      <w:tblGrid>
        <w:gridCol w:w="8568"/>
      </w:tblGrid>
      <w:tr w:rsidR="00493B1E" w:rsidRPr="006D4841" w14:paraId="5651E2A2" w14:textId="77777777" w:rsidTr="3F3A7B02">
        <w:tc>
          <w:tcPr>
            <w:tcW w:w="8568" w:type="dxa"/>
            <w:shd w:val="clear" w:color="auto" w:fill="A6A6A6" w:themeFill="background1" w:themeFillShade="A6"/>
          </w:tcPr>
          <w:p w14:paraId="39A3A731" w14:textId="0C244AF8" w:rsidR="00493B1E" w:rsidRDefault="00493B1E" w:rsidP="00493B1E">
            <w:pPr>
              <w:pStyle w:val="ListParagraph"/>
              <w:jc w:val="center"/>
              <w:rPr>
                <w:rFonts w:ascii="Times New Roman" w:hAnsi="Times New Roman" w:cs="Times New Roman"/>
                <w:b/>
                <w:bCs/>
                <w:noProof/>
                <w:color w:val="000000"/>
              </w:rPr>
            </w:pPr>
            <w:bookmarkStart w:id="1" w:name="_GoBack"/>
            <w:bookmarkEnd w:id="1"/>
            <w:r>
              <w:rPr>
                <w:rFonts w:ascii="Times New Roman" w:hAnsi="Times New Roman" w:cs="Times New Roman"/>
                <w:b/>
                <w:bCs/>
                <w:noProof/>
                <w:color w:val="000000"/>
              </w:rPr>
              <w:lastRenderedPageBreak/>
              <w:t>Executive Summary</w:t>
            </w:r>
          </w:p>
        </w:tc>
      </w:tr>
      <w:tr w:rsidR="00493B1E" w:rsidRPr="006D4841" w14:paraId="1861887F" w14:textId="77777777" w:rsidTr="3F3A7B02">
        <w:tc>
          <w:tcPr>
            <w:tcW w:w="8568" w:type="dxa"/>
            <w:shd w:val="clear" w:color="auto" w:fill="8DB3E2" w:themeFill="text2" w:themeFillTint="66"/>
          </w:tcPr>
          <w:p w14:paraId="2E4140D9" w14:textId="6962A967" w:rsidR="00493B1E" w:rsidRPr="00F41DFF" w:rsidRDefault="00493B1E" w:rsidP="00F41DFF">
            <w:pPr>
              <w:rPr>
                <w:rFonts w:ascii="Times New Roman" w:hAnsi="Times New Roman" w:cs="Times New Roman"/>
                <w:b/>
                <w:bCs/>
                <w:noProof/>
                <w:color w:val="000000"/>
              </w:rPr>
            </w:pPr>
            <w:r w:rsidRPr="3F3A7B02">
              <w:rPr>
                <w:rFonts w:ascii="Times New Roman" w:hAnsi="Times New Roman" w:cs="Times New Roman"/>
                <w:b/>
                <w:bCs/>
                <w:noProof/>
                <w:color w:val="000000" w:themeColor="text1"/>
              </w:rPr>
              <w:t xml:space="preserve">Impact Assessment </w:t>
            </w:r>
            <w:r w:rsidR="59F647EA" w:rsidRPr="3F3A7B02">
              <w:rPr>
                <w:rFonts w:ascii="Times New Roman" w:hAnsi="Times New Roman" w:cs="Times New Roman"/>
                <w:b/>
                <w:bCs/>
                <w:noProof/>
                <w:color w:val="000000" w:themeColor="text1"/>
              </w:rPr>
              <w:t xml:space="preserve">Report </w:t>
            </w:r>
            <w:r w:rsidR="597B654F" w:rsidRPr="3F3A7B02">
              <w:rPr>
                <w:rFonts w:ascii="Times New Roman" w:hAnsi="Times New Roman" w:cs="Times New Roman"/>
                <w:b/>
                <w:bCs/>
                <w:noProof/>
                <w:color w:val="000000" w:themeColor="text1"/>
              </w:rPr>
              <w:t xml:space="preserve">Accompanying </w:t>
            </w:r>
            <w:r w:rsidRPr="3F3A7B02">
              <w:rPr>
                <w:rFonts w:ascii="Times New Roman" w:hAnsi="Times New Roman" w:cs="Times New Roman"/>
                <w:b/>
                <w:bCs/>
                <w:noProof/>
                <w:color w:val="000000" w:themeColor="text1"/>
              </w:rPr>
              <w:t xml:space="preserve">the </w:t>
            </w:r>
            <w:r w:rsidR="5622B1A3" w:rsidRPr="3F3A7B02">
              <w:rPr>
                <w:rFonts w:ascii="Times New Roman" w:hAnsi="Times New Roman" w:cs="Times New Roman"/>
                <w:b/>
                <w:bCs/>
                <w:noProof/>
                <w:color w:val="000000" w:themeColor="text1"/>
              </w:rPr>
              <w:t>Proposal for a Council Directive amending Council Directives 2003/49/EC, 2009/133/EC, 2011/96/EU, (EU) 2016/1164, (EU) 2017/1852, (EU) 2025/50 as regards the simplification of the Union framework on direct taxation and supporting growth and competitiveness of the EU</w:t>
            </w:r>
          </w:p>
        </w:tc>
      </w:tr>
      <w:tr w:rsidR="006D4841" w:rsidRPr="006D4841" w14:paraId="44BCA0ED" w14:textId="77777777" w:rsidTr="3F3A7B02">
        <w:tc>
          <w:tcPr>
            <w:tcW w:w="8568" w:type="dxa"/>
            <w:shd w:val="clear" w:color="auto" w:fill="A6A6A6" w:themeFill="background1" w:themeFillShade="A6"/>
          </w:tcPr>
          <w:p w14:paraId="5F11B0E8" w14:textId="1C014EAD" w:rsidR="006D4841" w:rsidRPr="003A64E0" w:rsidRDefault="003A64E0" w:rsidP="003A64E0">
            <w:pPr>
              <w:rPr>
                <w:rFonts w:ascii="Times New Roman" w:hAnsi="Times New Roman" w:cs="Times New Roman"/>
                <w:b/>
                <w:bCs/>
                <w:noProof/>
              </w:rPr>
            </w:pPr>
            <w:r w:rsidRPr="003A64E0">
              <w:rPr>
                <w:rFonts w:ascii="Times New Roman" w:hAnsi="Times New Roman" w:cs="Times New Roman"/>
                <w:b/>
                <w:bCs/>
                <w:noProof/>
              </w:rPr>
              <w:t xml:space="preserve">A. </w:t>
            </w:r>
            <w:r w:rsidR="006D4841" w:rsidRPr="003A64E0">
              <w:rPr>
                <w:rFonts w:ascii="Times New Roman" w:hAnsi="Times New Roman" w:cs="Times New Roman"/>
                <w:b/>
                <w:bCs/>
                <w:noProof/>
              </w:rPr>
              <w:t>Need for Action</w:t>
            </w:r>
          </w:p>
        </w:tc>
      </w:tr>
      <w:tr w:rsidR="006D4841" w:rsidRPr="006D4841" w14:paraId="45F7D8C5" w14:textId="77777777" w:rsidTr="3F3A7B02">
        <w:tc>
          <w:tcPr>
            <w:tcW w:w="8568" w:type="dxa"/>
            <w:shd w:val="clear" w:color="auto" w:fill="D9D9D9" w:themeFill="background1" w:themeFillShade="D9"/>
          </w:tcPr>
          <w:p w14:paraId="13768C7A" w14:textId="77777777" w:rsidR="006D4841" w:rsidRPr="006D4841" w:rsidRDefault="006D4841">
            <w:pPr>
              <w:rPr>
                <w:rFonts w:ascii="Times New Roman" w:hAnsi="Times New Roman" w:cs="Times New Roman"/>
                <w:b/>
                <w:bCs/>
                <w:noProof/>
                <w:color w:val="000000"/>
              </w:rPr>
            </w:pPr>
            <w:r w:rsidRPr="006D4841">
              <w:rPr>
                <w:rFonts w:ascii="Times New Roman" w:hAnsi="Times New Roman" w:cs="Times New Roman"/>
                <w:b/>
                <w:bCs/>
                <w:noProof/>
                <w:color w:val="000000"/>
              </w:rPr>
              <w:t>What is the problem and why is it a problem at EU level?</w:t>
            </w:r>
          </w:p>
        </w:tc>
      </w:tr>
      <w:tr w:rsidR="00493B1E" w:rsidRPr="006D4841" w14:paraId="08F5648D" w14:textId="77777777" w:rsidTr="3F3A7B02">
        <w:tc>
          <w:tcPr>
            <w:tcW w:w="8568" w:type="dxa"/>
          </w:tcPr>
          <w:p w14:paraId="2E718B67" w14:textId="022CE7C6" w:rsidR="00AD7CD6" w:rsidRDefault="005C627C" w:rsidP="00E358BD">
            <w:pPr>
              <w:spacing w:after="120"/>
              <w:jc w:val="both"/>
              <w:rPr>
                <w:rFonts w:ascii="Times New Roman" w:hAnsi="Times New Roman" w:cs="Times New Roman"/>
                <w:noProof/>
                <w:color w:val="000000"/>
              </w:rPr>
            </w:pPr>
            <w:r>
              <w:rPr>
                <w:rFonts w:ascii="Times New Roman" w:hAnsi="Times New Roman" w:cs="Times New Roman"/>
                <w:noProof/>
                <w:color w:val="000000"/>
              </w:rPr>
              <w:t xml:space="preserve">The largest volume of direct tax legislation is </w:t>
            </w:r>
            <w:r w:rsidR="002B064E" w:rsidRPr="00F41DFF">
              <w:rPr>
                <w:rFonts w:ascii="Times New Roman" w:hAnsi="Times New Roman" w:cs="Times New Roman"/>
                <w:noProof/>
                <w:color w:val="000000"/>
              </w:rPr>
              <w:t>national</w:t>
            </w:r>
            <w:r>
              <w:rPr>
                <w:rFonts w:ascii="Times New Roman" w:hAnsi="Times New Roman" w:cs="Times New Roman"/>
                <w:noProof/>
                <w:color w:val="000000"/>
              </w:rPr>
              <w:t>,</w:t>
            </w:r>
            <w:r w:rsidR="002B064E">
              <w:rPr>
                <w:rFonts w:ascii="Times New Roman" w:hAnsi="Times New Roman" w:cs="Times New Roman"/>
                <w:noProof/>
                <w:color w:val="000000"/>
              </w:rPr>
              <w:t xml:space="preserve"> </w:t>
            </w:r>
            <w:r>
              <w:rPr>
                <w:rFonts w:ascii="Times New Roman" w:hAnsi="Times New Roman" w:cs="Times New Roman"/>
                <w:noProof/>
                <w:color w:val="000000"/>
              </w:rPr>
              <w:t>which implies that businesses</w:t>
            </w:r>
            <w:r w:rsidR="005854E1">
              <w:rPr>
                <w:rFonts w:ascii="Times New Roman" w:hAnsi="Times New Roman" w:cs="Times New Roman"/>
                <w:noProof/>
                <w:color w:val="000000"/>
              </w:rPr>
              <w:t xml:space="preserve"> </w:t>
            </w:r>
            <w:r w:rsidR="00FC46BD">
              <w:rPr>
                <w:rFonts w:ascii="Times New Roman" w:hAnsi="Times New Roman" w:cs="Times New Roman"/>
                <w:noProof/>
                <w:color w:val="000000"/>
              </w:rPr>
              <w:t xml:space="preserve">which </w:t>
            </w:r>
            <w:r>
              <w:rPr>
                <w:rFonts w:ascii="Times New Roman" w:hAnsi="Times New Roman" w:cs="Times New Roman"/>
                <w:noProof/>
                <w:color w:val="000000"/>
              </w:rPr>
              <w:t xml:space="preserve">operate across borders in the EU face the need to comply with numerous </w:t>
            </w:r>
            <w:r w:rsidR="002B064E">
              <w:rPr>
                <w:rFonts w:ascii="Times New Roman" w:hAnsi="Times New Roman" w:cs="Times New Roman"/>
                <w:noProof/>
                <w:color w:val="000000"/>
              </w:rPr>
              <w:t>corporate income</w:t>
            </w:r>
            <w:r w:rsidR="002B064E" w:rsidRPr="00F41DFF">
              <w:rPr>
                <w:rFonts w:ascii="Times New Roman" w:hAnsi="Times New Roman" w:cs="Times New Roman"/>
                <w:noProof/>
                <w:color w:val="000000"/>
              </w:rPr>
              <w:t xml:space="preserve"> tax systems</w:t>
            </w:r>
            <w:r w:rsidR="002B064E">
              <w:rPr>
                <w:rFonts w:ascii="Times New Roman" w:hAnsi="Times New Roman" w:cs="Times New Roman"/>
                <w:noProof/>
                <w:color w:val="000000"/>
              </w:rPr>
              <w:t>.</w:t>
            </w:r>
            <w:r w:rsidR="00903429">
              <w:rPr>
                <w:rFonts w:ascii="Times New Roman" w:hAnsi="Times New Roman" w:cs="Times New Roman"/>
                <w:noProof/>
                <w:color w:val="000000"/>
              </w:rPr>
              <w:t xml:space="preserve"> </w:t>
            </w:r>
            <w:r>
              <w:rPr>
                <w:rFonts w:ascii="Times New Roman" w:hAnsi="Times New Roman" w:cs="Times New Roman"/>
                <w:noProof/>
                <w:color w:val="000000"/>
              </w:rPr>
              <w:t xml:space="preserve">EU directives come to the fore only in </w:t>
            </w:r>
            <w:r w:rsidR="00AD7CD6" w:rsidRPr="00AD7CD6">
              <w:rPr>
                <w:rFonts w:ascii="Times New Roman" w:hAnsi="Times New Roman" w:cs="Times New Roman"/>
                <w:noProof/>
                <w:color w:val="000000"/>
              </w:rPr>
              <w:t>specific fields of a primarily cross-border nature. The EU</w:t>
            </w:r>
            <w:r w:rsidR="00AD7CD6">
              <w:rPr>
                <w:rFonts w:ascii="Times New Roman" w:hAnsi="Times New Roman" w:cs="Times New Roman"/>
                <w:noProof/>
                <w:color w:val="000000"/>
              </w:rPr>
              <w:t xml:space="preserve"> direct tax</w:t>
            </w:r>
            <w:r w:rsidR="00AD7CD6" w:rsidRPr="00AD7CD6">
              <w:rPr>
                <w:rFonts w:ascii="Times New Roman" w:hAnsi="Times New Roman" w:cs="Times New Roman"/>
                <w:noProof/>
                <w:color w:val="000000"/>
              </w:rPr>
              <w:t xml:space="preserve"> acquis </w:t>
            </w:r>
            <w:r>
              <w:rPr>
                <w:rFonts w:ascii="Times New Roman" w:hAnsi="Times New Roman" w:cs="Times New Roman"/>
                <w:noProof/>
                <w:color w:val="000000"/>
              </w:rPr>
              <w:t>is</w:t>
            </w:r>
            <w:r w:rsidR="005854E1">
              <w:rPr>
                <w:rFonts w:ascii="Times New Roman" w:hAnsi="Times New Roman" w:cs="Times New Roman"/>
                <w:noProof/>
                <w:color w:val="000000"/>
              </w:rPr>
              <w:t>,</w:t>
            </w:r>
            <w:r>
              <w:rPr>
                <w:rFonts w:ascii="Times New Roman" w:hAnsi="Times New Roman" w:cs="Times New Roman"/>
                <w:noProof/>
                <w:color w:val="000000"/>
              </w:rPr>
              <w:t xml:space="preserve"> therefore</w:t>
            </w:r>
            <w:r w:rsidR="005854E1">
              <w:rPr>
                <w:rFonts w:ascii="Times New Roman" w:hAnsi="Times New Roman" w:cs="Times New Roman"/>
                <w:noProof/>
                <w:color w:val="000000"/>
              </w:rPr>
              <w:t>,</w:t>
            </w:r>
            <w:r>
              <w:rPr>
                <w:rFonts w:ascii="Times New Roman" w:hAnsi="Times New Roman" w:cs="Times New Roman"/>
                <w:noProof/>
                <w:color w:val="000000"/>
              </w:rPr>
              <w:t xml:space="preserve"> limited and</w:t>
            </w:r>
            <w:r w:rsidR="005854E1">
              <w:rPr>
                <w:rFonts w:ascii="Times New Roman" w:hAnsi="Times New Roman" w:cs="Times New Roman"/>
                <w:noProof/>
                <w:color w:val="000000"/>
              </w:rPr>
              <w:t>,</w:t>
            </w:r>
            <w:r>
              <w:rPr>
                <w:rFonts w:ascii="Times New Roman" w:hAnsi="Times New Roman" w:cs="Times New Roman"/>
                <w:noProof/>
                <w:color w:val="000000"/>
              </w:rPr>
              <w:t xml:space="preserve"> where it exists, </w:t>
            </w:r>
            <w:r w:rsidR="00AD7CD6" w:rsidRPr="00AD7CD6">
              <w:rPr>
                <w:rFonts w:ascii="Times New Roman" w:hAnsi="Times New Roman" w:cs="Times New Roman"/>
                <w:noProof/>
                <w:color w:val="000000"/>
              </w:rPr>
              <w:t>represents a significant achievement</w:t>
            </w:r>
            <w:r w:rsidR="00AD7CD6">
              <w:rPr>
                <w:rFonts w:ascii="Times New Roman" w:hAnsi="Times New Roman" w:cs="Times New Roman"/>
                <w:noProof/>
                <w:color w:val="000000"/>
              </w:rPr>
              <w:t xml:space="preserve"> for the EU </w:t>
            </w:r>
            <w:r>
              <w:rPr>
                <w:rFonts w:ascii="Times New Roman" w:hAnsi="Times New Roman" w:cs="Times New Roman"/>
                <w:noProof/>
                <w:color w:val="000000"/>
              </w:rPr>
              <w:t xml:space="preserve">given the challenging political stakes which the adoption of EU </w:t>
            </w:r>
            <w:r w:rsidR="002A5B93">
              <w:rPr>
                <w:rFonts w:ascii="Times New Roman" w:hAnsi="Times New Roman" w:cs="Times New Roman"/>
                <w:noProof/>
                <w:color w:val="000000"/>
              </w:rPr>
              <w:t xml:space="preserve">tax </w:t>
            </w:r>
            <w:r>
              <w:rPr>
                <w:rFonts w:ascii="Times New Roman" w:hAnsi="Times New Roman" w:cs="Times New Roman"/>
                <w:noProof/>
                <w:color w:val="000000"/>
              </w:rPr>
              <w:t>directives</w:t>
            </w:r>
            <w:r w:rsidR="002A5B93">
              <w:rPr>
                <w:rFonts w:ascii="Times New Roman" w:hAnsi="Times New Roman" w:cs="Times New Roman"/>
                <w:noProof/>
                <w:color w:val="000000"/>
              </w:rPr>
              <w:t xml:space="preserve"> is associated with</w:t>
            </w:r>
            <w:r>
              <w:rPr>
                <w:rFonts w:ascii="Times New Roman" w:hAnsi="Times New Roman" w:cs="Times New Roman"/>
                <w:noProof/>
                <w:color w:val="000000"/>
              </w:rPr>
              <w:t xml:space="preserve">. </w:t>
            </w:r>
            <w:r w:rsidR="002A5B93">
              <w:rPr>
                <w:rFonts w:ascii="Times New Roman" w:hAnsi="Times New Roman" w:cs="Times New Roman"/>
                <w:noProof/>
                <w:color w:val="000000"/>
              </w:rPr>
              <w:t>The fact that</w:t>
            </w:r>
            <w:r w:rsidRPr="00AD7CD6">
              <w:rPr>
                <w:rFonts w:ascii="Times New Roman" w:hAnsi="Times New Roman" w:cs="Times New Roman"/>
                <w:noProof/>
                <w:color w:val="000000"/>
              </w:rPr>
              <w:t xml:space="preserve"> </w:t>
            </w:r>
            <w:r w:rsidR="00AD7CD6" w:rsidRPr="00AD7CD6">
              <w:rPr>
                <w:rFonts w:ascii="Times New Roman" w:hAnsi="Times New Roman" w:cs="Times New Roman"/>
                <w:noProof/>
                <w:color w:val="000000"/>
              </w:rPr>
              <w:t xml:space="preserve">the EU </w:t>
            </w:r>
            <w:r w:rsidR="00AD7CD6">
              <w:rPr>
                <w:rFonts w:ascii="Times New Roman" w:hAnsi="Times New Roman" w:cs="Times New Roman"/>
                <w:noProof/>
                <w:color w:val="000000"/>
              </w:rPr>
              <w:t>rules</w:t>
            </w:r>
            <w:r w:rsidR="00AD7CD6" w:rsidRPr="00AD7CD6">
              <w:rPr>
                <w:rFonts w:ascii="Times New Roman" w:hAnsi="Times New Roman" w:cs="Times New Roman"/>
                <w:noProof/>
                <w:color w:val="000000"/>
              </w:rPr>
              <w:t xml:space="preserve"> often include several options for implementation</w:t>
            </w:r>
            <w:r w:rsidR="002A5B93">
              <w:rPr>
                <w:rFonts w:ascii="Times New Roman" w:hAnsi="Times New Roman" w:cs="Times New Roman"/>
                <w:noProof/>
                <w:color w:val="000000"/>
              </w:rPr>
              <w:t xml:space="preserve"> is an illustration of this difficulty. It</w:t>
            </w:r>
            <w:r w:rsidR="00AD7CD6">
              <w:rPr>
                <w:rFonts w:ascii="Times New Roman" w:hAnsi="Times New Roman" w:cs="Times New Roman"/>
                <w:noProof/>
                <w:color w:val="000000"/>
              </w:rPr>
              <w:t xml:space="preserve"> </w:t>
            </w:r>
            <w:r w:rsidR="00AD7CD6" w:rsidRPr="00AD7CD6">
              <w:rPr>
                <w:rFonts w:ascii="Times New Roman" w:hAnsi="Times New Roman" w:cs="Times New Roman"/>
                <w:noProof/>
                <w:color w:val="000000"/>
              </w:rPr>
              <w:t>result</w:t>
            </w:r>
            <w:r w:rsidR="00AD7CD6">
              <w:rPr>
                <w:rFonts w:ascii="Times New Roman" w:hAnsi="Times New Roman" w:cs="Times New Roman"/>
                <w:noProof/>
                <w:color w:val="000000"/>
              </w:rPr>
              <w:t xml:space="preserve">s in substantial differences </w:t>
            </w:r>
            <w:r w:rsidR="00AD7CD6" w:rsidRPr="00AD7CD6">
              <w:rPr>
                <w:rFonts w:ascii="Times New Roman" w:hAnsi="Times New Roman" w:cs="Times New Roman"/>
                <w:noProof/>
                <w:color w:val="000000"/>
              </w:rPr>
              <w:t>across EU Member States</w:t>
            </w:r>
            <w:r w:rsidR="00AD7CD6">
              <w:rPr>
                <w:rFonts w:ascii="Times New Roman" w:hAnsi="Times New Roman" w:cs="Times New Roman"/>
                <w:noProof/>
                <w:color w:val="000000"/>
              </w:rPr>
              <w:t xml:space="preserve"> and a </w:t>
            </w:r>
            <w:r w:rsidR="00AD7CD6" w:rsidRPr="00AD7CD6">
              <w:rPr>
                <w:rFonts w:ascii="Times New Roman" w:hAnsi="Times New Roman" w:cs="Times New Roman"/>
                <w:noProof/>
                <w:color w:val="000000"/>
              </w:rPr>
              <w:t>fragmented tax landscape</w:t>
            </w:r>
            <w:r w:rsidR="00AD7CD6">
              <w:rPr>
                <w:rFonts w:ascii="Times New Roman" w:hAnsi="Times New Roman" w:cs="Times New Roman"/>
                <w:noProof/>
                <w:color w:val="000000"/>
              </w:rPr>
              <w:t>. In addition</w:t>
            </w:r>
            <w:r w:rsidR="00AD7CD6" w:rsidRPr="00AD7CD6">
              <w:rPr>
                <w:rFonts w:ascii="Times New Roman" w:hAnsi="Times New Roman" w:cs="Times New Roman"/>
                <w:noProof/>
                <w:color w:val="000000"/>
              </w:rPr>
              <w:t>, the application of EU tax law across the internal market is often inconsistent</w:t>
            </w:r>
            <w:r w:rsidR="004F7CD9">
              <w:rPr>
                <w:rFonts w:ascii="Times New Roman" w:hAnsi="Times New Roman" w:cs="Times New Roman"/>
                <w:noProof/>
                <w:color w:val="000000"/>
              </w:rPr>
              <w:t>. At the same time</w:t>
            </w:r>
            <w:r w:rsidR="00AD7CD6">
              <w:rPr>
                <w:rFonts w:ascii="Times New Roman" w:hAnsi="Times New Roman" w:cs="Times New Roman"/>
                <w:noProof/>
                <w:color w:val="000000"/>
              </w:rPr>
              <w:t xml:space="preserve">, </w:t>
            </w:r>
            <w:r w:rsidR="00AD7CD6" w:rsidRPr="00AD7CD6">
              <w:rPr>
                <w:rFonts w:ascii="Times New Roman" w:hAnsi="Times New Roman" w:cs="Times New Roman"/>
                <w:noProof/>
                <w:color w:val="000000"/>
              </w:rPr>
              <w:t xml:space="preserve">the </w:t>
            </w:r>
            <w:r w:rsidR="00AD7CD6">
              <w:rPr>
                <w:rFonts w:ascii="Times New Roman" w:hAnsi="Times New Roman" w:cs="Times New Roman"/>
                <w:noProof/>
                <w:color w:val="000000"/>
              </w:rPr>
              <w:t>context</w:t>
            </w:r>
            <w:r w:rsidR="00AD7CD6" w:rsidRPr="00AD7CD6">
              <w:rPr>
                <w:rFonts w:ascii="Times New Roman" w:hAnsi="Times New Roman" w:cs="Times New Roman"/>
                <w:noProof/>
                <w:color w:val="000000"/>
              </w:rPr>
              <w:t xml:space="preserve"> has significantly evolved</w:t>
            </w:r>
            <w:r w:rsidR="002A5B93">
              <w:rPr>
                <w:rFonts w:ascii="Times New Roman" w:hAnsi="Times New Roman" w:cs="Times New Roman"/>
                <w:noProof/>
                <w:color w:val="000000"/>
              </w:rPr>
              <w:t xml:space="preserve"> since </w:t>
            </w:r>
            <w:r w:rsidR="004F7CD9">
              <w:rPr>
                <w:rFonts w:ascii="Times New Roman" w:hAnsi="Times New Roman" w:cs="Times New Roman"/>
                <w:noProof/>
                <w:color w:val="000000"/>
              </w:rPr>
              <w:t>these legal acts were</w:t>
            </w:r>
            <w:r w:rsidR="002A5B93">
              <w:rPr>
                <w:rFonts w:ascii="Times New Roman" w:hAnsi="Times New Roman" w:cs="Times New Roman"/>
                <w:noProof/>
                <w:color w:val="000000"/>
              </w:rPr>
              <w:t xml:space="preserve"> first introduced</w:t>
            </w:r>
            <w:r w:rsidR="00AD7CD6">
              <w:rPr>
                <w:rFonts w:ascii="Times New Roman" w:hAnsi="Times New Roman" w:cs="Times New Roman"/>
                <w:noProof/>
                <w:color w:val="000000"/>
              </w:rPr>
              <w:t xml:space="preserve">, </w:t>
            </w:r>
            <w:r w:rsidR="00AD7CD6" w:rsidRPr="00AD7CD6">
              <w:rPr>
                <w:rFonts w:ascii="Times New Roman" w:hAnsi="Times New Roman" w:cs="Times New Roman"/>
                <w:noProof/>
                <w:color w:val="000000"/>
              </w:rPr>
              <w:t>rendering some of the older rules outdated.</w:t>
            </w:r>
            <w:r w:rsidR="00AD7CD6">
              <w:rPr>
                <w:rFonts w:ascii="Times New Roman" w:hAnsi="Times New Roman" w:cs="Times New Roman"/>
                <w:noProof/>
                <w:color w:val="000000"/>
              </w:rPr>
              <w:t xml:space="preserve"> Altogether, four main issues arise: (i) tax compliance requirements</w:t>
            </w:r>
            <w:r w:rsidR="000013CF">
              <w:rPr>
                <w:rFonts w:ascii="Times New Roman" w:hAnsi="Times New Roman" w:cs="Times New Roman"/>
                <w:noProof/>
                <w:color w:val="000000"/>
              </w:rPr>
              <w:t xml:space="preserve"> that are disproportionate</w:t>
            </w:r>
            <w:r w:rsidR="00AD7CD6">
              <w:rPr>
                <w:rFonts w:ascii="Times New Roman" w:hAnsi="Times New Roman" w:cs="Times New Roman"/>
                <w:noProof/>
                <w:color w:val="000000"/>
              </w:rPr>
              <w:t xml:space="preserve">, (ii) legal uncertainty due to unclear tax rules and terms, (iii) </w:t>
            </w:r>
            <w:r w:rsidR="00F836D5">
              <w:rPr>
                <w:rFonts w:ascii="Times New Roman" w:hAnsi="Times New Roman" w:cs="Times New Roman"/>
                <w:noProof/>
                <w:color w:val="000000"/>
              </w:rPr>
              <w:t xml:space="preserve">different tax treatment depending on national specificities, (iv) tax barriers on cross-border business </w:t>
            </w:r>
            <w:r w:rsidR="00BD5411">
              <w:rPr>
                <w:rFonts w:ascii="Times New Roman" w:hAnsi="Times New Roman" w:cs="Times New Roman"/>
                <w:noProof/>
                <w:color w:val="000000"/>
              </w:rPr>
              <w:t>activities</w:t>
            </w:r>
            <w:r w:rsidR="00F836D5">
              <w:rPr>
                <w:rFonts w:ascii="Times New Roman" w:hAnsi="Times New Roman" w:cs="Times New Roman"/>
                <w:noProof/>
                <w:color w:val="000000"/>
              </w:rPr>
              <w:t xml:space="preserve">. </w:t>
            </w:r>
          </w:p>
          <w:p w14:paraId="1C5877B7" w14:textId="48434BC7" w:rsidR="005C216C" w:rsidRPr="00781B8E" w:rsidRDefault="00AD7CD6" w:rsidP="00E358BD">
            <w:pPr>
              <w:spacing w:after="120"/>
              <w:jc w:val="both"/>
              <w:rPr>
                <w:rFonts w:ascii="Times New Roman" w:hAnsi="Times New Roman" w:cs="Times New Roman"/>
                <w:noProof/>
                <w:color w:val="000000"/>
              </w:rPr>
            </w:pPr>
            <w:r>
              <w:rPr>
                <w:rFonts w:ascii="Times New Roman" w:hAnsi="Times New Roman" w:cs="Times New Roman"/>
                <w:noProof/>
                <w:color w:val="000000"/>
              </w:rPr>
              <w:t>These issues</w:t>
            </w:r>
            <w:r w:rsidRPr="00AD7CD6">
              <w:rPr>
                <w:rFonts w:ascii="Times New Roman" w:hAnsi="Times New Roman" w:cs="Times New Roman"/>
                <w:noProof/>
                <w:color w:val="000000"/>
              </w:rPr>
              <w:t xml:space="preserve"> </w:t>
            </w:r>
            <w:r>
              <w:rPr>
                <w:rFonts w:ascii="Times New Roman" w:hAnsi="Times New Roman" w:cs="Times New Roman"/>
                <w:noProof/>
                <w:color w:val="000000"/>
              </w:rPr>
              <w:t>contribute</w:t>
            </w:r>
            <w:r w:rsidRPr="00F41DFF">
              <w:rPr>
                <w:rFonts w:ascii="Times New Roman" w:hAnsi="Times New Roman" w:cs="Times New Roman"/>
                <w:noProof/>
                <w:color w:val="000000"/>
              </w:rPr>
              <w:t xml:space="preserve"> to</w:t>
            </w:r>
            <w:r>
              <w:rPr>
                <w:rFonts w:ascii="Times New Roman" w:hAnsi="Times New Roman" w:cs="Times New Roman"/>
                <w:noProof/>
                <w:color w:val="000000"/>
              </w:rPr>
              <w:t xml:space="preserve"> the overall</w:t>
            </w:r>
            <w:r w:rsidRPr="00F41DFF">
              <w:rPr>
                <w:rFonts w:ascii="Times New Roman" w:hAnsi="Times New Roman" w:cs="Times New Roman"/>
                <w:noProof/>
                <w:color w:val="000000"/>
              </w:rPr>
              <w:t xml:space="preserve"> </w:t>
            </w:r>
            <w:r w:rsidRPr="00E358BD">
              <w:rPr>
                <w:rFonts w:ascii="Times New Roman" w:hAnsi="Times New Roman" w:cs="Times New Roman"/>
                <w:noProof/>
                <w:color w:val="000000"/>
              </w:rPr>
              <w:t>high complexity</w:t>
            </w:r>
            <w:r w:rsidR="007B1A85">
              <w:rPr>
                <w:rFonts w:ascii="Times New Roman" w:hAnsi="Times New Roman" w:cs="Times New Roman"/>
                <w:noProof/>
                <w:color w:val="000000"/>
              </w:rPr>
              <w:t>, increased risks of disputes,</w:t>
            </w:r>
            <w:r w:rsidRPr="00E16850">
              <w:rPr>
                <w:rFonts w:ascii="Times New Roman" w:hAnsi="Times New Roman" w:cs="Times New Roman"/>
                <w:noProof/>
                <w:color w:val="000000"/>
              </w:rPr>
              <w:t xml:space="preserve"> and </w:t>
            </w:r>
            <w:r>
              <w:rPr>
                <w:rFonts w:ascii="Times New Roman" w:hAnsi="Times New Roman" w:cs="Times New Roman"/>
                <w:noProof/>
                <w:color w:val="000000"/>
              </w:rPr>
              <w:t xml:space="preserve">high tax compliance burdens for doing business in the </w:t>
            </w:r>
            <w:r w:rsidR="00450216">
              <w:rPr>
                <w:rFonts w:ascii="Times New Roman" w:hAnsi="Times New Roman" w:cs="Times New Roman"/>
                <w:noProof/>
                <w:color w:val="000000"/>
              </w:rPr>
              <w:t>EU and</w:t>
            </w:r>
            <w:r>
              <w:rPr>
                <w:rFonts w:ascii="Times New Roman" w:hAnsi="Times New Roman" w:cs="Times New Roman"/>
                <w:noProof/>
                <w:color w:val="000000"/>
              </w:rPr>
              <w:t xml:space="preserve"> </w:t>
            </w:r>
            <w:r w:rsidR="00BD5411">
              <w:rPr>
                <w:rFonts w:ascii="Times New Roman" w:hAnsi="Times New Roman" w:cs="Times New Roman"/>
                <w:noProof/>
                <w:color w:val="000000"/>
              </w:rPr>
              <w:t>impede</w:t>
            </w:r>
            <w:r>
              <w:rPr>
                <w:rFonts w:ascii="Times New Roman" w:hAnsi="Times New Roman" w:cs="Times New Roman"/>
                <w:noProof/>
                <w:color w:val="000000"/>
              </w:rPr>
              <w:t xml:space="preserve"> the EU’s competitiveness.</w:t>
            </w:r>
            <w:r w:rsidRPr="00AD7CD6">
              <w:rPr>
                <w:rFonts w:ascii="Times New Roman" w:hAnsi="Times New Roman" w:cs="Times New Roman"/>
                <w:noProof/>
                <w:color w:val="000000"/>
              </w:rPr>
              <w:t xml:space="preserve"> </w:t>
            </w:r>
            <w:r w:rsidR="001D6830">
              <w:rPr>
                <w:rFonts w:ascii="Times New Roman" w:hAnsi="Times New Roman" w:cs="Times New Roman"/>
                <w:noProof/>
                <w:color w:val="000000"/>
              </w:rPr>
              <w:t>W</w:t>
            </w:r>
            <w:r w:rsidR="001D6830" w:rsidRPr="001D6830">
              <w:rPr>
                <w:rFonts w:ascii="Times New Roman" w:hAnsi="Times New Roman" w:cs="Times New Roman"/>
                <w:noProof/>
                <w:color w:val="000000"/>
              </w:rPr>
              <w:t xml:space="preserve">hile in many other areas there is significant progress in EU law to ensure that businesses can operate in the </w:t>
            </w:r>
            <w:r>
              <w:rPr>
                <w:rFonts w:ascii="Times New Roman" w:hAnsi="Times New Roman" w:cs="Times New Roman"/>
                <w:noProof/>
                <w:color w:val="000000"/>
              </w:rPr>
              <w:t>internal market</w:t>
            </w:r>
            <w:r w:rsidR="001D6830" w:rsidRPr="001D6830">
              <w:rPr>
                <w:rFonts w:ascii="Times New Roman" w:hAnsi="Times New Roman" w:cs="Times New Roman"/>
                <w:noProof/>
                <w:color w:val="000000"/>
              </w:rPr>
              <w:t xml:space="preserve"> under common standards, </w:t>
            </w:r>
            <w:r>
              <w:rPr>
                <w:rFonts w:ascii="Times New Roman" w:hAnsi="Times New Roman" w:cs="Times New Roman"/>
                <w:noProof/>
                <w:color w:val="000000"/>
              </w:rPr>
              <w:t>tax remains a</w:t>
            </w:r>
            <w:r w:rsidR="00AE0981">
              <w:rPr>
                <w:rFonts w:ascii="Times New Roman" w:hAnsi="Times New Roman" w:cs="Times New Roman"/>
                <w:noProof/>
                <w:color w:val="000000"/>
              </w:rPr>
              <w:t xml:space="preserve"> policy field intertwined </w:t>
            </w:r>
            <w:r w:rsidR="008A43A8">
              <w:rPr>
                <w:rFonts w:ascii="Times New Roman" w:hAnsi="Times New Roman" w:cs="Times New Roman"/>
                <w:noProof/>
                <w:color w:val="000000"/>
              </w:rPr>
              <w:t>between some EU harmonisation and vastly different</w:t>
            </w:r>
            <w:r w:rsidR="00AE0981">
              <w:rPr>
                <w:rFonts w:ascii="Times New Roman" w:hAnsi="Times New Roman" w:cs="Times New Roman"/>
                <w:noProof/>
                <w:color w:val="000000"/>
              </w:rPr>
              <w:t xml:space="preserve"> national systems and thus a</w:t>
            </w:r>
            <w:r>
              <w:rPr>
                <w:rFonts w:ascii="Times New Roman" w:hAnsi="Times New Roman" w:cs="Times New Roman"/>
                <w:noProof/>
                <w:color w:val="000000"/>
              </w:rPr>
              <w:t xml:space="preserve"> </w:t>
            </w:r>
            <w:r w:rsidR="0078726E">
              <w:rPr>
                <w:rFonts w:ascii="Times New Roman" w:hAnsi="Times New Roman" w:cs="Times New Roman"/>
                <w:noProof/>
                <w:color w:val="000000"/>
              </w:rPr>
              <w:t>remarkable</w:t>
            </w:r>
            <w:r>
              <w:rPr>
                <w:rFonts w:ascii="Times New Roman" w:hAnsi="Times New Roman" w:cs="Times New Roman"/>
                <w:noProof/>
                <w:color w:val="000000"/>
              </w:rPr>
              <w:t xml:space="preserve"> obstacle</w:t>
            </w:r>
            <w:r w:rsidR="00AE0981">
              <w:rPr>
                <w:rFonts w:ascii="Times New Roman" w:hAnsi="Times New Roman" w:cs="Times New Roman"/>
                <w:noProof/>
                <w:color w:val="000000"/>
              </w:rPr>
              <w:t xml:space="preserve"> to broader alignment and efficient </w:t>
            </w:r>
            <w:r w:rsidR="008A43A8">
              <w:rPr>
                <w:rFonts w:ascii="Times New Roman" w:hAnsi="Times New Roman" w:cs="Times New Roman"/>
                <w:noProof/>
                <w:color w:val="000000"/>
              </w:rPr>
              <w:t>functioning</w:t>
            </w:r>
            <w:r>
              <w:rPr>
                <w:rFonts w:ascii="Times New Roman" w:hAnsi="Times New Roman" w:cs="Times New Roman"/>
                <w:noProof/>
                <w:color w:val="000000"/>
              </w:rPr>
              <w:t xml:space="preserve">. </w:t>
            </w:r>
            <w:r w:rsidR="003C31AD">
              <w:rPr>
                <w:rFonts w:ascii="Times New Roman" w:hAnsi="Times New Roman" w:cs="Times New Roman"/>
                <w:noProof/>
                <w:color w:val="000000"/>
              </w:rPr>
              <w:t xml:space="preserve"> </w:t>
            </w:r>
          </w:p>
        </w:tc>
      </w:tr>
      <w:tr w:rsidR="006D4841" w:rsidRPr="006D4841" w14:paraId="5685F8A0" w14:textId="77777777" w:rsidTr="3F3A7B02">
        <w:tc>
          <w:tcPr>
            <w:tcW w:w="8568" w:type="dxa"/>
            <w:shd w:val="clear" w:color="auto" w:fill="D9D9D9" w:themeFill="background1" w:themeFillShade="D9"/>
          </w:tcPr>
          <w:p w14:paraId="5043DD19" w14:textId="77777777" w:rsidR="006D4841" w:rsidRPr="006D4841" w:rsidRDefault="006D4841">
            <w:pPr>
              <w:rPr>
                <w:rFonts w:ascii="Times New Roman" w:hAnsi="Times New Roman" w:cs="Times New Roman"/>
                <w:b/>
                <w:bCs/>
                <w:noProof/>
                <w:color w:val="000000"/>
              </w:rPr>
            </w:pPr>
            <w:r w:rsidRPr="006D4841">
              <w:rPr>
                <w:rFonts w:ascii="Times New Roman" w:hAnsi="Times New Roman" w:cs="Times New Roman"/>
                <w:b/>
                <w:bCs/>
                <w:noProof/>
                <w:color w:val="000000"/>
              </w:rPr>
              <w:t>What should be achieved?</w:t>
            </w:r>
          </w:p>
        </w:tc>
      </w:tr>
      <w:tr w:rsidR="00493B1E" w:rsidRPr="006D4841" w14:paraId="17FD8AEB" w14:textId="77777777" w:rsidTr="3F3A7B02">
        <w:tc>
          <w:tcPr>
            <w:tcW w:w="8568" w:type="dxa"/>
          </w:tcPr>
          <w:p w14:paraId="044E1216" w14:textId="7EB2B369" w:rsidR="00EE6679" w:rsidRPr="00EE6679" w:rsidRDefault="00EE6679" w:rsidP="00F3295D">
            <w:pPr>
              <w:jc w:val="both"/>
              <w:rPr>
                <w:rFonts w:ascii="Times New Roman" w:hAnsi="Times New Roman" w:cs="Times New Roman"/>
                <w:noProof/>
                <w:color w:val="000000"/>
              </w:rPr>
            </w:pPr>
            <w:r w:rsidRPr="00EE6679">
              <w:rPr>
                <w:rFonts w:ascii="Times New Roman" w:hAnsi="Times New Roman" w:cs="Times New Roman"/>
                <w:noProof/>
                <w:color w:val="000000"/>
              </w:rPr>
              <w:t xml:space="preserve">The general objectives of the initiative are: (i) to simplify </w:t>
            </w:r>
            <w:r w:rsidR="00F3295D">
              <w:rPr>
                <w:rFonts w:ascii="Times New Roman" w:hAnsi="Times New Roman" w:cs="Times New Roman"/>
                <w:noProof/>
                <w:color w:val="000000"/>
              </w:rPr>
              <w:t xml:space="preserve">EU </w:t>
            </w:r>
            <w:r w:rsidRPr="00EE6679">
              <w:rPr>
                <w:rFonts w:ascii="Times New Roman" w:hAnsi="Times New Roman" w:cs="Times New Roman"/>
                <w:noProof/>
                <w:color w:val="000000"/>
              </w:rPr>
              <w:t xml:space="preserve">tax rules </w:t>
            </w:r>
            <w:r w:rsidR="00F3295D">
              <w:rPr>
                <w:rFonts w:ascii="Times New Roman" w:hAnsi="Times New Roman" w:cs="Times New Roman"/>
                <w:noProof/>
                <w:color w:val="000000"/>
              </w:rPr>
              <w:t xml:space="preserve">to boost EU competitiveness, while </w:t>
            </w:r>
            <w:r w:rsidRPr="00EE6679">
              <w:rPr>
                <w:rFonts w:ascii="Times New Roman" w:hAnsi="Times New Roman" w:cs="Times New Roman"/>
                <w:noProof/>
                <w:color w:val="000000"/>
              </w:rPr>
              <w:t xml:space="preserve">(ii) </w:t>
            </w:r>
            <w:r w:rsidR="00F3295D">
              <w:rPr>
                <w:rFonts w:ascii="Times New Roman" w:hAnsi="Times New Roman" w:cs="Times New Roman"/>
                <w:noProof/>
                <w:color w:val="000000"/>
              </w:rPr>
              <w:t>maintaining high tax standards in the EU</w:t>
            </w:r>
            <w:r w:rsidRPr="00EE6679">
              <w:rPr>
                <w:rFonts w:ascii="Times New Roman" w:hAnsi="Times New Roman" w:cs="Times New Roman"/>
                <w:noProof/>
                <w:color w:val="000000"/>
              </w:rPr>
              <w:t>.</w:t>
            </w:r>
          </w:p>
          <w:p w14:paraId="136154C3" w14:textId="2C47B71F" w:rsidR="00EE6679" w:rsidRPr="006D4841" w:rsidRDefault="00EE6679" w:rsidP="00E358BD">
            <w:pPr>
              <w:spacing w:after="120"/>
              <w:rPr>
                <w:rFonts w:ascii="Times New Roman" w:hAnsi="Times New Roman" w:cs="Times New Roman"/>
                <w:b/>
                <w:bCs/>
                <w:noProof/>
                <w:color w:val="000000"/>
              </w:rPr>
            </w:pPr>
            <w:r w:rsidRPr="00EE6679">
              <w:rPr>
                <w:rFonts w:ascii="Times New Roman" w:hAnsi="Times New Roman" w:cs="Times New Roman"/>
                <w:noProof/>
                <w:color w:val="000000"/>
              </w:rPr>
              <w:t xml:space="preserve">To achieve such general objectives, the following specific objectives should </w:t>
            </w:r>
            <w:r w:rsidR="00C72521">
              <w:rPr>
                <w:rFonts w:ascii="Times New Roman" w:hAnsi="Times New Roman" w:cs="Times New Roman"/>
                <w:noProof/>
                <w:color w:val="000000"/>
              </w:rPr>
              <w:t xml:space="preserve">first </w:t>
            </w:r>
            <w:r w:rsidRPr="00EE6679">
              <w:rPr>
                <w:rFonts w:ascii="Times New Roman" w:hAnsi="Times New Roman" w:cs="Times New Roman"/>
                <w:noProof/>
                <w:color w:val="000000"/>
              </w:rPr>
              <w:t xml:space="preserve">be attained: (i) to </w:t>
            </w:r>
            <w:r w:rsidR="00F3295D">
              <w:rPr>
                <w:rFonts w:ascii="Times New Roman" w:hAnsi="Times New Roman" w:cs="Times New Roman"/>
                <w:noProof/>
                <w:color w:val="000000"/>
              </w:rPr>
              <w:t>eliminate unnecessary EU tax compliance burdens</w:t>
            </w:r>
            <w:r w:rsidRPr="00EE6679">
              <w:rPr>
                <w:rFonts w:ascii="Times New Roman" w:hAnsi="Times New Roman" w:cs="Times New Roman"/>
                <w:noProof/>
                <w:color w:val="000000"/>
              </w:rPr>
              <w:t xml:space="preserve">; (ii) </w:t>
            </w:r>
            <w:r w:rsidR="00F3295D">
              <w:rPr>
                <w:rFonts w:ascii="Times New Roman" w:hAnsi="Times New Roman" w:cs="Times New Roman"/>
                <w:noProof/>
                <w:color w:val="000000"/>
              </w:rPr>
              <w:t>to introduce clear and predictable EU tax rules and terms</w:t>
            </w:r>
            <w:r w:rsidRPr="00EE6679">
              <w:rPr>
                <w:rFonts w:ascii="Times New Roman" w:hAnsi="Times New Roman" w:cs="Times New Roman"/>
                <w:noProof/>
                <w:color w:val="000000"/>
              </w:rPr>
              <w:t xml:space="preserve">; (iii) </w:t>
            </w:r>
            <w:r w:rsidR="0078726E">
              <w:rPr>
                <w:rFonts w:ascii="Times New Roman" w:hAnsi="Times New Roman" w:cs="Times New Roman"/>
                <w:noProof/>
                <w:color w:val="000000"/>
              </w:rPr>
              <w:t>improve consistency in the application of EU tax directives</w:t>
            </w:r>
            <w:r w:rsidRPr="00EE6679">
              <w:rPr>
                <w:rFonts w:ascii="Times New Roman" w:hAnsi="Times New Roman" w:cs="Times New Roman"/>
                <w:noProof/>
                <w:color w:val="000000"/>
              </w:rPr>
              <w:t xml:space="preserve">; (iv) </w:t>
            </w:r>
            <w:r w:rsidR="00F3295D">
              <w:rPr>
                <w:rFonts w:ascii="Times New Roman" w:hAnsi="Times New Roman" w:cs="Times New Roman"/>
                <w:noProof/>
                <w:color w:val="000000"/>
              </w:rPr>
              <w:t xml:space="preserve">to </w:t>
            </w:r>
            <w:r w:rsidR="0078726E">
              <w:rPr>
                <w:rFonts w:ascii="Times New Roman" w:hAnsi="Times New Roman" w:cs="Times New Roman"/>
                <w:noProof/>
                <w:color w:val="000000"/>
              </w:rPr>
              <w:t>reduce remaining tax-obstacles to cross-border investment and commercial activity</w:t>
            </w:r>
            <w:r w:rsidRPr="00EE6679">
              <w:rPr>
                <w:rFonts w:ascii="Times New Roman" w:hAnsi="Times New Roman" w:cs="Times New Roman"/>
                <w:noProof/>
                <w:color w:val="000000"/>
              </w:rPr>
              <w:t xml:space="preserve">. </w:t>
            </w:r>
          </w:p>
        </w:tc>
      </w:tr>
      <w:tr w:rsidR="006D4841" w:rsidRPr="006D4841" w14:paraId="4D29800B" w14:textId="77777777" w:rsidTr="3F3A7B02">
        <w:tc>
          <w:tcPr>
            <w:tcW w:w="8568" w:type="dxa"/>
            <w:shd w:val="clear" w:color="auto" w:fill="D9D9D9" w:themeFill="background1" w:themeFillShade="D9"/>
          </w:tcPr>
          <w:p w14:paraId="6C9FE538" w14:textId="77777777" w:rsidR="006D4841" w:rsidRPr="006D4841" w:rsidRDefault="006D4841">
            <w:pPr>
              <w:pStyle w:val="Default"/>
              <w:rPr>
                <w:b/>
                <w:bCs/>
                <w:noProof/>
                <w:sz w:val="23"/>
                <w:szCs w:val="23"/>
              </w:rPr>
            </w:pPr>
            <w:r w:rsidRPr="006D4841">
              <w:rPr>
                <w:b/>
                <w:bCs/>
                <w:noProof/>
                <w:sz w:val="23"/>
                <w:szCs w:val="23"/>
              </w:rPr>
              <w:t xml:space="preserve">What is the value added of action at the EU level (subsidiarity)? </w:t>
            </w:r>
          </w:p>
        </w:tc>
      </w:tr>
      <w:tr w:rsidR="006D4841" w:rsidRPr="006D4841" w14:paraId="4D669D2D" w14:textId="77777777" w:rsidTr="3F3A7B02">
        <w:tc>
          <w:tcPr>
            <w:tcW w:w="8568" w:type="dxa"/>
          </w:tcPr>
          <w:p w14:paraId="4C21F2A6" w14:textId="5D775D14" w:rsidR="00493B1E" w:rsidRPr="00866353" w:rsidRDefault="00F3295D" w:rsidP="001B398B">
            <w:pPr>
              <w:pStyle w:val="Default"/>
              <w:spacing w:after="120"/>
              <w:jc w:val="both"/>
              <w:rPr>
                <w:noProof/>
                <w:sz w:val="22"/>
                <w:szCs w:val="22"/>
              </w:rPr>
            </w:pPr>
            <w:r w:rsidRPr="00866353">
              <w:rPr>
                <w:noProof/>
                <w:sz w:val="22"/>
                <w:szCs w:val="22"/>
              </w:rPr>
              <w:t xml:space="preserve">The </w:t>
            </w:r>
            <w:r w:rsidR="00AA6A19">
              <w:rPr>
                <w:noProof/>
                <w:sz w:val="22"/>
                <w:szCs w:val="22"/>
              </w:rPr>
              <w:t xml:space="preserve">Tax </w:t>
            </w:r>
            <w:r w:rsidRPr="00866353">
              <w:rPr>
                <w:noProof/>
                <w:sz w:val="22"/>
                <w:szCs w:val="22"/>
              </w:rPr>
              <w:t xml:space="preserve">Omnibus aims to </w:t>
            </w:r>
            <w:r w:rsidR="001B398B" w:rsidRPr="00866353">
              <w:rPr>
                <w:noProof/>
                <w:sz w:val="22"/>
                <w:szCs w:val="22"/>
              </w:rPr>
              <w:t>simpl</w:t>
            </w:r>
            <w:r w:rsidR="00AA6A19">
              <w:rPr>
                <w:noProof/>
                <w:sz w:val="22"/>
                <w:szCs w:val="22"/>
              </w:rPr>
              <w:t>if</w:t>
            </w:r>
            <w:r w:rsidR="001B398B" w:rsidRPr="00866353">
              <w:rPr>
                <w:noProof/>
                <w:sz w:val="22"/>
                <w:szCs w:val="22"/>
              </w:rPr>
              <w:t>y the EU tax environment</w:t>
            </w:r>
            <w:r w:rsidRPr="00866353">
              <w:rPr>
                <w:noProof/>
                <w:sz w:val="22"/>
                <w:szCs w:val="22"/>
              </w:rPr>
              <w:t>.</w:t>
            </w:r>
            <w:r w:rsidR="001B398B" w:rsidRPr="00866353">
              <w:rPr>
                <w:noProof/>
                <w:sz w:val="22"/>
                <w:szCs w:val="22"/>
              </w:rPr>
              <w:t xml:space="preserve"> </w:t>
            </w:r>
            <w:r w:rsidR="000013CF" w:rsidRPr="00866353">
              <w:rPr>
                <w:noProof/>
                <w:sz w:val="22"/>
                <w:szCs w:val="22"/>
              </w:rPr>
              <w:t>In conjunction with the DAC Recast, the Omnibus will bring coordinated and comprehensive action that is only possible at EU level, ensuring that both material tax rules and the exchange of information framework are up-to-date and fit for purpose.</w:t>
            </w:r>
            <w:r w:rsidR="000013CF">
              <w:rPr>
                <w:noProof/>
                <w:sz w:val="22"/>
                <w:szCs w:val="22"/>
              </w:rPr>
              <w:t xml:space="preserve"> </w:t>
            </w:r>
            <w:r w:rsidR="001B398B" w:rsidRPr="00866353">
              <w:rPr>
                <w:noProof/>
                <w:sz w:val="22"/>
                <w:szCs w:val="22"/>
              </w:rPr>
              <w:t xml:space="preserve">EU action in this area </w:t>
            </w:r>
            <w:r w:rsidR="000013CF">
              <w:rPr>
                <w:noProof/>
                <w:sz w:val="22"/>
                <w:szCs w:val="22"/>
              </w:rPr>
              <w:t>will bring clear added value</w:t>
            </w:r>
            <w:r w:rsidR="00AA6A19">
              <w:rPr>
                <w:noProof/>
                <w:sz w:val="22"/>
                <w:szCs w:val="22"/>
              </w:rPr>
              <w:t xml:space="preserve"> by reducing red tape, lowering obstacles to cross border operations, and engendering efficiency and effectiveness in applying tax rules</w:t>
            </w:r>
            <w:r w:rsidR="000013CF">
              <w:rPr>
                <w:noProof/>
                <w:sz w:val="22"/>
                <w:szCs w:val="22"/>
              </w:rPr>
              <w:t xml:space="preserve">. By amending the EU direct tax acquis with the aim of simplification, the Omnibus </w:t>
            </w:r>
            <w:r w:rsidRPr="00866353">
              <w:rPr>
                <w:noProof/>
                <w:sz w:val="22"/>
                <w:szCs w:val="22"/>
              </w:rPr>
              <w:t xml:space="preserve">should </w:t>
            </w:r>
            <w:r w:rsidR="001B398B" w:rsidRPr="00866353">
              <w:rPr>
                <w:noProof/>
                <w:sz w:val="22"/>
                <w:szCs w:val="22"/>
              </w:rPr>
              <w:t>make tax compliance</w:t>
            </w:r>
            <w:r w:rsidRPr="00866353">
              <w:rPr>
                <w:noProof/>
                <w:sz w:val="22"/>
                <w:szCs w:val="22"/>
              </w:rPr>
              <w:t xml:space="preserve"> </w:t>
            </w:r>
            <w:r w:rsidR="000013CF">
              <w:rPr>
                <w:noProof/>
                <w:sz w:val="22"/>
                <w:szCs w:val="22"/>
              </w:rPr>
              <w:t xml:space="preserve">in the EU </w:t>
            </w:r>
            <w:r w:rsidRPr="00866353">
              <w:rPr>
                <w:noProof/>
                <w:sz w:val="22"/>
                <w:szCs w:val="22"/>
              </w:rPr>
              <w:t>clearer</w:t>
            </w:r>
            <w:r w:rsidR="001B398B" w:rsidRPr="00866353">
              <w:rPr>
                <w:noProof/>
                <w:sz w:val="22"/>
                <w:szCs w:val="22"/>
              </w:rPr>
              <w:t xml:space="preserve">, </w:t>
            </w:r>
            <w:r w:rsidR="008237DF">
              <w:rPr>
                <w:noProof/>
                <w:sz w:val="22"/>
                <w:szCs w:val="22"/>
              </w:rPr>
              <w:t xml:space="preserve">easier and </w:t>
            </w:r>
            <w:r w:rsidR="000013CF">
              <w:rPr>
                <w:noProof/>
                <w:sz w:val="22"/>
                <w:szCs w:val="22"/>
              </w:rPr>
              <w:t>more efficient</w:t>
            </w:r>
            <w:r w:rsidR="001B398B" w:rsidRPr="00866353">
              <w:rPr>
                <w:noProof/>
                <w:sz w:val="22"/>
                <w:szCs w:val="22"/>
              </w:rPr>
              <w:t xml:space="preserve">. </w:t>
            </w:r>
            <w:r w:rsidR="00AA6A19">
              <w:rPr>
                <w:noProof/>
                <w:sz w:val="22"/>
                <w:szCs w:val="22"/>
              </w:rPr>
              <w:t>This will mean that f</w:t>
            </w:r>
            <w:r w:rsidR="001B398B" w:rsidRPr="00866353">
              <w:rPr>
                <w:noProof/>
                <w:sz w:val="22"/>
                <w:szCs w:val="22"/>
              </w:rPr>
              <w:t>or businesses</w:t>
            </w:r>
            <w:r w:rsidRPr="00866353">
              <w:rPr>
                <w:noProof/>
                <w:sz w:val="22"/>
                <w:szCs w:val="22"/>
              </w:rPr>
              <w:t xml:space="preserve">, </w:t>
            </w:r>
            <w:r w:rsidR="001B398B" w:rsidRPr="00866353">
              <w:rPr>
                <w:noProof/>
                <w:sz w:val="22"/>
                <w:szCs w:val="22"/>
              </w:rPr>
              <w:t xml:space="preserve">it will be </w:t>
            </w:r>
            <w:r w:rsidRPr="00866353">
              <w:rPr>
                <w:noProof/>
                <w:sz w:val="22"/>
                <w:szCs w:val="22"/>
              </w:rPr>
              <w:t xml:space="preserve">less costly to operate or expand </w:t>
            </w:r>
            <w:r w:rsidR="00AA6A19">
              <w:rPr>
                <w:noProof/>
                <w:sz w:val="22"/>
                <w:szCs w:val="22"/>
              </w:rPr>
              <w:t>a</w:t>
            </w:r>
            <w:r w:rsidRPr="00866353">
              <w:rPr>
                <w:noProof/>
                <w:sz w:val="22"/>
                <w:szCs w:val="22"/>
              </w:rPr>
              <w:t>cross</w:t>
            </w:r>
            <w:r w:rsidR="00AA6A19">
              <w:rPr>
                <w:noProof/>
                <w:sz w:val="22"/>
                <w:szCs w:val="22"/>
              </w:rPr>
              <w:t xml:space="preserve"> </w:t>
            </w:r>
            <w:r w:rsidRPr="00866353">
              <w:rPr>
                <w:noProof/>
                <w:sz w:val="22"/>
                <w:szCs w:val="22"/>
              </w:rPr>
              <w:t>border</w:t>
            </w:r>
            <w:r w:rsidR="00AA6A19">
              <w:rPr>
                <w:noProof/>
                <w:sz w:val="22"/>
                <w:szCs w:val="22"/>
              </w:rPr>
              <w:t>s</w:t>
            </w:r>
            <w:r w:rsidR="001B398B" w:rsidRPr="00866353">
              <w:rPr>
                <w:noProof/>
                <w:sz w:val="22"/>
                <w:szCs w:val="22"/>
              </w:rPr>
              <w:t xml:space="preserve"> in the EU</w:t>
            </w:r>
            <w:r w:rsidRPr="00866353">
              <w:rPr>
                <w:noProof/>
                <w:sz w:val="22"/>
                <w:szCs w:val="22"/>
              </w:rPr>
              <w:t>. For tax administrations, simpler rules and streamlined procedures should ease their work related to tax controls and audits and, ultimately, lead to fewer disputes and a reduction in administrative costs.</w:t>
            </w:r>
            <w:r w:rsidR="001B398B" w:rsidRPr="00866353">
              <w:rPr>
                <w:noProof/>
                <w:sz w:val="22"/>
                <w:szCs w:val="22"/>
              </w:rPr>
              <w:t xml:space="preserve"> </w:t>
            </w:r>
          </w:p>
        </w:tc>
      </w:tr>
      <w:tr w:rsidR="006D4841" w:rsidRPr="006D4841" w14:paraId="03A14719" w14:textId="77777777" w:rsidTr="3F3A7B02">
        <w:tc>
          <w:tcPr>
            <w:tcW w:w="8568" w:type="dxa"/>
            <w:shd w:val="clear" w:color="auto" w:fill="A6A6A6" w:themeFill="background1" w:themeFillShade="A6"/>
          </w:tcPr>
          <w:p w14:paraId="74A89D23" w14:textId="70F4370B" w:rsidR="006D4841" w:rsidRPr="00866353" w:rsidRDefault="003A64E0" w:rsidP="003A64E0">
            <w:pPr>
              <w:rPr>
                <w:rFonts w:ascii="Times New Roman" w:hAnsi="Times New Roman" w:cs="Times New Roman"/>
                <w:b/>
                <w:bCs/>
                <w:noProof/>
              </w:rPr>
            </w:pPr>
            <w:r w:rsidRPr="00866353">
              <w:rPr>
                <w:rFonts w:ascii="Times New Roman" w:hAnsi="Times New Roman" w:cs="Times New Roman"/>
                <w:b/>
                <w:bCs/>
                <w:noProof/>
              </w:rPr>
              <w:t xml:space="preserve">B. </w:t>
            </w:r>
            <w:r w:rsidR="006D4841" w:rsidRPr="00866353">
              <w:rPr>
                <w:rFonts w:ascii="Times New Roman" w:hAnsi="Times New Roman" w:cs="Times New Roman"/>
                <w:b/>
                <w:bCs/>
                <w:noProof/>
              </w:rPr>
              <w:t xml:space="preserve">Solutions </w:t>
            </w:r>
          </w:p>
        </w:tc>
      </w:tr>
      <w:tr w:rsidR="006D4841" w:rsidRPr="006D4841" w14:paraId="2CE6517F" w14:textId="77777777" w:rsidTr="3F3A7B02">
        <w:tc>
          <w:tcPr>
            <w:tcW w:w="8568" w:type="dxa"/>
            <w:shd w:val="clear" w:color="auto" w:fill="D9D9D9" w:themeFill="background1" w:themeFillShade="D9"/>
          </w:tcPr>
          <w:p w14:paraId="0EECC8F6" w14:textId="77777777" w:rsidR="006D4841" w:rsidRPr="00866353" w:rsidRDefault="006D4841">
            <w:pPr>
              <w:pStyle w:val="Default"/>
              <w:rPr>
                <w:b/>
                <w:bCs/>
                <w:noProof/>
                <w:sz w:val="22"/>
                <w:szCs w:val="22"/>
              </w:rPr>
            </w:pPr>
            <w:r w:rsidRPr="00866353">
              <w:rPr>
                <w:b/>
                <w:bCs/>
                <w:noProof/>
                <w:sz w:val="22"/>
                <w:szCs w:val="22"/>
              </w:rPr>
              <w:t xml:space="preserve">What are the various options to achieve the objectives? Is there a preferred option or not? If not, why? </w:t>
            </w:r>
          </w:p>
        </w:tc>
      </w:tr>
      <w:tr w:rsidR="006D4841" w:rsidRPr="006D4841" w14:paraId="6834BC7E" w14:textId="77777777" w:rsidTr="3F3A7B02">
        <w:tc>
          <w:tcPr>
            <w:tcW w:w="8568" w:type="dxa"/>
          </w:tcPr>
          <w:p w14:paraId="64BA4182" w14:textId="195D0024" w:rsidR="00F83A4B" w:rsidRPr="00866353" w:rsidRDefault="009F0D7E" w:rsidP="00E358BD">
            <w:pPr>
              <w:spacing w:after="120"/>
              <w:jc w:val="both"/>
              <w:rPr>
                <w:rFonts w:ascii="Times New Roman" w:hAnsi="Times New Roman" w:cs="Times New Roman"/>
                <w:noProof/>
              </w:rPr>
            </w:pPr>
            <w:r w:rsidRPr="00866353">
              <w:rPr>
                <w:rFonts w:ascii="Times New Roman" w:hAnsi="Times New Roman" w:cs="Times New Roman"/>
                <w:noProof/>
              </w:rPr>
              <w:t>T</w:t>
            </w:r>
            <w:r w:rsidR="00493D95" w:rsidRPr="00866353">
              <w:rPr>
                <w:rFonts w:ascii="Times New Roman" w:hAnsi="Times New Roman" w:cs="Times New Roman"/>
                <w:noProof/>
              </w:rPr>
              <w:t xml:space="preserve">he objectives can be achieved </w:t>
            </w:r>
            <w:r w:rsidR="00221BCD" w:rsidRPr="00866353">
              <w:rPr>
                <w:rFonts w:ascii="Times New Roman" w:hAnsi="Times New Roman" w:cs="Times New Roman"/>
                <w:noProof/>
              </w:rPr>
              <w:t xml:space="preserve">through </w:t>
            </w:r>
            <w:r w:rsidR="00E55906" w:rsidRPr="00866353">
              <w:rPr>
                <w:rFonts w:ascii="Times New Roman" w:hAnsi="Times New Roman" w:cs="Times New Roman"/>
                <w:noProof/>
              </w:rPr>
              <w:t>an</w:t>
            </w:r>
            <w:r w:rsidR="00450EF5" w:rsidRPr="00866353">
              <w:rPr>
                <w:rFonts w:ascii="Times New Roman" w:hAnsi="Times New Roman" w:cs="Times New Roman"/>
                <w:noProof/>
              </w:rPr>
              <w:t xml:space="preserve"> </w:t>
            </w:r>
            <w:r w:rsidRPr="00866353">
              <w:rPr>
                <w:rFonts w:ascii="Times New Roman" w:hAnsi="Times New Roman" w:cs="Times New Roman"/>
                <w:noProof/>
              </w:rPr>
              <w:t xml:space="preserve">Omnibus directive amending most of the existing EU direct tax </w:t>
            </w:r>
            <w:r w:rsidR="004F7CD9">
              <w:rPr>
                <w:rFonts w:ascii="Times New Roman" w:hAnsi="Times New Roman" w:cs="Times New Roman"/>
                <w:noProof/>
              </w:rPr>
              <w:t>acquis</w:t>
            </w:r>
            <w:r w:rsidR="007A6008" w:rsidRPr="00866353">
              <w:rPr>
                <w:rFonts w:ascii="Times New Roman" w:hAnsi="Times New Roman" w:cs="Times New Roman"/>
                <w:noProof/>
              </w:rPr>
              <w:t xml:space="preserve">, </w:t>
            </w:r>
            <w:r w:rsidR="004F7CD9">
              <w:rPr>
                <w:rFonts w:ascii="Times New Roman" w:hAnsi="Times New Roman" w:cs="Times New Roman"/>
                <w:noProof/>
              </w:rPr>
              <w:t>via</w:t>
            </w:r>
            <w:r w:rsidR="004F7CD9" w:rsidRPr="00866353">
              <w:rPr>
                <w:rFonts w:ascii="Times New Roman" w:hAnsi="Times New Roman" w:cs="Times New Roman"/>
                <w:noProof/>
              </w:rPr>
              <w:t xml:space="preserve"> </w:t>
            </w:r>
            <w:r w:rsidRPr="00866353">
              <w:rPr>
                <w:rFonts w:ascii="Times New Roman" w:hAnsi="Times New Roman" w:cs="Times New Roman"/>
                <w:noProof/>
              </w:rPr>
              <w:t>one single legal</w:t>
            </w:r>
            <w:r w:rsidR="009842B6" w:rsidRPr="00866353">
              <w:rPr>
                <w:rFonts w:ascii="Times New Roman" w:hAnsi="Times New Roman" w:cs="Times New Roman"/>
                <w:noProof/>
              </w:rPr>
              <w:t xml:space="preserve"> act.</w:t>
            </w:r>
            <w:r w:rsidR="00DF4D0D" w:rsidRPr="00866353">
              <w:rPr>
                <w:rFonts w:ascii="Times New Roman" w:hAnsi="Times New Roman" w:cs="Times New Roman"/>
                <w:noProof/>
              </w:rPr>
              <w:t xml:space="preserve"> </w:t>
            </w:r>
            <w:r w:rsidRPr="00866353">
              <w:rPr>
                <w:rFonts w:ascii="Times New Roman" w:hAnsi="Times New Roman" w:cs="Times New Roman"/>
                <w:noProof/>
              </w:rPr>
              <w:t>The objectives related to the DAC will be achieved in a separate initiative, the DAC Recast proposal. The Tax Omnibus proposal</w:t>
            </w:r>
            <w:r w:rsidR="00450EF5" w:rsidRPr="00866353">
              <w:rPr>
                <w:rFonts w:ascii="Times New Roman" w:hAnsi="Times New Roman" w:cs="Times New Roman"/>
                <w:noProof/>
              </w:rPr>
              <w:t xml:space="preserve"> </w:t>
            </w:r>
            <w:r w:rsidR="007A6008" w:rsidRPr="00866353">
              <w:rPr>
                <w:rFonts w:ascii="Times New Roman" w:hAnsi="Times New Roman" w:cs="Times New Roman"/>
                <w:noProof/>
              </w:rPr>
              <w:t>is</w:t>
            </w:r>
            <w:r w:rsidR="00450EF5" w:rsidRPr="00866353">
              <w:rPr>
                <w:rFonts w:ascii="Times New Roman" w:hAnsi="Times New Roman" w:cs="Times New Roman"/>
                <w:noProof/>
              </w:rPr>
              <w:t xml:space="preserve"> </w:t>
            </w:r>
            <w:r w:rsidR="009D3E4B" w:rsidRPr="00866353">
              <w:rPr>
                <w:rFonts w:ascii="Times New Roman" w:hAnsi="Times New Roman" w:cs="Times New Roman"/>
                <w:noProof/>
              </w:rPr>
              <w:t xml:space="preserve">analysed in </w:t>
            </w:r>
            <w:r w:rsidRPr="00866353">
              <w:rPr>
                <w:rFonts w:ascii="Times New Roman" w:hAnsi="Times New Roman" w:cs="Times New Roman"/>
                <w:noProof/>
              </w:rPr>
              <w:t>the present</w:t>
            </w:r>
            <w:r w:rsidR="009D3E4B" w:rsidRPr="00866353">
              <w:rPr>
                <w:rFonts w:ascii="Times New Roman" w:hAnsi="Times New Roman" w:cs="Times New Roman"/>
                <w:noProof/>
              </w:rPr>
              <w:t xml:space="preserve"> </w:t>
            </w:r>
            <w:r w:rsidR="007A6008" w:rsidRPr="00866353">
              <w:rPr>
                <w:rFonts w:ascii="Times New Roman" w:hAnsi="Times New Roman" w:cs="Times New Roman"/>
                <w:noProof/>
              </w:rPr>
              <w:t>impact assessment report</w:t>
            </w:r>
            <w:r w:rsidRPr="00866353">
              <w:rPr>
                <w:rFonts w:ascii="Times New Roman" w:hAnsi="Times New Roman" w:cs="Times New Roman"/>
                <w:noProof/>
              </w:rPr>
              <w:t xml:space="preserve">. </w:t>
            </w:r>
          </w:p>
          <w:p w14:paraId="1A4515C2" w14:textId="6345CC1A" w:rsidR="00217C6C" w:rsidRPr="00866353" w:rsidRDefault="007A6008" w:rsidP="00A4244C">
            <w:pPr>
              <w:spacing w:after="120"/>
              <w:jc w:val="both"/>
              <w:rPr>
                <w:rFonts w:ascii="Times New Roman" w:hAnsi="Times New Roman" w:cs="Times New Roman"/>
                <w:noProof/>
              </w:rPr>
            </w:pPr>
            <w:r w:rsidRPr="00866353">
              <w:rPr>
                <w:rFonts w:ascii="Times New Roman" w:hAnsi="Times New Roman" w:cs="Times New Roman"/>
                <w:noProof/>
              </w:rPr>
              <w:t>In brief,</w:t>
            </w:r>
            <w:r w:rsidR="009F0D7E" w:rsidRPr="00866353">
              <w:rPr>
                <w:rFonts w:ascii="Times New Roman" w:hAnsi="Times New Roman" w:cs="Times New Roman"/>
                <w:noProof/>
              </w:rPr>
              <w:t xml:space="preserve"> the Tax Omnibus</w:t>
            </w:r>
            <w:r w:rsidR="00493D95" w:rsidRPr="00866353">
              <w:rPr>
                <w:rFonts w:ascii="Times New Roman" w:hAnsi="Times New Roman" w:cs="Times New Roman"/>
                <w:noProof/>
              </w:rPr>
              <w:t xml:space="preserve"> </w:t>
            </w:r>
            <w:r w:rsidR="009F0D7E" w:rsidRPr="00866353">
              <w:rPr>
                <w:rFonts w:ascii="Times New Roman" w:hAnsi="Times New Roman" w:cs="Times New Roman"/>
                <w:noProof/>
              </w:rPr>
              <w:t>aims to simplify, streamline and clarify existing directives in the area of direct taxation: the Interest and Royalties Directive (IRD)</w:t>
            </w:r>
            <w:r w:rsidR="00450216">
              <w:rPr>
                <w:rStyle w:val="FootnoteReference"/>
                <w:rFonts w:ascii="Times New Roman" w:hAnsi="Times New Roman" w:cs="Times New Roman"/>
                <w:noProof/>
              </w:rPr>
              <w:footnoteReference w:id="2"/>
            </w:r>
            <w:r w:rsidR="009F0D7E" w:rsidRPr="00866353">
              <w:rPr>
                <w:rFonts w:ascii="Times New Roman" w:hAnsi="Times New Roman" w:cs="Times New Roman"/>
                <w:noProof/>
              </w:rPr>
              <w:t>, the Parent-Subsidiary Directive (PSD)</w:t>
            </w:r>
            <w:r w:rsidR="00450216">
              <w:rPr>
                <w:rStyle w:val="FootnoteReference"/>
                <w:rFonts w:ascii="Times New Roman" w:hAnsi="Times New Roman" w:cs="Times New Roman"/>
                <w:noProof/>
              </w:rPr>
              <w:footnoteReference w:id="3"/>
            </w:r>
            <w:r w:rsidR="009F0D7E" w:rsidRPr="00866353">
              <w:rPr>
                <w:rFonts w:ascii="Times New Roman" w:hAnsi="Times New Roman" w:cs="Times New Roman"/>
                <w:noProof/>
              </w:rPr>
              <w:t>, the Tax Merger Directive (TMD)</w:t>
            </w:r>
            <w:r w:rsidR="009F0D7E" w:rsidRPr="00866353">
              <w:rPr>
                <w:rStyle w:val="FootnoteReference"/>
                <w:rFonts w:ascii="Times New Roman" w:hAnsi="Times New Roman" w:cs="Times New Roman"/>
                <w:noProof/>
              </w:rPr>
              <w:footnoteReference w:id="4"/>
            </w:r>
            <w:r w:rsidR="009F0D7E" w:rsidRPr="00866353">
              <w:rPr>
                <w:rFonts w:ascii="Times New Roman" w:hAnsi="Times New Roman" w:cs="Times New Roman"/>
                <w:noProof/>
              </w:rPr>
              <w:t>, the Anti-Tax Avoidance Directive (ATAD)</w:t>
            </w:r>
            <w:r w:rsidR="009F0D7E" w:rsidRPr="00866353">
              <w:rPr>
                <w:rStyle w:val="FootnoteReference"/>
                <w:rFonts w:ascii="Times New Roman" w:hAnsi="Times New Roman" w:cs="Times New Roman"/>
                <w:noProof/>
              </w:rPr>
              <w:footnoteReference w:id="5"/>
            </w:r>
            <w:r w:rsidR="009F0D7E" w:rsidRPr="00866353">
              <w:rPr>
                <w:rFonts w:ascii="Times New Roman" w:hAnsi="Times New Roman" w:cs="Times New Roman"/>
                <w:noProof/>
              </w:rPr>
              <w:t>, and the Dispute Resolution Mechanisms Directive (DRM)</w:t>
            </w:r>
            <w:r w:rsidR="009F0D7E" w:rsidRPr="00866353">
              <w:rPr>
                <w:rStyle w:val="FootnoteReference"/>
                <w:rFonts w:ascii="Times New Roman" w:hAnsi="Times New Roman" w:cs="Times New Roman"/>
                <w:noProof/>
              </w:rPr>
              <w:footnoteReference w:id="6"/>
            </w:r>
            <w:r w:rsidR="009F0D7E" w:rsidRPr="00866353">
              <w:rPr>
                <w:rFonts w:ascii="Times New Roman" w:hAnsi="Times New Roman" w:cs="Times New Roman"/>
                <w:noProof/>
              </w:rPr>
              <w:t xml:space="preserve">. </w:t>
            </w:r>
            <w:r w:rsidR="004F7CD9">
              <w:rPr>
                <w:rFonts w:ascii="Times New Roman" w:hAnsi="Times New Roman" w:cs="Times New Roman"/>
                <w:noProof/>
              </w:rPr>
              <w:t xml:space="preserve">To </w:t>
            </w:r>
            <w:r w:rsidR="004F7CD9" w:rsidRPr="00866353">
              <w:rPr>
                <w:rFonts w:ascii="Times New Roman" w:hAnsi="Times New Roman" w:cs="Times New Roman"/>
                <w:noProof/>
              </w:rPr>
              <w:t>facilitate the functioning of the IRD and PSD</w:t>
            </w:r>
            <w:r w:rsidR="009F0D7E" w:rsidRPr="00866353">
              <w:rPr>
                <w:rFonts w:ascii="Times New Roman" w:hAnsi="Times New Roman" w:cs="Times New Roman"/>
                <w:noProof/>
              </w:rPr>
              <w:t>, the Omnibus</w:t>
            </w:r>
            <w:r w:rsidR="004F7CD9">
              <w:rPr>
                <w:rFonts w:ascii="Times New Roman" w:hAnsi="Times New Roman" w:cs="Times New Roman"/>
                <w:noProof/>
              </w:rPr>
              <w:t xml:space="preserve"> will</w:t>
            </w:r>
            <w:r w:rsidR="009F0D7E" w:rsidRPr="00866353">
              <w:rPr>
                <w:rFonts w:ascii="Times New Roman" w:hAnsi="Times New Roman" w:cs="Times New Roman"/>
                <w:noProof/>
              </w:rPr>
              <w:t xml:space="preserve"> also amend the recent FASTER Directive</w:t>
            </w:r>
            <w:r w:rsidR="00F174AC" w:rsidRPr="00866353">
              <w:rPr>
                <w:rStyle w:val="FootnoteReference"/>
                <w:rFonts w:ascii="Times New Roman" w:hAnsi="Times New Roman" w:cs="Times New Roman"/>
                <w:noProof/>
              </w:rPr>
              <w:footnoteReference w:id="7"/>
            </w:r>
            <w:r w:rsidR="009F0D7E" w:rsidRPr="00866353">
              <w:rPr>
                <w:rFonts w:ascii="Times New Roman" w:hAnsi="Times New Roman" w:cs="Times New Roman"/>
                <w:noProof/>
              </w:rPr>
              <w:t>. The analysis of the impact assessment report is mainly based on the experience and challenges from applying these Directives in practice, as well as their interaction with more recent EU and international tax developments, such as the newly adopted Pillar 2 Directive</w:t>
            </w:r>
            <w:r w:rsidR="009F0D7E" w:rsidRPr="00866353">
              <w:rPr>
                <w:rStyle w:val="FootnoteReference"/>
                <w:rFonts w:ascii="Times New Roman" w:hAnsi="Times New Roman" w:cs="Times New Roman"/>
                <w:noProof/>
              </w:rPr>
              <w:footnoteReference w:id="8"/>
            </w:r>
            <w:r w:rsidR="009F0D7E" w:rsidRPr="00866353">
              <w:rPr>
                <w:rFonts w:ascii="Times New Roman" w:hAnsi="Times New Roman" w:cs="Times New Roman"/>
                <w:noProof/>
              </w:rPr>
              <w:t xml:space="preserve">. </w:t>
            </w:r>
          </w:p>
          <w:p w14:paraId="77257080" w14:textId="1E8F9592" w:rsidR="00D14C05" w:rsidRDefault="00221BCD" w:rsidP="00E358BD">
            <w:pPr>
              <w:spacing w:after="120"/>
              <w:jc w:val="both"/>
              <w:rPr>
                <w:rFonts w:ascii="Times New Roman" w:hAnsi="Times New Roman" w:cs="Times New Roman"/>
                <w:noProof/>
              </w:rPr>
            </w:pPr>
            <w:r w:rsidRPr="00866353">
              <w:rPr>
                <w:rFonts w:ascii="Times New Roman" w:hAnsi="Times New Roman" w:cs="Times New Roman"/>
                <w:noProof/>
              </w:rPr>
              <w:t>The report identifies</w:t>
            </w:r>
            <w:r w:rsidR="00217C6C" w:rsidRPr="00866353">
              <w:rPr>
                <w:rFonts w:ascii="Times New Roman" w:hAnsi="Times New Roman" w:cs="Times New Roman"/>
                <w:noProof/>
              </w:rPr>
              <w:t xml:space="preserve"> </w:t>
            </w:r>
            <w:r w:rsidR="009F0D7E" w:rsidRPr="00866353">
              <w:rPr>
                <w:rFonts w:ascii="Times New Roman" w:hAnsi="Times New Roman" w:cs="Times New Roman"/>
                <w:noProof/>
              </w:rPr>
              <w:t>a wide range of</w:t>
            </w:r>
            <w:r w:rsidR="00217C6C" w:rsidRPr="00866353">
              <w:rPr>
                <w:rFonts w:ascii="Times New Roman" w:hAnsi="Times New Roman" w:cs="Times New Roman"/>
                <w:noProof/>
              </w:rPr>
              <w:t xml:space="preserve"> policy options</w:t>
            </w:r>
            <w:r w:rsidR="00D14C05">
              <w:rPr>
                <w:rFonts w:ascii="Times New Roman" w:hAnsi="Times New Roman" w:cs="Times New Roman"/>
                <w:noProof/>
              </w:rPr>
              <w:t>.</w:t>
            </w:r>
            <w:r w:rsidR="00F10F1E" w:rsidRPr="00866353">
              <w:rPr>
                <w:rFonts w:ascii="Times New Roman" w:hAnsi="Times New Roman" w:cs="Times New Roman"/>
                <w:noProof/>
              </w:rPr>
              <w:t xml:space="preserve"> </w:t>
            </w:r>
            <w:r w:rsidR="00D14C05">
              <w:rPr>
                <w:rFonts w:ascii="Times New Roman" w:hAnsi="Times New Roman" w:cs="Times New Roman"/>
                <w:noProof/>
              </w:rPr>
              <w:t>When it comes to withholding taxes under the IRD and PSD,</w:t>
            </w:r>
            <w:r w:rsidR="00F10F1E" w:rsidRPr="00866353">
              <w:rPr>
                <w:rFonts w:ascii="Times New Roman" w:hAnsi="Times New Roman" w:cs="Times New Roman"/>
                <w:noProof/>
              </w:rPr>
              <w:t xml:space="preserve"> </w:t>
            </w:r>
            <w:r w:rsidR="00D14C05">
              <w:rPr>
                <w:rFonts w:ascii="Times New Roman" w:hAnsi="Times New Roman" w:cs="Times New Roman"/>
                <w:noProof/>
              </w:rPr>
              <w:t xml:space="preserve">an option would be to </w:t>
            </w:r>
            <w:r w:rsidR="00F10F1E" w:rsidRPr="00866353">
              <w:rPr>
                <w:rFonts w:ascii="Times New Roman" w:hAnsi="Times New Roman" w:cs="Times New Roman"/>
                <w:noProof/>
              </w:rPr>
              <w:t>exempt</w:t>
            </w:r>
            <w:r w:rsidR="007E17B9" w:rsidRPr="00866353">
              <w:rPr>
                <w:rFonts w:ascii="Times New Roman" w:hAnsi="Times New Roman" w:cs="Times New Roman"/>
                <w:noProof/>
              </w:rPr>
              <w:t xml:space="preserve"> </w:t>
            </w:r>
            <w:r w:rsidR="0008194E">
              <w:rPr>
                <w:rFonts w:ascii="Times New Roman" w:hAnsi="Times New Roman" w:cs="Times New Roman"/>
                <w:noProof/>
              </w:rPr>
              <w:t xml:space="preserve">all </w:t>
            </w:r>
            <w:r w:rsidR="007E17B9" w:rsidRPr="00866353">
              <w:rPr>
                <w:rFonts w:ascii="Times New Roman" w:hAnsi="Times New Roman" w:cs="Times New Roman"/>
                <w:noProof/>
              </w:rPr>
              <w:t>intra-EU interest, royalty and dividend payments</w:t>
            </w:r>
            <w:r w:rsidR="00F10F1E" w:rsidRPr="00866353">
              <w:rPr>
                <w:rFonts w:ascii="Times New Roman" w:hAnsi="Times New Roman" w:cs="Times New Roman"/>
                <w:noProof/>
              </w:rPr>
              <w:t xml:space="preserve"> through an extension of </w:t>
            </w:r>
            <w:r w:rsidR="00D14C05">
              <w:rPr>
                <w:rFonts w:ascii="Times New Roman" w:hAnsi="Times New Roman" w:cs="Times New Roman"/>
                <w:noProof/>
              </w:rPr>
              <w:t>these directives,</w:t>
            </w:r>
            <w:r w:rsidR="0008194E">
              <w:rPr>
                <w:rFonts w:ascii="Times New Roman" w:hAnsi="Times New Roman" w:cs="Times New Roman"/>
                <w:noProof/>
              </w:rPr>
              <w:t xml:space="preserve"> coupled with the removal of upfront procedures for entitlement. In this regard, an alternative option would be to </w:t>
            </w:r>
            <w:r w:rsidR="00F10F1E" w:rsidRPr="00866353">
              <w:rPr>
                <w:rFonts w:ascii="Times New Roman" w:hAnsi="Times New Roman" w:cs="Times New Roman"/>
                <w:noProof/>
              </w:rPr>
              <w:t xml:space="preserve">align </w:t>
            </w:r>
            <w:r w:rsidR="0008194E">
              <w:rPr>
                <w:rFonts w:ascii="Times New Roman" w:hAnsi="Times New Roman" w:cs="Times New Roman"/>
                <w:noProof/>
              </w:rPr>
              <w:t xml:space="preserve">the </w:t>
            </w:r>
            <w:r w:rsidR="00F10F1E" w:rsidRPr="00866353">
              <w:rPr>
                <w:rFonts w:ascii="Times New Roman" w:hAnsi="Times New Roman" w:cs="Times New Roman"/>
                <w:noProof/>
              </w:rPr>
              <w:t>scope and procedures of the IRD and PSD</w:t>
            </w:r>
            <w:r w:rsidR="0008194E">
              <w:rPr>
                <w:rFonts w:ascii="Times New Roman" w:hAnsi="Times New Roman" w:cs="Times New Roman"/>
                <w:noProof/>
              </w:rPr>
              <w:t xml:space="preserve">. </w:t>
            </w:r>
          </w:p>
          <w:p w14:paraId="0D4F4ADB" w14:textId="0D9BC7A9" w:rsidR="00D14C05" w:rsidRDefault="0008194E" w:rsidP="00E358BD">
            <w:pPr>
              <w:spacing w:after="120"/>
              <w:jc w:val="both"/>
              <w:rPr>
                <w:rFonts w:ascii="Times New Roman" w:hAnsi="Times New Roman" w:cs="Times New Roman"/>
                <w:noProof/>
              </w:rPr>
            </w:pPr>
            <w:r>
              <w:rPr>
                <w:rFonts w:ascii="Times New Roman" w:hAnsi="Times New Roman" w:cs="Times New Roman"/>
                <w:noProof/>
              </w:rPr>
              <w:t>For</w:t>
            </w:r>
            <w:r w:rsidR="00F10F1E" w:rsidRPr="00866353">
              <w:rPr>
                <w:rFonts w:ascii="Times New Roman" w:hAnsi="Times New Roman" w:cs="Times New Roman"/>
                <w:noProof/>
              </w:rPr>
              <w:t xml:space="preserve"> Controlled Foreign Compan</w:t>
            </w:r>
            <w:r>
              <w:rPr>
                <w:rFonts w:ascii="Times New Roman" w:hAnsi="Times New Roman" w:cs="Times New Roman"/>
                <w:noProof/>
              </w:rPr>
              <w:t>y</w:t>
            </w:r>
            <w:r w:rsidR="00F10F1E" w:rsidRPr="00866353">
              <w:rPr>
                <w:rFonts w:ascii="Times New Roman" w:hAnsi="Times New Roman" w:cs="Times New Roman"/>
                <w:noProof/>
              </w:rPr>
              <w:t xml:space="preserve"> (CFC) </w:t>
            </w:r>
            <w:r w:rsidR="0078726E">
              <w:rPr>
                <w:rFonts w:ascii="Times New Roman" w:hAnsi="Times New Roman" w:cs="Times New Roman"/>
                <w:noProof/>
              </w:rPr>
              <w:t>rules</w:t>
            </w:r>
            <w:r>
              <w:rPr>
                <w:rFonts w:ascii="Times New Roman" w:hAnsi="Times New Roman" w:cs="Times New Roman"/>
                <w:noProof/>
              </w:rPr>
              <w:t xml:space="preserve"> </w:t>
            </w:r>
            <w:r w:rsidR="0078726E">
              <w:rPr>
                <w:rFonts w:ascii="Times New Roman" w:hAnsi="Times New Roman" w:cs="Times New Roman"/>
                <w:noProof/>
              </w:rPr>
              <w:t>in</w:t>
            </w:r>
            <w:r w:rsidR="0078726E" w:rsidRPr="00866353">
              <w:rPr>
                <w:rFonts w:ascii="Times New Roman" w:hAnsi="Times New Roman" w:cs="Times New Roman"/>
                <w:noProof/>
              </w:rPr>
              <w:t xml:space="preserve"> </w:t>
            </w:r>
            <w:r w:rsidR="00F10F1E" w:rsidRPr="00866353">
              <w:rPr>
                <w:rFonts w:ascii="Times New Roman" w:hAnsi="Times New Roman" w:cs="Times New Roman"/>
                <w:noProof/>
              </w:rPr>
              <w:t xml:space="preserve">the ATAD, </w:t>
            </w:r>
            <w:r>
              <w:rPr>
                <w:rFonts w:ascii="Times New Roman" w:hAnsi="Times New Roman" w:cs="Times New Roman"/>
                <w:noProof/>
              </w:rPr>
              <w:t xml:space="preserve">it is envisaged to consider </w:t>
            </w:r>
            <w:r w:rsidR="00F10F1E" w:rsidRPr="00866353">
              <w:rPr>
                <w:rFonts w:ascii="Times New Roman" w:hAnsi="Times New Roman" w:cs="Times New Roman"/>
                <w:noProof/>
              </w:rPr>
              <w:t xml:space="preserve">a mandatory application of Model A, a carveout for Pillar 2 companies or </w:t>
            </w:r>
            <w:r>
              <w:rPr>
                <w:rFonts w:ascii="Times New Roman" w:hAnsi="Times New Roman" w:cs="Times New Roman"/>
                <w:noProof/>
              </w:rPr>
              <w:t xml:space="preserve">taking </w:t>
            </w:r>
            <w:r w:rsidR="00450216">
              <w:rPr>
                <w:rFonts w:ascii="Times New Roman" w:hAnsi="Times New Roman" w:cs="Times New Roman"/>
                <w:noProof/>
              </w:rPr>
              <w:t xml:space="preserve">account </w:t>
            </w:r>
            <w:r w:rsidR="00450216" w:rsidRPr="00866353">
              <w:rPr>
                <w:rFonts w:ascii="Times New Roman" w:hAnsi="Times New Roman" w:cs="Times New Roman"/>
                <w:noProof/>
              </w:rPr>
              <w:t>of</w:t>
            </w:r>
            <w:r w:rsidR="00F10F1E" w:rsidRPr="00866353">
              <w:rPr>
                <w:rFonts w:ascii="Times New Roman" w:hAnsi="Times New Roman" w:cs="Times New Roman"/>
                <w:noProof/>
              </w:rPr>
              <w:t xml:space="preserve"> Pillar 2 Qualified Domestic Minimum Top-up Taxes </w:t>
            </w:r>
            <w:r>
              <w:rPr>
                <w:rFonts w:ascii="Times New Roman" w:hAnsi="Times New Roman" w:cs="Times New Roman"/>
                <w:noProof/>
              </w:rPr>
              <w:t>to determine whether a CFC tax charge is due and</w:t>
            </w:r>
            <w:r w:rsidR="00076CB9">
              <w:rPr>
                <w:rFonts w:ascii="Times New Roman" w:hAnsi="Times New Roman" w:cs="Times New Roman"/>
                <w:noProof/>
              </w:rPr>
              <w:t>,</w:t>
            </w:r>
            <w:r>
              <w:rPr>
                <w:rFonts w:ascii="Times New Roman" w:hAnsi="Times New Roman" w:cs="Times New Roman"/>
                <w:noProof/>
              </w:rPr>
              <w:t xml:space="preserve"> if </w:t>
            </w:r>
            <w:r w:rsidR="0078726E">
              <w:rPr>
                <w:rFonts w:ascii="Times New Roman" w:hAnsi="Times New Roman" w:cs="Times New Roman"/>
                <w:noProof/>
              </w:rPr>
              <w:t>so</w:t>
            </w:r>
            <w:r>
              <w:rPr>
                <w:rFonts w:ascii="Times New Roman" w:hAnsi="Times New Roman" w:cs="Times New Roman"/>
                <w:noProof/>
              </w:rPr>
              <w:t xml:space="preserve">, credit the top-up tax against </w:t>
            </w:r>
            <w:r w:rsidR="00F10F1E" w:rsidRPr="00866353">
              <w:rPr>
                <w:rFonts w:ascii="Times New Roman" w:hAnsi="Times New Roman" w:cs="Times New Roman"/>
                <w:noProof/>
              </w:rPr>
              <w:t>the CFC liability</w:t>
            </w:r>
            <w:r>
              <w:rPr>
                <w:rFonts w:ascii="Times New Roman" w:hAnsi="Times New Roman" w:cs="Times New Roman"/>
                <w:noProof/>
              </w:rPr>
              <w:t xml:space="preserve">. </w:t>
            </w:r>
            <w:r w:rsidR="00D14C05">
              <w:rPr>
                <w:rFonts w:ascii="Times New Roman" w:hAnsi="Times New Roman" w:cs="Times New Roman"/>
                <w:noProof/>
              </w:rPr>
              <w:t>Additionally</w:t>
            </w:r>
            <w:r w:rsidR="00F10F1E" w:rsidRPr="00866353">
              <w:rPr>
                <w:rFonts w:ascii="Times New Roman" w:hAnsi="Times New Roman" w:cs="Times New Roman"/>
                <w:noProof/>
              </w:rPr>
              <w:t xml:space="preserve">, </w:t>
            </w:r>
            <w:r w:rsidR="00D14C05">
              <w:rPr>
                <w:rFonts w:ascii="Times New Roman" w:hAnsi="Times New Roman" w:cs="Times New Roman"/>
                <w:noProof/>
              </w:rPr>
              <w:t xml:space="preserve">the analysis also assesses </w:t>
            </w:r>
            <w:r w:rsidR="00F10F1E" w:rsidRPr="00866353">
              <w:rPr>
                <w:rFonts w:ascii="Times New Roman" w:hAnsi="Times New Roman" w:cs="Times New Roman"/>
                <w:noProof/>
              </w:rPr>
              <w:t>a carveout for SMEs</w:t>
            </w:r>
            <w:r w:rsidR="00D14C05">
              <w:rPr>
                <w:rFonts w:ascii="Times New Roman" w:hAnsi="Times New Roman" w:cs="Times New Roman"/>
                <w:noProof/>
              </w:rPr>
              <w:t>.</w:t>
            </w:r>
            <w:r w:rsidR="00F10F1E" w:rsidRPr="00866353">
              <w:rPr>
                <w:rFonts w:ascii="Times New Roman" w:hAnsi="Times New Roman" w:cs="Times New Roman"/>
                <w:noProof/>
              </w:rPr>
              <w:t xml:space="preserve"> </w:t>
            </w:r>
          </w:p>
          <w:p w14:paraId="663F3BED" w14:textId="7E68D74E" w:rsidR="00D14C05" w:rsidRDefault="00D14C05" w:rsidP="00E358BD">
            <w:pPr>
              <w:spacing w:after="120"/>
              <w:jc w:val="both"/>
              <w:rPr>
                <w:rFonts w:ascii="Times New Roman" w:hAnsi="Times New Roman" w:cs="Times New Roman"/>
                <w:noProof/>
              </w:rPr>
            </w:pPr>
            <w:r>
              <w:rPr>
                <w:rFonts w:ascii="Times New Roman" w:hAnsi="Times New Roman" w:cs="Times New Roman"/>
                <w:noProof/>
              </w:rPr>
              <w:t xml:space="preserve">For </w:t>
            </w:r>
            <w:r w:rsidR="00F10F1E" w:rsidRPr="00866353">
              <w:rPr>
                <w:rFonts w:ascii="Times New Roman" w:hAnsi="Times New Roman" w:cs="Times New Roman"/>
                <w:noProof/>
              </w:rPr>
              <w:t xml:space="preserve">investments in research and development (R&amp;D), </w:t>
            </w:r>
            <w:r>
              <w:rPr>
                <w:rFonts w:ascii="Times New Roman" w:hAnsi="Times New Roman" w:cs="Times New Roman"/>
                <w:noProof/>
              </w:rPr>
              <w:t xml:space="preserve">the </w:t>
            </w:r>
            <w:r w:rsidR="00F10F1E" w:rsidRPr="00866353">
              <w:rPr>
                <w:rFonts w:ascii="Times New Roman" w:hAnsi="Times New Roman" w:cs="Times New Roman"/>
                <w:noProof/>
              </w:rPr>
              <w:t xml:space="preserve">immediate expensing of </w:t>
            </w:r>
            <w:r>
              <w:rPr>
                <w:rFonts w:ascii="Times New Roman" w:hAnsi="Times New Roman" w:cs="Times New Roman"/>
                <w:noProof/>
              </w:rPr>
              <w:t xml:space="preserve">the cost of </w:t>
            </w:r>
            <w:r w:rsidR="00F10F1E" w:rsidRPr="00866353">
              <w:rPr>
                <w:rFonts w:ascii="Times New Roman" w:hAnsi="Times New Roman" w:cs="Times New Roman"/>
                <w:noProof/>
              </w:rPr>
              <w:t>assets related to R&amp;D</w:t>
            </w:r>
            <w:r>
              <w:rPr>
                <w:rFonts w:ascii="Times New Roman" w:hAnsi="Times New Roman" w:cs="Times New Roman"/>
                <w:noProof/>
              </w:rPr>
              <w:t xml:space="preserve"> is explored </w:t>
            </w:r>
            <w:r w:rsidR="000013CF">
              <w:rPr>
                <w:rFonts w:ascii="Times New Roman" w:hAnsi="Times New Roman" w:cs="Times New Roman"/>
                <w:noProof/>
              </w:rPr>
              <w:t>against the status quo, whereby R&amp;D expensing would continue to be defined only at national level</w:t>
            </w:r>
            <w:r>
              <w:rPr>
                <w:rFonts w:ascii="Times New Roman" w:hAnsi="Times New Roman" w:cs="Times New Roman"/>
                <w:noProof/>
              </w:rPr>
              <w:t xml:space="preserve">. </w:t>
            </w:r>
          </w:p>
          <w:p w14:paraId="661E1400" w14:textId="1B652404" w:rsidR="00D14C05" w:rsidRDefault="00D14C05" w:rsidP="00E358BD">
            <w:pPr>
              <w:spacing w:after="120"/>
              <w:jc w:val="both"/>
              <w:rPr>
                <w:rFonts w:ascii="Times New Roman" w:hAnsi="Times New Roman" w:cs="Times New Roman"/>
                <w:noProof/>
              </w:rPr>
            </w:pPr>
            <w:r>
              <w:rPr>
                <w:rFonts w:ascii="Times New Roman" w:hAnsi="Times New Roman" w:cs="Times New Roman"/>
                <w:noProof/>
              </w:rPr>
              <w:t>The</w:t>
            </w:r>
            <w:r w:rsidR="00F10F1E" w:rsidRPr="00866353">
              <w:rPr>
                <w:rFonts w:ascii="Times New Roman" w:hAnsi="Times New Roman" w:cs="Times New Roman"/>
                <w:noProof/>
              </w:rPr>
              <w:t xml:space="preserve"> </w:t>
            </w:r>
            <w:r w:rsidR="0078726E">
              <w:rPr>
                <w:rFonts w:ascii="Times New Roman" w:hAnsi="Times New Roman" w:cs="Times New Roman"/>
                <w:noProof/>
              </w:rPr>
              <w:t>I</w:t>
            </w:r>
            <w:r w:rsidR="00F10F1E" w:rsidRPr="00866353">
              <w:rPr>
                <w:rFonts w:ascii="Times New Roman" w:hAnsi="Times New Roman" w:cs="Times New Roman"/>
                <w:noProof/>
              </w:rPr>
              <w:t xml:space="preserve">nterest </w:t>
            </w:r>
            <w:r w:rsidR="0078726E">
              <w:rPr>
                <w:rFonts w:ascii="Times New Roman" w:hAnsi="Times New Roman" w:cs="Times New Roman"/>
                <w:noProof/>
              </w:rPr>
              <w:t>L</w:t>
            </w:r>
            <w:r w:rsidR="00F10F1E" w:rsidRPr="00866353">
              <w:rPr>
                <w:rFonts w:ascii="Times New Roman" w:hAnsi="Times New Roman" w:cs="Times New Roman"/>
                <w:noProof/>
              </w:rPr>
              <w:t xml:space="preserve">imitation </w:t>
            </w:r>
            <w:r w:rsidR="0078726E">
              <w:rPr>
                <w:rFonts w:ascii="Times New Roman" w:hAnsi="Times New Roman" w:cs="Times New Roman"/>
                <w:noProof/>
              </w:rPr>
              <w:t>R</w:t>
            </w:r>
            <w:r w:rsidR="00F10F1E" w:rsidRPr="00866353">
              <w:rPr>
                <w:rFonts w:ascii="Times New Roman" w:hAnsi="Times New Roman" w:cs="Times New Roman"/>
                <w:noProof/>
              </w:rPr>
              <w:t>ule under the ATAD</w:t>
            </w:r>
            <w:r>
              <w:rPr>
                <w:rFonts w:ascii="Times New Roman" w:hAnsi="Times New Roman" w:cs="Times New Roman"/>
                <w:noProof/>
              </w:rPr>
              <w:t xml:space="preserve"> includes options for reform across its spectrum</w:t>
            </w:r>
            <w:r w:rsidR="00076CB9">
              <w:rPr>
                <w:rFonts w:ascii="Times New Roman" w:hAnsi="Times New Roman" w:cs="Times New Roman"/>
                <w:noProof/>
              </w:rPr>
              <w:t xml:space="preserve">, </w:t>
            </w:r>
            <w:r>
              <w:rPr>
                <w:rFonts w:ascii="Times New Roman" w:hAnsi="Times New Roman" w:cs="Times New Roman"/>
                <w:noProof/>
              </w:rPr>
              <w:t>with the main aim of ensuring fairness and mitigating the procyclical effects of the rule:</w:t>
            </w:r>
            <w:r w:rsidR="00F10F1E" w:rsidRPr="00866353">
              <w:rPr>
                <w:rFonts w:ascii="Times New Roman" w:hAnsi="Times New Roman" w:cs="Times New Roman"/>
                <w:noProof/>
              </w:rPr>
              <w:t xml:space="preserve"> a carveout for SMEs, a mandatory application of the 30% EBITDA cap, mandatory application of</w:t>
            </w:r>
            <w:r>
              <w:rPr>
                <w:rFonts w:ascii="Times New Roman" w:hAnsi="Times New Roman" w:cs="Times New Roman"/>
                <w:noProof/>
              </w:rPr>
              <w:t xml:space="preserve"> </w:t>
            </w:r>
            <w:r w:rsidR="00076CB9">
              <w:rPr>
                <w:rFonts w:ascii="Times New Roman" w:hAnsi="Times New Roman" w:cs="Times New Roman"/>
                <w:noProof/>
              </w:rPr>
              <w:t>certain</w:t>
            </w:r>
            <w:r>
              <w:rPr>
                <w:rFonts w:ascii="Times New Roman" w:hAnsi="Times New Roman" w:cs="Times New Roman"/>
                <w:noProof/>
              </w:rPr>
              <w:t xml:space="preserve"> currently</w:t>
            </w:r>
            <w:r w:rsidR="00F10F1E" w:rsidRPr="00866353">
              <w:rPr>
                <w:rFonts w:ascii="Times New Roman" w:hAnsi="Times New Roman" w:cs="Times New Roman"/>
                <w:noProof/>
              </w:rPr>
              <w:t xml:space="preserve"> optional variations, a carveout for low-risk third-party loans, and an exemption in case of profitability shocks</w:t>
            </w:r>
            <w:r>
              <w:rPr>
                <w:rFonts w:ascii="Times New Roman" w:hAnsi="Times New Roman" w:cs="Times New Roman"/>
                <w:noProof/>
              </w:rPr>
              <w:t xml:space="preserve">. </w:t>
            </w:r>
          </w:p>
          <w:p w14:paraId="24B786FD" w14:textId="700DA182" w:rsidR="00C23F6C" w:rsidRPr="00866353" w:rsidRDefault="00D14C05" w:rsidP="00E358BD">
            <w:pPr>
              <w:spacing w:after="120"/>
              <w:jc w:val="both"/>
              <w:rPr>
                <w:rFonts w:ascii="Times New Roman" w:hAnsi="Times New Roman" w:cs="Times New Roman"/>
                <w:noProof/>
              </w:rPr>
            </w:pPr>
            <w:r>
              <w:rPr>
                <w:rFonts w:ascii="Times New Roman" w:hAnsi="Times New Roman" w:cs="Times New Roman"/>
                <w:noProof/>
              </w:rPr>
              <w:t xml:space="preserve">More contained options for modifications involve </w:t>
            </w:r>
            <w:r w:rsidR="00F10F1E" w:rsidRPr="00866353">
              <w:rPr>
                <w:rFonts w:ascii="Times New Roman" w:hAnsi="Times New Roman" w:cs="Times New Roman"/>
                <w:noProof/>
              </w:rPr>
              <w:t xml:space="preserve">removing the rules </w:t>
            </w:r>
            <w:r>
              <w:rPr>
                <w:rFonts w:ascii="Times New Roman" w:hAnsi="Times New Roman" w:cs="Times New Roman"/>
                <w:noProof/>
              </w:rPr>
              <w:t>on</w:t>
            </w:r>
            <w:r w:rsidRPr="00866353">
              <w:rPr>
                <w:rFonts w:ascii="Times New Roman" w:hAnsi="Times New Roman" w:cs="Times New Roman"/>
                <w:noProof/>
              </w:rPr>
              <w:t xml:space="preserve"> </w:t>
            </w:r>
            <w:r w:rsidR="00F10F1E" w:rsidRPr="00866353">
              <w:rPr>
                <w:rFonts w:ascii="Times New Roman" w:hAnsi="Times New Roman" w:cs="Times New Roman"/>
                <w:noProof/>
              </w:rPr>
              <w:t>imported hybrid mismatches</w:t>
            </w:r>
            <w:r w:rsidR="00715C64">
              <w:rPr>
                <w:rFonts w:ascii="Times New Roman" w:hAnsi="Times New Roman" w:cs="Times New Roman"/>
                <w:noProof/>
              </w:rPr>
              <w:t>;</w:t>
            </w:r>
            <w:r>
              <w:rPr>
                <w:rFonts w:ascii="Times New Roman" w:hAnsi="Times New Roman" w:cs="Times New Roman"/>
                <w:noProof/>
              </w:rPr>
              <w:t xml:space="preserve"> aligning </w:t>
            </w:r>
            <w:r w:rsidR="00F10F1E" w:rsidRPr="00866353">
              <w:rPr>
                <w:rFonts w:ascii="Times New Roman" w:hAnsi="Times New Roman" w:cs="Times New Roman"/>
                <w:noProof/>
              </w:rPr>
              <w:t>the TMD with the Mobility Directive</w:t>
            </w:r>
            <w:r>
              <w:rPr>
                <w:rFonts w:ascii="Times New Roman" w:hAnsi="Times New Roman" w:cs="Times New Roman"/>
                <w:noProof/>
              </w:rPr>
              <w:t xml:space="preserve"> (cross-border mergers from a company law perspective)</w:t>
            </w:r>
            <w:r w:rsidR="00F10F1E" w:rsidRPr="00866353">
              <w:rPr>
                <w:rFonts w:ascii="Times New Roman" w:hAnsi="Times New Roman" w:cs="Times New Roman"/>
                <w:noProof/>
              </w:rPr>
              <w:t>, either through a dynamic reference or via addition of new structuring transaction</w:t>
            </w:r>
            <w:r w:rsidR="00BF5E13" w:rsidRPr="00866353">
              <w:rPr>
                <w:rFonts w:ascii="Times New Roman" w:hAnsi="Times New Roman" w:cs="Times New Roman"/>
                <w:noProof/>
              </w:rPr>
              <w:t>s</w:t>
            </w:r>
            <w:r w:rsidR="00715C64">
              <w:rPr>
                <w:rFonts w:ascii="Times New Roman" w:hAnsi="Times New Roman" w:cs="Times New Roman"/>
                <w:noProof/>
              </w:rPr>
              <w:t xml:space="preserve">; </w:t>
            </w:r>
            <w:r w:rsidR="00BF5E13" w:rsidRPr="00866353">
              <w:rPr>
                <w:rFonts w:ascii="Times New Roman" w:hAnsi="Times New Roman" w:cs="Times New Roman"/>
                <w:noProof/>
              </w:rPr>
              <w:t>and several targeted improvements to the DRM</w:t>
            </w:r>
            <w:r w:rsidR="00715C64">
              <w:rPr>
                <w:rFonts w:ascii="Times New Roman" w:hAnsi="Times New Roman" w:cs="Times New Roman"/>
                <w:noProof/>
              </w:rPr>
              <w:t>, t</w:t>
            </w:r>
            <w:r w:rsidR="00BF5E13" w:rsidRPr="00866353">
              <w:rPr>
                <w:rFonts w:ascii="Times New Roman" w:hAnsi="Times New Roman" w:cs="Times New Roman"/>
                <w:noProof/>
              </w:rPr>
              <w:t xml:space="preserve">o clarify procedural rules and allow the use of Council implementing acts. </w:t>
            </w:r>
          </w:p>
          <w:p w14:paraId="1AD13D98" w14:textId="22577604" w:rsidR="00493B1E" w:rsidRPr="00866353" w:rsidRDefault="00F10F1E" w:rsidP="00CD6AB2">
            <w:pPr>
              <w:spacing w:after="120"/>
              <w:jc w:val="both"/>
              <w:rPr>
                <w:rFonts w:ascii="Times New Roman" w:hAnsi="Times New Roman" w:cs="Times New Roman"/>
                <w:noProof/>
              </w:rPr>
            </w:pPr>
            <w:r w:rsidRPr="00866353">
              <w:rPr>
                <w:rFonts w:ascii="Times New Roman" w:hAnsi="Times New Roman" w:cs="Times New Roman"/>
                <w:noProof/>
              </w:rPr>
              <w:t xml:space="preserve">The report </w:t>
            </w:r>
            <w:r w:rsidR="00715C64" w:rsidRPr="00866353">
              <w:rPr>
                <w:rFonts w:ascii="Times New Roman" w:hAnsi="Times New Roman" w:cs="Times New Roman"/>
                <w:noProof/>
              </w:rPr>
              <w:t xml:space="preserve">specifically </w:t>
            </w:r>
            <w:r w:rsidR="00221BCD" w:rsidRPr="00866353">
              <w:rPr>
                <w:rFonts w:ascii="Times New Roman" w:hAnsi="Times New Roman" w:cs="Times New Roman"/>
                <w:noProof/>
              </w:rPr>
              <w:t>assesses t</w:t>
            </w:r>
            <w:r w:rsidR="00217C6C" w:rsidRPr="00866353">
              <w:rPr>
                <w:rFonts w:ascii="Times New Roman" w:hAnsi="Times New Roman" w:cs="Times New Roman"/>
                <w:noProof/>
              </w:rPr>
              <w:t xml:space="preserve">hree combinations of </w:t>
            </w:r>
            <w:r w:rsidR="00221BCD" w:rsidRPr="00866353">
              <w:rPr>
                <w:rFonts w:ascii="Times New Roman" w:hAnsi="Times New Roman" w:cs="Times New Roman"/>
                <w:noProof/>
              </w:rPr>
              <w:t>these</w:t>
            </w:r>
            <w:r w:rsidR="00217C6C" w:rsidRPr="00866353">
              <w:rPr>
                <w:rFonts w:ascii="Times New Roman" w:hAnsi="Times New Roman" w:cs="Times New Roman"/>
                <w:noProof/>
              </w:rPr>
              <w:t xml:space="preserve"> options.</w:t>
            </w:r>
            <w:r w:rsidR="00CD6AB2" w:rsidRPr="00866353">
              <w:rPr>
                <w:rFonts w:ascii="Times New Roman" w:hAnsi="Times New Roman" w:cs="Times New Roman"/>
                <w:noProof/>
              </w:rPr>
              <w:t xml:space="preserve"> </w:t>
            </w:r>
            <w:r w:rsidR="00493B1E" w:rsidRPr="00866353">
              <w:rPr>
                <w:rFonts w:ascii="Times New Roman" w:hAnsi="Times New Roman" w:cs="Times New Roman"/>
                <w:b/>
                <w:bCs/>
                <w:noProof/>
              </w:rPr>
              <w:t>Comprehensive</w:t>
            </w:r>
            <w:r w:rsidR="00F3295D" w:rsidRPr="00866353">
              <w:rPr>
                <w:rFonts w:ascii="Times New Roman" w:hAnsi="Times New Roman" w:cs="Times New Roman"/>
                <w:b/>
                <w:bCs/>
                <w:noProof/>
              </w:rPr>
              <w:t xml:space="preserve"> Omnibus</w:t>
            </w:r>
            <w:r w:rsidR="00A90FED" w:rsidRPr="00866353">
              <w:rPr>
                <w:rFonts w:ascii="Times New Roman" w:hAnsi="Times New Roman" w:cs="Times New Roman"/>
                <w:b/>
                <w:bCs/>
                <w:noProof/>
              </w:rPr>
              <w:t xml:space="preserve">: </w:t>
            </w:r>
            <w:r w:rsidR="00E868D7" w:rsidRPr="00866353">
              <w:rPr>
                <w:rFonts w:ascii="Times New Roman" w:hAnsi="Times New Roman" w:cs="Times New Roman"/>
                <w:noProof/>
              </w:rPr>
              <w:t>t</w:t>
            </w:r>
            <w:r w:rsidR="00A90FED" w:rsidRPr="00866353">
              <w:rPr>
                <w:rFonts w:ascii="Times New Roman" w:hAnsi="Times New Roman" w:cs="Times New Roman"/>
                <w:noProof/>
              </w:rPr>
              <w:t xml:space="preserve">his </w:t>
            </w:r>
            <w:r w:rsidR="006231B7" w:rsidRPr="00866353">
              <w:rPr>
                <w:rFonts w:ascii="Times New Roman" w:hAnsi="Times New Roman" w:cs="Times New Roman"/>
                <w:noProof/>
              </w:rPr>
              <w:t>combination</w:t>
            </w:r>
            <w:r w:rsidR="00A90FED" w:rsidRPr="00866353">
              <w:rPr>
                <w:rFonts w:ascii="Times New Roman" w:hAnsi="Times New Roman" w:cs="Times New Roman"/>
                <w:noProof/>
              </w:rPr>
              <w:t xml:space="preserve"> </w:t>
            </w:r>
            <w:r w:rsidR="006231B7" w:rsidRPr="00866353">
              <w:rPr>
                <w:rFonts w:ascii="Times New Roman" w:hAnsi="Times New Roman" w:cs="Times New Roman"/>
                <w:noProof/>
              </w:rPr>
              <w:t>takes on board all policy options</w:t>
            </w:r>
            <w:r w:rsidR="002E1A45">
              <w:rPr>
                <w:rFonts w:ascii="Times New Roman" w:hAnsi="Times New Roman" w:cs="Times New Roman"/>
                <w:noProof/>
              </w:rPr>
              <w:t xml:space="preserve"> and where relevant, takes </w:t>
            </w:r>
            <w:r w:rsidR="006231B7" w:rsidRPr="00866353">
              <w:rPr>
                <w:rFonts w:ascii="Times New Roman" w:hAnsi="Times New Roman" w:cs="Times New Roman"/>
                <w:noProof/>
              </w:rPr>
              <w:t xml:space="preserve">the most ambitious </w:t>
            </w:r>
            <w:r w:rsidR="0074208C">
              <w:rPr>
                <w:rFonts w:ascii="Times New Roman" w:hAnsi="Times New Roman" w:cs="Times New Roman"/>
                <w:noProof/>
              </w:rPr>
              <w:t>alternatives</w:t>
            </w:r>
            <w:r w:rsidR="0074208C" w:rsidRPr="00866353">
              <w:rPr>
                <w:rFonts w:ascii="Times New Roman" w:hAnsi="Times New Roman" w:cs="Times New Roman"/>
                <w:noProof/>
              </w:rPr>
              <w:t xml:space="preserve"> </w:t>
            </w:r>
            <w:r w:rsidR="006231B7" w:rsidRPr="00866353">
              <w:rPr>
                <w:rFonts w:ascii="Times New Roman" w:hAnsi="Times New Roman" w:cs="Times New Roman"/>
                <w:noProof/>
              </w:rPr>
              <w:t xml:space="preserve">for the main measures of this initiative </w:t>
            </w:r>
            <w:r w:rsidR="0074208C">
              <w:rPr>
                <w:rFonts w:ascii="Times New Roman" w:hAnsi="Times New Roman" w:cs="Times New Roman"/>
                <w:noProof/>
              </w:rPr>
              <w:t>on the</w:t>
            </w:r>
            <w:r w:rsidR="0074208C" w:rsidRPr="00866353">
              <w:rPr>
                <w:rFonts w:ascii="Times New Roman" w:hAnsi="Times New Roman" w:cs="Times New Roman"/>
                <w:noProof/>
              </w:rPr>
              <w:t xml:space="preserve"> </w:t>
            </w:r>
            <w:r w:rsidR="006231B7" w:rsidRPr="00866353">
              <w:rPr>
                <w:rFonts w:ascii="Times New Roman" w:hAnsi="Times New Roman" w:cs="Times New Roman"/>
                <w:noProof/>
              </w:rPr>
              <w:t xml:space="preserve">taxation of cross-border interest, royalty and dividend payments, and taxation of </w:t>
            </w:r>
            <w:r w:rsidRPr="00866353">
              <w:rPr>
                <w:rFonts w:ascii="Times New Roman" w:hAnsi="Times New Roman" w:cs="Times New Roman"/>
                <w:noProof/>
              </w:rPr>
              <w:t>CFCs</w:t>
            </w:r>
            <w:r w:rsidR="006231B7" w:rsidRPr="00866353">
              <w:rPr>
                <w:rFonts w:ascii="Times New Roman" w:hAnsi="Times New Roman" w:cs="Times New Roman"/>
                <w:noProof/>
              </w:rPr>
              <w:t xml:space="preserve">, to assess the most </w:t>
            </w:r>
            <w:r w:rsidR="002E1A45">
              <w:rPr>
                <w:rFonts w:ascii="Times New Roman" w:hAnsi="Times New Roman" w:cs="Times New Roman"/>
                <w:noProof/>
              </w:rPr>
              <w:t>ambitious</w:t>
            </w:r>
            <w:r w:rsidR="002E1A45" w:rsidRPr="00866353">
              <w:rPr>
                <w:rFonts w:ascii="Times New Roman" w:hAnsi="Times New Roman" w:cs="Times New Roman"/>
                <w:noProof/>
              </w:rPr>
              <w:t xml:space="preserve"> </w:t>
            </w:r>
            <w:r w:rsidR="006231B7" w:rsidRPr="00866353">
              <w:rPr>
                <w:rFonts w:ascii="Times New Roman" w:hAnsi="Times New Roman" w:cs="Times New Roman"/>
                <w:noProof/>
              </w:rPr>
              <w:t>potential for simplification</w:t>
            </w:r>
            <w:r w:rsidR="00A90FED" w:rsidRPr="00866353">
              <w:rPr>
                <w:rFonts w:ascii="Times New Roman" w:hAnsi="Times New Roman" w:cs="Times New Roman"/>
                <w:noProof/>
              </w:rPr>
              <w:t>.</w:t>
            </w:r>
            <w:r w:rsidR="00A90FED" w:rsidRPr="00866353">
              <w:rPr>
                <w:rFonts w:ascii="Times New Roman" w:hAnsi="Times New Roman" w:cs="Times New Roman"/>
                <w:b/>
                <w:bCs/>
                <w:noProof/>
              </w:rPr>
              <w:t xml:space="preserve"> </w:t>
            </w:r>
            <w:r w:rsidR="00F3295D" w:rsidRPr="00866353">
              <w:rPr>
                <w:rFonts w:ascii="Times New Roman" w:hAnsi="Times New Roman" w:cs="Times New Roman"/>
                <w:b/>
                <w:bCs/>
                <w:noProof/>
              </w:rPr>
              <w:t>Medium Ambition Omnibus</w:t>
            </w:r>
            <w:r w:rsidR="00493B1E" w:rsidRPr="00866353">
              <w:rPr>
                <w:rFonts w:ascii="Times New Roman" w:hAnsi="Times New Roman" w:cs="Times New Roman"/>
                <w:b/>
                <w:bCs/>
                <w:noProof/>
              </w:rPr>
              <w:t>:</w:t>
            </w:r>
            <w:r w:rsidR="00A90FED" w:rsidRPr="00866353">
              <w:rPr>
                <w:rFonts w:ascii="Times New Roman" w:hAnsi="Times New Roman" w:cs="Times New Roman"/>
                <w:b/>
                <w:bCs/>
                <w:noProof/>
              </w:rPr>
              <w:t xml:space="preserve"> </w:t>
            </w:r>
            <w:r w:rsidR="00E868D7" w:rsidRPr="00866353">
              <w:rPr>
                <w:rFonts w:ascii="Times New Roman" w:hAnsi="Times New Roman" w:cs="Times New Roman"/>
                <w:noProof/>
              </w:rPr>
              <w:t>t</w:t>
            </w:r>
            <w:r w:rsidR="00A90FED" w:rsidRPr="00866353">
              <w:rPr>
                <w:rFonts w:ascii="Times New Roman" w:hAnsi="Times New Roman" w:cs="Times New Roman"/>
                <w:noProof/>
              </w:rPr>
              <w:t xml:space="preserve">his </w:t>
            </w:r>
            <w:r w:rsidR="00450216" w:rsidRPr="00866353">
              <w:rPr>
                <w:rFonts w:ascii="Times New Roman" w:hAnsi="Times New Roman" w:cs="Times New Roman"/>
                <w:noProof/>
              </w:rPr>
              <w:t xml:space="preserve">approach </w:t>
            </w:r>
            <w:r w:rsidR="003134C4" w:rsidRPr="00866353">
              <w:rPr>
                <w:rFonts w:ascii="Times New Roman" w:hAnsi="Times New Roman" w:cs="Times New Roman"/>
                <w:noProof/>
              </w:rPr>
              <w:t>encompasses policy</w:t>
            </w:r>
            <w:r w:rsidR="006231B7" w:rsidRPr="00866353">
              <w:rPr>
                <w:rFonts w:ascii="Times New Roman" w:hAnsi="Times New Roman" w:cs="Times New Roman"/>
                <w:noProof/>
              </w:rPr>
              <w:t xml:space="preserve"> options, but includes the less ambitious </w:t>
            </w:r>
            <w:r w:rsidR="0074208C">
              <w:rPr>
                <w:rFonts w:ascii="Times New Roman" w:hAnsi="Times New Roman" w:cs="Times New Roman"/>
                <w:noProof/>
              </w:rPr>
              <w:t>alternatives for withholding taxes under</w:t>
            </w:r>
            <w:r w:rsidR="006231B7" w:rsidRPr="00866353">
              <w:rPr>
                <w:rFonts w:ascii="Times New Roman" w:hAnsi="Times New Roman" w:cs="Times New Roman"/>
                <w:noProof/>
              </w:rPr>
              <w:t xml:space="preserve"> the IRD and the PSD, and CFC in ATAD</w:t>
            </w:r>
            <w:r w:rsidR="00324199">
              <w:rPr>
                <w:rFonts w:ascii="Times New Roman" w:hAnsi="Times New Roman" w:cs="Times New Roman"/>
                <w:noProof/>
              </w:rPr>
              <w:t xml:space="preserve"> </w:t>
            </w:r>
            <w:r w:rsidR="008331B9">
              <w:rPr>
                <w:rFonts w:ascii="Times New Roman" w:hAnsi="Times New Roman" w:cs="Times New Roman"/>
                <w:noProof/>
              </w:rPr>
              <w:t>while it</w:t>
            </w:r>
            <w:r w:rsidR="00324199">
              <w:rPr>
                <w:rFonts w:ascii="Times New Roman" w:hAnsi="Times New Roman" w:cs="Times New Roman"/>
                <w:noProof/>
              </w:rPr>
              <w:t xml:space="preserve"> keeps status quo concerning R&amp;D expensing</w:t>
            </w:r>
            <w:r w:rsidR="00A90FED" w:rsidRPr="00866353">
              <w:rPr>
                <w:rFonts w:ascii="Times New Roman" w:hAnsi="Times New Roman" w:cs="Times New Roman"/>
                <w:noProof/>
              </w:rPr>
              <w:t>.</w:t>
            </w:r>
            <w:r w:rsidR="00CD6AB2" w:rsidRPr="00866353">
              <w:rPr>
                <w:rFonts w:ascii="Times New Roman" w:hAnsi="Times New Roman" w:cs="Times New Roman"/>
                <w:noProof/>
              </w:rPr>
              <w:t xml:space="preserve"> </w:t>
            </w:r>
            <w:r w:rsidR="00F3295D" w:rsidRPr="00866353">
              <w:rPr>
                <w:rFonts w:ascii="Times New Roman" w:hAnsi="Times New Roman" w:cs="Times New Roman"/>
                <w:b/>
                <w:bCs/>
                <w:noProof/>
              </w:rPr>
              <w:t>Limited Ambition Omnibus</w:t>
            </w:r>
            <w:r w:rsidR="00493B1E" w:rsidRPr="00866353">
              <w:rPr>
                <w:rFonts w:ascii="Times New Roman" w:hAnsi="Times New Roman" w:cs="Times New Roman"/>
                <w:b/>
                <w:bCs/>
                <w:noProof/>
              </w:rPr>
              <w:t xml:space="preserve">: </w:t>
            </w:r>
            <w:r w:rsidR="00E868D7" w:rsidRPr="00866353">
              <w:rPr>
                <w:rFonts w:ascii="Times New Roman" w:hAnsi="Times New Roman" w:cs="Times New Roman"/>
                <w:noProof/>
              </w:rPr>
              <w:t>t</w:t>
            </w:r>
            <w:r w:rsidR="00493D95" w:rsidRPr="00866353">
              <w:rPr>
                <w:rFonts w:ascii="Times New Roman" w:hAnsi="Times New Roman" w:cs="Times New Roman"/>
                <w:noProof/>
              </w:rPr>
              <w:t>his</w:t>
            </w:r>
            <w:r w:rsidR="006231B7" w:rsidRPr="00866353">
              <w:rPr>
                <w:rFonts w:ascii="Times New Roman" w:hAnsi="Times New Roman" w:cs="Times New Roman"/>
                <w:noProof/>
              </w:rPr>
              <w:t xml:space="preserve"> version</w:t>
            </w:r>
            <w:r w:rsidR="00493D95" w:rsidRPr="00866353">
              <w:rPr>
                <w:rFonts w:ascii="Times New Roman" w:hAnsi="Times New Roman" w:cs="Times New Roman"/>
                <w:noProof/>
              </w:rPr>
              <w:t xml:space="preserve"> </w:t>
            </w:r>
            <w:r w:rsidR="006231B7" w:rsidRPr="00866353">
              <w:rPr>
                <w:rFonts w:ascii="Times New Roman" w:hAnsi="Times New Roman" w:cs="Times New Roman"/>
                <w:noProof/>
              </w:rPr>
              <w:t>is</w:t>
            </w:r>
            <w:r w:rsidR="00324199">
              <w:rPr>
                <w:rFonts w:ascii="Times New Roman" w:hAnsi="Times New Roman" w:cs="Times New Roman"/>
                <w:noProof/>
              </w:rPr>
              <w:t xml:space="preserve"> targeting existing measures in a simpler and more straight-forward way, such as reducing the implementation options for the Interest Limitation Rule and extending the scope of the TMD, to generate simplification results through the easiest and most accessible options.</w:t>
            </w:r>
            <w:r w:rsidR="006231B7" w:rsidRPr="00866353">
              <w:rPr>
                <w:rFonts w:ascii="Times New Roman" w:hAnsi="Times New Roman" w:cs="Times New Roman"/>
                <w:noProof/>
              </w:rPr>
              <w:t xml:space="preserve"> </w:t>
            </w:r>
          </w:p>
        </w:tc>
      </w:tr>
      <w:tr w:rsidR="00866353" w:rsidRPr="006D4841" w14:paraId="2457B195" w14:textId="77777777" w:rsidTr="3F3A7B02">
        <w:tc>
          <w:tcPr>
            <w:tcW w:w="8568" w:type="dxa"/>
            <w:shd w:val="clear" w:color="auto" w:fill="D9D9D9" w:themeFill="background1" w:themeFillShade="D9"/>
          </w:tcPr>
          <w:p w14:paraId="53FCCD2A" w14:textId="75C818BE" w:rsidR="00866353" w:rsidRPr="00866353" w:rsidRDefault="00866353" w:rsidP="00866353">
            <w:pPr>
              <w:pStyle w:val="Default"/>
              <w:rPr>
                <w:b/>
                <w:bCs/>
                <w:noProof/>
                <w:sz w:val="22"/>
                <w:szCs w:val="22"/>
              </w:rPr>
            </w:pPr>
            <w:r w:rsidRPr="00866353">
              <w:rPr>
                <w:b/>
                <w:bCs/>
                <w:noProof/>
                <w:sz w:val="22"/>
                <w:szCs w:val="22"/>
              </w:rPr>
              <w:t xml:space="preserve">What are different stakeholders’ views? Who supports which option? </w:t>
            </w:r>
          </w:p>
        </w:tc>
      </w:tr>
      <w:tr w:rsidR="00866353" w:rsidRPr="006D4841" w14:paraId="53834ECF" w14:textId="77777777" w:rsidTr="3F3A7B02">
        <w:tc>
          <w:tcPr>
            <w:tcW w:w="8568" w:type="dxa"/>
          </w:tcPr>
          <w:p w14:paraId="7F82AF12" w14:textId="39C36396" w:rsidR="00866353" w:rsidRPr="00866353" w:rsidRDefault="00866353" w:rsidP="00866353">
            <w:pPr>
              <w:spacing w:after="120"/>
              <w:jc w:val="both"/>
              <w:rPr>
                <w:rFonts w:ascii="Times New Roman" w:hAnsi="Times New Roman" w:cs="Times New Roman"/>
                <w:noProof/>
              </w:rPr>
            </w:pPr>
            <w:r>
              <w:rPr>
                <w:rFonts w:ascii="Times New Roman" w:hAnsi="Times New Roman" w:cs="Times New Roman"/>
                <w:noProof/>
              </w:rPr>
              <w:t>Stakeholders</w:t>
            </w:r>
            <w:r w:rsidR="00324199" w:rsidRPr="00324199">
              <w:rPr>
                <w:rFonts w:ascii="Times New Roman" w:hAnsi="Times New Roman" w:cs="Times New Roman"/>
                <w:noProof/>
              </w:rPr>
              <w:t xml:space="preserve"> fully supported the initiative to simplify existing EU tax rules</w:t>
            </w:r>
            <w:r w:rsidR="00C91BDC">
              <w:rPr>
                <w:rFonts w:ascii="Times New Roman" w:hAnsi="Times New Roman" w:cs="Times New Roman"/>
                <w:noProof/>
              </w:rPr>
              <w:t xml:space="preserve">. </w:t>
            </w:r>
            <w:r>
              <w:rPr>
                <w:rFonts w:ascii="Times New Roman" w:hAnsi="Times New Roman" w:cs="Times New Roman"/>
                <w:noProof/>
              </w:rPr>
              <w:t>There</w:t>
            </w:r>
            <w:r w:rsidRPr="00866353">
              <w:rPr>
                <w:rFonts w:ascii="Times New Roman" w:hAnsi="Times New Roman" w:cs="Times New Roman"/>
                <w:noProof/>
              </w:rPr>
              <w:t xml:space="preserve"> was </w:t>
            </w:r>
            <w:r w:rsidR="00C91BDC">
              <w:rPr>
                <w:rFonts w:ascii="Times New Roman" w:hAnsi="Times New Roman" w:cs="Times New Roman"/>
                <w:noProof/>
              </w:rPr>
              <w:t xml:space="preserve">particularly </w:t>
            </w:r>
            <w:r w:rsidR="00771B21">
              <w:rPr>
                <w:rFonts w:ascii="Times New Roman" w:hAnsi="Times New Roman" w:cs="Times New Roman"/>
                <w:noProof/>
              </w:rPr>
              <w:t>strong</w:t>
            </w:r>
            <w:r w:rsidRPr="00866353">
              <w:rPr>
                <w:rFonts w:ascii="Times New Roman" w:hAnsi="Times New Roman" w:cs="Times New Roman"/>
                <w:noProof/>
              </w:rPr>
              <w:t xml:space="preserve"> support </w:t>
            </w:r>
            <w:r>
              <w:rPr>
                <w:rFonts w:ascii="Times New Roman" w:hAnsi="Times New Roman" w:cs="Times New Roman"/>
                <w:noProof/>
              </w:rPr>
              <w:t xml:space="preserve">among private stakeholders, </w:t>
            </w:r>
            <w:r w:rsidR="002E1A45">
              <w:rPr>
                <w:rFonts w:ascii="Times New Roman" w:hAnsi="Times New Roman" w:cs="Times New Roman"/>
                <w:noProof/>
              </w:rPr>
              <w:t xml:space="preserve">i.e. </w:t>
            </w:r>
            <w:r>
              <w:rPr>
                <w:rFonts w:ascii="Times New Roman" w:hAnsi="Times New Roman" w:cs="Times New Roman"/>
                <w:noProof/>
              </w:rPr>
              <w:t>EU businesses and industry representatives</w:t>
            </w:r>
            <w:r w:rsidR="002E1A45">
              <w:rPr>
                <w:rFonts w:ascii="Times New Roman" w:hAnsi="Times New Roman" w:cs="Times New Roman"/>
                <w:noProof/>
              </w:rPr>
              <w:t xml:space="preserve"> as well as tax professionals</w:t>
            </w:r>
            <w:r w:rsidR="00771B21">
              <w:rPr>
                <w:rFonts w:ascii="Times New Roman" w:hAnsi="Times New Roman" w:cs="Times New Roman"/>
                <w:noProof/>
              </w:rPr>
              <w:t>,</w:t>
            </w:r>
            <w:r w:rsidR="00C91BDC">
              <w:rPr>
                <w:rFonts w:ascii="Times New Roman" w:hAnsi="Times New Roman" w:cs="Times New Roman"/>
                <w:noProof/>
              </w:rPr>
              <w:t xml:space="preserve"> who identified the need for simplification across all existing directives and beyond</w:t>
            </w:r>
            <w:r w:rsidR="00771B21">
              <w:rPr>
                <w:rFonts w:ascii="Times New Roman" w:hAnsi="Times New Roman" w:cs="Times New Roman"/>
                <w:noProof/>
              </w:rPr>
              <w:t xml:space="preserve"> as detailed in Annex 2</w:t>
            </w:r>
            <w:r>
              <w:rPr>
                <w:rFonts w:ascii="Times New Roman" w:hAnsi="Times New Roman" w:cs="Times New Roman"/>
                <w:noProof/>
              </w:rPr>
              <w:t xml:space="preserve">. </w:t>
            </w:r>
            <w:r w:rsidRPr="00866353">
              <w:rPr>
                <w:rFonts w:ascii="Times New Roman" w:hAnsi="Times New Roman" w:cs="Times New Roman"/>
                <w:noProof/>
              </w:rPr>
              <w:t xml:space="preserve">EU </w:t>
            </w:r>
            <w:r w:rsidR="002E1A45">
              <w:rPr>
                <w:rFonts w:ascii="Times New Roman" w:hAnsi="Times New Roman" w:cs="Times New Roman"/>
                <w:noProof/>
              </w:rPr>
              <w:t xml:space="preserve">Member States </w:t>
            </w:r>
            <w:r w:rsidR="00771B21">
              <w:rPr>
                <w:rFonts w:ascii="Times New Roman" w:hAnsi="Times New Roman" w:cs="Times New Roman"/>
                <w:noProof/>
              </w:rPr>
              <w:t>unanimously</w:t>
            </w:r>
            <w:r w:rsidRPr="00866353">
              <w:rPr>
                <w:rFonts w:ascii="Times New Roman" w:hAnsi="Times New Roman" w:cs="Times New Roman"/>
                <w:noProof/>
              </w:rPr>
              <w:t xml:space="preserve"> welcomed the </w:t>
            </w:r>
            <w:r>
              <w:rPr>
                <w:rFonts w:ascii="Times New Roman" w:hAnsi="Times New Roman" w:cs="Times New Roman"/>
                <w:noProof/>
              </w:rPr>
              <w:t>initiative</w:t>
            </w:r>
            <w:r w:rsidR="00771B21">
              <w:rPr>
                <w:rFonts w:ascii="Times New Roman" w:hAnsi="Times New Roman" w:cs="Times New Roman"/>
                <w:noProof/>
              </w:rPr>
              <w:t xml:space="preserve">, as evidenced by </w:t>
            </w:r>
            <w:r w:rsidR="002E1A45">
              <w:rPr>
                <w:rFonts w:ascii="Times New Roman" w:hAnsi="Times New Roman" w:cs="Times New Roman"/>
                <w:noProof/>
              </w:rPr>
              <w:t xml:space="preserve">the </w:t>
            </w:r>
            <w:r w:rsidR="00771B21">
              <w:rPr>
                <w:rFonts w:ascii="Times New Roman" w:hAnsi="Times New Roman" w:cs="Times New Roman"/>
                <w:noProof/>
              </w:rPr>
              <w:t xml:space="preserve">Council </w:t>
            </w:r>
            <w:r w:rsidR="002E1A45">
              <w:rPr>
                <w:rFonts w:ascii="Times New Roman" w:hAnsi="Times New Roman" w:cs="Times New Roman"/>
                <w:noProof/>
              </w:rPr>
              <w:t>C</w:t>
            </w:r>
            <w:r w:rsidR="00771B21">
              <w:rPr>
                <w:rFonts w:ascii="Times New Roman" w:hAnsi="Times New Roman" w:cs="Times New Roman"/>
                <w:noProof/>
              </w:rPr>
              <w:t>onclusions</w:t>
            </w:r>
            <w:r w:rsidR="002E1A45">
              <w:rPr>
                <w:rFonts w:ascii="Times New Roman" w:hAnsi="Times New Roman" w:cs="Times New Roman"/>
                <w:noProof/>
              </w:rPr>
              <w:t xml:space="preserve"> of March 2025</w:t>
            </w:r>
            <w:r w:rsidR="00771B21">
              <w:rPr>
                <w:rFonts w:ascii="Times New Roman" w:hAnsi="Times New Roman" w:cs="Times New Roman"/>
                <w:noProof/>
              </w:rPr>
              <w:t>,</w:t>
            </w:r>
            <w:r>
              <w:rPr>
                <w:rFonts w:ascii="Times New Roman" w:hAnsi="Times New Roman" w:cs="Times New Roman"/>
                <w:noProof/>
              </w:rPr>
              <w:t xml:space="preserve"> and encourage</w:t>
            </w:r>
            <w:r w:rsidR="002E1A45">
              <w:rPr>
                <w:rFonts w:ascii="Times New Roman" w:hAnsi="Times New Roman" w:cs="Times New Roman"/>
                <w:noProof/>
              </w:rPr>
              <w:t>d</w:t>
            </w:r>
            <w:r>
              <w:rPr>
                <w:rFonts w:ascii="Times New Roman" w:hAnsi="Times New Roman" w:cs="Times New Roman"/>
                <w:noProof/>
              </w:rPr>
              <w:t xml:space="preserve"> the Commission to adopt a</w:t>
            </w:r>
            <w:r w:rsidR="00771B21">
              <w:rPr>
                <w:rFonts w:ascii="Times New Roman" w:hAnsi="Times New Roman" w:cs="Times New Roman"/>
                <w:noProof/>
              </w:rPr>
              <w:t>n ambitious</w:t>
            </w:r>
            <w:r>
              <w:rPr>
                <w:rFonts w:ascii="Times New Roman" w:hAnsi="Times New Roman" w:cs="Times New Roman"/>
                <w:noProof/>
              </w:rPr>
              <w:t xml:space="preserve"> proposal</w:t>
            </w:r>
            <w:r w:rsidR="007201C9">
              <w:rPr>
                <w:rFonts w:ascii="Times New Roman" w:hAnsi="Times New Roman" w:cs="Times New Roman"/>
                <w:noProof/>
              </w:rPr>
              <w:t>;</w:t>
            </w:r>
            <w:r>
              <w:rPr>
                <w:rFonts w:ascii="Times New Roman" w:hAnsi="Times New Roman" w:cs="Times New Roman"/>
                <w:noProof/>
              </w:rPr>
              <w:t xml:space="preserve"> while convergence on the specific policy options will also </w:t>
            </w:r>
            <w:r w:rsidR="00771B21">
              <w:rPr>
                <w:rFonts w:ascii="Times New Roman" w:hAnsi="Times New Roman" w:cs="Times New Roman"/>
                <w:noProof/>
              </w:rPr>
              <w:t>need to be further attained</w:t>
            </w:r>
            <w:r>
              <w:rPr>
                <w:rFonts w:ascii="Times New Roman" w:hAnsi="Times New Roman" w:cs="Times New Roman"/>
                <w:noProof/>
              </w:rPr>
              <w:t xml:space="preserve"> </w:t>
            </w:r>
            <w:r w:rsidR="00771B21">
              <w:rPr>
                <w:rFonts w:ascii="Times New Roman" w:hAnsi="Times New Roman" w:cs="Times New Roman"/>
                <w:noProof/>
              </w:rPr>
              <w:t>during</w:t>
            </w:r>
            <w:r>
              <w:rPr>
                <w:rFonts w:ascii="Times New Roman" w:hAnsi="Times New Roman" w:cs="Times New Roman"/>
                <w:noProof/>
              </w:rPr>
              <w:t xml:space="preserve"> Council negotiations. </w:t>
            </w:r>
          </w:p>
        </w:tc>
      </w:tr>
      <w:tr w:rsidR="00866353" w:rsidRPr="006D4841" w14:paraId="34DC6771" w14:textId="77777777" w:rsidTr="3F3A7B02">
        <w:tc>
          <w:tcPr>
            <w:tcW w:w="8568" w:type="dxa"/>
            <w:shd w:val="clear" w:color="auto" w:fill="A6A6A6" w:themeFill="background1" w:themeFillShade="A6"/>
          </w:tcPr>
          <w:p w14:paraId="4A302A87" w14:textId="34DC9DFA" w:rsidR="00866353" w:rsidRPr="003A64E0" w:rsidRDefault="00866353" w:rsidP="00866353">
            <w:pPr>
              <w:rPr>
                <w:rFonts w:ascii="Times New Roman" w:hAnsi="Times New Roman" w:cs="Times New Roman"/>
                <w:b/>
                <w:bCs/>
                <w:noProof/>
              </w:rPr>
            </w:pPr>
            <w:r>
              <w:rPr>
                <w:rFonts w:ascii="Times New Roman" w:hAnsi="Times New Roman" w:cs="Times New Roman"/>
                <w:b/>
                <w:bCs/>
                <w:noProof/>
              </w:rPr>
              <w:t xml:space="preserve">C. </w:t>
            </w:r>
            <w:r w:rsidRPr="003A64E0">
              <w:rPr>
                <w:rFonts w:ascii="Times New Roman" w:hAnsi="Times New Roman" w:cs="Times New Roman"/>
                <w:b/>
                <w:bCs/>
                <w:noProof/>
              </w:rPr>
              <w:t xml:space="preserve">Impacts of the preferred option </w:t>
            </w:r>
          </w:p>
        </w:tc>
      </w:tr>
      <w:tr w:rsidR="00866353" w:rsidRPr="006D4841" w14:paraId="72610827" w14:textId="77777777" w:rsidTr="3F3A7B02">
        <w:tc>
          <w:tcPr>
            <w:tcW w:w="8568" w:type="dxa"/>
            <w:shd w:val="clear" w:color="auto" w:fill="D9D9D9" w:themeFill="background1" w:themeFillShade="D9"/>
          </w:tcPr>
          <w:p w14:paraId="06793132" w14:textId="77777777" w:rsidR="00866353" w:rsidRPr="00493B1E" w:rsidRDefault="00866353" w:rsidP="00866353">
            <w:pPr>
              <w:rPr>
                <w:rFonts w:ascii="Times New Roman" w:hAnsi="Times New Roman" w:cs="Times New Roman"/>
                <w:b/>
                <w:bCs/>
                <w:noProof/>
              </w:rPr>
            </w:pPr>
            <w:r w:rsidRPr="00493B1E">
              <w:rPr>
                <w:rFonts w:ascii="Times New Roman" w:hAnsi="Times New Roman" w:cs="Times New Roman"/>
                <w:b/>
                <w:bCs/>
                <w:noProof/>
              </w:rPr>
              <w:t>What are the benefits of the preferred option?</w:t>
            </w:r>
          </w:p>
        </w:tc>
      </w:tr>
      <w:tr w:rsidR="00866353" w:rsidRPr="006D4841" w14:paraId="6E7AD7B8" w14:textId="77777777" w:rsidTr="3F3A7B02">
        <w:tc>
          <w:tcPr>
            <w:tcW w:w="8568" w:type="dxa"/>
          </w:tcPr>
          <w:p w14:paraId="144321F8" w14:textId="05357B1F" w:rsidR="00866353" w:rsidRPr="0041425C" w:rsidRDefault="00866353" w:rsidP="00866353">
            <w:pPr>
              <w:spacing w:after="120"/>
              <w:jc w:val="both"/>
              <w:rPr>
                <w:rFonts w:ascii="Times New Roman" w:hAnsi="Times New Roman" w:cs="Times New Roman"/>
                <w:noProof/>
              </w:rPr>
            </w:pPr>
            <w:r w:rsidRPr="0041425C">
              <w:rPr>
                <w:rFonts w:ascii="Times New Roman" w:hAnsi="Times New Roman" w:cs="Times New Roman"/>
                <w:noProof/>
              </w:rPr>
              <w:t xml:space="preserve">The impact assessment sets out </w:t>
            </w:r>
            <w:r>
              <w:rPr>
                <w:rFonts w:ascii="Times New Roman" w:hAnsi="Times New Roman" w:cs="Times New Roman"/>
                <w:noProof/>
              </w:rPr>
              <w:t>the potential cost savings f</w:t>
            </w:r>
            <w:r w:rsidRPr="0041425C">
              <w:rPr>
                <w:rFonts w:ascii="Times New Roman" w:hAnsi="Times New Roman" w:cs="Times New Roman"/>
                <w:noProof/>
              </w:rPr>
              <w:t>or businesses and the economy in the EU as a result of potential reductions of current tax compliance costs</w:t>
            </w:r>
            <w:r>
              <w:rPr>
                <w:rFonts w:ascii="Times New Roman" w:hAnsi="Times New Roman" w:cs="Times New Roman"/>
                <w:noProof/>
              </w:rPr>
              <w:t xml:space="preserve">, as well as </w:t>
            </w:r>
            <w:r w:rsidRPr="0041425C">
              <w:rPr>
                <w:rFonts w:ascii="Times New Roman" w:hAnsi="Times New Roman" w:cs="Times New Roman"/>
                <w:noProof/>
              </w:rPr>
              <w:t>the</w:t>
            </w:r>
            <w:r>
              <w:rPr>
                <w:rFonts w:ascii="Times New Roman" w:hAnsi="Times New Roman" w:cs="Times New Roman"/>
                <w:noProof/>
              </w:rPr>
              <w:t xml:space="preserve"> broader, longer-term</w:t>
            </w:r>
            <w:r w:rsidRPr="0041425C">
              <w:rPr>
                <w:rFonts w:ascii="Times New Roman" w:hAnsi="Times New Roman" w:cs="Times New Roman"/>
                <w:noProof/>
              </w:rPr>
              <w:t xml:space="preserve"> </w:t>
            </w:r>
            <w:r w:rsidRPr="009D6A33">
              <w:rPr>
                <w:rFonts w:ascii="Times New Roman" w:eastAsia="Times New Roman" w:hAnsi="Times New Roman" w:cs="Times New Roman"/>
                <w:bCs/>
                <w:noProof/>
                <w:lang w:eastAsia="en-GB"/>
              </w:rPr>
              <w:t>macro-economic impact</w:t>
            </w:r>
            <w:r w:rsidRPr="0041425C">
              <w:rPr>
                <w:rFonts w:ascii="Times New Roman" w:eastAsia="Times New Roman" w:hAnsi="Times New Roman" w:cs="Times New Roman"/>
                <w:bCs/>
                <w:noProof/>
                <w:lang w:eastAsia="en-GB"/>
              </w:rPr>
              <w:t>.</w:t>
            </w:r>
            <w:r>
              <w:rPr>
                <w:rFonts w:ascii="Times New Roman" w:eastAsia="Times New Roman" w:hAnsi="Times New Roman" w:cs="Times New Roman"/>
                <w:bCs/>
                <w:noProof/>
                <w:lang w:eastAsia="en-GB"/>
              </w:rPr>
              <w:t xml:space="preserve"> The preferred option is the Comprehensive Omnibus. </w:t>
            </w:r>
            <w:r w:rsidRPr="009D6A33">
              <w:rPr>
                <w:rFonts w:ascii="Times New Roman" w:eastAsia="Times New Roman" w:hAnsi="Times New Roman" w:cs="Times New Roman"/>
                <w:bCs/>
                <w:noProof/>
                <w:lang w:eastAsia="en-GB"/>
              </w:rPr>
              <w:t xml:space="preserve">This </w:t>
            </w:r>
            <w:r>
              <w:rPr>
                <w:rFonts w:ascii="Times New Roman" w:eastAsia="Times New Roman" w:hAnsi="Times New Roman" w:cs="Times New Roman"/>
                <w:bCs/>
                <w:noProof/>
                <w:lang w:eastAsia="en-GB"/>
              </w:rPr>
              <w:t>option</w:t>
            </w:r>
            <w:r w:rsidRPr="009D6A33">
              <w:rPr>
                <w:rFonts w:ascii="Times New Roman" w:eastAsia="Times New Roman" w:hAnsi="Times New Roman" w:cs="Times New Roman"/>
                <w:bCs/>
                <w:noProof/>
                <w:lang w:eastAsia="en-GB"/>
              </w:rPr>
              <w:t xml:space="preserve"> is roughly estimated to reduce compliance and financial costs by about EUR </w:t>
            </w:r>
            <w:r w:rsidR="00C91BDC">
              <w:rPr>
                <w:rFonts w:ascii="Times New Roman" w:eastAsia="Times New Roman" w:hAnsi="Times New Roman" w:cs="Times New Roman"/>
                <w:bCs/>
                <w:noProof/>
                <w:lang w:eastAsia="en-GB"/>
              </w:rPr>
              <w:t>6</w:t>
            </w:r>
            <w:r w:rsidR="005F54C0">
              <w:rPr>
                <w:rFonts w:ascii="Times New Roman" w:eastAsia="Times New Roman" w:hAnsi="Times New Roman" w:cs="Times New Roman"/>
                <w:bCs/>
                <w:noProof/>
                <w:lang w:eastAsia="en-GB"/>
              </w:rPr>
              <w:t>.6</w:t>
            </w:r>
            <w:r w:rsidRPr="009D6A33">
              <w:rPr>
                <w:rFonts w:ascii="Times New Roman" w:eastAsia="Times New Roman" w:hAnsi="Times New Roman" w:cs="Times New Roman"/>
                <w:bCs/>
                <w:noProof/>
                <w:lang w:eastAsia="en-GB"/>
              </w:rPr>
              <w:t xml:space="preserve"> billion</w:t>
            </w:r>
            <w:r>
              <w:rPr>
                <w:rFonts w:ascii="Times New Roman" w:eastAsia="Times New Roman" w:hAnsi="Times New Roman" w:cs="Times New Roman"/>
                <w:bCs/>
                <w:noProof/>
                <w:lang w:eastAsia="en-GB"/>
              </w:rPr>
              <w:t xml:space="preserve"> per year, </w:t>
            </w:r>
            <w:r w:rsidR="00CD23BC" w:rsidRPr="00CD23BC">
              <w:rPr>
                <w:rFonts w:ascii="Times New Roman" w:eastAsia="Times New Roman" w:hAnsi="Times New Roman" w:cs="Times New Roman"/>
                <w:bCs/>
                <w:noProof/>
                <w:lang w:eastAsia="en-GB"/>
              </w:rPr>
              <w:t>out of which recurrent costs related to cutting down administrative burden is roughly EUR 2 billion per year (a breakdown of these numbers can be found in Annex 3 to the impact assessment report)</w:t>
            </w:r>
            <w:r w:rsidR="00CD23BC">
              <w:rPr>
                <w:rFonts w:ascii="Times New Roman" w:eastAsia="Times New Roman" w:hAnsi="Times New Roman" w:cs="Times New Roman"/>
                <w:bCs/>
                <w:noProof/>
                <w:lang w:eastAsia="en-GB"/>
              </w:rPr>
              <w:t xml:space="preserve">, </w:t>
            </w:r>
            <w:r>
              <w:rPr>
                <w:rFonts w:ascii="Times New Roman" w:eastAsia="Times New Roman" w:hAnsi="Times New Roman" w:cs="Times New Roman"/>
                <w:bCs/>
                <w:noProof/>
                <w:lang w:eastAsia="en-GB"/>
              </w:rPr>
              <w:t xml:space="preserve">and some of its individual measures are estimated to increase EU GDP by </w:t>
            </w:r>
            <w:r w:rsidRPr="009D6A33">
              <w:rPr>
                <w:rFonts w:ascii="Times New Roman" w:eastAsia="Times New Roman" w:hAnsi="Times New Roman" w:cs="Times New Roman"/>
                <w:bCs/>
                <w:noProof/>
                <w:lang w:eastAsia="en-GB"/>
              </w:rPr>
              <w:t xml:space="preserve">roughly </w:t>
            </w:r>
            <w:r>
              <w:rPr>
                <w:rFonts w:ascii="Times New Roman" w:eastAsia="Times New Roman" w:hAnsi="Times New Roman" w:cs="Times New Roman"/>
                <w:bCs/>
                <w:noProof/>
                <w:lang w:eastAsia="en-GB"/>
              </w:rPr>
              <w:t xml:space="preserve">0.04% (exemption from withholding tax) </w:t>
            </w:r>
            <w:r w:rsidR="007201C9">
              <w:rPr>
                <w:rFonts w:ascii="Times New Roman" w:eastAsia="Times New Roman" w:hAnsi="Times New Roman" w:cs="Times New Roman"/>
                <w:bCs/>
                <w:noProof/>
                <w:lang w:eastAsia="en-GB"/>
              </w:rPr>
              <w:t xml:space="preserve">and </w:t>
            </w:r>
            <w:r w:rsidRPr="009D6A33">
              <w:rPr>
                <w:rFonts w:ascii="Times New Roman" w:eastAsia="Times New Roman" w:hAnsi="Times New Roman" w:cs="Times New Roman"/>
                <w:bCs/>
                <w:noProof/>
                <w:lang w:eastAsia="en-GB"/>
              </w:rPr>
              <w:t>0.2%</w:t>
            </w:r>
            <w:r>
              <w:rPr>
                <w:rFonts w:ascii="Times New Roman" w:eastAsia="Times New Roman" w:hAnsi="Times New Roman" w:cs="Times New Roman"/>
                <w:bCs/>
                <w:noProof/>
                <w:lang w:eastAsia="en-GB"/>
              </w:rPr>
              <w:t xml:space="preserve"> (immediate expensing of certain R&amp;D assets)</w:t>
            </w:r>
            <w:r w:rsidRPr="009D6A33">
              <w:rPr>
                <w:rFonts w:ascii="Times New Roman" w:eastAsia="Times New Roman" w:hAnsi="Times New Roman" w:cs="Times New Roman"/>
                <w:bCs/>
                <w:noProof/>
                <w:lang w:eastAsia="en-GB"/>
              </w:rPr>
              <w:t xml:space="preserve"> in the long run</w:t>
            </w:r>
            <w:r>
              <w:rPr>
                <w:rFonts w:ascii="Times New Roman" w:eastAsia="Times New Roman" w:hAnsi="Times New Roman" w:cs="Times New Roman"/>
                <w:bCs/>
                <w:noProof/>
                <w:lang w:eastAsia="en-GB"/>
              </w:rPr>
              <w:t xml:space="preserve">. </w:t>
            </w:r>
          </w:p>
        </w:tc>
      </w:tr>
      <w:tr w:rsidR="00866353" w:rsidRPr="006D4841" w14:paraId="254617D5" w14:textId="77777777" w:rsidTr="3F3A7B02">
        <w:tc>
          <w:tcPr>
            <w:tcW w:w="8568" w:type="dxa"/>
            <w:shd w:val="clear" w:color="auto" w:fill="D9D9D9" w:themeFill="background1" w:themeFillShade="D9"/>
          </w:tcPr>
          <w:p w14:paraId="0F82BAD4" w14:textId="77777777" w:rsidR="00866353" w:rsidRPr="00493B1E" w:rsidRDefault="00866353" w:rsidP="00866353">
            <w:pPr>
              <w:pStyle w:val="Default"/>
              <w:rPr>
                <w:b/>
                <w:bCs/>
                <w:noProof/>
                <w:sz w:val="22"/>
                <w:szCs w:val="22"/>
              </w:rPr>
            </w:pPr>
            <w:r w:rsidRPr="00493B1E">
              <w:rPr>
                <w:b/>
                <w:bCs/>
                <w:noProof/>
                <w:sz w:val="22"/>
                <w:szCs w:val="22"/>
              </w:rPr>
              <w:t xml:space="preserve">What are the costs of the preferred option? </w:t>
            </w:r>
          </w:p>
        </w:tc>
      </w:tr>
      <w:tr w:rsidR="00866353" w:rsidRPr="006D4841" w14:paraId="46897057" w14:textId="77777777" w:rsidTr="3F3A7B02">
        <w:tc>
          <w:tcPr>
            <w:tcW w:w="8568" w:type="dxa"/>
          </w:tcPr>
          <w:p w14:paraId="0D0CFE6E" w14:textId="03F3A195" w:rsidR="00866353" w:rsidRPr="00BE7707" w:rsidRDefault="00866353" w:rsidP="00BE7707">
            <w:pPr>
              <w:pStyle w:val="Default"/>
              <w:spacing w:after="120"/>
              <w:jc w:val="both"/>
              <w:rPr>
                <w:noProof/>
                <w:sz w:val="22"/>
                <w:szCs w:val="22"/>
              </w:rPr>
            </w:pPr>
            <w:r w:rsidRPr="00BE7707">
              <w:rPr>
                <w:noProof/>
                <w:sz w:val="22"/>
                <w:szCs w:val="22"/>
              </w:rPr>
              <w:t xml:space="preserve">The impact assessment report attempts to describe some of the possible costs. </w:t>
            </w:r>
            <w:r w:rsidR="00BE7707">
              <w:rPr>
                <w:noProof/>
                <w:sz w:val="22"/>
                <w:szCs w:val="22"/>
              </w:rPr>
              <w:t xml:space="preserve">The purpose of the </w:t>
            </w:r>
            <w:r w:rsidR="007201C9">
              <w:rPr>
                <w:noProof/>
                <w:sz w:val="22"/>
                <w:szCs w:val="22"/>
              </w:rPr>
              <w:t xml:space="preserve">Tax </w:t>
            </w:r>
            <w:r w:rsidR="00BE7707">
              <w:rPr>
                <w:noProof/>
                <w:sz w:val="22"/>
                <w:szCs w:val="22"/>
              </w:rPr>
              <w:t xml:space="preserve">Omnibus proposal is to reduce existing recurrent costs, by simplifying EU tax rules where possible. Accordingly, as outlined in Chapter 6 and Annex 3, the initiative is not expected to bring any significant costs for businesses and tax administrations, and are </w:t>
            </w:r>
            <w:r w:rsidR="00525CA9">
              <w:rPr>
                <w:noProof/>
                <w:sz w:val="22"/>
                <w:szCs w:val="22"/>
              </w:rPr>
              <w:t xml:space="preserve">thus </w:t>
            </w:r>
            <w:r w:rsidR="00BE7707">
              <w:rPr>
                <w:noProof/>
                <w:sz w:val="22"/>
                <w:szCs w:val="22"/>
              </w:rPr>
              <w:t xml:space="preserve">estimated as none, marginal, or not relevant. </w:t>
            </w:r>
          </w:p>
        </w:tc>
      </w:tr>
      <w:tr w:rsidR="00866353" w:rsidRPr="006D4841" w14:paraId="3751513F" w14:textId="77777777" w:rsidTr="3F3A7B02">
        <w:tc>
          <w:tcPr>
            <w:tcW w:w="8568" w:type="dxa"/>
            <w:shd w:val="clear" w:color="auto" w:fill="D9D9D9" w:themeFill="background1" w:themeFillShade="D9"/>
          </w:tcPr>
          <w:p w14:paraId="21A7A428" w14:textId="77777777" w:rsidR="00866353" w:rsidRPr="00F2585D" w:rsidRDefault="00866353" w:rsidP="00866353">
            <w:pPr>
              <w:pStyle w:val="Default"/>
              <w:rPr>
                <w:b/>
                <w:bCs/>
                <w:noProof/>
                <w:sz w:val="22"/>
                <w:szCs w:val="22"/>
              </w:rPr>
            </w:pPr>
            <w:r w:rsidRPr="00F2585D">
              <w:rPr>
                <w:b/>
                <w:bCs/>
                <w:noProof/>
                <w:sz w:val="22"/>
                <w:szCs w:val="22"/>
              </w:rPr>
              <w:t xml:space="preserve">What are the impacts on SMEs and competitiveness? </w:t>
            </w:r>
          </w:p>
        </w:tc>
      </w:tr>
      <w:tr w:rsidR="00866353" w:rsidRPr="006D4841" w14:paraId="28140A0C" w14:textId="77777777" w:rsidTr="3F3A7B02">
        <w:tc>
          <w:tcPr>
            <w:tcW w:w="8568" w:type="dxa"/>
          </w:tcPr>
          <w:p w14:paraId="4551F246" w14:textId="64C2AD4B" w:rsidR="00866353" w:rsidRPr="00F2585D" w:rsidRDefault="00866353" w:rsidP="00866353">
            <w:pPr>
              <w:pStyle w:val="Default"/>
              <w:spacing w:after="120"/>
              <w:jc w:val="both"/>
              <w:rPr>
                <w:noProof/>
                <w:sz w:val="22"/>
                <w:szCs w:val="22"/>
              </w:rPr>
            </w:pPr>
            <w:r w:rsidRPr="00F2585D">
              <w:rPr>
                <w:b/>
                <w:bCs/>
                <w:noProof/>
                <w:sz w:val="22"/>
                <w:szCs w:val="22"/>
              </w:rPr>
              <w:t>SMEs</w:t>
            </w:r>
            <w:r w:rsidRPr="00F2585D">
              <w:rPr>
                <w:noProof/>
                <w:sz w:val="22"/>
                <w:szCs w:val="22"/>
              </w:rPr>
              <w:t xml:space="preserve">: the Omnibus includes measures in favour of SMEs, such as </w:t>
            </w:r>
            <w:r w:rsidR="00F87725">
              <w:rPr>
                <w:noProof/>
                <w:sz w:val="22"/>
                <w:szCs w:val="22"/>
              </w:rPr>
              <w:t>an explicit</w:t>
            </w:r>
            <w:r w:rsidRPr="00F2585D">
              <w:rPr>
                <w:noProof/>
                <w:sz w:val="22"/>
                <w:szCs w:val="22"/>
              </w:rPr>
              <w:t xml:space="preserve"> carve</w:t>
            </w:r>
            <w:r w:rsidR="004216D9">
              <w:rPr>
                <w:noProof/>
                <w:sz w:val="22"/>
                <w:szCs w:val="22"/>
              </w:rPr>
              <w:t>-</w:t>
            </w:r>
            <w:r w:rsidRPr="00F2585D">
              <w:rPr>
                <w:noProof/>
                <w:sz w:val="22"/>
                <w:szCs w:val="22"/>
              </w:rPr>
              <w:t xml:space="preserve">out from the CFC rules and </w:t>
            </w:r>
            <w:r w:rsidR="004216D9">
              <w:rPr>
                <w:noProof/>
                <w:sz w:val="22"/>
                <w:szCs w:val="22"/>
              </w:rPr>
              <w:t>a</w:t>
            </w:r>
            <w:r w:rsidR="004216D9" w:rsidRPr="00256FF8">
              <w:rPr>
                <w:i/>
                <w:iCs/>
                <w:noProof/>
                <w:sz w:val="22"/>
                <w:szCs w:val="22"/>
              </w:rPr>
              <w:t xml:space="preserve"> de facto</w:t>
            </w:r>
            <w:r w:rsidR="004216D9">
              <w:rPr>
                <w:noProof/>
                <w:sz w:val="22"/>
                <w:szCs w:val="22"/>
              </w:rPr>
              <w:t xml:space="preserve"> carve-out </w:t>
            </w:r>
            <w:r w:rsidRPr="00F2585D">
              <w:rPr>
                <w:noProof/>
                <w:sz w:val="22"/>
                <w:szCs w:val="22"/>
              </w:rPr>
              <w:t>from the interest limitation rule of the ATAD</w:t>
            </w:r>
            <w:r w:rsidR="00860EAD">
              <w:rPr>
                <w:noProof/>
                <w:sz w:val="22"/>
                <w:szCs w:val="22"/>
              </w:rPr>
              <w:t>.</w:t>
            </w:r>
            <w:r w:rsidRPr="00F2585D">
              <w:rPr>
                <w:noProof/>
                <w:sz w:val="22"/>
                <w:szCs w:val="22"/>
              </w:rPr>
              <w:t xml:space="preserve"> </w:t>
            </w:r>
            <w:r w:rsidR="00860EAD">
              <w:rPr>
                <w:noProof/>
                <w:sz w:val="22"/>
                <w:szCs w:val="22"/>
              </w:rPr>
              <w:t>These</w:t>
            </w:r>
            <w:r w:rsidR="00860EAD" w:rsidRPr="00F2585D">
              <w:rPr>
                <w:noProof/>
                <w:sz w:val="22"/>
                <w:szCs w:val="22"/>
              </w:rPr>
              <w:t xml:space="preserve"> </w:t>
            </w:r>
            <w:r w:rsidRPr="00F2585D">
              <w:rPr>
                <w:noProof/>
                <w:sz w:val="22"/>
                <w:szCs w:val="22"/>
              </w:rPr>
              <w:t xml:space="preserve">are estimated to bring additional cost savings of around EUR 90 </w:t>
            </w:r>
            <w:r w:rsidR="002E1A45">
              <w:rPr>
                <w:noProof/>
                <w:sz w:val="22"/>
                <w:szCs w:val="22"/>
              </w:rPr>
              <w:t>and</w:t>
            </w:r>
            <w:r w:rsidR="003B20EE">
              <w:rPr>
                <w:noProof/>
                <w:sz w:val="22"/>
                <w:szCs w:val="22"/>
              </w:rPr>
              <w:t xml:space="preserve"> at least</w:t>
            </w:r>
            <w:r w:rsidRPr="00F2585D">
              <w:rPr>
                <w:noProof/>
                <w:sz w:val="22"/>
                <w:szCs w:val="22"/>
              </w:rPr>
              <w:t xml:space="preserve"> EUR </w:t>
            </w:r>
            <w:r>
              <w:rPr>
                <w:noProof/>
                <w:sz w:val="22"/>
                <w:szCs w:val="22"/>
              </w:rPr>
              <w:t xml:space="preserve">69 </w:t>
            </w:r>
            <w:r w:rsidRPr="00F2585D">
              <w:rPr>
                <w:noProof/>
                <w:sz w:val="22"/>
                <w:szCs w:val="22"/>
              </w:rPr>
              <w:t>million per year</w:t>
            </w:r>
            <w:r w:rsidR="007201C9">
              <w:rPr>
                <w:noProof/>
                <w:sz w:val="22"/>
                <w:szCs w:val="22"/>
              </w:rPr>
              <w:t>,</w:t>
            </w:r>
            <w:r w:rsidR="002E1A45">
              <w:rPr>
                <w:noProof/>
                <w:sz w:val="22"/>
                <w:szCs w:val="22"/>
              </w:rPr>
              <w:t xml:space="preserve"> respectively</w:t>
            </w:r>
            <w:r w:rsidRPr="00F2585D">
              <w:rPr>
                <w:noProof/>
                <w:sz w:val="22"/>
                <w:szCs w:val="22"/>
              </w:rPr>
              <w:t xml:space="preserve">. In addition, SMEs will also benefit from the general cost savings </w:t>
            </w:r>
            <w:r w:rsidR="004715A2">
              <w:rPr>
                <w:noProof/>
                <w:sz w:val="22"/>
                <w:szCs w:val="22"/>
              </w:rPr>
              <w:t xml:space="preserve">which are expected to arise </w:t>
            </w:r>
            <w:r w:rsidRPr="00F2585D">
              <w:rPr>
                <w:noProof/>
                <w:sz w:val="22"/>
                <w:szCs w:val="22"/>
              </w:rPr>
              <w:t xml:space="preserve">from the other simplification measures. In this way, the Omnibus will support the Commission objective to prioritise burden reduction for SMEs (35%, compared to 25% generally). </w:t>
            </w:r>
          </w:p>
          <w:p w14:paraId="45A6B900" w14:textId="08CD90AC" w:rsidR="00866353" w:rsidRPr="00F2585D" w:rsidRDefault="00866353" w:rsidP="00866353">
            <w:pPr>
              <w:pStyle w:val="Default"/>
              <w:spacing w:after="120"/>
              <w:jc w:val="both"/>
              <w:rPr>
                <w:b/>
                <w:bCs/>
                <w:noProof/>
                <w:sz w:val="22"/>
                <w:szCs w:val="22"/>
              </w:rPr>
            </w:pPr>
            <w:r w:rsidRPr="00F2585D">
              <w:rPr>
                <w:b/>
                <w:bCs/>
                <w:noProof/>
                <w:sz w:val="22"/>
                <w:szCs w:val="22"/>
              </w:rPr>
              <w:t>Competitiveness</w:t>
            </w:r>
            <w:r w:rsidRPr="00F2585D">
              <w:rPr>
                <w:noProof/>
                <w:sz w:val="22"/>
                <w:szCs w:val="22"/>
              </w:rPr>
              <w:t xml:space="preserve">: </w:t>
            </w:r>
            <w:r w:rsidRPr="00F2585D">
              <w:rPr>
                <w:rFonts w:eastAsia="Times New Roman"/>
                <w:noProof/>
                <w:sz w:val="22"/>
                <w:szCs w:val="22"/>
                <w:lang w:val="en-US"/>
              </w:rPr>
              <w:t xml:space="preserve">the Omnibus is </w:t>
            </w:r>
            <w:r w:rsidR="002E1A45">
              <w:rPr>
                <w:rFonts w:eastAsia="Times New Roman"/>
                <w:noProof/>
                <w:sz w:val="22"/>
                <w:szCs w:val="22"/>
                <w:lang w:val="en-US"/>
              </w:rPr>
              <w:t>estimated</w:t>
            </w:r>
            <w:r w:rsidR="002E1A45" w:rsidRPr="00F2585D">
              <w:rPr>
                <w:rFonts w:eastAsia="Times New Roman"/>
                <w:noProof/>
                <w:sz w:val="22"/>
                <w:szCs w:val="22"/>
                <w:lang w:val="en-US"/>
              </w:rPr>
              <w:t xml:space="preserve"> </w:t>
            </w:r>
            <w:r w:rsidRPr="00F2585D">
              <w:rPr>
                <w:rFonts w:eastAsia="Times New Roman"/>
                <w:noProof/>
                <w:sz w:val="22"/>
                <w:szCs w:val="22"/>
                <w:lang w:val="en-US"/>
              </w:rPr>
              <w:t>to have an overall positive effect on competitiveness, by lowering compliance and administrative costs, improving legal certainty and removing some continued tax barriers for cross-border business activity in the internal market. These effects are expected to boost investment decisions and enhance the EU business environment</w:t>
            </w:r>
            <w:r w:rsidR="007201C9">
              <w:rPr>
                <w:rFonts w:eastAsia="Times New Roman"/>
                <w:noProof/>
                <w:sz w:val="22"/>
                <w:szCs w:val="22"/>
                <w:lang w:val="en-US"/>
              </w:rPr>
              <w:t>, supporting overall growth and competitiveness</w:t>
            </w:r>
            <w:r w:rsidRPr="00F2585D">
              <w:rPr>
                <w:noProof/>
                <w:sz w:val="22"/>
                <w:szCs w:val="22"/>
              </w:rPr>
              <w:t>.</w:t>
            </w:r>
            <w:r w:rsidRPr="00F2585D">
              <w:rPr>
                <w:noProof/>
              </w:rPr>
              <w:t xml:space="preserve"> </w:t>
            </w:r>
          </w:p>
        </w:tc>
      </w:tr>
      <w:tr w:rsidR="00F2585D" w:rsidRPr="006D4841" w14:paraId="42F96307" w14:textId="77777777" w:rsidTr="3F3A7B02">
        <w:tc>
          <w:tcPr>
            <w:tcW w:w="8568" w:type="dxa"/>
            <w:shd w:val="clear" w:color="auto" w:fill="D9D9D9" w:themeFill="background1" w:themeFillShade="D9"/>
          </w:tcPr>
          <w:p w14:paraId="354C161F" w14:textId="397A9D81" w:rsidR="00F2585D" w:rsidRPr="00F2585D" w:rsidRDefault="00F2585D" w:rsidP="00F2585D">
            <w:pPr>
              <w:pStyle w:val="Default"/>
              <w:rPr>
                <w:b/>
                <w:bCs/>
                <w:noProof/>
                <w:sz w:val="22"/>
                <w:szCs w:val="22"/>
              </w:rPr>
            </w:pPr>
            <w:r>
              <w:rPr>
                <w:b/>
                <w:bCs/>
                <w:noProof/>
                <w:sz w:val="22"/>
                <w:szCs w:val="22"/>
              </w:rPr>
              <w:t xml:space="preserve">Will there be significant impacts on national budgets and administrations? </w:t>
            </w:r>
          </w:p>
        </w:tc>
      </w:tr>
      <w:tr w:rsidR="00F2585D" w:rsidRPr="006D4841" w14:paraId="6779F69E" w14:textId="77777777" w:rsidTr="3F3A7B02">
        <w:tc>
          <w:tcPr>
            <w:tcW w:w="8568" w:type="dxa"/>
          </w:tcPr>
          <w:p w14:paraId="2ECF6E11" w14:textId="13841B40" w:rsidR="005105F6" w:rsidRDefault="00F2585D" w:rsidP="00F2585D">
            <w:pPr>
              <w:pStyle w:val="Default"/>
              <w:spacing w:after="120"/>
              <w:jc w:val="both"/>
              <w:rPr>
                <w:noProof/>
                <w:sz w:val="22"/>
                <w:szCs w:val="22"/>
              </w:rPr>
            </w:pPr>
            <w:r>
              <w:rPr>
                <w:noProof/>
                <w:sz w:val="22"/>
                <w:szCs w:val="22"/>
              </w:rPr>
              <w:t xml:space="preserve">Most of the policy options are not expected to have significant impact on national budgets. Where relevant, the impact assessment report estimates the overall impact of policy options on tax revenues, and the outcome </w:t>
            </w:r>
            <w:r w:rsidR="002E1A45">
              <w:rPr>
                <w:noProof/>
                <w:sz w:val="22"/>
                <w:szCs w:val="22"/>
              </w:rPr>
              <w:t>should be</w:t>
            </w:r>
            <w:r>
              <w:rPr>
                <w:noProof/>
                <w:sz w:val="22"/>
                <w:szCs w:val="22"/>
              </w:rPr>
              <w:t xml:space="preserve"> limited or neutral, especially </w:t>
            </w:r>
            <w:r w:rsidR="007A1A84">
              <w:rPr>
                <w:noProof/>
                <w:sz w:val="22"/>
                <w:szCs w:val="22"/>
              </w:rPr>
              <w:t>when</w:t>
            </w:r>
            <w:r w:rsidR="002E1A45">
              <w:rPr>
                <w:noProof/>
                <w:sz w:val="22"/>
                <w:szCs w:val="22"/>
              </w:rPr>
              <w:t xml:space="preserve"> </w:t>
            </w:r>
            <w:r>
              <w:rPr>
                <w:noProof/>
                <w:sz w:val="22"/>
                <w:szCs w:val="22"/>
              </w:rPr>
              <w:t xml:space="preserve">compared to the related </w:t>
            </w:r>
            <w:r w:rsidR="007A1A84">
              <w:rPr>
                <w:noProof/>
                <w:sz w:val="22"/>
                <w:szCs w:val="22"/>
              </w:rPr>
              <w:t xml:space="preserve">investment and </w:t>
            </w:r>
            <w:r>
              <w:rPr>
                <w:noProof/>
                <w:sz w:val="22"/>
                <w:szCs w:val="22"/>
              </w:rPr>
              <w:t xml:space="preserve">GDP growth benefits. </w:t>
            </w:r>
          </w:p>
          <w:p w14:paraId="0DC20657" w14:textId="4E162FFB" w:rsidR="00F2585D" w:rsidRPr="00F2585D" w:rsidRDefault="00F2585D" w:rsidP="00F2585D">
            <w:pPr>
              <w:pStyle w:val="Default"/>
              <w:spacing w:after="120"/>
              <w:jc w:val="both"/>
              <w:rPr>
                <w:noProof/>
                <w:sz w:val="22"/>
                <w:szCs w:val="22"/>
              </w:rPr>
            </w:pPr>
            <w:r>
              <w:rPr>
                <w:noProof/>
                <w:sz w:val="22"/>
                <w:szCs w:val="22"/>
              </w:rPr>
              <w:t>Additionally, administrations are</w:t>
            </w:r>
            <w:r w:rsidRPr="00F2585D">
              <w:rPr>
                <w:noProof/>
                <w:sz w:val="22"/>
                <w:szCs w:val="22"/>
              </w:rPr>
              <w:t xml:space="preserve"> </w:t>
            </w:r>
            <w:r w:rsidR="002E1A45">
              <w:rPr>
                <w:noProof/>
                <w:sz w:val="22"/>
                <w:szCs w:val="22"/>
              </w:rPr>
              <w:t xml:space="preserve">meant </w:t>
            </w:r>
            <w:r>
              <w:rPr>
                <w:noProof/>
                <w:sz w:val="22"/>
                <w:szCs w:val="22"/>
              </w:rPr>
              <w:t>to</w:t>
            </w:r>
            <w:r w:rsidRPr="00F2585D">
              <w:rPr>
                <w:noProof/>
                <w:sz w:val="22"/>
                <w:szCs w:val="22"/>
              </w:rPr>
              <w:t xml:space="preserve"> benefit from </w:t>
            </w:r>
            <w:r>
              <w:rPr>
                <w:noProof/>
                <w:sz w:val="22"/>
                <w:szCs w:val="22"/>
              </w:rPr>
              <w:t>simplifications</w:t>
            </w:r>
            <w:r w:rsidRPr="00F2585D">
              <w:rPr>
                <w:noProof/>
                <w:sz w:val="22"/>
                <w:szCs w:val="22"/>
              </w:rPr>
              <w:t xml:space="preserve">. </w:t>
            </w:r>
            <w:r>
              <w:rPr>
                <w:noProof/>
                <w:sz w:val="22"/>
                <w:szCs w:val="22"/>
              </w:rPr>
              <w:t>Tax authorities</w:t>
            </w:r>
            <w:r w:rsidRPr="00F2585D">
              <w:rPr>
                <w:noProof/>
                <w:sz w:val="22"/>
                <w:szCs w:val="22"/>
              </w:rPr>
              <w:t xml:space="preserve"> </w:t>
            </w:r>
            <w:r>
              <w:rPr>
                <w:noProof/>
                <w:sz w:val="22"/>
                <w:szCs w:val="22"/>
              </w:rPr>
              <w:t>should</w:t>
            </w:r>
            <w:r w:rsidRPr="00F2585D">
              <w:rPr>
                <w:noProof/>
                <w:sz w:val="22"/>
                <w:szCs w:val="22"/>
              </w:rPr>
              <w:t xml:space="preserve"> face </w:t>
            </w:r>
            <w:r>
              <w:rPr>
                <w:noProof/>
                <w:sz w:val="22"/>
                <w:szCs w:val="22"/>
              </w:rPr>
              <w:t>very limited</w:t>
            </w:r>
            <w:r w:rsidRPr="00F2585D">
              <w:rPr>
                <w:noProof/>
                <w:sz w:val="22"/>
                <w:szCs w:val="22"/>
              </w:rPr>
              <w:t xml:space="preserve"> adaptation costs to adjust to new procedures, especially IT procedures, </w:t>
            </w:r>
            <w:r>
              <w:rPr>
                <w:noProof/>
                <w:sz w:val="22"/>
                <w:szCs w:val="22"/>
              </w:rPr>
              <w:t>since the envisaged measures generally either simply eliminat</w:t>
            </w:r>
            <w:r w:rsidR="007A1A84">
              <w:rPr>
                <w:noProof/>
                <w:sz w:val="22"/>
                <w:szCs w:val="22"/>
              </w:rPr>
              <w:t>ing</w:t>
            </w:r>
            <w:r>
              <w:rPr>
                <w:noProof/>
                <w:sz w:val="22"/>
                <w:szCs w:val="22"/>
              </w:rPr>
              <w:t xml:space="preserve"> existing requirements or extend</w:t>
            </w:r>
            <w:r w:rsidR="007A1A84">
              <w:rPr>
                <w:noProof/>
                <w:sz w:val="22"/>
                <w:szCs w:val="22"/>
              </w:rPr>
              <w:t>ing</w:t>
            </w:r>
            <w:r>
              <w:rPr>
                <w:noProof/>
                <w:sz w:val="22"/>
                <w:szCs w:val="22"/>
              </w:rPr>
              <w:t xml:space="preserve"> the use of procedures and templates already introduced </w:t>
            </w:r>
            <w:r w:rsidR="002E1A45">
              <w:rPr>
                <w:noProof/>
                <w:sz w:val="22"/>
                <w:szCs w:val="22"/>
              </w:rPr>
              <w:t xml:space="preserve">via </w:t>
            </w:r>
            <w:r>
              <w:rPr>
                <w:noProof/>
                <w:sz w:val="22"/>
                <w:szCs w:val="22"/>
              </w:rPr>
              <w:t>the FASTER directive</w:t>
            </w:r>
            <w:r w:rsidRPr="00F2585D">
              <w:rPr>
                <w:noProof/>
                <w:sz w:val="22"/>
                <w:szCs w:val="22"/>
              </w:rPr>
              <w:t xml:space="preserve">. </w:t>
            </w:r>
          </w:p>
        </w:tc>
      </w:tr>
      <w:tr w:rsidR="00866353" w:rsidRPr="006D4841" w14:paraId="505775AE" w14:textId="77777777" w:rsidTr="3F3A7B02">
        <w:tc>
          <w:tcPr>
            <w:tcW w:w="8568" w:type="dxa"/>
            <w:shd w:val="clear" w:color="auto" w:fill="D9D9D9" w:themeFill="background1" w:themeFillShade="D9"/>
          </w:tcPr>
          <w:p w14:paraId="23D2280E" w14:textId="77777777" w:rsidR="00866353" w:rsidRPr="00F2585D" w:rsidRDefault="00866353" w:rsidP="00866353">
            <w:pPr>
              <w:pStyle w:val="Default"/>
              <w:rPr>
                <w:b/>
                <w:bCs/>
                <w:noProof/>
                <w:sz w:val="22"/>
                <w:szCs w:val="22"/>
              </w:rPr>
            </w:pPr>
            <w:r w:rsidRPr="00F2585D">
              <w:rPr>
                <w:b/>
                <w:bCs/>
                <w:noProof/>
                <w:sz w:val="22"/>
                <w:szCs w:val="22"/>
              </w:rPr>
              <w:t xml:space="preserve">Will there be other significant impacts? </w:t>
            </w:r>
          </w:p>
        </w:tc>
      </w:tr>
      <w:tr w:rsidR="00866353" w:rsidRPr="006D4841" w14:paraId="30D7159C" w14:textId="77777777" w:rsidTr="3F3A7B02">
        <w:tc>
          <w:tcPr>
            <w:tcW w:w="8568" w:type="dxa"/>
          </w:tcPr>
          <w:p w14:paraId="464A70D2" w14:textId="443B7FD5" w:rsidR="00866353" w:rsidRPr="00F2585D" w:rsidRDefault="00866353" w:rsidP="00B564B1">
            <w:pPr>
              <w:pStyle w:val="Default"/>
              <w:spacing w:after="120"/>
              <w:jc w:val="both"/>
              <w:rPr>
                <w:noProof/>
                <w:sz w:val="22"/>
                <w:szCs w:val="22"/>
              </w:rPr>
            </w:pPr>
            <w:r w:rsidRPr="00F2585D">
              <w:rPr>
                <w:noProof/>
                <w:sz w:val="22"/>
                <w:szCs w:val="22"/>
              </w:rPr>
              <w:t>The impact assessment also consider</w:t>
            </w:r>
            <w:r w:rsidR="00C965A4">
              <w:rPr>
                <w:noProof/>
                <w:sz w:val="22"/>
                <w:szCs w:val="22"/>
              </w:rPr>
              <w:t>s</w:t>
            </w:r>
            <w:r w:rsidRPr="00F2585D">
              <w:rPr>
                <w:noProof/>
                <w:sz w:val="22"/>
                <w:szCs w:val="22"/>
              </w:rPr>
              <w:t xml:space="preserve"> whether the initiative may have environmental or social impacts, or an impact on fundamental rights. No particular and direct environmental impact is expected. It is also not expected that there would be a significant social impact, although freed resources may positively influence employment</w:t>
            </w:r>
            <w:r w:rsidR="00D14C05">
              <w:rPr>
                <w:noProof/>
                <w:sz w:val="22"/>
                <w:szCs w:val="22"/>
              </w:rPr>
              <w:t xml:space="preserve"> to some extent</w:t>
            </w:r>
            <w:r w:rsidRPr="00F2585D">
              <w:rPr>
                <w:noProof/>
                <w:sz w:val="22"/>
                <w:szCs w:val="22"/>
              </w:rPr>
              <w:t xml:space="preserve">. The initiative should also not </w:t>
            </w:r>
            <w:r w:rsidR="00D14C05">
              <w:rPr>
                <w:noProof/>
                <w:sz w:val="22"/>
                <w:szCs w:val="22"/>
              </w:rPr>
              <w:t>interfere with the protection of</w:t>
            </w:r>
            <w:r w:rsidRPr="00F2585D">
              <w:rPr>
                <w:noProof/>
                <w:sz w:val="22"/>
                <w:szCs w:val="22"/>
              </w:rPr>
              <w:t xml:space="preserve"> fundamental rights, which are guaranteed, and personal data will be protected. </w:t>
            </w:r>
          </w:p>
        </w:tc>
      </w:tr>
      <w:tr w:rsidR="00866353" w:rsidRPr="006D4841" w14:paraId="265A215C" w14:textId="77777777" w:rsidTr="3F3A7B02">
        <w:tc>
          <w:tcPr>
            <w:tcW w:w="8568" w:type="dxa"/>
            <w:shd w:val="clear" w:color="auto" w:fill="D9D9D9" w:themeFill="background1" w:themeFillShade="D9"/>
          </w:tcPr>
          <w:p w14:paraId="4664DC09" w14:textId="77777777" w:rsidR="00866353" w:rsidRPr="00493B1E" w:rsidRDefault="00866353" w:rsidP="00866353">
            <w:pPr>
              <w:rPr>
                <w:rFonts w:ascii="Times New Roman" w:hAnsi="Times New Roman" w:cs="Times New Roman"/>
                <w:b/>
                <w:bCs/>
                <w:noProof/>
              </w:rPr>
            </w:pPr>
            <w:r w:rsidRPr="00493B1E">
              <w:rPr>
                <w:rFonts w:ascii="Times New Roman" w:hAnsi="Times New Roman" w:cs="Times New Roman"/>
                <w:b/>
                <w:bCs/>
                <w:noProof/>
              </w:rPr>
              <w:t xml:space="preserve">Proportionality? </w:t>
            </w:r>
          </w:p>
        </w:tc>
      </w:tr>
      <w:tr w:rsidR="00866353" w:rsidRPr="006D4841" w14:paraId="29B30E94" w14:textId="77777777" w:rsidTr="3F3A7B02">
        <w:tc>
          <w:tcPr>
            <w:tcW w:w="8568" w:type="dxa"/>
          </w:tcPr>
          <w:p w14:paraId="6ABE82F6" w14:textId="6E0D6096" w:rsidR="00866353" w:rsidRPr="00493B1E" w:rsidRDefault="00866353" w:rsidP="00B564B1">
            <w:pPr>
              <w:spacing w:after="120"/>
              <w:jc w:val="both"/>
              <w:rPr>
                <w:rFonts w:ascii="Times New Roman" w:hAnsi="Times New Roman" w:cs="Times New Roman"/>
                <w:noProof/>
              </w:rPr>
            </w:pPr>
            <w:r w:rsidRPr="00493B1E">
              <w:rPr>
                <w:rFonts w:ascii="Times New Roman" w:hAnsi="Times New Roman" w:cs="Times New Roman"/>
                <w:noProof/>
              </w:rPr>
              <w:t>The preferred option does not go beyond what is necessary to achieve the objectives and focuses on elements where the added value of EU action goes beyond what can be achieved by Member States alone.</w:t>
            </w:r>
          </w:p>
        </w:tc>
      </w:tr>
      <w:tr w:rsidR="00866353" w:rsidRPr="006D4841" w14:paraId="09E1569E" w14:textId="77777777" w:rsidTr="3F3A7B02">
        <w:tc>
          <w:tcPr>
            <w:tcW w:w="8568" w:type="dxa"/>
            <w:shd w:val="clear" w:color="auto" w:fill="A6A6A6" w:themeFill="background1" w:themeFillShade="A6"/>
          </w:tcPr>
          <w:p w14:paraId="4AA7291F" w14:textId="277630CB" w:rsidR="00866353" w:rsidRPr="003A64E0" w:rsidRDefault="00866353" w:rsidP="00866353">
            <w:pPr>
              <w:rPr>
                <w:rFonts w:ascii="Times New Roman" w:hAnsi="Times New Roman" w:cs="Times New Roman"/>
                <w:b/>
                <w:bCs/>
                <w:noProof/>
              </w:rPr>
            </w:pPr>
            <w:r w:rsidRPr="003A64E0">
              <w:rPr>
                <w:rFonts w:ascii="Times New Roman" w:hAnsi="Times New Roman" w:cs="Times New Roman"/>
                <w:b/>
                <w:bCs/>
                <w:noProof/>
              </w:rPr>
              <w:t xml:space="preserve">D. Follow up </w:t>
            </w:r>
          </w:p>
        </w:tc>
      </w:tr>
      <w:tr w:rsidR="00866353" w:rsidRPr="006D4841" w14:paraId="2696E2F8" w14:textId="77777777" w:rsidTr="3F3A7B02">
        <w:tc>
          <w:tcPr>
            <w:tcW w:w="8568" w:type="dxa"/>
            <w:shd w:val="clear" w:color="auto" w:fill="D9D9D9" w:themeFill="background1" w:themeFillShade="D9"/>
          </w:tcPr>
          <w:p w14:paraId="24C4A266" w14:textId="77777777" w:rsidR="00866353" w:rsidRPr="00493B1E" w:rsidRDefault="00866353" w:rsidP="00866353">
            <w:pPr>
              <w:rPr>
                <w:rFonts w:ascii="Times New Roman" w:hAnsi="Times New Roman" w:cs="Times New Roman"/>
                <w:b/>
                <w:bCs/>
                <w:noProof/>
              </w:rPr>
            </w:pPr>
            <w:r w:rsidRPr="00493B1E">
              <w:rPr>
                <w:rFonts w:ascii="Times New Roman" w:hAnsi="Times New Roman" w:cs="Times New Roman"/>
                <w:b/>
                <w:bCs/>
                <w:noProof/>
              </w:rPr>
              <w:t>When will the policy be reviewed?</w:t>
            </w:r>
          </w:p>
        </w:tc>
      </w:tr>
      <w:tr w:rsidR="00866353" w:rsidRPr="006D4841" w14:paraId="37C60F82" w14:textId="77777777" w:rsidTr="3F3A7B02">
        <w:tc>
          <w:tcPr>
            <w:tcW w:w="8568" w:type="dxa"/>
          </w:tcPr>
          <w:p w14:paraId="058E1B9D" w14:textId="3D18BC4E" w:rsidR="00866353" w:rsidRPr="00493B1E" w:rsidRDefault="009E5576" w:rsidP="00866353">
            <w:pPr>
              <w:pStyle w:val="Default"/>
              <w:spacing w:after="120"/>
              <w:jc w:val="both"/>
              <w:rPr>
                <w:noProof/>
                <w:sz w:val="22"/>
                <w:szCs w:val="22"/>
              </w:rPr>
            </w:pPr>
            <w:r>
              <w:rPr>
                <w:noProof/>
                <w:sz w:val="22"/>
                <w:szCs w:val="22"/>
              </w:rPr>
              <w:t>The</w:t>
            </w:r>
            <w:r w:rsidRPr="009E5576">
              <w:rPr>
                <w:noProof/>
                <w:sz w:val="22"/>
                <w:szCs w:val="22"/>
              </w:rPr>
              <w:t xml:space="preserve"> first evaluation should take place </w:t>
            </w:r>
            <w:r w:rsidR="00C91BDC">
              <w:rPr>
                <w:noProof/>
                <w:sz w:val="22"/>
                <w:szCs w:val="22"/>
              </w:rPr>
              <w:t xml:space="preserve">not </w:t>
            </w:r>
            <w:r w:rsidRPr="009E5576">
              <w:rPr>
                <w:noProof/>
                <w:sz w:val="22"/>
                <w:szCs w:val="22"/>
              </w:rPr>
              <w:t>earlier than five years after the new rules start to apply</w:t>
            </w:r>
            <w:r w:rsidR="00866353" w:rsidRPr="009569A8">
              <w:rPr>
                <w:noProof/>
                <w:sz w:val="22"/>
                <w:szCs w:val="22"/>
              </w:rPr>
              <w:t>.</w:t>
            </w:r>
          </w:p>
        </w:tc>
      </w:tr>
    </w:tbl>
    <w:p w14:paraId="6E87610B" w14:textId="77777777" w:rsidR="006D4841" w:rsidRPr="00462B0B" w:rsidRDefault="006D4841" w:rsidP="006D4841">
      <w:pPr>
        <w:rPr>
          <w:rFonts w:ascii="Times New Roman" w:hAnsi="Times New Roman" w:cs="Times New Roman"/>
          <w:b/>
          <w:bCs/>
          <w:noProof/>
        </w:rPr>
      </w:pPr>
    </w:p>
    <w:sectPr w:rsidR="006D4841" w:rsidRPr="00462B0B" w:rsidSect="0026613F">
      <w:headerReference w:type="even" r:id="rId14"/>
      <w:headerReference w:type="default" r:id="rId15"/>
      <w:footerReference w:type="even" r:id="rId16"/>
      <w:footerReference w:type="default" r:id="rId17"/>
      <w:headerReference w:type="first" r:id="rId18"/>
      <w:footerReference w:type="first" r:id="rId19"/>
      <w:pgSz w:w="11906" w:h="16838"/>
      <w:pgMar w:top="1417" w:right="1417" w:bottom="1417" w:left="1417"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FC6AB71" w14:textId="77777777" w:rsidR="00FA7DF9" w:rsidRDefault="00FA7DF9" w:rsidP="0026613F">
      <w:pPr>
        <w:spacing w:after="0" w:line="240" w:lineRule="auto"/>
      </w:pPr>
      <w:r>
        <w:separator/>
      </w:r>
    </w:p>
  </w:endnote>
  <w:endnote w:type="continuationSeparator" w:id="0">
    <w:p w14:paraId="7C3B3375" w14:textId="77777777" w:rsidR="00FA7DF9" w:rsidRDefault="00FA7DF9" w:rsidP="0026613F">
      <w:pPr>
        <w:spacing w:after="0" w:line="240" w:lineRule="auto"/>
      </w:pPr>
      <w:r>
        <w:continuationSeparator/>
      </w:r>
    </w:p>
  </w:endnote>
  <w:endnote w:type="continuationNotice" w:id="1">
    <w:p w14:paraId="463BAAFC" w14:textId="77777777" w:rsidR="00FA7DF9" w:rsidRDefault="00FA7DF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FA80EF" w14:textId="107828F0" w:rsidR="00E42E92" w:rsidRPr="00E42E92" w:rsidRDefault="00E42E92" w:rsidP="00E42E92">
    <w:pPr>
      <w:pStyle w:val="FooterCoverPage"/>
      <w:rPr>
        <w:rFonts w:ascii="Arial" w:hAnsi="Arial" w:cs="Arial"/>
        <w:b/>
        <w:sz w:val="48"/>
      </w:rPr>
    </w:pPr>
    <w:r w:rsidRPr="00E42E92">
      <w:rPr>
        <w:rFonts w:ascii="Arial" w:hAnsi="Arial" w:cs="Arial"/>
        <w:b/>
        <w:sz w:val="48"/>
      </w:rPr>
      <w:t>EN</w:t>
    </w:r>
    <w:r w:rsidRPr="00E42E92">
      <w:rPr>
        <w:rFonts w:ascii="Arial" w:hAnsi="Arial" w:cs="Arial"/>
        <w:b/>
        <w:sz w:val="48"/>
      </w:rPr>
      <w:tab/>
    </w:r>
    <w:r w:rsidRPr="00E42E92">
      <w:rPr>
        <w:rFonts w:ascii="Arial" w:hAnsi="Arial" w:cs="Arial"/>
        <w:b/>
        <w:sz w:val="48"/>
      </w:rPr>
      <w:tab/>
    </w:r>
    <w:r w:rsidRPr="00E42E92">
      <w:tab/>
    </w:r>
    <w:r w:rsidRPr="00E42E92">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406863" w14:textId="6E716EF3" w:rsidR="00E42E92" w:rsidRPr="00E42E92" w:rsidRDefault="00E42E92" w:rsidP="00E42E92">
    <w:pPr>
      <w:pStyle w:val="FooterCoverPage"/>
      <w:rPr>
        <w:rFonts w:ascii="Arial" w:hAnsi="Arial" w:cs="Arial"/>
        <w:b/>
        <w:sz w:val="48"/>
      </w:rPr>
    </w:pPr>
    <w:r w:rsidRPr="00E42E92">
      <w:rPr>
        <w:rFonts w:ascii="Arial" w:hAnsi="Arial" w:cs="Arial"/>
        <w:b/>
        <w:sz w:val="48"/>
      </w:rPr>
      <w:t>EN</w:t>
    </w:r>
    <w:r w:rsidRPr="00E42E92">
      <w:rPr>
        <w:rFonts w:ascii="Arial" w:hAnsi="Arial" w:cs="Arial"/>
        <w:b/>
        <w:sz w:val="48"/>
      </w:rPr>
      <w:tab/>
    </w:r>
    <w:r w:rsidRPr="00E42E92">
      <w:rPr>
        <w:rFonts w:ascii="Arial" w:hAnsi="Arial" w:cs="Arial"/>
        <w:b/>
        <w:sz w:val="48"/>
      </w:rPr>
      <w:tab/>
    </w:r>
    <w:r w:rsidRPr="00E42E92">
      <w:tab/>
    </w:r>
    <w:r w:rsidRPr="00E42E92">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B8CE13" w14:textId="77777777" w:rsidR="00E42E92" w:rsidRPr="00E42E92" w:rsidRDefault="00E42E92" w:rsidP="00E42E92">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37D06A" w14:textId="77777777" w:rsidR="0026613F" w:rsidRDefault="0026613F">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545DAE" w14:textId="77777777" w:rsidR="0026613F" w:rsidRDefault="0026613F">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5FB3C1" w14:textId="77777777" w:rsidR="0026613F" w:rsidRDefault="0026613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4E323C6" w14:textId="77777777" w:rsidR="00FA7DF9" w:rsidRDefault="00FA7DF9" w:rsidP="0026613F">
      <w:pPr>
        <w:spacing w:after="0" w:line="240" w:lineRule="auto"/>
      </w:pPr>
      <w:r>
        <w:separator/>
      </w:r>
    </w:p>
  </w:footnote>
  <w:footnote w:type="continuationSeparator" w:id="0">
    <w:p w14:paraId="78F35800" w14:textId="77777777" w:rsidR="00FA7DF9" w:rsidRDefault="00FA7DF9" w:rsidP="0026613F">
      <w:pPr>
        <w:spacing w:after="0" w:line="240" w:lineRule="auto"/>
      </w:pPr>
      <w:r>
        <w:continuationSeparator/>
      </w:r>
    </w:p>
  </w:footnote>
  <w:footnote w:type="continuationNotice" w:id="1">
    <w:p w14:paraId="22C780CC" w14:textId="77777777" w:rsidR="00FA7DF9" w:rsidRDefault="00FA7DF9">
      <w:pPr>
        <w:spacing w:after="0" w:line="240" w:lineRule="auto"/>
      </w:pPr>
    </w:p>
  </w:footnote>
  <w:footnote w:id="2">
    <w:p w14:paraId="553F5AC0" w14:textId="78A4BF24" w:rsidR="00450216" w:rsidRPr="00450216" w:rsidRDefault="00450216">
      <w:pPr>
        <w:pStyle w:val="FootnoteText"/>
      </w:pPr>
      <w:r>
        <w:rPr>
          <w:rStyle w:val="FootnoteReference"/>
        </w:rPr>
        <w:footnoteRef/>
      </w:r>
      <w:r>
        <w:t xml:space="preserve"> </w:t>
      </w:r>
      <w:r w:rsidRPr="002B2455">
        <w:t>Council Directive 2003/49/EC of 3 June 2003 on a common system of taxation applicable to interest and royalty payments made between associated companies of different Member States.</w:t>
      </w:r>
    </w:p>
  </w:footnote>
  <w:footnote w:id="3">
    <w:p w14:paraId="07B3E8C6" w14:textId="106C9ED3" w:rsidR="00450216" w:rsidRPr="00450216" w:rsidRDefault="00450216">
      <w:pPr>
        <w:pStyle w:val="FootnoteText"/>
      </w:pPr>
      <w:r>
        <w:rPr>
          <w:rStyle w:val="FootnoteReference"/>
        </w:rPr>
        <w:footnoteRef/>
      </w:r>
      <w:r>
        <w:t xml:space="preserve"> </w:t>
      </w:r>
      <w:r w:rsidRPr="00450216">
        <w:t>Council Directive 2011/96/EU of 30 November 2011 on the common system of taxation applicable in the case of parent companies and subsidiaries of different Member States.</w:t>
      </w:r>
    </w:p>
  </w:footnote>
  <w:footnote w:id="4">
    <w:p w14:paraId="5A388E8E" w14:textId="3215BE0C" w:rsidR="009F0D7E" w:rsidRPr="002B2455" w:rsidRDefault="009F0D7E" w:rsidP="009F0D7E">
      <w:pPr>
        <w:pStyle w:val="FootnoteText"/>
      </w:pPr>
      <w:r w:rsidRPr="002B2455">
        <w:rPr>
          <w:rStyle w:val="FootnoteReference"/>
        </w:rPr>
        <w:footnoteRef/>
      </w:r>
      <w:r w:rsidRPr="002B2455">
        <w:t xml:space="preserve"> Council Directive 2009/133/EC of 19 October 2009 on the common system of taxation applicable to mergers, divisions, partial divisions, transfers of assets and exchanges of shares concerning companies of different Member States and to the transfer of the registered office of an SE or SCE between Member States.</w:t>
      </w:r>
      <w:r w:rsidR="00450216" w:rsidRPr="00450216">
        <w:t xml:space="preserve"> </w:t>
      </w:r>
    </w:p>
  </w:footnote>
  <w:footnote w:id="5">
    <w:p w14:paraId="46C1C92F" w14:textId="77777777" w:rsidR="009F0D7E" w:rsidRPr="002B2455" w:rsidRDefault="009F0D7E" w:rsidP="009F0D7E">
      <w:pPr>
        <w:pStyle w:val="FootnoteText"/>
      </w:pPr>
      <w:r w:rsidRPr="002B2455">
        <w:rPr>
          <w:rStyle w:val="FootnoteReference"/>
        </w:rPr>
        <w:footnoteRef/>
      </w:r>
      <w:r w:rsidRPr="002B2455">
        <w:t xml:space="preserve"> Council Directive (EU) 2016/1164 of 12 July 2016 laying down rules against tax avoidance practices that directly affect the functioning of the internal market. </w:t>
      </w:r>
    </w:p>
  </w:footnote>
  <w:footnote w:id="6">
    <w:p w14:paraId="134FE39F" w14:textId="77777777" w:rsidR="009F0D7E" w:rsidRPr="002B2455" w:rsidRDefault="009F0D7E" w:rsidP="009F0D7E">
      <w:pPr>
        <w:pStyle w:val="FootnoteText"/>
      </w:pPr>
      <w:r w:rsidRPr="002B2455">
        <w:rPr>
          <w:rStyle w:val="FootnoteReference"/>
        </w:rPr>
        <w:footnoteRef/>
      </w:r>
      <w:r w:rsidRPr="002B2455">
        <w:t xml:space="preserve"> </w:t>
      </w:r>
      <w:r w:rsidRPr="002B2455">
        <w:rPr>
          <w:rFonts w:eastAsia="Aptos"/>
        </w:rPr>
        <w:t>Council Directive (EU) 2017/1852 of 10 October 2017 on tax dispute resolution mechanisms in the European Union</w:t>
      </w:r>
      <w:r>
        <w:rPr>
          <w:rFonts w:eastAsia="Aptos"/>
        </w:rPr>
        <w:t>.</w:t>
      </w:r>
    </w:p>
  </w:footnote>
  <w:footnote w:id="7">
    <w:p w14:paraId="0A57FD85" w14:textId="65B30F91" w:rsidR="00F174AC" w:rsidRPr="000013CF" w:rsidRDefault="00F174AC">
      <w:pPr>
        <w:pStyle w:val="FootnoteText"/>
      </w:pPr>
      <w:r>
        <w:rPr>
          <w:rStyle w:val="FootnoteReference"/>
        </w:rPr>
        <w:footnoteRef/>
      </w:r>
      <w:r>
        <w:t xml:space="preserve"> </w:t>
      </w:r>
      <w:r w:rsidR="0026529C" w:rsidRPr="0026529C">
        <w:t>Council Directive (EU) 2025/50 of 10 December 2024 on faster and safer relief of excess withholding taxes</w:t>
      </w:r>
      <w:r w:rsidR="0026529C">
        <w:t xml:space="preserve">. </w:t>
      </w:r>
    </w:p>
  </w:footnote>
  <w:footnote w:id="8">
    <w:p w14:paraId="673C331A" w14:textId="77777777" w:rsidR="009F0D7E" w:rsidRPr="00084F69" w:rsidRDefault="009F0D7E" w:rsidP="009F0D7E">
      <w:pPr>
        <w:pStyle w:val="FootnoteText"/>
      </w:pPr>
      <w:r w:rsidRPr="00B05AC9">
        <w:rPr>
          <w:rStyle w:val="FootnoteReference"/>
        </w:rPr>
        <w:footnoteRef/>
      </w:r>
      <w:r w:rsidRPr="00B05AC9">
        <w:t xml:space="preserve"> </w:t>
      </w:r>
      <w:r w:rsidRPr="002E61DA">
        <w:t>Council Directive (EU) 2022/2523 of 14 December 2022 on ensuring a global minimum level of taxation for multinational enterprise groups and large-scale domestic groups in the Union</w:t>
      </w:r>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D543A8" w14:textId="77777777" w:rsidR="00E42E92" w:rsidRPr="00E42E92" w:rsidRDefault="00E42E92" w:rsidP="00E42E92">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C777C6" w14:textId="77777777" w:rsidR="00E42E92" w:rsidRPr="00E42E92" w:rsidRDefault="00E42E92" w:rsidP="00E42E92">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9E5130" w14:textId="77777777" w:rsidR="00E42E92" w:rsidRPr="00E42E92" w:rsidRDefault="00E42E92" w:rsidP="00E42E92">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465DDC" w14:textId="77777777" w:rsidR="0026613F" w:rsidRDefault="0026613F">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B22B12" w14:textId="77777777" w:rsidR="0026613F" w:rsidRDefault="0026613F">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9379D7" w14:textId="77777777" w:rsidR="0026613F" w:rsidRDefault="0026613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2E1658"/>
    <w:multiLevelType w:val="hybridMultilevel"/>
    <w:tmpl w:val="A2702A34"/>
    <w:lvl w:ilvl="0" w:tplc="18090015">
      <w:start w:val="1"/>
      <w:numFmt w:val="upp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 w15:restartNumberingAfterBreak="0">
    <w:nsid w:val="0BA90E6E"/>
    <w:multiLevelType w:val="hybridMultilevel"/>
    <w:tmpl w:val="3640B106"/>
    <w:lvl w:ilvl="0" w:tplc="18090015">
      <w:start w:val="4"/>
      <w:numFmt w:val="upp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 w15:restartNumberingAfterBreak="0">
    <w:nsid w:val="14245440"/>
    <w:multiLevelType w:val="hybridMultilevel"/>
    <w:tmpl w:val="9ABEFF46"/>
    <w:lvl w:ilvl="0" w:tplc="18090015">
      <w:start w:val="2"/>
      <w:numFmt w:val="upp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 w15:restartNumberingAfterBreak="0">
    <w:nsid w:val="15CB5195"/>
    <w:multiLevelType w:val="hybridMultilevel"/>
    <w:tmpl w:val="3BDE2522"/>
    <w:lvl w:ilvl="0" w:tplc="18090015">
      <w:start w:val="1"/>
      <w:numFmt w:val="upp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26DC06BB"/>
    <w:multiLevelType w:val="hybridMultilevel"/>
    <w:tmpl w:val="B88AF740"/>
    <w:lvl w:ilvl="0" w:tplc="18090015">
      <w:start w:val="1"/>
      <w:numFmt w:val="upp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 w15:restartNumberingAfterBreak="0">
    <w:nsid w:val="392F7FC2"/>
    <w:multiLevelType w:val="hybridMultilevel"/>
    <w:tmpl w:val="C54CA550"/>
    <w:lvl w:ilvl="0" w:tplc="A47493E8">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 w15:restartNumberingAfterBreak="0">
    <w:nsid w:val="3D0D62AB"/>
    <w:multiLevelType w:val="hybridMultilevel"/>
    <w:tmpl w:val="8CE4B27A"/>
    <w:lvl w:ilvl="0" w:tplc="18090015">
      <w:start w:val="1"/>
      <w:numFmt w:val="upperLetter"/>
      <w:lvlText w:val="%1."/>
      <w:lvlJc w:val="left"/>
      <w:pPr>
        <w:ind w:left="2769" w:hanging="360"/>
      </w:pPr>
      <w:rPr>
        <w:rFonts w:hint="default"/>
      </w:rPr>
    </w:lvl>
    <w:lvl w:ilvl="1" w:tplc="18090019" w:tentative="1">
      <w:start w:val="1"/>
      <w:numFmt w:val="lowerLetter"/>
      <w:lvlText w:val="%2."/>
      <w:lvlJc w:val="left"/>
      <w:pPr>
        <w:ind w:left="3489" w:hanging="360"/>
      </w:pPr>
    </w:lvl>
    <w:lvl w:ilvl="2" w:tplc="1809001B" w:tentative="1">
      <w:start w:val="1"/>
      <w:numFmt w:val="lowerRoman"/>
      <w:lvlText w:val="%3."/>
      <w:lvlJc w:val="right"/>
      <w:pPr>
        <w:ind w:left="4209" w:hanging="180"/>
      </w:pPr>
    </w:lvl>
    <w:lvl w:ilvl="3" w:tplc="1809000F" w:tentative="1">
      <w:start w:val="1"/>
      <w:numFmt w:val="decimal"/>
      <w:lvlText w:val="%4."/>
      <w:lvlJc w:val="left"/>
      <w:pPr>
        <w:ind w:left="4929" w:hanging="360"/>
      </w:pPr>
    </w:lvl>
    <w:lvl w:ilvl="4" w:tplc="18090019" w:tentative="1">
      <w:start w:val="1"/>
      <w:numFmt w:val="lowerLetter"/>
      <w:lvlText w:val="%5."/>
      <w:lvlJc w:val="left"/>
      <w:pPr>
        <w:ind w:left="5649" w:hanging="360"/>
      </w:pPr>
    </w:lvl>
    <w:lvl w:ilvl="5" w:tplc="1809001B" w:tentative="1">
      <w:start w:val="1"/>
      <w:numFmt w:val="lowerRoman"/>
      <w:lvlText w:val="%6."/>
      <w:lvlJc w:val="right"/>
      <w:pPr>
        <w:ind w:left="6369" w:hanging="180"/>
      </w:pPr>
    </w:lvl>
    <w:lvl w:ilvl="6" w:tplc="1809000F" w:tentative="1">
      <w:start w:val="1"/>
      <w:numFmt w:val="decimal"/>
      <w:lvlText w:val="%7."/>
      <w:lvlJc w:val="left"/>
      <w:pPr>
        <w:ind w:left="7089" w:hanging="360"/>
      </w:pPr>
    </w:lvl>
    <w:lvl w:ilvl="7" w:tplc="18090019" w:tentative="1">
      <w:start w:val="1"/>
      <w:numFmt w:val="lowerLetter"/>
      <w:lvlText w:val="%8."/>
      <w:lvlJc w:val="left"/>
      <w:pPr>
        <w:ind w:left="7809" w:hanging="360"/>
      </w:pPr>
    </w:lvl>
    <w:lvl w:ilvl="8" w:tplc="1809001B" w:tentative="1">
      <w:start w:val="1"/>
      <w:numFmt w:val="lowerRoman"/>
      <w:lvlText w:val="%9."/>
      <w:lvlJc w:val="right"/>
      <w:pPr>
        <w:ind w:left="8529" w:hanging="180"/>
      </w:pPr>
    </w:lvl>
  </w:abstractNum>
  <w:abstractNum w:abstractNumId="7" w15:restartNumberingAfterBreak="0">
    <w:nsid w:val="4FA52651"/>
    <w:multiLevelType w:val="hybridMultilevel"/>
    <w:tmpl w:val="7AAC7A9C"/>
    <w:lvl w:ilvl="0" w:tplc="A47493E8">
      <w:start w:val="1"/>
      <w:numFmt w:val="lowerRoman"/>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50005EE7"/>
    <w:multiLevelType w:val="hybridMultilevel"/>
    <w:tmpl w:val="3A66CB1A"/>
    <w:lvl w:ilvl="0" w:tplc="18090015">
      <w:start w:val="1"/>
      <w:numFmt w:val="upp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9" w15:restartNumberingAfterBreak="0">
    <w:nsid w:val="528F06F7"/>
    <w:multiLevelType w:val="multilevel"/>
    <w:tmpl w:val="0DA618EC"/>
    <w:lvl w:ilvl="0">
      <w:start w:val="1"/>
      <w:numFmt w:val="decimal"/>
      <w:lvlText w:val="%1."/>
      <w:lvlJc w:val="left"/>
      <w:pPr>
        <w:ind w:left="720" w:hanging="360"/>
      </w:pPr>
      <w:rPr>
        <w:rFonts w:hint="default"/>
      </w:rPr>
    </w:lvl>
    <w:lvl w:ilvl="1">
      <w:start w:val="3"/>
      <w:numFmt w:val="decimal"/>
      <w:isLgl/>
      <w:lvlText w:val="%1.%2."/>
      <w:lvlJc w:val="left"/>
      <w:pPr>
        <w:ind w:left="1080" w:hanging="720"/>
      </w:pPr>
      <w:rPr>
        <w:rFonts w:cs="Calibri" w:hint="default"/>
        <w:color w:val="5C5A66"/>
      </w:rPr>
    </w:lvl>
    <w:lvl w:ilvl="2">
      <w:start w:val="1"/>
      <w:numFmt w:val="decimal"/>
      <w:isLgl/>
      <w:lvlText w:val="%1.%2.%3."/>
      <w:lvlJc w:val="left"/>
      <w:pPr>
        <w:ind w:left="1080" w:hanging="720"/>
      </w:pPr>
      <w:rPr>
        <w:rFonts w:cs="Calibri" w:hint="default"/>
        <w:color w:val="5C5A66"/>
      </w:rPr>
    </w:lvl>
    <w:lvl w:ilvl="3">
      <w:start w:val="1"/>
      <w:numFmt w:val="decimal"/>
      <w:isLgl/>
      <w:lvlText w:val="%1.%2.%3.%4."/>
      <w:lvlJc w:val="left"/>
      <w:pPr>
        <w:ind w:left="1440" w:hanging="1080"/>
      </w:pPr>
      <w:rPr>
        <w:rFonts w:cs="Calibri" w:hint="default"/>
        <w:color w:val="5C5A66"/>
      </w:rPr>
    </w:lvl>
    <w:lvl w:ilvl="4">
      <w:start w:val="1"/>
      <w:numFmt w:val="decimal"/>
      <w:isLgl/>
      <w:lvlText w:val="%1.%2.%3.%4.%5."/>
      <w:lvlJc w:val="left"/>
      <w:pPr>
        <w:ind w:left="1440" w:hanging="1080"/>
      </w:pPr>
      <w:rPr>
        <w:rFonts w:cs="Calibri" w:hint="default"/>
        <w:color w:val="5C5A66"/>
      </w:rPr>
    </w:lvl>
    <w:lvl w:ilvl="5">
      <w:start w:val="1"/>
      <w:numFmt w:val="decimal"/>
      <w:isLgl/>
      <w:lvlText w:val="%1.%2.%3.%4.%5.%6."/>
      <w:lvlJc w:val="left"/>
      <w:pPr>
        <w:ind w:left="1800" w:hanging="1440"/>
      </w:pPr>
      <w:rPr>
        <w:rFonts w:cs="Calibri" w:hint="default"/>
        <w:color w:val="5C5A66"/>
      </w:rPr>
    </w:lvl>
    <w:lvl w:ilvl="6">
      <w:start w:val="1"/>
      <w:numFmt w:val="decimal"/>
      <w:isLgl/>
      <w:lvlText w:val="%1.%2.%3.%4.%5.%6.%7."/>
      <w:lvlJc w:val="left"/>
      <w:pPr>
        <w:ind w:left="1800" w:hanging="1440"/>
      </w:pPr>
      <w:rPr>
        <w:rFonts w:cs="Calibri" w:hint="default"/>
        <w:color w:val="5C5A66"/>
      </w:rPr>
    </w:lvl>
    <w:lvl w:ilvl="7">
      <w:start w:val="1"/>
      <w:numFmt w:val="decimal"/>
      <w:isLgl/>
      <w:lvlText w:val="%1.%2.%3.%4.%5.%6.%7.%8."/>
      <w:lvlJc w:val="left"/>
      <w:pPr>
        <w:ind w:left="2160" w:hanging="1800"/>
      </w:pPr>
      <w:rPr>
        <w:rFonts w:cs="Calibri" w:hint="default"/>
        <w:color w:val="5C5A66"/>
      </w:rPr>
    </w:lvl>
    <w:lvl w:ilvl="8">
      <w:start w:val="1"/>
      <w:numFmt w:val="decimal"/>
      <w:isLgl/>
      <w:lvlText w:val="%1.%2.%3.%4.%5.%6.%7.%8.%9."/>
      <w:lvlJc w:val="left"/>
      <w:pPr>
        <w:ind w:left="2160" w:hanging="1800"/>
      </w:pPr>
      <w:rPr>
        <w:rFonts w:cs="Calibri" w:hint="default"/>
        <w:color w:val="5C5A66"/>
      </w:rPr>
    </w:lvl>
  </w:abstractNum>
  <w:abstractNum w:abstractNumId="10" w15:restartNumberingAfterBreak="0">
    <w:nsid w:val="54162822"/>
    <w:multiLevelType w:val="hybridMultilevel"/>
    <w:tmpl w:val="95346BDC"/>
    <w:lvl w:ilvl="0" w:tplc="18090015">
      <w:start w:val="1"/>
      <w:numFmt w:val="upp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1" w15:restartNumberingAfterBreak="0">
    <w:nsid w:val="69180F68"/>
    <w:multiLevelType w:val="hybridMultilevel"/>
    <w:tmpl w:val="32425B16"/>
    <w:lvl w:ilvl="0" w:tplc="18090015">
      <w:start w:val="3"/>
      <w:numFmt w:val="upp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abstractNumId w:val="6"/>
  </w:num>
  <w:num w:numId="2">
    <w:abstractNumId w:val="10"/>
  </w:num>
  <w:num w:numId="3">
    <w:abstractNumId w:val="0"/>
  </w:num>
  <w:num w:numId="4">
    <w:abstractNumId w:val="3"/>
  </w:num>
  <w:num w:numId="5">
    <w:abstractNumId w:val="4"/>
  </w:num>
  <w:num w:numId="6">
    <w:abstractNumId w:val="8"/>
  </w:num>
  <w:num w:numId="7">
    <w:abstractNumId w:val="2"/>
  </w:num>
  <w:num w:numId="8">
    <w:abstractNumId w:val="11"/>
  </w:num>
  <w:num w:numId="9">
    <w:abstractNumId w:val="1"/>
  </w:num>
  <w:num w:numId="10">
    <w:abstractNumId w:val="9"/>
  </w:num>
  <w:num w:numId="11">
    <w:abstractNumId w:val="5"/>
  </w:num>
  <w:num w:numId="1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PersonalInformation/>
  <w:removeDateAndTime/>
  <w:hideSpellingErrors/>
  <w:hideGrammaticalErrors/>
  <w:revisionView w:markup="0"/>
  <w:defaultTabStop w:val="720"/>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ocStatus" w:val="Green"/>
    <w:docVar w:name="EPKit_DocumentHasBeenSaved" w:val="true"/>
    <w:docVar w:name="LW_ACCOMPAGNANT.CP" w:val="Accompanying the document"/>
    <w:docVar w:name="LW_CORRIGENDUM" w:val="&lt;UNUSED&gt;"/>
    <w:docVar w:name="LW_COVERPAGE_EXISTS" w:val="True"/>
    <w:docVar w:name="LW_COVERPAGE_GUID" w:val="DABEA1F3-6AC7-4991-8B02-ECE38440235D"/>
    <w:docVar w:name="LW_COVERPAGE_TYPE" w:val="1"/>
    <w:docVar w:name="LW_CROSSREFERENCE" w:val="{COM(2026) 560 final} - {SEC(2026) 560 final} - {SWD(2026) 560 final} - {SWD(2026) 561 final}"/>
    <w:docVar w:name="LW_DocType" w:val="NORMAL"/>
    <w:docVar w:name="LW_EMISSION" w:val="24.6.2026"/>
    <w:docVar w:name="LW_EMISSION_ISODATE" w:val="2026-06-24"/>
    <w:docVar w:name="LW_EMISSION_LOCATION" w:val="BRX"/>
    <w:docVar w:name="LW_EMISSION_PREFIX" w:val="Brussels, "/>
    <w:docVar w:name="LW_EMISSION_SUFFIX" w:val=" "/>
    <w:docVar w:name="LW_ID_DOCTYPE_NONLW" w:val="CP-027"/>
    <w:docVar w:name="LW_LANGUE" w:val="EN"/>
    <w:docVar w:name="LW_LEVEL_OF_SENSITIVITY" w:val="Standard treatment"/>
    <w:docVar w:name="LW_NOM.INST" w:val="EUROPEAN COMMISSION"/>
    <w:docVar w:name="LW_NOM.INST_JOINTDOC" w:val="&lt;EMPTY&gt;"/>
    <w:docVar w:name="LW_OBJETACTEPRINCIPAL.CP" w:val="amending Council Directives 2003/49/EC, 2009/133/EC, 2011/96/EU, (EU) 2016/1164, (EU) 2017/1852, (EU) 2025/50 as regards the simplification of the Union framework on direct taxation and supporting growth and competitiveness of the EU\u8203? "/>
    <w:docVar w:name="LW_PART_NBR" w:val="1"/>
    <w:docVar w:name="LW_PART_NBR_TOTAL" w:val="1"/>
    <w:docVar w:name="LW_REF.INST.NEW" w:val="SWD"/>
    <w:docVar w:name="LW_REF.INST.NEW_ADOPTED" w:val="final"/>
    <w:docVar w:name="LW_REF.INST.NEW_TEXT" w:val="(2026) 562"/>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lt;UNUSED&gt;"/>
    <w:docVar w:name="LW_TYPE.DOC.CP" w:val="COMMISSION STAFF WORKING DOCUMENT_x000b__x000b_EXECUTIVE SUMMARY OF THE IMPACT ASSESSMENT REPORT_x000b_"/>
    <w:docVar w:name="LW_TYPEACTEPRINCIPAL.CP" w:val="Proposal for a COUNCIL DIRECTIVE "/>
    <w:docVar w:name="LwApiVersions" w:val="LW4CoDe 1.24.5.0; LW 9.2, Build 20251112"/>
  </w:docVars>
  <w:rsids>
    <w:rsidRoot w:val="0026613F"/>
    <w:rsid w:val="00000C00"/>
    <w:rsid w:val="000013CF"/>
    <w:rsid w:val="00003C55"/>
    <w:rsid w:val="00010466"/>
    <w:rsid w:val="00011547"/>
    <w:rsid w:val="000120E1"/>
    <w:rsid w:val="0001305A"/>
    <w:rsid w:val="00016090"/>
    <w:rsid w:val="000200FB"/>
    <w:rsid w:val="00021740"/>
    <w:rsid w:val="000246B7"/>
    <w:rsid w:val="00030CE8"/>
    <w:rsid w:val="00031C72"/>
    <w:rsid w:val="00032263"/>
    <w:rsid w:val="0003393B"/>
    <w:rsid w:val="00036C5D"/>
    <w:rsid w:val="0004333D"/>
    <w:rsid w:val="000461D0"/>
    <w:rsid w:val="00052050"/>
    <w:rsid w:val="0005235D"/>
    <w:rsid w:val="00052704"/>
    <w:rsid w:val="00055B1B"/>
    <w:rsid w:val="00057590"/>
    <w:rsid w:val="0006050B"/>
    <w:rsid w:val="000610A7"/>
    <w:rsid w:val="000613B7"/>
    <w:rsid w:val="000652B9"/>
    <w:rsid w:val="00066172"/>
    <w:rsid w:val="00076BB0"/>
    <w:rsid w:val="00076CB9"/>
    <w:rsid w:val="00080BDF"/>
    <w:rsid w:val="00081260"/>
    <w:rsid w:val="00081882"/>
    <w:rsid w:val="0008194E"/>
    <w:rsid w:val="0008577A"/>
    <w:rsid w:val="00085F0F"/>
    <w:rsid w:val="00086567"/>
    <w:rsid w:val="00087D42"/>
    <w:rsid w:val="00094DD5"/>
    <w:rsid w:val="00096213"/>
    <w:rsid w:val="0009637E"/>
    <w:rsid w:val="000A2105"/>
    <w:rsid w:val="000A4FFA"/>
    <w:rsid w:val="000B2DB5"/>
    <w:rsid w:val="000B3722"/>
    <w:rsid w:val="000B3A8A"/>
    <w:rsid w:val="000B41E9"/>
    <w:rsid w:val="000B4529"/>
    <w:rsid w:val="000B4B67"/>
    <w:rsid w:val="000B5031"/>
    <w:rsid w:val="000B5F97"/>
    <w:rsid w:val="000B6DAE"/>
    <w:rsid w:val="000C2BFD"/>
    <w:rsid w:val="000C71FD"/>
    <w:rsid w:val="000D0D17"/>
    <w:rsid w:val="000D1578"/>
    <w:rsid w:val="000D1678"/>
    <w:rsid w:val="000D49AD"/>
    <w:rsid w:val="000D5A25"/>
    <w:rsid w:val="000E2EA5"/>
    <w:rsid w:val="000E3039"/>
    <w:rsid w:val="000F6C9C"/>
    <w:rsid w:val="001021FD"/>
    <w:rsid w:val="00102CC2"/>
    <w:rsid w:val="00103083"/>
    <w:rsid w:val="00110772"/>
    <w:rsid w:val="00113CD7"/>
    <w:rsid w:val="00114D9E"/>
    <w:rsid w:val="00115C34"/>
    <w:rsid w:val="00116AAA"/>
    <w:rsid w:val="00121874"/>
    <w:rsid w:val="00123C18"/>
    <w:rsid w:val="00124374"/>
    <w:rsid w:val="00127045"/>
    <w:rsid w:val="00133B93"/>
    <w:rsid w:val="001353D7"/>
    <w:rsid w:val="00137A8A"/>
    <w:rsid w:val="00137ECE"/>
    <w:rsid w:val="00144AD0"/>
    <w:rsid w:val="00145960"/>
    <w:rsid w:val="0014799D"/>
    <w:rsid w:val="001555BB"/>
    <w:rsid w:val="0015560C"/>
    <w:rsid w:val="00162ABB"/>
    <w:rsid w:val="00167AE5"/>
    <w:rsid w:val="0017101A"/>
    <w:rsid w:val="00171319"/>
    <w:rsid w:val="00172824"/>
    <w:rsid w:val="00174F36"/>
    <w:rsid w:val="001823B9"/>
    <w:rsid w:val="00183856"/>
    <w:rsid w:val="00184E33"/>
    <w:rsid w:val="00190189"/>
    <w:rsid w:val="00193562"/>
    <w:rsid w:val="00193EBF"/>
    <w:rsid w:val="00194525"/>
    <w:rsid w:val="001976F5"/>
    <w:rsid w:val="001A1849"/>
    <w:rsid w:val="001A5815"/>
    <w:rsid w:val="001B398B"/>
    <w:rsid w:val="001B7EAB"/>
    <w:rsid w:val="001C2B6F"/>
    <w:rsid w:val="001C4B3B"/>
    <w:rsid w:val="001C5161"/>
    <w:rsid w:val="001D3473"/>
    <w:rsid w:val="001D6830"/>
    <w:rsid w:val="001D6F03"/>
    <w:rsid w:val="001D7A89"/>
    <w:rsid w:val="001E2C04"/>
    <w:rsid w:val="001E5E34"/>
    <w:rsid w:val="001E67D4"/>
    <w:rsid w:val="001E7D57"/>
    <w:rsid w:val="001F1E12"/>
    <w:rsid w:val="001F2EDB"/>
    <w:rsid w:val="001F4862"/>
    <w:rsid w:val="001F5E35"/>
    <w:rsid w:val="00203FC8"/>
    <w:rsid w:val="00204251"/>
    <w:rsid w:val="0020445C"/>
    <w:rsid w:val="00204CE6"/>
    <w:rsid w:val="00206778"/>
    <w:rsid w:val="00206835"/>
    <w:rsid w:val="0021393D"/>
    <w:rsid w:val="00215069"/>
    <w:rsid w:val="00217867"/>
    <w:rsid w:val="00217C6C"/>
    <w:rsid w:val="00220350"/>
    <w:rsid w:val="00220493"/>
    <w:rsid w:val="00221BCD"/>
    <w:rsid w:val="002307AF"/>
    <w:rsid w:val="00231EC9"/>
    <w:rsid w:val="00234CB7"/>
    <w:rsid w:val="0023622F"/>
    <w:rsid w:val="0023692F"/>
    <w:rsid w:val="00237AED"/>
    <w:rsid w:val="0024205D"/>
    <w:rsid w:val="00242C1C"/>
    <w:rsid w:val="00247F91"/>
    <w:rsid w:val="00251897"/>
    <w:rsid w:val="0025225A"/>
    <w:rsid w:val="002529A1"/>
    <w:rsid w:val="00253D1B"/>
    <w:rsid w:val="00256FF8"/>
    <w:rsid w:val="002615B5"/>
    <w:rsid w:val="0026529C"/>
    <w:rsid w:val="0026613F"/>
    <w:rsid w:val="00270622"/>
    <w:rsid w:val="00273E12"/>
    <w:rsid w:val="002763E9"/>
    <w:rsid w:val="00276931"/>
    <w:rsid w:val="00283A3B"/>
    <w:rsid w:val="00285029"/>
    <w:rsid w:val="0028747D"/>
    <w:rsid w:val="002912FF"/>
    <w:rsid w:val="00294614"/>
    <w:rsid w:val="00296747"/>
    <w:rsid w:val="002A2E1A"/>
    <w:rsid w:val="002A4AD6"/>
    <w:rsid w:val="002A5B93"/>
    <w:rsid w:val="002A6561"/>
    <w:rsid w:val="002A7178"/>
    <w:rsid w:val="002B064E"/>
    <w:rsid w:val="002C16A3"/>
    <w:rsid w:val="002C3E1A"/>
    <w:rsid w:val="002C66B8"/>
    <w:rsid w:val="002D24E0"/>
    <w:rsid w:val="002D33C4"/>
    <w:rsid w:val="002D3783"/>
    <w:rsid w:val="002D4059"/>
    <w:rsid w:val="002D6FB5"/>
    <w:rsid w:val="002D778C"/>
    <w:rsid w:val="002E1A45"/>
    <w:rsid w:val="002E5C8C"/>
    <w:rsid w:val="002E6849"/>
    <w:rsid w:val="002E70F9"/>
    <w:rsid w:val="002E7C39"/>
    <w:rsid w:val="002F1DEE"/>
    <w:rsid w:val="002F25A7"/>
    <w:rsid w:val="002F3127"/>
    <w:rsid w:val="002F6511"/>
    <w:rsid w:val="003006ED"/>
    <w:rsid w:val="003019E5"/>
    <w:rsid w:val="00310126"/>
    <w:rsid w:val="00310871"/>
    <w:rsid w:val="00312761"/>
    <w:rsid w:val="003134C4"/>
    <w:rsid w:val="00315361"/>
    <w:rsid w:val="00315651"/>
    <w:rsid w:val="00324199"/>
    <w:rsid w:val="00325128"/>
    <w:rsid w:val="00325D69"/>
    <w:rsid w:val="0032600A"/>
    <w:rsid w:val="0033408C"/>
    <w:rsid w:val="00346406"/>
    <w:rsid w:val="003465D2"/>
    <w:rsid w:val="00350DC2"/>
    <w:rsid w:val="00353F30"/>
    <w:rsid w:val="00354D46"/>
    <w:rsid w:val="003552FB"/>
    <w:rsid w:val="00356475"/>
    <w:rsid w:val="003612A0"/>
    <w:rsid w:val="00362273"/>
    <w:rsid w:val="00362C71"/>
    <w:rsid w:val="00362E78"/>
    <w:rsid w:val="00364048"/>
    <w:rsid w:val="00367D37"/>
    <w:rsid w:val="00375A18"/>
    <w:rsid w:val="003767E3"/>
    <w:rsid w:val="00377974"/>
    <w:rsid w:val="00387AD1"/>
    <w:rsid w:val="00394B7D"/>
    <w:rsid w:val="003A0B17"/>
    <w:rsid w:val="003A3055"/>
    <w:rsid w:val="003A5FBD"/>
    <w:rsid w:val="003A64E0"/>
    <w:rsid w:val="003A7C38"/>
    <w:rsid w:val="003B17FB"/>
    <w:rsid w:val="003B20EE"/>
    <w:rsid w:val="003B2ADB"/>
    <w:rsid w:val="003B589C"/>
    <w:rsid w:val="003B7AF9"/>
    <w:rsid w:val="003C1748"/>
    <w:rsid w:val="003C31AD"/>
    <w:rsid w:val="003C4A11"/>
    <w:rsid w:val="003D2BB0"/>
    <w:rsid w:val="003D524E"/>
    <w:rsid w:val="003D5D9D"/>
    <w:rsid w:val="003D7BC0"/>
    <w:rsid w:val="003E34C0"/>
    <w:rsid w:val="003E3DE3"/>
    <w:rsid w:val="003E4969"/>
    <w:rsid w:val="003E5D59"/>
    <w:rsid w:val="003E6C82"/>
    <w:rsid w:val="003E7EBA"/>
    <w:rsid w:val="003F2F35"/>
    <w:rsid w:val="003F64F2"/>
    <w:rsid w:val="004006A9"/>
    <w:rsid w:val="004007DF"/>
    <w:rsid w:val="004008C2"/>
    <w:rsid w:val="004016D8"/>
    <w:rsid w:val="004034C5"/>
    <w:rsid w:val="00405BFA"/>
    <w:rsid w:val="004137F7"/>
    <w:rsid w:val="0041425C"/>
    <w:rsid w:val="00420706"/>
    <w:rsid w:val="004216D9"/>
    <w:rsid w:val="0042594C"/>
    <w:rsid w:val="00426399"/>
    <w:rsid w:val="004275F4"/>
    <w:rsid w:val="00427675"/>
    <w:rsid w:val="00427D22"/>
    <w:rsid w:val="00432A7B"/>
    <w:rsid w:val="00433683"/>
    <w:rsid w:val="004342B3"/>
    <w:rsid w:val="004366B4"/>
    <w:rsid w:val="0044172B"/>
    <w:rsid w:val="00446188"/>
    <w:rsid w:val="00447E45"/>
    <w:rsid w:val="00450216"/>
    <w:rsid w:val="00450EF5"/>
    <w:rsid w:val="00453C29"/>
    <w:rsid w:val="004556FE"/>
    <w:rsid w:val="00456ED2"/>
    <w:rsid w:val="004627BB"/>
    <w:rsid w:val="00462B0B"/>
    <w:rsid w:val="00466B60"/>
    <w:rsid w:val="00466F31"/>
    <w:rsid w:val="00467F11"/>
    <w:rsid w:val="00471037"/>
    <w:rsid w:val="004715A2"/>
    <w:rsid w:val="0047432B"/>
    <w:rsid w:val="004848CE"/>
    <w:rsid w:val="004919F2"/>
    <w:rsid w:val="00493B1E"/>
    <w:rsid w:val="00493D95"/>
    <w:rsid w:val="00497CB4"/>
    <w:rsid w:val="004A0CE2"/>
    <w:rsid w:val="004A157F"/>
    <w:rsid w:val="004A3979"/>
    <w:rsid w:val="004A6D27"/>
    <w:rsid w:val="004A7D69"/>
    <w:rsid w:val="004B07A5"/>
    <w:rsid w:val="004B3D57"/>
    <w:rsid w:val="004C0A44"/>
    <w:rsid w:val="004C1BDD"/>
    <w:rsid w:val="004C2E44"/>
    <w:rsid w:val="004C48BF"/>
    <w:rsid w:val="004C4FB4"/>
    <w:rsid w:val="004C5E3F"/>
    <w:rsid w:val="004C6D30"/>
    <w:rsid w:val="004D55DA"/>
    <w:rsid w:val="004D6E00"/>
    <w:rsid w:val="004E5272"/>
    <w:rsid w:val="004E557F"/>
    <w:rsid w:val="004F1328"/>
    <w:rsid w:val="004F2E7C"/>
    <w:rsid w:val="004F332E"/>
    <w:rsid w:val="004F6810"/>
    <w:rsid w:val="004F7CD9"/>
    <w:rsid w:val="00501CA2"/>
    <w:rsid w:val="005035EF"/>
    <w:rsid w:val="00504552"/>
    <w:rsid w:val="00504C00"/>
    <w:rsid w:val="0050594A"/>
    <w:rsid w:val="00506278"/>
    <w:rsid w:val="00507ADC"/>
    <w:rsid w:val="005105F6"/>
    <w:rsid w:val="00513635"/>
    <w:rsid w:val="0051373F"/>
    <w:rsid w:val="0052048B"/>
    <w:rsid w:val="00521027"/>
    <w:rsid w:val="00521721"/>
    <w:rsid w:val="00521E61"/>
    <w:rsid w:val="00525CA9"/>
    <w:rsid w:val="00530350"/>
    <w:rsid w:val="00534A9A"/>
    <w:rsid w:val="00537CD3"/>
    <w:rsid w:val="00540271"/>
    <w:rsid w:val="005402AC"/>
    <w:rsid w:val="005412CB"/>
    <w:rsid w:val="0054454F"/>
    <w:rsid w:val="005465F6"/>
    <w:rsid w:val="005512CB"/>
    <w:rsid w:val="005537F3"/>
    <w:rsid w:val="00553D1B"/>
    <w:rsid w:val="0056333B"/>
    <w:rsid w:val="0056509F"/>
    <w:rsid w:val="00567A28"/>
    <w:rsid w:val="00571DEE"/>
    <w:rsid w:val="00573299"/>
    <w:rsid w:val="00574B50"/>
    <w:rsid w:val="00582362"/>
    <w:rsid w:val="0058331F"/>
    <w:rsid w:val="00584132"/>
    <w:rsid w:val="005854E1"/>
    <w:rsid w:val="00586404"/>
    <w:rsid w:val="0059101D"/>
    <w:rsid w:val="00592524"/>
    <w:rsid w:val="005938B4"/>
    <w:rsid w:val="00594781"/>
    <w:rsid w:val="00596AB5"/>
    <w:rsid w:val="00596F5D"/>
    <w:rsid w:val="005976C3"/>
    <w:rsid w:val="005A15BD"/>
    <w:rsid w:val="005A5741"/>
    <w:rsid w:val="005A5DCF"/>
    <w:rsid w:val="005B157A"/>
    <w:rsid w:val="005B2037"/>
    <w:rsid w:val="005B42E7"/>
    <w:rsid w:val="005B543C"/>
    <w:rsid w:val="005C16D5"/>
    <w:rsid w:val="005C216C"/>
    <w:rsid w:val="005C627C"/>
    <w:rsid w:val="005C6D9D"/>
    <w:rsid w:val="005D079C"/>
    <w:rsid w:val="005D34AC"/>
    <w:rsid w:val="005E3A63"/>
    <w:rsid w:val="005F0067"/>
    <w:rsid w:val="005F34CC"/>
    <w:rsid w:val="005F38B6"/>
    <w:rsid w:val="005F54C0"/>
    <w:rsid w:val="005F589B"/>
    <w:rsid w:val="0060249C"/>
    <w:rsid w:val="00604E83"/>
    <w:rsid w:val="006059FC"/>
    <w:rsid w:val="00611A56"/>
    <w:rsid w:val="00611AA7"/>
    <w:rsid w:val="006136F3"/>
    <w:rsid w:val="00615AF4"/>
    <w:rsid w:val="00622F2B"/>
    <w:rsid w:val="006231B7"/>
    <w:rsid w:val="00624693"/>
    <w:rsid w:val="00627B77"/>
    <w:rsid w:val="0063420F"/>
    <w:rsid w:val="006379ED"/>
    <w:rsid w:val="00637AC5"/>
    <w:rsid w:val="00643248"/>
    <w:rsid w:val="006433C6"/>
    <w:rsid w:val="00645321"/>
    <w:rsid w:val="006468F6"/>
    <w:rsid w:val="00656B0B"/>
    <w:rsid w:val="00656FE3"/>
    <w:rsid w:val="006631DB"/>
    <w:rsid w:val="00672D3B"/>
    <w:rsid w:val="00673A32"/>
    <w:rsid w:val="00674B52"/>
    <w:rsid w:val="006751F1"/>
    <w:rsid w:val="00675334"/>
    <w:rsid w:val="006755C7"/>
    <w:rsid w:val="00676D90"/>
    <w:rsid w:val="00680158"/>
    <w:rsid w:val="006805A3"/>
    <w:rsid w:val="00681EC9"/>
    <w:rsid w:val="00682715"/>
    <w:rsid w:val="006831EC"/>
    <w:rsid w:val="006843D5"/>
    <w:rsid w:val="00684A68"/>
    <w:rsid w:val="00685B6C"/>
    <w:rsid w:val="0068678A"/>
    <w:rsid w:val="00690D7B"/>
    <w:rsid w:val="00694110"/>
    <w:rsid w:val="006946B4"/>
    <w:rsid w:val="006958E4"/>
    <w:rsid w:val="006977E2"/>
    <w:rsid w:val="006A15BE"/>
    <w:rsid w:val="006A6549"/>
    <w:rsid w:val="006B4846"/>
    <w:rsid w:val="006C0874"/>
    <w:rsid w:val="006C141D"/>
    <w:rsid w:val="006C2AE8"/>
    <w:rsid w:val="006C3CCE"/>
    <w:rsid w:val="006C6543"/>
    <w:rsid w:val="006D0EE2"/>
    <w:rsid w:val="006D3A1C"/>
    <w:rsid w:val="006D4841"/>
    <w:rsid w:val="006D5DCD"/>
    <w:rsid w:val="006D68AB"/>
    <w:rsid w:val="006D6CC1"/>
    <w:rsid w:val="006D7BD9"/>
    <w:rsid w:val="006E0469"/>
    <w:rsid w:val="006E7CBA"/>
    <w:rsid w:val="006F18CA"/>
    <w:rsid w:val="00704F37"/>
    <w:rsid w:val="007050B1"/>
    <w:rsid w:val="00707E5D"/>
    <w:rsid w:val="00714365"/>
    <w:rsid w:val="00715C64"/>
    <w:rsid w:val="007201C9"/>
    <w:rsid w:val="00720619"/>
    <w:rsid w:val="00723174"/>
    <w:rsid w:val="00726C4E"/>
    <w:rsid w:val="00732B10"/>
    <w:rsid w:val="00737BF9"/>
    <w:rsid w:val="00741B8E"/>
    <w:rsid w:val="0074208C"/>
    <w:rsid w:val="007438C5"/>
    <w:rsid w:val="00746FDE"/>
    <w:rsid w:val="0075151F"/>
    <w:rsid w:val="007531EB"/>
    <w:rsid w:val="007537F3"/>
    <w:rsid w:val="0075436D"/>
    <w:rsid w:val="00754496"/>
    <w:rsid w:val="007644CA"/>
    <w:rsid w:val="0076583D"/>
    <w:rsid w:val="00765BE8"/>
    <w:rsid w:val="00771386"/>
    <w:rsid w:val="00771B21"/>
    <w:rsid w:val="00773373"/>
    <w:rsid w:val="0077415D"/>
    <w:rsid w:val="007777F8"/>
    <w:rsid w:val="0078001C"/>
    <w:rsid w:val="00780A2E"/>
    <w:rsid w:val="00781B8E"/>
    <w:rsid w:val="00782383"/>
    <w:rsid w:val="007829E9"/>
    <w:rsid w:val="00785458"/>
    <w:rsid w:val="00786A60"/>
    <w:rsid w:val="0078726E"/>
    <w:rsid w:val="00787383"/>
    <w:rsid w:val="00792878"/>
    <w:rsid w:val="00793B70"/>
    <w:rsid w:val="00794E9F"/>
    <w:rsid w:val="007956A5"/>
    <w:rsid w:val="00795EF0"/>
    <w:rsid w:val="007A1A84"/>
    <w:rsid w:val="007A3F1D"/>
    <w:rsid w:val="007A6008"/>
    <w:rsid w:val="007A7050"/>
    <w:rsid w:val="007B16E9"/>
    <w:rsid w:val="007B1A85"/>
    <w:rsid w:val="007B536A"/>
    <w:rsid w:val="007B5737"/>
    <w:rsid w:val="007C17A0"/>
    <w:rsid w:val="007C66B8"/>
    <w:rsid w:val="007C751F"/>
    <w:rsid w:val="007C7C3E"/>
    <w:rsid w:val="007D21AC"/>
    <w:rsid w:val="007D74CA"/>
    <w:rsid w:val="007E0B1D"/>
    <w:rsid w:val="007E17B9"/>
    <w:rsid w:val="007E260E"/>
    <w:rsid w:val="007E41B4"/>
    <w:rsid w:val="007E4949"/>
    <w:rsid w:val="007F0211"/>
    <w:rsid w:val="007F1B02"/>
    <w:rsid w:val="007F48A8"/>
    <w:rsid w:val="007F5200"/>
    <w:rsid w:val="0080042D"/>
    <w:rsid w:val="00804A26"/>
    <w:rsid w:val="008074E0"/>
    <w:rsid w:val="00810E17"/>
    <w:rsid w:val="0081214D"/>
    <w:rsid w:val="00816BE1"/>
    <w:rsid w:val="00820591"/>
    <w:rsid w:val="008214CB"/>
    <w:rsid w:val="0082212F"/>
    <w:rsid w:val="008237DF"/>
    <w:rsid w:val="00823AD6"/>
    <w:rsid w:val="00826E05"/>
    <w:rsid w:val="00827C67"/>
    <w:rsid w:val="00831CAA"/>
    <w:rsid w:val="008331B9"/>
    <w:rsid w:val="00837589"/>
    <w:rsid w:val="0084119D"/>
    <w:rsid w:val="00846C9C"/>
    <w:rsid w:val="0085380A"/>
    <w:rsid w:val="00854024"/>
    <w:rsid w:val="00854520"/>
    <w:rsid w:val="00855324"/>
    <w:rsid w:val="0086081F"/>
    <w:rsid w:val="00860EAD"/>
    <w:rsid w:val="00866353"/>
    <w:rsid w:val="00867ABF"/>
    <w:rsid w:val="00867B12"/>
    <w:rsid w:val="008701A1"/>
    <w:rsid w:val="00871A3D"/>
    <w:rsid w:val="00876BE9"/>
    <w:rsid w:val="00877882"/>
    <w:rsid w:val="008824C6"/>
    <w:rsid w:val="008857F4"/>
    <w:rsid w:val="00885AFE"/>
    <w:rsid w:val="008932BC"/>
    <w:rsid w:val="00894B86"/>
    <w:rsid w:val="0089553E"/>
    <w:rsid w:val="008A11D1"/>
    <w:rsid w:val="008A34B3"/>
    <w:rsid w:val="008A43A8"/>
    <w:rsid w:val="008A6C06"/>
    <w:rsid w:val="008A7747"/>
    <w:rsid w:val="008B0F67"/>
    <w:rsid w:val="008B5614"/>
    <w:rsid w:val="008B731E"/>
    <w:rsid w:val="008C1E50"/>
    <w:rsid w:val="008C617B"/>
    <w:rsid w:val="008C6B18"/>
    <w:rsid w:val="008D224B"/>
    <w:rsid w:val="008D7BBD"/>
    <w:rsid w:val="008E0358"/>
    <w:rsid w:val="008E2337"/>
    <w:rsid w:val="008E4F23"/>
    <w:rsid w:val="008E7924"/>
    <w:rsid w:val="008F166F"/>
    <w:rsid w:val="008F177F"/>
    <w:rsid w:val="008F4B5D"/>
    <w:rsid w:val="008F6593"/>
    <w:rsid w:val="0090096B"/>
    <w:rsid w:val="00900FB6"/>
    <w:rsid w:val="00903429"/>
    <w:rsid w:val="0090512C"/>
    <w:rsid w:val="00911B5C"/>
    <w:rsid w:val="0091219B"/>
    <w:rsid w:val="00915F06"/>
    <w:rsid w:val="009179C4"/>
    <w:rsid w:val="00917B26"/>
    <w:rsid w:val="00920208"/>
    <w:rsid w:val="00920653"/>
    <w:rsid w:val="009235D8"/>
    <w:rsid w:val="0092511D"/>
    <w:rsid w:val="00926AE4"/>
    <w:rsid w:val="009276D1"/>
    <w:rsid w:val="00927D9D"/>
    <w:rsid w:val="00930FEA"/>
    <w:rsid w:val="0093375C"/>
    <w:rsid w:val="00936CA7"/>
    <w:rsid w:val="00937328"/>
    <w:rsid w:val="00945703"/>
    <w:rsid w:val="009458F6"/>
    <w:rsid w:val="009467A7"/>
    <w:rsid w:val="0095559F"/>
    <w:rsid w:val="009569A8"/>
    <w:rsid w:val="0096587F"/>
    <w:rsid w:val="00966828"/>
    <w:rsid w:val="00981B6C"/>
    <w:rsid w:val="00982844"/>
    <w:rsid w:val="00982E6F"/>
    <w:rsid w:val="00984276"/>
    <w:rsid w:val="009842B6"/>
    <w:rsid w:val="00984753"/>
    <w:rsid w:val="0098482F"/>
    <w:rsid w:val="00984D4B"/>
    <w:rsid w:val="009861E8"/>
    <w:rsid w:val="00986949"/>
    <w:rsid w:val="00990880"/>
    <w:rsid w:val="009931D4"/>
    <w:rsid w:val="009931E6"/>
    <w:rsid w:val="00994031"/>
    <w:rsid w:val="009951E3"/>
    <w:rsid w:val="00996787"/>
    <w:rsid w:val="009A097C"/>
    <w:rsid w:val="009A4690"/>
    <w:rsid w:val="009A512E"/>
    <w:rsid w:val="009A7CA8"/>
    <w:rsid w:val="009B0DB5"/>
    <w:rsid w:val="009B21AA"/>
    <w:rsid w:val="009C2F76"/>
    <w:rsid w:val="009C4594"/>
    <w:rsid w:val="009C4CAE"/>
    <w:rsid w:val="009C529A"/>
    <w:rsid w:val="009D19C5"/>
    <w:rsid w:val="009D2E44"/>
    <w:rsid w:val="009D3E4B"/>
    <w:rsid w:val="009D6A33"/>
    <w:rsid w:val="009D6ACA"/>
    <w:rsid w:val="009E3636"/>
    <w:rsid w:val="009E3903"/>
    <w:rsid w:val="009E5576"/>
    <w:rsid w:val="009F0D7E"/>
    <w:rsid w:val="009F19C4"/>
    <w:rsid w:val="009F23F6"/>
    <w:rsid w:val="009F2C15"/>
    <w:rsid w:val="009F4DF4"/>
    <w:rsid w:val="009F6C18"/>
    <w:rsid w:val="00A0710B"/>
    <w:rsid w:val="00A07FFB"/>
    <w:rsid w:val="00A26A8E"/>
    <w:rsid w:val="00A26B9F"/>
    <w:rsid w:val="00A32032"/>
    <w:rsid w:val="00A3208B"/>
    <w:rsid w:val="00A32140"/>
    <w:rsid w:val="00A32B36"/>
    <w:rsid w:val="00A3371C"/>
    <w:rsid w:val="00A421C8"/>
    <w:rsid w:val="00A4244C"/>
    <w:rsid w:val="00A44E59"/>
    <w:rsid w:val="00A451CB"/>
    <w:rsid w:val="00A460B5"/>
    <w:rsid w:val="00A467B2"/>
    <w:rsid w:val="00A467D0"/>
    <w:rsid w:val="00A46FBE"/>
    <w:rsid w:val="00A50661"/>
    <w:rsid w:val="00A511D9"/>
    <w:rsid w:val="00A563FC"/>
    <w:rsid w:val="00A57B35"/>
    <w:rsid w:val="00A618F6"/>
    <w:rsid w:val="00A625A5"/>
    <w:rsid w:val="00A650A7"/>
    <w:rsid w:val="00A664A0"/>
    <w:rsid w:val="00A7066D"/>
    <w:rsid w:val="00A72E72"/>
    <w:rsid w:val="00A75721"/>
    <w:rsid w:val="00A76198"/>
    <w:rsid w:val="00A81369"/>
    <w:rsid w:val="00A8424D"/>
    <w:rsid w:val="00A87BCF"/>
    <w:rsid w:val="00A9017E"/>
    <w:rsid w:val="00A90FED"/>
    <w:rsid w:val="00A939D0"/>
    <w:rsid w:val="00AA1F8C"/>
    <w:rsid w:val="00AA27D3"/>
    <w:rsid w:val="00AA6A19"/>
    <w:rsid w:val="00AB0F04"/>
    <w:rsid w:val="00AB2DAC"/>
    <w:rsid w:val="00AC227E"/>
    <w:rsid w:val="00AC37B8"/>
    <w:rsid w:val="00AC46DC"/>
    <w:rsid w:val="00AC4D23"/>
    <w:rsid w:val="00AC5893"/>
    <w:rsid w:val="00AC58A7"/>
    <w:rsid w:val="00AC5EFD"/>
    <w:rsid w:val="00AC680E"/>
    <w:rsid w:val="00AD14C1"/>
    <w:rsid w:val="00AD2B31"/>
    <w:rsid w:val="00AD3E94"/>
    <w:rsid w:val="00AD7B2C"/>
    <w:rsid w:val="00AD7CD6"/>
    <w:rsid w:val="00AE0981"/>
    <w:rsid w:val="00AE2CF0"/>
    <w:rsid w:val="00AE5584"/>
    <w:rsid w:val="00AE6F4E"/>
    <w:rsid w:val="00AF0382"/>
    <w:rsid w:val="00AF1919"/>
    <w:rsid w:val="00AF2564"/>
    <w:rsid w:val="00AF58BD"/>
    <w:rsid w:val="00AF7906"/>
    <w:rsid w:val="00AF7B68"/>
    <w:rsid w:val="00B1313A"/>
    <w:rsid w:val="00B13E61"/>
    <w:rsid w:val="00B1566B"/>
    <w:rsid w:val="00B20176"/>
    <w:rsid w:val="00B20ABC"/>
    <w:rsid w:val="00B21A19"/>
    <w:rsid w:val="00B22A6F"/>
    <w:rsid w:val="00B271BB"/>
    <w:rsid w:val="00B31789"/>
    <w:rsid w:val="00B31B3D"/>
    <w:rsid w:val="00B33E31"/>
    <w:rsid w:val="00B3514E"/>
    <w:rsid w:val="00B36E9D"/>
    <w:rsid w:val="00B4104B"/>
    <w:rsid w:val="00B45925"/>
    <w:rsid w:val="00B470A7"/>
    <w:rsid w:val="00B47B3F"/>
    <w:rsid w:val="00B50DB6"/>
    <w:rsid w:val="00B5246E"/>
    <w:rsid w:val="00B564B1"/>
    <w:rsid w:val="00B57CDE"/>
    <w:rsid w:val="00B6006B"/>
    <w:rsid w:val="00B61BBB"/>
    <w:rsid w:val="00B6506B"/>
    <w:rsid w:val="00B717F3"/>
    <w:rsid w:val="00B73B64"/>
    <w:rsid w:val="00B81B8B"/>
    <w:rsid w:val="00B922F7"/>
    <w:rsid w:val="00B94457"/>
    <w:rsid w:val="00B968A9"/>
    <w:rsid w:val="00BA08E2"/>
    <w:rsid w:val="00BA213A"/>
    <w:rsid w:val="00BA5119"/>
    <w:rsid w:val="00BA65E9"/>
    <w:rsid w:val="00BA7261"/>
    <w:rsid w:val="00BA7381"/>
    <w:rsid w:val="00BA773B"/>
    <w:rsid w:val="00BB1ECC"/>
    <w:rsid w:val="00BB49C6"/>
    <w:rsid w:val="00BB65AC"/>
    <w:rsid w:val="00BB6FE1"/>
    <w:rsid w:val="00BB7273"/>
    <w:rsid w:val="00BB757A"/>
    <w:rsid w:val="00BC2C5D"/>
    <w:rsid w:val="00BC3AEA"/>
    <w:rsid w:val="00BC4770"/>
    <w:rsid w:val="00BC4A64"/>
    <w:rsid w:val="00BC768A"/>
    <w:rsid w:val="00BC7B24"/>
    <w:rsid w:val="00BD4170"/>
    <w:rsid w:val="00BD5411"/>
    <w:rsid w:val="00BD77C6"/>
    <w:rsid w:val="00BE13CE"/>
    <w:rsid w:val="00BE76FF"/>
    <w:rsid w:val="00BE7707"/>
    <w:rsid w:val="00BF0A45"/>
    <w:rsid w:val="00BF452D"/>
    <w:rsid w:val="00BF5E13"/>
    <w:rsid w:val="00C00154"/>
    <w:rsid w:val="00C037D4"/>
    <w:rsid w:val="00C06AD3"/>
    <w:rsid w:val="00C11509"/>
    <w:rsid w:val="00C128AF"/>
    <w:rsid w:val="00C15264"/>
    <w:rsid w:val="00C204CA"/>
    <w:rsid w:val="00C21135"/>
    <w:rsid w:val="00C21E25"/>
    <w:rsid w:val="00C23F6C"/>
    <w:rsid w:val="00C24A1B"/>
    <w:rsid w:val="00C25AA8"/>
    <w:rsid w:val="00C34D57"/>
    <w:rsid w:val="00C3685E"/>
    <w:rsid w:val="00C410BE"/>
    <w:rsid w:val="00C42B22"/>
    <w:rsid w:val="00C434C9"/>
    <w:rsid w:val="00C43B96"/>
    <w:rsid w:val="00C50026"/>
    <w:rsid w:val="00C50DC0"/>
    <w:rsid w:val="00C5432E"/>
    <w:rsid w:val="00C63FE4"/>
    <w:rsid w:val="00C65306"/>
    <w:rsid w:val="00C65E45"/>
    <w:rsid w:val="00C66E80"/>
    <w:rsid w:val="00C67587"/>
    <w:rsid w:val="00C67E16"/>
    <w:rsid w:val="00C70ADC"/>
    <w:rsid w:val="00C70DCE"/>
    <w:rsid w:val="00C717FB"/>
    <w:rsid w:val="00C71DB3"/>
    <w:rsid w:val="00C72521"/>
    <w:rsid w:val="00C72776"/>
    <w:rsid w:val="00C753FC"/>
    <w:rsid w:val="00C76924"/>
    <w:rsid w:val="00C769AE"/>
    <w:rsid w:val="00C778D1"/>
    <w:rsid w:val="00C8024B"/>
    <w:rsid w:val="00C8289A"/>
    <w:rsid w:val="00C842E7"/>
    <w:rsid w:val="00C91BDC"/>
    <w:rsid w:val="00C924A3"/>
    <w:rsid w:val="00C93B89"/>
    <w:rsid w:val="00C94CB0"/>
    <w:rsid w:val="00C94F50"/>
    <w:rsid w:val="00C965A4"/>
    <w:rsid w:val="00C97F80"/>
    <w:rsid w:val="00CA0DC7"/>
    <w:rsid w:val="00CA30D2"/>
    <w:rsid w:val="00CA33BD"/>
    <w:rsid w:val="00CA5EB9"/>
    <w:rsid w:val="00CB1E17"/>
    <w:rsid w:val="00CB521B"/>
    <w:rsid w:val="00CB7870"/>
    <w:rsid w:val="00CC20D8"/>
    <w:rsid w:val="00CC59FC"/>
    <w:rsid w:val="00CC6E79"/>
    <w:rsid w:val="00CD0A06"/>
    <w:rsid w:val="00CD23BC"/>
    <w:rsid w:val="00CD2BBB"/>
    <w:rsid w:val="00CD382D"/>
    <w:rsid w:val="00CD6234"/>
    <w:rsid w:val="00CD6565"/>
    <w:rsid w:val="00CD6AB2"/>
    <w:rsid w:val="00CD76BA"/>
    <w:rsid w:val="00CD771E"/>
    <w:rsid w:val="00CD7D81"/>
    <w:rsid w:val="00CE155D"/>
    <w:rsid w:val="00CE6639"/>
    <w:rsid w:val="00CF114C"/>
    <w:rsid w:val="00CF47BC"/>
    <w:rsid w:val="00CF4AAA"/>
    <w:rsid w:val="00CF7BFD"/>
    <w:rsid w:val="00D01798"/>
    <w:rsid w:val="00D02ED9"/>
    <w:rsid w:val="00D03D42"/>
    <w:rsid w:val="00D04CA9"/>
    <w:rsid w:val="00D1056F"/>
    <w:rsid w:val="00D14C05"/>
    <w:rsid w:val="00D15C4C"/>
    <w:rsid w:val="00D165A8"/>
    <w:rsid w:val="00D20F65"/>
    <w:rsid w:val="00D20FD1"/>
    <w:rsid w:val="00D214AD"/>
    <w:rsid w:val="00D219B5"/>
    <w:rsid w:val="00D23DF1"/>
    <w:rsid w:val="00D24967"/>
    <w:rsid w:val="00D262E9"/>
    <w:rsid w:val="00D26657"/>
    <w:rsid w:val="00D30ACC"/>
    <w:rsid w:val="00D31F1F"/>
    <w:rsid w:val="00D3672E"/>
    <w:rsid w:val="00D36C2F"/>
    <w:rsid w:val="00D36EB3"/>
    <w:rsid w:val="00D440E9"/>
    <w:rsid w:val="00D4537A"/>
    <w:rsid w:val="00D46B28"/>
    <w:rsid w:val="00D50F26"/>
    <w:rsid w:val="00D5244E"/>
    <w:rsid w:val="00D52B0A"/>
    <w:rsid w:val="00D53A83"/>
    <w:rsid w:val="00D575AA"/>
    <w:rsid w:val="00D60D20"/>
    <w:rsid w:val="00D60D97"/>
    <w:rsid w:val="00D6651A"/>
    <w:rsid w:val="00D7050A"/>
    <w:rsid w:val="00D70F74"/>
    <w:rsid w:val="00D71DF0"/>
    <w:rsid w:val="00D7288B"/>
    <w:rsid w:val="00D7411B"/>
    <w:rsid w:val="00D74206"/>
    <w:rsid w:val="00D758C3"/>
    <w:rsid w:val="00D8347F"/>
    <w:rsid w:val="00D8381E"/>
    <w:rsid w:val="00D849D3"/>
    <w:rsid w:val="00D84CC6"/>
    <w:rsid w:val="00D85921"/>
    <w:rsid w:val="00D90A6A"/>
    <w:rsid w:val="00D90F8C"/>
    <w:rsid w:val="00D93380"/>
    <w:rsid w:val="00D965D7"/>
    <w:rsid w:val="00D96B6F"/>
    <w:rsid w:val="00DA1340"/>
    <w:rsid w:val="00DA1771"/>
    <w:rsid w:val="00DB122C"/>
    <w:rsid w:val="00DB51B1"/>
    <w:rsid w:val="00DB696B"/>
    <w:rsid w:val="00DB726B"/>
    <w:rsid w:val="00DB7DBD"/>
    <w:rsid w:val="00DC0618"/>
    <w:rsid w:val="00DC20D2"/>
    <w:rsid w:val="00DD0D4B"/>
    <w:rsid w:val="00DD2196"/>
    <w:rsid w:val="00DD2364"/>
    <w:rsid w:val="00DD4F48"/>
    <w:rsid w:val="00DD680C"/>
    <w:rsid w:val="00DD727F"/>
    <w:rsid w:val="00DD77E8"/>
    <w:rsid w:val="00DE242D"/>
    <w:rsid w:val="00DE3155"/>
    <w:rsid w:val="00DF061B"/>
    <w:rsid w:val="00DF0E78"/>
    <w:rsid w:val="00DF38B1"/>
    <w:rsid w:val="00DF4D0D"/>
    <w:rsid w:val="00DF72D0"/>
    <w:rsid w:val="00E03EA7"/>
    <w:rsid w:val="00E079CD"/>
    <w:rsid w:val="00E16850"/>
    <w:rsid w:val="00E16C3B"/>
    <w:rsid w:val="00E20735"/>
    <w:rsid w:val="00E21836"/>
    <w:rsid w:val="00E2287C"/>
    <w:rsid w:val="00E23499"/>
    <w:rsid w:val="00E25238"/>
    <w:rsid w:val="00E358BD"/>
    <w:rsid w:val="00E40002"/>
    <w:rsid w:val="00E40231"/>
    <w:rsid w:val="00E4039B"/>
    <w:rsid w:val="00E42D16"/>
    <w:rsid w:val="00E42E92"/>
    <w:rsid w:val="00E44880"/>
    <w:rsid w:val="00E44F51"/>
    <w:rsid w:val="00E46333"/>
    <w:rsid w:val="00E503F6"/>
    <w:rsid w:val="00E50D09"/>
    <w:rsid w:val="00E5141E"/>
    <w:rsid w:val="00E52728"/>
    <w:rsid w:val="00E55906"/>
    <w:rsid w:val="00E63CED"/>
    <w:rsid w:val="00E64A19"/>
    <w:rsid w:val="00E70CA5"/>
    <w:rsid w:val="00E71CD1"/>
    <w:rsid w:val="00E73410"/>
    <w:rsid w:val="00E7431D"/>
    <w:rsid w:val="00E746DF"/>
    <w:rsid w:val="00E74EB2"/>
    <w:rsid w:val="00E8169E"/>
    <w:rsid w:val="00E824D5"/>
    <w:rsid w:val="00E84301"/>
    <w:rsid w:val="00E863B4"/>
    <w:rsid w:val="00E868D7"/>
    <w:rsid w:val="00E86C6F"/>
    <w:rsid w:val="00E90BB8"/>
    <w:rsid w:val="00E90E97"/>
    <w:rsid w:val="00E92BE5"/>
    <w:rsid w:val="00EA5F84"/>
    <w:rsid w:val="00EA6ACD"/>
    <w:rsid w:val="00EB1B6D"/>
    <w:rsid w:val="00EB1E2C"/>
    <w:rsid w:val="00EB2092"/>
    <w:rsid w:val="00EB2457"/>
    <w:rsid w:val="00EB2741"/>
    <w:rsid w:val="00EC005F"/>
    <w:rsid w:val="00EC011D"/>
    <w:rsid w:val="00EC0896"/>
    <w:rsid w:val="00EC1F26"/>
    <w:rsid w:val="00EC4A61"/>
    <w:rsid w:val="00EC5140"/>
    <w:rsid w:val="00ED4607"/>
    <w:rsid w:val="00ED551B"/>
    <w:rsid w:val="00ED679A"/>
    <w:rsid w:val="00EE0B4A"/>
    <w:rsid w:val="00EE23A4"/>
    <w:rsid w:val="00EE6679"/>
    <w:rsid w:val="00EF0515"/>
    <w:rsid w:val="00EF20EF"/>
    <w:rsid w:val="00EF33C8"/>
    <w:rsid w:val="00EF61C4"/>
    <w:rsid w:val="00EF6D49"/>
    <w:rsid w:val="00EF70B8"/>
    <w:rsid w:val="00F01BF3"/>
    <w:rsid w:val="00F02E5C"/>
    <w:rsid w:val="00F04D53"/>
    <w:rsid w:val="00F06675"/>
    <w:rsid w:val="00F10914"/>
    <w:rsid w:val="00F10F1E"/>
    <w:rsid w:val="00F174AC"/>
    <w:rsid w:val="00F204F3"/>
    <w:rsid w:val="00F225C0"/>
    <w:rsid w:val="00F2585D"/>
    <w:rsid w:val="00F3084C"/>
    <w:rsid w:val="00F31280"/>
    <w:rsid w:val="00F3295D"/>
    <w:rsid w:val="00F32E46"/>
    <w:rsid w:val="00F34029"/>
    <w:rsid w:val="00F3710B"/>
    <w:rsid w:val="00F3719A"/>
    <w:rsid w:val="00F41DFF"/>
    <w:rsid w:val="00F507FE"/>
    <w:rsid w:val="00F50CA9"/>
    <w:rsid w:val="00F52D00"/>
    <w:rsid w:val="00F53420"/>
    <w:rsid w:val="00F5349F"/>
    <w:rsid w:val="00F55958"/>
    <w:rsid w:val="00F56054"/>
    <w:rsid w:val="00F62BFC"/>
    <w:rsid w:val="00F62D4E"/>
    <w:rsid w:val="00F702EF"/>
    <w:rsid w:val="00F70599"/>
    <w:rsid w:val="00F723D8"/>
    <w:rsid w:val="00F733D8"/>
    <w:rsid w:val="00F802E6"/>
    <w:rsid w:val="00F812A7"/>
    <w:rsid w:val="00F82069"/>
    <w:rsid w:val="00F823D1"/>
    <w:rsid w:val="00F8275A"/>
    <w:rsid w:val="00F836D5"/>
    <w:rsid w:val="00F839CB"/>
    <w:rsid w:val="00F83A4B"/>
    <w:rsid w:val="00F8459E"/>
    <w:rsid w:val="00F84FE4"/>
    <w:rsid w:val="00F87061"/>
    <w:rsid w:val="00F87725"/>
    <w:rsid w:val="00F902FB"/>
    <w:rsid w:val="00F95A1B"/>
    <w:rsid w:val="00F95D02"/>
    <w:rsid w:val="00FA3913"/>
    <w:rsid w:val="00FA5FF3"/>
    <w:rsid w:val="00FA7DF9"/>
    <w:rsid w:val="00FB0B66"/>
    <w:rsid w:val="00FB2911"/>
    <w:rsid w:val="00FB2B56"/>
    <w:rsid w:val="00FB393C"/>
    <w:rsid w:val="00FB6886"/>
    <w:rsid w:val="00FC04C7"/>
    <w:rsid w:val="00FC46BD"/>
    <w:rsid w:val="00FC57A5"/>
    <w:rsid w:val="00FC591A"/>
    <w:rsid w:val="00FC5920"/>
    <w:rsid w:val="00FC7106"/>
    <w:rsid w:val="00FD5A5B"/>
    <w:rsid w:val="00FD5D12"/>
    <w:rsid w:val="00FD6B85"/>
    <w:rsid w:val="00FF0F24"/>
    <w:rsid w:val="00FF60FD"/>
    <w:rsid w:val="0A8D0A7E"/>
    <w:rsid w:val="0F3EF009"/>
    <w:rsid w:val="27E419EA"/>
    <w:rsid w:val="29767077"/>
    <w:rsid w:val="381B5B66"/>
    <w:rsid w:val="3C48ACAB"/>
    <w:rsid w:val="3F3A7B02"/>
    <w:rsid w:val="4130D0DB"/>
    <w:rsid w:val="428AE217"/>
    <w:rsid w:val="42CCA13C"/>
    <w:rsid w:val="44CAAEB1"/>
    <w:rsid w:val="46B43CF2"/>
    <w:rsid w:val="46F8BBD6"/>
    <w:rsid w:val="48FE3CDB"/>
    <w:rsid w:val="4CBC0F11"/>
    <w:rsid w:val="5622B1A3"/>
    <w:rsid w:val="597B654F"/>
    <w:rsid w:val="59F647EA"/>
    <w:rsid w:val="5AC09303"/>
    <w:rsid w:val="5D6441E2"/>
    <w:rsid w:val="5F624F57"/>
    <w:rsid w:val="66BCE7FD"/>
    <w:rsid w:val="67A6493D"/>
    <w:rsid w:val="70D8465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6DED9FF0"/>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r">
    <w:name w:val="Marker"/>
    <w:basedOn w:val="DefaultParagraphFont"/>
    <w:rsid w:val="0026613F"/>
    <w:rPr>
      <w:color w:val="0000FF"/>
      <w:shd w:val="clear" w:color="auto" w:fill="auto"/>
    </w:rPr>
  </w:style>
  <w:style w:type="paragraph" w:customStyle="1" w:styleId="Pagedecouverture">
    <w:name w:val="Page de couverture"/>
    <w:basedOn w:val="Normal"/>
    <w:next w:val="Normal"/>
    <w:rsid w:val="0026613F"/>
    <w:pPr>
      <w:spacing w:after="0" w:line="240" w:lineRule="auto"/>
      <w:jc w:val="both"/>
    </w:pPr>
    <w:rPr>
      <w:rFonts w:ascii="Times New Roman" w:hAnsi="Times New Roman" w:cs="Times New Roman"/>
      <w:sz w:val="24"/>
    </w:rPr>
  </w:style>
  <w:style w:type="paragraph" w:styleId="Header">
    <w:name w:val="header"/>
    <w:basedOn w:val="Normal"/>
    <w:link w:val="HeaderChar"/>
    <w:uiPriority w:val="99"/>
    <w:unhideWhenUsed/>
    <w:rsid w:val="0026613F"/>
    <w:pPr>
      <w:tabs>
        <w:tab w:val="center" w:pos="4513"/>
        <w:tab w:val="right" w:pos="9026"/>
      </w:tabs>
      <w:spacing w:after="0" w:line="240" w:lineRule="auto"/>
    </w:pPr>
  </w:style>
  <w:style w:type="character" w:customStyle="1" w:styleId="HeaderChar">
    <w:name w:val="Header Char"/>
    <w:basedOn w:val="DefaultParagraphFont"/>
    <w:link w:val="Header"/>
    <w:uiPriority w:val="99"/>
    <w:rsid w:val="0026613F"/>
  </w:style>
  <w:style w:type="paragraph" w:styleId="Footer">
    <w:name w:val="footer"/>
    <w:basedOn w:val="Normal"/>
    <w:link w:val="FooterChar"/>
    <w:uiPriority w:val="99"/>
    <w:unhideWhenUsed/>
    <w:rsid w:val="0026613F"/>
    <w:pPr>
      <w:tabs>
        <w:tab w:val="center" w:pos="4513"/>
        <w:tab w:val="right" w:pos="9026"/>
      </w:tabs>
      <w:spacing w:after="0" w:line="240" w:lineRule="auto"/>
    </w:pPr>
  </w:style>
  <w:style w:type="character" w:customStyle="1" w:styleId="FooterChar">
    <w:name w:val="Footer Char"/>
    <w:basedOn w:val="DefaultParagraphFont"/>
    <w:link w:val="Footer"/>
    <w:uiPriority w:val="99"/>
    <w:rsid w:val="0026613F"/>
  </w:style>
  <w:style w:type="paragraph" w:customStyle="1" w:styleId="FooterCoverPage">
    <w:name w:val="Footer Cover Page"/>
    <w:basedOn w:val="Normal"/>
    <w:link w:val="FooterCoverPageChar"/>
    <w:rsid w:val="0026613F"/>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sid w:val="0026613F"/>
    <w:rPr>
      <w:rFonts w:ascii="Times New Roman" w:hAnsi="Times New Roman" w:cs="Times New Roman"/>
      <w:sz w:val="24"/>
    </w:rPr>
  </w:style>
  <w:style w:type="paragraph" w:customStyle="1" w:styleId="FooterSensitivity">
    <w:name w:val="Footer Sensitivity"/>
    <w:basedOn w:val="Normal"/>
    <w:link w:val="FooterSensitivityChar"/>
    <w:rsid w:val="0026613F"/>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sid w:val="0026613F"/>
    <w:rPr>
      <w:rFonts w:ascii="Times New Roman" w:hAnsi="Times New Roman" w:cs="Times New Roman"/>
      <w:b/>
      <w:sz w:val="32"/>
    </w:rPr>
  </w:style>
  <w:style w:type="paragraph" w:customStyle="1" w:styleId="HeaderCoverPage">
    <w:name w:val="Header Cover Page"/>
    <w:basedOn w:val="Normal"/>
    <w:link w:val="HeaderCoverPageChar"/>
    <w:rsid w:val="0026613F"/>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sid w:val="0026613F"/>
    <w:rPr>
      <w:rFonts w:ascii="Times New Roman" w:hAnsi="Times New Roman" w:cs="Times New Roman"/>
      <w:sz w:val="24"/>
    </w:rPr>
  </w:style>
  <w:style w:type="paragraph" w:customStyle="1" w:styleId="HeaderSensitivity">
    <w:name w:val="Header Sensitivity"/>
    <w:basedOn w:val="Normal"/>
    <w:link w:val="HeaderSensitivityChar"/>
    <w:rsid w:val="0026613F"/>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sid w:val="0026613F"/>
    <w:rPr>
      <w:rFonts w:ascii="Times New Roman" w:hAnsi="Times New Roman" w:cs="Times New Roman"/>
      <w:b/>
      <w:sz w:val="32"/>
    </w:rPr>
  </w:style>
  <w:style w:type="paragraph" w:customStyle="1" w:styleId="HeaderSensitivityRight">
    <w:name w:val="Header Sensitivity Right"/>
    <w:basedOn w:val="Normal"/>
    <w:link w:val="HeaderSensitivityRightChar"/>
    <w:rsid w:val="0026613F"/>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sid w:val="0026613F"/>
    <w:rPr>
      <w:rFonts w:ascii="Times New Roman" w:hAnsi="Times New Roman" w:cs="Times New Roman"/>
      <w:sz w:val="28"/>
    </w:rPr>
  </w:style>
  <w:style w:type="paragraph" w:styleId="ListParagraph">
    <w:name w:val="List Paragraph"/>
    <w:basedOn w:val="Normal"/>
    <w:uiPriority w:val="34"/>
    <w:qFormat/>
    <w:rsid w:val="00704F37"/>
    <w:pPr>
      <w:ind w:left="720"/>
      <w:contextualSpacing/>
    </w:pPr>
  </w:style>
  <w:style w:type="paragraph" w:customStyle="1" w:styleId="Default">
    <w:name w:val="Default"/>
    <w:rsid w:val="00704F37"/>
    <w:pPr>
      <w:autoSpaceDE w:val="0"/>
      <w:autoSpaceDN w:val="0"/>
      <w:adjustRightInd w:val="0"/>
      <w:spacing w:after="0" w:line="240" w:lineRule="auto"/>
    </w:pPr>
    <w:rPr>
      <w:rFonts w:ascii="Times New Roman" w:hAnsi="Times New Roman" w:cs="Times New Roman"/>
      <w:color w:val="000000"/>
      <w:sz w:val="24"/>
      <w:szCs w:val="24"/>
      <w:lang w:val="en-IE"/>
    </w:rPr>
  </w:style>
  <w:style w:type="table" w:styleId="TableGrid">
    <w:name w:val="Table Grid"/>
    <w:basedOn w:val="TableNormal"/>
    <w:uiPriority w:val="59"/>
    <w:rsid w:val="006D484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istDash1">
    <w:name w:val="List Dash 1"/>
    <w:basedOn w:val="Normal"/>
    <w:rsid w:val="00F87061"/>
    <w:pPr>
      <w:tabs>
        <w:tab w:val="num" w:pos="765"/>
      </w:tabs>
      <w:spacing w:after="240" w:line="240" w:lineRule="auto"/>
      <w:ind w:left="765" w:hanging="283"/>
      <w:jc w:val="both"/>
    </w:pPr>
    <w:rPr>
      <w:rFonts w:ascii="Times New Roman" w:eastAsia="Times New Roman" w:hAnsi="Times New Roman" w:cs="Times New Roman"/>
      <w:sz w:val="24"/>
      <w:szCs w:val="20"/>
    </w:rPr>
  </w:style>
  <w:style w:type="paragraph" w:styleId="Revision">
    <w:name w:val="Revision"/>
    <w:hidden/>
    <w:uiPriority w:val="99"/>
    <w:semiHidden/>
    <w:rsid w:val="00CF7BFD"/>
    <w:pPr>
      <w:spacing w:after="0" w:line="240" w:lineRule="auto"/>
    </w:pPr>
  </w:style>
  <w:style w:type="character" w:styleId="CommentReference">
    <w:name w:val="annotation reference"/>
    <w:basedOn w:val="DefaultParagraphFont"/>
    <w:uiPriority w:val="99"/>
    <w:semiHidden/>
    <w:unhideWhenUsed/>
    <w:rsid w:val="003B2ADB"/>
    <w:rPr>
      <w:sz w:val="16"/>
      <w:szCs w:val="16"/>
    </w:rPr>
  </w:style>
  <w:style w:type="paragraph" w:styleId="CommentText">
    <w:name w:val="annotation text"/>
    <w:basedOn w:val="Normal"/>
    <w:link w:val="CommentTextChar"/>
    <w:uiPriority w:val="99"/>
    <w:unhideWhenUsed/>
    <w:rsid w:val="003B2ADB"/>
    <w:pPr>
      <w:spacing w:line="240" w:lineRule="auto"/>
    </w:pPr>
    <w:rPr>
      <w:sz w:val="20"/>
      <w:szCs w:val="20"/>
    </w:rPr>
  </w:style>
  <w:style w:type="character" w:customStyle="1" w:styleId="CommentTextChar">
    <w:name w:val="Comment Text Char"/>
    <w:basedOn w:val="DefaultParagraphFont"/>
    <w:link w:val="CommentText"/>
    <w:uiPriority w:val="99"/>
    <w:rsid w:val="003B2ADB"/>
    <w:rPr>
      <w:sz w:val="20"/>
      <w:szCs w:val="20"/>
    </w:rPr>
  </w:style>
  <w:style w:type="paragraph" w:styleId="CommentSubject">
    <w:name w:val="annotation subject"/>
    <w:basedOn w:val="CommentText"/>
    <w:next w:val="CommentText"/>
    <w:link w:val="CommentSubjectChar"/>
    <w:uiPriority w:val="99"/>
    <w:semiHidden/>
    <w:unhideWhenUsed/>
    <w:rsid w:val="003B2ADB"/>
    <w:rPr>
      <w:b/>
      <w:bCs/>
    </w:rPr>
  </w:style>
  <w:style w:type="character" w:customStyle="1" w:styleId="CommentSubjectChar">
    <w:name w:val="Comment Subject Char"/>
    <w:basedOn w:val="CommentTextChar"/>
    <w:link w:val="CommentSubject"/>
    <w:uiPriority w:val="99"/>
    <w:semiHidden/>
    <w:rsid w:val="003B2ADB"/>
    <w:rPr>
      <w:b/>
      <w:bCs/>
      <w:sz w:val="20"/>
      <w:szCs w:val="20"/>
    </w:rPr>
  </w:style>
  <w:style w:type="character" w:customStyle="1" w:styleId="Mention1">
    <w:name w:val="Mention1"/>
    <w:basedOn w:val="DefaultParagraphFont"/>
    <w:uiPriority w:val="99"/>
    <w:unhideWhenUsed/>
    <w:rsid w:val="003B2ADB"/>
    <w:rPr>
      <w:color w:val="2B579A"/>
      <w:shd w:val="clear" w:color="auto" w:fill="E1DFDD"/>
    </w:rPr>
  </w:style>
  <w:style w:type="paragraph" w:styleId="FootnoteText">
    <w:name w:val="footnote text"/>
    <w:aliases w:val="Char,Fußnote,Carattere,fn,Footnotes,Footnote ak,Footnote Text Char1,Footnote Text Char Char,fn Char Char,footnote text Char Char,Footnotes Char Char,Footnote ak Char Char,fn Char1,footnote text Char1,Footnotes Char1,ft,Footnote Text_EP-LC"/>
    <w:basedOn w:val="Normal"/>
    <w:link w:val="FootnoteTextChar"/>
    <w:uiPriority w:val="99"/>
    <w:unhideWhenUsed/>
    <w:qFormat/>
    <w:rsid w:val="009F0D7E"/>
    <w:pPr>
      <w:spacing w:after="0" w:line="240" w:lineRule="auto"/>
      <w:jc w:val="both"/>
    </w:pPr>
    <w:rPr>
      <w:rFonts w:ascii="Times New Roman" w:eastAsiaTheme="minorEastAsia" w:hAnsi="Times New Roman" w:cs="Times New Roman"/>
      <w:sz w:val="20"/>
      <w:szCs w:val="20"/>
    </w:rPr>
  </w:style>
  <w:style w:type="character" w:customStyle="1" w:styleId="FootnoteTextChar">
    <w:name w:val="Footnote Text Char"/>
    <w:aliases w:val="Char Char,Fußnote Char,Carattere Char,fn Char,Footnotes Char,Footnote ak Char,Footnote Text Char1 Char,Footnote Text Char Char Char,fn Char Char Char,footnote text Char Char Char,Footnotes Char Char Char,Footnote ak Char Char Char"/>
    <w:basedOn w:val="DefaultParagraphFont"/>
    <w:link w:val="FootnoteText"/>
    <w:uiPriority w:val="99"/>
    <w:qFormat/>
    <w:rsid w:val="009F0D7E"/>
    <w:rPr>
      <w:rFonts w:ascii="Times New Roman" w:eastAsiaTheme="minorEastAsia" w:hAnsi="Times New Roman" w:cs="Times New Roman"/>
      <w:sz w:val="20"/>
      <w:szCs w:val="20"/>
    </w:rPr>
  </w:style>
  <w:style w:type="character" w:styleId="FootnoteReference">
    <w:name w:val="footnote reference"/>
    <w:aliases w:val="Footnote symbol,Footnote reference number,note TESI,BVI fnr,Appel note de bas de p,Nota,SUPERS,Footnote number,Footnote Reference Superscript,EN Footnote Reference,-E Fußnotenzeichen,number Char Char,number,Ref,styl,styli,de nota al p"/>
    <w:basedOn w:val="DefaultParagraphFont"/>
    <w:link w:val="CharCharChar1"/>
    <w:uiPriority w:val="99"/>
    <w:unhideWhenUsed/>
    <w:qFormat/>
    <w:rsid w:val="009F0D7E"/>
    <w:rPr>
      <w:vertAlign w:val="superscript"/>
    </w:rPr>
  </w:style>
  <w:style w:type="paragraph" w:customStyle="1" w:styleId="CharCharChar1">
    <w:name w:val="Char Char Char1"/>
    <w:basedOn w:val="Normal"/>
    <w:link w:val="FootnoteReference"/>
    <w:uiPriority w:val="99"/>
    <w:rsid w:val="009F0D7E"/>
    <w:pPr>
      <w:spacing w:after="160" w:line="240" w:lineRule="exact"/>
      <w:jc w:val="both"/>
    </w:pPr>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1.emf"/><Relationship Id="rId12" Type="http://schemas.openxmlformats.org/officeDocument/2006/relationships/header" Target="header3.xml"/><Relationship Id="rId17" Type="http://schemas.openxmlformats.org/officeDocument/2006/relationships/footer" Target="footer5.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header" Target="header5.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1852</Words>
  <Characters>10557</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12385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2026-06-21T16:51:00Z</dcterms:created>
  <dcterms:modified xsi:type="dcterms:W3CDTF">2026-06-23T06:09:00Z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Status">
    <vt:lpwstr>Green</vt:lpwstr>
  </property>
  <property fmtid="{D5CDD505-2E9C-101B-9397-08002B2CF9AE}" pid="3" name="Last edited using">
    <vt:lpwstr>LW 9.2, Build 20250828</vt:lpwstr>
  </property>
  <property fmtid="{D5CDD505-2E9C-101B-9397-08002B2CF9AE}" pid="4" name="MSIP_Label_6bd9ddd1-4d20-43f6-abfa-fc3c07406f94_Enabled">
    <vt:lpwstr>true</vt:lpwstr>
  </property>
  <property fmtid="{D5CDD505-2E9C-101B-9397-08002B2CF9AE}" pid="5" name="MSIP_Label_6bd9ddd1-4d20-43f6-abfa-fc3c07406f94_SetDate">
    <vt:lpwstr>2026-06-21T14:40:35Z</vt:lpwstr>
  </property>
  <property fmtid="{D5CDD505-2E9C-101B-9397-08002B2CF9AE}" pid="6" name="MSIP_Label_6bd9ddd1-4d20-43f6-abfa-fc3c07406f94_Method">
    <vt:lpwstr>Standard</vt:lpwstr>
  </property>
  <property fmtid="{D5CDD505-2E9C-101B-9397-08002B2CF9AE}" pid="7" name="MSIP_Label_6bd9ddd1-4d20-43f6-abfa-fc3c07406f94_Name">
    <vt:lpwstr>Commission Use</vt:lpwstr>
  </property>
  <property fmtid="{D5CDD505-2E9C-101B-9397-08002B2CF9AE}" pid="8" name="MSIP_Label_6bd9ddd1-4d20-43f6-abfa-fc3c07406f94_SiteId">
    <vt:lpwstr>b24c8b06-522c-46fe-9080-70926f8dddb1</vt:lpwstr>
  </property>
  <property fmtid="{D5CDD505-2E9C-101B-9397-08002B2CF9AE}" pid="9" name="MSIP_Label_6bd9ddd1-4d20-43f6-abfa-fc3c07406f94_ActionId">
    <vt:lpwstr>7d9379fe-c2da-424a-8482-c6b120d12ccd</vt:lpwstr>
  </property>
  <property fmtid="{D5CDD505-2E9C-101B-9397-08002B2CF9AE}" pid="10" name="MSIP_Label_6bd9ddd1-4d20-43f6-abfa-fc3c07406f94_ContentBits">
    <vt:lpwstr>0</vt:lpwstr>
  </property>
  <property fmtid="{D5CDD505-2E9C-101B-9397-08002B2CF9AE}" pid="11" name="MSIP_Label_6bd9ddd1-4d20-43f6-abfa-fc3c07406f94_Tag">
    <vt:lpwstr>10, 3, 0, 1</vt:lpwstr>
  </property>
  <property fmtid="{D5CDD505-2E9C-101B-9397-08002B2CF9AE}" pid="12" name="Level of sensitivity">
    <vt:lpwstr>Standard treatment</vt:lpwstr>
  </property>
  <property fmtid="{D5CDD505-2E9C-101B-9397-08002B2CF9AE}" pid="13" name="Part">
    <vt:lpwstr>1</vt:lpwstr>
  </property>
  <property fmtid="{D5CDD505-2E9C-101B-9397-08002B2CF9AE}" pid="14" name="Total parts">
    <vt:lpwstr>1</vt:lpwstr>
  </property>
  <property fmtid="{D5CDD505-2E9C-101B-9397-08002B2CF9AE}" pid="15" name="CPTemplateID">
    <vt:lpwstr>CP-027</vt:lpwstr>
  </property>
</Properties>
</file>