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7DC3C0-024E-40BC-9463-DCFC8F85EF0E" style="width:455.25pt;height:465.75pt">
            <v:imagedata r:id="rId7" o:title=""/>
          </v:shape>
        </w:pict>
      </w:r>
    </w:p>
    <w:bookmarkEnd w:id="0"/>
    <w:p>
      <w:pPr>
        <w:tabs>
          <w:tab w:val="center" w:pos="4536"/>
        </w:tabs>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tbl>
      <w:tblPr>
        <w:tblStyle w:val="TableGrid"/>
        <w:tblW w:w="0" w:type="auto"/>
        <w:tblInd w:w="720" w:type="dxa"/>
        <w:tblLook w:val="04A0" w:firstRow="1" w:lastRow="0" w:firstColumn="1" w:lastColumn="0" w:noHBand="0" w:noVBand="1"/>
      </w:tblPr>
      <w:tblGrid>
        <w:gridCol w:w="8568"/>
      </w:tblGrid>
      <w:tr>
        <w:tc>
          <w:tcPr>
            <w:tcW w:w="8568" w:type="dxa"/>
            <w:shd w:val="clear" w:color="auto" w:fill="A6A6A6" w:themeFill="background1" w:themeFillShade="A6"/>
          </w:tcPr>
          <w:p>
            <w:pPr>
              <w:pStyle w:val="ListParagraph"/>
              <w:jc w:val="center"/>
              <w:rPr>
                <w:rFonts w:ascii="Times New Roman" w:hAnsi="Times New Roman" w:cs="Times New Roman"/>
                <w:b/>
                <w:bCs/>
                <w:noProof/>
                <w:color w:val="000000"/>
              </w:rPr>
            </w:pPr>
            <w:r>
              <w:rPr>
                <w:rFonts w:ascii="Times New Roman" w:hAnsi="Times New Roman"/>
                <w:b/>
                <w:noProof/>
                <w:color w:val="000000"/>
              </w:rPr>
              <w:lastRenderedPageBreak/>
              <w:t>Rezumat</w:t>
            </w:r>
          </w:p>
        </w:tc>
      </w:tr>
      <w:tr>
        <w:tc>
          <w:tcPr>
            <w:tcW w:w="8568" w:type="dxa"/>
            <w:shd w:val="clear" w:color="auto" w:fill="8DB3E2" w:themeFill="text2" w:themeFillTint="66"/>
          </w:tcPr>
          <w:p>
            <w:pPr>
              <w:rPr>
                <w:rFonts w:ascii="Times New Roman" w:hAnsi="Times New Roman" w:cs="Times New Roman"/>
                <w:b/>
                <w:bCs/>
                <w:noProof/>
                <w:color w:val="000000"/>
              </w:rPr>
            </w:pPr>
            <w:r>
              <w:rPr>
                <w:rFonts w:ascii="Times New Roman" w:hAnsi="Times New Roman"/>
                <w:b/>
                <w:noProof/>
                <w:color w:val="000000" w:themeColor="text1"/>
              </w:rPr>
              <w:t>Raport de evaluare a impactului care însoțește propunerea de directivă a Consiliului de modificare a Directivelor 2003/49/CE, 2009/133/CE, 2011/96/UE, (UE) 2016/1164, (UE) 2017/1852, (UE) 2025/50 ale Consiliului în ceea ce privește simplificarea cadrului Uniunii privind impozitarea directă și sprijinirea creșterii și a competitivității UE</w:t>
            </w:r>
          </w:p>
        </w:tc>
      </w:tr>
      <w:tr>
        <w:tc>
          <w:tcPr>
            <w:tcW w:w="8568" w:type="dxa"/>
            <w:shd w:val="clear" w:color="auto" w:fill="A6A6A6" w:themeFill="background1" w:themeFillShade="A6"/>
          </w:tcPr>
          <w:p>
            <w:pPr>
              <w:rPr>
                <w:rFonts w:ascii="Times New Roman" w:hAnsi="Times New Roman" w:cs="Times New Roman"/>
                <w:b/>
                <w:bCs/>
                <w:noProof/>
              </w:rPr>
            </w:pPr>
            <w:r>
              <w:rPr>
                <w:rFonts w:ascii="Times New Roman" w:hAnsi="Times New Roman"/>
                <w:b/>
                <w:noProof/>
              </w:rPr>
              <w:t>A. Necesitatea de a acționa</w:t>
            </w:r>
          </w:p>
        </w:tc>
      </w:tr>
      <w:tr>
        <w:tc>
          <w:tcPr>
            <w:tcW w:w="8568" w:type="dxa"/>
            <w:shd w:val="clear" w:color="auto" w:fill="D9D9D9" w:themeFill="background1" w:themeFillShade="D9"/>
          </w:tcPr>
          <w:p>
            <w:pPr>
              <w:rPr>
                <w:rFonts w:ascii="Times New Roman" w:hAnsi="Times New Roman" w:cs="Times New Roman"/>
                <w:b/>
                <w:bCs/>
                <w:noProof/>
                <w:color w:val="000000"/>
              </w:rPr>
            </w:pPr>
            <w:r>
              <w:rPr>
                <w:rFonts w:ascii="Times New Roman" w:hAnsi="Times New Roman"/>
                <w:b/>
                <w:noProof/>
                <w:color w:val="000000"/>
              </w:rPr>
              <w:t>Care este problema și de ce este o problemă la nivelul UE?</w:t>
            </w:r>
          </w:p>
        </w:tc>
      </w:tr>
      <w:tr>
        <w:tc>
          <w:tcPr>
            <w:tcW w:w="8568" w:type="dxa"/>
          </w:tcPr>
          <w:p>
            <w:pPr>
              <w:spacing w:after="120"/>
              <w:jc w:val="both"/>
              <w:rPr>
                <w:rFonts w:ascii="Times New Roman" w:hAnsi="Times New Roman" w:cs="Times New Roman"/>
                <w:noProof/>
                <w:color w:val="000000"/>
              </w:rPr>
            </w:pPr>
            <w:r>
              <w:rPr>
                <w:rFonts w:ascii="Times New Roman" w:hAnsi="Times New Roman"/>
                <w:noProof/>
                <w:color w:val="000000"/>
              </w:rPr>
              <w:t xml:space="preserve">Cel mai mare volum de legislație privind impozitarea directă este cel național, ceea ce implică faptul că întreprinderile care își desfășoară activitatea la nivel transfrontalier în UE se confruntă cu necesitatea de a respecta numeroase sisteme de impozitare a profitului. Directivele UE apar în prim-plan numai în domenii specifice, în principal transfrontaliere. Prin urmare, acquis-ul UE în domeniul impozitării directe este limitat și, acolo unde există, reprezintă o realizare semnificativă pentru UE, având în vedere mizele politice ambițioase cu care este asociată adoptarea directivelor fiscale ale UE. Faptul că normele UE includ adesea mai multe opțiuni de punere în aplicare este o ilustrare a acestei dificultăți. Aceasta duce la diferențe substanțiale între statele membre ale UE și la un peisaj fiscal fragmentat. În plus, aplicarea legislației fiscale a UE pe piața internă este adesea inconsecventă. În același timp, contextul a evoluat în mod considerabil de la introducerea inițială a acestor acte juridice, ceea ce face ca unele dintre normele mai vechi să fie depășite. În ansamblu, reies patru aspecte principale: (i) cerințele de respectare a obligațiilor fiscale care sunt disproporționate, (ii) insecuritatea juridică generată de normele și condițiile fiscale neclare, (iii) tratamentul fiscal diferit în funcție de particularitățile naționale, (iv) barierele fiscale din calea activităților comerciale transfrontaliere. </w:t>
            </w:r>
          </w:p>
          <w:p>
            <w:pPr>
              <w:spacing w:after="120"/>
              <w:jc w:val="both"/>
              <w:rPr>
                <w:rFonts w:ascii="Times New Roman" w:hAnsi="Times New Roman" w:cs="Times New Roman"/>
                <w:noProof/>
                <w:color w:val="000000"/>
              </w:rPr>
            </w:pPr>
            <w:r>
              <w:rPr>
                <w:rFonts w:ascii="Times New Roman" w:hAnsi="Times New Roman"/>
                <w:noProof/>
                <w:color w:val="000000"/>
              </w:rPr>
              <w:t xml:space="preserve">Aceste aspecte contribuie la complexitatea generală ridicată, la riscuri sporite de litigii și la sarcini împovărătoare de respectare a obligațiilor fiscale pentru desfășurarea de activități comerciale în UE, constituind totodată un obstacol în calea competitivității UE. Deși în multe alte domenii se înregistrează progrese semnificative în legislația UE pentru a se asigura că întreprinderile își pot desfășura activitatea pe piața internă în conformitate cu standarde comune, fiscalitatea rămâne un domeniu de politică în care se întrepătrund un anumit grad de armonizare la nivelul UE și sisteme naționale foarte diferite și, prin urmare, un obstacol semnificativ în calea unei alinieri mai ample și a unei funcționări eficiente.  </w:t>
            </w:r>
          </w:p>
        </w:tc>
      </w:tr>
      <w:tr>
        <w:tc>
          <w:tcPr>
            <w:tcW w:w="8568" w:type="dxa"/>
            <w:shd w:val="clear" w:color="auto" w:fill="D9D9D9" w:themeFill="background1" w:themeFillShade="D9"/>
          </w:tcPr>
          <w:p>
            <w:pPr>
              <w:rPr>
                <w:rFonts w:ascii="Times New Roman" w:hAnsi="Times New Roman" w:cs="Times New Roman"/>
                <w:b/>
                <w:bCs/>
                <w:noProof/>
                <w:color w:val="000000"/>
              </w:rPr>
            </w:pPr>
            <w:r>
              <w:rPr>
                <w:rFonts w:ascii="Times New Roman" w:hAnsi="Times New Roman"/>
                <w:b/>
                <w:noProof/>
                <w:color w:val="000000"/>
              </w:rPr>
              <w:t>Care este rezultatul urmărit?</w:t>
            </w:r>
          </w:p>
        </w:tc>
      </w:tr>
      <w:tr>
        <w:tc>
          <w:tcPr>
            <w:tcW w:w="8568" w:type="dxa"/>
          </w:tcPr>
          <w:p>
            <w:pPr>
              <w:jc w:val="both"/>
              <w:rPr>
                <w:rFonts w:ascii="Times New Roman" w:hAnsi="Times New Roman" w:cs="Times New Roman"/>
                <w:noProof/>
                <w:color w:val="000000"/>
              </w:rPr>
            </w:pPr>
            <w:r>
              <w:rPr>
                <w:rFonts w:ascii="Times New Roman" w:hAnsi="Times New Roman"/>
                <w:noProof/>
                <w:color w:val="000000"/>
              </w:rPr>
              <w:t>Obiectivele generale ale inițiativei sunt următoarele: (i) simplificarea normelor fiscale ale UE pentru a stimula competitivitatea UE, totodată (ii) menținând standarde fiscale ridicate în UE.</w:t>
            </w:r>
          </w:p>
          <w:p>
            <w:pPr>
              <w:spacing w:after="120"/>
              <w:rPr>
                <w:rFonts w:ascii="Times New Roman" w:hAnsi="Times New Roman" w:cs="Times New Roman"/>
                <w:b/>
                <w:bCs/>
                <w:noProof/>
                <w:color w:val="000000"/>
              </w:rPr>
            </w:pPr>
            <w:r>
              <w:rPr>
                <w:rFonts w:ascii="Times New Roman" w:hAnsi="Times New Roman"/>
                <w:noProof/>
                <w:color w:val="000000"/>
              </w:rPr>
              <w:t xml:space="preserve">Pentru a atinge aceste obiective generale, ar trebui îndeplinite următoarele obiective specifice: (i) eliminarea sarcinilor inutile de respectare a obligațiilor fiscale în UE; (ii) introducerea de norme și condiții fiscale clare și previzibile la nivelul UE; (iii) îmbunătățirea coerenței în aplicarea directivelor fiscale ale UE; (iv) reducerea celorlalte obstacole fiscale în calea investițiilor transfrontaliere și a activității comerciale. </w:t>
            </w:r>
          </w:p>
        </w:tc>
      </w:tr>
      <w:tr>
        <w:tc>
          <w:tcPr>
            <w:tcW w:w="8568" w:type="dxa"/>
            <w:shd w:val="clear" w:color="auto" w:fill="D9D9D9" w:themeFill="background1" w:themeFillShade="D9"/>
          </w:tcPr>
          <w:p>
            <w:pPr>
              <w:pStyle w:val="Default"/>
              <w:rPr>
                <w:b/>
                <w:bCs/>
                <w:noProof/>
                <w:sz w:val="23"/>
                <w:szCs w:val="23"/>
              </w:rPr>
            </w:pPr>
            <w:r>
              <w:rPr>
                <w:b/>
                <w:noProof/>
                <w:sz w:val="23"/>
              </w:rPr>
              <w:t xml:space="preserve">Care este valoarea adăugată a acțiunii la nivelul UE (subsidiaritate)? </w:t>
            </w:r>
          </w:p>
        </w:tc>
      </w:tr>
      <w:tr>
        <w:tc>
          <w:tcPr>
            <w:tcW w:w="8568" w:type="dxa"/>
          </w:tcPr>
          <w:p>
            <w:pPr>
              <w:pStyle w:val="Default"/>
              <w:spacing w:after="120"/>
              <w:jc w:val="both"/>
              <w:rPr>
                <w:noProof/>
                <w:sz w:val="22"/>
                <w:szCs w:val="22"/>
              </w:rPr>
            </w:pPr>
            <w:r>
              <w:rPr>
                <w:noProof/>
                <w:sz w:val="22"/>
              </w:rPr>
              <w:t xml:space="preserve">Pachetul omnibus în domeniul fiscal vizează simplificarea mediului fiscal la nivelul UE. Coroborat cu reformarea DAC, pachetul omnibus va introduce acțiuni coordonate și cuprinzătoare care sunt posibile numai la nivelul UE, asigurându-se că atât normele fiscale materiale, cât și cadrul privind schimbul de informații sunt actualizate și adecvate scopului. Acțiunea UE în acest domeniu va aduce o valoare adăugată clară prin reducerea birocrației, diminuarea obstacolelor din calea operațiunilor transfrontaliere și asigurarea eficienței și eficacității în aplicarea normelor fiscale. Prin modificarea acquis-ului UE privind impozitarea directă în scopul simplificării, propunerea ar trebui să contribuie la clarificarea, facilitarea și eficientizarea conformării fiscale în UE. Acest lucru va însemna că, pentru întreprinderi, va fi mai puțin costisitor să își desfășoare activitatea sau să se extindă la nivel transfrontalier în UE. Pentru administrațiile fiscale, normele mai simple și procedurile raționalizate ar trebui să le faciliteze activitatea legată de controalele și auditurile fiscale și, în cele din urmă, să conducă la reducerea numărului de litigii și a costurilor administrative. </w:t>
            </w:r>
          </w:p>
        </w:tc>
      </w:tr>
      <w:tr>
        <w:tc>
          <w:tcPr>
            <w:tcW w:w="8568" w:type="dxa"/>
            <w:shd w:val="clear" w:color="auto" w:fill="A6A6A6" w:themeFill="background1" w:themeFillShade="A6"/>
          </w:tcPr>
          <w:p>
            <w:pPr>
              <w:rPr>
                <w:rFonts w:ascii="Times New Roman" w:hAnsi="Times New Roman" w:cs="Times New Roman"/>
                <w:b/>
                <w:bCs/>
                <w:noProof/>
              </w:rPr>
            </w:pPr>
            <w:r>
              <w:rPr>
                <w:rFonts w:ascii="Times New Roman" w:hAnsi="Times New Roman"/>
                <w:b/>
                <w:noProof/>
              </w:rPr>
              <w:lastRenderedPageBreak/>
              <w:t xml:space="preserve">B. Soluții </w:t>
            </w:r>
          </w:p>
        </w:tc>
      </w:tr>
      <w:tr>
        <w:tc>
          <w:tcPr>
            <w:tcW w:w="8568" w:type="dxa"/>
            <w:shd w:val="clear" w:color="auto" w:fill="D9D9D9" w:themeFill="background1" w:themeFillShade="D9"/>
          </w:tcPr>
          <w:p>
            <w:pPr>
              <w:pStyle w:val="Default"/>
              <w:rPr>
                <w:b/>
                <w:bCs/>
                <w:noProof/>
                <w:sz w:val="22"/>
                <w:szCs w:val="22"/>
              </w:rPr>
            </w:pPr>
            <w:r>
              <w:rPr>
                <w:b/>
                <w:noProof/>
                <w:sz w:val="22"/>
              </w:rPr>
              <w:t xml:space="preserve">Care sunt diferitele opțiuni disponibile pentru atingerea obiectivelor? Există o opțiune preferată? Dacă nu, de ce? </w:t>
            </w:r>
          </w:p>
        </w:tc>
      </w:tr>
      <w:tr>
        <w:tc>
          <w:tcPr>
            <w:tcW w:w="8568" w:type="dxa"/>
          </w:tcPr>
          <w:p>
            <w:pPr>
              <w:spacing w:after="120"/>
              <w:jc w:val="both"/>
              <w:rPr>
                <w:rFonts w:ascii="Times New Roman" w:hAnsi="Times New Roman" w:cs="Times New Roman"/>
                <w:noProof/>
              </w:rPr>
            </w:pPr>
            <w:r>
              <w:rPr>
                <w:rFonts w:ascii="Times New Roman" w:hAnsi="Times New Roman"/>
                <w:noProof/>
              </w:rPr>
              <w:t xml:space="preserve">Obiectivele pot fi atinse printr-o directivă omnibus de modificare în cea mai mare parte a acquis-ului existent în domeniul impozitării directe la nivelul UE, prin intermediul unui singur act juridic. Obiectivele legate de DAC vor fi atinse printr-o inițiativă separată, propunerea de reformare a DAC. Propunerea de pachet omnibus în domeniul fiscal este analizată în prezentul raport de evaluare a impactului. </w:t>
            </w:r>
          </w:p>
          <w:p>
            <w:pPr>
              <w:spacing w:after="120"/>
              <w:jc w:val="both"/>
              <w:rPr>
                <w:rFonts w:ascii="Times New Roman" w:hAnsi="Times New Roman" w:cs="Times New Roman"/>
                <w:noProof/>
              </w:rPr>
            </w:pPr>
            <w:r>
              <w:rPr>
                <w:rFonts w:ascii="Times New Roman" w:hAnsi="Times New Roman"/>
                <w:noProof/>
              </w:rPr>
              <w:t>Pe scurt, pachetul omnibus în domeniul fiscal vizează simplificarea, raționalizarea și clarificarea directivelor existente în domeniul impozitării directe: Directiva privind dobânzile și redevențele (IRD) (</w:t>
            </w:r>
            <w:r>
              <w:rPr>
                <w:rStyle w:val="FootnoteReference"/>
                <w:rFonts w:ascii="Times New Roman" w:hAnsi="Times New Roman" w:cs="Times New Roman"/>
                <w:noProof/>
              </w:rPr>
              <w:footnoteReference w:id="2"/>
            </w:r>
            <w:r>
              <w:rPr>
                <w:rFonts w:ascii="Times New Roman" w:hAnsi="Times New Roman"/>
                <w:noProof/>
              </w:rPr>
              <w:t>), Directiva privind societățile-mamă și filialele acestora (PSD) (</w:t>
            </w:r>
            <w:r>
              <w:rPr>
                <w:rStyle w:val="FootnoteReference"/>
                <w:rFonts w:ascii="Times New Roman" w:hAnsi="Times New Roman" w:cs="Times New Roman"/>
                <w:noProof/>
              </w:rPr>
              <w:footnoteReference w:id="3"/>
            </w:r>
            <w:r>
              <w:rPr>
                <w:rFonts w:ascii="Times New Roman" w:hAnsi="Times New Roman"/>
                <w:noProof/>
              </w:rPr>
              <w:t>), Directiva privind fuziunile fiscale (TMD) (</w:t>
            </w:r>
            <w:r>
              <w:rPr>
                <w:rStyle w:val="FootnoteReference"/>
                <w:rFonts w:ascii="Times New Roman" w:hAnsi="Times New Roman" w:cs="Times New Roman"/>
                <w:noProof/>
              </w:rPr>
              <w:footnoteReference w:id="4"/>
            </w:r>
            <w:r>
              <w:rPr>
                <w:rFonts w:ascii="Times New Roman" w:hAnsi="Times New Roman"/>
                <w:noProof/>
              </w:rPr>
              <w:t>), Directiva împotriva evitării obligațiilor fiscale (ATAD) (</w:t>
            </w:r>
            <w:r>
              <w:rPr>
                <w:rStyle w:val="FootnoteReference"/>
                <w:rFonts w:ascii="Times New Roman" w:hAnsi="Times New Roman" w:cs="Times New Roman"/>
                <w:noProof/>
              </w:rPr>
              <w:footnoteReference w:id="5"/>
            </w:r>
            <w:r>
              <w:rPr>
                <w:rFonts w:ascii="Times New Roman" w:hAnsi="Times New Roman"/>
                <w:noProof/>
              </w:rPr>
              <w:t>) și Directiva privind mecanismele de soluționare a litigiilor (DRM) (</w:t>
            </w:r>
            <w:r>
              <w:rPr>
                <w:rStyle w:val="FootnoteReference"/>
                <w:rFonts w:ascii="Times New Roman" w:hAnsi="Times New Roman" w:cs="Times New Roman"/>
                <w:noProof/>
              </w:rPr>
              <w:footnoteReference w:id="6"/>
            </w:r>
            <w:r>
              <w:rPr>
                <w:rFonts w:ascii="Times New Roman" w:hAnsi="Times New Roman"/>
                <w:noProof/>
              </w:rPr>
              <w:t>). Pentru a facilita funcționarea Directivei privind dobânzile și redevențele și a Directivei privind societățile-mamă și filialele acestora, omnibus va modifica și recenta Directivă FASTER (</w:t>
            </w:r>
            <w:r>
              <w:rPr>
                <w:rStyle w:val="FootnoteReference"/>
                <w:rFonts w:ascii="Times New Roman" w:hAnsi="Times New Roman" w:cs="Times New Roman"/>
                <w:noProof/>
              </w:rPr>
              <w:footnoteReference w:id="7"/>
            </w:r>
            <w:r>
              <w:rPr>
                <w:rFonts w:ascii="Times New Roman" w:hAnsi="Times New Roman"/>
                <w:noProof/>
              </w:rPr>
              <w:t>). Analiza raportului de evaluare a impactului se bazează în principal pe experiența și provocările generate de aplicarea acestor directive în practică, precum și pe interacțiunea lor cu cele mai recente evoluții la nivelul UE și la nivel internațional în domeniul fiscal, cum ar fi Directiva privind pilonul 2 (</w:t>
            </w:r>
            <w:r>
              <w:rPr>
                <w:rStyle w:val="FootnoteReference"/>
                <w:rFonts w:ascii="Times New Roman" w:hAnsi="Times New Roman" w:cs="Times New Roman"/>
                <w:noProof/>
              </w:rPr>
              <w:footnoteReference w:id="8"/>
            </w:r>
            <w:r>
              <w:rPr>
                <w:rFonts w:ascii="Times New Roman" w:hAnsi="Times New Roman"/>
                <w:noProof/>
              </w:rPr>
              <w:t xml:space="preserve">), recent adoptată. </w:t>
            </w:r>
          </w:p>
          <w:p>
            <w:pPr>
              <w:spacing w:after="120"/>
              <w:jc w:val="both"/>
              <w:rPr>
                <w:rFonts w:ascii="Times New Roman" w:hAnsi="Times New Roman" w:cs="Times New Roman"/>
                <w:noProof/>
              </w:rPr>
            </w:pPr>
            <w:r>
              <w:rPr>
                <w:rFonts w:ascii="Times New Roman" w:hAnsi="Times New Roman"/>
                <w:noProof/>
              </w:rPr>
              <w:t xml:space="preserve">Raportul identifică o gamă largă de opțiuni de politică. În ceea ce privește impozitele reținute la sursă în temeiul Directivei privind dobânzile și redevențele și al Directivei privind societățile-mamă și filialele acestora, o opțiune ar fi scutirea tuturor plăților intra-UE de dobânzi, redevențe și dividende printr-o extindere a domeniului de aplicare al acestor directive, împreună cu eliminarea procedurilor în avans pentru acordarea drepturilor la plată. În acest sens, o opțiune alternativă ar fi alinierea domeniului de aplicare și a procedurilor Directivei privind dobânzile și redevențele și ale Directivei privind societățile-mamă și filialele acestora. </w:t>
            </w:r>
          </w:p>
          <w:p>
            <w:pPr>
              <w:spacing w:after="120"/>
              <w:jc w:val="both"/>
              <w:rPr>
                <w:rFonts w:ascii="Times New Roman" w:hAnsi="Times New Roman" w:cs="Times New Roman"/>
                <w:noProof/>
              </w:rPr>
            </w:pPr>
            <w:r>
              <w:rPr>
                <w:rFonts w:ascii="Times New Roman" w:hAnsi="Times New Roman"/>
                <w:noProof/>
              </w:rPr>
              <w:t xml:space="preserve">În ceea ce privește normele privind societățile străine controlate (SSC) prevăzute în ATAD, se are în vedere aplicarea obligatorie a modelului A, o excepție pentru societățile din pilonul 2 sau luarea în considerare a impozitelor suplimentare naționale minime calificate din pilonul 2 pentru a stabili dacă este datorată o taxă SSC și, în caz afirmativ, creditarea impozitului suplimentar cu obligația SSC. În plus, analiza evaluează și o excepție pentru IMM-uri. </w:t>
            </w:r>
          </w:p>
          <w:p>
            <w:pPr>
              <w:spacing w:after="120"/>
              <w:jc w:val="both"/>
              <w:rPr>
                <w:rFonts w:ascii="Times New Roman" w:hAnsi="Times New Roman" w:cs="Times New Roman"/>
                <w:noProof/>
              </w:rPr>
            </w:pPr>
            <w:r>
              <w:rPr>
                <w:rFonts w:ascii="Times New Roman" w:hAnsi="Times New Roman"/>
                <w:noProof/>
              </w:rPr>
              <w:t xml:space="preserve">În ceea ce privește investițiile în cercetare și dezvoltare (C&amp;D), deducerea imediată a costurilor activelor legate de C&amp;D este analizată în raport cu status-quo-ul, conform căruia deducerea cheltuielilor în domeniul C&amp;D ar fi în continuare definită doar la nivel național. </w:t>
            </w:r>
          </w:p>
          <w:p>
            <w:pPr>
              <w:spacing w:after="120"/>
              <w:jc w:val="both"/>
              <w:rPr>
                <w:rFonts w:ascii="Times New Roman" w:hAnsi="Times New Roman" w:cs="Times New Roman"/>
                <w:noProof/>
              </w:rPr>
            </w:pPr>
            <w:r>
              <w:rPr>
                <w:rFonts w:ascii="Times New Roman" w:hAnsi="Times New Roman"/>
                <w:noProof/>
              </w:rPr>
              <w:t xml:space="preserve">Norma privind limitarea deductibilității dobânzii în temeiul ATAD include opțiuni de reformă în întregul său spectru, cu scopul principal de a asigura echitatea și de a atenua efectele </w:t>
            </w:r>
            <w:r>
              <w:rPr>
                <w:rFonts w:ascii="Times New Roman" w:hAnsi="Times New Roman"/>
                <w:noProof/>
              </w:rPr>
              <w:lastRenderedPageBreak/>
              <w:t xml:space="preserve">prociclice ale normei: o excepție pentru IMM-uri, aplicarea obligatorie a plafonului EBITDA de 30 %, aplicarea obligatorie a anumitor variații opționale în prezent, o excepție pentru împrumuturile cu risc scăzut acordate de terți și o excepție în cazul unor șocuri ale profitabilității. </w:t>
            </w:r>
          </w:p>
          <w:p>
            <w:pPr>
              <w:spacing w:after="120"/>
              <w:jc w:val="both"/>
              <w:rPr>
                <w:rFonts w:ascii="Times New Roman" w:hAnsi="Times New Roman" w:cs="Times New Roman"/>
                <w:noProof/>
              </w:rPr>
            </w:pPr>
            <w:r>
              <w:rPr>
                <w:rFonts w:ascii="Times New Roman" w:hAnsi="Times New Roman"/>
                <w:noProof/>
              </w:rPr>
              <w:t xml:space="preserve">Opțiunile mai limitate de modificare implică eliminarea normelor privind tratamentele neuniforme ale elementelor hibride importate; alinierea TMD la Directiva privind mobilitatea (fuziuni transfrontaliere din perspectiva dreptului societăților comerciale), fie printr-o trimitere dinamică, fie prin adăugarea de noi tranzacții de structurare; precum și o serie de îmbunătățiri specifice ale DRM, pentru a clarifica normele procedurale și a permite utilizarea actelor de punere în aplicare ale Consiliului. </w:t>
            </w:r>
          </w:p>
          <w:p>
            <w:pPr>
              <w:spacing w:after="120"/>
              <w:jc w:val="both"/>
              <w:rPr>
                <w:rFonts w:ascii="Times New Roman" w:hAnsi="Times New Roman" w:cs="Times New Roman"/>
                <w:noProof/>
              </w:rPr>
            </w:pPr>
            <w:r>
              <w:rPr>
                <w:rFonts w:ascii="Times New Roman" w:hAnsi="Times New Roman"/>
                <w:noProof/>
              </w:rPr>
              <w:t xml:space="preserve">Raportul evaluează în mod specific trei combinații ale acestor opțiuni. </w:t>
            </w:r>
            <w:r>
              <w:rPr>
                <w:rFonts w:ascii="Times New Roman" w:hAnsi="Times New Roman"/>
                <w:b/>
                <w:noProof/>
              </w:rPr>
              <w:t xml:space="preserve">Pachetul omnibus cuprinzător: </w:t>
            </w:r>
            <w:r>
              <w:rPr>
                <w:rFonts w:ascii="Times New Roman" w:hAnsi="Times New Roman"/>
                <w:noProof/>
              </w:rPr>
              <w:t>această combinație are în vedere toate opțiunile de politică și, după caz, vizează cele mai ambițioase alternative pentru principalele măsuri ale prezentei inițiative privind impozitarea plăților transfrontaliere de dobânzi, redevențe și dividende și impozitarea SSC, pentru a evalua cel mai ambițios potențial de simplificare.</w:t>
            </w:r>
            <w:r>
              <w:rPr>
                <w:rFonts w:ascii="Times New Roman" w:hAnsi="Times New Roman"/>
                <w:b/>
                <w:noProof/>
              </w:rPr>
              <w:t xml:space="preserve"> Pachetul omnibus cu obiective de nivel mediu: </w:t>
            </w:r>
            <w:r>
              <w:rPr>
                <w:rFonts w:ascii="Times New Roman" w:hAnsi="Times New Roman"/>
                <w:noProof/>
              </w:rPr>
              <w:t xml:space="preserve">această abordare cuprinde opțiuni de politică, dar include alternativele mai puțin ambițioase pentru impozitele reținute la sursă în temeiul Directivei privind dobânzile și redevențele și al Directivei privind societățile-mamă și filialele acestora, precum și SSC în ATAD, menținând în același timp statu-quo-ul în ceea ce privește cheltuielile în domeniul C&amp;D. </w:t>
            </w:r>
            <w:r>
              <w:rPr>
                <w:rFonts w:ascii="Times New Roman" w:hAnsi="Times New Roman"/>
                <w:b/>
                <w:noProof/>
              </w:rPr>
              <w:t xml:space="preserve">Pachetul omnibus cu obiective limitate: </w:t>
            </w:r>
            <w:r>
              <w:rPr>
                <w:rFonts w:ascii="Times New Roman" w:hAnsi="Times New Roman"/>
                <w:noProof/>
              </w:rPr>
              <w:t xml:space="preserve">această versiune vizează măsurile existente într-un mod mai simplu și mai direct, cum ar fi reducerea opțiunilor de punere în aplicare a normei privind limitarea deductibilității dobânzii și extinderea domeniului de aplicare al TMD, pentru a genera rezultate în materie de simplificare prin intermediul celor mai simple și mai accesibile opțiuni. </w:t>
            </w:r>
          </w:p>
        </w:tc>
      </w:tr>
      <w:tr>
        <w:tc>
          <w:tcPr>
            <w:tcW w:w="8568" w:type="dxa"/>
            <w:shd w:val="clear" w:color="auto" w:fill="D9D9D9" w:themeFill="background1" w:themeFillShade="D9"/>
          </w:tcPr>
          <w:p>
            <w:pPr>
              <w:pStyle w:val="Default"/>
              <w:rPr>
                <w:b/>
                <w:bCs/>
                <w:noProof/>
                <w:sz w:val="22"/>
                <w:szCs w:val="22"/>
              </w:rPr>
            </w:pPr>
            <w:r>
              <w:rPr>
                <w:b/>
                <w:noProof/>
                <w:sz w:val="22"/>
              </w:rPr>
              <w:lastRenderedPageBreak/>
              <w:t xml:space="preserve">Care sunt punctele de vedere ale diferitelor părți interesate? Cine sunt susținătorii fiecărei opțiuni? </w:t>
            </w:r>
          </w:p>
        </w:tc>
      </w:tr>
      <w:tr>
        <w:tc>
          <w:tcPr>
            <w:tcW w:w="8568" w:type="dxa"/>
          </w:tcPr>
          <w:p>
            <w:pPr>
              <w:spacing w:after="120"/>
              <w:jc w:val="both"/>
              <w:rPr>
                <w:rFonts w:ascii="Times New Roman" w:hAnsi="Times New Roman" w:cs="Times New Roman"/>
                <w:noProof/>
              </w:rPr>
            </w:pPr>
            <w:r>
              <w:rPr>
                <w:rFonts w:ascii="Times New Roman" w:hAnsi="Times New Roman"/>
                <w:noProof/>
              </w:rPr>
              <w:t xml:space="preserve">Părțile interesate au sprijinit pe deplin inițiativa de simplificare a normelor fiscale existente ale UE. A existat un sprijin deosebit de puternic în rândul părților interesate din sectorul privat, și anume al întreprinderilor și al reprezentanților sectorului din UE, precum și al profesioniștilor din domeniul fiscal, care au identificat necesitatea simplificării în toate directivele existente și dincolo de acestea, astfel cum se detaliază în anexa 2. Statele membre ale UE au salutat în unanimitate inițiativa, după cum reiese din concluziile Consiliului din martie 2025, încurajând Comisia să adopte o propunere ambițioasă, în timp ce convergența cu privire la opțiunile de politică specifice va trebui, de asemenea, să fie realizată în continuare în timpul negocierilor din cadrul Consiliului. </w:t>
            </w:r>
          </w:p>
        </w:tc>
      </w:tr>
      <w:tr>
        <w:tc>
          <w:tcPr>
            <w:tcW w:w="8568" w:type="dxa"/>
            <w:shd w:val="clear" w:color="auto" w:fill="A6A6A6" w:themeFill="background1" w:themeFillShade="A6"/>
          </w:tcPr>
          <w:p>
            <w:pPr>
              <w:rPr>
                <w:rFonts w:ascii="Times New Roman" w:hAnsi="Times New Roman" w:cs="Times New Roman"/>
                <w:b/>
                <w:bCs/>
                <w:noProof/>
              </w:rPr>
            </w:pPr>
            <w:r>
              <w:rPr>
                <w:rFonts w:ascii="Times New Roman" w:hAnsi="Times New Roman"/>
                <w:b/>
                <w:noProof/>
              </w:rPr>
              <w:t xml:space="preserve">C. Impactul opțiunii preferate </w:t>
            </w:r>
          </w:p>
        </w:tc>
      </w:tr>
      <w:tr>
        <w:tc>
          <w:tcPr>
            <w:tcW w:w="8568" w:type="dxa"/>
            <w:shd w:val="clear" w:color="auto" w:fill="D9D9D9" w:themeFill="background1" w:themeFillShade="D9"/>
          </w:tcPr>
          <w:p>
            <w:pPr>
              <w:rPr>
                <w:rFonts w:ascii="Times New Roman" w:hAnsi="Times New Roman" w:cs="Times New Roman"/>
                <w:b/>
                <w:bCs/>
                <w:noProof/>
              </w:rPr>
            </w:pPr>
            <w:r>
              <w:rPr>
                <w:rFonts w:ascii="Times New Roman" w:hAnsi="Times New Roman"/>
                <w:b/>
                <w:noProof/>
              </w:rPr>
              <w:t>Care sunt avantajele opțiunii preferate?</w:t>
            </w:r>
          </w:p>
        </w:tc>
      </w:tr>
      <w:tr>
        <w:tc>
          <w:tcPr>
            <w:tcW w:w="8568" w:type="dxa"/>
          </w:tcPr>
          <w:p>
            <w:pPr>
              <w:spacing w:after="120"/>
              <w:jc w:val="both"/>
              <w:rPr>
                <w:rFonts w:ascii="Times New Roman" w:hAnsi="Times New Roman" w:cs="Times New Roman"/>
                <w:noProof/>
              </w:rPr>
            </w:pPr>
            <w:r>
              <w:rPr>
                <w:rFonts w:ascii="Times New Roman" w:hAnsi="Times New Roman"/>
                <w:noProof/>
              </w:rPr>
              <w:t xml:space="preserve">Evaluarea impactului prezintă potențialele economii de costuri pentru întreprinderile și economia din UE ca urmare a potențialelor reduceri ale costurilor actuale de conformare fiscală, precum și impactul macroeconomic mai amplu, pe termen mai lung. Opțiunea preferată este pachetul omnibus cuprinzător. Se estimează că această opțiune va reduce costurile de asigurare a conformității și costurile financiare cu aproximativ 6,6 miliarde EUR pe an, din care costurile recurente legate de reducerea sarcinii administrative sunt de aproximativ 2 miliarde EUR pe an (o defalcare a acestor cifre poate fi consultată în anexa 3 la raportul de evaluare a impactului), precum și că unele dintre măsurile sale individuale vor crește PIB-ul UE cu aproximativ 0,04 % (scutire de impozitul reținut la sursă) și cu 0,2 % (deducerea imediată a anumitor active de C&amp;D) pe termen lung. </w:t>
            </w:r>
          </w:p>
        </w:tc>
      </w:tr>
      <w:tr>
        <w:tc>
          <w:tcPr>
            <w:tcW w:w="8568" w:type="dxa"/>
            <w:shd w:val="clear" w:color="auto" w:fill="D9D9D9" w:themeFill="background1" w:themeFillShade="D9"/>
          </w:tcPr>
          <w:p>
            <w:pPr>
              <w:pStyle w:val="Default"/>
              <w:rPr>
                <w:b/>
                <w:bCs/>
                <w:noProof/>
                <w:sz w:val="22"/>
                <w:szCs w:val="22"/>
              </w:rPr>
            </w:pPr>
            <w:r>
              <w:rPr>
                <w:b/>
                <w:noProof/>
                <w:sz w:val="22"/>
              </w:rPr>
              <w:t xml:space="preserve">Care sunt costurile opțiunii preferate? </w:t>
            </w:r>
          </w:p>
        </w:tc>
      </w:tr>
      <w:tr>
        <w:tc>
          <w:tcPr>
            <w:tcW w:w="8568" w:type="dxa"/>
          </w:tcPr>
          <w:p>
            <w:pPr>
              <w:pStyle w:val="Default"/>
              <w:spacing w:after="120"/>
              <w:jc w:val="both"/>
              <w:rPr>
                <w:noProof/>
                <w:sz w:val="22"/>
                <w:szCs w:val="22"/>
              </w:rPr>
            </w:pPr>
            <w:r>
              <w:rPr>
                <w:noProof/>
                <w:sz w:val="22"/>
              </w:rPr>
              <w:t xml:space="preserve">Raportul de evaluare a impactului încearcă să descrie unele dintre posibilele costuri. Scopul propunerii omnibus în domeniul fiscal este de a reduce costurile recurente existente, prin simplificarea normelor fiscale la nivelul UE, acolo unde este posibil. În consecință, astfel cum se subliniază în capitolul 6 și în anexa 3, nu se preconizează că inițiativa va genera costuri </w:t>
            </w:r>
            <w:r>
              <w:rPr>
                <w:noProof/>
                <w:sz w:val="22"/>
              </w:rPr>
              <w:lastRenderedPageBreak/>
              <w:t xml:space="preserve">semnificative pentru întreprinderi și administrațiile fiscale și, prin urmare, sunt estimate ca fiind inexistente, marginale sau irelevante. </w:t>
            </w:r>
          </w:p>
        </w:tc>
      </w:tr>
      <w:tr>
        <w:tc>
          <w:tcPr>
            <w:tcW w:w="8568" w:type="dxa"/>
            <w:shd w:val="clear" w:color="auto" w:fill="D9D9D9" w:themeFill="background1" w:themeFillShade="D9"/>
          </w:tcPr>
          <w:p>
            <w:pPr>
              <w:pStyle w:val="Default"/>
              <w:rPr>
                <w:b/>
                <w:bCs/>
                <w:noProof/>
                <w:sz w:val="22"/>
                <w:szCs w:val="22"/>
              </w:rPr>
            </w:pPr>
            <w:r>
              <w:rPr>
                <w:b/>
                <w:noProof/>
                <w:sz w:val="22"/>
              </w:rPr>
              <w:lastRenderedPageBreak/>
              <w:t xml:space="preserve">Care este impactul asupra IMM-urilor și a competitivității? </w:t>
            </w:r>
          </w:p>
        </w:tc>
      </w:tr>
      <w:tr>
        <w:tc>
          <w:tcPr>
            <w:tcW w:w="8568" w:type="dxa"/>
          </w:tcPr>
          <w:p>
            <w:pPr>
              <w:pStyle w:val="Default"/>
              <w:spacing w:after="120"/>
              <w:jc w:val="both"/>
              <w:rPr>
                <w:noProof/>
                <w:sz w:val="22"/>
                <w:szCs w:val="22"/>
              </w:rPr>
            </w:pPr>
            <w:r>
              <w:rPr>
                <w:b/>
                <w:noProof/>
                <w:sz w:val="22"/>
              </w:rPr>
              <w:t>IMM-uri:</w:t>
            </w:r>
            <w:r>
              <w:rPr>
                <w:noProof/>
                <w:sz w:val="22"/>
              </w:rPr>
              <w:t xml:space="preserve"> pachetul omnibus include măsuri în favoarea IMM-urilor, cum ar fi o excepție clară de la normele privind SSC și o excepție </w:t>
            </w:r>
            <w:r>
              <w:rPr>
                <w:i/>
                <w:noProof/>
                <w:sz w:val="22"/>
              </w:rPr>
              <w:t>de facto</w:t>
            </w:r>
            <w:r>
              <w:rPr>
                <w:noProof/>
                <w:sz w:val="22"/>
              </w:rPr>
              <w:t xml:space="preserve"> de la norma privind limitarea deductibilității dobânzii prevăzută în ATAD. Se estimează că acestea vor genera economii suplimentare de costuri de aproximativ 90 de milioane EUR și, respectiv, de cel puțin 69 de milioane EUR pe an. În plus, IMM-urile vor beneficia, de asemenea, de economiile generale de costuri care se preconizează că vor rezulta din celelalte măsuri de simplificare. În acest mod, pachetul omnibus va sprijini obiectivul Comisiei de a acorda prioritate reducerii sarcinii pentru IMM-uri (35 %, comparativ cu 25 % în general). </w:t>
            </w:r>
          </w:p>
          <w:p>
            <w:pPr>
              <w:pStyle w:val="Default"/>
              <w:spacing w:after="120"/>
              <w:jc w:val="both"/>
              <w:rPr>
                <w:b/>
                <w:bCs/>
                <w:noProof/>
                <w:sz w:val="22"/>
                <w:szCs w:val="22"/>
              </w:rPr>
            </w:pPr>
            <w:r>
              <w:rPr>
                <w:b/>
                <w:noProof/>
                <w:sz w:val="22"/>
              </w:rPr>
              <w:t>Competitivitate</w:t>
            </w:r>
            <w:r>
              <w:rPr>
                <w:noProof/>
                <w:sz w:val="22"/>
              </w:rPr>
              <w:t>: se estimează că pachetul omnibus va avea un efect general pozitiv asupra competitivității, prin reducerea costurilor administrative și de asigurare a conformității, prin îmbunătățirea securității juridice și prin eliminarea unor bariere fiscale permanente pentru activitățile comerciale transfrontaliere de pe piața internă. Se preconizează că aceste efecte vor stimula deciziile de investiții și vor îmbunătăți mediul de afaceri din UE, sprijinind creșterea economică și competitivitatea în ansamblu.</w:t>
            </w:r>
            <w:r>
              <w:rPr>
                <w:noProof/>
              </w:rPr>
              <w:t xml:space="preserve"> </w:t>
            </w:r>
          </w:p>
        </w:tc>
      </w:tr>
      <w:tr>
        <w:tc>
          <w:tcPr>
            <w:tcW w:w="8568" w:type="dxa"/>
            <w:shd w:val="clear" w:color="auto" w:fill="D9D9D9" w:themeFill="background1" w:themeFillShade="D9"/>
          </w:tcPr>
          <w:p>
            <w:pPr>
              <w:pStyle w:val="Default"/>
              <w:rPr>
                <w:b/>
                <w:bCs/>
                <w:noProof/>
                <w:sz w:val="22"/>
                <w:szCs w:val="22"/>
              </w:rPr>
            </w:pPr>
            <w:r>
              <w:rPr>
                <w:b/>
                <w:noProof/>
                <w:sz w:val="22"/>
              </w:rPr>
              <w:t xml:space="preserve">Va exista un impact semnificativ asupra bugetelor și a administrațiilor naționale? </w:t>
            </w:r>
          </w:p>
        </w:tc>
      </w:tr>
      <w:tr>
        <w:tc>
          <w:tcPr>
            <w:tcW w:w="8568" w:type="dxa"/>
          </w:tcPr>
          <w:p>
            <w:pPr>
              <w:pStyle w:val="Default"/>
              <w:spacing w:after="120"/>
              <w:jc w:val="both"/>
              <w:rPr>
                <w:noProof/>
                <w:sz w:val="22"/>
                <w:szCs w:val="22"/>
              </w:rPr>
            </w:pPr>
            <w:r>
              <w:rPr>
                <w:noProof/>
                <w:sz w:val="22"/>
              </w:rPr>
              <w:t xml:space="preserve">Se preconizează că majoritatea opțiunilor de politică nu vor avea un impact semnificativ asupra bugetelor naționale. După caz, raportul de evaluare a impactului estimează impactul global al opțiunilor de politică asupra veniturilor fiscale, iar rezultatul ar trebui să fie limitat sau neutru, în special în comparație cu beneficiile asociate în materie de investiții și de creștere a PIB-ului. </w:t>
            </w:r>
          </w:p>
          <w:p>
            <w:pPr>
              <w:pStyle w:val="Default"/>
              <w:spacing w:after="120"/>
              <w:jc w:val="both"/>
              <w:rPr>
                <w:noProof/>
                <w:sz w:val="22"/>
                <w:szCs w:val="22"/>
              </w:rPr>
            </w:pPr>
            <w:r>
              <w:rPr>
                <w:noProof/>
                <w:sz w:val="22"/>
              </w:rPr>
              <w:t xml:space="preserve">În plus, se intenționează ca simplificările să fie în beneficiul administrațiilor. Autoritățile fiscale ar trebui să suporte costuri de adaptare foarte limitate pentru a se conforma noilor proceduri, în special procedurilor informatice, deoarece măsurile avute în vedere, în general, fie pur și simplu elimină cerințele existente, fie extind utilizarea procedurilor și a modelelor deja introduse prin Directiva FASTER. </w:t>
            </w:r>
          </w:p>
        </w:tc>
      </w:tr>
      <w:tr>
        <w:tc>
          <w:tcPr>
            <w:tcW w:w="8568" w:type="dxa"/>
            <w:shd w:val="clear" w:color="auto" w:fill="D9D9D9" w:themeFill="background1" w:themeFillShade="D9"/>
          </w:tcPr>
          <w:p>
            <w:pPr>
              <w:pStyle w:val="Default"/>
              <w:rPr>
                <w:b/>
                <w:bCs/>
                <w:noProof/>
                <w:sz w:val="22"/>
                <w:szCs w:val="22"/>
              </w:rPr>
            </w:pPr>
            <w:r>
              <w:rPr>
                <w:b/>
                <w:noProof/>
                <w:sz w:val="22"/>
              </w:rPr>
              <w:t xml:space="preserve">Va exista un alt impact semnificativ? </w:t>
            </w:r>
          </w:p>
        </w:tc>
      </w:tr>
      <w:tr>
        <w:tc>
          <w:tcPr>
            <w:tcW w:w="8568" w:type="dxa"/>
          </w:tcPr>
          <w:p>
            <w:pPr>
              <w:pStyle w:val="Default"/>
              <w:spacing w:after="120"/>
              <w:jc w:val="both"/>
              <w:rPr>
                <w:noProof/>
                <w:sz w:val="22"/>
                <w:szCs w:val="22"/>
              </w:rPr>
            </w:pPr>
            <w:r>
              <w:rPr>
                <w:noProof/>
                <w:sz w:val="22"/>
              </w:rPr>
              <w:t xml:space="preserve">Evaluarea impactului analizează, de asemenea, dacă inițiativa poate avea un impact de mediu sau social sau un impact asupra drepturilor fundamentale. Nu se preconizează niciun impact specific și direct asupra mediului. De asemenea, nu se preconizează că va exista un impact social semnificativ, deși resursele eliberate ar putea avea un efect pozitiv asupra ocupării forței de muncă într-o anumită măsură. De asemenea, inițiativa nu ar trebui să aducă atingere protecției drepturilor fundamentale, care sunt garantate, iar datele cu caracter personal vor fi protejate. </w:t>
            </w:r>
          </w:p>
        </w:tc>
      </w:tr>
      <w:tr>
        <w:tc>
          <w:tcPr>
            <w:tcW w:w="8568" w:type="dxa"/>
            <w:shd w:val="clear" w:color="auto" w:fill="D9D9D9" w:themeFill="background1" w:themeFillShade="D9"/>
          </w:tcPr>
          <w:p>
            <w:pPr>
              <w:rPr>
                <w:rFonts w:ascii="Times New Roman" w:hAnsi="Times New Roman" w:cs="Times New Roman"/>
                <w:b/>
                <w:bCs/>
                <w:noProof/>
              </w:rPr>
            </w:pPr>
            <w:r>
              <w:rPr>
                <w:rFonts w:ascii="Times New Roman" w:hAnsi="Times New Roman"/>
                <w:b/>
                <w:noProof/>
              </w:rPr>
              <w:t xml:space="preserve">Proporționalitate? </w:t>
            </w:r>
          </w:p>
        </w:tc>
      </w:tr>
      <w:tr>
        <w:tc>
          <w:tcPr>
            <w:tcW w:w="8568" w:type="dxa"/>
          </w:tcPr>
          <w:p>
            <w:pPr>
              <w:spacing w:after="120"/>
              <w:jc w:val="both"/>
              <w:rPr>
                <w:rFonts w:ascii="Times New Roman" w:hAnsi="Times New Roman" w:cs="Times New Roman"/>
                <w:noProof/>
              </w:rPr>
            </w:pPr>
            <w:r>
              <w:rPr>
                <w:rFonts w:ascii="Times New Roman" w:hAnsi="Times New Roman"/>
                <w:noProof/>
              </w:rPr>
              <w:t>Opțiunea preferată nu depășește ceea ce este necesar pentru atingerea obiectivelor și se axează pe elemente în care valoarea adăugată a acțiunii UE depășește ceea ce poate fi realizat de statele membre în mod individual.</w:t>
            </w:r>
          </w:p>
        </w:tc>
      </w:tr>
      <w:tr>
        <w:tc>
          <w:tcPr>
            <w:tcW w:w="8568" w:type="dxa"/>
            <w:shd w:val="clear" w:color="auto" w:fill="A6A6A6" w:themeFill="background1" w:themeFillShade="A6"/>
          </w:tcPr>
          <w:p>
            <w:pPr>
              <w:rPr>
                <w:rFonts w:ascii="Times New Roman" w:hAnsi="Times New Roman" w:cs="Times New Roman"/>
                <w:b/>
                <w:bCs/>
                <w:noProof/>
              </w:rPr>
            </w:pPr>
            <w:r>
              <w:rPr>
                <w:rFonts w:ascii="Times New Roman" w:hAnsi="Times New Roman"/>
                <w:b/>
                <w:noProof/>
              </w:rPr>
              <w:t xml:space="preserve">D. Acțiuni ulterioare </w:t>
            </w:r>
          </w:p>
        </w:tc>
      </w:tr>
      <w:tr>
        <w:tc>
          <w:tcPr>
            <w:tcW w:w="8568" w:type="dxa"/>
            <w:shd w:val="clear" w:color="auto" w:fill="D9D9D9" w:themeFill="background1" w:themeFillShade="D9"/>
          </w:tcPr>
          <w:p>
            <w:pPr>
              <w:rPr>
                <w:rFonts w:ascii="Times New Roman" w:hAnsi="Times New Roman" w:cs="Times New Roman"/>
                <w:b/>
                <w:bCs/>
                <w:noProof/>
              </w:rPr>
            </w:pPr>
            <w:r>
              <w:rPr>
                <w:rFonts w:ascii="Times New Roman" w:hAnsi="Times New Roman"/>
                <w:b/>
                <w:noProof/>
              </w:rPr>
              <w:t>Când va fi reexaminată politica?</w:t>
            </w:r>
          </w:p>
        </w:tc>
      </w:tr>
      <w:tr>
        <w:tc>
          <w:tcPr>
            <w:tcW w:w="8568" w:type="dxa"/>
          </w:tcPr>
          <w:p>
            <w:pPr>
              <w:pStyle w:val="Default"/>
              <w:spacing w:after="120"/>
              <w:jc w:val="both"/>
              <w:rPr>
                <w:noProof/>
                <w:sz w:val="22"/>
                <w:szCs w:val="22"/>
              </w:rPr>
            </w:pPr>
            <w:r>
              <w:rPr>
                <w:noProof/>
                <w:sz w:val="22"/>
              </w:rPr>
              <w:t>Prima evaluare nu ar trebui să aibă loc mai devreme de cinci ani de la începerea aplicării noilor norme.</w:t>
            </w:r>
          </w:p>
        </w:tc>
      </w:tr>
    </w:tbl>
    <w:p>
      <w:pPr>
        <w:rPr>
          <w:rFonts w:ascii="Times New Roman" w:hAnsi="Times New Roman" w:cs="Times New Roman"/>
          <w:b/>
          <w:bCs/>
          <w:noProof/>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Directiva 2003/49/CE a Consiliului din 3 iunie 2003 privind sistemul comun de impozitare, aplicabil plăților de dobânzi și de redevențe efectuate între societăți asociate din state membre diferite.</w:t>
      </w:r>
    </w:p>
  </w:footnote>
  <w:footnote w:id="3">
    <w:p>
      <w:pPr>
        <w:pStyle w:val="FootnoteText"/>
      </w:pPr>
      <w:r>
        <w:rPr>
          <w:rStyle w:val="FootnoteReference"/>
        </w:rPr>
        <w:footnoteRef/>
      </w:r>
      <w:r>
        <w:t> Directiva 2011/96/UE a Consiliului din 30 noiembrie 2011 privind regimul fiscal comun care se aplică societăților-mamă și filialelor acestora din diferite state membre.</w:t>
      </w:r>
    </w:p>
  </w:footnote>
  <w:footnote w:id="4">
    <w:p>
      <w:pPr>
        <w:pStyle w:val="FootnoteText"/>
      </w:pPr>
      <w:r>
        <w:rPr>
          <w:rStyle w:val="FootnoteReference"/>
        </w:rPr>
        <w:footnoteRef/>
      </w:r>
      <w:r>
        <w:t xml:space="preserve"> Directiva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w:t>
      </w:r>
    </w:p>
  </w:footnote>
  <w:footnote w:id="5">
    <w:p>
      <w:pPr>
        <w:pStyle w:val="FootnoteText"/>
      </w:pPr>
      <w:r>
        <w:rPr>
          <w:rStyle w:val="FootnoteReference"/>
        </w:rPr>
        <w:footnoteRef/>
      </w:r>
      <w:r>
        <w:t xml:space="preserve"> Directiva (UE) 2016/1164 a Consiliului din 12 iulie 2016 de stabilire a normelor împotriva practicilor de evitare a obligațiilor fiscale care au incidență directă asupra funcționării pieței interne. </w:t>
      </w:r>
    </w:p>
  </w:footnote>
  <w:footnote w:id="6">
    <w:p>
      <w:pPr>
        <w:pStyle w:val="FootnoteText"/>
      </w:pPr>
      <w:r>
        <w:rPr>
          <w:rStyle w:val="FootnoteReference"/>
        </w:rPr>
        <w:footnoteRef/>
      </w:r>
      <w:r>
        <w:t> Directiva (UE) 2017/1852 a Consiliului din 10 octombrie 2017 privind mecanismele de soluționare a litigiilor fiscale în Uniunea Europeană.</w:t>
      </w:r>
    </w:p>
  </w:footnote>
  <w:footnote w:id="7">
    <w:p>
      <w:pPr>
        <w:pStyle w:val="FootnoteText"/>
      </w:pPr>
      <w:r>
        <w:rPr>
          <w:rStyle w:val="FootnoteReference"/>
        </w:rPr>
        <w:footnoteRef/>
      </w:r>
      <w:r>
        <w:t xml:space="preserve"> Directiva (UE) 2025/50 a Consiliului din 10 decembrie 2024 privind reducerea mai rapidă și mai sigură a surplusului de impozit reținut la sursă. </w:t>
      </w:r>
    </w:p>
  </w:footnote>
  <w:footnote w:id="8">
    <w:p>
      <w:pPr>
        <w:pStyle w:val="FootnoteText"/>
      </w:pPr>
      <w:r>
        <w:rPr>
          <w:rStyle w:val="FootnoteReference"/>
        </w:rPr>
        <w:footnoteRef/>
      </w:r>
      <w:r>
        <w:t> Directiva (UE) 2022/2523 a Consiliului din 14 decembrie 2022 privind asigurarea unui nivel minim global de impozitare a grupurilor de întreprinderi multinaționale și a grupurilor naționale de mari dimensiuni în Uniune.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658"/>
    <w:multiLevelType w:val="hybridMultilevel"/>
    <w:tmpl w:val="A2702A3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A90E6E"/>
    <w:multiLevelType w:val="hybridMultilevel"/>
    <w:tmpl w:val="3640B106"/>
    <w:lvl w:ilvl="0" w:tplc="18090015">
      <w:start w:val="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245440"/>
    <w:multiLevelType w:val="hybridMultilevel"/>
    <w:tmpl w:val="9ABEFF46"/>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CB5195"/>
    <w:multiLevelType w:val="hybridMultilevel"/>
    <w:tmpl w:val="3BDE252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DC06BB"/>
    <w:multiLevelType w:val="hybridMultilevel"/>
    <w:tmpl w:val="B88AF7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2F7FC2"/>
    <w:multiLevelType w:val="hybridMultilevel"/>
    <w:tmpl w:val="C54CA550"/>
    <w:lvl w:ilvl="0" w:tplc="A47493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D0D62AB"/>
    <w:multiLevelType w:val="hybridMultilevel"/>
    <w:tmpl w:val="8CE4B27A"/>
    <w:lvl w:ilvl="0" w:tplc="18090015">
      <w:start w:val="1"/>
      <w:numFmt w:val="upperLetter"/>
      <w:lvlText w:val="%1."/>
      <w:lvlJc w:val="left"/>
      <w:pPr>
        <w:ind w:left="2769" w:hanging="360"/>
      </w:pPr>
      <w:rPr>
        <w:rFonts w:hint="default"/>
      </w:rPr>
    </w:lvl>
    <w:lvl w:ilvl="1" w:tplc="18090019" w:tentative="1">
      <w:start w:val="1"/>
      <w:numFmt w:val="lowerLetter"/>
      <w:lvlText w:val="%2."/>
      <w:lvlJc w:val="left"/>
      <w:pPr>
        <w:ind w:left="3489" w:hanging="360"/>
      </w:pPr>
    </w:lvl>
    <w:lvl w:ilvl="2" w:tplc="1809001B" w:tentative="1">
      <w:start w:val="1"/>
      <w:numFmt w:val="lowerRoman"/>
      <w:lvlText w:val="%3."/>
      <w:lvlJc w:val="right"/>
      <w:pPr>
        <w:ind w:left="4209" w:hanging="180"/>
      </w:pPr>
    </w:lvl>
    <w:lvl w:ilvl="3" w:tplc="1809000F" w:tentative="1">
      <w:start w:val="1"/>
      <w:numFmt w:val="decimal"/>
      <w:lvlText w:val="%4."/>
      <w:lvlJc w:val="left"/>
      <w:pPr>
        <w:ind w:left="4929" w:hanging="360"/>
      </w:pPr>
    </w:lvl>
    <w:lvl w:ilvl="4" w:tplc="18090019" w:tentative="1">
      <w:start w:val="1"/>
      <w:numFmt w:val="lowerLetter"/>
      <w:lvlText w:val="%5."/>
      <w:lvlJc w:val="left"/>
      <w:pPr>
        <w:ind w:left="5649" w:hanging="360"/>
      </w:pPr>
    </w:lvl>
    <w:lvl w:ilvl="5" w:tplc="1809001B" w:tentative="1">
      <w:start w:val="1"/>
      <w:numFmt w:val="lowerRoman"/>
      <w:lvlText w:val="%6."/>
      <w:lvlJc w:val="right"/>
      <w:pPr>
        <w:ind w:left="6369" w:hanging="180"/>
      </w:pPr>
    </w:lvl>
    <w:lvl w:ilvl="6" w:tplc="1809000F" w:tentative="1">
      <w:start w:val="1"/>
      <w:numFmt w:val="decimal"/>
      <w:lvlText w:val="%7."/>
      <w:lvlJc w:val="left"/>
      <w:pPr>
        <w:ind w:left="7089" w:hanging="360"/>
      </w:pPr>
    </w:lvl>
    <w:lvl w:ilvl="7" w:tplc="18090019" w:tentative="1">
      <w:start w:val="1"/>
      <w:numFmt w:val="lowerLetter"/>
      <w:lvlText w:val="%8."/>
      <w:lvlJc w:val="left"/>
      <w:pPr>
        <w:ind w:left="7809" w:hanging="360"/>
      </w:pPr>
    </w:lvl>
    <w:lvl w:ilvl="8" w:tplc="1809001B" w:tentative="1">
      <w:start w:val="1"/>
      <w:numFmt w:val="lowerRoman"/>
      <w:lvlText w:val="%9."/>
      <w:lvlJc w:val="right"/>
      <w:pPr>
        <w:ind w:left="8529" w:hanging="180"/>
      </w:pPr>
    </w:lvl>
  </w:abstractNum>
  <w:abstractNum w:abstractNumId="7" w15:restartNumberingAfterBreak="0">
    <w:nsid w:val="4FA52651"/>
    <w:multiLevelType w:val="hybridMultilevel"/>
    <w:tmpl w:val="7AAC7A9C"/>
    <w:lvl w:ilvl="0" w:tplc="A47493E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0005EE7"/>
    <w:multiLevelType w:val="hybridMultilevel"/>
    <w:tmpl w:val="3A66CB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28F06F7"/>
    <w:multiLevelType w:val="multilevel"/>
    <w:tmpl w:val="0DA618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cs="Calibri" w:hint="default"/>
        <w:color w:val="5C5A66"/>
      </w:rPr>
    </w:lvl>
    <w:lvl w:ilvl="2">
      <w:start w:val="1"/>
      <w:numFmt w:val="decimal"/>
      <w:isLgl/>
      <w:lvlText w:val="%1.%2.%3."/>
      <w:lvlJc w:val="left"/>
      <w:pPr>
        <w:ind w:left="1080" w:hanging="720"/>
      </w:pPr>
      <w:rPr>
        <w:rFonts w:cs="Calibri" w:hint="default"/>
        <w:color w:val="5C5A66"/>
      </w:rPr>
    </w:lvl>
    <w:lvl w:ilvl="3">
      <w:start w:val="1"/>
      <w:numFmt w:val="decimal"/>
      <w:isLgl/>
      <w:lvlText w:val="%1.%2.%3.%4."/>
      <w:lvlJc w:val="left"/>
      <w:pPr>
        <w:ind w:left="1440" w:hanging="1080"/>
      </w:pPr>
      <w:rPr>
        <w:rFonts w:cs="Calibri" w:hint="default"/>
        <w:color w:val="5C5A66"/>
      </w:rPr>
    </w:lvl>
    <w:lvl w:ilvl="4">
      <w:start w:val="1"/>
      <w:numFmt w:val="decimal"/>
      <w:isLgl/>
      <w:lvlText w:val="%1.%2.%3.%4.%5."/>
      <w:lvlJc w:val="left"/>
      <w:pPr>
        <w:ind w:left="1440" w:hanging="1080"/>
      </w:pPr>
      <w:rPr>
        <w:rFonts w:cs="Calibri" w:hint="default"/>
        <w:color w:val="5C5A66"/>
      </w:rPr>
    </w:lvl>
    <w:lvl w:ilvl="5">
      <w:start w:val="1"/>
      <w:numFmt w:val="decimal"/>
      <w:isLgl/>
      <w:lvlText w:val="%1.%2.%3.%4.%5.%6."/>
      <w:lvlJc w:val="left"/>
      <w:pPr>
        <w:ind w:left="1800" w:hanging="1440"/>
      </w:pPr>
      <w:rPr>
        <w:rFonts w:cs="Calibri" w:hint="default"/>
        <w:color w:val="5C5A66"/>
      </w:rPr>
    </w:lvl>
    <w:lvl w:ilvl="6">
      <w:start w:val="1"/>
      <w:numFmt w:val="decimal"/>
      <w:isLgl/>
      <w:lvlText w:val="%1.%2.%3.%4.%5.%6.%7."/>
      <w:lvlJc w:val="left"/>
      <w:pPr>
        <w:ind w:left="1800" w:hanging="1440"/>
      </w:pPr>
      <w:rPr>
        <w:rFonts w:cs="Calibri" w:hint="default"/>
        <w:color w:val="5C5A66"/>
      </w:rPr>
    </w:lvl>
    <w:lvl w:ilvl="7">
      <w:start w:val="1"/>
      <w:numFmt w:val="decimal"/>
      <w:isLgl/>
      <w:lvlText w:val="%1.%2.%3.%4.%5.%6.%7.%8."/>
      <w:lvlJc w:val="left"/>
      <w:pPr>
        <w:ind w:left="2160" w:hanging="1800"/>
      </w:pPr>
      <w:rPr>
        <w:rFonts w:cs="Calibri" w:hint="default"/>
        <w:color w:val="5C5A66"/>
      </w:rPr>
    </w:lvl>
    <w:lvl w:ilvl="8">
      <w:start w:val="1"/>
      <w:numFmt w:val="decimal"/>
      <w:isLgl/>
      <w:lvlText w:val="%1.%2.%3.%4.%5.%6.%7.%8.%9."/>
      <w:lvlJc w:val="left"/>
      <w:pPr>
        <w:ind w:left="2160" w:hanging="1800"/>
      </w:pPr>
      <w:rPr>
        <w:rFonts w:cs="Calibri" w:hint="default"/>
        <w:color w:val="5C5A66"/>
      </w:rPr>
    </w:lvl>
  </w:abstractNum>
  <w:abstractNum w:abstractNumId="10" w15:restartNumberingAfterBreak="0">
    <w:nsid w:val="54162822"/>
    <w:multiLevelType w:val="hybridMultilevel"/>
    <w:tmpl w:val="95346BD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9180F68"/>
    <w:multiLevelType w:val="hybridMultilevel"/>
    <w:tmpl w:val="32425B16"/>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3"/>
  </w:num>
  <w:num w:numId="5">
    <w:abstractNumId w:val="4"/>
  </w:num>
  <w:num w:numId="6">
    <w:abstractNumId w:val="8"/>
  </w:num>
  <w:num w:numId="7">
    <w:abstractNumId w:val="2"/>
  </w:num>
  <w:num w:numId="8">
    <w:abstractNumId w:val="11"/>
  </w:num>
  <w:num w:numId="9">
    <w:abstractNumId w:val="1"/>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EPKit_DocumentHasBeenSaved" w:val="true"/>
    <w:docVar w:name="LW_ACCOMPAGNANT.CP" w:val="care înso\u355?e\u351?te documentul"/>
    <w:docVar w:name="LW_CORRIGENDUM" w:val="&lt;UNUSED&gt;"/>
    <w:docVar w:name="LW_COVERPAGE_EXISTS" w:val="True"/>
    <w:docVar w:name="LW_COVERPAGE_GUID" w:val="EC7DC3C0-024E-40BC-9463-DCFC8F85EF0E"/>
    <w:docVar w:name="LW_COVERPAGE_TYPE" w:val="1"/>
    <w:docVar w:name="LW_CROSSREFERENCE" w:val="{COM(2026) 560 final} - {SEC(2026) 560 final} - {SWD(2026) 560 final} - {SWD(2026) 561 final}"/>
    <w:docVar w:name="LW_DocType" w:val="NORMAL"/>
    <w:docVar w:name="LW_EMISSION" w:val="24.6.2026"/>
    <w:docVar w:name="LW_EMISSION_ISODATE" w:val="2026-06-24"/>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de modificare a Directivelor 2003/49/CE, 2009/133/CE, 2011/96/UE, (UE) 2016/1164, (UE) 2017/1852 \u537?i (UE) 2025/50 în ceea ce prive\u537?te simplificarea cadrului Uniunii privind impozitarea direct\u259? \u537?i sprijinirea cre\u537?terii economice \u537?i a competitivit\u259?\u539?ii UE_x000d__x000d__x000d__x000b_"/>
    <w:docVar w:name="LW_PART_NBR" w:val="1"/>
    <w:docVar w:name="LW_PART_NBR_TOTAL" w:val="1"/>
    <w:docVar w:name="LW_REF.INST.NEW" w:val="SWD"/>
    <w:docVar w:name="LW_REF.INST.NEW_ADOPTED" w:val="final"/>
    <w:docVar w:name="LW_REF.INST.NEW_TEXT" w:val="(2026) 5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DOCUMENT DE LUCRU AL SERVICIILOR COMISIEI_x000b__x000b_REZUMAT AL RAPORTULUI PRIVIND EVALUAREA IMPACTULUI_x000b_"/>
    <w:docVar w:name="LW_TYPEACTEPRINCIPAL.CP" w:val="Propunere de 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1">
    <w:name w:val="List Dash 1"/>
    <w:basedOn w:val="Normal"/>
    <w:pPr>
      <w:tabs>
        <w:tab w:val="num" w:pos="765"/>
      </w:tabs>
      <w:spacing w:after="240" w:line="240" w:lineRule="auto"/>
      <w:ind w:left="765" w:hanging="283"/>
      <w:jc w:val="both"/>
    </w:pPr>
    <w:rPr>
      <w:rFonts w:ascii="Times New Roman" w:eastAsia="Times New Roman" w:hAnsi="Times New Roman" w:cs="Times New Roman"/>
      <w:sz w:val="24"/>
      <w:szCs w:val="20"/>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2285</Words>
  <Characters>13030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2026-06-21T14:40:00Z</dcterms:created>
  <dcterms:modified xsi:type="dcterms:W3CDTF">2026-08-27T07:01:00Z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2026-06-21T14:40:35Z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7d9379fe-c2da-424a-8482-c6b120d12ccd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