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5898F" w14:textId="34AC4A29" w:rsidR="00DD3939" w:rsidRPr="001C0838" w:rsidRDefault="00405653" w:rsidP="0040565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C6E4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F71E65F2-B360-4EA4-8B6B-9F0CC4792960" style="width:455.25pt;height:402.75pt">
            <v:imagedata r:id="rId10" o:title=""/>
          </v:shape>
        </w:pict>
      </w:r>
    </w:p>
    <w:bookmarkEnd w:id="0"/>
    <w:p w14:paraId="496DBBBF" w14:textId="77777777" w:rsidR="00A61C45" w:rsidRPr="001C0838" w:rsidRDefault="00A61C45" w:rsidP="00A61C45">
      <w:pPr>
        <w:rPr>
          <w:noProof/>
        </w:rPr>
        <w:sectPr w:rsidR="00A61C45" w:rsidRPr="001C0838" w:rsidSect="0040565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9"/>
      </w:tblGrid>
      <w:tr w:rsidR="00DD3939" w:rsidRPr="001C0838" w14:paraId="313FAEFE" w14:textId="77777777" w:rsidTr="00A970E6">
        <w:tc>
          <w:tcPr>
            <w:tcW w:w="9839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3FC4DC0" w14:textId="0D47F554" w:rsidR="00DD3939" w:rsidRPr="001C0838" w:rsidRDefault="008561BF" w:rsidP="0047477D">
            <w:pPr>
              <w:jc w:val="center"/>
              <w:rPr>
                <w:rFonts w:ascii="Times New Roman" w:hAnsi="Times New Roman" w:cs="Times New Roman"/>
                <w:noProof/>
              </w:rPr>
            </w:pPr>
            <w:bookmarkStart w:id="1" w:name="_GoBack"/>
            <w:bookmarkEnd w:id="1"/>
            <w:r w:rsidRPr="001C0838">
              <w:rPr>
                <w:rFonts w:ascii="Times New Roman" w:hAnsi="Times New Roman"/>
                <w:b/>
                <w:caps/>
                <w:noProof/>
                <w:color w:val="FFFFFF"/>
                <w:sz w:val="28"/>
              </w:rPr>
              <w:lastRenderedPageBreak/>
              <w:t>FIȘĂ REZUMAT</w:t>
            </w:r>
          </w:p>
        </w:tc>
      </w:tr>
      <w:tr w:rsidR="00DD3939" w:rsidRPr="001C0838" w14:paraId="0C57437C" w14:textId="77777777" w:rsidTr="00A970E6">
        <w:tc>
          <w:tcPr>
            <w:tcW w:w="983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BDD7E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3292402" w14:textId="1C5BBC5D" w:rsidR="00DD3939" w:rsidRPr="001C0838" w:rsidRDefault="008561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color w:val="1F3864"/>
                <w:sz w:val="24"/>
              </w:rPr>
              <w:t xml:space="preserve">Evaluarea impactului privind pachetul omnibus pentru simplificarea legislației privind produsele eficiente din punct de vedere energetic </w:t>
            </w:r>
          </w:p>
        </w:tc>
      </w:tr>
    </w:tbl>
    <w:p w14:paraId="0AC4AF1C" w14:textId="77777777" w:rsidR="00DD3939" w:rsidRPr="001C0838" w:rsidRDefault="00DD3939">
      <w:pPr>
        <w:spacing w:before="120"/>
        <w:rPr>
          <w:noProof/>
        </w:rPr>
      </w:pP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5"/>
      </w:tblGrid>
      <w:tr w:rsidR="00DD3939" w:rsidRPr="001C0838" w14:paraId="302BC458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E8E74" w14:textId="77777777" w:rsidR="00DD3939" w:rsidRPr="001C0838" w:rsidRDefault="008561BF">
            <w:pPr>
              <w:rPr>
                <w:noProof/>
              </w:rPr>
            </w:pPr>
            <w:r w:rsidRPr="001C0838">
              <w:rPr>
                <w:b/>
                <w:noProof/>
                <w:color w:val="FFFFFF"/>
                <w:sz w:val="20"/>
              </w:rPr>
              <w:t>A. NECESITATEA DE A ACȚIONA</w:t>
            </w:r>
          </w:p>
        </w:tc>
      </w:tr>
      <w:tr w:rsidR="00DD3939" w:rsidRPr="001C0838" w14:paraId="2D7871D9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183365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este problema și de ce este o problemă la nivelul UE?</w:t>
            </w:r>
          </w:p>
        </w:tc>
      </w:tr>
      <w:tr w:rsidR="00DD3939" w:rsidRPr="001C0838" w14:paraId="28692824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2C27F7" w14:textId="3AB9BB69" w:rsidR="0047477D" w:rsidRPr="001C0838" w:rsidRDefault="0047477D" w:rsidP="008277FE">
            <w:pPr>
              <w:spacing w:before="60" w:after="2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Problema 1: Obligații excesiv de complicate pentru furnizori și comercianții cu amănuntul</w:t>
            </w:r>
          </w:p>
          <w:p w14:paraId="4EB68D29" w14:textId="14DA8023" w:rsidR="0047477D" w:rsidRPr="001C0838" w:rsidRDefault="008B09C5" w:rsidP="008B09C5">
            <w:pPr>
              <w:spacing w:before="60" w:after="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La baza acestei probleme se află patru factori: 1.</w:t>
            </w:r>
            <w:r w:rsidRPr="001C0838">
              <w:rPr>
                <w:rFonts w:ascii="Times New Roman" w:hAnsi="Times New Roman"/>
                <w:b/>
                <w:noProof/>
                <w:sz w:val="24"/>
              </w:rPr>
              <w:t xml:space="preserve"> </w:t>
            </w:r>
            <w:r w:rsidRPr="001C0838">
              <w:rPr>
                <w:rFonts w:ascii="Times New Roman" w:hAnsi="Times New Roman"/>
                <w:noProof/>
                <w:sz w:val="24"/>
              </w:rPr>
              <w:t>Obligații cumulative pentru furnizori în ceea ce privește etichetele și EPREL. 2. Lipsa de flexibilitate: Reguli universale privind livrarea și afișarea etichetelor. În ceea ce privește pneurile, cadrul nu dispune de flexibilitate pentru a ajusta anumite detalii tehnice</w:t>
            </w:r>
            <w:r w:rsidR="001C0838">
              <w:rPr>
                <w:rFonts w:ascii="Times New Roman" w:hAnsi="Times New Roman"/>
                <w:noProof/>
                <w:sz w:val="24"/>
              </w:rPr>
              <w:t>.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3. Norme de tranziție complexe de la etichetele vechi la cele reclasificate</w:t>
            </w:r>
            <w:r w:rsidR="001C0838">
              <w:rPr>
                <w:rFonts w:ascii="Times New Roman" w:hAnsi="Times New Roman"/>
                <w:noProof/>
                <w:sz w:val="24"/>
              </w:rPr>
              <w:t>.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4. Principiul „doar o singură dată” nu se aplică pe deplin în cazul datelor EPREL.</w:t>
            </w:r>
          </w:p>
          <w:p w14:paraId="4C524538" w14:textId="77777777" w:rsidR="0047477D" w:rsidRPr="001C0838" w:rsidRDefault="0047477D" w:rsidP="0047477D">
            <w:pPr>
              <w:spacing w:before="60" w:after="2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Problema 2: Neconformitate persistentă</w:t>
            </w:r>
          </w:p>
          <w:p w14:paraId="36B21675" w14:textId="4DF67777" w:rsidR="00321AA4" w:rsidRPr="001C0838" w:rsidRDefault="00935BE6" w:rsidP="00321AA4">
            <w:pPr>
              <w:spacing w:before="60" w:after="1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Problema are mulți factori determinanți, inclusiv factori externi. Evaluarea impactului abordează doar aspectele legate de neconformitate care au la bază obligații și concepte juridice neclare.</w:t>
            </w:r>
          </w:p>
          <w:p w14:paraId="155CE927" w14:textId="4F3AEA84" w:rsidR="00DD3939" w:rsidRPr="001C0838" w:rsidRDefault="00321AA4" w:rsidP="00321AA4">
            <w:pPr>
              <w:spacing w:before="60" w:after="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În prezent, normele sunt pe deplin armonizate, prin urmare, pentru a se menține o aplicare uniformă, numai o modificare la nivelul UE este fezabilă.</w:t>
            </w:r>
          </w:p>
        </w:tc>
      </w:tr>
      <w:tr w:rsidR="00DD3939" w:rsidRPr="001C0838" w14:paraId="59389CD5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5BA4A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este rezultatul urmărit?</w:t>
            </w:r>
          </w:p>
        </w:tc>
      </w:tr>
      <w:tr w:rsidR="00DD3939" w:rsidRPr="001C0838" w14:paraId="04015E9A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E587C5" w14:textId="1E938490" w:rsidR="00DD3939" w:rsidRPr="001C0838" w:rsidRDefault="008561BF">
            <w:pPr>
              <w:spacing w:before="40" w:after="4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 xml:space="preserve">Obiectivul general: </w:t>
            </w:r>
            <w:r w:rsidRPr="001C0838">
              <w:rPr>
                <w:rFonts w:ascii="Times New Roman" w:hAnsi="Times New Roman"/>
                <w:noProof/>
                <w:sz w:val="24"/>
              </w:rPr>
              <w:t>Simplificarea și îmbunătățirea cadrului de etichetare energetică și de etichetare a pneurilor, fără a submina scopul său principal: și anume oferirea posibilității clienților de a alege produse mai eficiente și de a reduce consumul de energie.</w:t>
            </w:r>
          </w:p>
          <w:p w14:paraId="249464A0" w14:textId="77777777" w:rsidR="00935BE6" w:rsidRPr="001C0838" w:rsidRDefault="008561BF" w:rsidP="00935BE6">
            <w:pPr>
              <w:spacing w:before="40" w:after="4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Obiectivul specific 1: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Simplificarea normelor pentru furnizori și comercianții cu amănuntul </w:t>
            </w:r>
          </w:p>
          <w:p w14:paraId="2B234B02" w14:textId="72F10D33" w:rsidR="00DD3939" w:rsidRPr="001C0838" w:rsidRDefault="008561BF" w:rsidP="00935BE6">
            <w:pPr>
              <w:spacing w:before="40" w:after="40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Obiectivul specific 2: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Îmbunătățirea conformității prin clarificări.</w:t>
            </w:r>
          </w:p>
        </w:tc>
      </w:tr>
      <w:tr w:rsidR="00DD3939" w:rsidRPr="001C0838" w14:paraId="0F83E0E5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96E960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este valoarea adăugată a acțiunii la nivelul UE (subsidiaritate)?</w:t>
            </w:r>
          </w:p>
        </w:tc>
      </w:tr>
      <w:tr w:rsidR="00DD3939" w:rsidRPr="001C0838" w14:paraId="1F8753C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575C93" w14:textId="24C4A4A2" w:rsidR="00DD3939" w:rsidRPr="001C0838" w:rsidRDefault="008561BF">
            <w:pPr>
              <w:spacing w:before="40" w:after="60"/>
              <w:rPr>
                <w:noProof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Simplificarea la nivelul UE oferă un temei juridic coerent pentru autoritățile de aplicare a legii, reduceri ale costurilor pentru întreprinderile care își desfășoară activitatea în întreaga UE și o mai bună utilizare a EPREL.</w:t>
            </w:r>
          </w:p>
        </w:tc>
      </w:tr>
      <w:tr w:rsidR="00DD3939" w:rsidRPr="001C0838" w14:paraId="4C46F50A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529F2" w14:textId="77777777" w:rsidR="00DD3939" w:rsidRPr="001C0838" w:rsidRDefault="008561BF">
            <w:pPr>
              <w:rPr>
                <w:noProof/>
              </w:rPr>
            </w:pPr>
            <w:r w:rsidRPr="001C0838">
              <w:rPr>
                <w:b/>
                <w:noProof/>
                <w:color w:val="FFFFFF"/>
                <w:sz w:val="20"/>
              </w:rPr>
              <w:t>B. SOLUȚII</w:t>
            </w:r>
          </w:p>
        </w:tc>
      </w:tr>
      <w:tr w:rsidR="00DD3939" w:rsidRPr="001C0838" w14:paraId="2547816B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336F73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sunt diferitele opțiuni disponibile pentru atingerea obiectivelor? Există o opțiune preferată?</w:t>
            </w:r>
          </w:p>
        </w:tc>
      </w:tr>
      <w:tr w:rsidR="00DD3939" w:rsidRPr="001C0838" w14:paraId="26E8595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3CBC43" w14:textId="77777777" w:rsidR="00DD3939" w:rsidRPr="001C0838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Au fost evaluate două opțiuni de politică (în raport cu un scenariu de referință în care nu există nicio modificare legislativă):</w:t>
            </w:r>
          </w:p>
          <w:p w14:paraId="107640A9" w14:textId="4EB843C0" w:rsidR="008E3B09" w:rsidRPr="001C0838" w:rsidRDefault="008561BF" w:rsidP="008E3B09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• Opțiunea de politică 1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(13 măsuri): Simplifică normele privind etichetarea energetică; clarifică conceptele juridice, principiul „o singură dată” pentru EPREL; extinderea competențelor Comisiei în ceea ce privește etichetarea pneurilor, rapoartele de încercare a pneurilor în secțiunea privind conformitatea a EPREL, eliminarea obligației de afișare a etichetei pneurilor de către comercianții de vehicule</w:t>
            </w:r>
            <w:r w:rsidR="001C0838">
              <w:rPr>
                <w:rFonts w:ascii="Times New Roman" w:hAnsi="Times New Roman"/>
                <w:noProof/>
                <w:sz w:val="24"/>
              </w:rPr>
              <w:t>.</w:t>
            </w:r>
          </w:p>
          <w:p w14:paraId="0F6EC0D5" w14:textId="012D41D8" w:rsidR="00DD3939" w:rsidRPr="001C0838" w:rsidRDefault="008561BF" w:rsidP="008E3B09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• Opțiunea de politică 2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 (15 măsuri, preferată): Include toate măsurile din cadrul opțiunii 1 și, în plus, modifică direct anexele la regulamentul privind etichetarea pneurilor cu specificații </w:t>
            </w:r>
            <w:r w:rsidRPr="001C0838">
              <w:rPr>
                <w:rFonts w:ascii="Times New Roman" w:hAnsi="Times New Roman"/>
                <w:noProof/>
                <w:sz w:val="24"/>
              </w:rPr>
              <w:lastRenderedPageBreak/>
              <w:t>tehnice complete pentru afișarea etichetei simplificate/imbricate a pneurilor și actualizează cerințele de informare pentru pneuri pentru a produce efecte juridice imediate.</w:t>
            </w:r>
          </w:p>
        </w:tc>
      </w:tr>
      <w:tr w:rsidR="00DD3939" w:rsidRPr="001C0838" w14:paraId="1C5919EB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B712CD" w14:textId="77777777" w:rsidR="00DD3939" w:rsidRPr="001C0838" w:rsidRDefault="008561BF" w:rsidP="00321A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lastRenderedPageBreak/>
              <w:t>Care sunt punctele de vedere ale diferitelor părți interesate? Cine sunt susținătorii fiecărei opțiuni?</w:t>
            </w:r>
          </w:p>
        </w:tc>
      </w:tr>
      <w:tr w:rsidR="00DD3939" w:rsidRPr="001C0838" w14:paraId="6A7FC74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43FEE0" w14:textId="475B5862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Furnizori/producători: Sprijin exclusiv digital pentru livrarea etichetelor și pentru legătura EPREL-PDP „doar o singură dată”. Industria pneurilor este precaută în ceea ce privește cerințele ambelor opțiuni de politică, cu excepția etichetei simplificate.</w:t>
            </w:r>
          </w:p>
          <w:p w14:paraId="3F1B655E" w14:textId="44D1B1D1" w:rsidR="00832B9A" w:rsidRPr="001C0838" w:rsidRDefault="008561BF" w:rsidP="00832B9A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Comercianți (inclusiv IMM-uri): Se opun doar etichetelor digitale și transferului obligației de imprimare a etichetelor, dar salută prelungirea perioadelor de tranziție pentru epuizarea stocurilor existente. Sunt preocupați în legătură cu piețele online în comparație cu alți comercianți.</w:t>
            </w:r>
          </w:p>
          <w:p w14:paraId="6C2EAB0F" w14:textId="0607B16C" w:rsidR="00935BE6" w:rsidRPr="001C0838" w:rsidRDefault="008561BF" w:rsidP="00935BE6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Autoritățile de supraveghere a pieței (ASP-uri): Sprijină măsurile care îmbunătățesc conformitatea cu EPREL. Se opun formatului exclusiv digital pentru etichete, dar recunosc avantajele eliminării implicite a etichetei imprimate. </w:t>
            </w:r>
          </w:p>
          <w:p w14:paraId="0E3D8E10" w14:textId="3459EB6F" w:rsidR="00DD3939" w:rsidRPr="001C0838" w:rsidRDefault="008561BF" w:rsidP="00935BE6">
            <w:pPr>
              <w:spacing w:before="30" w:after="30"/>
              <w:ind w:left="360" w:hanging="220"/>
              <w:rPr>
                <w:noProof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Organizații ale consumatorilor și ONG-uri: Insistă asupra continuării livrării de etichete imprimate și salută îmbunătățirea conformității.</w:t>
            </w:r>
          </w:p>
        </w:tc>
      </w:tr>
      <w:tr w:rsidR="00DD3939" w:rsidRPr="001C0838" w14:paraId="4AB92CFD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C522C" w14:textId="77777777" w:rsidR="00DD3939" w:rsidRPr="001C0838" w:rsidRDefault="008561BF">
            <w:pPr>
              <w:rPr>
                <w:noProof/>
              </w:rPr>
            </w:pPr>
            <w:r w:rsidRPr="001C0838">
              <w:rPr>
                <w:b/>
                <w:noProof/>
                <w:color w:val="FFFFFF"/>
                <w:sz w:val="20"/>
              </w:rPr>
              <w:t>C. IMPACTUL OPȚIUNII PREFERATE (OPȚIUNEA DE POLITICĂ 2)</w:t>
            </w:r>
          </w:p>
        </w:tc>
      </w:tr>
      <w:tr w:rsidR="00DD3939" w:rsidRPr="001C0838" w14:paraId="39666631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FFB8EE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sunt avantajele?</w:t>
            </w:r>
          </w:p>
        </w:tc>
      </w:tr>
      <w:tr w:rsidR="00DD3939" w:rsidRPr="001C0838" w14:paraId="556C6C5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6B3693" w14:textId="04169247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Economii de costuri administrative pentru furnizori: Până la 83 de milioane EUR/an din eliminarea implicită a obligației de a aplica etichete imprimate și până la 66 de milioane EUR, sumă unică, din aplicarea principiului „o singură dată” pentru EPREL; 2 milioane EUR pe an din tranzițiile etichetelor simplificate. Pentru comercianții de vehicule, suma este de 40 de milioane EUR pe an. </w:t>
            </w:r>
          </w:p>
          <w:p w14:paraId="341977E6" w14:textId="70F65B32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Economii pentru comercianți: 3 milioane EUR pe ciclu de tranziție a etichetelor </w:t>
            </w:r>
          </w:p>
          <w:p w14:paraId="50198BDE" w14:textId="6915AC02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Economii pentru ASP-uri: 3,7 milioane EUR/an </w:t>
            </w:r>
          </w:p>
          <w:p w14:paraId="7F17B144" w14:textId="04860646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Îmbunătățiri în materie de conformitate </w:t>
            </w:r>
          </w:p>
          <w:p w14:paraId="3884B04E" w14:textId="5E030EFA" w:rsidR="00DD3939" w:rsidRPr="001C0838" w:rsidRDefault="008561BF" w:rsidP="002903FF">
            <w:pPr>
              <w:spacing w:before="30" w:after="30"/>
              <w:ind w:left="360" w:hanging="220"/>
              <w:rPr>
                <w:noProof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Beneficii pentru consumatori/mediu: O mai bună utilizare a etichetei pneurilor/EPREL. Clienții își păstrează dreptul de a avea eticheta afișată la punctul de vânzare.</w:t>
            </w:r>
          </w:p>
        </w:tc>
      </w:tr>
      <w:tr w:rsidR="00DD3939" w:rsidRPr="001C0838" w14:paraId="55E42D6F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8419F2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sunt costurile?</w:t>
            </w:r>
          </w:p>
        </w:tc>
      </w:tr>
      <w:tr w:rsidR="00DD3939" w:rsidRPr="001C0838" w14:paraId="7FDC822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AFD0F8" w14:textId="5C752138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b/>
                <w:noProof/>
                <w:color w:val="2E75B6"/>
              </w:rPr>
              <w:t xml:space="preserve">• </w:t>
            </w:r>
            <w:r w:rsidRPr="001C0838">
              <w:rPr>
                <w:rFonts w:ascii="Times New Roman" w:hAnsi="Times New Roman"/>
                <w:noProof/>
                <w:sz w:val="24"/>
              </w:rPr>
              <w:t xml:space="preserve">Reprezentanți autorizați: 10 milioane EUR, sumă unică, pentru încărcarea copiilor mandatului în EPREL </w:t>
            </w:r>
          </w:p>
          <w:p w14:paraId="4CF0852C" w14:textId="175AED96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 xml:space="preserve">• Furnizori de pneuri: 9,6 milioane EUR, sumă unică, în cazul în care nu se utilizează API-uri </w:t>
            </w:r>
          </w:p>
          <w:p w14:paraId="4231C2F9" w14:textId="34076D27" w:rsidR="00DD3939" w:rsidRPr="001C0838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Piețe online: Până la 2 milioane EUR/an în cazul în care nu se utilizează API-uri</w:t>
            </w:r>
          </w:p>
          <w:p w14:paraId="62B61F52" w14:textId="1659623F" w:rsidR="002903FF" w:rsidRPr="001C0838" w:rsidRDefault="008561BF" w:rsidP="002903FF">
            <w:pPr>
              <w:spacing w:before="30" w:after="30"/>
              <w:ind w:left="360" w:hanging="220"/>
              <w:rPr>
                <w:noProof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• Comercianți: Costuri suplimentare de 7 milioane EUR/an pentru imprimarea etichetelor la punctul de vânzare (dar pot fi solicitate de la furnizor)</w:t>
            </w:r>
          </w:p>
        </w:tc>
      </w:tr>
      <w:tr w:rsidR="00DD3939" w:rsidRPr="001C0838" w14:paraId="3FB6CC3C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78F0B3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Care este impactul asupra IMM-urilor și a competitivității?</w:t>
            </w:r>
          </w:p>
        </w:tc>
      </w:tr>
      <w:tr w:rsidR="00DD3939" w:rsidRPr="001C0838" w14:paraId="5C0A097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C5DF07" w14:textId="0E0C0401" w:rsidR="00DD3939" w:rsidRPr="001C0838" w:rsidRDefault="008277FE" w:rsidP="008B09C5">
            <w:pPr>
              <w:spacing w:before="30" w:after="3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Creșterea competitivității ca urmare a reducerii costurilor de asigurare a conformității pentru furnizori și comercianții cu amănuntul. Întreprinderile din sectorul comerțului cu amănuntul, dominat în mare parte de IMM-uri, au dreptul de a solicita furnizorului o etichetă imprimată. Niciun impact semnificativ asupra comerțului/la nivel internațional, deoarece normele de etichetare se aplică și furnizorilor din străinătate (dar norme mai clare pentru reprezentanții autorizați)</w:t>
            </w:r>
            <w:r w:rsidR="001C0838">
              <w:rPr>
                <w:rFonts w:ascii="Times New Roman" w:hAnsi="Times New Roman"/>
                <w:noProof/>
                <w:sz w:val="24"/>
              </w:rPr>
              <w:t>.</w:t>
            </w:r>
          </w:p>
        </w:tc>
      </w:tr>
      <w:tr w:rsidR="00DD3939" w:rsidRPr="001C0838" w14:paraId="52C12E06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196EED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Va exista un impact semnificativ asupra bugetelor și a administrațiilor naționale?</w:t>
            </w:r>
          </w:p>
        </w:tc>
      </w:tr>
      <w:tr w:rsidR="00DD3939" w:rsidRPr="001C0838" w14:paraId="637A57A2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0F714C" w14:textId="6535B569" w:rsidR="00DD3939" w:rsidRPr="001C0838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ASP-urile vor beneficia de costuri administrative reduse. Nu este necesară transpunerea. Raport de analiză comparativă privind raportarea ICSMS.</w:t>
            </w:r>
          </w:p>
        </w:tc>
      </w:tr>
      <w:tr w:rsidR="00DD3939" w:rsidRPr="001C0838" w14:paraId="5505B4EC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80D8B0" w14:textId="77777777" w:rsidR="00DD3939" w:rsidRPr="001C0838" w:rsidRDefault="008561BF" w:rsidP="00321A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Va exista un alt impact semnificativ?</w:t>
            </w:r>
          </w:p>
        </w:tc>
      </w:tr>
      <w:tr w:rsidR="00DD3939" w:rsidRPr="001C0838" w14:paraId="57B7550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936C87" w14:textId="77D0C7D7" w:rsidR="00DD3939" w:rsidRPr="001C0838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Impactul asupra mediului este nesemnificativ în comparație cu economiile de energie/GES generate de politica generală de etichetare. Stoc distrus redus, cu etichete vechi. Promovează agenda digitală.</w:t>
            </w:r>
          </w:p>
        </w:tc>
      </w:tr>
      <w:tr w:rsidR="00DD3939" w:rsidRPr="001C0838" w14:paraId="7F38A84D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44D8A9" w14:textId="77777777" w:rsidR="00DD3939" w:rsidRPr="001C0838" w:rsidRDefault="008561BF" w:rsidP="00321AA4">
            <w:pPr>
              <w:spacing w:after="120"/>
              <w:jc w:val="both"/>
              <w:rPr>
                <w:noProof/>
              </w:rPr>
            </w:pPr>
            <w:r w:rsidRPr="001C0838">
              <w:rPr>
                <w:rFonts w:ascii="Times New Roman" w:hAnsi="Times New Roman"/>
                <w:b/>
                <w:noProof/>
                <w:color w:val="auto"/>
                <w:sz w:val="24"/>
              </w:rPr>
              <w:t>Proporționalitatea</w:t>
            </w:r>
          </w:p>
        </w:tc>
      </w:tr>
      <w:tr w:rsidR="00DD3939" w:rsidRPr="001C0838" w14:paraId="28568A94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9D9B2B" w14:textId="5BEA4AB2" w:rsidR="00DD3939" w:rsidRPr="001C0838" w:rsidRDefault="008561BF">
            <w:pPr>
              <w:spacing w:before="40" w:after="60"/>
              <w:rPr>
                <w:noProof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Opțiunea preferată nu depășește ceea ce este necesar. Digitalizarea completă a livrării etichetelor a fost eliminată. Noile obligații sunt bine definite și bazate pe date concrete.</w:t>
            </w:r>
          </w:p>
        </w:tc>
      </w:tr>
      <w:tr w:rsidR="00DD3939" w:rsidRPr="001C0838" w14:paraId="2B9740B4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F0DF5" w14:textId="77777777" w:rsidR="00DD3939" w:rsidRPr="001C0838" w:rsidRDefault="008561BF">
            <w:pPr>
              <w:rPr>
                <w:noProof/>
              </w:rPr>
            </w:pPr>
            <w:r w:rsidRPr="001C0838">
              <w:rPr>
                <w:b/>
                <w:noProof/>
                <w:color w:val="FFFFFF"/>
                <w:sz w:val="20"/>
              </w:rPr>
              <w:t>D. ACȚIUNI ULTERIOARE</w:t>
            </w:r>
          </w:p>
        </w:tc>
      </w:tr>
      <w:tr w:rsidR="00DD3939" w:rsidRPr="001C0838" w14:paraId="03BB88D0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9A04EB" w14:textId="77777777" w:rsidR="00DD3939" w:rsidRPr="001C0838" w:rsidRDefault="008561BF" w:rsidP="00321AA4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b/>
                <w:noProof/>
                <w:sz w:val="24"/>
              </w:rPr>
              <w:t>Când va fi reexaminată politica?</w:t>
            </w:r>
          </w:p>
        </w:tc>
      </w:tr>
      <w:tr w:rsidR="00DD3939" w:rsidRPr="001C0838" w14:paraId="5BAA7B81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ED2B7F" w14:textId="606FAC65" w:rsidR="00DD3939" w:rsidRPr="001C0838" w:rsidRDefault="008B09C5" w:rsidP="008B09C5">
            <w:pPr>
              <w:spacing w:before="30" w:after="3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C0838">
              <w:rPr>
                <w:rFonts w:ascii="Times New Roman" w:hAnsi="Times New Roman"/>
                <w:noProof/>
                <w:sz w:val="24"/>
              </w:rPr>
              <w:t>Examinări și evaluări continue specifice produselor.</w:t>
            </w:r>
          </w:p>
        </w:tc>
      </w:tr>
    </w:tbl>
    <w:p w14:paraId="3650F1EF" w14:textId="6DC5D057" w:rsidR="00DD3939" w:rsidRPr="001C0838" w:rsidRDefault="00DD3939" w:rsidP="00321AA4">
      <w:pPr>
        <w:spacing w:before="100"/>
        <w:rPr>
          <w:noProof/>
        </w:rPr>
      </w:pPr>
    </w:p>
    <w:sectPr w:rsidR="00DD3939" w:rsidRPr="001C0838" w:rsidSect="007A206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F8DC83" w14:textId="77777777" w:rsidR="00430F8E" w:rsidRPr="001C0838" w:rsidRDefault="00430F8E" w:rsidP="00A61C45">
      <w:r w:rsidRPr="001C0838">
        <w:separator/>
      </w:r>
    </w:p>
  </w:endnote>
  <w:endnote w:type="continuationSeparator" w:id="0">
    <w:p w14:paraId="3C87B77C" w14:textId="77777777" w:rsidR="00430F8E" w:rsidRPr="001C0838" w:rsidRDefault="00430F8E" w:rsidP="00A61C45">
      <w:r w:rsidRPr="001C08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C3C17" w14:textId="10A012E6" w:rsidR="00405653" w:rsidRPr="00405653" w:rsidRDefault="00405653" w:rsidP="00405653">
    <w:pPr>
      <w:pStyle w:val="FooterCoverPage"/>
      <w:rPr>
        <w:rFonts w:ascii="Arial" w:hAnsi="Arial" w:cs="Arial"/>
        <w:b/>
        <w:sz w:val="48"/>
      </w:rPr>
    </w:pPr>
    <w:r w:rsidRPr="00405653">
      <w:rPr>
        <w:rFonts w:ascii="Arial" w:hAnsi="Arial" w:cs="Arial"/>
        <w:b/>
        <w:sz w:val="48"/>
      </w:rPr>
      <w:t>RO</w:t>
    </w:r>
    <w:r w:rsidRPr="00405653">
      <w:rPr>
        <w:rFonts w:ascii="Arial" w:hAnsi="Arial" w:cs="Arial"/>
        <w:b/>
        <w:sz w:val="48"/>
      </w:rPr>
      <w:tab/>
    </w:r>
    <w:r w:rsidRPr="00405653">
      <w:rPr>
        <w:rFonts w:ascii="Arial" w:hAnsi="Arial" w:cs="Arial"/>
        <w:b/>
        <w:sz w:val="48"/>
      </w:rPr>
      <w:tab/>
    </w:r>
    <w:r w:rsidRPr="00405653">
      <w:tab/>
    </w:r>
    <w:r w:rsidRPr="00405653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BEBFB" w14:textId="0F66338E" w:rsidR="00405653" w:rsidRPr="00405653" w:rsidRDefault="00405653" w:rsidP="00405653">
    <w:pPr>
      <w:pStyle w:val="FooterCoverPage"/>
      <w:rPr>
        <w:rFonts w:ascii="Arial" w:hAnsi="Arial" w:cs="Arial"/>
        <w:b/>
        <w:sz w:val="48"/>
      </w:rPr>
    </w:pPr>
    <w:r w:rsidRPr="00405653">
      <w:rPr>
        <w:rFonts w:ascii="Arial" w:hAnsi="Arial" w:cs="Arial"/>
        <w:b/>
        <w:sz w:val="48"/>
      </w:rPr>
      <w:t>RO</w:t>
    </w:r>
    <w:r w:rsidRPr="00405653">
      <w:rPr>
        <w:rFonts w:ascii="Arial" w:hAnsi="Arial" w:cs="Arial"/>
        <w:b/>
        <w:sz w:val="48"/>
      </w:rPr>
      <w:tab/>
    </w:r>
    <w:r w:rsidRPr="00405653">
      <w:rPr>
        <w:rFonts w:ascii="Arial" w:hAnsi="Arial" w:cs="Arial"/>
        <w:b/>
        <w:sz w:val="48"/>
      </w:rPr>
      <w:tab/>
    </w:r>
    <w:r w:rsidRPr="00405653">
      <w:tab/>
    </w:r>
    <w:r w:rsidRPr="00405653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E5E73" w14:textId="77777777" w:rsidR="00405653" w:rsidRPr="00405653" w:rsidRDefault="00405653" w:rsidP="0040565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E053C" w14:textId="77777777" w:rsidR="00D72F7B" w:rsidRPr="001C0838" w:rsidRDefault="00D72F7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1B72C" w14:textId="77777777" w:rsidR="00F94958" w:rsidRPr="001C0838" w:rsidRDefault="00F9495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D26DF" w14:textId="77777777" w:rsidR="00F86A48" w:rsidRPr="001C0838" w:rsidRDefault="00F86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B0EFC" w14:textId="77777777" w:rsidR="00430F8E" w:rsidRPr="001C0838" w:rsidRDefault="00430F8E" w:rsidP="00A61C45">
      <w:r w:rsidRPr="001C0838">
        <w:separator/>
      </w:r>
    </w:p>
  </w:footnote>
  <w:footnote w:type="continuationSeparator" w:id="0">
    <w:p w14:paraId="600672B4" w14:textId="77777777" w:rsidR="00430F8E" w:rsidRPr="001C0838" w:rsidRDefault="00430F8E" w:rsidP="00A61C45">
      <w:r w:rsidRPr="001C08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82D3C" w14:textId="77777777" w:rsidR="00405653" w:rsidRPr="00405653" w:rsidRDefault="00405653" w:rsidP="00405653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48759" w14:textId="77777777" w:rsidR="00405653" w:rsidRPr="00405653" w:rsidRDefault="00405653" w:rsidP="0040565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6DA45" w14:textId="77777777" w:rsidR="00405653" w:rsidRPr="00405653" w:rsidRDefault="00405653" w:rsidP="0040565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F4991" w14:textId="77777777" w:rsidR="00000000" w:rsidRDefault="00405653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614B8" w14:textId="77777777" w:rsidR="00000000" w:rsidRDefault="00405653">
    <w:r>
      <w:cr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F2CE46" w14:textId="77777777" w:rsidR="00000000" w:rsidRDefault="00405653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D748D"/>
    <w:multiLevelType w:val="hybridMultilevel"/>
    <w:tmpl w:val="34946748"/>
    <w:lvl w:ilvl="0" w:tplc="CEE24202">
      <w:start w:val="1"/>
      <w:numFmt w:val="bullet"/>
      <w:lvlText w:val="●"/>
      <w:lvlJc w:val="left"/>
      <w:pPr>
        <w:ind w:left="720" w:hanging="360"/>
      </w:pPr>
    </w:lvl>
    <w:lvl w:ilvl="1" w:tplc="993C29BE">
      <w:start w:val="1"/>
      <w:numFmt w:val="bullet"/>
      <w:lvlText w:val="○"/>
      <w:lvlJc w:val="left"/>
      <w:pPr>
        <w:ind w:left="1440" w:hanging="360"/>
      </w:pPr>
    </w:lvl>
    <w:lvl w:ilvl="2" w:tplc="E7C2BD2A">
      <w:start w:val="1"/>
      <w:numFmt w:val="bullet"/>
      <w:lvlText w:val="■"/>
      <w:lvlJc w:val="left"/>
      <w:pPr>
        <w:ind w:left="2160" w:hanging="360"/>
      </w:pPr>
    </w:lvl>
    <w:lvl w:ilvl="3" w:tplc="6C8EFC76">
      <w:start w:val="1"/>
      <w:numFmt w:val="bullet"/>
      <w:lvlText w:val="●"/>
      <w:lvlJc w:val="left"/>
      <w:pPr>
        <w:ind w:left="2880" w:hanging="360"/>
      </w:pPr>
    </w:lvl>
    <w:lvl w:ilvl="4" w:tplc="E438D330">
      <w:start w:val="1"/>
      <w:numFmt w:val="bullet"/>
      <w:lvlText w:val="○"/>
      <w:lvlJc w:val="left"/>
      <w:pPr>
        <w:ind w:left="3600" w:hanging="360"/>
      </w:pPr>
    </w:lvl>
    <w:lvl w:ilvl="5" w:tplc="587C2248">
      <w:start w:val="1"/>
      <w:numFmt w:val="bullet"/>
      <w:lvlText w:val="■"/>
      <w:lvlJc w:val="left"/>
      <w:pPr>
        <w:ind w:left="4320" w:hanging="360"/>
      </w:pPr>
    </w:lvl>
    <w:lvl w:ilvl="6" w:tplc="7B06F5EA">
      <w:start w:val="1"/>
      <w:numFmt w:val="bullet"/>
      <w:lvlText w:val="●"/>
      <w:lvlJc w:val="left"/>
      <w:pPr>
        <w:ind w:left="5040" w:hanging="360"/>
      </w:pPr>
    </w:lvl>
    <w:lvl w:ilvl="7" w:tplc="9AEA7BBE">
      <w:start w:val="1"/>
      <w:numFmt w:val="bullet"/>
      <w:lvlText w:val="●"/>
      <w:lvlJc w:val="left"/>
      <w:pPr>
        <w:ind w:left="5760" w:hanging="360"/>
      </w:pPr>
    </w:lvl>
    <w:lvl w:ilvl="8" w:tplc="C11248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care înso\u355?e\u351?te documentul"/>
    <w:docVar w:name="LW_CORRIGENDUM" w:val="&lt;UNUSED&gt;"/>
    <w:docVar w:name="LW_COVERPAGE_EXISTS" w:val="True"/>
    <w:docVar w:name="LW_COVERPAGE_GUID" w:val="F71E65F2-B360-4EA4-8B6B-9F0CC4792960"/>
    <w:docVar w:name="LW_COVERPAGE_TYPE" w:val="1"/>
    <w:docVar w:name="LW_CROSSREFERENCE" w:val="{COM(2026) 565 final} - {SEC(2026) 565 final} - {SWD(2026) 565 final}"/>
    <w:docVar w:name="LW_DocType" w:val="NORMAL"/>
    <w:docVar w:name="LW_EMISSION" w:val="24.6.2026"/>
    <w:docVar w:name="LW_EMISSION_ISODATE" w:val="2026-06-24"/>
    <w:docVar w:name="LW_EMISSION_LOCATION" w:val="BRX"/>
    <w:docVar w:name="LW_EMISSION_PREFIX" w:val="Bruxelles, "/>
    <w:docVar w:name="LW_EMISSION_SUFFIX" w:val=" "/>
    <w:docVar w:name="LW_ID_DOCTYPE_NONLW" w:val="CP-02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de modificare a Regulamentului (UE) 2017/1369 \u537?i a Regulamentului (UE) 2020/740 în ceea ce prive\u537?te simplificarea \u537?i o mai bun\u259? utilizare a op\u539?iunilor digitale pentru etichetarea energetic\u259? \u537?i etichetarea pneurilor&lt;FMT:Font=Microsoft Sans Serif&gt;_x000d_&lt;/FMT&gt;_x000d__x000d__x000d__x000d__x000b_"/>
    <w:docVar w:name="LW_PART_NBR" w:val="1"/>
    <w:docVar w:name="LW_PART_NBR_TOTAL" w:val="1"/>
    <w:docVar w:name="LW_REF.INST.NEW" w:val="SWD"/>
    <w:docVar w:name="LW_REF.INST.NEW_ADOPTED" w:val="final"/>
    <w:docVar w:name="LW_REF.INST.NEW_TEXT" w:val="(2026) 56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DOCUMENT DE LUCRU AL SERVICIILOR COMISIEI_x000b__x000b_REZUMAT AL RAPORTULUI PRIVIND EVALUAREA IMPACTULUI_x000b_"/>
    <w:docVar w:name="LW_TYPEACTEPRINCIPAL.CP" w:val="Propunere de regulament al Parlamentului European \u537?i al Consiliului"/>
    <w:docVar w:name="LwApiVersions" w:val="LW4CoDe 1.24.5.0; LW 9.2, Build 20251112"/>
  </w:docVars>
  <w:rsids>
    <w:rsidRoot w:val="00DD3939"/>
    <w:rsid w:val="0002232A"/>
    <w:rsid w:val="00025488"/>
    <w:rsid w:val="000F377C"/>
    <w:rsid w:val="00104656"/>
    <w:rsid w:val="001273F0"/>
    <w:rsid w:val="0015617D"/>
    <w:rsid w:val="001B1B99"/>
    <w:rsid w:val="001C0838"/>
    <w:rsid w:val="00235211"/>
    <w:rsid w:val="002903FF"/>
    <w:rsid w:val="002B26D6"/>
    <w:rsid w:val="002B3547"/>
    <w:rsid w:val="00321AA4"/>
    <w:rsid w:val="00323DC2"/>
    <w:rsid w:val="00350D17"/>
    <w:rsid w:val="003E2762"/>
    <w:rsid w:val="00405653"/>
    <w:rsid w:val="00430F8E"/>
    <w:rsid w:val="00452A03"/>
    <w:rsid w:val="00472AB7"/>
    <w:rsid w:val="0047477D"/>
    <w:rsid w:val="004870F7"/>
    <w:rsid w:val="0057469E"/>
    <w:rsid w:val="005C45AA"/>
    <w:rsid w:val="00612ABF"/>
    <w:rsid w:val="00617FF9"/>
    <w:rsid w:val="0069024C"/>
    <w:rsid w:val="006F14B8"/>
    <w:rsid w:val="00742A90"/>
    <w:rsid w:val="007A09F6"/>
    <w:rsid w:val="007A2063"/>
    <w:rsid w:val="007B5CA1"/>
    <w:rsid w:val="007D7D4F"/>
    <w:rsid w:val="008277FE"/>
    <w:rsid w:val="00832B9A"/>
    <w:rsid w:val="008549B1"/>
    <w:rsid w:val="008561BF"/>
    <w:rsid w:val="008B09C5"/>
    <w:rsid w:val="008E3B09"/>
    <w:rsid w:val="00900284"/>
    <w:rsid w:val="009079F8"/>
    <w:rsid w:val="00913787"/>
    <w:rsid w:val="009173E7"/>
    <w:rsid w:val="009304D7"/>
    <w:rsid w:val="00935BE6"/>
    <w:rsid w:val="00952AA2"/>
    <w:rsid w:val="009B40A4"/>
    <w:rsid w:val="009C0B87"/>
    <w:rsid w:val="00A107F1"/>
    <w:rsid w:val="00A4118E"/>
    <w:rsid w:val="00A546D7"/>
    <w:rsid w:val="00A61C45"/>
    <w:rsid w:val="00A970E6"/>
    <w:rsid w:val="00AA129A"/>
    <w:rsid w:val="00B65694"/>
    <w:rsid w:val="00BA035F"/>
    <w:rsid w:val="00C84FE0"/>
    <w:rsid w:val="00D16DFB"/>
    <w:rsid w:val="00D6158B"/>
    <w:rsid w:val="00D72F7B"/>
    <w:rsid w:val="00DA0C32"/>
    <w:rsid w:val="00DD3939"/>
    <w:rsid w:val="00DE57E8"/>
    <w:rsid w:val="00DE613C"/>
    <w:rsid w:val="00E9351C"/>
    <w:rsid w:val="00EE70AF"/>
    <w:rsid w:val="00F169F0"/>
    <w:rsid w:val="00F448B6"/>
    <w:rsid w:val="00F61358"/>
    <w:rsid w:val="00F67E95"/>
    <w:rsid w:val="00F72CE8"/>
    <w:rsid w:val="00F86A48"/>
    <w:rsid w:val="00F94958"/>
    <w:rsid w:val="00F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93BF562"/>
  <w15:docId w15:val="{7A561656-E53F-42C6-BC2F-630EFBF3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1A1A1A"/>
        <w:sz w:val="18"/>
        <w:szCs w:val="18"/>
        <w:lang w:val="ro-RO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832B9A"/>
  </w:style>
  <w:style w:type="character" w:customStyle="1" w:styleId="Marker">
    <w:name w:val="Marker"/>
    <w:basedOn w:val="DefaultParagraphFont"/>
    <w:rsid w:val="0015617D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A61C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C45"/>
  </w:style>
  <w:style w:type="paragraph" w:styleId="Footer">
    <w:name w:val="footer"/>
    <w:basedOn w:val="Normal"/>
    <w:link w:val="FooterChar"/>
    <w:uiPriority w:val="99"/>
    <w:unhideWhenUsed/>
    <w:rsid w:val="00A61C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C45"/>
  </w:style>
  <w:style w:type="paragraph" w:customStyle="1" w:styleId="Pagedecouverture">
    <w:name w:val="Page de couverture"/>
    <w:basedOn w:val="Normal"/>
    <w:next w:val="Normal"/>
    <w:rsid w:val="00913787"/>
    <w:pPr>
      <w:jc w:val="both"/>
    </w:pPr>
    <w:rPr>
      <w:rFonts w:ascii="Times New Roman" w:eastAsiaTheme="minorHAnsi" w:hAnsi="Times New Roman" w:cs="Times New Roman"/>
      <w:color w:val="auto"/>
      <w:sz w:val="24"/>
      <w:szCs w:val="22"/>
      <w:lang w:eastAsia="en-US"/>
    </w:rPr>
  </w:style>
  <w:style w:type="paragraph" w:customStyle="1" w:styleId="FooterCoverPage">
    <w:name w:val="Footer Cover Page"/>
    <w:basedOn w:val="Normal"/>
    <w:link w:val="FooterCoverPageChar"/>
    <w:rsid w:val="009304D7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9304D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9304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9304D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9304D7"/>
    <w:pPr>
      <w:tabs>
        <w:tab w:val="center" w:pos="4535"/>
        <w:tab w:val="right" w:pos="9071"/>
      </w:tabs>
      <w:spacing w:after="120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9304D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9304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9304D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9304D7"/>
    <w:pPr>
      <w:spacing w:after="120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9304D7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5a453f2f-4aff-4114-81ba-e18ec71a3481" xsi:nil="true"/>
    <TaxCatchAll xmlns="f9315274-0e25-49c3-ba9a-18bfb53ea1de" xsi:nil="true"/>
    <Area xmlns="5a453f2f-4aff-4114-81ba-e18ec71a3481" xsi:nil="true"/>
    <lcf76f155ced4ddcb4097134ff3c332f xmlns="5a453f2f-4aff-4114-81ba-e18ec71a3481">
      <Terms xmlns="http://schemas.microsoft.com/office/infopath/2007/PartnerControls"/>
    </lcf76f155ced4ddcb4097134ff3c332f>
    <Date0 xmlns="5a453f2f-4aff-4114-81ba-e18ec71a3481" xsi:nil="true"/>
    <Dateandtime xmlns="5a453f2f-4aff-4114-81ba-e18ec71a34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8CAC5D745C4E45847620156C62CF9E" ma:contentTypeVersion="19" ma:contentTypeDescription="Opret et nyt dokument." ma:contentTypeScope="" ma:versionID="bc611d3a4d8f93dfb2c12eb0ca5e7f1f">
  <xsd:schema xmlns:xsd="http://www.w3.org/2001/XMLSchema" xmlns:xs="http://www.w3.org/2001/XMLSchema" xmlns:p="http://schemas.microsoft.com/office/2006/metadata/properties" xmlns:ns2="5a453f2f-4aff-4114-81ba-e18ec71a3481" xmlns:ns3="f9315274-0e25-49c3-ba9a-18bfb53ea1de" xmlns:ns4="7058b7d0-6f54-43d0-ac9b-f95b90dfb0dc" targetNamespace="http://schemas.microsoft.com/office/2006/metadata/properties" ma:root="true" ma:fieldsID="3ebd9bb5edef4c72e2073b1f5d764dda" ns2:_="" ns3:_="" ns4:_="">
    <xsd:import namespace="5a453f2f-4aff-4114-81ba-e18ec71a3481"/>
    <xsd:import namespace="f9315274-0e25-49c3-ba9a-18bfb53ea1de"/>
    <xsd:import namespace="7058b7d0-6f54-43d0-ac9b-f95b90dfb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4:SharedWithUsers" minOccurs="0"/>
                <xsd:element ref="ns4:SharedWithDetails" minOccurs="0"/>
                <xsd:element ref="ns2:date" minOccurs="0"/>
                <xsd:element ref="ns2:Date0" minOccurs="0"/>
                <xsd:element ref="ns2:Dateandtime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53f2f-4aff-4114-81ba-e18ec71a3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Date0" ma:index="24" nillable="true" ma:displayName="Date" ma:description="Test" ma:format="DateOnly" ma:internalName="Date0">
      <xsd:simpleType>
        <xsd:restriction base="dms:DateTime"/>
      </xsd:simple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Area" ma:index="26" nillable="true" ma:displayName="Area" ma:description="Is file of relevance to products, buildings or both/none" ma:format="Dropdown" ma:internalName="Area">
      <xsd:simpleType>
        <xsd:restriction base="dms:Choice">
          <xsd:enumeration value="Products"/>
          <xsd:enumeration value="Buildings"/>
          <xsd:enumeration value="Horizont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15274-0e25-49c3-ba9a-18bfb53ea1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c16d08-8f7a-41c6-97fc-b0a6082af7ae}" ma:internalName="TaxCatchAll" ma:showField="CatchAllData" ma:web="f9315274-0e25-49c3-ba9a-18bfb53ea1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8b7d0-6f54-43d0-ac9b-f95b90dfb0d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DF2D1C-AC58-4CF5-B45F-9084D48407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0EE38-31A8-4B1C-ACBF-2A07A1EAE50F}">
  <ds:schemaRefs>
    <ds:schemaRef ds:uri="http://schemas.microsoft.com/office/2006/metadata/properties"/>
    <ds:schemaRef ds:uri="http://schemas.microsoft.com/office/infopath/2007/PartnerControls"/>
    <ds:schemaRef ds:uri="5a453f2f-4aff-4114-81ba-e18ec71a3481"/>
    <ds:schemaRef ds:uri="f9315274-0e25-49c3-ba9a-18bfb53ea1de"/>
  </ds:schemaRefs>
</ds:datastoreItem>
</file>

<file path=customXml/itemProps3.xml><?xml version="1.0" encoding="utf-8"?>
<ds:datastoreItem xmlns:ds="http://schemas.openxmlformats.org/officeDocument/2006/customXml" ds:itemID="{8E37673A-902F-43A9-90C6-C113DD3C5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53f2f-4aff-4114-81ba-e18ec71a3481"/>
    <ds:schemaRef ds:uri="f9315274-0e25-49c3-ba9a-18bfb53ea1de"/>
    <ds:schemaRef ds:uri="7058b7d0-6f54-43d0-ac9b-f95b90dfb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45</cp:revision>
  <dcterms:created xsi:type="dcterms:W3CDTF">2026-05-28T08:52:00Z</dcterms:created>
  <dcterms:modified xsi:type="dcterms:W3CDTF">2026-08-04T13:11:00Z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2026-04-04T12:34:52Z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1bb35a36-e900-47b8-9d9b-945a3e6cc86a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0x010100928CAC5D745C4E45847620156C62CF9E</vt:lpwstr>
  </property>
  <property fmtid="{D5CDD505-2E9C-101B-9397-08002B2CF9AE}" pid="11" name="Level of sensitivity">
    <vt:lpwstr>Standard treatment</vt:lpwstr>
  </property>
  <property fmtid="{D5CDD505-2E9C-101B-9397-08002B2CF9AE}" pid="12" name="Part">
    <vt:lpwstr>1</vt:lpwstr>
  </property>
  <property fmtid="{D5CDD505-2E9C-101B-9397-08002B2CF9AE}" pid="13" name="Total parts">
    <vt:lpwstr>1</vt:lpwstr>
  </property>
  <property fmtid="{D5CDD505-2E9C-101B-9397-08002B2CF9AE}" pid="14" name="DocStatus">
    <vt:lpwstr>Green</vt:lpwstr>
  </property>
  <property fmtid="{D5CDD505-2E9C-101B-9397-08002B2CF9AE}" pid="15" name="CPTemplateID">
    <vt:lpwstr>CP-027</vt:lpwstr>
  </property>
  <property fmtid="{D5CDD505-2E9C-101B-9397-08002B2CF9AE}" pid="16" name="Last edited using">
    <vt:lpwstr>LW 9.2, Build 20250828</vt:lpwstr>
  </property>
  <property fmtid="{D5CDD505-2E9C-101B-9397-08002B2CF9AE}" pid="17" name="Created using">
    <vt:lpwstr>LW 9.2, Build 20250828</vt:lpwstr>
  </property>
  <property fmtid="{D5CDD505-2E9C-101B-9397-08002B2CF9AE}" pid="18" name="MediaServiceImageTags">
    <vt:lpwstr/>
  </property>
</Properties>
</file>